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B79F" w14:textId="52704831" w:rsidR="00D93723" w:rsidRDefault="00D93723" w:rsidP="00D93723">
      <w:pPr>
        <w:spacing w:line="240" w:lineRule="auto"/>
        <w:rPr>
          <w:rFonts w:ascii="Century Schoolbook" w:hAnsi="Century Schoolbook"/>
          <w:sz w:val="20"/>
          <w:szCs w:val="26"/>
        </w:rPr>
      </w:pPr>
      <w:r>
        <w:rPr>
          <w:rFonts w:ascii="Century Schoolbook" w:hAnsi="Century Schoolbook"/>
          <w:sz w:val="20"/>
          <w:szCs w:val="26"/>
        </w:rPr>
        <w:t>Filed 9/1</w:t>
      </w:r>
      <w:r w:rsidR="00D54D11">
        <w:rPr>
          <w:rFonts w:ascii="Century Schoolbook" w:hAnsi="Century Schoolbook"/>
          <w:sz w:val="20"/>
          <w:szCs w:val="26"/>
        </w:rPr>
        <w:t>3</w:t>
      </w:r>
      <w:r>
        <w:rPr>
          <w:rFonts w:ascii="Century Schoolbook" w:hAnsi="Century Schoolbook"/>
          <w:sz w:val="20"/>
          <w:szCs w:val="26"/>
        </w:rPr>
        <w:t>/23</w:t>
      </w:r>
    </w:p>
    <w:p w14:paraId="2D63EDF1" w14:textId="77777777" w:rsidR="000377C0" w:rsidRDefault="000377C0" w:rsidP="00D93723">
      <w:pPr>
        <w:spacing w:line="240" w:lineRule="auto"/>
        <w:rPr>
          <w:rFonts w:ascii="Century Schoolbook" w:hAnsi="Century Schoolbook"/>
          <w:sz w:val="20"/>
          <w:szCs w:val="26"/>
        </w:rPr>
      </w:pPr>
    </w:p>
    <w:p w14:paraId="627AE585" w14:textId="77777777" w:rsidR="00D93723" w:rsidRDefault="00D93723" w:rsidP="00D93723">
      <w:pPr>
        <w:spacing w:line="240" w:lineRule="auto"/>
        <w:jc w:val="center"/>
        <w:rPr>
          <w:rFonts w:ascii="Century Schoolbook" w:hAnsi="Century Schoolbook"/>
          <w:b/>
          <w:sz w:val="26"/>
          <w:szCs w:val="26"/>
        </w:rPr>
      </w:pPr>
      <w:r>
        <w:rPr>
          <w:rFonts w:ascii="Century Schoolbook" w:hAnsi="Century Schoolbook"/>
          <w:b/>
          <w:sz w:val="26"/>
          <w:szCs w:val="26"/>
        </w:rPr>
        <w:t>CERTIFIED FOR PUBLICATION</w:t>
      </w:r>
    </w:p>
    <w:p w14:paraId="3CE3DD93" w14:textId="77777777" w:rsidR="00D93723" w:rsidRDefault="00D93723" w:rsidP="00D93723">
      <w:pPr>
        <w:spacing w:line="240" w:lineRule="auto"/>
        <w:jc w:val="center"/>
        <w:rPr>
          <w:rFonts w:ascii="Century Schoolbook" w:hAnsi="Century Schoolbook"/>
          <w:sz w:val="26"/>
          <w:szCs w:val="26"/>
        </w:rPr>
      </w:pPr>
    </w:p>
    <w:p w14:paraId="6094CB2B" w14:textId="1FC3FD94" w:rsidR="00FB5A47" w:rsidRPr="00FB5A47" w:rsidRDefault="00FB5A47" w:rsidP="00D93723">
      <w:pPr>
        <w:spacing w:line="240" w:lineRule="auto"/>
        <w:jc w:val="center"/>
        <w:rPr>
          <w:rFonts w:ascii="Century Schoolbook" w:hAnsi="Century Schoolbook"/>
          <w:sz w:val="26"/>
          <w:szCs w:val="26"/>
        </w:rPr>
      </w:pPr>
      <w:r w:rsidRPr="00FB5A47">
        <w:rPr>
          <w:rFonts w:ascii="Century Schoolbook" w:hAnsi="Century Schoolbook"/>
          <w:sz w:val="26"/>
          <w:szCs w:val="26"/>
        </w:rPr>
        <w:t>IN THE COURT OF APPEAL OF THE STATE OF CALIFORNIA</w:t>
      </w:r>
    </w:p>
    <w:p w14:paraId="71E10371" w14:textId="77777777" w:rsidR="00FB5A47" w:rsidRPr="00FB5A47" w:rsidRDefault="00FB5A47" w:rsidP="00FB5A47">
      <w:pPr>
        <w:spacing w:line="240" w:lineRule="auto"/>
        <w:jc w:val="center"/>
        <w:rPr>
          <w:rFonts w:ascii="Century Schoolbook" w:hAnsi="Century Schoolbook"/>
          <w:sz w:val="26"/>
          <w:szCs w:val="26"/>
        </w:rPr>
      </w:pPr>
      <w:r w:rsidRPr="00FB5A47">
        <w:rPr>
          <w:rFonts w:ascii="Century Schoolbook" w:hAnsi="Century Schoolbook"/>
          <w:sz w:val="26"/>
          <w:szCs w:val="26"/>
        </w:rPr>
        <w:t>FIRST APPELLATE DISTRICT</w:t>
      </w:r>
    </w:p>
    <w:p w14:paraId="2AD46EA3" w14:textId="77777777" w:rsidR="00FB5A47" w:rsidRPr="00FB5A47" w:rsidRDefault="00FB5A47" w:rsidP="00FB5A47">
      <w:pPr>
        <w:spacing w:line="240" w:lineRule="auto"/>
        <w:jc w:val="center"/>
        <w:rPr>
          <w:rFonts w:ascii="Century Schoolbook" w:hAnsi="Century Schoolbook"/>
          <w:sz w:val="26"/>
          <w:szCs w:val="26"/>
        </w:rPr>
      </w:pPr>
      <w:r w:rsidRPr="00FB5A47">
        <w:rPr>
          <w:rFonts w:ascii="Century Schoolbook" w:hAnsi="Century Schoolbook"/>
          <w:sz w:val="26"/>
          <w:szCs w:val="26"/>
        </w:rPr>
        <w:t>DIVISION FIVE</w:t>
      </w:r>
    </w:p>
    <w:p w14:paraId="06104BB0" w14:textId="77777777" w:rsidR="00FB5A47" w:rsidRPr="00FB5A47" w:rsidRDefault="00FB5A47" w:rsidP="00FB5A47">
      <w:pPr>
        <w:spacing w:line="240" w:lineRule="auto"/>
        <w:jc w:val="center"/>
        <w:rPr>
          <w:rFonts w:ascii="Century Schoolbook" w:hAnsi="Century Schoolbook"/>
          <w:sz w:val="26"/>
          <w:szCs w:val="26"/>
        </w:rPr>
      </w:pPr>
    </w:p>
    <w:tbl>
      <w:tblPr>
        <w:tblW w:w="0" w:type="auto"/>
        <w:tblLayout w:type="fixed"/>
        <w:tblLook w:val="0000" w:firstRow="0" w:lastRow="0" w:firstColumn="0" w:lastColumn="0" w:noHBand="0" w:noVBand="0"/>
      </w:tblPr>
      <w:tblGrid>
        <w:gridCol w:w="4788"/>
        <w:gridCol w:w="4788"/>
      </w:tblGrid>
      <w:tr w:rsidR="00FB5A47" w:rsidRPr="008D659D" w14:paraId="235025DE" w14:textId="77777777" w:rsidTr="00C671FB">
        <w:tc>
          <w:tcPr>
            <w:tcW w:w="4788" w:type="dxa"/>
            <w:tcBorders>
              <w:bottom w:val="single" w:sz="4" w:space="0" w:color="auto"/>
              <w:right w:val="single" w:sz="4" w:space="0" w:color="auto"/>
            </w:tcBorders>
            <w:shd w:val="clear" w:color="auto" w:fill="auto"/>
          </w:tcPr>
          <w:p w14:paraId="3095F550" w14:textId="7900DD49" w:rsidR="00975DDB" w:rsidRPr="008D659D" w:rsidRDefault="00975DDB" w:rsidP="00975DDB">
            <w:pPr>
              <w:spacing w:after="120" w:line="240" w:lineRule="auto"/>
              <w:rPr>
                <w:rFonts w:ascii="Century Schoolbook" w:hAnsi="Century Schoolbook"/>
                <w:sz w:val="26"/>
                <w:szCs w:val="26"/>
              </w:rPr>
            </w:pPr>
            <w:r w:rsidRPr="008D659D">
              <w:rPr>
                <w:rFonts w:ascii="Century Schoolbook" w:hAnsi="Century Schoolbook"/>
                <w:sz w:val="26"/>
                <w:szCs w:val="26"/>
              </w:rPr>
              <w:t>THE PEOPLE,</w:t>
            </w:r>
          </w:p>
          <w:p w14:paraId="03F0D19D" w14:textId="77777777" w:rsidR="00975DDB" w:rsidRPr="008D659D" w:rsidRDefault="00975DDB" w:rsidP="00975DDB">
            <w:pPr>
              <w:spacing w:after="120" w:line="240" w:lineRule="auto"/>
              <w:rPr>
                <w:rFonts w:ascii="Century Schoolbook" w:hAnsi="Century Schoolbook"/>
                <w:sz w:val="26"/>
                <w:szCs w:val="26"/>
              </w:rPr>
            </w:pPr>
            <w:r w:rsidRPr="008D659D">
              <w:rPr>
                <w:rFonts w:ascii="Century Schoolbook" w:hAnsi="Century Schoolbook"/>
                <w:sz w:val="26"/>
                <w:szCs w:val="26"/>
              </w:rPr>
              <w:tab/>
              <w:t>Plaintiff and Appellant,</w:t>
            </w:r>
          </w:p>
          <w:p w14:paraId="48A61574" w14:textId="77777777" w:rsidR="00975DDB" w:rsidRPr="008D659D" w:rsidRDefault="00975DDB" w:rsidP="00975DDB">
            <w:pPr>
              <w:spacing w:after="120" w:line="240" w:lineRule="auto"/>
              <w:rPr>
                <w:rFonts w:ascii="Century Schoolbook" w:hAnsi="Century Schoolbook"/>
                <w:sz w:val="26"/>
                <w:szCs w:val="26"/>
              </w:rPr>
            </w:pPr>
            <w:r w:rsidRPr="008D659D">
              <w:rPr>
                <w:rFonts w:ascii="Century Schoolbook" w:hAnsi="Century Schoolbook"/>
                <w:sz w:val="26"/>
                <w:szCs w:val="26"/>
              </w:rPr>
              <w:t>v.</w:t>
            </w:r>
          </w:p>
          <w:p w14:paraId="2691DD6E" w14:textId="77777777" w:rsidR="00975DDB" w:rsidRPr="008D659D" w:rsidRDefault="00975DDB" w:rsidP="00975DDB">
            <w:pPr>
              <w:spacing w:after="120" w:line="240" w:lineRule="auto"/>
              <w:rPr>
                <w:rFonts w:ascii="Century Schoolbook" w:hAnsi="Century Schoolbook"/>
                <w:sz w:val="26"/>
                <w:szCs w:val="26"/>
              </w:rPr>
            </w:pPr>
            <w:r w:rsidRPr="008D659D">
              <w:rPr>
                <w:rFonts w:ascii="Century Schoolbook" w:hAnsi="Century Schoolbook"/>
                <w:sz w:val="26"/>
                <w:szCs w:val="26"/>
              </w:rPr>
              <w:t>SINCERE POMAR,</w:t>
            </w:r>
          </w:p>
          <w:p w14:paraId="3A344D18" w14:textId="50EA729B" w:rsidR="0094261C" w:rsidRPr="008D659D" w:rsidRDefault="00975DDB" w:rsidP="00975DDB">
            <w:pPr>
              <w:spacing w:after="120" w:line="240" w:lineRule="auto"/>
              <w:rPr>
                <w:rFonts w:ascii="Century Schoolbook" w:hAnsi="Century Schoolbook"/>
                <w:sz w:val="26"/>
                <w:szCs w:val="26"/>
              </w:rPr>
            </w:pPr>
            <w:r w:rsidRPr="008D659D">
              <w:rPr>
                <w:rFonts w:ascii="Century Schoolbook" w:hAnsi="Century Schoolbook"/>
                <w:sz w:val="26"/>
                <w:szCs w:val="26"/>
              </w:rPr>
              <w:tab/>
              <w:t>Defendant and Respondent.</w:t>
            </w:r>
          </w:p>
        </w:tc>
        <w:tc>
          <w:tcPr>
            <w:tcW w:w="4788" w:type="dxa"/>
            <w:tcBorders>
              <w:left w:val="single" w:sz="4" w:space="0" w:color="auto"/>
            </w:tcBorders>
            <w:shd w:val="clear" w:color="auto" w:fill="auto"/>
          </w:tcPr>
          <w:p w14:paraId="314D2742" w14:textId="77777777" w:rsidR="00586B09" w:rsidRDefault="00586B09" w:rsidP="00C671FB">
            <w:pPr>
              <w:spacing w:line="240" w:lineRule="auto"/>
              <w:rPr>
                <w:rFonts w:ascii="Century Schoolbook" w:hAnsi="Century Schoolbook"/>
                <w:sz w:val="26"/>
                <w:szCs w:val="26"/>
              </w:rPr>
            </w:pPr>
          </w:p>
          <w:p w14:paraId="141DC005" w14:textId="1518E45C" w:rsidR="00B244D1" w:rsidRDefault="00B244D1" w:rsidP="00B244D1">
            <w:pPr>
              <w:spacing w:line="240" w:lineRule="auto"/>
              <w:rPr>
                <w:rFonts w:ascii="Century Schoolbook" w:hAnsi="Century Schoolbook"/>
                <w:sz w:val="26"/>
                <w:szCs w:val="26"/>
              </w:rPr>
            </w:pPr>
            <w:r>
              <w:rPr>
                <w:rFonts w:ascii="Century Schoolbook" w:hAnsi="Century Schoolbook"/>
                <w:sz w:val="26"/>
                <w:szCs w:val="26"/>
              </w:rPr>
              <w:t xml:space="preserve">      </w:t>
            </w:r>
            <w:r w:rsidR="00975DDB">
              <w:rPr>
                <w:rFonts w:ascii="Century Schoolbook" w:hAnsi="Century Schoolbook"/>
                <w:sz w:val="26"/>
                <w:szCs w:val="26"/>
              </w:rPr>
              <w:t>A167241</w:t>
            </w:r>
          </w:p>
          <w:p w14:paraId="1C6B73F6" w14:textId="77777777" w:rsidR="00975DDB" w:rsidRDefault="00975DDB" w:rsidP="00975DDB">
            <w:pPr>
              <w:keepNext/>
              <w:keepLines/>
              <w:spacing w:after="0" w:line="240" w:lineRule="auto"/>
              <w:rPr>
                <w:rFonts w:ascii="Century Schoolbook" w:hAnsi="Century Schoolbook"/>
                <w:sz w:val="26"/>
                <w:szCs w:val="26"/>
              </w:rPr>
            </w:pPr>
            <w:r>
              <w:rPr>
                <w:rFonts w:ascii="Century Schoolbook" w:hAnsi="Century Schoolbook"/>
                <w:sz w:val="26"/>
                <w:szCs w:val="26"/>
              </w:rPr>
              <w:t xml:space="preserve">      (City &amp; County of </w:t>
            </w:r>
            <w:r w:rsidRPr="008D659D">
              <w:rPr>
                <w:rFonts w:ascii="Century Schoolbook" w:hAnsi="Century Schoolbook"/>
                <w:sz w:val="26"/>
                <w:szCs w:val="26"/>
              </w:rPr>
              <w:t>San</w:t>
            </w:r>
          </w:p>
          <w:p w14:paraId="614C7177" w14:textId="77777777" w:rsidR="00975DDB" w:rsidRDefault="00975DDB" w:rsidP="00975DDB">
            <w:pPr>
              <w:keepNext/>
              <w:keepLines/>
              <w:spacing w:after="0" w:line="240" w:lineRule="auto"/>
              <w:rPr>
                <w:rFonts w:ascii="Century Schoolbook" w:hAnsi="Century Schoolbook"/>
                <w:sz w:val="26"/>
                <w:szCs w:val="26"/>
              </w:rPr>
            </w:pPr>
            <w:r>
              <w:rPr>
                <w:rFonts w:ascii="Century Schoolbook" w:hAnsi="Century Schoolbook"/>
                <w:sz w:val="26"/>
                <w:szCs w:val="26"/>
              </w:rPr>
              <w:t xml:space="preserve">      </w:t>
            </w:r>
            <w:r w:rsidRPr="008D659D">
              <w:rPr>
                <w:rFonts w:ascii="Century Schoolbook" w:hAnsi="Century Schoolbook"/>
                <w:sz w:val="26"/>
                <w:szCs w:val="26"/>
              </w:rPr>
              <w:t>Francisc</w:t>
            </w:r>
            <w:r>
              <w:rPr>
                <w:rFonts w:ascii="Century Schoolbook" w:hAnsi="Century Schoolbook"/>
                <w:sz w:val="26"/>
                <w:szCs w:val="26"/>
              </w:rPr>
              <w:t xml:space="preserve">o </w:t>
            </w:r>
            <w:r w:rsidRPr="008D659D">
              <w:rPr>
                <w:rFonts w:ascii="Century Schoolbook" w:hAnsi="Century Schoolbook"/>
                <w:sz w:val="26"/>
                <w:szCs w:val="26"/>
              </w:rPr>
              <w:t>Super. Ct. No.</w:t>
            </w:r>
          </w:p>
          <w:p w14:paraId="4CA9DEE9" w14:textId="77777777" w:rsidR="00975DDB" w:rsidRPr="008D659D" w:rsidRDefault="00975DDB" w:rsidP="00975DDB">
            <w:pPr>
              <w:keepNext/>
              <w:keepLines/>
              <w:spacing w:after="0" w:line="240" w:lineRule="auto"/>
              <w:rPr>
                <w:rFonts w:ascii="Century Schoolbook" w:hAnsi="Century Schoolbook"/>
                <w:sz w:val="26"/>
                <w:szCs w:val="26"/>
              </w:rPr>
            </w:pPr>
            <w:r>
              <w:rPr>
                <w:rFonts w:ascii="Century Schoolbook" w:hAnsi="Century Schoolbook"/>
                <w:sz w:val="26"/>
                <w:szCs w:val="26"/>
              </w:rPr>
              <w:t xml:space="preserve">      CT</w:t>
            </w:r>
            <w:r w:rsidRPr="008D659D">
              <w:rPr>
                <w:rFonts w:ascii="Century Schoolbook" w:hAnsi="Century Schoolbook"/>
                <w:sz w:val="26"/>
                <w:szCs w:val="26"/>
              </w:rPr>
              <w:t>21005460</w:t>
            </w:r>
            <w:r>
              <w:rPr>
                <w:rFonts w:ascii="Century Schoolbook" w:hAnsi="Century Schoolbook"/>
                <w:sz w:val="26"/>
                <w:szCs w:val="26"/>
              </w:rPr>
              <w:t>)</w:t>
            </w:r>
          </w:p>
          <w:p w14:paraId="037E675E" w14:textId="6D208867" w:rsidR="00586B09" w:rsidRPr="008D659D" w:rsidRDefault="00586B09" w:rsidP="000E2A51">
            <w:pPr>
              <w:keepNext/>
              <w:keepLines/>
              <w:spacing w:after="0" w:line="240" w:lineRule="auto"/>
              <w:rPr>
                <w:rFonts w:ascii="Century Schoolbook" w:hAnsi="Century Schoolbook"/>
                <w:sz w:val="26"/>
                <w:szCs w:val="26"/>
              </w:rPr>
            </w:pPr>
          </w:p>
        </w:tc>
      </w:tr>
      <w:tr w:rsidR="00FB5A47" w:rsidRPr="008D659D" w14:paraId="63E34861" w14:textId="77777777" w:rsidTr="00FB5A47">
        <w:trPr>
          <w:trHeight w:val="3347"/>
        </w:trPr>
        <w:tc>
          <w:tcPr>
            <w:tcW w:w="4788" w:type="dxa"/>
            <w:tcBorders>
              <w:top w:val="single" w:sz="4" w:space="0" w:color="auto"/>
              <w:bottom w:val="single" w:sz="4" w:space="0" w:color="auto"/>
              <w:right w:val="single" w:sz="4" w:space="0" w:color="auto"/>
            </w:tcBorders>
            <w:shd w:val="clear" w:color="auto" w:fill="auto"/>
          </w:tcPr>
          <w:p w14:paraId="54C96946" w14:textId="77777777" w:rsidR="00FB5A47" w:rsidRPr="008D659D" w:rsidRDefault="00FB5A47" w:rsidP="00C671FB">
            <w:pPr>
              <w:spacing w:after="120" w:line="240" w:lineRule="auto"/>
              <w:rPr>
                <w:rFonts w:ascii="Century Schoolbook" w:hAnsi="Century Schoolbook"/>
                <w:sz w:val="26"/>
                <w:szCs w:val="26"/>
              </w:rPr>
            </w:pPr>
          </w:p>
          <w:p w14:paraId="634B46BA" w14:textId="071ACDED" w:rsidR="00975DDB" w:rsidRPr="008D659D" w:rsidRDefault="00975DDB" w:rsidP="00975DDB">
            <w:pPr>
              <w:spacing w:after="120" w:line="240" w:lineRule="auto"/>
              <w:rPr>
                <w:rFonts w:ascii="Century Schoolbook" w:hAnsi="Century Schoolbook"/>
                <w:sz w:val="26"/>
                <w:szCs w:val="26"/>
              </w:rPr>
            </w:pPr>
            <w:r w:rsidRPr="008D659D">
              <w:rPr>
                <w:rFonts w:ascii="Century Schoolbook" w:hAnsi="Century Schoolbook"/>
                <w:sz w:val="26"/>
                <w:szCs w:val="26"/>
              </w:rPr>
              <w:t>THE PEOPLE,</w:t>
            </w:r>
          </w:p>
          <w:p w14:paraId="59E54485" w14:textId="77777777" w:rsidR="00975DDB" w:rsidRPr="008D659D" w:rsidRDefault="00975DDB" w:rsidP="00975DDB">
            <w:pPr>
              <w:spacing w:after="120" w:line="240" w:lineRule="auto"/>
              <w:rPr>
                <w:rFonts w:ascii="Century Schoolbook" w:hAnsi="Century Schoolbook"/>
                <w:sz w:val="26"/>
                <w:szCs w:val="26"/>
              </w:rPr>
            </w:pPr>
            <w:r w:rsidRPr="008D659D">
              <w:rPr>
                <w:rFonts w:ascii="Century Schoolbook" w:hAnsi="Century Schoolbook"/>
                <w:sz w:val="26"/>
                <w:szCs w:val="26"/>
              </w:rPr>
              <w:tab/>
              <w:t>Plaintiff and Appellant,</w:t>
            </w:r>
          </w:p>
          <w:p w14:paraId="4B827689" w14:textId="77777777" w:rsidR="00975DDB" w:rsidRPr="008D659D" w:rsidRDefault="00975DDB" w:rsidP="00975DDB">
            <w:pPr>
              <w:spacing w:after="120" w:line="240" w:lineRule="auto"/>
              <w:rPr>
                <w:rFonts w:ascii="Century Schoolbook" w:hAnsi="Century Schoolbook"/>
                <w:sz w:val="26"/>
                <w:szCs w:val="26"/>
              </w:rPr>
            </w:pPr>
            <w:r w:rsidRPr="008D659D">
              <w:rPr>
                <w:rFonts w:ascii="Century Schoolbook" w:hAnsi="Century Schoolbook"/>
                <w:sz w:val="26"/>
                <w:szCs w:val="26"/>
              </w:rPr>
              <w:t>v.</w:t>
            </w:r>
          </w:p>
          <w:p w14:paraId="670A45E7" w14:textId="1B42C92D" w:rsidR="00975DDB" w:rsidRPr="008D659D" w:rsidRDefault="00975DDB" w:rsidP="00975DDB">
            <w:pPr>
              <w:spacing w:after="120" w:line="240" w:lineRule="auto"/>
              <w:rPr>
                <w:rFonts w:ascii="Century Schoolbook" w:hAnsi="Century Schoolbook"/>
                <w:sz w:val="26"/>
                <w:szCs w:val="26"/>
              </w:rPr>
            </w:pPr>
            <w:r w:rsidRPr="008D659D">
              <w:rPr>
                <w:rFonts w:ascii="Century Schoolbook" w:hAnsi="Century Schoolbook"/>
                <w:sz w:val="26"/>
                <w:szCs w:val="26"/>
              </w:rPr>
              <w:t>STEVIE MITCHELL et al.,</w:t>
            </w:r>
          </w:p>
          <w:p w14:paraId="10288A7C" w14:textId="79313F54" w:rsidR="00975DDB" w:rsidRPr="008D659D" w:rsidRDefault="00975DDB" w:rsidP="00975DDB">
            <w:pPr>
              <w:spacing w:after="120" w:line="240" w:lineRule="auto"/>
              <w:rPr>
                <w:rFonts w:ascii="Century Schoolbook" w:hAnsi="Century Schoolbook"/>
                <w:sz w:val="26"/>
                <w:szCs w:val="26"/>
              </w:rPr>
            </w:pPr>
            <w:r w:rsidRPr="008D659D">
              <w:rPr>
                <w:rFonts w:ascii="Century Schoolbook" w:hAnsi="Century Schoolbook"/>
                <w:sz w:val="26"/>
                <w:szCs w:val="26"/>
              </w:rPr>
              <w:tab/>
              <w:t>Defendants and Respondents</w:t>
            </w:r>
            <w:r>
              <w:rPr>
                <w:rFonts w:ascii="Century Schoolbook" w:hAnsi="Century Schoolbook"/>
                <w:sz w:val="26"/>
                <w:szCs w:val="26"/>
              </w:rPr>
              <w:t>.</w:t>
            </w:r>
          </w:p>
          <w:p w14:paraId="2CB1CCAE" w14:textId="1D0BF635" w:rsidR="00FB5A47" w:rsidRPr="008D659D" w:rsidRDefault="00FB5A47" w:rsidP="00FB5A47">
            <w:pPr>
              <w:spacing w:line="240" w:lineRule="auto"/>
              <w:rPr>
                <w:rFonts w:ascii="Century Schoolbook" w:hAnsi="Century Schoolbook"/>
                <w:sz w:val="26"/>
                <w:szCs w:val="26"/>
              </w:rPr>
            </w:pPr>
          </w:p>
        </w:tc>
        <w:tc>
          <w:tcPr>
            <w:tcW w:w="4788" w:type="dxa"/>
            <w:tcBorders>
              <w:left w:val="single" w:sz="4" w:space="0" w:color="auto"/>
            </w:tcBorders>
            <w:shd w:val="clear" w:color="auto" w:fill="auto"/>
          </w:tcPr>
          <w:p w14:paraId="57920AAF" w14:textId="77777777" w:rsidR="00586B09" w:rsidRDefault="00586B09" w:rsidP="00C47C36">
            <w:pPr>
              <w:spacing w:line="240" w:lineRule="auto"/>
              <w:rPr>
                <w:rFonts w:ascii="Century Schoolbook" w:hAnsi="Century Schoolbook"/>
                <w:sz w:val="26"/>
                <w:szCs w:val="26"/>
              </w:rPr>
            </w:pPr>
          </w:p>
          <w:p w14:paraId="7DC225BA" w14:textId="1C2E43E3" w:rsidR="00B244D1" w:rsidRDefault="00B244D1" w:rsidP="00C47C36">
            <w:pPr>
              <w:keepNext/>
              <w:keepLines/>
              <w:spacing w:after="0" w:line="240" w:lineRule="auto"/>
              <w:rPr>
                <w:rFonts w:ascii="Century Schoolbook" w:hAnsi="Century Schoolbook"/>
                <w:sz w:val="26"/>
                <w:szCs w:val="26"/>
              </w:rPr>
            </w:pPr>
          </w:p>
          <w:p w14:paraId="3241E103" w14:textId="2BCFB9E3" w:rsidR="00B244D1" w:rsidRDefault="00B244D1" w:rsidP="00B244D1">
            <w:pPr>
              <w:spacing w:line="240" w:lineRule="auto"/>
              <w:rPr>
                <w:rFonts w:ascii="Century Schoolbook" w:hAnsi="Century Schoolbook"/>
                <w:sz w:val="26"/>
                <w:szCs w:val="26"/>
              </w:rPr>
            </w:pPr>
            <w:r>
              <w:rPr>
                <w:rFonts w:ascii="Century Schoolbook" w:hAnsi="Century Schoolbook"/>
                <w:sz w:val="26"/>
                <w:szCs w:val="26"/>
              </w:rPr>
              <w:t xml:space="preserve">      </w:t>
            </w:r>
            <w:r w:rsidR="00975DDB" w:rsidRPr="008D659D">
              <w:rPr>
                <w:rFonts w:ascii="Century Schoolbook" w:hAnsi="Century Schoolbook"/>
                <w:sz w:val="26"/>
                <w:szCs w:val="26"/>
              </w:rPr>
              <w:t>A167286</w:t>
            </w:r>
          </w:p>
          <w:p w14:paraId="2EFE2BF1" w14:textId="77777777" w:rsidR="00975DDB" w:rsidRDefault="00975DDB" w:rsidP="00975DDB">
            <w:pPr>
              <w:keepNext/>
              <w:keepLines/>
              <w:spacing w:after="0" w:line="240" w:lineRule="auto"/>
              <w:rPr>
                <w:rFonts w:ascii="Century Schoolbook" w:hAnsi="Century Schoolbook"/>
                <w:sz w:val="26"/>
                <w:szCs w:val="26"/>
              </w:rPr>
            </w:pPr>
            <w:r>
              <w:rPr>
                <w:rFonts w:ascii="Century Schoolbook" w:hAnsi="Century Schoolbook"/>
                <w:sz w:val="26"/>
                <w:szCs w:val="26"/>
              </w:rPr>
              <w:t xml:space="preserve">      </w:t>
            </w:r>
            <w:r w:rsidRPr="008D659D">
              <w:rPr>
                <w:rFonts w:ascii="Century Schoolbook" w:hAnsi="Century Schoolbook"/>
                <w:sz w:val="26"/>
                <w:szCs w:val="26"/>
              </w:rPr>
              <w:t>(</w:t>
            </w:r>
            <w:r>
              <w:rPr>
                <w:rFonts w:ascii="Century Schoolbook" w:hAnsi="Century Schoolbook"/>
                <w:sz w:val="26"/>
                <w:szCs w:val="26"/>
              </w:rPr>
              <w:t xml:space="preserve">City &amp; County of </w:t>
            </w:r>
            <w:r w:rsidRPr="008D659D">
              <w:rPr>
                <w:rFonts w:ascii="Century Schoolbook" w:hAnsi="Century Schoolbook"/>
                <w:sz w:val="26"/>
                <w:szCs w:val="26"/>
              </w:rPr>
              <w:t>San</w:t>
            </w:r>
          </w:p>
          <w:p w14:paraId="67E893D7" w14:textId="77777777" w:rsidR="00975DDB" w:rsidRDefault="00975DDB" w:rsidP="00975DDB">
            <w:pPr>
              <w:keepNext/>
              <w:keepLines/>
              <w:spacing w:after="0" w:line="240" w:lineRule="auto"/>
              <w:rPr>
                <w:rFonts w:ascii="Century Schoolbook" w:hAnsi="Century Schoolbook"/>
                <w:sz w:val="26"/>
                <w:szCs w:val="26"/>
              </w:rPr>
            </w:pPr>
            <w:r>
              <w:rPr>
                <w:rFonts w:ascii="Century Schoolbook" w:hAnsi="Century Schoolbook"/>
                <w:sz w:val="26"/>
                <w:szCs w:val="26"/>
              </w:rPr>
              <w:t xml:space="preserve">      </w:t>
            </w:r>
            <w:r w:rsidRPr="008D659D">
              <w:rPr>
                <w:rFonts w:ascii="Century Schoolbook" w:hAnsi="Century Schoolbook"/>
                <w:sz w:val="26"/>
                <w:szCs w:val="26"/>
              </w:rPr>
              <w:t>Francisc</w:t>
            </w:r>
            <w:r>
              <w:rPr>
                <w:rFonts w:ascii="Century Schoolbook" w:hAnsi="Century Schoolbook"/>
                <w:sz w:val="26"/>
                <w:szCs w:val="26"/>
              </w:rPr>
              <w:t xml:space="preserve">o </w:t>
            </w:r>
            <w:r w:rsidRPr="008D659D">
              <w:rPr>
                <w:rFonts w:ascii="Century Schoolbook" w:hAnsi="Century Schoolbook"/>
                <w:sz w:val="26"/>
                <w:szCs w:val="26"/>
              </w:rPr>
              <w:t>Super. Ct. Nos.</w:t>
            </w:r>
          </w:p>
          <w:p w14:paraId="607C9065" w14:textId="77777777" w:rsidR="00975DDB" w:rsidRDefault="00975DDB" w:rsidP="00975DDB">
            <w:pPr>
              <w:keepNext/>
              <w:keepLines/>
              <w:spacing w:after="0" w:line="240" w:lineRule="auto"/>
              <w:rPr>
                <w:rFonts w:ascii="Century Schoolbook" w:hAnsi="Century Schoolbook"/>
                <w:sz w:val="26"/>
                <w:szCs w:val="26"/>
              </w:rPr>
            </w:pPr>
            <w:r>
              <w:rPr>
                <w:rFonts w:ascii="Century Schoolbook" w:hAnsi="Century Schoolbook"/>
                <w:sz w:val="26"/>
                <w:szCs w:val="26"/>
              </w:rPr>
              <w:t xml:space="preserve">      CRI</w:t>
            </w:r>
            <w:r w:rsidRPr="008D659D">
              <w:rPr>
                <w:rFonts w:ascii="Century Schoolbook" w:hAnsi="Century Schoolbook"/>
                <w:sz w:val="26"/>
                <w:szCs w:val="26"/>
              </w:rPr>
              <w:t>21005511,</w:t>
            </w:r>
            <w:r>
              <w:rPr>
                <w:rFonts w:ascii="Century Schoolbook" w:hAnsi="Century Schoolbook"/>
                <w:sz w:val="26"/>
                <w:szCs w:val="26"/>
              </w:rPr>
              <w:t xml:space="preserve"> CRI</w:t>
            </w:r>
            <w:r w:rsidRPr="008D659D">
              <w:rPr>
                <w:rFonts w:ascii="Century Schoolbook" w:hAnsi="Century Schoolbook"/>
                <w:sz w:val="26"/>
                <w:szCs w:val="26"/>
              </w:rPr>
              <w:t>21005527)</w:t>
            </w:r>
          </w:p>
          <w:p w14:paraId="45658D1C" w14:textId="77777777" w:rsidR="00FB5A47" w:rsidRPr="008D659D" w:rsidRDefault="00FB5A47" w:rsidP="000E2A51">
            <w:pPr>
              <w:keepNext/>
              <w:keepLines/>
              <w:spacing w:after="0" w:line="240" w:lineRule="auto"/>
              <w:rPr>
                <w:rFonts w:ascii="Century Schoolbook" w:hAnsi="Century Schoolbook"/>
                <w:sz w:val="26"/>
                <w:szCs w:val="26"/>
              </w:rPr>
            </w:pPr>
          </w:p>
        </w:tc>
      </w:tr>
    </w:tbl>
    <w:p w14:paraId="152386CA" w14:textId="49A50354" w:rsidR="006944E4" w:rsidRPr="008D659D" w:rsidRDefault="00FB5A47" w:rsidP="00FB5A47">
      <w:pPr>
        <w:rPr>
          <w:rFonts w:ascii="Century Schoolbook" w:hAnsi="Century Schoolbook"/>
          <w:sz w:val="26"/>
          <w:szCs w:val="26"/>
        </w:rPr>
      </w:pPr>
      <w:r w:rsidRPr="008D659D">
        <w:rPr>
          <w:rFonts w:ascii="Century Schoolbook" w:hAnsi="Century Schoolbook"/>
          <w:sz w:val="26"/>
          <w:szCs w:val="26"/>
        </w:rPr>
        <w:tab/>
      </w:r>
    </w:p>
    <w:p w14:paraId="4689EAB0" w14:textId="4236694E" w:rsidR="0094261C" w:rsidRPr="008D659D" w:rsidRDefault="0040472B" w:rsidP="0094261C">
      <w:pPr>
        <w:pStyle w:val="BodyText"/>
        <w:widowControl/>
        <w:spacing w:line="360" w:lineRule="auto"/>
        <w:ind w:left="0"/>
        <w:rPr>
          <w:rFonts w:ascii="Century Schoolbook" w:hAnsi="Century Schoolbook"/>
        </w:rPr>
      </w:pPr>
      <w:r w:rsidRPr="008D659D">
        <w:rPr>
          <w:rFonts w:ascii="Century Schoolbook" w:hAnsi="Century Schoolbook"/>
        </w:rPr>
        <w:tab/>
      </w:r>
      <w:r w:rsidR="007E7717" w:rsidRPr="008D659D">
        <w:rPr>
          <w:rFonts w:ascii="Century Schoolbook" w:hAnsi="Century Schoolbook"/>
        </w:rPr>
        <w:t xml:space="preserve">Brooke Jenkins, an assistant district attorney (ADA) at the time, left the San Francisco District Attorney’s Office (Office) to join </w:t>
      </w:r>
      <w:r w:rsidR="00E44189" w:rsidRPr="008D659D">
        <w:rPr>
          <w:rFonts w:ascii="Century Schoolbook" w:hAnsi="Century Schoolbook"/>
        </w:rPr>
        <w:t>the</w:t>
      </w:r>
      <w:r w:rsidR="007E7717" w:rsidRPr="008D659D">
        <w:rPr>
          <w:rFonts w:ascii="Century Schoolbook" w:hAnsi="Century Schoolbook"/>
        </w:rPr>
        <w:t xml:space="preserve"> campaign to recall Chesa Boudin, </w:t>
      </w:r>
      <w:r w:rsidR="00AB56A4" w:rsidRPr="008D659D">
        <w:rPr>
          <w:rFonts w:ascii="Century Schoolbook" w:hAnsi="Century Schoolbook"/>
        </w:rPr>
        <w:t xml:space="preserve">the </w:t>
      </w:r>
      <w:r w:rsidR="00442E15" w:rsidRPr="008D659D">
        <w:rPr>
          <w:rFonts w:ascii="Century Schoolbook" w:hAnsi="Century Schoolbook"/>
        </w:rPr>
        <w:t xml:space="preserve">then </w:t>
      </w:r>
      <w:r w:rsidR="007E7717" w:rsidRPr="008D659D">
        <w:rPr>
          <w:rFonts w:ascii="Century Schoolbook" w:hAnsi="Century Schoolbook"/>
        </w:rPr>
        <w:t xml:space="preserve">San Francisco District Attorney (District Attorney).  Soon after leaving the Office, Jenkins spoke to </w:t>
      </w:r>
      <w:r w:rsidR="00394670" w:rsidRPr="008D659D">
        <w:rPr>
          <w:rFonts w:ascii="Century Schoolbook" w:hAnsi="Century Schoolbook"/>
        </w:rPr>
        <w:t>a reporter</w:t>
      </w:r>
      <w:r w:rsidR="007E7717" w:rsidRPr="008D659D">
        <w:rPr>
          <w:rFonts w:ascii="Century Schoolbook" w:hAnsi="Century Schoolbook"/>
        </w:rPr>
        <w:t xml:space="preserve"> about </w:t>
      </w:r>
      <w:r w:rsidR="00442E15" w:rsidRPr="008D659D">
        <w:rPr>
          <w:rFonts w:ascii="Century Schoolbook" w:hAnsi="Century Schoolbook"/>
        </w:rPr>
        <w:t>a</w:t>
      </w:r>
      <w:r w:rsidR="007E7717" w:rsidRPr="008D659D">
        <w:rPr>
          <w:rFonts w:ascii="Century Schoolbook" w:hAnsi="Century Schoolbook"/>
        </w:rPr>
        <w:t xml:space="preserve"> homicide case </w:t>
      </w:r>
      <w:r w:rsidR="001800B2" w:rsidRPr="008D659D">
        <w:rPr>
          <w:rFonts w:ascii="Century Schoolbook" w:hAnsi="Century Schoolbook"/>
        </w:rPr>
        <w:t xml:space="preserve">being </w:t>
      </w:r>
      <w:r w:rsidR="007E7717" w:rsidRPr="008D659D">
        <w:rPr>
          <w:rFonts w:ascii="Century Schoolbook" w:hAnsi="Century Schoolbook"/>
        </w:rPr>
        <w:t xml:space="preserve">prosecuted by the Office in which the victim was her husband’s cousin.  In the </w:t>
      </w:r>
      <w:r w:rsidR="003326B0">
        <w:rPr>
          <w:rFonts w:ascii="Century Schoolbook" w:hAnsi="Century Schoolbook"/>
        </w:rPr>
        <w:t>resulting</w:t>
      </w:r>
      <w:r w:rsidR="003326B0" w:rsidRPr="008D659D">
        <w:rPr>
          <w:rFonts w:ascii="Century Schoolbook" w:hAnsi="Century Schoolbook"/>
        </w:rPr>
        <w:t xml:space="preserve"> </w:t>
      </w:r>
      <w:r w:rsidR="007E7717" w:rsidRPr="008D659D">
        <w:rPr>
          <w:rFonts w:ascii="Century Schoolbook" w:hAnsi="Century Schoolbook"/>
        </w:rPr>
        <w:t xml:space="preserve">newspaper article, Jenkins criticized the </w:t>
      </w:r>
      <w:r w:rsidR="007E7717" w:rsidRPr="008D659D">
        <w:rPr>
          <w:rFonts w:ascii="Century Schoolbook" w:hAnsi="Century Schoolbook"/>
        </w:rPr>
        <w:lastRenderedPageBreak/>
        <w:t xml:space="preserve">Office for its </w:t>
      </w:r>
      <w:r w:rsidR="00442E15" w:rsidRPr="008D659D">
        <w:rPr>
          <w:rFonts w:ascii="Century Schoolbook" w:hAnsi="Century Schoolbook"/>
        </w:rPr>
        <w:t>la</w:t>
      </w:r>
      <w:r w:rsidR="001800B2" w:rsidRPr="008D659D">
        <w:rPr>
          <w:rFonts w:ascii="Century Schoolbook" w:hAnsi="Century Schoolbook"/>
        </w:rPr>
        <w:t>x</w:t>
      </w:r>
      <w:r w:rsidR="00442E15" w:rsidRPr="008D659D">
        <w:rPr>
          <w:rFonts w:ascii="Century Schoolbook" w:hAnsi="Century Schoolbook"/>
        </w:rPr>
        <w:t xml:space="preserve"> approach toward prosecuting</w:t>
      </w:r>
      <w:r w:rsidR="00E44189" w:rsidRPr="008D659D">
        <w:rPr>
          <w:rFonts w:ascii="Century Schoolbook" w:hAnsi="Century Schoolbook"/>
        </w:rPr>
        <w:t xml:space="preserve"> the two alleged killers of her husband’s cousin, defendants and respondents Stevie Mitchell and Sincere Pomar.  </w:t>
      </w:r>
      <w:r w:rsidR="00827E63" w:rsidRPr="008D659D">
        <w:rPr>
          <w:rFonts w:ascii="Century Schoolbook" w:hAnsi="Century Schoolbook"/>
        </w:rPr>
        <w:t>Specifically</w:t>
      </w:r>
      <w:r w:rsidR="00442E15" w:rsidRPr="008D659D">
        <w:rPr>
          <w:rFonts w:ascii="Century Schoolbook" w:hAnsi="Century Schoolbook"/>
        </w:rPr>
        <w:t xml:space="preserve">, </w:t>
      </w:r>
      <w:r w:rsidR="00E44189" w:rsidRPr="008D659D">
        <w:rPr>
          <w:rFonts w:ascii="Century Schoolbook" w:hAnsi="Century Schoolbook"/>
        </w:rPr>
        <w:t xml:space="preserve">Jenkins </w:t>
      </w:r>
      <w:r w:rsidR="00442E15" w:rsidRPr="008D659D">
        <w:rPr>
          <w:rFonts w:ascii="Century Schoolbook" w:hAnsi="Century Schoolbook"/>
        </w:rPr>
        <w:t>faulted the Office for dropping felony gang c</w:t>
      </w:r>
      <w:r w:rsidR="00827E63" w:rsidRPr="008D659D">
        <w:rPr>
          <w:rFonts w:ascii="Century Schoolbook" w:hAnsi="Century Schoolbook"/>
        </w:rPr>
        <w:t>harges</w:t>
      </w:r>
      <w:r w:rsidR="00442E15" w:rsidRPr="008D659D">
        <w:rPr>
          <w:rFonts w:ascii="Century Schoolbook" w:hAnsi="Century Schoolbook"/>
        </w:rPr>
        <w:t xml:space="preserve"> against Mitchell and Pomar and for failing to detain Pomar for </w:t>
      </w:r>
      <w:r w:rsidR="00AB56A4" w:rsidRPr="008D659D">
        <w:rPr>
          <w:rFonts w:ascii="Century Schoolbook" w:hAnsi="Century Schoolbook"/>
        </w:rPr>
        <w:t>the</w:t>
      </w:r>
      <w:r w:rsidR="00442E15" w:rsidRPr="008D659D">
        <w:rPr>
          <w:rFonts w:ascii="Century Schoolbook" w:hAnsi="Century Schoolbook"/>
        </w:rPr>
        <w:t xml:space="preserve"> murder</w:t>
      </w:r>
      <w:r w:rsidR="00AB56A4" w:rsidRPr="008D659D">
        <w:rPr>
          <w:rFonts w:ascii="Century Schoolbook" w:hAnsi="Century Schoolbook"/>
        </w:rPr>
        <w:t xml:space="preserve"> of her husband’s cousin</w:t>
      </w:r>
      <w:r w:rsidR="00442E15" w:rsidRPr="008D659D">
        <w:rPr>
          <w:rFonts w:ascii="Century Schoolbook" w:hAnsi="Century Schoolbook"/>
        </w:rPr>
        <w:t>—which</w:t>
      </w:r>
      <w:r w:rsidR="00313C7A" w:rsidRPr="008D659D">
        <w:rPr>
          <w:rFonts w:ascii="Century Schoolbook" w:hAnsi="Century Schoolbook"/>
        </w:rPr>
        <w:t xml:space="preserve"> she claimed</w:t>
      </w:r>
      <w:r w:rsidR="00442E15" w:rsidRPr="008D659D">
        <w:rPr>
          <w:rFonts w:ascii="Century Schoolbook" w:hAnsi="Century Schoolbook"/>
        </w:rPr>
        <w:t xml:space="preserve"> allowed </w:t>
      </w:r>
      <w:r w:rsidR="00313C7A" w:rsidRPr="008D659D">
        <w:rPr>
          <w:rFonts w:ascii="Century Schoolbook" w:hAnsi="Century Schoolbook"/>
        </w:rPr>
        <w:t>Pomar</w:t>
      </w:r>
      <w:r w:rsidR="00442E15" w:rsidRPr="008D659D">
        <w:rPr>
          <w:rFonts w:ascii="Century Schoolbook" w:hAnsi="Century Schoolbook"/>
        </w:rPr>
        <w:t xml:space="preserve"> to commit additional crimes, including attempted murder, soon after his release</w:t>
      </w:r>
      <w:r w:rsidR="007E7717" w:rsidRPr="008D659D">
        <w:rPr>
          <w:rFonts w:ascii="Century Schoolbook" w:hAnsi="Century Schoolbook"/>
        </w:rPr>
        <w:t>.  After Boudin was recalled, Jenkins became the District Attorney</w:t>
      </w:r>
      <w:r w:rsidR="005132ED" w:rsidRPr="008D659D">
        <w:rPr>
          <w:rFonts w:ascii="Century Schoolbook" w:hAnsi="Century Schoolbook"/>
        </w:rPr>
        <w:t xml:space="preserve">.  </w:t>
      </w:r>
      <w:r w:rsidR="00E44189" w:rsidRPr="008D659D">
        <w:rPr>
          <w:rFonts w:ascii="Century Schoolbook" w:hAnsi="Century Schoolbook"/>
        </w:rPr>
        <w:t xml:space="preserve">The Office instituted an “ethical wall” to prevent Jenkins from influencing </w:t>
      </w:r>
      <w:r w:rsidR="00442E15" w:rsidRPr="008D659D">
        <w:rPr>
          <w:rFonts w:ascii="Century Schoolbook" w:hAnsi="Century Schoolbook"/>
        </w:rPr>
        <w:t>its</w:t>
      </w:r>
      <w:r w:rsidR="00E44189" w:rsidRPr="008D659D">
        <w:rPr>
          <w:rFonts w:ascii="Century Schoolbook" w:hAnsi="Century Schoolbook"/>
        </w:rPr>
        <w:t xml:space="preserve"> prosecution of </w:t>
      </w:r>
      <w:r w:rsidR="001800B2" w:rsidRPr="008D659D">
        <w:rPr>
          <w:rFonts w:ascii="Century Schoolbook" w:hAnsi="Century Schoolbook"/>
        </w:rPr>
        <w:t xml:space="preserve">Mitchell and Pomar for </w:t>
      </w:r>
      <w:r w:rsidR="00E44189" w:rsidRPr="008D659D">
        <w:rPr>
          <w:rFonts w:ascii="Century Schoolbook" w:hAnsi="Century Schoolbook"/>
        </w:rPr>
        <w:t xml:space="preserve">the murder </w:t>
      </w:r>
      <w:r w:rsidR="00442E15" w:rsidRPr="008D659D">
        <w:rPr>
          <w:rFonts w:ascii="Century Schoolbook" w:hAnsi="Century Schoolbook"/>
        </w:rPr>
        <w:t>of</w:t>
      </w:r>
      <w:r w:rsidR="00E44189" w:rsidRPr="008D659D">
        <w:rPr>
          <w:rFonts w:ascii="Century Schoolbook" w:hAnsi="Century Schoolbook"/>
        </w:rPr>
        <w:t xml:space="preserve"> her husband’s cousin.  Nonetheless, Mitchell and Pomar moved to </w:t>
      </w:r>
      <w:r w:rsidR="00442E15" w:rsidRPr="008D659D">
        <w:rPr>
          <w:rFonts w:ascii="Century Schoolbook" w:hAnsi="Century Schoolbook"/>
        </w:rPr>
        <w:t>disqualify</w:t>
      </w:r>
      <w:r w:rsidR="00E44189" w:rsidRPr="008D659D">
        <w:rPr>
          <w:rFonts w:ascii="Century Schoolbook" w:hAnsi="Century Schoolbook"/>
        </w:rPr>
        <w:t xml:space="preserve"> the </w:t>
      </w:r>
      <w:r w:rsidR="00442E15" w:rsidRPr="008D659D">
        <w:rPr>
          <w:rFonts w:ascii="Century Schoolbook" w:hAnsi="Century Schoolbook"/>
        </w:rPr>
        <w:t xml:space="preserve">entire </w:t>
      </w:r>
      <w:r w:rsidR="00E44189" w:rsidRPr="008D659D">
        <w:rPr>
          <w:rFonts w:ascii="Century Schoolbook" w:hAnsi="Century Schoolbook"/>
        </w:rPr>
        <w:t>Office from that case pursuant to Penal Code section 1424.</w:t>
      </w:r>
      <w:r w:rsidR="00E44189" w:rsidRPr="008D659D">
        <w:rPr>
          <w:rStyle w:val="FootnoteReference"/>
          <w:rFonts w:ascii="Century Schoolbook" w:hAnsi="Century Schoolbook"/>
        </w:rPr>
        <w:footnoteReference w:id="1"/>
      </w:r>
      <w:r w:rsidR="00E44189" w:rsidRPr="008D659D">
        <w:rPr>
          <w:rFonts w:ascii="Century Schoolbook" w:hAnsi="Century Schoolbook"/>
        </w:rPr>
        <w:t xml:space="preserve">  Pomar also moved to </w:t>
      </w:r>
      <w:r w:rsidR="00442E15" w:rsidRPr="008D659D">
        <w:rPr>
          <w:rFonts w:ascii="Century Schoolbook" w:hAnsi="Century Schoolbook"/>
        </w:rPr>
        <w:t>disqualify</w:t>
      </w:r>
      <w:r w:rsidR="00E44189" w:rsidRPr="008D659D">
        <w:rPr>
          <w:rFonts w:ascii="Century Schoolbook" w:hAnsi="Century Schoolbook"/>
        </w:rPr>
        <w:t xml:space="preserve"> the </w:t>
      </w:r>
      <w:r w:rsidR="00442E15" w:rsidRPr="008D659D">
        <w:rPr>
          <w:rFonts w:ascii="Century Schoolbook" w:hAnsi="Century Schoolbook"/>
        </w:rPr>
        <w:t xml:space="preserve">entire </w:t>
      </w:r>
      <w:r w:rsidR="00E44189" w:rsidRPr="008D659D">
        <w:rPr>
          <w:rFonts w:ascii="Century Schoolbook" w:hAnsi="Century Schoolbook"/>
        </w:rPr>
        <w:t xml:space="preserve">Office from his </w:t>
      </w:r>
      <w:r w:rsidR="008A40B6" w:rsidRPr="008D659D">
        <w:rPr>
          <w:rFonts w:ascii="Century Schoolbook" w:hAnsi="Century Schoolbook"/>
        </w:rPr>
        <w:t xml:space="preserve">separate </w:t>
      </w:r>
      <w:r w:rsidR="00E44189" w:rsidRPr="008D659D">
        <w:rPr>
          <w:rFonts w:ascii="Century Schoolbook" w:hAnsi="Century Schoolbook"/>
        </w:rPr>
        <w:t xml:space="preserve">prosecution for the </w:t>
      </w:r>
      <w:r w:rsidR="00394670" w:rsidRPr="008D659D">
        <w:rPr>
          <w:rFonts w:ascii="Century Schoolbook" w:hAnsi="Century Schoolbook"/>
        </w:rPr>
        <w:t>additional</w:t>
      </w:r>
      <w:r w:rsidR="0076075B" w:rsidRPr="008D659D">
        <w:rPr>
          <w:rFonts w:ascii="Century Schoolbook" w:hAnsi="Century Schoolbook"/>
        </w:rPr>
        <w:t xml:space="preserve"> </w:t>
      </w:r>
      <w:r w:rsidR="00E44189" w:rsidRPr="008D659D">
        <w:rPr>
          <w:rFonts w:ascii="Century Schoolbook" w:hAnsi="Century Schoolbook"/>
        </w:rPr>
        <w:t xml:space="preserve">crimes </w:t>
      </w:r>
      <w:r w:rsidR="00442E15" w:rsidRPr="008D659D">
        <w:rPr>
          <w:rFonts w:ascii="Century Schoolbook" w:hAnsi="Century Schoolbook"/>
        </w:rPr>
        <w:t>mention</w:t>
      </w:r>
      <w:r w:rsidR="0076075B" w:rsidRPr="008D659D">
        <w:rPr>
          <w:rFonts w:ascii="Century Schoolbook" w:hAnsi="Century Schoolbook"/>
        </w:rPr>
        <w:t>ed by Jenkins in the newspaper article.  The trial courts in both cases granted the</w:t>
      </w:r>
      <w:r w:rsidR="000D4F0D" w:rsidRPr="008D659D">
        <w:rPr>
          <w:rFonts w:ascii="Century Schoolbook" w:hAnsi="Century Schoolbook"/>
        </w:rPr>
        <w:t xml:space="preserve"> recusal</w:t>
      </w:r>
      <w:r w:rsidR="0076075B" w:rsidRPr="008D659D">
        <w:rPr>
          <w:rFonts w:ascii="Century Schoolbook" w:hAnsi="Century Schoolbook"/>
        </w:rPr>
        <w:t xml:space="preserve"> motions and disqualified the </w:t>
      </w:r>
      <w:r w:rsidR="00442E15" w:rsidRPr="008D659D">
        <w:rPr>
          <w:rFonts w:ascii="Century Schoolbook" w:hAnsi="Century Schoolbook"/>
        </w:rPr>
        <w:t xml:space="preserve">entire </w:t>
      </w:r>
      <w:r w:rsidR="0076075B" w:rsidRPr="008D659D">
        <w:rPr>
          <w:rFonts w:ascii="Century Schoolbook" w:hAnsi="Century Schoolbook"/>
        </w:rPr>
        <w:t>Office</w:t>
      </w:r>
      <w:r w:rsidR="000D4F0D" w:rsidRPr="008D659D">
        <w:rPr>
          <w:rFonts w:ascii="Century Schoolbook" w:hAnsi="Century Schoolbook"/>
        </w:rPr>
        <w:t xml:space="preserve"> from prosecuting the</w:t>
      </w:r>
      <w:r w:rsidR="00442E15" w:rsidRPr="008D659D">
        <w:rPr>
          <w:rFonts w:ascii="Century Schoolbook" w:hAnsi="Century Schoolbook"/>
        </w:rPr>
        <w:t xml:space="preserve"> cases</w:t>
      </w:r>
      <w:r w:rsidR="0076075B" w:rsidRPr="008D659D">
        <w:rPr>
          <w:rFonts w:ascii="Century Schoolbook" w:hAnsi="Century Schoolbook"/>
        </w:rPr>
        <w:t>.  Plaintiff and appellant the People of the State of California (People) appeal from the recusal orders, contending both courts abused their discretion.  We disagree and affirm.</w:t>
      </w:r>
    </w:p>
    <w:p w14:paraId="74464D82" w14:textId="56BDBA26" w:rsidR="009153C3" w:rsidRPr="008D659D" w:rsidRDefault="0094261C" w:rsidP="0094261C">
      <w:pPr>
        <w:pStyle w:val="BodyText"/>
        <w:widowControl/>
        <w:spacing w:line="360" w:lineRule="auto"/>
        <w:ind w:left="0"/>
        <w:jc w:val="center"/>
        <w:rPr>
          <w:rFonts w:ascii="Century Schoolbook" w:hAnsi="Century Schoolbook"/>
          <w:b/>
          <w:bCs/>
        </w:rPr>
      </w:pPr>
      <w:r w:rsidRPr="008D659D">
        <w:rPr>
          <w:rFonts w:ascii="Century Schoolbook" w:hAnsi="Century Schoolbook"/>
          <w:b/>
          <w:bCs/>
        </w:rPr>
        <w:t>BACKGROUND</w:t>
      </w:r>
    </w:p>
    <w:p w14:paraId="044040F0" w14:textId="20BC1868" w:rsidR="003122B9" w:rsidRPr="008D659D" w:rsidRDefault="0094261C" w:rsidP="0094261C">
      <w:pPr>
        <w:pStyle w:val="BodyText"/>
        <w:widowControl/>
        <w:spacing w:line="360" w:lineRule="auto"/>
        <w:ind w:left="0"/>
        <w:jc w:val="center"/>
        <w:rPr>
          <w:rFonts w:ascii="Century Schoolbook" w:hAnsi="Century Schoolbook"/>
        </w:rPr>
      </w:pPr>
      <w:bookmarkStart w:id="0" w:name="_bookmark60"/>
      <w:bookmarkStart w:id="1" w:name="IV._CONCLUSION"/>
      <w:bookmarkStart w:id="2" w:name="_bookmark61"/>
      <w:bookmarkEnd w:id="0"/>
      <w:bookmarkEnd w:id="1"/>
      <w:bookmarkEnd w:id="2"/>
      <w:r w:rsidRPr="008D659D">
        <w:rPr>
          <w:rFonts w:ascii="Century Schoolbook" w:hAnsi="Century Schoolbook"/>
          <w:b/>
          <w:bCs/>
        </w:rPr>
        <w:t>A.</w:t>
      </w:r>
    </w:p>
    <w:p w14:paraId="2043D688" w14:textId="13C15B39" w:rsidR="0094261C" w:rsidRPr="008D659D" w:rsidRDefault="00D60CAC" w:rsidP="00D60CAC">
      <w:pPr>
        <w:pStyle w:val="BodyText"/>
        <w:widowControl/>
        <w:spacing w:line="360" w:lineRule="auto"/>
        <w:ind w:left="0" w:firstLine="720"/>
        <w:rPr>
          <w:rFonts w:ascii="Century Schoolbook" w:hAnsi="Century Schoolbook"/>
        </w:rPr>
      </w:pPr>
      <w:r w:rsidRPr="008D659D">
        <w:rPr>
          <w:rFonts w:ascii="Century Schoolbook" w:hAnsi="Century Schoolbook"/>
        </w:rPr>
        <w:t>At approximately 11 p.m. on July 5, 2020, Jerome Mallory</w:t>
      </w:r>
      <w:r w:rsidR="00A073A0" w:rsidRPr="008D659D">
        <w:rPr>
          <w:rFonts w:ascii="Century Schoolbook" w:hAnsi="Century Schoolbook"/>
        </w:rPr>
        <w:t>, Jr. (Mallory)</w:t>
      </w:r>
      <w:r w:rsidRPr="008D659D">
        <w:rPr>
          <w:rFonts w:ascii="Century Schoolbook" w:hAnsi="Century Schoolbook"/>
        </w:rPr>
        <w:t xml:space="preserve"> was killed</w:t>
      </w:r>
      <w:r w:rsidR="00AB18E6" w:rsidRPr="008D659D">
        <w:rPr>
          <w:rFonts w:ascii="Century Schoolbook" w:hAnsi="Century Schoolbook"/>
        </w:rPr>
        <w:t xml:space="preserve"> in a drive-by shooting</w:t>
      </w:r>
      <w:r w:rsidRPr="008D659D">
        <w:rPr>
          <w:rFonts w:ascii="Century Schoolbook" w:hAnsi="Century Schoolbook"/>
        </w:rPr>
        <w:t xml:space="preserve">. </w:t>
      </w:r>
      <w:r w:rsidR="00310260">
        <w:rPr>
          <w:rFonts w:ascii="Century Schoolbook" w:hAnsi="Century Schoolbook"/>
        </w:rPr>
        <w:t xml:space="preserve"> </w:t>
      </w:r>
      <w:r w:rsidR="002C374C" w:rsidRPr="008D659D">
        <w:rPr>
          <w:rFonts w:ascii="Century Schoolbook" w:hAnsi="Century Schoolbook"/>
        </w:rPr>
        <w:t xml:space="preserve">On </w:t>
      </w:r>
      <w:r w:rsidR="00075403" w:rsidRPr="008D659D">
        <w:rPr>
          <w:rFonts w:ascii="Century Schoolbook" w:hAnsi="Century Schoolbook"/>
        </w:rPr>
        <w:t xml:space="preserve">the morning of </w:t>
      </w:r>
      <w:r w:rsidR="002C374C" w:rsidRPr="008D659D">
        <w:rPr>
          <w:rFonts w:ascii="Century Schoolbook" w:hAnsi="Century Schoolbook"/>
        </w:rPr>
        <w:t>July 6, 2020, Jenkins, a</w:t>
      </w:r>
      <w:r w:rsidR="00370122" w:rsidRPr="008D659D">
        <w:rPr>
          <w:rFonts w:ascii="Century Schoolbook" w:hAnsi="Century Schoolbook"/>
        </w:rPr>
        <w:t>n</w:t>
      </w:r>
      <w:r w:rsidR="002C374C" w:rsidRPr="008D659D">
        <w:rPr>
          <w:rFonts w:ascii="Century Schoolbook" w:hAnsi="Century Schoolbook"/>
        </w:rPr>
        <w:t xml:space="preserve"> </w:t>
      </w:r>
      <w:r w:rsidR="00370122" w:rsidRPr="008D659D">
        <w:rPr>
          <w:rFonts w:ascii="Century Schoolbook" w:hAnsi="Century Schoolbook"/>
        </w:rPr>
        <w:t xml:space="preserve">ADA </w:t>
      </w:r>
      <w:r w:rsidR="002C374C" w:rsidRPr="008D659D">
        <w:rPr>
          <w:rFonts w:ascii="Century Schoolbook" w:hAnsi="Century Schoolbook"/>
        </w:rPr>
        <w:t xml:space="preserve">in the </w:t>
      </w:r>
      <w:r w:rsidR="005E5CBF" w:rsidRPr="008D659D">
        <w:rPr>
          <w:rFonts w:ascii="Century Schoolbook" w:hAnsi="Century Schoolbook"/>
        </w:rPr>
        <w:t xml:space="preserve">Office’s </w:t>
      </w:r>
      <w:r w:rsidR="002C374C" w:rsidRPr="008D659D">
        <w:rPr>
          <w:rFonts w:ascii="Century Schoolbook" w:hAnsi="Century Schoolbook"/>
        </w:rPr>
        <w:t>homicide unit at th</w:t>
      </w:r>
      <w:r w:rsidR="0076075B" w:rsidRPr="008D659D">
        <w:rPr>
          <w:rFonts w:ascii="Century Schoolbook" w:hAnsi="Century Schoolbook"/>
        </w:rPr>
        <w:t>e</w:t>
      </w:r>
      <w:r w:rsidR="002C374C" w:rsidRPr="008D659D">
        <w:rPr>
          <w:rFonts w:ascii="Century Schoolbook" w:hAnsi="Century Schoolbook"/>
        </w:rPr>
        <w:t xml:space="preserve"> time, sent an email to David Merin, the Assistant Chief District Attorney who managed the </w:t>
      </w:r>
      <w:r w:rsidR="005E5CBF" w:rsidRPr="008D659D">
        <w:rPr>
          <w:rFonts w:ascii="Century Schoolbook" w:hAnsi="Century Schoolbook"/>
        </w:rPr>
        <w:t xml:space="preserve">Office’s </w:t>
      </w:r>
      <w:r w:rsidR="002C374C" w:rsidRPr="008D659D">
        <w:rPr>
          <w:rFonts w:ascii="Century Schoolbook" w:hAnsi="Century Schoolbook"/>
        </w:rPr>
        <w:t>homicide unit</w:t>
      </w:r>
      <w:r w:rsidR="00F352B1" w:rsidRPr="008D659D">
        <w:rPr>
          <w:rFonts w:ascii="Century Schoolbook" w:hAnsi="Century Schoolbook"/>
        </w:rPr>
        <w:t xml:space="preserve"> at th</w:t>
      </w:r>
      <w:r w:rsidR="00827E63" w:rsidRPr="008D659D">
        <w:rPr>
          <w:rFonts w:ascii="Century Schoolbook" w:hAnsi="Century Schoolbook"/>
        </w:rPr>
        <w:t>e</w:t>
      </w:r>
      <w:r w:rsidR="00F352B1" w:rsidRPr="008D659D">
        <w:rPr>
          <w:rFonts w:ascii="Century Schoolbook" w:hAnsi="Century Schoolbook"/>
        </w:rPr>
        <w:t xml:space="preserve"> time</w:t>
      </w:r>
      <w:r w:rsidR="002C374C" w:rsidRPr="008D659D">
        <w:rPr>
          <w:rFonts w:ascii="Century Schoolbook" w:hAnsi="Century Schoolbook"/>
        </w:rPr>
        <w:t xml:space="preserve">.  In the email, Jenkins informed Merin that Mallory, her husband’s cousin, “was shot and killed in Hunter’s </w:t>
      </w:r>
      <w:r w:rsidR="005A73FA" w:rsidRPr="008D659D">
        <w:rPr>
          <w:rFonts w:ascii="Century Schoolbook" w:hAnsi="Century Schoolbook"/>
        </w:rPr>
        <w:t>P</w:t>
      </w:r>
      <w:r w:rsidR="002C374C" w:rsidRPr="008D659D">
        <w:rPr>
          <w:rFonts w:ascii="Century Schoolbook" w:hAnsi="Century Schoolbook"/>
        </w:rPr>
        <w:t xml:space="preserve">oint </w:t>
      </w:r>
      <w:r w:rsidR="002C374C" w:rsidRPr="008D659D">
        <w:rPr>
          <w:rFonts w:ascii="Century Schoolbook" w:hAnsi="Century Schoolbook"/>
        </w:rPr>
        <w:lastRenderedPageBreak/>
        <w:t xml:space="preserve">yesterday/last night.”  Jenkins explained that she knew Mallory “from being at many family gatherings together over the years.”  She then explained that she </w:t>
      </w:r>
      <w:r w:rsidR="005E5CBF" w:rsidRPr="008D659D">
        <w:rPr>
          <w:rFonts w:ascii="Century Schoolbook" w:hAnsi="Century Schoolbook"/>
        </w:rPr>
        <w:t>sent the email</w:t>
      </w:r>
      <w:r w:rsidR="002C374C" w:rsidRPr="008D659D">
        <w:rPr>
          <w:rFonts w:ascii="Century Schoolbook" w:hAnsi="Century Schoolbook"/>
        </w:rPr>
        <w:t xml:space="preserve"> so she could “be walled off </w:t>
      </w:r>
      <w:r w:rsidR="00E56EAC" w:rsidRPr="008D659D">
        <w:rPr>
          <w:rFonts w:ascii="Century Schoolbook" w:hAnsi="Century Schoolbook"/>
        </w:rPr>
        <w:t xml:space="preserve">[from] </w:t>
      </w:r>
      <w:r w:rsidR="002C374C" w:rsidRPr="008D659D">
        <w:rPr>
          <w:rFonts w:ascii="Century Schoolbook" w:hAnsi="Century Schoolbook"/>
        </w:rPr>
        <w:t xml:space="preserve">any investigation” and </w:t>
      </w:r>
      <w:r w:rsidR="0076075B" w:rsidRPr="008D659D">
        <w:rPr>
          <w:rFonts w:ascii="Century Schoolbook" w:hAnsi="Century Schoolbook"/>
        </w:rPr>
        <w:t xml:space="preserve">so she </w:t>
      </w:r>
      <w:r w:rsidR="00F352B1" w:rsidRPr="008D659D">
        <w:rPr>
          <w:rFonts w:ascii="Century Schoolbook" w:hAnsi="Century Schoolbook"/>
        </w:rPr>
        <w:t xml:space="preserve">would </w:t>
      </w:r>
      <w:r w:rsidR="002C374C" w:rsidRPr="008D659D">
        <w:rPr>
          <w:rFonts w:ascii="Century Schoolbook" w:hAnsi="Century Schoolbook"/>
        </w:rPr>
        <w:t xml:space="preserve">not be assigned to </w:t>
      </w:r>
      <w:r w:rsidR="00921E47" w:rsidRPr="008D659D">
        <w:rPr>
          <w:rFonts w:ascii="Century Schoolbook" w:hAnsi="Century Schoolbook"/>
        </w:rPr>
        <w:t>any</w:t>
      </w:r>
      <w:r w:rsidR="00080FCC" w:rsidRPr="008D659D">
        <w:rPr>
          <w:rFonts w:ascii="Century Schoolbook" w:hAnsi="Century Schoolbook"/>
        </w:rPr>
        <w:t xml:space="preserve"> </w:t>
      </w:r>
      <w:r w:rsidR="002C374C" w:rsidRPr="008D659D">
        <w:rPr>
          <w:rFonts w:ascii="Century Schoolbook" w:hAnsi="Century Schoolbook"/>
        </w:rPr>
        <w:t>case</w:t>
      </w:r>
      <w:r w:rsidR="00921E47" w:rsidRPr="008D659D">
        <w:rPr>
          <w:rFonts w:ascii="Century Schoolbook" w:hAnsi="Century Schoolbook"/>
        </w:rPr>
        <w:t xml:space="preserve"> relat</w:t>
      </w:r>
      <w:r w:rsidR="00DD179B" w:rsidRPr="008D659D">
        <w:rPr>
          <w:rFonts w:ascii="Century Schoolbook" w:hAnsi="Century Schoolbook"/>
        </w:rPr>
        <w:t>ed</w:t>
      </w:r>
      <w:r w:rsidR="00921E47" w:rsidRPr="008D659D">
        <w:rPr>
          <w:rFonts w:ascii="Century Schoolbook" w:hAnsi="Century Schoolbook"/>
        </w:rPr>
        <w:t xml:space="preserve"> to the Mallory killing (</w:t>
      </w:r>
      <w:r w:rsidR="00F33F5E" w:rsidRPr="008D659D">
        <w:rPr>
          <w:rFonts w:ascii="Century Schoolbook" w:hAnsi="Century Schoolbook"/>
        </w:rPr>
        <w:t xml:space="preserve">hereinafter, the </w:t>
      </w:r>
      <w:r w:rsidR="00921E47" w:rsidRPr="008D659D">
        <w:rPr>
          <w:rFonts w:ascii="Century Schoolbook" w:hAnsi="Century Schoolbook"/>
        </w:rPr>
        <w:t>Mallory case)</w:t>
      </w:r>
      <w:r w:rsidR="002C374C" w:rsidRPr="008D659D">
        <w:rPr>
          <w:rFonts w:ascii="Century Schoolbook" w:hAnsi="Century Schoolbook"/>
        </w:rPr>
        <w:t xml:space="preserve">.  Merin responded by email that </w:t>
      </w:r>
      <w:r w:rsidR="00370122" w:rsidRPr="008D659D">
        <w:rPr>
          <w:rFonts w:ascii="Century Schoolbook" w:hAnsi="Century Schoolbook"/>
        </w:rPr>
        <w:t xml:space="preserve">same </w:t>
      </w:r>
      <w:r w:rsidR="002C374C" w:rsidRPr="008D659D">
        <w:rPr>
          <w:rFonts w:ascii="Century Schoolbook" w:hAnsi="Century Schoolbook"/>
        </w:rPr>
        <w:t xml:space="preserve">day, stating that Jenkins “will be walled off” and that he </w:t>
      </w:r>
      <w:r w:rsidR="00636304" w:rsidRPr="008D659D">
        <w:rPr>
          <w:rFonts w:ascii="Century Schoolbook" w:hAnsi="Century Schoolbook"/>
        </w:rPr>
        <w:t>would make</w:t>
      </w:r>
      <w:r w:rsidR="002C374C" w:rsidRPr="008D659D">
        <w:rPr>
          <w:rFonts w:ascii="Century Schoolbook" w:hAnsi="Century Schoolbook"/>
        </w:rPr>
        <w:t xml:space="preserve"> </w:t>
      </w:r>
      <w:r w:rsidR="00636304" w:rsidRPr="008D659D">
        <w:rPr>
          <w:rFonts w:ascii="Century Schoolbook" w:hAnsi="Century Schoolbook"/>
        </w:rPr>
        <w:t>“</w:t>
      </w:r>
      <w:r w:rsidR="002C374C" w:rsidRPr="008D659D">
        <w:rPr>
          <w:rFonts w:ascii="Century Schoolbook" w:hAnsi="Century Schoolbook"/>
        </w:rPr>
        <w:t>sure</w:t>
      </w:r>
      <w:r w:rsidR="00636304" w:rsidRPr="008D659D">
        <w:rPr>
          <w:rFonts w:ascii="Century Schoolbook" w:hAnsi="Century Schoolbook"/>
        </w:rPr>
        <w:t>”</w:t>
      </w:r>
      <w:r w:rsidR="002C374C" w:rsidRPr="008D659D">
        <w:rPr>
          <w:rFonts w:ascii="Century Schoolbook" w:hAnsi="Century Schoolbook"/>
        </w:rPr>
        <w:t xml:space="preserve"> </w:t>
      </w:r>
      <w:r w:rsidR="00636304" w:rsidRPr="008D659D">
        <w:rPr>
          <w:rFonts w:ascii="Century Schoolbook" w:hAnsi="Century Schoolbook"/>
        </w:rPr>
        <w:t>Jenkins could not</w:t>
      </w:r>
      <w:r w:rsidR="002C374C" w:rsidRPr="008D659D">
        <w:rPr>
          <w:rFonts w:ascii="Century Schoolbook" w:hAnsi="Century Schoolbook"/>
        </w:rPr>
        <w:t xml:space="preserve"> </w:t>
      </w:r>
      <w:r w:rsidR="00636304" w:rsidRPr="008D659D">
        <w:rPr>
          <w:rFonts w:ascii="Century Schoolbook" w:hAnsi="Century Schoolbook"/>
        </w:rPr>
        <w:t>“</w:t>
      </w:r>
      <w:r w:rsidR="002C374C" w:rsidRPr="008D659D">
        <w:rPr>
          <w:rFonts w:ascii="Century Schoolbook" w:hAnsi="Century Schoolbook"/>
        </w:rPr>
        <w:t xml:space="preserve">access the file etc.” </w:t>
      </w:r>
    </w:p>
    <w:p w14:paraId="32BF2F40" w14:textId="359420C9" w:rsidR="00370122" w:rsidRPr="008D659D" w:rsidRDefault="00370122" w:rsidP="00D60CAC">
      <w:pPr>
        <w:pStyle w:val="BodyText"/>
        <w:widowControl/>
        <w:spacing w:line="360" w:lineRule="auto"/>
        <w:ind w:left="0" w:firstLine="720"/>
        <w:rPr>
          <w:rFonts w:ascii="Century Schoolbook" w:hAnsi="Century Schoolbook"/>
        </w:rPr>
      </w:pPr>
      <w:r w:rsidRPr="008D659D">
        <w:rPr>
          <w:rFonts w:ascii="Century Schoolbook" w:hAnsi="Century Schoolbook"/>
        </w:rPr>
        <w:t>Under the Office’s written Conflict of Interest Policy (Policy), “[a]n employee with a conflict of interest shall be walled off from the case.”  Th</w:t>
      </w:r>
      <w:r w:rsidR="00E56EAC" w:rsidRPr="008D659D">
        <w:rPr>
          <w:rFonts w:ascii="Century Schoolbook" w:hAnsi="Century Schoolbook"/>
        </w:rPr>
        <w:t>e</w:t>
      </w:r>
      <w:r w:rsidRPr="008D659D">
        <w:rPr>
          <w:rFonts w:ascii="Century Schoolbook" w:hAnsi="Century Schoolbook"/>
        </w:rPr>
        <w:t xml:space="preserve"> </w:t>
      </w:r>
      <w:r w:rsidR="003326B0">
        <w:rPr>
          <w:rFonts w:ascii="Century Schoolbook" w:hAnsi="Century Schoolbook"/>
        </w:rPr>
        <w:br/>
      </w:r>
      <w:r w:rsidRPr="008D659D">
        <w:rPr>
          <w:rFonts w:ascii="Century Schoolbook" w:hAnsi="Century Schoolbook"/>
        </w:rPr>
        <w:t xml:space="preserve">“ ‘ethical wall’ between the employee and a case shall mean: </w:t>
      </w:r>
      <w:r w:rsidR="0076075B" w:rsidRPr="008D659D">
        <w:rPr>
          <w:rFonts w:ascii="Century Schoolbook" w:hAnsi="Century Schoolbook"/>
        </w:rPr>
        <w:t xml:space="preserve"> </w:t>
      </w:r>
      <w:r w:rsidRPr="008D659D">
        <w:rPr>
          <w:rFonts w:ascii="Century Schoolbook" w:hAnsi="Century Schoolbook"/>
        </w:rPr>
        <w:t>[¶]</w:t>
      </w:r>
      <w:r w:rsidR="0076075B" w:rsidRPr="008D659D">
        <w:rPr>
          <w:rFonts w:ascii="Century Schoolbook" w:hAnsi="Century Schoolbook"/>
        </w:rPr>
        <w:t xml:space="preserve"> </w:t>
      </w:r>
      <w:r w:rsidRPr="008D659D">
        <w:rPr>
          <w:rFonts w:ascii="Century Schoolbook" w:hAnsi="Century Schoolbook"/>
        </w:rPr>
        <w:t xml:space="preserve"> 1) the employee with the conflict of interest is barred from </w:t>
      </w:r>
      <w:r w:rsidR="003B780F" w:rsidRPr="008D659D">
        <w:rPr>
          <w:rFonts w:ascii="Century Schoolbook" w:hAnsi="Century Schoolbook"/>
        </w:rPr>
        <w:t xml:space="preserve">having </w:t>
      </w:r>
      <w:r w:rsidRPr="008D659D">
        <w:rPr>
          <w:rFonts w:ascii="Century Schoolbook" w:hAnsi="Century Schoolbook"/>
        </w:rPr>
        <w:t xml:space="preserve">any official role in the case. </w:t>
      </w:r>
      <w:r w:rsidR="0076075B" w:rsidRPr="008D659D">
        <w:rPr>
          <w:rFonts w:ascii="Century Schoolbook" w:hAnsi="Century Schoolbook"/>
        </w:rPr>
        <w:t xml:space="preserve"> </w:t>
      </w:r>
      <w:r w:rsidRPr="008D659D">
        <w:rPr>
          <w:rFonts w:ascii="Century Schoolbook" w:hAnsi="Century Schoolbook"/>
        </w:rPr>
        <w:t>[¶ . . . ¶]</w:t>
      </w:r>
      <w:r w:rsidR="0076075B" w:rsidRPr="008D659D">
        <w:rPr>
          <w:rFonts w:ascii="Century Schoolbook" w:hAnsi="Century Schoolbook"/>
        </w:rPr>
        <w:t xml:space="preserve"> </w:t>
      </w:r>
      <w:r w:rsidRPr="008D659D">
        <w:rPr>
          <w:rFonts w:ascii="Century Schoolbook" w:hAnsi="Century Schoolbook"/>
        </w:rPr>
        <w:t xml:space="preserve"> 3) The employee shall not use any channel afforded by his or her employment: </w:t>
      </w:r>
      <w:r w:rsidR="0076075B" w:rsidRPr="008D659D">
        <w:rPr>
          <w:rFonts w:ascii="Century Schoolbook" w:hAnsi="Century Schoolbook"/>
        </w:rPr>
        <w:t xml:space="preserve"> </w:t>
      </w:r>
      <w:r w:rsidRPr="008D659D">
        <w:rPr>
          <w:rFonts w:ascii="Century Schoolbook" w:hAnsi="Century Schoolbook"/>
        </w:rPr>
        <w:t xml:space="preserve">[¶] </w:t>
      </w:r>
      <w:r w:rsidR="0076075B" w:rsidRPr="008D659D">
        <w:rPr>
          <w:rFonts w:ascii="Century Schoolbook" w:hAnsi="Century Schoolbook"/>
        </w:rPr>
        <w:t xml:space="preserve"> </w:t>
      </w:r>
      <w:r w:rsidRPr="008D659D">
        <w:rPr>
          <w:rFonts w:ascii="Century Schoolbook" w:hAnsi="Century Schoolbook"/>
        </w:rPr>
        <w:t xml:space="preserve">a. To access information about the case; </w:t>
      </w:r>
      <w:r w:rsidR="0076075B" w:rsidRPr="008D659D">
        <w:rPr>
          <w:rFonts w:ascii="Century Schoolbook" w:hAnsi="Century Schoolbook"/>
        </w:rPr>
        <w:t xml:space="preserve"> </w:t>
      </w:r>
      <w:r w:rsidRPr="008D659D">
        <w:rPr>
          <w:rFonts w:ascii="Century Schoolbook" w:hAnsi="Century Schoolbook"/>
        </w:rPr>
        <w:t xml:space="preserve">[¶] </w:t>
      </w:r>
      <w:r w:rsidR="0076075B" w:rsidRPr="008D659D">
        <w:rPr>
          <w:rFonts w:ascii="Century Schoolbook" w:hAnsi="Century Schoolbook"/>
        </w:rPr>
        <w:t xml:space="preserve"> </w:t>
      </w:r>
      <w:r w:rsidRPr="008D659D">
        <w:rPr>
          <w:rFonts w:ascii="Century Schoolbook" w:hAnsi="Century Schoolbook"/>
        </w:rPr>
        <w:t xml:space="preserve">b. To affect or influence the handling or outcome of the case; or </w:t>
      </w:r>
      <w:r w:rsidR="0076075B" w:rsidRPr="008D659D">
        <w:rPr>
          <w:rFonts w:ascii="Century Schoolbook" w:hAnsi="Century Schoolbook"/>
        </w:rPr>
        <w:t xml:space="preserve"> </w:t>
      </w:r>
      <w:r w:rsidRPr="008D659D">
        <w:rPr>
          <w:rFonts w:ascii="Century Schoolbook" w:hAnsi="Century Schoolbook"/>
        </w:rPr>
        <w:t>[¶]</w:t>
      </w:r>
      <w:r w:rsidR="0076075B" w:rsidRPr="008D659D">
        <w:rPr>
          <w:rFonts w:ascii="Century Schoolbook" w:hAnsi="Century Schoolbook"/>
        </w:rPr>
        <w:t xml:space="preserve"> </w:t>
      </w:r>
      <w:r w:rsidRPr="008D659D">
        <w:rPr>
          <w:rFonts w:ascii="Century Schoolbook" w:hAnsi="Century Schoolbook"/>
        </w:rPr>
        <w:t xml:space="preserve"> c. To communicate about the case in an official capacity. </w:t>
      </w:r>
      <w:r w:rsidR="0076075B" w:rsidRPr="008D659D">
        <w:rPr>
          <w:rFonts w:ascii="Century Schoolbook" w:hAnsi="Century Schoolbook"/>
        </w:rPr>
        <w:t xml:space="preserve"> </w:t>
      </w:r>
      <w:r w:rsidRPr="008D659D">
        <w:rPr>
          <w:rFonts w:ascii="Century Schoolbook" w:hAnsi="Century Schoolbook"/>
        </w:rPr>
        <w:t xml:space="preserve">[¶] </w:t>
      </w:r>
      <w:r w:rsidR="0076075B" w:rsidRPr="008D659D">
        <w:rPr>
          <w:rFonts w:ascii="Century Schoolbook" w:hAnsi="Century Schoolbook"/>
        </w:rPr>
        <w:t xml:space="preserve"> </w:t>
      </w:r>
      <w:r w:rsidRPr="008D659D">
        <w:rPr>
          <w:rFonts w:ascii="Century Schoolbook" w:hAnsi="Century Schoolbook"/>
        </w:rPr>
        <w:t>4) Managers shall not assign any responsibility for a subject on the list to an employee with a conflict of interest for that subject.</w:t>
      </w:r>
      <w:r w:rsidR="0076075B" w:rsidRPr="008D659D">
        <w:rPr>
          <w:rFonts w:ascii="Century Schoolbook" w:hAnsi="Century Schoolbook"/>
        </w:rPr>
        <w:t xml:space="preserve"> </w:t>
      </w:r>
      <w:r w:rsidRPr="008D659D">
        <w:rPr>
          <w:rFonts w:ascii="Century Schoolbook" w:hAnsi="Century Schoolbook"/>
        </w:rPr>
        <w:t xml:space="preserve"> [¶] </w:t>
      </w:r>
      <w:r w:rsidR="0076075B" w:rsidRPr="008D659D">
        <w:rPr>
          <w:rFonts w:ascii="Century Schoolbook" w:hAnsi="Century Schoolbook"/>
        </w:rPr>
        <w:t xml:space="preserve"> </w:t>
      </w:r>
      <w:r w:rsidRPr="008D659D">
        <w:rPr>
          <w:rFonts w:ascii="Century Schoolbook" w:hAnsi="Century Schoolbook"/>
        </w:rPr>
        <w:t xml:space="preserve">5) ADAs and employees assigned to the investigation or prosecution shall not seek or solicit any information from the ADA with a conflict of interest about matters that may be privileged.”  The Policy also required that the employee with </w:t>
      </w:r>
      <w:r w:rsidR="0076075B" w:rsidRPr="008D659D">
        <w:rPr>
          <w:rFonts w:ascii="Century Schoolbook" w:hAnsi="Century Schoolbook"/>
        </w:rPr>
        <w:t>the</w:t>
      </w:r>
      <w:r w:rsidRPr="008D659D">
        <w:rPr>
          <w:rFonts w:ascii="Century Schoolbook" w:hAnsi="Century Schoolbook"/>
        </w:rPr>
        <w:t xml:space="preserve"> conflict </w:t>
      </w:r>
      <w:r w:rsidR="0076075B" w:rsidRPr="008D659D">
        <w:rPr>
          <w:rFonts w:ascii="Century Schoolbook" w:hAnsi="Century Schoolbook"/>
        </w:rPr>
        <w:t>be</w:t>
      </w:r>
      <w:r w:rsidRPr="008D659D">
        <w:rPr>
          <w:rFonts w:ascii="Century Schoolbook" w:hAnsi="Century Schoolbook"/>
        </w:rPr>
        <w:t xml:space="preserve"> prevented “from accessing</w:t>
      </w:r>
      <w:r w:rsidR="003B780F" w:rsidRPr="008D659D">
        <w:rPr>
          <w:rFonts w:ascii="Century Schoolbook" w:hAnsi="Century Schoolbook"/>
        </w:rPr>
        <w:t xml:space="preserve"> case</w:t>
      </w:r>
      <w:r w:rsidRPr="008D659D">
        <w:rPr>
          <w:rFonts w:ascii="Century Schoolbook" w:hAnsi="Century Schoolbook"/>
        </w:rPr>
        <w:t xml:space="preserve"> materials on Office systems with Office issued login credentials” and that the “Office case management system be configured to provide notifications about which employee is walled off from a case due to a conflict of interest.” </w:t>
      </w:r>
    </w:p>
    <w:p w14:paraId="19FA0C97" w14:textId="6F9A1F9F" w:rsidR="00080FCC" w:rsidRPr="008D659D" w:rsidRDefault="0076075B" w:rsidP="00D60CAC">
      <w:pPr>
        <w:pStyle w:val="BodyText"/>
        <w:widowControl/>
        <w:spacing w:line="360" w:lineRule="auto"/>
        <w:ind w:left="0" w:firstLine="720"/>
        <w:rPr>
          <w:rFonts w:ascii="Century Schoolbook" w:hAnsi="Century Schoolbook"/>
        </w:rPr>
      </w:pPr>
      <w:r w:rsidRPr="008D659D">
        <w:rPr>
          <w:rFonts w:ascii="Century Schoolbook" w:hAnsi="Century Schoolbook"/>
        </w:rPr>
        <w:t>In accordance</w:t>
      </w:r>
      <w:r w:rsidR="00080FCC" w:rsidRPr="008D659D">
        <w:rPr>
          <w:rFonts w:ascii="Century Schoolbook" w:hAnsi="Century Schoolbook"/>
        </w:rPr>
        <w:t xml:space="preserve"> with the Policy, Merin did not assign Jenkins to the Mallory case or “designate her for any official role in the case.”  He “also did </w:t>
      </w:r>
      <w:r w:rsidR="00080FCC" w:rsidRPr="008D659D">
        <w:rPr>
          <w:rFonts w:ascii="Century Schoolbook" w:hAnsi="Century Schoolbook"/>
        </w:rPr>
        <w:lastRenderedPageBreak/>
        <w:t>not discuss any confidential information with” Jenkins “about the case” or involve her “in any charging decision o</w:t>
      </w:r>
      <w:r w:rsidR="0065528D" w:rsidRPr="008D659D">
        <w:rPr>
          <w:rFonts w:ascii="Century Schoolbook" w:hAnsi="Century Schoolbook"/>
        </w:rPr>
        <w:t>r</w:t>
      </w:r>
      <w:r w:rsidR="00080FCC" w:rsidRPr="008D659D">
        <w:rPr>
          <w:rFonts w:ascii="Century Schoolbook" w:hAnsi="Century Schoolbook"/>
        </w:rPr>
        <w:t xml:space="preserve"> handling of the case.”  </w:t>
      </w:r>
    </w:p>
    <w:p w14:paraId="606BD5A7" w14:textId="32F19417" w:rsidR="002C374C" w:rsidRPr="008D659D" w:rsidRDefault="00080FCC" w:rsidP="00D60CAC">
      <w:pPr>
        <w:pStyle w:val="BodyText"/>
        <w:widowControl/>
        <w:spacing w:line="360" w:lineRule="auto"/>
        <w:ind w:left="0" w:firstLine="720"/>
        <w:rPr>
          <w:rFonts w:ascii="Century Schoolbook" w:hAnsi="Century Schoolbook"/>
        </w:rPr>
      </w:pPr>
      <w:r w:rsidRPr="008D659D">
        <w:rPr>
          <w:rFonts w:ascii="Century Schoolbook" w:hAnsi="Century Schoolbook"/>
        </w:rPr>
        <w:t>On September 2, 2020, Merin assigned Aaron Layco</w:t>
      </w:r>
      <w:r w:rsidR="00C83216">
        <w:rPr>
          <w:rFonts w:ascii="Century Schoolbook" w:hAnsi="Century Schoolbook"/>
        </w:rPr>
        <w:t>o</w:t>
      </w:r>
      <w:r w:rsidRPr="008D659D">
        <w:rPr>
          <w:rFonts w:ascii="Century Schoolbook" w:hAnsi="Century Schoolbook"/>
        </w:rPr>
        <w:t>k</w:t>
      </w:r>
      <w:r w:rsidR="0076075B" w:rsidRPr="008D659D">
        <w:rPr>
          <w:rFonts w:ascii="Century Schoolbook" w:hAnsi="Century Schoolbook"/>
        </w:rPr>
        <w:t>, another ADA,</w:t>
      </w:r>
      <w:r w:rsidRPr="008D659D">
        <w:rPr>
          <w:rFonts w:ascii="Century Schoolbook" w:hAnsi="Century Schoolbook"/>
        </w:rPr>
        <w:t xml:space="preserve"> to the Mallory case and informed him that Jenkins “was walled off from the case.”  As a result, Layco</w:t>
      </w:r>
      <w:r w:rsidR="00C83216">
        <w:rPr>
          <w:rFonts w:ascii="Century Schoolbook" w:hAnsi="Century Schoolbook"/>
        </w:rPr>
        <w:t>o</w:t>
      </w:r>
      <w:r w:rsidRPr="008D659D">
        <w:rPr>
          <w:rFonts w:ascii="Century Schoolbook" w:hAnsi="Century Schoolbook"/>
        </w:rPr>
        <w:t>k did not “communicate with” Jenkins “about the case in any capacity” except as he “would any other victim family/next of kin.”  He also did not allow Jenkins “to have access to any information about the case.”  According to Layco</w:t>
      </w:r>
      <w:r w:rsidR="00C27DD8">
        <w:rPr>
          <w:rFonts w:ascii="Century Schoolbook" w:hAnsi="Century Schoolbook"/>
        </w:rPr>
        <w:t>o</w:t>
      </w:r>
      <w:r w:rsidRPr="008D659D">
        <w:rPr>
          <w:rFonts w:ascii="Century Schoolbook" w:hAnsi="Century Schoolbook"/>
        </w:rPr>
        <w:t xml:space="preserve">k, Jenkins never “sought access to any information about the case from” him and never sent him any emails about the case. </w:t>
      </w:r>
      <w:r w:rsidR="00A073A0" w:rsidRPr="008D659D">
        <w:rPr>
          <w:rFonts w:ascii="Century Schoolbook" w:hAnsi="Century Schoolbook"/>
        </w:rPr>
        <w:t xml:space="preserve"> And to Layco</w:t>
      </w:r>
      <w:r w:rsidR="00C27DD8">
        <w:rPr>
          <w:rFonts w:ascii="Century Schoolbook" w:hAnsi="Century Schoolbook"/>
        </w:rPr>
        <w:t>o</w:t>
      </w:r>
      <w:r w:rsidR="00A073A0" w:rsidRPr="008D659D">
        <w:rPr>
          <w:rFonts w:ascii="Century Schoolbook" w:hAnsi="Century Schoolbook"/>
        </w:rPr>
        <w:t xml:space="preserve">k’s knowledge, nobody else involved in the investigation and prosecution of the Mallory case </w:t>
      </w:r>
      <w:r w:rsidR="0076075B" w:rsidRPr="008D659D">
        <w:rPr>
          <w:rFonts w:ascii="Century Schoolbook" w:hAnsi="Century Schoolbook"/>
        </w:rPr>
        <w:t>spoke</w:t>
      </w:r>
      <w:r w:rsidR="00A073A0" w:rsidRPr="008D659D">
        <w:rPr>
          <w:rFonts w:ascii="Century Schoolbook" w:hAnsi="Century Schoolbook"/>
        </w:rPr>
        <w:t xml:space="preserve"> to Jenkins about the case. </w:t>
      </w:r>
      <w:r w:rsidR="0065528D" w:rsidRPr="008D659D">
        <w:rPr>
          <w:rFonts w:ascii="Century Schoolbook" w:hAnsi="Century Schoolbook"/>
        </w:rPr>
        <w:t xml:space="preserve"> </w:t>
      </w:r>
    </w:p>
    <w:p w14:paraId="2407FA31" w14:textId="69D01D06" w:rsidR="0065528D" w:rsidRPr="008D659D" w:rsidRDefault="0065528D" w:rsidP="00D60CAC">
      <w:pPr>
        <w:pStyle w:val="BodyText"/>
        <w:widowControl/>
        <w:spacing w:line="360" w:lineRule="auto"/>
        <w:ind w:left="0" w:firstLine="720"/>
        <w:rPr>
          <w:rFonts w:ascii="Century Schoolbook" w:hAnsi="Century Schoolbook"/>
        </w:rPr>
      </w:pPr>
      <w:r w:rsidRPr="008D659D">
        <w:rPr>
          <w:rFonts w:ascii="Century Schoolbook" w:hAnsi="Century Schoolbook"/>
        </w:rPr>
        <w:t xml:space="preserve">Jenkins confirmed that she complied with the ethical wall in the Mallory case.  For example, she “did not direct the investigation of” or “attempt to influence the prosecution of </w:t>
      </w:r>
      <w:r w:rsidR="008A5945" w:rsidRPr="008D659D">
        <w:rPr>
          <w:rFonts w:ascii="Century Schoolbook" w:hAnsi="Century Schoolbook"/>
        </w:rPr>
        <w:t>[</w:t>
      </w:r>
      <w:r w:rsidRPr="008D659D">
        <w:rPr>
          <w:rFonts w:ascii="Century Schoolbook" w:hAnsi="Century Schoolbook"/>
        </w:rPr>
        <w:t>th</w:t>
      </w:r>
      <w:r w:rsidR="00DD179B" w:rsidRPr="008D659D">
        <w:rPr>
          <w:rFonts w:ascii="Century Schoolbook" w:hAnsi="Century Schoolbook"/>
        </w:rPr>
        <w:t>at</w:t>
      </w:r>
      <w:r w:rsidR="008A5945" w:rsidRPr="008D659D">
        <w:rPr>
          <w:rFonts w:ascii="Century Schoolbook" w:hAnsi="Century Schoolbook"/>
        </w:rPr>
        <w:t>]</w:t>
      </w:r>
      <w:r w:rsidRPr="008D659D">
        <w:rPr>
          <w:rFonts w:ascii="Century Schoolbook" w:hAnsi="Century Schoolbook"/>
        </w:rPr>
        <w:t xml:space="preserve"> case.</w:t>
      </w:r>
      <w:r w:rsidR="008A5945" w:rsidRPr="008D659D">
        <w:rPr>
          <w:rFonts w:ascii="Century Schoolbook" w:hAnsi="Century Schoolbook"/>
        </w:rPr>
        <w:t>”</w:t>
      </w:r>
      <w:r w:rsidRPr="008D659D">
        <w:rPr>
          <w:rFonts w:ascii="Century Schoolbook" w:hAnsi="Century Schoolbook"/>
        </w:rPr>
        <w:t xml:space="preserve">  She also never accessed any “files, paper or electronic, or investigative files” relating to the case and never discussed the case with anyone in the Office aside from her July 6, 2020 email to Merin. </w:t>
      </w:r>
    </w:p>
    <w:p w14:paraId="46744B57" w14:textId="77777777" w:rsidR="00BE34AB" w:rsidRDefault="00A073A0" w:rsidP="00D60CAC">
      <w:pPr>
        <w:pStyle w:val="BodyText"/>
        <w:widowControl/>
        <w:spacing w:line="360" w:lineRule="auto"/>
        <w:ind w:left="0" w:firstLine="720"/>
        <w:rPr>
          <w:rFonts w:ascii="Century Schoolbook" w:hAnsi="Century Schoolbook"/>
        </w:rPr>
      </w:pPr>
      <w:r w:rsidRPr="008D659D">
        <w:rPr>
          <w:rFonts w:ascii="Century Schoolbook" w:hAnsi="Century Schoolbook"/>
        </w:rPr>
        <w:t>On June 8, 2021, the Office filed a felony complaint against Mitchell and Pomar</w:t>
      </w:r>
      <w:r w:rsidR="00383C88" w:rsidRPr="008D659D">
        <w:rPr>
          <w:rFonts w:ascii="Century Schoolbook" w:hAnsi="Century Schoolbook"/>
        </w:rPr>
        <w:t xml:space="preserve"> in </w:t>
      </w:r>
      <w:r w:rsidR="00DD179B" w:rsidRPr="008D659D">
        <w:rPr>
          <w:rFonts w:ascii="Century Schoolbook" w:hAnsi="Century Schoolbook"/>
        </w:rPr>
        <w:t xml:space="preserve">the </w:t>
      </w:r>
      <w:r w:rsidR="00383C88" w:rsidRPr="008D659D">
        <w:rPr>
          <w:rFonts w:ascii="Century Schoolbook" w:hAnsi="Century Schoolbook"/>
        </w:rPr>
        <w:t xml:space="preserve">Mallory </w:t>
      </w:r>
      <w:r w:rsidR="0076075B" w:rsidRPr="008D659D">
        <w:rPr>
          <w:rFonts w:ascii="Century Schoolbook" w:hAnsi="Century Schoolbook"/>
        </w:rPr>
        <w:t>case</w:t>
      </w:r>
      <w:r w:rsidRPr="008D659D">
        <w:rPr>
          <w:rFonts w:ascii="Century Schoolbook" w:hAnsi="Century Schoolbook"/>
        </w:rPr>
        <w:t xml:space="preserve">.  The complaint charged Mitchell and Pomar with: </w:t>
      </w:r>
      <w:r w:rsidR="00827E63" w:rsidRPr="008D659D">
        <w:rPr>
          <w:rFonts w:ascii="Century Schoolbook" w:hAnsi="Century Schoolbook"/>
        </w:rPr>
        <w:t xml:space="preserve"> </w:t>
      </w:r>
      <w:r w:rsidRPr="008D659D">
        <w:rPr>
          <w:rFonts w:ascii="Century Schoolbook" w:hAnsi="Century Schoolbook"/>
        </w:rPr>
        <w:t xml:space="preserve">(1) the murder of Mallory </w:t>
      </w:r>
      <w:r w:rsidR="00F352B1" w:rsidRPr="008D659D">
        <w:rPr>
          <w:rFonts w:ascii="Century Schoolbook" w:hAnsi="Century Schoolbook"/>
        </w:rPr>
        <w:t>in violation of section</w:t>
      </w:r>
      <w:r w:rsidRPr="008D659D">
        <w:rPr>
          <w:rFonts w:ascii="Century Schoolbook" w:hAnsi="Century Schoolbook"/>
        </w:rPr>
        <w:t xml:space="preserve"> 187, subd</w:t>
      </w:r>
      <w:r w:rsidR="00F352B1" w:rsidRPr="008D659D">
        <w:rPr>
          <w:rFonts w:ascii="Century Schoolbook" w:hAnsi="Century Schoolbook"/>
        </w:rPr>
        <w:t>ivision</w:t>
      </w:r>
      <w:r w:rsidRPr="008D659D">
        <w:rPr>
          <w:rFonts w:ascii="Century Schoolbook" w:hAnsi="Century Schoolbook"/>
        </w:rPr>
        <w:t xml:space="preserve"> (a)</w:t>
      </w:r>
      <w:r w:rsidR="00F352B1" w:rsidRPr="008D659D">
        <w:rPr>
          <w:rFonts w:ascii="Century Schoolbook" w:hAnsi="Century Schoolbook"/>
        </w:rPr>
        <w:t xml:space="preserve"> (count 1</w:t>
      </w:r>
      <w:r w:rsidRPr="008D659D">
        <w:rPr>
          <w:rFonts w:ascii="Century Schoolbook" w:hAnsi="Century Schoolbook"/>
        </w:rPr>
        <w:t xml:space="preserve">); (2) conspiracy to commit </w:t>
      </w:r>
      <w:r w:rsidR="00E47BB5" w:rsidRPr="008D659D">
        <w:rPr>
          <w:rFonts w:ascii="Century Schoolbook" w:hAnsi="Century Schoolbook"/>
        </w:rPr>
        <w:t xml:space="preserve">the </w:t>
      </w:r>
      <w:r w:rsidRPr="008D659D">
        <w:rPr>
          <w:rFonts w:ascii="Century Schoolbook" w:hAnsi="Century Schoolbook"/>
        </w:rPr>
        <w:t xml:space="preserve">murder </w:t>
      </w:r>
      <w:r w:rsidR="00E47BB5" w:rsidRPr="008D659D">
        <w:rPr>
          <w:rFonts w:ascii="Century Schoolbook" w:hAnsi="Century Schoolbook"/>
        </w:rPr>
        <w:t xml:space="preserve">of Mallory </w:t>
      </w:r>
      <w:r w:rsidR="00F352B1" w:rsidRPr="008D659D">
        <w:rPr>
          <w:rFonts w:ascii="Century Schoolbook" w:hAnsi="Century Schoolbook"/>
        </w:rPr>
        <w:t>in violation of section</w:t>
      </w:r>
      <w:r w:rsidRPr="008D659D">
        <w:rPr>
          <w:rFonts w:ascii="Century Schoolbook" w:hAnsi="Century Schoolbook"/>
        </w:rPr>
        <w:t xml:space="preserve"> 182, subd</w:t>
      </w:r>
      <w:r w:rsidR="00F352B1" w:rsidRPr="008D659D">
        <w:rPr>
          <w:rFonts w:ascii="Century Schoolbook" w:hAnsi="Century Schoolbook"/>
        </w:rPr>
        <w:t>ivision</w:t>
      </w:r>
      <w:r w:rsidRPr="008D659D">
        <w:rPr>
          <w:rFonts w:ascii="Century Schoolbook" w:hAnsi="Century Schoolbook"/>
        </w:rPr>
        <w:t xml:space="preserve"> (a)(1)</w:t>
      </w:r>
      <w:r w:rsidR="00F352B1" w:rsidRPr="008D659D">
        <w:rPr>
          <w:rFonts w:ascii="Century Schoolbook" w:hAnsi="Century Schoolbook"/>
        </w:rPr>
        <w:t xml:space="preserve"> (count 2</w:t>
      </w:r>
      <w:r w:rsidRPr="008D659D">
        <w:rPr>
          <w:rFonts w:ascii="Century Schoolbook" w:hAnsi="Century Schoolbook"/>
        </w:rPr>
        <w:t>); (3)</w:t>
      </w:r>
      <w:r w:rsidR="00F352B1" w:rsidRPr="008D659D">
        <w:rPr>
          <w:rFonts w:ascii="Century Schoolbook" w:hAnsi="Century Schoolbook"/>
        </w:rPr>
        <w:t xml:space="preserve"> two counts of assault with a semiautomatic firearm in violation of section 245, subdivision (b) (counts 3 and 4); (4) discharging a firearm from a motor vehicle in violation of section 26100, subdivision (c) (count 5); (5) participation in a criminal street gang in violation of section 186.22, subdivision (a) </w:t>
      </w:r>
      <w:r w:rsidR="00827E63" w:rsidRPr="008D659D">
        <w:rPr>
          <w:rFonts w:ascii="Century Schoolbook" w:hAnsi="Century Schoolbook"/>
        </w:rPr>
        <w:t xml:space="preserve">(felony gang count) </w:t>
      </w:r>
      <w:r w:rsidR="00F352B1" w:rsidRPr="008D659D">
        <w:rPr>
          <w:rFonts w:ascii="Century Schoolbook" w:hAnsi="Century Schoolbook"/>
        </w:rPr>
        <w:t xml:space="preserve">(count 6); and (6) carrying a loaded, unregistered firearm in public in violation of section </w:t>
      </w:r>
      <w:r w:rsidR="00F352B1" w:rsidRPr="008D659D">
        <w:rPr>
          <w:rFonts w:ascii="Century Schoolbook" w:hAnsi="Century Schoolbook"/>
        </w:rPr>
        <w:lastRenderedPageBreak/>
        <w:t xml:space="preserve">25850, subdivision (a) (counts 7 and 8).  </w:t>
      </w:r>
      <w:r w:rsidR="00383C88" w:rsidRPr="008D659D">
        <w:rPr>
          <w:rFonts w:ascii="Century Schoolbook" w:hAnsi="Century Schoolbook"/>
        </w:rPr>
        <w:t xml:space="preserve">The complaint further alleged that Mitchell and Pomar: </w:t>
      </w:r>
      <w:r w:rsidR="0076075B" w:rsidRPr="008D659D">
        <w:rPr>
          <w:rFonts w:ascii="Century Schoolbook" w:hAnsi="Century Schoolbook"/>
        </w:rPr>
        <w:t xml:space="preserve"> </w:t>
      </w:r>
      <w:r w:rsidR="00383C88" w:rsidRPr="008D659D">
        <w:rPr>
          <w:rFonts w:ascii="Century Schoolbook" w:hAnsi="Century Schoolbook"/>
        </w:rPr>
        <w:t xml:space="preserve">(1) personally and intentionally discharged a firearm, causing great bodily injury and death, in connection with counts 1, 2, and 5 </w:t>
      </w:r>
    </w:p>
    <w:p w14:paraId="5AAD0CDF" w14:textId="17D6454C" w:rsidR="00A073A0" w:rsidRPr="008D659D" w:rsidRDefault="00383C88" w:rsidP="00BE34AB">
      <w:pPr>
        <w:pStyle w:val="BodyText"/>
        <w:widowControl/>
        <w:spacing w:line="360" w:lineRule="auto"/>
        <w:ind w:left="0"/>
        <w:rPr>
          <w:rFonts w:ascii="Century Schoolbook" w:hAnsi="Century Schoolbook"/>
        </w:rPr>
      </w:pPr>
      <w:r w:rsidRPr="008D659D">
        <w:rPr>
          <w:rFonts w:ascii="Century Schoolbook" w:hAnsi="Century Schoolbook"/>
        </w:rPr>
        <w:t xml:space="preserve">(§ 12022.53, subd. (d)); (2) personally used a firearm in connection with counts 1 through 4, and 6 (§ 12022, subd. (a)); </w:t>
      </w:r>
      <w:r w:rsidR="00E47BB5" w:rsidRPr="008D659D">
        <w:rPr>
          <w:rFonts w:ascii="Century Schoolbook" w:hAnsi="Century Schoolbook"/>
        </w:rPr>
        <w:t>and (3) personally inflicted great bodily injury on Mallory in connection with counts 3 through 6</w:t>
      </w:r>
      <w:r w:rsidR="00E415E6">
        <w:rPr>
          <w:rFonts w:ascii="Century Schoolbook" w:hAnsi="Century Schoolbook"/>
        </w:rPr>
        <w:t xml:space="preserve"> </w:t>
      </w:r>
      <w:r w:rsidR="00E415E6">
        <w:rPr>
          <w:rFonts w:ascii="Century Schoolbook" w:hAnsi="Century Schoolbook"/>
        </w:rPr>
        <w:br/>
        <w:t>(§ 12022.7, subd. (a))</w:t>
      </w:r>
      <w:r w:rsidR="00E47BB5" w:rsidRPr="008D659D">
        <w:rPr>
          <w:rFonts w:ascii="Century Schoolbook" w:hAnsi="Century Schoolbook"/>
        </w:rPr>
        <w:t xml:space="preserve">. </w:t>
      </w:r>
    </w:p>
    <w:p w14:paraId="2A455B60" w14:textId="1AF6F8AD" w:rsidR="00E47BB5" w:rsidRPr="008D659D" w:rsidRDefault="0042599B" w:rsidP="00D60CAC">
      <w:pPr>
        <w:pStyle w:val="BodyText"/>
        <w:widowControl/>
        <w:spacing w:line="360" w:lineRule="auto"/>
        <w:ind w:left="0" w:firstLine="720"/>
        <w:rPr>
          <w:rFonts w:ascii="Century Schoolbook" w:hAnsi="Century Schoolbook"/>
        </w:rPr>
      </w:pPr>
      <w:r w:rsidRPr="008D659D">
        <w:rPr>
          <w:rFonts w:ascii="Century Schoolbook" w:hAnsi="Century Schoolbook"/>
        </w:rPr>
        <w:t xml:space="preserve">On </w:t>
      </w:r>
      <w:r w:rsidR="00A64D06">
        <w:rPr>
          <w:rFonts w:ascii="Century Schoolbook" w:hAnsi="Century Schoolbook"/>
        </w:rPr>
        <w:t>June 30</w:t>
      </w:r>
      <w:r w:rsidRPr="008D659D">
        <w:rPr>
          <w:rFonts w:ascii="Century Schoolbook" w:hAnsi="Century Schoolbook"/>
        </w:rPr>
        <w:t>, 2021, the Office filed an amended felony complaint (amended complaint)</w:t>
      </w:r>
      <w:r w:rsidR="007D11C8" w:rsidRPr="008D659D">
        <w:rPr>
          <w:rFonts w:ascii="Century Schoolbook" w:hAnsi="Century Schoolbook"/>
        </w:rPr>
        <w:t xml:space="preserve">, dismissing the </w:t>
      </w:r>
      <w:r w:rsidR="00027C10" w:rsidRPr="008D659D">
        <w:rPr>
          <w:rFonts w:ascii="Century Schoolbook" w:hAnsi="Century Schoolbook"/>
        </w:rPr>
        <w:t>felony</w:t>
      </w:r>
      <w:r w:rsidRPr="008D659D">
        <w:rPr>
          <w:rFonts w:ascii="Century Schoolbook" w:hAnsi="Century Schoolbook"/>
        </w:rPr>
        <w:t xml:space="preserve"> gang count against Mitchell and Pomar. </w:t>
      </w:r>
      <w:r w:rsidR="001A4F05" w:rsidRPr="008D659D">
        <w:rPr>
          <w:rFonts w:ascii="Century Schoolbook" w:hAnsi="Century Schoolbook"/>
        </w:rPr>
        <w:t xml:space="preserve"> The amended complaint made no other changes. </w:t>
      </w:r>
    </w:p>
    <w:p w14:paraId="1573E1D0" w14:textId="4F1A9EC3" w:rsidR="006C11F9" w:rsidRPr="008D659D" w:rsidRDefault="0046551B" w:rsidP="00D60CAC">
      <w:pPr>
        <w:pStyle w:val="BodyText"/>
        <w:widowControl/>
        <w:spacing w:line="360" w:lineRule="auto"/>
        <w:ind w:left="0" w:firstLine="720"/>
        <w:rPr>
          <w:rFonts w:ascii="Century Schoolbook" w:hAnsi="Century Schoolbook"/>
        </w:rPr>
      </w:pPr>
      <w:r w:rsidRPr="008D659D">
        <w:rPr>
          <w:rFonts w:ascii="Century Schoolbook" w:hAnsi="Century Schoolbook"/>
        </w:rPr>
        <w:t xml:space="preserve">Jenkins resigned from the Office on October 15, </w:t>
      </w:r>
      <w:r w:rsidR="005E6730" w:rsidRPr="008D659D">
        <w:rPr>
          <w:rFonts w:ascii="Century Schoolbook" w:hAnsi="Century Schoolbook"/>
        </w:rPr>
        <w:t>2021,</w:t>
      </w:r>
      <w:r w:rsidRPr="008D659D">
        <w:rPr>
          <w:rFonts w:ascii="Century Schoolbook" w:hAnsi="Century Schoolbook"/>
        </w:rPr>
        <w:t xml:space="preserve"> and joined the recall campaign against Boudin.  Soon after, Jenkins spoke with a reporter from the San Francisco Chronicle</w:t>
      </w:r>
      <w:r w:rsidR="005E6C79" w:rsidRPr="008D659D">
        <w:rPr>
          <w:rFonts w:ascii="Century Schoolbook" w:hAnsi="Century Schoolbook"/>
        </w:rPr>
        <w:t xml:space="preserve"> (Chronicle), who wrote a</w:t>
      </w:r>
      <w:r w:rsidR="00027C10" w:rsidRPr="008D659D">
        <w:rPr>
          <w:rFonts w:ascii="Century Schoolbook" w:hAnsi="Century Schoolbook"/>
        </w:rPr>
        <w:t xml:space="preserve"> lengthy</w:t>
      </w:r>
      <w:r w:rsidR="005E6C79" w:rsidRPr="008D659D">
        <w:rPr>
          <w:rFonts w:ascii="Century Schoolbook" w:hAnsi="Century Schoolbook"/>
        </w:rPr>
        <w:t xml:space="preserve"> article about Jenkins and her decision to </w:t>
      </w:r>
      <w:r w:rsidR="00555C2E" w:rsidRPr="008D659D">
        <w:rPr>
          <w:rFonts w:ascii="Century Schoolbook" w:hAnsi="Century Schoolbook"/>
        </w:rPr>
        <w:t xml:space="preserve">resign and </w:t>
      </w:r>
      <w:r w:rsidR="005E6C79" w:rsidRPr="008D659D">
        <w:rPr>
          <w:rFonts w:ascii="Century Schoolbook" w:hAnsi="Century Schoolbook"/>
        </w:rPr>
        <w:t xml:space="preserve">join the recall campaign. </w:t>
      </w:r>
    </w:p>
    <w:p w14:paraId="6ED68AB6" w14:textId="78CB0507" w:rsidR="00BE34AB" w:rsidRDefault="005E6C79" w:rsidP="00D60CAC">
      <w:pPr>
        <w:pStyle w:val="BodyText"/>
        <w:widowControl/>
        <w:spacing w:line="360" w:lineRule="auto"/>
        <w:ind w:left="0" w:firstLine="720"/>
        <w:rPr>
          <w:rFonts w:ascii="Century Schoolbook" w:hAnsi="Century Schoolbook"/>
        </w:rPr>
      </w:pPr>
      <w:r w:rsidRPr="008D659D">
        <w:rPr>
          <w:rFonts w:ascii="Century Schoolbook" w:hAnsi="Century Schoolbook"/>
        </w:rPr>
        <w:t>Published by the Chronicle on October 24, 2021, the article d</w:t>
      </w:r>
      <w:r w:rsidR="00027C10" w:rsidRPr="008D659D">
        <w:rPr>
          <w:rFonts w:ascii="Century Schoolbook" w:hAnsi="Century Schoolbook"/>
        </w:rPr>
        <w:t>iscuss</w:t>
      </w:r>
      <w:r w:rsidRPr="008D659D">
        <w:rPr>
          <w:rFonts w:ascii="Century Schoolbook" w:hAnsi="Century Schoolbook"/>
        </w:rPr>
        <w:t xml:space="preserve">ed Jenkins’s reasons for leaving the Office and joining the recall campaign.  </w:t>
      </w:r>
      <w:r w:rsidR="006C11F9" w:rsidRPr="008D659D">
        <w:rPr>
          <w:rFonts w:ascii="Century Schoolbook" w:hAnsi="Century Schoolbook"/>
        </w:rPr>
        <w:t>It</w:t>
      </w:r>
      <w:r w:rsidRPr="008D659D">
        <w:rPr>
          <w:rFonts w:ascii="Century Schoolbook" w:hAnsi="Century Schoolbook"/>
        </w:rPr>
        <w:t xml:space="preserve"> began by observing that “this is personal for Jenkins” because her husband’s family had been “devastated” by the </w:t>
      </w:r>
      <w:r w:rsidR="00117555">
        <w:rPr>
          <w:rFonts w:ascii="Century Schoolbook" w:hAnsi="Century Schoolbook"/>
        </w:rPr>
        <w:t>death</w:t>
      </w:r>
      <w:r w:rsidR="00117555" w:rsidRPr="008D659D">
        <w:rPr>
          <w:rFonts w:ascii="Century Schoolbook" w:hAnsi="Century Schoolbook"/>
        </w:rPr>
        <w:t xml:space="preserve"> </w:t>
      </w:r>
      <w:r w:rsidRPr="008D659D">
        <w:rPr>
          <w:rFonts w:ascii="Century Schoolbook" w:hAnsi="Century Schoolbook"/>
        </w:rPr>
        <w:t xml:space="preserve">of Mallory.  </w:t>
      </w:r>
      <w:r w:rsidR="006C11F9" w:rsidRPr="008D659D">
        <w:rPr>
          <w:rFonts w:ascii="Century Schoolbook" w:hAnsi="Century Schoolbook"/>
        </w:rPr>
        <w:t>In the article, Jenkins</w:t>
      </w:r>
      <w:r w:rsidRPr="008D659D">
        <w:rPr>
          <w:rFonts w:ascii="Century Schoolbook" w:hAnsi="Century Schoolbook"/>
        </w:rPr>
        <w:t xml:space="preserve"> </w:t>
      </w:r>
      <w:r w:rsidR="00FC684F" w:rsidRPr="008D659D">
        <w:rPr>
          <w:rFonts w:ascii="Century Schoolbook" w:hAnsi="Century Schoolbook"/>
        </w:rPr>
        <w:t xml:space="preserve">accused Boudin of “prioritizing ideology and politics over the </w:t>
      </w:r>
    </w:p>
    <w:p w14:paraId="27859909" w14:textId="767B2F67" w:rsidR="00080FCC" w:rsidRPr="008D659D" w:rsidRDefault="00FC684F" w:rsidP="00BE34AB">
      <w:pPr>
        <w:pStyle w:val="BodyText"/>
        <w:widowControl/>
        <w:spacing w:line="360" w:lineRule="auto"/>
        <w:ind w:left="0"/>
        <w:rPr>
          <w:rFonts w:ascii="Century Schoolbook" w:hAnsi="Century Schoolbook"/>
        </w:rPr>
      </w:pPr>
      <w:r w:rsidRPr="008D659D">
        <w:rPr>
          <w:rFonts w:ascii="Century Schoolbook" w:hAnsi="Century Schoolbook"/>
        </w:rPr>
        <w:t xml:space="preserve">day-to-day handling of cases” and </w:t>
      </w:r>
      <w:r w:rsidR="005E6C79" w:rsidRPr="008D659D">
        <w:rPr>
          <w:rFonts w:ascii="Century Schoolbook" w:hAnsi="Century Schoolbook"/>
        </w:rPr>
        <w:t xml:space="preserve">described the </w:t>
      </w:r>
      <w:r w:rsidRPr="008D659D">
        <w:rPr>
          <w:rFonts w:ascii="Century Schoolbook" w:hAnsi="Century Schoolbook"/>
        </w:rPr>
        <w:t>Office as “ ‘a sinking ship . . . like the Titanic</w:t>
      </w:r>
      <w:r w:rsidR="002979D5" w:rsidRPr="008D659D">
        <w:rPr>
          <w:rFonts w:ascii="Century Schoolbook" w:hAnsi="Century Schoolbook"/>
        </w:rPr>
        <w:t xml:space="preserve">’ </w:t>
      </w:r>
      <w:r w:rsidR="00027C10" w:rsidRPr="008D659D">
        <w:rPr>
          <w:rFonts w:ascii="Century Schoolbook" w:hAnsi="Century Schoolbook"/>
        </w:rPr>
        <w:t>” that is “</w:t>
      </w:r>
      <w:r w:rsidR="002979D5" w:rsidRPr="008D659D">
        <w:rPr>
          <w:rFonts w:ascii="Century Schoolbook" w:hAnsi="Century Schoolbook"/>
        </w:rPr>
        <w:t xml:space="preserve"> ‘</w:t>
      </w:r>
      <w:r w:rsidRPr="008D659D">
        <w:rPr>
          <w:rFonts w:ascii="Century Schoolbook" w:hAnsi="Century Schoolbook"/>
        </w:rPr>
        <w:t xml:space="preserve">taking public safety along with it.’ ”  </w:t>
      </w:r>
    </w:p>
    <w:p w14:paraId="0508EC50" w14:textId="420221D3" w:rsidR="00FC684F" w:rsidRPr="008D659D" w:rsidRDefault="00FC684F" w:rsidP="00D60CAC">
      <w:pPr>
        <w:pStyle w:val="BodyText"/>
        <w:widowControl/>
        <w:spacing w:line="360" w:lineRule="auto"/>
        <w:ind w:left="0" w:firstLine="720"/>
        <w:rPr>
          <w:rFonts w:ascii="Century Schoolbook" w:hAnsi="Century Schoolbook"/>
        </w:rPr>
      </w:pPr>
      <w:r w:rsidRPr="008D659D">
        <w:rPr>
          <w:rFonts w:ascii="Century Schoolbook" w:hAnsi="Century Schoolbook"/>
        </w:rPr>
        <w:t xml:space="preserve">Jenkins also </w:t>
      </w:r>
      <w:r w:rsidR="00555C2E" w:rsidRPr="008D659D">
        <w:rPr>
          <w:rFonts w:ascii="Century Schoolbook" w:hAnsi="Century Schoolbook"/>
        </w:rPr>
        <w:t>talked</w:t>
      </w:r>
      <w:r w:rsidRPr="008D659D">
        <w:rPr>
          <w:rFonts w:ascii="Century Schoolbook" w:hAnsi="Century Schoolbook"/>
        </w:rPr>
        <w:t xml:space="preserve"> about the Mallory case.  The article reported that Mallory, “[a]ccording to Jenkins,” “was an innocent bystander in a gang dispute.”  Jenkins then criticized the Office for refusing to file “felony charges of gang conspiracy” against Mitchell and Pomar</w:t>
      </w:r>
      <w:r w:rsidR="006C11F9" w:rsidRPr="008D659D">
        <w:rPr>
          <w:rFonts w:ascii="Century Schoolbook" w:hAnsi="Century Schoolbook"/>
        </w:rPr>
        <w:t xml:space="preserve"> in the Mallory case</w:t>
      </w:r>
      <w:r w:rsidRPr="008D659D">
        <w:rPr>
          <w:rFonts w:ascii="Century Schoolbook" w:hAnsi="Century Schoolbook"/>
        </w:rPr>
        <w:t xml:space="preserve">. </w:t>
      </w:r>
      <w:bookmarkStart w:id="3" w:name="_Hlk142395104"/>
      <w:r w:rsidRPr="008D659D">
        <w:rPr>
          <w:rFonts w:ascii="Century Schoolbook" w:hAnsi="Century Schoolbook"/>
        </w:rPr>
        <w:t xml:space="preserve"> </w:t>
      </w:r>
      <w:bookmarkEnd w:id="3"/>
      <w:r w:rsidRPr="008D659D">
        <w:rPr>
          <w:rFonts w:ascii="Century Schoolbook" w:hAnsi="Century Schoolbook"/>
        </w:rPr>
        <w:t xml:space="preserve">As the article explained, Jenkins “wanted those charges filed against </w:t>
      </w:r>
      <w:r w:rsidR="00555C2E" w:rsidRPr="008D659D">
        <w:rPr>
          <w:rFonts w:ascii="Century Schoolbook" w:hAnsi="Century Schoolbook"/>
        </w:rPr>
        <w:t>[Mitchell and Pomar]</w:t>
      </w:r>
      <w:r w:rsidRPr="008D659D">
        <w:rPr>
          <w:rFonts w:ascii="Century Schoolbook" w:hAnsi="Century Schoolbook"/>
        </w:rPr>
        <w:t xml:space="preserve">, seeing them as the only way for prosecutors to make a case.”  </w:t>
      </w:r>
      <w:r w:rsidRPr="008D659D">
        <w:rPr>
          <w:rFonts w:ascii="Century Schoolbook" w:hAnsi="Century Schoolbook"/>
        </w:rPr>
        <w:lastRenderedPageBreak/>
        <w:t xml:space="preserve">Because the Office declined to pursue </w:t>
      </w:r>
      <w:r w:rsidR="00027C10" w:rsidRPr="008D659D">
        <w:rPr>
          <w:rFonts w:ascii="Century Schoolbook" w:hAnsi="Century Schoolbook"/>
        </w:rPr>
        <w:t>those</w:t>
      </w:r>
      <w:r w:rsidRPr="008D659D">
        <w:rPr>
          <w:rFonts w:ascii="Century Schoolbook" w:hAnsi="Century Schoolbook"/>
        </w:rPr>
        <w:t xml:space="preserve"> </w:t>
      </w:r>
      <w:r w:rsidR="008A40B6" w:rsidRPr="008D659D">
        <w:rPr>
          <w:rFonts w:ascii="Century Schoolbook" w:hAnsi="Century Schoolbook"/>
        </w:rPr>
        <w:t xml:space="preserve">gang </w:t>
      </w:r>
      <w:r w:rsidRPr="008D659D">
        <w:rPr>
          <w:rFonts w:ascii="Century Schoolbook" w:hAnsi="Century Schoolbook"/>
        </w:rPr>
        <w:t>charges</w:t>
      </w:r>
      <w:r w:rsidR="00E4026B" w:rsidRPr="008D659D">
        <w:rPr>
          <w:rFonts w:ascii="Century Schoolbook" w:hAnsi="Century Schoolbook"/>
        </w:rPr>
        <w:t xml:space="preserve"> due to Boudin’s resistance</w:t>
      </w:r>
      <w:r w:rsidRPr="008D659D">
        <w:rPr>
          <w:rFonts w:ascii="Century Schoolbook" w:hAnsi="Century Schoolbook"/>
        </w:rPr>
        <w:t xml:space="preserve">, “Jenkins said she doubt[ed] the case w[ould] hold up in court.” </w:t>
      </w:r>
    </w:p>
    <w:p w14:paraId="7949C86C" w14:textId="0BA0D77D" w:rsidR="007D577B" w:rsidRPr="008D659D" w:rsidRDefault="007D577B" w:rsidP="00D60CAC">
      <w:pPr>
        <w:pStyle w:val="BodyText"/>
        <w:widowControl/>
        <w:spacing w:line="360" w:lineRule="auto"/>
        <w:ind w:left="0" w:firstLine="720"/>
        <w:rPr>
          <w:rFonts w:ascii="Century Schoolbook" w:hAnsi="Century Schoolbook"/>
        </w:rPr>
      </w:pPr>
      <w:r w:rsidRPr="008D659D">
        <w:rPr>
          <w:rFonts w:ascii="Century Schoolbook" w:hAnsi="Century Schoolbook"/>
        </w:rPr>
        <w:t>Finally</w:t>
      </w:r>
      <w:r w:rsidR="00F93DD9" w:rsidRPr="008D659D">
        <w:rPr>
          <w:rFonts w:ascii="Century Schoolbook" w:hAnsi="Century Schoolbook"/>
        </w:rPr>
        <w:t xml:space="preserve">, Jenkins observed </w:t>
      </w:r>
      <w:r w:rsidR="00DD179B" w:rsidRPr="008D659D">
        <w:rPr>
          <w:rFonts w:ascii="Century Schoolbook" w:hAnsi="Century Schoolbook"/>
        </w:rPr>
        <w:t xml:space="preserve">in the article </w:t>
      </w:r>
      <w:r w:rsidR="00F93DD9" w:rsidRPr="008D659D">
        <w:rPr>
          <w:rFonts w:ascii="Century Schoolbook" w:hAnsi="Century Schoolbook"/>
        </w:rPr>
        <w:t>that Pomar “allegedly injured a 13-year</w:t>
      </w:r>
      <w:r w:rsidR="00027C10" w:rsidRPr="008D659D">
        <w:rPr>
          <w:rFonts w:ascii="Century Schoolbook" w:hAnsi="Century Schoolbook"/>
        </w:rPr>
        <w:t>-</w:t>
      </w:r>
      <w:r w:rsidR="00F93DD9" w:rsidRPr="008D659D">
        <w:rPr>
          <w:rFonts w:ascii="Century Schoolbook" w:hAnsi="Century Schoolbook"/>
        </w:rPr>
        <w:t xml:space="preserve">old child in his car and, weeks later, allegedly committed attempted murder” soon after he </w:t>
      </w:r>
      <w:r w:rsidR="00555C2E" w:rsidRPr="008D659D">
        <w:rPr>
          <w:rFonts w:ascii="Century Schoolbook" w:hAnsi="Century Schoolbook"/>
        </w:rPr>
        <w:t>was</w:t>
      </w:r>
      <w:r w:rsidR="00F93DD9" w:rsidRPr="008D659D">
        <w:rPr>
          <w:rFonts w:ascii="Century Schoolbook" w:hAnsi="Century Schoolbook"/>
        </w:rPr>
        <w:t xml:space="preserve"> released from custody in the Mallory case.  According to Jenkins, Pomar would not have committed those </w:t>
      </w:r>
      <w:r w:rsidR="00027C10" w:rsidRPr="008D659D">
        <w:rPr>
          <w:rFonts w:ascii="Century Schoolbook" w:hAnsi="Century Schoolbook"/>
        </w:rPr>
        <w:t>additional</w:t>
      </w:r>
      <w:r w:rsidR="00F93DD9" w:rsidRPr="008D659D">
        <w:rPr>
          <w:rFonts w:ascii="Century Schoolbook" w:hAnsi="Century Schoolbook"/>
        </w:rPr>
        <w:t xml:space="preserve"> crimes “if he had been held on Mallory’s murder.” </w:t>
      </w:r>
    </w:p>
    <w:p w14:paraId="5EB06594" w14:textId="6B7C7C88" w:rsidR="00940A2E" w:rsidRPr="008D659D" w:rsidRDefault="00E4026B" w:rsidP="00D60CAC">
      <w:pPr>
        <w:pStyle w:val="BodyText"/>
        <w:widowControl/>
        <w:spacing w:line="360" w:lineRule="auto"/>
        <w:ind w:left="0" w:firstLine="720"/>
        <w:rPr>
          <w:rFonts w:ascii="Century Schoolbook" w:hAnsi="Century Schoolbook"/>
        </w:rPr>
      </w:pPr>
      <w:r w:rsidRPr="008D659D">
        <w:rPr>
          <w:rFonts w:ascii="Century Schoolbook" w:hAnsi="Century Schoolbook"/>
        </w:rPr>
        <w:t xml:space="preserve">San Francisco voters recalled Boudin on June 7, 2022.  </w:t>
      </w:r>
      <w:r w:rsidR="00555C2E" w:rsidRPr="008D659D">
        <w:rPr>
          <w:rFonts w:ascii="Century Schoolbook" w:hAnsi="Century Schoolbook"/>
        </w:rPr>
        <w:t>One month later, o</w:t>
      </w:r>
      <w:r w:rsidRPr="008D659D">
        <w:rPr>
          <w:rFonts w:ascii="Century Schoolbook" w:hAnsi="Century Schoolbook"/>
        </w:rPr>
        <w:t xml:space="preserve">n July 7, 2022, San Francisco Mayor London Breed announced </w:t>
      </w:r>
      <w:r w:rsidR="00555C2E" w:rsidRPr="008D659D">
        <w:rPr>
          <w:rFonts w:ascii="Century Schoolbook" w:hAnsi="Century Schoolbook"/>
        </w:rPr>
        <w:t>the</w:t>
      </w:r>
      <w:r w:rsidR="00027C10" w:rsidRPr="008D659D">
        <w:rPr>
          <w:rFonts w:ascii="Century Schoolbook" w:hAnsi="Century Schoolbook"/>
        </w:rPr>
        <w:t xml:space="preserve"> appointment of</w:t>
      </w:r>
      <w:r w:rsidRPr="008D659D">
        <w:rPr>
          <w:rFonts w:ascii="Century Schoolbook" w:hAnsi="Century Schoolbook"/>
        </w:rPr>
        <w:t xml:space="preserve"> Jenkins “as the Interim District Attorney to head the” Office.  </w:t>
      </w:r>
    </w:p>
    <w:p w14:paraId="5EEDDCAB" w14:textId="43FCF6B5" w:rsidR="00E4026B" w:rsidRPr="008D659D" w:rsidRDefault="00940A2E" w:rsidP="00D60CAC">
      <w:pPr>
        <w:pStyle w:val="BodyText"/>
        <w:widowControl/>
        <w:spacing w:line="360" w:lineRule="auto"/>
        <w:ind w:left="0" w:firstLine="720"/>
        <w:rPr>
          <w:rFonts w:ascii="Century Schoolbook" w:hAnsi="Century Schoolbook"/>
        </w:rPr>
      </w:pPr>
      <w:r w:rsidRPr="008D659D">
        <w:rPr>
          <w:rFonts w:ascii="Century Schoolbook" w:hAnsi="Century Schoolbook"/>
        </w:rPr>
        <w:t>As soon as he learned about Jenkins’s appointment</w:t>
      </w:r>
      <w:r w:rsidR="00C95235" w:rsidRPr="008D659D">
        <w:rPr>
          <w:rFonts w:ascii="Century Schoolbook" w:hAnsi="Century Schoolbook"/>
        </w:rPr>
        <w:t xml:space="preserve"> on July 7</w:t>
      </w:r>
      <w:r w:rsidRPr="008D659D">
        <w:rPr>
          <w:rFonts w:ascii="Century Schoolbook" w:hAnsi="Century Schoolbook"/>
        </w:rPr>
        <w:t xml:space="preserve">, </w:t>
      </w:r>
      <w:r w:rsidR="00E4026B" w:rsidRPr="008D659D">
        <w:rPr>
          <w:rFonts w:ascii="Century Schoolbook" w:hAnsi="Century Schoolbook"/>
        </w:rPr>
        <w:t>Layco</w:t>
      </w:r>
      <w:r w:rsidR="00182DD6">
        <w:rPr>
          <w:rFonts w:ascii="Century Schoolbook" w:hAnsi="Century Schoolbook"/>
        </w:rPr>
        <w:t>o</w:t>
      </w:r>
      <w:r w:rsidR="00E4026B" w:rsidRPr="008D659D">
        <w:rPr>
          <w:rFonts w:ascii="Century Schoolbook" w:hAnsi="Century Schoolbook"/>
        </w:rPr>
        <w:t xml:space="preserve">k contacted Merin “about what precautionary steps” the Office “could take immediately to ensure the preservation/renewal of the ethical wall between” Jenkins “and </w:t>
      </w:r>
      <w:r w:rsidR="00D8200C" w:rsidRPr="008D659D">
        <w:rPr>
          <w:rFonts w:ascii="Century Schoolbook" w:hAnsi="Century Schoolbook"/>
        </w:rPr>
        <w:t>[</w:t>
      </w:r>
      <w:r w:rsidR="00E4026B" w:rsidRPr="008D659D">
        <w:rPr>
          <w:rFonts w:ascii="Century Schoolbook" w:hAnsi="Century Schoolbook"/>
        </w:rPr>
        <w:t>th</w:t>
      </w:r>
      <w:r w:rsidR="00636304" w:rsidRPr="008D659D">
        <w:rPr>
          <w:rFonts w:ascii="Century Schoolbook" w:hAnsi="Century Schoolbook"/>
        </w:rPr>
        <w:t>e</w:t>
      </w:r>
      <w:r w:rsidR="009E4E42">
        <w:rPr>
          <w:rFonts w:ascii="Century Schoolbook" w:hAnsi="Century Schoolbook"/>
        </w:rPr>
        <w:t xml:space="preserve"> Mallory</w:t>
      </w:r>
      <w:r w:rsidR="00D8200C" w:rsidRPr="008D659D">
        <w:rPr>
          <w:rFonts w:ascii="Century Schoolbook" w:hAnsi="Century Schoolbook"/>
        </w:rPr>
        <w:t>]</w:t>
      </w:r>
      <w:r w:rsidR="00E4026B" w:rsidRPr="008D659D">
        <w:rPr>
          <w:rFonts w:ascii="Century Schoolbook" w:hAnsi="Century Schoolbook"/>
        </w:rPr>
        <w:t xml:space="preserve"> case once she was sworn-in as District Attorney.”  </w:t>
      </w:r>
      <w:r w:rsidRPr="008D659D">
        <w:rPr>
          <w:rFonts w:ascii="Century Schoolbook" w:hAnsi="Century Schoolbook"/>
        </w:rPr>
        <w:t xml:space="preserve">That same day, Merin directed the Office’s </w:t>
      </w:r>
      <w:r w:rsidR="00C95235" w:rsidRPr="008D659D">
        <w:rPr>
          <w:rFonts w:ascii="Century Schoolbook" w:hAnsi="Century Schoolbook"/>
        </w:rPr>
        <w:t>“</w:t>
      </w:r>
      <w:r w:rsidRPr="008D659D">
        <w:rPr>
          <w:rFonts w:ascii="Century Schoolbook" w:hAnsi="Century Schoolbook"/>
        </w:rPr>
        <w:t>IT Team and other staff to ‘wall off’</w:t>
      </w:r>
      <w:r w:rsidR="00C95235" w:rsidRPr="008D659D">
        <w:rPr>
          <w:rFonts w:ascii="Century Schoolbook" w:hAnsi="Century Schoolbook"/>
        </w:rPr>
        <w:t xml:space="preserve"> ”</w:t>
      </w:r>
      <w:r w:rsidRPr="008D659D">
        <w:rPr>
          <w:rFonts w:ascii="Century Schoolbook" w:hAnsi="Century Schoolbook"/>
        </w:rPr>
        <w:t xml:space="preserve"> Jenkins</w:t>
      </w:r>
      <w:r w:rsidR="00555C2E" w:rsidRPr="008D659D">
        <w:rPr>
          <w:rFonts w:ascii="Century Schoolbook" w:hAnsi="Century Schoolbook"/>
        </w:rPr>
        <w:t xml:space="preserve"> from th</w:t>
      </w:r>
      <w:r w:rsidR="00636304" w:rsidRPr="008D659D">
        <w:rPr>
          <w:rFonts w:ascii="Century Schoolbook" w:hAnsi="Century Schoolbook"/>
        </w:rPr>
        <w:t>e</w:t>
      </w:r>
      <w:r w:rsidR="00555C2E" w:rsidRPr="008D659D">
        <w:rPr>
          <w:rFonts w:ascii="Century Schoolbook" w:hAnsi="Century Schoolbook"/>
        </w:rPr>
        <w:t xml:space="preserve"> case</w:t>
      </w:r>
      <w:r w:rsidRPr="008D659D">
        <w:rPr>
          <w:rFonts w:ascii="Century Schoolbook" w:hAnsi="Century Schoolbook"/>
        </w:rPr>
        <w:t xml:space="preserve">. </w:t>
      </w:r>
    </w:p>
    <w:p w14:paraId="06B82F1E" w14:textId="78EFB058" w:rsidR="00940A2E" w:rsidRPr="008D659D" w:rsidRDefault="00940A2E" w:rsidP="00D60CAC">
      <w:pPr>
        <w:pStyle w:val="BodyText"/>
        <w:widowControl/>
        <w:spacing w:line="360" w:lineRule="auto"/>
        <w:ind w:left="0" w:firstLine="720"/>
        <w:rPr>
          <w:rFonts w:ascii="Century Schoolbook" w:hAnsi="Century Schoolbook"/>
        </w:rPr>
      </w:pPr>
      <w:r w:rsidRPr="008D659D">
        <w:rPr>
          <w:rFonts w:ascii="Century Schoolbook" w:hAnsi="Century Schoolbook"/>
        </w:rPr>
        <w:t xml:space="preserve">At the request of </w:t>
      </w:r>
      <w:r w:rsidR="00555C2E" w:rsidRPr="008D659D">
        <w:rPr>
          <w:rFonts w:ascii="Century Schoolbook" w:hAnsi="Century Schoolbook"/>
        </w:rPr>
        <w:t>the trial court</w:t>
      </w:r>
      <w:r w:rsidRPr="008D659D">
        <w:rPr>
          <w:rFonts w:ascii="Century Schoolbook" w:hAnsi="Century Schoolbook"/>
        </w:rPr>
        <w:t>, Layco</w:t>
      </w:r>
      <w:r w:rsidR="00182DD6">
        <w:rPr>
          <w:rFonts w:ascii="Century Schoolbook" w:hAnsi="Century Schoolbook"/>
        </w:rPr>
        <w:t>o</w:t>
      </w:r>
      <w:r w:rsidRPr="008D659D">
        <w:rPr>
          <w:rFonts w:ascii="Century Schoolbook" w:hAnsi="Century Schoolbook"/>
        </w:rPr>
        <w:t xml:space="preserve">k also contacted the Attorney General’s Office (Attorney General) “about whether they would provide a letter to the court” on the </w:t>
      </w:r>
      <w:r w:rsidR="00555C2E" w:rsidRPr="008D659D">
        <w:rPr>
          <w:rFonts w:ascii="Century Schoolbook" w:hAnsi="Century Schoolbook"/>
        </w:rPr>
        <w:t>need, if any, for</w:t>
      </w:r>
      <w:r w:rsidRPr="008D659D">
        <w:rPr>
          <w:rFonts w:ascii="Century Schoolbook" w:hAnsi="Century Schoolbook"/>
        </w:rPr>
        <w:t xml:space="preserve"> recusals under section 1424.  On July 8, 2022, the Attorney General sent a letter to </w:t>
      </w:r>
      <w:r w:rsidR="00555C2E" w:rsidRPr="008D659D">
        <w:rPr>
          <w:rFonts w:ascii="Century Schoolbook" w:hAnsi="Century Schoolbook"/>
        </w:rPr>
        <w:t>the court</w:t>
      </w:r>
      <w:r w:rsidRPr="008D659D">
        <w:rPr>
          <w:rFonts w:ascii="Century Schoolbook" w:hAnsi="Century Schoolbook"/>
        </w:rPr>
        <w:t xml:space="preserve">, arguing that the “ ‘ethical wall’ ” instituted by the Office “negates any need for recusal.” </w:t>
      </w:r>
      <w:r w:rsidR="00C95235" w:rsidRPr="008D659D">
        <w:rPr>
          <w:rFonts w:ascii="Century Schoolbook" w:hAnsi="Century Schoolbook"/>
        </w:rPr>
        <w:t xml:space="preserve"> The letter did not, however, </w:t>
      </w:r>
      <w:r w:rsidR="00555C2E" w:rsidRPr="008D659D">
        <w:rPr>
          <w:rFonts w:ascii="Century Schoolbook" w:hAnsi="Century Schoolbook"/>
        </w:rPr>
        <w:t>mention</w:t>
      </w:r>
      <w:r w:rsidR="00C95235" w:rsidRPr="008D659D">
        <w:rPr>
          <w:rFonts w:ascii="Century Schoolbook" w:hAnsi="Century Schoolbook"/>
        </w:rPr>
        <w:t xml:space="preserve"> </w:t>
      </w:r>
      <w:r w:rsidR="00555C2E" w:rsidRPr="008D659D">
        <w:rPr>
          <w:rFonts w:ascii="Century Schoolbook" w:hAnsi="Century Schoolbook"/>
        </w:rPr>
        <w:t xml:space="preserve">Jenkins’s </w:t>
      </w:r>
      <w:r w:rsidR="00C95235" w:rsidRPr="008D659D">
        <w:rPr>
          <w:rFonts w:ascii="Century Schoolbook" w:hAnsi="Century Schoolbook"/>
        </w:rPr>
        <w:t xml:space="preserve">statements </w:t>
      </w:r>
      <w:r w:rsidR="001800B2" w:rsidRPr="008D659D">
        <w:rPr>
          <w:rFonts w:ascii="Century Schoolbook" w:hAnsi="Century Schoolbook"/>
        </w:rPr>
        <w:t xml:space="preserve">in the press </w:t>
      </w:r>
      <w:r w:rsidR="00555C2E" w:rsidRPr="008D659D">
        <w:rPr>
          <w:rFonts w:ascii="Century Schoolbook" w:hAnsi="Century Schoolbook"/>
        </w:rPr>
        <w:t xml:space="preserve">about the Mallory </w:t>
      </w:r>
      <w:r w:rsidR="001800B2" w:rsidRPr="008D659D">
        <w:rPr>
          <w:rFonts w:ascii="Century Schoolbook" w:hAnsi="Century Schoolbook"/>
        </w:rPr>
        <w:t>case</w:t>
      </w:r>
      <w:r w:rsidR="00C95235" w:rsidRPr="008D659D">
        <w:rPr>
          <w:rFonts w:ascii="Century Schoolbook" w:hAnsi="Century Schoolbook"/>
        </w:rPr>
        <w:t xml:space="preserve">. </w:t>
      </w:r>
    </w:p>
    <w:p w14:paraId="11E4D26C" w14:textId="4543A54D" w:rsidR="00940A2E" w:rsidRPr="008D659D" w:rsidRDefault="00C95235" w:rsidP="00D60CAC">
      <w:pPr>
        <w:pStyle w:val="BodyText"/>
        <w:widowControl/>
        <w:spacing w:line="360" w:lineRule="auto"/>
        <w:ind w:left="0" w:firstLine="720"/>
        <w:rPr>
          <w:rFonts w:ascii="Century Schoolbook" w:hAnsi="Century Schoolbook"/>
        </w:rPr>
      </w:pPr>
      <w:r w:rsidRPr="008D659D">
        <w:rPr>
          <w:rFonts w:ascii="Century Schoolbook" w:hAnsi="Century Schoolbook"/>
        </w:rPr>
        <w:t>In a hearing on July 8, 2022, counsel for Mitchell invited the Office to recuse itself from the Mallory case.  Layco</w:t>
      </w:r>
      <w:r w:rsidR="007F5226">
        <w:rPr>
          <w:rFonts w:ascii="Century Schoolbook" w:hAnsi="Century Schoolbook"/>
        </w:rPr>
        <w:t>o</w:t>
      </w:r>
      <w:r w:rsidRPr="008D659D">
        <w:rPr>
          <w:rFonts w:ascii="Century Schoolbook" w:hAnsi="Century Schoolbook"/>
        </w:rPr>
        <w:t xml:space="preserve">k declined to do so on behalf of the Office. </w:t>
      </w:r>
    </w:p>
    <w:p w14:paraId="76CBD982" w14:textId="4F295ABB" w:rsidR="007D6097" w:rsidRPr="008D659D" w:rsidRDefault="007D6097" w:rsidP="00D60CAC">
      <w:pPr>
        <w:pStyle w:val="BodyText"/>
        <w:widowControl/>
        <w:spacing w:line="360" w:lineRule="auto"/>
        <w:ind w:left="0" w:firstLine="720"/>
        <w:rPr>
          <w:rFonts w:ascii="Century Schoolbook" w:hAnsi="Century Schoolbook"/>
        </w:rPr>
      </w:pPr>
      <w:r w:rsidRPr="008D659D">
        <w:rPr>
          <w:rFonts w:ascii="Century Schoolbook" w:hAnsi="Century Schoolbook"/>
        </w:rPr>
        <w:lastRenderedPageBreak/>
        <w:t xml:space="preserve">On or about July 19, 2022, Merin asked the Attorney General to </w:t>
      </w:r>
      <w:r w:rsidR="007F5226">
        <w:rPr>
          <w:rFonts w:ascii="Century Schoolbook" w:hAnsi="Century Schoolbook"/>
        </w:rPr>
        <w:br/>
      </w:r>
      <w:r w:rsidRPr="008D659D">
        <w:rPr>
          <w:rFonts w:ascii="Century Schoolbook" w:hAnsi="Century Schoolbook"/>
        </w:rPr>
        <w:t xml:space="preserve">“ ‘assume prosecution of the </w:t>
      </w:r>
      <w:r w:rsidR="00555C2E" w:rsidRPr="008D659D">
        <w:rPr>
          <w:rFonts w:ascii="Century Schoolbook" w:hAnsi="Century Schoolbook"/>
        </w:rPr>
        <w:t>[Mallory]</w:t>
      </w:r>
      <w:r w:rsidRPr="008D659D">
        <w:rPr>
          <w:rFonts w:ascii="Century Schoolbook" w:hAnsi="Century Schoolbook"/>
        </w:rPr>
        <w:t xml:space="preserve"> case in’ ” the Office’s place.  The A</w:t>
      </w:r>
      <w:r w:rsidR="00EF161D" w:rsidRPr="008D659D">
        <w:rPr>
          <w:rFonts w:ascii="Century Schoolbook" w:hAnsi="Century Schoolbook"/>
        </w:rPr>
        <w:t>ttorney General</w:t>
      </w:r>
      <w:r w:rsidRPr="008D659D">
        <w:rPr>
          <w:rFonts w:ascii="Century Schoolbook" w:hAnsi="Century Schoolbook"/>
        </w:rPr>
        <w:t xml:space="preserve"> </w:t>
      </w:r>
      <w:r w:rsidR="00555C2E" w:rsidRPr="008D659D">
        <w:rPr>
          <w:rFonts w:ascii="Century Schoolbook" w:hAnsi="Century Schoolbook"/>
        </w:rPr>
        <w:t xml:space="preserve">sent a letter to the Office </w:t>
      </w:r>
      <w:r w:rsidRPr="008D659D">
        <w:rPr>
          <w:rFonts w:ascii="Century Schoolbook" w:hAnsi="Century Schoolbook"/>
        </w:rPr>
        <w:t xml:space="preserve">on July 22, 2022, </w:t>
      </w:r>
      <w:r w:rsidR="00555C2E" w:rsidRPr="008D659D">
        <w:rPr>
          <w:rFonts w:ascii="Century Schoolbook" w:hAnsi="Century Schoolbook"/>
        </w:rPr>
        <w:t xml:space="preserve">declining to </w:t>
      </w:r>
      <w:r w:rsidR="007F5226">
        <w:rPr>
          <w:rFonts w:ascii="Century Schoolbook" w:hAnsi="Century Schoolbook"/>
        </w:rPr>
        <w:t>do so</w:t>
      </w:r>
      <w:r w:rsidR="00555C2E" w:rsidRPr="008D659D">
        <w:rPr>
          <w:rFonts w:ascii="Century Schoolbook" w:hAnsi="Century Schoolbook"/>
        </w:rPr>
        <w:t xml:space="preserve"> because</w:t>
      </w:r>
      <w:r w:rsidRPr="008D659D">
        <w:rPr>
          <w:rFonts w:ascii="Century Schoolbook" w:hAnsi="Century Schoolbook"/>
        </w:rPr>
        <w:t xml:space="preserve"> “the ethical wall protocols . . . put into place from the inception of the case” are “appropriate, fully effective, and more than compliant with legal requirements.”  </w:t>
      </w:r>
      <w:r w:rsidR="00555C2E" w:rsidRPr="008D659D">
        <w:rPr>
          <w:rFonts w:ascii="Century Schoolbook" w:hAnsi="Century Schoolbook"/>
        </w:rPr>
        <w:t>Once again</w:t>
      </w:r>
      <w:r w:rsidRPr="008D659D">
        <w:rPr>
          <w:rFonts w:ascii="Century Schoolbook" w:hAnsi="Century Schoolbook"/>
        </w:rPr>
        <w:t xml:space="preserve">, </w:t>
      </w:r>
      <w:r w:rsidR="00555C2E" w:rsidRPr="008D659D">
        <w:rPr>
          <w:rFonts w:ascii="Century Schoolbook" w:hAnsi="Century Schoolbook"/>
        </w:rPr>
        <w:t xml:space="preserve">however, </w:t>
      </w:r>
      <w:r w:rsidRPr="008D659D">
        <w:rPr>
          <w:rFonts w:ascii="Century Schoolbook" w:hAnsi="Century Schoolbook"/>
        </w:rPr>
        <w:t>the A</w:t>
      </w:r>
      <w:r w:rsidR="00027C10" w:rsidRPr="008D659D">
        <w:rPr>
          <w:rFonts w:ascii="Century Schoolbook" w:hAnsi="Century Schoolbook"/>
        </w:rPr>
        <w:t xml:space="preserve">ttorney General </w:t>
      </w:r>
      <w:r w:rsidRPr="008D659D">
        <w:rPr>
          <w:rFonts w:ascii="Century Schoolbook" w:hAnsi="Century Schoolbook"/>
        </w:rPr>
        <w:t xml:space="preserve">did not mention Jenkins’s comments </w:t>
      </w:r>
      <w:r w:rsidR="00636304" w:rsidRPr="008D659D">
        <w:rPr>
          <w:rFonts w:ascii="Century Schoolbook" w:hAnsi="Century Schoolbook"/>
        </w:rPr>
        <w:t>in</w:t>
      </w:r>
      <w:r w:rsidR="00555C2E" w:rsidRPr="008D659D">
        <w:rPr>
          <w:rFonts w:ascii="Century Schoolbook" w:hAnsi="Century Schoolbook"/>
        </w:rPr>
        <w:t xml:space="preserve"> the press about the case</w:t>
      </w:r>
      <w:r w:rsidRPr="008D659D">
        <w:rPr>
          <w:rFonts w:ascii="Century Schoolbook" w:hAnsi="Century Schoolbook"/>
        </w:rPr>
        <w:t xml:space="preserve">. </w:t>
      </w:r>
    </w:p>
    <w:p w14:paraId="4A5C6231" w14:textId="10D4DB07" w:rsidR="00636304" w:rsidRPr="008D659D" w:rsidRDefault="00636304" w:rsidP="00D60CAC">
      <w:pPr>
        <w:pStyle w:val="BodyText"/>
        <w:widowControl/>
        <w:spacing w:line="360" w:lineRule="auto"/>
        <w:ind w:left="0" w:firstLine="720"/>
        <w:rPr>
          <w:rFonts w:ascii="Century Schoolbook" w:hAnsi="Century Schoolbook"/>
        </w:rPr>
      </w:pPr>
      <w:r w:rsidRPr="008D659D">
        <w:rPr>
          <w:rFonts w:ascii="Century Schoolbook" w:hAnsi="Century Schoolbook"/>
        </w:rPr>
        <w:t xml:space="preserve">On July </w:t>
      </w:r>
      <w:r w:rsidR="005973CA">
        <w:rPr>
          <w:rFonts w:ascii="Century Schoolbook" w:hAnsi="Century Schoolbook"/>
        </w:rPr>
        <w:t>15</w:t>
      </w:r>
      <w:r w:rsidRPr="008D659D">
        <w:rPr>
          <w:rFonts w:ascii="Century Schoolbook" w:hAnsi="Century Schoolbook"/>
        </w:rPr>
        <w:t>, 2022, Ana Gonzalez became “the Chief Assistant District Attorney” and the “Acting District Attorney for</w:t>
      </w:r>
      <w:r w:rsidR="009473AB" w:rsidRPr="008D659D">
        <w:rPr>
          <w:rFonts w:ascii="Century Schoolbook" w:hAnsi="Century Schoolbook"/>
        </w:rPr>
        <w:t>”</w:t>
      </w:r>
      <w:r w:rsidRPr="008D659D">
        <w:rPr>
          <w:rFonts w:ascii="Century Schoolbook" w:hAnsi="Century Schoolbook"/>
        </w:rPr>
        <w:t xml:space="preserve"> the Mallory case. </w:t>
      </w:r>
    </w:p>
    <w:p w14:paraId="475FE587" w14:textId="794C8E4C" w:rsidR="00053963" w:rsidRPr="008D659D" w:rsidRDefault="008A597E" w:rsidP="00D60CAC">
      <w:pPr>
        <w:pStyle w:val="BodyText"/>
        <w:widowControl/>
        <w:spacing w:line="360" w:lineRule="auto"/>
        <w:ind w:left="0" w:firstLine="720"/>
        <w:rPr>
          <w:rFonts w:ascii="Century Schoolbook" w:hAnsi="Century Schoolbook"/>
        </w:rPr>
      </w:pPr>
      <w:r w:rsidRPr="008D659D">
        <w:rPr>
          <w:rFonts w:ascii="Century Schoolbook" w:hAnsi="Century Schoolbook"/>
        </w:rPr>
        <w:t xml:space="preserve">On October 20, 2022, Mitchell and Pomar filed </w:t>
      </w:r>
      <w:r w:rsidR="00B10E10" w:rsidRPr="008D659D">
        <w:rPr>
          <w:rFonts w:ascii="Century Schoolbook" w:hAnsi="Century Schoolbook"/>
        </w:rPr>
        <w:t>separate</w:t>
      </w:r>
      <w:r w:rsidRPr="008D659D">
        <w:rPr>
          <w:rFonts w:ascii="Century Schoolbook" w:hAnsi="Century Schoolbook"/>
        </w:rPr>
        <w:t xml:space="preserve"> motion</w:t>
      </w:r>
      <w:r w:rsidR="00B10E10" w:rsidRPr="008D659D">
        <w:rPr>
          <w:rFonts w:ascii="Century Schoolbook" w:hAnsi="Century Schoolbook"/>
        </w:rPr>
        <w:t>s</w:t>
      </w:r>
      <w:r w:rsidRPr="008D659D">
        <w:rPr>
          <w:rFonts w:ascii="Century Schoolbook" w:hAnsi="Century Schoolbook"/>
        </w:rPr>
        <w:t xml:space="preserve"> to disqualify the </w:t>
      </w:r>
      <w:r w:rsidR="00555C2E" w:rsidRPr="008D659D">
        <w:rPr>
          <w:rFonts w:ascii="Century Schoolbook" w:hAnsi="Century Schoolbook"/>
        </w:rPr>
        <w:t xml:space="preserve">entire </w:t>
      </w:r>
      <w:r w:rsidRPr="008D659D">
        <w:rPr>
          <w:rFonts w:ascii="Century Schoolbook" w:hAnsi="Century Schoolbook"/>
        </w:rPr>
        <w:t xml:space="preserve">Office from the Mallory case pursuant to section 1424. </w:t>
      </w:r>
      <w:r w:rsidR="00B10E10" w:rsidRPr="008D659D">
        <w:rPr>
          <w:rFonts w:ascii="Century Schoolbook" w:hAnsi="Century Schoolbook"/>
        </w:rPr>
        <w:t xml:space="preserve"> </w:t>
      </w:r>
      <w:r w:rsidR="00C17B98" w:rsidRPr="008D659D">
        <w:rPr>
          <w:rFonts w:ascii="Century Schoolbook" w:hAnsi="Century Schoolbook"/>
        </w:rPr>
        <w:t xml:space="preserve">The Attorney General opposed.  The Office </w:t>
      </w:r>
      <w:r w:rsidR="007439B4" w:rsidRPr="008D659D">
        <w:rPr>
          <w:rFonts w:ascii="Century Schoolbook" w:hAnsi="Century Schoolbook"/>
        </w:rPr>
        <w:t xml:space="preserve">did not. </w:t>
      </w:r>
      <w:r w:rsidR="00555C2E" w:rsidRPr="008D659D">
        <w:rPr>
          <w:rFonts w:ascii="Century Schoolbook" w:hAnsi="Century Schoolbook"/>
        </w:rPr>
        <w:t xml:space="preserve"> </w:t>
      </w:r>
      <w:r w:rsidR="007439B4" w:rsidRPr="008D659D">
        <w:rPr>
          <w:rFonts w:ascii="Century Schoolbook" w:hAnsi="Century Schoolbook"/>
        </w:rPr>
        <w:t xml:space="preserve">Instead, it </w:t>
      </w:r>
      <w:r w:rsidR="00C17B98" w:rsidRPr="008D659D">
        <w:rPr>
          <w:rFonts w:ascii="Century Schoolbook" w:hAnsi="Century Schoolbook"/>
        </w:rPr>
        <w:t xml:space="preserve">filed a response that simply recited the relevant procedural background. </w:t>
      </w:r>
      <w:r w:rsidR="00053963" w:rsidRPr="008D659D">
        <w:rPr>
          <w:rFonts w:ascii="Century Schoolbook" w:hAnsi="Century Schoolbook"/>
        </w:rPr>
        <w:t xml:space="preserve"> </w:t>
      </w:r>
    </w:p>
    <w:p w14:paraId="4D211520" w14:textId="1A411081" w:rsidR="00D140F0" w:rsidRPr="008D659D" w:rsidRDefault="00D140F0" w:rsidP="00D60CAC">
      <w:pPr>
        <w:pStyle w:val="BodyText"/>
        <w:widowControl/>
        <w:spacing w:line="360" w:lineRule="auto"/>
        <w:ind w:left="0" w:firstLine="720"/>
        <w:rPr>
          <w:rFonts w:ascii="Century Schoolbook" w:hAnsi="Century Schoolbook"/>
        </w:rPr>
      </w:pPr>
      <w:r w:rsidRPr="008D659D">
        <w:rPr>
          <w:rFonts w:ascii="Century Schoolbook" w:hAnsi="Century Schoolbook"/>
        </w:rPr>
        <w:t xml:space="preserve">The trial </w:t>
      </w:r>
      <w:r w:rsidR="00555C2E" w:rsidRPr="008D659D">
        <w:rPr>
          <w:rFonts w:ascii="Century Schoolbook" w:hAnsi="Century Schoolbook"/>
        </w:rPr>
        <w:t>judge</w:t>
      </w:r>
      <w:r w:rsidRPr="008D659D">
        <w:rPr>
          <w:rFonts w:ascii="Century Schoolbook" w:hAnsi="Century Schoolbook"/>
        </w:rPr>
        <w:t xml:space="preserve"> granted </w:t>
      </w:r>
      <w:r w:rsidR="007439B4" w:rsidRPr="008D659D">
        <w:rPr>
          <w:rFonts w:ascii="Century Schoolbook" w:hAnsi="Century Schoolbook"/>
        </w:rPr>
        <w:t>both</w:t>
      </w:r>
      <w:r w:rsidRPr="008D659D">
        <w:rPr>
          <w:rFonts w:ascii="Century Schoolbook" w:hAnsi="Century Schoolbook"/>
        </w:rPr>
        <w:t xml:space="preserve"> motions</w:t>
      </w:r>
      <w:r w:rsidR="00B10E10" w:rsidRPr="008D659D">
        <w:rPr>
          <w:rFonts w:ascii="Century Schoolbook" w:hAnsi="Century Schoolbook"/>
        </w:rPr>
        <w:t xml:space="preserve"> on November 30, 2022</w:t>
      </w:r>
      <w:r w:rsidRPr="008D659D">
        <w:rPr>
          <w:rFonts w:ascii="Century Schoolbook" w:hAnsi="Century Schoolbook"/>
        </w:rPr>
        <w:t xml:space="preserve">, </w:t>
      </w:r>
      <w:r w:rsidR="007439B4" w:rsidRPr="008D659D">
        <w:rPr>
          <w:rFonts w:ascii="Century Schoolbook" w:hAnsi="Century Schoolbook"/>
        </w:rPr>
        <w:t>disqualifying</w:t>
      </w:r>
      <w:r w:rsidRPr="008D659D">
        <w:rPr>
          <w:rFonts w:ascii="Century Schoolbook" w:hAnsi="Century Schoolbook"/>
        </w:rPr>
        <w:t xml:space="preserve"> the entire Office from the Mallory case. </w:t>
      </w:r>
      <w:r w:rsidR="008F62C1" w:rsidRPr="008D659D">
        <w:rPr>
          <w:rFonts w:ascii="Century Schoolbook" w:hAnsi="Century Schoolbook"/>
        </w:rPr>
        <w:t xml:space="preserve"> </w:t>
      </w:r>
      <w:r w:rsidR="00257136" w:rsidRPr="008D659D">
        <w:rPr>
          <w:rFonts w:ascii="Century Schoolbook" w:hAnsi="Century Schoolbook"/>
        </w:rPr>
        <w:t>In support</w:t>
      </w:r>
      <w:r w:rsidR="008F62C1" w:rsidRPr="008D659D">
        <w:rPr>
          <w:rFonts w:ascii="Century Schoolbook" w:hAnsi="Century Schoolbook"/>
        </w:rPr>
        <w:t xml:space="preserve">, the </w:t>
      </w:r>
      <w:r w:rsidR="00555C2E" w:rsidRPr="008D659D">
        <w:rPr>
          <w:rFonts w:ascii="Century Schoolbook" w:hAnsi="Century Schoolbook"/>
        </w:rPr>
        <w:t>judge</w:t>
      </w:r>
      <w:r w:rsidR="008F62C1" w:rsidRPr="008D659D">
        <w:rPr>
          <w:rFonts w:ascii="Century Schoolbook" w:hAnsi="Century Schoolbook"/>
        </w:rPr>
        <w:t xml:space="preserve"> took judicial notice of “the following indisputable facts”:  (1) there was a recall campaign against Boudin; (2) Jenkins joined the recall campaign shortly after resigning from the Office “on or about” October 15, 2021; (3) Jenkins spoke to the </w:t>
      </w:r>
      <w:r w:rsidR="00DD179B" w:rsidRPr="008D659D">
        <w:rPr>
          <w:rFonts w:ascii="Century Schoolbook" w:hAnsi="Century Schoolbook"/>
        </w:rPr>
        <w:t>Chronicle</w:t>
      </w:r>
      <w:r w:rsidR="008F62C1" w:rsidRPr="008D659D">
        <w:rPr>
          <w:rFonts w:ascii="Century Schoolbook" w:hAnsi="Century Schoolbook"/>
        </w:rPr>
        <w:t xml:space="preserve"> about the Mallory case on October 24, 2021 and spoke to the press about the recall campaign several other times; (4) San Francisco voters recalled Boudin on June 7, 2022; (5) </w:t>
      </w:r>
      <w:r w:rsidR="00E245C6" w:rsidRPr="008D659D">
        <w:rPr>
          <w:rFonts w:ascii="Century Schoolbook" w:hAnsi="Century Schoolbook"/>
        </w:rPr>
        <w:t xml:space="preserve">Mayor Breed announced </w:t>
      </w:r>
      <w:r w:rsidR="001800B2" w:rsidRPr="008D659D">
        <w:rPr>
          <w:rFonts w:ascii="Century Schoolbook" w:hAnsi="Century Schoolbook"/>
        </w:rPr>
        <w:t>the</w:t>
      </w:r>
      <w:r w:rsidR="00DD179B" w:rsidRPr="008D659D">
        <w:rPr>
          <w:rFonts w:ascii="Century Schoolbook" w:hAnsi="Century Schoolbook"/>
        </w:rPr>
        <w:t xml:space="preserve"> appointment of</w:t>
      </w:r>
      <w:r w:rsidR="00E245C6" w:rsidRPr="008D659D">
        <w:rPr>
          <w:rFonts w:ascii="Century Schoolbook" w:hAnsi="Century Schoolbook"/>
        </w:rPr>
        <w:t xml:space="preserve"> Jenkins as the interim District Attorney on July 7, 2022</w:t>
      </w:r>
      <w:r w:rsidR="00C27DD8">
        <w:rPr>
          <w:rFonts w:ascii="Century Schoolbook" w:hAnsi="Century Schoolbook"/>
        </w:rPr>
        <w:t>;</w:t>
      </w:r>
      <w:r w:rsidR="00C27DD8" w:rsidRPr="008D659D">
        <w:rPr>
          <w:rFonts w:ascii="Century Schoolbook" w:hAnsi="Century Schoolbook"/>
        </w:rPr>
        <w:t xml:space="preserve"> </w:t>
      </w:r>
      <w:r w:rsidR="00E245C6" w:rsidRPr="008D659D">
        <w:rPr>
          <w:rFonts w:ascii="Century Schoolbook" w:hAnsi="Century Schoolbook"/>
        </w:rPr>
        <w:t xml:space="preserve">and </w:t>
      </w:r>
      <w:r w:rsidR="00C27DD8">
        <w:rPr>
          <w:rFonts w:ascii="Century Schoolbook" w:hAnsi="Century Schoolbook"/>
        </w:rPr>
        <w:t xml:space="preserve">(6) </w:t>
      </w:r>
      <w:r w:rsidR="00E245C6" w:rsidRPr="008D659D">
        <w:rPr>
          <w:rFonts w:ascii="Century Schoolbook" w:hAnsi="Century Schoolbook"/>
        </w:rPr>
        <w:t>San Francisco voters elected Jenkins as the District Attorney on November 8</w:t>
      </w:r>
      <w:r w:rsidR="00555C2E" w:rsidRPr="008D659D">
        <w:rPr>
          <w:rFonts w:ascii="Century Schoolbook" w:hAnsi="Century Schoolbook"/>
        </w:rPr>
        <w:t>,</w:t>
      </w:r>
      <w:r w:rsidR="00E245C6" w:rsidRPr="008D659D">
        <w:rPr>
          <w:rFonts w:ascii="Century Schoolbook" w:hAnsi="Century Schoolbook"/>
        </w:rPr>
        <w:t xml:space="preserve"> 2022. </w:t>
      </w:r>
      <w:r w:rsidR="00DD179B" w:rsidRPr="008D659D">
        <w:rPr>
          <w:rFonts w:ascii="Century Schoolbook" w:hAnsi="Century Schoolbook"/>
        </w:rPr>
        <w:t xml:space="preserve"> </w:t>
      </w:r>
      <w:r w:rsidR="00555C2E" w:rsidRPr="008D659D">
        <w:rPr>
          <w:rFonts w:ascii="Century Schoolbook" w:hAnsi="Century Schoolbook"/>
        </w:rPr>
        <w:t>He</w:t>
      </w:r>
      <w:r w:rsidR="00E245C6" w:rsidRPr="008D659D">
        <w:rPr>
          <w:rFonts w:ascii="Century Schoolbook" w:hAnsi="Century Schoolbook"/>
        </w:rPr>
        <w:t xml:space="preserve"> also took judicial notice of the contents of the Chronicle article, including Jenkins’s comments about the Mallory case.  Finally, the </w:t>
      </w:r>
      <w:r w:rsidR="00555C2E" w:rsidRPr="008D659D">
        <w:rPr>
          <w:rFonts w:ascii="Century Schoolbook" w:hAnsi="Century Schoolbook"/>
        </w:rPr>
        <w:t>judge</w:t>
      </w:r>
      <w:r w:rsidR="00E245C6" w:rsidRPr="008D659D">
        <w:rPr>
          <w:rFonts w:ascii="Century Schoolbook" w:hAnsi="Century Schoolbook"/>
        </w:rPr>
        <w:t xml:space="preserve"> took judicial notice of the many ADAs who have left the </w:t>
      </w:r>
      <w:r w:rsidR="00E245C6" w:rsidRPr="008D659D">
        <w:rPr>
          <w:rFonts w:ascii="Century Schoolbook" w:hAnsi="Century Schoolbook"/>
        </w:rPr>
        <w:lastRenderedPageBreak/>
        <w:t>Office since 2020, “either as firings, resignations or retirements</w:t>
      </w:r>
      <w:r w:rsidR="00DD179B" w:rsidRPr="008D659D">
        <w:rPr>
          <w:rFonts w:ascii="Century Schoolbook" w:hAnsi="Century Schoolbook"/>
        </w:rPr>
        <w:t>,</w:t>
      </w:r>
      <w:r w:rsidR="00E245C6" w:rsidRPr="008D659D">
        <w:rPr>
          <w:rFonts w:ascii="Century Schoolbook" w:hAnsi="Century Schoolbook"/>
        </w:rPr>
        <w:t xml:space="preserve">” </w:t>
      </w:r>
      <w:r w:rsidR="00DD179B" w:rsidRPr="008D659D">
        <w:rPr>
          <w:rFonts w:ascii="Century Schoolbook" w:hAnsi="Century Schoolbook"/>
        </w:rPr>
        <w:t>as well as</w:t>
      </w:r>
      <w:r w:rsidR="00E245C6" w:rsidRPr="008D659D">
        <w:rPr>
          <w:rFonts w:ascii="Century Schoolbook" w:hAnsi="Century Schoolbook"/>
        </w:rPr>
        <w:t xml:space="preserve"> their status as “at-will employee[s].”  </w:t>
      </w:r>
    </w:p>
    <w:p w14:paraId="4DB695AD" w14:textId="662A93BE" w:rsidR="00E245C6" w:rsidRPr="008D659D" w:rsidRDefault="00E245C6" w:rsidP="00D60CAC">
      <w:pPr>
        <w:pStyle w:val="BodyText"/>
        <w:widowControl/>
        <w:spacing w:line="360" w:lineRule="auto"/>
        <w:ind w:left="0" w:firstLine="720"/>
        <w:rPr>
          <w:rFonts w:ascii="Century Schoolbook" w:hAnsi="Century Schoolbook"/>
        </w:rPr>
      </w:pPr>
      <w:r w:rsidRPr="008D659D">
        <w:rPr>
          <w:rFonts w:ascii="Century Schoolbook" w:hAnsi="Century Schoolbook"/>
        </w:rPr>
        <w:t xml:space="preserve">Based on these facts, the trial </w:t>
      </w:r>
      <w:r w:rsidR="00555C2E" w:rsidRPr="008D659D">
        <w:rPr>
          <w:rFonts w:ascii="Century Schoolbook" w:hAnsi="Century Schoolbook"/>
        </w:rPr>
        <w:t>judge</w:t>
      </w:r>
      <w:r w:rsidRPr="008D659D">
        <w:rPr>
          <w:rFonts w:ascii="Century Schoolbook" w:hAnsi="Century Schoolbook"/>
        </w:rPr>
        <w:t xml:space="preserve"> concluded that Jenkins had a conflict of interest in the Mallory case due to her “familial relationship with the homicide victim.”  At the same time, </w:t>
      </w:r>
      <w:r w:rsidR="00555C2E" w:rsidRPr="008D659D">
        <w:rPr>
          <w:rFonts w:ascii="Century Schoolbook" w:hAnsi="Century Schoolbook"/>
        </w:rPr>
        <w:t>he</w:t>
      </w:r>
      <w:r w:rsidRPr="008D659D">
        <w:rPr>
          <w:rFonts w:ascii="Century Schoolbook" w:hAnsi="Century Schoolbook"/>
        </w:rPr>
        <w:t xml:space="preserve"> found that Jenkins “ha</w:t>
      </w:r>
      <w:r w:rsidR="00555C2E" w:rsidRPr="008D659D">
        <w:rPr>
          <w:rFonts w:ascii="Century Schoolbook" w:hAnsi="Century Schoolbook"/>
        </w:rPr>
        <w:t>[d]</w:t>
      </w:r>
      <w:r w:rsidRPr="008D659D">
        <w:rPr>
          <w:rFonts w:ascii="Century Schoolbook" w:hAnsi="Century Schoolbook"/>
        </w:rPr>
        <w:t xml:space="preserve"> not committed any ethical violations and was immediately conflicted out of the case</w:t>
      </w:r>
      <w:r w:rsidR="00636304" w:rsidRPr="008D659D">
        <w:rPr>
          <w:rFonts w:ascii="Century Schoolbook" w:hAnsi="Century Schoolbook"/>
        </w:rPr>
        <w:t>,</w:t>
      </w:r>
      <w:r w:rsidRPr="008D659D">
        <w:rPr>
          <w:rFonts w:ascii="Century Schoolbook" w:hAnsi="Century Schoolbook"/>
        </w:rPr>
        <w:t>”</w:t>
      </w:r>
      <w:r w:rsidR="00257136" w:rsidRPr="008D659D">
        <w:rPr>
          <w:rFonts w:ascii="Century Schoolbook" w:hAnsi="Century Schoolbook"/>
        </w:rPr>
        <w:t xml:space="preserve"> that Jenkins made her </w:t>
      </w:r>
      <w:r w:rsidR="00555C2E" w:rsidRPr="008D659D">
        <w:rPr>
          <w:rFonts w:ascii="Century Schoolbook" w:hAnsi="Century Schoolbook"/>
        </w:rPr>
        <w:t>public statements about the Mallory case</w:t>
      </w:r>
      <w:r w:rsidR="00257136" w:rsidRPr="008D659D">
        <w:rPr>
          <w:rFonts w:ascii="Century Schoolbook" w:hAnsi="Century Schoolbook"/>
        </w:rPr>
        <w:t xml:space="preserve"> as “a private citizen”—and not “as a prosecutor with the” Office—and that the Office “appropriately raised an ethical wall that” Jenkins “respected</w:t>
      </w:r>
      <w:r w:rsidR="007F5226">
        <w:rPr>
          <w:rFonts w:ascii="Century Schoolbook" w:hAnsi="Century Schoolbook"/>
        </w:rPr>
        <w:t>.</w:t>
      </w:r>
      <w:r w:rsidR="00257136" w:rsidRPr="008D659D">
        <w:rPr>
          <w:rFonts w:ascii="Century Schoolbook" w:hAnsi="Century Schoolbook"/>
        </w:rPr>
        <w:t>”</w:t>
      </w:r>
    </w:p>
    <w:p w14:paraId="452820C0" w14:textId="5DAF65DF" w:rsidR="00257136" w:rsidRPr="008D659D" w:rsidRDefault="00F33F5E" w:rsidP="00D60CAC">
      <w:pPr>
        <w:pStyle w:val="BodyText"/>
        <w:widowControl/>
        <w:spacing w:line="360" w:lineRule="auto"/>
        <w:ind w:left="0" w:firstLine="720"/>
        <w:rPr>
          <w:rFonts w:ascii="Century Schoolbook" w:hAnsi="Century Schoolbook"/>
        </w:rPr>
      </w:pPr>
      <w:r w:rsidRPr="008D659D">
        <w:rPr>
          <w:rFonts w:ascii="Century Schoolbook" w:hAnsi="Century Schoolbook"/>
        </w:rPr>
        <w:t>A</w:t>
      </w:r>
      <w:r w:rsidR="005552B8" w:rsidRPr="008D659D">
        <w:rPr>
          <w:rFonts w:ascii="Century Schoolbook" w:hAnsi="Century Schoolbook"/>
        </w:rPr>
        <w:t>fter considering “the entire complex of facts</w:t>
      </w:r>
      <w:r w:rsidR="0005118F" w:rsidRPr="008D659D">
        <w:rPr>
          <w:rFonts w:ascii="Century Schoolbook" w:hAnsi="Century Schoolbook"/>
        </w:rPr>
        <w:t>,</w:t>
      </w:r>
      <w:r w:rsidR="005552B8" w:rsidRPr="008D659D">
        <w:rPr>
          <w:rFonts w:ascii="Century Schoolbook" w:hAnsi="Century Schoolbook"/>
        </w:rPr>
        <w:t xml:space="preserve">” </w:t>
      </w:r>
      <w:r w:rsidR="00257136" w:rsidRPr="008D659D">
        <w:rPr>
          <w:rFonts w:ascii="Century Schoolbook" w:hAnsi="Century Schoolbook"/>
        </w:rPr>
        <w:t xml:space="preserve">the trial </w:t>
      </w:r>
      <w:r w:rsidR="00555C2E" w:rsidRPr="008D659D">
        <w:rPr>
          <w:rFonts w:ascii="Century Schoolbook" w:hAnsi="Century Schoolbook"/>
        </w:rPr>
        <w:t>judge</w:t>
      </w:r>
      <w:r w:rsidR="00257136" w:rsidRPr="008D659D">
        <w:rPr>
          <w:rFonts w:ascii="Century Schoolbook" w:hAnsi="Century Schoolbook"/>
        </w:rPr>
        <w:t xml:space="preserve"> </w:t>
      </w:r>
      <w:r w:rsidRPr="008D659D">
        <w:rPr>
          <w:rFonts w:ascii="Century Schoolbook" w:hAnsi="Century Schoolbook"/>
        </w:rPr>
        <w:t xml:space="preserve">further </w:t>
      </w:r>
      <w:r w:rsidR="00257136" w:rsidRPr="008D659D">
        <w:rPr>
          <w:rFonts w:ascii="Century Schoolbook" w:hAnsi="Century Schoolbook"/>
        </w:rPr>
        <w:t>concluded that Jenkins’</w:t>
      </w:r>
      <w:r w:rsidR="006949E3" w:rsidRPr="008D659D">
        <w:rPr>
          <w:rFonts w:ascii="Century Schoolbook" w:hAnsi="Century Schoolbook"/>
        </w:rPr>
        <w:t>s</w:t>
      </w:r>
      <w:r w:rsidR="00257136" w:rsidRPr="008D659D">
        <w:rPr>
          <w:rFonts w:ascii="Century Schoolbook" w:hAnsi="Century Schoolbook"/>
        </w:rPr>
        <w:t xml:space="preserve"> conflict render</w:t>
      </w:r>
      <w:r w:rsidR="00555C2E" w:rsidRPr="008D659D">
        <w:rPr>
          <w:rFonts w:ascii="Century Schoolbook" w:hAnsi="Century Schoolbook"/>
        </w:rPr>
        <w:t>ed</w:t>
      </w:r>
      <w:r w:rsidR="00257136" w:rsidRPr="008D659D">
        <w:rPr>
          <w:rFonts w:ascii="Century Schoolbook" w:hAnsi="Century Schoolbook"/>
        </w:rPr>
        <w:t xml:space="preserve"> it unlikely that Mitchell and Pomar would receive a fair trial</w:t>
      </w:r>
      <w:r w:rsidR="006A77AB" w:rsidRPr="008D659D">
        <w:rPr>
          <w:rFonts w:ascii="Century Schoolbook" w:hAnsi="Century Schoolbook"/>
        </w:rPr>
        <w:t>.</w:t>
      </w:r>
      <w:r w:rsidR="00257136" w:rsidRPr="008D659D">
        <w:rPr>
          <w:rFonts w:ascii="Century Schoolbook" w:hAnsi="Century Schoolbook"/>
        </w:rPr>
        <w:t xml:space="preserve"> </w:t>
      </w:r>
      <w:r w:rsidR="006A77AB" w:rsidRPr="008D659D">
        <w:rPr>
          <w:rFonts w:ascii="Century Schoolbook" w:hAnsi="Century Schoolbook"/>
        </w:rPr>
        <w:t xml:space="preserve"> </w:t>
      </w:r>
      <w:r w:rsidR="00257136" w:rsidRPr="008D659D">
        <w:rPr>
          <w:rFonts w:ascii="Century Schoolbook" w:hAnsi="Century Schoolbook"/>
        </w:rPr>
        <w:t xml:space="preserve">In reaching this conclusion, the </w:t>
      </w:r>
      <w:r w:rsidR="0053059D" w:rsidRPr="008D659D">
        <w:rPr>
          <w:rFonts w:ascii="Century Schoolbook" w:hAnsi="Century Schoolbook"/>
        </w:rPr>
        <w:t>judge</w:t>
      </w:r>
      <w:r w:rsidR="00257136" w:rsidRPr="008D659D">
        <w:rPr>
          <w:rFonts w:ascii="Century Schoolbook" w:hAnsi="Century Schoolbook"/>
        </w:rPr>
        <w:t xml:space="preserve"> noted that “in some circumstances an ethical wall may be sufficient to sanitize the [O]ffice from the conflict with the elected district attorney.”  </w:t>
      </w:r>
      <w:r w:rsidRPr="008D659D">
        <w:rPr>
          <w:rFonts w:ascii="Century Schoolbook" w:hAnsi="Century Schoolbook"/>
        </w:rPr>
        <w:t xml:space="preserve">But </w:t>
      </w:r>
      <w:r w:rsidR="0053059D" w:rsidRPr="008D659D">
        <w:rPr>
          <w:rFonts w:ascii="Century Schoolbook" w:hAnsi="Century Schoolbook"/>
        </w:rPr>
        <w:t>he</w:t>
      </w:r>
      <w:r w:rsidR="00257136" w:rsidRPr="008D659D">
        <w:rPr>
          <w:rFonts w:ascii="Century Schoolbook" w:hAnsi="Century Schoolbook"/>
        </w:rPr>
        <w:t xml:space="preserve"> found that </w:t>
      </w:r>
      <w:r w:rsidR="0053059D" w:rsidRPr="008D659D">
        <w:rPr>
          <w:rFonts w:ascii="Century Schoolbook" w:hAnsi="Century Schoolbook"/>
        </w:rPr>
        <w:t>such a</w:t>
      </w:r>
      <w:r w:rsidR="00257136" w:rsidRPr="008D659D">
        <w:rPr>
          <w:rFonts w:ascii="Century Schoolbook" w:hAnsi="Century Schoolbook"/>
        </w:rPr>
        <w:t xml:space="preserve"> wall was not sufficient here because of comments made by Jenkins to the press “regarding the nature of the charging decision, including the need for gang charges, the weight of the evidence, and the likelihood of success on the prosecution as charged.”  In light of </w:t>
      </w:r>
      <w:r w:rsidR="004F6788" w:rsidRPr="008D659D">
        <w:rPr>
          <w:rFonts w:ascii="Century Schoolbook" w:hAnsi="Century Schoolbook"/>
        </w:rPr>
        <w:t>Jenkins’s</w:t>
      </w:r>
      <w:r w:rsidR="00257136" w:rsidRPr="008D659D">
        <w:rPr>
          <w:rFonts w:ascii="Century Schoolbook" w:hAnsi="Century Schoolbook"/>
        </w:rPr>
        <w:t xml:space="preserve"> </w:t>
      </w:r>
      <w:r w:rsidR="004F6788" w:rsidRPr="008D659D">
        <w:rPr>
          <w:rFonts w:ascii="Century Schoolbook" w:hAnsi="Century Schoolbook"/>
        </w:rPr>
        <w:t>“statement</w:t>
      </w:r>
      <w:r w:rsidR="007439B4" w:rsidRPr="008D659D">
        <w:rPr>
          <w:rFonts w:ascii="Century Schoolbook" w:hAnsi="Century Schoolbook"/>
        </w:rPr>
        <w:t>[s]</w:t>
      </w:r>
      <w:r w:rsidR="004F6788" w:rsidRPr="008D659D">
        <w:rPr>
          <w:rFonts w:ascii="Century Schoolbook" w:hAnsi="Century Schoolbook"/>
        </w:rPr>
        <w:t xml:space="preserve"> to the press regarding her theories and beliefs about how” the Mallory case “should be prosecuted” a</w:t>
      </w:r>
      <w:r w:rsidR="00257136" w:rsidRPr="008D659D">
        <w:rPr>
          <w:rFonts w:ascii="Century Schoolbook" w:hAnsi="Century Schoolbook"/>
        </w:rPr>
        <w:t xml:space="preserve">nd the fact that </w:t>
      </w:r>
      <w:r w:rsidR="007439B4" w:rsidRPr="008D659D">
        <w:rPr>
          <w:rFonts w:ascii="Century Schoolbook" w:hAnsi="Century Schoolbook"/>
        </w:rPr>
        <w:t>she</w:t>
      </w:r>
      <w:r w:rsidR="00257136" w:rsidRPr="008D659D">
        <w:rPr>
          <w:rFonts w:ascii="Century Schoolbook" w:hAnsi="Century Schoolbook"/>
        </w:rPr>
        <w:t xml:space="preserve"> “holds the ultimate power to discipline, promote</w:t>
      </w:r>
      <w:r w:rsidR="007439B4" w:rsidRPr="008D659D">
        <w:rPr>
          <w:rFonts w:ascii="Century Schoolbook" w:hAnsi="Century Schoolbook"/>
        </w:rPr>
        <w:t>[,]</w:t>
      </w:r>
      <w:r w:rsidR="00257136" w:rsidRPr="008D659D">
        <w:rPr>
          <w:rFonts w:ascii="Century Schoolbook" w:hAnsi="Century Schoolbook"/>
        </w:rPr>
        <w:t xml:space="preserve"> and fire” ADAs, “including whomever makes a plea offer or takes the matter to trial,” the </w:t>
      </w:r>
      <w:r w:rsidR="0053059D" w:rsidRPr="008D659D">
        <w:rPr>
          <w:rFonts w:ascii="Century Schoolbook" w:hAnsi="Century Schoolbook"/>
        </w:rPr>
        <w:t>judge found</w:t>
      </w:r>
      <w:r w:rsidR="00257136" w:rsidRPr="008D659D">
        <w:rPr>
          <w:rFonts w:ascii="Century Schoolbook" w:hAnsi="Century Schoolbook"/>
        </w:rPr>
        <w:t xml:space="preserve"> “a strong incentive to</w:t>
      </w:r>
      <w:r w:rsidR="00505C29" w:rsidRPr="008D659D">
        <w:rPr>
          <w:rFonts w:ascii="Century Schoolbook" w:hAnsi="Century Schoolbook"/>
        </w:rPr>
        <w:t xml:space="preserve"> more</w:t>
      </w:r>
      <w:r w:rsidR="00257136" w:rsidRPr="008D659D">
        <w:rPr>
          <w:rFonts w:ascii="Century Schoolbook" w:hAnsi="Century Schoolbook"/>
        </w:rPr>
        <w:t xml:space="preserve"> aggressively prosecute” Mitchell and Pomar “in this case.” </w:t>
      </w:r>
      <w:r w:rsidR="005552B8" w:rsidRPr="008D659D">
        <w:rPr>
          <w:rFonts w:ascii="Century Schoolbook" w:hAnsi="Century Schoolbook"/>
        </w:rPr>
        <w:t xml:space="preserve"> Although </w:t>
      </w:r>
      <w:r w:rsidR="0053059D" w:rsidRPr="008D659D">
        <w:rPr>
          <w:rFonts w:ascii="Century Schoolbook" w:hAnsi="Century Schoolbook"/>
        </w:rPr>
        <w:t>he</w:t>
      </w:r>
      <w:r w:rsidR="005552B8" w:rsidRPr="008D659D">
        <w:rPr>
          <w:rFonts w:ascii="Century Schoolbook" w:hAnsi="Century Schoolbook"/>
        </w:rPr>
        <w:t xml:space="preserve"> </w:t>
      </w:r>
      <w:r w:rsidR="0053059D" w:rsidRPr="008D659D">
        <w:rPr>
          <w:rFonts w:ascii="Century Schoolbook" w:hAnsi="Century Schoolbook"/>
        </w:rPr>
        <w:t>noted</w:t>
      </w:r>
      <w:r w:rsidR="005552B8" w:rsidRPr="008D659D">
        <w:rPr>
          <w:rFonts w:ascii="Century Schoolbook" w:hAnsi="Century Schoolbook"/>
        </w:rPr>
        <w:t xml:space="preserve"> that the </w:t>
      </w:r>
      <w:r w:rsidR="006949E3" w:rsidRPr="008D659D">
        <w:rPr>
          <w:rFonts w:ascii="Century Schoolbook" w:hAnsi="Century Schoolbook"/>
        </w:rPr>
        <w:t>ADA</w:t>
      </w:r>
      <w:r w:rsidR="005552B8" w:rsidRPr="008D659D">
        <w:rPr>
          <w:rFonts w:ascii="Century Schoolbook" w:hAnsi="Century Schoolbook"/>
        </w:rPr>
        <w:t xml:space="preserve">s </w:t>
      </w:r>
      <w:r w:rsidR="0053059D" w:rsidRPr="008D659D">
        <w:rPr>
          <w:rFonts w:ascii="Century Schoolbook" w:hAnsi="Century Schoolbook"/>
        </w:rPr>
        <w:t>prosecuting</w:t>
      </w:r>
      <w:r w:rsidR="005552B8" w:rsidRPr="008D659D">
        <w:rPr>
          <w:rFonts w:ascii="Century Schoolbook" w:hAnsi="Century Schoolbook"/>
        </w:rPr>
        <w:t xml:space="preserve"> the Mallory case </w:t>
      </w:r>
      <w:r w:rsidR="007439B4" w:rsidRPr="008D659D">
        <w:rPr>
          <w:rFonts w:ascii="Century Schoolbook" w:hAnsi="Century Schoolbook"/>
        </w:rPr>
        <w:t>had</w:t>
      </w:r>
      <w:r w:rsidR="005552B8" w:rsidRPr="008D659D">
        <w:rPr>
          <w:rFonts w:ascii="Century Schoolbook" w:hAnsi="Century Schoolbook"/>
        </w:rPr>
        <w:t xml:space="preserve"> not commit</w:t>
      </w:r>
      <w:r w:rsidR="007439B4" w:rsidRPr="008D659D">
        <w:rPr>
          <w:rFonts w:ascii="Century Schoolbook" w:hAnsi="Century Schoolbook"/>
        </w:rPr>
        <w:t>ted</w:t>
      </w:r>
      <w:r w:rsidR="005552B8" w:rsidRPr="008D659D">
        <w:rPr>
          <w:rFonts w:ascii="Century Schoolbook" w:hAnsi="Century Schoolbook"/>
        </w:rPr>
        <w:t xml:space="preserve"> any “ethical misconduct</w:t>
      </w:r>
      <w:r w:rsidR="00864437" w:rsidRPr="008D659D">
        <w:rPr>
          <w:rFonts w:ascii="Century Schoolbook" w:hAnsi="Century Schoolbook"/>
        </w:rPr>
        <w:t>,</w:t>
      </w:r>
      <w:r w:rsidR="005552B8" w:rsidRPr="008D659D">
        <w:rPr>
          <w:rFonts w:ascii="Century Schoolbook" w:hAnsi="Century Schoolbook"/>
        </w:rPr>
        <w:t xml:space="preserve">” </w:t>
      </w:r>
      <w:r w:rsidR="0053059D" w:rsidRPr="008D659D">
        <w:rPr>
          <w:rFonts w:ascii="Century Schoolbook" w:hAnsi="Century Schoolbook"/>
        </w:rPr>
        <w:t>he</w:t>
      </w:r>
      <w:r w:rsidR="005552B8" w:rsidRPr="008D659D">
        <w:rPr>
          <w:rFonts w:ascii="Century Schoolbook" w:hAnsi="Century Schoolbook"/>
        </w:rPr>
        <w:t xml:space="preserve"> nonetheless </w:t>
      </w:r>
      <w:r w:rsidR="007439B4" w:rsidRPr="008D659D">
        <w:rPr>
          <w:rFonts w:ascii="Century Schoolbook" w:hAnsi="Century Schoolbook"/>
        </w:rPr>
        <w:t>foun</w:t>
      </w:r>
      <w:r w:rsidR="005552B8" w:rsidRPr="008D659D">
        <w:rPr>
          <w:rFonts w:ascii="Century Schoolbook" w:hAnsi="Century Schoolbook"/>
        </w:rPr>
        <w:t>d that “the ethical wall does not shield” them or any other ADA “from being influenced by” Jenkins’s public statements about the case.</w:t>
      </w:r>
    </w:p>
    <w:p w14:paraId="55B080F7" w14:textId="07DDC95F" w:rsidR="009C496C" w:rsidRPr="008D659D" w:rsidRDefault="009C496C" w:rsidP="00D60CAC">
      <w:pPr>
        <w:pStyle w:val="BodyText"/>
        <w:widowControl/>
        <w:spacing w:line="360" w:lineRule="auto"/>
        <w:ind w:left="0" w:firstLine="720"/>
        <w:rPr>
          <w:rFonts w:ascii="Century Schoolbook" w:hAnsi="Century Schoolbook"/>
        </w:rPr>
      </w:pPr>
      <w:r w:rsidRPr="008D659D">
        <w:rPr>
          <w:rFonts w:ascii="Century Schoolbook" w:hAnsi="Century Schoolbook"/>
        </w:rPr>
        <w:lastRenderedPageBreak/>
        <w:t xml:space="preserve">The </w:t>
      </w:r>
      <w:r w:rsidR="00800EB6" w:rsidRPr="008D659D">
        <w:rPr>
          <w:rFonts w:ascii="Century Schoolbook" w:hAnsi="Century Schoolbook"/>
        </w:rPr>
        <w:t>Attorney General</w:t>
      </w:r>
      <w:r w:rsidRPr="008D659D">
        <w:rPr>
          <w:rFonts w:ascii="Century Schoolbook" w:hAnsi="Century Schoolbook"/>
        </w:rPr>
        <w:t xml:space="preserve"> timely appealed </w:t>
      </w:r>
      <w:r w:rsidR="00AB18E6" w:rsidRPr="008D659D">
        <w:rPr>
          <w:rFonts w:ascii="Century Schoolbook" w:hAnsi="Century Schoolbook"/>
        </w:rPr>
        <w:t xml:space="preserve">from </w:t>
      </w:r>
      <w:r w:rsidRPr="008D659D">
        <w:rPr>
          <w:rFonts w:ascii="Century Schoolbook" w:hAnsi="Century Schoolbook"/>
        </w:rPr>
        <w:t xml:space="preserve">the order </w:t>
      </w:r>
      <w:r w:rsidR="0053059D" w:rsidRPr="008D659D">
        <w:rPr>
          <w:rFonts w:ascii="Century Schoolbook" w:hAnsi="Century Schoolbook"/>
        </w:rPr>
        <w:t xml:space="preserve">disqualifying </w:t>
      </w:r>
      <w:r w:rsidRPr="008D659D">
        <w:rPr>
          <w:rFonts w:ascii="Century Schoolbook" w:hAnsi="Century Schoolbook"/>
        </w:rPr>
        <w:t xml:space="preserve">the </w:t>
      </w:r>
      <w:r w:rsidR="0053059D" w:rsidRPr="008D659D">
        <w:rPr>
          <w:rFonts w:ascii="Century Schoolbook" w:hAnsi="Century Schoolbook"/>
        </w:rPr>
        <w:t xml:space="preserve">entire </w:t>
      </w:r>
      <w:r w:rsidRPr="008D659D">
        <w:rPr>
          <w:rFonts w:ascii="Century Schoolbook" w:hAnsi="Century Schoolbook"/>
        </w:rPr>
        <w:t>Office</w:t>
      </w:r>
      <w:r w:rsidR="00AB18E6" w:rsidRPr="008D659D">
        <w:rPr>
          <w:rFonts w:ascii="Century Schoolbook" w:hAnsi="Century Schoolbook"/>
        </w:rPr>
        <w:t xml:space="preserve"> </w:t>
      </w:r>
      <w:r w:rsidR="0053059D" w:rsidRPr="008D659D">
        <w:rPr>
          <w:rFonts w:ascii="Century Schoolbook" w:hAnsi="Century Schoolbook"/>
        </w:rPr>
        <w:t>from</w:t>
      </w:r>
      <w:r w:rsidR="00AB18E6" w:rsidRPr="008D659D">
        <w:rPr>
          <w:rFonts w:ascii="Century Schoolbook" w:hAnsi="Century Schoolbook"/>
        </w:rPr>
        <w:t xml:space="preserve"> th</w:t>
      </w:r>
      <w:r w:rsidR="00F33F5E" w:rsidRPr="008D659D">
        <w:rPr>
          <w:rFonts w:ascii="Century Schoolbook" w:hAnsi="Century Schoolbook"/>
        </w:rPr>
        <w:t>e Mallory</w:t>
      </w:r>
      <w:r w:rsidR="00AB18E6" w:rsidRPr="008D659D">
        <w:rPr>
          <w:rFonts w:ascii="Century Schoolbook" w:hAnsi="Century Schoolbook"/>
        </w:rPr>
        <w:t xml:space="preserve"> case</w:t>
      </w:r>
      <w:r w:rsidR="00FE61F3" w:rsidRPr="008D659D">
        <w:rPr>
          <w:rFonts w:ascii="Century Schoolbook" w:hAnsi="Century Schoolbook"/>
        </w:rPr>
        <w:t xml:space="preserve"> (</w:t>
      </w:r>
      <w:r w:rsidR="001800B2" w:rsidRPr="008D659D">
        <w:rPr>
          <w:rFonts w:ascii="Century Schoolbook" w:hAnsi="Century Schoolbook"/>
        </w:rPr>
        <w:t xml:space="preserve">appeal no. </w:t>
      </w:r>
      <w:r w:rsidR="00FE61F3" w:rsidRPr="008D659D">
        <w:rPr>
          <w:rFonts w:ascii="Century Schoolbook" w:hAnsi="Century Schoolbook"/>
        </w:rPr>
        <w:t>A167286)</w:t>
      </w:r>
      <w:r w:rsidRPr="008D659D">
        <w:rPr>
          <w:rFonts w:ascii="Century Schoolbook" w:hAnsi="Century Schoolbook"/>
        </w:rPr>
        <w:t xml:space="preserve">. </w:t>
      </w:r>
      <w:r w:rsidR="00800EB6" w:rsidRPr="008D659D">
        <w:rPr>
          <w:rFonts w:ascii="Century Schoolbook" w:hAnsi="Century Schoolbook"/>
        </w:rPr>
        <w:t xml:space="preserve"> (§ 1424, subd. (a)(1).) </w:t>
      </w:r>
    </w:p>
    <w:p w14:paraId="74A26BCE" w14:textId="4B16BFFD" w:rsidR="0094261C" w:rsidRPr="008D659D" w:rsidRDefault="0094261C" w:rsidP="0094261C">
      <w:pPr>
        <w:pStyle w:val="BodyText"/>
        <w:widowControl/>
        <w:spacing w:line="360" w:lineRule="auto"/>
        <w:ind w:left="0"/>
        <w:jc w:val="center"/>
        <w:rPr>
          <w:rFonts w:ascii="Century Schoolbook" w:hAnsi="Century Schoolbook"/>
        </w:rPr>
      </w:pPr>
      <w:r w:rsidRPr="008D659D">
        <w:rPr>
          <w:rFonts w:ascii="Century Schoolbook" w:hAnsi="Century Schoolbook"/>
          <w:b/>
          <w:bCs/>
        </w:rPr>
        <w:t>B.</w:t>
      </w:r>
    </w:p>
    <w:p w14:paraId="3126A2A1" w14:textId="0A72CE2C" w:rsidR="00BD3890" w:rsidRPr="008D659D" w:rsidRDefault="00BD3890" w:rsidP="0077013D">
      <w:pPr>
        <w:pStyle w:val="BodyText"/>
        <w:widowControl/>
        <w:spacing w:line="360" w:lineRule="auto"/>
        <w:ind w:left="0" w:firstLine="720"/>
        <w:rPr>
          <w:rFonts w:ascii="Century Schoolbook" w:hAnsi="Century Schoolbook"/>
        </w:rPr>
      </w:pPr>
      <w:r w:rsidRPr="008D659D">
        <w:rPr>
          <w:rFonts w:ascii="Century Schoolbook" w:hAnsi="Century Schoolbook"/>
        </w:rPr>
        <w:t xml:space="preserve">On July 29, 2020, </w:t>
      </w:r>
      <w:r w:rsidR="002765FA" w:rsidRPr="008D659D">
        <w:rPr>
          <w:rFonts w:ascii="Century Schoolbook" w:hAnsi="Century Schoolbook"/>
        </w:rPr>
        <w:t xml:space="preserve">approximately three weeks after Mallory’s </w:t>
      </w:r>
      <w:r w:rsidR="007F5226">
        <w:rPr>
          <w:rFonts w:ascii="Century Schoolbook" w:hAnsi="Century Schoolbook"/>
        </w:rPr>
        <w:t>death</w:t>
      </w:r>
      <w:r w:rsidR="002765FA" w:rsidRPr="008D659D">
        <w:rPr>
          <w:rFonts w:ascii="Century Schoolbook" w:hAnsi="Century Schoolbook"/>
        </w:rPr>
        <w:t xml:space="preserve">, </w:t>
      </w:r>
      <w:r w:rsidR="0053059D" w:rsidRPr="008D659D">
        <w:rPr>
          <w:rFonts w:ascii="Century Schoolbook" w:hAnsi="Century Schoolbook"/>
        </w:rPr>
        <w:t xml:space="preserve">a car was broken into, and </w:t>
      </w:r>
      <w:r w:rsidRPr="008D659D">
        <w:rPr>
          <w:rFonts w:ascii="Century Schoolbook" w:hAnsi="Century Schoolbook"/>
        </w:rPr>
        <w:t xml:space="preserve">bags </w:t>
      </w:r>
      <w:r w:rsidR="00F6125E" w:rsidRPr="008D659D">
        <w:rPr>
          <w:rFonts w:ascii="Century Schoolbook" w:hAnsi="Century Schoolbook"/>
        </w:rPr>
        <w:t xml:space="preserve">with cash and clothing </w:t>
      </w:r>
      <w:r w:rsidRPr="008D659D">
        <w:rPr>
          <w:rFonts w:ascii="Century Schoolbook" w:hAnsi="Century Schoolbook"/>
        </w:rPr>
        <w:t xml:space="preserve">were stolen from </w:t>
      </w:r>
      <w:r w:rsidR="0053059D" w:rsidRPr="008D659D">
        <w:rPr>
          <w:rFonts w:ascii="Century Schoolbook" w:hAnsi="Century Schoolbook"/>
        </w:rPr>
        <w:t>that</w:t>
      </w:r>
      <w:r w:rsidRPr="008D659D">
        <w:rPr>
          <w:rFonts w:ascii="Century Schoolbook" w:hAnsi="Century Schoolbook"/>
        </w:rPr>
        <w:t xml:space="preserve"> car.  When </w:t>
      </w:r>
      <w:r w:rsidR="00F33F5E" w:rsidRPr="008D659D">
        <w:rPr>
          <w:rFonts w:ascii="Century Schoolbook" w:hAnsi="Century Schoolbook"/>
        </w:rPr>
        <w:t xml:space="preserve">the </w:t>
      </w:r>
      <w:r w:rsidRPr="008D659D">
        <w:rPr>
          <w:rFonts w:ascii="Century Schoolbook" w:hAnsi="Century Schoolbook"/>
        </w:rPr>
        <w:t xml:space="preserve">police attempted to arrest Pomar in connection with </w:t>
      </w:r>
      <w:r w:rsidR="00F6125E" w:rsidRPr="008D659D">
        <w:rPr>
          <w:rFonts w:ascii="Century Schoolbook" w:hAnsi="Century Schoolbook"/>
        </w:rPr>
        <w:t xml:space="preserve">the </w:t>
      </w:r>
      <w:r w:rsidRPr="008D659D">
        <w:rPr>
          <w:rFonts w:ascii="Century Schoolbook" w:hAnsi="Century Schoolbook"/>
        </w:rPr>
        <w:t>car break-in</w:t>
      </w:r>
      <w:r w:rsidR="0053059D" w:rsidRPr="008D659D">
        <w:rPr>
          <w:rFonts w:ascii="Century Schoolbook" w:hAnsi="Century Schoolbook"/>
        </w:rPr>
        <w:t xml:space="preserve"> and theft</w:t>
      </w:r>
      <w:r w:rsidRPr="008D659D">
        <w:rPr>
          <w:rFonts w:ascii="Century Schoolbook" w:hAnsi="Century Schoolbook"/>
        </w:rPr>
        <w:t xml:space="preserve">, he escaped. </w:t>
      </w:r>
      <w:r w:rsidR="00F6125E" w:rsidRPr="008D659D">
        <w:rPr>
          <w:rFonts w:ascii="Century Schoolbook" w:hAnsi="Century Schoolbook"/>
        </w:rPr>
        <w:t xml:space="preserve"> The police, however, discovered stolen cash and a firearm in the backpack of a four-year-old child. </w:t>
      </w:r>
      <w:r w:rsidRPr="008D659D">
        <w:rPr>
          <w:rFonts w:ascii="Century Schoolbook" w:hAnsi="Century Schoolbook"/>
        </w:rPr>
        <w:t xml:space="preserve"> O</w:t>
      </w:r>
      <w:r w:rsidR="0077013D" w:rsidRPr="008D659D">
        <w:rPr>
          <w:rFonts w:ascii="Century Schoolbook" w:hAnsi="Century Schoolbook"/>
        </w:rPr>
        <w:t>n August 17, 2020, a gun fight broke out between two vehicles</w:t>
      </w:r>
      <w:r w:rsidRPr="008D659D">
        <w:rPr>
          <w:rFonts w:ascii="Century Schoolbook" w:hAnsi="Century Schoolbook"/>
        </w:rPr>
        <w:t xml:space="preserve"> </w:t>
      </w:r>
      <w:r w:rsidR="00F33F5E" w:rsidRPr="008D659D">
        <w:rPr>
          <w:rFonts w:ascii="Century Schoolbook" w:hAnsi="Century Schoolbook"/>
        </w:rPr>
        <w:t>in</w:t>
      </w:r>
      <w:r w:rsidRPr="008D659D">
        <w:rPr>
          <w:rFonts w:ascii="Century Schoolbook" w:hAnsi="Century Schoolbook"/>
        </w:rPr>
        <w:t xml:space="preserve"> a car chase</w:t>
      </w:r>
      <w:r w:rsidR="0077013D" w:rsidRPr="008D659D">
        <w:rPr>
          <w:rFonts w:ascii="Century Schoolbook" w:hAnsi="Century Schoolbook"/>
        </w:rPr>
        <w:t>.  During the gun fight, a bullet hi</w:t>
      </w:r>
      <w:r w:rsidRPr="008D659D">
        <w:rPr>
          <w:rFonts w:ascii="Century Schoolbook" w:hAnsi="Century Schoolbook"/>
        </w:rPr>
        <w:t>t</w:t>
      </w:r>
      <w:r w:rsidR="0077013D" w:rsidRPr="008D659D">
        <w:rPr>
          <w:rFonts w:ascii="Century Schoolbook" w:hAnsi="Century Schoolbook"/>
        </w:rPr>
        <w:t xml:space="preserve"> a pedestrian in the face.  </w:t>
      </w:r>
    </w:p>
    <w:p w14:paraId="45D8CC04" w14:textId="0DE4521C" w:rsidR="0094261C" w:rsidRPr="008D659D" w:rsidRDefault="0077013D" w:rsidP="0077013D">
      <w:pPr>
        <w:pStyle w:val="BodyText"/>
        <w:widowControl/>
        <w:spacing w:line="360" w:lineRule="auto"/>
        <w:ind w:left="0" w:firstLine="720"/>
        <w:rPr>
          <w:rFonts w:ascii="Century Schoolbook" w:hAnsi="Century Schoolbook"/>
        </w:rPr>
      </w:pPr>
      <w:r w:rsidRPr="008D659D">
        <w:rPr>
          <w:rFonts w:ascii="Century Schoolbook" w:hAnsi="Century Schoolbook"/>
        </w:rPr>
        <w:t xml:space="preserve">In connection with the </w:t>
      </w:r>
      <w:r w:rsidR="00BD3890" w:rsidRPr="008D659D">
        <w:rPr>
          <w:rFonts w:ascii="Century Schoolbook" w:hAnsi="Century Schoolbook"/>
        </w:rPr>
        <w:t xml:space="preserve">car break-in and </w:t>
      </w:r>
      <w:r w:rsidRPr="008D659D">
        <w:rPr>
          <w:rFonts w:ascii="Century Schoolbook" w:hAnsi="Century Schoolbook"/>
        </w:rPr>
        <w:t>gun fight, the Office filed a felony complaint against Pomar and Raven</w:t>
      </w:r>
      <w:r w:rsidR="00D066AD" w:rsidRPr="008D659D">
        <w:rPr>
          <w:rFonts w:ascii="Century Schoolbook" w:hAnsi="Century Schoolbook"/>
        </w:rPr>
        <w:t>e</w:t>
      </w:r>
      <w:r w:rsidRPr="008D659D">
        <w:rPr>
          <w:rFonts w:ascii="Century Schoolbook" w:hAnsi="Century Schoolbook"/>
        </w:rPr>
        <w:t>ll Young, III</w:t>
      </w:r>
      <w:r w:rsidR="007D577B" w:rsidRPr="008D659D">
        <w:rPr>
          <w:rFonts w:ascii="Century Schoolbook" w:hAnsi="Century Schoolbook"/>
        </w:rPr>
        <w:t xml:space="preserve"> on June 4, 2021</w:t>
      </w:r>
      <w:r w:rsidR="002765FA" w:rsidRPr="008D659D">
        <w:rPr>
          <w:rFonts w:ascii="Century Schoolbook" w:hAnsi="Century Schoolbook"/>
        </w:rPr>
        <w:t xml:space="preserve"> (hereinafter, the Pomar/Young case), while Jenkins was still an ADA at the Office</w:t>
      </w:r>
      <w:r w:rsidRPr="008D659D">
        <w:rPr>
          <w:rFonts w:ascii="Century Schoolbook" w:hAnsi="Century Schoolbook"/>
        </w:rPr>
        <w:t>.</w:t>
      </w:r>
      <w:r w:rsidR="00D066AD" w:rsidRPr="008D659D">
        <w:rPr>
          <w:rStyle w:val="FootnoteReference"/>
          <w:rFonts w:ascii="Century Schoolbook" w:hAnsi="Century Schoolbook"/>
        </w:rPr>
        <w:footnoteReference w:id="2"/>
      </w:r>
      <w:r w:rsidRPr="008D659D">
        <w:rPr>
          <w:rFonts w:ascii="Century Schoolbook" w:hAnsi="Century Schoolbook"/>
        </w:rPr>
        <w:t xml:space="preserve"> </w:t>
      </w:r>
      <w:r w:rsidR="00BD3890" w:rsidRPr="008D659D">
        <w:rPr>
          <w:rFonts w:ascii="Century Schoolbook" w:hAnsi="Century Schoolbook"/>
        </w:rPr>
        <w:t xml:space="preserve"> The complaint charged Pomar with: </w:t>
      </w:r>
      <w:r w:rsidR="0053059D" w:rsidRPr="008D659D">
        <w:rPr>
          <w:rFonts w:ascii="Century Schoolbook" w:hAnsi="Century Schoolbook"/>
        </w:rPr>
        <w:t xml:space="preserve"> </w:t>
      </w:r>
      <w:r w:rsidR="00BD3890" w:rsidRPr="008D659D">
        <w:rPr>
          <w:rFonts w:ascii="Century Schoolbook" w:hAnsi="Century Schoolbook"/>
        </w:rPr>
        <w:t>(1) two counts of attempted murder in violation of sections 664 and 187, subdivision (a) (counts 1 and 2); (2) three counts of assault with a semiautomatic firearm in violation of section 245, subdivision (b) (counts 3 through 5); (3) discharge of a firearm with gross negligence in violation of section 246.3, subdivision (a) (count 6); (4) shooting from a motor vehicle in violation of section 26100, subdivision (d) (count 7); (</w:t>
      </w:r>
      <w:r w:rsidR="007D577B" w:rsidRPr="008D659D">
        <w:rPr>
          <w:rFonts w:ascii="Century Schoolbook" w:hAnsi="Century Schoolbook"/>
        </w:rPr>
        <w:t xml:space="preserve">5) two counts of illegally possessing a firearm under the age of 30 in violation of section 29820, subdivision (b) (counts 8 and 14); (6) carrying a loaded, unregistered firearm in violation of section 25850, subdivision (a) (count 9); (7) attempted destruction of evidence in violation of sections 664 and 135 (count 10); (8) burglary in violation of section 459 (count 11); </w:t>
      </w:r>
      <w:r w:rsidR="007D12EF">
        <w:rPr>
          <w:rFonts w:ascii="Century Schoolbook" w:hAnsi="Century Schoolbook"/>
        </w:rPr>
        <w:br/>
      </w:r>
      <w:r w:rsidR="007D577B" w:rsidRPr="008D659D">
        <w:rPr>
          <w:rFonts w:ascii="Century Schoolbook" w:hAnsi="Century Schoolbook"/>
        </w:rPr>
        <w:lastRenderedPageBreak/>
        <w:t>(9) receiving or buying stolen property in violation of section 496, subdivision (a) (count 12); (10) resisting, obstructing, or delaying a peace office</w:t>
      </w:r>
      <w:r w:rsidR="00A245BD" w:rsidRPr="008D659D">
        <w:rPr>
          <w:rFonts w:ascii="Century Schoolbook" w:hAnsi="Century Schoolbook"/>
        </w:rPr>
        <w:t>r</w:t>
      </w:r>
      <w:r w:rsidR="007D577B" w:rsidRPr="008D659D">
        <w:rPr>
          <w:rFonts w:ascii="Century Schoolbook" w:hAnsi="Century Schoolbook"/>
        </w:rPr>
        <w:t xml:space="preserve"> in violation of section 148, subdivision (a)(1)</w:t>
      </w:r>
      <w:r w:rsidR="005973CA">
        <w:rPr>
          <w:rFonts w:ascii="Century Schoolbook" w:hAnsi="Century Schoolbook"/>
        </w:rPr>
        <w:t xml:space="preserve"> (count 13)</w:t>
      </w:r>
      <w:r w:rsidR="007D577B" w:rsidRPr="008D659D">
        <w:rPr>
          <w:rFonts w:ascii="Century Schoolbook" w:hAnsi="Century Schoolbook"/>
        </w:rPr>
        <w:t xml:space="preserve">; and (11) child endangerment in violation of section 273a, subdivision (a) (count 15).  The complaint further alleged that Pomar:  (1) personally and intentionally discharged a firearm in connection with counts 1 and 2 (§ 12022.53, subd. (c)); (2) personally used a firearm in connection with counts 3 through 7 (§ 12022.5, subd. (a)); (3) inflicted great bodily injury with the intent to do so </w:t>
      </w:r>
      <w:r w:rsidR="007F5226">
        <w:rPr>
          <w:rFonts w:ascii="Century Schoolbook" w:hAnsi="Century Schoolbook"/>
        </w:rPr>
        <w:t xml:space="preserve">as a result of discharging a firearm from a motor vehicle </w:t>
      </w:r>
      <w:r w:rsidR="007D577B" w:rsidRPr="008D659D">
        <w:rPr>
          <w:rFonts w:ascii="Century Schoolbook" w:hAnsi="Century Schoolbook"/>
        </w:rPr>
        <w:t xml:space="preserve">in connection with counts 3 through 7 (§ 12022.55); (4) inflicted great bodily injury in connection with counts 5 through 7 (§ 12022.7, subd. (a)); and (5) personally used a firearm in connection with count 6 (§ 1192.7, subd. (c)(8)). </w:t>
      </w:r>
    </w:p>
    <w:p w14:paraId="37491964" w14:textId="7ED13AFD" w:rsidR="00603007" w:rsidRPr="008D659D" w:rsidRDefault="005A73FA" w:rsidP="0077013D">
      <w:pPr>
        <w:pStyle w:val="BodyText"/>
        <w:widowControl/>
        <w:spacing w:line="360" w:lineRule="auto"/>
        <w:ind w:left="0" w:firstLine="720"/>
        <w:rPr>
          <w:rFonts w:ascii="Century Schoolbook" w:hAnsi="Century Schoolbook"/>
        </w:rPr>
      </w:pPr>
      <w:r w:rsidRPr="008D659D">
        <w:rPr>
          <w:rFonts w:ascii="Century Schoolbook" w:hAnsi="Century Schoolbook"/>
        </w:rPr>
        <w:t xml:space="preserve">The Office apparently did not wall off Jenkins from the Pomar/Young case.  </w:t>
      </w:r>
      <w:r w:rsidR="00603007" w:rsidRPr="008D659D">
        <w:rPr>
          <w:rFonts w:ascii="Century Schoolbook" w:hAnsi="Century Schoolbook"/>
        </w:rPr>
        <w:t>Based on Jenkins’s “public comments” to the press “concerning” th</w:t>
      </w:r>
      <w:r w:rsidR="00F6125E" w:rsidRPr="008D659D">
        <w:rPr>
          <w:rFonts w:ascii="Century Schoolbook" w:hAnsi="Century Schoolbook"/>
        </w:rPr>
        <w:t>e Pomar/Young</w:t>
      </w:r>
      <w:r w:rsidR="00603007" w:rsidRPr="008D659D">
        <w:rPr>
          <w:rFonts w:ascii="Century Schoolbook" w:hAnsi="Century Schoolbook"/>
        </w:rPr>
        <w:t xml:space="preserve"> and Mallory </w:t>
      </w:r>
      <w:r w:rsidRPr="008D659D">
        <w:rPr>
          <w:rFonts w:ascii="Century Schoolbook" w:hAnsi="Century Schoolbook"/>
        </w:rPr>
        <w:t>cases</w:t>
      </w:r>
      <w:r w:rsidR="00603007" w:rsidRPr="008D659D">
        <w:rPr>
          <w:rFonts w:ascii="Century Schoolbook" w:hAnsi="Century Schoolbook"/>
        </w:rPr>
        <w:t xml:space="preserve">, Pomar moved to recuse the </w:t>
      </w:r>
      <w:r w:rsidR="001800B2" w:rsidRPr="008D659D">
        <w:rPr>
          <w:rFonts w:ascii="Century Schoolbook" w:hAnsi="Century Schoolbook"/>
        </w:rPr>
        <w:t xml:space="preserve">entire </w:t>
      </w:r>
      <w:r w:rsidR="00603007" w:rsidRPr="008D659D">
        <w:rPr>
          <w:rFonts w:ascii="Century Schoolbook" w:hAnsi="Century Schoolbook"/>
        </w:rPr>
        <w:t xml:space="preserve">Office </w:t>
      </w:r>
      <w:r w:rsidR="00F6125E" w:rsidRPr="008D659D">
        <w:rPr>
          <w:rFonts w:ascii="Century Schoolbook" w:hAnsi="Century Schoolbook"/>
        </w:rPr>
        <w:t xml:space="preserve">from the Pomar/Young case </w:t>
      </w:r>
      <w:r w:rsidR="00603007" w:rsidRPr="008D659D">
        <w:rPr>
          <w:rFonts w:ascii="Century Schoolbook" w:hAnsi="Century Schoolbook"/>
        </w:rPr>
        <w:t xml:space="preserve">under section 1424.  The Attorney General </w:t>
      </w:r>
      <w:r w:rsidR="00FE61F3" w:rsidRPr="008D659D">
        <w:rPr>
          <w:rFonts w:ascii="Century Schoolbook" w:hAnsi="Century Schoolbook"/>
        </w:rPr>
        <w:t>opposed</w:t>
      </w:r>
      <w:r w:rsidR="00603007" w:rsidRPr="008D659D">
        <w:rPr>
          <w:rFonts w:ascii="Century Schoolbook" w:hAnsi="Century Schoolbook"/>
        </w:rPr>
        <w:t>.  The Office did not file an opposition or response.</w:t>
      </w:r>
    </w:p>
    <w:p w14:paraId="61796EDC" w14:textId="4C3B155A" w:rsidR="00603007" w:rsidRPr="008D659D" w:rsidRDefault="00FE61F3" w:rsidP="0077013D">
      <w:pPr>
        <w:pStyle w:val="BodyText"/>
        <w:widowControl/>
        <w:spacing w:line="360" w:lineRule="auto"/>
        <w:ind w:left="0" w:firstLine="720"/>
        <w:rPr>
          <w:rFonts w:ascii="Century Schoolbook" w:hAnsi="Century Schoolbook"/>
        </w:rPr>
      </w:pPr>
      <w:r w:rsidRPr="008D659D">
        <w:rPr>
          <w:rFonts w:ascii="Century Schoolbook" w:hAnsi="Century Schoolbook"/>
        </w:rPr>
        <w:t>A</w:t>
      </w:r>
      <w:r w:rsidR="001800B2" w:rsidRPr="008D659D">
        <w:rPr>
          <w:rFonts w:ascii="Century Schoolbook" w:hAnsi="Century Schoolbook"/>
        </w:rPr>
        <w:t xml:space="preserve"> different</w:t>
      </w:r>
      <w:r w:rsidR="00603007" w:rsidRPr="008D659D">
        <w:rPr>
          <w:rFonts w:ascii="Century Schoolbook" w:hAnsi="Century Schoolbook"/>
        </w:rPr>
        <w:t xml:space="preserve"> trial </w:t>
      </w:r>
      <w:r w:rsidRPr="008D659D">
        <w:rPr>
          <w:rFonts w:ascii="Century Schoolbook" w:hAnsi="Century Schoolbook"/>
        </w:rPr>
        <w:t>judge</w:t>
      </w:r>
      <w:r w:rsidR="00603007" w:rsidRPr="008D659D">
        <w:rPr>
          <w:rFonts w:ascii="Century Schoolbook" w:hAnsi="Century Schoolbook"/>
        </w:rPr>
        <w:t xml:space="preserve"> granted Pomar’s motion, </w:t>
      </w:r>
      <w:r w:rsidR="00A245BD" w:rsidRPr="008D659D">
        <w:rPr>
          <w:rFonts w:ascii="Century Schoolbook" w:hAnsi="Century Schoolbook"/>
        </w:rPr>
        <w:t>disqualify</w:t>
      </w:r>
      <w:r w:rsidR="00603007" w:rsidRPr="008D659D">
        <w:rPr>
          <w:rFonts w:ascii="Century Schoolbook" w:hAnsi="Century Schoolbook"/>
        </w:rPr>
        <w:t xml:space="preserve">ing the </w:t>
      </w:r>
      <w:r w:rsidR="001800B2" w:rsidRPr="008D659D">
        <w:rPr>
          <w:rFonts w:ascii="Century Schoolbook" w:hAnsi="Century Schoolbook"/>
        </w:rPr>
        <w:t xml:space="preserve">entire </w:t>
      </w:r>
      <w:r w:rsidR="00603007" w:rsidRPr="008D659D">
        <w:rPr>
          <w:rFonts w:ascii="Century Schoolbook" w:hAnsi="Century Schoolbook"/>
        </w:rPr>
        <w:t>Office from th</w:t>
      </w:r>
      <w:r w:rsidR="00A245BD" w:rsidRPr="008D659D">
        <w:rPr>
          <w:rFonts w:ascii="Century Schoolbook" w:hAnsi="Century Schoolbook"/>
        </w:rPr>
        <w:t>e Pomar/Young</w:t>
      </w:r>
      <w:r w:rsidR="00603007" w:rsidRPr="008D659D">
        <w:rPr>
          <w:rFonts w:ascii="Century Schoolbook" w:hAnsi="Century Schoolbook"/>
        </w:rPr>
        <w:t xml:space="preserve"> case. </w:t>
      </w:r>
      <w:r w:rsidR="00F6125E" w:rsidRPr="008D659D">
        <w:rPr>
          <w:rFonts w:ascii="Century Schoolbook" w:hAnsi="Century Schoolbook"/>
        </w:rPr>
        <w:t xml:space="preserve"> In support, the </w:t>
      </w:r>
      <w:r w:rsidRPr="008D659D">
        <w:rPr>
          <w:rFonts w:ascii="Century Schoolbook" w:hAnsi="Century Schoolbook"/>
        </w:rPr>
        <w:t>judge</w:t>
      </w:r>
      <w:r w:rsidR="00F6125E" w:rsidRPr="008D659D">
        <w:rPr>
          <w:rFonts w:ascii="Century Schoolbook" w:hAnsi="Century Schoolbook"/>
        </w:rPr>
        <w:t xml:space="preserve"> took judicial notice of the recusal ruling in the Mallory case and adopted the findings in that ruling.  Although the </w:t>
      </w:r>
      <w:r w:rsidRPr="008D659D">
        <w:rPr>
          <w:rFonts w:ascii="Century Schoolbook" w:hAnsi="Century Schoolbook"/>
        </w:rPr>
        <w:t>judge</w:t>
      </w:r>
      <w:r w:rsidR="00F6125E" w:rsidRPr="008D659D">
        <w:rPr>
          <w:rFonts w:ascii="Century Schoolbook" w:hAnsi="Century Schoolbook"/>
        </w:rPr>
        <w:t xml:space="preserve"> acknowledged that Jenkins was not related to the victim</w:t>
      </w:r>
      <w:r w:rsidR="00546801" w:rsidRPr="008D659D">
        <w:rPr>
          <w:rFonts w:ascii="Century Schoolbook" w:hAnsi="Century Schoolbook"/>
        </w:rPr>
        <w:t>s</w:t>
      </w:r>
      <w:r w:rsidR="00F6125E" w:rsidRPr="008D659D">
        <w:rPr>
          <w:rFonts w:ascii="Century Schoolbook" w:hAnsi="Century Schoolbook"/>
        </w:rPr>
        <w:t xml:space="preserve"> in the Pomar/Young case, </w:t>
      </w:r>
      <w:r w:rsidRPr="008D659D">
        <w:rPr>
          <w:rFonts w:ascii="Century Schoolbook" w:hAnsi="Century Schoolbook"/>
        </w:rPr>
        <w:t>she</w:t>
      </w:r>
      <w:r w:rsidR="00F6125E" w:rsidRPr="008D659D">
        <w:rPr>
          <w:rFonts w:ascii="Century Schoolbook" w:hAnsi="Century Schoolbook"/>
        </w:rPr>
        <w:t xml:space="preserve"> </w:t>
      </w:r>
      <w:r w:rsidR="00A245BD" w:rsidRPr="008D659D">
        <w:rPr>
          <w:rFonts w:ascii="Century Schoolbook" w:hAnsi="Century Schoolbook"/>
        </w:rPr>
        <w:t>noted</w:t>
      </w:r>
      <w:r w:rsidR="00F6125E" w:rsidRPr="008D659D">
        <w:rPr>
          <w:rFonts w:ascii="Century Schoolbook" w:hAnsi="Century Schoolbook"/>
        </w:rPr>
        <w:t xml:space="preserve"> that Jenkins made </w:t>
      </w:r>
      <w:r w:rsidR="00AB18E6" w:rsidRPr="008D659D">
        <w:rPr>
          <w:rFonts w:ascii="Century Schoolbook" w:hAnsi="Century Schoolbook"/>
        </w:rPr>
        <w:t>“</w:t>
      </w:r>
      <w:r w:rsidR="00F6125E" w:rsidRPr="008D659D">
        <w:rPr>
          <w:rFonts w:ascii="Century Schoolbook" w:hAnsi="Century Schoolbook"/>
        </w:rPr>
        <w:t>specific</w:t>
      </w:r>
      <w:r w:rsidR="00AB18E6" w:rsidRPr="008D659D">
        <w:rPr>
          <w:rFonts w:ascii="Century Schoolbook" w:hAnsi="Century Schoolbook"/>
        </w:rPr>
        <w:t>”</w:t>
      </w:r>
      <w:r w:rsidR="00F6125E" w:rsidRPr="008D659D">
        <w:rPr>
          <w:rFonts w:ascii="Century Schoolbook" w:hAnsi="Century Schoolbook"/>
        </w:rPr>
        <w:t xml:space="preserve"> comments to the press about the Pomar/Young case</w:t>
      </w:r>
      <w:r w:rsidRPr="008D659D">
        <w:rPr>
          <w:rFonts w:ascii="Century Schoolbook" w:hAnsi="Century Schoolbook"/>
        </w:rPr>
        <w:t xml:space="preserve"> and tied</w:t>
      </w:r>
      <w:r w:rsidR="00546801" w:rsidRPr="008D659D">
        <w:rPr>
          <w:rFonts w:ascii="Century Schoolbook" w:hAnsi="Century Schoolbook"/>
        </w:rPr>
        <w:t xml:space="preserve"> </w:t>
      </w:r>
      <w:r w:rsidR="008C10B3" w:rsidRPr="008D659D">
        <w:rPr>
          <w:rFonts w:ascii="Century Schoolbook" w:hAnsi="Century Schoolbook"/>
        </w:rPr>
        <w:t>that case directly</w:t>
      </w:r>
      <w:r w:rsidR="00546801" w:rsidRPr="008D659D">
        <w:rPr>
          <w:rFonts w:ascii="Century Schoolbook" w:hAnsi="Century Schoolbook"/>
        </w:rPr>
        <w:t xml:space="preserve"> to the Mallory case</w:t>
      </w:r>
      <w:r w:rsidR="00AB18E6" w:rsidRPr="008D659D">
        <w:rPr>
          <w:rFonts w:ascii="Century Schoolbook" w:hAnsi="Century Schoolbook"/>
        </w:rPr>
        <w:t xml:space="preserve">.  </w:t>
      </w:r>
      <w:r w:rsidRPr="008D659D">
        <w:rPr>
          <w:rFonts w:ascii="Century Schoolbook" w:hAnsi="Century Schoolbook"/>
        </w:rPr>
        <w:t>She</w:t>
      </w:r>
      <w:r w:rsidR="00AB18E6" w:rsidRPr="008D659D">
        <w:rPr>
          <w:rFonts w:ascii="Century Schoolbook" w:hAnsi="Century Schoolbook"/>
        </w:rPr>
        <w:t xml:space="preserve"> also noted the similarities between the </w:t>
      </w:r>
      <w:r w:rsidR="00F33F5E" w:rsidRPr="008D659D">
        <w:rPr>
          <w:rFonts w:ascii="Century Schoolbook" w:hAnsi="Century Schoolbook"/>
        </w:rPr>
        <w:t>drive-by shooting</w:t>
      </w:r>
      <w:r w:rsidR="00AB18E6" w:rsidRPr="008D659D">
        <w:rPr>
          <w:rFonts w:ascii="Century Schoolbook" w:hAnsi="Century Schoolbook"/>
        </w:rPr>
        <w:t xml:space="preserve"> in th</w:t>
      </w:r>
      <w:r w:rsidR="008C10B3" w:rsidRPr="008D659D">
        <w:rPr>
          <w:rFonts w:ascii="Century Schoolbook" w:hAnsi="Century Schoolbook"/>
        </w:rPr>
        <w:t>e Pomar/Young</w:t>
      </w:r>
      <w:r w:rsidR="00AB18E6" w:rsidRPr="008D659D">
        <w:rPr>
          <w:rFonts w:ascii="Century Schoolbook" w:hAnsi="Century Schoolbook"/>
        </w:rPr>
        <w:t xml:space="preserve"> case and the drive-by shooting in the Mallory case.  </w:t>
      </w:r>
      <w:r w:rsidR="00A245BD" w:rsidRPr="008D659D">
        <w:rPr>
          <w:rFonts w:ascii="Century Schoolbook" w:hAnsi="Century Schoolbook"/>
        </w:rPr>
        <w:t>“[G]</w:t>
      </w:r>
      <w:r w:rsidR="00AB18E6" w:rsidRPr="008D659D">
        <w:rPr>
          <w:rFonts w:ascii="Century Schoolbook" w:hAnsi="Century Schoolbook"/>
        </w:rPr>
        <w:t>iven . . .</w:t>
      </w:r>
      <w:r w:rsidR="008C10B3" w:rsidRPr="008D659D">
        <w:rPr>
          <w:rFonts w:ascii="Century Schoolbook" w:hAnsi="Century Schoolbook"/>
        </w:rPr>
        <w:t xml:space="preserve"> </w:t>
      </w:r>
      <w:r w:rsidR="00F33F5E" w:rsidRPr="008D659D">
        <w:rPr>
          <w:rFonts w:ascii="Century Schoolbook" w:hAnsi="Century Schoolbook"/>
        </w:rPr>
        <w:t>[Jenkins’s]</w:t>
      </w:r>
      <w:r w:rsidR="00AB18E6" w:rsidRPr="008D659D">
        <w:rPr>
          <w:rFonts w:ascii="Century Schoolbook" w:hAnsi="Century Schoolbook"/>
        </w:rPr>
        <w:t xml:space="preserve"> public comments and [</w:t>
      </w:r>
      <w:r w:rsidR="00F33F5E" w:rsidRPr="008D659D">
        <w:rPr>
          <w:rFonts w:ascii="Century Schoolbook" w:hAnsi="Century Schoolbook"/>
        </w:rPr>
        <w:t>her</w:t>
      </w:r>
      <w:r w:rsidR="00AB18E6" w:rsidRPr="008D659D">
        <w:rPr>
          <w:rFonts w:ascii="Century Schoolbook" w:hAnsi="Century Schoolbook"/>
        </w:rPr>
        <w:t xml:space="preserve">] strong feelings about how to proceed in not only these types of cases generally, but </w:t>
      </w:r>
      <w:r w:rsidR="00AB18E6" w:rsidRPr="008D659D">
        <w:rPr>
          <w:rFonts w:ascii="Century Schoolbook" w:hAnsi="Century Schoolbook"/>
        </w:rPr>
        <w:lastRenderedPageBreak/>
        <w:t>the case of [] Pomar specifically, and the fact that this case involves very similar conduct</w:t>
      </w:r>
      <w:r w:rsidR="00A245BD" w:rsidRPr="008D659D">
        <w:rPr>
          <w:rFonts w:ascii="Century Schoolbook" w:hAnsi="Century Schoolbook"/>
        </w:rPr>
        <w:t>,</w:t>
      </w:r>
      <w:r w:rsidR="00AB18E6" w:rsidRPr="008D659D">
        <w:rPr>
          <w:rFonts w:ascii="Century Schoolbook" w:hAnsi="Century Schoolbook"/>
        </w:rPr>
        <w:t xml:space="preserve">” </w:t>
      </w:r>
      <w:r w:rsidR="00A245BD" w:rsidRPr="008D659D">
        <w:rPr>
          <w:rFonts w:ascii="Century Schoolbook" w:hAnsi="Century Schoolbook"/>
        </w:rPr>
        <w:t xml:space="preserve">the </w:t>
      </w:r>
      <w:r w:rsidRPr="008D659D">
        <w:rPr>
          <w:rFonts w:ascii="Century Schoolbook" w:hAnsi="Century Schoolbook"/>
        </w:rPr>
        <w:t>judge</w:t>
      </w:r>
      <w:r w:rsidR="00A245BD" w:rsidRPr="008D659D">
        <w:rPr>
          <w:rFonts w:ascii="Century Schoolbook" w:hAnsi="Century Schoolbook"/>
        </w:rPr>
        <w:t xml:space="preserve"> concluded that “walling-off” </w:t>
      </w:r>
      <w:r w:rsidR="0088290A" w:rsidRPr="008D659D">
        <w:rPr>
          <w:rFonts w:ascii="Century Schoolbook" w:hAnsi="Century Schoolbook"/>
        </w:rPr>
        <w:t>Jenkins</w:t>
      </w:r>
      <w:r w:rsidR="00A245BD" w:rsidRPr="008D659D">
        <w:rPr>
          <w:rFonts w:ascii="Century Schoolbook" w:hAnsi="Century Schoolbook"/>
        </w:rPr>
        <w:t xml:space="preserve"> was not “going to be sufficient.” </w:t>
      </w:r>
    </w:p>
    <w:p w14:paraId="042A7322" w14:textId="11AEFA16" w:rsidR="00AB18E6" w:rsidRPr="008D659D" w:rsidRDefault="00AB18E6" w:rsidP="0077013D">
      <w:pPr>
        <w:pStyle w:val="BodyText"/>
        <w:widowControl/>
        <w:spacing w:line="360" w:lineRule="auto"/>
        <w:ind w:left="0" w:firstLine="720"/>
        <w:rPr>
          <w:rFonts w:ascii="Century Schoolbook" w:hAnsi="Century Schoolbook"/>
        </w:rPr>
      </w:pPr>
      <w:r w:rsidRPr="008D659D">
        <w:rPr>
          <w:rFonts w:ascii="Century Schoolbook" w:hAnsi="Century Schoolbook"/>
        </w:rPr>
        <w:t xml:space="preserve">The </w:t>
      </w:r>
      <w:r w:rsidR="00800EB6" w:rsidRPr="008D659D">
        <w:rPr>
          <w:rFonts w:ascii="Century Schoolbook" w:hAnsi="Century Schoolbook"/>
        </w:rPr>
        <w:t>Attorney General</w:t>
      </w:r>
      <w:r w:rsidRPr="008D659D">
        <w:rPr>
          <w:rFonts w:ascii="Century Schoolbook" w:hAnsi="Century Schoolbook"/>
        </w:rPr>
        <w:t xml:space="preserve"> timely appealed from the </w:t>
      </w:r>
      <w:r w:rsidR="008C10B3" w:rsidRPr="008D659D">
        <w:rPr>
          <w:rFonts w:ascii="Century Schoolbook" w:hAnsi="Century Schoolbook"/>
        </w:rPr>
        <w:t xml:space="preserve">order </w:t>
      </w:r>
      <w:r w:rsidR="008205DA" w:rsidRPr="008D659D">
        <w:rPr>
          <w:rFonts w:ascii="Century Schoolbook" w:hAnsi="Century Schoolbook"/>
        </w:rPr>
        <w:t>disqualify</w:t>
      </w:r>
      <w:r w:rsidRPr="008D659D">
        <w:rPr>
          <w:rFonts w:ascii="Century Schoolbook" w:hAnsi="Century Schoolbook"/>
        </w:rPr>
        <w:t xml:space="preserve">ing the </w:t>
      </w:r>
      <w:r w:rsidR="00FE61F3" w:rsidRPr="008D659D">
        <w:rPr>
          <w:rFonts w:ascii="Century Schoolbook" w:hAnsi="Century Schoolbook"/>
        </w:rPr>
        <w:t xml:space="preserve">entire </w:t>
      </w:r>
      <w:r w:rsidRPr="008D659D">
        <w:rPr>
          <w:rFonts w:ascii="Century Schoolbook" w:hAnsi="Century Schoolbook"/>
        </w:rPr>
        <w:t xml:space="preserve">Office </w:t>
      </w:r>
      <w:r w:rsidR="008A40B6" w:rsidRPr="008D659D">
        <w:rPr>
          <w:rFonts w:ascii="Century Schoolbook" w:hAnsi="Century Schoolbook"/>
        </w:rPr>
        <w:t>from</w:t>
      </w:r>
      <w:r w:rsidRPr="008D659D">
        <w:rPr>
          <w:rFonts w:ascii="Century Schoolbook" w:hAnsi="Century Schoolbook"/>
        </w:rPr>
        <w:t xml:space="preserve"> th</w:t>
      </w:r>
      <w:r w:rsidR="00F33F5E" w:rsidRPr="008D659D">
        <w:rPr>
          <w:rFonts w:ascii="Century Schoolbook" w:hAnsi="Century Schoolbook"/>
        </w:rPr>
        <w:t>e Pomar/Young</w:t>
      </w:r>
      <w:r w:rsidRPr="008D659D">
        <w:rPr>
          <w:rFonts w:ascii="Century Schoolbook" w:hAnsi="Century Schoolbook"/>
        </w:rPr>
        <w:t xml:space="preserve"> case</w:t>
      </w:r>
      <w:r w:rsidR="00FE61F3" w:rsidRPr="008D659D">
        <w:rPr>
          <w:rFonts w:ascii="Century Schoolbook" w:hAnsi="Century Schoolbook"/>
        </w:rPr>
        <w:t xml:space="preserve"> (</w:t>
      </w:r>
      <w:r w:rsidR="001800B2" w:rsidRPr="008D659D">
        <w:rPr>
          <w:rFonts w:ascii="Century Schoolbook" w:hAnsi="Century Schoolbook"/>
        </w:rPr>
        <w:t xml:space="preserve">appeal no. </w:t>
      </w:r>
      <w:r w:rsidR="00FE61F3" w:rsidRPr="008D659D">
        <w:rPr>
          <w:rFonts w:ascii="Century Schoolbook" w:hAnsi="Century Schoolbook"/>
        </w:rPr>
        <w:t>A167241)</w:t>
      </w:r>
      <w:r w:rsidRPr="008D659D">
        <w:rPr>
          <w:rFonts w:ascii="Century Schoolbook" w:hAnsi="Century Schoolbook"/>
        </w:rPr>
        <w:t xml:space="preserve">. </w:t>
      </w:r>
      <w:r w:rsidR="00800EB6" w:rsidRPr="008D659D">
        <w:rPr>
          <w:rFonts w:ascii="Century Schoolbook" w:hAnsi="Century Schoolbook"/>
        </w:rPr>
        <w:t xml:space="preserve"> (§ 1424, subd. (a)(1).) </w:t>
      </w:r>
    </w:p>
    <w:p w14:paraId="0A900303" w14:textId="3EA58087" w:rsidR="0094261C" w:rsidRPr="008D659D" w:rsidRDefault="0094261C" w:rsidP="0094261C">
      <w:pPr>
        <w:pStyle w:val="BodyText"/>
        <w:widowControl/>
        <w:spacing w:line="360" w:lineRule="auto"/>
        <w:ind w:left="0"/>
        <w:jc w:val="center"/>
        <w:rPr>
          <w:rFonts w:ascii="Century Schoolbook" w:hAnsi="Century Schoolbook"/>
        </w:rPr>
      </w:pPr>
      <w:r w:rsidRPr="008D659D">
        <w:rPr>
          <w:rFonts w:ascii="Century Schoolbook" w:hAnsi="Century Schoolbook"/>
          <w:b/>
          <w:bCs/>
        </w:rPr>
        <w:t>C.</w:t>
      </w:r>
    </w:p>
    <w:p w14:paraId="3CD92814" w14:textId="5B4AA5BE" w:rsidR="0094261C" w:rsidRPr="008D659D" w:rsidRDefault="00A778DD" w:rsidP="006656F0">
      <w:pPr>
        <w:pStyle w:val="BodyText"/>
        <w:widowControl/>
        <w:spacing w:line="360" w:lineRule="auto"/>
        <w:ind w:left="0" w:firstLine="720"/>
        <w:rPr>
          <w:rFonts w:ascii="Century Schoolbook" w:hAnsi="Century Schoolbook"/>
        </w:rPr>
      </w:pPr>
      <w:r w:rsidRPr="008D659D">
        <w:rPr>
          <w:rFonts w:ascii="Century Schoolbook" w:hAnsi="Century Schoolbook"/>
        </w:rPr>
        <w:t xml:space="preserve">The </w:t>
      </w:r>
      <w:r w:rsidR="00050B27" w:rsidRPr="008D659D">
        <w:rPr>
          <w:rFonts w:ascii="Century Schoolbook" w:hAnsi="Century Schoolbook"/>
        </w:rPr>
        <w:t>appeals</w:t>
      </w:r>
      <w:r w:rsidR="00800EB6" w:rsidRPr="008D659D">
        <w:rPr>
          <w:rFonts w:ascii="Century Schoolbook" w:hAnsi="Century Schoolbook"/>
        </w:rPr>
        <w:t xml:space="preserve"> </w:t>
      </w:r>
      <w:r w:rsidRPr="008D659D">
        <w:rPr>
          <w:rFonts w:ascii="Century Schoolbook" w:hAnsi="Century Schoolbook"/>
        </w:rPr>
        <w:t>stayed the recusal orders</w:t>
      </w:r>
      <w:r w:rsidR="00800EB6" w:rsidRPr="008D659D">
        <w:rPr>
          <w:rFonts w:ascii="Century Schoolbook" w:hAnsi="Century Schoolbook"/>
        </w:rPr>
        <w:t xml:space="preserve"> in both the Mallory and Pomar/Young cases</w:t>
      </w:r>
      <w:r w:rsidRPr="008D659D">
        <w:rPr>
          <w:rFonts w:ascii="Century Schoolbook" w:hAnsi="Century Schoolbook"/>
        </w:rPr>
        <w:t>.</w:t>
      </w:r>
      <w:r w:rsidR="00800EB6" w:rsidRPr="008D659D">
        <w:rPr>
          <w:rFonts w:ascii="Century Schoolbook" w:hAnsi="Century Schoolbook"/>
        </w:rPr>
        <w:t xml:space="preserve"> </w:t>
      </w:r>
      <w:r w:rsidRPr="008D659D">
        <w:rPr>
          <w:rFonts w:ascii="Century Schoolbook" w:hAnsi="Century Schoolbook"/>
        </w:rPr>
        <w:t xml:space="preserve"> (§ 1424, subd. (</w:t>
      </w:r>
      <w:r w:rsidR="00800EB6" w:rsidRPr="008D659D">
        <w:rPr>
          <w:rFonts w:ascii="Century Schoolbook" w:hAnsi="Century Schoolbook"/>
        </w:rPr>
        <w:t>a</w:t>
      </w:r>
      <w:r w:rsidRPr="008D659D">
        <w:rPr>
          <w:rFonts w:ascii="Century Schoolbook" w:hAnsi="Century Schoolbook"/>
        </w:rPr>
        <w:t>)(</w:t>
      </w:r>
      <w:r w:rsidR="00800EB6" w:rsidRPr="008D659D">
        <w:rPr>
          <w:rFonts w:ascii="Century Schoolbook" w:hAnsi="Century Schoolbook"/>
        </w:rPr>
        <w:t>1</w:t>
      </w:r>
      <w:r w:rsidRPr="008D659D">
        <w:rPr>
          <w:rFonts w:ascii="Century Schoolbook" w:hAnsi="Century Schoolbook"/>
        </w:rPr>
        <w:t xml:space="preserve">).)  </w:t>
      </w:r>
      <w:r w:rsidR="00921E47" w:rsidRPr="008D659D">
        <w:rPr>
          <w:rFonts w:ascii="Century Schoolbook" w:hAnsi="Century Schoolbook"/>
        </w:rPr>
        <w:t xml:space="preserve">This Court consolidated the two appeals </w:t>
      </w:r>
      <w:r w:rsidR="00F55163" w:rsidRPr="008D659D">
        <w:rPr>
          <w:rFonts w:ascii="Century Schoolbook" w:hAnsi="Century Schoolbook"/>
        </w:rPr>
        <w:t>and</w:t>
      </w:r>
      <w:r w:rsidR="006656F0" w:rsidRPr="008D659D">
        <w:rPr>
          <w:rFonts w:ascii="Century Schoolbook" w:hAnsi="Century Schoolbook"/>
        </w:rPr>
        <w:t xml:space="preserve"> granted the People’s unopposed motion for calendar preference.</w:t>
      </w:r>
    </w:p>
    <w:p w14:paraId="2500D24A" w14:textId="31CE7FDC" w:rsidR="0094261C" w:rsidRPr="008D659D" w:rsidRDefault="0094261C" w:rsidP="0094261C">
      <w:pPr>
        <w:pStyle w:val="BodyText"/>
        <w:widowControl/>
        <w:spacing w:line="360" w:lineRule="auto"/>
        <w:ind w:left="0"/>
        <w:jc w:val="center"/>
        <w:rPr>
          <w:rFonts w:ascii="Century Schoolbook" w:hAnsi="Century Schoolbook"/>
          <w:b/>
          <w:bCs/>
        </w:rPr>
      </w:pPr>
      <w:r w:rsidRPr="008D659D">
        <w:rPr>
          <w:rFonts w:ascii="Century Schoolbook" w:hAnsi="Century Schoolbook"/>
          <w:b/>
          <w:bCs/>
        </w:rPr>
        <w:t>D</w:t>
      </w:r>
      <w:r w:rsidR="005552B8" w:rsidRPr="008D659D">
        <w:rPr>
          <w:rFonts w:ascii="Century Schoolbook" w:hAnsi="Century Schoolbook"/>
          <w:b/>
          <w:bCs/>
        </w:rPr>
        <w:t>I</w:t>
      </w:r>
      <w:r w:rsidRPr="008D659D">
        <w:rPr>
          <w:rFonts w:ascii="Century Schoolbook" w:hAnsi="Century Schoolbook"/>
          <w:b/>
          <w:bCs/>
        </w:rPr>
        <w:t>SCUSSION</w:t>
      </w:r>
    </w:p>
    <w:p w14:paraId="6163798A" w14:textId="7465B84E" w:rsidR="0094261C" w:rsidRPr="008D659D" w:rsidRDefault="00F54F89" w:rsidP="00F54F89">
      <w:pPr>
        <w:pStyle w:val="BodyText"/>
        <w:widowControl/>
        <w:spacing w:line="360" w:lineRule="auto"/>
        <w:ind w:left="0"/>
        <w:jc w:val="center"/>
        <w:rPr>
          <w:rFonts w:ascii="Century Schoolbook" w:hAnsi="Century Schoolbook"/>
        </w:rPr>
      </w:pPr>
      <w:r w:rsidRPr="008D659D">
        <w:rPr>
          <w:rFonts w:ascii="Century Schoolbook" w:hAnsi="Century Schoolbook"/>
          <w:b/>
          <w:bCs/>
        </w:rPr>
        <w:t>A.</w:t>
      </w:r>
    </w:p>
    <w:p w14:paraId="50090ADA" w14:textId="77777777" w:rsidR="00BE34AB" w:rsidRDefault="000F3F1B" w:rsidP="000F3F1B">
      <w:pPr>
        <w:pStyle w:val="BodyText"/>
        <w:widowControl/>
        <w:spacing w:line="360" w:lineRule="auto"/>
        <w:ind w:left="0" w:firstLine="720"/>
        <w:rPr>
          <w:rFonts w:ascii="Century Schoolbook" w:hAnsi="Century Schoolbook"/>
        </w:rPr>
      </w:pPr>
      <w:r w:rsidRPr="008D659D">
        <w:rPr>
          <w:rFonts w:ascii="Century Schoolbook" w:hAnsi="Century Schoolbook"/>
        </w:rPr>
        <w:t>“[A] motion to recuse is directed to the sound discretion of the trial court, and its decision to grant or deny the motion is reviewed only for an abuse of discretion.  [Citations.]  The abuse of discretion standard is not a unified standard; the deference it calls for varies according to the aspect of a trial court</w:t>
      </w:r>
      <w:r w:rsidR="00CE6F2A" w:rsidRPr="008D659D">
        <w:rPr>
          <w:rFonts w:ascii="Century Schoolbook" w:hAnsi="Century Schoolbook"/>
        </w:rPr>
        <w:t>’s</w:t>
      </w:r>
      <w:r w:rsidRPr="008D659D">
        <w:rPr>
          <w:rFonts w:ascii="Century Schoolbook" w:hAnsi="Century Schoolbook"/>
        </w:rPr>
        <w:t xml:space="preserve"> ruling under review.  The trial court’s findings of fact are reviewed for substantial evidence, its conclusions of law are reviewed de novo, and its application of the law to the fact</w:t>
      </w:r>
      <w:r w:rsidR="002765FA" w:rsidRPr="008D659D">
        <w:rPr>
          <w:rFonts w:ascii="Century Schoolbook" w:hAnsi="Century Schoolbook"/>
        </w:rPr>
        <w:t>s</w:t>
      </w:r>
      <w:r w:rsidRPr="008D659D">
        <w:rPr>
          <w:rFonts w:ascii="Century Schoolbook" w:hAnsi="Century Schoolbook"/>
        </w:rPr>
        <w:t xml:space="preserve"> is reversible only if arbitrary and capricious.”  (</w:t>
      </w:r>
      <w:r w:rsidRPr="008D659D">
        <w:rPr>
          <w:rFonts w:ascii="Century Schoolbook" w:hAnsi="Century Schoolbook"/>
          <w:i/>
          <w:iCs/>
        </w:rPr>
        <w:t xml:space="preserve">Haraguchi v. Superior Court </w:t>
      </w:r>
      <w:r w:rsidRPr="008D659D">
        <w:rPr>
          <w:rFonts w:ascii="Century Schoolbook" w:hAnsi="Century Schoolbook"/>
        </w:rPr>
        <w:t>(2008) 43 Cal.</w:t>
      </w:r>
      <w:r w:rsidR="003C17D9" w:rsidRPr="008D659D">
        <w:rPr>
          <w:rFonts w:ascii="Century Schoolbook" w:hAnsi="Century Schoolbook"/>
        </w:rPr>
        <w:t>4th</w:t>
      </w:r>
      <w:r w:rsidRPr="008D659D">
        <w:rPr>
          <w:rFonts w:ascii="Century Schoolbook" w:hAnsi="Century Schoolbook"/>
        </w:rPr>
        <w:t xml:space="preserve"> 706, </w:t>
      </w:r>
    </w:p>
    <w:p w14:paraId="6205E6D8" w14:textId="3794518B" w:rsidR="00F54F89" w:rsidRPr="008D659D" w:rsidRDefault="000F3F1B" w:rsidP="00BE34AB">
      <w:pPr>
        <w:pStyle w:val="BodyText"/>
        <w:widowControl/>
        <w:spacing w:line="360" w:lineRule="auto"/>
        <w:ind w:left="0"/>
        <w:rPr>
          <w:rFonts w:ascii="Century Schoolbook" w:hAnsi="Century Schoolbook"/>
        </w:rPr>
      </w:pPr>
      <w:r w:rsidRPr="008D659D">
        <w:rPr>
          <w:rFonts w:ascii="Century Schoolbook" w:hAnsi="Century Schoolbook"/>
        </w:rPr>
        <w:t>711</w:t>
      </w:r>
      <w:r w:rsidR="00CE6F2A" w:rsidRPr="008D659D">
        <w:rPr>
          <w:rFonts w:ascii="Century Schoolbook" w:hAnsi="Century Schoolbook"/>
        </w:rPr>
        <w:t>–</w:t>
      </w:r>
      <w:r w:rsidRPr="008D659D">
        <w:rPr>
          <w:rFonts w:ascii="Century Schoolbook" w:hAnsi="Century Schoolbook"/>
        </w:rPr>
        <w:t>712 (</w:t>
      </w:r>
      <w:r w:rsidRPr="008D659D">
        <w:rPr>
          <w:rFonts w:ascii="Century Schoolbook" w:hAnsi="Century Schoolbook"/>
          <w:i/>
          <w:iCs/>
        </w:rPr>
        <w:t>Haraguchi</w:t>
      </w:r>
      <w:r w:rsidRPr="008D659D">
        <w:rPr>
          <w:rFonts w:ascii="Century Schoolbook" w:hAnsi="Century Schoolbook"/>
        </w:rPr>
        <w:t>).)</w:t>
      </w:r>
    </w:p>
    <w:p w14:paraId="1E1181AE" w14:textId="0536F397" w:rsidR="00F54F89" w:rsidRPr="008D659D" w:rsidRDefault="00F54F89" w:rsidP="00F54F89">
      <w:pPr>
        <w:pStyle w:val="BodyText"/>
        <w:widowControl/>
        <w:spacing w:line="360" w:lineRule="auto"/>
        <w:ind w:left="0"/>
        <w:jc w:val="center"/>
        <w:rPr>
          <w:rFonts w:ascii="Century Schoolbook" w:hAnsi="Century Schoolbook"/>
        </w:rPr>
      </w:pPr>
      <w:r w:rsidRPr="008D659D">
        <w:rPr>
          <w:rFonts w:ascii="Century Schoolbook" w:hAnsi="Century Schoolbook"/>
          <w:b/>
          <w:bCs/>
        </w:rPr>
        <w:t>B.</w:t>
      </w:r>
    </w:p>
    <w:p w14:paraId="2BA2612C" w14:textId="3F9D3735" w:rsidR="00F54F89" w:rsidRPr="008D659D" w:rsidRDefault="00CE7824" w:rsidP="00CE7824">
      <w:pPr>
        <w:pStyle w:val="BodyText"/>
        <w:widowControl/>
        <w:spacing w:line="360" w:lineRule="auto"/>
        <w:ind w:left="0" w:firstLine="720"/>
        <w:rPr>
          <w:rFonts w:ascii="Century Schoolbook" w:hAnsi="Century Schoolbook"/>
        </w:rPr>
      </w:pPr>
      <w:r w:rsidRPr="008D659D">
        <w:rPr>
          <w:rFonts w:ascii="Century Schoolbook" w:hAnsi="Century Schoolbook"/>
        </w:rPr>
        <w:t>Under section 1424, “[a] motion to recuse the district attorney ‘may not be granted unless the evidence shows that a conflict of interest exists that would render it unlikely that the defendant would receive a fair trial.’ ”  (</w:t>
      </w:r>
      <w:r w:rsidRPr="008D659D">
        <w:rPr>
          <w:rFonts w:ascii="Century Schoolbook" w:hAnsi="Century Schoolbook"/>
          <w:i/>
          <w:iCs/>
        </w:rPr>
        <w:t xml:space="preserve">People v. Bell </w:t>
      </w:r>
      <w:r w:rsidRPr="008D659D">
        <w:rPr>
          <w:rFonts w:ascii="Century Schoolbook" w:hAnsi="Century Schoolbook"/>
        </w:rPr>
        <w:t>(2019) 7 Cal.5th 70, 97</w:t>
      </w:r>
      <w:r w:rsidR="00654626" w:rsidRPr="008D659D">
        <w:rPr>
          <w:rFonts w:ascii="Century Schoolbook" w:hAnsi="Century Schoolbook"/>
        </w:rPr>
        <w:t xml:space="preserve"> (</w:t>
      </w:r>
      <w:r w:rsidR="00654626" w:rsidRPr="008D659D">
        <w:rPr>
          <w:rFonts w:ascii="Century Schoolbook" w:hAnsi="Century Schoolbook"/>
          <w:i/>
          <w:iCs/>
        </w:rPr>
        <w:t>Bell</w:t>
      </w:r>
      <w:r w:rsidR="00654626" w:rsidRPr="008D659D">
        <w:rPr>
          <w:rFonts w:ascii="Century Schoolbook" w:hAnsi="Century Schoolbook"/>
        </w:rPr>
        <w:t>)</w:t>
      </w:r>
      <w:r w:rsidRPr="008D659D">
        <w:rPr>
          <w:rFonts w:ascii="Century Schoolbook" w:hAnsi="Century Schoolbook"/>
        </w:rPr>
        <w:t>, quoting § 1424, subd. (a)(1).)  “The statute ‘articulates a two-part test:</w:t>
      </w:r>
      <w:r w:rsidR="002765FA" w:rsidRPr="008D659D">
        <w:rPr>
          <w:rFonts w:ascii="Century Schoolbook" w:hAnsi="Century Schoolbook"/>
        </w:rPr>
        <w:t xml:space="preserve"> </w:t>
      </w:r>
      <w:r w:rsidRPr="008D659D">
        <w:rPr>
          <w:rFonts w:ascii="Century Schoolbook" w:hAnsi="Century Schoolbook"/>
        </w:rPr>
        <w:t xml:space="preserve"> “(i) is there a conflict of interest? </w:t>
      </w:r>
      <w:r w:rsidR="007D12EF">
        <w:rPr>
          <w:rFonts w:ascii="Century Schoolbook" w:hAnsi="Century Schoolbook"/>
        </w:rPr>
        <w:t xml:space="preserve"> </w:t>
      </w:r>
      <w:r w:rsidRPr="008D659D">
        <w:rPr>
          <w:rFonts w:ascii="Century Schoolbook" w:hAnsi="Century Schoolbook"/>
        </w:rPr>
        <w:lastRenderedPageBreak/>
        <w:t>And (ii) is the conflict so severe as to disqualify the district attorney from acting?” ’ ”  (</w:t>
      </w:r>
      <w:r w:rsidRPr="008D659D">
        <w:rPr>
          <w:rFonts w:ascii="Century Schoolbook" w:hAnsi="Century Schoolbook"/>
          <w:i/>
          <w:iCs/>
        </w:rPr>
        <w:t>Haraguchi</w:t>
      </w:r>
      <w:r w:rsidRPr="008D659D">
        <w:rPr>
          <w:rFonts w:ascii="Century Schoolbook" w:hAnsi="Century Schoolbook"/>
        </w:rPr>
        <w:t xml:space="preserve">, </w:t>
      </w:r>
      <w:r w:rsidRPr="008D659D">
        <w:rPr>
          <w:rFonts w:ascii="Century Schoolbook" w:hAnsi="Century Schoolbook"/>
          <w:i/>
          <w:iCs/>
        </w:rPr>
        <w:t>supra</w:t>
      </w:r>
      <w:r w:rsidRPr="008D659D">
        <w:rPr>
          <w:rFonts w:ascii="Century Schoolbook" w:hAnsi="Century Schoolbook"/>
        </w:rPr>
        <w:t xml:space="preserve">, 43 Cal.4th at p. 711.)  The People concede </w:t>
      </w:r>
      <w:r w:rsidR="00654626" w:rsidRPr="008D659D">
        <w:rPr>
          <w:rFonts w:ascii="Century Schoolbook" w:hAnsi="Century Schoolbook"/>
        </w:rPr>
        <w:t>there is</w:t>
      </w:r>
      <w:r w:rsidRPr="008D659D">
        <w:rPr>
          <w:rFonts w:ascii="Century Schoolbook" w:hAnsi="Century Schoolbook"/>
        </w:rPr>
        <w:t xml:space="preserve"> a conflict of interest based on “Jenkins’s relationship to one of the victims.”  Thus, the only issue </w:t>
      </w:r>
      <w:r w:rsidR="005B56B3" w:rsidRPr="008D659D">
        <w:rPr>
          <w:rFonts w:ascii="Century Schoolbook" w:hAnsi="Century Schoolbook"/>
        </w:rPr>
        <w:t>in th</w:t>
      </w:r>
      <w:r w:rsidR="00654626" w:rsidRPr="008D659D">
        <w:rPr>
          <w:rFonts w:ascii="Century Schoolbook" w:hAnsi="Century Schoolbook"/>
        </w:rPr>
        <w:t>e</w:t>
      </w:r>
      <w:r w:rsidR="005B56B3" w:rsidRPr="008D659D">
        <w:rPr>
          <w:rFonts w:ascii="Century Schoolbook" w:hAnsi="Century Schoolbook"/>
        </w:rPr>
        <w:t>s</w:t>
      </w:r>
      <w:r w:rsidR="00654626" w:rsidRPr="008D659D">
        <w:rPr>
          <w:rFonts w:ascii="Century Schoolbook" w:hAnsi="Century Schoolbook"/>
        </w:rPr>
        <w:t>e</w:t>
      </w:r>
      <w:r w:rsidRPr="008D659D">
        <w:rPr>
          <w:rFonts w:ascii="Century Schoolbook" w:hAnsi="Century Schoolbook"/>
        </w:rPr>
        <w:t xml:space="preserve"> </w:t>
      </w:r>
      <w:r w:rsidR="001800B2" w:rsidRPr="008D659D">
        <w:rPr>
          <w:rFonts w:ascii="Century Schoolbook" w:hAnsi="Century Schoolbook"/>
        </w:rPr>
        <w:t xml:space="preserve">two </w:t>
      </w:r>
      <w:r w:rsidRPr="008D659D">
        <w:rPr>
          <w:rFonts w:ascii="Century Schoolbook" w:hAnsi="Century Schoolbook"/>
        </w:rPr>
        <w:t>appeal</w:t>
      </w:r>
      <w:r w:rsidR="00654626" w:rsidRPr="008D659D">
        <w:rPr>
          <w:rFonts w:ascii="Century Schoolbook" w:hAnsi="Century Schoolbook"/>
        </w:rPr>
        <w:t>s</w:t>
      </w:r>
      <w:r w:rsidRPr="008D659D">
        <w:rPr>
          <w:rFonts w:ascii="Century Schoolbook" w:hAnsi="Century Schoolbook"/>
        </w:rPr>
        <w:t xml:space="preserve"> is whether the trial court</w:t>
      </w:r>
      <w:r w:rsidR="00654626" w:rsidRPr="008D659D">
        <w:rPr>
          <w:rFonts w:ascii="Century Schoolbook" w:hAnsi="Century Schoolbook"/>
        </w:rPr>
        <w:t>s</w:t>
      </w:r>
      <w:r w:rsidRPr="008D659D">
        <w:rPr>
          <w:rFonts w:ascii="Century Schoolbook" w:hAnsi="Century Schoolbook"/>
        </w:rPr>
        <w:t xml:space="preserve"> </w:t>
      </w:r>
      <w:r w:rsidR="00654626" w:rsidRPr="008D659D">
        <w:rPr>
          <w:rFonts w:ascii="Century Schoolbook" w:hAnsi="Century Schoolbook"/>
        </w:rPr>
        <w:t xml:space="preserve">in the Mallory and Pomar/Young cases </w:t>
      </w:r>
      <w:r w:rsidRPr="008D659D">
        <w:rPr>
          <w:rFonts w:ascii="Century Schoolbook" w:hAnsi="Century Schoolbook"/>
        </w:rPr>
        <w:t xml:space="preserve">abused </w:t>
      </w:r>
      <w:r w:rsidR="00654626" w:rsidRPr="008D659D">
        <w:rPr>
          <w:rFonts w:ascii="Century Schoolbook" w:hAnsi="Century Schoolbook"/>
        </w:rPr>
        <w:t>their</w:t>
      </w:r>
      <w:r w:rsidRPr="008D659D">
        <w:rPr>
          <w:rFonts w:ascii="Century Schoolbook" w:hAnsi="Century Schoolbook"/>
        </w:rPr>
        <w:t xml:space="preserve"> discretion in finding that the conflict was “ ‘ “so grave as to render it unlikely that </w:t>
      </w:r>
      <w:r w:rsidR="001800B2" w:rsidRPr="008D659D">
        <w:rPr>
          <w:rFonts w:ascii="Century Schoolbook" w:hAnsi="Century Schoolbook"/>
        </w:rPr>
        <w:t>[Mitchell and Pomar]</w:t>
      </w:r>
      <w:r w:rsidRPr="008D659D">
        <w:rPr>
          <w:rFonts w:ascii="Century Schoolbook" w:hAnsi="Century Schoolbook"/>
        </w:rPr>
        <w:t xml:space="preserve"> will receive fair treatment </w:t>
      </w:r>
      <w:r w:rsidRPr="008D659D">
        <w:rPr>
          <w:rFonts w:ascii="Century Schoolbook" w:hAnsi="Century Schoolbook"/>
          <w:i/>
          <w:iCs/>
        </w:rPr>
        <w:t>during all portions of the criminal proceedings.</w:t>
      </w:r>
      <w:r w:rsidRPr="008D659D">
        <w:rPr>
          <w:rFonts w:ascii="Century Schoolbook" w:hAnsi="Century Schoolbook"/>
        </w:rPr>
        <w:t>” ’ ”</w:t>
      </w:r>
      <w:r w:rsidR="005B56B3" w:rsidRPr="008D659D">
        <w:rPr>
          <w:rFonts w:ascii="Century Schoolbook" w:hAnsi="Century Schoolbook"/>
        </w:rPr>
        <w:t xml:space="preserve">  (</w:t>
      </w:r>
      <w:r w:rsidR="005B56B3" w:rsidRPr="008D659D">
        <w:rPr>
          <w:rFonts w:ascii="Century Schoolbook" w:hAnsi="Century Schoolbook"/>
          <w:i/>
          <w:iCs/>
        </w:rPr>
        <w:t xml:space="preserve">People v. Vasquez </w:t>
      </w:r>
      <w:r w:rsidR="005B56B3" w:rsidRPr="008D659D">
        <w:rPr>
          <w:rFonts w:ascii="Century Schoolbook" w:hAnsi="Century Schoolbook"/>
        </w:rPr>
        <w:t>(2006) 39 Cal.4th 47, 56 (</w:t>
      </w:r>
      <w:r w:rsidR="005B56B3" w:rsidRPr="008D659D">
        <w:rPr>
          <w:rFonts w:ascii="Century Schoolbook" w:hAnsi="Century Schoolbook"/>
          <w:i/>
          <w:iCs/>
        </w:rPr>
        <w:t>Vasquez</w:t>
      </w:r>
      <w:r w:rsidR="005B56B3" w:rsidRPr="008D659D">
        <w:rPr>
          <w:rFonts w:ascii="Century Schoolbook" w:hAnsi="Century Schoolbook"/>
        </w:rPr>
        <w:t xml:space="preserve">).)  We find </w:t>
      </w:r>
      <w:r w:rsidR="00654626" w:rsidRPr="008D659D">
        <w:rPr>
          <w:rFonts w:ascii="Century Schoolbook" w:hAnsi="Century Schoolbook"/>
        </w:rPr>
        <w:t>they</w:t>
      </w:r>
      <w:r w:rsidR="005B56B3" w:rsidRPr="008D659D">
        <w:rPr>
          <w:rFonts w:ascii="Century Schoolbook" w:hAnsi="Century Schoolbook"/>
        </w:rPr>
        <w:t xml:space="preserve"> did not</w:t>
      </w:r>
      <w:r w:rsidR="003C17D9" w:rsidRPr="008D659D">
        <w:rPr>
          <w:rFonts w:ascii="Century Schoolbook" w:hAnsi="Century Schoolbook"/>
        </w:rPr>
        <w:t xml:space="preserve"> and affirm</w:t>
      </w:r>
      <w:r w:rsidR="005B56B3" w:rsidRPr="008D659D">
        <w:rPr>
          <w:rFonts w:ascii="Century Schoolbook" w:hAnsi="Century Schoolbook"/>
        </w:rPr>
        <w:t>.</w:t>
      </w:r>
    </w:p>
    <w:p w14:paraId="62D5FA26" w14:textId="4D283CD1" w:rsidR="00A92CF5" w:rsidRPr="008D659D" w:rsidRDefault="00A92CF5" w:rsidP="00A92CF5">
      <w:pPr>
        <w:pStyle w:val="BodyText"/>
        <w:widowControl/>
        <w:spacing w:line="360" w:lineRule="auto"/>
        <w:ind w:left="0"/>
        <w:jc w:val="center"/>
        <w:rPr>
          <w:rFonts w:ascii="Century Schoolbook" w:hAnsi="Century Schoolbook"/>
        </w:rPr>
      </w:pPr>
      <w:r w:rsidRPr="008D659D">
        <w:rPr>
          <w:rFonts w:ascii="Century Schoolbook" w:hAnsi="Century Schoolbook"/>
          <w:b/>
          <w:bCs/>
        </w:rPr>
        <w:t>1.</w:t>
      </w:r>
    </w:p>
    <w:p w14:paraId="5EF7CFC4" w14:textId="2F07DED9" w:rsidR="000A4F82" w:rsidRPr="008D659D" w:rsidRDefault="003C17D9" w:rsidP="003C17D9">
      <w:pPr>
        <w:pStyle w:val="BodyText"/>
        <w:widowControl/>
        <w:spacing w:line="360" w:lineRule="auto"/>
        <w:ind w:left="0" w:firstLine="720"/>
        <w:rPr>
          <w:rFonts w:ascii="Century Schoolbook" w:hAnsi="Century Schoolbook"/>
        </w:rPr>
      </w:pPr>
      <w:r w:rsidRPr="008D659D">
        <w:rPr>
          <w:rFonts w:ascii="Century Schoolbook" w:hAnsi="Century Schoolbook"/>
        </w:rPr>
        <w:t xml:space="preserve">For a conflict to be grave enough to </w:t>
      </w:r>
      <w:r w:rsidR="00654626" w:rsidRPr="008D659D">
        <w:rPr>
          <w:rFonts w:ascii="Century Schoolbook" w:hAnsi="Century Schoolbook"/>
        </w:rPr>
        <w:t>warrant</w:t>
      </w:r>
      <w:r w:rsidRPr="008D659D">
        <w:rPr>
          <w:rFonts w:ascii="Century Schoolbook" w:hAnsi="Century Schoolbook"/>
        </w:rPr>
        <w:t xml:space="preserve"> recusal under section 1424, “the potential for prejudice to the defendant—the likelihood that the defendant will not receive a fair trial—must be real, not merely apparent, and must rise to the level of a </w:t>
      </w:r>
      <w:r w:rsidRPr="008D659D">
        <w:rPr>
          <w:rFonts w:ascii="Century Schoolbook" w:hAnsi="Century Schoolbook"/>
          <w:i/>
          <w:iCs/>
        </w:rPr>
        <w:t xml:space="preserve">likelihood </w:t>
      </w:r>
      <w:r w:rsidRPr="008D659D">
        <w:rPr>
          <w:rFonts w:ascii="Century Schoolbook" w:hAnsi="Century Schoolbook"/>
        </w:rPr>
        <w:t>of unfairness.”  (</w:t>
      </w:r>
      <w:r w:rsidRPr="008D659D">
        <w:rPr>
          <w:rFonts w:ascii="Century Schoolbook" w:hAnsi="Century Schoolbook"/>
          <w:i/>
          <w:iCs/>
        </w:rPr>
        <w:t xml:space="preserve">People v. Eubanks </w:t>
      </w:r>
      <w:r w:rsidRPr="008D659D">
        <w:rPr>
          <w:rFonts w:ascii="Century Schoolbook" w:hAnsi="Century Schoolbook"/>
        </w:rPr>
        <w:t>(1996) 14 Cal.4th 580, 592</w:t>
      </w:r>
      <w:r w:rsidR="007127FB" w:rsidRPr="008D659D">
        <w:rPr>
          <w:rFonts w:ascii="Century Schoolbook" w:hAnsi="Century Schoolbook"/>
        </w:rPr>
        <w:t xml:space="preserve"> (</w:t>
      </w:r>
      <w:r w:rsidR="007127FB" w:rsidRPr="008D659D">
        <w:rPr>
          <w:rFonts w:ascii="Century Schoolbook" w:hAnsi="Century Schoolbook"/>
          <w:i/>
          <w:iCs/>
        </w:rPr>
        <w:t>Eubanks</w:t>
      </w:r>
      <w:r w:rsidR="007127FB" w:rsidRPr="008D659D">
        <w:rPr>
          <w:rFonts w:ascii="Century Schoolbook" w:hAnsi="Century Schoolbook"/>
        </w:rPr>
        <w:t>)</w:t>
      </w:r>
      <w:r w:rsidR="00654626" w:rsidRPr="008D659D">
        <w:rPr>
          <w:rFonts w:ascii="Century Schoolbook" w:hAnsi="Century Schoolbook"/>
        </w:rPr>
        <w:t>, italics in original</w:t>
      </w:r>
      <w:r w:rsidRPr="008D659D">
        <w:rPr>
          <w:rFonts w:ascii="Century Schoolbook" w:hAnsi="Century Schoolbook"/>
        </w:rPr>
        <w:t xml:space="preserve">.)  </w:t>
      </w:r>
      <w:r w:rsidR="000A4F82" w:rsidRPr="008D659D">
        <w:rPr>
          <w:rFonts w:ascii="Century Schoolbook" w:hAnsi="Century Schoolbook"/>
        </w:rPr>
        <w:t xml:space="preserve">This includes not only the conflict’s effect on the trial itself; it includes </w:t>
      </w:r>
      <w:r w:rsidR="00654626" w:rsidRPr="008D659D">
        <w:rPr>
          <w:rFonts w:ascii="Century Schoolbook" w:hAnsi="Century Schoolbook"/>
        </w:rPr>
        <w:t>the conflict’s</w:t>
      </w:r>
      <w:r w:rsidR="000A4F82" w:rsidRPr="008D659D">
        <w:rPr>
          <w:rFonts w:ascii="Century Schoolbook" w:hAnsi="Century Schoolbook"/>
        </w:rPr>
        <w:t xml:space="preserve"> “effect on ‘the [district attorney’s] </w:t>
      </w:r>
      <w:r w:rsidR="000A4F82" w:rsidRPr="008D659D">
        <w:rPr>
          <w:rFonts w:ascii="Century Schoolbook" w:hAnsi="Century Schoolbook"/>
          <w:i/>
          <w:iCs/>
        </w:rPr>
        <w:t xml:space="preserve">discretionary powers exercised either before or after trial </w:t>
      </w:r>
      <w:r w:rsidR="000A4F82" w:rsidRPr="008D659D">
        <w:rPr>
          <w:rFonts w:ascii="Century Schoolbook" w:hAnsi="Century Schoolbook"/>
        </w:rPr>
        <w:t>(e.g., plea bargaining or sentencing recommendations).’ ”  (</w:t>
      </w:r>
      <w:r w:rsidR="000A4F82" w:rsidRPr="008D659D">
        <w:rPr>
          <w:rFonts w:ascii="Century Schoolbook" w:hAnsi="Century Schoolbook"/>
          <w:i/>
          <w:iCs/>
        </w:rPr>
        <w:t>Id.</w:t>
      </w:r>
      <w:r w:rsidR="000A4F82" w:rsidRPr="008D659D">
        <w:rPr>
          <w:rFonts w:ascii="Century Schoolbook" w:hAnsi="Century Schoolbook"/>
        </w:rPr>
        <w:t xml:space="preserve"> at p. 593, italics in original.)</w:t>
      </w:r>
    </w:p>
    <w:p w14:paraId="16C29D22" w14:textId="4D645C7F" w:rsidR="00A92CF5" w:rsidRPr="008D659D" w:rsidRDefault="000A4F82" w:rsidP="003C17D9">
      <w:pPr>
        <w:pStyle w:val="BodyText"/>
        <w:widowControl/>
        <w:spacing w:line="360" w:lineRule="auto"/>
        <w:ind w:left="0" w:firstLine="720"/>
        <w:rPr>
          <w:rFonts w:ascii="Century Schoolbook" w:hAnsi="Century Schoolbook"/>
        </w:rPr>
      </w:pPr>
      <w:r w:rsidRPr="008D659D">
        <w:rPr>
          <w:rFonts w:ascii="Century Schoolbook" w:hAnsi="Century Schoolbook"/>
        </w:rPr>
        <w:t>Section 1424</w:t>
      </w:r>
      <w:r w:rsidR="003C17D9" w:rsidRPr="008D659D">
        <w:rPr>
          <w:rFonts w:ascii="Century Schoolbook" w:hAnsi="Century Schoolbook"/>
        </w:rPr>
        <w:t xml:space="preserve"> </w:t>
      </w:r>
      <w:r w:rsidRPr="008D659D">
        <w:rPr>
          <w:rFonts w:ascii="Century Schoolbook" w:hAnsi="Century Schoolbook"/>
        </w:rPr>
        <w:t>“</w:t>
      </w:r>
      <w:r w:rsidR="003C17D9" w:rsidRPr="008D659D">
        <w:rPr>
          <w:rFonts w:ascii="Century Schoolbook" w:hAnsi="Century Schoolbook"/>
        </w:rPr>
        <w:t>does not</w:t>
      </w:r>
      <w:r w:rsidRPr="008D659D">
        <w:rPr>
          <w:rFonts w:ascii="Century Schoolbook" w:hAnsi="Century Schoolbook"/>
        </w:rPr>
        <w:t>[, however,]</w:t>
      </w:r>
      <w:r w:rsidR="003C17D9" w:rsidRPr="008D659D">
        <w:rPr>
          <w:rFonts w:ascii="Century Schoolbook" w:hAnsi="Century Schoolbook"/>
        </w:rPr>
        <w:t xml:space="preserve"> allow disqualification merely because the district attorney’s further participation in the prosecution would be unseemly, would </w:t>
      </w:r>
      <w:r w:rsidR="003C17D9" w:rsidRPr="008D659D">
        <w:rPr>
          <w:rFonts w:ascii="Century Schoolbook" w:hAnsi="Century Schoolbook"/>
          <w:i/>
          <w:iCs/>
        </w:rPr>
        <w:t>appear</w:t>
      </w:r>
      <w:r w:rsidR="003C17D9" w:rsidRPr="008D659D">
        <w:rPr>
          <w:rFonts w:ascii="Century Schoolbook" w:hAnsi="Century Schoolbook"/>
        </w:rPr>
        <w:t xml:space="preserve"> improper, or would tend to reduce public confidence</w:t>
      </w:r>
      <w:r w:rsidR="007127FB" w:rsidRPr="008D659D">
        <w:rPr>
          <w:rFonts w:ascii="Century Schoolbook" w:hAnsi="Century Schoolbook"/>
        </w:rPr>
        <w:t xml:space="preserve"> in the impartiality and integrity of the criminal justice system.”  (</w:t>
      </w:r>
      <w:r w:rsidRPr="008D659D">
        <w:rPr>
          <w:rFonts w:ascii="Century Schoolbook" w:hAnsi="Century Schoolbook"/>
          <w:i/>
          <w:iCs/>
        </w:rPr>
        <w:t>Eubanks</w:t>
      </w:r>
      <w:r w:rsidRPr="008D659D">
        <w:rPr>
          <w:rFonts w:ascii="Century Schoolbook" w:hAnsi="Century Schoolbook"/>
        </w:rPr>
        <w:t xml:space="preserve">, </w:t>
      </w:r>
      <w:r w:rsidRPr="008D659D">
        <w:rPr>
          <w:rFonts w:ascii="Century Schoolbook" w:hAnsi="Century Schoolbook"/>
          <w:i/>
          <w:iCs/>
        </w:rPr>
        <w:t>supra</w:t>
      </w:r>
      <w:r w:rsidRPr="008D659D">
        <w:rPr>
          <w:rFonts w:ascii="Century Schoolbook" w:hAnsi="Century Schoolbook"/>
        </w:rPr>
        <w:t>, 14 Cal.4th at p. 592</w:t>
      </w:r>
      <w:r w:rsidR="007D5ED2">
        <w:rPr>
          <w:rFonts w:ascii="Century Schoolbook" w:hAnsi="Century Schoolbook"/>
        </w:rPr>
        <w:t>, italics in original</w:t>
      </w:r>
      <w:r w:rsidRPr="008D659D">
        <w:rPr>
          <w:rFonts w:ascii="Century Schoolbook" w:hAnsi="Century Schoolbook"/>
        </w:rPr>
        <w:t>.</w:t>
      </w:r>
      <w:r w:rsidR="007127FB" w:rsidRPr="008D659D">
        <w:rPr>
          <w:rFonts w:ascii="Century Schoolbook" w:hAnsi="Century Schoolbook"/>
        </w:rPr>
        <w:t xml:space="preserve">)  </w:t>
      </w:r>
      <w:r w:rsidRPr="008D659D">
        <w:rPr>
          <w:rFonts w:ascii="Century Schoolbook" w:hAnsi="Century Schoolbook"/>
        </w:rPr>
        <w:t xml:space="preserve">“Only an </w:t>
      </w:r>
      <w:r w:rsidRPr="008D659D">
        <w:rPr>
          <w:rFonts w:ascii="Century Schoolbook" w:hAnsi="Century Schoolbook"/>
          <w:i/>
          <w:iCs/>
        </w:rPr>
        <w:t>actual likelihood of unfair treatment</w:t>
      </w:r>
      <w:r w:rsidRPr="008D659D">
        <w:rPr>
          <w:rFonts w:ascii="Century Schoolbook" w:hAnsi="Century Schoolbook"/>
        </w:rPr>
        <w:t>, not a subjective perception of impropriety, can warrant a court</w:t>
      </w:r>
      <w:r w:rsidR="00712E4D" w:rsidRPr="008D659D">
        <w:rPr>
          <w:rFonts w:ascii="Century Schoolbook" w:hAnsi="Century Schoolbook"/>
        </w:rPr>
        <w:t>’s</w:t>
      </w:r>
      <w:r w:rsidRPr="008D659D">
        <w:rPr>
          <w:rFonts w:ascii="Century Schoolbook" w:hAnsi="Century Schoolbook"/>
        </w:rPr>
        <w:t xml:space="preserve"> taking the significant step of recusing an individual prosecutor or prosecutor’s office.”  (</w:t>
      </w:r>
      <w:r w:rsidRPr="008D659D">
        <w:rPr>
          <w:rFonts w:ascii="Century Schoolbook" w:hAnsi="Century Schoolbook"/>
          <w:i/>
          <w:iCs/>
        </w:rPr>
        <w:t>Haraguchi</w:t>
      </w:r>
      <w:r w:rsidRPr="008D659D">
        <w:rPr>
          <w:rFonts w:ascii="Century Schoolbook" w:hAnsi="Century Schoolbook"/>
        </w:rPr>
        <w:t xml:space="preserve">, </w:t>
      </w:r>
      <w:r w:rsidRPr="008D659D">
        <w:rPr>
          <w:rFonts w:ascii="Century Schoolbook" w:hAnsi="Century Schoolbook"/>
          <w:i/>
          <w:iCs/>
        </w:rPr>
        <w:t>supra</w:t>
      </w:r>
      <w:r w:rsidRPr="008D659D">
        <w:rPr>
          <w:rFonts w:ascii="Century Schoolbook" w:hAnsi="Century Schoolbook"/>
        </w:rPr>
        <w:t>, 43 Cal.4th at p. 719</w:t>
      </w:r>
      <w:r w:rsidR="009D6283" w:rsidRPr="008D659D">
        <w:rPr>
          <w:rFonts w:ascii="Century Schoolbook" w:hAnsi="Century Schoolbook"/>
        </w:rPr>
        <w:t xml:space="preserve">, </w:t>
      </w:r>
      <w:r w:rsidR="009D6283" w:rsidRPr="008D659D">
        <w:rPr>
          <w:rFonts w:ascii="Century Schoolbook" w:hAnsi="Century Schoolbook"/>
        </w:rPr>
        <w:lastRenderedPageBreak/>
        <w:t>italics in original</w:t>
      </w:r>
      <w:r w:rsidRPr="008D659D">
        <w:rPr>
          <w:rFonts w:ascii="Century Schoolbook" w:hAnsi="Century Schoolbook"/>
        </w:rPr>
        <w:t>.)</w:t>
      </w:r>
      <w:r w:rsidR="00FD3064" w:rsidRPr="008D659D">
        <w:rPr>
          <w:rFonts w:ascii="Century Schoolbook" w:hAnsi="Century Schoolbook"/>
        </w:rPr>
        <w:t xml:space="preserve">  Mere speculation is not enough.  (</w:t>
      </w:r>
      <w:r w:rsidR="00FD3064" w:rsidRPr="008D659D">
        <w:rPr>
          <w:rFonts w:ascii="Century Schoolbook" w:hAnsi="Century Schoolbook"/>
          <w:i/>
          <w:iCs/>
        </w:rPr>
        <w:t xml:space="preserve">Spaccia v. Superior Court </w:t>
      </w:r>
      <w:r w:rsidR="00FD3064" w:rsidRPr="008D659D">
        <w:rPr>
          <w:rFonts w:ascii="Century Schoolbook" w:hAnsi="Century Schoolbook"/>
        </w:rPr>
        <w:t xml:space="preserve">(2012) 209 Cal.App.4th 93, </w:t>
      </w:r>
      <w:r w:rsidR="00712E4D" w:rsidRPr="008D659D">
        <w:rPr>
          <w:rFonts w:ascii="Century Schoolbook" w:hAnsi="Century Schoolbook"/>
        </w:rPr>
        <w:t>107–</w:t>
      </w:r>
      <w:r w:rsidR="00FD3064" w:rsidRPr="008D659D">
        <w:rPr>
          <w:rFonts w:ascii="Century Schoolbook" w:hAnsi="Century Schoolbook"/>
        </w:rPr>
        <w:t>108.)</w:t>
      </w:r>
    </w:p>
    <w:p w14:paraId="30ACB865" w14:textId="17485983" w:rsidR="007B12F6" w:rsidRPr="008D659D" w:rsidRDefault="009D0E65" w:rsidP="003C17D9">
      <w:pPr>
        <w:pStyle w:val="BodyText"/>
        <w:widowControl/>
        <w:spacing w:line="360" w:lineRule="auto"/>
        <w:ind w:left="0" w:firstLine="720"/>
        <w:rPr>
          <w:rFonts w:ascii="Century Schoolbook" w:hAnsi="Century Schoolbook"/>
        </w:rPr>
      </w:pPr>
      <w:r w:rsidRPr="008D659D">
        <w:rPr>
          <w:rFonts w:ascii="Century Schoolbook" w:hAnsi="Century Schoolbook"/>
        </w:rPr>
        <w:t xml:space="preserve">And </w:t>
      </w:r>
      <w:r w:rsidR="007127FB" w:rsidRPr="008D659D">
        <w:rPr>
          <w:rFonts w:ascii="Century Schoolbook" w:hAnsi="Century Schoolbook"/>
        </w:rPr>
        <w:t>“</w:t>
      </w:r>
      <w:r w:rsidRPr="008D659D">
        <w:rPr>
          <w:rFonts w:ascii="Century Schoolbook" w:hAnsi="Century Schoolbook"/>
        </w:rPr>
        <w:t>[w]</w:t>
      </w:r>
      <w:r w:rsidR="007127FB" w:rsidRPr="008D659D">
        <w:rPr>
          <w:rFonts w:ascii="Century Schoolbook" w:hAnsi="Century Schoolbook"/>
        </w:rPr>
        <w:t>here, as here, a defendant seeks to recuse not just an individual prosecutor but also an entire prosecuting office, he must make an ‘especially persuasive’ showing.</w:t>
      </w:r>
      <w:r w:rsidR="00155720" w:rsidRPr="008D659D">
        <w:rPr>
          <w:rFonts w:ascii="Century Schoolbook" w:hAnsi="Century Schoolbook"/>
        </w:rPr>
        <w:t xml:space="preserve">’ </w:t>
      </w:r>
      <w:r w:rsidR="007127FB" w:rsidRPr="008D659D">
        <w:rPr>
          <w:rFonts w:ascii="Century Schoolbook" w:hAnsi="Century Schoolbook"/>
        </w:rPr>
        <w:t>”  (</w:t>
      </w:r>
      <w:r w:rsidR="007127FB" w:rsidRPr="008D659D">
        <w:rPr>
          <w:rFonts w:ascii="Century Schoolbook" w:hAnsi="Century Schoolbook"/>
          <w:i/>
          <w:iCs/>
        </w:rPr>
        <w:t xml:space="preserve">People v. Gamache </w:t>
      </w:r>
      <w:r w:rsidR="007127FB" w:rsidRPr="008D659D">
        <w:rPr>
          <w:rFonts w:ascii="Century Schoolbook" w:hAnsi="Century Schoolbook"/>
        </w:rPr>
        <w:t>(2010) 48 Cal.4th 347, 361.)</w:t>
      </w:r>
      <w:r w:rsidR="009E502D" w:rsidRPr="008D659D">
        <w:rPr>
          <w:rFonts w:ascii="Century Schoolbook" w:hAnsi="Century Schoolbook"/>
        </w:rPr>
        <w:t xml:space="preserve">  </w:t>
      </w:r>
      <w:r w:rsidR="007B12F6" w:rsidRPr="008D659D">
        <w:rPr>
          <w:rFonts w:ascii="Century Schoolbook" w:hAnsi="Century Schoolbook"/>
        </w:rPr>
        <w:t>“[T]he ‘threshold necessary for recusing an entire office is higher than that for an individual prosecutor.’ ”  (</w:t>
      </w:r>
      <w:r w:rsidR="007B12F6" w:rsidRPr="008D659D">
        <w:rPr>
          <w:rFonts w:ascii="Century Schoolbook" w:hAnsi="Century Schoolbook"/>
          <w:i/>
          <w:iCs/>
        </w:rPr>
        <w:t xml:space="preserve">Schumb v. Superior Court </w:t>
      </w:r>
      <w:r w:rsidR="007B12F6" w:rsidRPr="008D659D">
        <w:rPr>
          <w:rFonts w:ascii="Century Schoolbook" w:hAnsi="Century Schoolbook"/>
        </w:rPr>
        <w:t>(2021) 64 Cal.App.5th 973, 981</w:t>
      </w:r>
      <w:r w:rsidR="009F67CD" w:rsidRPr="008D659D">
        <w:rPr>
          <w:rFonts w:ascii="Century Schoolbook" w:hAnsi="Century Schoolbook"/>
        </w:rPr>
        <w:t xml:space="preserve"> (</w:t>
      </w:r>
      <w:r w:rsidR="009F67CD" w:rsidRPr="008D659D">
        <w:rPr>
          <w:rFonts w:ascii="Century Schoolbook" w:hAnsi="Century Schoolbook"/>
          <w:i/>
          <w:iCs/>
        </w:rPr>
        <w:t>Sc</w:t>
      </w:r>
      <w:r w:rsidR="00654626" w:rsidRPr="008D659D">
        <w:rPr>
          <w:rFonts w:ascii="Century Schoolbook" w:hAnsi="Century Schoolbook"/>
          <w:i/>
          <w:iCs/>
        </w:rPr>
        <w:t>h</w:t>
      </w:r>
      <w:r w:rsidR="009F67CD" w:rsidRPr="008D659D">
        <w:rPr>
          <w:rFonts w:ascii="Century Schoolbook" w:hAnsi="Century Schoolbook"/>
          <w:i/>
          <w:iCs/>
        </w:rPr>
        <w:t>umb</w:t>
      </w:r>
      <w:r w:rsidR="009F67CD" w:rsidRPr="008D659D">
        <w:rPr>
          <w:rFonts w:ascii="Century Schoolbook" w:hAnsi="Century Schoolbook"/>
        </w:rPr>
        <w:t>)</w:t>
      </w:r>
      <w:r w:rsidR="007B12F6" w:rsidRPr="008D659D">
        <w:rPr>
          <w:rFonts w:ascii="Century Schoolbook" w:hAnsi="Century Schoolbook"/>
        </w:rPr>
        <w:t xml:space="preserve">.)  Indeed, </w:t>
      </w:r>
      <w:r w:rsidR="009E502D" w:rsidRPr="008D659D">
        <w:rPr>
          <w:rFonts w:ascii="Century Schoolbook" w:hAnsi="Century Schoolbook"/>
        </w:rPr>
        <w:t>“</w:t>
      </w:r>
      <w:r w:rsidR="007B12F6" w:rsidRPr="008D659D">
        <w:rPr>
          <w:rFonts w:ascii="Century Schoolbook" w:hAnsi="Century Schoolbook"/>
        </w:rPr>
        <w:t>r</w:t>
      </w:r>
      <w:r w:rsidR="009E502D" w:rsidRPr="008D659D">
        <w:rPr>
          <w:rFonts w:ascii="Century Schoolbook" w:hAnsi="Century Schoolbook"/>
        </w:rPr>
        <w:t>ecu</w:t>
      </w:r>
      <w:r w:rsidR="009D6283" w:rsidRPr="008D659D">
        <w:rPr>
          <w:rFonts w:ascii="Century Schoolbook" w:hAnsi="Century Schoolbook"/>
        </w:rPr>
        <w:t>s</w:t>
      </w:r>
      <w:r w:rsidR="009E502D" w:rsidRPr="008D659D">
        <w:rPr>
          <w:rFonts w:ascii="Century Schoolbook" w:hAnsi="Century Schoolbook"/>
        </w:rPr>
        <w:t>al of an entire prosecutorial office is a serious step, imposing a substantial burden on the People, and the Legislature and courts may reasonably insist upon a showing that such a step is necessary to assure a fair trial.”  (</w:t>
      </w:r>
      <w:r w:rsidR="009E502D" w:rsidRPr="008D659D">
        <w:rPr>
          <w:rFonts w:ascii="Century Schoolbook" w:hAnsi="Century Schoolbook"/>
          <w:i/>
          <w:iCs/>
        </w:rPr>
        <w:t>People v. Hamilton</w:t>
      </w:r>
      <w:r w:rsidR="009E502D" w:rsidRPr="008D659D">
        <w:rPr>
          <w:rFonts w:ascii="Century Schoolbook" w:hAnsi="Century Schoolbook"/>
        </w:rPr>
        <w:t xml:space="preserve"> (1989) 48 Cal.3d 1142, 1156</w:t>
      </w:r>
      <w:r w:rsidR="009F67CD" w:rsidRPr="008D659D">
        <w:rPr>
          <w:rFonts w:ascii="Century Schoolbook" w:hAnsi="Century Schoolbook"/>
        </w:rPr>
        <w:t xml:space="preserve"> (</w:t>
      </w:r>
      <w:r w:rsidR="009F67CD" w:rsidRPr="008D659D">
        <w:rPr>
          <w:rFonts w:ascii="Century Schoolbook" w:hAnsi="Century Schoolbook"/>
          <w:i/>
          <w:iCs/>
        </w:rPr>
        <w:t>Hamilton</w:t>
      </w:r>
      <w:r w:rsidR="009F67CD" w:rsidRPr="008D659D">
        <w:rPr>
          <w:rFonts w:ascii="Century Schoolbook" w:hAnsi="Century Schoolbook"/>
        </w:rPr>
        <w:t>)</w:t>
      </w:r>
      <w:r w:rsidR="009E502D" w:rsidRPr="008D659D">
        <w:rPr>
          <w:rFonts w:ascii="Century Schoolbook" w:hAnsi="Century Schoolbook"/>
        </w:rPr>
        <w:t xml:space="preserve">.)  </w:t>
      </w:r>
    </w:p>
    <w:p w14:paraId="02A1DE03" w14:textId="4D9EB11C" w:rsidR="007127FB" w:rsidRPr="008D659D" w:rsidRDefault="000851AB" w:rsidP="003C17D9">
      <w:pPr>
        <w:pStyle w:val="BodyText"/>
        <w:widowControl/>
        <w:spacing w:line="360" w:lineRule="auto"/>
        <w:ind w:left="0" w:firstLine="720"/>
        <w:rPr>
          <w:rFonts w:ascii="Century Schoolbook" w:hAnsi="Century Schoolbook"/>
        </w:rPr>
      </w:pPr>
      <w:r w:rsidRPr="008D659D">
        <w:rPr>
          <w:rFonts w:ascii="Century Schoolbook" w:hAnsi="Century Schoolbook"/>
        </w:rPr>
        <w:t>R</w:t>
      </w:r>
      <w:r w:rsidR="007B12F6" w:rsidRPr="008D659D">
        <w:rPr>
          <w:rFonts w:ascii="Century Schoolbook" w:hAnsi="Century Schoolbook"/>
        </w:rPr>
        <w:t xml:space="preserve">ecusal of an entire prosecuting office </w:t>
      </w:r>
      <w:r w:rsidR="009D0E65" w:rsidRPr="008D659D">
        <w:rPr>
          <w:rFonts w:ascii="Century Schoolbook" w:hAnsi="Century Schoolbook"/>
        </w:rPr>
        <w:t>therefore</w:t>
      </w:r>
      <w:r w:rsidR="009E502D" w:rsidRPr="008D659D">
        <w:rPr>
          <w:rFonts w:ascii="Century Schoolbook" w:hAnsi="Century Schoolbook"/>
        </w:rPr>
        <w:t xml:space="preserve"> requires a showing “that the conduct of any deputy </w:t>
      </w:r>
      <w:r w:rsidR="00FD22ED" w:rsidRPr="008D659D">
        <w:rPr>
          <w:rFonts w:ascii="Century Schoolbook" w:hAnsi="Century Schoolbook"/>
        </w:rPr>
        <w:t xml:space="preserve">district attorney </w:t>
      </w:r>
      <w:r w:rsidR="009E502D" w:rsidRPr="008D659D">
        <w:rPr>
          <w:rFonts w:ascii="Century Schoolbook" w:hAnsi="Century Schoolbook"/>
        </w:rPr>
        <w:t xml:space="preserve">assigned to the case, or of the office as </w:t>
      </w:r>
      <w:r w:rsidR="009D6283" w:rsidRPr="008D659D">
        <w:rPr>
          <w:rFonts w:ascii="Century Schoolbook" w:hAnsi="Century Schoolbook"/>
        </w:rPr>
        <w:t xml:space="preserve">a </w:t>
      </w:r>
      <w:r w:rsidR="009E502D" w:rsidRPr="008D659D">
        <w:rPr>
          <w:rFonts w:ascii="Century Schoolbook" w:hAnsi="Century Schoolbook"/>
        </w:rPr>
        <w:t>whole, would likely be influenced by the personal interest of the district attorney or an employee.”  (</w:t>
      </w:r>
      <w:r w:rsidR="009E502D" w:rsidRPr="008D659D">
        <w:rPr>
          <w:rFonts w:ascii="Century Schoolbook" w:hAnsi="Century Schoolbook"/>
          <w:i/>
          <w:iCs/>
        </w:rPr>
        <w:t>Vasquez</w:t>
      </w:r>
      <w:r w:rsidR="009E502D" w:rsidRPr="008D659D">
        <w:rPr>
          <w:rFonts w:ascii="Century Schoolbook" w:hAnsi="Century Schoolbook"/>
        </w:rPr>
        <w:t xml:space="preserve">, </w:t>
      </w:r>
      <w:r w:rsidR="009E502D" w:rsidRPr="008D659D">
        <w:rPr>
          <w:rFonts w:ascii="Century Schoolbook" w:hAnsi="Century Schoolbook"/>
          <w:i/>
          <w:iCs/>
        </w:rPr>
        <w:t>supra</w:t>
      </w:r>
      <w:r w:rsidR="009E502D" w:rsidRPr="008D659D">
        <w:rPr>
          <w:rFonts w:ascii="Century Schoolbook" w:hAnsi="Century Schoolbook"/>
        </w:rPr>
        <w:t>, 39 Cal.4th at p. 57.)</w:t>
      </w:r>
      <w:r w:rsidR="009D6283" w:rsidRPr="008D659D">
        <w:rPr>
          <w:rFonts w:ascii="Century Schoolbook" w:hAnsi="Century Schoolbook"/>
        </w:rPr>
        <w:t xml:space="preserve">  In other words, the </w:t>
      </w:r>
      <w:r w:rsidR="00D338AE" w:rsidRPr="008D659D">
        <w:rPr>
          <w:rFonts w:ascii="Century Schoolbook" w:hAnsi="Century Schoolbook"/>
        </w:rPr>
        <w:t>“</w:t>
      </w:r>
      <w:r w:rsidR="009D6283" w:rsidRPr="008D659D">
        <w:rPr>
          <w:rFonts w:ascii="Century Schoolbook" w:hAnsi="Century Schoolbook"/>
        </w:rPr>
        <w:t xml:space="preserve">nature and magnitude” of the conflict </w:t>
      </w:r>
      <w:r w:rsidR="007B12F6" w:rsidRPr="008D659D">
        <w:rPr>
          <w:rFonts w:ascii="Century Schoolbook" w:hAnsi="Century Schoolbook"/>
        </w:rPr>
        <w:t>must be</w:t>
      </w:r>
      <w:r w:rsidR="009D6283" w:rsidRPr="008D659D">
        <w:rPr>
          <w:rFonts w:ascii="Century Schoolbook" w:hAnsi="Century Schoolbook"/>
        </w:rPr>
        <w:t xml:space="preserve"> “likely to put the prosecutor’s discretionary decisionmaking </w:t>
      </w:r>
      <w:r w:rsidR="00D338AE" w:rsidRPr="008D659D">
        <w:rPr>
          <w:rFonts w:ascii="Century Schoolbook" w:hAnsi="Century Schoolbook"/>
        </w:rPr>
        <w:t>[</w:t>
      </w:r>
      <w:r w:rsidR="009D6283" w:rsidRPr="008D659D">
        <w:rPr>
          <w:rFonts w:ascii="Century Schoolbook" w:hAnsi="Century Schoolbook"/>
        </w:rPr>
        <w:t>under</w:t>
      </w:r>
      <w:r w:rsidR="00D338AE" w:rsidRPr="008D659D">
        <w:rPr>
          <w:rFonts w:ascii="Century Schoolbook" w:hAnsi="Century Schoolbook"/>
        </w:rPr>
        <w:t>]</w:t>
      </w:r>
      <w:r w:rsidR="009D6283" w:rsidRPr="008D659D">
        <w:rPr>
          <w:rFonts w:ascii="Century Schoolbook" w:hAnsi="Century Schoolbook"/>
        </w:rPr>
        <w:t xml:space="preserve"> the influence</w:t>
      </w:r>
      <w:r w:rsidR="006B3E44" w:rsidRPr="008D659D">
        <w:rPr>
          <w:rFonts w:ascii="Century Schoolbook" w:hAnsi="Century Schoolbook"/>
        </w:rPr>
        <w:t>” of the district attorney</w:t>
      </w:r>
      <w:r w:rsidR="00654626" w:rsidRPr="008D659D">
        <w:rPr>
          <w:rFonts w:ascii="Century Schoolbook" w:hAnsi="Century Schoolbook"/>
        </w:rPr>
        <w:t xml:space="preserve"> or employee</w:t>
      </w:r>
      <w:r w:rsidR="006B3E44" w:rsidRPr="008D659D">
        <w:rPr>
          <w:rFonts w:ascii="Century Schoolbook" w:hAnsi="Century Schoolbook"/>
        </w:rPr>
        <w:t>.</w:t>
      </w:r>
      <w:r w:rsidR="009D6283" w:rsidRPr="008D659D">
        <w:rPr>
          <w:rFonts w:ascii="Century Schoolbook" w:hAnsi="Century Schoolbook"/>
        </w:rPr>
        <w:t xml:space="preserve">  (</w:t>
      </w:r>
      <w:r w:rsidR="009D6283" w:rsidRPr="008D659D">
        <w:rPr>
          <w:rFonts w:ascii="Century Schoolbook" w:hAnsi="Century Schoolbook"/>
          <w:i/>
          <w:iCs/>
        </w:rPr>
        <w:t>Eubanks</w:t>
      </w:r>
      <w:r w:rsidR="009D6283" w:rsidRPr="008D659D">
        <w:rPr>
          <w:rFonts w:ascii="Century Schoolbook" w:hAnsi="Century Schoolbook"/>
        </w:rPr>
        <w:t xml:space="preserve">, </w:t>
      </w:r>
      <w:r w:rsidR="009D6283" w:rsidRPr="008D659D">
        <w:rPr>
          <w:rFonts w:ascii="Century Schoolbook" w:hAnsi="Century Schoolbook"/>
          <w:i/>
          <w:iCs/>
        </w:rPr>
        <w:t>supra</w:t>
      </w:r>
      <w:r w:rsidR="009D6283" w:rsidRPr="008D659D">
        <w:rPr>
          <w:rFonts w:ascii="Century Schoolbook" w:hAnsi="Century Schoolbook"/>
        </w:rPr>
        <w:t>, 14 Cal.4th at p. 599.)</w:t>
      </w:r>
    </w:p>
    <w:p w14:paraId="60F1668A" w14:textId="15874B1E" w:rsidR="00676CBC" w:rsidRPr="008D659D" w:rsidRDefault="00654626" w:rsidP="003C17D9">
      <w:pPr>
        <w:pStyle w:val="BodyText"/>
        <w:widowControl/>
        <w:spacing w:line="360" w:lineRule="auto"/>
        <w:ind w:left="0" w:firstLine="720"/>
        <w:rPr>
          <w:rFonts w:ascii="Century Schoolbook" w:hAnsi="Century Schoolbook"/>
        </w:rPr>
      </w:pPr>
      <w:r w:rsidRPr="008D659D">
        <w:rPr>
          <w:rFonts w:ascii="Century Schoolbook" w:hAnsi="Century Schoolbook"/>
        </w:rPr>
        <w:t>As a result</w:t>
      </w:r>
      <w:r w:rsidR="00097B1C" w:rsidRPr="008D659D">
        <w:rPr>
          <w:rFonts w:ascii="Century Schoolbook" w:hAnsi="Century Schoolbook"/>
        </w:rPr>
        <w:t xml:space="preserve">, the mere fact that the </w:t>
      </w:r>
      <w:r w:rsidR="008A40B6" w:rsidRPr="008D659D">
        <w:rPr>
          <w:rFonts w:ascii="Century Schoolbook" w:hAnsi="Century Schoolbook"/>
        </w:rPr>
        <w:t xml:space="preserve">elected </w:t>
      </w:r>
      <w:r w:rsidR="00097B1C" w:rsidRPr="008D659D">
        <w:rPr>
          <w:rFonts w:ascii="Century Schoolbook" w:hAnsi="Century Schoolbook"/>
        </w:rPr>
        <w:t xml:space="preserve">district attorney has a conflict of interest is not, by itself, sufficient to support </w:t>
      </w:r>
      <w:r w:rsidRPr="008D659D">
        <w:rPr>
          <w:rFonts w:ascii="Century Schoolbook" w:hAnsi="Century Schoolbook"/>
        </w:rPr>
        <w:t>disqualification</w:t>
      </w:r>
      <w:r w:rsidR="006B3E44" w:rsidRPr="008D659D">
        <w:rPr>
          <w:rFonts w:ascii="Century Schoolbook" w:hAnsi="Century Schoolbook"/>
        </w:rPr>
        <w:t xml:space="preserve"> of the entire office</w:t>
      </w:r>
      <w:r w:rsidR="00097B1C" w:rsidRPr="008D659D">
        <w:rPr>
          <w:rFonts w:ascii="Century Schoolbook" w:hAnsi="Century Schoolbook"/>
        </w:rPr>
        <w:t>.  (See</w:t>
      </w:r>
      <w:r w:rsidR="00676CBC" w:rsidRPr="008D659D">
        <w:rPr>
          <w:rFonts w:ascii="Century Schoolbook" w:hAnsi="Century Schoolbook"/>
        </w:rPr>
        <w:t>, e.g.,</w:t>
      </w:r>
      <w:r w:rsidR="00FE661C" w:rsidRPr="008D659D">
        <w:rPr>
          <w:rFonts w:ascii="Century Schoolbook" w:hAnsi="Century Schoolbook"/>
        </w:rPr>
        <w:t xml:space="preserve"> </w:t>
      </w:r>
      <w:r w:rsidR="00FE661C" w:rsidRPr="008D659D">
        <w:rPr>
          <w:rFonts w:ascii="Century Schoolbook" w:hAnsi="Century Schoolbook"/>
          <w:i/>
          <w:iCs/>
        </w:rPr>
        <w:t>Bell</w:t>
      </w:r>
      <w:r w:rsidR="00540813" w:rsidRPr="008D659D">
        <w:rPr>
          <w:rFonts w:ascii="Century Schoolbook" w:hAnsi="Century Schoolbook"/>
        </w:rPr>
        <w:t xml:space="preserve">, </w:t>
      </w:r>
      <w:r w:rsidR="00540813" w:rsidRPr="008D659D">
        <w:rPr>
          <w:rFonts w:ascii="Century Schoolbook" w:hAnsi="Century Schoolbook"/>
          <w:i/>
          <w:iCs/>
        </w:rPr>
        <w:t>supra</w:t>
      </w:r>
      <w:r w:rsidR="00540813" w:rsidRPr="008D659D">
        <w:rPr>
          <w:rFonts w:ascii="Century Schoolbook" w:hAnsi="Century Schoolbook"/>
        </w:rPr>
        <w:t>,</w:t>
      </w:r>
      <w:r w:rsidR="00FE661C" w:rsidRPr="008D659D">
        <w:rPr>
          <w:rFonts w:ascii="Century Schoolbook" w:hAnsi="Century Schoolbook"/>
        </w:rPr>
        <w:t xml:space="preserve"> 7 Cal.5th </w:t>
      </w:r>
      <w:r w:rsidR="00540813" w:rsidRPr="008D659D">
        <w:rPr>
          <w:rFonts w:ascii="Century Schoolbook" w:hAnsi="Century Schoolbook"/>
        </w:rPr>
        <w:t>at pp.</w:t>
      </w:r>
      <w:r w:rsidR="00FE661C" w:rsidRPr="008D659D">
        <w:rPr>
          <w:rFonts w:ascii="Century Schoolbook" w:hAnsi="Century Schoolbook"/>
        </w:rPr>
        <w:t xml:space="preserve"> 94</w:t>
      </w:r>
      <w:r w:rsidR="008D659D">
        <w:rPr>
          <w:rFonts w:ascii="Century Schoolbook" w:hAnsi="Century Schoolbook"/>
        </w:rPr>
        <w:t>–</w:t>
      </w:r>
      <w:r w:rsidR="00FE661C" w:rsidRPr="008D659D">
        <w:rPr>
          <w:rFonts w:ascii="Century Schoolbook" w:hAnsi="Century Schoolbook"/>
        </w:rPr>
        <w:t>95, 97</w:t>
      </w:r>
      <w:r w:rsidR="008D659D">
        <w:rPr>
          <w:rFonts w:ascii="Century Schoolbook" w:hAnsi="Century Schoolbook"/>
        </w:rPr>
        <w:t>–</w:t>
      </w:r>
      <w:r w:rsidR="00FE661C" w:rsidRPr="008D659D">
        <w:rPr>
          <w:rFonts w:ascii="Century Schoolbook" w:hAnsi="Century Schoolbook"/>
        </w:rPr>
        <w:t>98 [affirming denial of recusal motion even though the district attorney represented a material witness in the defendant’s case before becoming the district attorney]</w:t>
      </w:r>
      <w:r w:rsidR="00676CBC" w:rsidRPr="008D659D">
        <w:rPr>
          <w:rFonts w:ascii="Century Schoolbook" w:hAnsi="Century Schoolbook"/>
        </w:rPr>
        <w:t xml:space="preserve">.)  Indeed, a close familial relationship between the district attorney and the victim of </w:t>
      </w:r>
      <w:r w:rsidR="008A40B6" w:rsidRPr="008D659D">
        <w:rPr>
          <w:rFonts w:ascii="Century Schoolbook" w:hAnsi="Century Schoolbook"/>
        </w:rPr>
        <w:t>a</w:t>
      </w:r>
      <w:r w:rsidRPr="008D659D">
        <w:rPr>
          <w:rFonts w:ascii="Century Schoolbook" w:hAnsi="Century Schoolbook"/>
        </w:rPr>
        <w:t xml:space="preserve"> </w:t>
      </w:r>
      <w:r w:rsidR="00676CBC" w:rsidRPr="008D659D">
        <w:rPr>
          <w:rFonts w:ascii="Century Schoolbook" w:hAnsi="Century Schoolbook"/>
        </w:rPr>
        <w:t xml:space="preserve">crime may not warrant recusal of the entire office </w:t>
      </w:r>
      <w:r w:rsidR="00405D26" w:rsidRPr="008D659D">
        <w:rPr>
          <w:rFonts w:ascii="Century Schoolbook" w:hAnsi="Century Schoolbook"/>
        </w:rPr>
        <w:t xml:space="preserve">from that </w:t>
      </w:r>
      <w:r w:rsidR="008A40B6" w:rsidRPr="008D659D">
        <w:rPr>
          <w:rFonts w:ascii="Century Schoolbook" w:hAnsi="Century Schoolbook"/>
        </w:rPr>
        <w:t>victim</w:t>
      </w:r>
      <w:r w:rsidR="00405D26" w:rsidRPr="008D659D">
        <w:rPr>
          <w:rFonts w:ascii="Century Schoolbook" w:hAnsi="Century Schoolbook"/>
        </w:rPr>
        <w:t xml:space="preserve">’s case </w:t>
      </w:r>
      <w:r w:rsidR="00676CBC" w:rsidRPr="008D659D">
        <w:rPr>
          <w:rFonts w:ascii="Century Schoolbook" w:hAnsi="Century Schoolbook"/>
        </w:rPr>
        <w:t xml:space="preserve">so long as the district attorney is </w:t>
      </w:r>
      <w:r w:rsidRPr="008D659D">
        <w:rPr>
          <w:rFonts w:ascii="Century Schoolbook" w:hAnsi="Century Schoolbook"/>
        </w:rPr>
        <w:t>adequate</w:t>
      </w:r>
      <w:r w:rsidR="00405D26" w:rsidRPr="008D659D">
        <w:rPr>
          <w:rFonts w:ascii="Century Schoolbook" w:hAnsi="Century Schoolbook"/>
        </w:rPr>
        <w:t xml:space="preserve">ly </w:t>
      </w:r>
      <w:r w:rsidR="00676CBC" w:rsidRPr="008D659D">
        <w:rPr>
          <w:rFonts w:ascii="Century Schoolbook" w:hAnsi="Century Schoolbook"/>
        </w:rPr>
        <w:t xml:space="preserve">walled off </w:t>
      </w:r>
      <w:r w:rsidR="00676CBC" w:rsidRPr="008D659D">
        <w:rPr>
          <w:rFonts w:ascii="Century Schoolbook" w:hAnsi="Century Schoolbook"/>
        </w:rPr>
        <w:lastRenderedPageBreak/>
        <w:t xml:space="preserve">from </w:t>
      </w:r>
      <w:r w:rsidR="00405D26" w:rsidRPr="008D659D">
        <w:rPr>
          <w:rFonts w:ascii="Century Schoolbook" w:hAnsi="Century Schoolbook"/>
        </w:rPr>
        <w:t>it</w:t>
      </w:r>
      <w:r w:rsidR="00676CBC" w:rsidRPr="008D659D">
        <w:rPr>
          <w:rFonts w:ascii="Century Schoolbook" w:hAnsi="Century Schoolbook"/>
        </w:rPr>
        <w:t>.  (See, e.g.,</w:t>
      </w:r>
      <w:r w:rsidR="00097B1C" w:rsidRPr="008D659D">
        <w:rPr>
          <w:rFonts w:ascii="Century Schoolbook" w:hAnsi="Century Schoolbook"/>
        </w:rPr>
        <w:t xml:space="preserve"> </w:t>
      </w:r>
      <w:r w:rsidR="00097B1C" w:rsidRPr="008D659D">
        <w:rPr>
          <w:rFonts w:ascii="Century Schoolbook" w:hAnsi="Century Schoolbook"/>
          <w:i/>
          <w:iCs/>
        </w:rPr>
        <w:t xml:space="preserve">Melcher v. Superior Court </w:t>
      </w:r>
      <w:r w:rsidR="00097B1C" w:rsidRPr="008D659D">
        <w:rPr>
          <w:rFonts w:ascii="Century Schoolbook" w:hAnsi="Century Schoolbook"/>
        </w:rPr>
        <w:t>(2017) 10 Cal.App.</w:t>
      </w:r>
      <w:r w:rsidR="0053459E" w:rsidRPr="008D659D">
        <w:rPr>
          <w:rFonts w:ascii="Century Schoolbook" w:hAnsi="Century Schoolbook"/>
        </w:rPr>
        <w:t>5th</w:t>
      </w:r>
      <w:r w:rsidR="00097B1C" w:rsidRPr="008D659D">
        <w:rPr>
          <w:rFonts w:ascii="Century Schoolbook" w:hAnsi="Century Schoolbook"/>
        </w:rPr>
        <w:t xml:space="preserve"> 160, 163 </w:t>
      </w:r>
      <w:r w:rsidR="009F67CD" w:rsidRPr="008D659D">
        <w:rPr>
          <w:rFonts w:ascii="Century Schoolbook" w:hAnsi="Century Schoolbook"/>
        </w:rPr>
        <w:t>(</w:t>
      </w:r>
      <w:r w:rsidR="009F67CD" w:rsidRPr="008D659D">
        <w:rPr>
          <w:rFonts w:ascii="Century Schoolbook" w:hAnsi="Century Schoolbook"/>
          <w:i/>
          <w:iCs/>
        </w:rPr>
        <w:t>Melcher</w:t>
      </w:r>
      <w:r w:rsidR="009F67CD" w:rsidRPr="008D659D">
        <w:rPr>
          <w:rFonts w:ascii="Century Schoolbook" w:hAnsi="Century Schoolbook"/>
        </w:rPr>
        <w:t>)</w:t>
      </w:r>
      <w:r w:rsidR="009F67CD" w:rsidRPr="008D659D">
        <w:rPr>
          <w:rFonts w:ascii="Century Schoolbook" w:hAnsi="Century Schoolbook"/>
          <w:i/>
          <w:iCs/>
        </w:rPr>
        <w:t xml:space="preserve"> </w:t>
      </w:r>
      <w:r w:rsidR="00097B1C" w:rsidRPr="008D659D">
        <w:rPr>
          <w:rFonts w:ascii="Century Schoolbook" w:hAnsi="Century Schoolbook"/>
        </w:rPr>
        <w:t>[affirming denial of recusal motion even though “the victim of” the defendant’s “alleged crime is the district attorney’s husband”].)</w:t>
      </w:r>
      <w:r w:rsidR="00676CBC" w:rsidRPr="008D659D">
        <w:rPr>
          <w:rFonts w:ascii="Century Schoolbook" w:hAnsi="Century Schoolbook"/>
        </w:rPr>
        <w:t xml:space="preserve">  </w:t>
      </w:r>
    </w:p>
    <w:p w14:paraId="2D8C5AA2" w14:textId="6DF74876" w:rsidR="009D6283" w:rsidRPr="008D659D" w:rsidRDefault="0053459E" w:rsidP="003C17D9">
      <w:pPr>
        <w:pStyle w:val="BodyText"/>
        <w:widowControl/>
        <w:spacing w:line="360" w:lineRule="auto"/>
        <w:ind w:left="0" w:firstLine="720"/>
        <w:rPr>
          <w:rFonts w:ascii="Century Schoolbook" w:hAnsi="Century Schoolbook"/>
        </w:rPr>
      </w:pPr>
      <w:r w:rsidRPr="008D659D">
        <w:rPr>
          <w:rFonts w:ascii="Century Schoolbook" w:hAnsi="Century Schoolbook"/>
        </w:rPr>
        <w:t>But “[e]ven under section 1424, it may be appropriate to recuse an entire district attorney’s office when there is substantial evidence that a deputy’s animosity toward the accused may affect his colleagues.”  (</w:t>
      </w:r>
      <w:r w:rsidRPr="008D659D">
        <w:rPr>
          <w:rFonts w:ascii="Century Schoolbook" w:hAnsi="Century Schoolbook"/>
          <w:i/>
          <w:iCs/>
        </w:rPr>
        <w:t>Hamilton</w:t>
      </w:r>
      <w:r w:rsidRPr="008D659D">
        <w:rPr>
          <w:rFonts w:ascii="Century Schoolbook" w:hAnsi="Century Schoolbook"/>
        </w:rPr>
        <w:t xml:space="preserve">, </w:t>
      </w:r>
      <w:r w:rsidRPr="008D659D">
        <w:rPr>
          <w:rFonts w:ascii="Century Schoolbook" w:hAnsi="Century Schoolbook"/>
          <w:i/>
          <w:iCs/>
        </w:rPr>
        <w:t>supra</w:t>
      </w:r>
      <w:r w:rsidRPr="008D659D">
        <w:rPr>
          <w:rFonts w:ascii="Century Schoolbook" w:hAnsi="Century Schoolbook"/>
        </w:rPr>
        <w:t>, 46 Cal.3d at p. 140.)  This is especially so if th</w:t>
      </w:r>
      <w:r w:rsidR="00654626" w:rsidRPr="008D659D">
        <w:rPr>
          <w:rFonts w:ascii="Century Schoolbook" w:hAnsi="Century Schoolbook"/>
        </w:rPr>
        <w:t xml:space="preserve">e </w:t>
      </w:r>
      <w:r w:rsidR="008A40B6" w:rsidRPr="008D659D">
        <w:rPr>
          <w:rFonts w:ascii="Century Schoolbook" w:hAnsi="Century Schoolbook"/>
        </w:rPr>
        <w:t xml:space="preserve">elected </w:t>
      </w:r>
      <w:r w:rsidR="00654626" w:rsidRPr="008D659D">
        <w:rPr>
          <w:rFonts w:ascii="Century Schoolbook" w:hAnsi="Century Schoolbook"/>
        </w:rPr>
        <w:t>district attorney herself harbors th</w:t>
      </w:r>
      <w:r w:rsidRPr="008D659D">
        <w:rPr>
          <w:rFonts w:ascii="Century Schoolbook" w:hAnsi="Century Schoolbook"/>
        </w:rPr>
        <w:t>at animosity</w:t>
      </w:r>
      <w:r w:rsidR="00654626" w:rsidRPr="008D659D">
        <w:rPr>
          <w:rFonts w:ascii="Century Schoolbook" w:hAnsi="Century Schoolbook"/>
        </w:rPr>
        <w:t xml:space="preserve"> because she has broad discretion to hire, fire, promote, and demote every attorney in her office</w:t>
      </w:r>
      <w:r w:rsidRPr="008D659D">
        <w:rPr>
          <w:rFonts w:ascii="Century Schoolbook" w:hAnsi="Century Schoolbook"/>
        </w:rPr>
        <w:t>.</w:t>
      </w:r>
      <w:r w:rsidR="00FE661C" w:rsidRPr="008D659D">
        <w:rPr>
          <w:rStyle w:val="FootnoteReference"/>
          <w:rFonts w:ascii="Century Schoolbook" w:hAnsi="Century Schoolbook"/>
        </w:rPr>
        <w:footnoteReference w:id="3"/>
      </w:r>
      <w:r w:rsidRPr="008D659D">
        <w:rPr>
          <w:rFonts w:ascii="Century Schoolbook" w:hAnsi="Century Schoolbook"/>
        </w:rPr>
        <w:t xml:space="preserve"> </w:t>
      </w:r>
      <w:r w:rsidR="009F67CD" w:rsidRPr="008D659D">
        <w:rPr>
          <w:rFonts w:ascii="Century Schoolbook" w:hAnsi="Century Schoolbook"/>
        </w:rPr>
        <w:t xml:space="preserve"> </w:t>
      </w:r>
      <w:r w:rsidR="003B1FE4" w:rsidRPr="008D659D">
        <w:rPr>
          <w:rFonts w:ascii="Century Schoolbook" w:hAnsi="Century Schoolbook"/>
        </w:rPr>
        <w:t xml:space="preserve">Indeed, </w:t>
      </w:r>
      <w:r w:rsidR="009F67CD" w:rsidRPr="008D659D">
        <w:rPr>
          <w:rFonts w:ascii="Century Schoolbook" w:hAnsi="Century Schoolbook"/>
        </w:rPr>
        <w:t xml:space="preserve">attorneys serving under </w:t>
      </w:r>
      <w:r w:rsidR="008A40B6" w:rsidRPr="008D659D">
        <w:rPr>
          <w:rFonts w:ascii="Century Schoolbook" w:hAnsi="Century Schoolbook"/>
        </w:rPr>
        <w:t>the</w:t>
      </w:r>
      <w:r w:rsidR="003B1FE4" w:rsidRPr="008D659D">
        <w:rPr>
          <w:rFonts w:ascii="Century Schoolbook" w:hAnsi="Century Schoolbook"/>
        </w:rPr>
        <w:t xml:space="preserve"> </w:t>
      </w:r>
      <w:r w:rsidR="009F67CD" w:rsidRPr="008D659D">
        <w:rPr>
          <w:rFonts w:ascii="Century Schoolbook" w:hAnsi="Century Schoolbook"/>
        </w:rPr>
        <w:t>district attorney cannot “be freed from real or perceived concerns as to what their boss wants.  The power to review, hire, and fire is a potent one.”  (</w:t>
      </w:r>
      <w:r w:rsidR="009F67CD" w:rsidRPr="008D659D">
        <w:rPr>
          <w:rFonts w:ascii="Century Schoolbook" w:hAnsi="Century Schoolbook"/>
          <w:i/>
          <w:iCs/>
        </w:rPr>
        <w:t xml:space="preserve">City and County of San Francisco v. Cobra Solutions, Inc. </w:t>
      </w:r>
      <w:r w:rsidR="009F67CD" w:rsidRPr="008D659D">
        <w:rPr>
          <w:rFonts w:ascii="Century Schoolbook" w:hAnsi="Century Schoolbook"/>
        </w:rPr>
        <w:t>(2006) 38 Cal.</w:t>
      </w:r>
      <w:r w:rsidR="006746D8" w:rsidRPr="008D659D">
        <w:rPr>
          <w:rFonts w:ascii="Century Schoolbook" w:hAnsi="Century Schoolbook"/>
        </w:rPr>
        <w:t>4th</w:t>
      </w:r>
      <w:r w:rsidR="009F67CD" w:rsidRPr="008D659D">
        <w:rPr>
          <w:rFonts w:ascii="Century Schoolbook" w:hAnsi="Century Schoolbook"/>
        </w:rPr>
        <w:t xml:space="preserve"> </w:t>
      </w:r>
      <w:r w:rsidR="006746D8" w:rsidRPr="008D659D">
        <w:rPr>
          <w:rFonts w:ascii="Century Schoolbook" w:hAnsi="Century Schoolbook"/>
        </w:rPr>
        <w:t>839, 853</w:t>
      </w:r>
      <w:r w:rsidR="0071324F" w:rsidRPr="008D659D">
        <w:rPr>
          <w:rFonts w:ascii="Century Schoolbook" w:hAnsi="Century Schoolbook"/>
        </w:rPr>
        <w:t>–</w:t>
      </w:r>
      <w:r w:rsidR="00AA470A" w:rsidRPr="008D659D">
        <w:rPr>
          <w:rFonts w:ascii="Symbol" w:hAnsi="Symbol"/>
        </w:rPr>
        <w:t>ဓဓဓ</w:t>
      </w:r>
      <w:r w:rsidR="00D040CD" w:rsidRPr="008D659D">
        <w:rPr>
          <w:rFonts w:ascii="Symbol" w:hAnsi="Symbol"/>
        </w:rPr>
        <w:t>ဓဓ</w:t>
      </w:r>
      <w:r w:rsidR="0071324F" w:rsidRPr="008D659D">
        <w:rPr>
          <w:rFonts w:ascii="Symbol" w:hAnsi="Symbol"/>
        </w:rPr>
        <w:t>ဓဓဓဓဓ</w:t>
      </w:r>
      <w:r w:rsidR="006746D8" w:rsidRPr="008D659D">
        <w:rPr>
          <w:rFonts w:ascii="Century Schoolbook" w:hAnsi="Century Schoolbook"/>
        </w:rPr>
        <w:t>854.)</w:t>
      </w:r>
    </w:p>
    <w:p w14:paraId="587F209A" w14:textId="55088DA4" w:rsidR="009D6283" w:rsidRPr="008D659D" w:rsidRDefault="00030D4D" w:rsidP="003C17D9">
      <w:pPr>
        <w:pStyle w:val="BodyText"/>
        <w:widowControl/>
        <w:spacing w:line="360" w:lineRule="auto"/>
        <w:ind w:left="0" w:firstLine="720"/>
        <w:rPr>
          <w:rFonts w:ascii="Century Schoolbook" w:hAnsi="Century Schoolbook"/>
        </w:rPr>
      </w:pPr>
      <w:r w:rsidRPr="008D659D">
        <w:rPr>
          <w:rFonts w:ascii="Century Schoolbook" w:hAnsi="Century Schoolbook"/>
        </w:rPr>
        <w:t>Ultimately</w:t>
      </w:r>
      <w:r w:rsidR="00512AF5" w:rsidRPr="008D659D">
        <w:rPr>
          <w:rFonts w:ascii="Century Schoolbook" w:hAnsi="Century Schoolbook"/>
        </w:rPr>
        <w:t xml:space="preserve">, </w:t>
      </w:r>
      <w:r w:rsidR="00676CBC" w:rsidRPr="008D659D">
        <w:rPr>
          <w:rFonts w:ascii="Century Schoolbook" w:hAnsi="Century Schoolbook"/>
        </w:rPr>
        <w:t>“no one factor will compel disqualification in all cases.”  (</w:t>
      </w:r>
      <w:r w:rsidR="00676CBC" w:rsidRPr="008D659D">
        <w:rPr>
          <w:rFonts w:ascii="Century Schoolbook" w:hAnsi="Century Schoolbook"/>
          <w:i/>
          <w:iCs/>
        </w:rPr>
        <w:t xml:space="preserve">Hambarian v. Superior Court </w:t>
      </w:r>
      <w:r w:rsidR="00676CBC" w:rsidRPr="008D659D">
        <w:rPr>
          <w:rFonts w:ascii="Century Schoolbook" w:hAnsi="Century Schoolbook"/>
        </w:rPr>
        <w:t xml:space="preserve">(2002) 27 Cal.4th 826, 834.)  Instead, </w:t>
      </w:r>
      <w:r w:rsidR="00512AF5" w:rsidRPr="008D659D">
        <w:rPr>
          <w:rFonts w:ascii="Century Schoolbook" w:hAnsi="Century Schoolbook"/>
        </w:rPr>
        <w:t>“the entire complex of facts surrounding the conflict” must be considered.  (</w:t>
      </w:r>
      <w:r w:rsidR="00512AF5" w:rsidRPr="008D659D">
        <w:rPr>
          <w:rFonts w:ascii="Century Schoolbook" w:hAnsi="Century Schoolbook"/>
          <w:i/>
          <w:iCs/>
        </w:rPr>
        <w:t>Eubanks</w:t>
      </w:r>
      <w:r w:rsidR="00512AF5" w:rsidRPr="008D659D">
        <w:rPr>
          <w:rFonts w:ascii="Century Schoolbook" w:hAnsi="Century Schoolbook"/>
        </w:rPr>
        <w:t xml:space="preserve">, </w:t>
      </w:r>
      <w:r w:rsidR="00512AF5" w:rsidRPr="008D659D">
        <w:rPr>
          <w:rFonts w:ascii="Century Schoolbook" w:hAnsi="Century Schoolbook"/>
          <w:i/>
          <w:iCs/>
        </w:rPr>
        <w:t>supra</w:t>
      </w:r>
      <w:r w:rsidR="00512AF5" w:rsidRPr="008D659D">
        <w:rPr>
          <w:rFonts w:ascii="Century Schoolbook" w:hAnsi="Century Schoolbook"/>
        </w:rPr>
        <w:t xml:space="preserve">, 14 Cal.4th at p. 599.) </w:t>
      </w:r>
      <w:r w:rsidR="00512AF5" w:rsidRPr="008D659D">
        <w:rPr>
          <w:rFonts w:ascii="Century Schoolbook" w:hAnsi="Century Schoolbook"/>
          <w:i/>
          <w:iCs/>
        </w:rPr>
        <w:t xml:space="preserve"> </w:t>
      </w:r>
      <w:r w:rsidR="00512AF5" w:rsidRPr="008D659D">
        <w:rPr>
          <w:rFonts w:ascii="Century Schoolbook" w:hAnsi="Century Schoolbook"/>
        </w:rPr>
        <w:t xml:space="preserve">This includes </w:t>
      </w:r>
      <w:r w:rsidR="00AC1674" w:rsidRPr="008D659D">
        <w:rPr>
          <w:rFonts w:ascii="Century Schoolbook" w:hAnsi="Century Schoolbook"/>
        </w:rPr>
        <w:t xml:space="preserve">any familial relationship between the </w:t>
      </w:r>
      <w:r w:rsidR="008A40B6" w:rsidRPr="008D659D">
        <w:rPr>
          <w:rFonts w:ascii="Century Schoolbook" w:hAnsi="Century Schoolbook"/>
        </w:rPr>
        <w:t xml:space="preserve">elected </w:t>
      </w:r>
      <w:r w:rsidR="00AC1674" w:rsidRPr="008D659D">
        <w:rPr>
          <w:rFonts w:ascii="Century Schoolbook" w:hAnsi="Century Schoolbook"/>
        </w:rPr>
        <w:t xml:space="preserve">district attorney and the victim of the crime (see </w:t>
      </w:r>
      <w:r w:rsidR="00AC1674" w:rsidRPr="008D659D">
        <w:rPr>
          <w:rFonts w:ascii="Century Schoolbook" w:hAnsi="Century Schoolbook"/>
          <w:i/>
          <w:iCs/>
        </w:rPr>
        <w:t xml:space="preserve">People v. Dekraai </w:t>
      </w:r>
      <w:r w:rsidR="00AC1674" w:rsidRPr="008D659D">
        <w:rPr>
          <w:rFonts w:ascii="Century Schoolbook" w:hAnsi="Century Schoolbook"/>
        </w:rPr>
        <w:t>(2016) 5 Cal.App.5th 1110, 11</w:t>
      </w:r>
      <w:r w:rsidR="0071324F" w:rsidRPr="008D659D">
        <w:rPr>
          <w:rFonts w:ascii="Century Schoolbook" w:hAnsi="Century Schoolbook"/>
        </w:rPr>
        <w:t>45</w:t>
      </w:r>
      <w:r w:rsidR="00AC1674" w:rsidRPr="008D659D">
        <w:rPr>
          <w:rFonts w:ascii="Century Schoolbook" w:hAnsi="Century Schoolbook"/>
        </w:rPr>
        <w:t xml:space="preserve"> [familial relationship </w:t>
      </w:r>
      <w:r w:rsidR="00AC1674" w:rsidRPr="008D659D">
        <w:rPr>
          <w:rFonts w:ascii="Century Schoolbook" w:hAnsi="Century Schoolbook"/>
        </w:rPr>
        <w:lastRenderedPageBreak/>
        <w:t xml:space="preserve">may prevent the district attorney from “exercis[ing] its discretion impartially”]) and any public statements </w:t>
      </w:r>
      <w:r w:rsidR="00512AF5" w:rsidRPr="008D659D">
        <w:rPr>
          <w:rFonts w:ascii="Century Schoolbook" w:hAnsi="Century Schoolbook"/>
        </w:rPr>
        <w:t xml:space="preserve">made by the district attorney about the prosecution </w:t>
      </w:r>
      <w:r w:rsidR="00AC1674" w:rsidRPr="008D659D">
        <w:rPr>
          <w:rFonts w:ascii="Century Schoolbook" w:hAnsi="Century Schoolbook"/>
        </w:rPr>
        <w:t xml:space="preserve">of that crime </w:t>
      </w:r>
      <w:r w:rsidR="00512AF5" w:rsidRPr="008D659D">
        <w:rPr>
          <w:rFonts w:ascii="Century Schoolbook" w:hAnsi="Century Schoolbook"/>
        </w:rPr>
        <w:t>(</w:t>
      </w:r>
      <w:r w:rsidR="00AC1674" w:rsidRPr="008D659D">
        <w:rPr>
          <w:rFonts w:ascii="Century Schoolbook" w:hAnsi="Century Schoolbook"/>
        </w:rPr>
        <w:t>s</w:t>
      </w:r>
      <w:r w:rsidR="00512AF5" w:rsidRPr="008D659D">
        <w:rPr>
          <w:rFonts w:ascii="Century Schoolbook" w:hAnsi="Century Schoolbook"/>
        </w:rPr>
        <w:t xml:space="preserve">ee </w:t>
      </w:r>
      <w:r w:rsidR="00512AF5" w:rsidRPr="008D659D">
        <w:rPr>
          <w:rFonts w:ascii="Century Schoolbook" w:hAnsi="Century Schoolbook"/>
          <w:i/>
          <w:iCs/>
        </w:rPr>
        <w:t xml:space="preserve">People v. Lastra </w:t>
      </w:r>
      <w:r w:rsidR="00512AF5" w:rsidRPr="008D659D">
        <w:rPr>
          <w:rFonts w:ascii="Century Schoolbook" w:hAnsi="Century Schoolbook"/>
        </w:rPr>
        <w:t>(2022) 83 Cal.App.5th 816, 823</w:t>
      </w:r>
      <w:r w:rsidR="00DA5762" w:rsidRPr="008D659D">
        <w:rPr>
          <w:rFonts w:ascii="Century Schoolbook" w:hAnsi="Century Schoolbook"/>
        </w:rPr>
        <w:t>–824</w:t>
      </w:r>
      <w:r w:rsidR="00512AF5" w:rsidRPr="008D659D">
        <w:rPr>
          <w:rFonts w:ascii="Century Schoolbook" w:hAnsi="Century Schoolbook"/>
        </w:rPr>
        <w:t xml:space="preserve"> </w:t>
      </w:r>
      <w:r w:rsidR="00733D28" w:rsidRPr="008D659D">
        <w:rPr>
          <w:rFonts w:ascii="Century Schoolbook" w:hAnsi="Century Schoolbook"/>
        </w:rPr>
        <w:t>(</w:t>
      </w:r>
      <w:r w:rsidR="00733D28" w:rsidRPr="008D659D">
        <w:rPr>
          <w:rFonts w:ascii="Century Schoolbook" w:hAnsi="Century Schoolbook"/>
          <w:i/>
          <w:iCs/>
        </w:rPr>
        <w:t>Lastra</w:t>
      </w:r>
      <w:r w:rsidR="00733D28" w:rsidRPr="008D659D">
        <w:rPr>
          <w:rFonts w:ascii="Century Schoolbook" w:hAnsi="Century Schoolbook"/>
        </w:rPr>
        <w:t xml:space="preserve">) </w:t>
      </w:r>
      <w:r w:rsidR="00512AF5" w:rsidRPr="008D659D">
        <w:rPr>
          <w:rFonts w:ascii="Century Schoolbook" w:hAnsi="Century Schoolbook"/>
        </w:rPr>
        <w:t xml:space="preserve">[affirming recusal of </w:t>
      </w:r>
      <w:r w:rsidR="00405D26" w:rsidRPr="008D659D">
        <w:rPr>
          <w:rFonts w:ascii="Century Schoolbook" w:hAnsi="Century Schoolbook"/>
        </w:rPr>
        <w:t xml:space="preserve">the </w:t>
      </w:r>
      <w:r w:rsidR="00654626" w:rsidRPr="008D659D">
        <w:rPr>
          <w:rFonts w:ascii="Century Schoolbook" w:hAnsi="Century Schoolbook"/>
        </w:rPr>
        <w:t xml:space="preserve">entire </w:t>
      </w:r>
      <w:r w:rsidR="00512AF5" w:rsidRPr="008D659D">
        <w:rPr>
          <w:rFonts w:ascii="Century Schoolbook" w:hAnsi="Century Schoolbook"/>
        </w:rPr>
        <w:t>district attorney</w:t>
      </w:r>
      <w:r w:rsidR="00654626" w:rsidRPr="008D659D">
        <w:rPr>
          <w:rFonts w:ascii="Century Schoolbook" w:hAnsi="Century Schoolbook"/>
        </w:rPr>
        <w:t>’s office</w:t>
      </w:r>
      <w:r w:rsidR="00512AF5" w:rsidRPr="008D659D">
        <w:rPr>
          <w:rFonts w:ascii="Century Schoolbook" w:hAnsi="Century Schoolbook"/>
        </w:rPr>
        <w:t xml:space="preserve"> based on statements </w:t>
      </w:r>
      <w:r w:rsidR="00470AD4">
        <w:rPr>
          <w:rFonts w:ascii="Century Schoolbook" w:hAnsi="Century Schoolbook"/>
        </w:rPr>
        <w:t>made by</w:t>
      </w:r>
      <w:r w:rsidR="00470AD4" w:rsidRPr="008D659D">
        <w:rPr>
          <w:rFonts w:ascii="Century Schoolbook" w:hAnsi="Century Schoolbook"/>
        </w:rPr>
        <w:t xml:space="preserve"> </w:t>
      </w:r>
      <w:r w:rsidR="00654626" w:rsidRPr="008D659D">
        <w:rPr>
          <w:rFonts w:ascii="Century Schoolbook" w:hAnsi="Century Schoolbook"/>
        </w:rPr>
        <w:t xml:space="preserve">the district attorney </w:t>
      </w:r>
      <w:r w:rsidR="00F773EC" w:rsidRPr="008D659D">
        <w:rPr>
          <w:rFonts w:ascii="Century Schoolbook" w:hAnsi="Century Schoolbook"/>
        </w:rPr>
        <w:t xml:space="preserve">about the case </w:t>
      </w:r>
      <w:r w:rsidR="00512AF5" w:rsidRPr="008D659D">
        <w:rPr>
          <w:rFonts w:ascii="Century Schoolbook" w:hAnsi="Century Schoolbook"/>
        </w:rPr>
        <w:t xml:space="preserve">in </w:t>
      </w:r>
      <w:r w:rsidR="00405D26" w:rsidRPr="008D659D">
        <w:rPr>
          <w:rFonts w:ascii="Century Schoolbook" w:hAnsi="Century Schoolbook"/>
        </w:rPr>
        <w:t xml:space="preserve">the </w:t>
      </w:r>
      <w:r w:rsidR="00654626" w:rsidRPr="008D659D">
        <w:rPr>
          <w:rFonts w:ascii="Century Schoolbook" w:hAnsi="Century Schoolbook"/>
        </w:rPr>
        <w:t>media</w:t>
      </w:r>
      <w:r w:rsidR="00405D26" w:rsidRPr="008D659D">
        <w:rPr>
          <w:rFonts w:ascii="Century Schoolbook" w:hAnsi="Century Schoolbook"/>
        </w:rPr>
        <w:t xml:space="preserve">, </w:t>
      </w:r>
      <w:r w:rsidR="00512AF5" w:rsidRPr="008D659D">
        <w:rPr>
          <w:rFonts w:ascii="Century Schoolbook" w:hAnsi="Century Schoolbook"/>
        </w:rPr>
        <w:t>Facebook posts</w:t>
      </w:r>
      <w:r w:rsidR="00405D26" w:rsidRPr="008D659D">
        <w:rPr>
          <w:rFonts w:ascii="Century Schoolbook" w:hAnsi="Century Schoolbook"/>
        </w:rPr>
        <w:t>,</w:t>
      </w:r>
      <w:r w:rsidR="00512AF5" w:rsidRPr="008D659D">
        <w:rPr>
          <w:rFonts w:ascii="Century Schoolbook" w:hAnsi="Century Schoolbook"/>
        </w:rPr>
        <w:t xml:space="preserve"> and fundraising letters])</w:t>
      </w:r>
      <w:r w:rsidR="00AC1674" w:rsidRPr="008D659D">
        <w:rPr>
          <w:rFonts w:ascii="Century Schoolbook" w:hAnsi="Century Schoolbook"/>
        </w:rPr>
        <w:t>.</w:t>
      </w:r>
      <w:r w:rsidR="00512AF5" w:rsidRPr="008D659D">
        <w:rPr>
          <w:rFonts w:ascii="Century Schoolbook" w:hAnsi="Century Schoolbook"/>
        </w:rPr>
        <w:t xml:space="preserve">  </w:t>
      </w:r>
    </w:p>
    <w:p w14:paraId="48BFE98B" w14:textId="1BD410CB" w:rsidR="00A92CF5" w:rsidRPr="008D659D" w:rsidRDefault="00A92CF5" w:rsidP="00A92CF5">
      <w:pPr>
        <w:pStyle w:val="BodyText"/>
        <w:widowControl/>
        <w:spacing w:line="360" w:lineRule="auto"/>
        <w:ind w:left="0"/>
        <w:jc w:val="center"/>
        <w:rPr>
          <w:rFonts w:ascii="Century Schoolbook" w:hAnsi="Century Schoolbook"/>
        </w:rPr>
      </w:pPr>
      <w:r w:rsidRPr="008D659D">
        <w:rPr>
          <w:rFonts w:ascii="Century Schoolbook" w:hAnsi="Century Schoolbook"/>
          <w:b/>
          <w:bCs/>
        </w:rPr>
        <w:t>2.</w:t>
      </w:r>
    </w:p>
    <w:p w14:paraId="3DF9FDB8" w14:textId="1AAE01E3" w:rsidR="00A92CF5" w:rsidRPr="008D659D" w:rsidRDefault="00654626" w:rsidP="000851AB">
      <w:pPr>
        <w:pStyle w:val="BodyText"/>
        <w:widowControl/>
        <w:spacing w:line="360" w:lineRule="auto"/>
        <w:ind w:left="0" w:firstLine="720"/>
        <w:rPr>
          <w:rFonts w:ascii="Century Schoolbook" w:hAnsi="Century Schoolbook"/>
        </w:rPr>
      </w:pPr>
      <w:r w:rsidRPr="008D659D">
        <w:rPr>
          <w:rFonts w:ascii="Century Schoolbook" w:hAnsi="Century Schoolbook"/>
        </w:rPr>
        <w:t>After</w:t>
      </w:r>
      <w:r w:rsidR="000851AB" w:rsidRPr="008D659D">
        <w:rPr>
          <w:rFonts w:ascii="Century Schoolbook" w:hAnsi="Century Schoolbook"/>
        </w:rPr>
        <w:t xml:space="preserve"> considering the entire complex of facts surrounding Jenkins’s conflict in the Mallory</w:t>
      </w:r>
      <w:r w:rsidRPr="008D659D">
        <w:rPr>
          <w:rFonts w:ascii="Century Schoolbook" w:hAnsi="Century Schoolbook"/>
        </w:rPr>
        <w:t xml:space="preserve"> case</w:t>
      </w:r>
      <w:r w:rsidR="000851AB" w:rsidRPr="008D659D">
        <w:rPr>
          <w:rFonts w:ascii="Century Schoolbook" w:hAnsi="Century Schoolbook"/>
        </w:rPr>
        <w:t xml:space="preserve">, we conclude that the trial court did not abuse its discretion in disqualifying the entire </w:t>
      </w:r>
      <w:r w:rsidR="001800B2" w:rsidRPr="008D659D">
        <w:rPr>
          <w:rFonts w:ascii="Century Schoolbook" w:hAnsi="Century Schoolbook"/>
        </w:rPr>
        <w:t>O</w:t>
      </w:r>
      <w:r w:rsidR="000851AB" w:rsidRPr="008D659D">
        <w:rPr>
          <w:rFonts w:ascii="Century Schoolbook" w:hAnsi="Century Schoolbook"/>
        </w:rPr>
        <w:t>ffice</w:t>
      </w:r>
      <w:r w:rsidR="00E852A0" w:rsidRPr="008D659D">
        <w:rPr>
          <w:rFonts w:ascii="Century Schoolbook" w:hAnsi="Century Schoolbook"/>
        </w:rPr>
        <w:t xml:space="preserve"> from that case.</w:t>
      </w:r>
    </w:p>
    <w:p w14:paraId="1C86218D" w14:textId="442EB0E8" w:rsidR="000851AB" w:rsidRPr="008D659D" w:rsidRDefault="00E852A0" w:rsidP="000851AB">
      <w:pPr>
        <w:pStyle w:val="BodyText"/>
        <w:widowControl/>
        <w:spacing w:line="360" w:lineRule="auto"/>
        <w:ind w:left="0" w:firstLine="720"/>
        <w:rPr>
          <w:rFonts w:ascii="Century Schoolbook" w:hAnsi="Century Schoolbook"/>
        </w:rPr>
      </w:pPr>
      <w:r w:rsidRPr="008D659D">
        <w:rPr>
          <w:rFonts w:ascii="Century Schoolbook" w:hAnsi="Century Schoolbook"/>
        </w:rPr>
        <w:t>T</w:t>
      </w:r>
      <w:r w:rsidR="00267673" w:rsidRPr="008D659D">
        <w:rPr>
          <w:rFonts w:ascii="Century Schoolbook" w:hAnsi="Century Schoolbook"/>
        </w:rPr>
        <w:t xml:space="preserve">he relevant facts are undisputed.  </w:t>
      </w:r>
      <w:r w:rsidRPr="008D659D">
        <w:rPr>
          <w:rFonts w:ascii="Century Schoolbook" w:hAnsi="Century Schoolbook"/>
        </w:rPr>
        <w:t>Mallory, the victim, was the cousin of Jenkins’s husband</w:t>
      </w:r>
      <w:r w:rsidR="00267673" w:rsidRPr="008D659D">
        <w:rPr>
          <w:rFonts w:ascii="Century Schoolbook" w:hAnsi="Century Schoolbook"/>
        </w:rPr>
        <w:t xml:space="preserve">, </w:t>
      </w:r>
      <w:r w:rsidRPr="008D659D">
        <w:rPr>
          <w:rFonts w:ascii="Century Schoolbook" w:hAnsi="Century Schoolbook"/>
        </w:rPr>
        <w:t xml:space="preserve">and </w:t>
      </w:r>
      <w:r w:rsidR="00654626" w:rsidRPr="008D659D">
        <w:rPr>
          <w:rFonts w:ascii="Century Schoolbook" w:hAnsi="Century Schoolbook"/>
        </w:rPr>
        <w:t>Jenkins</w:t>
      </w:r>
      <w:r w:rsidR="00267673" w:rsidRPr="008D659D">
        <w:rPr>
          <w:rFonts w:ascii="Century Schoolbook" w:hAnsi="Century Schoolbook"/>
        </w:rPr>
        <w:t xml:space="preserve"> </w:t>
      </w:r>
      <w:r w:rsidR="000851AB" w:rsidRPr="008D659D">
        <w:rPr>
          <w:rFonts w:ascii="Century Schoolbook" w:hAnsi="Century Schoolbook"/>
        </w:rPr>
        <w:t xml:space="preserve">regularly saw </w:t>
      </w:r>
      <w:r w:rsidRPr="008D659D">
        <w:rPr>
          <w:rFonts w:ascii="Century Schoolbook" w:hAnsi="Century Schoolbook"/>
        </w:rPr>
        <w:t>him</w:t>
      </w:r>
      <w:r w:rsidR="000851AB" w:rsidRPr="008D659D">
        <w:rPr>
          <w:rFonts w:ascii="Century Schoolbook" w:hAnsi="Century Schoolbook"/>
        </w:rPr>
        <w:t xml:space="preserve"> at family gatherings</w:t>
      </w:r>
      <w:r w:rsidR="00267673" w:rsidRPr="008D659D">
        <w:rPr>
          <w:rFonts w:ascii="Century Schoolbook" w:hAnsi="Century Schoolbook"/>
        </w:rPr>
        <w:t xml:space="preserve">.  </w:t>
      </w:r>
      <w:r w:rsidR="00E75191" w:rsidRPr="008D659D">
        <w:rPr>
          <w:rFonts w:ascii="Century Schoolbook" w:hAnsi="Century Schoolbook"/>
        </w:rPr>
        <w:t>She believed he was an innocent bystander.  And a</w:t>
      </w:r>
      <w:r w:rsidR="00267673" w:rsidRPr="008D659D">
        <w:rPr>
          <w:rFonts w:ascii="Century Schoolbook" w:hAnsi="Century Schoolbook"/>
        </w:rPr>
        <w:t xml:space="preserve">s she </w:t>
      </w:r>
      <w:r w:rsidR="00E75191" w:rsidRPr="008D659D">
        <w:rPr>
          <w:rFonts w:ascii="Century Schoolbook" w:hAnsi="Century Schoolbook"/>
        </w:rPr>
        <w:t>professed</w:t>
      </w:r>
      <w:r w:rsidR="00267673" w:rsidRPr="008D659D">
        <w:rPr>
          <w:rFonts w:ascii="Century Schoolbook" w:hAnsi="Century Schoolbook"/>
        </w:rPr>
        <w:t xml:space="preserve"> in</w:t>
      </w:r>
      <w:r w:rsidR="000851AB" w:rsidRPr="008D659D">
        <w:rPr>
          <w:rFonts w:ascii="Century Schoolbook" w:hAnsi="Century Schoolbook"/>
        </w:rPr>
        <w:t xml:space="preserve"> the Chronicle article</w:t>
      </w:r>
      <w:r w:rsidR="00267673" w:rsidRPr="008D659D">
        <w:rPr>
          <w:rFonts w:ascii="Century Schoolbook" w:hAnsi="Century Schoolbook"/>
        </w:rPr>
        <w:t>,</w:t>
      </w:r>
      <w:r w:rsidR="000851AB" w:rsidRPr="008D659D">
        <w:rPr>
          <w:rFonts w:ascii="Century Schoolbook" w:hAnsi="Century Schoolbook"/>
        </w:rPr>
        <w:t xml:space="preserve"> her husband’s family was “devastated” by Mallory’s </w:t>
      </w:r>
      <w:r w:rsidR="00E8607B">
        <w:rPr>
          <w:rFonts w:ascii="Century Schoolbook" w:hAnsi="Century Schoolbook"/>
        </w:rPr>
        <w:t>death</w:t>
      </w:r>
      <w:r w:rsidRPr="008D659D">
        <w:rPr>
          <w:rFonts w:ascii="Century Schoolbook" w:hAnsi="Century Schoolbook"/>
        </w:rPr>
        <w:t xml:space="preserve">. </w:t>
      </w:r>
    </w:p>
    <w:p w14:paraId="56C58E7F" w14:textId="71DEA90D" w:rsidR="00E852A0" w:rsidRPr="008D659D" w:rsidRDefault="00E852A0" w:rsidP="000851AB">
      <w:pPr>
        <w:pStyle w:val="BodyText"/>
        <w:widowControl/>
        <w:spacing w:line="360" w:lineRule="auto"/>
        <w:ind w:left="0" w:firstLine="720"/>
        <w:rPr>
          <w:rFonts w:ascii="Century Schoolbook" w:hAnsi="Century Schoolbook"/>
        </w:rPr>
      </w:pPr>
      <w:r w:rsidRPr="008D659D">
        <w:rPr>
          <w:rFonts w:ascii="Century Schoolbook" w:hAnsi="Century Schoolbook"/>
        </w:rPr>
        <w:t xml:space="preserve">Jenkins also </w:t>
      </w:r>
      <w:r w:rsidR="001800B2" w:rsidRPr="008D659D">
        <w:rPr>
          <w:rFonts w:ascii="Century Schoolbook" w:hAnsi="Century Schoolbook"/>
        </w:rPr>
        <w:t xml:space="preserve">harshly </w:t>
      </w:r>
      <w:r w:rsidRPr="008D659D">
        <w:rPr>
          <w:rFonts w:ascii="Century Schoolbook" w:hAnsi="Century Schoolbook"/>
        </w:rPr>
        <w:t xml:space="preserve">criticized the Office’s handling of the Mallory case.  For example, she denounced the Office’s decision to release Pomar after he had been detained in the Mallory case because he </w:t>
      </w:r>
      <w:r w:rsidR="002765FA" w:rsidRPr="008D659D">
        <w:rPr>
          <w:rFonts w:ascii="Century Schoolbook" w:hAnsi="Century Schoolbook"/>
        </w:rPr>
        <w:t xml:space="preserve">allegedly </w:t>
      </w:r>
      <w:r w:rsidRPr="008D659D">
        <w:rPr>
          <w:rFonts w:ascii="Century Schoolbook" w:hAnsi="Century Schoolbook"/>
        </w:rPr>
        <w:t xml:space="preserve">committed additional crimes, including attempted murder, soon </w:t>
      </w:r>
      <w:r w:rsidR="00340C4D" w:rsidRPr="008D659D">
        <w:rPr>
          <w:rFonts w:ascii="Century Schoolbook" w:hAnsi="Century Schoolbook"/>
        </w:rPr>
        <w:t>after his release</w:t>
      </w:r>
      <w:r w:rsidRPr="008D659D">
        <w:rPr>
          <w:rFonts w:ascii="Century Schoolbook" w:hAnsi="Century Schoolbook"/>
        </w:rPr>
        <w:t xml:space="preserve">. </w:t>
      </w:r>
      <w:bookmarkStart w:id="4" w:name="_Hlk142400050"/>
      <w:r w:rsidR="00417701" w:rsidRPr="008D659D">
        <w:rPr>
          <w:rFonts w:ascii="Century Schoolbook" w:hAnsi="Century Schoolbook"/>
        </w:rPr>
        <w:t xml:space="preserve"> </w:t>
      </w:r>
      <w:bookmarkEnd w:id="4"/>
      <w:r w:rsidR="0028657B" w:rsidRPr="008D659D">
        <w:rPr>
          <w:rFonts w:ascii="Century Schoolbook" w:hAnsi="Century Schoolbook"/>
        </w:rPr>
        <w:t xml:space="preserve">And </w:t>
      </w:r>
      <w:r w:rsidR="00417701" w:rsidRPr="008D659D">
        <w:rPr>
          <w:rFonts w:ascii="Century Schoolbook" w:hAnsi="Century Schoolbook"/>
        </w:rPr>
        <w:t>Jenkins</w:t>
      </w:r>
      <w:r w:rsidRPr="008D659D">
        <w:rPr>
          <w:rFonts w:ascii="Century Schoolbook" w:hAnsi="Century Schoolbook"/>
        </w:rPr>
        <w:t xml:space="preserve"> was especially critical of the Office’s decision—</w:t>
      </w:r>
      <w:r w:rsidR="001800B2" w:rsidRPr="008D659D">
        <w:rPr>
          <w:rFonts w:ascii="Century Schoolbook" w:hAnsi="Century Schoolbook"/>
        </w:rPr>
        <w:t>which</w:t>
      </w:r>
      <w:r w:rsidRPr="008D659D">
        <w:rPr>
          <w:rFonts w:ascii="Century Schoolbook" w:hAnsi="Century Schoolbook"/>
        </w:rPr>
        <w:t xml:space="preserve"> </w:t>
      </w:r>
      <w:r w:rsidR="00E75191" w:rsidRPr="008D659D">
        <w:rPr>
          <w:rFonts w:ascii="Century Schoolbook" w:hAnsi="Century Schoolbook"/>
        </w:rPr>
        <w:t>necessari</w:t>
      </w:r>
      <w:r w:rsidRPr="008D659D">
        <w:rPr>
          <w:rFonts w:ascii="Century Schoolbook" w:hAnsi="Century Schoolbook"/>
        </w:rPr>
        <w:t>ly</w:t>
      </w:r>
      <w:r w:rsidR="001800B2" w:rsidRPr="008D659D">
        <w:rPr>
          <w:rFonts w:ascii="Century Schoolbook" w:hAnsi="Century Schoolbook"/>
        </w:rPr>
        <w:t xml:space="preserve"> meant</w:t>
      </w:r>
      <w:r w:rsidRPr="008D659D">
        <w:rPr>
          <w:rFonts w:ascii="Century Schoolbook" w:hAnsi="Century Schoolbook"/>
        </w:rPr>
        <w:t xml:space="preserve"> the decision of the ADA</w:t>
      </w:r>
      <w:r w:rsidR="00340C4D" w:rsidRPr="008D659D">
        <w:rPr>
          <w:rFonts w:ascii="Century Schoolbook" w:hAnsi="Century Schoolbook"/>
        </w:rPr>
        <w:t>s</w:t>
      </w:r>
      <w:r w:rsidRPr="008D659D">
        <w:rPr>
          <w:rFonts w:ascii="Century Schoolbook" w:hAnsi="Century Schoolbook"/>
        </w:rPr>
        <w:t xml:space="preserve"> prosecuting the case—to dismiss the felony gang count against Mitchell and Pomar.  Indeed, she even went so far as to </w:t>
      </w:r>
      <w:r w:rsidR="00340C4D" w:rsidRPr="008D659D">
        <w:rPr>
          <w:rFonts w:ascii="Century Schoolbook" w:hAnsi="Century Schoolbook"/>
        </w:rPr>
        <w:t xml:space="preserve">declare </w:t>
      </w:r>
      <w:r w:rsidRPr="008D659D">
        <w:rPr>
          <w:rFonts w:ascii="Century Schoolbook" w:hAnsi="Century Schoolbook"/>
        </w:rPr>
        <w:t xml:space="preserve">that the prosecution </w:t>
      </w:r>
      <w:r w:rsidR="00417701" w:rsidRPr="008D659D">
        <w:rPr>
          <w:rFonts w:ascii="Century Schoolbook" w:hAnsi="Century Schoolbook"/>
        </w:rPr>
        <w:t xml:space="preserve">of Mitchell and Pomar </w:t>
      </w:r>
      <w:r w:rsidR="0028657B" w:rsidRPr="008D659D">
        <w:rPr>
          <w:rFonts w:ascii="Century Schoolbook" w:hAnsi="Century Schoolbook"/>
        </w:rPr>
        <w:t xml:space="preserve">for the Mallory murder </w:t>
      </w:r>
      <w:r w:rsidRPr="008D659D">
        <w:rPr>
          <w:rFonts w:ascii="Century Schoolbook" w:hAnsi="Century Schoolbook"/>
        </w:rPr>
        <w:t xml:space="preserve">would </w:t>
      </w:r>
      <w:r w:rsidR="00340C4D" w:rsidRPr="008D659D">
        <w:rPr>
          <w:rFonts w:ascii="Century Schoolbook" w:hAnsi="Century Schoolbook"/>
        </w:rPr>
        <w:t xml:space="preserve">likely </w:t>
      </w:r>
      <w:r w:rsidR="00417701" w:rsidRPr="008D659D">
        <w:rPr>
          <w:rFonts w:ascii="Century Schoolbook" w:hAnsi="Century Schoolbook"/>
        </w:rPr>
        <w:t>fail</w:t>
      </w:r>
      <w:r w:rsidRPr="008D659D">
        <w:rPr>
          <w:rFonts w:ascii="Century Schoolbook" w:hAnsi="Century Schoolbook"/>
        </w:rPr>
        <w:t xml:space="preserve"> because the Office dropped that charge. </w:t>
      </w:r>
    </w:p>
    <w:p w14:paraId="355F1CA3" w14:textId="5C45AEF4" w:rsidR="00417701" w:rsidRPr="008D659D" w:rsidRDefault="00E75191" w:rsidP="000851AB">
      <w:pPr>
        <w:pStyle w:val="BodyText"/>
        <w:widowControl/>
        <w:spacing w:line="360" w:lineRule="auto"/>
        <w:ind w:left="0" w:firstLine="720"/>
        <w:rPr>
          <w:rFonts w:ascii="Century Schoolbook" w:hAnsi="Century Schoolbook"/>
        </w:rPr>
      </w:pPr>
      <w:r w:rsidRPr="008D659D">
        <w:rPr>
          <w:rFonts w:ascii="Century Schoolbook" w:hAnsi="Century Schoolbook"/>
        </w:rPr>
        <w:t>Notably</w:t>
      </w:r>
      <w:r w:rsidR="00340C4D" w:rsidRPr="008D659D">
        <w:rPr>
          <w:rFonts w:ascii="Century Schoolbook" w:hAnsi="Century Schoolbook"/>
        </w:rPr>
        <w:t xml:space="preserve">, </w:t>
      </w:r>
      <w:r w:rsidR="0076116B" w:rsidRPr="008D659D">
        <w:rPr>
          <w:rFonts w:ascii="Century Schoolbook" w:hAnsi="Century Schoolbook"/>
        </w:rPr>
        <w:t xml:space="preserve">Jenkins made </w:t>
      </w:r>
      <w:r w:rsidR="00340C4D" w:rsidRPr="008D659D">
        <w:rPr>
          <w:rFonts w:ascii="Century Schoolbook" w:hAnsi="Century Schoolbook"/>
        </w:rPr>
        <w:t>these</w:t>
      </w:r>
      <w:r w:rsidR="0076116B" w:rsidRPr="008D659D">
        <w:rPr>
          <w:rFonts w:ascii="Century Schoolbook" w:hAnsi="Century Schoolbook"/>
        </w:rPr>
        <w:t xml:space="preserve"> </w:t>
      </w:r>
      <w:r w:rsidRPr="008D659D">
        <w:rPr>
          <w:rFonts w:ascii="Century Schoolbook" w:hAnsi="Century Schoolbook"/>
        </w:rPr>
        <w:t xml:space="preserve">critical </w:t>
      </w:r>
      <w:r w:rsidR="001800B2" w:rsidRPr="008D659D">
        <w:rPr>
          <w:rFonts w:ascii="Century Schoolbook" w:hAnsi="Century Schoolbook"/>
        </w:rPr>
        <w:t>remark</w:t>
      </w:r>
      <w:r w:rsidR="0076116B" w:rsidRPr="008D659D">
        <w:rPr>
          <w:rFonts w:ascii="Century Schoolbook" w:hAnsi="Century Schoolbook"/>
        </w:rPr>
        <w:t>s</w:t>
      </w:r>
      <w:r w:rsidRPr="008D659D">
        <w:rPr>
          <w:rFonts w:ascii="Century Schoolbook" w:hAnsi="Century Schoolbook"/>
        </w:rPr>
        <w:t xml:space="preserve"> to the press in support</w:t>
      </w:r>
      <w:r w:rsidR="00E67E6B" w:rsidRPr="008D659D">
        <w:rPr>
          <w:rFonts w:ascii="Century Schoolbook" w:hAnsi="Century Schoolbook"/>
        </w:rPr>
        <w:t xml:space="preserve"> </w:t>
      </w:r>
      <w:r w:rsidR="0076116B" w:rsidRPr="008D659D">
        <w:rPr>
          <w:rFonts w:ascii="Century Schoolbook" w:hAnsi="Century Schoolbook"/>
        </w:rPr>
        <w:t xml:space="preserve">of a highly publicized campaign to recall the district attorney at the time.  </w:t>
      </w:r>
      <w:r w:rsidR="00340C4D" w:rsidRPr="008D659D">
        <w:rPr>
          <w:rFonts w:ascii="Century Schoolbook" w:hAnsi="Century Schoolbook"/>
        </w:rPr>
        <w:t>Indeed, m</w:t>
      </w:r>
      <w:r w:rsidR="0076116B" w:rsidRPr="008D659D">
        <w:rPr>
          <w:rFonts w:ascii="Century Schoolbook" w:hAnsi="Century Schoolbook"/>
        </w:rPr>
        <w:t>ore than one newspaper publi</w:t>
      </w:r>
      <w:r w:rsidRPr="008D659D">
        <w:rPr>
          <w:rFonts w:ascii="Century Schoolbook" w:hAnsi="Century Schoolbook"/>
        </w:rPr>
        <w:t>sh</w:t>
      </w:r>
      <w:r w:rsidR="0076116B" w:rsidRPr="008D659D">
        <w:rPr>
          <w:rFonts w:ascii="Century Schoolbook" w:hAnsi="Century Schoolbook"/>
        </w:rPr>
        <w:t xml:space="preserve">ed </w:t>
      </w:r>
      <w:r w:rsidR="00340C4D" w:rsidRPr="008D659D">
        <w:rPr>
          <w:rFonts w:ascii="Century Schoolbook" w:hAnsi="Century Schoolbook"/>
        </w:rPr>
        <w:t>her</w:t>
      </w:r>
      <w:r w:rsidR="0076116B" w:rsidRPr="008D659D">
        <w:rPr>
          <w:rFonts w:ascii="Century Schoolbook" w:hAnsi="Century Schoolbook"/>
        </w:rPr>
        <w:t xml:space="preserve"> </w:t>
      </w:r>
      <w:r w:rsidRPr="008D659D">
        <w:rPr>
          <w:rFonts w:ascii="Century Schoolbook" w:hAnsi="Century Schoolbook"/>
        </w:rPr>
        <w:t xml:space="preserve">criticisms of the Mallory </w:t>
      </w:r>
      <w:r w:rsidRPr="008D659D">
        <w:rPr>
          <w:rFonts w:ascii="Century Schoolbook" w:hAnsi="Century Schoolbook"/>
        </w:rPr>
        <w:lastRenderedPageBreak/>
        <w:t>prosecution</w:t>
      </w:r>
      <w:r w:rsidR="0076116B" w:rsidRPr="008D659D">
        <w:rPr>
          <w:rFonts w:ascii="Century Schoolbook" w:hAnsi="Century Schoolbook"/>
        </w:rPr>
        <w:t>, including the Chronicle, the largest newspaper in Northern California.</w:t>
      </w:r>
      <w:r w:rsidR="0076116B" w:rsidRPr="008D659D">
        <w:rPr>
          <w:rStyle w:val="FootnoteReference"/>
          <w:rFonts w:ascii="Century Schoolbook" w:hAnsi="Century Schoolbook"/>
        </w:rPr>
        <w:footnoteReference w:id="4"/>
      </w:r>
      <w:r w:rsidR="0076116B" w:rsidRPr="008D659D">
        <w:rPr>
          <w:rFonts w:ascii="Century Schoolbook" w:hAnsi="Century Schoolbook"/>
        </w:rPr>
        <w:t xml:space="preserve"> </w:t>
      </w:r>
    </w:p>
    <w:p w14:paraId="11DFBCF3" w14:textId="32CBCFAC" w:rsidR="00340C4D" w:rsidRPr="008D659D" w:rsidRDefault="00340C4D" w:rsidP="000851AB">
      <w:pPr>
        <w:pStyle w:val="BodyText"/>
        <w:widowControl/>
        <w:spacing w:line="360" w:lineRule="auto"/>
        <w:ind w:left="0" w:firstLine="720"/>
        <w:rPr>
          <w:rFonts w:ascii="Century Schoolbook" w:hAnsi="Century Schoolbook"/>
        </w:rPr>
      </w:pPr>
      <w:r w:rsidRPr="008D659D">
        <w:rPr>
          <w:rFonts w:ascii="Century Schoolbook" w:hAnsi="Century Schoolbook"/>
        </w:rPr>
        <w:t>Finally, Jenkins, as the district attorney, ha</w:t>
      </w:r>
      <w:r w:rsidR="00FA03B0" w:rsidRPr="008D659D">
        <w:rPr>
          <w:rFonts w:ascii="Century Schoolbook" w:hAnsi="Century Schoolbook"/>
        </w:rPr>
        <w:t>s</w:t>
      </w:r>
      <w:r w:rsidRPr="008D659D">
        <w:rPr>
          <w:rFonts w:ascii="Century Schoolbook" w:hAnsi="Century Schoolbook"/>
        </w:rPr>
        <w:t xml:space="preserve"> broad authority to hire, fire, promote, and demote any ADA involved in the prosecution of the Mallory case because they </w:t>
      </w:r>
      <w:r w:rsidR="00E67E6B" w:rsidRPr="008D659D">
        <w:rPr>
          <w:rFonts w:ascii="Century Schoolbook" w:hAnsi="Century Schoolbook"/>
        </w:rPr>
        <w:t>a</w:t>
      </w:r>
      <w:r w:rsidRPr="008D659D">
        <w:rPr>
          <w:rFonts w:ascii="Century Schoolbook" w:hAnsi="Century Schoolbook"/>
        </w:rPr>
        <w:t xml:space="preserve">re at-will employees. </w:t>
      </w:r>
      <w:r w:rsidR="00E1414C" w:rsidRPr="008D659D">
        <w:rPr>
          <w:rFonts w:ascii="Century Schoolbook" w:hAnsi="Century Schoolbook"/>
        </w:rPr>
        <w:t xml:space="preserve"> And a </w:t>
      </w:r>
      <w:r w:rsidR="00E75191" w:rsidRPr="008D659D">
        <w:rPr>
          <w:rFonts w:ascii="Century Schoolbook" w:hAnsi="Century Schoolbook"/>
        </w:rPr>
        <w:t>significant</w:t>
      </w:r>
      <w:r w:rsidR="00E1414C" w:rsidRPr="008D659D">
        <w:rPr>
          <w:rFonts w:ascii="Century Schoolbook" w:hAnsi="Century Schoolbook"/>
        </w:rPr>
        <w:t xml:space="preserve"> number of ADAs </w:t>
      </w:r>
      <w:r w:rsidR="00FA03B0" w:rsidRPr="008D659D">
        <w:rPr>
          <w:rFonts w:ascii="Century Schoolbook" w:hAnsi="Century Schoolbook"/>
        </w:rPr>
        <w:t xml:space="preserve">in the Office </w:t>
      </w:r>
      <w:r w:rsidR="00E1414C" w:rsidRPr="008D659D">
        <w:rPr>
          <w:rFonts w:ascii="Century Schoolbook" w:hAnsi="Century Schoolbook"/>
        </w:rPr>
        <w:t xml:space="preserve">had, in fact, been hired and fired since 2020. </w:t>
      </w:r>
    </w:p>
    <w:p w14:paraId="6429C79D" w14:textId="2299B73A" w:rsidR="00760C43" w:rsidRPr="008D659D" w:rsidRDefault="00FA03B0" w:rsidP="000851AB">
      <w:pPr>
        <w:pStyle w:val="BodyText"/>
        <w:widowControl/>
        <w:spacing w:line="360" w:lineRule="auto"/>
        <w:ind w:left="0" w:firstLine="720"/>
        <w:rPr>
          <w:rFonts w:ascii="Century Schoolbook" w:hAnsi="Century Schoolbook"/>
        </w:rPr>
      </w:pPr>
      <w:r w:rsidRPr="008D659D">
        <w:rPr>
          <w:rFonts w:ascii="Century Schoolbook" w:hAnsi="Century Schoolbook"/>
        </w:rPr>
        <w:t>These undisputed facts provide substantial evidence that</w:t>
      </w:r>
      <w:r w:rsidR="00340C4D" w:rsidRPr="008D659D">
        <w:rPr>
          <w:rFonts w:ascii="Century Schoolbook" w:hAnsi="Century Schoolbook"/>
        </w:rPr>
        <w:t xml:space="preserve"> Jenkins had a deep, personal interest in the Mallory case</w:t>
      </w:r>
      <w:r w:rsidR="00E67E6B" w:rsidRPr="008D659D">
        <w:rPr>
          <w:rFonts w:ascii="Century Schoolbook" w:hAnsi="Century Schoolbook"/>
        </w:rPr>
        <w:t>,</w:t>
      </w:r>
      <w:r w:rsidR="00340C4D" w:rsidRPr="008D659D">
        <w:rPr>
          <w:rFonts w:ascii="Century Schoolbook" w:hAnsi="Century Schoolbook"/>
        </w:rPr>
        <w:t xml:space="preserve"> believed in the guilt of Mitchell and Pomar</w:t>
      </w:r>
      <w:r w:rsidR="00E67E6B" w:rsidRPr="008D659D">
        <w:rPr>
          <w:rFonts w:ascii="Century Schoolbook" w:hAnsi="Century Schoolbook"/>
        </w:rPr>
        <w:t xml:space="preserve">, and harbored animosity toward them for their role in Mallory’s </w:t>
      </w:r>
      <w:r w:rsidR="00C04120">
        <w:rPr>
          <w:rFonts w:ascii="Century Schoolbook" w:hAnsi="Century Schoolbook"/>
        </w:rPr>
        <w:t>death</w:t>
      </w:r>
      <w:r w:rsidR="00340C4D" w:rsidRPr="008D659D">
        <w:rPr>
          <w:rFonts w:ascii="Century Schoolbook" w:hAnsi="Century Schoolbook"/>
        </w:rPr>
        <w:t>.  The</w:t>
      </w:r>
      <w:r w:rsidRPr="008D659D">
        <w:rPr>
          <w:rFonts w:ascii="Century Schoolbook" w:hAnsi="Century Schoolbook"/>
        </w:rPr>
        <w:t>y also provide substantial evidence</w:t>
      </w:r>
      <w:r w:rsidR="00340C4D" w:rsidRPr="008D659D">
        <w:rPr>
          <w:rFonts w:ascii="Century Schoolbook" w:hAnsi="Century Schoolbook"/>
        </w:rPr>
        <w:t xml:space="preserve"> that Jenkins disagreed with how the Office had been handling the case, including its charging decisions, and believed that Mitchell and Pomar should be prosecuted </w:t>
      </w:r>
      <w:r w:rsidR="001800B2" w:rsidRPr="008D659D">
        <w:rPr>
          <w:rFonts w:ascii="Century Schoolbook" w:hAnsi="Century Schoolbook"/>
        </w:rPr>
        <w:t xml:space="preserve">far </w:t>
      </w:r>
      <w:r w:rsidR="00340C4D" w:rsidRPr="008D659D">
        <w:rPr>
          <w:rFonts w:ascii="Century Schoolbook" w:hAnsi="Century Schoolbook"/>
        </w:rPr>
        <w:t xml:space="preserve">more aggressively for their role in Mallory’s </w:t>
      </w:r>
      <w:r w:rsidR="00C04120">
        <w:rPr>
          <w:rFonts w:ascii="Century Schoolbook" w:hAnsi="Century Schoolbook"/>
        </w:rPr>
        <w:t>death</w:t>
      </w:r>
      <w:r w:rsidR="00340C4D" w:rsidRPr="008D659D">
        <w:rPr>
          <w:rFonts w:ascii="Century Schoolbook" w:hAnsi="Century Schoolbook"/>
        </w:rPr>
        <w:t xml:space="preserve">.  </w:t>
      </w:r>
      <w:r w:rsidR="00E75191" w:rsidRPr="008D659D">
        <w:rPr>
          <w:rFonts w:ascii="Century Schoolbook" w:hAnsi="Century Schoolbook"/>
        </w:rPr>
        <w:t>And t</w:t>
      </w:r>
      <w:r w:rsidRPr="008D659D">
        <w:rPr>
          <w:rFonts w:ascii="Century Schoolbook" w:hAnsi="Century Schoolbook"/>
        </w:rPr>
        <w:t xml:space="preserve">hey provide substantial evidence that the ADAs in the Office, including the ADAs prosecuting the Mallory case, were aware of Jenkins’s </w:t>
      </w:r>
      <w:r w:rsidR="001800B2" w:rsidRPr="008D659D">
        <w:rPr>
          <w:rFonts w:ascii="Century Schoolbook" w:hAnsi="Century Schoolbook"/>
        </w:rPr>
        <w:t xml:space="preserve">strong, </w:t>
      </w:r>
      <w:r w:rsidRPr="008D659D">
        <w:rPr>
          <w:rFonts w:ascii="Century Schoolbook" w:hAnsi="Century Schoolbook"/>
        </w:rPr>
        <w:t>personal interest in the case</w:t>
      </w:r>
      <w:r w:rsidR="00D40BAF" w:rsidRPr="008D659D">
        <w:rPr>
          <w:rFonts w:ascii="Century Schoolbook" w:hAnsi="Century Schoolbook"/>
        </w:rPr>
        <w:t xml:space="preserve">, </w:t>
      </w:r>
      <w:r w:rsidRPr="008D659D">
        <w:rPr>
          <w:rFonts w:ascii="Century Schoolbook" w:hAnsi="Century Schoolbook"/>
        </w:rPr>
        <w:t xml:space="preserve">her </w:t>
      </w:r>
      <w:r w:rsidR="00E75191" w:rsidRPr="008D659D">
        <w:rPr>
          <w:rFonts w:ascii="Century Schoolbook" w:hAnsi="Century Schoolbook"/>
        </w:rPr>
        <w:t xml:space="preserve">belief that </w:t>
      </w:r>
      <w:r w:rsidR="001800B2" w:rsidRPr="008D659D">
        <w:rPr>
          <w:rFonts w:ascii="Century Schoolbook" w:hAnsi="Century Schoolbook"/>
        </w:rPr>
        <w:t>the Office’s lax approach toward prosecuting the case had already doomed it</w:t>
      </w:r>
      <w:r w:rsidR="00BD1631" w:rsidRPr="008D659D">
        <w:rPr>
          <w:rFonts w:ascii="Century Schoolbook" w:hAnsi="Century Schoolbook"/>
        </w:rPr>
        <w:t xml:space="preserve">, </w:t>
      </w:r>
      <w:r w:rsidR="00111C6A" w:rsidRPr="008D659D">
        <w:rPr>
          <w:rFonts w:ascii="Century Schoolbook" w:hAnsi="Century Schoolbook"/>
        </w:rPr>
        <w:t xml:space="preserve">and her broad authority over their </w:t>
      </w:r>
      <w:r w:rsidR="00D40BAF" w:rsidRPr="008D659D">
        <w:rPr>
          <w:rFonts w:ascii="Century Schoolbook" w:hAnsi="Century Schoolbook"/>
        </w:rPr>
        <w:t xml:space="preserve">hiring, </w:t>
      </w:r>
      <w:r w:rsidR="00111C6A" w:rsidRPr="008D659D">
        <w:rPr>
          <w:rFonts w:ascii="Century Schoolbook" w:hAnsi="Century Schoolbook"/>
        </w:rPr>
        <w:t>firing, promotion, and demotion.</w:t>
      </w:r>
      <w:r w:rsidR="0028657B" w:rsidRPr="008D659D">
        <w:rPr>
          <w:rFonts w:ascii="Century Schoolbook" w:hAnsi="Century Schoolbook"/>
        </w:rPr>
        <w:t xml:space="preserve">  </w:t>
      </w:r>
    </w:p>
    <w:p w14:paraId="1B9FA187" w14:textId="5CF51045" w:rsidR="00340C4D" w:rsidRPr="008D659D" w:rsidRDefault="00760C43" w:rsidP="000851AB">
      <w:pPr>
        <w:pStyle w:val="BodyText"/>
        <w:widowControl/>
        <w:spacing w:line="360" w:lineRule="auto"/>
        <w:ind w:left="0" w:firstLine="720"/>
        <w:rPr>
          <w:rFonts w:ascii="Century Schoolbook" w:hAnsi="Century Schoolbook"/>
        </w:rPr>
      </w:pPr>
      <w:r w:rsidRPr="008D659D">
        <w:rPr>
          <w:rFonts w:ascii="Century Schoolbook" w:hAnsi="Century Schoolbook"/>
        </w:rPr>
        <w:t>That Jenkins committed no ethical violations because she made her public statements about the Mallory case before she became District Attorney makes no difference.  Those statements still reflect her personal beliefs and opinions.  Thus, b</w:t>
      </w:r>
      <w:r w:rsidR="00FF5FEE" w:rsidRPr="008D659D">
        <w:rPr>
          <w:rFonts w:ascii="Century Schoolbook" w:hAnsi="Century Schoolbook"/>
        </w:rPr>
        <w:t>ased on th</w:t>
      </w:r>
      <w:r w:rsidRPr="008D659D">
        <w:rPr>
          <w:rFonts w:ascii="Century Schoolbook" w:hAnsi="Century Schoolbook"/>
        </w:rPr>
        <w:t>e</w:t>
      </w:r>
      <w:r w:rsidR="00FF5FEE" w:rsidRPr="008D659D">
        <w:rPr>
          <w:rFonts w:ascii="Century Schoolbook" w:hAnsi="Century Schoolbook"/>
        </w:rPr>
        <w:t xml:space="preserve"> evidence</w:t>
      </w:r>
      <w:r w:rsidRPr="008D659D">
        <w:rPr>
          <w:rFonts w:ascii="Century Schoolbook" w:hAnsi="Century Schoolbook"/>
        </w:rPr>
        <w:t xml:space="preserve"> in the record</w:t>
      </w:r>
      <w:r w:rsidR="0028657B" w:rsidRPr="008D659D">
        <w:rPr>
          <w:rFonts w:ascii="Century Schoolbook" w:hAnsi="Century Schoolbook"/>
        </w:rPr>
        <w:t xml:space="preserve">, it </w:t>
      </w:r>
      <w:r w:rsidRPr="008D659D">
        <w:rPr>
          <w:rFonts w:ascii="Century Schoolbook" w:hAnsi="Century Schoolbook"/>
        </w:rPr>
        <w:t>was</w:t>
      </w:r>
      <w:r w:rsidR="0028657B" w:rsidRPr="008D659D">
        <w:rPr>
          <w:rFonts w:ascii="Century Schoolbook" w:hAnsi="Century Schoolbook"/>
        </w:rPr>
        <w:t xml:space="preserve"> reasonable, and certainly not speculative, </w:t>
      </w:r>
      <w:r w:rsidRPr="008D659D">
        <w:rPr>
          <w:rFonts w:ascii="Century Schoolbook" w:hAnsi="Century Schoolbook"/>
        </w:rPr>
        <w:t xml:space="preserve">for the trial court </w:t>
      </w:r>
      <w:r w:rsidR="0028657B" w:rsidRPr="008D659D">
        <w:rPr>
          <w:rFonts w:ascii="Century Schoolbook" w:hAnsi="Century Schoolbook"/>
        </w:rPr>
        <w:t xml:space="preserve">to </w:t>
      </w:r>
      <w:r w:rsidR="00E75191" w:rsidRPr="008D659D">
        <w:rPr>
          <w:rFonts w:ascii="Century Schoolbook" w:hAnsi="Century Schoolbook"/>
        </w:rPr>
        <w:t>conclud</w:t>
      </w:r>
      <w:r w:rsidR="0028657B" w:rsidRPr="008D659D">
        <w:rPr>
          <w:rFonts w:ascii="Century Schoolbook" w:hAnsi="Century Schoolbook"/>
        </w:rPr>
        <w:t xml:space="preserve">e that any </w:t>
      </w:r>
      <w:r w:rsidR="00FF5FEE" w:rsidRPr="008D659D">
        <w:rPr>
          <w:rFonts w:ascii="Century Schoolbook" w:hAnsi="Century Schoolbook"/>
        </w:rPr>
        <w:t>“</w:t>
      </w:r>
      <w:r w:rsidR="0028657B" w:rsidRPr="008D659D">
        <w:rPr>
          <w:rFonts w:ascii="Century Schoolbook" w:hAnsi="Century Schoolbook"/>
        </w:rPr>
        <w:t xml:space="preserve">plea </w:t>
      </w:r>
      <w:r w:rsidR="00FF5FEE" w:rsidRPr="008D659D">
        <w:rPr>
          <w:rFonts w:ascii="Century Schoolbook" w:hAnsi="Century Schoolbook"/>
        </w:rPr>
        <w:t xml:space="preserve">bargaining </w:t>
      </w:r>
      <w:r w:rsidR="0028657B" w:rsidRPr="008D659D">
        <w:rPr>
          <w:rFonts w:ascii="Century Schoolbook" w:hAnsi="Century Schoolbook"/>
        </w:rPr>
        <w:t>or sentencing recommendations</w:t>
      </w:r>
      <w:r w:rsidR="00FF5FEE" w:rsidRPr="008D659D">
        <w:rPr>
          <w:rFonts w:ascii="Century Schoolbook" w:hAnsi="Century Schoolbook"/>
        </w:rPr>
        <w:t>”</w:t>
      </w:r>
      <w:r w:rsidR="0028657B" w:rsidRPr="008D659D">
        <w:rPr>
          <w:rFonts w:ascii="Century Schoolbook" w:hAnsi="Century Schoolbook"/>
        </w:rPr>
        <w:t xml:space="preserve"> by </w:t>
      </w:r>
      <w:r w:rsidR="001800B2" w:rsidRPr="008D659D">
        <w:rPr>
          <w:rFonts w:ascii="Century Schoolbook" w:hAnsi="Century Schoolbook"/>
        </w:rPr>
        <w:t xml:space="preserve">the </w:t>
      </w:r>
      <w:r w:rsidR="0028657B" w:rsidRPr="008D659D">
        <w:rPr>
          <w:rFonts w:ascii="Century Schoolbook" w:hAnsi="Century Schoolbook"/>
        </w:rPr>
        <w:t xml:space="preserve">ADAs in the </w:t>
      </w:r>
      <w:r w:rsidR="00FF5FEE" w:rsidRPr="008D659D">
        <w:rPr>
          <w:rFonts w:ascii="Century Schoolbook" w:hAnsi="Century Schoolbook"/>
        </w:rPr>
        <w:t>O</w:t>
      </w:r>
      <w:r w:rsidR="0028657B" w:rsidRPr="008D659D">
        <w:rPr>
          <w:rFonts w:ascii="Century Schoolbook" w:hAnsi="Century Schoolbook"/>
        </w:rPr>
        <w:t>ffice</w:t>
      </w:r>
      <w:r w:rsidR="00FF5FEE" w:rsidRPr="008D659D">
        <w:rPr>
          <w:rFonts w:ascii="Century Schoolbook" w:hAnsi="Century Schoolbook"/>
        </w:rPr>
        <w:t xml:space="preserve"> may be “</w:t>
      </w:r>
      <w:r w:rsidR="00FF5FEE" w:rsidRPr="008D659D">
        <w:rPr>
          <w:rFonts w:ascii="Century Schoolbook" w:hAnsi="Century Schoolbook"/>
          <w:i/>
          <w:iCs/>
        </w:rPr>
        <w:t>consciously or unconsciously</w:t>
      </w:r>
      <w:r w:rsidR="00FF5FEE" w:rsidRPr="008D659D">
        <w:rPr>
          <w:rFonts w:ascii="Century Schoolbook" w:hAnsi="Century Schoolbook"/>
        </w:rPr>
        <w:t xml:space="preserve"> . . . affected </w:t>
      </w:r>
      <w:r w:rsidR="00E75191" w:rsidRPr="008D659D">
        <w:rPr>
          <w:rFonts w:ascii="Century Schoolbook" w:hAnsi="Century Schoolbook"/>
        </w:rPr>
        <w:t xml:space="preserve">[by Jenkins’s conflict] </w:t>
      </w:r>
      <w:r w:rsidR="00FF5FEE" w:rsidRPr="008D659D">
        <w:rPr>
          <w:rFonts w:ascii="Century Schoolbook" w:hAnsi="Century Schoolbook"/>
        </w:rPr>
        <w:t xml:space="preserve">to a degree </w:t>
      </w:r>
      <w:r w:rsidR="00FF5FEE" w:rsidRPr="008D659D">
        <w:rPr>
          <w:rFonts w:ascii="Century Schoolbook" w:hAnsi="Century Schoolbook"/>
        </w:rPr>
        <w:lastRenderedPageBreak/>
        <w:t>rendering it unlikely that” Mitchell and Pomar “would receive a fair trial.”  (</w:t>
      </w:r>
      <w:r w:rsidR="00FF5FEE" w:rsidRPr="008D659D">
        <w:rPr>
          <w:rFonts w:ascii="Century Schoolbook" w:hAnsi="Century Schoolbook"/>
          <w:i/>
          <w:iCs/>
        </w:rPr>
        <w:t xml:space="preserve">People v. Conner </w:t>
      </w:r>
      <w:r w:rsidR="00FF5FEE" w:rsidRPr="008D659D">
        <w:rPr>
          <w:rFonts w:ascii="Century Schoolbook" w:hAnsi="Century Schoolbook"/>
        </w:rPr>
        <w:t>(1983) 34 Cal.3d 141, 149</w:t>
      </w:r>
      <w:r w:rsidR="00E75191" w:rsidRPr="008D659D">
        <w:rPr>
          <w:rFonts w:ascii="Century Schoolbook" w:hAnsi="Century Schoolbook"/>
        </w:rPr>
        <w:t xml:space="preserve"> (</w:t>
      </w:r>
      <w:r w:rsidR="00E75191" w:rsidRPr="008D659D">
        <w:rPr>
          <w:rFonts w:ascii="Century Schoolbook" w:hAnsi="Century Schoolbook"/>
          <w:i/>
          <w:iCs/>
        </w:rPr>
        <w:t>Conner</w:t>
      </w:r>
      <w:r w:rsidR="00E75191" w:rsidRPr="008D659D">
        <w:rPr>
          <w:rFonts w:ascii="Century Schoolbook" w:hAnsi="Century Schoolbook"/>
        </w:rPr>
        <w:t>)</w:t>
      </w:r>
      <w:r w:rsidR="00FF5FEE" w:rsidRPr="008D659D">
        <w:rPr>
          <w:rFonts w:ascii="Century Schoolbook" w:hAnsi="Century Schoolbook"/>
        </w:rPr>
        <w:t>, italics added.)</w:t>
      </w:r>
    </w:p>
    <w:p w14:paraId="1535F991" w14:textId="3A5C6A06" w:rsidR="00FA03B0" w:rsidRPr="008D659D" w:rsidRDefault="001015B2" w:rsidP="000851AB">
      <w:pPr>
        <w:pStyle w:val="BodyText"/>
        <w:widowControl/>
        <w:spacing w:line="360" w:lineRule="auto"/>
        <w:ind w:left="0" w:firstLine="720"/>
        <w:rPr>
          <w:rFonts w:ascii="Century Schoolbook" w:hAnsi="Century Schoolbook"/>
        </w:rPr>
      </w:pPr>
      <w:r w:rsidRPr="008D659D">
        <w:rPr>
          <w:rFonts w:ascii="Century Schoolbook" w:hAnsi="Century Schoolbook"/>
        </w:rPr>
        <w:t>Accordingly, we</w:t>
      </w:r>
      <w:r w:rsidR="00D40BAF" w:rsidRPr="008D659D">
        <w:rPr>
          <w:rFonts w:ascii="Century Schoolbook" w:hAnsi="Century Schoolbook"/>
        </w:rPr>
        <w:t xml:space="preserve"> find that the trial court </w:t>
      </w:r>
      <w:r w:rsidR="00FF5FEE" w:rsidRPr="008D659D">
        <w:rPr>
          <w:rFonts w:ascii="Century Schoolbook" w:hAnsi="Century Schoolbook"/>
        </w:rPr>
        <w:t xml:space="preserve">did not abuse its discretion in recusing the </w:t>
      </w:r>
      <w:r w:rsidR="00E75191" w:rsidRPr="008D659D">
        <w:rPr>
          <w:rFonts w:ascii="Century Schoolbook" w:hAnsi="Century Schoolbook"/>
        </w:rPr>
        <w:t xml:space="preserve">entire </w:t>
      </w:r>
      <w:r w:rsidR="00FF5FEE" w:rsidRPr="008D659D">
        <w:rPr>
          <w:rFonts w:ascii="Century Schoolbook" w:hAnsi="Century Schoolbook"/>
        </w:rPr>
        <w:t>Office from the Mallory case</w:t>
      </w:r>
      <w:r w:rsidR="00D40BAF" w:rsidRPr="008D659D">
        <w:rPr>
          <w:rFonts w:ascii="Century Schoolbook" w:hAnsi="Century Schoolbook"/>
        </w:rPr>
        <w:t xml:space="preserve">.  </w:t>
      </w:r>
    </w:p>
    <w:p w14:paraId="694AAE10" w14:textId="637FFB96" w:rsidR="003C17D9" w:rsidRPr="008D659D" w:rsidRDefault="003C17D9" w:rsidP="003C17D9">
      <w:pPr>
        <w:pStyle w:val="BodyText"/>
        <w:widowControl/>
        <w:spacing w:line="360" w:lineRule="auto"/>
        <w:ind w:left="0"/>
        <w:jc w:val="center"/>
        <w:rPr>
          <w:rFonts w:ascii="Century Schoolbook" w:hAnsi="Century Schoolbook"/>
        </w:rPr>
      </w:pPr>
      <w:r w:rsidRPr="008D659D">
        <w:rPr>
          <w:rFonts w:ascii="Century Schoolbook" w:hAnsi="Century Schoolbook"/>
          <w:b/>
          <w:bCs/>
        </w:rPr>
        <w:t>3.</w:t>
      </w:r>
    </w:p>
    <w:p w14:paraId="3FE3A5B9" w14:textId="4FEAD040" w:rsidR="003C17D9" w:rsidRPr="008D659D" w:rsidRDefault="00BC5C7F" w:rsidP="00BC5C7F">
      <w:pPr>
        <w:pStyle w:val="BodyText"/>
        <w:widowControl/>
        <w:spacing w:line="360" w:lineRule="auto"/>
        <w:ind w:left="0" w:firstLine="720"/>
        <w:rPr>
          <w:rFonts w:ascii="Century Schoolbook" w:hAnsi="Century Schoolbook"/>
        </w:rPr>
      </w:pPr>
      <w:r w:rsidRPr="008D659D">
        <w:rPr>
          <w:rFonts w:ascii="Century Schoolbook" w:hAnsi="Century Schoolbook"/>
        </w:rPr>
        <w:t xml:space="preserve">Although the </w:t>
      </w:r>
      <w:r w:rsidR="00F32360" w:rsidRPr="008D659D">
        <w:rPr>
          <w:rFonts w:ascii="Century Schoolbook" w:hAnsi="Century Schoolbook"/>
        </w:rPr>
        <w:t>question</w:t>
      </w:r>
      <w:r w:rsidRPr="008D659D">
        <w:rPr>
          <w:rFonts w:ascii="Century Schoolbook" w:hAnsi="Century Schoolbook"/>
        </w:rPr>
        <w:t xml:space="preserve"> is closer, we also find that the trial court did not abuse its discretion in disqualifying the </w:t>
      </w:r>
      <w:r w:rsidR="00E75191" w:rsidRPr="008D659D">
        <w:rPr>
          <w:rFonts w:ascii="Century Schoolbook" w:hAnsi="Century Schoolbook"/>
        </w:rPr>
        <w:t xml:space="preserve">entire </w:t>
      </w:r>
      <w:r w:rsidRPr="008D659D">
        <w:rPr>
          <w:rFonts w:ascii="Century Schoolbook" w:hAnsi="Century Schoolbook"/>
        </w:rPr>
        <w:t xml:space="preserve">Office from the Pomar/Young case.  Jenkins </w:t>
      </w:r>
      <w:r w:rsidR="00E75191" w:rsidRPr="008D659D">
        <w:rPr>
          <w:rFonts w:ascii="Century Schoolbook" w:hAnsi="Century Schoolbook"/>
        </w:rPr>
        <w:t xml:space="preserve">did </w:t>
      </w:r>
      <w:r w:rsidR="008A40B6" w:rsidRPr="008D659D">
        <w:rPr>
          <w:rFonts w:ascii="Century Schoolbook" w:hAnsi="Century Schoolbook"/>
        </w:rPr>
        <w:t xml:space="preserve">not </w:t>
      </w:r>
      <w:r w:rsidR="00E75191" w:rsidRPr="008D659D">
        <w:rPr>
          <w:rFonts w:ascii="Century Schoolbook" w:hAnsi="Century Schoolbook"/>
        </w:rPr>
        <w:t>have</w:t>
      </w:r>
      <w:r w:rsidRPr="008D659D">
        <w:rPr>
          <w:rFonts w:ascii="Century Schoolbook" w:hAnsi="Century Schoolbook"/>
        </w:rPr>
        <w:t xml:space="preserve"> </w:t>
      </w:r>
      <w:r w:rsidR="008A40B6" w:rsidRPr="008D659D">
        <w:rPr>
          <w:rFonts w:ascii="Century Schoolbook" w:hAnsi="Century Schoolbook"/>
        </w:rPr>
        <w:t>any</w:t>
      </w:r>
      <w:r w:rsidRPr="008D659D">
        <w:rPr>
          <w:rFonts w:ascii="Century Schoolbook" w:hAnsi="Century Schoolbook"/>
        </w:rPr>
        <w:t xml:space="preserve"> relationship, familial or otherwise, to the victims in the Pomar/Young case.  </w:t>
      </w:r>
      <w:r w:rsidR="0045539F" w:rsidRPr="008D659D">
        <w:rPr>
          <w:rFonts w:ascii="Century Schoolbook" w:hAnsi="Century Schoolbook"/>
        </w:rPr>
        <w:t xml:space="preserve">But </w:t>
      </w:r>
      <w:r w:rsidR="001800B2" w:rsidRPr="008D659D">
        <w:rPr>
          <w:rFonts w:ascii="Century Schoolbook" w:hAnsi="Century Schoolbook"/>
        </w:rPr>
        <w:t xml:space="preserve">she </w:t>
      </w:r>
      <w:r w:rsidR="00E75191" w:rsidRPr="008D659D">
        <w:rPr>
          <w:rFonts w:ascii="Century Schoolbook" w:hAnsi="Century Schoolbook"/>
        </w:rPr>
        <w:t>tied</w:t>
      </w:r>
      <w:r w:rsidR="0045539F" w:rsidRPr="008D659D">
        <w:rPr>
          <w:rFonts w:ascii="Century Schoolbook" w:hAnsi="Century Schoolbook"/>
        </w:rPr>
        <w:t xml:space="preserve"> th</w:t>
      </w:r>
      <w:r w:rsidR="00E75191" w:rsidRPr="008D659D">
        <w:rPr>
          <w:rFonts w:ascii="Century Schoolbook" w:hAnsi="Century Schoolbook"/>
        </w:rPr>
        <w:t>at case directly to the Mallory case</w:t>
      </w:r>
      <w:r w:rsidR="0045539F" w:rsidRPr="008D659D">
        <w:rPr>
          <w:rFonts w:ascii="Century Schoolbook" w:hAnsi="Century Schoolbook"/>
        </w:rPr>
        <w:t xml:space="preserve"> </w:t>
      </w:r>
      <w:r w:rsidR="001800B2" w:rsidRPr="008D659D">
        <w:rPr>
          <w:rFonts w:ascii="Century Schoolbook" w:hAnsi="Century Schoolbook"/>
        </w:rPr>
        <w:t>through</w:t>
      </w:r>
      <w:r w:rsidR="0045539F" w:rsidRPr="008D659D">
        <w:rPr>
          <w:rFonts w:ascii="Century Schoolbook" w:hAnsi="Century Schoolbook"/>
        </w:rPr>
        <w:t xml:space="preserve"> her </w:t>
      </w:r>
      <w:r w:rsidR="0009335C" w:rsidRPr="008D659D">
        <w:rPr>
          <w:rFonts w:ascii="Century Schoolbook" w:hAnsi="Century Schoolbook"/>
        </w:rPr>
        <w:t>statements</w:t>
      </w:r>
      <w:r w:rsidR="0045539F" w:rsidRPr="008D659D">
        <w:rPr>
          <w:rFonts w:ascii="Century Schoolbook" w:hAnsi="Century Schoolbook"/>
        </w:rPr>
        <w:t xml:space="preserve"> </w:t>
      </w:r>
      <w:r w:rsidR="00BE5C30" w:rsidRPr="008D659D">
        <w:rPr>
          <w:rFonts w:ascii="Century Schoolbook" w:hAnsi="Century Schoolbook"/>
        </w:rPr>
        <w:t>to</w:t>
      </w:r>
      <w:r w:rsidR="0045539F" w:rsidRPr="008D659D">
        <w:rPr>
          <w:rFonts w:ascii="Century Schoolbook" w:hAnsi="Century Schoolbook"/>
        </w:rPr>
        <w:t xml:space="preserve"> the </w:t>
      </w:r>
      <w:r w:rsidR="0009335C" w:rsidRPr="008D659D">
        <w:rPr>
          <w:rFonts w:ascii="Century Schoolbook" w:hAnsi="Century Schoolbook"/>
        </w:rPr>
        <w:t>press</w:t>
      </w:r>
      <w:r w:rsidR="0045539F" w:rsidRPr="008D659D">
        <w:rPr>
          <w:rFonts w:ascii="Century Schoolbook" w:hAnsi="Century Schoolbook"/>
        </w:rPr>
        <w:t xml:space="preserve">.  As a result, the trial court reasonably concluded that </w:t>
      </w:r>
      <w:r w:rsidR="00F32360" w:rsidRPr="008D659D">
        <w:rPr>
          <w:rFonts w:ascii="Century Schoolbook" w:hAnsi="Century Schoolbook"/>
        </w:rPr>
        <w:t>Jenkins’s</w:t>
      </w:r>
      <w:r w:rsidR="0045539F" w:rsidRPr="008D659D">
        <w:rPr>
          <w:rFonts w:ascii="Century Schoolbook" w:hAnsi="Century Schoolbook"/>
        </w:rPr>
        <w:t xml:space="preserve"> animosity toward Pomar for his role in the drive-by shooting of </w:t>
      </w:r>
      <w:r w:rsidR="00E75191" w:rsidRPr="008D659D">
        <w:rPr>
          <w:rFonts w:ascii="Century Schoolbook" w:hAnsi="Century Schoolbook"/>
        </w:rPr>
        <w:t>her husband’s cousin</w:t>
      </w:r>
      <w:r w:rsidR="0045539F" w:rsidRPr="008D659D">
        <w:rPr>
          <w:rFonts w:ascii="Century Schoolbook" w:hAnsi="Century Schoolbook"/>
        </w:rPr>
        <w:t xml:space="preserve"> extended to his role in the drive-by shooting in the Pomar/Young case. </w:t>
      </w:r>
      <w:r w:rsidR="00BE5C30" w:rsidRPr="008D659D">
        <w:rPr>
          <w:rFonts w:ascii="Century Schoolbook" w:hAnsi="Century Schoolbook"/>
        </w:rPr>
        <w:t xml:space="preserve"> T</w:t>
      </w:r>
      <w:r w:rsidR="0045539F" w:rsidRPr="008D659D">
        <w:rPr>
          <w:rFonts w:ascii="Century Schoolbook" w:hAnsi="Century Schoolbook"/>
        </w:rPr>
        <w:t xml:space="preserve">he court </w:t>
      </w:r>
      <w:r w:rsidR="00BE5C30" w:rsidRPr="008D659D">
        <w:rPr>
          <w:rFonts w:ascii="Century Schoolbook" w:hAnsi="Century Schoolbook"/>
        </w:rPr>
        <w:t xml:space="preserve">also </w:t>
      </w:r>
      <w:r w:rsidR="0045539F" w:rsidRPr="008D659D">
        <w:rPr>
          <w:rFonts w:ascii="Century Schoolbook" w:hAnsi="Century Schoolbook"/>
        </w:rPr>
        <w:t xml:space="preserve">reasonably concluded that, due to Jenkins’s </w:t>
      </w:r>
      <w:r w:rsidR="0009335C" w:rsidRPr="008D659D">
        <w:rPr>
          <w:rFonts w:ascii="Century Schoolbook" w:hAnsi="Century Schoolbook"/>
        </w:rPr>
        <w:t>public statements</w:t>
      </w:r>
      <w:r w:rsidR="00E75191" w:rsidRPr="008D659D">
        <w:rPr>
          <w:rFonts w:ascii="Century Schoolbook" w:hAnsi="Century Schoolbook"/>
        </w:rPr>
        <w:t xml:space="preserve"> tying the two cases together</w:t>
      </w:r>
      <w:r w:rsidR="0045539F" w:rsidRPr="008D659D">
        <w:rPr>
          <w:rFonts w:ascii="Century Schoolbook" w:hAnsi="Century Schoolbook"/>
        </w:rPr>
        <w:t xml:space="preserve">, </w:t>
      </w:r>
      <w:r w:rsidR="00E75191" w:rsidRPr="008D659D">
        <w:rPr>
          <w:rFonts w:ascii="Century Schoolbook" w:hAnsi="Century Schoolbook"/>
        </w:rPr>
        <w:t>they</w:t>
      </w:r>
      <w:r w:rsidR="0045539F" w:rsidRPr="008D659D">
        <w:rPr>
          <w:rFonts w:ascii="Century Schoolbook" w:hAnsi="Century Schoolbook"/>
        </w:rPr>
        <w:t xml:space="preserve"> had become inextricably intertwined in the eyes of the ADAs in the Office, as well as the public.  </w:t>
      </w:r>
      <w:r w:rsidR="00DD0C6F" w:rsidRPr="008D659D">
        <w:rPr>
          <w:rFonts w:ascii="Century Schoolbook" w:hAnsi="Century Schoolbook"/>
        </w:rPr>
        <w:t>Finally, the court reasonabl</w:t>
      </w:r>
      <w:r w:rsidR="00A731B9" w:rsidRPr="008D659D">
        <w:rPr>
          <w:rFonts w:ascii="Century Schoolbook" w:hAnsi="Century Schoolbook"/>
        </w:rPr>
        <w:t>y</w:t>
      </w:r>
      <w:r w:rsidR="00DD0C6F" w:rsidRPr="008D659D">
        <w:rPr>
          <w:rFonts w:ascii="Century Schoolbook" w:hAnsi="Century Schoolbook"/>
        </w:rPr>
        <w:t xml:space="preserve"> </w:t>
      </w:r>
      <w:r w:rsidR="00A731B9" w:rsidRPr="008D659D">
        <w:rPr>
          <w:rFonts w:ascii="Century Schoolbook" w:hAnsi="Century Schoolbook"/>
        </w:rPr>
        <w:t>conclud</w:t>
      </w:r>
      <w:r w:rsidR="00DD0C6F" w:rsidRPr="008D659D">
        <w:rPr>
          <w:rFonts w:ascii="Century Schoolbook" w:hAnsi="Century Schoolbook"/>
        </w:rPr>
        <w:t>e</w:t>
      </w:r>
      <w:r w:rsidR="00A731B9" w:rsidRPr="008D659D">
        <w:rPr>
          <w:rFonts w:ascii="Century Schoolbook" w:hAnsi="Century Schoolbook"/>
        </w:rPr>
        <w:t>d</w:t>
      </w:r>
      <w:r w:rsidR="00DD0C6F" w:rsidRPr="008D659D">
        <w:rPr>
          <w:rFonts w:ascii="Century Schoolbook" w:hAnsi="Century Schoolbook"/>
        </w:rPr>
        <w:t xml:space="preserve"> that Jenkins’s belief that the prosecution of Pomar in the Mallory case was doomed due to the lack of gang charges </w:t>
      </w:r>
      <w:r w:rsidR="00A731B9" w:rsidRPr="008D659D">
        <w:rPr>
          <w:rFonts w:ascii="Century Schoolbook" w:hAnsi="Century Schoolbook"/>
        </w:rPr>
        <w:t>would likely influence ADAs “consciously or unconsciously” to be more aggressive in prosecuting Pomar in the Pomar/Young case.  (</w:t>
      </w:r>
      <w:r w:rsidR="00A731B9" w:rsidRPr="008D659D">
        <w:rPr>
          <w:rFonts w:ascii="Century Schoolbook" w:hAnsi="Century Schoolbook"/>
          <w:i/>
          <w:iCs/>
        </w:rPr>
        <w:t>Conner</w:t>
      </w:r>
      <w:r w:rsidR="00A731B9" w:rsidRPr="008D659D">
        <w:rPr>
          <w:rFonts w:ascii="Century Schoolbook" w:hAnsi="Century Schoolbook"/>
        </w:rPr>
        <w:t xml:space="preserve">, </w:t>
      </w:r>
      <w:r w:rsidR="00A731B9" w:rsidRPr="008D659D">
        <w:rPr>
          <w:rFonts w:ascii="Century Schoolbook" w:hAnsi="Century Schoolbook"/>
          <w:i/>
          <w:iCs/>
        </w:rPr>
        <w:t>supra</w:t>
      </w:r>
      <w:r w:rsidR="00A731B9" w:rsidRPr="008D659D">
        <w:rPr>
          <w:rFonts w:ascii="Century Schoolbook" w:hAnsi="Century Schoolbook"/>
        </w:rPr>
        <w:t xml:space="preserve">, 34 Cal.3d at p. 149.)  </w:t>
      </w:r>
      <w:r w:rsidR="0045539F" w:rsidRPr="008D659D">
        <w:rPr>
          <w:rFonts w:ascii="Century Schoolbook" w:hAnsi="Century Schoolbook"/>
        </w:rPr>
        <w:t xml:space="preserve">Thus, we cannot conclude that the trial court abused its discretion in holding that Jenkins’s conflict </w:t>
      </w:r>
      <w:r w:rsidR="00E75191" w:rsidRPr="008D659D">
        <w:rPr>
          <w:rFonts w:ascii="Century Schoolbook" w:hAnsi="Century Schoolbook"/>
        </w:rPr>
        <w:t xml:space="preserve">also </w:t>
      </w:r>
      <w:r w:rsidR="0045539F" w:rsidRPr="008D659D">
        <w:rPr>
          <w:rFonts w:ascii="Century Schoolbook" w:hAnsi="Century Schoolbook"/>
        </w:rPr>
        <w:t>rendered it unlikely that Pomar would receive a fair trial in the Pomar/Young case.</w:t>
      </w:r>
      <w:r w:rsidR="009D177D" w:rsidRPr="008D659D">
        <w:rPr>
          <w:rFonts w:ascii="Century Schoolbook" w:hAnsi="Century Schoolbook"/>
        </w:rPr>
        <w:t xml:space="preserve">  (Cf. </w:t>
      </w:r>
      <w:r w:rsidR="009D177D" w:rsidRPr="008D659D">
        <w:rPr>
          <w:rFonts w:ascii="Century Schoolbook" w:hAnsi="Century Schoolbook"/>
          <w:i/>
          <w:iCs/>
        </w:rPr>
        <w:t>Vasquez</w:t>
      </w:r>
      <w:r w:rsidR="009D177D" w:rsidRPr="008D659D">
        <w:rPr>
          <w:rFonts w:ascii="Century Schoolbook" w:hAnsi="Century Schoolbook"/>
        </w:rPr>
        <w:t xml:space="preserve">, </w:t>
      </w:r>
      <w:r w:rsidR="009D177D" w:rsidRPr="008D659D">
        <w:rPr>
          <w:rFonts w:ascii="Century Schoolbook" w:hAnsi="Century Schoolbook"/>
          <w:i/>
          <w:iCs/>
        </w:rPr>
        <w:t>supra</w:t>
      </w:r>
      <w:r w:rsidR="009D177D" w:rsidRPr="008D659D">
        <w:rPr>
          <w:rFonts w:ascii="Century Schoolbook" w:hAnsi="Century Schoolbook"/>
        </w:rPr>
        <w:t xml:space="preserve">, 39 Cal.4th at p. 58 [extending recusal of district attorney’s office to </w:t>
      </w:r>
      <w:r w:rsidR="005466FD" w:rsidRPr="008D659D">
        <w:rPr>
          <w:rFonts w:ascii="Century Schoolbook" w:hAnsi="Century Schoolbook"/>
        </w:rPr>
        <w:t xml:space="preserve">the </w:t>
      </w:r>
      <w:r w:rsidR="009D177D" w:rsidRPr="008D659D">
        <w:rPr>
          <w:rFonts w:ascii="Century Schoolbook" w:hAnsi="Century Schoolbook"/>
        </w:rPr>
        <w:t>defendant based on his co-defendant</w:t>
      </w:r>
      <w:r w:rsidR="005466FD" w:rsidRPr="008D659D">
        <w:rPr>
          <w:rFonts w:ascii="Century Schoolbook" w:hAnsi="Century Schoolbook"/>
        </w:rPr>
        <w:t>’s</w:t>
      </w:r>
      <w:r w:rsidR="009D177D" w:rsidRPr="008D659D">
        <w:rPr>
          <w:rFonts w:ascii="Century Schoolbook" w:hAnsi="Century Schoolbook"/>
        </w:rPr>
        <w:t xml:space="preserve"> “family relationship” to employees at the office].)</w:t>
      </w:r>
    </w:p>
    <w:p w14:paraId="5517476D" w14:textId="3F8EECE7" w:rsidR="003C17D9" w:rsidRPr="008D659D" w:rsidRDefault="003C17D9" w:rsidP="00D54D11">
      <w:pPr>
        <w:pStyle w:val="BodyText"/>
        <w:keepNext/>
        <w:keepLines/>
        <w:widowControl/>
        <w:spacing w:line="360" w:lineRule="auto"/>
        <w:ind w:left="0"/>
        <w:jc w:val="center"/>
        <w:rPr>
          <w:rFonts w:ascii="Century Schoolbook" w:hAnsi="Century Schoolbook"/>
        </w:rPr>
      </w:pPr>
      <w:r w:rsidRPr="008D659D">
        <w:rPr>
          <w:rFonts w:ascii="Century Schoolbook" w:hAnsi="Century Schoolbook"/>
          <w:b/>
          <w:bCs/>
        </w:rPr>
        <w:lastRenderedPageBreak/>
        <w:t>4.</w:t>
      </w:r>
    </w:p>
    <w:p w14:paraId="6923322E" w14:textId="28E1B136" w:rsidR="003C17D9" w:rsidRPr="008D659D" w:rsidRDefault="001945FA" w:rsidP="00D54D11">
      <w:pPr>
        <w:pStyle w:val="BodyText"/>
        <w:keepNext/>
        <w:keepLines/>
        <w:widowControl/>
        <w:spacing w:line="360" w:lineRule="auto"/>
        <w:ind w:left="0" w:firstLine="720"/>
        <w:rPr>
          <w:rFonts w:ascii="Century Schoolbook" w:hAnsi="Century Schoolbook"/>
        </w:rPr>
      </w:pPr>
      <w:r w:rsidRPr="008D659D">
        <w:rPr>
          <w:rFonts w:ascii="Century Schoolbook" w:hAnsi="Century Schoolbook"/>
        </w:rPr>
        <w:t xml:space="preserve">The People </w:t>
      </w:r>
      <w:r w:rsidR="005466FD" w:rsidRPr="008D659D">
        <w:rPr>
          <w:rFonts w:ascii="Century Schoolbook" w:hAnsi="Century Schoolbook"/>
        </w:rPr>
        <w:t>make</w:t>
      </w:r>
      <w:r w:rsidRPr="008D659D">
        <w:rPr>
          <w:rFonts w:ascii="Century Schoolbook" w:hAnsi="Century Schoolbook"/>
        </w:rPr>
        <w:t xml:space="preserve"> a number of arguments in support of revers</w:t>
      </w:r>
      <w:r w:rsidR="005466FD" w:rsidRPr="008D659D">
        <w:rPr>
          <w:rFonts w:ascii="Century Schoolbook" w:hAnsi="Century Schoolbook"/>
        </w:rPr>
        <w:t>al</w:t>
      </w:r>
      <w:r w:rsidR="001800B2" w:rsidRPr="008D659D">
        <w:rPr>
          <w:rFonts w:ascii="Century Schoolbook" w:hAnsi="Century Schoolbook"/>
        </w:rPr>
        <w:t xml:space="preserve">, but </w:t>
      </w:r>
      <w:r w:rsidR="00FD3064" w:rsidRPr="008D659D">
        <w:rPr>
          <w:rFonts w:ascii="Century Schoolbook" w:hAnsi="Century Schoolbook"/>
        </w:rPr>
        <w:t xml:space="preserve">we do not find </w:t>
      </w:r>
      <w:r w:rsidRPr="008D659D">
        <w:rPr>
          <w:rFonts w:ascii="Century Schoolbook" w:hAnsi="Century Schoolbook"/>
        </w:rPr>
        <w:t>the</w:t>
      </w:r>
      <w:r w:rsidR="001800B2" w:rsidRPr="008D659D">
        <w:rPr>
          <w:rFonts w:ascii="Century Schoolbook" w:hAnsi="Century Schoolbook"/>
        </w:rPr>
        <w:t>m</w:t>
      </w:r>
      <w:r w:rsidRPr="008D659D">
        <w:rPr>
          <w:rFonts w:ascii="Century Schoolbook" w:hAnsi="Century Schoolbook"/>
        </w:rPr>
        <w:t xml:space="preserve"> persuasive.</w:t>
      </w:r>
    </w:p>
    <w:p w14:paraId="679A1475" w14:textId="77777777" w:rsidR="00D54D11" w:rsidRDefault="00854682" w:rsidP="001945FA">
      <w:pPr>
        <w:pStyle w:val="BodyText"/>
        <w:widowControl/>
        <w:spacing w:line="360" w:lineRule="auto"/>
        <w:ind w:left="0" w:firstLine="720"/>
        <w:rPr>
          <w:rFonts w:ascii="Century Schoolbook" w:hAnsi="Century Schoolbook"/>
        </w:rPr>
      </w:pPr>
      <w:r w:rsidRPr="008D659D">
        <w:rPr>
          <w:rFonts w:ascii="Century Schoolbook" w:hAnsi="Century Schoolbook"/>
        </w:rPr>
        <w:t xml:space="preserve">First, the trial court did not abuse its discretion in finding </w:t>
      </w:r>
      <w:r w:rsidR="005466FD" w:rsidRPr="008D659D">
        <w:rPr>
          <w:rFonts w:ascii="Century Schoolbook" w:hAnsi="Century Schoolbook"/>
        </w:rPr>
        <w:t xml:space="preserve">that </w:t>
      </w:r>
      <w:r w:rsidRPr="008D659D">
        <w:rPr>
          <w:rFonts w:ascii="Century Schoolbook" w:hAnsi="Century Schoolbook"/>
        </w:rPr>
        <w:t xml:space="preserve">the </w:t>
      </w:r>
      <w:r w:rsidR="008A40B6" w:rsidRPr="008D659D">
        <w:rPr>
          <w:rFonts w:ascii="Century Schoolbook" w:hAnsi="Century Schoolbook"/>
        </w:rPr>
        <w:t xml:space="preserve">Office’s </w:t>
      </w:r>
      <w:r w:rsidRPr="008D659D">
        <w:rPr>
          <w:rFonts w:ascii="Century Schoolbook" w:hAnsi="Century Schoolbook"/>
        </w:rPr>
        <w:t xml:space="preserve">ethical wall </w:t>
      </w:r>
      <w:r w:rsidR="005466FD" w:rsidRPr="008D659D">
        <w:rPr>
          <w:rFonts w:ascii="Century Schoolbook" w:hAnsi="Century Schoolbook"/>
        </w:rPr>
        <w:t>did not</w:t>
      </w:r>
      <w:r w:rsidRPr="008D659D">
        <w:rPr>
          <w:rFonts w:ascii="Century Schoolbook" w:hAnsi="Century Schoolbook"/>
        </w:rPr>
        <w:t xml:space="preserve"> </w:t>
      </w:r>
      <w:r w:rsidR="001800B2" w:rsidRPr="008D659D">
        <w:rPr>
          <w:rFonts w:ascii="Century Schoolbook" w:hAnsi="Century Schoolbook"/>
        </w:rPr>
        <w:t>sanitize</w:t>
      </w:r>
      <w:r w:rsidRPr="008D659D">
        <w:rPr>
          <w:rFonts w:ascii="Century Schoolbook" w:hAnsi="Century Schoolbook"/>
        </w:rPr>
        <w:t xml:space="preserve"> the conflict</w:t>
      </w:r>
      <w:r w:rsidR="00896FC0" w:rsidRPr="008D659D">
        <w:rPr>
          <w:rFonts w:ascii="Century Schoolbook" w:hAnsi="Century Schoolbook"/>
        </w:rPr>
        <w:t xml:space="preserve"> in the Mallory case.</w:t>
      </w:r>
      <w:r w:rsidR="00896FC0" w:rsidRPr="008D659D">
        <w:rPr>
          <w:rStyle w:val="FootnoteReference"/>
          <w:rFonts w:ascii="Century Schoolbook" w:hAnsi="Century Schoolbook"/>
        </w:rPr>
        <w:footnoteReference w:id="5"/>
      </w:r>
      <w:r w:rsidR="002C5883" w:rsidRPr="008D659D">
        <w:rPr>
          <w:rFonts w:ascii="Century Schoolbook" w:hAnsi="Century Schoolbook"/>
        </w:rPr>
        <w:t xml:space="preserve">  </w:t>
      </w:r>
      <w:r w:rsidR="00B0649B" w:rsidRPr="008D659D">
        <w:rPr>
          <w:rFonts w:ascii="Century Schoolbook" w:hAnsi="Century Schoolbook"/>
        </w:rPr>
        <w:t xml:space="preserve">Although there was no evidence that the wall had been ineffective, </w:t>
      </w:r>
      <w:r w:rsidR="009D177D" w:rsidRPr="008D659D">
        <w:rPr>
          <w:rFonts w:ascii="Century Schoolbook" w:hAnsi="Century Schoolbook"/>
        </w:rPr>
        <w:t xml:space="preserve">some conflicts </w:t>
      </w:r>
      <w:r w:rsidR="005466FD" w:rsidRPr="008D659D">
        <w:rPr>
          <w:rFonts w:ascii="Century Schoolbook" w:hAnsi="Century Schoolbook"/>
        </w:rPr>
        <w:t xml:space="preserve">simply </w:t>
      </w:r>
      <w:r w:rsidR="009D177D" w:rsidRPr="008D659D">
        <w:rPr>
          <w:rFonts w:ascii="Century Schoolbook" w:hAnsi="Century Schoolbook"/>
        </w:rPr>
        <w:t>cannot “be sanitized such to assume the deputy who prosecutes</w:t>
      </w:r>
      <w:r w:rsidR="00191A7C" w:rsidRPr="008D659D">
        <w:rPr>
          <w:rFonts w:ascii="Century Schoolbook" w:hAnsi="Century Schoolbook"/>
        </w:rPr>
        <w:t xml:space="preserve"> the case</w:t>
      </w:r>
      <w:r w:rsidR="009D177D" w:rsidRPr="008D659D">
        <w:rPr>
          <w:rFonts w:ascii="Century Schoolbook" w:hAnsi="Century Schoolbook"/>
        </w:rPr>
        <w:t xml:space="preserve"> will not be influenced by the considerations that bar [the district attorney</w:t>
      </w:r>
      <w:r w:rsidR="0009335C" w:rsidRPr="008D659D">
        <w:rPr>
          <w:rFonts w:ascii="Century Schoolbook" w:hAnsi="Century Schoolbook"/>
        </w:rPr>
        <w:t xml:space="preserve"> herself]</w:t>
      </w:r>
      <w:r w:rsidR="009D177D" w:rsidRPr="008D659D">
        <w:rPr>
          <w:rFonts w:ascii="Century Schoolbook" w:hAnsi="Century Schoolbook"/>
        </w:rPr>
        <w:t xml:space="preserve"> from participation in the case.”  (</w:t>
      </w:r>
      <w:r w:rsidR="009D177D" w:rsidRPr="008D659D">
        <w:rPr>
          <w:rFonts w:ascii="Century Schoolbook" w:hAnsi="Century Schoolbook"/>
          <w:i/>
          <w:iCs/>
        </w:rPr>
        <w:t>Lepe</w:t>
      </w:r>
      <w:r w:rsidR="009D177D" w:rsidRPr="008D659D">
        <w:rPr>
          <w:rFonts w:ascii="Century Schoolbook" w:hAnsi="Century Schoolbook"/>
        </w:rPr>
        <w:t xml:space="preserve">, </w:t>
      </w:r>
      <w:r w:rsidR="009D177D" w:rsidRPr="008D659D">
        <w:rPr>
          <w:rFonts w:ascii="Century Schoolbook" w:hAnsi="Century Schoolbook"/>
          <w:i/>
          <w:iCs/>
        </w:rPr>
        <w:t>supra</w:t>
      </w:r>
      <w:r w:rsidR="009D177D" w:rsidRPr="008D659D">
        <w:rPr>
          <w:rFonts w:ascii="Century Schoolbook" w:hAnsi="Century Schoolbook"/>
        </w:rPr>
        <w:t xml:space="preserve">, 164 Cal.App.3d at p. 689.)  Given Jenkins’s </w:t>
      </w:r>
      <w:r w:rsidR="005466FD" w:rsidRPr="008D659D">
        <w:rPr>
          <w:rFonts w:ascii="Century Schoolbook" w:hAnsi="Century Schoolbook"/>
        </w:rPr>
        <w:t>widely publicized</w:t>
      </w:r>
      <w:r w:rsidR="009D177D" w:rsidRPr="008D659D">
        <w:rPr>
          <w:rFonts w:ascii="Century Schoolbook" w:hAnsi="Century Schoolbook"/>
        </w:rPr>
        <w:t xml:space="preserve"> statements about the Mallory case, including the </w:t>
      </w:r>
      <w:r w:rsidR="00200F5E" w:rsidRPr="008D659D">
        <w:rPr>
          <w:rFonts w:ascii="Century Schoolbook" w:hAnsi="Century Schoolbook"/>
        </w:rPr>
        <w:t>nature, tenor, and context</w:t>
      </w:r>
      <w:r w:rsidR="0009335C" w:rsidRPr="008D659D">
        <w:rPr>
          <w:rFonts w:ascii="Century Schoolbook" w:hAnsi="Century Schoolbook"/>
        </w:rPr>
        <w:t xml:space="preserve"> of those statements</w:t>
      </w:r>
      <w:r w:rsidR="009D177D" w:rsidRPr="008D659D">
        <w:rPr>
          <w:rFonts w:ascii="Century Schoolbook" w:hAnsi="Century Schoolbook"/>
        </w:rPr>
        <w:t xml:space="preserve">, we cannot conclude that the court abused its discretion in finding that this was one of those cases. </w:t>
      </w:r>
      <w:r w:rsidR="005466FD" w:rsidRPr="008D659D">
        <w:rPr>
          <w:rFonts w:ascii="Century Schoolbook" w:hAnsi="Century Schoolbook"/>
        </w:rPr>
        <w:t xml:space="preserve"> </w:t>
      </w:r>
      <w:r w:rsidR="00244EE9" w:rsidRPr="008D659D">
        <w:rPr>
          <w:rFonts w:ascii="Century Schoolbook" w:hAnsi="Century Schoolbook"/>
        </w:rPr>
        <w:t xml:space="preserve">Indeed, it is reasonable to assume that </w:t>
      </w:r>
      <w:r w:rsidR="00244EE9" w:rsidRPr="008D659D">
        <w:rPr>
          <w:rFonts w:ascii="Century Schoolbook" w:hAnsi="Century Schoolbook"/>
          <w:i/>
          <w:iCs/>
        </w:rPr>
        <w:t>an</w:t>
      </w:r>
      <w:r w:rsidR="008A40B6" w:rsidRPr="008D659D">
        <w:rPr>
          <w:rFonts w:ascii="Century Schoolbook" w:hAnsi="Century Schoolbook"/>
          <w:i/>
          <w:iCs/>
        </w:rPr>
        <w:t>y</w:t>
      </w:r>
      <w:r w:rsidR="00244EE9" w:rsidRPr="008D659D">
        <w:rPr>
          <w:rFonts w:ascii="Century Schoolbook" w:hAnsi="Century Schoolbook"/>
        </w:rPr>
        <w:t xml:space="preserve"> ADA </w:t>
      </w:r>
      <w:r w:rsidR="00C35629" w:rsidRPr="008D659D">
        <w:rPr>
          <w:rFonts w:ascii="Century Schoolbook" w:hAnsi="Century Schoolbook"/>
        </w:rPr>
        <w:t xml:space="preserve">in the Office </w:t>
      </w:r>
      <w:r w:rsidR="00244EE9" w:rsidRPr="008D659D">
        <w:rPr>
          <w:rFonts w:ascii="Century Schoolbook" w:hAnsi="Century Schoolbook"/>
        </w:rPr>
        <w:t>is likely to be influenced</w:t>
      </w:r>
      <w:r w:rsidR="00C35629" w:rsidRPr="008D659D">
        <w:rPr>
          <w:rFonts w:ascii="Century Schoolbook" w:hAnsi="Century Schoolbook"/>
        </w:rPr>
        <w:t xml:space="preserve"> at some stage of the </w:t>
      </w:r>
    </w:p>
    <w:p w14:paraId="288A0038" w14:textId="1BBAC812" w:rsidR="00FD3064" w:rsidRPr="008D659D" w:rsidRDefault="00C35629" w:rsidP="00D54D11">
      <w:pPr>
        <w:pStyle w:val="BodyText"/>
        <w:widowControl/>
        <w:spacing w:line="360" w:lineRule="auto"/>
        <w:ind w:left="0"/>
        <w:rPr>
          <w:rFonts w:ascii="Century Schoolbook" w:hAnsi="Century Schoolbook"/>
        </w:rPr>
      </w:pPr>
      <w:r w:rsidRPr="008D659D">
        <w:rPr>
          <w:rFonts w:ascii="Century Schoolbook" w:hAnsi="Century Schoolbook"/>
        </w:rPr>
        <w:t>case</w:t>
      </w:r>
      <w:r w:rsidR="00244EE9" w:rsidRPr="008D659D">
        <w:rPr>
          <w:rFonts w:ascii="Century Schoolbook" w:hAnsi="Century Schoolbook"/>
        </w:rPr>
        <w:t>—whether “consciously or unconsciously”—by Jenkins’s strong, personal feelings about the need to prosecute the case more aggressively.  (</w:t>
      </w:r>
      <w:r w:rsidR="00244EE9" w:rsidRPr="008D659D">
        <w:rPr>
          <w:rFonts w:ascii="Century Schoolbook" w:hAnsi="Century Schoolbook"/>
          <w:i/>
          <w:iCs/>
        </w:rPr>
        <w:t>Conner</w:t>
      </w:r>
      <w:r w:rsidR="00244EE9" w:rsidRPr="008D659D">
        <w:rPr>
          <w:rFonts w:ascii="Century Schoolbook" w:hAnsi="Century Schoolbook"/>
        </w:rPr>
        <w:t>,</w:t>
      </w:r>
      <w:r w:rsidR="00244EE9" w:rsidRPr="008D659D">
        <w:rPr>
          <w:rFonts w:ascii="Century Schoolbook" w:hAnsi="Century Schoolbook"/>
          <w:i/>
          <w:iCs/>
        </w:rPr>
        <w:t xml:space="preserve"> supra</w:t>
      </w:r>
      <w:r w:rsidR="00244EE9" w:rsidRPr="008D659D">
        <w:rPr>
          <w:rFonts w:ascii="Century Schoolbook" w:hAnsi="Century Schoolbook"/>
        </w:rPr>
        <w:t>, 34 Cal.3d at p. 149.)</w:t>
      </w:r>
    </w:p>
    <w:p w14:paraId="64C7FE2F" w14:textId="262EBC55" w:rsidR="00854682" w:rsidRPr="008D659D" w:rsidRDefault="00854682" w:rsidP="001945FA">
      <w:pPr>
        <w:pStyle w:val="BodyText"/>
        <w:widowControl/>
        <w:spacing w:line="360" w:lineRule="auto"/>
        <w:ind w:left="0" w:firstLine="720"/>
        <w:rPr>
          <w:rFonts w:ascii="Century Schoolbook" w:hAnsi="Century Schoolbook"/>
        </w:rPr>
      </w:pPr>
      <w:r w:rsidRPr="008D659D">
        <w:rPr>
          <w:rFonts w:ascii="Century Schoolbook" w:hAnsi="Century Schoolbook"/>
        </w:rPr>
        <w:t xml:space="preserve">Second, the absence of evidence that </w:t>
      </w:r>
      <w:r w:rsidR="0009335C" w:rsidRPr="008D659D">
        <w:rPr>
          <w:rFonts w:ascii="Century Schoolbook" w:hAnsi="Century Schoolbook"/>
        </w:rPr>
        <w:t>any ADAs</w:t>
      </w:r>
      <w:r w:rsidRPr="008D659D">
        <w:rPr>
          <w:rFonts w:ascii="Century Schoolbook" w:hAnsi="Century Schoolbook"/>
        </w:rPr>
        <w:t xml:space="preserve"> had treated Mitchell or Pomar differently due to Jenkins’s conflict does not compel a contrary conclusion.</w:t>
      </w:r>
      <w:r w:rsidR="00F32360" w:rsidRPr="008D659D">
        <w:rPr>
          <w:rFonts w:ascii="Century Schoolbook" w:hAnsi="Century Schoolbook"/>
        </w:rPr>
        <w:t xml:space="preserve">  </w:t>
      </w:r>
      <w:r w:rsidR="002C5883" w:rsidRPr="008D659D">
        <w:rPr>
          <w:rFonts w:ascii="Century Schoolbook" w:hAnsi="Century Schoolbook"/>
        </w:rPr>
        <w:t>“Section 1424’s standards are ‘</w:t>
      </w:r>
      <w:r w:rsidR="005E6730" w:rsidRPr="008D659D">
        <w:rPr>
          <w:rFonts w:ascii="Century Schoolbook" w:hAnsi="Century Schoolbook"/>
        </w:rPr>
        <w:t>prophylactic</w:t>
      </w:r>
      <w:r w:rsidR="002C5883" w:rsidRPr="008D659D">
        <w:rPr>
          <w:rFonts w:ascii="Century Schoolbook" w:hAnsi="Century Schoolbook"/>
        </w:rPr>
        <w:t>.’ ”  (</w:t>
      </w:r>
      <w:r w:rsidR="002C5883" w:rsidRPr="008D659D">
        <w:rPr>
          <w:rFonts w:ascii="Century Schoolbook" w:hAnsi="Century Schoolbook"/>
          <w:i/>
          <w:iCs/>
        </w:rPr>
        <w:t xml:space="preserve">People v. Trinh </w:t>
      </w:r>
      <w:r w:rsidR="002C5883" w:rsidRPr="008D659D">
        <w:rPr>
          <w:rFonts w:ascii="Century Schoolbook" w:hAnsi="Century Schoolbook"/>
        </w:rPr>
        <w:t>(2014) 59 Cal.4th 216, 231</w:t>
      </w:r>
      <w:r w:rsidR="00C35629" w:rsidRPr="008D659D">
        <w:rPr>
          <w:rFonts w:ascii="Century Schoolbook" w:hAnsi="Century Schoolbook"/>
        </w:rPr>
        <w:t xml:space="preserve"> (</w:t>
      </w:r>
      <w:r w:rsidR="00C35629" w:rsidRPr="008D659D">
        <w:rPr>
          <w:rFonts w:ascii="Century Schoolbook" w:hAnsi="Century Schoolbook"/>
          <w:i/>
          <w:iCs/>
        </w:rPr>
        <w:t>Trinh</w:t>
      </w:r>
      <w:r w:rsidR="00C35629" w:rsidRPr="008D659D">
        <w:rPr>
          <w:rFonts w:ascii="Century Schoolbook" w:hAnsi="Century Schoolbook"/>
        </w:rPr>
        <w:t>)</w:t>
      </w:r>
      <w:r w:rsidR="002C5883" w:rsidRPr="008D659D">
        <w:rPr>
          <w:rFonts w:ascii="Century Schoolbook" w:hAnsi="Century Schoolbook"/>
        </w:rPr>
        <w:t xml:space="preserve">.)  Thus </w:t>
      </w:r>
      <w:r w:rsidR="00F32360" w:rsidRPr="008D659D">
        <w:rPr>
          <w:rFonts w:ascii="Century Schoolbook" w:hAnsi="Century Schoolbook"/>
        </w:rPr>
        <w:t>“</w:t>
      </w:r>
      <w:r w:rsidR="002C5883" w:rsidRPr="008D659D">
        <w:rPr>
          <w:rFonts w:ascii="Century Schoolbook" w:hAnsi="Century Schoolbook"/>
        </w:rPr>
        <w:t>t</w:t>
      </w:r>
      <w:r w:rsidR="00F32360" w:rsidRPr="008D659D">
        <w:rPr>
          <w:rFonts w:ascii="Century Schoolbook" w:hAnsi="Century Schoolbook"/>
        </w:rPr>
        <w:t>he standard for disqualification does not require evidence that [the district attorney] actually directed, influenced, or pressured” the ADAs prosecuting the two cases.  (</w:t>
      </w:r>
      <w:r w:rsidR="00F32360" w:rsidRPr="008D659D">
        <w:rPr>
          <w:rFonts w:ascii="Century Schoolbook" w:hAnsi="Century Schoolbook"/>
          <w:i/>
          <w:iCs/>
        </w:rPr>
        <w:t>Schumb</w:t>
      </w:r>
      <w:r w:rsidR="00F32360" w:rsidRPr="008D659D">
        <w:rPr>
          <w:rFonts w:ascii="Century Schoolbook" w:hAnsi="Century Schoolbook"/>
        </w:rPr>
        <w:t xml:space="preserve">, </w:t>
      </w:r>
      <w:r w:rsidR="00F32360" w:rsidRPr="008D659D">
        <w:rPr>
          <w:rFonts w:ascii="Century Schoolbook" w:hAnsi="Century Schoolbook"/>
          <w:i/>
          <w:iCs/>
        </w:rPr>
        <w:t>supra</w:t>
      </w:r>
      <w:r w:rsidR="00F32360" w:rsidRPr="008D659D">
        <w:rPr>
          <w:rFonts w:ascii="Century Schoolbook" w:hAnsi="Century Schoolbook"/>
        </w:rPr>
        <w:t>, 64 Cal.App.5th at p. 985.)</w:t>
      </w:r>
    </w:p>
    <w:p w14:paraId="799F0C9C" w14:textId="7D415504" w:rsidR="00854682" w:rsidRPr="008D659D" w:rsidRDefault="00854682" w:rsidP="001945FA">
      <w:pPr>
        <w:pStyle w:val="BodyText"/>
        <w:widowControl/>
        <w:spacing w:line="360" w:lineRule="auto"/>
        <w:ind w:left="0" w:firstLine="720"/>
        <w:rPr>
          <w:rFonts w:ascii="Century Schoolbook" w:hAnsi="Century Schoolbook"/>
        </w:rPr>
      </w:pPr>
      <w:r w:rsidRPr="008D659D">
        <w:rPr>
          <w:rFonts w:ascii="Century Schoolbook" w:hAnsi="Century Schoolbook"/>
        </w:rPr>
        <w:lastRenderedPageBreak/>
        <w:t xml:space="preserve">Third, the fact that </w:t>
      </w:r>
      <w:r w:rsidR="0009335C" w:rsidRPr="008D659D">
        <w:rPr>
          <w:rFonts w:ascii="Century Schoolbook" w:hAnsi="Century Schoolbook"/>
        </w:rPr>
        <w:t xml:space="preserve">elected </w:t>
      </w:r>
      <w:r w:rsidRPr="008D659D">
        <w:rPr>
          <w:rFonts w:ascii="Century Schoolbook" w:hAnsi="Century Schoolbook"/>
        </w:rPr>
        <w:t xml:space="preserve">district attorneys often make “public statements about particular cases” does not help the People here.  The public statements made by Jenkins about </w:t>
      </w:r>
      <w:r w:rsidR="00F32360" w:rsidRPr="008D659D">
        <w:rPr>
          <w:rFonts w:ascii="Century Schoolbook" w:hAnsi="Century Schoolbook"/>
        </w:rPr>
        <w:t>t</w:t>
      </w:r>
      <w:r w:rsidRPr="008D659D">
        <w:rPr>
          <w:rFonts w:ascii="Century Schoolbook" w:hAnsi="Century Schoolbook"/>
        </w:rPr>
        <w:t xml:space="preserve">he Mallory and Pomar/Young cases are </w:t>
      </w:r>
      <w:r w:rsidR="002C5883" w:rsidRPr="008D659D">
        <w:rPr>
          <w:rFonts w:ascii="Century Schoolbook" w:hAnsi="Century Schoolbook"/>
        </w:rPr>
        <w:t xml:space="preserve">qualitatively </w:t>
      </w:r>
      <w:r w:rsidR="00244EE9" w:rsidRPr="008D659D">
        <w:rPr>
          <w:rFonts w:ascii="Century Schoolbook" w:hAnsi="Century Schoolbook"/>
        </w:rPr>
        <w:t xml:space="preserve">and substantively </w:t>
      </w:r>
      <w:r w:rsidRPr="008D659D">
        <w:rPr>
          <w:rFonts w:ascii="Century Schoolbook" w:hAnsi="Century Schoolbook"/>
        </w:rPr>
        <w:t xml:space="preserve">different </w:t>
      </w:r>
      <w:r w:rsidR="008A40B6" w:rsidRPr="008D659D">
        <w:rPr>
          <w:rFonts w:ascii="Century Schoolbook" w:hAnsi="Century Schoolbook"/>
        </w:rPr>
        <w:t>from</w:t>
      </w:r>
      <w:r w:rsidRPr="008D659D">
        <w:rPr>
          <w:rFonts w:ascii="Century Schoolbook" w:hAnsi="Century Schoolbook"/>
        </w:rPr>
        <w:t xml:space="preserve"> the public statements typically made by district attorneys about a </w:t>
      </w:r>
      <w:r w:rsidR="003E1F62" w:rsidRPr="008D659D">
        <w:rPr>
          <w:rFonts w:ascii="Century Schoolbook" w:hAnsi="Century Schoolbook"/>
        </w:rPr>
        <w:t xml:space="preserve">particular </w:t>
      </w:r>
      <w:r w:rsidRPr="008D659D">
        <w:rPr>
          <w:rFonts w:ascii="Century Schoolbook" w:hAnsi="Century Schoolbook"/>
        </w:rPr>
        <w:t xml:space="preserve">case.  </w:t>
      </w:r>
      <w:r w:rsidR="003E1F62" w:rsidRPr="008D659D">
        <w:rPr>
          <w:rFonts w:ascii="Century Schoolbook" w:hAnsi="Century Schoolbook"/>
        </w:rPr>
        <w:t>For example, d</w:t>
      </w:r>
      <w:r w:rsidRPr="008D659D">
        <w:rPr>
          <w:rFonts w:ascii="Century Schoolbook" w:hAnsi="Century Schoolbook"/>
        </w:rPr>
        <w:t xml:space="preserve">istrict attorneys do not typically </w:t>
      </w:r>
      <w:r w:rsidR="003E1F62" w:rsidRPr="008D659D">
        <w:rPr>
          <w:rFonts w:ascii="Century Schoolbook" w:hAnsi="Century Schoolbook"/>
        </w:rPr>
        <w:t xml:space="preserve">emphasize their </w:t>
      </w:r>
      <w:r w:rsidR="00244EE9" w:rsidRPr="008D659D">
        <w:rPr>
          <w:rFonts w:ascii="Century Schoolbook" w:hAnsi="Century Schoolbook"/>
        </w:rPr>
        <w:t xml:space="preserve">own close and </w:t>
      </w:r>
      <w:r w:rsidR="003E1F62" w:rsidRPr="008D659D">
        <w:rPr>
          <w:rFonts w:ascii="Century Schoolbook" w:hAnsi="Century Schoolbook"/>
        </w:rPr>
        <w:t xml:space="preserve">personal connection to a </w:t>
      </w:r>
      <w:r w:rsidR="00244EE9" w:rsidRPr="008D659D">
        <w:rPr>
          <w:rFonts w:ascii="Century Schoolbook" w:hAnsi="Century Schoolbook"/>
        </w:rPr>
        <w:t xml:space="preserve">particular case </w:t>
      </w:r>
      <w:r w:rsidR="002C5883" w:rsidRPr="008D659D">
        <w:rPr>
          <w:rFonts w:ascii="Century Schoolbook" w:hAnsi="Century Schoolbook"/>
        </w:rPr>
        <w:t>as</w:t>
      </w:r>
      <w:r w:rsidR="003E1F62" w:rsidRPr="008D659D">
        <w:rPr>
          <w:rFonts w:ascii="Century Schoolbook" w:hAnsi="Century Schoolbook"/>
        </w:rPr>
        <w:t xml:space="preserve"> Jenkins did</w:t>
      </w:r>
      <w:r w:rsidR="002C5883" w:rsidRPr="008D659D">
        <w:rPr>
          <w:rFonts w:ascii="Century Schoolbook" w:hAnsi="Century Schoolbook"/>
        </w:rPr>
        <w:t xml:space="preserve"> here</w:t>
      </w:r>
      <w:r w:rsidR="003E1F62" w:rsidRPr="008D659D">
        <w:rPr>
          <w:rFonts w:ascii="Century Schoolbook" w:hAnsi="Century Schoolbook"/>
        </w:rPr>
        <w:t xml:space="preserve">.  More notably, district attorneys do not typically criticize how their ADAs </w:t>
      </w:r>
      <w:r w:rsidR="00244EE9" w:rsidRPr="008D659D">
        <w:rPr>
          <w:rFonts w:ascii="Century Schoolbook" w:hAnsi="Century Schoolbook"/>
        </w:rPr>
        <w:t>are prosecuting</w:t>
      </w:r>
      <w:r w:rsidR="003E1F62" w:rsidRPr="008D659D">
        <w:rPr>
          <w:rFonts w:ascii="Century Schoolbook" w:hAnsi="Century Schoolbook"/>
        </w:rPr>
        <w:t xml:space="preserve"> </w:t>
      </w:r>
      <w:r w:rsidR="0009335C" w:rsidRPr="008D659D">
        <w:rPr>
          <w:rFonts w:ascii="Century Schoolbook" w:hAnsi="Century Schoolbook"/>
        </w:rPr>
        <w:t xml:space="preserve">a </w:t>
      </w:r>
      <w:r w:rsidR="00244EE9" w:rsidRPr="008D659D">
        <w:rPr>
          <w:rFonts w:ascii="Century Schoolbook" w:hAnsi="Century Schoolbook"/>
        </w:rPr>
        <w:t xml:space="preserve">particular </w:t>
      </w:r>
      <w:r w:rsidR="0009335C" w:rsidRPr="008D659D">
        <w:rPr>
          <w:rFonts w:ascii="Century Schoolbook" w:hAnsi="Century Schoolbook"/>
        </w:rPr>
        <w:t>case</w:t>
      </w:r>
      <w:r w:rsidR="003E1F62" w:rsidRPr="008D659D">
        <w:rPr>
          <w:rFonts w:ascii="Century Schoolbook" w:hAnsi="Century Schoolbook"/>
        </w:rPr>
        <w:t xml:space="preserve"> </w:t>
      </w:r>
      <w:r w:rsidR="002C5883" w:rsidRPr="008D659D">
        <w:rPr>
          <w:rFonts w:ascii="Century Schoolbook" w:hAnsi="Century Schoolbook"/>
        </w:rPr>
        <w:t>as</w:t>
      </w:r>
      <w:r w:rsidR="003E1F62" w:rsidRPr="008D659D">
        <w:rPr>
          <w:rFonts w:ascii="Century Schoolbook" w:hAnsi="Century Schoolbook"/>
        </w:rPr>
        <w:t xml:space="preserve"> Jenkins did</w:t>
      </w:r>
      <w:r w:rsidR="002C5883" w:rsidRPr="008D659D">
        <w:rPr>
          <w:rFonts w:ascii="Century Schoolbook" w:hAnsi="Century Schoolbook"/>
        </w:rPr>
        <w:t xml:space="preserve"> here</w:t>
      </w:r>
      <w:r w:rsidR="003E1F62" w:rsidRPr="008D659D">
        <w:rPr>
          <w:rFonts w:ascii="Century Schoolbook" w:hAnsi="Century Schoolbook"/>
        </w:rPr>
        <w:t xml:space="preserve">.  </w:t>
      </w:r>
      <w:r w:rsidR="001800B2" w:rsidRPr="008D659D">
        <w:rPr>
          <w:rFonts w:ascii="Century Schoolbook" w:hAnsi="Century Schoolbook"/>
        </w:rPr>
        <w:t xml:space="preserve">Indeed, </w:t>
      </w:r>
      <w:r w:rsidR="008A40B6" w:rsidRPr="008D659D">
        <w:rPr>
          <w:rFonts w:ascii="Century Schoolbook" w:hAnsi="Century Schoolbook"/>
        </w:rPr>
        <w:t xml:space="preserve">most </w:t>
      </w:r>
      <w:r w:rsidR="001800B2" w:rsidRPr="008D659D">
        <w:rPr>
          <w:rFonts w:ascii="Century Schoolbook" w:hAnsi="Century Schoolbook"/>
        </w:rPr>
        <w:t>district attorneys presumably do not</w:t>
      </w:r>
      <w:r w:rsidR="00646CF0" w:rsidRPr="008D659D">
        <w:rPr>
          <w:rFonts w:ascii="Century Schoolbook" w:hAnsi="Century Schoolbook"/>
        </w:rPr>
        <w:t xml:space="preserve"> ever</w:t>
      </w:r>
      <w:r w:rsidR="001800B2" w:rsidRPr="008D659D">
        <w:rPr>
          <w:rFonts w:ascii="Century Schoolbook" w:hAnsi="Century Schoolbook"/>
        </w:rPr>
        <w:t xml:space="preserve"> </w:t>
      </w:r>
      <w:r w:rsidR="00646CF0" w:rsidRPr="008D659D">
        <w:rPr>
          <w:rFonts w:ascii="Century Schoolbook" w:hAnsi="Century Schoolbook"/>
        </w:rPr>
        <w:t>state, much less suggest,</w:t>
      </w:r>
      <w:r w:rsidR="001800B2" w:rsidRPr="008D659D">
        <w:rPr>
          <w:rFonts w:ascii="Century Schoolbook" w:hAnsi="Century Schoolbook"/>
        </w:rPr>
        <w:t xml:space="preserve"> that </w:t>
      </w:r>
      <w:r w:rsidR="00646CF0" w:rsidRPr="008D659D">
        <w:rPr>
          <w:rFonts w:ascii="Century Schoolbook" w:hAnsi="Century Schoolbook"/>
        </w:rPr>
        <w:t xml:space="preserve">their prosecution of a case is doomed by their charging decisions as Jenkins did here.  </w:t>
      </w:r>
      <w:r w:rsidR="00853250" w:rsidRPr="008D659D">
        <w:rPr>
          <w:rFonts w:ascii="Century Schoolbook" w:hAnsi="Century Schoolbook"/>
        </w:rPr>
        <w:t>In any event, the trial court</w:t>
      </w:r>
      <w:r w:rsidR="00244EE9" w:rsidRPr="008D659D">
        <w:rPr>
          <w:rFonts w:ascii="Century Schoolbook" w:hAnsi="Century Schoolbook"/>
        </w:rPr>
        <w:t xml:space="preserve"> is</w:t>
      </w:r>
      <w:r w:rsidR="00853250" w:rsidRPr="008D659D">
        <w:rPr>
          <w:rFonts w:ascii="Century Schoolbook" w:hAnsi="Century Schoolbook"/>
        </w:rPr>
        <w:t xml:space="preserve"> “best positioned to determine” whether Jenkins’s public statements were likely to deprive Mitchell and Pomar of a fair trial, </w:t>
      </w:r>
      <w:r w:rsidR="00200F5E" w:rsidRPr="008D659D">
        <w:rPr>
          <w:rFonts w:ascii="Century Schoolbook" w:hAnsi="Century Schoolbook"/>
        </w:rPr>
        <w:t xml:space="preserve">and </w:t>
      </w:r>
      <w:r w:rsidR="00853250" w:rsidRPr="008D659D">
        <w:rPr>
          <w:rFonts w:ascii="Century Schoolbook" w:hAnsi="Century Schoolbook"/>
        </w:rPr>
        <w:t>we will not “substitute our judgment for that of a trial court familiar with the social, legal, and political dynamics of” San Francisco.  (</w:t>
      </w:r>
      <w:r w:rsidR="00853250" w:rsidRPr="008D659D">
        <w:rPr>
          <w:rFonts w:ascii="Century Schoolbook" w:hAnsi="Century Schoolbook"/>
          <w:i/>
          <w:iCs/>
        </w:rPr>
        <w:t>Lastra</w:t>
      </w:r>
      <w:r w:rsidR="00853250" w:rsidRPr="008D659D">
        <w:rPr>
          <w:rFonts w:ascii="Century Schoolbook" w:hAnsi="Century Schoolbook"/>
        </w:rPr>
        <w:t xml:space="preserve">, </w:t>
      </w:r>
      <w:r w:rsidR="00853250" w:rsidRPr="008D659D">
        <w:rPr>
          <w:rFonts w:ascii="Century Schoolbook" w:hAnsi="Century Schoolbook"/>
          <w:i/>
          <w:iCs/>
        </w:rPr>
        <w:t>supra</w:t>
      </w:r>
      <w:r w:rsidR="00853250" w:rsidRPr="008D659D">
        <w:rPr>
          <w:rFonts w:ascii="Century Schoolbook" w:hAnsi="Century Schoolbook"/>
        </w:rPr>
        <w:t>, 83 Cal.App.</w:t>
      </w:r>
      <w:r w:rsidR="001B79DB" w:rsidRPr="008D659D">
        <w:rPr>
          <w:rFonts w:ascii="Century Schoolbook" w:hAnsi="Century Schoolbook"/>
        </w:rPr>
        <w:t>5</w:t>
      </w:r>
      <w:r w:rsidR="00853250" w:rsidRPr="008D659D">
        <w:rPr>
          <w:rFonts w:ascii="Century Schoolbook" w:hAnsi="Century Schoolbook"/>
        </w:rPr>
        <w:t>th at p. 823.)</w:t>
      </w:r>
    </w:p>
    <w:p w14:paraId="73378250" w14:textId="7FE0E9AA" w:rsidR="00284B15" w:rsidRPr="008D659D" w:rsidRDefault="00284B15" w:rsidP="001945FA">
      <w:pPr>
        <w:pStyle w:val="BodyText"/>
        <w:widowControl/>
        <w:spacing w:line="360" w:lineRule="auto"/>
        <w:ind w:left="0" w:firstLine="720"/>
        <w:rPr>
          <w:rFonts w:ascii="Century Schoolbook" w:hAnsi="Century Schoolbook"/>
        </w:rPr>
      </w:pPr>
      <w:r w:rsidRPr="008D659D">
        <w:rPr>
          <w:rFonts w:ascii="Century Schoolbook" w:hAnsi="Century Schoolbook"/>
        </w:rPr>
        <w:t xml:space="preserve">Fourth, the People’s </w:t>
      </w:r>
      <w:r w:rsidR="00244EE9" w:rsidRPr="008D659D">
        <w:rPr>
          <w:rFonts w:ascii="Century Schoolbook" w:hAnsi="Century Schoolbook"/>
        </w:rPr>
        <w:t>claim</w:t>
      </w:r>
      <w:r w:rsidRPr="008D659D">
        <w:rPr>
          <w:rFonts w:ascii="Century Schoolbook" w:hAnsi="Century Schoolbook"/>
        </w:rPr>
        <w:t xml:space="preserve"> that the trial court improperly relied upon the Office’s desire to have “another</w:t>
      </w:r>
      <w:r w:rsidR="001B79DB" w:rsidRPr="008D659D">
        <w:rPr>
          <w:rFonts w:ascii="Century Schoolbook" w:hAnsi="Century Schoolbook"/>
        </w:rPr>
        <w:t xml:space="preserve"> . . .</w:t>
      </w:r>
      <w:r w:rsidRPr="008D659D">
        <w:rPr>
          <w:rFonts w:ascii="Century Schoolbook" w:hAnsi="Century Schoolbook"/>
        </w:rPr>
        <w:t xml:space="preserve"> prosecute the case” </w:t>
      </w:r>
      <w:r w:rsidR="00EA5163" w:rsidRPr="008D659D">
        <w:rPr>
          <w:rFonts w:ascii="Century Schoolbook" w:hAnsi="Century Schoolbook"/>
        </w:rPr>
        <w:t>is unfounded</w:t>
      </w:r>
      <w:r w:rsidRPr="008D659D">
        <w:rPr>
          <w:rFonts w:ascii="Century Schoolbook" w:hAnsi="Century Schoolbook"/>
        </w:rPr>
        <w:t>.</w:t>
      </w:r>
      <w:r w:rsidR="00EA5163" w:rsidRPr="008D659D">
        <w:rPr>
          <w:rFonts w:ascii="Century Schoolbook" w:hAnsi="Century Schoolbook"/>
        </w:rPr>
        <w:t xml:space="preserve">  The court merely cited the Office’s failure to oppose the recusal motion as one of four reasons why </w:t>
      </w:r>
      <w:r w:rsidR="00EA5163" w:rsidRPr="008D659D">
        <w:rPr>
          <w:rFonts w:ascii="Century Schoolbook" w:hAnsi="Century Schoolbook"/>
          <w:i/>
          <w:iCs/>
        </w:rPr>
        <w:t>Melcher</w:t>
      </w:r>
      <w:r w:rsidR="00EA5163" w:rsidRPr="008D659D">
        <w:rPr>
          <w:rFonts w:ascii="Century Schoolbook" w:hAnsi="Century Schoolbook"/>
        </w:rPr>
        <w:t xml:space="preserve">, </w:t>
      </w:r>
      <w:r w:rsidR="00EA5163" w:rsidRPr="008D659D">
        <w:rPr>
          <w:rFonts w:ascii="Century Schoolbook" w:hAnsi="Century Schoolbook"/>
          <w:i/>
          <w:iCs/>
        </w:rPr>
        <w:t>supra</w:t>
      </w:r>
      <w:r w:rsidR="00EA5163" w:rsidRPr="008D659D">
        <w:rPr>
          <w:rFonts w:ascii="Century Schoolbook" w:hAnsi="Century Schoolbook"/>
        </w:rPr>
        <w:t>, 10 Cal.App.5th 160, was “distinguishable from our present situation.”</w:t>
      </w:r>
      <w:r w:rsidRPr="008D659D">
        <w:rPr>
          <w:rFonts w:ascii="Century Schoolbook" w:hAnsi="Century Schoolbook"/>
        </w:rPr>
        <w:t xml:space="preserve"> </w:t>
      </w:r>
      <w:r w:rsidR="00180E92" w:rsidRPr="008D659D">
        <w:rPr>
          <w:rFonts w:ascii="Century Schoolbook" w:hAnsi="Century Schoolbook"/>
        </w:rPr>
        <w:t xml:space="preserve"> Even if th</w:t>
      </w:r>
      <w:r w:rsidR="005F6F5C" w:rsidRPr="008D659D">
        <w:rPr>
          <w:rFonts w:ascii="Century Schoolbook" w:hAnsi="Century Schoolbook"/>
        </w:rPr>
        <w:t>at</w:t>
      </w:r>
      <w:r w:rsidR="00180E92" w:rsidRPr="008D659D">
        <w:rPr>
          <w:rFonts w:ascii="Century Schoolbook" w:hAnsi="Century Schoolbook"/>
        </w:rPr>
        <w:t xml:space="preserve"> distinction </w:t>
      </w:r>
      <w:r w:rsidR="00244EE9" w:rsidRPr="008D659D">
        <w:rPr>
          <w:rFonts w:ascii="Century Schoolbook" w:hAnsi="Century Schoolbook"/>
        </w:rPr>
        <w:t>i</w:t>
      </w:r>
      <w:r w:rsidR="00180E92" w:rsidRPr="008D659D">
        <w:rPr>
          <w:rFonts w:ascii="Century Schoolbook" w:hAnsi="Century Schoolbook"/>
        </w:rPr>
        <w:t xml:space="preserve">s not </w:t>
      </w:r>
      <w:r w:rsidR="005F6F5C" w:rsidRPr="008D659D">
        <w:rPr>
          <w:rFonts w:ascii="Century Schoolbook" w:hAnsi="Century Schoolbook"/>
        </w:rPr>
        <w:t>relevant</w:t>
      </w:r>
      <w:r w:rsidR="00180E92" w:rsidRPr="008D659D">
        <w:rPr>
          <w:rFonts w:ascii="Century Schoolbook" w:hAnsi="Century Schoolbook"/>
        </w:rPr>
        <w:t xml:space="preserve">, it does not establish that the court </w:t>
      </w:r>
      <w:r w:rsidR="005F6F5C" w:rsidRPr="008D659D">
        <w:rPr>
          <w:rFonts w:ascii="Century Schoolbook" w:hAnsi="Century Schoolbook"/>
        </w:rPr>
        <w:t>considered</w:t>
      </w:r>
      <w:r w:rsidR="00180E92" w:rsidRPr="008D659D">
        <w:rPr>
          <w:rFonts w:ascii="Century Schoolbook" w:hAnsi="Century Schoolbook"/>
        </w:rPr>
        <w:t xml:space="preserve"> an improper factor in granting the recusal </w:t>
      </w:r>
      <w:r w:rsidR="00841048" w:rsidRPr="008D659D">
        <w:rPr>
          <w:rFonts w:ascii="Century Schoolbook" w:hAnsi="Century Schoolbook"/>
        </w:rPr>
        <w:t>motions</w:t>
      </w:r>
      <w:r w:rsidR="00180E92" w:rsidRPr="008D659D">
        <w:rPr>
          <w:rFonts w:ascii="Century Schoolbook" w:hAnsi="Century Schoolbook"/>
        </w:rPr>
        <w:t>.</w:t>
      </w:r>
      <w:r w:rsidR="005F6F5C" w:rsidRPr="008D659D">
        <w:rPr>
          <w:rFonts w:ascii="Century Schoolbook" w:hAnsi="Century Schoolbook"/>
        </w:rPr>
        <w:t xml:space="preserve">  Indeed, there is nothing in the record to suggest that the court relied upon the Office’s lack of opposition as evidence that ADAs “were reasonably likely to be improperly influenced by Jenkins’s statements about the case.” </w:t>
      </w:r>
    </w:p>
    <w:p w14:paraId="6986E79F" w14:textId="705243C3" w:rsidR="001945FA" w:rsidRPr="008D659D" w:rsidRDefault="00854682" w:rsidP="001945FA">
      <w:pPr>
        <w:pStyle w:val="BodyText"/>
        <w:widowControl/>
        <w:spacing w:line="360" w:lineRule="auto"/>
        <w:ind w:left="0" w:firstLine="720"/>
        <w:rPr>
          <w:rFonts w:ascii="Century Schoolbook" w:hAnsi="Century Schoolbook"/>
        </w:rPr>
      </w:pPr>
      <w:r w:rsidRPr="008D659D">
        <w:rPr>
          <w:rFonts w:ascii="Century Schoolbook" w:hAnsi="Century Schoolbook"/>
        </w:rPr>
        <w:t xml:space="preserve">Finally, the cases </w:t>
      </w:r>
      <w:r w:rsidR="00646CF0" w:rsidRPr="008D659D">
        <w:rPr>
          <w:rFonts w:ascii="Century Schoolbook" w:hAnsi="Century Schoolbook"/>
        </w:rPr>
        <w:t>that</w:t>
      </w:r>
      <w:r w:rsidRPr="008D659D">
        <w:rPr>
          <w:rFonts w:ascii="Century Schoolbook" w:hAnsi="Century Schoolbook"/>
        </w:rPr>
        <w:t xml:space="preserve"> the People </w:t>
      </w:r>
      <w:r w:rsidR="00646CF0" w:rsidRPr="008D659D">
        <w:rPr>
          <w:rFonts w:ascii="Century Schoolbook" w:hAnsi="Century Schoolbook"/>
        </w:rPr>
        <w:t xml:space="preserve">rely heavily upon </w:t>
      </w:r>
      <w:r w:rsidRPr="008D659D">
        <w:rPr>
          <w:rFonts w:ascii="Century Schoolbook" w:hAnsi="Century Schoolbook"/>
        </w:rPr>
        <w:t xml:space="preserve">are </w:t>
      </w:r>
      <w:r w:rsidR="00841048" w:rsidRPr="008D659D">
        <w:rPr>
          <w:rFonts w:ascii="Century Schoolbook" w:hAnsi="Century Schoolbook"/>
        </w:rPr>
        <w:t>inapposite</w:t>
      </w:r>
      <w:r w:rsidRPr="008D659D">
        <w:rPr>
          <w:rFonts w:ascii="Century Schoolbook" w:hAnsi="Century Schoolbook"/>
        </w:rPr>
        <w:t xml:space="preserve">.  </w:t>
      </w:r>
      <w:r w:rsidR="0009335C" w:rsidRPr="008D659D">
        <w:rPr>
          <w:rFonts w:ascii="Century Schoolbook" w:hAnsi="Century Schoolbook"/>
        </w:rPr>
        <w:t xml:space="preserve">Neither </w:t>
      </w:r>
      <w:r w:rsidR="0009335C" w:rsidRPr="008D659D">
        <w:rPr>
          <w:rFonts w:ascii="Century Schoolbook" w:hAnsi="Century Schoolbook"/>
          <w:i/>
          <w:iCs/>
        </w:rPr>
        <w:t>Bell</w:t>
      </w:r>
      <w:r w:rsidR="0009335C" w:rsidRPr="008D659D">
        <w:rPr>
          <w:rFonts w:ascii="Century Schoolbook" w:hAnsi="Century Schoolbook"/>
        </w:rPr>
        <w:t xml:space="preserve">, </w:t>
      </w:r>
      <w:r w:rsidR="0009335C" w:rsidRPr="008D659D">
        <w:rPr>
          <w:rFonts w:ascii="Century Schoolbook" w:hAnsi="Century Schoolbook"/>
          <w:i/>
          <w:iCs/>
        </w:rPr>
        <w:t>supra</w:t>
      </w:r>
      <w:r w:rsidR="0009335C" w:rsidRPr="008D659D">
        <w:rPr>
          <w:rFonts w:ascii="Century Schoolbook" w:hAnsi="Century Schoolbook"/>
        </w:rPr>
        <w:t>, 7 Cal.</w:t>
      </w:r>
      <w:r w:rsidR="00824CDB" w:rsidRPr="008D659D">
        <w:rPr>
          <w:rFonts w:ascii="Century Schoolbook" w:hAnsi="Century Schoolbook"/>
        </w:rPr>
        <w:t>5</w:t>
      </w:r>
      <w:r w:rsidR="0009335C" w:rsidRPr="008D659D">
        <w:rPr>
          <w:rFonts w:ascii="Century Schoolbook" w:hAnsi="Century Schoolbook"/>
        </w:rPr>
        <w:t>th 70,</w:t>
      </w:r>
      <w:r w:rsidR="0009335C" w:rsidRPr="008D659D">
        <w:rPr>
          <w:rFonts w:ascii="Century Schoolbook" w:hAnsi="Century Schoolbook"/>
          <w:i/>
          <w:iCs/>
        </w:rPr>
        <w:t xml:space="preserve"> </w:t>
      </w:r>
      <w:r w:rsidR="0009335C" w:rsidRPr="008D659D">
        <w:rPr>
          <w:rFonts w:ascii="Century Schoolbook" w:hAnsi="Century Schoolbook"/>
        </w:rPr>
        <w:t xml:space="preserve">nor </w:t>
      </w:r>
      <w:r w:rsidR="0009335C" w:rsidRPr="008D659D">
        <w:rPr>
          <w:rFonts w:ascii="Century Schoolbook" w:hAnsi="Century Schoolbook"/>
          <w:i/>
          <w:iCs/>
        </w:rPr>
        <w:t xml:space="preserve">People v. Petrisca </w:t>
      </w:r>
      <w:r w:rsidR="0009335C" w:rsidRPr="008D659D">
        <w:rPr>
          <w:rFonts w:ascii="Century Schoolbook" w:hAnsi="Century Schoolbook"/>
        </w:rPr>
        <w:t xml:space="preserve">(2006) 138 </w:t>
      </w:r>
      <w:r w:rsidR="0009335C" w:rsidRPr="008D659D">
        <w:rPr>
          <w:rFonts w:ascii="Century Schoolbook" w:hAnsi="Century Schoolbook"/>
        </w:rPr>
        <w:lastRenderedPageBreak/>
        <w:t>Cal.App.4th 189</w:t>
      </w:r>
      <w:r w:rsidR="00284B15" w:rsidRPr="008D659D">
        <w:rPr>
          <w:rFonts w:ascii="Century Schoolbook" w:hAnsi="Century Schoolbook"/>
        </w:rPr>
        <w:t xml:space="preserve"> (</w:t>
      </w:r>
      <w:r w:rsidR="00284B15" w:rsidRPr="008D659D">
        <w:rPr>
          <w:rFonts w:ascii="Century Schoolbook" w:hAnsi="Century Schoolbook"/>
          <w:i/>
          <w:iCs/>
        </w:rPr>
        <w:t>Petrisca</w:t>
      </w:r>
      <w:r w:rsidR="00284B15" w:rsidRPr="008D659D">
        <w:rPr>
          <w:rFonts w:ascii="Century Schoolbook" w:hAnsi="Century Schoolbook"/>
        </w:rPr>
        <w:t>)</w:t>
      </w:r>
      <w:r w:rsidR="0009335C" w:rsidRPr="008D659D">
        <w:rPr>
          <w:rFonts w:ascii="Century Schoolbook" w:hAnsi="Century Schoolbook"/>
        </w:rPr>
        <w:t xml:space="preserve">, </w:t>
      </w:r>
      <w:r w:rsidR="00284B15" w:rsidRPr="008D659D">
        <w:rPr>
          <w:rFonts w:ascii="Century Schoolbook" w:hAnsi="Century Schoolbook"/>
        </w:rPr>
        <w:t>involved the conflict of a</w:t>
      </w:r>
      <w:r w:rsidR="00841048" w:rsidRPr="008D659D">
        <w:rPr>
          <w:rFonts w:ascii="Century Schoolbook" w:hAnsi="Century Schoolbook"/>
        </w:rPr>
        <w:t>n elected</w:t>
      </w:r>
      <w:r w:rsidR="00284B15" w:rsidRPr="008D659D">
        <w:rPr>
          <w:rFonts w:ascii="Century Schoolbook" w:hAnsi="Century Schoolbook"/>
        </w:rPr>
        <w:t xml:space="preserve"> district attorney with broad authority to fire, hire, promote, and demote the ADAs prosecuting the case.  Nor did </w:t>
      </w:r>
      <w:r w:rsidR="00284B15" w:rsidRPr="008D659D">
        <w:rPr>
          <w:rFonts w:ascii="Century Schoolbook" w:hAnsi="Century Schoolbook"/>
          <w:i/>
          <w:iCs/>
        </w:rPr>
        <w:t xml:space="preserve">Bell </w:t>
      </w:r>
      <w:r w:rsidR="00284B15" w:rsidRPr="008D659D">
        <w:rPr>
          <w:rFonts w:ascii="Century Schoolbook" w:hAnsi="Century Schoolbook"/>
        </w:rPr>
        <w:t xml:space="preserve">or </w:t>
      </w:r>
      <w:r w:rsidR="00284B15" w:rsidRPr="008D659D">
        <w:rPr>
          <w:rFonts w:ascii="Century Schoolbook" w:hAnsi="Century Schoolbook"/>
          <w:i/>
          <w:iCs/>
        </w:rPr>
        <w:t xml:space="preserve">Petrisca </w:t>
      </w:r>
      <w:r w:rsidR="00284B15" w:rsidRPr="008D659D">
        <w:rPr>
          <w:rFonts w:ascii="Century Schoolbook" w:hAnsi="Century Schoolbook"/>
        </w:rPr>
        <w:t xml:space="preserve">consider statements by that district attorney that were </w:t>
      </w:r>
      <w:r w:rsidR="00841048" w:rsidRPr="008D659D">
        <w:rPr>
          <w:rFonts w:ascii="Century Schoolbook" w:hAnsi="Century Schoolbook"/>
        </w:rPr>
        <w:t>widely disseminated</w:t>
      </w:r>
      <w:r w:rsidR="00284B15" w:rsidRPr="008D659D">
        <w:rPr>
          <w:rFonts w:ascii="Century Schoolbook" w:hAnsi="Century Schoolbook"/>
        </w:rPr>
        <w:t xml:space="preserve"> </w:t>
      </w:r>
      <w:r w:rsidR="00841048" w:rsidRPr="008D659D">
        <w:rPr>
          <w:rFonts w:ascii="Century Schoolbook" w:hAnsi="Century Schoolbook"/>
        </w:rPr>
        <w:t>in</w:t>
      </w:r>
      <w:r w:rsidR="00284B15" w:rsidRPr="008D659D">
        <w:rPr>
          <w:rFonts w:ascii="Century Schoolbook" w:hAnsi="Century Schoolbook"/>
        </w:rPr>
        <w:t xml:space="preserve"> the press, that emphasized </w:t>
      </w:r>
      <w:r w:rsidR="005F6F5C" w:rsidRPr="008D659D">
        <w:rPr>
          <w:rFonts w:ascii="Century Schoolbook" w:hAnsi="Century Schoolbook"/>
        </w:rPr>
        <w:t>the district attorney’s</w:t>
      </w:r>
      <w:r w:rsidR="00284B15" w:rsidRPr="008D659D">
        <w:rPr>
          <w:rFonts w:ascii="Century Schoolbook" w:hAnsi="Century Schoolbook"/>
        </w:rPr>
        <w:t xml:space="preserve"> </w:t>
      </w:r>
      <w:r w:rsidR="005F6F5C" w:rsidRPr="008D659D">
        <w:rPr>
          <w:rFonts w:ascii="Century Schoolbook" w:hAnsi="Century Schoolbook"/>
        </w:rPr>
        <w:t xml:space="preserve">strong, </w:t>
      </w:r>
      <w:r w:rsidR="00284B15" w:rsidRPr="008D659D">
        <w:rPr>
          <w:rFonts w:ascii="Century Schoolbook" w:hAnsi="Century Schoolbook"/>
        </w:rPr>
        <w:t xml:space="preserve">personal </w:t>
      </w:r>
      <w:r w:rsidR="005F6F5C" w:rsidRPr="008D659D">
        <w:rPr>
          <w:rFonts w:ascii="Century Schoolbook" w:hAnsi="Century Schoolbook"/>
        </w:rPr>
        <w:t>interest in</w:t>
      </w:r>
      <w:r w:rsidR="00284B15" w:rsidRPr="008D659D">
        <w:rPr>
          <w:rFonts w:ascii="Century Schoolbook" w:hAnsi="Century Schoolbook"/>
        </w:rPr>
        <w:t xml:space="preserve"> the case, and that criticized the </w:t>
      </w:r>
      <w:r w:rsidR="00841048" w:rsidRPr="008D659D">
        <w:rPr>
          <w:rFonts w:ascii="Century Schoolbook" w:hAnsi="Century Schoolbook"/>
        </w:rPr>
        <w:t xml:space="preserve">the Office for </w:t>
      </w:r>
      <w:r w:rsidR="00D96068">
        <w:rPr>
          <w:rFonts w:ascii="Century Schoolbook" w:hAnsi="Century Schoolbook"/>
        </w:rPr>
        <w:t>its</w:t>
      </w:r>
      <w:r w:rsidR="00D96068" w:rsidRPr="008D659D">
        <w:rPr>
          <w:rFonts w:ascii="Century Schoolbook" w:hAnsi="Century Schoolbook"/>
        </w:rPr>
        <w:t xml:space="preserve"> </w:t>
      </w:r>
      <w:r w:rsidR="00841048" w:rsidRPr="008D659D">
        <w:rPr>
          <w:rFonts w:ascii="Century Schoolbook" w:hAnsi="Century Schoolbook"/>
        </w:rPr>
        <w:t>failure to aggressively prosecute the case</w:t>
      </w:r>
      <w:r w:rsidR="00284B15" w:rsidRPr="008D659D">
        <w:rPr>
          <w:rFonts w:ascii="Century Schoolbook" w:hAnsi="Century Schoolbook"/>
        </w:rPr>
        <w:t xml:space="preserve">. </w:t>
      </w:r>
      <w:r w:rsidR="005F6F5C" w:rsidRPr="008D659D">
        <w:rPr>
          <w:rFonts w:ascii="Century Schoolbook" w:hAnsi="Century Schoolbook"/>
        </w:rPr>
        <w:t xml:space="preserve"> Finally, </w:t>
      </w:r>
      <w:r w:rsidR="000F19C6" w:rsidRPr="008D659D">
        <w:rPr>
          <w:rFonts w:ascii="Century Schoolbook" w:hAnsi="Century Schoolbook"/>
        </w:rPr>
        <w:t>both</w:t>
      </w:r>
      <w:r w:rsidR="005F6F5C" w:rsidRPr="008D659D">
        <w:rPr>
          <w:rFonts w:ascii="Century Schoolbook" w:hAnsi="Century Schoolbook"/>
        </w:rPr>
        <w:t xml:space="preserve"> </w:t>
      </w:r>
      <w:r w:rsidR="005F6F5C" w:rsidRPr="008D659D">
        <w:rPr>
          <w:rFonts w:ascii="Century Schoolbook" w:hAnsi="Century Schoolbook"/>
          <w:i/>
          <w:iCs/>
        </w:rPr>
        <w:t xml:space="preserve">Bell </w:t>
      </w:r>
      <w:r w:rsidR="000F19C6" w:rsidRPr="008D659D">
        <w:rPr>
          <w:rFonts w:ascii="Century Schoolbook" w:hAnsi="Century Schoolbook"/>
        </w:rPr>
        <w:t>and</w:t>
      </w:r>
      <w:r w:rsidR="005F6F5C" w:rsidRPr="008D659D">
        <w:rPr>
          <w:rFonts w:ascii="Century Schoolbook" w:hAnsi="Century Schoolbook"/>
        </w:rPr>
        <w:t xml:space="preserve"> </w:t>
      </w:r>
      <w:r w:rsidR="005F6F5C" w:rsidRPr="008D659D">
        <w:rPr>
          <w:rFonts w:ascii="Century Schoolbook" w:hAnsi="Century Schoolbook"/>
          <w:i/>
          <w:iCs/>
        </w:rPr>
        <w:t xml:space="preserve">Petrisca </w:t>
      </w:r>
      <w:r w:rsidR="000F19C6" w:rsidRPr="008D659D">
        <w:rPr>
          <w:rFonts w:ascii="Century Schoolbook" w:hAnsi="Century Schoolbook"/>
        </w:rPr>
        <w:t xml:space="preserve">involved appeals from orders </w:t>
      </w:r>
      <w:r w:rsidR="000F19C6" w:rsidRPr="008D659D">
        <w:rPr>
          <w:rFonts w:ascii="Century Schoolbook" w:hAnsi="Century Schoolbook"/>
          <w:i/>
          <w:iCs/>
        </w:rPr>
        <w:t xml:space="preserve">denying </w:t>
      </w:r>
      <w:r w:rsidR="000F19C6" w:rsidRPr="008D659D">
        <w:rPr>
          <w:rFonts w:ascii="Century Schoolbook" w:hAnsi="Century Schoolbook"/>
        </w:rPr>
        <w:t>recusal.</w:t>
      </w:r>
    </w:p>
    <w:p w14:paraId="49203E7A" w14:textId="660079FB" w:rsidR="001015B2" w:rsidRPr="008D659D" w:rsidRDefault="00646CF0" w:rsidP="001015B2">
      <w:pPr>
        <w:pStyle w:val="BodyText"/>
        <w:widowControl/>
        <w:spacing w:line="360" w:lineRule="auto"/>
        <w:ind w:left="0" w:firstLine="720"/>
        <w:rPr>
          <w:rFonts w:ascii="Century Schoolbook" w:hAnsi="Century Schoolbook"/>
        </w:rPr>
      </w:pPr>
      <w:r w:rsidRPr="008D659D">
        <w:rPr>
          <w:rFonts w:ascii="Century Schoolbook" w:hAnsi="Century Schoolbook"/>
        </w:rPr>
        <w:t xml:space="preserve">That last distinction is especially significant here. </w:t>
      </w:r>
      <w:r w:rsidR="001015B2" w:rsidRPr="008D659D">
        <w:rPr>
          <w:rFonts w:ascii="Century Schoolbook" w:hAnsi="Century Schoolbook"/>
        </w:rPr>
        <w:t xml:space="preserve"> </w:t>
      </w:r>
      <w:r w:rsidRPr="008D659D">
        <w:rPr>
          <w:rFonts w:ascii="Century Schoolbook" w:hAnsi="Century Schoolbook"/>
        </w:rPr>
        <w:t>T</w:t>
      </w:r>
      <w:r w:rsidR="001015B2" w:rsidRPr="008D659D">
        <w:rPr>
          <w:rFonts w:ascii="Century Schoolbook" w:hAnsi="Century Schoolbook"/>
        </w:rPr>
        <w:t>he trial court</w:t>
      </w:r>
      <w:r w:rsidR="00841048" w:rsidRPr="008D659D">
        <w:rPr>
          <w:rFonts w:ascii="Century Schoolbook" w:hAnsi="Century Schoolbook"/>
        </w:rPr>
        <w:t>s in the Mallory and Pomar/Young cases</w:t>
      </w:r>
      <w:r w:rsidR="001015B2" w:rsidRPr="008D659D">
        <w:rPr>
          <w:rFonts w:ascii="Century Schoolbook" w:hAnsi="Century Schoolbook"/>
        </w:rPr>
        <w:t xml:space="preserve"> could have reasonably concluded </w:t>
      </w:r>
      <w:r w:rsidR="005F6F5C" w:rsidRPr="008D659D">
        <w:rPr>
          <w:rFonts w:ascii="Century Schoolbook" w:hAnsi="Century Schoolbook"/>
        </w:rPr>
        <w:t xml:space="preserve">that Jenkins’s conflict was </w:t>
      </w:r>
      <w:r w:rsidR="00841048" w:rsidRPr="008D659D">
        <w:rPr>
          <w:rFonts w:ascii="Century Schoolbook" w:hAnsi="Century Schoolbook"/>
        </w:rPr>
        <w:t>in</w:t>
      </w:r>
      <w:r w:rsidR="005F6F5C" w:rsidRPr="008D659D">
        <w:rPr>
          <w:rFonts w:ascii="Century Schoolbook" w:hAnsi="Century Schoolbook"/>
        </w:rPr>
        <w:t>sufficient to support recusal under section 1424</w:t>
      </w:r>
      <w:r w:rsidR="00841048" w:rsidRPr="008D659D">
        <w:rPr>
          <w:rFonts w:ascii="Century Schoolbook" w:hAnsi="Century Schoolbook"/>
        </w:rPr>
        <w:t xml:space="preserve">. </w:t>
      </w:r>
      <w:r w:rsidR="000F19C6" w:rsidRPr="008D659D">
        <w:rPr>
          <w:rFonts w:ascii="Century Schoolbook" w:hAnsi="Century Schoolbook"/>
        </w:rPr>
        <w:t xml:space="preserve"> </w:t>
      </w:r>
      <w:r w:rsidR="00841048" w:rsidRPr="008D659D">
        <w:rPr>
          <w:rFonts w:ascii="Century Schoolbook" w:hAnsi="Century Schoolbook"/>
        </w:rPr>
        <w:t>B</w:t>
      </w:r>
      <w:r w:rsidR="000F19C6" w:rsidRPr="008D659D">
        <w:rPr>
          <w:rFonts w:ascii="Century Schoolbook" w:hAnsi="Century Schoolbook"/>
        </w:rPr>
        <w:t>ut</w:t>
      </w:r>
      <w:r w:rsidR="001015B2" w:rsidRPr="008D659D">
        <w:rPr>
          <w:rFonts w:ascii="Century Schoolbook" w:hAnsi="Century Schoolbook"/>
        </w:rPr>
        <w:t xml:space="preserve"> </w:t>
      </w:r>
      <w:r w:rsidR="00841048" w:rsidRPr="008D659D">
        <w:rPr>
          <w:rFonts w:ascii="Century Schoolbook" w:hAnsi="Century Schoolbook"/>
        </w:rPr>
        <w:t>they</w:t>
      </w:r>
      <w:r w:rsidR="001015B2" w:rsidRPr="008D659D">
        <w:rPr>
          <w:rFonts w:ascii="Century Schoolbook" w:hAnsi="Century Schoolbook"/>
        </w:rPr>
        <w:t xml:space="preserve"> did not.  (See </w:t>
      </w:r>
      <w:r w:rsidR="001015B2" w:rsidRPr="008D659D">
        <w:rPr>
          <w:rFonts w:ascii="Century Schoolbook" w:hAnsi="Century Schoolbook"/>
          <w:i/>
          <w:iCs/>
        </w:rPr>
        <w:t>Haraguchi</w:t>
      </w:r>
      <w:r w:rsidR="001015B2" w:rsidRPr="008D659D">
        <w:rPr>
          <w:rFonts w:ascii="Century Schoolbook" w:hAnsi="Century Schoolbook"/>
        </w:rPr>
        <w:t xml:space="preserve">, </w:t>
      </w:r>
      <w:r w:rsidR="001015B2" w:rsidRPr="008D659D">
        <w:rPr>
          <w:rFonts w:ascii="Century Schoolbook" w:hAnsi="Century Schoolbook"/>
          <w:i/>
          <w:iCs/>
        </w:rPr>
        <w:t>supra</w:t>
      </w:r>
      <w:r w:rsidR="001015B2" w:rsidRPr="008D659D">
        <w:rPr>
          <w:rFonts w:ascii="Century Schoolbook" w:hAnsi="Century Schoolbook"/>
        </w:rPr>
        <w:t xml:space="preserve">, 43 Cal.4th at p. 717 [it “would not have been an abuse of discretion for the trial court” either to grant or deny the recusal motion under the facts of the case].)  </w:t>
      </w:r>
      <w:r w:rsidR="000F19C6" w:rsidRPr="008D659D">
        <w:rPr>
          <w:rFonts w:ascii="Century Schoolbook" w:hAnsi="Century Schoolbook"/>
        </w:rPr>
        <w:t xml:space="preserve">As our high court has </w:t>
      </w:r>
      <w:r w:rsidR="00841048" w:rsidRPr="008D659D">
        <w:rPr>
          <w:rFonts w:ascii="Century Schoolbook" w:hAnsi="Century Schoolbook"/>
        </w:rPr>
        <w:t>recognized</w:t>
      </w:r>
      <w:r w:rsidR="000F19C6" w:rsidRPr="008D659D">
        <w:rPr>
          <w:rFonts w:ascii="Century Schoolbook" w:hAnsi="Century Schoolbook"/>
        </w:rPr>
        <w:t>, “</w:t>
      </w:r>
      <w:r w:rsidR="005F6F5C" w:rsidRPr="008D659D">
        <w:rPr>
          <w:rFonts w:ascii="Century Schoolbook" w:hAnsi="Century Schoolbook"/>
        </w:rPr>
        <w:t>trial courts are in a better position than appellate courts to assess witness credibility, make findings of fact, and evaluate the consequences of a potential conflict in light of the entirety of a case, a case they inevitably will be more familiar with than the appellate courts that may subsequently encounter the case in the context of a few briefs, a few minutes of oral argument, and a cold and often limited record</w:t>
      </w:r>
      <w:r w:rsidR="000F19C6" w:rsidRPr="008D659D">
        <w:rPr>
          <w:rFonts w:ascii="Century Schoolbook" w:hAnsi="Century Schoolbook"/>
        </w:rPr>
        <w:t>.</w:t>
      </w:r>
      <w:r w:rsidR="005F6F5C" w:rsidRPr="008D659D">
        <w:rPr>
          <w:rFonts w:ascii="Century Schoolbook" w:hAnsi="Century Schoolbook"/>
        </w:rPr>
        <w:t xml:space="preserve">” </w:t>
      </w:r>
      <w:r w:rsidR="000F19C6" w:rsidRPr="008D659D">
        <w:rPr>
          <w:rFonts w:ascii="Century Schoolbook" w:hAnsi="Century Schoolbook"/>
        </w:rPr>
        <w:t xml:space="preserve"> (</w:t>
      </w:r>
      <w:r w:rsidR="000F19C6" w:rsidRPr="008D659D">
        <w:rPr>
          <w:rFonts w:ascii="Century Schoolbook" w:hAnsi="Century Schoolbook"/>
          <w:i/>
          <w:iCs/>
        </w:rPr>
        <w:t xml:space="preserve">Id. </w:t>
      </w:r>
      <w:r w:rsidR="000F19C6" w:rsidRPr="008D659D">
        <w:rPr>
          <w:rFonts w:ascii="Century Schoolbook" w:hAnsi="Century Schoolbook"/>
        </w:rPr>
        <w:t xml:space="preserve">at p. 713.)  Because there is </w:t>
      </w:r>
      <w:r w:rsidR="00841048" w:rsidRPr="008D659D">
        <w:rPr>
          <w:rFonts w:ascii="Century Schoolbook" w:hAnsi="Century Schoolbook"/>
        </w:rPr>
        <w:t xml:space="preserve">more than enough </w:t>
      </w:r>
      <w:r w:rsidR="000F19C6" w:rsidRPr="008D659D">
        <w:rPr>
          <w:rFonts w:ascii="Century Schoolbook" w:hAnsi="Century Schoolbook"/>
        </w:rPr>
        <w:t xml:space="preserve">“credible evidence” </w:t>
      </w:r>
      <w:r w:rsidR="00841048" w:rsidRPr="008D659D">
        <w:rPr>
          <w:rFonts w:ascii="Century Schoolbook" w:hAnsi="Century Schoolbook"/>
        </w:rPr>
        <w:t xml:space="preserve">to </w:t>
      </w:r>
      <w:r w:rsidR="000F19C6" w:rsidRPr="008D659D">
        <w:rPr>
          <w:rFonts w:ascii="Century Schoolbook" w:hAnsi="Century Schoolbook"/>
        </w:rPr>
        <w:t>support the courts</w:t>
      </w:r>
      <w:r w:rsidR="00841048" w:rsidRPr="008D659D">
        <w:rPr>
          <w:rFonts w:ascii="Century Schoolbook" w:hAnsi="Century Schoolbook"/>
        </w:rPr>
        <w:t>’</w:t>
      </w:r>
      <w:r w:rsidR="000F19C6" w:rsidRPr="008D659D">
        <w:rPr>
          <w:rFonts w:ascii="Century Schoolbook" w:hAnsi="Century Schoolbook"/>
        </w:rPr>
        <w:t xml:space="preserve"> findings in these </w:t>
      </w:r>
      <w:r w:rsidR="00841048" w:rsidRPr="008D659D">
        <w:rPr>
          <w:rFonts w:ascii="Century Schoolbook" w:hAnsi="Century Schoolbook"/>
        </w:rPr>
        <w:t xml:space="preserve">two </w:t>
      </w:r>
      <w:r w:rsidR="000F19C6" w:rsidRPr="008D659D">
        <w:rPr>
          <w:rFonts w:ascii="Century Schoolbook" w:hAnsi="Century Schoolbook"/>
        </w:rPr>
        <w:t>cases, “our review is at an end.”  (</w:t>
      </w:r>
      <w:r w:rsidR="000F19C6" w:rsidRPr="008D659D">
        <w:rPr>
          <w:rFonts w:ascii="Century Schoolbook" w:hAnsi="Century Schoolbook"/>
          <w:i/>
          <w:iCs/>
        </w:rPr>
        <w:t>Trinh</w:t>
      </w:r>
      <w:r w:rsidR="000F19C6" w:rsidRPr="008D659D">
        <w:rPr>
          <w:rFonts w:ascii="Century Schoolbook" w:hAnsi="Century Schoolbook"/>
        </w:rPr>
        <w:t xml:space="preserve">, </w:t>
      </w:r>
      <w:r w:rsidR="000F19C6" w:rsidRPr="008D659D">
        <w:rPr>
          <w:rFonts w:ascii="Century Schoolbook" w:hAnsi="Century Schoolbook"/>
          <w:i/>
          <w:iCs/>
        </w:rPr>
        <w:t>supra</w:t>
      </w:r>
      <w:r w:rsidR="000F19C6" w:rsidRPr="008D659D">
        <w:rPr>
          <w:rFonts w:ascii="Century Schoolbook" w:hAnsi="Century Schoolbook"/>
        </w:rPr>
        <w:t>, 59 Cal.4th at p. 231.)</w:t>
      </w:r>
    </w:p>
    <w:p w14:paraId="773135D3" w14:textId="0277A0D6" w:rsidR="0094261C" w:rsidRPr="008D659D" w:rsidRDefault="0094261C" w:rsidP="0094261C">
      <w:pPr>
        <w:pStyle w:val="BodyText"/>
        <w:widowControl/>
        <w:spacing w:line="360" w:lineRule="auto"/>
        <w:ind w:left="0"/>
        <w:jc w:val="center"/>
        <w:rPr>
          <w:rFonts w:ascii="Century Schoolbook" w:hAnsi="Century Schoolbook"/>
          <w:b/>
          <w:bCs/>
        </w:rPr>
      </w:pPr>
      <w:r w:rsidRPr="008D659D">
        <w:rPr>
          <w:rFonts w:ascii="Century Schoolbook" w:hAnsi="Century Schoolbook"/>
          <w:b/>
          <w:bCs/>
        </w:rPr>
        <w:t>DISPOSITION</w:t>
      </w:r>
    </w:p>
    <w:p w14:paraId="2EF631D6" w14:textId="0A5D1FA9" w:rsidR="00D93723" w:rsidRDefault="000534AD" w:rsidP="00D93723">
      <w:pPr>
        <w:pStyle w:val="BodyText"/>
        <w:widowControl/>
        <w:spacing w:line="360" w:lineRule="auto"/>
        <w:ind w:left="0" w:firstLine="720"/>
        <w:rPr>
          <w:rFonts w:ascii="Century Schoolbook" w:hAnsi="Century Schoolbook"/>
        </w:rPr>
      </w:pPr>
      <w:r w:rsidRPr="008D659D">
        <w:rPr>
          <w:rFonts w:ascii="Century Schoolbook" w:hAnsi="Century Schoolbook"/>
        </w:rPr>
        <w:t xml:space="preserve">The recusal orders in the Mallory </w:t>
      </w:r>
      <w:r w:rsidR="00841048" w:rsidRPr="008D659D">
        <w:rPr>
          <w:rFonts w:ascii="Century Schoolbook" w:hAnsi="Century Schoolbook"/>
        </w:rPr>
        <w:t xml:space="preserve">(A67286) </w:t>
      </w:r>
      <w:r w:rsidRPr="008D659D">
        <w:rPr>
          <w:rFonts w:ascii="Century Schoolbook" w:hAnsi="Century Schoolbook"/>
        </w:rPr>
        <w:t xml:space="preserve">and Pomar/Young </w:t>
      </w:r>
      <w:r w:rsidR="00841048" w:rsidRPr="008D659D">
        <w:rPr>
          <w:rFonts w:ascii="Century Schoolbook" w:hAnsi="Century Schoolbook"/>
        </w:rPr>
        <w:t xml:space="preserve">(A167241) </w:t>
      </w:r>
      <w:r w:rsidRPr="008D659D">
        <w:rPr>
          <w:rFonts w:ascii="Century Schoolbook" w:hAnsi="Century Schoolbook"/>
        </w:rPr>
        <w:t>cases are affirmed.</w:t>
      </w:r>
    </w:p>
    <w:p w14:paraId="497E064F" w14:textId="02C4E789" w:rsidR="00D93723" w:rsidRDefault="00D93723" w:rsidP="00D54D11">
      <w:pPr>
        <w:pStyle w:val="BodyText"/>
        <w:widowControl/>
        <w:spacing w:line="360" w:lineRule="auto"/>
        <w:ind w:left="0"/>
        <w:rPr>
          <w:rFonts w:ascii="Century Schoolbook" w:hAnsi="Century Schoolbook"/>
        </w:rPr>
      </w:pPr>
    </w:p>
    <w:p w14:paraId="56F31649" w14:textId="2C56AB12" w:rsidR="00D93723" w:rsidRDefault="00D93723" w:rsidP="00D93723">
      <w:pPr>
        <w:pStyle w:val="BodyText"/>
        <w:widowControl/>
        <w:spacing w:line="360" w:lineRule="auto"/>
        <w:ind w:left="0" w:firstLine="720"/>
        <w:rPr>
          <w:rFonts w:ascii="Century Schoolbook" w:hAnsi="Century Schoolbook"/>
        </w:rPr>
      </w:pPr>
    </w:p>
    <w:p w14:paraId="1BA16A48" w14:textId="77777777" w:rsidR="00BE34AB" w:rsidRPr="00BE34AB" w:rsidRDefault="00BE34AB" w:rsidP="00BE34AB">
      <w:pPr>
        <w:rPr>
          <w:rFonts w:ascii="Century Schoolbook" w:eastAsia="Calibri" w:hAnsi="Century Schoolbook"/>
          <w:sz w:val="26"/>
          <w:szCs w:val="26"/>
        </w:rPr>
      </w:pPr>
    </w:p>
    <w:p w14:paraId="1A7705EE" w14:textId="77777777" w:rsidR="00BE34AB" w:rsidRPr="00BE34AB" w:rsidRDefault="00BE34AB" w:rsidP="00BE34AB">
      <w:pPr>
        <w:rPr>
          <w:rFonts w:ascii="Century Schoolbook" w:eastAsia="Calibri" w:hAnsi="Century Schoolbook"/>
          <w:sz w:val="26"/>
          <w:szCs w:val="26"/>
        </w:rPr>
      </w:pPr>
    </w:p>
    <w:p w14:paraId="632B30A9" w14:textId="77777777" w:rsidR="00BE34AB" w:rsidRPr="00BE34AB" w:rsidRDefault="00BE34AB" w:rsidP="00BE34AB">
      <w:pPr>
        <w:rPr>
          <w:rFonts w:ascii="Century Schoolbook" w:eastAsia="Calibri" w:hAnsi="Century Schoolbook"/>
          <w:sz w:val="26"/>
          <w:szCs w:val="26"/>
        </w:rPr>
      </w:pPr>
    </w:p>
    <w:p w14:paraId="0AF69BE3" w14:textId="77777777" w:rsidR="00BE34AB" w:rsidRPr="00BE34AB" w:rsidRDefault="00BE34AB" w:rsidP="00BE34AB">
      <w:pPr>
        <w:rPr>
          <w:rFonts w:ascii="Century Schoolbook" w:eastAsia="Calibri" w:hAnsi="Century Schoolbook"/>
          <w:sz w:val="26"/>
          <w:szCs w:val="26"/>
        </w:rPr>
      </w:pP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p>
    <w:p w14:paraId="31C71ACC" w14:textId="77777777" w:rsidR="00BE34AB" w:rsidRPr="00BE34AB" w:rsidRDefault="00BE34AB" w:rsidP="00BE34AB">
      <w:pPr>
        <w:rPr>
          <w:rFonts w:ascii="Century Schoolbook" w:eastAsia="Calibri" w:hAnsi="Century Schoolbook"/>
          <w:sz w:val="26"/>
          <w:szCs w:val="26"/>
        </w:rPr>
      </w:pP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rPr>
        <w:tab/>
      </w:r>
      <w:r w:rsidRPr="00BE34AB">
        <w:rPr>
          <w:rFonts w:ascii="Century Schoolbook" w:eastAsia="Calibri" w:hAnsi="Century Schoolbook"/>
          <w:sz w:val="26"/>
          <w:szCs w:val="26"/>
        </w:rPr>
        <w:tab/>
        <w:t>CHOU, J.</w:t>
      </w:r>
    </w:p>
    <w:p w14:paraId="3E5BDAF4" w14:textId="77777777" w:rsidR="00BE34AB" w:rsidRPr="00BE34AB" w:rsidRDefault="00BE34AB" w:rsidP="00BE34AB">
      <w:pPr>
        <w:rPr>
          <w:rFonts w:ascii="Century Schoolbook" w:eastAsia="Calibri" w:hAnsi="Century Schoolbook"/>
          <w:sz w:val="26"/>
          <w:szCs w:val="26"/>
        </w:rPr>
      </w:pPr>
      <w:r w:rsidRPr="00BE34AB">
        <w:rPr>
          <w:rFonts w:ascii="Century Schoolbook" w:eastAsia="Calibri" w:hAnsi="Century Schoolbook"/>
          <w:sz w:val="26"/>
          <w:szCs w:val="26"/>
        </w:rPr>
        <w:t>We concur.</w:t>
      </w:r>
    </w:p>
    <w:p w14:paraId="64EB8A1F" w14:textId="77777777" w:rsidR="00BE34AB" w:rsidRPr="00BE34AB" w:rsidRDefault="00BE34AB" w:rsidP="00BE34AB">
      <w:pPr>
        <w:rPr>
          <w:rFonts w:ascii="Century Schoolbook" w:eastAsia="Calibri" w:hAnsi="Century Schoolbook"/>
          <w:sz w:val="26"/>
          <w:szCs w:val="26"/>
        </w:rPr>
      </w:pPr>
    </w:p>
    <w:p w14:paraId="3B1EAC0A" w14:textId="77777777" w:rsidR="00BE34AB" w:rsidRPr="00BE34AB" w:rsidRDefault="00BE34AB" w:rsidP="00BE34AB">
      <w:pPr>
        <w:rPr>
          <w:rFonts w:ascii="Century Schoolbook" w:eastAsia="Calibri" w:hAnsi="Century Schoolbook"/>
          <w:sz w:val="26"/>
          <w:szCs w:val="26"/>
        </w:rPr>
      </w:pPr>
    </w:p>
    <w:p w14:paraId="22BAE13D" w14:textId="77777777" w:rsidR="00BE34AB" w:rsidRPr="00BE34AB" w:rsidRDefault="00BE34AB" w:rsidP="00BE34AB">
      <w:pPr>
        <w:rPr>
          <w:rFonts w:ascii="Century Schoolbook" w:eastAsia="Calibri" w:hAnsi="Century Schoolbook"/>
          <w:sz w:val="26"/>
          <w:szCs w:val="26"/>
        </w:rPr>
      </w:pP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p>
    <w:p w14:paraId="765FA052" w14:textId="4023C77F" w:rsidR="00BE34AB" w:rsidRPr="00BE34AB" w:rsidRDefault="00BE34AB" w:rsidP="00BE34AB">
      <w:pPr>
        <w:rPr>
          <w:rFonts w:ascii="Century Schoolbook" w:eastAsia="Calibri" w:hAnsi="Century Schoolbook"/>
          <w:sz w:val="26"/>
          <w:szCs w:val="26"/>
        </w:rPr>
      </w:pPr>
      <w:r>
        <w:rPr>
          <w:rFonts w:ascii="Century Schoolbook" w:eastAsia="Calibri" w:hAnsi="Century Schoolbook"/>
          <w:sz w:val="26"/>
          <w:szCs w:val="26"/>
        </w:rPr>
        <w:t>JACKSON</w:t>
      </w:r>
      <w:r w:rsidRPr="00BE34AB">
        <w:rPr>
          <w:rFonts w:ascii="Century Schoolbook" w:eastAsia="Calibri" w:hAnsi="Century Schoolbook"/>
          <w:sz w:val="26"/>
          <w:szCs w:val="26"/>
        </w:rPr>
        <w:t>, P. J.</w:t>
      </w:r>
    </w:p>
    <w:p w14:paraId="4D966EB6" w14:textId="77777777" w:rsidR="00BE34AB" w:rsidRPr="00BE34AB" w:rsidRDefault="00BE34AB" w:rsidP="00BE34AB">
      <w:pPr>
        <w:rPr>
          <w:rFonts w:ascii="Century Schoolbook" w:eastAsia="Calibri" w:hAnsi="Century Schoolbook"/>
          <w:sz w:val="26"/>
          <w:szCs w:val="26"/>
        </w:rPr>
      </w:pPr>
    </w:p>
    <w:p w14:paraId="1F221EF3" w14:textId="77777777" w:rsidR="00BE34AB" w:rsidRPr="00BE34AB" w:rsidRDefault="00BE34AB" w:rsidP="00BE34AB">
      <w:pPr>
        <w:rPr>
          <w:rFonts w:ascii="Century Schoolbook" w:eastAsia="Calibri" w:hAnsi="Century Schoolbook"/>
          <w:sz w:val="26"/>
          <w:szCs w:val="26"/>
        </w:rPr>
      </w:pPr>
    </w:p>
    <w:p w14:paraId="7B0A1A27" w14:textId="77777777" w:rsidR="00BE34AB" w:rsidRPr="00BE34AB" w:rsidRDefault="00BE34AB" w:rsidP="00BE34AB">
      <w:pPr>
        <w:rPr>
          <w:rFonts w:ascii="Century Schoolbook" w:eastAsia="Calibri" w:hAnsi="Century Schoolbook"/>
          <w:sz w:val="26"/>
          <w:szCs w:val="26"/>
          <w:u w:val="single"/>
        </w:rPr>
      </w:pP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r w:rsidRPr="00BE34AB">
        <w:rPr>
          <w:rFonts w:ascii="Century Schoolbook" w:eastAsia="Calibri" w:hAnsi="Century Schoolbook"/>
          <w:sz w:val="26"/>
          <w:szCs w:val="26"/>
          <w:u w:val="single"/>
        </w:rPr>
        <w:tab/>
      </w:r>
    </w:p>
    <w:p w14:paraId="4D9A4E1E" w14:textId="77777777" w:rsidR="00BE34AB" w:rsidRPr="00BE34AB" w:rsidRDefault="00BE34AB" w:rsidP="00BE34AB">
      <w:pPr>
        <w:rPr>
          <w:rFonts w:ascii="Century Schoolbook" w:eastAsia="Calibri" w:hAnsi="Century Schoolbook"/>
          <w:sz w:val="26"/>
          <w:szCs w:val="26"/>
        </w:rPr>
      </w:pPr>
      <w:r w:rsidRPr="00BE34AB">
        <w:rPr>
          <w:rFonts w:ascii="Century Schoolbook" w:eastAsia="Calibri" w:hAnsi="Century Schoolbook"/>
          <w:sz w:val="26"/>
          <w:szCs w:val="26"/>
        </w:rPr>
        <w:t>BURNS, J.</w:t>
      </w:r>
    </w:p>
    <w:p w14:paraId="33B3A9CB" w14:textId="77777777" w:rsidR="00BE34AB" w:rsidRPr="00BE34AB" w:rsidRDefault="00BE34AB" w:rsidP="00BE34AB">
      <w:pPr>
        <w:rPr>
          <w:rFonts w:ascii="Century Schoolbook" w:eastAsia="Calibri" w:hAnsi="Century Schoolbook"/>
          <w:sz w:val="26"/>
          <w:szCs w:val="26"/>
        </w:rPr>
      </w:pPr>
    </w:p>
    <w:p w14:paraId="0E85A2DF" w14:textId="77777777" w:rsidR="00BE34AB" w:rsidRPr="00BE34AB" w:rsidRDefault="00BE34AB" w:rsidP="00BE34AB">
      <w:pPr>
        <w:rPr>
          <w:rFonts w:ascii="Century Schoolbook" w:eastAsia="Calibri" w:hAnsi="Century Schoolbook"/>
          <w:sz w:val="26"/>
          <w:szCs w:val="26"/>
        </w:rPr>
      </w:pPr>
    </w:p>
    <w:p w14:paraId="37C5FB7C" w14:textId="77777777" w:rsidR="00BE34AB" w:rsidRPr="00BE34AB" w:rsidRDefault="00BE34AB" w:rsidP="00BE34AB">
      <w:pPr>
        <w:rPr>
          <w:rFonts w:ascii="Century Schoolbook" w:eastAsia="Calibri" w:hAnsi="Century Schoolbook"/>
          <w:sz w:val="26"/>
          <w:szCs w:val="26"/>
        </w:rPr>
      </w:pPr>
    </w:p>
    <w:p w14:paraId="414D9FE9" w14:textId="77777777" w:rsidR="00BE34AB" w:rsidRPr="00BE34AB" w:rsidRDefault="00BE34AB" w:rsidP="00BE34AB">
      <w:pPr>
        <w:rPr>
          <w:rFonts w:ascii="Century Schoolbook" w:eastAsia="Calibri" w:hAnsi="Century Schoolbook"/>
          <w:sz w:val="26"/>
          <w:szCs w:val="26"/>
        </w:rPr>
      </w:pPr>
    </w:p>
    <w:p w14:paraId="59FC7BA5" w14:textId="77777777" w:rsidR="00BE34AB" w:rsidRPr="00BE34AB" w:rsidRDefault="00BE34AB" w:rsidP="00BE34AB">
      <w:pPr>
        <w:rPr>
          <w:rFonts w:ascii="Century Schoolbook" w:eastAsia="Calibri" w:hAnsi="Century Schoolbook"/>
          <w:sz w:val="26"/>
          <w:szCs w:val="26"/>
        </w:rPr>
      </w:pPr>
    </w:p>
    <w:p w14:paraId="46204627" w14:textId="77777777" w:rsidR="00BE34AB" w:rsidRPr="00BE34AB" w:rsidRDefault="00BE34AB" w:rsidP="00BE34AB">
      <w:pPr>
        <w:rPr>
          <w:rFonts w:ascii="Century Schoolbook" w:eastAsia="Calibri" w:hAnsi="Century Schoolbook"/>
          <w:sz w:val="26"/>
          <w:szCs w:val="26"/>
        </w:rPr>
      </w:pPr>
    </w:p>
    <w:p w14:paraId="5F301E82" w14:textId="77777777" w:rsidR="00BE34AB" w:rsidRPr="00BE34AB" w:rsidRDefault="00BE34AB" w:rsidP="00BE34AB">
      <w:pPr>
        <w:rPr>
          <w:rFonts w:ascii="Century Schoolbook" w:eastAsia="Calibri" w:hAnsi="Century Schoolbook"/>
          <w:sz w:val="26"/>
          <w:szCs w:val="26"/>
        </w:rPr>
      </w:pPr>
    </w:p>
    <w:p w14:paraId="02CF2797" w14:textId="77777777" w:rsidR="00BE34AB" w:rsidRPr="00BE34AB" w:rsidRDefault="00BE34AB" w:rsidP="00BE34AB">
      <w:pPr>
        <w:rPr>
          <w:rFonts w:ascii="Century Schoolbook" w:eastAsia="Calibri" w:hAnsi="Century Schoolbook"/>
          <w:sz w:val="26"/>
          <w:szCs w:val="26"/>
        </w:rPr>
      </w:pPr>
    </w:p>
    <w:p w14:paraId="602E6AF3" w14:textId="77777777" w:rsidR="00BE34AB" w:rsidRPr="00BE34AB" w:rsidRDefault="00BE34AB" w:rsidP="00BE34AB">
      <w:pPr>
        <w:rPr>
          <w:rFonts w:ascii="Century Schoolbook" w:eastAsia="Calibri" w:hAnsi="Century Schoolbook"/>
          <w:sz w:val="26"/>
          <w:szCs w:val="26"/>
        </w:rPr>
      </w:pPr>
    </w:p>
    <w:p w14:paraId="6FC9D4BA" w14:textId="77777777" w:rsidR="00BE34AB" w:rsidRPr="00BE34AB" w:rsidRDefault="00BE34AB" w:rsidP="00BE34AB">
      <w:pPr>
        <w:rPr>
          <w:rFonts w:ascii="Century Schoolbook" w:eastAsia="Calibri" w:hAnsi="Century Schoolbook"/>
          <w:sz w:val="26"/>
          <w:szCs w:val="26"/>
        </w:rPr>
      </w:pPr>
    </w:p>
    <w:p w14:paraId="2CF2DC5B" w14:textId="36181ADB" w:rsidR="00BE34AB" w:rsidRPr="00BE34AB" w:rsidRDefault="00BE34AB" w:rsidP="00BE34AB">
      <w:pPr>
        <w:rPr>
          <w:rFonts w:ascii="Century Schoolbook" w:eastAsia="Calibri" w:hAnsi="Century Schoolbook"/>
          <w:sz w:val="26"/>
          <w:szCs w:val="26"/>
        </w:rPr>
      </w:pPr>
      <w:r w:rsidRPr="00BE34AB">
        <w:rPr>
          <w:rFonts w:ascii="Century Schoolbook" w:eastAsia="Calibri" w:hAnsi="Century Schoolbook"/>
          <w:i/>
          <w:iCs/>
          <w:sz w:val="26"/>
          <w:szCs w:val="26"/>
        </w:rPr>
        <w:t xml:space="preserve">People v. </w:t>
      </w:r>
      <w:r>
        <w:rPr>
          <w:rFonts w:ascii="Century Schoolbook" w:eastAsia="Calibri" w:hAnsi="Century Schoolbook"/>
          <w:i/>
          <w:iCs/>
          <w:sz w:val="26"/>
          <w:szCs w:val="26"/>
        </w:rPr>
        <w:t>Pomar</w:t>
      </w:r>
      <w:r w:rsidR="001466D1">
        <w:rPr>
          <w:rFonts w:ascii="Century Schoolbook" w:eastAsia="Calibri" w:hAnsi="Century Schoolbook"/>
          <w:i/>
          <w:iCs/>
          <w:sz w:val="26"/>
          <w:szCs w:val="26"/>
        </w:rPr>
        <w:t xml:space="preserve"> &amp; Mitchell</w:t>
      </w:r>
      <w:r>
        <w:rPr>
          <w:rFonts w:ascii="Century Schoolbook" w:eastAsia="Calibri" w:hAnsi="Century Schoolbook"/>
          <w:i/>
          <w:iCs/>
          <w:sz w:val="26"/>
          <w:szCs w:val="26"/>
        </w:rPr>
        <w:t xml:space="preserve"> </w:t>
      </w:r>
      <w:r w:rsidRPr="00BE34AB">
        <w:rPr>
          <w:rFonts w:ascii="Century Schoolbook" w:eastAsia="Calibri" w:hAnsi="Century Schoolbook"/>
          <w:sz w:val="26"/>
          <w:szCs w:val="26"/>
        </w:rPr>
        <w:t xml:space="preserve">/ </w:t>
      </w:r>
      <w:r>
        <w:rPr>
          <w:rFonts w:ascii="Century Schoolbook" w:eastAsia="Calibri" w:hAnsi="Century Schoolbook"/>
          <w:sz w:val="26"/>
          <w:szCs w:val="26"/>
        </w:rPr>
        <w:t>A167241</w:t>
      </w:r>
      <w:r w:rsidR="00586B09">
        <w:rPr>
          <w:rFonts w:ascii="Century Schoolbook" w:eastAsia="Calibri" w:hAnsi="Century Schoolbook"/>
          <w:sz w:val="26"/>
          <w:szCs w:val="26"/>
        </w:rPr>
        <w:t>,</w:t>
      </w:r>
      <w:r w:rsidR="00586B09" w:rsidRPr="00586B09">
        <w:rPr>
          <w:rFonts w:ascii="Century Schoolbook" w:eastAsia="Calibri" w:hAnsi="Century Schoolbook"/>
          <w:sz w:val="26"/>
          <w:szCs w:val="26"/>
        </w:rPr>
        <w:t xml:space="preserve"> </w:t>
      </w:r>
      <w:r w:rsidR="00586B09" w:rsidRPr="00BE34AB">
        <w:rPr>
          <w:rFonts w:ascii="Century Schoolbook" w:eastAsia="Calibri" w:hAnsi="Century Schoolbook"/>
          <w:sz w:val="26"/>
          <w:szCs w:val="26"/>
        </w:rPr>
        <w:t>A</w:t>
      </w:r>
      <w:r w:rsidR="00586B09">
        <w:rPr>
          <w:rFonts w:ascii="Century Schoolbook" w:eastAsia="Calibri" w:hAnsi="Century Schoolbook"/>
          <w:sz w:val="26"/>
          <w:szCs w:val="26"/>
        </w:rPr>
        <w:t>167286,</w:t>
      </w:r>
    </w:p>
    <w:p w14:paraId="3DAEEFF0" w14:textId="016B103A" w:rsidR="00D93723" w:rsidRPr="00D93723" w:rsidRDefault="003B76BA" w:rsidP="00D93723">
      <w:pPr>
        <w:rPr>
          <w:rFonts w:ascii="Century Schoolbook" w:hAnsi="Century Schoolbook"/>
          <w:sz w:val="26"/>
          <w:szCs w:val="26"/>
        </w:rPr>
      </w:pPr>
      <w:r>
        <w:rPr>
          <w:rFonts w:ascii="Century Schoolbook" w:hAnsi="Century Schoolbook"/>
          <w:sz w:val="26"/>
          <w:szCs w:val="26"/>
        </w:rPr>
        <w:lastRenderedPageBreak/>
        <w:t>A167241</w:t>
      </w:r>
      <w:r w:rsidR="00586B09">
        <w:rPr>
          <w:rFonts w:ascii="Century Schoolbook" w:hAnsi="Century Schoolbook"/>
          <w:sz w:val="26"/>
          <w:szCs w:val="26"/>
        </w:rPr>
        <w:t xml:space="preserve">, </w:t>
      </w:r>
      <w:r w:rsidR="00586B09" w:rsidRPr="00BE34AB">
        <w:rPr>
          <w:rFonts w:ascii="Century Schoolbook" w:eastAsia="Calibri" w:hAnsi="Century Schoolbook"/>
          <w:sz w:val="26"/>
          <w:szCs w:val="26"/>
        </w:rPr>
        <w:t>A</w:t>
      </w:r>
      <w:r w:rsidR="00586B09">
        <w:rPr>
          <w:rFonts w:ascii="Century Schoolbook" w:eastAsia="Calibri" w:hAnsi="Century Schoolbook"/>
          <w:sz w:val="26"/>
          <w:szCs w:val="26"/>
        </w:rPr>
        <w:t xml:space="preserve">167286 </w:t>
      </w:r>
      <w:r w:rsidR="00D93723" w:rsidRPr="00D93723">
        <w:rPr>
          <w:rFonts w:ascii="Century Schoolbook" w:hAnsi="Century Schoolbook"/>
          <w:sz w:val="26"/>
          <w:szCs w:val="26"/>
        </w:rPr>
        <w:t xml:space="preserve">/ </w:t>
      </w:r>
      <w:r w:rsidR="00D93723" w:rsidRPr="00C47C36">
        <w:rPr>
          <w:rFonts w:ascii="Century Schoolbook" w:hAnsi="Century Schoolbook"/>
          <w:i/>
          <w:iCs/>
          <w:sz w:val="26"/>
          <w:szCs w:val="26"/>
        </w:rPr>
        <w:t>People v.</w:t>
      </w:r>
      <w:r w:rsidRPr="00C47C36">
        <w:rPr>
          <w:rFonts w:ascii="Century Schoolbook" w:hAnsi="Century Schoolbook"/>
          <w:i/>
          <w:iCs/>
          <w:sz w:val="26"/>
          <w:szCs w:val="26"/>
        </w:rPr>
        <w:t xml:space="preserve"> Pomar</w:t>
      </w:r>
      <w:r w:rsidR="001466D1">
        <w:rPr>
          <w:rFonts w:ascii="Century Schoolbook" w:hAnsi="Century Schoolbook"/>
          <w:i/>
          <w:iCs/>
          <w:sz w:val="26"/>
          <w:szCs w:val="26"/>
        </w:rPr>
        <w:t xml:space="preserve"> &amp; Mitchell</w:t>
      </w:r>
    </w:p>
    <w:p w14:paraId="7B37ABF7" w14:textId="77777777" w:rsidR="00D93723" w:rsidRPr="00D93723" w:rsidRDefault="00D93723" w:rsidP="00D93723">
      <w:pPr>
        <w:rPr>
          <w:rFonts w:ascii="Century Schoolbook" w:hAnsi="Century Schoolbook"/>
          <w:sz w:val="26"/>
          <w:szCs w:val="26"/>
        </w:rPr>
      </w:pPr>
    </w:p>
    <w:p w14:paraId="21CD2482" w14:textId="074F7C13" w:rsidR="00D93723" w:rsidRPr="00D93723" w:rsidRDefault="00D93723" w:rsidP="00D93723">
      <w:pPr>
        <w:rPr>
          <w:rFonts w:ascii="Century Schoolbook" w:hAnsi="Century Schoolbook"/>
          <w:sz w:val="26"/>
          <w:szCs w:val="26"/>
        </w:rPr>
      </w:pPr>
      <w:r w:rsidRPr="00D93723">
        <w:rPr>
          <w:rFonts w:ascii="Century Schoolbook" w:hAnsi="Century Schoolbook"/>
          <w:sz w:val="26"/>
          <w:szCs w:val="26"/>
        </w:rPr>
        <w:t>Trial Court:</w:t>
      </w:r>
      <w:r w:rsidRPr="00D93723">
        <w:rPr>
          <w:rFonts w:ascii="Century Schoolbook" w:hAnsi="Century Schoolbook"/>
          <w:sz w:val="26"/>
          <w:szCs w:val="26"/>
        </w:rPr>
        <w:tab/>
      </w:r>
      <w:r w:rsidR="003B76BA">
        <w:rPr>
          <w:rFonts w:ascii="Century Schoolbook" w:hAnsi="Century Schoolbook"/>
          <w:sz w:val="26"/>
          <w:szCs w:val="26"/>
        </w:rPr>
        <w:tab/>
        <w:t>City &amp; County of San Francisco Superior Court</w:t>
      </w:r>
    </w:p>
    <w:p w14:paraId="55FE59C7" w14:textId="77777777" w:rsidR="00D93723" w:rsidRPr="00D93723" w:rsidRDefault="00D93723" w:rsidP="00D93723">
      <w:pPr>
        <w:rPr>
          <w:rFonts w:ascii="Century Schoolbook" w:hAnsi="Century Schoolbook"/>
          <w:sz w:val="26"/>
          <w:szCs w:val="26"/>
        </w:rPr>
      </w:pPr>
    </w:p>
    <w:p w14:paraId="19C71D3C" w14:textId="2499DB42" w:rsidR="00D93723" w:rsidRPr="00D93723" w:rsidRDefault="00D93723" w:rsidP="00D93723">
      <w:pPr>
        <w:rPr>
          <w:rFonts w:ascii="Century Schoolbook" w:hAnsi="Century Schoolbook"/>
          <w:sz w:val="26"/>
          <w:szCs w:val="26"/>
        </w:rPr>
      </w:pPr>
      <w:r w:rsidRPr="00D93723">
        <w:rPr>
          <w:rFonts w:ascii="Century Schoolbook" w:hAnsi="Century Schoolbook"/>
          <w:sz w:val="26"/>
          <w:szCs w:val="26"/>
        </w:rPr>
        <w:t>Trial Judge</w:t>
      </w:r>
      <w:r w:rsidR="00C47C36">
        <w:rPr>
          <w:rFonts w:ascii="Century Schoolbook" w:hAnsi="Century Schoolbook"/>
          <w:sz w:val="26"/>
          <w:szCs w:val="26"/>
        </w:rPr>
        <w:t>s</w:t>
      </w:r>
      <w:r w:rsidRPr="00D93723">
        <w:rPr>
          <w:rFonts w:ascii="Century Schoolbook" w:hAnsi="Century Schoolbook"/>
          <w:sz w:val="26"/>
          <w:szCs w:val="26"/>
        </w:rPr>
        <w:t>:</w:t>
      </w:r>
      <w:r w:rsidRPr="00D93723">
        <w:rPr>
          <w:rFonts w:ascii="Century Schoolbook" w:hAnsi="Century Schoolbook"/>
          <w:sz w:val="26"/>
          <w:szCs w:val="26"/>
        </w:rPr>
        <w:tab/>
      </w:r>
      <w:r w:rsidR="00C47C36">
        <w:rPr>
          <w:rFonts w:ascii="Century Schoolbook" w:hAnsi="Century Schoolbook"/>
          <w:sz w:val="26"/>
          <w:szCs w:val="26"/>
        </w:rPr>
        <w:t>Christopher C. Hite &amp; Loretta M. Giorgi</w:t>
      </w:r>
    </w:p>
    <w:p w14:paraId="06B93688" w14:textId="77777777" w:rsidR="00D93723" w:rsidRPr="00D93723" w:rsidRDefault="00D93723" w:rsidP="00D93723">
      <w:pPr>
        <w:rPr>
          <w:rFonts w:ascii="Century Schoolbook" w:hAnsi="Century Schoolbook"/>
          <w:sz w:val="26"/>
          <w:szCs w:val="26"/>
        </w:rPr>
      </w:pPr>
    </w:p>
    <w:p w14:paraId="0A6DA792" w14:textId="5BF5D9D4" w:rsidR="00D93723" w:rsidRPr="00D93723" w:rsidRDefault="00D93723" w:rsidP="00D93723">
      <w:pPr>
        <w:rPr>
          <w:rFonts w:ascii="Century Schoolbook" w:hAnsi="Century Schoolbook"/>
          <w:sz w:val="26"/>
          <w:szCs w:val="26"/>
        </w:rPr>
      </w:pPr>
      <w:r w:rsidRPr="00D93723">
        <w:rPr>
          <w:rFonts w:ascii="Century Schoolbook" w:hAnsi="Century Schoolbook"/>
          <w:sz w:val="26"/>
          <w:szCs w:val="26"/>
        </w:rPr>
        <w:t>Counsel:</w:t>
      </w:r>
      <w:r w:rsidRPr="00D93723">
        <w:rPr>
          <w:rFonts w:ascii="Century Schoolbook" w:hAnsi="Century Schoolbook"/>
          <w:sz w:val="26"/>
          <w:szCs w:val="26"/>
        </w:rPr>
        <w:tab/>
      </w:r>
      <w:r w:rsidR="00A14038">
        <w:rPr>
          <w:rFonts w:ascii="Century Schoolbook" w:hAnsi="Century Schoolbook"/>
          <w:sz w:val="26"/>
          <w:szCs w:val="26"/>
        </w:rPr>
        <w:t xml:space="preserve">Jennifer A. Mannix &amp; Matthew Dale Alger, By Appointment of the First District court of Appeal under the First District Appellate Project, </w:t>
      </w:r>
      <w:r w:rsidRPr="00D93723">
        <w:rPr>
          <w:rFonts w:ascii="Century Schoolbook" w:hAnsi="Century Schoolbook"/>
          <w:sz w:val="26"/>
          <w:szCs w:val="26"/>
        </w:rPr>
        <w:t xml:space="preserve">for </w:t>
      </w:r>
      <w:r w:rsidR="00C47C36">
        <w:rPr>
          <w:rFonts w:ascii="Century Schoolbook" w:hAnsi="Century Schoolbook"/>
          <w:sz w:val="26"/>
          <w:szCs w:val="26"/>
        </w:rPr>
        <w:t>Defendants and Respondents.</w:t>
      </w:r>
    </w:p>
    <w:p w14:paraId="2BC24D4E" w14:textId="77777777" w:rsidR="00D93723" w:rsidRPr="00D93723" w:rsidRDefault="00D93723" w:rsidP="00D93723">
      <w:pPr>
        <w:rPr>
          <w:rFonts w:ascii="Century Schoolbook" w:hAnsi="Century Schoolbook"/>
          <w:sz w:val="26"/>
          <w:szCs w:val="26"/>
        </w:rPr>
      </w:pPr>
    </w:p>
    <w:p w14:paraId="581C64D4" w14:textId="6CD39704" w:rsidR="00D93723" w:rsidRPr="00D93723" w:rsidRDefault="00A14038" w:rsidP="00D93723">
      <w:pPr>
        <w:rPr>
          <w:rFonts w:ascii="Century Schoolbook" w:hAnsi="Century Schoolbook"/>
          <w:sz w:val="26"/>
          <w:szCs w:val="26"/>
        </w:rPr>
      </w:pPr>
      <w:r>
        <w:rPr>
          <w:rFonts w:ascii="Century Schoolbook" w:hAnsi="Century Schoolbook"/>
          <w:sz w:val="26"/>
          <w:szCs w:val="26"/>
        </w:rPr>
        <w:t>Rob Bonta</w:t>
      </w:r>
      <w:r w:rsidR="00D93723" w:rsidRPr="00D93723">
        <w:rPr>
          <w:rFonts w:ascii="Century Schoolbook" w:hAnsi="Century Schoolbook"/>
          <w:sz w:val="26"/>
          <w:szCs w:val="26"/>
        </w:rPr>
        <w:t xml:space="preserve">, Attorney General of California; </w:t>
      </w:r>
      <w:r>
        <w:rPr>
          <w:rFonts w:ascii="Century Schoolbook" w:hAnsi="Century Schoolbook"/>
          <w:sz w:val="26"/>
          <w:szCs w:val="26"/>
        </w:rPr>
        <w:t>Lance E. Winters</w:t>
      </w:r>
      <w:r w:rsidR="00D93723" w:rsidRPr="00D93723">
        <w:rPr>
          <w:rFonts w:ascii="Century Schoolbook" w:hAnsi="Century Schoolbook"/>
          <w:sz w:val="26"/>
          <w:szCs w:val="26"/>
        </w:rPr>
        <w:t xml:space="preserve">, </w:t>
      </w:r>
      <w:r>
        <w:rPr>
          <w:rFonts w:ascii="Century Schoolbook" w:hAnsi="Century Schoolbook"/>
          <w:sz w:val="26"/>
          <w:szCs w:val="26"/>
        </w:rPr>
        <w:t>Chief</w:t>
      </w:r>
      <w:r w:rsidR="00D93723" w:rsidRPr="00D93723">
        <w:rPr>
          <w:rFonts w:ascii="Century Schoolbook" w:hAnsi="Century Schoolbook"/>
          <w:sz w:val="26"/>
          <w:szCs w:val="26"/>
        </w:rPr>
        <w:t xml:space="preserve"> Assistant Attorney General; </w:t>
      </w:r>
      <w:r>
        <w:rPr>
          <w:rFonts w:ascii="Century Schoolbook" w:hAnsi="Century Schoolbook"/>
          <w:sz w:val="26"/>
          <w:szCs w:val="26"/>
        </w:rPr>
        <w:t>Jeffrey M. Laurence</w:t>
      </w:r>
      <w:r w:rsidR="00D93723" w:rsidRPr="00D93723">
        <w:rPr>
          <w:rFonts w:ascii="Century Schoolbook" w:hAnsi="Century Schoolbook"/>
          <w:sz w:val="26"/>
          <w:szCs w:val="26"/>
        </w:rPr>
        <w:t>, S</w:t>
      </w:r>
      <w:r>
        <w:rPr>
          <w:rFonts w:ascii="Century Schoolbook" w:hAnsi="Century Schoolbook"/>
          <w:sz w:val="26"/>
          <w:szCs w:val="26"/>
        </w:rPr>
        <w:t>enior Assistant</w:t>
      </w:r>
      <w:r w:rsidR="00D93723" w:rsidRPr="00D93723">
        <w:rPr>
          <w:rFonts w:ascii="Century Schoolbook" w:hAnsi="Century Schoolbook"/>
          <w:sz w:val="26"/>
          <w:szCs w:val="26"/>
        </w:rPr>
        <w:t xml:space="preserve"> Attorney General; </w:t>
      </w:r>
      <w:r>
        <w:rPr>
          <w:rFonts w:ascii="Century Schoolbook" w:hAnsi="Century Schoolbook"/>
          <w:sz w:val="26"/>
          <w:szCs w:val="26"/>
        </w:rPr>
        <w:t>Seth K. Schalit</w:t>
      </w:r>
      <w:r w:rsidR="00D93723" w:rsidRPr="00D93723">
        <w:rPr>
          <w:rFonts w:ascii="Century Schoolbook" w:hAnsi="Century Schoolbook"/>
          <w:sz w:val="26"/>
          <w:szCs w:val="26"/>
        </w:rPr>
        <w:t>,</w:t>
      </w:r>
      <w:r>
        <w:rPr>
          <w:rFonts w:ascii="Century Schoolbook" w:hAnsi="Century Schoolbook"/>
          <w:sz w:val="26"/>
          <w:szCs w:val="26"/>
        </w:rPr>
        <w:t xml:space="preserve"> Supervising Deputy Attorney G</w:t>
      </w:r>
      <w:r w:rsidR="00BE34AB">
        <w:rPr>
          <w:rFonts w:ascii="Century Schoolbook" w:hAnsi="Century Schoolbook"/>
          <w:sz w:val="26"/>
          <w:szCs w:val="26"/>
        </w:rPr>
        <w:t>eneral; Bridget Billeter,</w:t>
      </w:r>
      <w:r w:rsidR="00D93723" w:rsidRPr="00D93723">
        <w:rPr>
          <w:rFonts w:ascii="Century Schoolbook" w:hAnsi="Century Schoolbook"/>
          <w:sz w:val="26"/>
          <w:szCs w:val="26"/>
        </w:rPr>
        <w:t xml:space="preserve"> Deputy Attorney General for</w:t>
      </w:r>
      <w:r w:rsidR="00BE34AB">
        <w:rPr>
          <w:rFonts w:ascii="Century Schoolbook" w:hAnsi="Century Schoolbook"/>
          <w:sz w:val="26"/>
          <w:szCs w:val="26"/>
        </w:rPr>
        <w:t xml:space="preserve"> Plaintiff and Appellant</w:t>
      </w:r>
      <w:r w:rsidR="00D93723" w:rsidRPr="00D93723">
        <w:rPr>
          <w:rFonts w:ascii="Century Schoolbook" w:hAnsi="Century Schoolbook"/>
          <w:sz w:val="26"/>
          <w:szCs w:val="26"/>
        </w:rPr>
        <w:t>.</w:t>
      </w:r>
    </w:p>
    <w:p w14:paraId="5454FB65" w14:textId="77777777" w:rsidR="00D93723" w:rsidRPr="00D93723" w:rsidRDefault="00D93723" w:rsidP="00D93723">
      <w:pPr>
        <w:rPr>
          <w:rFonts w:ascii="Century Schoolbook" w:hAnsi="Century Schoolbook"/>
          <w:sz w:val="26"/>
          <w:szCs w:val="26"/>
        </w:rPr>
      </w:pPr>
    </w:p>
    <w:p w14:paraId="216513A2" w14:textId="77777777" w:rsidR="00D93723" w:rsidRPr="00D93723" w:rsidRDefault="00D93723" w:rsidP="00D93723">
      <w:pPr>
        <w:pStyle w:val="BodyText"/>
        <w:widowControl/>
        <w:spacing w:line="360" w:lineRule="auto"/>
        <w:ind w:left="0" w:firstLine="720"/>
        <w:rPr>
          <w:rFonts w:ascii="Century Schoolbook" w:hAnsi="Century Schoolbook"/>
        </w:rPr>
      </w:pPr>
    </w:p>
    <w:sectPr w:rsidR="00D93723" w:rsidRPr="00D93723" w:rsidSect="009F32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D2C5" w14:textId="77777777" w:rsidR="0050541A" w:rsidRDefault="0050541A" w:rsidP="0015407B">
      <w:pPr>
        <w:spacing w:after="0" w:line="240" w:lineRule="auto"/>
      </w:pPr>
      <w:r>
        <w:separator/>
      </w:r>
    </w:p>
  </w:endnote>
  <w:endnote w:type="continuationSeparator" w:id="0">
    <w:p w14:paraId="52D17BB2" w14:textId="77777777" w:rsidR="0050541A" w:rsidRDefault="0050541A" w:rsidP="0015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DA22" w14:textId="77777777" w:rsidR="000B3620" w:rsidRDefault="000B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 w:val="26"/>
        <w:szCs w:val="26"/>
      </w:rPr>
      <w:id w:val="-1899353306"/>
      <w:docPartObj>
        <w:docPartGallery w:val="Page Numbers (Bottom of Page)"/>
        <w:docPartUnique/>
      </w:docPartObj>
    </w:sdtPr>
    <w:sdtEndPr>
      <w:rPr>
        <w:noProof/>
      </w:rPr>
    </w:sdtEndPr>
    <w:sdtContent>
      <w:p w14:paraId="593B9669" w14:textId="4918619B" w:rsidR="009A0502" w:rsidRPr="003F350F" w:rsidRDefault="009A0502">
        <w:pPr>
          <w:pStyle w:val="Footer"/>
          <w:jc w:val="center"/>
          <w:rPr>
            <w:rFonts w:ascii="Century Schoolbook" w:hAnsi="Century Schoolbook"/>
            <w:sz w:val="26"/>
            <w:szCs w:val="26"/>
          </w:rPr>
        </w:pPr>
        <w:r w:rsidRPr="003F350F">
          <w:rPr>
            <w:rFonts w:ascii="Century Schoolbook" w:hAnsi="Century Schoolbook"/>
            <w:sz w:val="26"/>
            <w:szCs w:val="26"/>
          </w:rPr>
          <w:fldChar w:fldCharType="begin"/>
        </w:r>
        <w:r w:rsidRPr="003F350F">
          <w:rPr>
            <w:rFonts w:ascii="Century Schoolbook" w:hAnsi="Century Schoolbook"/>
            <w:sz w:val="26"/>
            <w:szCs w:val="26"/>
          </w:rPr>
          <w:instrText xml:space="preserve"> PAGE   \* MERGEFORMAT </w:instrText>
        </w:r>
        <w:r w:rsidRPr="003F350F">
          <w:rPr>
            <w:rFonts w:ascii="Century Schoolbook" w:hAnsi="Century Schoolbook"/>
            <w:sz w:val="26"/>
            <w:szCs w:val="26"/>
          </w:rPr>
          <w:fldChar w:fldCharType="separate"/>
        </w:r>
        <w:r w:rsidRPr="003F350F">
          <w:rPr>
            <w:rFonts w:ascii="Century Schoolbook" w:hAnsi="Century Schoolbook"/>
            <w:noProof/>
            <w:sz w:val="26"/>
            <w:szCs w:val="26"/>
          </w:rPr>
          <w:t>2</w:t>
        </w:r>
        <w:r w:rsidRPr="003F350F">
          <w:rPr>
            <w:rFonts w:ascii="Century Schoolbook" w:hAnsi="Century Schoolbook"/>
            <w:noProof/>
            <w:sz w:val="26"/>
            <w:szCs w:val="26"/>
          </w:rPr>
          <w:fldChar w:fldCharType="end"/>
        </w:r>
      </w:p>
    </w:sdtContent>
  </w:sdt>
  <w:p w14:paraId="2CF87D58" w14:textId="77777777" w:rsidR="009A0502" w:rsidRPr="003F350F" w:rsidRDefault="009A0502">
    <w:pPr>
      <w:pStyle w:val="Footer"/>
      <w:rPr>
        <w:rFonts w:ascii="Century Schoolbook" w:hAnsi="Century Schoolbook"/>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603E" w14:textId="77777777" w:rsidR="000B3620" w:rsidRDefault="000B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9D91" w14:textId="77777777" w:rsidR="0050541A" w:rsidRDefault="0050541A" w:rsidP="0015407B">
      <w:pPr>
        <w:spacing w:after="0" w:line="240" w:lineRule="auto"/>
      </w:pPr>
      <w:r>
        <w:separator/>
      </w:r>
    </w:p>
  </w:footnote>
  <w:footnote w:type="continuationSeparator" w:id="0">
    <w:p w14:paraId="160C1EF3" w14:textId="77777777" w:rsidR="0050541A" w:rsidRDefault="0050541A" w:rsidP="0015407B">
      <w:pPr>
        <w:spacing w:after="0" w:line="240" w:lineRule="auto"/>
      </w:pPr>
      <w:r>
        <w:continuationSeparator/>
      </w:r>
    </w:p>
  </w:footnote>
  <w:footnote w:id="1">
    <w:p w14:paraId="2B1FE403" w14:textId="027DDBB4" w:rsidR="00E44189" w:rsidRPr="00563D64" w:rsidRDefault="00E44189" w:rsidP="00E44189">
      <w:pPr>
        <w:pStyle w:val="FootnoteText"/>
        <w:ind w:firstLine="720"/>
        <w:rPr>
          <w:rFonts w:ascii="Century Schoolbook" w:hAnsi="Century Schoolbook"/>
          <w:sz w:val="26"/>
          <w:szCs w:val="26"/>
        </w:rPr>
      </w:pPr>
      <w:r w:rsidRPr="00563D64">
        <w:rPr>
          <w:rStyle w:val="FootnoteReference"/>
          <w:rFonts w:ascii="Century Schoolbook" w:hAnsi="Century Schoolbook"/>
          <w:sz w:val="26"/>
          <w:szCs w:val="26"/>
        </w:rPr>
        <w:footnoteRef/>
      </w:r>
      <w:r w:rsidRPr="00563D64">
        <w:rPr>
          <w:rFonts w:ascii="Century Schoolbook" w:hAnsi="Century Schoolbook"/>
          <w:sz w:val="26"/>
          <w:szCs w:val="26"/>
        </w:rPr>
        <w:t xml:space="preserve"> All undesignated statutory references are to the Penal Code.</w:t>
      </w:r>
    </w:p>
  </w:footnote>
  <w:footnote w:id="2">
    <w:p w14:paraId="09058412" w14:textId="537E55F1" w:rsidR="00D066AD" w:rsidRPr="00563D64" w:rsidRDefault="00D066AD" w:rsidP="00D066AD">
      <w:pPr>
        <w:pStyle w:val="FootnoteText"/>
        <w:ind w:firstLine="720"/>
        <w:rPr>
          <w:rFonts w:ascii="Century Schoolbook" w:hAnsi="Century Schoolbook"/>
          <w:sz w:val="26"/>
          <w:szCs w:val="26"/>
        </w:rPr>
      </w:pPr>
      <w:r w:rsidRPr="00563D64">
        <w:rPr>
          <w:rStyle w:val="FootnoteReference"/>
          <w:rFonts w:ascii="Century Schoolbook" w:hAnsi="Century Schoolbook"/>
          <w:sz w:val="26"/>
          <w:szCs w:val="26"/>
        </w:rPr>
        <w:footnoteRef/>
      </w:r>
      <w:r w:rsidRPr="00563D64">
        <w:rPr>
          <w:rFonts w:ascii="Century Schoolbook" w:hAnsi="Century Schoolbook"/>
          <w:sz w:val="26"/>
          <w:szCs w:val="26"/>
        </w:rPr>
        <w:t xml:space="preserve"> Young is not a party to this appeal.</w:t>
      </w:r>
    </w:p>
  </w:footnote>
  <w:footnote w:id="3">
    <w:p w14:paraId="2CC6A0AA" w14:textId="24BD8CEE" w:rsidR="00FE661C" w:rsidRPr="00563D64" w:rsidRDefault="00FE661C" w:rsidP="00533A82">
      <w:pPr>
        <w:pStyle w:val="FootnoteText"/>
        <w:ind w:firstLine="720"/>
        <w:rPr>
          <w:rFonts w:ascii="Century Schoolbook" w:hAnsi="Century Schoolbook"/>
          <w:sz w:val="26"/>
          <w:szCs w:val="26"/>
        </w:rPr>
      </w:pPr>
      <w:r w:rsidRPr="00563D64">
        <w:rPr>
          <w:rStyle w:val="FootnoteReference"/>
          <w:rFonts w:ascii="Century Schoolbook" w:hAnsi="Century Schoolbook"/>
          <w:sz w:val="26"/>
          <w:szCs w:val="26"/>
        </w:rPr>
        <w:footnoteRef/>
      </w:r>
      <w:r w:rsidRPr="00563D64">
        <w:rPr>
          <w:rFonts w:ascii="Century Schoolbook" w:hAnsi="Century Schoolbook"/>
          <w:sz w:val="26"/>
          <w:szCs w:val="26"/>
        </w:rPr>
        <w:t xml:space="preserve"> </w:t>
      </w:r>
      <w:r w:rsidR="00533A82" w:rsidRPr="00563D64">
        <w:rPr>
          <w:rFonts w:ascii="Century Schoolbook" w:hAnsi="Century Schoolbook"/>
          <w:sz w:val="26"/>
          <w:szCs w:val="26"/>
        </w:rPr>
        <w:t xml:space="preserve">(See </w:t>
      </w:r>
      <w:r w:rsidR="00533A82" w:rsidRPr="00563D64">
        <w:rPr>
          <w:rFonts w:ascii="Century Schoolbook" w:hAnsi="Century Schoolbook"/>
          <w:i/>
          <w:iCs/>
          <w:sz w:val="26"/>
          <w:szCs w:val="26"/>
        </w:rPr>
        <w:t>Schumb</w:t>
      </w:r>
      <w:r w:rsidR="00533A82" w:rsidRPr="00563D64">
        <w:rPr>
          <w:rFonts w:ascii="Century Schoolbook" w:hAnsi="Century Schoolbook"/>
          <w:sz w:val="26"/>
          <w:szCs w:val="26"/>
        </w:rPr>
        <w:t xml:space="preserve">, </w:t>
      </w:r>
      <w:r w:rsidR="00533A82" w:rsidRPr="00563D64">
        <w:rPr>
          <w:rFonts w:ascii="Century Schoolbook" w:hAnsi="Century Schoolbook"/>
          <w:i/>
          <w:iCs/>
          <w:sz w:val="26"/>
          <w:szCs w:val="26"/>
        </w:rPr>
        <w:t>supra</w:t>
      </w:r>
      <w:r w:rsidR="00533A82" w:rsidRPr="00563D64">
        <w:rPr>
          <w:rFonts w:ascii="Century Schoolbook" w:hAnsi="Century Schoolbook"/>
          <w:sz w:val="26"/>
          <w:szCs w:val="26"/>
        </w:rPr>
        <w:t xml:space="preserve">, 64 Cal.App.5th at p. 984 [“disqualifying the entire district attorney’s office is appropriate to prevent any bias that could result from the fact” </w:t>
      </w:r>
      <w:r w:rsidR="00654626" w:rsidRPr="00563D64">
        <w:rPr>
          <w:rFonts w:ascii="Century Schoolbook" w:hAnsi="Century Schoolbook"/>
          <w:sz w:val="26"/>
          <w:szCs w:val="26"/>
        </w:rPr>
        <w:t xml:space="preserve">that </w:t>
      </w:r>
      <w:r w:rsidR="00533A82" w:rsidRPr="00563D64">
        <w:rPr>
          <w:rFonts w:ascii="Century Schoolbook" w:hAnsi="Century Schoolbook"/>
          <w:sz w:val="26"/>
          <w:szCs w:val="26"/>
        </w:rPr>
        <w:t xml:space="preserve">the “prosecuting deputies are ultimately hired, evaluated, and promoted by” the district attorney]; </w:t>
      </w:r>
      <w:r w:rsidR="00533A82" w:rsidRPr="00563D64">
        <w:rPr>
          <w:rFonts w:ascii="Century Schoolbook" w:hAnsi="Century Schoolbook"/>
          <w:i/>
          <w:iCs/>
          <w:sz w:val="26"/>
          <w:szCs w:val="26"/>
        </w:rPr>
        <w:t>People v. Choi</w:t>
      </w:r>
      <w:r w:rsidR="00533A82" w:rsidRPr="00563D64">
        <w:rPr>
          <w:rFonts w:ascii="Century Schoolbook" w:hAnsi="Century Schoolbook"/>
          <w:sz w:val="26"/>
          <w:szCs w:val="26"/>
        </w:rPr>
        <w:t xml:space="preserve"> (2000) 80 Cal.App.4th 476, 483 [</w:t>
      </w:r>
      <w:r w:rsidR="003F350F" w:rsidRPr="00563D64">
        <w:rPr>
          <w:rFonts w:ascii="Century Schoolbook" w:hAnsi="Century Schoolbook"/>
          <w:sz w:val="26"/>
          <w:szCs w:val="26"/>
        </w:rPr>
        <w:t>acknowledging that</w:t>
      </w:r>
      <w:r w:rsidR="00533A82" w:rsidRPr="00563D64">
        <w:rPr>
          <w:rFonts w:ascii="Century Schoolbook" w:hAnsi="Century Schoolbook"/>
          <w:sz w:val="26"/>
          <w:szCs w:val="26"/>
        </w:rPr>
        <w:t xml:space="preserve"> “potential bias </w:t>
      </w:r>
      <w:r w:rsidR="003F350F" w:rsidRPr="00563D64">
        <w:rPr>
          <w:rFonts w:ascii="Century Schoolbook" w:hAnsi="Century Schoolbook"/>
          <w:sz w:val="26"/>
          <w:szCs w:val="26"/>
        </w:rPr>
        <w:t>. . .</w:t>
      </w:r>
      <w:r w:rsidR="00533A82" w:rsidRPr="00563D64">
        <w:rPr>
          <w:rFonts w:ascii="Century Schoolbook" w:hAnsi="Century Schoolbook"/>
          <w:sz w:val="26"/>
          <w:szCs w:val="26"/>
        </w:rPr>
        <w:t xml:space="preserve"> might result from the fact that deputies are hired, evaluated and promoted by the district attorney”]; </w:t>
      </w:r>
      <w:r w:rsidR="00533A82" w:rsidRPr="00563D64">
        <w:rPr>
          <w:rFonts w:ascii="Century Schoolbook" w:hAnsi="Century Schoolbook"/>
          <w:i/>
          <w:iCs/>
          <w:sz w:val="26"/>
          <w:szCs w:val="26"/>
        </w:rPr>
        <w:t>People v. Lepe</w:t>
      </w:r>
      <w:r w:rsidR="00533A82" w:rsidRPr="00563D64">
        <w:rPr>
          <w:rFonts w:ascii="Century Schoolbook" w:hAnsi="Century Schoolbook"/>
          <w:sz w:val="26"/>
          <w:szCs w:val="26"/>
        </w:rPr>
        <w:t xml:space="preserve"> (1985) 164 Cal.App.3d 685, 689 </w:t>
      </w:r>
      <w:r w:rsidR="009D177D" w:rsidRPr="00563D64">
        <w:rPr>
          <w:rFonts w:ascii="Century Schoolbook" w:hAnsi="Century Schoolbook"/>
          <w:sz w:val="26"/>
          <w:szCs w:val="26"/>
        </w:rPr>
        <w:t>(</w:t>
      </w:r>
      <w:r w:rsidR="009D177D" w:rsidRPr="00563D64">
        <w:rPr>
          <w:rFonts w:ascii="Century Schoolbook" w:hAnsi="Century Schoolbook"/>
          <w:i/>
          <w:iCs/>
          <w:sz w:val="26"/>
          <w:szCs w:val="26"/>
        </w:rPr>
        <w:t>Lepe</w:t>
      </w:r>
      <w:r w:rsidR="009D177D" w:rsidRPr="00563D64">
        <w:rPr>
          <w:rFonts w:ascii="Century Schoolbook" w:hAnsi="Century Schoolbook"/>
          <w:sz w:val="26"/>
          <w:szCs w:val="26"/>
        </w:rPr>
        <w:t xml:space="preserve">) </w:t>
      </w:r>
      <w:r w:rsidR="00533A82" w:rsidRPr="00563D64">
        <w:rPr>
          <w:rFonts w:ascii="Century Schoolbook" w:hAnsi="Century Schoolbook"/>
          <w:sz w:val="26"/>
          <w:szCs w:val="26"/>
        </w:rPr>
        <w:t>[</w:t>
      </w:r>
      <w:r w:rsidR="00654626" w:rsidRPr="00563D64">
        <w:rPr>
          <w:rFonts w:ascii="Century Schoolbook" w:hAnsi="Century Schoolbook"/>
          <w:sz w:val="26"/>
          <w:szCs w:val="26"/>
        </w:rPr>
        <w:t>district attorney’s</w:t>
      </w:r>
      <w:r w:rsidR="00533A82" w:rsidRPr="00563D64">
        <w:rPr>
          <w:rFonts w:ascii="Century Schoolbook" w:hAnsi="Century Schoolbook"/>
          <w:sz w:val="26"/>
          <w:szCs w:val="26"/>
        </w:rPr>
        <w:t xml:space="preserve"> office cannot be </w:t>
      </w:r>
      <w:r w:rsidR="009C1898">
        <w:rPr>
          <w:rFonts w:ascii="Century Schoolbook" w:hAnsi="Century Schoolbook"/>
          <w:sz w:val="26"/>
          <w:szCs w:val="26"/>
        </w:rPr>
        <w:t>sufficient</w:t>
      </w:r>
      <w:r w:rsidR="009C1898" w:rsidRPr="00563D64">
        <w:rPr>
          <w:rFonts w:ascii="Century Schoolbook" w:hAnsi="Century Schoolbook"/>
          <w:sz w:val="26"/>
          <w:szCs w:val="26"/>
        </w:rPr>
        <w:t xml:space="preserve">ly </w:t>
      </w:r>
      <w:r w:rsidR="00533A82" w:rsidRPr="00563D64">
        <w:rPr>
          <w:rFonts w:ascii="Century Schoolbook" w:hAnsi="Century Schoolbook"/>
          <w:sz w:val="26"/>
          <w:szCs w:val="26"/>
        </w:rPr>
        <w:t xml:space="preserve">“sanitized” from the </w:t>
      </w:r>
      <w:r w:rsidR="00AA470A" w:rsidRPr="00563D64">
        <w:rPr>
          <w:rFonts w:ascii="Century Schoolbook" w:hAnsi="Century Schoolbook"/>
          <w:sz w:val="26"/>
          <w:szCs w:val="26"/>
        </w:rPr>
        <w:t>“</w:t>
      </w:r>
      <w:r w:rsidR="00533A82" w:rsidRPr="00563D64">
        <w:rPr>
          <w:rFonts w:ascii="Century Schoolbook" w:hAnsi="Century Schoolbook"/>
          <w:sz w:val="26"/>
          <w:szCs w:val="26"/>
        </w:rPr>
        <w:t>influence</w:t>
      </w:r>
      <w:r w:rsidR="00AA470A" w:rsidRPr="00563D64">
        <w:rPr>
          <w:rFonts w:ascii="Century Schoolbook" w:hAnsi="Century Schoolbook"/>
          <w:sz w:val="26"/>
          <w:szCs w:val="26"/>
        </w:rPr>
        <w:t>[]</w:t>
      </w:r>
      <w:r w:rsidR="00533A82" w:rsidRPr="00563D64">
        <w:rPr>
          <w:rFonts w:ascii="Century Schoolbook" w:hAnsi="Century Schoolbook"/>
          <w:sz w:val="26"/>
          <w:szCs w:val="26"/>
        </w:rPr>
        <w:t>” of the district attorney</w:t>
      </w:r>
      <w:r w:rsidR="003F350F" w:rsidRPr="00563D64">
        <w:rPr>
          <w:rFonts w:ascii="Century Schoolbook" w:hAnsi="Century Schoolbook"/>
          <w:sz w:val="26"/>
          <w:szCs w:val="26"/>
        </w:rPr>
        <w:t>’s conflict</w:t>
      </w:r>
      <w:r w:rsidR="00533A82" w:rsidRPr="00563D64">
        <w:rPr>
          <w:rFonts w:ascii="Century Schoolbook" w:hAnsi="Century Schoolbook"/>
          <w:sz w:val="26"/>
          <w:szCs w:val="26"/>
        </w:rPr>
        <w:t xml:space="preserve"> because he hires, evaluates</w:t>
      </w:r>
      <w:r w:rsidR="00654626" w:rsidRPr="00563D64">
        <w:rPr>
          <w:rFonts w:ascii="Century Schoolbook" w:hAnsi="Century Schoolbook"/>
          <w:sz w:val="26"/>
          <w:szCs w:val="26"/>
        </w:rPr>
        <w:t>,</w:t>
      </w:r>
      <w:r w:rsidR="00533A82" w:rsidRPr="00563D64">
        <w:rPr>
          <w:rFonts w:ascii="Century Schoolbook" w:hAnsi="Century Schoolbook"/>
          <w:sz w:val="26"/>
          <w:szCs w:val="26"/>
        </w:rPr>
        <w:t xml:space="preserve"> and promotes every deputy in the office].)</w:t>
      </w:r>
    </w:p>
  </w:footnote>
  <w:footnote w:id="4">
    <w:p w14:paraId="5CF6143A" w14:textId="0AC50CAC" w:rsidR="0076116B" w:rsidRPr="00563D64" w:rsidRDefault="0076116B" w:rsidP="0076116B">
      <w:pPr>
        <w:pStyle w:val="FootnoteText"/>
        <w:ind w:firstLine="720"/>
        <w:rPr>
          <w:rFonts w:ascii="Century Schoolbook" w:hAnsi="Century Schoolbook"/>
          <w:sz w:val="26"/>
          <w:szCs w:val="26"/>
        </w:rPr>
      </w:pPr>
      <w:r w:rsidRPr="00563D64">
        <w:rPr>
          <w:rStyle w:val="FootnoteReference"/>
          <w:rFonts w:ascii="Century Schoolbook" w:hAnsi="Century Schoolbook"/>
          <w:sz w:val="26"/>
          <w:szCs w:val="26"/>
        </w:rPr>
        <w:footnoteRef/>
      </w:r>
      <w:r w:rsidRPr="00563D64">
        <w:rPr>
          <w:rFonts w:ascii="Century Schoolbook" w:hAnsi="Century Schoolbook"/>
          <w:sz w:val="26"/>
          <w:szCs w:val="26"/>
        </w:rPr>
        <w:t xml:space="preserve"> The Court, on its own motion, take</w:t>
      </w:r>
      <w:r w:rsidR="003F350F" w:rsidRPr="00563D64">
        <w:rPr>
          <w:rFonts w:ascii="Century Schoolbook" w:hAnsi="Century Schoolbook"/>
          <w:sz w:val="26"/>
          <w:szCs w:val="26"/>
        </w:rPr>
        <w:t>s</w:t>
      </w:r>
      <w:r w:rsidRPr="00563D64">
        <w:rPr>
          <w:rFonts w:ascii="Century Schoolbook" w:hAnsi="Century Schoolbook"/>
          <w:sz w:val="26"/>
          <w:szCs w:val="26"/>
        </w:rPr>
        <w:t xml:space="preserve"> judicial notice of </w:t>
      </w:r>
      <w:r w:rsidR="002765FA" w:rsidRPr="00563D64">
        <w:rPr>
          <w:rFonts w:ascii="Century Schoolbook" w:hAnsi="Century Schoolbook"/>
          <w:sz w:val="26"/>
          <w:szCs w:val="26"/>
        </w:rPr>
        <w:t>the size of the Chronicle’s circulation in Northern California</w:t>
      </w:r>
      <w:r w:rsidRPr="00563D64">
        <w:rPr>
          <w:rFonts w:ascii="Century Schoolbook" w:hAnsi="Century Schoolbook"/>
          <w:sz w:val="26"/>
          <w:szCs w:val="26"/>
        </w:rPr>
        <w:t xml:space="preserve">.  (Evid. Code, § 452, subd. (g).) </w:t>
      </w:r>
    </w:p>
  </w:footnote>
  <w:footnote w:id="5">
    <w:p w14:paraId="64C185E0" w14:textId="6B06F84E" w:rsidR="00896FC0" w:rsidRPr="00896FC0" w:rsidRDefault="00896FC0" w:rsidP="00896FC0">
      <w:pPr>
        <w:pStyle w:val="FootnoteText"/>
        <w:ind w:firstLine="720"/>
        <w:rPr>
          <w:rFonts w:ascii="Century Schoolbook" w:hAnsi="Century Schoolbook"/>
          <w:sz w:val="26"/>
          <w:szCs w:val="26"/>
        </w:rPr>
      </w:pPr>
      <w:r w:rsidRPr="00563D64">
        <w:rPr>
          <w:rStyle w:val="FootnoteReference"/>
          <w:rFonts w:ascii="Century Schoolbook" w:hAnsi="Century Schoolbook"/>
          <w:sz w:val="26"/>
          <w:szCs w:val="26"/>
        </w:rPr>
        <w:footnoteRef/>
      </w:r>
      <w:r w:rsidRPr="00563D64">
        <w:rPr>
          <w:rFonts w:ascii="Century Schoolbook" w:hAnsi="Century Schoolbook"/>
          <w:sz w:val="26"/>
          <w:szCs w:val="26"/>
        </w:rPr>
        <w:t xml:space="preserve"> There is no evidence in the record </w:t>
      </w:r>
      <w:r w:rsidR="008A40B6" w:rsidRPr="00563D64">
        <w:rPr>
          <w:rFonts w:ascii="Century Schoolbook" w:hAnsi="Century Schoolbook"/>
          <w:sz w:val="26"/>
          <w:szCs w:val="26"/>
        </w:rPr>
        <w:t xml:space="preserve">that the Office instituted </w:t>
      </w:r>
      <w:r w:rsidRPr="00563D64">
        <w:rPr>
          <w:rFonts w:ascii="Century Schoolbook" w:hAnsi="Century Schoolbook"/>
          <w:sz w:val="26"/>
          <w:szCs w:val="26"/>
        </w:rPr>
        <w:t xml:space="preserve">an ethical wall </w:t>
      </w:r>
      <w:r w:rsidR="008A40B6" w:rsidRPr="00563D64">
        <w:rPr>
          <w:rFonts w:ascii="Century Schoolbook" w:hAnsi="Century Schoolbook"/>
          <w:sz w:val="26"/>
          <w:szCs w:val="26"/>
        </w:rPr>
        <w:t xml:space="preserve">for Jenkins </w:t>
      </w:r>
      <w:r w:rsidRPr="00563D64">
        <w:rPr>
          <w:rFonts w:ascii="Century Schoolbook" w:hAnsi="Century Schoolbook"/>
          <w:sz w:val="26"/>
          <w:szCs w:val="26"/>
        </w:rPr>
        <w:t>in the Pomar/Young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BE14" w14:textId="77777777" w:rsidR="000B3620" w:rsidRDefault="000B3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5AD9" w14:textId="77777777" w:rsidR="000B3620" w:rsidRDefault="000B3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62C7" w14:textId="77777777" w:rsidR="000B3620" w:rsidRDefault="000B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F87"/>
    <w:multiLevelType w:val="hybridMultilevel"/>
    <w:tmpl w:val="57FCC760"/>
    <w:lvl w:ilvl="0" w:tplc="2F427C3A">
      <w:start w:val="1"/>
      <w:numFmt w:val="decimal"/>
      <w:lvlText w:val="%1."/>
      <w:lvlJc w:val="left"/>
      <w:pPr>
        <w:ind w:left="2000" w:hanging="361"/>
        <w:jc w:val="left"/>
      </w:pPr>
      <w:rPr>
        <w:rFonts w:ascii="Times New Roman" w:eastAsia="Times New Roman" w:hAnsi="Times New Roman" w:cs="Times New Roman" w:hint="default"/>
        <w:b/>
        <w:bCs/>
        <w:w w:val="99"/>
        <w:sz w:val="26"/>
        <w:szCs w:val="26"/>
        <w:lang w:val="en-US" w:eastAsia="en-US" w:bidi="en-US"/>
      </w:rPr>
    </w:lvl>
    <w:lvl w:ilvl="1" w:tplc="2DF80480">
      <w:start w:val="1"/>
      <w:numFmt w:val="lowerLetter"/>
      <w:lvlText w:val="%2."/>
      <w:lvlJc w:val="left"/>
      <w:pPr>
        <w:ind w:left="2244" w:hanging="245"/>
        <w:jc w:val="left"/>
      </w:pPr>
      <w:rPr>
        <w:rFonts w:ascii="Times New Roman" w:eastAsia="Times New Roman" w:hAnsi="Times New Roman" w:cs="Times New Roman" w:hint="default"/>
        <w:w w:val="99"/>
        <w:sz w:val="26"/>
        <w:szCs w:val="26"/>
        <w:u w:val="single" w:color="000000"/>
        <w:lang w:val="en-US" w:eastAsia="en-US" w:bidi="en-US"/>
      </w:rPr>
    </w:lvl>
    <w:lvl w:ilvl="2" w:tplc="FB5A51F8">
      <w:numFmt w:val="bullet"/>
      <w:lvlText w:val="•"/>
      <w:lvlJc w:val="left"/>
      <w:pPr>
        <w:ind w:left="3213" w:hanging="245"/>
      </w:pPr>
      <w:rPr>
        <w:rFonts w:hint="default"/>
        <w:lang w:val="en-US" w:eastAsia="en-US" w:bidi="en-US"/>
      </w:rPr>
    </w:lvl>
    <w:lvl w:ilvl="3" w:tplc="18F00498">
      <w:numFmt w:val="bullet"/>
      <w:lvlText w:val="•"/>
      <w:lvlJc w:val="left"/>
      <w:pPr>
        <w:ind w:left="4186" w:hanging="245"/>
      </w:pPr>
      <w:rPr>
        <w:rFonts w:hint="default"/>
        <w:lang w:val="en-US" w:eastAsia="en-US" w:bidi="en-US"/>
      </w:rPr>
    </w:lvl>
    <w:lvl w:ilvl="4" w:tplc="B522679A">
      <w:numFmt w:val="bullet"/>
      <w:lvlText w:val="•"/>
      <w:lvlJc w:val="left"/>
      <w:pPr>
        <w:ind w:left="5160" w:hanging="245"/>
      </w:pPr>
      <w:rPr>
        <w:rFonts w:hint="default"/>
        <w:lang w:val="en-US" w:eastAsia="en-US" w:bidi="en-US"/>
      </w:rPr>
    </w:lvl>
    <w:lvl w:ilvl="5" w:tplc="1436E0DE">
      <w:numFmt w:val="bullet"/>
      <w:lvlText w:val="•"/>
      <w:lvlJc w:val="left"/>
      <w:pPr>
        <w:ind w:left="6133" w:hanging="245"/>
      </w:pPr>
      <w:rPr>
        <w:rFonts w:hint="default"/>
        <w:lang w:val="en-US" w:eastAsia="en-US" w:bidi="en-US"/>
      </w:rPr>
    </w:lvl>
    <w:lvl w:ilvl="6" w:tplc="2FC85FCA">
      <w:numFmt w:val="bullet"/>
      <w:lvlText w:val="•"/>
      <w:lvlJc w:val="left"/>
      <w:pPr>
        <w:ind w:left="7106" w:hanging="245"/>
      </w:pPr>
      <w:rPr>
        <w:rFonts w:hint="default"/>
        <w:lang w:val="en-US" w:eastAsia="en-US" w:bidi="en-US"/>
      </w:rPr>
    </w:lvl>
    <w:lvl w:ilvl="7" w:tplc="2AECF388">
      <w:numFmt w:val="bullet"/>
      <w:lvlText w:val="•"/>
      <w:lvlJc w:val="left"/>
      <w:pPr>
        <w:ind w:left="8080" w:hanging="245"/>
      </w:pPr>
      <w:rPr>
        <w:rFonts w:hint="default"/>
        <w:lang w:val="en-US" w:eastAsia="en-US" w:bidi="en-US"/>
      </w:rPr>
    </w:lvl>
    <w:lvl w:ilvl="8" w:tplc="59E62F10">
      <w:numFmt w:val="bullet"/>
      <w:lvlText w:val="•"/>
      <w:lvlJc w:val="left"/>
      <w:pPr>
        <w:ind w:left="9053" w:hanging="245"/>
      </w:pPr>
      <w:rPr>
        <w:rFonts w:hint="default"/>
        <w:lang w:val="en-US" w:eastAsia="en-US" w:bidi="en-US"/>
      </w:rPr>
    </w:lvl>
  </w:abstractNum>
  <w:abstractNum w:abstractNumId="1" w15:restartNumberingAfterBreak="0">
    <w:nsid w:val="03B72E1C"/>
    <w:multiLevelType w:val="hybridMultilevel"/>
    <w:tmpl w:val="250A45D4"/>
    <w:lvl w:ilvl="0" w:tplc="226CCAD0">
      <w:start w:val="12"/>
      <w:numFmt w:val="upperLetter"/>
      <w:lvlText w:val="%1"/>
      <w:lvlJc w:val="left"/>
      <w:pPr>
        <w:ind w:left="1278" w:hanging="541"/>
        <w:jc w:val="left"/>
      </w:pPr>
      <w:rPr>
        <w:rFonts w:hint="default"/>
        <w:lang w:val="en-US" w:eastAsia="en-US" w:bidi="en-US"/>
      </w:rPr>
    </w:lvl>
    <w:lvl w:ilvl="1" w:tplc="4AEA42AC">
      <w:start w:val="1"/>
      <w:numFmt w:val="upperRoman"/>
      <w:lvlText w:val="%2."/>
      <w:lvlJc w:val="left"/>
      <w:pPr>
        <w:ind w:left="1712" w:hanging="288"/>
        <w:jc w:val="left"/>
      </w:pPr>
      <w:rPr>
        <w:rFonts w:ascii="Times New Roman" w:eastAsia="Times New Roman" w:hAnsi="Times New Roman" w:cs="Times New Roman" w:hint="default"/>
        <w:b/>
        <w:bCs/>
        <w:spacing w:val="-1"/>
        <w:w w:val="99"/>
        <w:sz w:val="26"/>
        <w:szCs w:val="26"/>
        <w:lang w:val="en-US" w:eastAsia="en-US" w:bidi="en-US"/>
      </w:rPr>
    </w:lvl>
    <w:lvl w:ilvl="2" w:tplc="1B8E6594">
      <w:start w:val="3"/>
      <w:numFmt w:val="upperRoman"/>
      <w:lvlText w:val="%3."/>
      <w:lvlJc w:val="left"/>
      <w:pPr>
        <w:ind w:left="4349" w:hanging="721"/>
        <w:jc w:val="right"/>
      </w:pPr>
      <w:rPr>
        <w:rFonts w:ascii="Times New Roman" w:eastAsia="Times New Roman" w:hAnsi="Times New Roman" w:cs="Times New Roman" w:hint="default"/>
        <w:b/>
        <w:bCs/>
        <w:spacing w:val="-1"/>
        <w:w w:val="99"/>
        <w:sz w:val="26"/>
        <w:szCs w:val="26"/>
        <w:lang w:val="en-US" w:eastAsia="en-US" w:bidi="en-US"/>
      </w:rPr>
    </w:lvl>
    <w:lvl w:ilvl="3" w:tplc="7624D1AA">
      <w:numFmt w:val="bullet"/>
      <w:lvlText w:val="•"/>
      <w:lvlJc w:val="left"/>
      <w:pPr>
        <w:ind w:left="5172" w:hanging="721"/>
      </w:pPr>
      <w:rPr>
        <w:rFonts w:hint="default"/>
        <w:lang w:val="en-US" w:eastAsia="en-US" w:bidi="en-US"/>
      </w:rPr>
    </w:lvl>
    <w:lvl w:ilvl="4" w:tplc="19E01076">
      <w:numFmt w:val="bullet"/>
      <w:lvlText w:val="•"/>
      <w:lvlJc w:val="left"/>
      <w:pPr>
        <w:ind w:left="6005" w:hanging="721"/>
      </w:pPr>
      <w:rPr>
        <w:rFonts w:hint="default"/>
        <w:lang w:val="en-US" w:eastAsia="en-US" w:bidi="en-US"/>
      </w:rPr>
    </w:lvl>
    <w:lvl w:ilvl="5" w:tplc="C3A427B0">
      <w:numFmt w:val="bullet"/>
      <w:lvlText w:val="•"/>
      <w:lvlJc w:val="left"/>
      <w:pPr>
        <w:ind w:left="6837" w:hanging="721"/>
      </w:pPr>
      <w:rPr>
        <w:rFonts w:hint="default"/>
        <w:lang w:val="en-US" w:eastAsia="en-US" w:bidi="en-US"/>
      </w:rPr>
    </w:lvl>
    <w:lvl w:ilvl="6" w:tplc="102CE3B6">
      <w:numFmt w:val="bullet"/>
      <w:lvlText w:val="•"/>
      <w:lvlJc w:val="left"/>
      <w:pPr>
        <w:ind w:left="7670" w:hanging="721"/>
      </w:pPr>
      <w:rPr>
        <w:rFonts w:hint="default"/>
        <w:lang w:val="en-US" w:eastAsia="en-US" w:bidi="en-US"/>
      </w:rPr>
    </w:lvl>
    <w:lvl w:ilvl="7" w:tplc="44EC6AB6">
      <w:numFmt w:val="bullet"/>
      <w:lvlText w:val="•"/>
      <w:lvlJc w:val="left"/>
      <w:pPr>
        <w:ind w:left="8502" w:hanging="721"/>
      </w:pPr>
      <w:rPr>
        <w:rFonts w:hint="default"/>
        <w:lang w:val="en-US" w:eastAsia="en-US" w:bidi="en-US"/>
      </w:rPr>
    </w:lvl>
    <w:lvl w:ilvl="8" w:tplc="375079C0">
      <w:numFmt w:val="bullet"/>
      <w:lvlText w:val="•"/>
      <w:lvlJc w:val="left"/>
      <w:pPr>
        <w:ind w:left="9335" w:hanging="721"/>
      </w:pPr>
      <w:rPr>
        <w:rFonts w:hint="default"/>
        <w:lang w:val="en-US" w:eastAsia="en-US" w:bidi="en-US"/>
      </w:rPr>
    </w:lvl>
  </w:abstractNum>
  <w:abstractNum w:abstractNumId="2" w15:restartNumberingAfterBreak="0">
    <w:nsid w:val="13886E4B"/>
    <w:multiLevelType w:val="hybridMultilevel"/>
    <w:tmpl w:val="BDF85FF8"/>
    <w:lvl w:ilvl="0" w:tplc="C4C0757E">
      <w:start w:val="1"/>
      <w:numFmt w:val="upperRoman"/>
      <w:lvlText w:val="%1."/>
      <w:lvlJc w:val="left"/>
      <w:pPr>
        <w:ind w:left="2719" w:hanging="720"/>
      </w:pPr>
      <w:rPr>
        <w:rFonts w:hint="default"/>
      </w:rPr>
    </w:lvl>
    <w:lvl w:ilvl="1" w:tplc="04090019" w:tentative="1">
      <w:start w:val="1"/>
      <w:numFmt w:val="lowerLetter"/>
      <w:lvlText w:val="%2."/>
      <w:lvlJc w:val="left"/>
      <w:pPr>
        <w:ind w:left="3079" w:hanging="360"/>
      </w:pPr>
    </w:lvl>
    <w:lvl w:ilvl="2" w:tplc="0409001B" w:tentative="1">
      <w:start w:val="1"/>
      <w:numFmt w:val="lowerRoman"/>
      <w:lvlText w:val="%3."/>
      <w:lvlJc w:val="right"/>
      <w:pPr>
        <w:ind w:left="3799" w:hanging="180"/>
      </w:pPr>
    </w:lvl>
    <w:lvl w:ilvl="3" w:tplc="0409000F" w:tentative="1">
      <w:start w:val="1"/>
      <w:numFmt w:val="decimal"/>
      <w:lvlText w:val="%4."/>
      <w:lvlJc w:val="left"/>
      <w:pPr>
        <w:ind w:left="4519" w:hanging="360"/>
      </w:pPr>
    </w:lvl>
    <w:lvl w:ilvl="4" w:tplc="04090019" w:tentative="1">
      <w:start w:val="1"/>
      <w:numFmt w:val="lowerLetter"/>
      <w:lvlText w:val="%5."/>
      <w:lvlJc w:val="left"/>
      <w:pPr>
        <w:ind w:left="5239" w:hanging="360"/>
      </w:pPr>
    </w:lvl>
    <w:lvl w:ilvl="5" w:tplc="0409001B" w:tentative="1">
      <w:start w:val="1"/>
      <w:numFmt w:val="lowerRoman"/>
      <w:lvlText w:val="%6."/>
      <w:lvlJc w:val="right"/>
      <w:pPr>
        <w:ind w:left="5959" w:hanging="180"/>
      </w:pPr>
    </w:lvl>
    <w:lvl w:ilvl="6" w:tplc="0409000F" w:tentative="1">
      <w:start w:val="1"/>
      <w:numFmt w:val="decimal"/>
      <w:lvlText w:val="%7."/>
      <w:lvlJc w:val="left"/>
      <w:pPr>
        <w:ind w:left="6679" w:hanging="360"/>
      </w:pPr>
    </w:lvl>
    <w:lvl w:ilvl="7" w:tplc="04090019" w:tentative="1">
      <w:start w:val="1"/>
      <w:numFmt w:val="lowerLetter"/>
      <w:lvlText w:val="%8."/>
      <w:lvlJc w:val="left"/>
      <w:pPr>
        <w:ind w:left="7399" w:hanging="360"/>
      </w:pPr>
    </w:lvl>
    <w:lvl w:ilvl="8" w:tplc="0409001B" w:tentative="1">
      <w:start w:val="1"/>
      <w:numFmt w:val="lowerRoman"/>
      <w:lvlText w:val="%9."/>
      <w:lvlJc w:val="right"/>
      <w:pPr>
        <w:ind w:left="8119" w:hanging="180"/>
      </w:pPr>
    </w:lvl>
  </w:abstractNum>
  <w:abstractNum w:abstractNumId="3" w15:restartNumberingAfterBreak="0">
    <w:nsid w:val="146C31EE"/>
    <w:multiLevelType w:val="hybridMultilevel"/>
    <w:tmpl w:val="707CB176"/>
    <w:lvl w:ilvl="0" w:tplc="8872F0BC">
      <w:start w:val="1"/>
      <w:numFmt w:val="upperLetter"/>
      <w:lvlText w:val="(%1)"/>
      <w:lvlJc w:val="left"/>
      <w:pPr>
        <w:ind w:left="2000" w:hanging="420"/>
        <w:jc w:val="left"/>
      </w:pPr>
      <w:rPr>
        <w:rFonts w:ascii="Times New Roman" w:eastAsia="Times New Roman" w:hAnsi="Times New Roman" w:cs="Times New Roman" w:hint="default"/>
        <w:w w:val="99"/>
        <w:sz w:val="26"/>
        <w:szCs w:val="26"/>
        <w:lang w:val="en-US" w:eastAsia="en-US" w:bidi="en-US"/>
      </w:rPr>
    </w:lvl>
    <w:lvl w:ilvl="1" w:tplc="E45C62F6">
      <w:numFmt w:val="bullet"/>
      <w:lvlText w:val="•"/>
      <w:lvlJc w:val="left"/>
      <w:pPr>
        <w:ind w:left="2900" w:hanging="420"/>
      </w:pPr>
      <w:rPr>
        <w:rFonts w:hint="default"/>
        <w:lang w:val="en-US" w:eastAsia="en-US" w:bidi="en-US"/>
      </w:rPr>
    </w:lvl>
    <w:lvl w:ilvl="2" w:tplc="DB18E8E0">
      <w:numFmt w:val="bullet"/>
      <w:lvlText w:val="•"/>
      <w:lvlJc w:val="left"/>
      <w:pPr>
        <w:ind w:left="3800" w:hanging="420"/>
      </w:pPr>
      <w:rPr>
        <w:rFonts w:hint="default"/>
        <w:lang w:val="en-US" w:eastAsia="en-US" w:bidi="en-US"/>
      </w:rPr>
    </w:lvl>
    <w:lvl w:ilvl="3" w:tplc="8FBE0AA4">
      <w:numFmt w:val="bullet"/>
      <w:lvlText w:val="•"/>
      <w:lvlJc w:val="left"/>
      <w:pPr>
        <w:ind w:left="4700" w:hanging="420"/>
      </w:pPr>
      <w:rPr>
        <w:rFonts w:hint="default"/>
        <w:lang w:val="en-US" w:eastAsia="en-US" w:bidi="en-US"/>
      </w:rPr>
    </w:lvl>
    <w:lvl w:ilvl="4" w:tplc="8822E50C">
      <w:numFmt w:val="bullet"/>
      <w:lvlText w:val="•"/>
      <w:lvlJc w:val="left"/>
      <w:pPr>
        <w:ind w:left="5600" w:hanging="420"/>
      </w:pPr>
      <w:rPr>
        <w:rFonts w:hint="default"/>
        <w:lang w:val="en-US" w:eastAsia="en-US" w:bidi="en-US"/>
      </w:rPr>
    </w:lvl>
    <w:lvl w:ilvl="5" w:tplc="88FA432E">
      <w:numFmt w:val="bullet"/>
      <w:lvlText w:val="•"/>
      <w:lvlJc w:val="left"/>
      <w:pPr>
        <w:ind w:left="6500" w:hanging="420"/>
      </w:pPr>
      <w:rPr>
        <w:rFonts w:hint="default"/>
        <w:lang w:val="en-US" w:eastAsia="en-US" w:bidi="en-US"/>
      </w:rPr>
    </w:lvl>
    <w:lvl w:ilvl="6" w:tplc="CE0E9214">
      <w:numFmt w:val="bullet"/>
      <w:lvlText w:val="•"/>
      <w:lvlJc w:val="left"/>
      <w:pPr>
        <w:ind w:left="7400" w:hanging="420"/>
      </w:pPr>
      <w:rPr>
        <w:rFonts w:hint="default"/>
        <w:lang w:val="en-US" w:eastAsia="en-US" w:bidi="en-US"/>
      </w:rPr>
    </w:lvl>
    <w:lvl w:ilvl="7" w:tplc="AF7CCAEC">
      <w:numFmt w:val="bullet"/>
      <w:lvlText w:val="•"/>
      <w:lvlJc w:val="left"/>
      <w:pPr>
        <w:ind w:left="8300" w:hanging="420"/>
      </w:pPr>
      <w:rPr>
        <w:rFonts w:hint="default"/>
        <w:lang w:val="en-US" w:eastAsia="en-US" w:bidi="en-US"/>
      </w:rPr>
    </w:lvl>
    <w:lvl w:ilvl="8" w:tplc="5832C872">
      <w:numFmt w:val="bullet"/>
      <w:lvlText w:val="•"/>
      <w:lvlJc w:val="left"/>
      <w:pPr>
        <w:ind w:left="9200" w:hanging="420"/>
      </w:pPr>
      <w:rPr>
        <w:rFonts w:hint="default"/>
        <w:lang w:val="en-US" w:eastAsia="en-US" w:bidi="en-US"/>
      </w:rPr>
    </w:lvl>
  </w:abstractNum>
  <w:abstractNum w:abstractNumId="4" w15:restartNumberingAfterBreak="0">
    <w:nsid w:val="257B24E2"/>
    <w:multiLevelType w:val="hybridMultilevel"/>
    <w:tmpl w:val="60ECC336"/>
    <w:lvl w:ilvl="0" w:tplc="A5A4FBE6">
      <w:start w:val="1"/>
      <w:numFmt w:val="upperLetter"/>
      <w:lvlText w:val="%1."/>
      <w:lvlJc w:val="left"/>
      <w:pPr>
        <w:ind w:left="2000" w:hanging="288"/>
        <w:jc w:val="left"/>
      </w:pPr>
      <w:rPr>
        <w:rFonts w:ascii="Times New Roman" w:eastAsia="Times New Roman" w:hAnsi="Times New Roman" w:cs="Times New Roman" w:hint="default"/>
        <w:b/>
        <w:bCs/>
        <w:spacing w:val="-1"/>
        <w:w w:val="99"/>
        <w:sz w:val="26"/>
        <w:szCs w:val="26"/>
        <w:lang w:val="en-US" w:eastAsia="en-US" w:bidi="en-US"/>
      </w:rPr>
    </w:lvl>
    <w:lvl w:ilvl="1" w:tplc="5AEC9F18">
      <w:numFmt w:val="bullet"/>
      <w:lvlText w:val="•"/>
      <w:lvlJc w:val="left"/>
      <w:pPr>
        <w:ind w:left="2900" w:hanging="288"/>
      </w:pPr>
      <w:rPr>
        <w:rFonts w:hint="default"/>
        <w:lang w:val="en-US" w:eastAsia="en-US" w:bidi="en-US"/>
      </w:rPr>
    </w:lvl>
    <w:lvl w:ilvl="2" w:tplc="C712A074">
      <w:numFmt w:val="bullet"/>
      <w:lvlText w:val="•"/>
      <w:lvlJc w:val="left"/>
      <w:pPr>
        <w:ind w:left="3800" w:hanging="288"/>
      </w:pPr>
      <w:rPr>
        <w:rFonts w:hint="default"/>
        <w:lang w:val="en-US" w:eastAsia="en-US" w:bidi="en-US"/>
      </w:rPr>
    </w:lvl>
    <w:lvl w:ilvl="3" w:tplc="FDBCC8F6">
      <w:numFmt w:val="bullet"/>
      <w:lvlText w:val="•"/>
      <w:lvlJc w:val="left"/>
      <w:pPr>
        <w:ind w:left="4700" w:hanging="288"/>
      </w:pPr>
      <w:rPr>
        <w:rFonts w:hint="default"/>
        <w:lang w:val="en-US" w:eastAsia="en-US" w:bidi="en-US"/>
      </w:rPr>
    </w:lvl>
    <w:lvl w:ilvl="4" w:tplc="0330BC24">
      <w:numFmt w:val="bullet"/>
      <w:lvlText w:val="•"/>
      <w:lvlJc w:val="left"/>
      <w:pPr>
        <w:ind w:left="5600" w:hanging="288"/>
      </w:pPr>
      <w:rPr>
        <w:rFonts w:hint="default"/>
        <w:lang w:val="en-US" w:eastAsia="en-US" w:bidi="en-US"/>
      </w:rPr>
    </w:lvl>
    <w:lvl w:ilvl="5" w:tplc="3ACE445C">
      <w:numFmt w:val="bullet"/>
      <w:lvlText w:val="•"/>
      <w:lvlJc w:val="left"/>
      <w:pPr>
        <w:ind w:left="6500" w:hanging="288"/>
      </w:pPr>
      <w:rPr>
        <w:rFonts w:hint="default"/>
        <w:lang w:val="en-US" w:eastAsia="en-US" w:bidi="en-US"/>
      </w:rPr>
    </w:lvl>
    <w:lvl w:ilvl="6" w:tplc="0EF63964">
      <w:numFmt w:val="bullet"/>
      <w:lvlText w:val="•"/>
      <w:lvlJc w:val="left"/>
      <w:pPr>
        <w:ind w:left="7400" w:hanging="288"/>
      </w:pPr>
      <w:rPr>
        <w:rFonts w:hint="default"/>
        <w:lang w:val="en-US" w:eastAsia="en-US" w:bidi="en-US"/>
      </w:rPr>
    </w:lvl>
    <w:lvl w:ilvl="7" w:tplc="13F62354">
      <w:numFmt w:val="bullet"/>
      <w:lvlText w:val="•"/>
      <w:lvlJc w:val="left"/>
      <w:pPr>
        <w:ind w:left="8300" w:hanging="288"/>
      </w:pPr>
      <w:rPr>
        <w:rFonts w:hint="default"/>
        <w:lang w:val="en-US" w:eastAsia="en-US" w:bidi="en-US"/>
      </w:rPr>
    </w:lvl>
    <w:lvl w:ilvl="8" w:tplc="B520FF9A">
      <w:numFmt w:val="bullet"/>
      <w:lvlText w:val="•"/>
      <w:lvlJc w:val="left"/>
      <w:pPr>
        <w:ind w:left="9200" w:hanging="288"/>
      </w:pPr>
      <w:rPr>
        <w:rFonts w:hint="default"/>
        <w:lang w:val="en-US" w:eastAsia="en-US" w:bidi="en-US"/>
      </w:rPr>
    </w:lvl>
  </w:abstractNum>
  <w:abstractNum w:abstractNumId="5" w15:restartNumberingAfterBreak="0">
    <w:nsid w:val="2EF53942"/>
    <w:multiLevelType w:val="hybridMultilevel"/>
    <w:tmpl w:val="CD524B30"/>
    <w:lvl w:ilvl="0" w:tplc="EC5C3116">
      <w:start w:val="1"/>
      <w:numFmt w:val="lowerLetter"/>
      <w:lvlText w:val="%1."/>
      <w:lvlJc w:val="left"/>
      <w:pPr>
        <w:ind w:left="2336" w:hanging="245"/>
        <w:jc w:val="left"/>
      </w:pPr>
      <w:rPr>
        <w:rFonts w:ascii="Times New Roman" w:eastAsia="Times New Roman" w:hAnsi="Times New Roman" w:cs="Times New Roman" w:hint="default"/>
        <w:w w:val="99"/>
        <w:sz w:val="26"/>
        <w:szCs w:val="26"/>
        <w:lang w:val="en-US" w:eastAsia="en-US" w:bidi="en-US"/>
      </w:rPr>
    </w:lvl>
    <w:lvl w:ilvl="1" w:tplc="9BA8FDEC">
      <w:numFmt w:val="bullet"/>
      <w:lvlText w:val="•"/>
      <w:lvlJc w:val="left"/>
      <w:pPr>
        <w:ind w:left="3206" w:hanging="245"/>
      </w:pPr>
      <w:rPr>
        <w:rFonts w:hint="default"/>
        <w:lang w:val="en-US" w:eastAsia="en-US" w:bidi="en-US"/>
      </w:rPr>
    </w:lvl>
    <w:lvl w:ilvl="2" w:tplc="D5582FE2">
      <w:numFmt w:val="bullet"/>
      <w:lvlText w:val="•"/>
      <w:lvlJc w:val="left"/>
      <w:pPr>
        <w:ind w:left="4072" w:hanging="245"/>
      </w:pPr>
      <w:rPr>
        <w:rFonts w:hint="default"/>
        <w:lang w:val="en-US" w:eastAsia="en-US" w:bidi="en-US"/>
      </w:rPr>
    </w:lvl>
    <w:lvl w:ilvl="3" w:tplc="36E2DCEC">
      <w:numFmt w:val="bullet"/>
      <w:lvlText w:val="•"/>
      <w:lvlJc w:val="left"/>
      <w:pPr>
        <w:ind w:left="4938" w:hanging="245"/>
      </w:pPr>
      <w:rPr>
        <w:rFonts w:hint="default"/>
        <w:lang w:val="en-US" w:eastAsia="en-US" w:bidi="en-US"/>
      </w:rPr>
    </w:lvl>
    <w:lvl w:ilvl="4" w:tplc="EF646DD4">
      <w:numFmt w:val="bullet"/>
      <w:lvlText w:val="•"/>
      <w:lvlJc w:val="left"/>
      <w:pPr>
        <w:ind w:left="5804" w:hanging="245"/>
      </w:pPr>
      <w:rPr>
        <w:rFonts w:hint="default"/>
        <w:lang w:val="en-US" w:eastAsia="en-US" w:bidi="en-US"/>
      </w:rPr>
    </w:lvl>
    <w:lvl w:ilvl="5" w:tplc="FFBA1608">
      <w:numFmt w:val="bullet"/>
      <w:lvlText w:val="•"/>
      <w:lvlJc w:val="left"/>
      <w:pPr>
        <w:ind w:left="6670" w:hanging="245"/>
      </w:pPr>
      <w:rPr>
        <w:rFonts w:hint="default"/>
        <w:lang w:val="en-US" w:eastAsia="en-US" w:bidi="en-US"/>
      </w:rPr>
    </w:lvl>
    <w:lvl w:ilvl="6" w:tplc="991C6DD6">
      <w:numFmt w:val="bullet"/>
      <w:lvlText w:val="•"/>
      <w:lvlJc w:val="left"/>
      <w:pPr>
        <w:ind w:left="7536" w:hanging="245"/>
      </w:pPr>
      <w:rPr>
        <w:rFonts w:hint="default"/>
        <w:lang w:val="en-US" w:eastAsia="en-US" w:bidi="en-US"/>
      </w:rPr>
    </w:lvl>
    <w:lvl w:ilvl="7" w:tplc="1C2041F6">
      <w:numFmt w:val="bullet"/>
      <w:lvlText w:val="•"/>
      <w:lvlJc w:val="left"/>
      <w:pPr>
        <w:ind w:left="8402" w:hanging="245"/>
      </w:pPr>
      <w:rPr>
        <w:rFonts w:hint="default"/>
        <w:lang w:val="en-US" w:eastAsia="en-US" w:bidi="en-US"/>
      </w:rPr>
    </w:lvl>
    <w:lvl w:ilvl="8" w:tplc="DB0E3A64">
      <w:numFmt w:val="bullet"/>
      <w:lvlText w:val="•"/>
      <w:lvlJc w:val="left"/>
      <w:pPr>
        <w:ind w:left="9268" w:hanging="245"/>
      </w:pPr>
      <w:rPr>
        <w:rFonts w:hint="default"/>
        <w:lang w:val="en-US" w:eastAsia="en-US" w:bidi="en-US"/>
      </w:rPr>
    </w:lvl>
  </w:abstractNum>
  <w:abstractNum w:abstractNumId="6" w15:restartNumberingAfterBreak="0">
    <w:nsid w:val="336E4B08"/>
    <w:multiLevelType w:val="hybridMultilevel"/>
    <w:tmpl w:val="77D0F53A"/>
    <w:lvl w:ilvl="0" w:tplc="48AA291E">
      <w:start w:val="1"/>
      <w:numFmt w:val="decimal"/>
      <w:lvlText w:val="%1."/>
      <w:lvlJc w:val="left"/>
      <w:pPr>
        <w:ind w:left="2514" w:hanging="425"/>
        <w:jc w:val="left"/>
      </w:pPr>
      <w:rPr>
        <w:rFonts w:ascii="Times New Roman" w:eastAsia="Times New Roman" w:hAnsi="Times New Roman" w:cs="Times New Roman" w:hint="default"/>
        <w:w w:val="99"/>
        <w:sz w:val="26"/>
        <w:szCs w:val="26"/>
        <w:lang w:val="en-US" w:eastAsia="en-US" w:bidi="en-US"/>
      </w:rPr>
    </w:lvl>
    <w:lvl w:ilvl="1" w:tplc="F1A0353C">
      <w:start w:val="1"/>
      <w:numFmt w:val="lowerLetter"/>
      <w:lvlText w:val="%2."/>
      <w:lvlJc w:val="left"/>
      <w:pPr>
        <w:ind w:left="2450" w:hanging="305"/>
        <w:jc w:val="left"/>
      </w:pPr>
      <w:rPr>
        <w:rFonts w:ascii="Times New Roman" w:eastAsia="Times New Roman" w:hAnsi="Times New Roman" w:cs="Times New Roman" w:hint="default"/>
        <w:w w:val="99"/>
        <w:sz w:val="26"/>
        <w:szCs w:val="26"/>
        <w:lang w:val="en-US" w:eastAsia="en-US" w:bidi="en-US"/>
      </w:rPr>
    </w:lvl>
    <w:lvl w:ilvl="2" w:tplc="B0540A44">
      <w:numFmt w:val="bullet"/>
      <w:lvlText w:val="•"/>
      <w:lvlJc w:val="left"/>
      <w:pPr>
        <w:ind w:left="3462" w:hanging="305"/>
      </w:pPr>
      <w:rPr>
        <w:rFonts w:hint="default"/>
        <w:lang w:val="en-US" w:eastAsia="en-US" w:bidi="en-US"/>
      </w:rPr>
    </w:lvl>
    <w:lvl w:ilvl="3" w:tplc="2CD69150">
      <w:numFmt w:val="bullet"/>
      <w:lvlText w:val="•"/>
      <w:lvlJc w:val="left"/>
      <w:pPr>
        <w:ind w:left="4404" w:hanging="305"/>
      </w:pPr>
      <w:rPr>
        <w:rFonts w:hint="default"/>
        <w:lang w:val="en-US" w:eastAsia="en-US" w:bidi="en-US"/>
      </w:rPr>
    </w:lvl>
    <w:lvl w:ilvl="4" w:tplc="0CA43A38">
      <w:numFmt w:val="bullet"/>
      <w:lvlText w:val="•"/>
      <w:lvlJc w:val="left"/>
      <w:pPr>
        <w:ind w:left="5346" w:hanging="305"/>
      </w:pPr>
      <w:rPr>
        <w:rFonts w:hint="default"/>
        <w:lang w:val="en-US" w:eastAsia="en-US" w:bidi="en-US"/>
      </w:rPr>
    </w:lvl>
    <w:lvl w:ilvl="5" w:tplc="EA8A2F10">
      <w:numFmt w:val="bullet"/>
      <w:lvlText w:val="•"/>
      <w:lvlJc w:val="left"/>
      <w:pPr>
        <w:ind w:left="6288" w:hanging="305"/>
      </w:pPr>
      <w:rPr>
        <w:rFonts w:hint="default"/>
        <w:lang w:val="en-US" w:eastAsia="en-US" w:bidi="en-US"/>
      </w:rPr>
    </w:lvl>
    <w:lvl w:ilvl="6" w:tplc="C324E978">
      <w:numFmt w:val="bullet"/>
      <w:lvlText w:val="•"/>
      <w:lvlJc w:val="left"/>
      <w:pPr>
        <w:ind w:left="7231" w:hanging="305"/>
      </w:pPr>
      <w:rPr>
        <w:rFonts w:hint="default"/>
        <w:lang w:val="en-US" w:eastAsia="en-US" w:bidi="en-US"/>
      </w:rPr>
    </w:lvl>
    <w:lvl w:ilvl="7" w:tplc="3C889B16">
      <w:numFmt w:val="bullet"/>
      <w:lvlText w:val="•"/>
      <w:lvlJc w:val="left"/>
      <w:pPr>
        <w:ind w:left="8173" w:hanging="305"/>
      </w:pPr>
      <w:rPr>
        <w:rFonts w:hint="default"/>
        <w:lang w:val="en-US" w:eastAsia="en-US" w:bidi="en-US"/>
      </w:rPr>
    </w:lvl>
    <w:lvl w:ilvl="8" w:tplc="0BB22034">
      <w:numFmt w:val="bullet"/>
      <w:lvlText w:val="•"/>
      <w:lvlJc w:val="left"/>
      <w:pPr>
        <w:ind w:left="9115" w:hanging="305"/>
      </w:pPr>
      <w:rPr>
        <w:rFonts w:hint="default"/>
        <w:lang w:val="en-US" w:eastAsia="en-US" w:bidi="en-US"/>
      </w:rPr>
    </w:lvl>
  </w:abstractNum>
  <w:abstractNum w:abstractNumId="7" w15:restartNumberingAfterBreak="0">
    <w:nsid w:val="3C3913F7"/>
    <w:multiLevelType w:val="hybridMultilevel"/>
    <w:tmpl w:val="1870CC70"/>
    <w:lvl w:ilvl="0" w:tplc="58F89046">
      <w:start w:val="1"/>
      <w:numFmt w:val="upperRoman"/>
      <w:lvlText w:val="%1."/>
      <w:lvlJc w:val="left"/>
      <w:pPr>
        <w:ind w:left="1911" w:hanging="632"/>
        <w:jc w:val="left"/>
      </w:pPr>
      <w:rPr>
        <w:rFonts w:ascii="Times New Roman" w:eastAsia="Times New Roman" w:hAnsi="Times New Roman" w:cs="Times New Roman" w:hint="default"/>
        <w:w w:val="99"/>
        <w:sz w:val="26"/>
        <w:szCs w:val="26"/>
        <w:lang w:val="en-US" w:eastAsia="en-US" w:bidi="en-US"/>
      </w:rPr>
    </w:lvl>
    <w:lvl w:ilvl="1" w:tplc="5284F946">
      <w:start w:val="1"/>
      <w:numFmt w:val="upperLetter"/>
      <w:lvlText w:val="%2."/>
      <w:lvlJc w:val="left"/>
      <w:pPr>
        <w:ind w:left="2359" w:hanging="361"/>
        <w:jc w:val="left"/>
      </w:pPr>
      <w:rPr>
        <w:rFonts w:ascii="Times New Roman" w:eastAsia="Times New Roman" w:hAnsi="Times New Roman" w:cs="Times New Roman" w:hint="default"/>
        <w:spacing w:val="-1"/>
        <w:w w:val="99"/>
        <w:sz w:val="26"/>
        <w:szCs w:val="26"/>
        <w:lang w:val="en-US" w:eastAsia="en-US" w:bidi="en-US"/>
      </w:rPr>
    </w:lvl>
    <w:lvl w:ilvl="2" w:tplc="8DA21B10">
      <w:start w:val="1"/>
      <w:numFmt w:val="decimal"/>
      <w:lvlText w:val="%3."/>
      <w:lvlJc w:val="left"/>
      <w:pPr>
        <w:ind w:left="2336" w:hanging="245"/>
        <w:jc w:val="left"/>
      </w:pPr>
      <w:rPr>
        <w:rFonts w:ascii="Times New Roman" w:eastAsia="Times New Roman" w:hAnsi="Times New Roman" w:cs="Times New Roman" w:hint="default"/>
        <w:w w:val="99"/>
        <w:sz w:val="26"/>
        <w:szCs w:val="26"/>
        <w:lang w:val="en-US" w:eastAsia="en-US" w:bidi="en-US"/>
      </w:rPr>
    </w:lvl>
    <w:lvl w:ilvl="3" w:tplc="998C2482">
      <w:numFmt w:val="bullet"/>
      <w:lvlText w:val="•"/>
      <w:lvlJc w:val="left"/>
      <w:pPr>
        <w:ind w:left="2460" w:hanging="245"/>
      </w:pPr>
      <w:rPr>
        <w:rFonts w:hint="default"/>
        <w:lang w:val="en-US" w:eastAsia="en-US" w:bidi="en-US"/>
      </w:rPr>
    </w:lvl>
    <w:lvl w:ilvl="4" w:tplc="D0700AE2">
      <w:numFmt w:val="bullet"/>
      <w:lvlText w:val="•"/>
      <w:lvlJc w:val="left"/>
      <w:pPr>
        <w:ind w:left="3680" w:hanging="245"/>
      </w:pPr>
      <w:rPr>
        <w:rFonts w:hint="default"/>
        <w:lang w:val="en-US" w:eastAsia="en-US" w:bidi="en-US"/>
      </w:rPr>
    </w:lvl>
    <w:lvl w:ilvl="5" w:tplc="CF9649CA">
      <w:numFmt w:val="bullet"/>
      <w:lvlText w:val="•"/>
      <w:lvlJc w:val="left"/>
      <w:pPr>
        <w:ind w:left="4900" w:hanging="245"/>
      </w:pPr>
      <w:rPr>
        <w:rFonts w:hint="default"/>
        <w:lang w:val="en-US" w:eastAsia="en-US" w:bidi="en-US"/>
      </w:rPr>
    </w:lvl>
    <w:lvl w:ilvl="6" w:tplc="5B040B2C">
      <w:numFmt w:val="bullet"/>
      <w:lvlText w:val="•"/>
      <w:lvlJc w:val="left"/>
      <w:pPr>
        <w:ind w:left="6120" w:hanging="245"/>
      </w:pPr>
      <w:rPr>
        <w:rFonts w:hint="default"/>
        <w:lang w:val="en-US" w:eastAsia="en-US" w:bidi="en-US"/>
      </w:rPr>
    </w:lvl>
    <w:lvl w:ilvl="7" w:tplc="D89EDD76">
      <w:numFmt w:val="bullet"/>
      <w:lvlText w:val="•"/>
      <w:lvlJc w:val="left"/>
      <w:pPr>
        <w:ind w:left="7340" w:hanging="245"/>
      </w:pPr>
      <w:rPr>
        <w:rFonts w:hint="default"/>
        <w:lang w:val="en-US" w:eastAsia="en-US" w:bidi="en-US"/>
      </w:rPr>
    </w:lvl>
    <w:lvl w:ilvl="8" w:tplc="8D7E8CE0">
      <w:numFmt w:val="bullet"/>
      <w:lvlText w:val="•"/>
      <w:lvlJc w:val="left"/>
      <w:pPr>
        <w:ind w:left="8560" w:hanging="245"/>
      </w:pPr>
      <w:rPr>
        <w:rFonts w:hint="default"/>
        <w:lang w:val="en-US" w:eastAsia="en-US" w:bidi="en-US"/>
      </w:rPr>
    </w:lvl>
  </w:abstractNum>
  <w:abstractNum w:abstractNumId="8" w15:restartNumberingAfterBreak="0">
    <w:nsid w:val="3DFA4F94"/>
    <w:multiLevelType w:val="hybridMultilevel"/>
    <w:tmpl w:val="4B9AA3B8"/>
    <w:lvl w:ilvl="0" w:tplc="6100AD22">
      <w:start w:val="1"/>
      <w:numFmt w:val="decimal"/>
      <w:lvlText w:val="%1."/>
      <w:lvlJc w:val="left"/>
      <w:pPr>
        <w:ind w:left="1205" w:hanging="210"/>
        <w:jc w:val="left"/>
      </w:pPr>
      <w:rPr>
        <w:rFonts w:ascii="Times New Roman" w:eastAsia="Times New Roman" w:hAnsi="Times New Roman" w:cs="Times New Roman" w:hint="default"/>
        <w:w w:val="100"/>
        <w:position w:val="-13"/>
        <w:sz w:val="24"/>
        <w:szCs w:val="24"/>
        <w:lang w:val="en-US" w:eastAsia="en-US" w:bidi="en-US"/>
      </w:rPr>
    </w:lvl>
    <w:lvl w:ilvl="1" w:tplc="88B06628">
      <w:numFmt w:val="bullet"/>
      <w:lvlText w:val="•"/>
      <w:lvlJc w:val="left"/>
      <w:pPr>
        <w:ind w:left="2180" w:hanging="210"/>
      </w:pPr>
      <w:rPr>
        <w:rFonts w:hint="default"/>
        <w:lang w:val="en-US" w:eastAsia="en-US" w:bidi="en-US"/>
      </w:rPr>
    </w:lvl>
    <w:lvl w:ilvl="2" w:tplc="A50C617E">
      <w:numFmt w:val="bullet"/>
      <w:lvlText w:val="•"/>
      <w:lvlJc w:val="left"/>
      <w:pPr>
        <w:ind w:left="3160" w:hanging="210"/>
      </w:pPr>
      <w:rPr>
        <w:rFonts w:hint="default"/>
        <w:lang w:val="en-US" w:eastAsia="en-US" w:bidi="en-US"/>
      </w:rPr>
    </w:lvl>
    <w:lvl w:ilvl="3" w:tplc="B6A6B0B4">
      <w:numFmt w:val="bullet"/>
      <w:lvlText w:val="•"/>
      <w:lvlJc w:val="left"/>
      <w:pPr>
        <w:ind w:left="4140" w:hanging="210"/>
      </w:pPr>
      <w:rPr>
        <w:rFonts w:hint="default"/>
        <w:lang w:val="en-US" w:eastAsia="en-US" w:bidi="en-US"/>
      </w:rPr>
    </w:lvl>
    <w:lvl w:ilvl="4" w:tplc="7E421B30">
      <w:numFmt w:val="bullet"/>
      <w:lvlText w:val="•"/>
      <w:lvlJc w:val="left"/>
      <w:pPr>
        <w:ind w:left="5120" w:hanging="210"/>
      </w:pPr>
      <w:rPr>
        <w:rFonts w:hint="default"/>
        <w:lang w:val="en-US" w:eastAsia="en-US" w:bidi="en-US"/>
      </w:rPr>
    </w:lvl>
    <w:lvl w:ilvl="5" w:tplc="802ED090">
      <w:numFmt w:val="bullet"/>
      <w:lvlText w:val="•"/>
      <w:lvlJc w:val="left"/>
      <w:pPr>
        <w:ind w:left="6100" w:hanging="210"/>
      </w:pPr>
      <w:rPr>
        <w:rFonts w:hint="default"/>
        <w:lang w:val="en-US" w:eastAsia="en-US" w:bidi="en-US"/>
      </w:rPr>
    </w:lvl>
    <w:lvl w:ilvl="6" w:tplc="A120F594">
      <w:numFmt w:val="bullet"/>
      <w:lvlText w:val="•"/>
      <w:lvlJc w:val="left"/>
      <w:pPr>
        <w:ind w:left="7080" w:hanging="210"/>
      </w:pPr>
      <w:rPr>
        <w:rFonts w:hint="default"/>
        <w:lang w:val="en-US" w:eastAsia="en-US" w:bidi="en-US"/>
      </w:rPr>
    </w:lvl>
    <w:lvl w:ilvl="7" w:tplc="D486CE12">
      <w:numFmt w:val="bullet"/>
      <w:lvlText w:val="•"/>
      <w:lvlJc w:val="left"/>
      <w:pPr>
        <w:ind w:left="8060" w:hanging="210"/>
      </w:pPr>
      <w:rPr>
        <w:rFonts w:hint="default"/>
        <w:lang w:val="en-US" w:eastAsia="en-US" w:bidi="en-US"/>
      </w:rPr>
    </w:lvl>
    <w:lvl w:ilvl="8" w:tplc="1114A4DA">
      <w:numFmt w:val="bullet"/>
      <w:lvlText w:val="•"/>
      <w:lvlJc w:val="left"/>
      <w:pPr>
        <w:ind w:left="9040" w:hanging="210"/>
      </w:pPr>
      <w:rPr>
        <w:rFonts w:hint="default"/>
        <w:lang w:val="en-US" w:eastAsia="en-US" w:bidi="en-US"/>
      </w:rPr>
    </w:lvl>
  </w:abstractNum>
  <w:abstractNum w:abstractNumId="9" w15:restartNumberingAfterBreak="0">
    <w:nsid w:val="41A80FB1"/>
    <w:multiLevelType w:val="hybridMultilevel"/>
    <w:tmpl w:val="663A5A94"/>
    <w:lvl w:ilvl="0" w:tplc="621640D8">
      <w:start w:val="1"/>
      <w:numFmt w:val="upperLetter"/>
      <w:lvlText w:val="(%1)"/>
      <w:lvlJc w:val="left"/>
      <w:pPr>
        <w:ind w:left="2419" w:hanging="420"/>
        <w:jc w:val="right"/>
      </w:pPr>
      <w:rPr>
        <w:rFonts w:ascii="Times New Roman" w:eastAsia="Times New Roman" w:hAnsi="Times New Roman" w:cs="Times New Roman" w:hint="default"/>
        <w:w w:val="99"/>
        <w:sz w:val="26"/>
        <w:szCs w:val="26"/>
        <w:lang w:val="en-US" w:eastAsia="en-US" w:bidi="en-US"/>
      </w:rPr>
    </w:lvl>
    <w:lvl w:ilvl="1" w:tplc="02AA7C92">
      <w:start w:val="1"/>
      <w:numFmt w:val="lowerRoman"/>
      <w:lvlText w:val="(%2)"/>
      <w:lvlJc w:val="left"/>
      <w:pPr>
        <w:ind w:left="1999" w:hanging="305"/>
        <w:jc w:val="left"/>
      </w:pPr>
      <w:rPr>
        <w:rFonts w:ascii="Times New Roman" w:eastAsia="Times New Roman" w:hAnsi="Times New Roman" w:cs="Times New Roman" w:hint="default"/>
        <w:w w:val="99"/>
        <w:sz w:val="26"/>
        <w:szCs w:val="26"/>
        <w:lang w:val="en-US" w:eastAsia="en-US" w:bidi="en-US"/>
      </w:rPr>
    </w:lvl>
    <w:lvl w:ilvl="2" w:tplc="7EC60B34">
      <w:numFmt w:val="bullet"/>
      <w:lvlText w:val="•"/>
      <w:lvlJc w:val="left"/>
      <w:pPr>
        <w:ind w:left="3373" w:hanging="305"/>
      </w:pPr>
      <w:rPr>
        <w:rFonts w:hint="default"/>
        <w:lang w:val="en-US" w:eastAsia="en-US" w:bidi="en-US"/>
      </w:rPr>
    </w:lvl>
    <w:lvl w:ilvl="3" w:tplc="1B0CEBE6">
      <w:numFmt w:val="bullet"/>
      <w:lvlText w:val="•"/>
      <w:lvlJc w:val="left"/>
      <w:pPr>
        <w:ind w:left="4326" w:hanging="305"/>
      </w:pPr>
      <w:rPr>
        <w:rFonts w:hint="default"/>
        <w:lang w:val="en-US" w:eastAsia="en-US" w:bidi="en-US"/>
      </w:rPr>
    </w:lvl>
    <w:lvl w:ilvl="4" w:tplc="64988A32">
      <w:numFmt w:val="bullet"/>
      <w:lvlText w:val="•"/>
      <w:lvlJc w:val="left"/>
      <w:pPr>
        <w:ind w:left="5280" w:hanging="305"/>
      </w:pPr>
      <w:rPr>
        <w:rFonts w:hint="default"/>
        <w:lang w:val="en-US" w:eastAsia="en-US" w:bidi="en-US"/>
      </w:rPr>
    </w:lvl>
    <w:lvl w:ilvl="5" w:tplc="4BAA4CE8">
      <w:numFmt w:val="bullet"/>
      <w:lvlText w:val="•"/>
      <w:lvlJc w:val="left"/>
      <w:pPr>
        <w:ind w:left="6233" w:hanging="305"/>
      </w:pPr>
      <w:rPr>
        <w:rFonts w:hint="default"/>
        <w:lang w:val="en-US" w:eastAsia="en-US" w:bidi="en-US"/>
      </w:rPr>
    </w:lvl>
    <w:lvl w:ilvl="6" w:tplc="EA0A26EA">
      <w:numFmt w:val="bullet"/>
      <w:lvlText w:val="•"/>
      <w:lvlJc w:val="left"/>
      <w:pPr>
        <w:ind w:left="7186" w:hanging="305"/>
      </w:pPr>
      <w:rPr>
        <w:rFonts w:hint="default"/>
        <w:lang w:val="en-US" w:eastAsia="en-US" w:bidi="en-US"/>
      </w:rPr>
    </w:lvl>
    <w:lvl w:ilvl="7" w:tplc="640A65A6">
      <w:numFmt w:val="bullet"/>
      <w:lvlText w:val="•"/>
      <w:lvlJc w:val="left"/>
      <w:pPr>
        <w:ind w:left="8140" w:hanging="305"/>
      </w:pPr>
      <w:rPr>
        <w:rFonts w:hint="default"/>
        <w:lang w:val="en-US" w:eastAsia="en-US" w:bidi="en-US"/>
      </w:rPr>
    </w:lvl>
    <w:lvl w:ilvl="8" w:tplc="2C3ED3A8">
      <w:numFmt w:val="bullet"/>
      <w:lvlText w:val="•"/>
      <w:lvlJc w:val="left"/>
      <w:pPr>
        <w:ind w:left="9093" w:hanging="305"/>
      </w:pPr>
      <w:rPr>
        <w:rFonts w:hint="default"/>
        <w:lang w:val="en-US" w:eastAsia="en-US" w:bidi="en-US"/>
      </w:rPr>
    </w:lvl>
  </w:abstractNum>
  <w:abstractNum w:abstractNumId="10" w15:restartNumberingAfterBreak="0">
    <w:nsid w:val="47C335FC"/>
    <w:multiLevelType w:val="hybridMultilevel"/>
    <w:tmpl w:val="6B08A190"/>
    <w:lvl w:ilvl="0" w:tplc="83E8BB04">
      <w:start w:val="5"/>
      <w:numFmt w:val="decimal"/>
      <w:lvlText w:val="(%1)"/>
      <w:lvlJc w:val="left"/>
      <w:pPr>
        <w:ind w:left="2352" w:hanging="353"/>
        <w:jc w:val="left"/>
      </w:pPr>
      <w:rPr>
        <w:rFonts w:ascii="Times New Roman" w:eastAsia="Times New Roman" w:hAnsi="Times New Roman" w:cs="Times New Roman" w:hint="default"/>
        <w:w w:val="99"/>
        <w:sz w:val="26"/>
        <w:szCs w:val="26"/>
        <w:lang w:val="en-US" w:eastAsia="en-US" w:bidi="en-US"/>
      </w:rPr>
    </w:lvl>
    <w:lvl w:ilvl="1" w:tplc="FB800992">
      <w:numFmt w:val="bullet"/>
      <w:lvlText w:val="•"/>
      <w:lvlJc w:val="left"/>
      <w:pPr>
        <w:ind w:left="3224" w:hanging="353"/>
      </w:pPr>
      <w:rPr>
        <w:rFonts w:hint="default"/>
        <w:lang w:val="en-US" w:eastAsia="en-US" w:bidi="en-US"/>
      </w:rPr>
    </w:lvl>
    <w:lvl w:ilvl="2" w:tplc="9358040E">
      <w:numFmt w:val="bullet"/>
      <w:lvlText w:val="•"/>
      <w:lvlJc w:val="left"/>
      <w:pPr>
        <w:ind w:left="4088" w:hanging="353"/>
      </w:pPr>
      <w:rPr>
        <w:rFonts w:hint="default"/>
        <w:lang w:val="en-US" w:eastAsia="en-US" w:bidi="en-US"/>
      </w:rPr>
    </w:lvl>
    <w:lvl w:ilvl="3" w:tplc="E90067A6">
      <w:numFmt w:val="bullet"/>
      <w:lvlText w:val="•"/>
      <w:lvlJc w:val="left"/>
      <w:pPr>
        <w:ind w:left="4952" w:hanging="353"/>
      </w:pPr>
      <w:rPr>
        <w:rFonts w:hint="default"/>
        <w:lang w:val="en-US" w:eastAsia="en-US" w:bidi="en-US"/>
      </w:rPr>
    </w:lvl>
    <w:lvl w:ilvl="4" w:tplc="EB9078C0">
      <w:numFmt w:val="bullet"/>
      <w:lvlText w:val="•"/>
      <w:lvlJc w:val="left"/>
      <w:pPr>
        <w:ind w:left="5816" w:hanging="353"/>
      </w:pPr>
      <w:rPr>
        <w:rFonts w:hint="default"/>
        <w:lang w:val="en-US" w:eastAsia="en-US" w:bidi="en-US"/>
      </w:rPr>
    </w:lvl>
    <w:lvl w:ilvl="5" w:tplc="E0DA8FD6">
      <w:numFmt w:val="bullet"/>
      <w:lvlText w:val="•"/>
      <w:lvlJc w:val="left"/>
      <w:pPr>
        <w:ind w:left="6680" w:hanging="353"/>
      </w:pPr>
      <w:rPr>
        <w:rFonts w:hint="default"/>
        <w:lang w:val="en-US" w:eastAsia="en-US" w:bidi="en-US"/>
      </w:rPr>
    </w:lvl>
    <w:lvl w:ilvl="6" w:tplc="82AA1EF0">
      <w:numFmt w:val="bullet"/>
      <w:lvlText w:val="•"/>
      <w:lvlJc w:val="left"/>
      <w:pPr>
        <w:ind w:left="7544" w:hanging="353"/>
      </w:pPr>
      <w:rPr>
        <w:rFonts w:hint="default"/>
        <w:lang w:val="en-US" w:eastAsia="en-US" w:bidi="en-US"/>
      </w:rPr>
    </w:lvl>
    <w:lvl w:ilvl="7" w:tplc="2DAC6764">
      <w:numFmt w:val="bullet"/>
      <w:lvlText w:val="•"/>
      <w:lvlJc w:val="left"/>
      <w:pPr>
        <w:ind w:left="8408" w:hanging="353"/>
      </w:pPr>
      <w:rPr>
        <w:rFonts w:hint="default"/>
        <w:lang w:val="en-US" w:eastAsia="en-US" w:bidi="en-US"/>
      </w:rPr>
    </w:lvl>
    <w:lvl w:ilvl="8" w:tplc="FF528232">
      <w:numFmt w:val="bullet"/>
      <w:lvlText w:val="•"/>
      <w:lvlJc w:val="left"/>
      <w:pPr>
        <w:ind w:left="9272" w:hanging="353"/>
      </w:pPr>
      <w:rPr>
        <w:rFonts w:hint="default"/>
        <w:lang w:val="en-US" w:eastAsia="en-US" w:bidi="en-US"/>
      </w:rPr>
    </w:lvl>
  </w:abstractNum>
  <w:abstractNum w:abstractNumId="11" w15:restartNumberingAfterBreak="0">
    <w:nsid w:val="4B874CC0"/>
    <w:multiLevelType w:val="hybridMultilevel"/>
    <w:tmpl w:val="586806EC"/>
    <w:lvl w:ilvl="0" w:tplc="F3D0366A">
      <w:start w:val="1"/>
      <w:numFmt w:val="decimal"/>
      <w:lvlText w:val="(%1)"/>
      <w:lvlJc w:val="left"/>
      <w:pPr>
        <w:ind w:left="2367" w:hanging="368"/>
        <w:jc w:val="left"/>
      </w:pPr>
      <w:rPr>
        <w:rFonts w:ascii="Times New Roman" w:eastAsia="Times New Roman" w:hAnsi="Times New Roman" w:cs="Times New Roman" w:hint="default"/>
        <w:w w:val="99"/>
        <w:sz w:val="26"/>
        <w:szCs w:val="26"/>
        <w:lang w:val="en-US" w:eastAsia="en-US" w:bidi="en-US"/>
      </w:rPr>
    </w:lvl>
    <w:lvl w:ilvl="1" w:tplc="DB969B6A">
      <w:numFmt w:val="bullet"/>
      <w:lvlText w:val="•"/>
      <w:lvlJc w:val="left"/>
      <w:pPr>
        <w:ind w:left="3224" w:hanging="368"/>
      </w:pPr>
      <w:rPr>
        <w:rFonts w:hint="default"/>
        <w:lang w:val="en-US" w:eastAsia="en-US" w:bidi="en-US"/>
      </w:rPr>
    </w:lvl>
    <w:lvl w:ilvl="2" w:tplc="D3E215B6">
      <w:numFmt w:val="bullet"/>
      <w:lvlText w:val="•"/>
      <w:lvlJc w:val="left"/>
      <w:pPr>
        <w:ind w:left="4088" w:hanging="368"/>
      </w:pPr>
      <w:rPr>
        <w:rFonts w:hint="default"/>
        <w:lang w:val="en-US" w:eastAsia="en-US" w:bidi="en-US"/>
      </w:rPr>
    </w:lvl>
    <w:lvl w:ilvl="3" w:tplc="442A91E0">
      <w:numFmt w:val="bullet"/>
      <w:lvlText w:val="•"/>
      <w:lvlJc w:val="left"/>
      <w:pPr>
        <w:ind w:left="4952" w:hanging="368"/>
      </w:pPr>
      <w:rPr>
        <w:rFonts w:hint="default"/>
        <w:lang w:val="en-US" w:eastAsia="en-US" w:bidi="en-US"/>
      </w:rPr>
    </w:lvl>
    <w:lvl w:ilvl="4" w:tplc="A9CA3130">
      <w:numFmt w:val="bullet"/>
      <w:lvlText w:val="•"/>
      <w:lvlJc w:val="left"/>
      <w:pPr>
        <w:ind w:left="5816" w:hanging="368"/>
      </w:pPr>
      <w:rPr>
        <w:rFonts w:hint="default"/>
        <w:lang w:val="en-US" w:eastAsia="en-US" w:bidi="en-US"/>
      </w:rPr>
    </w:lvl>
    <w:lvl w:ilvl="5" w:tplc="62FA79AC">
      <w:numFmt w:val="bullet"/>
      <w:lvlText w:val="•"/>
      <w:lvlJc w:val="left"/>
      <w:pPr>
        <w:ind w:left="6680" w:hanging="368"/>
      </w:pPr>
      <w:rPr>
        <w:rFonts w:hint="default"/>
        <w:lang w:val="en-US" w:eastAsia="en-US" w:bidi="en-US"/>
      </w:rPr>
    </w:lvl>
    <w:lvl w:ilvl="6" w:tplc="3704E632">
      <w:numFmt w:val="bullet"/>
      <w:lvlText w:val="•"/>
      <w:lvlJc w:val="left"/>
      <w:pPr>
        <w:ind w:left="7544" w:hanging="368"/>
      </w:pPr>
      <w:rPr>
        <w:rFonts w:hint="default"/>
        <w:lang w:val="en-US" w:eastAsia="en-US" w:bidi="en-US"/>
      </w:rPr>
    </w:lvl>
    <w:lvl w:ilvl="7" w:tplc="BAC0FD8C">
      <w:numFmt w:val="bullet"/>
      <w:lvlText w:val="•"/>
      <w:lvlJc w:val="left"/>
      <w:pPr>
        <w:ind w:left="8408" w:hanging="368"/>
      </w:pPr>
      <w:rPr>
        <w:rFonts w:hint="default"/>
        <w:lang w:val="en-US" w:eastAsia="en-US" w:bidi="en-US"/>
      </w:rPr>
    </w:lvl>
    <w:lvl w:ilvl="8" w:tplc="6A9098B6">
      <w:numFmt w:val="bullet"/>
      <w:lvlText w:val="•"/>
      <w:lvlJc w:val="left"/>
      <w:pPr>
        <w:ind w:left="9272" w:hanging="368"/>
      </w:pPr>
      <w:rPr>
        <w:rFonts w:hint="default"/>
        <w:lang w:val="en-US" w:eastAsia="en-US" w:bidi="en-US"/>
      </w:rPr>
    </w:lvl>
  </w:abstractNum>
  <w:abstractNum w:abstractNumId="12" w15:restartNumberingAfterBreak="0">
    <w:nsid w:val="4D335ED2"/>
    <w:multiLevelType w:val="hybridMultilevel"/>
    <w:tmpl w:val="DD524CD2"/>
    <w:lvl w:ilvl="0" w:tplc="6BAE606A">
      <w:start w:val="1"/>
      <w:numFmt w:val="lowerRoman"/>
      <w:lvlText w:val="(%1)"/>
      <w:lvlJc w:val="left"/>
      <w:pPr>
        <w:ind w:left="2000" w:hanging="305"/>
        <w:jc w:val="left"/>
      </w:pPr>
      <w:rPr>
        <w:rFonts w:ascii="Times New Roman" w:eastAsia="Times New Roman" w:hAnsi="Times New Roman" w:cs="Times New Roman" w:hint="default"/>
        <w:w w:val="99"/>
        <w:sz w:val="26"/>
        <w:szCs w:val="26"/>
        <w:lang w:val="en-US" w:eastAsia="en-US" w:bidi="en-US"/>
      </w:rPr>
    </w:lvl>
    <w:lvl w:ilvl="1" w:tplc="4FA86EEA">
      <w:numFmt w:val="bullet"/>
      <w:lvlText w:val="•"/>
      <w:lvlJc w:val="left"/>
      <w:pPr>
        <w:ind w:left="2900" w:hanging="305"/>
      </w:pPr>
      <w:rPr>
        <w:rFonts w:hint="default"/>
        <w:lang w:val="en-US" w:eastAsia="en-US" w:bidi="en-US"/>
      </w:rPr>
    </w:lvl>
    <w:lvl w:ilvl="2" w:tplc="69487488">
      <w:numFmt w:val="bullet"/>
      <w:lvlText w:val="•"/>
      <w:lvlJc w:val="left"/>
      <w:pPr>
        <w:ind w:left="3800" w:hanging="305"/>
      </w:pPr>
      <w:rPr>
        <w:rFonts w:hint="default"/>
        <w:lang w:val="en-US" w:eastAsia="en-US" w:bidi="en-US"/>
      </w:rPr>
    </w:lvl>
    <w:lvl w:ilvl="3" w:tplc="F906254E">
      <w:numFmt w:val="bullet"/>
      <w:lvlText w:val="•"/>
      <w:lvlJc w:val="left"/>
      <w:pPr>
        <w:ind w:left="4700" w:hanging="305"/>
      </w:pPr>
      <w:rPr>
        <w:rFonts w:hint="default"/>
        <w:lang w:val="en-US" w:eastAsia="en-US" w:bidi="en-US"/>
      </w:rPr>
    </w:lvl>
    <w:lvl w:ilvl="4" w:tplc="6E228168">
      <w:numFmt w:val="bullet"/>
      <w:lvlText w:val="•"/>
      <w:lvlJc w:val="left"/>
      <w:pPr>
        <w:ind w:left="5600" w:hanging="305"/>
      </w:pPr>
      <w:rPr>
        <w:rFonts w:hint="default"/>
        <w:lang w:val="en-US" w:eastAsia="en-US" w:bidi="en-US"/>
      </w:rPr>
    </w:lvl>
    <w:lvl w:ilvl="5" w:tplc="06E03B22">
      <w:numFmt w:val="bullet"/>
      <w:lvlText w:val="•"/>
      <w:lvlJc w:val="left"/>
      <w:pPr>
        <w:ind w:left="6500" w:hanging="305"/>
      </w:pPr>
      <w:rPr>
        <w:rFonts w:hint="default"/>
        <w:lang w:val="en-US" w:eastAsia="en-US" w:bidi="en-US"/>
      </w:rPr>
    </w:lvl>
    <w:lvl w:ilvl="6" w:tplc="D8026778">
      <w:numFmt w:val="bullet"/>
      <w:lvlText w:val="•"/>
      <w:lvlJc w:val="left"/>
      <w:pPr>
        <w:ind w:left="7400" w:hanging="305"/>
      </w:pPr>
      <w:rPr>
        <w:rFonts w:hint="default"/>
        <w:lang w:val="en-US" w:eastAsia="en-US" w:bidi="en-US"/>
      </w:rPr>
    </w:lvl>
    <w:lvl w:ilvl="7" w:tplc="EA3C99E0">
      <w:numFmt w:val="bullet"/>
      <w:lvlText w:val="•"/>
      <w:lvlJc w:val="left"/>
      <w:pPr>
        <w:ind w:left="8300" w:hanging="305"/>
      </w:pPr>
      <w:rPr>
        <w:rFonts w:hint="default"/>
        <w:lang w:val="en-US" w:eastAsia="en-US" w:bidi="en-US"/>
      </w:rPr>
    </w:lvl>
    <w:lvl w:ilvl="8" w:tplc="9E78F31E">
      <w:numFmt w:val="bullet"/>
      <w:lvlText w:val="•"/>
      <w:lvlJc w:val="left"/>
      <w:pPr>
        <w:ind w:left="9200" w:hanging="305"/>
      </w:pPr>
      <w:rPr>
        <w:rFonts w:hint="default"/>
        <w:lang w:val="en-US" w:eastAsia="en-US" w:bidi="en-US"/>
      </w:rPr>
    </w:lvl>
  </w:abstractNum>
  <w:abstractNum w:abstractNumId="13" w15:restartNumberingAfterBreak="0">
    <w:nsid w:val="4F7924A2"/>
    <w:multiLevelType w:val="hybridMultilevel"/>
    <w:tmpl w:val="3E525DEE"/>
    <w:lvl w:ilvl="0" w:tplc="0CE400FE">
      <w:start w:val="10"/>
      <w:numFmt w:val="upperLetter"/>
      <w:lvlText w:val="%1"/>
      <w:lvlJc w:val="left"/>
      <w:pPr>
        <w:ind w:left="1776" w:hanging="497"/>
        <w:jc w:val="left"/>
      </w:pPr>
      <w:rPr>
        <w:rFonts w:hint="default"/>
        <w:lang w:val="en-US" w:eastAsia="en-US" w:bidi="en-US"/>
      </w:rPr>
    </w:lvl>
    <w:lvl w:ilvl="1" w:tplc="520E6448">
      <w:start w:val="1"/>
      <w:numFmt w:val="upperRoman"/>
      <w:lvlText w:val="%2."/>
      <w:lvlJc w:val="left"/>
      <w:pPr>
        <w:ind w:left="4738" w:hanging="721"/>
        <w:jc w:val="right"/>
      </w:pPr>
      <w:rPr>
        <w:rFonts w:ascii="Times New Roman" w:eastAsia="Times New Roman" w:hAnsi="Times New Roman" w:cs="Times New Roman" w:hint="default"/>
        <w:b/>
        <w:bCs/>
        <w:spacing w:val="-1"/>
        <w:w w:val="99"/>
        <w:sz w:val="26"/>
        <w:szCs w:val="26"/>
        <w:lang w:val="en-US" w:eastAsia="en-US" w:bidi="en-US"/>
      </w:rPr>
    </w:lvl>
    <w:lvl w:ilvl="2" w:tplc="88D86C68">
      <w:numFmt w:val="bullet"/>
      <w:lvlText w:val="•"/>
      <w:lvlJc w:val="left"/>
      <w:pPr>
        <w:ind w:left="5435" w:hanging="721"/>
      </w:pPr>
      <w:rPr>
        <w:rFonts w:hint="default"/>
        <w:lang w:val="en-US" w:eastAsia="en-US" w:bidi="en-US"/>
      </w:rPr>
    </w:lvl>
    <w:lvl w:ilvl="3" w:tplc="36AE3402">
      <w:numFmt w:val="bullet"/>
      <w:lvlText w:val="•"/>
      <w:lvlJc w:val="left"/>
      <w:pPr>
        <w:ind w:left="6131" w:hanging="721"/>
      </w:pPr>
      <w:rPr>
        <w:rFonts w:hint="default"/>
        <w:lang w:val="en-US" w:eastAsia="en-US" w:bidi="en-US"/>
      </w:rPr>
    </w:lvl>
    <w:lvl w:ilvl="4" w:tplc="B76A1654">
      <w:numFmt w:val="bullet"/>
      <w:lvlText w:val="•"/>
      <w:lvlJc w:val="left"/>
      <w:pPr>
        <w:ind w:left="6826" w:hanging="721"/>
      </w:pPr>
      <w:rPr>
        <w:rFonts w:hint="default"/>
        <w:lang w:val="en-US" w:eastAsia="en-US" w:bidi="en-US"/>
      </w:rPr>
    </w:lvl>
    <w:lvl w:ilvl="5" w:tplc="FCE6C9BA">
      <w:numFmt w:val="bullet"/>
      <w:lvlText w:val="•"/>
      <w:lvlJc w:val="left"/>
      <w:pPr>
        <w:ind w:left="7522" w:hanging="721"/>
      </w:pPr>
      <w:rPr>
        <w:rFonts w:hint="default"/>
        <w:lang w:val="en-US" w:eastAsia="en-US" w:bidi="en-US"/>
      </w:rPr>
    </w:lvl>
    <w:lvl w:ilvl="6" w:tplc="79E000E6">
      <w:numFmt w:val="bullet"/>
      <w:lvlText w:val="•"/>
      <w:lvlJc w:val="left"/>
      <w:pPr>
        <w:ind w:left="8217" w:hanging="721"/>
      </w:pPr>
      <w:rPr>
        <w:rFonts w:hint="default"/>
        <w:lang w:val="en-US" w:eastAsia="en-US" w:bidi="en-US"/>
      </w:rPr>
    </w:lvl>
    <w:lvl w:ilvl="7" w:tplc="B4EC35C6">
      <w:numFmt w:val="bullet"/>
      <w:lvlText w:val="•"/>
      <w:lvlJc w:val="left"/>
      <w:pPr>
        <w:ind w:left="8913" w:hanging="721"/>
      </w:pPr>
      <w:rPr>
        <w:rFonts w:hint="default"/>
        <w:lang w:val="en-US" w:eastAsia="en-US" w:bidi="en-US"/>
      </w:rPr>
    </w:lvl>
    <w:lvl w:ilvl="8" w:tplc="5FEEAE1C">
      <w:numFmt w:val="bullet"/>
      <w:lvlText w:val="•"/>
      <w:lvlJc w:val="left"/>
      <w:pPr>
        <w:ind w:left="9608" w:hanging="721"/>
      </w:pPr>
      <w:rPr>
        <w:rFonts w:hint="default"/>
        <w:lang w:val="en-US" w:eastAsia="en-US" w:bidi="en-US"/>
      </w:rPr>
    </w:lvl>
  </w:abstractNum>
  <w:abstractNum w:abstractNumId="14" w15:restartNumberingAfterBreak="0">
    <w:nsid w:val="5A0E0F15"/>
    <w:multiLevelType w:val="hybridMultilevel"/>
    <w:tmpl w:val="A82E7AC8"/>
    <w:lvl w:ilvl="0" w:tplc="D15C7044">
      <w:start w:val="1"/>
      <w:numFmt w:val="decimal"/>
      <w:lvlText w:val="%1."/>
      <w:lvlJc w:val="left"/>
      <w:pPr>
        <w:ind w:left="2451" w:hanging="361"/>
        <w:jc w:val="left"/>
      </w:pPr>
      <w:rPr>
        <w:rFonts w:ascii="Times New Roman" w:eastAsia="Times New Roman" w:hAnsi="Times New Roman" w:cs="Times New Roman" w:hint="default"/>
        <w:w w:val="99"/>
        <w:sz w:val="26"/>
        <w:szCs w:val="26"/>
        <w:lang w:val="en-US" w:eastAsia="en-US" w:bidi="en-US"/>
      </w:rPr>
    </w:lvl>
    <w:lvl w:ilvl="1" w:tplc="7AF47A9E">
      <w:numFmt w:val="bullet"/>
      <w:lvlText w:val="•"/>
      <w:lvlJc w:val="left"/>
      <w:pPr>
        <w:ind w:left="3314" w:hanging="361"/>
      </w:pPr>
      <w:rPr>
        <w:rFonts w:hint="default"/>
        <w:lang w:val="en-US" w:eastAsia="en-US" w:bidi="en-US"/>
      </w:rPr>
    </w:lvl>
    <w:lvl w:ilvl="2" w:tplc="9F24B1F4">
      <w:numFmt w:val="bullet"/>
      <w:lvlText w:val="•"/>
      <w:lvlJc w:val="left"/>
      <w:pPr>
        <w:ind w:left="4168" w:hanging="361"/>
      </w:pPr>
      <w:rPr>
        <w:rFonts w:hint="default"/>
        <w:lang w:val="en-US" w:eastAsia="en-US" w:bidi="en-US"/>
      </w:rPr>
    </w:lvl>
    <w:lvl w:ilvl="3" w:tplc="65CCB622">
      <w:numFmt w:val="bullet"/>
      <w:lvlText w:val="•"/>
      <w:lvlJc w:val="left"/>
      <w:pPr>
        <w:ind w:left="5022" w:hanging="361"/>
      </w:pPr>
      <w:rPr>
        <w:rFonts w:hint="default"/>
        <w:lang w:val="en-US" w:eastAsia="en-US" w:bidi="en-US"/>
      </w:rPr>
    </w:lvl>
    <w:lvl w:ilvl="4" w:tplc="C1E0318E">
      <w:numFmt w:val="bullet"/>
      <w:lvlText w:val="•"/>
      <w:lvlJc w:val="left"/>
      <w:pPr>
        <w:ind w:left="5876" w:hanging="361"/>
      </w:pPr>
      <w:rPr>
        <w:rFonts w:hint="default"/>
        <w:lang w:val="en-US" w:eastAsia="en-US" w:bidi="en-US"/>
      </w:rPr>
    </w:lvl>
    <w:lvl w:ilvl="5" w:tplc="786A1386">
      <w:numFmt w:val="bullet"/>
      <w:lvlText w:val="•"/>
      <w:lvlJc w:val="left"/>
      <w:pPr>
        <w:ind w:left="6730" w:hanging="361"/>
      </w:pPr>
      <w:rPr>
        <w:rFonts w:hint="default"/>
        <w:lang w:val="en-US" w:eastAsia="en-US" w:bidi="en-US"/>
      </w:rPr>
    </w:lvl>
    <w:lvl w:ilvl="6" w:tplc="62A83B66">
      <w:numFmt w:val="bullet"/>
      <w:lvlText w:val="•"/>
      <w:lvlJc w:val="left"/>
      <w:pPr>
        <w:ind w:left="7584" w:hanging="361"/>
      </w:pPr>
      <w:rPr>
        <w:rFonts w:hint="default"/>
        <w:lang w:val="en-US" w:eastAsia="en-US" w:bidi="en-US"/>
      </w:rPr>
    </w:lvl>
    <w:lvl w:ilvl="7" w:tplc="1EE8F060">
      <w:numFmt w:val="bullet"/>
      <w:lvlText w:val="•"/>
      <w:lvlJc w:val="left"/>
      <w:pPr>
        <w:ind w:left="8438" w:hanging="361"/>
      </w:pPr>
      <w:rPr>
        <w:rFonts w:hint="default"/>
        <w:lang w:val="en-US" w:eastAsia="en-US" w:bidi="en-US"/>
      </w:rPr>
    </w:lvl>
    <w:lvl w:ilvl="8" w:tplc="18F0FE58">
      <w:numFmt w:val="bullet"/>
      <w:lvlText w:val="•"/>
      <w:lvlJc w:val="left"/>
      <w:pPr>
        <w:ind w:left="9292" w:hanging="361"/>
      </w:pPr>
      <w:rPr>
        <w:rFonts w:hint="default"/>
        <w:lang w:val="en-US" w:eastAsia="en-US" w:bidi="en-US"/>
      </w:rPr>
    </w:lvl>
  </w:abstractNum>
  <w:abstractNum w:abstractNumId="15" w15:restartNumberingAfterBreak="0">
    <w:nsid w:val="620F1949"/>
    <w:multiLevelType w:val="hybridMultilevel"/>
    <w:tmpl w:val="7D9E7708"/>
    <w:lvl w:ilvl="0" w:tplc="0BAC323C">
      <w:start w:val="1"/>
      <w:numFmt w:val="upperLetter"/>
      <w:lvlText w:val="(%1)"/>
      <w:lvlJc w:val="left"/>
      <w:pPr>
        <w:ind w:left="1999" w:hanging="411"/>
        <w:jc w:val="left"/>
      </w:pPr>
      <w:rPr>
        <w:rFonts w:ascii="Times New Roman" w:eastAsia="Times New Roman" w:hAnsi="Times New Roman" w:cs="Times New Roman" w:hint="default"/>
        <w:w w:val="99"/>
        <w:sz w:val="26"/>
        <w:szCs w:val="26"/>
        <w:lang w:val="en-US" w:eastAsia="en-US" w:bidi="en-US"/>
      </w:rPr>
    </w:lvl>
    <w:lvl w:ilvl="1" w:tplc="864C8A34">
      <w:numFmt w:val="bullet"/>
      <w:lvlText w:val="•"/>
      <w:lvlJc w:val="left"/>
      <w:pPr>
        <w:ind w:left="2900" w:hanging="411"/>
      </w:pPr>
      <w:rPr>
        <w:rFonts w:hint="default"/>
        <w:lang w:val="en-US" w:eastAsia="en-US" w:bidi="en-US"/>
      </w:rPr>
    </w:lvl>
    <w:lvl w:ilvl="2" w:tplc="78EEC402">
      <w:numFmt w:val="bullet"/>
      <w:lvlText w:val="•"/>
      <w:lvlJc w:val="left"/>
      <w:pPr>
        <w:ind w:left="3800" w:hanging="411"/>
      </w:pPr>
      <w:rPr>
        <w:rFonts w:hint="default"/>
        <w:lang w:val="en-US" w:eastAsia="en-US" w:bidi="en-US"/>
      </w:rPr>
    </w:lvl>
    <w:lvl w:ilvl="3" w:tplc="F76ECADE">
      <w:numFmt w:val="bullet"/>
      <w:lvlText w:val="•"/>
      <w:lvlJc w:val="left"/>
      <w:pPr>
        <w:ind w:left="4700" w:hanging="411"/>
      </w:pPr>
      <w:rPr>
        <w:rFonts w:hint="default"/>
        <w:lang w:val="en-US" w:eastAsia="en-US" w:bidi="en-US"/>
      </w:rPr>
    </w:lvl>
    <w:lvl w:ilvl="4" w:tplc="1FAC7F68">
      <w:numFmt w:val="bullet"/>
      <w:lvlText w:val="•"/>
      <w:lvlJc w:val="left"/>
      <w:pPr>
        <w:ind w:left="5600" w:hanging="411"/>
      </w:pPr>
      <w:rPr>
        <w:rFonts w:hint="default"/>
        <w:lang w:val="en-US" w:eastAsia="en-US" w:bidi="en-US"/>
      </w:rPr>
    </w:lvl>
    <w:lvl w:ilvl="5" w:tplc="192C26A8">
      <w:numFmt w:val="bullet"/>
      <w:lvlText w:val="•"/>
      <w:lvlJc w:val="left"/>
      <w:pPr>
        <w:ind w:left="6500" w:hanging="411"/>
      </w:pPr>
      <w:rPr>
        <w:rFonts w:hint="default"/>
        <w:lang w:val="en-US" w:eastAsia="en-US" w:bidi="en-US"/>
      </w:rPr>
    </w:lvl>
    <w:lvl w:ilvl="6" w:tplc="46A0CDDA">
      <w:numFmt w:val="bullet"/>
      <w:lvlText w:val="•"/>
      <w:lvlJc w:val="left"/>
      <w:pPr>
        <w:ind w:left="7400" w:hanging="411"/>
      </w:pPr>
      <w:rPr>
        <w:rFonts w:hint="default"/>
        <w:lang w:val="en-US" w:eastAsia="en-US" w:bidi="en-US"/>
      </w:rPr>
    </w:lvl>
    <w:lvl w:ilvl="7" w:tplc="AD041886">
      <w:numFmt w:val="bullet"/>
      <w:lvlText w:val="•"/>
      <w:lvlJc w:val="left"/>
      <w:pPr>
        <w:ind w:left="8300" w:hanging="411"/>
      </w:pPr>
      <w:rPr>
        <w:rFonts w:hint="default"/>
        <w:lang w:val="en-US" w:eastAsia="en-US" w:bidi="en-US"/>
      </w:rPr>
    </w:lvl>
    <w:lvl w:ilvl="8" w:tplc="3CC0EBD2">
      <w:numFmt w:val="bullet"/>
      <w:lvlText w:val="•"/>
      <w:lvlJc w:val="left"/>
      <w:pPr>
        <w:ind w:left="9200" w:hanging="411"/>
      </w:pPr>
      <w:rPr>
        <w:rFonts w:hint="default"/>
        <w:lang w:val="en-US" w:eastAsia="en-US" w:bidi="en-US"/>
      </w:rPr>
    </w:lvl>
  </w:abstractNum>
  <w:abstractNum w:abstractNumId="16" w15:restartNumberingAfterBreak="0">
    <w:nsid w:val="667A1AFB"/>
    <w:multiLevelType w:val="hybridMultilevel"/>
    <w:tmpl w:val="840435F2"/>
    <w:lvl w:ilvl="0" w:tplc="E1E83AEA">
      <w:start w:val="3"/>
      <w:numFmt w:val="decimal"/>
      <w:lvlText w:val="(%1)"/>
      <w:lvlJc w:val="left"/>
      <w:pPr>
        <w:ind w:left="2000" w:hanging="363"/>
        <w:jc w:val="left"/>
      </w:pPr>
      <w:rPr>
        <w:rFonts w:ascii="Times New Roman" w:eastAsia="Times New Roman" w:hAnsi="Times New Roman" w:cs="Times New Roman" w:hint="default"/>
        <w:w w:val="99"/>
        <w:sz w:val="26"/>
        <w:szCs w:val="26"/>
        <w:lang w:val="en-US" w:eastAsia="en-US" w:bidi="en-US"/>
      </w:rPr>
    </w:lvl>
    <w:lvl w:ilvl="1" w:tplc="6E262D20">
      <w:start w:val="1"/>
      <w:numFmt w:val="upperLetter"/>
      <w:lvlText w:val="(%2)"/>
      <w:lvlJc w:val="left"/>
      <w:pPr>
        <w:ind w:left="2000" w:hanging="425"/>
        <w:jc w:val="left"/>
      </w:pPr>
      <w:rPr>
        <w:rFonts w:ascii="Times New Roman" w:eastAsia="Times New Roman" w:hAnsi="Times New Roman" w:cs="Times New Roman" w:hint="default"/>
        <w:w w:val="99"/>
        <w:sz w:val="26"/>
        <w:szCs w:val="26"/>
        <w:lang w:val="en-US" w:eastAsia="en-US" w:bidi="en-US"/>
      </w:rPr>
    </w:lvl>
    <w:lvl w:ilvl="2" w:tplc="A58C7EF4">
      <w:numFmt w:val="bullet"/>
      <w:lvlText w:val="•"/>
      <w:lvlJc w:val="left"/>
      <w:pPr>
        <w:ind w:left="3800" w:hanging="425"/>
      </w:pPr>
      <w:rPr>
        <w:rFonts w:hint="default"/>
        <w:lang w:val="en-US" w:eastAsia="en-US" w:bidi="en-US"/>
      </w:rPr>
    </w:lvl>
    <w:lvl w:ilvl="3" w:tplc="BFA83E98">
      <w:numFmt w:val="bullet"/>
      <w:lvlText w:val="•"/>
      <w:lvlJc w:val="left"/>
      <w:pPr>
        <w:ind w:left="4700" w:hanging="425"/>
      </w:pPr>
      <w:rPr>
        <w:rFonts w:hint="default"/>
        <w:lang w:val="en-US" w:eastAsia="en-US" w:bidi="en-US"/>
      </w:rPr>
    </w:lvl>
    <w:lvl w:ilvl="4" w:tplc="9D846900">
      <w:numFmt w:val="bullet"/>
      <w:lvlText w:val="•"/>
      <w:lvlJc w:val="left"/>
      <w:pPr>
        <w:ind w:left="5600" w:hanging="425"/>
      </w:pPr>
      <w:rPr>
        <w:rFonts w:hint="default"/>
        <w:lang w:val="en-US" w:eastAsia="en-US" w:bidi="en-US"/>
      </w:rPr>
    </w:lvl>
    <w:lvl w:ilvl="5" w:tplc="8CC01694">
      <w:numFmt w:val="bullet"/>
      <w:lvlText w:val="•"/>
      <w:lvlJc w:val="left"/>
      <w:pPr>
        <w:ind w:left="6500" w:hanging="425"/>
      </w:pPr>
      <w:rPr>
        <w:rFonts w:hint="default"/>
        <w:lang w:val="en-US" w:eastAsia="en-US" w:bidi="en-US"/>
      </w:rPr>
    </w:lvl>
    <w:lvl w:ilvl="6" w:tplc="9B84A728">
      <w:numFmt w:val="bullet"/>
      <w:lvlText w:val="•"/>
      <w:lvlJc w:val="left"/>
      <w:pPr>
        <w:ind w:left="7400" w:hanging="425"/>
      </w:pPr>
      <w:rPr>
        <w:rFonts w:hint="default"/>
        <w:lang w:val="en-US" w:eastAsia="en-US" w:bidi="en-US"/>
      </w:rPr>
    </w:lvl>
    <w:lvl w:ilvl="7" w:tplc="50229C10">
      <w:numFmt w:val="bullet"/>
      <w:lvlText w:val="•"/>
      <w:lvlJc w:val="left"/>
      <w:pPr>
        <w:ind w:left="8300" w:hanging="425"/>
      </w:pPr>
      <w:rPr>
        <w:rFonts w:hint="default"/>
        <w:lang w:val="en-US" w:eastAsia="en-US" w:bidi="en-US"/>
      </w:rPr>
    </w:lvl>
    <w:lvl w:ilvl="8" w:tplc="79588EFE">
      <w:numFmt w:val="bullet"/>
      <w:lvlText w:val="•"/>
      <w:lvlJc w:val="left"/>
      <w:pPr>
        <w:ind w:left="9200" w:hanging="425"/>
      </w:pPr>
      <w:rPr>
        <w:rFonts w:hint="default"/>
        <w:lang w:val="en-US" w:eastAsia="en-US" w:bidi="en-US"/>
      </w:rPr>
    </w:lvl>
  </w:abstractNum>
  <w:abstractNum w:abstractNumId="17" w15:restartNumberingAfterBreak="0">
    <w:nsid w:val="68914310"/>
    <w:multiLevelType w:val="hybridMultilevel"/>
    <w:tmpl w:val="F164380E"/>
    <w:lvl w:ilvl="0" w:tplc="F67A5FBC">
      <w:start w:val="1"/>
      <w:numFmt w:val="decimal"/>
      <w:lvlText w:val="%1."/>
      <w:lvlJc w:val="left"/>
      <w:pPr>
        <w:ind w:left="2000" w:hanging="288"/>
        <w:jc w:val="left"/>
      </w:pPr>
      <w:rPr>
        <w:rFonts w:ascii="Times New Roman" w:eastAsia="Times New Roman" w:hAnsi="Times New Roman" w:cs="Times New Roman" w:hint="default"/>
        <w:b/>
        <w:bCs/>
        <w:w w:val="99"/>
        <w:sz w:val="26"/>
        <w:szCs w:val="26"/>
        <w:lang w:val="en-US" w:eastAsia="en-US" w:bidi="en-US"/>
      </w:rPr>
    </w:lvl>
    <w:lvl w:ilvl="1" w:tplc="47C60C96">
      <w:numFmt w:val="bullet"/>
      <w:lvlText w:val="•"/>
      <w:lvlJc w:val="left"/>
      <w:pPr>
        <w:ind w:left="2900" w:hanging="288"/>
      </w:pPr>
      <w:rPr>
        <w:rFonts w:hint="default"/>
        <w:lang w:val="en-US" w:eastAsia="en-US" w:bidi="en-US"/>
      </w:rPr>
    </w:lvl>
    <w:lvl w:ilvl="2" w:tplc="1E423524">
      <w:numFmt w:val="bullet"/>
      <w:lvlText w:val="•"/>
      <w:lvlJc w:val="left"/>
      <w:pPr>
        <w:ind w:left="3800" w:hanging="288"/>
      </w:pPr>
      <w:rPr>
        <w:rFonts w:hint="default"/>
        <w:lang w:val="en-US" w:eastAsia="en-US" w:bidi="en-US"/>
      </w:rPr>
    </w:lvl>
    <w:lvl w:ilvl="3" w:tplc="37C26772">
      <w:numFmt w:val="bullet"/>
      <w:lvlText w:val="•"/>
      <w:lvlJc w:val="left"/>
      <w:pPr>
        <w:ind w:left="4700" w:hanging="288"/>
      </w:pPr>
      <w:rPr>
        <w:rFonts w:hint="default"/>
        <w:lang w:val="en-US" w:eastAsia="en-US" w:bidi="en-US"/>
      </w:rPr>
    </w:lvl>
    <w:lvl w:ilvl="4" w:tplc="EB5CAB96">
      <w:numFmt w:val="bullet"/>
      <w:lvlText w:val="•"/>
      <w:lvlJc w:val="left"/>
      <w:pPr>
        <w:ind w:left="5600" w:hanging="288"/>
      </w:pPr>
      <w:rPr>
        <w:rFonts w:hint="default"/>
        <w:lang w:val="en-US" w:eastAsia="en-US" w:bidi="en-US"/>
      </w:rPr>
    </w:lvl>
    <w:lvl w:ilvl="5" w:tplc="1C12652A">
      <w:numFmt w:val="bullet"/>
      <w:lvlText w:val="•"/>
      <w:lvlJc w:val="left"/>
      <w:pPr>
        <w:ind w:left="6500" w:hanging="288"/>
      </w:pPr>
      <w:rPr>
        <w:rFonts w:hint="default"/>
        <w:lang w:val="en-US" w:eastAsia="en-US" w:bidi="en-US"/>
      </w:rPr>
    </w:lvl>
    <w:lvl w:ilvl="6" w:tplc="5B44C148">
      <w:numFmt w:val="bullet"/>
      <w:lvlText w:val="•"/>
      <w:lvlJc w:val="left"/>
      <w:pPr>
        <w:ind w:left="7400" w:hanging="288"/>
      </w:pPr>
      <w:rPr>
        <w:rFonts w:hint="default"/>
        <w:lang w:val="en-US" w:eastAsia="en-US" w:bidi="en-US"/>
      </w:rPr>
    </w:lvl>
    <w:lvl w:ilvl="7" w:tplc="5EBA95C2">
      <w:numFmt w:val="bullet"/>
      <w:lvlText w:val="•"/>
      <w:lvlJc w:val="left"/>
      <w:pPr>
        <w:ind w:left="8300" w:hanging="288"/>
      </w:pPr>
      <w:rPr>
        <w:rFonts w:hint="default"/>
        <w:lang w:val="en-US" w:eastAsia="en-US" w:bidi="en-US"/>
      </w:rPr>
    </w:lvl>
    <w:lvl w:ilvl="8" w:tplc="A2C4E252">
      <w:numFmt w:val="bullet"/>
      <w:lvlText w:val="•"/>
      <w:lvlJc w:val="left"/>
      <w:pPr>
        <w:ind w:left="9200" w:hanging="288"/>
      </w:pPr>
      <w:rPr>
        <w:rFonts w:hint="default"/>
        <w:lang w:val="en-US" w:eastAsia="en-US" w:bidi="en-US"/>
      </w:rPr>
    </w:lvl>
  </w:abstractNum>
  <w:abstractNum w:abstractNumId="18" w15:restartNumberingAfterBreak="0">
    <w:nsid w:val="6E771506"/>
    <w:multiLevelType w:val="hybridMultilevel"/>
    <w:tmpl w:val="711839B4"/>
    <w:lvl w:ilvl="0" w:tplc="28BE571A">
      <w:start w:val="12"/>
      <w:numFmt w:val="upperLetter"/>
      <w:lvlText w:val="%1."/>
      <w:lvlJc w:val="left"/>
      <w:pPr>
        <w:ind w:left="1711" w:hanging="288"/>
        <w:jc w:val="left"/>
      </w:pPr>
      <w:rPr>
        <w:rFonts w:ascii="Times New Roman" w:eastAsia="Times New Roman" w:hAnsi="Times New Roman" w:cs="Times New Roman" w:hint="default"/>
        <w:b/>
        <w:bCs/>
        <w:w w:val="99"/>
        <w:sz w:val="26"/>
        <w:szCs w:val="26"/>
        <w:lang w:val="en-US" w:eastAsia="en-US" w:bidi="en-US"/>
      </w:rPr>
    </w:lvl>
    <w:lvl w:ilvl="1" w:tplc="D146E4A2">
      <w:numFmt w:val="bullet"/>
      <w:lvlText w:val="•"/>
      <w:lvlJc w:val="left"/>
      <w:pPr>
        <w:ind w:left="2648" w:hanging="288"/>
      </w:pPr>
      <w:rPr>
        <w:rFonts w:hint="default"/>
        <w:lang w:val="en-US" w:eastAsia="en-US" w:bidi="en-US"/>
      </w:rPr>
    </w:lvl>
    <w:lvl w:ilvl="2" w:tplc="99E4705A">
      <w:numFmt w:val="bullet"/>
      <w:lvlText w:val="•"/>
      <w:lvlJc w:val="left"/>
      <w:pPr>
        <w:ind w:left="3576" w:hanging="288"/>
      </w:pPr>
      <w:rPr>
        <w:rFonts w:hint="default"/>
        <w:lang w:val="en-US" w:eastAsia="en-US" w:bidi="en-US"/>
      </w:rPr>
    </w:lvl>
    <w:lvl w:ilvl="3" w:tplc="C026EE30">
      <w:numFmt w:val="bullet"/>
      <w:lvlText w:val="•"/>
      <w:lvlJc w:val="left"/>
      <w:pPr>
        <w:ind w:left="4504" w:hanging="288"/>
      </w:pPr>
      <w:rPr>
        <w:rFonts w:hint="default"/>
        <w:lang w:val="en-US" w:eastAsia="en-US" w:bidi="en-US"/>
      </w:rPr>
    </w:lvl>
    <w:lvl w:ilvl="4" w:tplc="4FC0D46A">
      <w:numFmt w:val="bullet"/>
      <w:lvlText w:val="•"/>
      <w:lvlJc w:val="left"/>
      <w:pPr>
        <w:ind w:left="5432" w:hanging="288"/>
      </w:pPr>
      <w:rPr>
        <w:rFonts w:hint="default"/>
        <w:lang w:val="en-US" w:eastAsia="en-US" w:bidi="en-US"/>
      </w:rPr>
    </w:lvl>
    <w:lvl w:ilvl="5" w:tplc="94E23D9A">
      <w:numFmt w:val="bullet"/>
      <w:lvlText w:val="•"/>
      <w:lvlJc w:val="left"/>
      <w:pPr>
        <w:ind w:left="6360" w:hanging="288"/>
      </w:pPr>
      <w:rPr>
        <w:rFonts w:hint="default"/>
        <w:lang w:val="en-US" w:eastAsia="en-US" w:bidi="en-US"/>
      </w:rPr>
    </w:lvl>
    <w:lvl w:ilvl="6" w:tplc="86E80632">
      <w:numFmt w:val="bullet"/>
      <w:lvlText w:val="•"/>
      <w:lvlJc w:val="left"/>
      <w:pPr>
        <w:ind w:left="7288" w:hanging="288"/>
      </w:pPr>
      <w:rPr>
        <w:rFonts w:hint="default"/>
        <w:lang w:val="en-US" w:eastAsia="en-US" w:bidi="en-US"/>
      </w:rPr>
    </w:lvl>
    <w:lvl w:ilvl="7" w:tplc="00C02FA8">
      <w:numFmt w:val="bullet"/>
      <w:lvlText w:val="•"/>
      <w:lvlJc w:val="left"/>
      <w:pPr>
        <w:ind w:left="8216" w:hanging="288"/>
      </w:pPr>
      <w:rPr>
        <w:rFonts w:hint="default"/>
        <w:lang w:val="en-US" w:eastAsia="en-US" w:bidi="en-US"/>
      </w:rPr>
    </w:lvl>
    <w:lvl w:ilvl="8" w:tplc="AECC7930">
      <w:numFmt w:val="bullet"/>
      <w:lvlText w:val="•"/>
      <w:lvlJc w:val="left"/>
      <w:pPr>
        <w:ind w:left="9144" w:hanging="288"/>
      </w:pPr>
      <w:rPr>
        <w:rFonts w:hint="default"/>
        <w:lang w:val="en-US" w:eastAsia="en-US" w:bidi="en-US"/>
      </w:rPr>
    </w:lvl>
  </w:abstractNum>
  <w:abstractNum w:abstractNumId="19" w15:restartNumberingAfterBreak="0">
    <w:nsid w:val="71CC64C9"/>
    <w:multiLevelType w:val="hybridMultilevel"/>
    <w:tmpl w:val="A2946FFC"/>
    <w:lvl w:ilvl="0" w:tplc="7774211A">
      <w:start w:val="2"/>
      <w:numFmt w:val="upperLetter"/>
      <w:lvlText w:val="%1."/>
      <w:lvlJc w:val="left"/>
      <w:pPr>
        <w:ind w:left="1280" w:hanging="289"/>
        <w:jc w:val="right"/>
      </w:pPr>
      <w:rPr>
        <w:rFonts w:hint="default"/>
        <w:i/>
        <w:w w:val="99"/>
        <w:lang w:val="en-US" w:eastAsia="en-US" w:bidi="en-US"/>
      </w:rPr>
    </w:lvl>
    <w:lvl w:ilvl="1" w:tplc="5C48C7E8">
      <w:numFmt w:val="bullet"/>
      <w:lvlText w:val="•"/>
      <w:lvlJc w:val="left"/>
      <w:pPr>
        <w:ind w:left="2252" w:hanging="289"/>
      </w:pPr>
      <w:rPr>
        <w:rFonts w:hint="default"/>
        <w:lang w:val="en-US" w:eastAsia="en-US" w:bidi="en-US"/>
      </w:rPr>
    </w:lvl>
    <w:lvl w:ilvl="2" w:tplc="C5A01D6E">
      <w:numFmt w:val="bullet"/>
      <w:lvlText w:val="•"/>
      <w:lvlJc w:val="left"/>
      <w:pPr>
        <w:ind w:left="3224" w:hanging="289"/>
      </w:pPr>
      <w:rPr>
        <w:rFonts w:hint="default"/>
        <w:lang w:val="en-US" w:eastAsia="en-US" w:bidi="en-US"/>
      </w:rPr>
    </w:lvl>
    <w:lvl w:ilvl="3" w:tplc="67361C4A">
      <w:numFmt w:val="bullet"/>
      <w:lvlText w:val="•"/>
      <w:lvlJc w:val="left"/>
      <w:pPr>
        <w:ind w:left="4196" w:hanging="289"/>
      </w:pPr>
      <w:rPr>
        <w:rFonts w:hint="default"/>
        <w:lang w:val="en-US" w:eastAsia="en-US" w:bidi="en-US"/>
      </w:rPr>
    </w:lvl>
    <w:lvl w:ilvl="4" w:tplc="B450EB00">
      <w:numFmt w:val="bullet"/>
      <w:lvlText w:val="•"/>
      <w:lvlJc w:val="left"/>
      <w:pPr>
        <w:ind w:left="5168" w:hanging="289"/>
      </w:pPr>
      <w:rPr>
        <w:rFonts w:hint="default"/>
        <w:lang w:val="en-US" w:eastAsia="en-US" w:bidi="en-US"/>
      </w:rPr>
    </w:lvl>
    <w:lvl w:ilvl="5" w:tplc="F6688194">
      <w:numFmt w:val="bullet"/>
      <w:lvlText w:val="•"/>
      <w:lvlJc w:val="left"/>
      <w:pPr>
        <w:ind w:left="6140" w:hanging="289"/>
      </w:pPr>
      <w:rPr>
        <w:rFonts w:hint="default"/>
        <w:lang w:val="en-US" w:eastAsia="en-US" w:bidi="en-US"/>
      </w:rPr>
    </w:lvl>
    <w:lvl w:ilvl="6" w:tplc="838286F8">
      <w:numFmt w:val="bullet"/>
      <w:lvlText w:val="•"/>
      <w:lvlJc w:val="left"/>
      <w:pPr>
        <w:ind w:left="7112" w:hanging="289"/>
      </w:pPr>
      <w:rPr>
        <w:rFonts w:hint="default"/>
        <w:lang w:val="en-US" w:eastAsia="en-US" w:bidi="en-US"/>
      </w:rPr>
    </w:lvl>
    <w:lvl w:ilvl="7" w:tplc="581EFD1E">
      <w:numFmt w:val="bullet"/>
      <w:lvlText w:val="•"/>
      <w:lvlJc w:val="left"/>
      <w:pPr>
        <w:ind w:left="8084" w:hanging="289"/>
      </w:pPr>
      <w:rPr>
        <w:rFonts w:hint="default"/>
        <w:lang w:val="en-US" w:eastAsia="en-US" w:bidi="en-US"/>
      </w:rPr>
    </w:lvl>
    <w:lvl w:ilvl="8" w:tplc="1FDEE2E8">
      <w:numFmt w:val="bullet"/>
      <w:lvlText w:val="•"/>
      <w:lvlJc w:val="left"/>
      <w:pPr>
        <w:ind w:left="9056" w:hanging="289"/>
      </w:pPr>
      <w:rPr>
        <w:rFonts w:hint="default"/>
        <w:lang w:val="en-US" w:eastAsia="en-US" w:bidi="en-US"/>
      </w:rPr>
    </w:lvl>
  </w:abstractNum>
  <w:abstractNum w:abstractNumId="20" w15:restartNumberingAfterBreak="0">
    <w:nsid w:val="74176E42"/>
    <w:multiLevelType w:val="hybridMultilevel"/>
    <w:tmpl w:val="6388B114"/>
    <w:lvl w:ilvl="0" w:tplc="E8B87338">
      <w:start w:val="1"/>
      <w:numFmt w:val="decimal"/>
      <w:lvlText w:val="%1."/>
      <w:lvlJc w:val="left"/>
      <w:pPr>
        <w:ind w:left="2245" w:hanging="245"/>
        <w:jc w:val="left"/>
      </w:pPr>
      <w:rPr>
        <w:rFonts w:ascii="Times New Roman" w:eastAsia="Times New Roman" w:hAnsi="Times New Roman" w:cs="Times New Roman" w:hint="default"/>
        <w:b/>
        <w:bCs/>
        <w:w w:val="99"/>
        <w:sz w:val="26"/>
        <w:szCs w:val="26"/>
        <w:lang w:val="en-US" w:eastAsia="en-US" w:bidi="en-US"/>
      </w:rPr>
    </w:lvl>
    <w:lvl w:ilvl="1" w:tplc="C24A3194">
      <w:numFmt w:val="bullet"/>
      <w:lvlText w:val="•"/>
      <w:lvlJc w:val="left"/>
      <w:pPr>
        <w:ind w:left="3116" w:hanging="245"/>
      </w:pPr>
      <w:rPr>
        <w:rFonts w:hint="default"/>
        <w:lang w:val="en-US" w:eastAsia="en-US" w:bidi="en-US"/>
      </w:rPr>
    </w:lvl>
    <w:lvl w:ilvl="2" w:tplc="594C1C9A">
      <w:numFmt w:val="bullet"/>
      <w:lvlText w:val="•"/>
      <w:lvlJc w:val="left"/>
      <w:pPr>
        <w:ind w:left="3992" w:hanging="245"/>
      </w:pPr>
      <w:rPr>
        <w:rFonts w:hint="default"/>
        <w:lang w:val="en-US" w:eastAsia="en-US" w:bidi="en-US"/>
      </w:rPr>
    </w:lvl>
    <w:lvl w:ilvl="3" w:tplc="C6F421C6">
      <w:numFmt w:val="bullet"/>
      <w:lvlText w:val="•"/>
      <w:lvlJc w:val="left"/>
      <w:pPr>
        <w:ind w:left="4868" w:hanging="245"/>
      </w:pPr>
      <w:rPr>
        <w:rFonts w:hint="default"/>
        <w:lang w:val="en-US" w:eastAsia="en-US" w:bidi="en-US"/>
      </w:rPr>
    </w:lvl>
    <w:lvl w:ilvl="4" w:tplc="2BF253DA">
      <w:numFmt w:val="bullet"/>
      <w:lvlText w:val="•"/>
      <w:lvlJc w:val="left"/>
      <w:pPr>
        <w:ind w:left="5744" w:hanging="245"/>
      </w:pPr>
      <w:rPr>
        <w:rFonts w:hint="default"/>
        <w:lang w:val="en-US" w:eastAsia="en-US" w:bidi="en-US"/>
      </w:rPr>
    </w:lvl>
    <w:lvl w:ilvl="5" w:tplc="4AAE8D06">
      <w:numFmt w:val="bullet"/>
      <w:lvlText w:val="•"/>
      <w:lvlJc w:val="left"/>
      <w:pPr>
        <w:ind w:left="6620" w:hanging="245"/>
      </w:pPr>
      <w:rPr>
        <w:rFonts w:hint="default"/>
        <w:lang w:val="en-US" w:eastAsia="en-US" w:bidi="en-US"/>
      </w:rPr>
    </w:lvl>
    <w:lvl w:ilvl="6" w:tplc="BF56F572">
      <w:numFmt w:val="bullet"/>
      <w:lvlText w:val="•"/>
      <w:lvlJc w:val="left"/>
      <w:pPr>
        <w:ind w:left="7496" w:hanging="245"/>
      </w:pPr>
      <w:rPr>
        <w:rFonts w:hint="default"/>
        <w:lang w:val="en-US" w:eastAsia="en-US" w:bidi="en-US"/>
      </w:rPr>
    </w:lvl>
    <w:lvl w:ilvl="7" w:tplc="99642F62">
      <w:numFmt w:val="bullet"/>
      <w:lvlText w:val="•"/>
      <w:lvlJc w:val="left"/>
      <w:pPr>
        <w:ind w:left="8372" w:hanging="245"/>
      </w:pPr>
      <w:rPr>
        <w:rFonts w:hint="default"/>
        <w:lang w:val="en-US" w:eastAsia="en-US" w:bidi="en-US"/>
      </w:rPr>
    </w:lvl>
    <w:lvl w:ilvl="8" w:tplc="30C205EC">
      <w:numFmt w:val="bullet"/>
      <w:lvlText w:val="•"/>
      <w:lvlJc w:val="left"/>
      <w:pPr>
        <w:ind w:left="9248" w:hanging="245"/>
      </w:pPr>
      <w:rPr>
        <w:rFonts w:hint="default"/>
        <w:lang w:val="en-US" w:eastAsia="en-US" w:bidi="en-US"/>
      </w:rPr>
    </w:lvl>
  </w:abstractNum>
  <w:abstractNum w:abstractNumId="21" w15:restartNumberingAfterBreak="0">
    <w:nsid w:val="74AC4589"/>
    <w:multiLevelType w:val="hybridMultilevel"/>
    <w:tmpl w:val="9EEAE988"/>
    <w:lvl w:ilvl="0" w:tplc="C9682E82">
      <w:start w:val="1"/>
      <w:numFmt w:val="decimal"/>
      <w:lvlText w:val="%1."/>
      <w:lvlJc w:val="left"/>
      <w:pPr>
        <w:ind w:left="2719" w:hanging="1009"/>
        <w:jc w:val="left"/>
      </w:pPr>
      <w:rPr>
        <w:rFonts w:ascii="Times New Roman" w:eastAsia="Times New Roman" w:hAnsi="Times New Roman" w:cs="Times New Roman" w:hint="default"/>
        <w:b/>
        <w:bCs/>
        <w:w w:val="99"/>
        <w:sz w:val="26"/>
        <w:szCs w:val="26"/>
        <w:lang w:val="en-US" w:eastAsia="en-US" w:bidi="en-US"/>
      </w:rPr>
    </w:lvl>
    <w:lvl w:ilvl="1" w:tplc="AEC8ABEA">
      <w:numFmt w:val="bullet"/>
      <w:lvlText w:val="•"/>
      <w:lvlJc w:val="left"/>
      <w:pPr>
        <w:ind w:left="3548" w:hanging="1009"/>
      </w:pPr>
      <w:rPr>
        <w:rFonts w:hint="default"/>
        <w:lang w:val="en-US" w:eastAsia="en-US" w:bidi="en-US"/>
      </w:rPr>
    </w:lvl>
    <w:lvl w:ilvl="2" w:tplc="ADC05258">
      <w:numFmt w:val="bullet"/>
      <w:lvlText w:val="•"/>
      <w:lvlJc w:val="left"/>
      <w:pPr>
        <w:ind w:left="4376" w:hanging="1009"/>
      </w:pPr>
      <w:rPr>
        <w:rFonts w:hint="default"/>
        <w:lang w:val="en-US" w:eastAsia="en-US" w:bidi="en-US"/>
      </w:rPr>
    </w:lvl>
    <w:lvl w:ilvl="3" w:tplc="7FAEB20E">
      <w:numFmt w:val="bullet"/>
      <w:lvlText w:val="•"/>
      <w:lvlJc w:val="left"/>
      <w:pPr>
        <w:ind w:left="5204" w:hanging="1009"/>
      </w:pPr>
      <w:rPr>
        <w:rFonts w:hint="default"/>
        <w:lang w:val="en-US" w:eastAsia="en-US" w:bidi="en-US"/>
      </w:rPr>
    </w:lvl>
    <w:lvl w:ilvl="4" w:tplc="6E4E042E">
      <w:numFmt w:val="bullet"/>
      <w:lvlText w:val="•"/>
      <w:lvlJc w:val="left"/>
      <w:pPr>
        <w:ind w:left="6032" w:hanging="1009"/>
      </w:pPr>
      <w:rPr>
        <w:rFonts w:hint="default"/>
        <w:lang w:val="en-US" w:eastAsia="en-US" w:bidi="en-US"/>
      </w:rPr>
    </w:lvl>
    <w:lvl w:ilvl="5" w:tplc="B12EB0CE">
      <w:numFmt w:val="bullet"/>
      <w:lvlText w:val="•"/>
      <w:lvlJc w:val="left"/>
      <w:pPr>
        <w:ind w:left="6860" w:hanging="1009"/>
      </w:pPr>
      <w:rPr>
        <w:rFonts w:hint="default"/>
        <w:lang w:val="en-US" w:eastAsia="en-US" w:bidi="en-US"/>
      </w:rPr>
    </w:lvl>
    <w:lvl w:ilvl="6" w:tplc="606A2C0E">
      <w:numFmt w:val="bullet"/>
      <w:lvlText w:val="•"/>
      <w:lvlJc w:val="left"/>
      <w:pPr>
        <w:ind w:left="7688" w:hanging="1009"/>
      </w:pPr>
      <w:rPr>
        <w:rFonts w:hint="default"/>
        <w:lang w:val="en-US" w:eastAsia="en-US" w:bidi="en-US"/>
      </w:rPr>
    </w:lvl>
    <w:lvl w:ilvl="7" w:tplc="99EC786C">
      <w:numFmt w:val="bullet"/>
      <w:lvlText w:val="•"/>
      <w:lvlJc w:val="left"/>
      <w:pPr>
        <w:ind w:left="8516" w:hanging="1009"/>
      </w:pPr>
      <w:rPr>
        <w:rFonts w:hint="default"/>
        <w:lang w:val="en-US" w:eastAsia="en-US" w:bidi="en-US"/>
      </w:rPr>
    </w:lvl>
    <w:lvl w:ilvl="8" w:tplc="5C988686">
      <w:numFmt w:val="bullet"/>
      <w:lvlText w:val="•"/>
      <w:lvlJc w:val="left"/>
      <w:pPr>
        <w:ind w:left="9344" w:hanging="1009"/>
      </w:pPr>
      <w:rPr>
        <w:rFonts w:hint="default"/>
        <w:lang w:val="en-US" w:eastAsia="en-US" w:bidi="en-US"/>
      </w:rPr>
    </w:lvl>
  </w:abstractNum>
  <w:abstractNum w:abstractNumId="22" w15:restartNumberingAfterBreak="0">
    <w:nsid w:val="7AED1C17"/>
    <w:multiLevelType w:val="hybridMultilevel"/>
    <w:tmpl w:val="98A67FEC"/>
    <w:lvl w:ilvl="0" w:tplc="F0A48600">
      <w:start w:val="1"/>
      <w:numFmt w:val="lowerLetter"/>
      <w:lvlText w:val="%1."/>
      <w:lvlJc w:val="left"/>
      <w:pPr>
        <w:ind w:left="1279" w:hanging="320"/>
        <w:jc w:val="left"/>
      </w:pPr>
      <w:rPr>
        <w:rFonts w:ascii="Times New Roman" w:eastAsia="Times New Roman" w:hAnsi="Times New Roman" w:cs="Times New Roman" w:hint="default"/>
        <w:b/>
        <w:bCs/>
        <w:w w:val="99"/>
        <w:sz w:val="26"/>
        <w:szCs w:val="26"/>
        <w:lang w:val="en-US" w:eastAsia="en-US" w:bidi="en-US"/>
      </w:rPr>
    </w:lvl>
    <w:lvl w:ilvl="1" w:tplc="22C64D6C">
      <w:numFmt w:val="bullet"/>
      <w:lvlText w:val="•"/>
      <w:lvlJc w:val="left"/>
      <w:pPr>
        <w:ind w:left="2252" w:hanging="320"/>
      </w:pPr>
      <w:rPr>
        <w:rFonts w:hint="default"/>
        <w:lang w:val="en-US" w:eastAsia="en-US" w:bidi="en-US"/>
      </w:rPr>
    </w:lvl>
    <w:lvl w:ilvl="2" w:tplc="9AB81FBE">
      <w:numFmt w:val="bullet"/>
      <w:lvlText w:val="•"/>
      <w:lvlJc w:val="left"/>
      <w:pPr>
        <w:ind w:left="3224" w:hanging="320"/>
      </w:pPr>
      <w:rPr>
        <w:rFonts w:hint="default"/>
        <w:lang w:val="en-US" w:eastAsia="en-US" w:bidi="en-US"/>
      </w:rPr>
    </w:lvl>
    <w:lvl w:ilvl="3" w:tplc="0F16453E">
      <w:numFmt w:val="bullet"/>
      <w:lvlText w:val="•"/>
      <w:lvlJc w:val="left"/>
      <w:pPr>
        <w:ind w:left="4196" w:hanging="320"/>
      </w:pPr>
      <w:rPr>
        <w:rFonts w:hint="default"/>
        <w:lang w:val="en-US" w:eastAsia="en-US" w:bidi="en-US"/>
      </w:rPr>
    </w:lvl>
    <w:lvl w:ilvl="4" w:tplc="BB729F18">
      <w:numFmt w:val="bullet"/>
      <w:lvlText w:val="•"/>
      <w:lvlJc w:val="left"/>
      <w:pPr>
        <w:ind w:left="5168" w:hanging="320"/>
      </w:pPr>
      <w:rPr>
        <w:rFonts w:hint="default"/>
        <w:lang w:val="en-US" w:eastAsia="en-US" w:bidi="en-US"/>
      </w:rPr>
    </w:lvl>
    <w:lvl w:ilvl="5" w:tplc="D2D249DA">
      <w:numFmt w:val="bullet"/>
      <w:lvlText w:val="•"/>
      <w:lvlJc w:val="left"/>
      <w:pPr>
        <w:ind w:left="6140" w:hanging="320"/>
      </w:pPr>
      <w:rPr>
        <w:rFonts w:hint="default"/>
        <w:lang w:val="en-US" w:eastAsia="en-US" w:bidi="en-US"/>
      </w:rPr>
    </w:lvl>
    <w:lvl w:ilvl="6" w:tplc="B2F4C212">
      <w:numFmt w:val="bullet"/>
      <w:lvlText w:val="•"/>
      <w:lvlJc w:val="left"/>
      <w:pPr>
        <w:ind w:left="7112" w:hanging="320"/>
      </w:pPr>
      <w:rPr>
        <w:rFonts w:hint="default"/>
        <w:lang w:val="en-US" w:eastAsia="en-US" w:bidi="en-US"/>
      </w:rPr>
    </w:lvl>
    <w:lvl w:ilvl="7" w:tplc="DADE06AA">
      <w:numFmt w:val="bullet"/>
      <w:lvlText w:val="•"/>
      <w:lvlJc w:val="left"/>
      <w:pPr>
        <w:ind w:left="8084" w:hanging="320"/>
      </w:pPr>
      <w:rPr>
        <w:rFonts w:hint="default"/>
        <w:lang w:val="en-US" w:eastAsia="en-US" w:bidi="en-US"/>
      </w:rPr>
    </w:lvl>
    <w:lvl w:ilvl="8" w:tplc="F0E643B0">
      <w:numFmt w:val="bullet"/>
      <w:lvlText w:val="•"/>
      <w:lvlJc w:val="left"/>
      <w:pPr>
        <w:ind w:left="9056" w:hanging="320"/>
      </w:pPr>
      <w:rPr>
        <w:rFonts w:hint="default"/>
        <w:lang w:val="en-US" w:eastAsia="en-US" w:bidi="en-US"/>
      </w:rPr>
    </w:lvl>
  </w:abstractNum>
  <w:num w:numId="1" w16cid:durableId="1003704010">
    <w:abstractNumId w:val="8"/>
  </w:num>
  <w:num w:numId="2" w16cid:durableId="1464234996">
    <w:abstractNumId w:val="12"/>
  </w:num>
  <w:num w:numId="3" w16cid:durableId="995911734">
    <w:abstractNumId w:val="3"/>
  </w:num>
  <w:num w:numId="4" w16cid:durableId="788276699">
    <w:abstractNumId w:val="9"/>
  </w:num>
  <w:num w:numId="5" w16cid:durableId="2024892228">
    <w:abstractNumId w:val="16"/>
  </w:num>
  <w:num w:numId="6" w16cid:durableId="1624267580">
    <w:abstractNumId w:val="10"/>
  </w:num>
  <w:num w:numId="7" w16cid:durableId="1282302307">
    <w:abstractNumId w:val="11"/>
  </w:num>
  <w:num w:numId="8" w16cid:durableId="1306276817">
    <w:abstractNumId w:val="15"/>
  </w:num>
  <w:num w:numId="9" w16cid:durableId="124198294">
    <w:abstractNumId w:val="0"/>
  </w:num>
  <w:num w:numId="10" w16cid:durableId="913247497">
    <w:abstractNumId w:val="20"/>
  </w:num>
  <w:num w:numId="11" w16cid:durableId="1205171840">
    <w:abstractNumId w:val="19"/>
  </w:num>
  <w:num w:numId="12" w16cid:durableId="1863517015">
    <w:abstractNumId w:val="17"/>
  </w:num>
  <w:num w:numId="13" w16cid:durableId="1594167821">
    <w:abstractNumId w:val="22"/>
  </w:num>
  <w:num w:numId="14" w16cid:durableId="932593643">
    <w:abstractNumId w:val="21"/>
  </w:num>
  <w:num w:numId="15" w16cid:durableId="1363165303">
    <w:abstractNumId w:val="18"/>
  </w:num>
  <w:num w:numId="16" w16cid:durableId="1215505223">
    <w:abstractNumId w:val="1"/>
  </w:num>
  <w:num w:numId="17" w16cid:durableId="144932567">
    <w:abstractNumId w:val="4"/>
  </w:num>
  <w:num w:numId="18" w16cid:durableId="1190148447">
    <w:abstractNumId w:val="13"/>
  </w:num>
  <w:num w:numId="19" w16cid:durableId="936400167">
    <w:abstractNumId w:val="5"/>
  </w:num>
  <w:num w:numId="20" w16cid:durableId="159083765">
    <w:abstractNumId w:val="14"/>
  </w:num>
  <w:num w:numId="21" w16cid:durableId="835533946">
    <w:abstractNumId w:val="6"/>
  </w:num>
  <w:num w:numId="22" w16cid:durableId="1532912419">
    <w:abstractNumId w:val="7"/>
  </w:num>
  <w:num w:numId="23" w16cid:durableId="19615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80"/>
    <w:rsid w:val="000008F1"/>
    <w:rsid w:val="000013CD"/>
    <w:rsid w:val="00003F84"/>
    <w:rsid w:val="00023F3C"/>
    <w:rsid w:val="00025547"/>
    <w:rsid w:val="00025C5B"/>
    <w:rsid w:val="00027C10"/>
    <w:rsid w:val="00030D4D"/>
    <w:rsid w:val="00031B4A"/>
    <w:rsid w:val="00035016"/>
    <w:rsid w:val="000374A8"/>
    <w:rsid w:val="000377C0"/>
    <w:rsid w:val="00050B27"/>
    <w:rsid w:val="0005118F"/>
    <w:rsid w:val="000534AD"/>
    <w:rsid w:val="00053963"/>
    <w:rsid w:val="000548FB"/>
    <w:rsid w:val="00074DD5"/>
    <w:rsid w:val="00075403"/>
    <w:rsid w:val="00080FCC"/>
    <w:rsid w:val="000851AB"/>
    <w:rsid w:val="0009335C"/>
    <w:rsid w:val="000963A6"/>
    <w:rsid w:val="00097B1C"/>
    <w:rsid w:val="000A156F"/>
    <w:rsid w:val="000A4F82"/>
    <w:rsid w:val="000B2167"/>
    <w:rsid w:val="000B3620"/>
    <w:rsid w:val="000B4E4A"/>
    <w:rsid w:val="000C6D7D"/>
    <w:rsid w:val="000C6DDA"/>
    <w:rsid w:val="000D1ABD"/>
    <w:rsid w:val="000D4F0D"/>
    <w:rsid w:val="000E2A51"/>
    <w:rsid w:val="000E4926"/>
    <w:rsid w:val="000E4C22"/>
    <w:rsid w:val="000F08D7"/>
    <w:rsid w:val="000F0AAC"/>
    <w:rsid w:val="000F19C6"/>
    <w:rsid w:val="000F3F1B"/>
    <w:rsid w:val="000F7D31"/>
    <w:rsid w:val="00100713"/>
    <w:rsid w:val="001015B2"/>
    <w:rsid w:val="00101702"/>
    <w:rsid w:val="00102E74"/>
    <w:rsid w:val="00111A27"/>
    <w:rsid w:val="00111C6A"/>
    <w:rsid w:val="00117555"/>
    <w:rsid w:val="00117AED"/>
    <w:rsid w:val="001221CE"/>
    <w:rsid w:val="00122FE5"/>
    <w:rsid w:val="00125798"/>
    <w:rsid w:val="001269A0"/>
    <w:rsid w:val="00131F45"/>
    <w:rsid w:val="0014452C"/>
    <w:rsid w:val="001466D1"/>
    <w:rsid w:val="0015407B"/>
    <w:rsid w:val="00155720"/>
    <w:rsid w:val="00155CC5"/>
    <w:rsid w:val="00156366"/>
    <w:rsid w:val="0017177F"/>
    <w:rsid w:val="001800B2"/>
    <w:rsid w:val="00180E92"/>
    <w:rsid w:val="00182DD6"/>
    <w:rsid w:val="001849D5"/>
    <w:rsid w:val="00185F3A"/>
    <w:rsid w:val="001910A9"/>
    <w:rsid w:val="00191A7C"/>
    <w:rsid w:val="001945FA"/>
    <w:rsid w:val="001959EB"/>
    <w:rsid w:val="001A20FC"/>
    <w:rsid w:val="001A4F05"/>
    <w:rsid w:val="001B4965"/>
    <w:rsid w:val="001B79DB"/>
    <w:rsid w:val="001C2639"/>
    <w:rsid w:val="001C6B80"/>
    <w:rsid w:val="001E00F3"/>
    <w:rsid w:val="001F1CBB"/>
    <w:rsid w:val="00200F5E"/>
    <w:rsid w:val="00206C7C"/>
    <w:rsid w:val="002176D8"/>
    <w:rsid w:val="00223851"/>
    <w:rsid w:val="002248BA"/>
    <w:rsid w:val="002323DF"/>
    <w:rsid w:val="00244EE9"/>
    <w:rsid w:val="00246CE7"/>
    <w:rsid w:val="0025001D"/>
    <w:rsid w:val="00253506"/>
    <w:rsid w:val="00257136"/>
    <w:rsid w:val="002631D8"/>
    <w:rsid w:val="00264C09"/>
    <w:rsid w:val="00266498"/>
    <w:rsid w:val="00267673"/>
    <w:rsid w:val="002765FA"/>
    <w:rsid w:val="00277C35"/>
    <w:rsid w:val="00283066"/>
    <w:rsid w:val="00284B15"/>
    <w:rsid w:val="00285855"/>
    <w:rsid w:val="00285908"/>
    <w:rsid w:val="0028657B"/>
    <w:rsid w:val="00287D2E"/>
    <w:rsid w:val="00294A52"/>
    <w:rsid w:val="002979D5"/>
    <w:rsid w:val="002A5809"/>
    <w:rsid w:val="002C166F"/>
    <w:rsid w:val="002C374C"/>
    <w:rsid w:val="002C5883"/>
    <w:rsid w:val="002C5D41"/>
    <w:rsid w:val="002D3A0D"/>
    <w:rsid w:val="002F07EC"/>
    <w:rsid w:val="002F54C5"/>
    <w:rsid w:val="003045D7"/>
    <w:rsid w:val="00305512"/>
    <w:rsid w:val="00305529"/>
    <w:rsid w:val="00305E02"/>
    <w:rsid w:val="00310260"/>
    <w:rsid w:val="003122B9"/>
    <w:rsid w:val="00312C41"/>
    <w:rsid w:val="00313C7A"/>
    <w:rsid w:val="00315FAA"/>
    <w:rsid w:val="00320AFD"/>
    <w:rsid w:val="003231B0"/>
    <w:rsid w:val="0033035D"/>
    <w:rsid w:val="00331666"/>
    <w:rsid w:val="003326B0"/>
    <w:rsid w:val="00335801"/>
    <w:rsid w:val="00340C4D"/>
    <w:rsid w:val="00347AC3"/>
    <w:rsid w:val="003640B1"/>
    <w:rsid w:val="003654AF"/>
    <w:rsid w:val="00370122"/>
    <w:rsid w:val="00381AB9"/>
    <w:rsid w:val="00383C88"/>
    <w:rsid w:val="00394670"/>
    <w:rsid w:val="00395E7D"/>
    <w:rsid w:val="003A0FDB"/>
    <w:rsid w:val="003A1FC3"/>
    <w:rsid w:val="003A445E"/>
    <w:rsid w:val="003B1FE4"/>
    <w:rsid w:val="003B3B4E"/>
    <w:rsid w:val="003B410B"/>
    <w:rsid w:val="003B4F36"/>
    <w:rsid w:val="003B76BA"/>
    <w:rsid w:val="003B780F"/>
    <w:rsid w:val="003C17D9"/>
    <w:rsid w:val="003C5026"/>
    <w:rsid w:val="003C655A"/>
    <w:rsid w:val="003D2119"/>
    <w:rsid w:val="003E1F62"/>
    <w:rsid w:val="003E5DCF"/>
    <w:rsid w:val="003F350F"/>
    <w:rsid w:val="0040457C"/>
    <w:rsid w:val="0040472B"/>
    <w:rsid w:val="0040484D"/>
    <w:rsid w:val="0040547C"/>
    <w:rsid w:val="00405D26"/>
    <w:rsid w:val="0041212A"/>
    <w:rsid w:val="00412407"/>
    <w:rsid w:val="004139F6"/>
    <w:rsid w:val="00413A6C"/>
    <w:rsid w:val="00414324"/>
    <w:rsid w:val="00415DC2"/>
    <w:rsid w:val="00417701"/>
    <w:rsid w:val="00420FC3"/>
    <w:rsid w:val="00422730"/>
    <w:rsid w:val="0042599B"/>
    <w:rsid w:val="00430A04"/>
    <w:rsid w:val="004328A9"/>
    <w:rsid w:val="00437700"/>
    <w:rsid w:val="00437B07"/>
    <w:rsid w:val="004416B0"/>
    <w:rsid w:val="00442E15"/>
    <w:rsid w:val="0045539F"/>
    <w:rsid w:val="0046022A"/>
    <w:rsid w:val="0046551B"/>
    <w:rsid w:val="00465926"/>
    <w:rsid w:val="00465B14"/>
    <w:rsid w:val="0046676D"/>
    <w:rsid w:val="00470AD4"/>
    <w:rsid w:val="00496D41"/>
    <w:rsid w:val="004A07FA"/>
    <w:rsid w:val="004C517D"/>
    <w:rsid w:val="004D0ED8"/>
    <w:rsid w:val="004D1EDB"/>
    <w:rsid w:val="004E0ED2"/>
    <w:rsid w:val="004E1AD9"/>
    <w:rsid w:val="004E1D9C"/>
    <w:rsid w:val="004E4378"/>
    <w:rsid w:val="004E5A9D"/>
    <w:rsid w:val="004F0868"/>
    <w:rsid w:val="004F1ACC"/>
    <w:rsid w:val="004F6788"/>
    <w:rsid w:val="00501859"/>
    <w:rsid w:val="0050541A"/>
    <w:rsid w:val="00505C29"/>
    <w:rsid w:val="00512AF5"/>
    <w:rsid w:val="005132ED"/>
    <w:rsid w:val="005163C9"/>
    <w:rsid w:val="0053059D"/>
    <w:rsid w:val="005335E7"/>
    <w:rsid w:val="00533A82"/>
    <w:rsid w:val="0053459E"/>
    <w:rsid w:val="00540813"/>
    <w:rsid w:val="00541E8C"/>
    <w:rsid w:val="005466FD"/>
    <w:rsid w:val="00546801"/>
    <w:rsid w:val="005552B8"/>
    <w:rsid w:val="00555C2E"/>
    <w:rsid w:val="0056212E"/>
    <w:rsid w:val="005625E3"/>
    <w:rsid w:val="00563D64"/>
    <w:rsid w:val="00573A8A"/>
    <w:rsid w:val="00575488"/>
    <w:rsid w:val="00575A5A"/>
    <w:rsid w:val="00585444"/>
    <w:rsid w:val="00586B09"/>
    <w:rsid w:val="00591E5B"/>
    <w:rsid w:val="00592AD6"/>
    <w:rsid w:val="00595341"/>
    <w:rsid w:val="00595F1D"/>
    <w:rsid w:val="00596771"/>
    <w:rsid w:val="005973CA"/>
    <w:rsid w:val="005A73FA"/>
    <w:rsid w:val="005A7744"/>
    <w:rsid w:val="005B3A5B"/>
    <w:rsid w:val="005B3DAE"/>
    <w:rsid w:val="005B47C6"/>
    <w:rsid w:val="005B4921"/>
    <w:rsid w:val="005B56B3"/>
    <w:rsid w:val="005C34EF"/>
    <w:rsid w:val="005C3FD0"/>
    <w:rsid w:val="005D036C"/>
    <w:rsid w:val="005D1F86"/>
    <w:rsid w:val="005D2B16"/>
    <w:rsid w:val="005D56E4"/>
    <w:rsid w:val="005D598E"/>
    <w:rsid w:val="005D6E4E"/>
    <w:rsid w:val="005E21BD"/>
    <w:rsid w:val="005E4C60"/>
    <w:rsid w:val="005E5CBF"/>
    <w:rsid w:val="005E6730"/>
    <w:rsid w:val="005E6C79"/>
    <w:rsid w:val="005E7527"/>
    <w:rsid w:val="005E766D"/>
    <w:rsid w:val="005F6F5C"/>
    <w:rsid w:val="00601955"/>
    <w:rsid w:val="00603007"/>
    <w:rsid w:val="00614581"/>
    <w:rsid w:val="00623ED7"/>
    <w:rsid w:val="0062463E"/>
    <w:rsid w:val="006339B9"/>
    <w:rsid w:val="00634D7E"/>
    <w:rsid w:val="00636304"/>
    <w:rsid w:val="00640ECC"/>
    <w:rsid w:val="00643B90"/>
    <w:rsid w:val="0064448A"/>
    <w:rsid w:val="00646CF0"/>
    <w:rsid w:val="00646DA3"/>
    <w:rsid w:val="00647B8E"/>
    <w:rsid w:val="00651F21"/>
    <w:rsid w:val="00654626"/>
    <w:rsid w:val="0065528D"/>
    <w:rsid w:val="00661ADD"/>
    <w:rsid w:val="006643EB"/>
    <w:rsid w:val="006656F0"/>
    <w:rsid w:val="006663B9"/>
    <w:rsid w:val="00671231"/>
    <w:rsid w:val="006746D8"/>
    <w:rsid w:val="00676CBC"/>
    <w:rsid w:val="006853B3"/>
    <w:rsid w:val="006935F3"/>
    <w:rsid w:val="00693E80"/>
    <w:rsid w:val="006944E4"/>
    <w:rsid w:val="006949E3"/>
    <w:rsid w:val="00694EE2"/>
    <w:rsid w:val="00695D6C"/>
    <w:rsid w:val="006A067A"/>
    <w:rsid w:val="006A2FC4"/>
    <w:rsid w:val="006A5E4B"/>
    <w:rsid w:val="006A77AB"/>
    <w:rsid w:val="006B1643"/>
    <w:rsid w:val="006B3E44"/>
    <w:rsid w:val="006B679E"/>
    <w:rsid w:val="006C02A7"/>
    <w:rsid w:val="006C04E7"/>
    <w:rsid w:val="006C11F9"/>
    <w:rsid w:val="006C4DF3"/>
    <w:rsid w:val="006C708F"/>
    <w:rsid w:val="006D34A2"/>
    <w:rsid w:val="006D37C7"/>
    <w:rsid w:val="0070193C"/>
    <w:rsid w:val="007026A2"/>
    <w:rsid w:val="00702FF9"/>
    <w:rsid w:val="00705070"/>
    <w:rsid w:val="007069F2"/>
    <w:rsid w:val="00707B58"/>
    <w:rsid w:val="007127FB"/>
    <w:rsid w:val="00712E4D"/>
    <w:rsid w:val="0071324F"/>
    <w:rsid w:val="007147DD"/>
    <w:rsid w:val="00724E58"/>
    <w:rsid w:val="0073353C"/>
    <w:rsid w:val="00733AD2"/>
    <w:rsid w:val="00733D28"/>
    <w:rsid w:val="007439B4"/>
    <w:rsid w:val="00745897"/>
    <w:rsid w:val="00751E27"/>
    <w:rsid w:val="00752010"/>
    <w:rsid w:val="0075303F"/>
    <w:rsid w:val="007546F4"/>
    <w:rsid w:val="00760206"/>
    <w:rsid w:val="0076075B"/>
    <w:rsid w:val="00760C43"/>
    <w:rsid w:val="0076116B"/>
    <w:rsid w:val="00763385"/>
    <w:rsid w:val="0077013D"/>
    <w:rsid w:val="00770D6D"/>
    <w:rsid w:val="007713BA"/>
    <w:rsid w:val="0077473A"/>
    <w:rsid w:val="007761EB"/>
    <w:rsid w:val="00780ED2"/>
    <w:rsid w:val="00783A8D"/>
    <w:rsid w:val="00787BEB"/>
    <w:rsid w:val="007923A0"/>
    <w:rsid w:val="00795579"/>
    <w:rsid w:val="007B11F0"/>
    <w:rsid w:val="007B12F6"/>
    <w:rsid w:val="007C0061"/>
    <w:rsid w:val="007C1B60"/>
    <w:rsid w:val="007D11C8"/>
    <w:rsid w:val="007D12EF"/>
    <w:rsid w:val="007D4824"/>
    <w:rsid w:val="007D577B"/>
    <w:rsid w:val="007D5ED2"/>
    <w:rsid w:val="007D6097"/>
    <w:rsid w:val="007E1BCF"/>
    <w:rsid w:val="007E3815"/>
    <w:rsid w:val="007E38D7"/>
    <w:rsid w:val="007E3B28"/>
    <w:rsid w:val="007E7717"/>
    <w:rsid w:val="007F1D63"/>
    <w:rsid w:val="007F2173"/>
    <w:rsid w:val="007F2ACD"/>
    <w:rsid w:val="007F5226"/>
    <w:rsid w:val="00800A43"/>
    <w:rsid w:val="00800EB6"/>
    <w:rsid w:val="00807AF4"/>
    <w:rsid w:val="00816632"/>
    <w:rsid w:val="008205DA"/>
    <w:rsid w:val="00824CDB"/>
    <w:rsid w:val="00826BAE"/>
    <w:rsid w:val="00827E63"/>
    <w:rsid w:val="008304CE"/>
    <w:rsid w:val="00834EB2"/>
    <w:rsid w:val="00836432"/>
    <w:rsid w:val="00841048"/>
    <w:rsid w:val="00842CFC"/>
    <w:rsid w:val="00853250"/>
    <w:rsid w:val="00854682"/>
    <w:rsid w:val="00855D0A"/>
    <w:rsid w:val="00864437"/>
    <w:rsid w:val="0088198B"/>
    <w:rsid w:val="0088270C"/>
    <w:rsid w:val="0088290A"/>
    <w:rsid w:val="00884BDF"/>
    <w:rsid w:val="0089333D"/>
    <w:rsid w:val="00895291"/>
    <w:rsid w:val="00896D84"/>
    <w:rsid w:val="00896FC0"/>
    <w:rsid w:val="008A40B6"/>
    <w:rsid w:val="008A537A"/>
    <w:rsid w:val="008A5945"/>
    <w:rsid w:val="008A597E"/>
    <w:rsid w:val="008B5B79"/>
    <w:rsid w:val="008B70A5"/>
    <w:rsid w:val="008C10B3"/>
    <w:rsid w:val="008C24F8"/>
    <w:rsid w:val="008D34E8"/>
    <w:rsid w:val="008D659D"/>
    <w:rsid w:val="008F4780"/>
    <w:rsid w:val="008F62C1"/>
    <w:rsid w:val="008F7970"/>
    <w:rsid w:val="009153C3"/>
    <w:rsid w:val="0092052B"/>
    <w:rsid w:val="00921E47"/>
    <w:rsid w:val="0092515B"/>
    <w:rsid w:val="00926C85"/>
    <w:rsid w:val="0093142B"/>
    <w:rsid w:val="009359F5"/>
    <w:rsid w:val="00940A2E"/>
    <w:rsid w:val="0094261C"/>
    <w:rsid w:val="00945DF6"/>
    <w:rsid w:val="009473AB"/>
    <w:rsid w:val="00952D06"/>
    <w:rsid w:val="00954F74"/>
    <w:rsid w:val="00975DDB"/>
    <w:rsid w:val="0098628C"/>
    <w:rsid w:val="00991C50"/>
    <w:rsid w:val="009A0502"/>
    <w:rsid w:val="009A1278"/>
    <w:rsid w:val="009A5AF3"/>
    <w:rsid w:val="009B0FB4"/>
    <w:rsid w:val="009B2B90"/>
    <w:rsid w:val="009C1898"/>
    <w:rsid w:val="009C496C"/>
    <w:rsid w:val="009C7AC4"/>
    <w:rsid w:val="009D0E65"/>
    <w:rsid w:val="009D177D"/>
    <w:rsid w:val="009D41F8"/>
    <w:rsid w:val="009D58C6"/>
    <w:rsid w:val="009D6283"/>
    <w:rsid w:val="009E13CC"/>
    <w:rsid w:val="009E4E42"/>
    <w:rsid w:val="009E502D"/>
    <w:rsid w:val="009E79C7"/>
    <w:rsid w:val="009F3242"/>
    <w:rsid w:val="009F67CD"/>
    <w:rsid w:val="009F7480"/>
    <w:rsid w:val="00A01A4A"/>
    <w:rsid w:val="00A073A0"/>
    <w:rsid w:val="00A105A4"/>
    <w:rsid w:val="00A14038"/>
    <w:rsid w:val="00A145F6"/>
    <w:rsid w:val="00A24467"/>
    <w:rsid w:val="00A245BD"/>
    <w:rsid w:val="00A26E8C"/>
    <w:rsid w:val="00A43042"/>
    <w:rsid w:val="00A54D45"/>
    <w:rsid w:val="00A623B9"/>
    <w:rsid w:val="00A64D06"/>
    <w:rsid w:val="00A65A00"/>
    <w:rsid w:val="00A731B9"/>
    <w:rsid w:val="00A778DD"/>
    <w:rsid w:val="00A82AF6"/>
    <w:rsid w:val="00A83999"/>
    <w:rsid w:val="00A92CF5"/>
    <w:rsid w:val="00AA3026"/>
    <w:rsid w:val="00AA470A"/>
    <w:rsid w:val="00AA4DF9"/>
    <w:rsid w:val="00AB11CC"/>
    <w:rsid w:val="00AB18E6"/>
    <w:rsid w:val="00AB56A4"/>
    <w:rsid w:val="00AC1674"/>
    <w:rsid w:val="00AC2CE9"/>
    <w:rsid w:val="00AC774E"/>
    <w:rsid w:val="00AD204D"/>
    <w:rsid w:val="00AD4388"/>
    <w:rsid w:val="00AE078D"/>
    <w:rsid w:val="00AE27C1"/>
    <w:rsid w:val="00AF0060"/>
    <w:rsid w:val="00AF14B1"/>
    <w:rsid w:val="00AF73AD"/>
    <w:rsid w:val="00B03C80"/>
    <w:rsid w:val="00B055CD"/>
    <w:rsid w:val="00B0649B"/>
    <w:rsid w:val="00B07250"/>
    <w:rsid w:val="00B10E10"/>
    <w:rsid w:val="00B15D42"/>
    <w:rsid w:val="00B244D1"/>
    <w:rsid w:val="00B255AE"/>
    <w:rsid w:val="00B26376"/>
    <w:rsid w:val="00B36212"/>
    <w:rsid w:val="00B74496"/>
    <w:rsid w:val="00B822B4"/>
    <w:rsid w:val="00B82A7D"/>
    <w:rsid w:val="00B83DD8"/>
    <w:rsid w:val="00BA2FE7"/>
    <w:rsid w:val="00BB1137"/>
    <w:rsid w:val="00BB775F"/>
    <w:rsid w:val="00BC4DE5"/>
    <w:rsid w:val="00BC54A4"/>
    <w:rsid w:val="00BC5C7F"/>
    <w:rsid w:val="00BD1631"/>
    <w:rsid w:val="00BD3890"/>
    <w:rsid w:val="00BD511E"/>
    <w:rsid w:val="00BE34AB"/>
    <w:rsid w:val="00BE5C30"/>
    <w:rsid w:val="00BF376F"/>
    <w:rsid w:val="00C03BCE"/>
    <w:rsid w:val="00C04120"/>
    <w:rsid w:val="00C0541A"/>
    <w:rsid w:val="00C17B98"/>
    <w:rsid w:val="00C27D9A"/>
    <w:rsid w:val="00C27DD8"/>
    <w:rsid w:val="00C35629"/>
    <w:rsid w:val="00C463C7"/>
    <w:rsid w:val="00C47C36"/>
    <w:rsid w:val="00C50259"/>
    <w:rsid w:val="00C64E71"/>
    <w:rsid w:val="00C75065"/>
    <w:rsid w:val="00C83216"/>
    <w:rsid w:val="00C95235"/>
    <w:rsid w:val="00CA57ED"/>
    <w:rsid w:val="00CB0A39"/>
    <w:rsid w:val="00CB28E1"/>
    <w:rsid w:val="00CB4703"/>
    <w:rsid w:val="00CB6044"/>
    <w:rsid w:val="00CB7307"/>
    <w:rsid w:val="00CC5F2C"/>
    <w:rsid w:val="00CE2524"/>
    <w:rsid w:val="00CE6F2A"/>
    <w:rsid w:val="00CE7824"/>
    <w:rsid w:val="00CF16D3"/>
    <w:rsid w:val="00CF6AB5"/>
    <w:rsid w:val="00D007DB"/>
    <w:rsid w:val="00D0114C"/>
    <w:rsid w:val="00D027C8"/>
    <w:rsid w:val="00D040CD"/>
    <w:rsid w:val="00D0653E"/>
    <w:rsid w:val="00D066AD"/>
    <w:rsid w:val="00D11FE0"/>
    <w:rsid w:val="00D12FA1"/>
    <w:rsid w:val="00D140F0"/>
    <w:rsid w:val="00D1620E"/>
    <w:rsid w:val="00D30813"/>
    <w:rsid w:val="00D31FB1"/>
    <w:rsid w:val="00D338AE"/>
    <w:rsid w:val="00D40BAF"/>
    <w:rsid w:val="00D47101"/>
    <w:rsid w:val="00D544C0"/>
    <w:rsid w:val="00D54D11"/>
    <w:rsid w:val="00D55C69"/>
    <w:rsid w:val="00D60CAC"/>
    <w:rsid w:val="00D63BDB"/>
    <w:rsid w:val="00D63CDB"/>
    <w:rsid w:val="00D72F71"/>
    <w:rsid w:val="00D81429"/>
    <w:rsid w:val="00D8200C"/>
    <w:rsid w:val="00D83FA8"/>
    <w:rsid w:val="00D931D4"/>
    <w:rsid w:val="00D936F4"/>
    <w:rsid w:val="00D93723"/>
    <w:rsid w:val="00D96068"/>
    <w:rsid w:val="00D974DE"/>
    <w:rsid w:val="00DA2BD5"/>
    <w:rsid w:val="00DA5762"/>
    <w:rsid w:val="00DB0821"/>
    <w:rsid w:val="00DB72A2"/>
    <w:rsid w:val="00DC38C8"/>
    <w:rsid w:val="00DC4012"/>
    <w:rsid w:val="00DD0C6F"/>
    <w:rsid w:val="00DD179B"/>
    <w:rsid w:val="00DD5FEC"/>
    <w:rsid w:val="00DE27A4"/>
    <w:rsid w:val="00DF3C9C"/>
    <w:rsid w:val="00DF427B"/>
    <w:rsid w:val="00DF51EC"/>
    <w:rsid w:val="00DF74BA"/>
    <w:rsid w:val="00E12F6C"/>
    <w:rsid w:val="00E1414C"/>
    <w:rsid w:val="00E245C6"/>
    <w:rsid w:val="00E253C3"/>
    <w:rsid w:val="00E32332"/>
    <w:rsid w:val="00E36018"/>
    <w:rsid w:val="00E375DF"/>
    <w:rsid w:val="00E4026B"/>
    <w:rsid w:val="00E415E6"/>
    <w:rsid w:val="00E44189"/>
    <w:rsid w:val="00E45D26"/>
    <w:rsid w:val="00E47BB5"/>
    <w:rsid w:val="00E47E09"/>
    <w:rsid w:val="00E514A8"/>
    <w:rsid w:val="00E51DA6"/>
    <w:rsid w:val="00E56EAC"/>
    <w:rsid w:val="00E67E6B"/>
    <w:rsid w:val="00E73E98"/>
    <w:rsid w:val="00E75191"/>
    <w:rsid w:val="00E819C0"/>
    <w:rsid w:val="00E852A0"/>
    <w:rsid w:val="00E85C37"/>
    <w:rsid w:val="00E8607B"/>
    <w:rsid w:val="00E948A7"/>
    <w:rsid w:val="00EA5163"/>
    <w:rsid w:val="00EA562C"/>
    <w:rsid w:val="00EB08EF"/>
    <w:rsid w:val="00EC58FC"/>
    <w:rsid w:val="00ED073F"/>
    <w:rsid w:val="00ED0820"/>
    <w:rsid w:val="00EE28D8"/>
    <w:rsid w:val="00EF161D"/>
    <w:rsid w:val="00EF679C"/>
    <w:rsid w:val="00F040AA"/>
    <w:rsid w:val="00F07717"/>
    <w:rsid w:val="00F11CB0"/>
    <w:rsid w:val="00F14DF1"/>
    <w:rsid w:val="00F15FBA"/>
    <w:rsid w:val="00F2343B"/>
    <w:rsid w:val="00F308E5"/>
    <w:rsid w:val="00F30ECD"/>
    <w:rsid w:val="00F32360"/>
    <w:rsid w:val="00F33F5E"/>
    <w:rsid w:val="00F352B1"/>
    <w:rsid w:val="00F41D8E"/>
    <w:rsid w:val="00F43771"/>
    <w:rsid w:val="00F47A53"/>
    <w:rsid w:val="00F51831"/>
    <w:rsid w:val="00F54F89"/>
    <w:rsid w:val="00F55163"/>
    <w:rsid w:val="00F6125E"/>
    <w:rsid w:val="00F63063"/>
    <w:rsid w:val="00F65DEC"/>
    <w:rsid w:val="00F70B3A"/>
    <w:rsid w:val="00F7170A"/>
    <w:rsid w:val="00F72275"/>
    <w:rsid w:val="00F773EC"/>
    <w:rsid w:val="00F77722"/>
    <w:rsid w:val="00F80CED"/>
    <w:rsid w:val="00F87E5F"/>
    <w:rsid w:val="00F9178A"/>
    <w:rsid w:val="00F92401"/>
    <w:rsid w:val="00F93D2F"/>
    <w:rsid w:val="00F93DD9"/>
    <w:rsid w:val="00F97B66"/>
    <w:rsid w:val="00FA03B0"/>
    <w:rsid w:val="00FA1910"/>
    <w:rsid w:val="00FA5455"/>
    <w:rsid w:val="00FA55F8"/>
    <w:rsid w:val="00FB5A47"/>
    <w:rsid w:val="00FC684F"/>
    <w:rsid w:val="00FC7C06"/>
    <w:rsid w:val="00FD0AD4"/>
    <w:rsid w:val="00FD22ED"/>
    <w:rsid w:val="00FD3064"/>
    <w:rsid w:val="00FD53D8"/>
    <w:rsid w:val="00FE0223"/>
    <w:rsid w:val="00FE1DA6"/>
    <w:rsid w:val="00FE3041"/>
    <w:rsid w:val="00FE61F3"/>
    <w:rsid w:val="00FE661C"/>
    <w:rsid w:val="00FF2C39"/>
    <w:rsid w:val="00FF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8D2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4780"/>
    <w:pPr>
      <w:widowControl w:val="0"/>
      <w:autoSpaceDE w:val="0"/>
      <w:autoSpaceDN w:val="0"/>
      <w:spacing w:after="0" w:line="240" w:lineRule="auto"/>
      <w:ind w:left="2000"/>
      <w:outlineLvl w:val="0"/>
    </w:pPr>
    <w:rPr>
      <w:rFonts w:ascii="Times New Roman" w:eastAsia="Times New Roman" w:hAnsi="Times New Roman" w:cs="Times New Roman"/>
      <w:b/>
      <w:bCs/>
      <w:kern w:val="0"/>
      <w:sz w:val="26"/>
      <w:szCs w:val="26"/>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80"/>
    <w:rPr>
      <w:rFonts w:ascii="Times New Roman" w:eastAsia="Times New Roman" w:hAnsi="Times New Roman" w:cs="Times New Roman"/>
      <w:b/>
      <w:bCs/>
      <w:kern w:val="0"/>
      <w:sz w:val="26"/>
      <w:szCs w:val="26"/>
      <w:lang w:bidi="en-US"/>
      <w14:ligatures w14:val="none"/>
    </w:rPr>
  </w:style>
  <w:style w:type="paragraph" w:styleId="TOC1">
    <w:name w:val="toc 1"/>
    <w:basedOn w:val="Normal"/>
    <w:uiPriority w:val="1"/>
    <w:qFormat/>
    <w:rsid w:val="008F4780"/>
    <w:pPr>
      <w:widowControl w:val="0"/>
      <w:autoSpaceDE w:val="0"/>
      <w:autoSpaceDN w:val="0"/>
      <w:spacing w:before="124" w:after="0" w:line="240" w:lineRule="auto"/>
      <w:ind w:left="1910" w:right="527" w:hanging="1911"/>
    </w:pPr>
    <w:rPr>
      <w:rFonts w:ascii="Times New Roman" w:eastAsia="Times New Roman" w:hAnsi="Times New Roman" w:cs="Times New Roman"/>
      <w:kern w:val="0"/>
      <w:sz w:val="26"/>
      <w:szCs w:val="26"/>
      <w:lang w:bidi="en-US"/>
      <w14:ligatures w14:val="none"/>
    </w:rPr>
  </w:style>
  <w:style w:type="paragraph" w:styleId="TOC2">
    <w:name w:val="toc 2"/>
    <w:basedOn w:val="Normal"/>
    <w:uiPriority w:val="1"/>
    <w:qFormat/>
    <w:rsid w:val="008F4780"/>
    <w:pPr>
      <w:widowControl w:val="0"/>
      <w:autoSpaceDE w:val="0"/>
      <w:autoSpaceDN w:val="0"/>
      <w:spacing w:before="124" w:after="0" w:line="240" w:lineRule="auto"/>
      <w:ind w:left="1280" w:hanging="632"/>
    </w:pPr>
    <w:rPr>
      <w:rFonts w:ascii="Times New Roman" w:eastAsia="Times New Roman" w:hAnsi="Times New Roman" w:cs="Times New Roman"/>
      <w:kern w:val="0"/>
      <w:sz w:val="26"/>
      <w:szCs w:val="26"/>
      <w:lang w:bidi="en-US"/>
      <w14:ligatures w14:val="none"/>
    </w:rPr>
  </w:style>
  <w:style w:type="paragraph" w:styleId="TOC3">
    <w:name w:val="toc 3"/>
    <w:basedOn w:val="Normal"/>
    <w:uiPriority w:val="1"/>
    <w:qFormat/>
    <w:rsid w:val="008F4780"/>
    <w:pPr>
      <w:widowControl w:val="0"/>
      <w:autoSpaceDE w:val="0"/>
      <w:autoSpaceDN w:val="0"/>
      <w:spacing w:before="123" w:after="0" w:line="240" w:lineRule="auto"/>
      <w:ind w:left="2359" w:hanging="361"/>
    </w:pPr>
    <w:rPr>
      <w:rFonts w:ascii="Times New Roman" w:eastAsia="Times New Roman" w:hAnsi="Times New Roman" w:cs="Times New Roman"/>
      <w:kern w:val="0"/>
      <w:sz w:val="26"/>
      <w:szCs w:val="26"/>
      <w:lang w:bidi="en-US"/>
      <w14:ligatures w14:val="none"/>
    </w:rPr>
  </w:style>
  <w:style w:type="paragraph" w:styleId="TOC4">
    <w:name w:val="toc 4"/>
    <w:basedOn w:val="Normal"/>
    <w:uiPriority w:val="1"/>
    <w:qFormat/>
    <w:rsid w:val="008F4780"/>
    <w:pPr>
      <w:widowControl w:val="0"/>
      <w:autoSpaceDE w:val="0"/>
      <w:autoSpaceDN w:val="0"/>
      <w:spacing w:before="124" w:after="0" w:line="240" w:lineRule="auto"/>
      <w:ind w:left="2451" w:hanging="361"/>
    </w:pPr>
    <w:rPr>
      <w:rFonts w:ascii="Times New Roman" w:eastAsia="Times New Roman" w:hAnsi="Times New Roman" w:cs="Times New Roman"/>
      <w:kern w:val="0"/>
      <w:sz w:val="26"/>
      <w:szCs w:val="26"/>
      <w:lang w:bidi="en-US"/>
      <w14:ligatures w14:val="none"/>
    </w:rPr>
  </w:style>
  <w:style w:type="paragraph" w:styleId="TOC5">
    <w:name w:val="toc 5"/>
    <w:basedOn w:val="Normal"/>
    <w:uiPriority w:val="1"/>
    <w:qFormat/>
    <w:rsid w:val="008F4780"/>
    <w:pPr>
      <w:widowControl w:val="0"/>
      <w:autoSpaceDE w:val="0"/>
      <w:autoSpaceDN w:val="0"/>
      <w:spacing w:before="23" w:after="0" w:line="240" w:lineRule="auto"/>
      <w:ind w:left="2359"/>
    </w:pPr>
    <w:rPr>
      <w:rFonts w:ascii="Times New Roman" w:eastAsia="Times New Roman" w:hAnsi="Times New Roman" w:cs="Times New Roman"/>
      <w:kern w:val="0"/>
      <w:sz w:val="26"/>
      <w:szCs w:val="26"/>
      <w:lang w:bidi="en-US"/>
      <w14:ligatures w14:val="none"/>
    </w:rPr>
  </w:style>
  <w:style w:type="paragraph" w:styleId="TOC6">
    <w:name w:val="toc 6"/>
    <w:basedOn w:val="Normal"/>
    <w:uiPriority w:val="1"/>
    <w:qFormat/>
    <w:rsid w:val="008F4780"/>
    <w:pPr>
      <w:widowControl w:val="0"/>
      <w:autoSpaceDE w:val="0"/>
      <w:autoSpaceDN w:val="0"/>
      <w:spacing w:after="0" w:line="240" w:lineRule="auto"/>
      <w:ind w:left="2451"/>
    </w:pPr>
    <w:rPr>
      <w:rFonts w:ascii="Times New Roman" w:eastAsia="Times New Roman" w:hAnsi="Times New Roman" w:cs="Times New Roman"/>
      <w:kern w:val="0"/>
      <w:sz w:val="26"/>
      <w:szCs w:val="26"/>
      <w:lang w:bidi="en-US"/>
      <w14:ligatures w14:val="none"/>
    </w:rPr>
  </w:style>
  <w:style w:type="paragraph" w:styleId="BodyText">
    <w:name w:val="Body Text"/>
    <w:basedOn w:val="Normal"/>
    <w:link w:val="BodyTextChar"/>
    <w:uiPriority w:val="1"/>
    <w:qFormat/>
    <w:rsid w:val="008F4780"/>
    <w:pPr>
      <w:widowControl w:val="0"/>
      <w:autoSpaceDE w:val="0"/>
      <w:autoSpaceDN w:val="0"/>
      <w:spacing w:after="0" w:line="240" w:lineRule="auto"/>
      <w:ind w:left="1279"/>
    </w:pPr>
    <w:rPr>
      <w:rFonts w:ascii="Times New Roman" w:eastAsia="Times New Roman" w:hAnsi="Times New Roman" w:cs="Times New Roman"/>
      <w:kern w:val="0"/>
      <w:sz w:val="26"/>
      <w:szCs w:val="26"/>
      <w:lang w:bidi="en-US"/>
      <w14:ligatures w14:val="none"/>
    </w:rPr>
  </w:style>
  <w:style w:type="character" w:customStyle="1" w:styleId="BodyTextChar">
    <w:name w:val="Body Text Char"/>
    <w:basedOn w:val="DefaultParagraphFont"/>
    <w:link w:val="BodyText"/>
    <w:uiPriority w:val="1"/>
    <w:rsid w:val="008F4780"/>
    <w:rPr>
      <w:rFonts w:ascii="Times New Roman" w:eastAsia="Times New Roman" w:hAnsi="Times New Roman" w:cs="Times New Roman"/>
      <w:kern w:val="0"/>
      <w:sz w:val="26"/>
      <w:szCs w:val="26"/>
      <w:lang w:bidi="en-US"/>
      <w14:ligatures w14:val="none"/>
    </w:rPr>
  </w:style>
  <w:style w:type="paragraph" w:styleId="ListParagraph">
    <w:name w:val="List Paragraph"/>
    <w:basedOn w:val="Normal"/>
    <w:uiPriority w:val="1"/>
    <w:qFormat/>
    <w:rsid w:val="008F4780"/>
    <w:pPr>
      <w:widowControl w:val="0"/>
      <w:autoSpaceDE w:val="0"/>
      <w:autoSpaceDN w:val="0"/>
      <w:spacing w:after="0" w:line="240" w:lineRule="auto"/>
      <w:ind w:left="2000" w:hanging="361"/>
    </w:pPr>
    <w:rPr>
      <w:rFonts w:ascii="Times New Roman" w:eastAsia="Times New Roman" w:hAnsi="Times New Roman" w:cs="Times New Roman"/>
      <w:kern w:val="0"/>
      <w:lang w:bidi="en-US"/>
      <w14:ligatures w14:val="none"/>
    </w:rPr>
  </w:style>
  <w:style w:type="paragraph" w:customStyle="1" w:styleId="TableParagraph">
    <w:name w:val="Table Paragraph"/>
    <w:basedOn w:val="Normal"/>
    <w:uiPriority w:val="1"/>
    <w:qFormat/>
    <w:rsid w:val="008F4780"/>
    <w:pPr>
      <w:widowControl w:val="0"/>
      <w:autoSpaceDE w:val="0"/>
      <w:autoSpaceDN w:val="0"/>
      <w:spacing w:after="0" w:line="240" w:lineRule="auto"/>
      <w:ind w:left="14"/>
    </w:pPr>
    <w:rPr>
      <w:rFonts w:ascii="Times New Roman" w:eastAsia="Times New Roman" w:hAnsi="Times New Roman" w:cs="Times New Roman"/>
      <w:kern w:val="0"/>
      <w:lang w:bidi="en-US"/>
      <w14:ligatures w14:val="none"/>
    </w:rPr>
  </w:style>
  <w:style w:type="paragraph" w:styleId="FootnoteText">
    <w:name w:val="footnote text"/>
    <w:basedOn w:val="Normal"/>
    <w:link w:val="FootnoteTextChar"/>
    <w:uiPriority w:val="99"/>
    <w:semiHidden/>
    <w:unhideWhenUsed/>
    <w:rsid w:val="001540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07B"/>
    <w:rPr>
      <w:sz w:val="20"/>
      <w:szCs w:val="20"/>
    </w:rPr>
  </w:style>
  <w:style w:type="character" w:styleId="FootnoteReference">
    <w:name w:val="footnote reference"/>
    <w:basedOn w:val="DefaultParagraphFont"/>
    <w:uiPriority w:val="99"/>
    <w:semiHidden/>
    <w:unhideWhenUsed/>
    <w:rsid w:val="0015407B"/>
    <w:rPr>
      <w:vertAlign w:val="superscript"/>
    </w:rPr>
  </w:style>
  <w:style w:type="paragraph" w:styleId="Header">
    <w:name w:val="header"/>
    <w:basedOn w:val="Normal"/>
    <w:link w:val="HeaderChar"/>
    <w:uiPriority w:val="99"/>
    <w:unhideWhenUsed/>
    <w:rsid w:val="009A0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502"/>
  </w:style>
  <w:style w:type="paragraph" w:styleId="Footer">
    <w:name w:val="footer"/>
    <w:basedOn w:val="Normal"/>
    <w:link w:val="FooterChar"/>
    <w:uiPriority w:val="99"/>
    <w:unhideWhenUsed/>
    <w:rsid w:val="009A0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502"/>
  </w:style>
  <w:style w:type="paragraph" w:styleId="Revision">
    <w:name w:val="Revision"/>
    <w:hidden/>
    <w:uiPriority w:val="99"/>
    <w:semiHidden/>
    <w:rsid w:val="005D036C"/>
    <w:pPr>
      <w:spacing w:after="0" w:line="240" w:lineRule="auto"/>
    </w:pPr>
  </w:style>
  <w:style w:type="character" w:styleId="CommentReference">
    <w:name w:val="annotation reference"/>
    <w:basedOn w:val="DefaultParagraphFont"/>
    <w:uiPriority w:val="99"/>
    <w:semiHidden/>
    <w:unhideWhenUsed/>
    <w:rsid w:val="00FA55F8"/>
    <w:rPr>
      <w:sz w:val="16"/>
      <w:szCs w:val="16"/>
    </w:rPr>
  </w:style>
  <w:style w:type="paragraph" w:styleId="CommentText">
    <w:name w:val="annotation text"/>
    <w:basedOn w:val="Normal"/>
    <w:link w:val="CommentTextChar"/>
    <w:uiPriority w:val="99"/>
    <w:unhideWhenUsed/>
    <w:rsid w:val="00FA55F8"/>
    <w:pPr>
      <w:spacing w:line="240" w:lineRule="auto"/>
    </w:pPr>
    <w:rPr>
      <w:sz w:val="20"/>
      <w:szCs w:val="20"/>
    </w:rPr>
  </w:style>
  <w:style w:type="character" w:customStyle="1" w:styleId="CommentTextChar">
    <w:name w:val="Comment Text Char"/>
    <w:basedOn w:val="DefaultParagraphFont"/>
    <w:link w:val="CommentText"/>
    <w:uiPriority w:val="99"/>
    <w:rsid w:val="00FA55F8"/>
    <w:rPr>
      <w:sz w:val="20"/>
      <w:szCs w:val="20"/>
    </w:rPr>
  </w:style>
  <w:style w:type="paragraph" w:styleId="CommentSubject">
    <w:name w:val="annotation subject"/>
    <w:basedOn w:val="CommentText"/>
    <w:next w:val="CommentText"/>
    <w:link w:val="CommentSubjectChar"/>
    <w:uiPriority w:val="99"/>
    <w:semiHidden/>
    <w:unhideWhenUsed/>
    <w:rsid w:val="00FA55F8"/>
    <w:rPr>
      <w:b/>
      <w:bCs/>
    </w:rPr>
  </w:style>
  <w:style w:type="character" w:customStyle="1" w:styleId="CommentSubjectChar">
    <w:name w:val="Comment Subject Char"/>
    <w:basedOn w:val="CommentTextChar"/>
    <w:link w:val="CommentSubject"/>
    <w:uiPriority w:val="99"/>
    <w:semiHidden/>
    <w:rsid w:val="00FA55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5730</Words>
  <Characters>29844</Characters>
  <Application>Microsoft Office Word</Application>
  <DocSecurity>0</DocSecurity>
  <Lines>570</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2023-09-13T19:06:00Z</dcterms:created>
  <dcterms:modified xsi:type="dcterms:W3CDTF">2023-09-13T19:06:00Z</dcterms:modified>
  <cp:category/>
</cp:coreProperties>
</file>