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E890" w14:textId="4EBAA6D6" w:rsidR="00C3099D" w:rsidRDefault="006A6F27" w:rsidP="00C3099D">
      <w:pPr>
        <w:spacing w:line="240" w:lineRule="auto"/>
        <w:rPr>
          <w:sz w:val="20"/>
        </w:rPr>
      </w:pPr>
      <w:r>
        <w:rPr>
          <w:sz w:val="20"/>
        </w:rPr>
        <w:t xml:space="preserve">Filed </w:t>
      </w:r>
      <w:r w:rsidR="00525912">
        <w:rPr>
          <w:sz w:val="20"/>
        </w:rPr>
        <w:t>12/11/23</w:t>
      </w:r>
      <w:r w:rsidR="00022B63">
        <w:rPr>
          <w:sz w:val="20"/>
        </w:rPr>
        <w:t>; Certified for Publication 1/8/24 (order attached)</w:t>
      </w:r>
    </w:p>
    <w:p w14:paraId="64FD27E8" w14:textId="77777777" w:rsidR="000D43B9" w:rsidRDefault="000D43B9" w:rsidP="00C3099D">
      <w:pPr>
        <w:spacing w:line="240" w:lineRule="auto"/>
        <w:jc w:val="center"/>
      </w:pPr>
    </w:p>
    <w:p w14:paraId="577A2F42" w14:textId="77777777" w:rsidR="000D43B9" w:rsidRDefault="000D43B9" w:rsidP="00C3099D">
      <w:pPr>
        <w:spacing w:line="240" w:lineRule="auto"/>
        <w:jc w:val="center"/>
      </w:pPr>
    </w:p>
    <w:p w14:paraId="49C51514" w14:textId="77777777" w:rsidR="000D43B9" w:rsidRDefault="000D43B9" w:rsidP="00C3099D">
      <w:pPr>
        <w:spacing w:line="240" w:lineRule="auto"/>
        <w:jc w:val="center"/>
      </w:pPr>
    </w:p>
    <w:p w14:paraId="5F308789" w14:textId="77777777" w:rsidR="000D43B9" w:rsidRDefault="000D43B9" w:rsidP="00C3099D">
      <w:pPr>
        <w:spacing w:line="240" w:lineRule="auto"/>
        <w:jc w:val="center"/>
      </w:pPr>
    </w:p>
    <w:p w14:paraId="3441706A" w14:textId="77777777" w:rsidR="000D43B9" w:rsidRDefault="000D43B9" w:rsidP="00C3099D">
      <w:pPr>
        <w:spacing w:line="240" w:lineRule="auto"/>
        <w:jc w:val="center"/>
      </w:pPr>
    </w:p>
    <w:p w14:paraId="2BF4E4B9" w14:textId="63CC6B68" w:rsidR="00AF006E" w:rsidRDefault="006A6F27" w:rsidP="00C3099D">
      <w:pPr>
        <w:spacing w:line="240" w:lineRule="auto"/>
        <w:jc w:val="center"/>
      </w:pPr>
      <w:r>
        <w:t>IN THE COURT OF APPEAL OF THE STATE OF CALIFORNIA</w:t>
      </w:r>
    </w:p>
    <w:p w14:paraId="6CF768FE" w14:textId="77777777" w:rsidR="00AF006E" w:rsidRDefault="00AF006E" w:rsidP="00AF006E">
      <w:pPr>
        <w:spacing w:line="240" w:lineRule="auto"/>
        <w:jc w:val="center"/>
      </w:pPr>
    </w:p>
    <w:p w14:paraId="6A83C5AB" w14:textId="77777777" w:rsidR="00AF006E" w:rsidRDefault="006A6F27" w:rsidP="00AF006E">
      <w:pPr>
        <w:spacing w:line="240" w:lineRule="auto"/>
        <w:jc w:val="center"/>
      </w:pPr>
      <w:r>
        <w:t>FIRST APPELLATE DISTRICT</w:t>
      </w:r>
    </w:p>
    <w:p w14:paraId="5C431274" w14:textId="77777777" w:rsidR="00AF006E" w:rsidRDefault="00AF006E" w:rsidP="00AF006E">
      <w:pPr>
        <w:spacing w:line="240" w:lineRule="auto"/>
        <w:jc w:val="center"/>
      </w:pPr>
    </w:p>
    <w:p w14:paraId="1427C41C" w14:textId="77777777" w:rsidR="00AF006E" w:rsidRDefault="006A6F27" w:rsidP="00AF006E">
      <w:pPr>
        <w:spacing w:line="240" w:lineRule="auto"/>
        <w:jc w:val="center"/>
      </w:pPr>
      <w:r>
        <w:t>DIVISION THREE</w:t>
      </w:r>
    </w:p>
    <w:p w14:paraId="549B2316" w14:textId="77777777" w:rsidR="00AF006E" w:rsidRDefault="00AF006E" w:rsidP="00AF006E">
      <w:pPr>
        <w:spacing w:line="240" w:lineRule="auto"/>
        <w:jc w:val="center"/>
      </w:pPr>
    </w:p>
    <w:p w14:paraId="5E9DF6AE" w14:textId="77777777" w:rsidR="00AF006E" w:rsidRDefault="00AF006E" w:rsidP="00AF006E">
      <w:pPr>
        <w:spacing w:line="240" w:lineRule="auto"/>
        <w:jc w:val="center"/>
      </w:pPr>
    </w:p>
    <w:tbl>
      <w:tblPr>
        <w:tblW w:w="0" w:type="auto"/>
        <w:tblLayout w:type="fixed"/>
        <w:tblLook w:val="0000" w:firstRow="0" w:lastRow="0" w:firstColumn="0" w:lastColumn="0" w:noHBand="0" w:noVBand="0"/>
      </w:tblPr>
      <w:tblGrid>
        <w:gridCol w:w="4680"/>
        <w:gridCol w:w="4680"/>
      </w:tblGrid>
      <w:tr w:rsidR="00745C58" w14:paraId="3A098B56" w14:textId="77777777" w:rsidTr="00623643">
        <w:tc>
          <w:tcPr>
            <w:tcW w:w="4680" w:type="dxa"/>
            <w:tcBorders>
              <w:bottom w:val="single" w:sz="4" w:space="0" w:color="auto"/>
              <w:right w:val="single" w:sz="4" w:space="0" w:color="auto"/>
            </w:tcBorders>
            <w:shd w:val="clear" w:color="auto" w:fill="auto"/>
          </w:tcPr>
          <w:p w14:paraId="6D0D5C6E" w14:textId="43B4C662" w:rsidR="00AF006E" w:rsidRDefault="006A6F27" w:rsidP="00623643">
            <w:pPr>
              <w:spacing w:after="120" w:line="240" w:lineRule="auto"/>
            </w:pPr>
            <w:r>
              <w:t>NICOLE DEMARINIS et al.,</w:t>
            </w:r>
          </w:p>
          <w:p w14:paraId="349FE564" w14:textId="77777777" w:rsidR="00AF006E" w:rsidRDefault="006A6F27" w:rsidP="00623643">
            <w:pPr>
              <w:spacing w:after="120" w:line="240" w:lineRule="auto"/>
            </w:pPr>
            <w:r>
              <w:tab/>
              <w:t>Plaintiffs and Respondents,</w:t>
            </w:r>
          </w:p>
          <w:p w14:paraId="753009DD" w14:textId="77777777" w:rsidR="00AF006E" w:rsidRDefault="006A6F27" w:rsidP="00623643">
            <w:pPr>
              <w:spacing w:after="120" w:line="240" w:lineRule="auto"/>
            </w:pPr>
            <w:r>
              <w:t>v.</w:t>
            </w:r>
          </w:p>
          <w:p w14:paraId="4EF749A3" w14:textId="77777777" w:rsidR="00AF006E" w:rsidRDefault="006A6F27" w:rsidP="00623643">
            <w:pPr>
              <w:spacing w:after="120" w:line="240" w:lineRule="auto"/>
            </w:pPr>
            <w:r>
              <w:t>HERITAGE BANK OF COMMERCE,</w:t>
            </w:r>
          </w:p>
          <w:p w14:paraId="7FD0D0D9" w14:textId="77777777" w:rsidR="00AF006E" w:rsidRDefault="006A6F27" w:rsidP="00623643">
            <w:pPr>
              <w:spacing w:after="120" w:line="240" w:lineRule="auto"/>
            </w:pPr>
            <w:r>
              <w:tab/>
              <w:t>Defendant and Appellant.</w:t>
            </w:r>
          </w:p>
        </w:tc>
        <w:tc>
          <w:tcPr>
            <w:tcW w:w="4680" w:type="dxa"/>
            <w:tcBorders>
              <w:left w:val="single" w:sz="4" w:space="0" w:color="auto"/>
            </w:tcBorders>
            <w:shd w:val="clear" w:color="auto" w:fill="auto"/>
          </w:tcPr>
          <w:p w14:paraId="08E8FE7C" w14:textId="77777777" w:rsidR="00AF006E" w:rsidRDefault="00AF006E" w:rsidP="00623643">
            <w:pPr>
              <w:spacing w:line="240" w:lineRule="auto"/>
            </w:pPr>
          </w:p>
          <w:p w14:paraId="6D779304" w14:textId="77777777" w:rsidR="00AF006E" w:rsidRDefault="00AF006E" w:rsidP="00623643">
            <w:pPr>
              <w:spacing w:line="240" w:lineRule="auto"/>
            </w:pPr>
          </w:p>
          <w:p w14:paraId="1F4FF498" w14:textId="77777777" w:rsidR="00AF006E" w:rsidRDefault="006A6F27" w:rsidP="00623643">
            <w:pPr>
              <w:spacing w:line="240" w:lineRule="auto"/>
            </w:pPr>
            <w:r>
              <w:t xml:space="preserve">      A167091</w:t>
            </w:r>
          </w:p>
          <w:p w14:paraId="596733AC" w14:textId="77777777" w:rsidR="00AF006E" w:rsidRDefault="00AF006E" w:rsidP="00623643">
            <w:pPr>
              <w:spacing w:line="240" w:lineRule="auto"/>
            </w:pPr>
          </w:p>
          <w:p w14:paraId="6736401F" w14:textId="77777777" w:rsidR="00AF006E" w:rsidRDefault="006A6F27" w:rsidP="00623643">
            <w:pPr>
              <w:spacing w:line="240" w:lineRule="auto"/>
            </w:pPr>
            <w:r>
              <w:t xml:space="preserve">      (Alameda County</w:t>
            </w:r>
          </w:p>
          <w:p w14:paraId="2746E205" w14:textId="77777777" w:rsidR="00AF006E" w:rsidRDefault="006A6F27" w:rsidP="00623643">
            <w:pPr>
              <w:spacing w:line="240" w:lineRule="auto"/>
            </w:pPr>
            <w:r>
              <w:t xml:space="preserve">      Super. Ct. No. RG20080970)</w:t>
            </w:r>
          </w:p>
          <w:p w14:paraId="65599DD9" w14:textId="77777777" w:rsidR="00AF006E" w:rsidRDefault="00AF006E" w:rsidP="00623643">
            <w:pPr>
              <w:spacing w:line="240" w:lineRule="auto"/>
            </w:pPr>
          </w:p>
        </w:tc>
      </w:tr>
    </w:tbl>
    <w:p w14:paraId="61379250" w14:textId="77777777" w:rsidR="00AF006E" w:rsidRDefault="00AF006E" w:rsidP="00AF006E">
      <w:pPr>
        <w:spacing w:line="360" w:lineRule="auto"/>
        <w:jc w:val="center"/>
        <w:rPr>
          <w:b/>
          <w:bCs/>
          <w:smallCaps/>
        </w:rPr>
      </w:pPr>
    </w:p>
    <w:p w14:paraId="255DDA28" w14:textId="61F98C8B" w:rsidR="00107594" w:rsidRPr="00ED5C5B" w:rsidRDefault="006A6F27" w:rsidP="00AF006E">
      <w:pPr>
        <w:spacing w:line="360" w:lineRule="auto"/>
      </w:pPr>
      <w:r>
        <w:rPr>
          <w:b/>
          <w:bCs/>
          <w:smallCaps/>
        </w:rPr>
        <w:tab/>
      </w:r>
      <w:r>
        <w:t xml:space="preserve">This is a putative class action and representative action </w:t>
      </w:r>
      <w:r w:rsidR="009567D9">
        <w:t xml:space="preserve">brought by plaintiffs Nicole DeMarinis </w:t>
      </w:r>
      <w:r w:rsidR="00915D94">
        <w:t>and Kelly Patire</w:t>
      </w:r>
      <w:r w:rsidR="00087326">
        <w:t xml:space="preserve"> </w:t>
      </w:r>
      <w:r>
        <w:t xml:space="preserve">under the California Private Attorneys General Act of 2004 (Lab. Code, § 2698 et seq.) (PAGA) </w:t>
      </w:r>
      <w:r w:rsidR="00087326">
        <w:t>against d</w:t>
      </w:r>
      <w:r>
        <w:t xml:space="preserve">efendant </w:t>
      </w:r>
      <w:r w:rsidRPr="00107594">
        <w:t xml:space="preserve">Heritage </w:t>
      </w:r>
      <w:r>
        <w:t>Bank of Commerce (Heritage Bank)</w:t>
      </w:r>
      <w:r w:rsidR="00087326">
        <w:t xml:space="preserve"> for wage and hour and other Labor Code violations.  Heritage Bank</w:t>
      </w:r>
      <w:r w:rsidR="00915D94">
        <w:t xml:space="preserve"> unsuccessfully moved</w:t>
      </w:r>
      <w:r>
        <w:t xml:space="preserve"> to compel arbitration of plaintiffs’ individual PAGA claims pursuant to a </w:t>
      </w:r>
      <w:r w:rsidR="00ED5C5B">
        <w:t>“representative” action waiver in the parties’ arbitration agreement</w:t>
      </w:r>
      <w:r>
        <w:t xml:space="preserve">.  Relying principally on </w:t>
      </w:r>
      <w:r w:rsidRPr="00982C69">
        <w:rPr>
          <w:i/>
          <w:iCs/>
        </w:rPr>
        <w:t>Viking River Cruises, Inc. v. Moriana</w:t>
      </w:r>
      <w:r>
        <w:t xml:space="preserve"> (2022) 596 U.S. ___ [142 S. Ct. 1906] (</w:t>
      </w:r>
      <w:r w:rsidRPr="00982C69">
        <w:rPr>
          <w:i/>
          <w:iCs/>
        </w:rPr>
        <w:t>Viking River</w:t>
      </w:r>
      <w:r>
        <w:t>),</w:t>
      </w:r>
      <w:r>
        <w:rPr>
          <w:i/>
          <w:iCs/>
        </w:rPr>
        <w:t xml:space="preserve"> </w:t>
      </w:r>
      <w:r>
        <w:t xml:space="preserve">Heritage Bank contends the </w:t>
      </w:r>
      <w:r w:rsidR="00915D94">
        <w:t>denial of arbitration</w:t>
      </w:r>
      <w:r>
        <w:t xml:space="preserve"> was erroneous because the waiver provision is not</w:t>
      </w:r>
      <w:r w:rsidR="00C4334A">
        <w:t>, as the trial court ruled,</w:t>
      </w:r>
      <w:r>
        <w:t xml:space="preserve"> an </w:t>
      </w:r>
      <w:r w:rsidR="002B736D">
        <w:t>unenforceable “wholesale” waiver of plaintiffs’ PAGA claims</w:t>
      </w:r>
      <w:r>
        <w:t xml:space="preserve">, but </w:t>
      </w:r>
      <w:r w:rsidR="0092395A">
        <w:t xml:space="preserve">instead is </w:t>
      </w:r>
      <w:r w:rsidR="002B736D">
        <w:t xml:space="preserve">an </w:t>
      </w:r>
      <w:r w:rsidR="00ED5C5B" w:rsidRPr="002B736D">
        <w:t>enforceable</w:t>
      </w:r>
      <w:r w:rsidR="00ED5C5B">
        <w:t xml:space="preserve"> waiver </w:t>
      </w:r>
      <w:r w:rsidR="00CF6ED0">
        <w:t>pertaining only to</w:t>
      </w:r>
      <w:r w:rsidR="00ED5C5B">
        <w:t xml:space="preserve"> plaintiffs’ </w:t>
      </w:r>
      <w:r w:rsidR="002B736D">
        <w:t>“</w:t>
      </w:r>
      <w:r w:rsidR="00ED5C5B">
        <w:t>nonindividual</w:t>
      </w:r>
      <w:r w:rsidR="002B736D">
        <w:t>”</w:t>
      </w:r>
      <w:r w:rsidR="00ED5C5B">
        <w:t xml:space="preserve"> PAGA claims.  </w:t>
      </w:r>
      <w:r w:rsidR="00ED5C5B" w:rsidRPr="00D72E59">
        <w:t>We</w:t>
      </w:r>
      <w:r w:rsidR="00ED5C5B">
        <w:t xml:space="preserve"> </w:t>
      </w:r>
      <w:r>
        <w:t xml:space="preserve">reject Heritage Bank’s contentions and </w:t>
      </w:r>
      <w:r w:rsidR="00ED5C5B">
        <w:t>affirm</w:t>
      </w:r>
      <w:r w:rsidR="002B736D">
        <w:t>.</w:t>
      </w:r>
    </w:p>
    <w:p w14:paraId="26D10F22" w14:textId="62E154A4" w:rsidR="00AF006E" w:rsidRPr="002F2CFA" w:rsidRDefault="006A6F27" w:rsidP="00116E5D">
      <w:pPr>
        <w:keepNext/>
        <w:spacing w:line="360" w:lineRule="auto"/>
        <w:jc w:val="center"/>
        <w:rPr>
          <w:b/>
          <w:bCs/>
          <w:smallCaps/>
        </w:rPr>
      </w:pPr>
      <w:r>
        <w:rPr>
          <w:b/>
          <w:bCs/>
          <w:smallCaps/>
        </w:rPr>
        <w:lastRenderedPageBreak/>
        <w:t>Factual and Procedural Background</w:t>
      </w:r>
    </w:p>
    <w:p w14:paraId="1237D834" w14:textId="4D14819A" w:rsidR="00107594" w:rsidRDefault="006A6F27" w:rsidP="00107594">
      <w:pPr>
        <w:spacing w:line="360" w:lineRule="auto"/>
      </w:pPr>
      <w:r>
        <w:tab/>
      </w:r>
      <w:r w:rsidR="009567D9">
        <w:t xml:space="preserve">Plaintiffs </w:t>
      </w:r>
      <w:r w:rsidR="00CA0B25">
        <w:t>are</w:t>
      </w:r>
      <w:r>
        <w:t xml:space="preserve"> </w:t>
      </w:r>
      <w:r w:rsidR="00CA0B25">
        <w:t xml:space="preserve">current and former employees of </w:t>
      </w:r>
      <w:r>
        <w:t>Heritage Bank</w:t>
      </w:r>
      <w:r w:rsidR="00ED5C5B">
        <w:t xml:space="preserve">.  </w:t>
      </w:r>
      <w:r>
        <w:t xml:space="preserve">Upon </w:t>
      </w:r>
      <w:r w:rsidR="00CA0B25">
        <w:t xml:space="preserve">their </w:t>
      </w:r>
      <w:r>
        <w:t xml:space="preserve">hiring, plaintiffs </w:t>
      </w:r>
      <w:r w:rsidR="008C52EF">
        <w:t xml:space="preserve">purportedly </w:t>
      </w:r>
      <w:r>
        <w:t xml:space="preserve">executed a </w:t>
      </w:r>
      <w:r w:rsidR="00ED5C5B">
        <w:t>“</w:t>
      </w:r>
      <w:r w:rsidRPr="00CA0B25">
        <w:rPr>
          <w:caps/>
          <w:u w:val="single"/>
        </w:rPr>
        <w:t>Mutual Agreement to Arbitrate Claims</w:t>
      </w:r>
      <w:r w:rsidR="00ED5C5B">
        <w:t>”</w:t>
      </w:r>
      <w:r>
        <w:t xml:space="preserve"> (arbitration agreement)</w:t>
      </w:r>
      <w:r w:rsidR="00ED5C5B">
        <w:t xml:space="preserve"> </w:t>
      </w:r>
      <w:r w:rsidR="00C37085">
        <w:t xml:space="preserve">reflecting </w:t>
      </w:r>
      <w:r>
        <w:t xml:space="preserve">the parties’ “mutual[] consent to the resolution by arbitration of all claims, arising out of my employment (or its termination) that the Company may have against me, or that I may have against the Company.”  The </w:t>
      </w:r>
      <w:r w:rsidR="00E77769">
        <w:t xml:space="preserve">arbitration agreement covers </w:t>
      </w:r>
      <w:r>
        <w:t>claims for wages</w:t>
      </w:r>
      <w:r w:rsidR="00CA0B25">
        <w:t xml:space="preserve"> </w:t>
      </w:r>
      <w:r w:rsidR="00E77769">
        <w:t xml:space="preserve">and </w:t>
      </w:r>
      <w:r w:rsidR="00CA0B25">
        <w:t xml:space="preserve">other compensation, and </w:t>
      </w:r>
      <w:r w:rsidR="00982564">
        <w:t xml:space="preserve">for </w:t>
      </w:r>
      <w:r>
        <w:t>violation</w:t>
      </w:r>
      <w:r w:rsidR="00ED5C5B">
        <w:t>s</w:t>
      </w:r>
      <w:r>
        <w:t xml:space="preserve"> of </w:t>
      </w:r>
      <w:r w:rsidR="00CA0B25">
        <w:t xml:space="preserve">any </w:t>
      </w:r>
      <w:r>
        <w:t>federal</w:t>
      </w:r>
      <w:r w:rsidR="00CA0B25">
        <w:t xml:space="preserve">, </w:t>
      </w:r>
      <w:r>
        <w:t>state</w:t>
      </w:r>
      <w:r w:rsidR="00CA0B25">
        <w:t xml:space="preserve">, </w:t>
      </w:r>
      <w:r>
        <w:t>or other law, statute</w:t>
      </w:r>
      <w:r w:rsidR="00CA0B25">
        <w:t xml:space="preserve">, </w:t>
      </w:r>
      <w:r>
        <w:t>regulation</w:t>
      </w:r>
      <w:r w:rsidR="00CA0B25">
        <w:t>, or ordinance</w:t>
      </w:r>
      <w:r>
        <w:t xml:space="preserve">. </w:t>
      </w:r>
    </w:p>
    <w:p w14:paraId="5D116839" w14:textId="25EDBEAF" w:rsidR="00D843E0" w:rsidRDefault="006A6F27" w:rsidP="00107594">
      <w:pPr>
        <w:spacing w:line="360" w:lineRule="auto"/>
      </w:pPr>
      <w:r>
        <w:tab/>
        <w:t xml:space="preserve">A section of </w:t>
      </w:r>
      <w:r w:rsidR="00E77769">
        <w:t xml:space="preserve">the </w:t>
      </w:r>
      <w:r w:rsidR="00107594">
        <w:t>arbitration agreement</w:t>
      </w:r>
      <w:r>
        <w:t xml:space="preserve"> entitled </w:t>
      </w:r>
      <w:r w:rsidR="00107594">
        <w:t>“</w:t>
      </w:r>
      <w:r w:rsidR="00107594" w:rsidRPr="00B64CCF">
        <w:rPr>
          <w:u w:val="single"/>
        </w:rPr>
        <w:t>Waiver of Right to File Class, Collective, or Representative Actions</w:t>
      </w:r>
      <w:r w:rsidR="00107594">
        <w:t>” (waiver provision)</w:t>
      </w:r>
      <w:r>
        <w:t xml:space="preserve"> contains two paragraphs.  The first paragraph states, </w:t>
      </w:r>
      <w:r w:rsidR="00B64CCF">
        <w:t>in relevant part</w:t>
      </w:r>
      <w:r>
        <w:t xml:space="preserve">:  </w:t>
      </w:r>
      <w:r w:rsidR="00107594">
        <w:t xml:space="preserve">“The Company and I may bring claims against the other only in its or my individual capacity, and not as a plaintiff or class member in any purported class or representative proceeding.  There shall be no right or authority for any dispute to be brought, heard, or arbitrated on a class, collective, or representative basis and the Arbitrator may not consolidate or join the claims of other persons or Parties who may be similarly situated.” </w:t>
      </w:r>
    </w:p>
    <w:p w14:paraId="798C08BC" w14:textId="0FE30839" w:rsidR="00D843E0" w:rsidRDefault="006A6F27" w:rsidP="00107594">
      <w:pPr>
        <w:spacing w:line="360" w:lineRule="auto"/>
      </w:pPr>
      <w:r>
        <w:tab/>
        <w:t>The second paragraph</w:t>
      </w:r>
      <w:r w:rsidR="00B64CCF">
        <w:t xml:space="preserve"> </w:t>
      </w:r>
      <w:r w:rsidR="00C37085">
        <w:t xml:space="preserve">of the waiver provision </w:t>
      </w:r>
      <w:r w:rsidR="00A67FE5">
        <w:t xml:space="preserve">includes a nonseverability clause </w:t>
      </w:r>
      <w:r w:rsidR="00B64CCF">
        <w:t>stat</w:t>
      </w:r>
      <w:r w:rsidR="00A67FE5">
        <w:t>ing</w:t>
      </w:r>
      <w:r>
        <w:t xml:space="preserve">:  “The Company and I </w:t>
      </w:r>
      <w:r w:rsidR="00107594">
        <w:t>acknowledge and agree that the conditions set forth in [the waiver] provision are material terms of this Agreement and may not be modified or severed, in whole or in part</w:t>
      </w:r>
      <w:r w:rsidR="00B64CCF">
        <w:t xml:space="preserve">.  If this specific provision </w:t>
      </w:r>
      <w:r w:rsidR="00107594">
        <w:t xml:space="preserve">is found to be unenforceable, then the entirety of this Agreement shall be null and void.” </w:t>
      </w:r>
      <w:r w:rsidR="00CF6ED0">
        <w:t xml:space="preserve"> Plaintiffs refer to </w:t>
      </w:r>
      <w:r w:rsidR="00DC293D">
        <w:t>th</w:t>
      </w:r>
      <w:r w:rsidR="00450EDC">
        <w:t>is</w:t>
      </w:r>
      <w:r w:rsidR="00DC293D">
        <w:t xml:space="preserve"> last sentence </w:t>
      </w:r>
      <w:r w:rsidR="00CF6ED0">
        <w:t xml:space="preserve">as a “poison pill,” and we do likewise.  (See, e.g., </w:t>
      </w:r>
      <w:r w:rsidR="00CF6ED0">
        <w:rPr>
          <w:i/>
          <w:iCs/>
        </w:rPr>
        <w:t>Westmoreland v. Kindercare Education LLC</w:t>
      </w:r>
      <w:r w:rsidR="00CF6ED0">
        <w:t xml:space="preserve"> (2023) 90 Cal.App.5th 967, 972 (</w:t>
      </w:r>
      <w:r w:rsidR="00CF6ED0" w:rsidRPr="009B4A57">
        <w:rPr>
          <w:i/>
          <w:iCs/>
        </w:rPr>
        <w:t>Westmoreland</w:t>
      </w:r>
      <w:r w:rsidR="00CF6ED0">
        <w:t xml:space="preserve">) [referring to </w:t>
      </w:r>
      <w:r w:rsidR="00CF6ED0">
        <w:lastRenderedPageBreak/>
        <w:t>clause invalidating agreement upon unenforceability of waiver as “poison pill”].)</w:t>
      </w:r>
    </w:p>
    <w:p w14:paraId="6C67D147" w14:textId="27176B86" w:rsidR="00107594" w:rsidRDefault="006A6F27" w:rsidP="00107594">
      <w:pPr>
        <w:spacing w:line="360" w:lineRule="auto"/>
      </w:pPr>
      <w:r>
        <w:tab/>
        <w:t>In 2020, plaintiffs filed</w:t>
      </w:r>
      <w:r w:rsidR="001C710D">
        <w:t xml:space="preserve"> the instant action </w:t>
      </w:r>
      <w:r>
        <w:t>against Heritage</w:t>
      </w:r>
      <w:r w:rsidR="00CB35AF">
        <w:t xml:space="preserve"> Bank</w:t>
      </w:r>
      <w:r>
        <w:t>, asserting nine causes of action for (1)</w:t>
      </w:r>
      <w:r w:rsidR="001C710D">
        <w:t> </w:t>
      </w:r>
      <w:r>
        <w:t>failure to reimburse business-related expenses; (2)</w:t>
      </w:r>
      <w:r w:rsidR="001C710D">
        <w:t> </w:t>
      </w:r>
      <w:r>
        <w:t>failure to provide meal periods; (3)</w:t>
      </w:r>
      <w:r w:rsidR="001C710D">
        <w:t> </w:t>
      </w:r>
      <w:r>
        <w:t>failure to provide rest periods; (4)</w:t>
      </w:r>
      <w:r w:rsidR="001C710D">
        <w:t> </w:t>
      </w:r>
      <w:r>
        <w:t>failure to pay minimum wages; (5)</w:t>
      </w:r>
      <w:r w:rsidR="001C710D">
        <w:t> </w:t>
      </w:r>
      <w:r>
        <w:t>failure to pay overtime compensation; (6)</w:t>
      </w:r>
      <w:r w:rsidR="001C710D">
        <w:t> </w:t>
      </w:r>
      <w:r>
        <w:t>failure to provide accurate itemized wage statements; (7)</w:t>
      </w:r>
      <w:r w:rsidR="001C710D">
        <w:t> </w:t>
      </w:r>
      <w:r>
        <w:t>failure to pay all wages due at separation of employment; (8)</w:t>
      </w:r>
      <w:r w:rsidR="001C710D">
        <w:t> </w:t>
      </w:r>
      <w:r>
        <w:t xml:space="preserve">violation of the Unfair Competition Law </w:t>
      </w:r>
      <w:r w:rsidR="00301CB9">
        <w:t xml:space="preserve">(UCL) </w:t>
      </w:r>
      <w:r>
        <w:t>(Bus. &amp; Prof. Code, §</w:t>
      </w:r>
      <w:r w:rsidR="001C710D">
        <w:t> </w:t>
      </w:r>
      <w:r>
        <w:t>17200); and (9)</w:t>
      </w:r>
      <w:r w:rsidR="001C710D">
        <w:t> </w:t>
      </w:r>
      <w:r>
        <w:t xml:space="preserve">violation of PAGA.  In the PAGA cause of action, plaintiffs allege they are “aggrieved employees” as defined in Labor Code section 2699, subdivision (a), and bring </w:t>
      </w:r>
      <w:r w:rsidR="00C37085">
        <w:t xml:space="preserve">the </w:t>
      </w:r>
      <w:r>
        <w:t xml:space="preserve">PAGA action on behalf of the State of California with respect to themselves and all persons employed by Heritage Bank in California during the </w:t>
      </w:r>
      <w:r w:rsidR="00CF6ED0">
        <w:t>relevant time</w:t>
      </w:r>
      <w:r>
        <w:t xml:space="preserve"> period. </w:t>
      </w:r>
    </w:p>
    <w:p w14:paraId="3390EB8C" w14:textId="46183E9C" w:rsidR="00982564" w:rsidRPr="00C56A26" w:rsidRDefault="006A6F27" w:rsidP="005E65E5">
      <w:pPr>
        <w:spacing w:line="360" w:lineRule="auto"/>
        <w:rPr>
          <w:i/>
          <w:iCs/>
        </w:rPr>
      </w:pPr>
      <w:r>
        <w:tab/>
      </w:r>
      <w:r w:rsidR="00E77769">
        <w:t>In 2022</w:t>
      </w:r>
      <w:r w:rsidR="005E65E5">
        <w:t xml:space="preserve">, </w:t>
      </w:r>
      <w:r w:rsidR="00107594">
        <w:t xml:space="preserve">the United States Supreme Court issued </w:t>
      </w:r>
      <w:r w:rsidR="002A309E">
        <w:t xml:space="preserve">its </w:t>
      </w:r>
      <w:r w:rsidR="00B64CCF">
        <w:t>much-anticipated</w:t>
      </w:r>
      <w:r w:rsidR="00107594">
        <w:t xml:space="preserve"> decision in </w:t>
      </w:r>
      <w:r w:rsidR="00C56A26" w:rsidRPr="00982C69">
        <w:rPr>
          <w:i/>
          <w:iCs/>
        </w:rPr>
        <w:t>Viking River</w:t>
      </w:r>
      <w:r w:rsidR="002A309E">
        <w:t xml:space="preserve">, </w:t>
      </w:r>
      <w:r w:rsidR="008175E0">
        <w:t xml:space="preserve">which </w:t>
      </w:r>
      <w:r w:rsidR="002A309E">
        <w:t>h</w:t>
      </w:r>
      <w:r w:rsidR="008175E0">
        <w:t>eld</w:t>
      </w:r>
      <w:r w:rsidR="002A309E">
        <w:t xml:space="preserve"> </w:t>
      </w:r>
      <w:r w:rsidR="00107594">
        <w:t xml:space="preserve">the Federal Arbitration Act </w:t>
      </w:r>
      <w:r w:rsidR="00B64CCF">
        <w:t xml:space="preserve">(FAA) </w:t>
      </w:r>
      <w:r w:rsidR="00E77769">
        <w:t xml:space="preserve">(9 U.S.C. § 1 et seq.) </w:t>
      </w:r>
      <w:r w:rsidR="00107594">
        <w:t>preempt</w:t>
      </w:r>
      <w:r w:rsidR="00307AD4">
        <w:t>s</w:t>
      </w:r>
      <w:r w:rsidR="00107594">
        <w:t xml:space="preserve"> the </w:t>
      </w:r>
      <w:r w:rsidR="00275C55">
        <w:t>ruling</w:t>
      </w:r>
      <w:r w:rsidR="00014425">
        <w:t xml:space="preserve"> of </w:t>
      </w:r>
      <w:r w:rsidR="00107594" w:rsidRPr="00982C69">
        <w:rPr>
          <w:i/>
          <w:iCs/>
        </w:rPr>
        <w:t>Iskanian v. CLS Transportation Los Angeles, LLC</w:t>
      </w:r>
      <w:r w:rsidR="00107594">
        <w:t xml:space="preserve"> (2014) 59 Cal.4th 34</w:t>
      </w:r>
      <w:r w:rsidR="00627BCF">
        <w:t>8</w:t>
      </w:r>
      <w:r w:rsidR="00107594">
        <w:t xml:space="preserve"> (</w:t>
      </w:r>
      <w:r w:rsidR="00107594" w:rsidRPr="00982C69">
        <w:rPr>
          <w:i/>
          <w:iCs/>
        </w:rPr>
        <w:t>Iskanian</w:t>
      </w:r>
      <w:r w:rsidR="00107594">
        <w:t xml:space="preserve">) “insofar as </w:t>
      </w:r>
      <w:r w:rsidR="00FC7EF4">
        <w:t>[</w:t>
      </w:r>
      <w:r w:rsidR="00FC7EF4" w:rsidRPr="00FC7EF4">
        <w:rPr>
          <w:i/>
          <w:iCs/>
        </w:rPr>
        <w:t>Iskanian</w:t>
      </w:r>
      <w:r w:rsidR="00FC7EF4">
        <w:t xml:space="preserve">] </w:t>
      </w:r>
      <w:r w:rsidR="00107594">
        <w:t>precludes division of PAGA actions into individual and non-individual claims through an agreement to arbitrate.”  (</w:t>
      </w:r>
      <w:r w:rsidR="00107594" w:rsidRPr="00982C69">
        <w:rPr>
          <w:i/>
          <w:iCs/>
        </w:rPr>
        <w:t>Viking River</w:t>
      </w:r>
      <w:r w:rsidR="00107594">
        <w:t xml:space="preserve">, </w:t>
      </w:r>
      <w:r w:rsidR="00C37085" w:rsidRPr="00C37085">
        <w:rPr>
          <w:i/>
          <w:iCs/>
        </w:rPr>
        <w:t>supra</w:t>
      </w:r>
      <w:r w:rsidR="00C37085">
        <w:t xml:space="preserve">, 569 U.S. at p. ___ [142 S. Ct. </w:t>
      </w:r>
      <w:r w:rsidR="00107594">
        <w:t>at p.</w:t>
      </w:r>
      <w:r w:rsidR="00C37085">
        <w:t> </w:t>
      </w:r>
      <w:r w:rsidR="00107594">
        <w:t>1924</w:t>
      </w:r>
      <w:r w:rsidR="00C37085">
        <w:t>]</w:t>
      </w:r>
      <w:r w:rsidR="00107594">
        <w:t>.)</w:t>
      </w:r>
    </w:p>
    <w:p w14:paraId="5C411242" w14:textId="40FC7B14" w:rsidR="00CE7547" w:rsidRPr="005E65E5" w:rsidRDefault="006A6F27" w:rsidP="005E65E5">
      <w:pPr>
        <w:spacing w:line="360" w:lineRule="auto"/>
      </w:pPr>
      <w:r>
        <w:tab/>
      </w:r>
      <w:r w:rsidR="002C4218">
        <w:t xml:space="preserve">Relying on </w:t>
      </w:r>
      <w:r w:rsidR="002C4218" w:rsidRPr="00C4334A">
        <w:rPr>
          <w:i/>
          <w:iCs/>
        </w:rPr>
        <w:t>Viking River</w:t>
      </w:r>
      <w:r w:rsidR="002C4218">
        <w:t xml:space="preserve">, </w:t>
      </w:r>
      <w:r w:rsidR="00107594">
        <w:t xml:space="preserve">Heritage </w:t>
      </w:r>
      <w:r w:rsidR="00982C69">
        <w:t xml:space="preserve">Bank </w:t>
      </w:r>
      <w:r w:rsidR="00107594">
        <w:t xml:space="preserve">moved to compel arbitration of plaintiffs’ </w:t>
      </w:r>
      <w:r w:rsidR="00E77769">
        <w:t>“</w:t>
      </w:r>
      <w:r w:rsidR="00107594">
        <w:t>individual</w:t>
      </w:r>
      <w:r w:rsidR="00301CB9">
        <w:t xml:space="preserve"> claims (including individual </w:t>
      </w:r>
      <w:r w:rsidR="00107594">
        <w:t>PAGA claims</w:t>
      </w:r>
      <w:r w:rsidR="00301CB9">
        <w:t>)”</w:t>
      </w:r>
      <w:r w:rsidR="00E00B78">
        <w:t xml:space="preserve"> </w:t>
      </w:r>
      <w:r w:rsidR="008C52EF">
        <w:t xml:space="preserve">and to dismiss </w:t>
      </w:r>
      <w:r w:rsidR="0042615D">
        <w:t>“</w:t>
      </w:r>
      <w:r w:rsidR="00301CB9">
        <w:t xml:space="preserve">any class or </w:t>
      </w:r>
      <w:r w:rsidR="0042615D">
        <w:t>non</w:t>
      </w:r>
      <w:r w:rsidR="00301CB9">
        <w:t>-</w:t>
      </w:r>
      <w:r w:rsidR="0042615D">
        <w:t xml:space="preserve">individual </w:t>
      </w:r>
      <w:r w:rsidR="008C52EF">
        <w:t>PAGA claims</w:t>
      </w:r>
      <w:r w:rsidR="00982C69">
        <w:t>.</w:t>
      </w:r>
      <w:r w:rsidR="00301CB9">
        <w:t>”</w:t>
      </w:r>
      <w:r w:rsidR="00982C69">
        <w:t xml:space="preserve"> </w:t>
      </w:r>
      <w:r w:rsidR="00107594">
        <w:t xml:space="preserve"> The trial court denied the motion</w:t>
      </w:r>
      <w:r w:rsidR="008175E0">
        <w:t>.  Observing that</w:t>
      </w:r>
      <w:r w:rsidR="002C4218">
        <w:t xml:space="preserve"> the </w:t>
      </w:r>
      <w:r w:rsidR="00370D6F">
        <w:t xml:space="preserve">waiver provision </w:t>
      </w:r>
      <w:r w:rsidR="00767B13">
        <w:t>includes an improper waiver of</w:t>
      </w:r>
      <w:r w:rsidR="00370D6F">
        <w:t xml:space="preserve"> the right </w:t>
      </w:r>
      <w:r w:rsidR="005611FE">
        <w:t xml:space="preserve">of employees </w:t>
      </w:r>
      <w:r w:rsidR="00370D6F">
        <w:t xml:space="preserve">to bring </w:t>
      </w:r>
      <w:r w:rsidR="007B31A9">
        <w:t xml:space="preserve">“an action in court as proxy or agent of the LWDA und[er] the PAGA,” </w:t>
      </w:r>
      <w:r w:rsidR="00370D6F">
        <w:t xml:space="preserve">and that </w:t>
      </w:r>
      <w:r w:rsidR="00107594">
        <w:t xml:space="preserve">the </w:t>
      </w:r>
      <w:r w:rsidR="00A67FE5">
        <w:t xml:space="preserve">nonseverability clause and </w:t>
      </w:r>
      <w:r w:rsidR="009567D9">
        <w:t xml:space="preserve">poison </w:t>
      </w:r>
      <w:r w:rsidR="009567D9">
        <w:lastRenderedPageBreak/>
        <w:t>pill</w:t>
      </w:r>
      <w:r w:rsidR="007B31A9">
        <w:t xml:space="preserve"> </w:t>
      </w:r>
      <w:r w:rsidR="008175E0">
        <w:t>preclude severance of th</w:t>
      </w:r>
      <w:r w:rsidR="002C4218">
        <w:t>at unenforceable</w:t>
      </w:r>
      <w:r w:rsidR="008175E0">
        <w:t xml:space="preserve"> waiver</w:t>
      </w:r>
      <w:r w:rsidR="009567D9">
        <w:t xml:space="preserve">, </w:t>
      </w:r>
      <w:r w:rsidR="008175E0">
        <w:t xml:space="preserve">the court determined </w:t>
      </w:r>
      <w:r w:rsidR="002C4218">
        <w:t xml:space="preserve">the </w:t>
      </w:r>
      <w:r w:rsidR="00767B13">
        <w:t xml:space="preserve">entire </w:t>
      </w:r>
      <w:r w:rsidR="002C4218">
        <w:t xml:space="preserve">agreement to arbitrate is null and void and provides no basis for compelling arbitration of plaintiffs’ individual </w:t>
      </w:r>
      <w:r w:rsidR="004B353B">
        <w:t xml:space="preserve">PAGA </w:t>
      </w:r>
      <w:r w:rsidR="002C4218">
        <w:t>claims.</w:t>
      </w:r>
      <w:r w:rsidR="00107594">
        <w:t xml:space="preserve"> </w:t>
      </w:r>
      <w:r w:rsidR="00E77769">
        <w:t xml:space="preserve"> This timely appeal followed. </w:t>
      </w:r>
    </w:p>
    <w:p w14:paraId="5DD63568" w14:textId="4844A5DA" w:rsidR="004043C7" w:rsidRPr="002F2CFA" w:rsidRDefault="006A6F27" w:rsidP="00116E5D">
      <w:pPr>
        <w:keepNext/>
        <w:spacing w:line="360" w:lineRule="auto"/>
        <w:jc w:val="center"/>
        <w:rPr>
          <w:b/>
          <w:bCs/>
          <w:smallCaps/>
        </w:rPr>
      </w:pPr>
      <w:r>
        <w:rPr>
          <w:b/>
          <w:bCs/>
          <w:smallCaps/>
        </w:rPr>
        <w:t>Discussion</w:t>
      </w:r>
    </w:p>
    <w:p w14:paraId="45CC4942" w14:textId="74DB271E" w:rsidR="002F2CFA" w:rsidRPr="002F2CFA" w:rsidRDefault="006A6F27" w:rsidP="00116E5D">
      <w:pPr>
        <w:pStyle w:val="ListParagraph"/>
        <w:keepNext/>
        <w:numPr>
          <w:ilvl w:val="0"/>
          <w:numId w:val="5"/>
        </w:numPr>
        <w:spacing w:line="360" w:lineRule="auto"/>
        <w:rPr>
          <w:b/>
          <w:bCs/>
        </w:rPr>
      </w:pPr>
      <w:r>
        <w:rPr>
          <w:b/>
          <w:bCs/>
        </w:rPr>
        <w:t>Governing Law</w:t>
      </w:r>
    </w:p>
    <w:p w14:paraId="66E15374" w14:textId="2247879F" w:rsidR="002F2CFA" w:rsidRPr="002F2CFA" w:rsidRDefault="006A6F27" w:rsidP="00116E5D">
      <w:pPr>
        <w:pStyle w:val="ListParagraph"/>
        <w:keepNext/>
        <w:numPr>
          <w:ilvl w:val="0"/>
          <w:numId w:val="7"/>
        </w:numPr>
        <w:spacing w:line="360" w:lineRule="auto"/>
        <w:rPr>
          <w:b/>
          <w:bCs/>
        </w:rPr>
      </w:pPr>
      <w:r w:rsidRPr="002F2CFA">
        <w:rPr>
          <w:b/>
          <w:bCs/>
          <w:i/>
          <w:iCs/>
        </w:rPr>
        <w:t>Standard of Revie</w:t>
      </w:r>
      <w:r>
        <w:rPr>
          <w:b/>
          <w:bCs/>
        </w:rPr>
        <w:t>w</w:t>
      </w:r>
    </w:p>
    <w:p w14:paraId="63FB59FA" w14:textId="3E99D89B" w:rsidR="002F2CFA" w:rsidRDefault="006A6F27" w:rsidP="002F2CFA">
      <w:pPr>
        <w:spacing w:line="360" w:lineRule="auto"/>
      </w:pPr>
      <w:r>
        <w:tab/>
        <w:t xml:space="preserve">This case requires that we focus on the language of the parties’ arbitration agreement as it relates to plaintiffs’ PAGA claims, not their individual causes of action directly under the Labor Code and the UCL.  </w:t>
      </w:r>
      <w:r>
        <w:tab/>
      </w:r>
      <w:r w:rsidRPr="00505D41">
        <w:t>“In evaluating an order denying a motion to compel arbitration, ‘</w:t>
      </w:r>
      <w:r w:rsidR="00C37085">
        <w:t> </w:t>
      </w:r>
      <w:r w:rsidRPr="00505D41">
        <w:t>“</w:t>
      </w:r>
      <w:r w:rsidR="00C37085">
        <w:t> </w:t>
      </w:r>
      <w:r w:rsidRPr="00505D41">
        <w:t>‘we review the arbitration agreement de novo to determine whether it is legally enforceable, applying general principles of California contract law.’</w:t>
      </w:r>
      <w:r w:rsidR="00C37085">
        <w:t> </w:t>
      </w:r>
      <w:r w:rsidRPr="00505D41">
        <w:t>”</w:t>
      </w:r>
      <w:r w:rsidR="00C37085">
        <w:t> </w:t>
      </w:r>
      <w:r w:rsidRPr="00505D41">
        <w:t>’</w:t>
      </w:r>
      <w:r w:rsidR="00C37085">
        <w:t> </w:t>
      </w:r>
      <w:r w:rsidRPr="00505D41">
        <w:t>”  (</w:t>
      </w:r>
      <w:r w:rsidRPr="002F2CFA">
        <w:rPr>
          <w:i/>
          <w:iCs/>
        </w:rPr>
        <w:t>Nielsen Contracting, Inc. v. Applied Underwriters, Inc.</w:t>
      </w:r>
      <w:r w:rsidRPr="00505D41">
        <w:t xml:space="preserve"> (2018) 22 Cal.App.5th 1096, 1106.)</w:t>
      </w:r>
    </w:p>
    <w:p w14:paraId="7337CE42" w14:textId="56EA01A1" w:rsidR="002F2CFA" w:rsidRPr="002F2CFA" w:rsidRDefault="006A6F27" w:rsidP="00116E5D">
      <w:pPr>
        <w:pStyle w:val="ListParagraph"/>
        <w:keepNext/>
        <w:numPr>
          <w:ilvl w:val="0"/>
          <w:numId w:val="7"/>
        </w:numPr>
        <w:spacing w:line="360" w:lineRule="auto"/>
        <w:rPr>
          <w:b/>
          <w:bCs/>
          <w:i/>
          <w:iCs/>
        </w:rPr>
      </w:pPr>
      <w:r w:rsidRPr="002F2CFA">
        <w:rPr>
          <w:b/>
          <w:bCs/>
          <w:i/>
          <w:iCs/>
        </w:rPr>
        <w:t>FAA</w:t>
      </w:r>
      <w:r>
        <w:rPr>
          <w:b/>
          <w:bCs/>
          <w:i/>
          <w:iCs/>
        </w:rPr>
        <w:t xml:space="preserve"> Preemption</w:t>
      </w:r>
    </w:p>
    <w:p w14:paraId="03716C2F" w14:textId="72DC7A7B" w:rsidR="00502715" w:rsidRDefault="006A6F27" w:rsidP="002F2CFA">
      <w:pPr>
        <w:spacing w:line="360" w:lineRule="auto"/>
      </w:pPr>
      <w:r>
        <w:tab/>
      </w:r>
      <w:r w:rsidR="00E00B78">
        <w:t xml:space="preserve">Under </w:t>
      </w:r>
      <w:r w:rsidR="00381A27">
        <w:t xml:space="preserve">the FAA </w:t>
      </w:r>
      <w:r w:rsidR="00E00B78">
        <w:t xml:space="preserve">and California law, an </w:t>
      </w:r>
      <w:r w:rsidR="00D26ACD">
        <w:t>arbitration agreement</w:t>
      </w:r>
      <w:r w:rsidR="00E00B78">
        <w:t xml:space="preserve"> is </w:t>
      </w:r>
      <w:r w:rsidR="00D26ACD">
        <w:t>“valid, irrevocable, and enforceable, save upon such grounds as exist at law or in equity for the revocation of any contract.”  (9 U.S.C. §</w:t>
      </w:r>
      <w:r w:rsidR="001C710D">
        <w:t> </w:t>
      </w:r>
      <w:r w:rsidR="00D26ACD">
        <w:t>2</w:t>
      </w:r>
      <w:r w:rsidR="00E00B78">
        <w:t xml:space="preserve">; </w:t>
      </w:r>
      <w:r w:rsidR="00E00B78">
        <w:rPr>
          <w:i/>
          <w:iCs/>
        </w:rPr>
        <w:t xml:space="preserve">OTO, LLC v. Kho </w:t>
      </w:r>
      <w:r w:rsidR="00E00B78">
        <w:t>(2019) 8 Cal.5th 111, 125</w:t>
      </w:r>
      <w:r w:rsidR="00D26ACD">
        <w:t xml:space="preserve">.)  </w:t>
      </w:r>
      <w:bookmarkStart w:id="0" w:name="_Hlk151629119"/>
      <w:r w:rsidR="005643D6">
        <w:t xml:space="preserve">Section 2 of the </w:t>
      </w:r>
      <w:r w:rsidR="00D26ACD">
        <w:t>FAA reflects “both a ‘liberal federal policy favoring arbitration,’ and the ‘fundamental principle that arbitration is a matter of contract.</w:t>
      </w:r>
      <w:r w:rsidR="001C710D">
        <w:t>’</w:t>
      </w:r>
      <w:r w:rsidR="00C37085">
        <w:t> </w:t>
      </w:r>
      <w:r w:rsidR="00D26ACD">
        <w:t>”  (</w:t>
      </w:r>
      <w:r w:rsidR="00D26ACD">
        <w:rPr>
          <w:i/>
          <w:iCs/>
        </w:rPr>
        <w:t xml:space="preserve">AT&amp;T Mobility LLC v. Concepcion </w:t>
      </w:r>
      <w:r w:rsidR="00D26ACD">
        <w:t>(2011) 563 U.S. 333, 339 (</w:t>
      </w:r>
      <w:r w:rsidR="00D26ACD" w:rsidRPr="00D26ACD">
        <w:rPr>
          <w:i/>
          <w:iCs/>
        </w:rPr>
        <w:t>Concepcion</w:t>
      </w:r>
      <w:r w:rsidR="00D26ACD">
        <w:t>)</w:t>
      </w:r>
      <w:r w:rsidR="00187E7A">
        <w:t>, internal citations omitted.)</w:t>
      </w:r>
      <w:bookmarkEnd w:id="0"/>
    </w:p>
    <w:p w14:paraId="36809385" w14:textId="6EE77E83" w:rsidR="004043C7" w:rsidRDefault="006A6F27" w:rsidP="002F2CFA">
      <w:pPr>
        <w:spacing w:line="360" w:lineRule="auto"/>
      </w:pPr>
      <w:r>
        <w:rPr>
          <w:b/>
          <w:bCs/>
        </w:rPr>
        <w:tab/>
      </w:r>
      <w:r w:rsidR="00187E7A">
        <w:t>Although the FAA “preserves generally applicable contract defenses, nothing in it suggests an intent to preserve state-law rules that stand as an obstacle to the accomplishment of the FAA’s objectives.”  (</w:t>
      </w:r>
      <w:r w:rsidR="00187E7A">
        <w:rPr>
          <w:i/>
          <w:iCs/>
        </w:rPr>
        <w:t>Concepcion</w:t>
      </w:r>
      <w:r w:rsidR="00187E7A">
        <w:t xml:space="preserve">, </w:t>
      </w:r>
      <w:r w:rsidR="00502715" w:rsidRPr="00502715">
        <w:rPr>
          <w:i/>
          <w:iCs/>
        </w:rPr>
        <w:t>supra</w:t>
      </w:r>
      <w:r w:rsidR="00502715">
        <w:t xml:space="preserve">, 563 U.S. </w:t>
      </w:r>
      <w:r w:rsidR="00187E7A">
        <w:t>at p.</w:t>
      </w:r>
      <w:r w:rsidR="00C37085">
        <w:t> </w:t>
      </w:r>
      <w:r w:rsidR="00187E7A">
        <w:t>343.)</w:t>
      </w:r>
      <w:r w:rsidR="00502715">
        <w:t xml:space="preserve">  </w:t>
      </w:r>
      <w:r w:rsidR="002F2CFA">
        <w:t xml:space="preserve">In </w:t>
      </w:r>
      <w:r w:rsidR="00187E7A">
        <w:rPr>
          <w:i/>
          <w:iCs/>
        </w:rPr>
        <w:t>Concepcion</w:t>
      </w:r>
      <w:r w:rsidR="00187E7A">
        <w:t xml:space="preserve">, the United States Supreme Court held </w:t>
      </w:r>
      <w:r w:rsidR="00187E7A">
        <w:lastRenderedPageBreak/>
        <w:t>the FAA preempt</w:t>
      </w:r>
      <w:r w:rsidR="001E3140">
        <w:t>s</w:t>
      </w:r>
      <w:r w:rsidR="00187E7A">
        <w:t xml:space="preserve"> California’s </w:t>
      </w:r>
      <w:r w:rsidR="00187E7A">
        <w:rPr>
          <w:i/>
          <w:iCs/>
        </w:rPr>
        <w:t xml:space="preserve">Discover Bank </w:t>
      </w:r>
      <w:r w:rsidR="00187E7A">
        <w:t xml:space="preserve">rule that class </w:t>
      </w:r>
      <w:r w:rsidR="001E3140">
        <w:t xml:space="preserve">action </w:t>
      </w:r>
      <w:r w:rsidR="00187E7A">
        <w:t>waivers in adhesive consumer arbitration agreements are unconscionable</w:t>
      </w:r>
      <w:r w:rsidR="001C710D">
        <w:t xml:space="preserve"> under California law</w:t>
      </w:r>
      <w:r w:rsidR="00187E7A">
        <w:t xml:space="preserve">.  </w:t>
      </w:r>
      <w:r w:rsidR="00502715">
        <w:t xml:space="preserve">As </w:t>
      </w:r>
      <w:r w:rsidR="001C710D" w:rsidRPr="001C710D">
        <w:rPr>
          <w:i/>
          <w:iCs/>
        </w:rPr>
        <w:t>Concepcion</w:t>
      </w:r>
      <w:r w:rsidR="001C710D">
        <w:t xml:space="preserve"> </w:t>
      </w:r>
      <w:r w:rsidR="00502715">
        <w:t xml:space="preserve">explained, to the extent class arbitration is compelled </w:t>
      </w:r>
      <w:r w:rsidR="00C37085">
        <w:t xml:space="preserve">through </w:t>
      </w:r>
      <w:r w:rsidR="00502715">
        <w:t xml:space="preserve">the </w:t>
      </w:r>
      <w:r w:rsidR="00187E7A">
        <w:rPr>
          <w:i/>
          <w:iCs/>
        </w:rPr>
        <w:t xml:space="preserve">Discover Bank </w:t>
      </w:r>
      <w:r w:rsidR="00187E7A">
        <w:t xml:space="preserve">rule </w:t>
      </w:r>
      <w:r w:rsidR="00502715">
        <w:t xml:space="preserve">rather than the consent of the contracting parties, the rule </w:t>
      </w:r>
      <w:r w:rsidR="00187E7A">
        <w:t xml:space="preserve">interferes with </w:t>
      </w:r>
      <w:r w:rsidR="00502715">
        <w:t xml:space="preserve">fundamental attributes </w:t>
      </w:r>
      <w:r w:rsidR="002D6FE6">
        <w:t xml:space="preserve">of </w:t>
      </w:r>
      <w:r w:rsidR="00187E7A">
        <w:t>arbitration</w:t>
      </w:r>
      <w:r w:rsidR="001E3140">
        <w:t xml:space="preserve">.  </w:t>
      </w:r>
      <w:r w:rsidR="00307AD4">
        <w:t>Specifically</w:t>
      </w:r>
      <w:r w:rsidR="00502715">
        <w:t xml:space="preserve">, class arbitration sacrifices the informality and efficiency of arbitration; increases risks to defendants; and is poorly suited to the higher stakes of class litigation </w:t>
      </w:r>
      <w:r w:rsidR="002F2CFA">
        <w:t xml:space="preserve">due to the lack of </w:t>
      </w:r>
      <w:r w:rsidR="00502715">
        <w:t>multilayered review.  (</w:t>
      </w:r>
      <w:r w:rsidR="00502715" w:rsidRPr="00502715">
        <w:rPr>
          <w:i/>
          <w:iCs/>
        </w:rPr>
        <w:t>Concepcion</w:t>
      </w:r>
      <w:r w:rsidR="00502715">
        <w:t>, at pp.</w:t>
      </w:r>
      <w:r w:rsidR="00C37085">
        <w:t> </w:t>
      </w:r>
      <w:r w:rsidR="00502715">
        <w:t>348–352.)</w:t>
      </w:r>
    </w:p>
    <w:p w14:paraId="16ED5CBF" w14:textId="43053E73" w:rsidR="002F2CFA" w:rsidRPr="002F2CFA" w:rsidRDefault="006A6F27" w:rsidP="00116E5D">
      <w:pPr>
        <w:pStyle w:val="ListParagraph"/>
        <w:keepNext/>
        <w:numPr>
          <w:ilvl w:val="0"/>
          <w:numId w:val="7"/>
        </w:numPr>
        <w:spacing w:line="360" w:lineRule="auto"/>
        <w:rPr>
          <w:b/>
          <w:bCs/>
          <w:i/>
          <w:iCs/>
        </w:rPr>
      </w:pPr>
      <w:r>
        <w:rPr>
          <w:b/>
          <w:bCs/>
          <w:i/>
          <w:iCs/>
        </w:rPr>
        <w:t xml:space="preserve">PAGA and </w:t>
      </w:r>
      <w:r w:rsidRPr="002F2CFA">
        <w:rPr>
          <w:b/>
          <w:bCs/>
        </w:rPr>
        <w:t>Iskanian</w:t>
      </w:r>
    </w:p>
    <w:p w14:paraId="0762A707" w14:textId="273FBC3E" w:rsidR="002F2CFA" w:rsidRDefault="006A6F27" w:rsidP="002F2CFA">
      <w:pPr>
        <w:spacing w:line="360" w:lineRule="auto"/>
      </w:pPr>
      <w:r>
        <w:tab/>
        <w:t xml:space="preserve">PAGA </w:t>
      </w:r>
      <w:r w:rsidR="008E125D">
        <w:t xml:space="preserve">was enacted </w:t>
      </w:r>
      <w:r>
        <w:t xml:space="preserve">“to augment the limited enforcement capability of the </w:t>
      </w:r>
      <w:r w:rsidR="00780D3C">
        <w:t>[</w:t>
      </w:r>
      <w:r w:rsidR="0001664D">
        <w:t xml:space="preserve">Labor and Workforce Development Agency </w:t>
      </w:r>
      <w:r w:rsidR="00780D3C">
        <w:t>(</w:t>
      </w:r>
      <w:r>
        <w:t>LWDA</w:t>
      </w:r>
      <w:r w:rsidR="00780D3C">
        <w:t>)</w:t>
      </w:r>
      <w:r>
        <w:t>] by empowering employees to enforce the Labor Code as representatives of the [LWDA].”  (</w:t>
      </w:r>
      <w:r>
        <w:rPr>
          <w:i/>
          <w:iCs/>
        </w:rPr>
        <w:t>Iskanian</w:t>
      </w:r>
      <w:r>
        <w:t xml:space="preserve">, </w:t>
      </w:r>
      <w:r w:rsidRPr="002F2CFA">
        <w:rPr>
          <w:i/>
          <w:iCs/>
        </w:rPr>
        <w:t>supra</w:t>
      </w:r>
      <w:r>
        <w:t>, 59 Cal.4th at p.</w:t>
      </w:r>
      <w:r w:rsidR="008E125D">
        <w:t> </w:t>
      </w:r>
      <w:r>
        <w:t xml:space="preserve">383.)  </w:t>
      </w:r>
      <w:r w:rsidR="008E125D">
        <w:t xml:space="preserve">The statute </w:t>
      </w:r>
      <w:r>
        <w:t>“deputizes an ‘aggrieved’ employee to bring a lawsuit ‘on behalf of himself or herself and other current or former employees’ to recover civil penalties for Labor Code violations that would otherwise be assessed and collected by the state.</w:t>
      </w:r>
      <w:r w:rsidR="004248F8">
        <w:t xml:space="preserve"> . . . </w:t>
      </w:r>
      <w:r>
        <w:t xml:space="preserve"> Although an aggrieved employee is the named plaintiff in a PAGA action, an employee suing under PAGA ‘</w:t>
      </w:r>
      <w:r w:rsidR="008E125D">
        <w:t> </w:t>
      </w:r>
      <w:r>
        <w:t>“does so as the proxy or agent of the state</w:t>
      </w:r>
      <w:r w:rsidR="008E125D">
        <w:t xml:space="preserve">’s </w:t>
      </w:r>
      <w:r>
        <w:t>labor law enforcement agencies.”</w:t>
      </w:r>
      <w:r w:rsidR="008E125D">
        <w:t> </w:t>
      </w:r>
      <w:r>
        <w:t>’  [Citations.]  Thus, ‘[e]very PAGA claim is “a dispute between an employer and the state</w:t>
      </w:r>
      <w:r w:rsidR="004248F8">
        <w:t>.</w:t>
      </w:r>
      <w:r>
        <w:t>”</w:t>
      </w:r>
      <w:r w:rsidR="004248F8">
        <w:t> ’ ”</w:t>
      </w:r>
      <w:r>
        <w:t xml:space="preserve"> </w:t>
      </w:r>
      <w:r w:rsidR="004248F8">
        <w:t xml:space="preserve"> </w:t>
      </w:r>
      <w:r>
        <w:t>(</w:t>
      </w:r>
      <w:r w:rsidRPr="002F2CFA">
        <w:rPr>
          <w:i/>
          <w:iCs/>
        </w:rPr>
        <w:t>Seifu v. Lyft, Inc.</w:t>
      </w:r>
      <w:r>
        <w:t xml:space="preserve"> (2023) 89 Cal.App.5th 1129, 1137</w:t>
      </w:r>
      <w:r w:rsidR="005443A8">
        <w:t xml:space="preserve"> (</w:t>
      </w:r>
      <w:r w:rsidR="005443A8" w:rsidRPr="005443A8">
        <w:rPr>
          <w:i/>
          <w:iCs/>
        </w:rPr>
        <w:t>Seifu</w:t>
      </w:r>
      <w:r w:rsidR="005443A8">
        <w:t>)</w:t>
      </w:r>
      <w:r>
        <w:t>.)</w:t>
      </w:r>
    </w:p>
    <w:p w14:paraId="32567CA6" w14:textId="32E30BA2" w:rsidR="008E125D" w:rsidRDefault="006A6F27" w:rsidP="00AB563A">
      <w:pPr>
        <w:spacing w:line="360" w:lineRule="auto"/>
      </w:pPr>
      <w:r>
        <w:tab/>
      </w:r>
      <w:r w:rsidR="00CE7547">
        <w:t xml:space="preserve">In </w:t>
      </w:r>
      <w:r w:rsidR="00502715" w:rsidRPr="00CE7547">
        <w:rPr>
          <w:i/>
          <w:iCs/>
        </w:rPr>
        <w:t>Iskanian</w:t>
      </w:r>
      <w:r w:rsidR="00454097">
        <w:t xml:space="preserve">, </w:t>
      </w:r>
      <w:r w:rsidR="00502715">
        <w:t xml:space="preserve">the California Supreme Court </w:t>
      </w:r>
      <w:r w:rsidR="00FF5645">
        <w:t>held</w:t>
      </w:r>
      <w:r w:rsidR="00CE7547">
        <w:t xml:space="preserve"> </w:t>
      </w:r>
      <w:r w:rsidR="00FF5645">
        <w:t xml:space="preserve">that </w:t>
      </w:r>
      <w:r w:rsidR="00E77769">
        <w:t>an</w:t>
      </w:r>
      <w:r>
        <w:t xml:space="preserve"> “</w:t>
      </w:r>
      <w:r w:rsidRPr="008E125D">
        <w:t xml:space="preserve">arbitration agreement requiring an employee as a condition of </w:t>
      </w:r>
      <w:r>
        <w:t xml:space="preserve">employment </w:t>
      </w:r>
      <w:r w:rsidRPr="008E125D">
        <w:t xml:space="preserve">to give up the right to bring representative PAGA actions </w:t>
      </w:r>
      <w:r w:rsidRPr="00CF720A">
        <w:rPr>
          <w:i/>
          <w:iCs/>
        </w:rPr>
        <w:t>in any forum</w:t>
      </w:r>
      <w:r w:rsidRPr="008E125D">
        <w:t xml:space="preserve"> is contrary to public policy</w:t>
      </w:r>
      <w:r>
        <w:t>”</w:t>
      </w:r>
      <w:r w:rsidR="004248F8">
        <w:t xml:space="preserve"> because </w:t>
      </w:r>
      <w:r w:rsidR="000242D9">
        <w:t xml:space="preserve">such an agreement </w:t>
      </w:r>
      <w:r w:rsidR="00DC293D">
        <w:t xml:space="preserve">seeks to </w:t>
      </w:r>
      <w:r w:rsidR="004248F8">
        <w:t>exempt employer</w:t>
      </w:r>
      <w:r w:rsidR="000242D9">
        <w:t>s</w:t>
      </w:r>
      <w:r w:rsidR="004248F8">
        <w:t xml:space="preserve"> from responsibility for </w:t>
      </w:r>
      <w:r w:rsidR="000242D9">
        <w:t xml:space="preserve">their </w:t>
      </w:r>
      <w:r w:rsidR="004248F8">
        <w:t>l</w:t>
      </w:r>
      <w:r w:rsidR="000242D9">
        <w:t xml:space="preserve">egal violations </w:t>
      </w:r>
      <w:r w:rsidR="004248F8">
        <w:t>and</w:t>
      </w:r>
      <w:r w:rsidR="000242D9">
        <w:t xml:space="preserve"> violates the statutory rule that “ ‘a </w:t>
      </w:r>
      <w:r w:rsidR="000242D9">
        <w:lastRenderedPageBreak/>
        <w:t>law established for a public reason cannot be contravened by a private agreement.’ ”</w:t>
      </w:r>
      <w:r w:rsidR="00511DCC">
        <w:t xml:space="preserve">  </w:t>
      </w:r>
      <w:r w:rsidR="00FF5645">
        <w:t>(</w:t>
      </w:r>
      <w:r w:rsidR="00FF5645">
        <w:rPr>
          <w:i/>
          <w:iCs/>
        </w:rPr>
        <w:t>Iskanian</w:t>
      </w:r>
      <w:r w:rsidR="00FF5645">
        <w:t xml:space="preserve">, </w:t>
      </w:r>
      <w:r w:rsidRPr="008E125D">
        <w:rPr>
          <w:i/>
          <w:iCs/>
        </w:rPr>
        <w:t>supra</w:t>
      </w:r>
      <w:r>
        <w:t xml:space="preserve">, 59 Cal.4th </w:t>
      </w:r>
      <w:r w:rsidR="00FF5645">
        <w:t>at p</w:t>
      </w:r>
      <w:r w:rsidR="000242D9">
        <w:t>p</w:t>
      </w:r>
      <w:r w:rsidR="00FF5645">
        <w:t>.</w:t>
      </w:r>
      <w:r>
        <w:t> </w:t>
      </w:r>
      <w:r w:rsidR="00FF5645">
        <w:t>360</w:t>
      </w:r>
      <w:r w:rsidR="000242D9">
        <w:t>, 383</w:t>
      </w:r>
      <w:r w:rsidR="004B353B">
        <w:t>, italics added</w:t>
      </w:r>
      <w:r w:rsidR="00FF5645">
        <w:t>.)</w:t>
      </w:r>
      <w:r w:rsidR="007B1C73">
        <w:t xml:space="preserve">  </w:t>
      </w:r>
      <w:r w:rsidR="000242D9">
        <w:t xml:space="preserve">The court emphasized that </w:t>
      </w:r>
      <w:r w:rsidR="00AB563A">
        <w:t xml:space="preserve">public policy prohibits </w:t>
      </w:r>
      <w:r w:rsidR="000242D9">
        <w:t xml:space="preserve">such agreements </w:t>
      </w:r>
      <w:r>
        <w:t>“whether or not an individual claim is permissible under the PAGA” because “ ‘a single-claimant arbitration under the PAGA for individual penalties will not result in the penalties contemplated under the PAGA to punish and deter employ</w:t>
      </w:r>
      <w:r w:rsidR="00515203">
        <w:t>er</w:t>
      </w:r>
      <w:r>
        <w:t xml:space="preserve"> practices that violate the rights of numerous employees under the Labor Code.’</w:t>
      </w:r>
      <w:r w:rsidR="00E77769">
        <w:t> </w:t>
      </w:r>
      <w:r>
        <w:t>”  (</w:t>
      </w:r>
      <w:r>
        <w:rPr>
          <w:i/>
          <w:iCs/>
        </w:rPr>
        <w:t>Iskanian</w:t>
      </w:r>
      <w:r>
        <w:t>, at p.</w:t>
      </w:r>
      <w:r w:rsidR="00E77769">
        <w:t> </w:t>
      </w:r>
      <w:r>
        <w:t>384.)</w:t>
      </w:r>
    </w:p>
    <w:p w14:paraId="219772C1" w14:textId="400C202E" w:rsidR="00793BE8" w:rsidRDefault="006A6F27" w:rsidP="008E125D">
      <w:pPr>
        <w:spacing w:line="360" w:lineRule="auto"/>
      </w:pPr>
      <w:r>
        <w:tab/>
      </w:r>
      <w:r>
        <w:rPr>
          <w:i/>
          <w:iCs/>
        </w:rPr>
        <w:t>Iskanian</w:t>
      </w:r>
      <w:r>
        <w:t xml:space="preserve"> </w:t>
      </w:r>
      <w:r w:rsidR="00454097">
        <w:t xml:space="preserve">further </w:t>
      </w:r>
      <w:r w:rsidR="00E77769">
        <w:t xml:space="preserve">held </w:t>
      </w:r>
      <w:r>
        <w:t xml:space="preserve">its </w:t>
      </w:r>
      <w:r w:rsidR="005278FC">
        <w:t xml:space="preserve">rule </w:t>
      </w:r>
      <w:r>
        <w:t xml:space="preserve">was </w:t>
      </w:r>
      <w:r w:rsidR="005278FC">
        <w:t xml:space="preserve">not preempted by the FAA because </w:t>
      </w:r>
      <w:r w:rsidR="000242D9">
        <w:t xml:space="preserve">a PAGA action is not a private dispute, but </w:t>
      </w:r>
      <w:r w:rsidR="005278FC">
        <w:t>“a dispute between an employer and the state [LWDA].”  (</w:t>
      </w:r>
      <w:r w:rsidR="005278FC">
        <w:rPr>
          <w:i/>
          <w:iCs/>
        </w:rPr>
        <w:t>Iskanian</w:t>
      </w:r>
      <w:r w:rsidR="005278FC">
        <w:t xml:space="preserve">, </w:t>
      </w:r>
      <w:r w:rsidR="00E00B78" w:rsidRPr="00E00B78">
        <w:rPr>
          <w:i/>
          <w:iCs/>
        </w:rPr>
        <w:t>supra</w:t>
      </w:r>
      <w:r w:rsidR="00E00B78">
        <w:t xml:space="preserve">, </w:t>
      </w:r>
      <w:r w:rsidR="005278FC">
        <w:t>59 Cal.4th at p.</w:t>
      </w:r>
      <w:r w:rsidR="00D960CA">
        <w:t> </w:t>
      </w:r>
      <w:r w:rsidR="005278FC">
        <w:t xml:space="preserve">384.)  </w:t>
      </w:r>
      <w:r w:rsidR="000242D9">
        <w:t>As such,</w:t>
      </w:r>
      <w:r w:rsidR="00387158">
        <w:t xml:space="preserve"> a </w:t>
      </w:r>
      <w:r w:rsidR="000242D9">
        <w:t>prohibition against PAGA waivers “</w:t>
      </w:r>
      <w:r w:rsidR="00C27662">
        <w:t>does not interfere with the FAA’s goal of promoting arbitration as a forum for private dispute resolution.”  (</w:t>
      </w:r>
      <w:r w:rsidR="00C27662">
        <w:rPr>
          <w:i/>
          <w:iCs/>
        </w:rPr>
        <w:t>Iskanian</w:t>
      </w:r>
      <w:r w:rsidR="00C27662">
        <w:t>, at pp.</w:t>
      </w:r>
      <w:r w:rsidR="00D960CA">
        <w:t> </w:t>
      </w:r>
      <w:r w:rsidR="00C27662">
        <w:t>388–389.)</w:t>
      </w:r>
    </w:p>
    <w:p w14:paraId="14E8E230" w14:textId="2C3B5C87" w:rsidR="00527FDB" w:rsidRPr="00B033D4" w:rsidRDefault="006A6F27" w:rsidP="00AF006E">
      <w:pPr>
        <w:spacing w:line="360" w:lineRule="auto"/>
        <w:ind w:firstLine="720"/>
      </w:pPr>
      <w:r>
        <w:t xml:space="preserve">In light of </w:t>
      </w:r>
      <w:r w:rsidRPr="00AC5F60">
        <w:rPr>
          <w:i/>
          <w:iCs/>
        </w:rPr>
        <w:t>Iskanian</w:t>
      </w:r>
      <w:r w:rsidRPr="00AC5F60">
        <w:t xml:space="preserve">, </w:t>
      </w:r>
      <w:r>
        <w:t>“</w:t>
      </w:r>
      <w:r w:rsidRPr="00AC5F60">
        <w:t xml:space="preserve">various courts held that employers may not require employees to </w:t>
      </w:r>
      <w:r>
        <w:t>‘</w:t>
      </w:r>
      <w:r w:rsidRPr="00AC5F60">
        <w:t>split</w:t>
      </w:r>
      <w:r>
        <w:t>’</w:t>
      </w:r>
      <w:r w:rsidRPr="00AC5F60">
        <w:t xml:space="preserve"> PAGA actions in a manner that puts individual and non-individual components of a PAGA claim into bifurcated proceedings</w:t>
      </w:r>
      <w:r>
        <w:t>”</w:t>
      </w:r>
      <w:r w:rsidR="009F1365">
        <w:t xml:space="preserve"> between arbitral and judicial forums.</w:t>
      </w:r>
      <w:r>
        <w:t xml:space="preserve">  (</w:t>
      </w:r>
      <w:r w:rsidRPr="00AC5F60">
        <w:rPr>
          <w:i/>
          <w:iCs/>
        </w:rPr>
        <w:t>Adolph v. Uber Technologies, Inc.</w:t>
      </w:r>
      <w:r>
        <w:t xml:space="preserve"> (2023) 14 Cal.5th 1104, 1118 (</w:t>
      </w:r>
      <w:r w:rsidRPr="00AC5F60">
        <w:rPr>
          <w:i/>
          <w:iCs/>
        </w:rPr>
        <w:t>Adolph</w:t>
      </w:r>
      <w:r>
        <w:t>)</w:t>
      </w:r>
      <w:r w:rsidR="00B033D4">
        <w:t xml:space="preserve">, citing </w:t>
      </w:r>
      <w:r w:rsidR="00B033D4">
        <w:rPr>
          <w:i/>
          <w:iCs/>
        </w:rPr>
        <w:t xml:space="preserve">Perez v. U-Haul Co. of California </w:t>
      </w:r>
      <w:r w:rsidR="00B033D4">
        <w:t xml:space="preserve">(2016) 3 Cal.App.5th 408 and </w:t>
      </w:r>
      <w:r w:rsidR="00B033D4">
        <w:rPr>
          <w:i/>
          <w:iCs/>
        </w:rPr>
        <w:t xml:space="preserve">Williams v. Superior Court </w:t>
      </w:r>
      <w:r w:rsidR="00B033D4">
        <w:t>(2015) 237 Cal.App.4th 642.)</w:t>
      </w:r>
    </w:p>
    <w:p w14:paraId="31D5C9A5" w14:textId="0269B178" w:rsidR="004043C7" w:rsidRPr="00E77769" w:rsidRDefault="006A6F27" w:rsidP="00116E5D">
      <w:pPr>
        <w:pStyle w:val="ListParagraph"/>
        <w:keepNext/>
        <w:numPr>
          <w:ilvl w:val="0"/>
          <w:numId w:val="7"/>
        </w:numPr>
        <w:spacing w:line="360" w:lineRule="auto"/>
        <w:rPr>
          <w:b/>
          <w:bCs/>
        </w:rPr>
      </w:pPr>
      <w:r w:rsidRPr="00E77769">
        <w:rPr>
          <w:b/>
          <w:bCs/>
        </w:rPr>
        <w:t>Viking River</w:t>
      </w:r>
    </w:p>
    <w:p w14:paraId="45C742D9" w14:textId="69EE9427" w:rsidR="008E125D" w:rsidRDefault="006A6F27" w:rsidP="008E125D">
      <w:pPr>
        <w:spacing w:line="360" w:lineRule="auto"/>
        <w:ind w:firstLine="720"/>
      </w:pPr>
      <w:r w:rsidRPr="00527FDB">
        <w:t>In</w:t>
      </w:r>
      <w:r w:rsidR="00E00B78">
        <w:t xml:space="preserve"> </w:t>
      </w:r>
      <w:r w:rsidR="00C27662">
        <w:rPr>
          <w:i/>
          <w:iCs/>
        </w:rPr>
        <w:t>Viking River</w:t>
      </w:r>
      <w:r>
        <w:t>, the United States Supreme Court held the FAA preempt</w:t>
      </w:r>
      <w:r w:rsidR="00307AD4">
        <w:t>s</w:t>
      </w:r>
      <w:r>
        <w:t xml:space="preserve"> the rule of </w:t>
      </w:r>
      <w:r>
        <w:rPr>
          <w:i/>
          <w:iCs/>
        </w:rPr>
        <w:t>Iskanian</w:t>
      </w:r>
      <w:r>
        <w:t xml:space="preserve"> “insofar as it precludes division of PAGA actions into individual and non-individual claims through an agreement to arbitrate.”  </w:t>
      </w:r>
      <w:r w:rsidR="00C27662">
        <w:t>(</w:t>
      </w:r>
      <w:r w:rsidR="00C27662">
        <w:rPr>
          <w:i/>
          <w:iCs/>
        </w:rPr>
        <w:t>Viking River</w:t>
      </w:r>
      <w:r w:rsidR="00C27662">
        <w:t xml:space="preserve">, </w:t>
      </w:r>
      <w:r w:rsidR="00454097" w:rsidRPr="00454097">
        <w:rPr>
          <w:i/>
          <w:iCs/>
        </w:rPr>
        <w:t>supra</w:t>
      </w:r>
      <w:r w:rsidR="00454097">
        <w:t xml:space="preserve">, </w:t>
      </w:r>
      <w:r w:rsidR="00160E8F">
        <w:t xml:space="preserve">596 U.S. </w:t>
      </w:r>
      <w:r w:rsidR="006C4E63">
        <w:t>at p. </w:t>
      </w:r>
      <w:r w:rsidR="00160E8F">
        <w:t>___ [</w:t>
      </w:r>
      <w:r w:rsidR="00454097">
        <w:t xml:space="preserve">142 S. Ct. </w:t>
      </w:r>
      <w:r w:rsidR="00C27662">
        <w:t>at p.</w:t>
      </w:r>
      <w:r w:rsidR="00D960CA">
        <w:t> </w:t>
      </w:r>
      <w:r w:rsidR="00C27662">
        <w:t>1924</w:t>
      </w:r>
      <w:r w:rsidR="00160E8F">
        <w:t>]</w:t>
      </w:r>
      <w:r w:rsidR="00C27662">
        <w:t>.</w:t>
      </w:r>
      <w:r w:rsidR="00C56A26">
        <w:t>)</w:t>
      </w:r>
      <w:r>
        <w:t xml:space="preserve">  </w:t>
      </w:r>
      <w:r w:rsidR="00E00B78">
        <w:t xml:space="preserve">Central </w:t>
      </w:r>
      <w:r w:rsidR="00454097">
        <w:t>to</w:t>
      </w:r>
      <w:r w:rsidR="00434659">
        <w:t xml:space="preserve"> </w:t>
      </w:r>
      <w:r w:rsidR="00C56A26">
        <w:t xml:space="preserve">the court’s </w:t>
      </w:r>
      <w:r w:rsidR="00454097">
        <w:t>holding</w:t>
      </w:r>
      <w:r w:rsidR="00267F47">
        <w:t xml:space="preserve"> </w:t>
      </w:r>
      <w:r w:rsidR="00454097">
        <w:t xml:space="preserve">was </w:t>
      </w:r>
      <w:r w:rsidR="00C56A26">
        <w:t xml:space="preserve">its </w:t>
      </w:r>
      <w:r>
        <w:t xml:space="preserve">view of the </w:t>
      </w:r>
      <w:r w:rsidR="00D91C58">
        <w:t xml:space="preserve">distinction between </w:t>
      </w:r>
      <w:r w:rsidR="002D6FE6">
        <w:lastRenderedPageBreak/>
        <w:t>“</w:t>
      </w:r>
      <w:r w:rsidR="00D91C58">
        <w:t>individual</w:t>
      </w:r>
      <w:r w:rsidR="002D6FE6">
        <w:t>”</w:t>
      </w:r>
      <w:r w:rsidR="00D91C58">
        <w:t xml:space="preserve"> and </w:t>
      </w:r>
      <w:r w:rsidR="002D6FE6">
        <w:t>“</w:t>
      </w:r>
      <w:r w:rsidR="00D91C58">
        <w:t>non</w:t>
      </w:r>
      <w:r w:rsidR="00AB563A">
        <w:t>-</w:t>
      </w:r>
      <w:r w:rsidR="00D91C58">
        <w:t>individual</w:t>
      </w:r>
      <w:r w:rsidR="002D6FE6">
        <w:t>”</w:t>
      </w:r>
      <w:r w:rsidR="00D91C58">
        <w:t xml:space="preserve"> </w:t>
      </w:r>
      <w:r w:rsidR="00AB4287">
        <w:t xml:space="preserve">facets </w:t>
      </w:r>
      <w:r w:rsidR="00EC261F">
        <w:t xml:space="preserve">of </w:t>
      </w:r>
      <w:r w:rsidR="00267F47">
        <w:t xml:space="preserve">a </w:t>
      </w:r>
      <w:r w:rsidR="00EC261F">
        <w:t xml:space="preserve">“representative” PAGA </w:t>
      </w:r>
      <w:r w:rsidR="00AB4287">
        <w:t>action</w:t>
      </w:r>
      <w:r>
        <w:t>, which merits a detailed discussion.</w:t>
      </w:r>
    </w:p>
    <w:p w14:paraId="318AA96D" w14:textId="18999D79" w:rsidR="008E125D" w:rsidRDefault="006A6F27" w:rsidP="008E125D">
      <w:pPr>
        <w:spacing w:line="360" w:lineRule="auto"/>
      </w:pPr>
      <w:r>
        <w:tab/>
      </w:r>
      <w:r w:rsidR="00D853B1">
        <w:t>A</w:t>
      </w:r>
      <w:r>
        <w:t xml:space="preserve">s the </w:t>
      </w:r>
      <w:r w:rsidRPr="008E125D">
        <w:rPr>
          <w:i/>
          <w:iCs/>
        </w:rPr>
        <w:t>Viking River</w:t>
      </w:r>
      <w:r>
        <w:t xml:space="preserve"> court explained</w:t>
      </w:r>
      <w:r w:rsidR="00D853B1">
        <w:t xml:space="preserve">, </w:t>
      </w:r>
      <w:r w:rsidR="00427A33">
        <w:t xml:space="preserve">PAGA </w:t>
      </w:r>
      <w:r w:rsidR="00D91C58">
        <w:t>“tends to use the word ‘representative’ in two distinct ways.</w:t>
      </w:r>
      <w:r w:rsidR="00D960CA">
        <w:t> </w:t>
      </w:r>
      <w:r w:rsidR="00D91C58">
        <w:t>.</w:t>
      </w:r>
      <w:r w:rsidR="00D960CA">
        <w:t> </w:t>
      </w:r>
      <w:r w:rsidR="00D91C58">
        <w:t>.</w:t>
      </w:r>
      <w:r w:rsidR="00D960CA">
        <w:t> </w:t>
      </w:r>
      <w:r w:rsidR="00D91C58">
        <w:t>.  [¶]</w:t>
      </w:r>
      <w:r w:rsidR="00D960CA">
        <w:t> </w:t>
      </w:r>
      <w:r w:rsidR="00D91C58">
        <w:t>In the first sense, PAGA actions are ‘representative’ in that they are brought by employees acting as representatives—that is, agents or proxies—of the State.”  (</w:t>
      </w:r>
      <w:r w:rsidR="00D91C58">
        <w:rPr>
          <w:i/>
          <w:iCs/>
        </w:rPr>
        <w:t xml:space="preserve">Viking </w:t>
      </w:r>
      <w:r w:rsidR="00D91C58" w:rsidRPr="00D91C58">
        <w:rPr>
          <w:i/>
          <w:iCs/>
        </w:rPr>
        <w:t>River</w:t>
      </w:r>
      <w:r w:rsidR="00D91C58">
        <w:t xml:space="preserve">, </w:t>
      </w:r>
      <w:r w:rsidR="00160E8F">
        <w:t xml:space="preserve">596 U.S. </w:t>
      </w:r>
      <w:r w:rsidR="006C4E63">
        <w:t>at p. </w:t>
      </w:r>
      <w:r w:rsidR="00160E8F">
        <w:t xml:space="preserve">___ [142 S. Ct. </w:t>
      </w:r>
      <w:r w:rsidR="00D91C58">
        <w:t>at p.</w:t>
      </w:r>
      <w:r w:rsidR="00D960CA">
        <w:t> </w:t>
      </w:r>
      <w:r w:rsidR="00D91C58">
        <w:t>1916</w:t>
      </w:r>
      <w:r w:rsidR="00160E8F">
        <w:t>]</w:t>
      </w:r>
      <w:r w:rsidR="00D91C58">
        <w:t>.)  In this sense, “</w:t>
      </w:r>
      <w:r w:rsidR="00D960CA">
        <w:t> </w:t>
      </w:r>
      <w:r w:rsidR="00D91C58">
        <w:t>‘</w:t>
      </w:r>
      <w:r w:rsidR="00D960CA">
        <w:t> </w:t>
      </w:r>
      <w:r w:rsidR="00D91C58">
        <w:t>“</w:t>
      </w:r>
      <w:r w:rsidR="00D91C58">
        <w:rPr>
          <w:i/>
          <w:iCs/>
        </w:rPr>
        <w:t xml:space="preserve">every </w:t>
      </w:r>
      <w:r w:rsidR="00D91C58">
        <w:t>PAGA action is .</w:t>
      </w:r>
      <w:r w:rsidR="00D960CA">
        <w:t> </w:t>
      </w:r>
      <w:r w:rsidR="00D91C58">
        <w:t>.</w:t>
      </w:r>
      <w:r w:rsidR="00D960CA">
        <w:t> </w:t>
      </w:r>
      <w:r w:rsidR="00D91C58">
        <w:t>. representative”</w:t>
      </w:r>
      <w:r w:rsidR="00896F47">
        <w:t> ’</w:t>
      </w:r>
      <w:r w:rsidR="00D91C58">
        <w:t xml:space="preserve"> and ‘[t]here is no individual component to a PAGA action</w:t>
      </w:r>
      <w:r w:rsidR="00427A33">
        <w:t>.</w:t>
      </w:r>
      <w:r w:rsidR="00D91C58">
        <w:t>’</w:t>
      </w:r>
      <w:r w:rsidR="00427A33">
        <w:t> ”</w:t>
      </w:r>
      <w:r w:rsidR="00D91C58">
        <w:t xml:space="preserve"> </w:t>
      </w:r>
      <w:r w:rsidR="0024654B">
        <w:t xml:space="preserve"> </w:t>
      </w:r>
      <w:r w:rsidR="00D91C58">
        <w:t>(</w:t>
      </w:r>
      <w:r w:rsidR="00D91C58">
        <w:rPr>
          <w:i/>
          <w:iCs/>
        </w:rPr>
        <w:t>Viking River</w:t>
      </w:r>
      <w:r w:rsidR="00D91C58">
        <w:t xml:space="preserve">, </w:t>
      </w:r>
      <w:r w:rsidR="006C4E63">
        <w:t xml:space="preserve">at p. ___ [142 S. Ct. </w:t>
      </w:r>
      <w:r w:rsidR="00D91C58">
        <w:t>at p.</w:t>
      </w:r>
      <w:r w:rsidR="00D960CA">
        <w:t> </w:t>
      </w:r>
      <w:r w:rsidR="00D91C58">
        <w:t>1916</w:t>
      </w:r>
      <w:r w:rsidR="006C4E63">
        <w:t>]</w:t>
      </w:r>
      <w:r w:rsidR="00D91C58">
        <w:t>.)</w:t>
      </w:r>
    </w:p>
    <w:p w14:paraId="69D3233F" w14:textId="0A411251" w:rsidR="00D91C58" w:rsidRPr="00E77769" w:rsidRDefault="006A6F27" w:rsidP="008E125D">
      <w:pPr>
        <w:spacing w:line="360" w:lineRule="auto"/>
      </w:pPr>
      <w:r>
        <w:tab/>
      </w:r>
      <w:r w:rsidR="00EC261F">
        <w:t xml:space="preserve">But </w:t>
      </w:r>
      <w:r>
        <w:t>PAGA also “contain</w:t>
      </w:r>
      <w:r w:rsidR="00427A33">
        <w:t>[s]</w:t>
      </w:r>
      <w:r>
        <w:t xml:space="preserve"> what is effectively a rule of claim joinder” </w:t>
      </w:r>
      <w:r w:rsidR="002D6FE6">
        <w:t xml:space="preserve">that </w:t>
      </w:r>
      <w:r>
        <w:t xml:space="preserve">allows </w:t>
      </w:r>
      <w:r w:rsidR="00434659">
        <w:t xml:space="preserve">aggrieved </w:t>
      </w:r>
      <w:r>
        <w:t>employee</w:t>
      </w:r>
      <w:r w:rsidR="00D853B1">
        <w:t>s</w:t>
      </w:r>
      <w:r>
        <w:t xml:space="preserve"> </w:t>
      </w:r>
      <w:r w:rsidR="00434659">
        <w:t xml:space="preserve">to </w:t>
      </w:r>
      <w:r>
        <w:t>“</w:t>
      </w:r>
      <w:r w:rsidR="002D6FE6">
        <w:t> </w:t>
      </w:r>
      <w:r>
        <w:t>‘seek any civil penalties the state can, including penalties for violations involving employees other than the PAGA litigant herself</w:t>
      </w:r>
      <w:r w:rsidR="00434659">
        <w:t xml:space="preserve">.’ ”  </w:t>
      </w:r>
      <w:r>
        <w:t>(</w:t>
      </w:r>
      <w:r>
        <w:rPr>
          <w:i/>
          <w:iCs/>
        </w:rPr>
        <w:t>Viking River</w:t>
      </w:r>
      <w:r>
        <w:t xml:space="preserve">, </w:t>
      </w:r>
      <w:r w:rsidR="002D6FE6" w:rsidRPr="002D6FE6">
        <w:rPr>
          <w:i/>
          <w:iCs/>
        </w:rPr>
        <w:t>supra</w:t>
      </w:r>
      <w:r w:rsidR="002D6FE6">
        <w:t xml:space="preserve">, </w:t>
      </w:r>
      <w:r w:rsidR="00160E8F">
        <w:t xml:space="preserve">596 U.S. </w:t>
      </w:r>
      <w:r w:rsidR="006C4E63">
        <w:t>at p. </w:t>
      </w:r>
      <w:r w:rsidR="00160E8F">
        <w:t>___ [</w:t>
      </w:r>
      <w:r w:rsidR="002D6FE6">
        <w:t xml:space="preserve">142 S. Ct. </w:t>
      </w:r>
      <w:r>
        <w:t>at p.</w:t>
      </w:r>
      <w:r w:rsidR="00973096">
        <w:t> </w:t>
      </w:r>
      <w:r>
        <w:t>1915</w:t>
      </w:r>
      <w:r w:rsidR="00160E8F">
        <w:t>]</w:t>
      </w:r>
      <w:r>
        <w:t xml:space="preserve">.)  </w:t>
      </w:r>
      <w:r w:rsidR="00434659">
        <w:rPr>
          <w:i/>
          <w:iCs/>
        </w:rPr>
        <w:t xml:space="preserve">Viking River </w:t>
      </w:r>
      <w:r w:rsidR="00434659">
        <w:t xml:space="preserve">distinguished </w:t>
      </w:r>
      <w:r w:rsidR="00227F12">
        <w:t>such “non</w:t>
      </w:r>
      <w:r w:rsidR="00AB563A">
        <w:t>-</w:t>
      </w:r>
      <w:r w:rsidR="00227F12">
        <w:t>individual” PAGA claims</w:t>
      </w:r>
      <w:r w:rsidR="009F1365">
        <w:t xml:space="preserve"> </w:t>
      </w:r>
      <w:r w:rsidR="00227F12">
        <w:t>aris</w:t>
      </w:r>
      <w:r w:rsidR="009F1365">
        <w:t>ing</w:t>
      </w:r>
      <w:r w:rsidR="00227F12">
        <w:t xml:space="preserve"> out of events involving other employees from </w:t>
      </w:r>
      <w:r w:rsidR="00434659">
        <w:t>“ ‘</w:t>
      </w:r>
      <w:r>
        <w:t>individual’</w:t>
      </w:r>
      <w:r w:rsidR="009F1365">
        <w:t> ”</w:t>
      </w:r>
      <w:r>
        <w:t xml:space="preserve"> PAGA claims</w:t>
      </w:r>
      <w:r w:rsidR="009F1365">
        <w:t xml:space="preserve"> </w:t>
      </w:r>
      <w:r>
        <w:t>premised on Labor Code violations actually sustained by the plaintiff.  (</w:t>
      </w:r>
      <w:r>
        <w:rPr>
          <w:i/>
          <w:iCs/>
        </w:rPr>
        <w:t>Viking River</w:t>
      </w:r>
      <w:r>
        <w:t xml:space="preserve">, </w:t>
      </w:r>
      <w:r w:rsidR="006C4E63">
        <w:t>at p.</w:t>
      </w:r>
      <w:r w:rsidR="00E77769">
        <w:t> </w:t>
      </w:r>
      <w:r w:rsidR="006C4E63">
        <w:t xml:space="preserve">___ [142 S. Ct. </w:t>
      </w:r>
      <w:r>
        <w:t>at p.</w:t>
      </w:r>
      <w:r w:rsidR="00973096">
        <w:t> </w:t>
      </w:r>
      <w:r>
        <w:t>1916</w:t>
      </w:r>
      <w:r w:rsidR="006C4E63">
        <w:t>]</w:t>
      </w:r>
      <w:r>
        <w:t>.)</w:t>
      </w:r>
    </w:p>
    <w:p w14:paraId="3D498C81" w14:textId="16536538" w:rsidR="004C756B" w:rsidRDefault="006A6F27" w:rsidP="00AF006E">
      <w:pPr>
        <w:spacing w:line="360" w:lineRule="auto"/>
        <w:ind w:firstLine="720"/>
      </w:pPr>
      <w:r>
        <w:t xml:space="preserve">Based on this distinction, </w:t>
      </w:r>
      <w:r w:rsidR="00E66D16">
        <w:rPr>
          <w:i/>
          <w:iCs/>
        </w:rPr>
        <w:t>Viking River</w:t>
      </w:r>
      <w:r w:rsidR="00E66D16">
        <w:t xml:space="preserve"> </w:t>
      </w:r>
      <w:r>
        <w:t xml:space="preserve">held </w:t>
      </w:r>
      <w:r w:rsidR="00E82F67">
        <w:t>the FAA does not preempt</w:t>
      </w:r>
      <w:r>
        <w:t xml:space="preserve"> </w:t>
      </w:r>
      <w:r w:rsidR="00E66D16">
        <w:rPr>
          <w:i/>
          <w:iCs/>
        </w:rPr>
        <w:t xml:space="preserve">Iskanian’s </w:t>
      </w:r>
      <w:r w:rsidR="008E125D">
        <w:t>“</w:t>
      </w:r>
      <w:r w:rsidR="00E66D16">
        <w:t>principal</w:t>
      </w:r>
      <w:r w:rsidR="008E125D">
        <w:t>”</w:t>
      </w:r>
      <w:r w:rsidR="00E66D16">
        <w:t xml:space="preserve"> rule prohibit</w:t>
      </w:r>
      <w:r>
        <w:t xml:space="preserve">ing </w:t>
      </w:r>
      <w:r w:rsidR="00E66D16">
        <w:t xml:space="preserve">waivers of </w:t>
      </w:r>
      <w:r>
        <w:t>“</w:t>
      </w:r>
      <w:r w:rsidR="00E66D16">
        <w:t>representative</w:t>
      </w:r>
      <w:r>
        <w:t>”</w:t>
      </w:r>
      <w:r w:rsidR="00E66D16">
        <w:t xml:space="preserve"> PAGA claims </w:t>
      </w:r>
      <w:r>
        <w:t>“</w:t>
      </w:r>
      <w:r w:rsidR="00E66D16">
        <w:t>in the first sense”</w:t>
      </w:r>
      <w:r w:rsidR="00434659">
        <w:t xml:space="preserve"> </w:t>
      </w:r>
      <w:r w:rsidR="009F1365">
        <w:t xml:space="preserve">(that </w:t>
      </w:r>
      <w:r w:rsidR="009F1365" w:rsidRPr="00E6657C">
        <w:rPr>
          <w:i/>
          <w:iCs/>
        </w:rPr>
        <w:t>every</w:t>
      </w:r>
      <w:r w:rsidR="009F1365">
        <w:t xml:space="preserve"> PAGA action is representative) </w:t>
      </w:r>
      <w:r w:rsidR="00434659">
        <w:t xml:space="preserve">because </w:t>
      </w:r>
      <w:r w:rsidR="008861FF">
        <w:t xml:space="preserve">a </w:t>
      </w:r>
      <w:r>
        <w:t>PAGA action</w:t>
      </w:r>
      <w:r w:rsidR="006A378E">
        <w:t xml:space="preserve">, which </w:t>
      </w:r>
      <w:r w:rsidR="00434659">
        <w:t>involves a single principal</w:t>
      </w:r>
      <w:r w:rsidR="00E77769">
        <w:t>—</w:t>
      </w:r>
      <w:r w:rsidR="00434659">
        <w:t>the LWDA</w:t>
      </w:r>
      <w:r w:rsidR="00E77769">
        <w:t>—</w:t>
      </w:r>
      <w:r>
        <w:t xml:space="preserve">is </w:t>
      </w:r>
      <w:r w:rsidR="008861FF">
        <w:t xml:space="preserve">structurally </w:t>
      </w:r>
      <w:r>
        <w:t>different</w:t>
      </w:r>
      <w:r w:rsidR="00CD7E6D">
        <w:t xml:space="preserve"> from class actions</w:t>
      </w:r>
      <w:r w:rsidR="00434659">
        <w:t xml:space="preserve"> and </w:t>
      </w:r>
      <w:r w:rsidR="008861FF">
        <w:t>therefore does “</w:t>
      </w:r>
      <w:r>
        <w:t>not present the problems of notice, due process, and adequacy of representation that render class arbitration inconsistent with arbitration’s traditionally individualized form.”  (</w:t>
      </w:r>
      <w:r>
        <w:rPr>
          <w:i/>
          <w:iCs/>
        </w:rPr>
        <w:t>Viking River</w:t>
      </w:r>
      <w:r>
        <w:t xml:space="preserve">, </w:t>
      </w:r>
      <w:r w:rsidR="005B078C" w:rsidRPr="005B078C">
        <w:rPr>
          <w:i/>
          <w:iCs/>
        </w:rPr>
        <w:t>supra</w:t>
      </w:r>
      <w:r w:rsidR="005B078C">
        <w:t xml:space="preserve">, 569 U.S. </w:t>
      </w:r>
      <w:r w:rsidR="006C4E63">
        <w:t>at p.</w:t>
      </w:r>
      <w:r w:rsidR="005B078C">
        <w:t> </w:t>
      </w:r>
      <w:r w:rsidR="006C4E63">
        <w:t xml:space="preserve">___ [142 S. Ct. </w:t>
      </w:r>
      <w:r>
        <w:t>at p</w:t>
      </w:r>
      <w:r w:rsidR="00D853B1">
        <w:t>p</w:t>
      </w:r>
      <w:r>
        <w:t>.</w:t>
      </w:r>
      <w:r w:rsidR="007B1F3A">
        <w:t> </w:t>
      </w:r>
      <w:r w:rsidR="00D853B1">
        <w:t>1916</w:t>
      </w:r>
      <w:r w:rsidR="004F7C38">
        <w:t>–1917</w:t>
      </w:r>
      <w:r w:rsidR="00D853B1">
        <w:t xml:space="preserve">, </w:t>
      </w:r>
      <w:r>
        <w:t>1921</w:t>
      </w:r>
      <w:r w:rsidR="006C4E63">
        <w:t>]</w:t>
      </w:r>
      <w:r>
        <w:t>.)</w:t>
      </w:r>
    </w:p>
    <w:p w14:paraId="5D229EB4" w14:textId="33F00AD2" w:rsidR="008E125D" w:rsidRDefault="006A6F27" w:rsidP="008E125D">
      <w:pPr>
        <w:spacing w:line="360" w:lineRule="auto"/>
        <w:ind w:firstLine="720"/>
      </w:pPr>
      <w:r>
        <w:t xml:space="preserve">However, </w:t>
      </w:r>
      <w:r>
        <w:rPr>
          <w:i/>
          <w:iCs/>
        </w:rPr>
        <w:t xml:space="preserve">Viking River </w:t>
      </w:r>
      <w:r>
        <w:t xml:space="preserve">found </w:t>
      </w:r>
      <w:r w:rsidR="00E82F67">
        <w:t>preemption of</w:t>
      </w:r>
      <w:r>
        <w:t xml:space="preserve"> </w:t>
      </w:r>
      <w:r>
        <w:rPr>
          <w:i/>
          <w:iCs/>
        </w:rPr>
        <w:t xml:space="preserve">Iskanian’s </w:t>
      </w:r>
      <w:r>
        <w:t>secondary rule prohibiting parties from contracting around PAGA’s claim joinder mechanism</w:t>
      </w:r>
      <w:r w:rsidR="00D60965">
        <w:t xml:space="preserve"> </w:t>
      </w:r>
      <w:r w:rsidR="00AB563A">
        <w:lastRenderedPageBreak/>
        <w:t>because the rule interfered with the employer’s ability to enforce arbitration as to just the individual PAGA claim</w:t>
      </w:r>
      <w:r>
        <w:t>.  (</w:t>
      </w:r>
      <w:r w:rsidRPr="00F03069">
        <w:rPr>
          <w:i/>
          <w:iCs/>
        </w:rPr>
        <w:t>Viking River</w:t>
      </w:r>
      <w:r>
        <w:t xml:space="preserve">, </w:t>
      </w:r>
      <w:r w:rsidRPr="00FD0A86">
        <w:rPr>
          <w:i/>
          <w:iCs/>
        </w:rPr>
        <w:t>supra</w:t>
      </w:r>
      <w:r>
        <w:t xml:space="preserve">, 596 U.S. at p. ___ [142 S. Ct. at p. 1923].)  </w:t>
      </w:r>
      <w:r w:rsidR="00275C55">
        <w:t xml:space="preserve">As the court explained, </w:t>
      </w:r>
      <w:r>
        <w:t xml:space="preserve">“state law cannot condition the enforceability of an arbitration agreement on the availability of a procedural mechanism that would permit a party to expand the scope of </w:t>
      </w:r>
      <w:r w:rsidR="00223B61">
        <w:t xml:space="preserve">the </w:t>
      </w:r>
      <w:r>
        <w:t>arbitration by introducing claims that the parties did not jointly agree to arbitrate.”  (</w:t>
      </w:r>
      <w:r>
        <w:rPr>
          <w:i/>
          <w:iCs/>
        </w:rPr>
        <w:t>Id.</w:t>
      </w:r>
      <w:r>
        <w:t xml:space="preserve"> at pp. 1923–1924.)  “The effect of </w:t>
      </w:r>
      <w:r>
        <w:rPr>
          <w:i/>
          <w:iCs/>
        </w:rPr>
        <w:t xml:space="preserve">Iskanian’s </w:t>
      </w:r>
      <w:r>
        <w:t xml:space="preserve">rule mandating this mechanism is to coerce parties into withholding PAGA claims from arbitration. . . . </w:t>
      </w:r>
      <w:r w:rsidR="00CE3266">
        <w:t xml:space="preserve"> </w:t>
      </w:r>
      <w:r>
        <w:t>This result is incompatible with the FAA.”  (</w:t>
      </w:r>
      <w:r w:rsidRPr="009D2AF1">
        <w:rPr>
          <w:i/>
          <w:iCs/>
        </w:rPr>
        <w:t>Viking River</w:t>
      </w:r>
      <w:r>
        <w:t>, 596 U.S. at p. ___ [142 S. Ct. at p. 1924].)</w:t>
      </w:r>
    </w:p>
    <w:p w14:paraId="44AD97D1" w14:textId="3D769E57" w:rsidR="008E125D" w:rsidRPr="008E125D" w:rsidRDefault="006A6F27" w:rsidP="008E125D">
      <w:pPr>
        <w:spacing w:line="360" w:lineRule="auto"/>
        <w:ind w:firstLine="720"/>
        <w:rPr>
          <w:i/>
          <w:iCs/>
        </w:rPr>
      </w:pPr>
      <w:r>
        <w:t xml:space="preserve">Of significant note, the arbitration agreement in </w:t>
      </w:r>
      <w:r>
        <w:rPr>
          <w:i/>
          <w:iCs/>
        </w:rPr>
        <w:t xml:space="preserve">Viking River </w:t>
      </w:r>
      <w:r>
        <w:t xml:space="preserve">contained </w:t>
      </w:r>
      <w:r w:rsidR="00A41FED">
        <w:t>“</w:t>
      </w:r>
      <w:r>
        <w:t xml:space="preserve">a severability clause </w:t>
      </w:r>
      <w:r w:rsidR="00A41FED">
        <w:t xml:space="preserve">specifying that if the waiver was found invalid, any class, collective, representative, or PAGA action would presumptively be litigated in court.  But under that severability clause, if </w:t>
      </w:r>
      <w:r>
        <w:t>any ‘portion’ of the waiver remained valid</w:t>
      </w:r>
      <w:r w:rsidR="00A41FED">
        <w:t>,</w:t>
      </w:r>
      <w:r>
        <w:t xml:space="preserve"> </w:t>
      </w:r>
      <w:r w:rsidR="00A41FED">
        <w:t>it would be ‘enforced in arbitration</w:t>
      </w:r>
      <w:r>
        <w:t>.</w:t>
      </w:r>
      <w:r w:rsidR="00A41FED">
        <w:t>’ ”</w:t>
      </w:r>
      <w:r>
        <w:t xml:space="preserve">  (</w:t>
      </w:r>
      <w:r>
        <w:rPr>
          <w:i/>
          <w:iCs/>
        </w:rPr>
        <w:t>Viking River</w:t>
      </w:r>
      <w:r>
        <w:t xml:space="preserve">, 596 U.S. at p. ___ [142 S. Ct. at p. 1916].)  The court interpreted this clause as permitting the employer to enforce arbitration of </w:t>
      </w:r>
      <w:r w:rsidR="002E48D7">
        <w:t xml:space="preserve">just </w:t>
      </w:r>
      <w:r w:rsidRPr="005625F8">
        <w:t xml:space="preserve">the </w:t>
      </w:r>
      <w:r w:rsidRPr="001939B2">
        <w:t>individual PAGA claim</w:t>
      </w:r>
      <w:r w:rsidR="002E48D7">
        <w:t>.</w:t>
      </w:r>
      <w:r>
        <w:t xml:space="preserve">  (</w:t>
      </w:r>
      <w:r>
        <w:rPr>
          <w:i/>
          <w:iCs/>
        </w:rPr>
        <w:t>Viking River</w:t>
      </w:r>
      <w:r>
        <w:t xml:space="preserve">, 596 U.S. at p. ___ [142 S. Ct. at p. 1917].)  </w:t>
      </w:r>
      <w:r w:rsidR="00E77769">
        <w:t xml:space="preserve">And because </w:t>
      </w:r>
      <w:r>
        <w:rPr>
          <w:i/>
          <w:iCs/>
        </w:rPr>
        <w:t>Iskanian’s</w:t>
      </w:r>
      <w:r>
        <w:t xml:space="preserve"> rule</w:t>
      </w:r>
      <w:r w:rsidR="005B078C">
        <w:t xml:space="preserve"> of indivisibility </w:t>
      </w:r>
      <w:r>
        <w:t>interfered with the employer’s ability to do so, it was preempted by the FAA.</w:t>
      </w:r>
      <w:r>
        <w:rPr>
          <w:rStyle w:val="FootnoteReference"/>
        </w:rPr>
        <w:footnoteReference w:id="1"/>
      </w:r>
    </w:p>
    <w:p w14:paraId="6AFDA9B2" w14:textId="769ECE90" w:rsidR="00CB1438" w:rsidRDefault="006A6F27" w:rsidP="00E06E56">
      <w:pPr>
        <w:spacing w:line="360" w:lineRule="auto"/>
        <w:ind w:firstLine="720"/>
      </w:pPr>
      <w:r>
        <w:lastRenderedPageBreak/>
        <w:t xml:space="preserve">In the final section of </w:t>
      </w:r>
      <w:r w:rsidR="00B857B0">
        <w:t xml:space="preserve">its </w:t>
      </w:r>
      <w:r>
        <w:t xml:space="preserve">opinion, </w:t>
      </w:r>
      <w:r w:rsidR="00B857B0">
        <w:rPr>
          <w:i/>
          <w:iCs/>
        </w:rPr>
        <w:t xml:space="preserve">Viking River </w:t>
      </w:r>
      <w:r w:rsidR="00816292">
        <w:t xml:space="preserve">reiterated </w:t>
      </w:r>
      <w:r w:rsidR="009B5040">
        <w:t xml:space="preserve">its </w:t>
      </w:r>
      <w:r w:rsidR="0015521D">
        <w:t xml:space="preserve">holding </w:t>
      </w:r>
      <w:r w:rsidR="00B5373C">
        <w:t xml:space="preserve">that an employee’s </w:t>
      </w:r>
      <w:r w:rsidR="00301CB9">
        <w:t xml:space="preserve">nonindividual </w:t>
      </w:r>
      <w:r w:rsidR="00B5373C">
        <w:t>PAGA claims</w:t>
      </w:r>
      <w:r w:rsidR="00F608F0">
        <w:t xml:space="preserve"> </w:t>
      </w:r>
      <w:r w:rsidR="00B5373C">
        <w:t xml:space="preserve">“may not be dismissed simply because they are ‘representative.’  </w:t>
      </w:r>
      <w:r w:rsidR="00B5373C">
        <w:rPr>
          <w:i/>
          <w:iCs/>
        </w:rPr>
        <w:t xml:space="preserve">Iskanian’s </w:t>
      </w:r>
      <w:r w:rsidR="00B5373C">
        <w:t xml:space="preserve">rule </w:t>
      </w:r>
      <w:r>
        <w:t>remains valid</w:t>
      </w:r>
      <w:r w:rsidR="00B5373C">
        <w:t xml:space="preserve"> to that extent</w:t>
      </w:r>
      <w:r>
        <w:t>.”  (</w:t>
      </w:r>
      <w:r>
        <w:rPr>
          <w:i/>
          <w:iCs/>
        </w:rPr>
        <w:t>Viking River</w:t>
      </w:r>
      <w:r>
        <w:t xml:space="preserve">, </w:t>
      </w:r>
      <w:r>
        <w:rPr>
          <w:i/>
          <w:iCs/>
        </w:rPr>
        <w:t>supra</w:t>
      </w:r>
      <w:r>
        <w:t xml:space="preserve">, </w:t>
      </w:r>
      <w:r w:rsidR="006C4E63">
        <w:t>596 U.S. at p. ___ [</w:t>
      </w:r>
      <w:r w:rsidR="00144D3F">
        <w:t xml:space="preserve">142 S. Ct. </w:t>
      </w:r>
      <w:r>
        <w:t>at p.</w:t>
      </w:r>
      <w:r w:rsidR="007B1F3A">
        <w:t> </w:t>
      </w:r>
      <w:r>
        <w:t>1925</w:t>
      </w:r>
      <w:r w:rsidR="006C4E63">
        <w:t>]</w:t>
      </w:r>
      <w:r>
        <w:t xml:space="preserve">.)  However, </w:t>
      </w:r>
      <w:r w:rsidR="0015521D">
        <w:t xml:space="preserve">in the </w:t>
      </w:r>
      <w:r w:rsidR="0015521D" w:rsidRPr="0015521D">
        <w:rPr>
          <w:i/>
          <w:iCs/>
        </w:rPr>
        <w:t>Viking River</w:t>
      </w:r>
      <w:r w:rsidR="0015521D">
        <w:t xml:space="preserve"> court’s view, </w:t>
      </w:r>
      <w:r w:rsidR="008E125D">
        <w:t xml:space="preserve">enforcing </w:t>
      </w:r>
      <w:r w:rsidR="00AE05E6">
        <w:t xml:space="preserve">arbitration </w:t>
      </w:r>
      <w:r w:rsidR="008E125D">
        <w:t xml:space="preserve">as to the </w:t>
      </w:r>
      <w:r w:rsidR="00AE05E6">
        <w:t xml:space="preserve">plaintiff’s individual PAGA claim </w:t>
      </w:r>
      <w:r w:rsidR="008E125D">
        <w:t xml:space="preserve">resulted in a loss of </w:t>
      </w:r>
      <w:r>
        <w:t xml:space="preserve">standing to maintain </w:t>
      </w:r>
      <w:r w:rsidR="0015521D">
        <w:t xml:space="preserve">her </w:t>
      </w:r>
      <w:r>
        <w:t>nonindividual PAGA claim</w:t>
      </w:r>
      <w:r w:rsidR="00036346">
        <w:t>s</w:t>
      </w:r>
      <w:r w:rsidR="00550874">
        <w:t xml:space="preserve"> </w:t>
      </w:r>
      <w:r>
        <w:t>in court</w:t>
      </w:r>
      <w:r w:rsidR="00144D3F">
        <w:t xml:space="preserve">.  </w:t>
      </w:r>
      <w:r>
        <w:t>“</w:t>
      </w:r>
      <w:r w:rsidR="009B5040">
        <w:t>W</w:t>
      </w:r>
      <w:r>
        <w:t xml:space="preserve">hen an employee’s own dispute is pared away from a PAGA action, the employee is no different from a member of the general public, and PAGA does not allow such persons to maintain suit.  [Citation.]  As a result, </w:t>
      </w:r>
      <w:r w:rsidR="001939B2">
        <w:t xml:space="preserve">[the plaintiff] </w:t>
      </w:r>
      <w:r>
        <w:t>lacks statutory standing to continue to maintain her non-individual claims in court, and the correct course is to dismiss her remaining claims.”  (</w:t>
      </w:r>
      <w:r w:rsidRPr="00D824AA">
        <w:rPr>
          <w:i/>
          <w:iCs/>
        </w:rPr>
        <w:t>Viking River</w:t>
      </w:r>
      <w:r>
        <w:t>,</w:t>
      </w:r>
      <w:r w:rsidR="008E125D">
        <w:t xml:space="preserve"> </w:t>
      </w:r>
      <w:r w:rsidR="006C4E63">
        <w:t xml:space="preserve">at p. ___ [142 S. Ct. </w:t>
      </w:r>
      <w:r>
        <w:t>at p.</w:t>
      </w:r>
      <w:r w:rsidR="00E73149">
        <w:t> </w:t>
      </w:r>
      <w:r>
        <w:t>1925</w:t>
      </w:r>
      <w:r w:rsidR="006C4E63">
        <w:t>]</w:t>
      </w:r>
      <w:r>
        <w:t>.)</w:t>
      </w:r>
    </w:p>
    <w:p w14:paraId="6B5FB7B6" w14:textId="54740A9D" w:rsidR="00E77769" w:rsidRDefault="006A6F27" w:rsidP="00E06E56">
      <w:pPr>
        <w:spacing w:line="360" w:lineRule="auto"/>
        <w:ind w:firstLine="720"/>
      </w:pPr>
      <w:r w:rsidRPr="00E06E56">
        <w:t xml:space="preserve">In a concurring opinion, Justice Sotomayor </w:t>
      </w:r>
      <w:r w:rsidR="0015521D">
        <w:t xml:space="preserve">explained </w:t>
      </w:r>
      <w:r w:rsidRPr="00E06E56">
        <w:t xml:space="preserve">that </w:t>
      </w:r>
      <w:r w:rsidRPr="00E06E56">
        <w:rPr>
          <w:i/>
          <w:iCs/>
        </w:rPr>
        <w:t>Viking River’s</w:t>
      </w:r>
      <w:r w:rsidRPr="00E06E56">
        <w:t xml:space="preserve"> standing analysis was “based on available guidance from California courts,” and that “if this Court’s understanding of state law is wrong, California courts, in an appropriate case, will have the last word.”  (</w:t>
      </w:r>
      <w:r w:rsidRPr="00E06E56">
        <w:rPr>
          <w:i/>
          <w:iCs/>
        </w:rPr>
        <w:t>Viking River</w:t>
      </w:r>
      <w:r w:rsidRPr="00E06E56">
        <w:t xml:space="preserve">, </w:t>
      </w:r>
      <w:r w:rsidRPr="00E06E56">
        <w:rPr>
          <w:i/>
          <w:iCs/>
        </w:rPr>
        <w:t>supra</w:t>
      </w:r>
      <w:r w:rsidRPr="00E06E56">
        <w:t>, 596 U.S. at p.</w:t>
      </w:r>
      <w:r w:rsidR="008F3A67">
        <w:t> </w:t>
      </w:r>
      <w:r w:rsidRPr="00E06E56">
        <w:t>___ [142 S. Ct. at p.</w:t>
      </w:r>
      <w:r w:rsidR="008F3A67">
        <w:t> </w:t>
      </w:r>
      <w:r w:rsidRPr="00E06E56">
        <w:t>1925] (conc. opn. of Sotomayor, J).)</w:t>
      </w:r>
      <w:r>
        <w:rPr>
          <w:rStyle w:val="FootnoteReference"/>
        </w:rPr>
        <w:footnoteReference w:id="2"/>
      </w:r>
    </w:p>
    <w:p w14:paraId="02816250" w14:textId="16795744" w:rsidR="00E77769" w:rsidRDefault="006A6F27" w:rsidP="00116E5D">
      <w:pPr>
        <w:pStyle w:val="ListParagraph"/>
        <w:keepNext/>
        <w:numPr>
          <w:ilvl w:val="0"/>
          <w:numId w:val="7"/>
        </w:numPr>
        <w:spacing w:line="360" w:lineRule="auto"/>
        <w:rPr>
          <w:b/>
          <w:bCs/>
        </w:rPr>
      </w:pPr>
      <w:r>
        <w:rPr>
          <w:b/>
          <w:bCs/>
        </w:rPr>
        <w:lastRenderedPageBreak/>
        <w:t>Adolph</w:t>
      </w:r>
    </w:p>
    <w:p w14:paraId="7D74A598" w14:textId="2E404595" w:rsidR="00E77769" w:rsidRPr="00E77769" w:rsidRDefault="006A6F27" w:rsidP="00E77769">
      <w:pPr>
        <w:spacing w:line="360" w:lineRule="auto"/>
        <w:rPr>
          <w:b/>
          <w:bCs/>
        </w:rPr>
      </w:pPr>
      <w:r>
        <w:tab/>
      </w:r>
      <w:r w:rsidR="0076076D">
        <w:t>T</w:t>
      </w:r>
      <w:r w:rsidRPr="00E77769">
        <w:t xml:space="preserve">he last word came just over a year later when the California Supreme Court held </w:t>
      </w:r>
      <w:r w:rsidR="0076076D">
        <w:t xml:space="preserve">in </w:t>
      </w:r>
      <w:r w:rsidR="0076076D" w:rsidRPr="0076076D">
        <w:rPr>
          <w:i/>
          <w:iCs/>
        </w:rPr>
        <w:t>Adolph</w:t>
      </w:r>
      <w:r w:rsidR="0076076D">
        <w:t xml:space="preserve"> </w:t>
      </w:r>
      <w:r w:rsidRPr="00E77769">
        <w:t xml:space="preserve">that an aggrieved employee who was compelled to arbitrate his individual PAGA claim </w:t>
      </w:r>
      <w:r w:rsidR="001939B2">
        <w:t xml:space="preserve">nonetheless </w:t>
      </w:r>
      <w:r w:rsidRPr="00E77769">
        <w:t>maintained standing to pursue his nonindividual PAGA claim</w:t>
      </w:r>
      <w:r w:rsidR="0015521D">
        <w:t>s</w:t>
      </w:r>
      <w:r w:rsidRPr="00E77769">
        <w:t xml:space="preserve"> in court.  (</w:t>
      </w:r>
      <w:r w:rsidRPr="00E77769">
        <w:rPr>
          <w:i/>
          <w:iCs/>
        </w:rPr>
        <w:t>Adolph</w:t>
      </w:r>
      <w:r w:rsidRPr="00E77769">
        <w:t xml:space="preserve">, </w:t>
      </w:r>
      <w:r w:rsidRPr="00E77769">
        <w:rPr>
          <w:i/>
          <w:iCs/>
        </w:rPr>
        <w:t>supra</w:t>
      </w:r>
      <w:r w:rsidRPr="00E77769">
        <w:t>, 14 Cal.5th p.</w:t>
      </w:r>
      <w:r>
        <w:t> </w:t>
      </w:r>
      <w:r w:rsidRPr="00E77769">
        <w:t>1114.)  The court explained that a plaintiff obtains standing as an “aggrieved employee” for PAGA purposes “upon sustaining a Labor Code violation committed by his or her employer.”  (</w:t>
      </w:r>
      <w:r w:rsidRPr="00E77769">
        <w:rPr>
          <w:i/>
          <w:iCs/>
        </w:rPr>
        <w:t>Adolph</w:t>
      </w:r>
      <w:r w:rsidRPr="00E77769">
        <w:t>, at p.</w:t>
      </w:r>
      <w:r>
        <w:t> </w:t>
      </w:r>
      <w:r w:rsidRPr="00E77769">
        <w:t>1120.)  Once obtained, PAGA standing “is not affected by enforcement of an agreement to adjudicate a plaintiff’s individual claim in another forum,” as this “does not nullify the fact of the violation or extinguish the plaintiff’s status as an aggrieved employee.”  (</w:t>
      </w:r>
      <w:r w:rsidRPr="00E77769">
        <w:rPr>
          <w:i/>
          <w:iCs/>
        </w:rPr>
        <w:t>Adolph</w:t>
      </w:r>
      <w:r w:rsidRPr="00E77769">
        <w:t>, at p.</w:t>
      </w:r>
      <w:r>
        <w:t> </w:t>
      </w:r>
      <w:r w:rsidRPr="00E77769">
        <w:t xml:space="preserve">1121.)  In so concluding, the </w:t>
      </w:r>
      <w:r w:rsidRPr="00E77769">
        <w:rPr>
          <w:i/>
          <w:iCs/>
        </w:rPr>
        <w:t>Adolph</w:t>
      </w:r>
      <w:r w:rsidRPr="00E77769">
        <w:t xml:space="preserve"> court emphasized it was not bound by </w:t>
      </w:r>
      <w:r w:rsidRPr="00E77769">
        <w:rPr>
          <w:i/>
          <w:iCs/>
        </w:rPr>
        <w:t>Viking River’s</w:t>
      </w:r>
      <w:r>
        <w:t xml:space="preserve"> </w:t>
      </w:r>
      <w:r w:rsidRPr="00E77769">
        <w:t>interpretation of California law.  (</w:t>
      </w:r>
      <w:r w:rsidRPr="00E77769">
        <w:rPr>
          <w:i/>
          <w:iCs/>
        </w:rPr>
        <w:t>Adolph</w:t>
      </w:r>
      <w:r w:rsidRPr="00E77769">
        <w:t>, at p.</w:t>
      </w:r>
      <w:r>
        <w:t> </w:t>
      </w:r>
      <w:r w:rsidRPr="00E77769">
        <w:t>1119.)</w:t>
      </w:r>
    </w:p>
    <w:p w14:paraId="34667D2C" w14:textId="0F180537" w:rsidR="00F608F0" w:rsidRPr="00F608F0" w:rsidRDefault="006A6F27" w:rsidP="00116E5D">
      <w:pPr>
        <w:pStyle w:val="ListParagraph"/>
        <w:keepNext/>
        <w:numPr>
          <w:ilvl w:val="0"/>
          <w:numId w:val="5"/>
        </w:numPr>
        <w:spacing w:line="360" w:lineRule="auto"/>
        <w:rPr>
          <w:b/>
          <w:bCs/>
        </w:rPr>
      </w:pPr>
      <w:r>
        <w:rPr>
          <w:b/>
          <w:bCs/>
        </w:rPr>
        <w:t>Analysis</w:t>
      </w:r>
    </w:p>
    <w:p w14:paraId="335749F1" w14:textId="310A7D3E" w:rsidR="0016179F" w:rsidRDefault="006A6F27" w:rsidP="00D27C43">
      <w:pPr>
        <w:spacing w:line="360" w:lineRule="auto"/>
        <w:ind w:firstLine="720"/>
      </w:pPr>
      <w:r>
        <w:t xml:space="preserve">Against </w:t>
      </w:r>
      <w:r w:rsidR="007B23B6">
        <w:t xml:space="preserve">this </w:t>
      </w:r>
      <w:r>
        <w:t xml:space="preserve">backdrop, we turn to the arbitration agreement </w:t>
      </w:r>
      <w:r w:rsidR="009567D9">
        <w:t>in question</w:t>
      </w:r>
      <w:r>
        <w:t>.</w:t>
      </w:r>
      <w:r w:rsidR="00E77769">
        <w:t xml:space="preserve">  </w:t>
      </w:r>
      <w:r>
        <w:t xml:space="preserve">The </w:t>
      </w:r>
      <w:r w:rsidR="009567D9">
        <w:t xml:space="preserve">waiver provision </w:t>
      </w:r>
      <w:r w:rsidR="00B64F41">
        <w:t xml:space="preserve">reflects the parties’ agreement </w:t>
      </w:r>
      <w:r w:rsidR="00B2238B">
        <w:t xml:space="preserve">to </w:t>
      </w:r>
      <w:r w:rsidR="002317FB">
        <w:t xml:space="preserve">waive their </w:t>
      </w:r>
      <w:r>
        <w:t xml:space="preserve">rights to bring any </w:t>
      </w:r>
      <w:r w:rsidRPr="00D42DA4">
        <w:t xml:space="preserve">claims against </w:t>
      </w:r>
      <w:r>
        <w:t xml:space="preserve">one </w:t>
      </w:r>
      <w:r w:rsidRPr="00D42DA4">
        <w:t xml:space="preserve">other </w:t>
      </w:r>
      <w:r>
        <w:t>“</w:t>
      </w:r>
      <w:r w:rsidRPr="00D42DA4">
        <w:t xml:space="preserve">in </w:t>
      </w:r>
      <w:r w:rsidRPr="009567D9">
        <w:rPr>
          <w:i/>
          <w:iCs/>
        </w:rPr>
        <w:t>any</w:t>
      </w:r>
      <w:r w:rsidRPr="00D42DA4">
        <w:t xml:space="preserve"> purported class or </w:t>
      </w:r>
      <w:r w:rsidRPr="009567D9">
        <w:rPr>
          <w:i/>
          <w:iCs/>
        </w:rPr>
        <w:t xml:space="preserve">representative </w:t>
      </w:r>
      <w:r w:rsidRPr="0076076D">
        <w:t>proceeding</w:t>
      </w:r>
      <w:r w:rsidRPr="00D42DA4">
        <w:t xml:space="preserve">.  There shall be </w:t>
      </w:r>
      <w:r w:rsidRPr="009567D9">
        <w:rPr>
          <w:i/>
          <w:iCs/>
        </w:rPr>
        <w:t>no</w:t>
      </w:r>
      <w:r w:rsidRPr="00D42DA4">
        <w:t xml:space="preserve"> right or authority for </w:t>
      </w:r>
      <w:r w:rsidRPr="009567D9">
        <w:rPr>
          <w:i/>
          <w:iCs/>
        </w:rPr>
        <w:t>any</w:t>
      </w:r>
      <w:r w:rsidRPr="00D42DA4">
        <w:t xml:space="preserve"> dispute to be </w:t>
      </w:r>
      <w:r w:rsidRPr="0076076D">
        <w:rPr>
          <w:i/>
          <w:iCs/>
        </w:rPr>
        <w:t>brought, heard,</w:t>
      </w:r>
      <w:r w:rsidRPr="00D42DA4">
        <w:t xml:space="preserve"> or </w:t>
      </w:r>
      <w:r w:rsidRPr="009567D9">
        <w:rPr>
          <w:i/>
          <w:iCs/>
        </w:rPr>
        <w:t>arbitrated</w:t>
      </w:r>
      <w:r w:rsidRPr="00D42DA4">
        <w:t xml:space="preserve"> on a class, collective, or </w:t>
      </w:r>
      <w:r w:rsidRPr="009567D9">
        <w:rPr>
          <w:i/>
          <w:iCs/>
        </w:rPr>
        <w:t>representative</w:t>
      </w:r>
      <w:r w:rsidRPr="00D42DA4">
        <w:t xml:space="preserve"> basis and the Arbitrator may not consolidate or join the claims of other persons or Parties who may be similarly situated.” </w:t>
      </w:r>
      <w:r w:rsidR="00B64F41">
        <w:t xml:space="preserve"> </w:t>
      </w:r>
      <w:r w:rsidR="009567D9">
        <w:t xml:space="preserve">(Emphasis added.)  </w:t>
      </w:r>
      <w:r w:rsidR="00F608F0">
        <w:t xml:space="preserve">We conclude this </w:t>
      </w:r>
      <w:r>
        <w:t xml:space="preserve">provision </w:t>
      </w:r>
      <w:r w:rsidR="00F608F0">
        <w:t xml:space="preserve">is unenforceable under </w:t>
      </w:r>
      <w:r w:rsidR="00F608F0">
        <w:rPr>
          <w:i/>
          <w:iCs/>
        </w:rPr>
        <w:t xml:space="preserve">Iskanian’s </w:t>
      </w:r>
      <w:r w:rsidR="00F608F0">
        <w:t>principal rule, which “</w:t>
      </w:r>
      <w:r w:rsidR="00F608F0">
        <w:rPr>
          <w:i/>
          <w:iCs/>
        </w:rPr>
        <w:t xml:space="preserve">Viking River </w:t>
      </w:r>
      <w:r w:rsidR="00F608F0">
        <w:t>left undisturbed”</w:t>
      </w:r>
      <w:r w:rsidR="00B64F41">
        <w:t xml:space="preserve"> </w:t>
      </w:r>
      <w:r w:rsidR="00F608F0">
        <w:t>(</w:t>
      </w:r>
      <w:r w:rsidR="00F608F0">
        <w:rPr>
          <w:i/>
          <w:iCs/>
        </w:rPr>
        <w:t>Adolph</w:t>
      </w:r>
      <w:r w:rsidR="00F608F0">
        <w:t xml:space="preserve">, </w:t>
      </w:r>
      <w:r w:rsidR="00F608F0">
        <w:rPr>
          <w:i/>
          <w:iCs/>
        </w:rPr>
        <w:t>supra</w:t>
      </w:r>
      <w:r w:rsidR="00F608F0">
        <w:t>, 14 Cal.5th at p. 1117)</w:t>
      </w:r>
      <w:r w:rsidR="009F1365">
        <w:t>,</w:t>
      </w:r>
      <w:r w:rsidR="00B64F41">
        <w:t xml:space="preserve"> </w:t>
      </w:r>
      <w:r w:rsidR="009567D9">
        <w:t xml:space="preserve">because it requires </w:t>
      </w:r>
      <w:r w:rsidR="002317FB">
        <w:t>plaintiffs</w:t>
      </w:r>
      <w:r w:rsidR="009567D9">
        <w:t xml:space="preserve"> to waive their </w:t>
      </w:r>
      <w:r>
        <w:t>right</w:t>
      </w:r>
      <w:r w:rsidR="00F94BCA">
        <w:t xml:space="preserve"> </w:t>
      </w:r>
      <w:r>
        <w:t xml:space="preserve">to bring </w:t>
      </w:r>
      <w:r w:rsidR="00F608F0">
        <w:t>a</w:t>
      </w:r>
      <w:r w:rsidR="009567D9">
        <w:t>ny</w:t>
      </w:r>
      <w:r w:rsidR="00F608F0">
        <w:t xml:space="preserve"> </w:t>
      </w:r>
      <w:r w:rsidR="00B2238B">
        <w:t xml:space="preserve">“representative” </w:t>
      </w:r>
      <w:r>
        <w:t xml:space="preserve">PAGA </w:t>
      </w:r>
      <w:r w:rsidR="00F608F0">
        <w:t>claim</w:t>
      </w:r>
      <w:r w:rsidR="009567D9">
        <w:t xml:space="preserve"> </w:t>
      </w:r>
      <w:r w:rsidR="0076076D">
        <w:t>“</w:t>
      </w:r>
      <w:r w:rsidR="009567D9">
        <w:t>in any forum,</w:t>
      </w:r>
      <w:r w:rsidR="0076076D">
        <w:t>”</w:t>
      </w:r>
      <w:r w:rsidR="009567D9">
        <w:t xml:space="preserve"> arbitral or judicial</w:t>
      </w:r>
      <w:r w:rsidR="00B64F41">
        <w:t xml:space="preserve"> </w:t>
      </w:r>
      <w:r>
        <w:t>(</w:t>
      </w:r>
      <w:r w:rsidR="009F1365">
        <w:t xml:space="preserve">see </w:t>
      </w:r>
      <w:r w:rsidR="00B2238B">
        <w:rPr>
          <w:i/>
          <w:iCs/>
        </w:rPr>
        <w:t>Iskanian</w:t>
      </w:r>
      <w:r w:rsidR="00B2238B">
        <w:t xml:space="preserve">, </w:t>
      </w:r>
      <w:r w:rsidR="00B2238B" w:rsidRPr="00454097">
        <w:rPr>
          <w:i/>
          <w:iCs/>
        </w:rPr>
        <w:t>supra</w:t>
      </w:r>
      <w:r w:rsidR="00B2238B">
        <w:t>, 59 Cal.4th at p</w:t>
      </w:r>
      <w:r w:rsidR="001D510A">
        <w:t>p</w:t>
      </w:r>
      <w:r w:rsidR="00B2238B">
        <w:t>.</w:t>
      </w:r>
      <w:r w:rsidR="00DC1378">
        <w:t> </w:t>
      </w:r>
      <w:r w:rsidR="001D510A">
        <w:t xml:space="preserve">360, </w:t>
      </w:r>
      <w:r w:rsidR="00B2238B">
        <w:t>383</w:t>
      </w:r>
      <w:r w:rsidR="00B64F41">
        <w:t>)</w:t>
      </w:r>
      <w:r w:rsidR="009F1365">
        <w:t>.</w:t>
      </w:r>
    </w:p>
    <w:p w14:paraId="36BC7220" w14:textId="7A73783B" w:rsidR="0016179F" w:rsidRPr="00BE0773" w:rsidRDefault="006A6F27" w:rsidP="0016179F">
      <w:pPr>
        <w:spacing w:line="360" w:lineRule="auto"/>
        <w:ind w:firstLine="720"/>
      </w:pPr>
      <w:r>
        <w:lastRenderedPageBreak/>
        <w:t xml:space="preserve">Heritage Bank insists, however, that in light of </w:t>
      </w:r>
      <w:r>
        <w:rPr>
          <w:i/>
          <w:iCs/>
        </w:rPr>
        <w:t xml:space="preserve">Viking River’s </w:t>
      </w:r>
      <w:r>
        <w:t xml:space="preserve">distinction between individual and nonindividual PAGA claims, “any state rule that prohibits a party from waiving the right to bring non-individual claims is preempted by the FAA.”  This is incorrect.  </w:t>
      </w:r>
      <w:r w:rsidRPr="00600356">
        <w:rPr>
          <w:i/>
          <w:iCs/>
        </w:rPr>
        <w:t>Viking River</w:t>
      </w:r>
      <w:r>
        <w:t xml:space="preserve"> did not hold the FAA preempts a state law rule that prohibits the waiver of nonindividual PAGA claims.  To the contrary, </w:t>
      </w:r>
      <w:r>
        <w:rPr>
          <w:i/>
          <w:iCs/>
        </w:rPr>
        <w:t xml:space="preserve">Viking River </w:t>
      </w:r>
      <w:r>
        <w:t xml:space="preserve">left intact </w:t>
      </w:r>
      <w:r w:rsidRPr="00983081">
        <w:rPr>
          <w:i/>
          <w:iCs/>
        </w:rPr>
        <w:t>Iskanian’s</w:t>
      </w:r>
      <w:r w:rsidRPr="00983081">
        <w:t xml:space="preserve"> principal rule</w:t>
      </w:r>
      <w:r>
        <w:t xml:space="preserve"> prohibiting</w:t>
      </w:r>
      <w:r w:rsidRPr="00983081">
        <w:t xml:space="preserve"> employer</w:t>
      </w:r>
      <w:r w:rsidR="00537D1B">
        <w:t>s</w:t>
      </w:r>
      <w:r w:rsidRPr="00983081">
        <w:t xml:space="preserve"> </w:t>
      </w:r>
      <w:r>
        <w:t xml:space="preserve">from imposing </w:t>
      </w:r>
      <w:r w:rsidRPr="00983081">
        <w:t xml:space="preserve">a waiver of an employee’s right to bring </w:t>
      </w:r>
      <w:r>
        <w:t xml:space="preserve">a </w:t>
      </w:r>
      <w:r w:rsidRPr="00983081">
        <w:t xml:space="preserve">“representative” PAGA </w:t>
      </w:r>
      <w:r>
        <w:t>claim</w:t>
      </w:r>
      <w:r w:rsidR="00204095">
        <w:t xml:space="preserve"> in any forum</w:t>
      </w:r>
      <w:r>
        <w:t>, either in its individual or nonindividual sense.  (</w:t>
      </w:r>
      <w:r w:rsidRPr="00600356">
        <w:rPr>
          <w:i/>
          <w:iCs/>
        </w:rPr>
        <w:t>Viking River</w:t>
      </w:r>
      <w:r>
        <w:t xml:space="preserve">, </w:t>
      </w:r>
      <w:r w:rsidRPr="00600356">
        <w:rPr>
          <w:i/>
          <w:iCs/>
        </w:rPr>
        <w:t>supra</w:t>
      </w:r>
      <w:r>
        <w:t>, 569 U.S. at p. ___ [142 S. Ct. at p. 1925] [</w:t>
      </w:r>
      <w:r>
        <w:rPr>
          <w:i/>
          <w:iCs/>
        </w:rPr>
        <w:t xml:space="preserve">Iskanian’s </w:t>
      </w:r>
      <w:r>
        <w:t xml:space="preserve">rule that PAGA “claims may not be dismissed simply because they are ‘representative’ . . . remains valid to that extent”].)  </w:t>
      </w:r>
      <w:r w:rsidR="001939B2">
        <w:t>Rather, t</w:t>
      </w:r>
      <w:r>
        <w:t xml:space="preserve">he portion of </w:t>
      </w:r>
      <w:r>
        <w:rPr>
          <w:i/>
          <w:iCs/>
        </w:rPr>
        <w:t xml:space="preserve">Iskanian </w:t>
      </w:r>
      <w:r>
        <w:t xml:space="preserve">that </w:t>
      </w:r>
      <w:r>
        <w:rPr>
          <w:i/>
          <w:iCs/>
        </w:rPr>
        <w:t xml:space="preserve">Viking River </w:t>
      </w:r>
      <w:r>
        <w:t>abrogated was its rule of indivisibility</w:t>
      </w:r>
      <w:r w:rsidR="00204095">
        <w:t xml:space="preserve"> that</w:t>
      </w:r>
      <w:r>
        <w:t xml:space="preserve"> effectively coerc</w:t>
      </w:r>
      <w:r w:rsidR="00204095">
        <w:t>es</w:t>
      </w:r>
      <w:r>
        <w:t xml:space="preserve"> employer</w:t>
      </w:r>
      <w:r w:rsidR="00537D1B">
        <w:t>s</w:t>
      </w:r>
      <w:r>
        <w:t xml:space="preserve"> </w:t>
      </w:r>
      <w:r w:rsidR="00204095">
        <w:t>either to submit to</w:t>
      </w:r>
      <w:r>
        <w:t xml:space="preserve"> a mass arbitration of individual and nonindividual PAGA claims, or </w:t>
      </w:r>
      <w:r w:rsidR="00204095">
        <w:t xml:space="preserve">to </w:t>
      </w:r>
      <w:r>
        <w:t>forgo arbitration completely.  (</w:t>
      </w:r>
      <w:r w:rsidRPr="009D2AF1">
        <w:rPr>
          <w:i/>
          <w:iCs/>
        </w:rPr>
        <w:t>Viking River</w:t>
      </w:r>
      <w:r>
        <w:t xml:space="preserve">, at p. ___ [142 S. Ct. at p. 1924].)  </w:t>
      </w:r>
      <w:r w:rsidR="001939B2">
        <w:t>N</w:t>
      </w:r>
      <w:r>
        <w:t xml:space="preserve">othing in </w:t>
      </w:r>
      <w:r>
        <w:rPr>
          <w:i/>
          <w:iCs/>
        </w:rPr>
        <w:t xml:space="preserve">Viking River </w:t>
      </w:r>
      <w:r>
        <w:t>su</w:t>
      </w:r>
      <w:r w:rsidR="00537D1B">
        <w:t>ggests</w:t>
      </w:r>
      <w:r>
        <w:t xml:space="preserve"> that employers may require employees to completely forgo their rights to bring nonindividual PAGA claims as a condition of employment.</w:t>
      </w:r>
    </w:p>
    <w:p w14:paraId="33F28E1E" w14:textId="4AEF7858" w:rsidR="002A2241" w:rsidRPr="00522214" w:rsidRDefault="006A6F27" w:rsidP="001D510A">
      <w:pPr>
        <w:spacing w:line="360" w:lineRule="auto"/>
      </w:pPr>
      <w:r>
        <w:tab/>
      </w:r>
      <w:r w:rsidR="00537D1B">
        <w:t xml:space="preserve">Moreover, </w:t>
      </w:r>
      <w:r w:rsidRPr="001D510A">
        <w:rPr>
          <w:i/>
          <w:iCs/>
        </w:rPr>
        <w:t>Adolph</w:t>
      </w:r>
      <w:r w:rsidR="00537D1B">
        <w:t xml:space="preserve"> recognizes that an</w:t>
      </w:r>
      <w:r w:rsidRPr="001D510A">
        <w:t xml:space="preserve"> individual PAGA claim </w:t>
      </w:r>
      <w:r w:rsidR="00543A9F">
        <w:t xml:space="preserve">in a case </w:t>
      </w:r>
      <w:r w:rsidR="00537D1B">
        <w:t xml:space="preserve">may </w:t>
      </w:r>
      <w:r w:rsidR="002A309E">
        <w:t xml:space="preserve">proceed to </w:t>
      </w:r>
      <w:r w:rsidRPr="001D510A">
        <w:t>arbitration, while nonindividual PAGA claim</w:t>
      </w:r>
      <w:r w:rsidR="002A309E">
        <w:t>s</w:t>
      </w:r>
      <w:r w:rsidRPr="001D510A">
        <w:t xml:space="preserve"> </w:t>
      </w:r>
      <w:r w:rsidR="00543A9F">
        <w:t xml:space="preserve">in the matter </w:t>
      </w:r>
      <w:r w:rsidRPr="001D510A">
        <w:t>remain</w:t>
      </w:r>
      <w:r w:rsidR="002A309E">
        <w:t xml:space="preserve"> </w:t>
      </w:r>
      <w:r w:rsidRPr="001D510A">
        <w:t>in court</w:t>
      </w:r>
      <w:r>
        <w:t xml:space="preserve">.  </w:t>
      </w:r>
      <w:r w:rsidRPr="001D510A">
        <w:t>(</w:t>
      </w:r>
      <w:r w:rsidRPr="001D510A">
        <w:rPr>
          <w:i/>
          <w:iCs/>
        </w:rPr>
        <w:t>Adolph</w:t>
      </w:r>
      <w:r w:rsidRPr="001D510A">
        <w:t xml:space="preserve">, </w:t>
      </w:r>
      <w:r w:rsidRPr="001D510A">
        <w:rPr>
          <w:i/>
          <w:iCs/>
        </w:rPr>
        <w:t>supra</w:t>
      </w:r>
      <w:r w:rsidRPr="001D510A">
        <w:t>, 14 Cal.5th at p.</w:t>
      </w:r>
      <w:r>
        <w:t> </w:t>
      </w:r>
      <w:r w:rsidRPr="001D510A">
        <w:t>1123; see, e.g.,</w:t>
      </w:r>
      <w:r>
        <w:t xml:space="preserve"> </w:t>
      </w:r>
      <w:r>
        <w:rPr>
          <w:i/>
          <w:iCs/>
        </w:rPr>
        <w:t>Piplack</w:t>
      </w:r>
      <w:r>
        <w:t xml:space="preserve"> </w:t>
      </w:r>
      <w:r w:rsidR="00AA5480">
        <w:rPr>
          <w:i/>
          <w:iCs/>
        </w:rPr>
        <w:t>supra</w:t>
      </w:r>
      <w:r w:rsidRPr="009F59E0">
        <w:t xml:space="preserve"> 88 Cal.App</w:t>
      </w:r>
      <w:r>
        <w:t xml:space="preserve">.5th </w:t>
      </w:r>
      <w:r w:rsidR="00A55CF5">
        <w:t xml:space="preserve">at p. </w:t>
      </w:r>
      <w:r>
        <w:t>1289.)</w:t>
      </w:r>
      <w:r w:rsidR="00E77769">
        <w:t xml:space="preserve">  </w:t>
      </w:r>
      <w:r w:rsidR="00537D1B">
        <w:t xml:space="preserve">Thus, </w:t>
      </w:r>
      <w:r w:rsidR="001939B2">
        <w:t>parties</w:t>
      </w:r>
      <w:r w:rsidR="00522214">
        <w:t xml:space="preserve"> </w:t>
      </w:r>
      <w:r w:rsidR="00537D1B">
        <w:t>remain free</w:t>
      </w:r>
      <w:r w:rsidR="00522214">
        <w:t xml:space="preserve"> to utilize </w:t>
      </w:r>
      <w:r w:rsidR="0015521D">
        <w:t xml:space="preserve">the </w:t>
      </w:r>
      <w:r w:rsidR="0076076D">
        <w:t xml:space="preserve">informal and </w:t>
      </w:r>
      <w:r w:rsidR="0015521D">
        <w:t xml:space="preserve">expedient procedures of </w:t>
      </w:r>
      <w:r w:rsidR="00522214">
        <w:t xml:space="preserve">arbitration </w:t>
      </w:r>
      <w:r w:rsidR="00537D1B">
        <w:t>for</w:t>
      </w:r>
      <w:r w:rsidR="00522214">
        <w:t xml:space="preserve"> </w:t>
      </w:r>
      <w:r w:rsidR="00353E72">
        <w:t>an</w:t>
      </w:r>
      <w:r w:rsidR="00522214">
        <w:t xml:space="preserve"> individual PAGA claim, without </w:t>
      </w:r>
      <w:r w:rsidR="00353E72">
        <w:t>forsaking</w:t>
      </w:r>
      <w:r w:rsidR="00522214">
        <w:t xml:space="preserve"> the advantages of a judicial forum (e.g., procedural rigor, multilayered review) for the nonindividual PAGA claims.  (See </w:t>
      </w:r>
      <w:r w:rsidR="00522214">
        <w:rPr>
          <w:i/>
          <w:iCs/>
        </w:rPr>
        <w:t>Viking River</w:t>
      </w:r>
      <w:r w:rsidR="00522214">
        <w:t xml:space="preserve">, </w:t>
      </w:r>
      <w:r w:rsidR="00522214">
        <w:rPr>
          <w:i/>
          <w:iCs/>
        </w:rPr>
        <w:t>supra</w:t>
      </w:r>
      <w:r w:rsidR="00522214">
        <w:t>, 569 U.S. at p. ___ [142 S. Ct. at p.</w:t>
      </w:r>
      <w:r w:rsidR="008F3A67">
        <w:t> </w:t>
      </w:r>
      <w:r w:rsidR="00522214">
        <w:t>1924].)</w:t>
      </w:r>
    </w:p>
    <w:p w14:paraId="2604E324" w14:textId="19BE8EBB" w:rsidR="009B4A57" w:rsidRDefault="006A6F27" w:rsidP="002A2241">
      <w:pPr>
        <w:spacing w:line="360" w:lineRule="auto"/>
      </w:pPr>
      <w:r>
        <w:lastRenderedPageBreak/>
        <w:tab/>
      </w:r>
      <w:r w:rsidR="009F195B">
        <w:t xml:space="preserve">To facilitate this, </w:t>
      </w:r>
      <w:r w:rsidR="00CB1438">
        <w:t>employer</w:t>
      </w:r>
      <w:r w:rsidR="00522214">
        <w:t>s</w:t>
      </w:r>
      <w:r w:rsidR="00CB1438">
        <w:t xml:space="preserve"> </w:t>
      </w:r>
      <w:r w:rsidR="00522214">
        <w:t xml:space="preserve">are free to </w:t>
      </w:r>
      <w:r w:rsidR="00CB1438">
        <w:t xml:space="preserve">draft a severability clause like the </w:t>
      </w:r>
      <w:r w:rsidR="00522214">
        <w:t xml:space="preserve">one </w:t>
      </w:r>
      <w:r w:rsidR="0076076D">
        <w:t xml:space="preserve">that </w:t>
      </w:r>
      <w:r w:rsidR="00CB1438">
        <w:rPr>
          <w:i/>
          <w:iCs/>
        </w:rPr>
        <w:t xml:space="preserve">Viking </w:t>
      </w:r>
      <w:r w:rsidR="00CB1438" w:rsidRPr="00522214">
        <w:rPr>
          <w:i/>
          <w:iCs/>
        </w:rPr>
        <w:t>River</w:t>
      </w:r>
      <w:r w:rsidR="00BE1A2E">
        <w:rPr>
          <w:i/>
          <w:iCs/>
        </w:rPr>
        <w:t xml:space="preserve"> </w:t>
      </w:r>
      <w:r w:rsidR="00CB1438" w:rsidRPr="00522214">
        <w:t>interpreted</w:t>
      </w:r>
      <w:r w:rsidR="00CB1438">
        <w:t xml:space="preserve"> </w:t>
      </w:r>
      <w:r w:rsidR="00F859E3">
        <w:t xml:space="preserve">in conjunction with the PAGA waiver </w:t>
      </w:r>
      <w:r w:rsidR="00CB1438">
        <w:t xml:space="preserve">to </w:t>
      </w:r>
      <w:r w:rsidR="00D55F2F">
        <w:t xml:space="preserve">permit </w:t>
      </w:r>
      <w:r w:rsidR="00CB1438">
        <w:t xml:space="preserve">arbitration </w:t>
      </w:r>
      <w:r w:rsidR="00BE1A2E">
        <w:t xml:space="preserve">of just </w:t>
      </w:r>
      <w:r w:rsidR="00CB1438">
        <w:t>the individual PAGA claim.</w:t>
      </w:r>
      <w:r w:rsidR="00E77769">
        <w:t xml:space="preserve">  (</w:t>
      </w:r>
      <w:r w:rsidR="00E77769">
        <w:rPr>
          <w:i/>
          <w:iCs/>
        </w:rPr>
        <w:t>Viking River</w:t>
      </w:r>
      <w:r w:rsidR="00E77769">
        <w:t>, 596 U.S. at p. ___ [142 S. Ct. at p. 1917].)</w:t>
      </w:r>
      <w:r>
        <w:t xml:space="preserve">  </w:t>
      </w:r>
      <w:r w:rsidR="00353E72">
        <w:t xml:space="preserve">But </w:t>
      </w:r>
      <w:r w:rsidR="001939B2">
        <w:t xml:space="preserve">here, </w:t>
      </w:r>
      <w:r w:rsidR="00CB1438">
        <w:t xml:space="preserve">Heritage Bank did not </w:t>
      </w:r>
      <w:r>
        <w:t>do so</w:t>
      </w:r>
      <w:r w:rsidR="00353E72">
        <w:t>; instead, it used an</w:t>
      </w:r>
      <w:r w:rsidR="009F195B">
        <w:t xml:space="preserve"> arbitration agreement </w:t>
      </w:r>
      <w:r w:rsidR="00353E72">
        <w:t>containing</w:t>
      </w:r>
      <w:r w:rsidR="009F195B">
        <w:t xml:space="preserve"> </w:t>
      </w:r>
      <w:r>
        <w:t xml:space="preserve">a </w:t>
      </w:r>
      <w:r w:rsidR="00AB563A">
        <w:t xml:space="preserve">nonseverability clause and a </w:t>
      </w:r>
      <w:r>
        <w:t>poison pill</w:t>
      </w:r>
      <w:r w:rsidR="00AB563A">
        <w:t xml:space="preserve"> which together specified</w:t>
      </w:r>
      <w:r w:rsidR="00353E72">
        <w:t xml:space="preserve"> that all conditions in the waiver provision are material and may not be modified or severed, either “in whole or in part,” </w:t>
      </w:r>
      <w:r w:rsidR="00AB563A">
        <w:t xml:space="preserve">and that if the waiver provision is found unenforceable, then </w:t>
      </w:r>
      <w:r w:rsidR="00353E72">
        <w:t xml:space="preserve">“the entirety” of the arbitration agreement </w:t>
      </w:r>
      <w:r w:rsidR="00AB563A">
        <w:t xml:space="preserve">is </w:t>
      </w:r>
      <w:r w:rsidR="00353E72">
        <w:t>“null and void.”</w:t>
      </w:r>
      <w:r w:rsidR="00264BE6">
        <w:t xml:space="preserve"> </w:t>
      </w:r>
      <w:r>
        <w:t xml:space="preserve"> </w:t>
      </w:r>
      <w:r w:rsidR="00082C85">
        <w:t xml:space="preserve">As </w:t>
      </w:r>
      <w:r w:rsidR="00D55F2F">
        <w:t xml:space="preserve">the trial court </w:t>
      </w:r>
      <w:r w:rsidR="00082C85">
        <w:t xml:space="preserve">aptly </w:t>
      </w:r>
      <w:r w:rsidR="00D55F2F">
        <w:t xml:space="preserve">observed, </w:t>
      </w:r>
      <w:r w:rsidR="00AB563A">
        <w:t xml:space="preserve">these provisions </w:t>
      </w:r>
      <w:r w:rsidR="00D55F2F">
        <w:t xml:space="preserve">preclude “giv[ing] effect to the </w:t>
      </w:r>
      <w:r w:rsidR="00D55F2F">
        <w:rPr>
          <w:i/>
          <w:iCs/>
        </w:rPr>
        <w:t xml:space="preserve">Viking River </w:t>
      </w:r>
      <w:r w:rsidR="00D55F2F">
        <w:t xml:space="preserve">distinction between ‘individual’ and ‘non-individual’ claims” because </w:t>
      </w:r>
      <w:r w:rsidR="00AB563A">
        <w:t xml:space="preserve">they </w:t>
      </w:r>
      <w:r w:rsidR="00D55F2F">
        <w:t xml:space="preserve">prohibit </w:t>
      </w:r>
      <w:r w:rsidR="004C5375">
        <w:t>severance of the unenforceable nonindividual PAGA claims</w:t>
      </w:r>
      <w:r w:rsidR="00D55F2F">
        <w:t xml:space="preserve"> waiver</w:t>
      </w:r>
      <w:r w:rsidR="009F195B">
        <w:t xml:space="preserve">.  </w:t>
      </w:r>
      <w:r w:rsidR="00F859E3">
        <w:t xml:space="preserve">And </w:t>
      </w:r>
      <w:r>
        <w:t>because the waiver provision’s terms cannot be severed</w:t>
      </w:r>
      <w:r w:rsidR="00257091">
        <w:t xml:space="preserve"> in any way</w:t>
      </w:r>
      <w:r>
        <w:t xml:space="preserve">, application of </w:t>
      </w:r>
      <w:r>
        <w:rPr>
          <w:i/>
          <w:iCs/>
        </w:rPr>
        <w:t>Iskanian</w:t>
      </w:r>
      <w:r w:rsidRPr="00301CB9">
        <w:t>’s</w:t>
      </w:r>
      <w:r>
        <w:t xml:space="preserve"> principal rule renders the entire waiver provision unenforceable, which in turn renders </w:t>
      </w:r>
      <w:r w:rsidR="00067985">
        <w:t xml:space="preserve">void </w:t>
      </w:r>
      <w:r>
        <w:t xml:space="preserve">the </w:t>
      </w:r>
      <w:r w:rsidR="00264BE6">
        <w:t xml:space="preserve">entire </w:t>
      </w:r>
      <w:r>
        <w:t>arbitration agreement</w:t>
      </w:r>
      <w:r w:rsidR="005065C7">
        <w:t>.</w:t>
      </w:r>
    </w:p>
    <w:p w14:paraId="6C9311FE" w14:textId="6E0BFE80" w:rsidR="00AB4287" w:rsidRDefault="006A6F27" w:rsidP="00983081">
      <w:pPr>
        <w:spacing w:line="360" w:lineRule="auto"/>
        <w:ind w:firstLine="720"/>
      </w:pPr>
      <w:r>
        <w:t xml:space="preserve">Our colleagues in Division Two reached </w:t>
      </w:r>
      <w:r w:rsidR="00467036">
        <w:t xml:space="preserve">a </w:t>
      </w:r>
      <w:r w:rsidR="009F59E0">
        <w:t xml:space="preserve">similar </w:t>
      </w:r>
      <w:r w:rsidR="00467036">
        <w:t xml:space="preserve">conclusion </w:t>
      </w:r>
      <w:r>
        <w:t xml:space="preserve">in </w:t>
      </w:r>
      <w:r w:rsidRPr="002A2241">
        <w:rPr>
          <w:i/>
          <w:iCs/>
        </w:rPr>
        <w:t>Westmoreland</w:t>
      </w:r>
      <w:r w:rsidR="002A2241">
        <w:t xml:space="preserve">.  </w:t>
      </w:r>
      <w:r w:rsidR="00067985">
        <w:t>There, as here</w:t>
      </w:r>
      <w:r w:rsidR="001862D3">
        <w:t xml:space="preserve">, the </w:t>
      </w:r>
      <w:r w:rsidR="001F4028">
        <w:t xml:space="preserve">arbitration </w:t>
      </w:r>
      <w:r w:rsidR="002A2241">
        <w:t xml:space="preserve">agreement </w:t>
      </w:r>
      <w:r>
        <w:t xml:space="preserve">included a waiver of </w:t>
      </w:r>
      <w:r w:rsidR="001A2672">
        <w:t>“class, collective, or representative” claims</w:t>
      </w:r>
      <w:r w:rsidR="004B7A67">
        <w:t xml:space="preserve">, </w:t>
      </w:r>
      <w:r w:rsidR="001A2672">
        <w:t xml:space="preserve">as well as a </w:t>
      </w:r>
      <w:r w:rsidR="009F59E0">
        <w:t xml:space="preserve">poison pill </w:t>
      </w:r>
      <w:r w:rsidR="001A2672">
        <w:t>stating in relevant part that “</w:t>
      </w:r>
      <w:r w:rsidR="00DC1378">
        <w:t> </w:t>
      </w:r>
      <w:r w:rsidR="001A2672">
        <w:t>‘if the Waiver of Class and Collective Claims is found to be unenforceable, then this agreement is invalid and any claim brought on a class, collective, or representative action must be filed in a court of competent jurisdiction.’ ”</w:t>
      </w:r>
      <w:r w:rsidR="007625DB">
        <w:t xml:space="preserve"> </w:t>
      </w:r>
      <w:r w:rsidR="001A2672">
        <w:t xml:space="preserve"> (</w:t>
      </w:r>
      <w:r w:rsidR="002A2241">
        <w:rPr>
          <w:i/>
          <w:iCs/>
        </w:rPr>
        <w:t>Westmoreland</w:t>
      </w:r>
      <w:r w:rsidR="002A2241">
        <w:t xml:space="preserve">, </w:t>
      </w:r>
      <w:r w:rsidR="002A2241" w:rsidRPr="002A2241">
        <w:rPr>
          <w:i/>
          <w:iCs/>
        </w:rPr>
        <w:t>supra</w:t>
      </w:r>
      <w:r w:rsidR="002A2241">
        <w:t>, 90 Cal.App.5th</w:t>
      </w:r>
      <w:r w:rsidR="009F59E0">
        <w:rPr>
          <w:i/>
          <w:iCs/>
        </w:rPr>
        <w:t xml:space="preserve">. </w:t>
      </w:r>
      <w:r w:rsidR="001A2672">
        <w:t>at p.</w:t>
      </w:r>
      <w:r w:rsidR="002A2241">
        <w:t> </w:t>
      </w:r>
      <w:r w:rsidR="001A2672">
        <w:t xml:space="preserve">972.)  As </w:t>
      </w:r>
      <w:r w:rsidR="009F59E0">
        <w:rPr>
          <w:i/>
          <w:iCs/>
        </w:rPr>
        <w:t xml:space="preserve">Westmoreland </w:t>
      </w:r>
      <w:r w:rsidR="001A2672">
        <w:t xml:space="preserve">observed, “Had Kindercare simply included a waiver of representative claims in its arbitration agreement and not included the poison pill at the end of the agreement, the result here could have been substantially similar to that in </w:t>
      </w:r>
      <w:r w:rsidR="001A2672">
        <w:rPr>
          <w:i/>
          <w:iCs/>
        </w:rPr>
        <w:t>Viking River</w:t>
      </w:r>
      <w:r w:rsidR="00067985">
        <w:t xml:space="preserve">” and </w:t>
      </w:r>
      <w:r w:rsidR="001A2672">
        <w:t>other</w:t>
      </w:r>
      <w:r w:rsidR="00067985">
        <w:t xml:space="preserve"> California</w:t>
      </w:r>
      <w:r w:rsidR="001A2672">
        <w:t xml:space="preserve"> decisions following </w:t>
      </w:r>
      <w:r w:rsidR="001A2672">
        <w:rPr>
          <w:i/>
          <w:iCs/>
        </w:rPr>
        <w:t>Viking River</w:t>
      </w:r>
      <w:r w:rsidR="00067985">
        <w:t>.  (</w:t>
      </w:r>
      <w:r w:rsidR="00067985" w:rsidRPr="00EC4971">
        <w:rPr>
          <w:i/>
          <w:iCs/>
        </w:rPr>
        <w:t>Westmoreland</w:t>
      </w:r>
      <w:r w:rsidR="00067985">
        <w:t>, at p. 982, citing</w:t>
      </w:r>
      <w:r w:rsidR="001A2672">
        <w:t xml:space="preserve"> </w:t>
      </w:r>
      <w:r w:rsidR="009F59E0">
        <w:rPr>
          <w:i/>
          <w:iCs/>
        </w:rPr>
        <w:t>Vaughn v.</w:t>
      </w:r>
      <w:r w:rsidR="009F59E0">
        <w:t xml:space="preserve"> </w:t>
      </w:r>
      <w:r w:rsidR="001A2672">
        <w:rPr>
          <w:i/>
          <w:iCs/>
        </w:rPr>
        <w:t xml:space="preserve">Tesla </w:t>
      </w:r>
      <w:r w:rsidR="009F59E0">
        <w:lastRenderedPageBreak/>
        <w:t>(2023) 87 Cal.App.5th 208</w:t>
      </w:r>
      <w:r w:rsidR="001A2672">
        <w:t xml:space="preserve">, </w:t>
      </w:r>
      <w:r w:rsidR="001A2672" w:rsidRPr="00073ACE">
        <w:rPr>
          <w:i/>
          <w:iCs/>
        </w:rPr>
        <w:t>Piplack</w:t>
      </w:r>
      <w:r w:rsidR="001A2672" w:rsidRPr="00073ACE">
        <w:t xml:space="preserve">, </w:t>
      </w:r>
      <w:r w:rsidR="00067985" w:rsidRPr="00073ACE">
        <w:rPr>
          <w:i/>
          <w:iCs/>
        </w:rPr>
        <w:t>supra</w:t>
      </w:r>
      <w:r w:rsidR="00067985" w:rsidRPr="00073ACE">
        <w:t xml:space="preserve">, </w:t>
      </w:r>
      <w:r w:rsidR="00301CB9">
        <w:t xml:space="preserve">88 Cal.App.5th </w:t>
      </w:r>
      <w:r w:rsidR="00CF720A">
        <w:t>1281</w:t>
      </w:r>
      <w:r w:rsidR="00067985" w:rsidRPr="00073ACE">
        <w:t>,</w:t>
      </w:r>
      <w:r w:rsidR="00067985">
        <w:t xml:space="preserve"> </w:t>
      </w:r>
      <w:r w:rsidR="00F859E3">
        <w:t xml:space="preserve">and </w:t>
      </w:r>
      <w:r w:rsidR="001A2672">
        <w:rPr>
          <w:i/>
          <w:iCs/>
        </w:rPr>
        <w:t>Galarsa</w:t>
      </w:r>
      <w:r w:rsidR="00C27EBB">
        <w:t xml:space="preserve">, </w:t>
      </w:r>
      <w:r w:rsidR="00C27EBB">
        <w:rPr>
          <w:i/>
          <w:iCs/>
        </w:rPr>
        <w:t>supra</w:t>
      </w:r>
      <w:r w:rsidR="00C27EBB">
        <w:t xml:space="preserve">, </w:t>
      </w:r>
      <w:r w:rsidR="001A2672">
        <w:t>88 Cal.App.5th 639.</w:t>
      </w:r>
      <w:r w:rsidR="00067985">
        <w:t>)</w:t>
      </w:r>
      <w:r w:rsidR="001A2672">
        <w:t xml:space="preserve">  </w:t>
      </w:r>
      <w:r w:rsidR="0047151B">
        <w:t xml:space="preserve">And similar to the conclusion we reach here, </w:t>
      </w:r>
      <w:r w:rsidR="00067985" w:rsidRPr="00EC4971">
        <w:rPr>
          <w:i/>
          <w:iCs/>
        </w:rPr>
        <w:t>Westmoreland</w:t>
      </w:r>
      <w:r w:rsidR="00067985">
        <w:t xml:space="preserve"> </w:t>
      </w:r>
      <w:r w:rsidR="0047151B">
        <w:t xml:space="preserve">ruled </w:t>
      </w:r>
      <w:r w:rsidR="001A2672">
        <w:t>the poison pill unambiguously “leaves no room for Kindercare to choose to bifurcate Westmoreland’s claims between arbitration and court; it instead invalidates the agreement.”  (</w:t>
      </w:r>
      <w:r w:rsidR="001A2672">
        <w:rPr>
          <w:i/>
          <w:iCs/>
        </w:rPr>
        <w:t>Ibid</w:t>
      </w:r>
      <w:r w:rsidR="001A2672">
        <w:t>.)</w:t>
      </w:r>
    </w:p>
    <w:p w14:paraId="3F835C5F" w14:textId="2E20EA50" w:rsidR="00487FC2" w:rsidRPr="007B23B6" w:rsidRDefault="006A6F27" w:rsidP="00EC7D56">
      <w:pPr>
        <w:spacing w:line="360" w:lineRule="auto"/>
      </w:pPr>
      <w:r>
        <w:tab/>
      </w:r>
      <w:r>
        <w:rPr>
          <w:i/>
          <w:iCs/>
        </w:rPr>
        <w:t>Westmoreland</w:t>
      </w:r>
      <w:r>
        <w:t xml:space="preserve"> </w:t>
      </w:r>
      <w:r w:rsidR="00085D63">
        <w:t xml:space="preserve">also found </w:t>
      </w:r>
      <w:r w:rsidR="00A56B27">
        <w:t xml:space="preserve">it </w:t>
      </w:r>
      <w:r w:rsidR="00477625">
        <w:t>“[</w:t>
      </w:r>
      <w:r w:rsidR="00A56B27">
        <w:t>i</w:t>
      </w:r>
      <w:r w:rsidR="00477625">
        <w:t>]</w:t>
      </w:r>
      <w:r w:rsidR="00A56B27">
        <w:t>ronic</w:t>
      </w:r>
      <w:r w:rsidR="00477625">
        <w:t>”</w:t>
      </w:r>
      <w:r w:rsidR="00A56B27">
        <w:t xml:space="preserve"> that</w:t>
      </w:r>
      <w:r w:rsidR="00951141">
        <w:t xml:space="preserve"> the poison pill utilized by Kindercare “</w:t>
      </w:r>
      <w:r w:rsidRPr="002A2241">
        <w:t xml:space="preserve">necessitates a result similar to the </w:t>
      </w:r>
      <w:r>
        <w:t>‘</w:t>
      </w:r>
      <w:r w:rsidRPr="002A2241">
        <w:t>claim joinder</w:t>
      </w:r>
      <w:r>
        <w:t>’</w:t>
      </w:r>
      <w:r w:rsidRPr="002A2241">
        <w:t xml:space="preserve"> rule in PAGA that </w:t>
      </w:r>
      <w:r w:rsidRPr="002A2241">
        <w:rPr>
          <w:i/>
          <w:iCs/>
        </w:rPr>
        <w:t>Viking River</w:t>
      </w:r>
      <w:r w:rsidRPr="002A2241">
        <w:t xml:space="preserve"> deemed problematic when imposed by state law.</w:t>
      </w:r>
      <w:r w:rsidR="001F4028">
        <w:t>”</w:t>
      </w:r>
      <w:r>
        <w:t xml:space="preserve"> </w:t>
      </w:r>
      <w:r w:rsidR="001F4028">
        <w:t xml:space="preserve"> </w:t>
      </w:r>
      <w:r>
        <w:t>(</w:t>
      </w:r>
      <w:r>
        <w:rPr>
          <w:i/>
          <w:iCs/>
        </w:rPr>
        <w:t>Westmoreland</w:t>
      </w:r>
      <w:r>
        <w:t xml:space="preserve">, </w:t>
      </w:r>
      <w:r>
        <w:rPr>
          <w:i/>
          <w:iCs/>
        </w:rPr>
        <w:t>supra</w:t>
      </w:r>
      <w:r>
        <w:t xml:space="preserve">, 90 Cal.App.5th at p. 982.)  This underscores why Heritage Bank’s preemption argument </w:t>
      </w:r>
      <w:r w:rsidR="00951141">
        <w:t>carries no force</w:t>
      </w:r>
      <w:r>
        <w:t>.</w:t>
      </w:r>
      <w:r w:rsidR="00543A9F">
        <w:t xml:space="preserve">  Because it is the contractual </w:t>
      </w:r>
      <w:r w:rsidR="00F816CF">
        <w:t xml:space="preserve">nonseverability and </w:t>
      </w:r>
      <w:r w:rsidR="00543A9F">
        <w:t>poison pill provision</w:t>
      </w:r>
      <w:r w:rsidR="00F816CF">
        <w:t>s</w:t>
      </w:r>
      <w:r w:rsidR="00543A9F">
        <w:t xml:space="preserve">, not the secondary rule of </w:t>
      </w:r>
      <w:r w:rsidR="00543A9F">
        <w:rPr>
          <w:i/>
          <w:iCs/>
        </w:rPr>
        <w:t xml:space="preserve">Iskanian </w:t>
      </w:r>
      <w:r w:rsidR="00543A9F">
        <w:t>or any other state law rule, that prevent plaintiffs</w:t>
      </w:r>
      <w:r w:rsidR="00C613FA">
        <w:t>’</w:t>
      </w:r>
      <w:r w:rsidR="00543A9F">
        <w:t xml:space="preserve"> individual and nonindividual PAGA claims from being divided between different forums, the indivisibility is consensual, not coerced, and the federal preemption precedents therefore have no application.</w:t>
      </w:r>
      <w:r w:rsidR="00C613FA">
        <w:t xml:space="preserve">  </w:t>
      </w:r>
      <w:r w:rsidR="00D55F2F">
        <w:t>Indeed</w:t>
      </w:r>
      <w:r>
        <w:t xml:space="preserve">, it would contravene </w:t>
      </w:r>
      <w:r w:rsidR="00D55F2F">
        <w:t>the FAA</w:t>
      </w:r>
      <w:r w:rsidR="00CA5046">
        <w:t xml:space="preserve"> </w:t>
      </w:r>
      <w:r w:rsidRPr="002A2241">
        <w:rPr>
          <w:i/>
          <w:iCs/>
        </w:rPr>
        <w:t>not</w:t>
      </w:r>
      <w:r>
        <w:t xml:space="preserve"> to </w:t>
      </w:r>
      <w:r w:rsidR="001862D3">
        <w:t xml:space="preserve">enforce </w:t>
      </w:r>
      <w:r>
        <w:t xml:space="preserve">the </w:t>
      </w:r>
      <w:r w:rsidR="00BE1A2E">
        <w:t xml:space="preserve">nonseverability of the </w:t>
      </w:r>
      <w:r w:rsidR="00A56B27">
        <w:t xml:space="preserve">agreed </w:t>
      </w:r>
      <w:r w:rsidR="00BE1A2E">
        <w:t>waiver provision</w:t>
      </w:r>
      <w:r w:rsidR="00073ACE">
        <w:t xml:space="preserve"> according to its express terms</w:t>
      </w:r>
      <w:r>
        <w:t xml:space="preserve">.  (See </w:t>
      </w:r>
      <w:r w:rsidRPr="00487FC2">
        <w:rPr>
          <w:i/>
          <w:iCs/>
        </w:rPr>
        <w:t>Concepcion</w:t>
      </w:r>
      <w:r>
        <w:t xml:space="preserve">, </w:t>
      </w:r>
      <w:r w:rsidRPr="00487FC2">
        <w:rPr>
          <w:i/>
          <w:iCs/>
        </w:rPr>
        <w:t>supra</w:t>
      </w:r>
      <w:r>
        <w:t>, 563 U.S. at p. 339 [FAA embodies fundamental principle that arbitration is matter of contract].)</w:t>
      </w:r>
    </w:p>
    <w:p w14:paraId="1741B753" w14:textId="5B7DE491" w:rsidR="00375571" w:rsidRDefault="006A6F27" w:rsidP="00ED5C5B">
      <w:pPr>
        <w:spacing w:line="360" w:lineRule="auto"/>
      </w:pPr>
      <w:r>
        <w:tab/>
      </w:r>
      <w:r w:rsidR="00D55F2F">
        <w:t xml:space="preserve">Finally, </w:t>
      </w:r>
      <w:r w:rsidR="004027BC">
        <w:t xml:space="preserve">Heritage </w:t>
      </w:r>
      <w:r w:rsidR="00CB35AF">
        <w:t xml:space="preserve">Bank </w:t>
      </w:r>
      <w:r w:rsidR="00AF0E70">
        <w:t xml:space="preserve">argues </w:t>
      </w:r>
      <w:r w:rsidR="00AE6D43">
        <w:t xml:space="preserve">the </w:t>
      </w:r>
      <w:r w:rsidR="00C53BC9">
        <w:t xml:space="preserve">waiver </w:t>
      </w:r>
      <w:r w:rsidR="00AE109A">
        <w:t xml:space="preserve">provision </w:t>
      </w:r>
      <w:r w:rsidR="004100E2">
        <w:t xml:space="preserve">should </w:t>
      </w:r>
      <w:r w:rsidR="00AF0E70">
        <w:t xml:space="preserve">be construed </w:t>
      </w:r>
      <w:r w:rsidR="00A0724D" w:rsidRPr="00FD2A40">
        <w:t>not</w:t>
      </w:r>
      <w:r w:rsidR="00A0724D">
        <w:t xml:space="preserve"> as </w:t>
      </w:r>
      <w:r w:rsidR="00AE6D43">
        <w:t>a</w:t>
      </w:r>
      <w:r w:rsidR="004027BC">
        <w:t xml:space="preserve"> </w:t>
      </w:r>
      <w:r w:rsidR="005957C5">
        <w:t xml:space="preserve">so-called </w:t>
      </w:r>
      <w:r w:rsidR="00AF0E70">
        <w:t>“</w:t>
      </w:r>
      <w:r w:rsidR="00AE6D43">
        <w:t>wholesale</w:t>
      </w:r>
      <w:r w:rsidR="00AF0E70">
        <w:t>”</w:t>
      </w:r>
      <w:r w:rsidR="004027BC">
        <w:t xml:space="preserve"> </w:t>
      </w:r>
      <w:r w:rsidR="00AE6D43">
        <w:t>waiver</w:t>
      </w:r>
      <w:r w:rsidR="004027BC">
        <w:t xml:space="preserve"> of </w:t>
      </w:r>
      <w:r w:rsidR="009818B7">
        <w:t xml:space="preserve">plaintiffs’ </w:t>
      </w:r>
      <w:r w:rsidR="004027BC">
        <w:t>PAGA claims</w:t>
      </w:r>
      <w:r w:rsidR="00AF0E70">
        <w:t xml:space="preserve"> in violation of </w:t>
      </w:r>
      <w:r w:rsidR="00AF0E70">
        <w:rPr>
          <w:i/>
          <w:iCs/>
        </w:rPr>
        <w:t>Iskanian</w:t>
      </w:r>
      <w:r w:rsidR="0065525C">
        <w:t xml:space="preserve">, </w:t>
      </w:r>
      <w:r w:rsidR="00AE6D43">
        <w:t xml:space="preserve">but </w:t>
      </w:r>
      <w:r w:rsidR="00A56B27">
        <w:t xml:space="preserve">instead </w:t>
      </w:r>
      <w:r w:rsidR="00636621">
        <w:t xml:space="preserve">more narrowly </w:t>
      </w:r>
      <w:r w:rsidR="00A0724D">
        <w:t xml:space="preserve">as </w:t>
      </w:r>
      <w:r w:rsidR="00344284">
        <w:t xml:space="preserve">an </w:t>
      </w:r>
      <w:r w:rsidR="00172988">
        <w:t xml:space="preserve">enforceable </w:t>
      </w:r>
      <w:r w:rsidR="00AE6D43">
        <w:t xml:space="preserve">waiver of </w:t>
      </w:r>
      <w:r w:rsidR="00AE6D43" w:rsidRPr="006F6536">
        <w:rPr>
          <w:i/>
          <w:iCs/>
        </w:rPr>
        <w:t>only</w:t>
      </w:r>
      <w:r w:rsidR="00AE6D43">
        <w:t xml:space="preserve"> the nonindividual PAGA claims</w:t>
      </w:r>
      <w:r w:rsidR="00BB79B8">
        <w:t>.</w:t>
      </w:r>
      <w:r w:rsidR="002C0D40">
        <w:t xml:space="preserve"> </w:t>
      </w:r>
      <w:r w:rsidR="006F6536">
        <w:t xml:space="preserve"> </w:t>
      </w:r>
      <w:r w:rsidR="00B02EF7">
        <w:t xml:space="preserve">As we understand </w:t>
      </w:r>
      <w:r w:rsidR="00983081">
        <w:t xml:space="preserve">this </w:t>
      </w:r>
      <w:r w:rsidR="00B02EF7">
        <w:t xml:space="preserve">argument, Heritage Bank </w:t>
      </w:r>
      <w:r w:rsidR="00B07E7D">
        <w:t xml:space="preserve">believes </w:t>
      </w:r>
      <w:r w:rsidR="001F4028">
        <w:t>a</w:t>
      </w:r>
      <w:r w:rsidR="00CA5046">
        <w:t xml:space="preserve">n unenforceable </w:t>
      </w:r>
      <w:r w:rsidR="00B02EF7">
        <w:t xml:space="preserve">wholesale PAGA waiver is one that waives </w:t>
      </w:r>
      <w:r w:rsidR="00B02EF7" w:rsidRPr="00CA5046">
        <w:rPr>
          <w:i/>
          <w:iCs/>
        </w:rPr>
        <w:t>both</w:t>
      </w:r>
      <w:r w:rsidR="00B02EF7">
        <w:t xml:space="preserve"> individual </w:t>
      </w:r>
      <w:r w:rsidR="00B02EF7" w:rsidRPr="00CA5046">
        <w:rPr>
          <w:i/>
          <w:iCs/>
        </w:rPr>
        <w:t>and</w:t>
      </w:r>
      <w:r w:rsidR="00B02EF7">
        <w:t xml:space="preserve"> nonindividual claims</w:t>
      </w:r>
      <w:r w:rsidR="00B07E7D">
        <w:t xml:space="preserve">, and thus, </w:t>
      </w:r>
      <w:r w:rsidR="00B07E7D">
        <w:rPr>
          <w:i/>
          <w:iCs/>
        </w:rPr>
        <w:t xml:space="preserve">Iskanian’s </w:t>
      </w:r>
      <w:r w:rsidR="00B07E7D">
        <w:t>principal rule (</w:t>
      </w:r>
      <w:r w:rsidR="001F4028">
        <w:t xml:space="preserve">as well as </w:t>
      </w:r>
      <w:r w:rsidR="007625DB">
        <w:t xml:space="preserve">the effect of </w:t>
      </w:r>
      <w:r w:rsidR="00B07E7D">
        <w:t xml:space="preserve">the poison pill) </w:t>
      </w:r>
      <w:r w:rsidR="00614EB9">
        <w:t xml:space="preserve">may </w:t>
      </w:r>
      <w:r w:rsidR="00B07E7D">
        <w:t xml:space="preserve">be avoided </w:t>
      </w:r>
      <w:r w:rsidR="002D3BD4">
        <w:t xml:space="preserve">if we interpret </w:t>
      </w:r>
      <w:r w:rsidR="00B07E7D">
        <w:t xml:space="preserve">the </w:t>
      </w:r>
      <w:r w:rsidR="004B7933">
        <w:t xml:space="preserve">waiver provision </w:t>
      </w:r>
      <w:r w:rsidR="00A56B27">
        <w:t>as waiving</w:t>
      </w:r>
      <w:r w:rsidR="00CA5046">
        <w:rPr>
          <w:i/>
          <w:iCs/>
        </w:rPr>
        <w:t xml:space="preserve"> only </w:t>
      </w:r>
      <w:r w:rsidR="00B07E7D">
        <w:t>nonindividual PAGA claims</w:t>
      </w:r>
      <w:r w:rsidR="00B02EF7">
        <w:t>.</w:t>
      </w:r>
      <w:r>
        <w:t xml:space="preserve">  </w:t>
      </w:r>
      <w:r w:rsidR="00B02EF7">
        <w:t>T</w:t>
      </w:r>
      <w:r w:rsidR="00D55F2F">
        <w:t xml:space="preserve">his argument </w:t>
      </w:r>
      <w:r w:rsidR="00BE15FC">
        <w:t xml:space="preserve">fails </w:t>
      </w:r>
      <w:r w:rsidR="008E181F">
        <w:t xml:space="preserve">for two reasons.  First, </w:t>
      </w:r>
      <w:r w:rsidR="00BE15FC">
        <w:t xml:space="preserve">it rests on a </w:t>
      </w:r>
      <w:r w:rsidR="00D55F2F">
        <w:t>misapprehe</w:t>
      </w:r>
      <w:r w:rsidR="00BE15FC">
        <w:t xml:space="preserve">nsion of </w:t>
      </w:r>
      <w:r w:rsidR="00D55F2F">
        <w:lastRenderedPageBreak/>
        <w:t xml:space="preserve">what </w:t>
      </w:r>
      <w:r w:rsidR="00D55F2F">
        <w:rPr>
          <w:i/>
          <w:iCs/>
        </w:rPr>
        <w:t>Iskanian</w:t>
      </w:r>
      <w:r w:rsidR="00D55F2F">
        <w:t xml:space="preserve"> means by </w:t>
      </w:r>
      <w:r w:rsidR="001F4028">
        <w:t xml:space="preserve">a </w:t>
      </w:r>
      <w:r w:rsidR="00D55F2F">
        <w:t xml:space="preserve">wholesale </w:t>
      </w:r>
      <w:r w:rsidR="001F4028">
        <w:t xml:space="preserve">PAGA </w:t>
      </w:r>
      <w:r w:rsidR="00D55F2F">
        <w:t>waiver</w:t>
      </w:r>
      <w:r w:rsidR="008E181F">
        <w:t xml:space="preserve">.  Second, and </w:t>
      </w:r>
      <w:r w:rsidR="0076076D">
        <w:t>in any event,</w:t>
      </w:r>
      <w:r w:rsidR="00BE1A2E">
        <w:t xml:space="preserve"> </w:t>
      </w:r>
      <w:r w:rsidR="00B53386">
        <w:t xml:space="preserve">Heritage Bank’s construction of </w:t>
      </w:r>
      <w:r w:rsidR="00BE1A2E">
        <w:t xml:space="preserve">the waiver provision </w:t>
      </w:r>
      <w:r w:rsidR="00B53386">
        <w:t>is not reasonable.</w:t>
      </w:r>
    </w:p>
    <w:p w14:paraId="17EDA423" w14:textId="7DE84274" w:rsidR="0099013E" w:rsidRDefault="006A6F27" w:rsidP="0099013E">
      <w:pPr>
        <w:spacing w:line="360" w:lineRule="auto"/>
      </w:pPr>
      <w:r>
        <w:tab/>
      </w:r>
      <w:r w:rsidR="002A309E">
        <w:t xml:space="preserve">To reiterate, an </w:t>
      </w:r>
      <w:r w:rsidR="00D55F2F">
        <w:t xml:space="preserve">unenforceable </w:t>
      </w:r>
      <w:r w:rsidR="008E181F">
        <w:t xml:space="preserve">wholesale </w:t>
      </w:r>
      <w:r w:rsidR="00D55F2F">
        <w:t>PAGA waiver is one that requires</w:t>
      </w:r>
      <w:r w:rsidR="001D510A">
        <w:t xml:space="preserve"> an employee</w:t>
      </w:r>
      <w:r w:rsidR="001F4028">
        <w:t xml:space="preserve"> as </w:t>
      </w:r>
      <w:r w:rsidR="00D55F2F">
        <w:t>a condition of employment</w:t>
      </w:r>
      <w:r w:rsidR="001F4028">
        <w:t xml:space="preserve"> </w:t>
      </w:r>
      <w:r w:rsidR="00D55F2F">
        <w:t xml:space="preserve">to waive </w:t>
      </w:r>
      <w:r w:rsidR="005957C5">
        <w:t>their</w:t>
      </w:r>
      <w:r w:rsidR="00D55F2F">
        <w:t xml:space="preserve"> right to bring a</w:t>
      </w:r>
      <w:r>
        <w:t>ny</w:t>
      </w:r>
      <w:r w:rsidR="00D55F2F">
        <w:t xml:space="preserve"> “representative” PAGA claim</w:t>
      </w:r>
      <w:r>
        <w:t>s</w:t>
      </w:r>
      <w:r w:rsidR="00D55F2F">
        <w:t xml:space="preserve">, individual or nonindividual, </w:t>
      </w:r>
      <w:r w:rsidR="00BE15FC">
        <w:t>“</w:t>
      </w:r>
      <w:r w:rsidR="00D55F2F" w:rsidRPr="00301CB9">
        <w:rPr>
          <w:i/>
          <w:iCs/>
        </w:rPr>
        <w:t>in any forum</w:t>
      </w:r>
      <w:r w:rsidR="00D55F2F">
        <w:t>.</w:t>
      </w:r>
      <w:r w:rsidR="00BE15FC">
        <w:t>”</w:t>
      </w:r>
      <w:r w:rsidR="00D55F2F">
        <w:t xml:space="preserve">  (</w:t>
      </w:r>
      <w:r w:rsidR="00D55F2F">
        <w:rPr>
          <w:i/>
          <w:iCs/>
        </w:rPr>
        <w:t>Iskanian</w:t>
      </w:r>
      <w:r w:rsidR="00D55F2F">
        <w:t xml:space="preserve">, </w:t>
      </w:r>
      <w:r w:rsidR="00D55F2F">
        <w:rPr>
          <w:i/>
          <w:iCs/>
        </w:rPr>
        <w:t>supra</w:t>
      </w:r>
      <w:r w:rsidR="00D55F2F">
        <w:t xml:space="preserve">, 59 Cal.4th at </w:t>
      </w:r>
      <w:r w:rsidR="001F4028">
        <w:t>p. 360</w:t>
      </w:r>
      <w:r w:rsidR="00C613FA">
        <w:t>, italics added</w:t>
      </w:r>
      <w:r w:rsidR="00D55F2F">
        <w:t xml:space="preserve">.)  </w:t>
      </w:r>
      <w:r w:rsidR="002A309E">
        <w:t>The focus of this determination is whether the waiver requires an employee to forgo a “</w:t>
      </w:r>
      <w:r w:rsidR="002A309E" w:rsidRPr="001D510A">
        <w:t>substantive</w:t>
      </w:r>
      <w:r w:rsidR="002A309E">
        <w:t>” right (e.g., to seek civil penalties for Labor Code violations on behalf of</w:t>
      </w:r>
      <w:r w:rsidR="00BD4E52">
        <w:t xml:space="preserve"> the state</w:t>
      </w:r>
      <w:r w:rsidR="002A309E">
        <w:t>), as opposed to merely changing “how those rights will be processed” (e.g., in an arbitral forum under arbitral rules).  (</w:t>
      </w:r>
      <w:r w:rsidR="002A309E">
        <w:rPr>
          <w:i/>
          <w:iCs/>
        </w:rPr>
        <w:t>Viking River</w:t>
      </w:r>
      <w:r w:rsidR="002A309E">
        <w:t xml:space="preserve">, </w:t>
      </w:r>
      <w:r w:rsidR="002A309E">
        <w:rPr>
          <w:i/>
          <w:iCs/>
        </w:rPr>
        <w:t>supra</w:t>
      </w:r>
      <w:r w:rsidR="002A309E">
        <w:t xml:space="preserve">, 569 U.S. at p. ___ [142 S. Ct. at p. 1919].)  </w:t>
      </w:r>
      <w:r w:rsidR="001F4028">
        <w:t xml:space="preserve">For the reasons already discussed, the waiver provision </w:t>
      </w:r>
      <w:r w:rsidR="002A309E">
        <w:t xml:space="preserve">here requires plaintiffs to completely </w:t>
      </w:r>
      <w:r w:rsidR="005957C5">
        <w:t>abandon</w:t>
      </w:r>
      <w:r w:rsidR="002A309E">
        <w:t xml:space="preserve"> their right to bring </w:t>
      </w:r>
      <w:r w:rsidR="00D255D4">
        <w:t xml:space="preserve">both individual and </w:t>
      </w:r>
      <w:r w:rsidR="002A309E">
        <w:t xml:space="preserve">nonindividual PAGA claims in any forum, and, for that reason, </w:t>
      </w:r>
      <w:r w:rsidR="007625DB">
        <w:t xml:space="preserve">it </w:t>
      </w:r>
      <w:r w:rsidR="002A309E">
        <w:t>is against public policy.</w:t>
      </w:r>
    </w:p>
    <w:p w14:paraId="09433F62" w14:textId="3D59A57A" w:rsidR="004B7933" w:rsidRPr="00301CB9" w:rsidRDefault="006A6F27" w:rsidP="0099013E">
      <w:pPr>
        <w:spacing w:line="360" w:lineRule="auto"/>
      </w:pPr>
      <w:r>
        <w:tab/>
      </w:r>
      <w:r w:rsidR="00085D63">
        <w:t xml:space="preserve">Indeed, even if the individual PAGA claims were expressly subject to arbitration, requiring plaintiffs to completely waive their rights to bring nonindividual PAGA claims in any forum </w:t>
      </w:r>
      <w:r w:rsidR="00301CB9">
        <w:t xml:space="preserve">would </w:t>
      </w:r>
      <w:r w:rsidR="00085D63">
        <w:t xml:space="preserve">still </w:t>
      </w:r>
      <w:r w:rsidR="00301CB9">
        <w:t xml:space="preserve">constitute </w:t>
      </w:r>
      <w:r w:rsidR="00085D63">
        <w:t xml:space="preserve">a “wholesale” PAGA waiver that violates public policy under </w:t>
      </w:r>
      <w:r w:rsidR="00085D63">
        <w:rPr>
          <w:i/>
          <w:iCs/>
        </w:rPr>
        <w:t>Iskanian</w:t>
      </w:r>
      <w:r w:rsidR="00085D63">
        <w:t xml:space="preserve">.  </w:t>
      </w:r>
      <w:r w:rsidR="00217F32" w:rsidRPr="004B7933">
        <w:rPr>
          <w:i/>
          <w:iCs/>
        </w:rPr>
        <w:t>Gregg</w:t>
      </w:r>
      <w:r w:rsidRPr="004B7933">
        <w:rPr>
          <w:i/>
          <w:iCs/>
        </w:rPr>
        <w:t xml:space="preserve"> v. Uber Technologies, Inc.</w:t>
      </w:r>
      <w:r>
        <w:t xml:space="preserve"> (2023) 89 Cal.App.5th 786 (</w:t>
      </w:r>
      <w:r w:rsidRPr="004B7933">
        <w:rPr>
          <w:i/>
          <w:iCs/>
        </w:rPr>
        <w:t>Gregg</w:t>
      </w:r>
      <w:r>
        <w:t xml:space="preserve">) illustrates this </w:t>
      </w:r>
      <w:r w:rsidR="005957C5">
        <w:t xml:space="preserve">precise </w:t>
      </w:r>
      <w:r>
        <w:t xml:space="preserve">point.  There, the challenged PAGA </w:t>
      </w:r>
      <w:r w:rsidR="00217F32">
        <w:t xml:space="preserve">waiver </w:t>
      </w:r>
      <w:r>
        <w:t xml:space="preserve">consisted of two </w:t>
      </w:r>
      <w:r w:rsidR="00614EB9">
        <w:t xml:space="preserve">distinct </w:t>
      </w:r>
      <w:r>
        <w:t>clauses, one that waived the plaintiff’s right to bring a PAGA action “</w:t>
      </w:r>
      <w:r w:rsidR="00CA5046">
        <w:t> </w:t>
      </w:r>
      <w:r>
        <w:t>‘in any court or in arbitration,’</w:t>
      </w:r>
      <w:r w:rsidR="00CA5046">
        <w:t> </w:t>
      </w:r>
      <w:r>
        <w:t>” and the other requiring “any claim brought on a private attorney general basis” to be “resolved in arbitration on an individual basis only.”  (</w:t>
      </w:r>
      <w:r w:rsidRPr="004B7933">
        <w:rPr>
          <w:i/>
          <w:iCs/>
        </w:rPr>
        <w:t>Gregg</w:t>
      </w:r>
      <w:r>
        <w:t>, at p.</w:t>
      </w:r>
      <w:r w:rsidR="00CA5046">
        <w:t> </w:t>
      </w:r>
      <w:r>
        <w:t xml:space="preserve">797.)  </w:t>
      </w:r>
      <w:r w:rsidR="005957C5">
        <w:t>Observing</w:t>
      </w:r>
      <w:r>
        <w:t xml:space="preserve"> that “both clauses make clear that Gregg must completely forgo his statutory right to seek civil penalties for Labor Code violations committed against other employees, whether in court or in arbitration,” </w:t>
      </w:r>
      <w:r w:rsidR="005957C5">
        <w:t xml:space="preserve">the court invalidated </w:t>
      </w:r>
      <w:r>
        <w:t xml:space="preserve">the waiver provision </w:t>
      </w:r>
      <w:r w:rsidR="005957C5">
        <w:t>because it</w:t>
      </w:r>
      <w:r>
        <w:t xml:space="preserve"> “requires </w:t>
      </w:r>
      <w:r>
        <w:lastRenderedPageBreak/>
        <w:t xml:space="preserve">Gregg to do </w:t>
      </w:r>
      <w:r w:rsidR="00116E5D">
        <w:t>t</w:t>
      </w:r>
      <w:r>
        <w:t xml:space="preserve">hat which is still prohibited by </w:t>
      </w:r>
      <w:r w:rsidRPr="004B7933">
        <w:rPr>
          <w:i/>
          <w:iCs/>
        </w:rPr>
        <w:t>Iskanian</w:t>
      </w:r>
      <w:r w:rsidR="005957C5">
        <w:rPr>
          <w:i/>
          <w:iCs/>
        </w:rPr>
        <w:t>.</w:t>
      </w:r>
      <w:r w:rsidR="005957C5">
        <w:t xml:space="preserve">” </w:t>
      </w:r>
      <w:r>
        <w:t xml:space="preserve"> (</w:t>
      </w:r>
      <w:r w:rsidRPr="004B7933">
        <w:rPr>
          <w:i/>
          <w:iCs/>
        </w:rPr>
        <w:t>Gregg</w:t>
      </w:r>
      <w:r>
        <w:t>, at p.</w:t>
      </w:r>
      <w:r w:rsidR="00CA5046">
        <w:t> </w:t>
      </w:r>
      <w:r>
        <w:t>79</w:t>
      </w:r>
      <w:r w:rsidR="005443A8">
        <w:t xml:space="preserve">7; see also </w:t>
      </w:r>
      <w:r w:rsidR="005443A8">
        <w:rPr>
          <w:i/>
          <w:iCs/>
        </w:rPr>
        <w:t>Seifu</w:t>
      </w:r>
      <w:r w:rsidR="005443A8">
        <w:t xml:space="preserve">, </w:t>
      </w:r>
      <w:r w:rsidR="005443A8">
        <w:rPr>
          <w:i/>
          <w:iCs/>
        </w:rPr>
        <w:t>supra</w:t>
      </w:r>
      <w:r w:rsidR="005443A8">
        <w:t>, 89 Cal.App.5th at p.</w:t>
      </w:r>
      <w:r w:rsidR="00CA5046">
        <w:t> </w:t>
      </w:r>
      <w:r w:rsidR="005443A8">
        <w:t>1139 [waiver of right to bring PAGA claims “</w:t>
      </w:r>
      <w:r w:rsidR="00CA5046">
        <w:t> </w:t>
      </w:r>
      <w:r w:rsidR="005443A8">
        <w:t xml:space="preserve">‘on behalf of others’ in </w:t>
      </w:r>
      <w:r>
        <w:t>‘</w:t>
      </w:r>
      <w:r w:rsidR="005443A8">
        <w:t>any court or in arbitration’</w:t>
      </w:r>
      <w:r w:rsidR="00CA5046">
        <w:t> </w:t>
      </w:r>
      <w:r w:rsidR="005443A8">
        <w:t xml:space="preserve">” </w:t>
      </w:r>
      <w:r w:rsidR="00375571">
        <w:t>constituted unenforceable “wholesale waiver of Seifu’s right to bring nonindividual PAGA claims in any forum”].)</w:t>
      </w:r>
      <w:r w:rsidR="00660D3A">
        <w:t xml:space="preserve">  We agree with </w:t>
      </w:r>
      <w:r w:rsidR="00660D3A">
        <w:rPr>
          <w:i/>
          <w:iCs/>
        </w:rPr>
        <w:t>Gregg</w:t>
      </w:r>
      <w:r w:rsidR="00660D3A">
        <w:t xml:space="preserve"> and </w:t>
      </w:r>
      <w:r w:rsidR="00660D3A">
        <w:rPr>
          <w:i/>
          <w:iCs/>
        </w:rPr>
        <w:t>Seifu</w:t>
      </w:r>
      <w:r w:rsidR="00660D3A">
        <w:t xml:space="preserve"> that</w:t>
      </w:r>
      <w:r w:rsidR="00F816CF">
        <w:t xml:space="preserve"> even after </w:t>
      </w:r>
      <w:r w:rsidR="00F816CF">
        <w:rPr>
          <w:i/>
          <w:iCs/>
        </w:rPr>
        <w:t>Viking River</w:t>
      </w:r>
      <w:r w:rsidR="00F816CF">
        <w:t>,</w:t>
      </w:r>
      <w:r w:rsidR="00660D3A">
        <w:t xml:space="preserve"> a complete waiver of the right to bring nonindividual PAGA claims </w:t>
      </w:r>
      <w:r w:rsidR="00C613FA">
        <w:t xml:space="preserve">in any forum </w:t>
      </w:r>
      <w:r w:rsidR="002577C3">
        <w:t xml:space="preserve">remains </w:t>
      </w:r>
      <w:r w:rsidR="00660D3A">
        <w:t xml:space="preserve">prohibited by </w:t>
      </w:r>
      <w:r w:rsidR="00660D3A">
        <w:rPr>
          <w:i/>
          <w:iCs/>
        </w:rPr>
        <w:t>Iskanian</w:t>
      </w:r>
      <w:r w:rsidR="00660D3A">
        <w:t>.</w:t>
      </w:r>
      <w:r w:rsidR="00301CB9">
        <w:t xml:space="preserve">  (See </w:t>
      </w:r>
      <w:r w:rsidR="00301CB9">
        <w:rPr>
          <w:i/>
          <w:iCs/>
        </w:rPr>
        <w:t>Viking River</w:t>
      </w:r>
      <w:r w:rsidR="00301CB9">
        <w:t xml:space="preserve">, </w:t>
      </w:r>
      <w:r w:rsidR="00301CB9">
        <w:rPr>
          <w:i/>
          <w:iCs/>
        </w:rPr>
        <w:t>supra</w:t>
      </w:r>
      <w:r w:rsidR="00301CB9">
        <w:t>, 569 U.S. at p. ___ [142 S. Ct. at p. 1925</w:t>
      </w:r>
      <w:r w:rsidR="00AC53D1">
        <w:t>]</w:t>
      </w:r>
      <w:r w:rsidR="00301CB9">
        <w:t xml:space="preserve"> [</w:t>
      </w:r>
      <w:r w:rsidR="00301CB9">
        <w:rPr>
          <w:i/>
          <w:iCs/>
        </w:rPr>
        <w:t>Iskanian’s</w:t>
      </w:r>
      <w:r w:rsidR="00301CB9">
        <w:t xml:space="preserve"> rule that nonindividual PAGA claims may not be dismissed simply because they are representative remains valid].)</w:t>
      </w:r>
    </w:p>
    <w:p w14:paraId="1A9F4F8D" w14:textId="3D2ACAD4" w:rsidR="0099013E" w:rsidRDefault="006A6F27" w:rsidP="000C0506">
      <w:pPr>
        <w:spacing w:line="360" w:lineRule="auto"/>
      </w:pPr>
      <w:r>
        <w:tab/>
        <w:t>Finally</w:t>
      </w:r>
      <w:r w:rsidR="004B7933">
        <w:t xml:space="preserve">, </w:t>
      </w:r>
      <w:r w:rsidR="000C0506">
        <w:t xml:space="preserve">even </w:t>
      </w:r>
      <w:r w:rsidR="00391DD3">
        <w:t>assuming—</w:t>
      </w:r>
      <w:r w:rsidR="001F4028">
        <w:t>generously</w:t>
      </w:r>
      <w:r w:rsidR="00391DD3">
        <w:t>—</w:t>
      </w:r>
      <w:r>
        <w:t xml:space="preserve">that </w:t>
      </w:r>
      <w:r w:rsidR="008E181F">
        <w:rPr>
          <w:i/>
          <w:iCs/>
        </w:rPr>
        <w:t>Iskanian</w:t>
      </w:r>
      <w:r w:rsidR="008E181F" w:rsidRPr="00EC4971">
        <w:t>’s</w:t>
      </w:r>
      <w:r w:rsidR="008E181F">
        <w:rPr>
          <w:i/>
          <w:iCs/>
        </w:rPr>
        <w:t xml:space="preserve"> </w:t>
      </w:r>
      <w:r w:rsidR="008E181F">
        <w:t xml:space="preserve">prohibition on </w:t>
      </w:r>
      <w:r w:rsidR="000C0506">
        <w:t xml:space="preserve">wholesale </w:t>
      </w:r>
      <w:r w:rsidR="008E181F">
        <w:t xml:space="preserve">PAGA </w:t>
      </w:r>
      <w:r w:rsidR="000C0506">
        <w:t>waiver</w:t>
      </w:r>
      <w:r w:rsidR="008E181F">
        <w:t>s</w:t>
      </w:r>
      <w:r w:rsidR="002448BD">
        <w:t xml:space="preserve"> </w:t>
      </w:r>
      <w:r w:rsidR="001F4028">
        <w:t xml:space="preserve">could be avoided by interpreting the waiver provision </w:t>
      </w:r>
      <w:r w:rsidR="008E181F">
        <w:t xml:space="preserve">here </w:t>
      </w:r>
      <w:r w:rsidR="001F4028">
        <w:t xml:space="preserve">as waiving </w:t>
      </w:r>
      <w:r w:rsidR="001F4028" w:rsidRPr="00275C55">
        <w:t xml:space="preserve">only </w:t>
      </w:r>
      <w:r w:rsidRPr="00275C55">
        <w:t>nonindividual</w:t>
      </w:r>
      <w:r>
        <w:t xml:space="preserve"> PAGA claims,</w:t>
      </w:r>
      <w:r>
        <w:rPr>
          <w:rStyle w:val="FootnoteReference"/>
        </w:rPr>
        <w:footnoteReference w:id="3"/>
      </w:r>
      <w:r>
        <w:t xml:space="preserve"> </w:t>
      </w:r>
      <w:r w:rsidR="002448BD">
        <w:t xml:space="preserve">we </w:t>
      </w:r>
      <w:r>
        <w:t xml:space="preserve">would still </w:t>
      </w:r>
      <w:r w:rsidR="002448BD">
        <w:t xml:space="preserve">reject Heritage Bank’s </w:t>
      </w:r>
      <w:r w:rsidR="001F4028">
        <w:t>construction of the provision</w:t>
      </w:r>
      <w:r w:rsidR="002A309E">
        <w:t>.</w:t>
      </w:r>
      <w:r>
        <w:t xml:space="preserve"> </w:t>
      </w:r>
    </w:p>
    <w:p w14:paraId="64CB1D2B" w14:textId="07B66C7D" w:rsidR="001F4028" w:rsidRPr="00F41B2B" w:rsidRDefault="006A6F27" w:rsidP="000C0506">
      <w:pPr>
        <w:spacing w:line="360" w:lineRule="auto"/>
      </w:pPr>
      <w:r>
        <w:tab/>
        <w:t xml:space="preserve">The express language of the waiver provision </w:t>
      </w:r>
      <w:r w:rsidR="00614EB9">
        <w:t xml:space="preserve">here </w:t>
      </w:r>
      <w:r>
        <w:t xml:space="preserve">resists </w:t>
      </w:r>
      <w:r w:rsidR="00DE09B3">
        <w:t xml:space="preserve">a </w:t>
      </w:r>
      <w:r>
        <w:t>construction that would permit an employee to bring an individual PAGA claim in arbitration</w:t>
      </w:r>
      <w:r w:rsidR="008E181F">
        <w:t xml:space="preserve">.  </w:t>
      </w:r>
      <w:r w:rsidR="002A309E">
        <w:t>(</w:t>
      </w:r>
      <w:r w:rsidR="002A309E" w:rsidRPr="00447D97">
        <w:t>See Civ. Code, §</w:t>
      </w:r>
      <w:r w:rsidR="002A309E">
        <w:t> </w:t>
      </w:r>
      <w:r w:rsidR="002A309E" w:rsidRPr="00447D97">
        <w:t>1638 [language of contract govern</w:t>
      </w:r>
      <w:r w:rsidR="002A309E">
        <w:t>s</w:t>
      </w:r>
      <w:r w:rsidR="002A309E" w:rsidRPr="00447D97">
        <w:t xml:space="preserve"> its </w:t>
      </w:r>
      <w:r w:rsidR="002A309E" w:rsidRPr="00447D97">
        <w:lastRenderedPageBreak/>
        <w:t>interpretation]</w:t>
      </w:r>
      <w:r w:rsidR="002A309E">
        <w:t xml:space="preserve">.)  </w:t>
      </w:r>
      <w:r w:rsidR="00007877">
        <w:t>T</w:t>
      </w:r>
      <w:r>
        <w:t xml:space="preserve">he </w:t>
      </w:r>
      <w:r w:rsidR="00217F32">
        <w:t xml:space="preserve">provision mandates the employee’s agreement to bring claims “only in . . . my individual capacity” and not as a plaintiff in any “representative proceeding.”  </w:t>
      </w:r>
      <w:r>
        <w:t xml:space="preserve">But </w:t>
      </w:r>
      <w:r w:rsidRPr="001F4028">
        <w:t>“</w:t>
      </w:r>
      <w:r w:rsidR="00275C55">
        <w:t> </w:t>
      </w:r>
      <w:r w:rsidRPr="001F4028">
        <w:t>‘</w:t>
      </w:r>
      <w:r w:rsidR="00275C55">
        <w:t> </w:t>
      </w:r>
      <w:r w:rsidRPr="001F4028">
        <w:t>“</w:t>
      </w:r>
      <w:r w:rsidRPr="00F734A1">
        <w:rPr>
          <w:i/>
          <w:iCs/>
        </w:rPr>
        <w:t>every</w:t>
      </w:r>
      <w:r w:rsidRPr="001F4028">
        <w:t xml:space="preserve"> PAGA action is .</w:t>
      </w:r>
      <w:r w:rsidR="00275C55">
        <w:t> </w:t>
      </w:r>
      <w:r w:rsidRPr="001F4028">
        <w:t>.</w:t>
      </w:r>
      <w:r w:rsidR="00275C55">
        <w:t> </w:t>
      </w:r>
      <w:r w:rsidRPr="001F4028">
        <w:t>. representative”</w:t>
      </w:r>
      <w:r w:rsidR="00275C55">
        <w:t> </w:t>
      </w:r>
      <w:r w:rsidRPr="001F4028">
        <w:t>’</w:t>
      </w:r>
      <w:r w:rsidR="00275C55">
        <w:t> </w:t>
      </w:r>
      <w:r w:rsidRPr="001F4028">
        <w:t>” (</w:t>
      </w:r>
      <w:r w:rsidRPr="001F4028">
        <w:rPr>
          <w:i/>
          <w:iCs/>
        </w:rPr>
        <w:t>Viking River</w:t>
      </w:r>
      <w:r w:rsidRPr="001F4028">
        <w:t xml:space="preserve">, </w:t>
      </w:r>
      <w:r w:rsidRPr="001F4028">
        <w:rPr>
          <w:i/>
          <w:iCs/>
        </w:rPr>
        <w:t>supra</w:t>
      </w:r>
      <w:r w:rsidRPr="001F4028">
        <w:t>, 596 U.S. at p.</w:t>
      </w:r>
      <w:r w:rsidR="00275C55">
        <w:t> </w:t>
      </w:r>
      <w:r w:rsidRPr="001F4028">
        <w:t>___ [142 S. Ct. at p.</w:t>
      </w:r>
      <w:r w:rsidR="00275C55">
        <w:t> </w:t>
      </w:r>
      <w:r w:rsidRPr="001F4028">
        <w:t>1916]</w:t>
      </w:r>
      <w:r>
        <w:t xml:space="preserve">), including individual PAGA </w:t>
      </w:r>
      <w:r w:rsidR="00013E10">
        <w:t>claims</w:t>
      </w:r>
      <w:r w:rsidR="00F24A91">
        <w:t xml:space="preserve">, which, </w:t>
      </w:r>
      <w:r w:rsidR="00F24A91" w:rsidRPr="00F24A91">
        <w:t xml:space="preserve">despite </w:t>
      </w:r>
      <w:r w:rsidR="00085D63">
        <w:t xml:space="preserve">arising from </w:t>
      </w:r>
      <w:r w:rsidR="00F24A91" w:rsidRPr="00F24A91">
        <w:t xml:space="preserve">Labor Code violations the plaintiff has personally sustained, </w:t>
      </w:r>
      <w:r w:rsidR="00E23463">
        <w:t xml:space="preserve">are </w:t>
      </w:r>
      <w:r w:rsidR="00F24A91" w:rsidRPr="00F24A91">
        <w:t xml:space="preserve">still </w:t>
      </w:r>
      <w:r w:rsidR="00085D63">
        <w:t xml:space="preserve">asserted </w:t>
      </w:r>
      <w:r w:rsidR="00F24A91" w:rsidRPr="00F24A91">
        <w:t>by the plaintiff as a proxy or agent of the state (</w:t>
      </w:r>
      <w:r w:rsidR="00E23463">
        <w:t>s</w:t>
      </w:r>
      <w:r w:rsidR="00F24A91" w:rsidRPr="00F24A91">
        <w:t xml:space="preserve">ee </w:t>
      </w:r>
      <w:r w:rsidR="00F24A91" w:rsidRPr="00F24A91">
        <w:rPr>
          <w:i/>
          <w:iCs/>
        </w:rPr>
        <w:t>Iskanian</w:t>
      </w:r>
      <w:r w:rsidR="00F24A91" w:rsidRPr="00F24A91">
        <w:t xml:space="preserve">, </w:t>
      </w:r>
      <w:r w:rsidR="00F24A91" w:rsidRPr="00F24A91">
        <w:rPr>
          <w:i/>
          <w:iCs/>
        </w:rPr>
        <w:t>supra</w:t>
      </w:r>
      <w:r w:rsidR="00F24A91" w:rsidRPr="00F24A91">
        <w:t>, 59 Cal.4th at p.</w:t>
      </w:r>
      <w:r w:rsidR="00F24A91">
        <w:t> </w:t>
      </w:r>
      <w:r w:rsidR="00F24A91" w:rsidRPr="00F24A91">
        <w:t xml:space="preserve">380; </w:t>
      </w:r>
      <w:r w:rsidR="00F24A91" w:rsidRPr="00F24A91">
        <w:rPr>
          <w:i/>
          <w:iCs/>
        </w:rPr>
        <w:t>Seifu</w:t>
      </w:r>
      <w:r w:rsidR="00F24A91" w:rsidRPr="00F24A91">
        <w:t xml:space="preserve">, </w:t>
      </w:r>
      <w:r w:rsidR="00F24A91" w:rsidRPr="00F24A91">
        <w:rPr>
          <w:i/>
          <w:iCs/>
        </w:rPr>
        <w:t>supra</w:t>
      </w:r>
      <w:r w:rsidR="00F24A91" w:rsidRPr="00F24A91">
        <w:t>, 89 Cal.App.5th at p.</w:t>
      </w:r>
      <w:r w:rsidR="00F24A91">
        <w:t> </w:t>
      </w:r>
      <w:r w:rsidR="00F24A91" w:rsidRPr="00F24A91">
        <w:t>1137 [every PAGA claim is a dispute between employer and the state])</w:t>
      </w:r>
      <w:r>
        <w:t xml:space="preserve">.  </w:t>
      </w:r>
      <w:r w:rsidR="002577C3">
        <w:t xml:space="preserve">As such, </w:t>
      </w:r>
      <w:r w:rsidR="00614EB9" w:rsidRPr="002577C3">
        <w:t xml:space="preserve">a </w:t>
      </w:r>
      <w:r w:rsidR="00085D63" w:rsidRPr="002577C3">
        <w:t xml:space="preserve">claim brought in the employee’s “individual capacity” </w:t>
      </w:r>
      <w:r w:rsidR="002577C3">
        <w:t xml:space="preserve">does not reasonably </w:t>
      </w:r>
      <w:r w:rsidR="00085D63" w:rsidRPr="002577C3">
        <w:t xml:space="preserve">include a </w:t>
      </w:r>
      <w:r w:rsidR="00301CB9" w:rsidRPr="002577C3">
        <w:t>“</w:t>
      </w:r>
      <w:r w:rsidR="00660D3A" w:rsidRPr="002577C3">
        <w:t xml:space="preserve">representative” </w:t>
      </w:r>
      <w:r w:rsidRPr="002577C3">
        <w:t>claim</w:t>
      </w:r>
      <w:r w:rsidR="00085D63" w:rsidRPr="002577C3">
        <w:t xml:space="preserve"> that, by its nature, is </w:t>
      </w:r>
      <w:r w:rsidRPr="002577C3">
        <w:t>brought on behalf of the state</w:t>
      </w:r>
      <w:r w:rsidR="00085D63">
        <w:t>.</w:t>
      </w:r>
      <w:r>
        <w:t xml:space="preserve">  </w:t>
      </w:r>
      <w:r w:rsidR="00217F32">
        <w:t xml:space="preserve">(See </w:t>
      </w:r>
      <w:r w:rsidR="00217F32">
        <w:rPr>
          <w:i/>
          <w:iCs/>
        </w:rPr>
        <w:t>Iskanian</w:t>
      </w:r>
      <w:r w:rsidR="00217F32">
        <w:t>, p.</w:t>
      </w:r>
      <w:r w:rsidR="00CA5046">
        <w:t> </w:t>
      </w:r>
      <w:r w:rsidR="00217F32">
        <w:t xml:space="preserve">381 [PAGA penalties recovered on state’s behalf are </w:t>
      </w:r>
      <w:r w:rsidR="00C56A26">
        <w:t>“</w:t>
      </w:r>
      <w:r w:rsidR="00217F32">
        <w:t>distinct from</w:t>
      </w:r>
      <w:r w:rsidR="00C56A26">
        <w:t>”</w:t>
      </w:r>
      <w:r w:rsidR="00217F32">
        <w:t xml:space="preserve"> employees’ statutory damages “in their individual capacities”]</w:t>
      </w:r>
      <w:r w:rsidR="0076076D">
        <w:t>.)</w:t>
      </w:r>
    </w:p>
    <w:p w14:paraId="0A3D51CD" w14:textId="7245FCB8" w:rsidR="00C22492" w:rsidRDefault="006A6F27" w:rsidP="00073ACE">
      <w:pPr>
        <w:spacing w:line="360" w:lineRule="auto"/>
      </w:pPr>
      <w:r>
        <w:tab/>
      </w:r>
      <w:r w:rsidR="00DB08E3">
        <w:t>O</w:t>
      </w:r>
      <w:r w:rsidR="002D3BD4">
        <w:t xml:space="preserve">ther </w:t>
      </w:r>
      <w:r>
        <w:t xml:space="preserve">language in the arbitration </w:t>
      </w:r>
      <w:r w:rsidR="00217F32">
        <w:t>agreement</w:t>
      </w:r>
      <w:r w:rsidR="00DB08E3">
        <w:t xml:space="preserve"> reinforces this conclusion</w:t>
      </w:r>
      <w:r>
        <w:t xml:space="preserve">.  </w:t>
      </w:r>
      <w:r w:rsidR="002A309E">
        <w:t xml:space="preserve">(See </w:t>
      </w:r>
      <w:r w:rsidR="002A309E">
        <w:rPr>
          <w:i/>
          <w:iCs/>
        </w:rPr>
        <w:t xml:space="preserve">Waller v. Truck Ins. Exchange </w:t>
      </w:r>
      <w:r w:rsidR="002A309E">
        <w:t>(1995) 11 Cal.4</w:t>
      </w:r>
      <w:r w:rsidR="002A309E" w:rsidRPr="00DE09B3">
        <w:t>th</w:t>
      </w:r>
      <w:r w:rsidR="002A309E">
        <w:t xml:space="preserve"> 1, 18 [language in contract must be interpreted as a whole].)  </w:t>
      </w:r>
      <w:r>
        <w:t xml:space="preserve">The </w:t>
      </w:r>
      <w:r w:rsidR="00217F32">
        <w:t xml:space="preserve">arbitration </w:t>
      </w:r>
      <w:r w:rsidR="00614EB9">
        <w:t xml:space="preserve">provision covers </w:t>
      </w:r>
      <w:r w:rsidR="00217F32" w:rsidRPr="00CB6C47">
        <w:t xml:space="preserve">all </w:t>
      </w:r>
      <w:r w:rsidR="00217F32">
        <w:t xml:space="preserve">employment-related </w:t>
      </w:r>
      <w:r w:rsidR="00217F32" w:rsidRPr="00CB6C47">
        <w:t>claims</w:t>
      </w:r>
      <w:r w:rsidR="00217F32">
        <w:t xml:space="preserve"> “</w:t>
      </w:r>
      <w:r w:rsidR="00217F32" w:rsidRPr="00CB6C47">
        <w:t xml:space="preserve">that the Company may have against </w:t>
      </w:r>
      <w:r w:rsidR="00217F32" w:rsidRPr="0092576F">
        <w:rPr>
          <w:i/>
          <w:iCs/>
        </w:rPr>
        <w:t>me</w:t>
      </w:r>
      <w:r w:rsidR="00217F32" w:rsidRPr="00CB6C47">
        <w:t xml:space="preserve">, or that </w:t>
      </w:r>
      <w:r w:rsidR="00217F32" w:rsidRPr="0092576F">
        <w:rPr>
          <w:i/>
          <w:iCs/>
        </w:rPr>
        <w:t>I</w:t>
      </w:r>
      <w:r w:rsidR="00217F32" w:rsidRPr="00CB6C47">
        <w:t xml:space="preserve"> may have against the Company.” </w:t>
      </w:r>
      <w:r w:rsidR="00217F32">
        <w:t xml:space="preserve"> (Italics added.)  These </w:t>
      </w:r>
      <w:r w:rsidR="00CA5046">
        <w:t>first-person</w:t>
      </w:r>
      <w:r w:rsidR="00217F32">
        <w:t xml:space="preserve"> references cannot reasonably be construed as permitting </w:t>
      </w:r>
      <w:r w:rsidR="00CA5046">
        <w:t xml:space="preserve">an </w:t>
      </w:r>
      <w:r w:rsidR="00217F32">
        <w:t xml:space="preserve">employee to arbitrate </w:t>
      </w:r>
      <w:r w:rsidR="00007877">
        <w:t xml:space="preserve">PAGA </w:t>
      </w:r>
      <w:r w:rsidR="00BD4E52">
        <w:t>claims</w:t>
      </w:r>
      <w:r w:rsidR="00217F32">
        <w:t xml:space="preserve">, </w:t>
      </w:r>
      <w:r w:rsidR="00CA0DB1">
        <w:t xml:space="preserve">individual or nonindividual, </w:t>
      </w:r>
      <w:r w:rsidR="00217F32">
        <w:t xml:space="preserve">as those claims would belong to the state, not the employee personally.  </w:t>
      </w:r>
      <w:r w:rsidR="00CA5046">
        <w:t>(</w:t>
      </w:r>
      <w:r w:rsidR="0076076D">
        <w:t xml:space="preserve">See </w:t>
      </w:r>
      <w:r w:rsidR="00CA5046" w:rsidRPr="002F2CFA">
        <w:rPr>
          <w:i/>
          <w:iCs/>
        </w:rPr>
        <w:t>Seifu</w:t>
      </w:r>
      <w:r w:rsidR="00CA5046" w:rsidRPr="0015521D">
        <w:t>,</w:t>
      </w:r>
      <w:r w:rsidR="00CA5046">
        <w:rPr>
          <w:i/>
          <w:iCs/>
        </w:rPr>
        <w:t xml:space="preserve"> supra</w:t>
      </w:r>
      <w:r w:rsidR="00CA5046" w:rsidRPr="0015521D">
        <w:t>,</w:t>
      </w:r>
      <w:r w:rsidR="00CA5046">
        <w:rPr>
          <w:i/>
          <w:iCs/>
        </w:rPr>
        <w:t xml:space="preserve"> </w:t>
      </w:r>
      <w:r w:rsidR="00CA5046">
        <w:t>89 Cal.App.5</w:t>
      </w:r>
      <w:r w:rsidR="00CA5046" w:rsidRPr="00F24A91">
        <w:t>th</w:t>
      </w:r>
      <w:r w:rsidR="00CA5046">
        <w:t xml:space="preserve"> at p. 1137 [every PAGA claim is dispute between employer and the state]</w:t>
      </w:r>
      <w:r w:rsidR="0076076D">
        <w:t>.)</w:t>
      </w:r>
    </w:p>
    <w:p w14:paraId="2139A1FA" w14:textId="18A3B2E3" w:rsidR="00FC6554" w:rsidRPr="00FC6554" w:rsidRDefault="006A6F27" w:rsidP="00073ACE">
      <w:pPr>
        <w:spacing w:line="360" w:lineRule="auto"/>
      </w:pPr>
      <w:r>
        <w:tab/>
      </w:r>
      <w:r>
        <w:rPr>
          <w:i/>
          <w:iCs/>
        </w:rPr>
        <w:t xml:space="preserve">Viking River </w:t>
      </w:r>
      <w:r>
        <w:t>does not compel a different conclusion because</w:t>
      </w:r>
      <w:r w:rsidR="00085D63">
        <w:t xml:space="preserve"> </w:t>
      </w:r>
      <w:r w:rsidR="00007877">
        <w:t xml:space="preserve">it was </w:t>
      </w:r>
      <w:r>
        <w:t xml:space="preserve">the severability clause </w:t>
      </w:r>
      <w:r w:rsidR="00DB08E3">
        <w:t xml:space="preserve">in that case </w:t>
      </w:r>
      <w:r w:rsidR="00007877">
        <w:t xml:space="preserve">that </w:t>
      </w:r>
      <w:r>
        <w:t xml:space="preserve">permitted arbitration </w:t>
      </w:r>
      <w:r w:rsidR="00DB08E3">
        <w:t xml:space="preserve">of </w:t>
      </w:r>
      <w:r>
        <w:t>the individual PAGA claim.  (</w:t>
      </w:r>
      <w:r>
        <w:rPr>
          <w:i/>
          <w:iCs/>
        </w:rPr>
        <w:t>Viking River</w:t>
      </w:r>
      <w:r>
        <w:t xml:space="preserve">, 596 U.S. at p. ___ [142 S. Ct. at pp. 1916–1917].)  </w:t>
      </w:r>
      <w:r>
        <w:lastRenderedPageBreak/>
        <w:t xml:space="preserve">But where, as here, severance of </w:t>
      </w:r>
      <w:r w:rsidR="0019244F">
        <w:t xml:space="preserve">any portion of </w:t>
      </w:r>
      <w:r>
        <w:t xml:space="preserve">the waiver provision is expressly prohibited, and the remaining contractual language reflects an agreement to arbitrate only the employee’s own personal claims, the waiver provision cannot be construed narrowly to waive </w:t>
      </w:r>
      <w:r w:rsidRPr="00E6657C">
        <w:rPr>
          <w:i/>
          <w:iCs/>
        </w:rPr>
        <w:t>only</w:t>
      </w:r>
      <w:r>
        <w:t xml:space="preserve"> nonindividual PAGA claims.  It necessarily includes waiver of </w:t>
      </w:r>
      <w:r w:rsidR="00085D63">
        <w:t xml:space="preserve">all </w:t>
      </w:r>
      <w:r>
        <w:t xml:space="preserve">“representative” claims brought </w:t>
      </w:r>
      <w:r w:rsidR="00DB08E3">
        <w:t xml:space="preserve">on behalf of </w:t>
      </w:r>
      <w:r w:rsidR="00BD4E52">
        <w:t>the LWDA</w:t>
      </w:r>
      <w:r>
        <w:t xml:space="preserve">.  Thus, even under Heritage Bank’s mistaken view of what constitutes a wholesale PAGA waiver, the provision </w:t>
      </w:r>
      <w:r w:rsidR="00DB08E3">
        <w:t xml:space="preserve">here </w:t>
      </w:r>
      <w:r>
        <w:t>still violates public policy.</w:t>
      </w:r>
      <w:r>
        <w:rPr>
          <w:rStyle w:val="FootnoteReference"/>
        </w:rPr>
        <w:footnoteReference w:id="4"/>
      </w:r>
    </w:p>
    <w:p w14:paraId="744EB282" w14:textId="5D6F34E7" w:rsidR="001F4028" w:rsidRDefault="006A6F27" w:rsidP="00217F32">
      <w:pPr>
        <w:spacing w:line="360" w:lineRule="auto"/>
      </w:pPr>
      <w:r>
        <w:tab/>
      </w:r>
      <w:r w:rsidR="002A309E">
        <w:t>The</w:t>
      </w:r>
      <w:r>
        <w:t xml:space="preserve"> </w:t>
      </w:r>
      <w:r w:rsidRPr="00D45A4A">
        <w:t xml:space="preserve">principle of </w:t>
      </w:r>
      <w:r w:rsidRPr="00D45A4A">
        <w:rPr>
          <w:i/>
          <w:iCs/>
        </w:rPr>
        <w:t xml:space="preserve">noscitur a </w:t>
      </w:r>
      <w:r w:rsidRPr="00FD6243">
        <w:rPr>
          <w:i/>
          <w:iCs/>
        </w:rPr>
        <w:t>sociis</w:t>
      </w:r>
      <w:r w:rsidR="00CA5046">
        <w:rPr>
          <w:i/>
          <w:iCs/>
        </w:rPr>
        <w:t xml:space="preserve"> </w:t>
      </w:r>
      <w:r w:rsidR="002A309E">
        <w:t>does not assist Heritage Bank</w:t>
      </w:r>
      <w:r w:rsidR="00CA5046">
        <w:t xml:space="preserve">.  </w:t>
      </w:r>
      <w:r w:rsidR="00CA5046" w:rsidRPr="00D45A4A">
        <w:rPr>
          <w:i/>
          <w:iCs/>
        </w:rPr>
        <w:t xml:space="preserve">Noscitur a sociis </w:t>
      </w:r>
      <w:r w:rsidR="00CA5046" w:rsidRPr="00D45A4A">
        <w:t>means that “a word takes its meaning from the company it keeps.  [Citation.]</w:t>
      </w:r>
      <w:r w:rsidR="00CA5046">
        <w:t xml:space="preserve">  </w:t>
      </w:r>
      <w:r w:rsidR="00CA5046" w:rsidRPr="00D45A4A">
        <w:t>Under this principle, courts will adopt a restrictive meaning of a listed item if acceptance of a broader meaning would make other items in the list unnecessary or redundant, or would otherwise make the item markedly dissimilar to the other items in the list.”  (</w:t>
      </w:r>
      <w:r w:rsidR="00CA5046" w:rsidRPr="00D45A4A">
        <w:rPr>
          <w:i/>
          <w:iCs/>
        </w:rPr>
        <w:t>Blue Shield of California Life &amp; Health Ins. Co. v. Superior Court</w:t>
      </w:r>
      <w:r w:rsidR="00CA5046" w:rsidRPr="00D45A4A">
        <w:t xml:space="preserve"> (2011) 192 Cal.App.4th 727, 740.)</w:t>
      </w:r>
      <w:r w:rsidR="00CA5046">
        <w:t xml:space="preserve">  </w:t>
      </w:r>
      <w:r w:rsidR="002A309E">
        <w:t xml:space="preserve">Relying on this canon of construction, </w:t>
      </w:r>
      <w:r>
        <w:t xml:space="preserve">Heritage Bank maintains the word </w:t>
      </w:r>
      <w:r w:rsidRPr="00D45A4A">
        <w:t xml:space="preserve">“representative” </w:t>
      </w:r>
      <w:r>
        <w:t xml:space="preserve">must be interpreted in the context of its surrounding words—e.g., “class” and “collective” actions—to refer to procedures that allow </w:t>
      </w:r>
      <w:r w:rsidR="00275C55">
        <w:t xml:space="preserve">an employee </w:t>
      </w:r>
      <w:r>
        <w:t>to assert claims “on behalf of other employees.”</w:t>
      </w:r>
      <w:r w:rsidRPr="00D45A4A">
        <w:t xml:space="preserve"> </w:t>
      </w:r>
      <w:r>
        <w:t xml:space="preserve"> Again, we disagree.</w:t>
      </w:r>
    </w:p>
    <w:p w14:paraId="15126A63" w14:textId="2786BF93" w:rsidR="00217F32" w:rsidRDefault="006A6F27" w:rsidP="00217F32">
      <w:pPr>
        <w:spacing w:line="360" w:lineRule="auto"/>
      </w:pPr>
      <w:r>
        <w:tab/>
      </w:r>
      <w:r w:rsidR="00CA5046">
        <w:t>A</w:t>
      </w:r>
      <w:r>
        <w:t>cceptance of a b</w:t>
      </w:r>
      <w:r w:rsidRPr="00D45A4A">
        <w:t xml:space="preserve">roader construction of the word “representative” that includes both </w:t>
      </w:r>
      <w:r>
        <w:t xml:space="preserve">individual and nonindividual </w:t>
      </w:r>
      <w:r w:rsidRPr="00D45A4A">
        <w:t xml:space="preserve">PAGA </w:t>
      </w:r>
      <w:r w:rsidR="004B7933">
        <w:t xml:space="preserve">claims </w:t>
      </w:r>
      <w:r w:rsidRPr="00D45A4A">
        <w:t xml:space="preserve">would not </w:t>
      </w:r>
      <w:r>
        <w:t xml:space="preserve">make the </w:t>
      </w:r>
      <w:r>
        <w:lastRenderedPageBreak/>
        <w:t xml:space="preserve">other listed items </w:t>
      </w:r>
      <w:r w:rsidRPr="00D45A4A">
        <w:t xml:space="preserve">unnecessary or redundant.  To the contrary, an impermissible redundancy </w:t>
      </w:r>
      <w:r w:rsidR="00614EB9">
        <w:t xml:space="preserve">occurs </w:t>
      </w:r>
      <w:r w:rsidRPr="00D45A4A">
        <w:t>if we</w:t>
      </w:r>
      <w:r>
        <w:t xml:space="preserve"> </w:t>
      </w:r>
      <w:r w:rsidRPr="00275C55">
        <w:t>adopt</w:t>
      </w:r>
      <w:r>
        <w:t xml:space="preserve"> </w:t>
      </w:r>
      <w:r w:rsidRPr="00D45A4A">
        <w:t xml:space="preserve">Heritage Bank’s </w:t>
      </w:r>
      <w:r w:rsidRPr="001F4028">
        <w:rPr>
          <w:i/>
          <w:iCs/>
        </w:rPr>
        <w:t>narrower</w:t>
      </w:r>
      <w:r w:rsidRPr="00D45A4A">
        <w:t xml:space="preserve"> construction of “representative” </w:t>
      </w:r>
      <w:r>
        <w:t>to</w:t>
      </w:r>
      <w:r w:rsidR="00DE0693">
        <w:t xml:space="preserve"> mean</w:t>
      </w:r>
      <w:r>
        <w:t xml:space="preserve"> </w:t>
      </w:r>
      <w:r w:rsidRPr="00B73F9D">
        <w:rPr>
          <w:i/>
          <w:iCs/>
        </w:rPr>
        <w:t>only</w:t>
      </w:r>
      <w:r>
        <w:t xml:space="preserve"> “</w:t>
      </w:r>
      <w:r w:rsidRPr="00D45A4A">
        <w:t>on behalf of other</w:t>
      </w:r>
      <w:r>
        <w:t xml:space="preserve"> employees,” as this would be superfluous to </w:t>
      </w:r>
      <w:r w:rsidR="002A309E">
        <w:t xml:space="preserve">the notion of </w:t>
      </w:r>
      <w:r>
        <w:t xml:space="preserve">a “class” </w:t>
      </w:r>
      <w:r w:rsidR="00B339CA">
        <w:t xml:space="preserve">or “collective” </w:t>
      </w:r>
      <w:r>
        <w:t xml:space="preserve">action </w:t>
      </w:r>
      <w:r w:rsidR="00B339CA">
        <w:t xml:space="preserve">on behalf </w:t>
      </w:r>
      <w:r>
        <w:t xml:space="preserve">of </w:t>
      </w:r>
      <w:r w:rsidR="00275C55">
        <w:t xml:space="preserve">other </w:t>
      </w:r>
      <w:r>
        <w:t xml:space="preserve">employees.  </w:t>
      </w:r>
      <w:r w:rsidRPr="00D45A4A">
        <w:t xml:space="preserve">(See </w:t>
      </w:r>
      <w:r w:rsidRPr="00D45A4A">
        <w:rPr>
          <w:i/>
          <w:iCs/>
        </w:rPr>
        <w:t>Boghos v. Certain Underwriters at Lloyd’s of London</w:t>
      </w:r>
      <w:r w:rsidRPr="00D45A4A">
        <w:t xml:space="preserve"> (2005) 36 Cal.4th 495, 503 [rules of contractual interpretation require giving force and effect to every provision so as to avoid surplusage].)</w:t>
      </w:r>
      <w:r>
        <w:t xml:space="preserve">  </w:t>
      </w:r>
      <w:r w:rsidR="0076076D">
        <w:t xml:space="preserve">Meanwhile, the </w:t>
      </w:r>
      <w:r>
        <w:t xml:space="preserve">broader construction of “representative” </w:t>
      </w:r>
      <w:r w:rsidR="0076076D">
        <w:t xml:space="preserve">is not </w:t>
      </w:r>
      <w:r>
        <w:t xml:space="preserve">markedly dissimilar to the other items in the list, as they all still generally refer to claims and actions brought on behalf of another (e.g., </w:t>
      </w:r>
      <w:r w:rsidR="00275C55">
        <w:t xml:space="preserve">other </w:t>
      </w:r>
      <w:r>
        <w:t xml:space="preserve">employees, the </w:t>
      </w:r>
      <w:r w:rsidR="00DB08E3">
        <w:t>LWDA</w:t>
      </w:r>
      <w:r>
        <w:t>).</w:t>
      </w:r>
    </w:p>
    <w:p w14:paraId="16BD0DD9" w14:textId="120AF7E5" w:rsidR="00983081" w:rsidRDefault="006A6F27" w:rsidP="00217F32">
      <w:pPr>
        <w:spacing w:line="360" w:lineRule="auto"/>
      </w:pPr>
      <w:r>
        <w:tab/>
      </w:r>
      <w:r w:rsidR="0076076D">
        <w:t xml:space="preserve">For the foregoing reasons, we conclude </w:t>
      </w:r>
      <w:r w:rsidR="00E06E56">
        <w:t xml:space="preserve">the waiver provision </w:t>
      </w:r>
      <w:r w:rsidR="0076076D">
        <w:t xml:space="preserve">in the arbitration agreement </w:t>
      </w:r>
      <w:r w:rsidR="0099013E">
        <w:t xml:space="preserve">constitutes </w:t>
      </w:r>
      <w:r w:rsidR="00E06E56">
        <w:t>an unenforceable wholesale waiver of plaintiffs’ right</w:t>
      </w:r>
      <w:r w:rsidR="00762AD9">
        <w:t>s</w:t>
      </w:r>
      <w:r w:rsidR="00E06E56">
        <w:t xml:space="preserve"> to bring “representative” PAGA action</w:t>
      </w:r>
      <w:r w:rsidR="00762AD9">
        <w:t>s</w:t>
      </w:r>
      <w:r w:rsidR="002448BD">
        <w:t xml:space="preserve">.  </w:t>
      </w:r>
      <w:r w:rsidR="0076076D">
        <w:t xml:space="preserve">Further, by </w:t>
      </w:r>
      <w:r w:rsidR="002448BD">
        <w:t xml:space="preserve">operation of the </w:t>
      </w:r>
      <w:r w:rsidR="00D75B5B">
        <w:t xml:space="preserve">nonseverability and </w:t>
      </w:r>
      <w:r w:rsidR="002448BD">
        <w:t>poison pill</w:t>
      </w:r>
      <w:r w:rsidR="00DB08E3">
        <w:t xml:space="preserve"> clauses</w:t>
      </w:r>
      <w:r w:rsidR="002448BD">
        <w:t>, the unenforceability of the waiver provision renders the entire arbitration agreement null and void</w:t>
      </w:r>
      <w:r w:rsidR="00E06E56">
        <w:t xml:space="preserve">.  </w:t>
      </w:r>
      <w:r w:rsidR="0099013E">
        <w:t xml:space="preserve">Accordingly, the </w:t>
      </w:r>
      <w:r w:rsidR="00E06E56">
        <w:t>trial court properly denied the motion to compel.</w:t>
      </w:r>
    </w:p>
    <w:p w14:paraId="39794344" w14:textId="5DAF7015" w:rsidR="0043454D" w:rsidRDefault="006A6F27" w:rsidP="00116E5D">
      <w:pPr>
        <w:keepNext/>
        <w:spacing w:line="360" w:lineRule="auto"/>
        <w:jc w:val="center"/>
      </w:pPr>
      <w:r>
        <w:rPr>
          <w:b/>
          <w:bCs/>
          <w:smallCaps/>
        </w:rPr>
        <w:t>Disposition</w:t>
      </w:r>
    </w:p>
    <w:p w14:paraId="4E617193" w14:textId="0AAE0EB3" w:rsidR="00860741" w:rsidRDefault="006A6F27" w:rsidP="005217EC">
      <w:pPr>
        <w:spacing w:line="360" w:lineRule="auto"/>
      </w:pPr>
      <w:r>
        <w:tab/>
        <w:t>The trial court’s order denying the motion to compel arbitration is affirmed.  Plaintiffs are entitled to their costs on appeal.</w:t>
      </w:r>
      <w:r w:rsidR="00053C4C">
        <w:t xml:space="preserve"> </w:t>
      </w:r>
    </w:p>
    <w:p w14:paraId="52769768" w14:textId="6690FF19" w:rsidR="00BC3282" w:rsidRDefault="00BC3282" w:rsidP="005217EC">
      <w:pPr>
        <w:spacing w:line="360" w:lineRule="auto"/>
      </w:pPr>
    </w:p>
    <w:p w14:paraId="639753F9" w14:textId="3F7D54E5" w:rsidR="003A0406" w:rsidRDefault="003A0406" w:rsidP="005217EC">
      <w:pPr>
        <w:spacing w:line="360" w:lineRule="auto"/>
      </w:pPr>
    </w:p>
    <w:p w14:paraId="462E9C13" w14:textId="0526584D" w:rsidR="003A0406" w:rsidRDefault="003A0406" w:rsidP="005217EC">
      <w:pPr>
        <w:spacing w:line="360" w:lineRule="auto"/>
      </w:pPr>
    </w:p>
    <w:p w14:paraId="2B163BD2" w14:textId="0F01A376" w:rsidR="003A0406" w:rsidRDefault="003A0406" w:rsidP="005217EC">
      <w:pPr>
        <w:spacing w:line="360" w:lineRule="auto"/>
      </w:pPr>
    </w:p>
    <w:p w14:paraId="4CE893DF" w14:textId="117DC016" w:rsidR="003A0406" w:rsidRDefault="003A0406" w:rsidP="005217EC">
      <w:pPr>
        <w:spacing w:line="360" w:lineRule="auto"/>
      </w:pPr>
    </w:p>
    <w:p w14:paraId="203EB8F4" w14:textId="214A1B85" w:rsidR="003A0406" w:rsidRDefault="003A0406" w:rsidP="005217EC">
      <w:pPr>
        <w:spacing w:line="360" w:lineRule="auto"/>
      </w:pPr>
    </w:p>
    <w:p w14:paraId="4BD51722" w14:textId="77777777" w:rsidR="00C3099D" w:rsidRDefault="00C3099D" w:rsidP="00C3099D">
      <w:pPr>
        <w:tabs>
          <w:tab w:val="clear" w:pos="720"/>
        </w:tabs>
        <w:spacing w:line="240" w:lineRule="auto"/>
      </w:pPr>
      <w:bookmarkStart w:id="1" w:name="_Hlk137541556"/>
    </w:p>
    <w:p w14:paraId="227583F4" w14:textId="77777777" w:rsidR="00C3099D" w:rsidRDefault="00C3099D" w:rsidP="00C3099D">
      <w:pPr>
        <w:tabs>
          <w:tab w:val="clear" w:pos="720"/>
        </w:tabs>
        <w:spacing w:line="240" w:lineRule="auto"/>
      </w:pPr>
    </w:p>
    <w:p w14:paraId="359DCECB" w14:textId="48E55EE0" w:rsidR="00BC3282" w:rsidRPr="00BC3282" w:rsidRDefault="006A6F27" w:rsidP="00C3099D">
      <w:pPr>
        <w:tabs>
          <w:tab w:val="clear" w:pos="720"/>
        </w:tabs>
        <w:spacing w:line="240" w:lineRule="auto"/>
        <w:ind w:left="3600" w:firstLine="720"/>
        <w:rPr>
          <w:rFonts w:eastAsia="Calibri" w:cs="Times New Roman"/>
          <w:kern w:val="0"/>
          <w14:ligatures w14:val="none"/>
        </w:rPr>
      </w:pPr>
      <w:r w:rsidRPr="00BC3282">
        <w:rPr>
          <w:rFonts w:eastAsia="Calibri" w:cs="Times New Roman"/>
          <w:kern w:val="0"/>
          <w14:ligatures w14:val="none"/>
        </w:rPr>
        <w:lastRenderedPageBreak/>
        <w:t>_________________________</w:t>
      </w:r>
    </w:p>
    <w:p w14:paraId="02131658" w14:textId="77777777" w:rsidR="00BC3282" w:rsidRPr="00BC3282" w:rsidRDefault="006A6F27" w:rsidP="00BC3282">
      <w:pPr>
        <w:tabs>
          <w:tab w:val="clear" w:pos="720"/>
        </w:tabs>
        <w:spacing w:line="240" w:lineRule="auto"/>
        <w:rPr>
          <w:rFonts w:eastAsia="Calibri" w:cs="Times New Roman"/>
          <w:kern w:val="0"/>
          <w14:ligatures w14:val="none"/>
        </w:rPr>
      </w:pPr>
      <w:r w:rsidRPr="00BC3282">
        <w:rPr>
          <w:rFonts w:eastAsia="Calibri" w:cs="Times New Roman"/>
          <w:kern w:val="0"/>
          <w14:ligatures w14:val="none"/>
        </w:rPr>
        <w:tab/>
      </w:r>
      <w:r w:rsidRPr="00BC3282">
        <w:rPr>
          <w:rFonts w:eastAsia="Calibri" w:cs="Times New Roman"/>
          <w:kern w:val="0"/>
          <w14:ligatures w14:val="none"/>
        </w:rPr>
        <w:tab/>
      </w:r>
      <w:r w:rsidRPr="00BC3282">
        <w:rPr>
          <w:rFonts w:eastAsia="Calibri" w:cs="Times New Roman"/>
          <w:kern w:val="0"/>
          <w14:ligatures w14:val="none"/>
        </w:rPr>
        <w:tab/>
      </w:r>
      <w:r w:rsidRPr="00BC3282">
        <w:rPr>
          <w:rFonts w:eastAsia="Calibri" w:cs="Times New Roman"/>
          <w:kern w:val="0"/>
          <w14:ligatures w14:val="none"/>
        </w:rPr>
        <w:tab/>
      </w:r>
      <w:r w:rsidRPr="00BC3282">
        <w:rPr>
          <w:rFonts w:eastAsia="Calibri" w:cs="Times New Roman"/>
          <w:kern w:val="0"/>
          <w14:ligatures w14:val="none"/>
        </w:rPr>
        <w:tab/>
      </w:r>
      <w:r w:rsidRPr="00BC3282">
        <w:rPr>
          <w:rFonts w:eastAsia="Calibri" w:cs="Times New Roman"/>
          <w:kern w:val="0"/>
          <w14:ligatures w14:val="none"/>
        </w:rPr>
        <w:tab/>
        <w:t>Fujisaki, J.</w:t>
      </w:r>
    </w:p>
    <w:p w14:paraId="314CE438" w14:textId="77777777" w:rsidR="00BC3282" w:rsidRPr="00BC3282" w:rsidRDefault="00BC3282" w:rsidP="00BC3282">
      <w:pPr>
        <w:tabs>
          <w:tab w:val="clear" w:pos="720"/>
        </w:tabs>
        <w:spacing w:line="240" w:lineRule="auto"/>
        <w:rPr>
          <w:rFonts w:eastAsia="Calibri" w:cs="Times New Roman"/>
          <w:kern w:val="0"/>
          <w14:ligatures w14:val="none"/>
        </w:rPr>
      </w:pPr>
    </w:p>
    <w:p w14:paraId="6DDBFF4D" w14:textId="77777777" w:rsidR="00BC3282" w:rsidRPr="00BC3282" w:rsidRDefault="00BC3282" w:rsidP="00BC3282">
      <w:pPr>
        <w:tabs>
          <w:tab w:val="clear" w:pos="720"/>
        </w:tabs>
        <w:spacing w:line="240" w:lineRule="auto"/>
        <w:rPr>
          <w:rFonts w:eastAsia="Calibri" w:cs="Times New Roman"/>
          <w:kern w:val="0"/>
          <w14:ligatures w14:val="none"/>
        </w:rPr>
      </w:pPr>
    </w:p>
    <w:p w14:paraId="2BDE1E57" w14:textId="77777777" w:rsidR="00BC3282" w:rsidRPr="00BC3282" w:rsidRDefault="006A6F27" w:rsidP="00BC3282">
      <w:pPr>
        <w:tabs>
          <w:tab w:val="clear" w:pos="720"/>
        </w:tabs>
        <w:spacing w:line="240" w:lineRule="auto"/>
        <w:rPr>
          <w:rFonts w:eastAsia="Calibri" w:cs="Times New Roman"/>
          <w:kern w:val="0"/>
          <w14:ligatures w14:val="none"/>
        </w:rPr>
      </w:pPr>
      <w:r w:rsidRPr="00BC3282">
        <w:rPr>
          <w:rFonts w:eastAsia="Calibri" w:cs="Times New Roman"/>
          <w:kern w:val="0"/>
          <w14:ligatures w14:val="none"/>
        </w:rPr>
        <w:t>WE CONCUR:</w:t>
      </w:r>
    </w:p>
    <w:p w14:paraId="033EC2B4" w14:textId="77777777" w:rsidR="00BC3282" w:rsidRPr="00BC3282" w:rsidRDefault="00BC3282" w:rsidP="00BC3282">
      <w:pPr>
        <w:tabs>
          <w:tab w:val="clear" w:pos="720"/>
        </w:tabs>
        <w:spacing w:line="240" w:lineRule="auto"/>
        <w:rPr>
          <w:rFonts w:eastAsia="Calibri" w:cs="Times New Roman"/>
          <w:kern w:val="0"/>
          <w14:ligatures w14:val="none"/>
        </w:rPr>
      </w:pPr>
    </w:p>
    <w:p w14:paraId="19C037BA" w14:textId="77777777" w:rsidR="00BC3282" w:rsidRPr="00BC3282" w:rsidRDefault="00BC3282" w:rsidP="00BC3282">
      <w:pPr>
        <w:tabs>
          <w:tab w:val="clear" w:pos="720"/>
        </w:tabs>
        <w:spacing w:line="240" w:lineRule="auto"/>
        <w:rPr>
          <w:rFonts w:eastAsia="Calibri" w:cs="Times New Roman"/>
          <w:kern w:val="0"/>
          <w14:ligatures w14:val="none"/>
        </w:rPr>
      </w:pPr>
    </w:p>
    <w:p w14:paraId="7E26A739" w14:textId="77777777" w:rsidR="00BC3282" w:rsidRPr="00BC3282" w:rsidRDefault="006A6F27" w:rsidP="00BC3282">
      <w:pPr>
        <w:tabs>
          <w:tab w:val="clear" w:pos="720"/>
        </w:tabs>
        <w:spacing w:line="240" w:lineRule="auto"/>
        <w:rPr>
          <w:rFonts w:eastAsia="Calibri" w:cs="Times New Roman"/>
          <w:kern w:val="0"/>
          <w14:ligatures w14:val="none"/>
        </w:rPr>
      </w:pPr>
      <w:r w:rsidRPr="00BC3282">
        <w:rPr>
          <w:rFonts w:eastAsia="Calibri" w:cs="Times New Roman"/>
          <w:kern w:val="0"/>
          <w14:ligatures w14:val="none"/>
        </w:rPr>
        <w:t>_________________________</w:t>
      </w:r>
    </w:p>
    <w:p w14:paraId="2BEA1F95" w14:textId="77777777" w:rsidR="00BC3282" w:rsidRPr="00BC3282" w:rsidRDefault="006A6F27" w:rsidP="00BC3282">
      <w:pPr>
        <w:tabs>
          <w:tab w:val="clear" w:pos="720"/>
        </w:tabs>
        <w:spacing w:line="240" w:lineRule="auto"/>
        <w:rPr>
          <w:rFonts w:eastAsia="Calibri" w:cs="Times New Roman"/>
          <w:kern w:val="0"/>
          <w14:ligatures w14:val="none"/>
        </w:rPr>
      </w:pPr>
      <w:r w:rsidRPr="00BC3282">
        <w:rPr>
          <w:rFonts w:eastAsia="Calibri" w:cs="Times New Roman"/>
          <w:kern w:val="0"/>
          <w14:ligatures w14:val="none"/>
        </w:rPr>
        <w:t>Tucher, P.J.</w:t>
      </w:r>
    </w:p>
    <w:p w14:paraId="4FCA63EE" w14:textId="77777777" w:rsidR="00BC3282" w:rsidRPr="00BC3282" w:rsidRDefault="00BC3282" w:rsidP="00BC3282">
      <w:pPr>
        <w:tabs>
          <w:tab w:val="clear" w:pos="720"/>
        </w:tabs>
        <w:spacing w:line="240" w:lineRule="auto"/>
        <w:rPr>
          <w:rFonts w:eastAsia="Calibri" w:cs="Times New Roman"/>
          <w:kern w:val="0"/>
          <w14:ligatures w14:val="none"/>
        </w:rPr>
      </w:pPr>
    </w:p>
    <w:p w14:paraId="22688245" w14:textId="77777777" w:rsidR="00BC3282" w:rsidRPr="00BC3282" w:rsidRDefault="00BC3282" w:rsidP="00BC3282">
      <w:pPr>
        <w:tabs>
          <w:tab w:val="clear" w:pos="720"/>
        </w:tabs>
        <w:spacing w:line="240" w:lineRule="auto"/>
        <w:rPr>
          <w:rFonts w:eastAsia="Calibri" w:cs="Times New Roman"/>
          <w:kern w:val="0"/>
          <w14:ligatures w14:val="none"/>
        </w:rPr>
      </w:pPr>
    </w:p>
    <w:p w14:paraId="1E5A5E9F" w14:textId="77777777" w:rsidR="00BC3282" w:rsidRPr="00BC3282" w:rsidRDefault="006A6F27" w:rsidP="00BC3282">
      <w:pPr>
        <w:tabs>
          <w:tab w:val="clear" w:pos="720"/>
        </w:tabs>
        <w:spacing w:line="240" w:lineRule="auto"/>
        <w:rPr>
          <w:rFonts w:eastAsia="Calibri" w:cs="Times New Roman"/>
          <w:kern w:val="0"/>
          <w14:ligatures w14:val="none"/>
        </w:rPr>
      </w:pPr>
      <w:r w:rsidRPr="00BC3282">
        <w:rPr>
          <w:rFonts w:eastAsia="Calibri" w:cs="Times New Roman"/>
          <w:kern w:val="0"/>
          <w14:ligatures w14:val="none"/>
        </w:rPr>
        <w:t>_________________________</w:t>
      </w:r>
    </w:p>
    <w:p w14:paraId="0BECAD2B" w14:textId="0EF67C46" w:rsidR="00BC3282" w:rsidRPr="00BC3282" w:rsidRDefault="006A6F27" w:rsidP="00BC3282">
      <w:pPr>
        <w:tabs>
          <w:tab w:val="clear" w:pos="720"/>
        </w:tabs>
        <w:spacing w:line="240" w:lineRule="auto"/>
        <w:rPr>
          <w:rFonts w:eastAsia="Calibri" w:cs="Times New Roman"/>
          <w:kern w:val="0"/>
          <w14:ligatures w14:val="none"/>
        </w:rPr>
      </w:pPr>
      <w:r>
        <w:rPr>
          <w:rFonts w:eastAsia="Calibri" w:cs="Times New Roman"/>
          <w:kern w:val="0"/>
          <w:lang w:val="es-MX"/>
          <w14:ligatures w14:val="none"/>
        </w:rPr>
        <w:t>Petrou</w:t>
      </w:r>
      <w:r w:rsidRPr="00BC3282">
        <w:rPr>
          <w:rFonts w:eastAsia="Calibri" w:cs="Times New Roman"/>
          <w:kern w:val="0"/>
          <w14:ligatures w14:val="none"/>
        </w:rPr>
        <w:t>, J.</w:t>
      </w:r>
    </w:p>
    <w:p w14:paraId="11BBEEF7" w14:textId="77777777" w:rsidR="00BC3282" w:rsidRPr="00BC3282" w:rsidRDefault="00BC3282" w:rsidP="00BC3282">
      <w:pPr>
        <w:tabs>
          <w:tab w:val="clear" w:pos="720"/>
        </w:tabs>
        <w:spacing w:line="240" w:lineRule="auto"/>
        <w:rPr>
          <w:rFonts w:eastAsia="Calibri" w:cs="Times New Roman"/>
          <w:kern w:val="0"/>
          <w14:ligatures w14:val="none"/>
        </w:rPr>
      </w:pPr>
    </w:p>
    <w:p w14:paraId="71CB30E0" w14:textId="4CDE9A3D" w:rsidR="00BC3282" w:rsidRDefault="00BC3282" w:rsidP="00BC3282">
      <w:pPr>
        <w:tabs>
          <w:tab w:val="clear" w:pos="720"/>
        </w:tabs>
        <w:spacing w:line="240" w:lineRule="auto"/>
        <w:rPr>
          <w:rFonts w:eastAsia="Calibri" w:cs="Times New Roman"/>
          <w:kern w:val="0"/>
          <w14:ligatures w14:val="none"/>
        </w:rPr>
      </w:pPr>
    </w:p>
    <w:p w14:paraId="12CFED88" w14:textId="4DD825F0" w:rsidR="003A0406" w:rsidRDefault="003A0406" w:rsidP="00BC3282">
      <w:pPr>
        <w:tabs>
          <w:tab w:val="clear" w:pos="720"/>
        </w:tabs>
        <w:spacing w:line="240" w:lineRule="auto"/>
        <w:rPr>
          <w:rFonts w:eastAsia="Calibri" w:cs="Times New Roman"/>
          <w:kern w:val="0"/>
          <w14:ligatures w14:val="none"/>
        </w:rPr>
      </w:pPr>
    </w:p>
    <w:p w14:paraId="7834567B" w14:textId="0AE694EA" w:rsidR="003A0406" w:rsidRDefault="003A0406" w:rsidP="00BC3282">
      <w:pPr>
        <w:tabs>
          <w:tab w:val="clear" w:pos="720"/>
        </w:tabs>
        <w:spacing w:line="240" w:lineRule="auto"/>
        <w:rPr>
          <w:rFonts w:eastAsia="Calibri" w:cs="Times New Roman"/>
          <w:kern w:val="0"/>
          <w14:ligatures w14:val="none"/>
        </w:rPr>
      </w:pPr>
    </w:p>
    <w:p w14:paraId="4AEB7B98" w14:textId="46F164F6" w:rsidR="003A0406" w:rsidRDefault="003A0406" w:rsidP="00BC3282">
      <w:pPr>
        <w:tabs>
          <w:tab w:val="clear" w:pos="720"/>
        </w:tabs>
        <w:spacing w:line="240" w:lineRule="auto"/>
        <w:rPr>
          <w:rFonts w:eastAsia="Calibri" w:cs="Times New Roman"/>
          <w:kern w:val="0"/>
          <w14:ligatures w14:val="none"/>
        </w:rPr>
      </w:pPr>
    </w:p>
    <w:p w14:paraId="35BB1D0A" w14:textId="6655E325" w:rsidR="003A0406" w:rsidRDefault="003A0406" w:rsidP="00BC3282">
      <w:pPr>
        <w:tabs>
          <w:tab w:val="clear" w:pos="720"/>
        </w:tabs>
        <w:spacing w:line="240" w:lineRule="auto"/>
        <w:rPr>
          <w:rFonts w:eastAsia="Calibri" w:cs="Times New Roman"/>
          <w:kern w:val="0"/>
          <w14:ligatures w14:val="none"/>
        </w:rPr>
      </w:pPr>
    </w:p>
    <w:p w14:paraId="07F7EC78" w14:textId="4D376BE5" w:rsidR="003A0406" w:rsidRDefault="003A0406" w:rsidP="00BC3282">
      <w:pPr>
        <w:tabs>
          <w:tab w:val="clear" w:pos="720"/>
        </w:tabs>
        <w:spacing w:line="240" w:lineRule="auto"/>
        <w:rPr>
          <w:rFonts w:eastAsia="Calibri" w:cs="Times New Roman"/>
          <w:kern w:val="0"/>
          <w14:ligatures w14:val="none"/>
        </w:rPr>
      </w:pPr>
    </w:p>
    <w:p w14:paraId="623301C9" w14:textId="59D874CD" w:rsidR="003A0406" w:rsidRDefault="003A0406" w:rsidP="00BC3282">
      <w:pPr>
        <w:tabs>
          <w:tab w:val="clear" w:pos="720"/>
        </w:tabs>
        <w:spacing w:line="240" w:lineRule="auto"/>
        <w:rPr>
          <w:rFonts w:eastAsia="Calibri" w:cs="Times New Roman"/>
          <w:kern w:val="0"/>
          <w14:ligatures w14:val="none"/>
        </w:rPr>
      </w:pPr>
    </w:p>
    <w:p w14:paraId="6005D52E" w14:textId="5AD03773" w:rsidR="003A0406" w:rsidRDefault="003A0406" w:rsidP="00BC3282">
      <w:pPr>
        <w:tabs>
          <w:tab w:val="clear" w:pos="720"/>
        </w:tabs>
        <w:spacing w:line="240" w:lineRule="auto"/>
        <w:rPr>
          <w:rFonts w:eastAsia="Calibri" w:cs="Times New Roman"/>
          <w:kern w:val="0"/>
          <w14:ligatures w14:val="none"/>
        </w:rPr>
      </w:pPr>
    </w:p>
    <w:p w14:paraId="00EC2CA5" w14:textId="7F795EB3" w:rsidR="003A0406" w:rsidRDefault="003A0406" w:rsidP="00BC3282">
      <w:pPr>
        <w:tabs>
          <w:tab w:val="clear" w:pos="720"/>
        </w:tabs>
        <w:spacing w:line="240" w:lineRule="auto"/>
        <w:rPr>
          <w:rFonts w:eastAsia="Calibri" w:cs="Times New Roman"/>
          <w:kern w:val="0"/>
          <w14:ligatures w14:val="none"/>
        </w:rPr>
      </w:pPr>
    </w:p>
    <w:p w14:paraId="6E32F209" w14:textId="337C3623" w:rsidR="003A0406" w:rsidRDefault="003A0406" w:rsidP="00BC3282">
      <w:pPr>
        <w:tabs>
          <w:tab w:val="clear" w:pos="720"/>
        </w:tabs>
        <w:spacing w:line="240" w:lineRule="auto"/>
        <w:rPr>
          <w:rFonts w:eastAsia="Calibri" w:cs="Times New Roman"/>
          <w:kern w:val="0"/>
          <w14:ligatures w14:val="none"/>
        </w:rPr>
      </w:pPr>
    </w:p>
    <w:p w14:paraId="3F35A1B9" w14:textId="078A1B37" w:rsidR="003A0406" w:rsidRDefault="003A0406" w:rsidP="00BC3282">
      <w:pPr>
        <w:tabs>
          <w:tab w:val="clear" w:pos="720"/>
        </w:tabs>
        <w:spacing w:line="240" w:lineRule="auto"/>
        <w:rPr>
          <w:rFonts w:eastAsia="Calibri" w:cs="Times New Roman"/>
          <w:kern w:val="0"/>
          <w14:ligatures w14:val="none"/>
        </w:rPr>
      </w:pPr>
    </w:p>
    <w:p w14:paraId="5842BAC3" w14:textId="1303A402" w:rsidR="003A0406" w:rsidRDefault="003A0406" w:rsidP="00BC3282">
      <w:pPr>
        <w:tabs>
          <w:tab w:val="clear" w:pos="720"/>
        </w:tabs>
        <w:spacing w:line="240" w:lineRule="auto"/>
        <w:rPr>
          <w:rFonts w:eastAsia="Calibri" w:cs="Times New Roman"/>
          <w:kern w:val="0"/>
          <w14:ligatures w14:val="none"/>
        </w:rPr>
      </w:pPr>
    </w:p>
    <w:p w14:paraId="0DB79A0D" w14:textId="579D9679" w:rsidR="003A0406" w:rsidRDefault="003A0406" w:rsidP="00BC3282">
      <w:pPr>
        <w:tabs>
          <w:tab w:val="clear" w:pos="720"/>
        </w:tabs>
        <w:spacing w:line="240" w:lineRule="auto"/>
        <w:rPr>
          <w:rFonts w:eastAsia="Calibri" w:cs="Times New Roman"/>
          <w:kern w:val="0"/>
          <w14:ligatures w14:val="none"/>
        </w:rPr>
      </w:pPr>
    </w:p>
    <w:p w14:paraId="53A2912C" w14:textId="1EA8306F" w:rsidR="003A0406" w:rsidRDefault="003A0406" w:rsidP="00BC3282">
      <w:pPr>
        <w:tabs>
          <w:tab w:val="clear" w:pos="720"/>
        </w:tabs>
        <w:spacing w:line="240" w:lineRule="auto"/>
        <w:rPr>
          <w:rFonts w:eastAsia="Calibri" w:cs="Times New Roman"/>
          <w:kern w:val="0"/>
          <w14:ligatures w14:val="none"/>
        </w:rPr>
      </w:pPr>
    </w:p>
    <w:p w14:paraId="3556D7EF" w14:textId="5FA6BBD9" w:rsidR="003A0406" w:rsidRDefault="003A0406" w:rsidP="00BC3282">
      <w:pPr>
        <w:tabs>
          <w:tab w:val="clear" w:pos="720"/>
        </w:tabs>
        <w:spacing w:line="240" w:lineRule="auto"/>
        <w:rPr>
          <w:rFonts w:eastAsia="Calibri" w:cs="Times New Roman"/>
          <w:kern w:val="0"/>
          <w14:ligatures w14:val="none"/>
        </w:rPr>
      </w:pPr>
    </w:p>
    <w:p w14:paraId="1A814D60" w14:textId="6D8211AC" w:rsidR="003A0406" w:rsidRDefault="003A0406" w:rsidP="00BC3282">
      <w:pPr>
        <w:tabs>
          <w:tab w:val="clear" w:pos="720"/>
        </w:tabs>
        <w:spacing w:line="240" w:lineRule="auto"/>
        <w:rPr>
          <w:rFonts w:eastAsia="Calibri" w:cs="Times New Roman"/>
          <w:kern w:val="0"/>
          <w14:ligatures w14:val="none"/>
        </w:rPr>
      </w:pPr>
    </w:p>
    <w:p w14:paraId="31ECDD5C" w14:textId="77777777" w:rsidR="003A0406" w:rsidRPr="00BC3282" w:rsidRDefault="003A0406" w:rsidP="00BC3282">
      <w:pPr>
        <w:tabs>
          <w:tab w:val="clear" w:pos="720"/>
        </w:tabs>
        <w:spacing w:line="240" w:lineRule="auto"/>
        <w:rPr>
          <w:rFonts w:eastAsia="Calibri" w:cs="Times New Roman"/>
          <w:kern w:val="0"/>
          <w14:ligatures w14:val="none"/>
        </w:rPr>
      </w:pPr>
    </w:p>
    <w:p w14:paraId="1B1EF597" w14:textId="77777777" w:rsidR="00BC3282" w:rsidRPr="00BC3282" w:rsidRDefault="00BC3282" w:rsidP="00BC3282">
      <w:pPr>
        <w:tabs>
          <w:tab w:val="clear" w:pos="720"/>
        </w:tabs>
        <w:spacing w:line="240" w:lineRule="auto"/>
        <w:rPr>
          <w:rFonts w:eastAsia="Calibri" w:cs="Times New Roman"/>
          <w:kern w:val="0"/>
          <w14:ligatures w14:val="none"/>
        </w:rPr>
      </w:pPr>
    </w:p>
    <w:p w14:paraId="0DC07135" w14:textId="51C25BF3" w:rsidR="00BC3282" w:rsidRPr="00BC3282" w:rsidRDefault="006A6F27" w:rsidP="00BC3282">
      <w:pPr>
        <w:tabs>
          <w:tab w:val="clear" w:pos="720"/>
        </w:tabs>
        <w:spacing w:line="240" w:lineRule="auto"/>
        <w:rPr>
          <w:rFonts w:eastAsia="Calibri" w:cs="Times New Roman"/>
          <w:kern w:val="0"/>
          <w:sz w:val="16"/>
          <w:szCs w:val="16"/>
          <w14:ligatures w14:val="none"/>
        </w:rPr>
      </w:pPr>
      <w:r>
        <w:rPr>
          <w:rFonts w:eastAsia="Calibri" w:cs="Times New Roman"/>
          <w:i/>
          <w:kern w:val="0"/>
          <w:sz w:val="16"/>
          <w:szCs w:val="16"/>
          <w14:ligatures w14:val="none"/>
        </w:rPr>
        <w:t>DeMarinis v. Heritage Bank</w:t>
      </w:r>
      <w:r w:rsidRPr="00BC3282">
        <w:rPr>
          <w:rFonts w:eastAsia="Calibri" w:cs="Times New Roman"/>
          <w:i/>
          <w:kern w:val="0"/>
          <w:sz w:val="16"/>
          <w:szCs w:val="16"/>
          <w14:ligatures w14:val="none"/>
        </w:rPr>
        <w:t xml:space="preserve"> </w:t>
      </w:r>
      <w:r w:rsidRPr="00BC3282">
        <w:rPr>
          <w:rFonts w:eastAsia="Calibri" w:cs="Times New Roman"/>
          <w:kern w:val="0"/>
          <w:sz w:val="16"/>
          <w:szCs w:val="16"/>
          <w14:ligatures w14:val="none"/>
        </w:rPr>
        <w:t>(A16</w:t>
      </w:r>
      <w:r>
        <w:rPr>
          <w:rFonts w:eastAsia="Calibri" w:cs="Times New Roman"/>
          <w:kern w:val="0"/>
          <w:sz w:val="16"/>
          <w:szCs w:val="16"/>
          <w14:ligatures w14:val="none"/>
        </w:rPr>
        <w:t>7091</w:t>
      </w:r>
      <w:r w:rsidRPr="00BC3282">
        <w:rPr>
          <w:rFonts w:eastAsia="Calibri" w:cs="Times New Roman"/>
          <w:kern w:val="0"/>
          <w:sz w:val="16"/>
          <w:szCs w:val="16"/>
          <w14:ligatures w14:val="none"/>
        </w:rPr>
        <w:t>)</w:t>
      </w:r>
    </w:p>
    <w:bookmarkEnd w:id="1"/>
    <w:p w14:paraId="5172A664" w14:textId="77777777" w:rsidR="00022B63" w:rsidRDefault="00022B63" w:rsidP="005217EC">
      <w:pPr>
        <w:spacing w:line="360" w:lineRule="auto"/>
        <w:sectPr w:rsidR="00022B63" w:rsidSect="00AF006E">
          <w:footerReference w:type="even" r:id="rId8"/>
          <w:footerReference w:type="default" r:id="rId9"/>
          <w:pgSz w:w="12240" w:h="15840"/>
          <w:pgMar w:top="1440" w:right="1440" w:bottom="1440" w:left="1440" w:header="720" w:footer="720" w:gutter="0"/>
          <w:cols w:space="720"/>
          <w:docGrid w:linePitch="360"/>
        </w:sectPr>
      </w:pPr>
    </w:p>
    <w:p w14:paraId="2292ED2C" w14:textId="77777777" w:rsidR="00022B63" w:rsidRPr="00022B63" w:rsidRDefault="00022B63" w:rsidP="00022B63">
      <w:pPr>
        <w:suppressAutoHyphens/>
        <w:autoSpaceDN w:val="0"/>
        <w:spacing w:line="240" w:lineRule="auto"/>
        <w:rPr>
          <w:rFonts w:eastAsia="Calibri" w:cs="Times New Roman"/>
          <w:kern w:val="0"/>
          <w:sz w:val="20"/>
          <w14:ligatures w14:val="none"/>
        </w:rPr>
      </w:pPr>
      <w:r w:rsidRPr="00022B63">
        <w:rPr>
          <w:rFonts w:eastAsia="Calibri" w:cs="Times New Roman"/>
          <w:kern w:val="0"/>
          <w:sz w:val="20"/>
          <w14:ligatures w14:val="none"/>
        </w:rPr>
        <w:lastRenderedPageBreak/>
        <w:t>Filed 1/8/24</w:t>
      </w:r>
    </w:p>
    <w:p w14:paraId="79A175FD" w14:textId="77777777" w:rsidR="00022B63" w:rsidRPr="00022B63" w:rsidRDefault="00022B63" w:rsidP="00022B63">
      <w:pPr>
        <w:suppressAutoHyphens/>
        <w:autoSpaceDN w:val="0"/>
        <w:spacing w:line="240" w:lineRule="auto"/>
        <w:jc w:val="center"/>
        <w:rPr>
          <w:rFonts w:eastAsia="Calibri" w:cs="Times New Roman"/>
          <w:b/>
          <w:kern w:val="0"/>
          <w14:ligatures w14:val="none"/>
        </w:rPr>
      </w:pPr>
      <w:r w:rsidRPr="00022B63">
        <w:rPr>
          <w:rFonts w:eastAsia="Calibri" w:cs="Times New Roman"/>
          <w:b/>
          <w:kern w:val="0"/>
          <w14:ligatures w14:val="none"/>
        </w:rPr>
        <w:t>CERTIFIED FOR PUBLICATION</w:t>
      </w:r>
    </w:p>
    <w:p w14:paraId="42387647" w14:textId="77777777" w:rsidR="00022B63" w:rsidRPr="00022B63" w:rsidRDefault="00022B63" w:rsidP="00022B63">
      <w:pPr>
        <w:suppressAutoHyphens/>
        <w:autoSpaceDN w:val="0"/>
        <w:spacing w:line="240" w:lineRule="auto"/>
        <w:rPr>
          <w:rFonts w:eastAsia="Calibri" w:cs="Times New Roman"/>
          <w:b/>
          <w:kern w:val="0"/>
          <w14:ligatures w14:val="none"/>
        </w:rPr>
      </w:pPr>
    </w:p>
    <w:p w14:paraId="0B1E55F1" w14:textId="77777777" w:rsidR="00022B63" w:rsidRPr="00022B63" w:rsidRDefault="00022B63" w:rsidP="00022B63">
      <w:pPr>
        <w:suppressAutoHyphens/>
        <w:autoSpaceDN w:val="0"/>
        <w:spacing w:line="240" w:lineRule="auto"/>
        <w:jc w:val="center"/>
        <w:rPr>
          <w:rFonts w:eastAsia="Calibri" w:cs="Times New Roman"/>
          <w:kern w:val="0"/>
          <w14:ligatures w14:val="none"/>
        </w:rPr>
      </w:pPr>
      <w:r w:rsidRPr="00022B63">
        <w:rPr>
          <w:rFonts w:eastAsia="Calibri" w:cs="Times New Roman"/>
          <w:kern w:val="0"/>
          <w14:ligatures w14:val="none"/>
        </w:rPr>
        <w:t>IN THE COURT OF APPEAL OF THE STATE OF CALIFORNIA</w:t>
      </w:r>
    </w:p>
    <w:p w14:paraId="25D3B15B" w14:textId="77777777" w:rsidR="00022B63" w:rsidRPr="00022B63" w:rsidRDefault="00022B63" w:rsidP="00022B63">
      <w:pPr>
        <w:suppressAutoHyphens/>
        <w:autoSpaceDN w:val="0"/>
        <w:spacing w:line="240" w:lineRule="auto"/>
        <w:jc w:val="center"/>
        <w:rPr>
          <w:rFonts w:eastAsia="Calibri" w:cs="Times New Roman"/>
          <w:kern w:val="0"/>
          <w14:ligatures w14:val="none"/>
        </w:rPr>
      </w:pPr>
    </w:p>
    <w:p w14:paraId="4547A961" w14:textId="77777777" w:rsidR="00022B63" w:rsidRPr="00022B63" w:rsidRDefault="00022B63" w:rsidP="00022B63">
      <w:pPr>
        <w:suppressAutoHyphens/>
        <w:autoSpaceDN w:val="0"/>
        <w:spacing w:line="240" w:lineRule="auto"/>
        <w:jc w:val="center"/>
        <w:rPr>
          <w:rFonts w:eastAsia="Calibri" w:cs="Times New Roman"/>
          <w:kern w:val="0"/>
          <w14:ligatures w14:val="none"/>
        </w:rPr>
      </w:pPr>
      <w:r w:rsidRPr="00022B63">
        <w:rPr>
          <w:rFonts w:eastAsia="Calibri" w:cs="Times New Roman"/>
          <w:kern w:val="0"/>
          <w14:ligatures w14:val="none"/>
        </w:rPr>
        <w:t>FIRST APPELLATE DISTRICT</w:t>
      </w:r>
    </w:p>
    <w:p w14:paraId="6939C65A" w14:textId="77777777" w:rsidR="00022B63" w:rsidRPr="00022B63" w:rsidRDefault="00022B63" w:rsidP="00022B63">
      <w:pPr>
        <w:suppressAutoHyphens/>
        <w:autoSpaceDN w:val="0"/>
        <w:spacing w:line="240" w:lineRule="auto"/>
        <w:jc w:val="center"/>
        <w:rPr>
          <w:rFonts w:eastAsia="Calibri" w:cs="Times New Roman"/>
          <w:kern w:val="0"/>
          <w14:ligatures w14:val="none"/>
        </w:rPr>
      </w:pPr>
    </w:p>
    <w:p w14:paraId="687B5BE9" w14:textId="77777777" w:rsidR="00022B63" w:rsidRPr="00022B63" w:rsidRDefault="00022B63" w:rsidP="00022B63">
      <w:pPr>
        <w:suppressAutoHyphens/>
        <w:autoSpaceDN w:val="0"/>
        <w:spacing w:line="240" w:lineRule="auto"/>
        <w:jc w:val="center"/>
        <w:rPr>
          <w:rFonts w:eastAsia="Calibri" w:cs="Times New Roman"/>
          <w:kern w:val="0"/>
          <w14:ligatures w14:val="none"/>
        </w:rPr>
      </w:pPr>
      <w:r w:rsidRPr="00022B63">
        <w:rPr>
          <w:rFonts w:eastAsia="Calibri" w:cs="Times New Roman"/>
          <w:kern w:val="0"/>
          <w14:ligatures w14:val="none"/>
        </w:rPr>
        <w:t>DIVISION THREE</w:t>
      </w:r>
    </w:p>
    <w:p w14:paraId="5F81E517" w14:textId="77777777" w:rsidR="00022B63" w:rsidRPr="00022B63" w:rsidRDefault="00022B63" w:rsidP="00022B63">
      <w:pPr>
        <w:suppressAutoHyphens/>
        <w:autoSpaceDN w:val="0"/>
        <w:spacing w:line="240" w:lineRule="auto"/>
        <w:jc w:val="center"/>
        <w:rPr>
          <w:rFonts w:eastAsia="Calibri" w:cs="Times New Roman"/>
          <w:kern w:val="0"/>
          <w14:ligatures w14:val="none"/>
        </w:rPr>
      </w:pPr>
    </w:p>
    <w:p w14:paraId="153E8F54" w14:textId="77777777" w:rsidR="00022B63" w:rsidRPr="00022B63" w:rsidRDefault="00022B63" w:rsidP="00022B63">
      <w:pPr>
        <w:suppressAutoHyphens/>
        <w:autoSpaceDN w:val="0"/>
        <w:spacing w:line="240" w:lineRule="auto"/>
        <w:jc w:val="center"/>
        <w:rPr>
          <w:rFonts w:eastAsia="Calibri" w:cs="Times New Roman"/>
          <w:kern w:val="0"/>
          <w14:ligatures w14:val="none"/>
        </w:rPr>
      </w:pPr>
    </w:p>
    <w:tbl>
      <w:tblPr>
        <w:tblW w:w="8748" w:type="dxa"/>
        <w:tblLayout w:type="fixed"/>
        <w:tblCellMar>
          <w:left w:w="10" w:type="dxa"/>
          <w:right w:w="10" w:type="dxa"/>
        </w:tblCellMar>
        <w:tblLook w:val="04A0" w:firstRow="1" w:lastRow="0" w:firstColumn="1" w:lastColumn="0" w:noHBand="0" w:noVBand="1"/>
      </w:tblPr>
      <w:tblGrid>
        <w:gridCol w:w="4909"/>
        <w:gridCol w:w="3839"/>
      </w:tblGrid>
      <w:tr w:rsidR="00022B63" w:rsidRPr="00022B63" w14:paraId="02B0AFD5" w14:textId="77777777" w:rsidTr="00052CAE">
        <w:tblPrEx>
          <w:tblCellMar>
            <w:top w:w="0" w:type="dxa"/>
            <w:bottom w:w="0" w:type="dxa"/>
          </w:tblCellMar>
        </w:tblPrEx>
        <w:trPr>
          <w:trHeight w:val="2709"/>
        </w:trPr>
        <w:tc>
          <w:tcPr>
            <w:tcW w:w="4909" w:type="dxa"/>
            <w:tcBorders>
              <w:bottom w:val="single" w:sz="4" w:space="0" w:color="000000"/>
              <w:right w:val="single" w:sz="4" w:space="0" w:color="000000"/>
            </w:tcBorders>
            <w:shd w:val="clear" w:color="auto" w:fill="auto"/>
            <w:tcMar>
              <w:top w:w="0" w:type="dxa"/>
              <w:left w:w="108" w:type="dxa"/>
              <w:bottom w:w="0" w:type="dxa"/>
              <w:right w:w="108" w:type="dxa"/>
            </w:tcMar>
          </w:tcPr>
          <w:p w14:paraId="1C0D598B"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NICOLE DEMARINIS et al</w:t>
            </w:r>
            <w:r w:rsidRPr="00022B63">
              <w:rPr>
                <w:rFonts w:eastAsia="Calibri" w:cs="Times New Roman"/>
                <w:smallCaps/>
                <w:kern w:val="0"/>
                <w14:ligatures w14:val="none"/>
              </w:rPr>
              <w:t>.</w:t>
            </w:r>
            <w:r w:rsidRPr="00022B63">
              <w:rPr>
                <w:rFonts w:eastAsia="Calibri" w:cs="Times New Roman"/>
                <w:kern w:val="0"/>
                <w14:ligatures w14:val="none"/>
              </w:rPr>
              <w:t>,</w:t>
            </w:r>
          </w:p>
          <w:p w14:paraId="4730DCAC"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ab/>
              <w:t>Plaintiffs and Respondents,</w:t>
            </w:r>
          </w:p>
          <w:p w14:paraId="388E8EA6"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v.</w:t>
            </w:r>
          </w:p>
          <w:p w14:paraId="500339D0"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 xml:space="preserve">HERITAGE BANK OF </w:t>
            </w:r>
          </w:p>
          <w:p w14:paraId="26CDD3A7"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COMMERCE,</w:t>
            </w:r>
          </w:p>
          <w:p w14:paraId="413D8782" w14:textId="77777777" w:rsidR="00022B63" w:rsidRPr="00022B63" w:rsidRDefault="00022B63" w:rsidP="00022B63">
            <w:pPr>
              <w:suppressAutoHyphens/>
              <w:autoSpaceDN w:val="0"/>
              <w:spacing w:after="120" w:line="240" w:lineRule="auto"/>
              <w:rPr>
                <w:rFonts w:eastAsia="Calibri" w:cs="Times New Roman"/>
                <w:kern w:val="0"/>
                <w14:ligatures w14:val="none"/>
              </w:rPr>
            </w:pPr>
            <w:r w:rsidRPr="00022B63">
              <w:rPr>
                <w:rFonts w:eastAsia="Calibri" w:cs="Times New Roman"/>
                <w:kern w:val="0"/>
                <w14:ligatures w14:val="none"/>
              </w:rPr>
              <w:tab/>
              <w:t>Defendant and Appellant.</w:t>
            </w:r>
          </w:p>
        </w:tc>
        <w:tc>
          <w:tcPr>
            <w:tcW w:w="3839" w:type="dxa"/>
            <w:tcBorders>
              <w:left w:val="single" w:sz="4" w:space="0" w:color="000000"/>
            </w:tcBorders>
            <w:shd w:val="clear" w:color="auto" w:fill="auto"/>
            <w:tcMar>
              <w:top w:w="0" w:type="dxa"/>
              <w:left w:w="108" w:type="dxa"/>
              <w:bottom w:w="0" w:type="dxa"/>
              <w:right w:w="108" w:type="dxa"/>
            </w:tcMar>
          </w:tcPr>
          <w:p w14:paraId="708457E5" w14:textId="77777777" w:rsidR="00022B63" w:rsidRPr="00022B63" w:rsidRDefault="00022B63" w:rsidP="00022B63">
            <w:pPr>
              <w:suppressAutoHyphens/>
              <w:autoSpaceDN w:val="0"/>
              <w:spacing w:line="240" w:lineRule="auto"/>
              <w:rPr>
                <w:rFonts w:eastAsia="Calibri" w:cs="Times New Roman"/>
                <w:kern w:val="0"/>
                <w14:ligatures w14:val="none"/>
              </w:rPr>
            </w:pPr>
          </w:p>
          <w:p w14:paraId="202CEBF2" w14:textId="77777777" w:rsidR="00022B63" w:rsidRPr="00022B63" w:rsidRDefault="00022B63" w:rsidP="00022B63">
            <w:pPr>
              <w:suppressAutoHyphens/>
              <w:autoSpaceDN w:val="0"/>
              <w:spacing w:line="240" w:lineRule="auto"/>
              <w:rPr>
                <w:rFonts w:eastAsia="Calibri" w:cs="Times New Roman"/>
                <w:kern w:val="0"/>
                <w14:ligatures w14:val="none"/>
              </w:rPr>
            </w:pPr>
          </w:p>
          <w:p w14:paraId="76647136" w14:textId="77777777" w:rsidR="00022B63" w:rsidRPr="00022B63" w:rsidRDefault="00022B63" w:rsidP="00022B63">
            <w:pPr>
              <w:suppressAutoHyphens/>
              <w:autoSpaceDN w:val="0"/>
              <w:spacing w:line="240" w:lineRule="auto"/>
              <w:rPr>
                <w:rFonts w:eastAsia="Calibri" w:cs="Times New Roman"/>
                <w:kern w:val="0"/>
                <w14:ligatures w14:val="none"/>
              </w:rPr>
            </w:pPr>
            <w:r w:rsidRPr="00022B63">
              <w:rPr>
                <w:rFonts w:eastAsia="Calibri" w:cs="Times New Roman"/>
                <w:kern w:val="0"/>
                <w14:ligatures w14:val="none"/>
              </w:rPr>
              <w:t xml:space="preserve">  A167091</w:t>
            </w:r>
          </w:p>
          <w:p w14:paraId="06581DB5" w14:textId="77777777" w:rsidR="00022B63" w:rsidRPr="00022B63" w:rsidRDefault="00022B63" w:rsidP="00022B63">
            <w:pPr>
              <w:suppressAutoHyphens/>
              <w:autoSpaceDN w:val="0"/>
              <w:spacing w:line="240" w:lineRule="auto"/>
              <w:rPr>
                <w:rFonts w:eastAsia="Calibri" w:cs="Times New Roman"/>
                <w:kern w:val="0"/>
                <w14:ligatures w14:val="none"/>
              </w:rPr>
            </w:pPr>
          </w:p>
          <w:p w14:paraId="7D784A3E" w14:textId="77777777" w:rsidR="00022B63" w:rsidRPr="00022B63" w:rsidRDefault="00022B63" w:rsidP="00022B63">
            <w:pPr>
              <w:suppressAutoHyphens/>
              <w:autoSpaceDN w:val="0"/>
              <w:spacing w:line="240" w:lineRule="auto"/>
              <w:rPr>
                <w:rFonts w:eastAsia="Calibri" w:cs="Times New Roman"/>
                <w:kern w:val="0"/>
                <w14:ligatures w14:val="none"/>
              </w:rPr>
            </w:pPr>
            <w:r w:rsidRPr="00022B63">
              <w:rPr>
                <w:rFonts w:eastAsia="Calibri" w:cs="Times New Roman"/>
                <w:kern w:val="0"/>
                <w14:ligatures w14:val="none"/>
              </w:rPr>
              <w:t xml:space="preserve">  (Alameda County </w:t>
            </w:r>
          </w:p>
          <w:p w14:paraId="0AC53426" w14:textId="77777777" w:rsidR="00022B63" w:rsidRPr="00022B63" w:rsidRDefault="00022B63" w:rsidP="00022B63">
            <w:pPr>
              <w:suppressAutoHyphens/>
              <w:autoSpaceDN w:val="0"/>
              <w:spacing w:line="240" w:lineRule="auto"/>
              <w:rPr>
                <w:rFonts w:eastAsia="Calibri" w:cs="Times New Roman"/>
                <w:kern w:val="0"/>
                <w14:ligatures w14:val="none"/>
              </w:rPr>
            </w:pPr>
            <w:r w:rsidRPr="00022B63">
              <w:rPr>
                <w:rFonts w:eastAsia="Calibri" w:cs="Times New Roman"/>
                <w:kern w:val="0"/>
                <w14:ligatures w14:val="none"/>
              </w:rPr>
              <w:t xml:space="preserve">  Super. Ct. No. RG20080970)</w:t>
            </w:r>
          </w:p>
          <w:p w14:paraId="4A6E4097" w14:textId="77777777" w:rsidR="00022B63" w:rsidRPr="00022B63" w:rsidRDefault="00022B63" w:rsidP="00022B63">
            <w:pPr>
              <w:suppressAutoHyphens/>
              <w:autoSpaceDN w:val="0"/>
              <w:spacing w:line="240" w:lineRule="auto"/>
              <w:rPr>
                <w:rFonts w:eastAsia="Calibri" w:cs="Times New Roman"/>
                <w:kern w:val="0"/>
                <w14:ligatures w14:val="none"/>
              </w:rPr>
            </w:pPr>
          </w:p>
        </w:tc>
      </w:tr>
    </w:tbl>
    <w:p w14:paraId="4F564316" w14:textId="77777777" w:rsidR="00022B63" w:rsidRPr="00022B63" w:rsidRDefault="00022B63" w:rsidP="00022B63">
      <w:pPr>
        <w:suppressAutoHyphens/>
        <w:autoSpaceDN w:val="0"/>
        <w:spacing w:line="360" w:lineRule="auto"/>
        <w:rPr>
          <w:rFonts w:eastAsia="Calibri" w:cs="Times New Roman"/>
          <w:kern w:val="0"/>
          <w14:ligatures w14:val="none"/>
        </w:rPr>
      </w:pPr>
    </w:p>
    <w:p w14:paraId="3B58927D" w14:textId="77777777" w:rsidR="00022B63" w:rsidRPr="00022B63" w:rsidRDefault="00022B63" w:rsidP="00022B63">
      <w:pPr>
        <w:suppressAutoHyphens/>
        <w:autoSpaceDN w:val="0"/>
        <w:spacing w:line="360" w:lineRule="auto"/>
        <w:rPr>
          <w:rFonts w:eastAsia="Calibri" w:cs="Times New Roman"/>
          <w:kern w:val="0"/>
          <w14:ligatures w14:val="none"/>
        </w:rPr>
      </w:pPr>
      <w:r w:rsidRPr="00022B63">
        <w:rPr>
          <w:rFonts w:eastAsia="Calibri" w:cs="Times New Roman"/>
          <w:kern w:val="0"/>
          <w14:ligatures w14:val="none"/>
        </w:rPr>
        <w:t>BY THE COURT:</w:t>
      </w:r>
      <w:r w:rsidRPr="00022B63">
        <w:rPr>
          <w:rFonts w:eastAsia="Calibri" w:cs="Times New Roman"/>
          <w:bCs/>
          <w:kern w:val="0"/>
          <w14:ligatures w14:val="none"/>
        </w:rPr>
        <w:footnoteReference w:id="5"/>
      </w:r>
    </w:p>
    <w:p w14:paraId="4FF89AAE" w14:textId="77777777" w:rsidR="00022B63" w:rsidRPr="00022B63" w:rsidRDefault="00022B63" w:rsidP="00022B63">
      <w:pPr>
        <w:suppressAutoHyphens/>
        <w:autoSpaceDN w:val="0"/>
        <w:spacing w:line="360" w:lineRule="auto"/>
        <w:rPr>
          <w:rFonts w:eastAsia="Calibri" w:cs="Times New Roman"/>
          <w:kern w:val="0"/>
          <w14:ligatures w14:val="none"/>
        </w:rPr>
      </w:pPr>
      <w:r w:rsidRPr="00022B63">
        <w:rPr>
          <w:rFonts w:eastAsia="Calibri" w:cs="Times New Roman"/>
          <w:kern w:val="0"/>
          <w14:ligatures w14:val="none"/>
        </w:rPr>
        <w:tab/>
        <w:t>The written opinion which was filed on December 11, 2023, has now</w:t>
      </w:r>
    </w:p>
    <w:p w14:paraId="0F52D3D0" w14:textId="77777777" w:rsidR="00022B63" w:rsidRPr="00022B63" w:rsidRDefault="00022B63" w:rsidP="00022B63">
      <w:pPr>
        <w:suppressAutoHyphens/>
        <w:autoSpaceDN w:val="0"/>
        <w:spacing w:line="360" w:lineRule="auto"/>
        <w:rPr>
          <w:rFonts w:eastAsia="Calibri" w:cs="Times New Roman"/>
          <w:kern w:val="0"/>
          <w14:ligatures w14:val="none"/>
        </w:rPr>
      </w:pPr>
      <w:r w:rsidRPr="00022B63">
        <w:rPr>
          <w:rFonts w:eastAsia="Calibri" w:cs="Times New Roman"/>
          <w:kern w:val="0"/>
          <w14:ligatures w14:val="none"/>
        </w:rPr>
        <w:t>been certified for publication pursuant to rule 8.1105(b) of the California</w:t>
      </w:r>
    </w:p>
    <w:p w14:paraId="77949ACA" w14:textId="77777777" w:rsidR="00022B63" w:rsidRPr="00022B63" w:rsidRDefault="00022B63" w:rsidP="00022B63">
      <w:pPr>
        <w:suppressAutoHyphens/>
        <w:autoSpaceDN w:val="0"/>
        <w:spacing w:line="360" w:lineRule="auto"/>
        <w:rPr>
          <w:rFonts w:eastAsia="Calibri" w:cs="Times New Roman"/>
          <w:kern w:val="0"/>
          <w14:ligatures w14:val="none"/>
        </w:rPr>
      </w:pPr>
      <w:r w:rsidRPr="00022B63">
        <w:rPr>
          <w:rFonts w:eastAsia="Calibri" w:cs="Times New Roman"/>
          <w:kern w:val="0"/>
          <w14:ligatures w14:val="none"/>
        </w:rPr>
        <w:t>Rules of Court, and it is ordered published in the official reports.</w:t>
      </w:r>
    </w:p>
    <w:p w14:paraId="1B033B7C" w14:textId="77777777" w:rsidR="00022B63" w:rsidRPr="00022B63" w:rsidRDefault="00022B63" w:rsidP="00022B63">
      <w:pPr>
        <w:suppressAutoHyphens/>
        <w:autoSpaceDN w:val="0"/>
        <w:spacing w:line="240" w:lineRule="auto"/>
        <w:rPr>
          <w:rFonts w:eastAsia="Calibri" w:cs="Times New Roman"/>
          <w:kern w:val="0"/>
          <w14:ligatures w14:val="none"/>
        </w:rPr>
      </w:pPr>
    </w:p>
    <w:p w14:paraId="660DC083" w14:textId="77777777" w:rsidR="00022B63" w:rsidRPr="00022B63" w:rsidRDefault="00022B63" w:rsidP="00022B63">
      <w:pPr>
        <w:suppressAutoHyphens/>
        <w:autoSpaceDN w:val="0"/>
        <w:spacing w:line="240" w:lineRule="auto"/>
        <w:rPr>
          <w:rFonts w:eastAsia="Calibri" w:cs="Times New Roman"/>
          <w:kern w:val="0"/>
          <w14:ligatures w14:val="none"/>
        </w:rPr>
      </w:pPr>
      <w:r w:rsidRPr="00022B63">
        <w:rPr>
          <w:rFonts w:eastAsia="Calibri" w:cs="Times New Roman"/>
          <w:kern w:val="0"/>
          <w14:ligatures w14:val="none"/>
        </w:rPr>
        <w:t>Dated: _</w:t>
      </w:r>
      <w:r w:rsidRPr="00022B63">
        <w:rPr>
          <w:rFonts w:eastAsia="Calibri" w:cs="Times New Roman"/>
          <w:kern w:val="0"/>
          <w:u w:val="single"/>
          <w14:ligatures w14:val="none"/>
        </w:rPr>
        <w:t>1/8/2024</w:t>
      </w:r>
      <w:r w:rsidRPr="00022B63">
        <w:rPr>
          <w:rFonts w:eastAsia="Calibri" w:cs="Times New Roman"/>
          <w:kern w:val="0"/>
          <w14:ligatures w14:val="none"/>
        </w:rPr>
        <w:t xml:space="preserve">______       </w:t>
      </w:r>
      <w:r w:rsidRPr="00022B63">
        <w:rPr>
          <w:rFonts w:eastAsia="Calibri" w:cs="Times New Roman"/>
          <w:kern w:val="0"/>
          <w14:ligatures w14:val="none"/>
        </w:rPr>
        <w:tab/>
        <w:t xml:space="preserve">           ___</w:t>
      </w:r>
      <w:r w:rsidRPr="00022B63">
        <w:rPr>
          <w:rFonts w:eastAsia="Calibri" w:cs="Times New Roman"/>
          <w:kern w:val="0"/>
          <w:u w:val="single"/>
          <w14:ligatures w14:val="none"/>
        </w:rPr>
        <w:t>/s/Tucher, P.J.</w:t>
      </w:r>
      <w:r w:rsidRPr="00022B63">
        <w:rPr>
          <w:rFonts w:eastAsia="Calibri" w:cs="Times New Roman"/>
          <w:kern w:val="0"/>
          <w14:ligatures w14:val="none"/>
        </w:rPr>
        <w:t>________</w:t>
      </w:r>
    </w:p>
    <w:p w14:paraId="389F51D5" w14:textId="77777777" w:rsidR="00022B63" w:rsidRPr="00022B63" w:rsidRDefault="00022B63" w:rsidP="00022B63">
      <w:pPr>
        <w:widowControl w:val="0"/>
        <w:tabs>
          <w:tab w:val="left" w:pos="1440"/>
          <w:tab w:val="left" w:pos="2880"/>
          <w:tab w:val="left" w:pos="4320"/>
          <w:tab w:val="left" w:pos="5040"/>
          <w:tab w:val="left" w:pos="5760"/>
          <w:tab w:val="left" w:pos="7200"/>
          <w:tab w:val="left" w:pos="8640"/>
        </w:tabs>
        <w:suppressAutoHyphens/>
        <w:autoSpaceDE w:val="0"/>
        <w:autoSpaceDN w:val="0"/>
        <w:adjustRightInd w:val="0"/>
        <w:spacing w:line="240" w:lineRule="auto"/>
        <w:rPr>
          <w:rFonts w:eastAsia="Calibri" w:cs="Century Schoolbook"/>
          <w:kern w:val="0"/>
          <w14:ligatures w14:val="none"/>
        </w:rPr>
      </w:pPr>
      <w:r w:rsidRPr="00022B63">
        <w:rPr>
          <w:rFonts w:eastAsia="Calibri" w:cs="Times New Roman"/>
          <w:kern w:val="0"/>
          <w14:ligatures w14:val="none"/>
        </w:rPr>
        <w:tab/>
      </w:r>
      <w:r w:rsidRPr="00022B63">
        <w:rPr>
          <w:rFonts w:eastAsia="Calibri" w:cs="Times New Roman"/>
          <w:kern w:val="0"/>
          <w14:ligatures w14:val="none"/>
        </w:rPr>
        <w:tab/>
      </w:r>
      <w:r w:rsidRPr="00022B63">
        <w:rPr>
          <w:rFonts w:eastAsia="Calibri" w:cs="Times New Roman"/>
          <w:kern w:val="0"/>
          <w14:ligatures w14:val="none"/>
        </w:rPr>
        <w:tab/>
        <w:t xml:space="preserve">   </w:t>
      </w:r>
      <w:r w:rsidRPr="00022B63">
        <w:rPr>
          <w:rFonts w:eastAsia="Calibri" w:cs="Times New Roman"/>
          <w:kern w:val="0"/>
          <w14:ligatures w14:val="none"/>
        </w:rPr>
        <w:tab/>
      </w:r>
      <w:r w:rsidRPr="00022B63">
        <w:rPr>
          <w:rFonts w:eastAsia="Calibri" w:cs="Times New Roman"/>
          <w:kern w:val="0"/>
          <w14:ligatures w14:val="none"/>
        </w:rPr>
        <w:tab/>
        <w:t xml:space="preserve"> </w:t>
      </w:r>
      <w:r w:rsidRPr="00022B63">
        <w:rPr>
          <w:rFonts w:eastAsia="Calibri" w:cs="Century Schoolbook"/>
          <w:kern w:val="0"/>
          <w14:ligatures w14:val="none"/>
        </w:rPr>
        <w:t xml:space="preserve">  Presiding Justice</w:t>
      </w:r>
    </w:p>
    <w:p w14:paraId="531335F7" w14:textId="77777777" w:rsidR="00022B63" w:rsidRPr="00022B63" w:rsidRDefault="00022B63" w:rsidP="00022B63">
      <w:pPr>
        <w:suppressAutoHyphens/>
        <w:autoSpaceDN w:val="0"/>
        <w:spacing w:line="240" w:lineRule="auto"/>
        <w:rPr>
          <w:rFonts w:eastAsia="Calibri" w:cs="Times New Roman"/>
          <w:kern w:val="0"/>
          <w14:ligatures w14:val="none"/>
        </w:rPr>
      </w:pPr>
    </w:p>
    <w:p w14:paraId="230A198D" w14:textId="77777777" w:rsidR="00022B63" w:rsidRPr="00022B63" w:rsidRDefault="00022B63" w:rsidP="00022B63">
      <w:pPr>
        <w:suppressAutoHyphens/>
        <w:autoSpaceDN w:val="0"/>
        <w:spacing w:line="360" w:lineRule="auto"/>
        <w:rPr>
          <w:rFonts w:eastAsia="Calibri" w:cs="Times New Roman"/>
          <w:kern w:val="0"/>
          <w14:ligatures w14:val="none"/>
        </w:rPr>
      </w:pPr>
    </w:p>
    <w:p w14:paraId="55830160" w14:textId="77777777" w:rsidR="00022B63" w:rsidRPr="00022B63" w:rsidRDefault="00022B63" w:rsidP="00022B63">
      <w:pPr>
        <w:suppressAutoHyphens/>
        <w:autoSpaceDN w:val="0"/>
        <w:spacing w:line="360" w:lineRule="auto"/>
        <w:rPr>
          <w:rFonts w:eastAsia="Calibri" w:cs="Times New Roman"/>
          <w:kern w:val="0"/>
          <w14:ligatures w14:val="none"/>
        </w:rPr>
        <w:sectPr w:rsidR="00022B63" w:rsidRPr="00022B63" w:rsidSect="008A44C8">
          <w:footerReference w:type="even" r:id="rId10"/>
          <w:footerReference w:type="default" r:id="rId11"/>
          <w:footnotePr>
            <w:numFmt w:val="chicago"/>
          </w:footnotePr>
          <w:pgSz w:w="12240" w:h="15840" w:code="1"/>
          <w:pgMar w:top="1440" w:right="1440" w:bottom="1440" w:left="1440" w:header="1440" w:footer="1440" w:gutter="0"/>
          <w:pgNumType w:start="1"/>
          <w:cols w:space="720"/>
          <w:noEndnote/>
          <w:docGrid w:linePitch="354"/>
        </w:sectPr>
      </w:pPr>
    </w:p>
    <w:p w14:paraId="1DD8A0D6" w14:textId="77777777" w:rsidR="00022B63" w:rsidRPr="00022B63" w:rsidRDefault="00022B63" w:rsidP="00022B63">
      <w:pPr>
        <w:pageBreakBefore/>
        <w:suppressAutoHyphens/>
        <w:spacing w:line="240" w:lineRule="auto"/>
        <w:rPr>
          <w:rFonts w:eastAsia="Calibri" w:cs="Times New Roman"/>
          <w:kern w:val="0"/>
          <w14:ligatures w14:val="none"/>
        </w:rPr>
      </w:pPr>
      <w:r w:rsidRPr="00022B63">
        <w:rPr>
          <w:rFonts w:eastAsia="Calibri" w:cs="Times New Roman"/>
          <w:kern w:val="0"/>
          <w14:ligatures w14:val="none"/>
        </w:rPr>
        <w:lastRenderedPageBreak/>
        <w:t>Trial Court:</w:t>
      </w:r>
      <w:r w:rsidRPr="00022B63">
        <w:rPr>
          <w:rFonts w:eastAsia="Calibri" w:cs="Times New Roman"/>
          <w:kern w:val="0"/>
          <w14:ligatures w14:val="none"/>
        </w:rPr>
        <w:tab/>
      </w:r>
      <w:r w:rsidRPr="00022B63">
        <w:rPr>
          <w:rFonts w:eastAsia="Calibri" w:cs="Times New Roman"/>
          <w:kern w:val="0"/>
          <w14:ligatures w14:val="none"/>
        </w:rPr>
        <w:tab/>
        <w:t xml:space="preserve">Alameda County Superior Court </w:t>
      </w:r>
    </w:p>
    <w:p w14:paraId="1A9EE6DE" w14:textId="77777777" w:rsidR="00022B63" w:rsidRPr="00022B63" w:rsidRDefault="00022B63" w:rsidP="00022B63">
      <w:pPr>
        <w:suppressAutoHyphens/>
        <w:spacing w:line="240" w:lineRule="auto"/>
        <w:rPr>
          <w:rFonts w:eastAsia="Calibri" w:cs="Times New Roman"/>
          <w:kern w:val="0"/>
          <w14:ligatures w14:val="none"/>
        </w:rPr>
      </w:pPr>
    </w:p>
    <w:p w14:paraId="5D0BA42B" w14:textId="77777777" w:rsidR="00022B63" w:rsidRPr="00022B63" w:rsidRDefault="00022B63" w:rsidP="00022B63">
      <w:pPr>
        <w:suppressAutoHyphens/>
        <w:spacing w:line="240" w:lineRule="auto"/>
        <w:rPr>
          <w:rFonts w:eastAsia="Calibri" w:cs="Times New Roman"/>
          <w:kern w:val="0"/>
          <w14:ligatures w14:val="none"/>
        </w:rPr>
      </w:pPr>
      <w:r w:rsidRPr="00022B63">
        <w:rPr>
          <w:rFonts w:eastAsia="Calibri" w:cs="Times New Roman"/>
          <w:kern w:val="0"/>
          <w14:ligatures w14:val="none"/>
        </w:rPr>
        <w:t>Trial Judge:</w:t>
      </w:r>
      <w:r w:rsidRPr="00022B63">
        <w:rPr>
          <w:rFonts w:eastAsia="Calibri" w:cs="Times New Roman"/>
          <w:kern w:val="0"/>
          <w14:ligatures w14:val="none"/>
        </w:rPr>
        <w:tab/>
        <w:t xml:space="preserve">Hon. Evelio Grillo </w:t>
      </w:r>
    </w:p>
    <w:p w14:paraId="22A5F770" w14:textId="77777777" w:rsidR="00022B63" w:rsidRPr="00022B63" w:rsidRDefault="00022B63" w:rsidP="00022B63">
      <w:pPr>
        <w:suppressAutoHyphens/>
        <w:spacing w:line="240" w:lineRule="auto"/>
        <w:rPr>
          <w:rFonts w:eastAsia="Calibri" w:cs="Times New Roman"/>
          <w:kern w:val="0"/>
          <w14:ligatures w14:val="none"/>
        </w:rPr>
      </w:pPr>
    </w:p>
    <w:p w14:paraId="54125A27" w14:textId="77777777" w:rsidR="00022B63" w:rsidRPr="00022B63" w:rsidRDefault="00022B63" w:rsidP="00022B63">
      <w:pPr>
        <w:tabs>
          <w:tab w:val="left" w:pos="1440"/>
          <w:tab w:val="left" w:pos="2160"/>
        </w:tabs>
        <w:suppressAutoHyphens/>
        <w:spacing w:line="240" w:lineRule="auto"/>
        <w:ind w:left="2520" w:hanging="2520"/>
        <w:rPr>
          <w:rFonts w:eastAsia="Calibri" w:cs="Calibri"/>
          <w:kern w:val="0"/>
          <w14:ligatures w14:val="none"/>
        </w:rPr>
      </w:pPr>
      <w:r w:rsidRPr="00022B63">
        <w:rPr>
          <w:rFonts w:eastAsia="Calibri" w:cs="Calibri"/>
          <w:kern w:val="0"/>
          <w14:ligatures w14:val="none"/>
        </w:rPr>
        <w:t>Counsel:</w:t>
      </w:r>
      <w:r w:rsidRPr="00022B63">
        <w:rPr>
          <w:rFonts w:eastAsia="Calibri" w:cs="Calibri"/>
          <w:kern w:val="0"/>
          <w14:ligatures w14:val="none"/>
        </w:rPr>
        <w:tab/>
      </w:r>
      <w:r w:rsidRPr="00022B63">
        <w:rPr>
          <w:rFonts w:eastAsia="Calibri" w:cs="Calibri"/>
          <w:kern w:val="0"/>
          <w14:ligatures w14:val="none"/>
        </w:rPr>
        <w:tab/>
        <w:t>Womble Bond Dickinson (US) LLP,</w:t>
      </w:r>
      <w:r w:rsidRPr="00022B63">
        <w:rPr>
          <w:rFonts w:eastAsia="Calibri" w:cs="Times New Roman"/>
          <w:kern w:val="0"/>
          <w:szCs w:val="22"/>
          <w14:ligatures w14:val="none"/>
        </w:rPr>
        <w:t xml:space="preserve"> </w:t>
      </w:r>
      <w:r w:rsidRPr="00022B63">
        <w:rPr>
          <w:rFonts w:eastAsia="Calibri" w:cs="Calibri"/>
          <w:kern w:val="0"/>
          <w14:ligatures w14:val="none"/>
        </w:rPr>
        <w:t>Christopher J. Mead, Edward L. Seidel and Scott M. Mcleod for Defendant and Appellant</w:t>
      </w:r>
    </w:p>
    <w:p w14:paraId="5F197B88" w14:textId="77777777" w:rsidR="00022B63" w:rsidRPr="00022B63" w:rsidRDefault="00022B63" w:rsidP="00022B63">
      <w:pPr>
        <w:tabs>
          <w:tab w:val="left" w:pos="1440"/>
          <w:tab w:val="left" w:pos="2160"/>
        </w:tabs>
        <w:suppressAutoHyphens/>
        <w:spacing w:line="240" w:lineRule="auto"/>
        <w:ind w:left="2520" w:hanging="2520"/>
        <w:rPr>
          <w:rFonts w:eastAsia="Calibri" w:cs="Calibri"/>
          <w:kern w:val="0"/>
          <w14:ligatures w14:val="none"/>
        </w:rPr>
      </w:pPr>
      <w:r w:rsidRPr="00022B63">
        <w:rPr>
          <w:rFonts w:eastAsia="Calibri" w:cs="Calibri"/>
          <w:kern w:val="0"/>
          <w14:ligatures w14:val="none"/>
        </w:rPr>
        <w:tab/>
      </w:r>
    </w:p>
    <w:p w14:paraId="6FA509CA" w14:textId="77777777" w:rsidR="00022B63" w:rsidRPr="00022B63" w:rsidRDefault="00022B63" w:rsidP="00022B63">
      <w:pPr>
        <w:tabs>
          <w:tab w:val="left" w:pos="1440"/>
          <w:tab w:val="left" w:pos="2160"/>
        </w:tabs>
        <w:suppressAutoHyphens/>
        <w:spacing w:line="240" w:lineRule="auto"/>
        <w:ind w:left="2520" w:hanging="2610"/>
        <w:rPr>
          <w:rFonts w:eastAsia="Calibri" w:cs="Calibri"/>
          <w:kern w:val="0"/>
          <w14:ligatures w14:val="none"/>
        </w:rPr>
      </w:pPr>
      <w:r w:rsidRPr="00022B63">
        <w:rPr>
          <w:rFonts w:eastAsia="Calibri" w:cs="Calibri"/>
          <w:kern w:val="0"/>
          <w14:ligatures w14:val="none"/>
        </w:rPr>
        <w:tab/>
      </w:r>
      <w:r w:rsidRPr="00022B63">
        <w:rPr>
          <w:rFonts w:eastAsia="Calibri" w:cs="Calibri"/>
          <w:kern w:val="0"/>
          <w14:ligatures w14:val="none"/>
        </w:rPr>
        <w:tab/>
      </w:r>
      <w:r w:rsidRPr="00022B63">
        <w:rPr>
          <w:rFonts w:eastAsia="Calibri" w:cs="Calibri"/>
          <w:kern w:val="0"/>
          <w14:ligatures w14:val="none"/>
        </w:rPr>
        <w:tab/>
        <w:t>Torres &amp; Tolman, Benjamin J. Tolman and James J. Torres for Plaintiffs and Respondents</w:t>
      </w:r>
    </w:p>
    <w:p w14:paraId="29756E1D" w14:textId="77777777" w:rsidR="00022B63" w:rsidRPr="00022B63" w:rsidRDefault="00022B63" w:rsidP="00022B63">
      <w:pPr>
        <w:tabs>
          <w:tab w:val="left" w:pos="1440"/>
          <w:tab w:val="left" w:pos="2160"/>
        </w:tabs>
        <w:suppressAutoHyphens/>
        <w:spacing w:line="240" w:lineRule="auto"/>
        <w:ind w:left="2520" w:hanging="2610"/>
        <w:rPr>
          <w:rFonts w:eastAsia="Calibri" w:cs="Calibri"/>
          <w:kern w:val="0"/>
          <w14:ligatures w14:val="none"/>
        </w:rPr>
      </w:pPr>
    </w:p>
    <w:p w14:paraId="190E1F63" w14:textId="77777777" w:rsidR="00022B63" w:rsidRPr="00022B63" w:rsidRDefault="00022B63" w:rsidP="00022B63">
      <w:pPr>
        <w:tabs>
          <w:tab w:val="left" w:pos="1440"/>
          <w:tab w:val="left" w:pos="2160"/>
        </w:tabs>
        <w:suppressAutoHyphens/>
        <w:spacing w:line="240" w:lineRule="auto"/>
        <w:ind w:left="2520" w:hanging="2610"/>
        <w:rPr>
          <w:rFonts w:eastAsia="Calibri" w:cs="Calibri"/>
          <w:kern w:val="0"/>
          <w14:ligatures w14:val="none"/>
        </w:rPr>
      </w:pPr>
      <w:r w:rsidRPr="00022B63">
        <w:rPr>
          <w:rFonts w:eastAsia="Calibri" w:cs="Calibri"/>
          <w:kern w:val="0"/>
          <w14:ligatures w14:val="none"/>
        </w:rPr>
        <w:tab/>
      </w:r>
      <w:r w:rsidRPr="00022B63">
        <w:rPr>
          <w:rFonts w:eastAsia="Calibri" w:cs="Calibri"/>
          <w:kern w:val="0"/>
          <w14:ligatures w14:val="none"/>
        </w:rPr>
        <w:tab/>
      </w:r>
      <w:r w:rsidRPr="00022B63">
        <w:rPr>
          <w:rFonts w:eastAsia="Calibri" w:cs="Calibri"/>
          <w:kern w:val="0"/>
          <w14:ligatures w14:val="none"/>
        </w:rPr>
        <w:tab/>
        <w:t xml:space="preserve"> </w:t>
      </w:r>
    </w:p>
    <w:p w14:paraId="4DD6CC11" w14:textId="77777777" w:rsidR="00022B63" w:rsidRPr="00022B63" w:rsidRDefault="00022B63" w:rsidP="00022B63">
      <w:pPr>
        <w:suppressAutoHyphens/>
        <w:autoSpaceDN w:val="0"/>
        <w:spacing w:line="360" w:lineRule="auto"/>
        <w:rPr>
          <w:rFonts w:eastAsia="Calibri" w:cs="Times New Roman"/>
          <w:kern w:val="0"/>
          <w14:ligatures w14:val="none"/>
        </w:rPr>
      </w:pPr>
    </w:p>
    <w:p w14:paraId="445F7D5F" w14:textId="77777777" w:rsidR="00022B63" w:rsidRPr="00022B63" w:rsidRDefault="00022B63" w:rsidP="00022B63">
      <w:pPr>
        <w:suppressAutoHyphens/>
        <w:autoSpaceDN w:val="0"/>
        <w:spacing w:line="360" w:lineRule="auto"/>
        <w:rPr>
          <w:rFonts w:eastAsia="Calibri" w:cs="Times New Roman"/>
          <w:kern w:val="0"/>
          <w14:ligatures w14:val="none"/>
        </w:rPr>
      </w:pPr>
    </w:p>
    <w:p w14:paraId="1E596D25" w14:textId="77777777" w:rsidR="00022B63" w:rsidRPr="00022B63" w:rsidRDefault="00022B63" w:rsidP="00022B63">
      <w:pPr>
        <w:suppressAutoHyphens/>
        <w:autoSpaceDN w:val="0"/>
        <w:spacing w:line="360" w:lineRule="auto"/>
        <w:rPr>
          <w:rFonts w:eastAsia="Calibri" w:cs="Times New Roman"/>
          <w:kern w:val="0"/>
          <w14:ligatures w14:val="none"/>
        </w:rPr>
      </w:pPr>
    </w:p>
    <w:p w14:paraId="67BCF0CB" w14:textId="77777777" w:rsidR="00022B63" w:rsidRPr="00022B63" w:rsidRDefault="00022B63" w:rsidP="00022B63">
      <w:pPr>
        <w:suppressAutoHyphens/>
        <w:autoSpaceDN w:val="0"/>
        <w:spacing w:line="360" w:lineRule="auto"/>
        <w:rPr>
          <w:rFonts w:eastAsia="Calibri" w:cs="Times New Roman"/>
          <w:kern w:val="0"/>
          <w14:ligatures w14:val="none"/>
        </w:rPr>
      </w:pPr>
    </w:p>
    <w:p w14:paraId="566E791B" w14:textId="77777777" w:rsidR="00022B63" w:rsidRPr="00022B63" w:rsidRDefault="00022B63" w:rsidP="00022B63">
      <w:pPr>
        <w:suppressAutoHyphens/>
        <w:autoSpaceDN w:val="0"/>
        <w:spacing w:line="360" w:lineRule="auto"/>
        <w:rPr>
          <w:rFonts w:eastAsia="Calibri" w:cs="Times New Roman"/>
          <w:kern w:val="0"/>
          <w14:ligatures w14:val="none"/>
        </w:rPr>
      </w:pPr>
    </w:p>
    <w:p w14:paraId="6728E715" w14:textId="77777777" w:rsidR="00022B63" w:rsidRPr="00022B63" w:rsidRDefault="00022B63" w:rsidP="00022B63">
      <w:pPr>
        <w:suppressAutoHyphens/>
        <w:autoSpaceDN w:val="0"/>
        <w:spacing w:line="360" w:lineRule="auto"/>
        <w:rPr>
          <w:rFonts w:eastAsia="Calibri" w:cs="Times New Roman"/>
          <w:kern w:val="0"/>
          <w14:ligatures w14:val="none"/>
        </w:rPr>
      </w:pPr>
    </w:p>
    <w:p w14:paraId="27360E83" w14:textId="77777777" w:rsidR="00022B63" w:rsidRPr="00022B63" w:rsidRDefault="00022B63" w:rsidP="00022B63">
      <w:pPr>
        <w:suppressAutoHyphens/>
        <w:autoSpaceDN w:val="0"/>
        <w:spacing w:line="360" w:lineRule="auto"/>
        <w:rPr>
          <w:rFonts w:eastAsia="Calibri" w:cs="Times New Roman"/>
          <w:kern w:val="0"/>
          <w14:ligatures w14:val="none"/>
        </w:rPr>
      </w:pPr>
    </w:p>
    <w:p w14:paraId="5FD7710F" w14:textId="77777777" w:rsidR="00022B63" w:rsidRPr="00022B63" w:rsidRDefault="00022B63" w:rsidP="00022B63">
      <w:pPr>
        <w:suppressAutoHyphens/>
        <w:autoSpaceDN w:val="0"/>
        <w:spacing w:line="360" w:lineRule="auto"/>
        <w:rPr>
          <w:rFonts w:eastAsia="Calibri" w:cs="Times New Roman"/>
          <w:kern w:val="0"/>
          <w14:ligatures w14:val="none"/>
        </w:rPr>
      </w:pPr>
    </w:p>
    <w:p w14:paraId="67193280" w14:textId="77777777" w:rsidR="00022B63" w:rsidRPr="00022B63" w:rsidRDefault="00022B63" w:rsidP="00022B63">
      <w:pPr>
        <w:suppressAutoHyphens/>
        <w:autoSpaceDN w:val="0"/>
        <w:spacing w:line="360" w:lineRule="auto"/>
        <w:rPr>
          <w:rFonts w:eastAsia="Calibri" w:cs="Times New Roman"/>
          <w:kern w:val="0"/>
          <w14:ligatures w14:val="none"/>
        </w:rPr>
      </w:pPr>
    </w:p>
    <w:p w14:paraId="4CB34179" w14:textId="77777777" w:rsidR="00022B63" w:rsidRPr="00022B63" w:rsidRDefault="00022B63" w:rsidP="00022B63">
      <w:pPr>
        <w:suppressAutoHyphens/>
        <w:autoSpaceDN w:val="0"/>
        <w:spacing w:line="360" w:lineRule="auto"/>
        <w:rPr>
          <w:rFonts w:eastAsia="Calibri" w:cs="Times New Roman"/>
          <w:kern w:val="0"/>
          <w14:ligatures w14:val="none"/>
        </w:rPr>
      </w:pPr>
    </w:p>
    <w:p w14:paraId="13E3AB28" w14:textId="77777777" w:rsidR="00022B63" w:rsidRPr="00022B63" w:rsidRDefault="00022B63" w:rsidP="00022B63">
      <w:pPr>
        <w:suppressAutoHyphens/>
        <w:autoSpaceDN w:val="0"/>
        <w:spacing w:line="360" w:lineRule="auto"/>
        <w:rPr>
          <w:rFonts w:eastAsia="Calibri" w:cs="Times New Roman"/>
          <w:kern w:val="0"/>
          <w14:ligatures w14:val="none"/>
        </w:rPr>
      </w:pPr>
    </w:p>
    <w:p w14:paraId="2029DC19" w14:textId="77777777" w:rsidR="00022B63" w:rsidRPr="00022B63" w:rsidRDefault="00022B63" w:rsidP="00022B63">
      <w:pPr>
        <w:suppressAutoHyphens/>
        <w:autoSpaceDN w:val="0"/>
        <w:spacing w:line="360" w:lineRule="auto"/>
        <w:rPr>
          <w:rFonts w:eastAsia="Calibri" w:cs="Times New Roman"/>
          <w:kern w:val="0"/>
          <w14:ligatures w14:val="none"/>
        </w:rPr>
      </w:pPr>
    </w:p>
    <w:p w14:paraId="00ED7843" w14:textId="77777777" w:rsidR="00022B63" w:rsidRPr="00022B63" w:rsidRDefault="00022B63" w:rsidP="00022B63">
      <w:pPr>
        <w:suppressAutoHyphens/>
        <w:autoSpaceDN w:val="0"/>
        <w:spacing w:line="360" w:lineRule="auto"/>
        <w:rPr>
          <w:rFonts w:eastAsia="Calibri" w:cs="Times New Roman"/>
          <w:kern w:val="0"/>
          <w14:ligatures w14:val="none"/>
        </w:rPr>
      </w:pPr>
    </w:p>
    <w:p w14:paraId="312B5943" w14:textId="77777777" w:rsidR="00022B63" w:rsidRPr="00022B63" w:rsidRDefault="00022B63" w:rsidP="00022B63">
      <w:pPr>
        <w:suppressAutoHyphens/>
        <w:autoSpaceDN w:val="0"/>
        <w:spacing w:line="360" w:lineRule="auto"/>
        <w:rPr>
          <w:rFonts w:eastAsia="Calibri" w:cs="Times New Roman"/>
          <w:kern w:val="0"/>
          <w14:ligatures w14:val="none"/>
        </w:rPr>
      </w:pPr>
    </w:p>
    <w:p w14:paraId="670C3EA6" w14:textId="77777777" w:rsidR="00022B63" w:rsidRPr="00022B63" w:rsidRDefault="00022B63" w:rsidP="00022B63">
      <w:pPr>
        <w:suppressAutoHyphens/>
        <w:autoSpaceDN w:val="0"/>
        <w:spacing w:line="360" w:lineRule="auto"/>
        <w:rPr>
          <w:rFonts w:eastAsia="Calibri" w:cs="Times New Roman"/>
          <w:kern w:val="0"/>
          <w14:ligatures w14:val="none"/>
        </w:rPr>
      </w:pPr>
    </w:p>
    <w:p w14:paraId="5BCC4D71" w14:textId="77777777" w:rsidR="00022B63" w:rsidRPr="00022B63" w:rsidRDefault="00022B63" w:rsidP="00022B63">
      <w:pPr>
        <w:suppressAutoHyphens/>
        <w:autoSpaceDN w:val="0"/>
        <w:spacing w:line="360" w:lineRule="auto"/>
        <w:rPr>
          <w:rFonts w:eastAsia="Calibri" w:cs="Times New Roman"/>
          <w:kern w:val="0"/>
          <w:sz w:val="16"/>
          <w:szCs w:val="16"/>
          <w14:ligatures w14:val="none"/>
        </w:rPr>
      </w:pPr>
      <w:r w:rsidRPr="00022B63">
        <w:rPr>
          <w:rFonts w:eastAsia="Calibri" w:cs="Times New Roman"/>
          <w:i/>
          <w:kern w:val="0"/>
          <w:sz w:val="16"/>
          <w:szCs w:val="16"/>
          <w14:ligatures w14:val="none"/>
        </w:rPr>
        <w:t xml:space="preserve">DeMarinis v. Heritage Bank of Commerce </w:t>
      </w:r>
      <w:r w:rsidRPr="00022B63">
        <w:rPr>
          <w:rFonts w:eastAsia="Calibri" w:cs="Times New Roman"/>
          <w:kern w:val="0"/>
          <w:sz w:val="16"/>
          <w:szCs w:val="16"/>
          <w14:ligatures w14:val="none"/>
        </w:rPr>
        <w:t>(A167091)</w:t>
      </w:r>
    </w:p>
    <w:p w14:paraId="47C3D632" w14:textId="77777777" w:rsidR="00022B63" w:rsidRPr="00022B63" w:rsidRDefault="00022B63" w:rsidP="00022B63">
      <w:pPr>
        <w:suppressAutoHyphens/>
        <w:autoSpaceDN w:val="0"/>
        <w:spacing w:line="360" w:lineRule="auto"/>
        <w:rPr>
          <w:rFonts w:eastAsia="Calibri" w:cs="Times New Roman"/>
          <w:kern w:val="0"/>
          <w14:ligatures w14:val="none"/>
        </w:rPr>
      </w:pPr>
    </w:p>
    <w:p w14:paraId="3EFD1674" w14:textId="77777777" w:rsidR="00022B63" w:rsidRPr="00022B63" w:rsidRDefault="00022B63" w:rsidP="00022B63">
      <w:pPr>
        <w:suppressAutoHyphens/>
        <w:autoSpaceDN w:val="0"/>
        <w:spacing w:line="360" w:lineRule="auto"/>
        <w:rPr>
          <w:rFonts w:eastAsia="Calibri" w:cs="Times New Roman"/>
          <w:kern w:val="0"/>
          <w14:ligatures w14:val="none"/>
        </w:rPr>
      </w:pPr>
    </w:p>
    <w:p w14:paraId="5208C5EC" w14:textId="77777777" w:rsidR="00BC3282" w:rsidRPr="002F2D86" w:rsidRDefault="00BC3282" w:rsidP="005217EC">
      <w:pPr>
        <w:spacing w:line="360" w:lineRule="auto"/>
      </w:pPr>
    </w:p>
    <w:sectPr w:rsidR="00BC3282" w:rsidRPr="002F2D86" w:rsidSect="00DF186B">
      <w:footerReference w:type="default" r:id="rId12"/>
      <w:pgSz w:w="12240" w:h="15840"/>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77F0" w14:textId="77777777" w:rsidR="00995B5B" w:rsidRDefault="006A6F27">
      <w:pPr>
        <w:spacing w:line="240" w:lineRule="auto"/>
      </w:pPr>
      <w:r>
        <w:separator/>
      </w:r>
    </w:p>
  </w:endnote>
  <w:endnote w:type="continuationSeparator" w:id="0">
    <w:p w14:paraId="72891279" w14:textId="77777777" w:rsidR="00995B5B" w:rsidRDefault="006A6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0A91" w14:textId="77777777" w:rsidR="00AF006E" w:rsidRDefault="006A6F27" w:rsidP="00116C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0D43B9">
      <w:rPr>
        <w:rStyle w:val="PageNumber"/>
      </w:rPr>
      <w:fldChar w:fldCharType="separate"/>
    </w:r>
    <w:r>
      <w:rPr>
        <w:rStyle w:val="PageNumber"/>
      </w:rPr>
      <w:fldChar w:fldCharType="end"/>
    </w:r>
  </w:p>
  <w:p w14:paraId="03A7E605" w14:textId="77777777" w:rsidR="00AF006E" w:rsidRDefault="006A6F27" w:rsidP="00116C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0D43B9">
      <w:rPr>
        <w:rStyle w:val="PageNumber"/>
      </w:rPr>
      <w:fldChar w:fldCharType="separate"/>
    </w:r>
    <w:r>
      <w:rPr>
        <w:rStyle w:val="PageNumber"/>
      </w:rPr>
      <w:fldChar w:fldCharType="end"/>
    </w:r>
  </w:p>
  <w:p w14:paraId="39342343" w14:textId="77777777" w:rsidR="00AF006E" w:rsidRDefault="00AF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DA7" w14:textId="60D12FB8" w:rsidR="00AF006E" w:rsidRDefault="006A6F27" w:rsidP="00AF00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AF7D9F" w14:textId="77777777" w:rsidR="00AF006E" w:rsidRDefault="00AF0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0C01" w14:textId="77777777" w:rsidR="00022B63" w:rsidRDefault="00022B63" w:rsidP="00BC0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C52D7" w14:textId="77777777" w:rsidR="00022B63" w:rsidRDefault="00022B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15E" w14:textId="77777777" w:rsidR="00022B63" w:rsidRDefault="00022B63" w:rsidP="00BC01F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581B" w14:textId="77777777" w:rsidR="000D43B9" w:rsidRDefault="000D43B9">
    <w:pPr>
      <w:pStyle w:val="Footer"/>
      <w:jc w:val="center"/>
    </w:pPr>
    <w:r>
      <w:fldChar w:fldCharType="begin"/>
    </w:r>
    <w:r>
      <w:instrText xml:space="preserve"> PA</w:instrText>
    </w:r>
    <w:r>
      <w:instrText>GE   \*</w:instrText>
    </w:r>
    <w:r>
      <w:instrText xml:space="preserve"> MERGEFO</w:instrText>
    </w:r>
    <w:r>
      <w:instrText>RMA</w:instrText>
    </w:r>
    <w:r>
      <w:instrText xml:space="preserve">T </w:instrText>
    </w:r>
    <w:r>
      <w:fldChar w:fldCharType="separate"/>
    </w:r>
    <w:r>
      <w:rPr>
        <w:noProof/>
      </w:rPr>
      <w:t>2</w:t>
    </w:r>
    <w:r>
      <w:rPr>
        <w:noProof/>
      </w:rPr>
      <w:fldChar w:fldCharType="end"/>
    </w:r>
  </w:p>
  <w:p w14:paraId="6D4FB5B5" w14:textId="77777777" w:rsidR="000D43B9" w:rsidRDefault="000D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30ED" w14:textId="77777777" w:rsidR="00981945" w:rsidRDefault="006A6F27" w:rsidP="0043454D">
      <w:pPr>
        <w:spacing w:line="240" w:lineRule="auto"/>
      </w:pPr>
      <w:r>
        <w:separator/>
      </w:r>
    </w:p>
  </w:footnote>
  <w:footnote w:type="continuationSeparator" w:id="0">
    <w:p w14:paraId="074AD704" w14:textId="77777777" w:rsidR="00981945" w:rsidRDefault="006A6F27" w:rsidP="0043454D">
      <w:pPr>
        <w:spacing w:line="240" w:lineRule="auto"/>
      </w:pPr>
      <w:r>
        <w:continuationSeparator/>
      </w:r>
    </w:p>
  </w:footnote>
  <w:footnote w:id="1">
    <w:p w14:paraId="75B31355" w14:textId="7B785706" w:rsidR="00E97FF9" w:rsidRPr="00E77769" w:rsidRDefault="006A6F27" w:rsidP="005746BA">
      <w:pPr>
        <w:pStyle w:val="FootnoteText"/>
        <w:spacing w:after="120"/>
      </w:pPr>
      <w:r>
        <w:rPr>
          <w:rStyle w:val="FootnoteReference"/>
        </w:rPr>
        <w:footnoteRef/>
      </w:r>
      <w:r>
        <w:t xml:space="preserve"> </w:t>
      </w:r>
      <w:r>
        <w:tab/>
        <w:t xml:space="preserve">As we understand </w:t>
      </w:r>
      <w:r>
        <w:rPr>
          <w:i/>
          <w:iCs/>
        </w:rPr>
        <w:t>Viking River</w:t>
      </w:r>
      <w:r>
        <w:t xml:space="preserve">, enforcement of an arbitration agreement as to a severable “individual” PAGA claim is permissible notwithstanding that the claim is still “representative” in the “first sense” of PAGA because the </w:t>
      </w:r>
      <w:r w:rsidRPr="00A2331E">
        <w:rPr>
          <w:i/>
          <w:iCs/>
        </w:rPr>
        <w:t>substantive</w:t>
      </w:r>
      <w:r>
        <w:t xml:space="preserve"> right </w:t>
      </w:r>
      <w:r w:rsidR="00A2331E">
        <w:t>(</w:t>
      </w:r>
      <w:r>
        <w:t>to seek civil penalties for Labor Code violations as an agent or proxy of the state</w:t>
      </w:r>
      <w:r w:rsidR="00A2331E">
        <w:t>)</w:t>
      </w:r>
      <w:r>
        <w:t xml:space="preserve"> has not been altered or abridged; all that has changed is “how those rights will be processed</w:t>
      </w:r>
      <w:r w:rsidR="0067048A">
        <w:t>,</w:t>
      </w:r>
      <w:r>
        <w:t>”</w:t>
      </w:r>
      <w:r w:rsidR="0067048A">
        <w:t xml:space="preserve"> namely, the forum in which the right must be litigated.</w:t>
      </w:r>
      <w:r>
        <w:t xml:space="preserve">  (</w:t>
      </w:r>
      <w:r>
        <w:rPr>
          <w:i/>
          <w:iCs/>
        </w:rPr>
        <w:t>Viking River</w:t>
      </w:r>
      <w:r>
        <w:t xml:space="preserve">, </w:t>
      </w:r>
      <w:r>
        <w:rPr>
          <w:i/>
          <w:iCs/>
        </w:rPr>
        <w:t>supra</w:t>
      </w:r>
      <w:r>
        <w:t xml:space="preserve">, 569 U.S. at p. ___ [142 S. Ct. at p. 1919].)  But most employers will not agree to arbitration of nonindividual PAGA claims, </w:t>
      </w:r>
      <w:r w:rsidR="002A309E">
        <w:t>as</w:t>
      </w:r>
      <w:r w:rsidR="005B078C">
        <w:t xml:space="preserve"> </w:t>
      </w:r>
      <w:r>
        <w:t xml:space="preserve">“[a]rbitration is poorly suited to the higher stakes’ of massive-scale disputes of this kind,” and because a state law mechanism that mandates </w:t>
      </w:r>
      <w:r w:rsidR="00B8152E">
        <w:t xml:space="preserve">mass </w:t>
      </w:r>
      <w:r>
        <w:t>arbitration “</w:t>
      </w:r>
      <w:r w:rsidRPr="00E77769">
        <w:t>radically expands the scope of PAGA actions</w:t>
      </w:r>
      <w:r>
        <w:t>,” it “effectively coerces” employers to opt for a judicial forum, contravening the fundamental principle of the FAA that arbitration is a matter of consent.  (</w:t>
      </w:r>
      <w:r>
        <w:rPr>
          <w:i/>
          <w:iCs/>
        </w:rPr>
        <w:t>Viking River</w:t>
      </w:r>
      <w:r>
        <w:t>, at p.</w:t>
      </w:r>
      <w:r w:rsidR="005B078C">
        <w:t> </w:t>
      </w:r>
      <w:r>
        <w:t>___ [142 S. Ct. at p</w:t>
      </w:r>
      <w:r w:rsidR="00F15D19">
        <w:t>p</w:t>
      </w:r>
      <w:r>
        <w:t>. </w:t>
      </w:r>
      <w:r w:rsidR="00F15D19">
        <w:t>1915,</w:t>
      </w:r>
      <w:r>
        <w:t>1924].)</w:t>
      </w:r>
    </w:p>
  </w:footnote>
  <w:footnote w:id="2">
    <w:p w14:paraId="02C814C9" w14:textId="00E02143" w:rsidR="003A3E6F" w:rsidRDefault="006A6F27">
      <w:pPr>
        <w:pStyle w:val="FootnoteText"/>
      </w:pPr>
      <w:r>
        <w:rPr>
          <w:rStyle w:val="FootnoteReference"/>
        </w:rPr>
        <w:footnoteRef/>
      </w:r>
      <w:r>
        <w:t xml:space="preserve"> </w:t>
      </w:r>
      <w:r>
        <w:tab/>
      </w:r>
      <w:r w:rsidR="002577C3">
        <w:t xml:space="preserve">In the wake of </w:t>
      </w:r>
      <w:r w:rsidR="002577C3">
        <w:rPr>
          <w:i/>
          <w:iCs/>
        </w:rPr>
        <w:t>Viking River</w:t>
      </w:r>
      <w:r w:rsidR="002577C3">
        <w:t>,</w:t>
      </w:r>
      <w:r w:rsidR="002577C3">
        <w:rPr>
          <w:i/>
          <w:iCs/>
        </w:rPr>
        <w:t xml:space="preserve"> </w:t>
      </w:r>
      <w:r w:rsidR="002577C3">
        <w:t>s</w:t>
      </w:r>
      <w:r>
        <w:t xml:space="preserve">everal California appellate courts declined to follow </w:t>
      </w:r>
      <w:r>
        <w:rPr>
          <w:i/>
          <w:iCs/>
        </w:rPr>
        <w:t xml:space="preserve">Viking River’s </w:t>
      </w:r>
      <w:r>
        <w:t xml:space="preserve">interpretation of PAGA </w:t>
      </w:r>
      <w:r w:rsidR="002577C3">
        <w:t xml:space="preserve">on the issue of standing </w:t>
      </w:r>
      <w:r>
        <w:t xml:space="preserve">after an individual PAGA claim </w:t>
      </w:r>
      <w:r w:rsidR="002577C3">
        <w:t xml:space="preserve">has been ordered </w:t>
      </w:r>
      <w:r>
        <w:t xml:space="preserve">to arbitration.  (See </w:t>
      </w:r>
      <w:r>
        <w:rPr>
          <w:i/>
          <w:iCs/>
        </w:rPr>
        <w:t>Seifu</w:t>
      </w:r>
      <w:r>
        <w:t xml:space="preserve">, </w:t>
      </w:r>
      <w:r>
        <w:rPr>
          <w:i/>
          <w:iCs/>
        </w:rPr>
        <w:t>supra</w:t>
      </w:r>
      <w:r>
        <w:t xml:space="preserve">, 89 Cal.App.5th at pp. 1139, 1141; </w:t>
      </w:r>
      <w:r w:rsidR="006A47C8">
        <w:rPr>
          <w:i/>
          <w:iCs/>
        </w:rPr>
        <w:t>Piplack</w:t>
      </w:r>
      <w:r w:rsidR="006A47C8">
        <w:t xml:space="preserve"> </w:t>
      </w:r>
      <w:r w:rsidR="006A47C8">
        <w:rPr>
          <w:i/>
          <w:iCs/>
        </w:rPr>
        <w:t xml:space="preserve">v. In-N-Out Burgers </w:t>
      </w:r>
      <w:r w:rsidR="006A47C8">
        <w:t>(2023)</w:t>
      </w:r>
      <w:r w:rsidR="006A47C8" w:rsidRPr="009F59E0">
        <w:t xml:space="preserve"> 88 Cal.App</w:t>
      </w:r>
      <w:r w:rsidR="006A47C8">
        <w:t>.5th 1281,</w:t>
      </w:r>
      <w:r w:rsidR="00E01FCF">
        <w:t xml:space="preserve"> </w:t>
      </w:r>
      <w:r>
        <w:t>1292–1293</w:t>
      </w:r>
      <w:r w:rsidR="006A47C8">
        <w:t xml:space="preserve"> (</w:t>
      </w:r>
      <w:r w:rsidR="006A47C8">
        <w:rPr>
          <w:i/>
          <w:iCs/>
        </w:rPr>
        <w:t>Piplack</w:t>
      </w:r>
      <w:r w:rsidR="006A47C8">
        <w:t>)</w:t>
      </w:r>
      <w:r w:rsidR="00BC07E6">
        <w:t xml:space="preserve">; </w:t>
      </w:r>
      <w:r w:rsidR="00BC07E6">
        <w:rPr>
          <w:i/>
          <w:iCs/>
        </w:rPr>
        <w:t>Galarsa v. Dolgen California, LLC</w:t>
      </w:r>
      <w:r w:rsidR="00BC07E6">
        <w:t xml:space="preserve"> (2023) 88 Cal.App.5th 639, 652–653 (</w:t>
      </w:r>
      <w:r w:rsidR="00BC07E6">
        <w:rPr>
          <w:i/>
          <w:iCs/>
        </w:rPr>
        <w:t>Galarsa</w:t>
      </w:r>
      <w:r w:rsidR="00BC07E6">
        <w:t>)</w:t>
      </w:r>
      <w:r>
        <w:t>.)</w:t>
      </w:r>
      <w:r w:rsidR="00941C87">
        <w:t xml:space="preserve">  Standing is not at issue in this appeal. </w:t>
      </w:r>
    </w:p>
  </w:footnote>
  <w:footnote w:id="3">
    <w:p w14:paraId="1D8D3C7E" w14:textId="10E242B2" w:rsidR="00085D63" w:rsidRPr="00AE1E07" w:rsidRDefault="006A6F27" w:rsidP="00085D63">
      <w:pPr>
        <w:pStyle w:val="FootnoteText"/>
      </w:pPr>
      <w:r>
        <w:rPr>
          <w:rStyle w:val="FootnoteReference"/>
        </w:rPr>
        <w:footnoteRef/>
      </w:r>
      <w:r>
        <w:t xml:space="preserve"> </w:t>
      </w:r>
      <w:r>
        <w:tab/>
        <w:t xml:space="preserve">We acknowledge that certain language in </w:t>
      </w:r>
      <w:r>
        <w:rPr>
          <w:i/>
          <w:iCs/>
        </w:rPr>
        <w:t xml:space="preserve">Viking River </w:t>
      </w:r>
      <w:r>
        <w:t xml:space="preserve">lends itself to Heritage Bank’s mistaken view that a PAGA waiver is “wholesale” only when it waives both individual and nonindividual PAGA claims.  Specifically, the </w:t>
      </w:r>
      <w:r>
        <w:rPr>
          <w:i/>
          <w:iCs/>
        </w:rPr>
        <w:t xml:space="preserve">Viking River </w:t>
      </w:r>
      <w:r>
        <w:t xml:space="preserve">court stated that due to the severability clause, “the agreement still would have permitted arbitration of </w:t>
      </w:r>
      <w:r w:rsidR="001A15BB">
        <w:t>[the plaintiff’s]</w:t>
      </w:r>
      <w:r>
        <w:t xml:space="preserve"> individual PAGA claim even if </w:t>
      </w:r>
      <w:r w:rsidRPr="00116E5D">
        <w:rPr>
          <w:i/>
          <w:iCs/>
        </w:rPr>
        <w:t>wholesale</w:t>
      </w:r>
      <w:r>
        <w:t xml:space="preserve"> enforcement was impossible.”  (</w:t>
      </w:r>
      <w:r>
        <w:rPr>
          <w:i/>
          <w:iCs/>
        </w:rPr>
        <w:t>Viking River</w:t>
      </w:r>
      <w:r>
        <w:t xml:space="preserve">, </w:t>
      </w:r>
      <w:r>
        <w:rPr>
          <w:i/>
          <w:iCs/>
        </w:rPr>
        <w:t>supra</w:t>
      </w:r>
      <w:r>
        <w:t xml:space="preserve">, 569 U.S. at p. ___ [142 S. Ct. at p. 1917], italics added.)  As we have explained, however, </w:t>
      </w:r>
      <w:r>
        <w:rPr>
          <w:i/>
          <w:iCs/>
        </w:rPr>
        <w:t>Iskanian’s</w:t>
      </w:r>
      <w:r>
        <w:t xml:space="preserve"> prohibition against wholesale PAGA waivers applies whenever an employee is required to forgo their substantive right to seek civil penalties as an agent or proxy of the state in any forum, </w:t>
      </w:r>
      <w:r w:rsidR="00AB2774">
        <w:t xml:space="preserve">either </w:t>
      </w:r>
      <w:r>
        <w:t>as an individual or nonindividual PAGA claim.  (</w:t>
      </w:r>
      <w:r>
        <w:rPr>
          <w:i/>
          <w:iCs/>
        </w:rPr>
        <w:t>Iskanian</w:t>
      </w:r>
      <w:r>
        <w:t xml:space="preserve">, </w:t>
      </w:r>
      <w:r w:rsidRPr="008E125D">
        <w:rPr>
          <w:i/>
          <w:iCs/>
        </w:rPr>
        <w:t>supra</w:t>
      </w:r>
      <w:r>
        <w:t xml:space="preserve">, 59 Cal.4th at p. 360.)  Nothing in </w:t>
      </w:r>
      <w:r>
        <w:rPr>
          <w:i/>
          <w:iCs/>
        </w:rPr>
        <w:t xml:space="preserve">Viking River </w:t>
      </w:r>
      <w:r>
        <w:t xml:space="preserve">purports to change </w:t>
      </w:r>
      <w:r>
        <w:rPr>
          <w:i/>
          <w:iCs/>
        </w:rPr>
        <w:t>Iskanian’s</w:t>
      </w:r>
      <w:r>
        <w:t xml:space="preserve"> principal rule in this respect.  (</w:t>
      </w:r>
      <w:r>
        <w:rPr>
          <w:i/>
          <w:iCs/>
        </w:rPr>
        <w:t>Viking River</w:t>
      </w:r>
      <w:r>
        <w:t xml:space="preserve">, </w:t>
      </w:r>
      <w:r>
        <w:rPr>
          <w:i/>
          <w:iCs/>
        </w:rPr>
        <w:t>supra</w:t>
      </w:r>
      <w:r>
        <w:t>, 596 U.S. at p. ___ [142 S. Ct. at p. 1925].)</w:t>
      </w:r>
    </w:p>
  </w:footnote>
  <w:footnote w:id="4">
    <w:p w14:paraId="0917C35B" w14:textId="54E91F52" w:rsidR="00301CB9" w:rsidRDefault="006A6F27">
      <w:pPr>
        <w:pStyle w:val="FootnoteText"/>
      </w:pPr>
      <w:r>
        <w:rPr>
          <w:rStyle w:val="FootnoteReference"/>
        </w:rPr>
        <w:footnoteRef/>
      </w:r>
      <w:r>
        <w:t xml:space="preserve"> </w:t>
      </w:r>
      <w:r>
        <w:tab/>
      </w:r>
      <w:r w:rsidR="00941C87">
        <w:t>To reiterate</w:t>
      </w:r>
      <w:r>
        <w:t xml:space="preserve">, </w:t>
      </w:r>
      <w:r w:rsidR="00C501C4">
        <w:t>at issue</w:t>
      </w:r>
      <w:r>
        <w:t xml:space="preserve"> here is the contractual language </w:t>
      </w:r>
      <w:r w:rsidR="00C501C4">
        <w:t>relating</w:t>
      </w:r>
      <w:r>
        <w:t xml:space="preserve"> to plaintiffs’ individual PAGA claims, not their individual causes of action under </w:t>
      </w:r>
      <w:r w:rsidR="00933832">
        <w:t xml:space="preserve">other sections of </w:t>
      </w:r>
      <w:r>
        <w:t xml:space="preserve">the Labor Code and </w:t>
      </w:r>
      <w:r w:rsidR="00CA0DB1">
        <w:t xml:space="preserve">the </w:t>
      </w:r>
      <w:r>
        <w:t>UCL.  B</w:t>
      </w:r>
      <w:r w:rsidR="00B00702">
        <w:t>ut b</w:t>
      </w:r>
      <w:r>
        <w:t xml:space="preserve">ecause the entire arbitration agreement is </w:t>
      </w:r>
      <w:r w:rsidR="00B00702">
        <w:t xml:space="preserve">rendered </w:t>
      </w:r>
      <w:r>
        <w:t xml:space="preserve">null and void by operation of the poison pill, we need not address </w:t>
      </w:r>
      <w:r w:rsidR="002577C3">
        <w:t xml:space="preserve">Heritage Bank’s </w:t>
      </w:r>
      <w:r>
        <w:t xml:space="preserve">additional contentions regarding the arbitrability of plaintiffs’ </w:t>
      </w:r>
      <w:r w:rsidR="002577C3">
        <w:t xml:space="preserve">non-PAGA </w:t>
      </w:r>
      <w:r>
        <w:t>claims.</w:t>
      </w:r>
    </w:p>
  </w:footnote>
  <w:footnote w:id="5">
    <w:p w14:paraId="0E533543" w14:textId="77777777" w:rsidR="00022B63" w:rsidRPr="00266AC2" w:rsidRDefault="00022B63" w:rsidP="00022B63">
      <w:pPr>
        <w:pStyle w:val="FootnoteText"/>
      </w:pPr>
      <w:r w:rsidRPr="00266AC2">
        <w:rPr>
          <w:rStyle w:val="FootnoteReference"/>
        </w:rPr>
        <w:footnoteRef/>
      </w:r>
      <w:r w:rsidRPr="00266AC2">
        <w:t xml:space="preserve"> </w:t>
      </w:r>
      <w:r>
        <w:t>Tucher</w:t>
      </w:r>
      <w:r w:rsidRPr="00266AC2">
        <w:t xml:space="preserve">, P.J., </w:t>
      </w:r>
      <w:r w:rsidRPr="00A47077">
        <w:t>Fujisaki</w:t>
      </w:r>
      <w:r w:rsidRPr="00266AC2">
        <w:t xml:space="preserve">, J., and </w:t>
      </w:r>
      <w:r>
        <w:t>Petrou</w:t>
      </w:r>
      <w:r w:rsidRPr="00266AC2">
        <w:t xml:space="preserve">,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2C40"/>
    <w:multiLevelType w:val="hybridMultilevel"/>
    <w:tmpl w:val="99DE4C30"/>
    <w:lvl w:ilvl="0" w:tplc="1CE6FC8C">
      <w:start w:val="1"/>
      <w:numFmt w:val="upperRoman"/>
      <w:lvlText w:val="%1."/>
      <w:lvlJc w:val="left"/>
      <w:pPr>
        <w:ind w:left="1080" w:hanging="720"/>
      </w:pPr>
      <w:rPr>
        <w:rFonts w:hint="default"/>
      </w:rPr>
    </w:lvl>
    <w:lvl w:ilvl="1" w:tplc="21AAE0D2" w:tentative="1">
      <w:start w:val="1"/>
      <w:numFmt w:val="lowerLetter"/>
      <w:lvlText w:val="%2."/>
      <w:lvlJc w:val="left"/>
      <w:pPr>
        <w:ind w:left="1440" w:hanging="360"/>
      </w:pPr>
    </w:lvl>
    <w:lvl w:ilvl="2" w:tplc="63E4BF14" w:tentative="1">
      <w:start w:val="1"/>
      <w:numFmt w:val="lowerRoman"/>
      <w:lvlText w:val="%3."/>
      <w:lvlJc w:val="right"/>
      <w:pPr>
        <w:ind w:left="2160" w:hanging="180"/>
      </w:pPr>
    </w:lvl>
    <w:lvl w:ilvl="3" w:tplc="DB76FD14" w:tentative="1">
      <w:start w:val="1"/>
      <w:numFmt w:val="decimal"/>
      <w:lvlText w:val="%4."/>
      <w:lvlJc w:val="left"/>
      <w:pPr>
        <w:ind w:left="2880" w:hanging="360"/>
      </w:pPr>
    </w:lvl>
    <w:lvl w:ilvl="4" w:tplc="828815F2" w:tentative="1">
      <w:start w:val="1"/>
      <w:numFmt w:val="lowerLetter"/>
      <w:lvlText w:val="%5."/>
      <w:lvlJc w:val="left"/>
      <w:pPr>
        <w:ind w:left="3600" w:hanging="360"/>
      </w:pPr>
    </w:lvl>
    <w:lvl w:ilvl="5" w:tplc="34EA7C84" w:tentative="1">
      <w:start w:val="1"/>
      <w:numFmt w:val="lowerRoman"/>
      <w:lvlText w:val="%6."/>
      <w:lvlJc w:val="right"/>
      <w:pPr>
        <w:ind w:left="4320" w:hanging="180"/>
      </w:pPr>
    </w:lvl>
    <w:lvl w:ilvl="6" w:tplc="7BC0DF52" w:tentative="1">
      <w:start w:val="1"/>
      <w:numFmt w:val="decimal"/>
      <w:lvlText w:val="%7."/>
      <w:lvlJc w:val="left"/>
      <w:pPr>
        <w:ind w:left="5040" w:hanging="360"/>
      </w:pPr>
    </w:lvl>
    <w:lvl w:ilvl="7" w:tplc="DAEE66C6" w:tentative="1">
      <w:start w:val="1"/>
      <w:numFmt w:val="lowerLetter"/>
      <w:lvlText w:val="%8."/>
      <w:lvlJc w:val="left"/>
      <w:pPr>
        <w:ind w:left="5760" w:hanging="360"/>
      </w:pPr>
    </w:lvl>
    <w:lvl w:ilvl="8" w:tplc="57C46BD6" w:tentative="1">
      <w:start w:val="1"/>
      <w:numFmt w:val="lowerRoman"/>
      <w:lvlText w:val="%9."/>
      <w:lvlJc w:val="right"/>
      <w:pPr>
        <w:ind w:left="6480" w:hanging="180"/>
      </w:pPr>
    </w:lvl>
  </w:abstractNum>
  <w:abstractNum w:abstractNumId="1" w15:restartNumberingAfterBreak="0">
    <w:nsid w:val="3A836E19"/>
    <w:multiLevelType w:val="hybridMultilevel"/>
    <w:tmpl w:val="9F4C9718"/>
    <w:lvl w:ilvl="0" w:tplc="3A346BBA">
      <w:start w:val="1"/>
      <w:numFmt w:val="upperRoman"/>
      <w:lvlText w:val="%1."/>
      <w:lvlJc w:val="left"/>
      <w:pPr>
        <w:ind w:left="1080" w:hanging="720"/>
      </w:pPr>
      <w:rPr>
        <w:rFonts w:hint="default"/>
      </w:rPr>
    </w:lvl>
    <w:lvl w:ilvl="1" w:tplc="1A267026">
      <w:start w:val="1"/>
      <w:numFmt w:val="lowerLetter"/>
      <w:lvlText w:val="%2."/>
      <w:lvlJc w:val="left"/>
      <w:pPr>
        <w:ind w:left="1440" w:hanging="360"/>
      </w:pPr>
    </w:lvl>
    <w:lvl w:ilvl="2" w:tplc="E59C1AB8" w:tentative="1">
      <w:start w:val="1"/>
      <w:numFmt w:val="lowerRoman"/>
      <w:lvlText w:val="%3."/>
      <w:lvlJc w:val="right"/>
      <w:pPr>
        <w:ind w:left="2160" w:hanging="180"/>
      </w:pPr>
    </w:lvl>
    <w:lvl w:ilvl="3" w:tplc="4DEE3334" w:tentative="1">
      <w:start w:val="1"/>
      <w:numFmt w:val="decimal"/>
      <w:lvlText w:val="%4."/>
      <w:lvlJc w:val="left"/>
      <w:pPr>
        <w:ind w:left="2880" w:hanging="360"/>
      </w:pPr>
    </w:lvl>
    <w:lvl w:ilvl="4" w:tplc="A8CC3DE2" w:tentative="1">
      <w:start w:val="1"/>
      <w:numFmt w:val="lowerLetter"/>
      <w:lvlText w:val="%5."/>
      <w:lvlJc w:val="left"/>
      <w:pPr>
        <w:ind w:left="3600" w:hanging="360"/>
      </w:pPr>
    </w:lvl>
    <w:lvl w:ilvl="5" w:tplc="5F1054EA" w:tentative="1">
      <w:start w:val="1"/>
      <w:numFmt w:val="lowerRoman"/>
      <w:lvlText w:val="%6."/>
      <w:lvlJc w:val="right"/>
      <w:pPr>
        <w:ind w:left="4320" w:hanging="180"/>
      </w:pPr>
    </w:lvl>
    <w:lvl w:ilvl="6" w:tplc="EC6CB3C4" w:tentative="1">
      <w:start w:val="1"/>
      <w:numFmt w:val="decimal"/>
      <w:lvlText w:val="%7."/>
      <w:lvlJc w:val="left"/>
      <w:pPr>
        <w:ind w:left="5040" w:hanging="360"/>
      </w:pPr>
    </w:lvl>
    <w:lvl w:ilvl="7" w:tplc="E33E6F70" w:tentative="1">
      <w:start w:val="1"/>
      <w:numFmt w:val="lowerLetter"/>
      <w:lvlText w:val="%8."/>
      <w:lvlJc w:val="left"/>
      <w:pPr>
        <w:ind w:left="5760" w:hanging="360"/>
      </w:pPr>
    </w:lvl>
    <w:lvl w:ilvl="8" w:tplc="954E4910" w:tentative="1">
      <w:start w:val="1"/>
      <w:numFmt w:val="lowerRoman"/>
      <w:lvlText w:val="%9."/>
      <w:lvlJc w:val="right"/>
      <w:pPr>
        <w:ind w:left="6480" w:hanging="180"/>
      </w:pPr>
    </w:lvl>
  </w:abstractNum>
  <w:abstractNum w:abstractNumId="2" w15:restartNumberingAfterBreak="0">
    <w:nsid w:val="438F00E5"/>
    <w:multiLevelType w:val="hybridMultilevel"/>
    <w:tmpl w:val="AF8C335E"/>
    <w:lvl w:ilvl="0" w:tplc="8ADC7A1E">
      <w:start w:val="1"/>
      <w:numFmt w:val="upperLetter"/>
      <w:lvlText w:val="%1."/>
      <w:lvlJc w:val="left"/>
      <w:pPr>
        <w:ind w:left="1080" w:hanging="360"/>
      </w:pPr>
      <w:rPr>
        <w:rFonts w:hint="default"/>
      </w:rPr>
    </w:lvl>
    <w:lvl w:ilvl="1" w:tplc="4DC84334" w:tentative="1">
      <w:start w:val="1"/>
      <w:numFmt w:val="lowerLetter"/>
      <w:lvlText w:val="%2."/>
      <w:lvlJc w:val="left"/>
      <w:pPr>
        <w:ind w:left="1800" w:hanging="360"/>
      </w:pPr>
    </w:lvl>
    <w:lvl w:ilvl="2" w:tplc="AC98C8F4" w:tentative="1">
      <w:start w:val="1"/>
      <w:numFmt w:val="lowerRoman"/>
      <w:lvlText w:val="%3."/>
      <w:lvlJc w:val="right"/>
      <w:pPr>
        <w:ind w:left="2520" w:hanging="180"/>
      </w:pPr>
    </w:lvl>
    <w:lvl w:ilvl="3" w:tplc="D99CE978" w:tentative="1">
      <w:start w:val="1"/>
      <w:numFmt w:val="decimal"/>
      <w:lvlText w:val="%4."/>
      <w:lvlJc w:val="left"/>
      <w:pPr>
        <w:ind w:left="3240" w:hanging="360"/>
      </w:pPr>
    </w:lvl>
    <w:lvl w:ilvl="4" w:tplc="24F89F70" w:tentative="1">
      <w:start w:val="1"/>
      <w:numFmt w:val="lowerLetter"/>
      <w:lvlText w:val="%5."/>
      <w:lvlJc w:val="left"/>
      <w:pPr>
        <w:ind w:left="3960" w:hanging="360"/>
      </w:pPr>
    </w:lvl>
    <w:lvl w:ilvl="5" w:tplc="F322FE72" w:tentative="1">
      <w:start w:val="1"/>
      <w:numFmt w:val="lowerRoman"/>
      <w:lvlText w:val="%6."/>
      <w:lvlJc w:val="right"/>
      <w:pPr>
        <w:ind w:left="4680" w:hanging="180"/>
      </w:pPr>
    </w:lvl>
    <w:lvl w:ilvl="6" w:tplc="16F65B20" w:tentative="1">
      <w:start w:val="1"/>
      <w:numFmt w:val="decimal"/>
      <w:lvlText w:val="%7."/>
      <w:lvlJc w:val="left"/>
      <w:pPr>
        <w:ind w:left="5400" w:hanging="360"/>
      </w:pPr>
    </w:lvl>
    <w:lvl w:ilvl="7" w:tplc="48BE0A70" w:tentative="1">
      <w:start w:val="1"/>
      <w:numFmt w:val="lowerLetter"/>
      <w:lvlText w:val="%8."/>
      <w:lvlJc w:val="left"/>
      <w:pPr>
        <w:ind w:left="6120" w:hanging="360"/>
      </w:pPr>
    </w:lvl>
    <w:lvl w:ilvl="8" w:tplc="D64263E8" w:tentative="1">
      <w:start w:val="1"/>
      <w:numFmt w:val="lowerRoman"/>
      <w:lvlText w:val="%9."/>
      <w:lvlJc w:val="right"/>
      <w:pPr>
        <w:ind w:left="6840" w:hanging="180"/>
      </w:pPr>
    </w:lvl>
  </w:abstractNum>
  <w:abstractNum w:abstractNumId="3" w15:restartNumberingAfterBreak="0">
    <w:nsid w:val="467D6DD3"/>
    <w:multiLevelType w:val="hybridMultilevel"/>
    <w:tmpl w:val="4FBE879E"/>
    <w:lvl w:ilvl="0" w:tplc="FA3EE19C">
      <w:start w:val="1"/>
      <w:numFmt w:val="upperLetter"/>
      <w:lvlText w:val="%1."/>
      <w:lvlJc w:val="left"/>
      <w:pPr>
        <w:ind w:left="2520" w:hanging="360"/>
      </w:pPr>
      <w:rPr>
        <w:rFonts w:hint="default"/>
      </w:rPr>
    </w:lvl>
    <w:lvl w:ilvl="1" w:tplc="DECCD36C" w:tentative="1">
      <w:start w:val="1"/>
      <w:numFmt w:val="lowerLetter"/>
      <w:lvlText w:val="%2."/>
      <w:lvlJc w:val="left"/>
      <w:pPr>
        <w:ind w:left="3240" w:hanging="360"/>
      </w:pPr>
    </w:lvl>
    <w:lvl w:ilvl="2" w:tplc="928EED4A" w:tentative="1">
      <w:start w:val="1"/>
      <w:numFmt w:val="lowerRoman"/>
      <w:lvlText w:val="%3."/>
      <w:lvlJc w:val="right"/>
      <w:pPr>
        <w:ind w:left="3960" w:hanging="180"/>
      </w:pPr>
    </w:lvl>
    <w:lvl w:ilvl="3" w:tplc="C42A05EC" w:tentative="1">
      <w:start w:val="1"/>
      <w:numFmt w:val="decimal"/>
      <w:lvlText w:val="%4."/>
      <w:lvlJc w:val="left"/>
      <w:pPr>
        <w:ind w:left="4680" w:hanging="360"/>
      </w:pPr>
    </w:lvl>
    <w:lvl w:ilvl="4" w:tplc="7270964A" w:tentative="1">
      <w:start w:val="1"/>
      <w:numFmt w:val="lowerLetter"/>
      <w:lvlText w:val="%5."/>
      <w:lvlJc w:val="left"/>
      <w:pPr>
        <w:ind w:left="5400" w:hanging="360"/>
      </w:pPr>
    </w:lvl>
    <w:lvl w:ilvl="5" w:tplc="183280E8" w:tentative="1">
      <w:start w:val="1"/>
      <w:numFmt w:val="lowerRoman"/>
      <w:lvlText w:val="%6."/>
      <w:lvlJc w:val="right"/>
      <w:pPr>
        <w:ind w:left="6120" w:hanging="180"/>
      </w:pPr>
    </w:lvl>
    <w:lvl w:ilvl="6" w:tplc="BE683B98" w:tentative="1">
      <w:start w:val="1"/>
      <w:numFmt w:val="decimal"/>
      <w:lvlText w:val="%7."/>
      <w:lvlJc w:val="left"/>
      <w:pPr>
        <w:ind w:left="6840" w:hanging="360"/>
      </w:pPr>
    </w:lvl>
    <w:lvl w:ilvl="7" w:tplc="922E938C" w:tentative="1">
      <w:start w:val="1"/>
      <w:numFmt w:val="lowerLetter"/>
      <w:lvlText w:val="%8."/>
      <w:lvlJc w:val="left"/>
      <w:pPr>
        <w:ind w:left="7560" w:hanging="360"/>
      </w:pPr>
    </w:lvl>
    <w:lvl w:ilvl="8" w:tplc="F3E64DCC" w:tentative="1">
      <w:start w:val="1"/>
      <w:numFmt w:val="lowerRoman"/>
      <w:lvlText w:val="%9."/>
      <w:lvlJc w:val="right"/>
      <w:pPr>
        <w:ind w:left="8280" w:hanging="180"/>
      </w:pPr>
    </w:lvl>
  </w:abstractNum>
  <w:abstractNum w:abstractNumId="4" w15:restartNumberingAfterBreak="0">
    <w:nsid w:val="59C7694E"/>
    <w:multiLevelType w:val="hybridMultilevel"/>
    <w:tmpl w:val="214A694E"/>
    <w:lvl w:ilvl="0" w:tplc="735873D0">
      <w:start w:val="1"/>
      <w:numFmt w:val="upperRoman"/>
      <w:lvlText w:val="%1."/>
      <w:lvlJc w:val="left"/>
      <w:pPr>
        <w:ind w:left="1440" w:hanging="720"/>
      </w:pPr>
      <w:rPr>
        <w:rFonts w:hint="default"/>
      </w:rPr>
    </w:lvl>
    <w:lvl w:ilvl="1" w:tplc="6D24724E" w:tentative="1">
      <w:start w:val="1"/>
      <w:numFmt w:val="lowerLetter"/>
      <w:lvlText w:val="%2."/>
      <w:lvlJc w:val="left"/>
      <w:pPr>
        <w:ind w:left="1800" w:hanging="360"/>
      </w:pPr>
    </w:lvl>
    <w:lvl w:ilvl="2" w:tplc="7FB82A0A" w:tentative="1">
      <w:start w:val="1"/>
      <w:numFmt w:val="lowerRoman"/>
      <w:lvlText w:val="%3."/>
      <w:lvlJc w:val="right"/>
      <w:pPr>
        <w:ind w:left="2520" w:hanging="180"/>
      </w:pPr>
    </w:lvl>
    <w:lvl w:ilvl="3" w:tplc="43DCC382" w:tentative="1">
      <w:start w:val="1"/>
      <w:numFmt w:val="decimal"/>
      <w:lvlText w:val="%4."/>
      <w:lvlJc w:val="left"/>
      <w:pPr>
        <w:ind w:left="3240" w:hanging="360"/>
      </w:pPr>
    </w:lvl>
    <w:lvl w:ilvl="4" w:tplc="F09077A6" w:tentative="1">
      <w:start w:val="1"/>
      <w:numFmt w:val="lowerLetter"/>
      <w:lvlText w:val="%5."/>
      <w:lvlJc w:val="left"/>
      <w:pPr>
        <w:ind w:left="3960" w:hanging="360"/>
      </w:pPr>
    </w:lvl>
    <w:lvl w:ilvl="5" w:tplc="7CD67E88" w:tentative="1">
      <w:start w:val="1"/>
      <w:numFmt w:val="lowerRoman"/>
      <w:lvlText w:val="%6."/>
      <w:lvlJc w:val="right"/>
      <w:pPr>
        <w:ind w:left="4680" w:hanging="180"/>
      </w:pPr>
    </w:lvl>
    <w:lvl w:ilvl="6" w:tplc="C4A6C38C" w:tentative="1">
      <w:start w:val="1"/>
      <w:numFmt w:val="decimal"/>
      <w:lvlText w:val="%7."/>
      <w:lvlJc w:val="left"/>
      <w:pPr>
        <w:ind w:left="5400" w:hanging="360"/>
      </w:pPr>
    </w:lvl>
    <w:lvl w:ilvl="7" w:tplc="7EAE3844" w:tentative="1">
      <w:start w:val="1"/>
      <w:numFmt w:val="lowerLetter"/>
      <w:lvlText w:val="%8."/>
      <w:lvlJc w:val="left"/>
      <w:pPr>
        <w:ind w:left="6120" w:hanging="360"/>
      </w:pPr>
    </w:lvl>
    <w:lvl w:ilvl="8" w:tplc="E29AEB72" w:tentative="1">
      <w:start w:val="1"/>
      <w:numFmt w:val="lowerRoman"/>
      <w:lvlText w:val="%9."/>
      <w:lvlJc w:val="right"/>
      <w:pPr>
        <w:ind w:left="6840" w:hanging="180"/>
      </w:pPr>
    </w:lvl>
  </w:abstractNum>
  <w:abstractNum w:abstractNumId="5" w15:restartNumberingAfterBreak="0">
    <w:nsid w:val="669703FD"/>
    <w:multiLevelType w:val="hybridMultilevel"/>
    <w:tmpl w:val="8C4A704C"/>
    <w:lvl w:ilvl="0" w:tplc="55A06442">
      <w:start w:val="1"/>
      <w:numFmt w:val="upperLetter"/>
      <w:lvlText w:val="%1."/>
      <w:lvlJc w:val="left"/>
      <w:pPr>
        <w:ind w:left="1080" w:hanging="360"/>
      </w:pPr>
      <w:rPr>
        <w:rFonts w:hint="default"/>
      </w:rPr>
    </w:lvl>
    <w:lvl w:ilvl="1" w:tplc="A574D51A">
      <w:start w:val="1"/>
      <w:numFmt w:val="lowerLetter"/>
      <w:lvlText w:val="%2."/>
      <w:lvlJc w:val="left"/>
      <w:pPr>
        <w:ind w:left="1800" w:hanging="360"/>
      </w:pPr>
    </w:lvl>
    <w:lvl w:ilvl="2" w:tplc="D6CCF2FE" w:tentative="1">
      <w:start w:val="1"/>
      <w:numFmt w:val="lowerRoman"/>
      <w:lvlText w:val="%3."/>
      <w:lvlJc w:val="right"/>
      <w:pPr>
        <w:ind w:left="2520" w:hanging="180"/>
      </w:pPr>
    </w:lvl>
    <w:lvl w:ilvl="3" w:tplc="9762369E" w:tentative="1">
      <w:start w:val="1"/>
      <w:numFmt w:val="decimal"/>
      <w:lvlText w:val="%4."/>
      <w:lvlJc w:val="left"/>
      <w:pPr>
        <w:ind w:left="3240" w:hanging="360"/>
      </w:pPr>
    </w:lvl>
    <w:lvl w:ilvl="4" w:tplc="DE805CF2" w:tentative="1">
      <w:start w:val="1"/>
      <w:numFmt w:val="lowerLetter"/>
      <w:lvlText w:val="%5."/>
      <w:lvlJc w:val="left"/>
      <w:pPr>
        <w:ind w:left="3960" w:hanging="360"/>
      </w:pPr>
    </w:lvl>
    <w:lvl w:ilvl="5" w:tplc="3D426286" w:tentative="1">
      <w:start w:val="1"/>
      <w:numFmt w:val="lowerRoman"/>
      <w:lvlText w:val="%6."/>
      <w:lvlJc w:val="right"/>
      <w:pPr>
        <w:ind w:left="4680" w:hanging="180"/>
      </w:pPr>
    </w:lvl>
    <w:lvl w:ilvl="6" w:tplc="2EDE65B0" w:tentative="1">
      <w:start w:val="1"/>
      <w:numFmt w:val="decimal"/>
      <w:lvlText w:val="%7."/>
      <w:lvlJc w:val="left"/>
      <w:pPr>
        <w:ind w:left="5400" w:hanging="360"/>
      </w:pPr>
    </w:lvl>
    <w:lvl w:ilvl="7" w:tplc="850CC66C" w:tentative="1">
      <w:start w:val="1"/>
      <w:numFmt w:val="lowerLetter"/>
      <w:lvlText w:val="%8."/>
      <w:lvlJc w:val="left"/>
      <w:pPr>
        <w:ind w:left="6120" w:hanging="360"/>
      </w:pPr>
    </w:lvl>
    <w:lvl w:ilvl="8" w:tplc="CA62AA90" w:tentative="1">
      <w:start w:val="1"/>
      <w:numFmt w:val="lowerRoman"/>
      <w:lvlText w:val="%9."/>
      <w:lvlJc w:val="right"/>
      <w:pPr>
        <w:ind w:left="6840" w:hanging="180"/>
      </w:pPr>
    </w:lvl>
  </w:abstractNum>
  <w:abstractNum w:abstractNumId="6" w15:restartNumberingAfterBreak="0">
    <w:nsid w:val="7B431693"/>
    <w:multiLevelType w:val="hybridMultilevel"/>
    <w:tmpl w:val="F7ECB35E"/>
    <w:lvl w:ilvl="0" w:tplc="2BAE12EA">
      <w:start w:val="1"/>
      <w:numFmt w:val="upperLetter"/>
      <w:lvlText w:val="%1."/>
      <w:lvlJc w:val="left"/>
      <w:pPr>
        <w:ind w:left="1800" w:hanging="360"/>
      </w:pPr>
      <w:rPr>
        <w:rFonts w:hint="default"/>
        <w:i w:val="0"/>
        <w:iCs w:val="0"/>
      </w:rPr>
    </w:lvl>
    <w:lvl w:ilvl="1" w:tplc="16F2A34E" w:tentative="1">
      <w:start w:val="1"/>
      <w:numFmt w:val="lowerLetter"/>
      <w:lvlText w:val="%2."/>
      <w:lvlJc w:val="left"/>
      <w:pPr>
        <w:ind w:left="2520" w:hanging="360"/>
      </w:pPr>
    </w:lvl>
    <w:lvl w:ilvl="2" w:tplc="8DF6BCF8" w:tentative="1">
      <w:start w:val="1"/>
      <w:numFmt w:val="lowerRoman"/>
      <w:lvlText w:val="%3."/>
      <w:lvlJc w:val="right"/>
      <w:pPr>
        <w:ind w:left="3240" w:hanging="180"/>
      </w:pPr>
    </w:lvl>
    <w:lvl w:ilvl="3" w:tplc="EB363206" w:tentative="1">
      <w:start w:val="1"/>
      <w:numFmt w:val="decimal"/>
      <w:lvlText w:val="%4."/>
      <w:lvlJc w:val="left"/>
      <w:pPr>
        <w:ind w:left="3960" w:hanging="360"/>
      </w:pPr>
    </w:lvl>
    <w:lvl w:ilvl="4" w:tplc="7EBA4036" w:tentative="1">
      <w:start w:val="1"/>
      <w:numFmt w:val="lowerLetter"/>
      <w:lvlText w:val="%5."/>
      <w:lvlJc w:val="left"/>
      <w:pPr>
        <w:ind w:left="4680" w:hanging="360"/>
      </w:pPr>
    </w:lvl>
    <w:lvl w:ilvl="5" w:tplc="B6C2B1D2" w:tentative="1">
      <w:start w:val="1"/>
      <w:numFmt w:val="lowerRoman"/>
      <w:lvlText w:val="%6."/>
      <w:lvlJc w:val="right"/>
      <w:pPr>
        <w:ind w:left="5400" w:hanging="180"/>
      </w:pPr>
    </w:lvl>
    <w:lvl w:ilvl="6" w:tplc="6FC08CF0" w:tentative="1">
      <w:start w:val="1"/>
      <w:numFmt w:val="decimal"/>
      <w:lvlText w:val="%7."/>
      <w:lvlJc w:val="left"/>
      <w:pPr>
        <w:ind w:left="6120" w:hanging="360"/>
      </w:pPr>
    </w:lvl>
    <w:lvl w:ilvl="7" w:tplc="6890C132" w:tentative="1">
      <w:start w:val="1"/>
      <w:numFmt w:val="lowerLetter"/>
      <w:lvlText w:val="%8."/>
      <w:lvlJc w:val="left"/>
      <w:pPr>
        <w:ind w:left="6840" w:hanging="360"/>
      </w:pPr>
    </w:lvl>
    <w:lvl w:ilvl="8" w:tplc="0E74C932" w:tentative="1">
      <w:start w:val="1"/>
      <w:numFmt w:val="lowerRoman"/>
      <w:lvlText w:val="%9."/>
      <w:lvlJc w:val="right"/>
      <w:pPr>
        <w:ind w:left="7560" w:hanging="180"/>
      </w:pPr>
    </w:lvl>
  </w:abstractNum>
  <w:abstractNum w:abstractNumId="7" w15:restartNumberingAfterBreak="0">
    <w:nsid w:val="7B7D4932"/>
    <w:multiLevelType w:val="hybridMultilevel"/>
    <w:tmpl w:val="F7ECB35E"/>
    <w:lvl w:ilvl="0" w:tplc="249AA342">
      <w:start w:val="1"/>
      <w:numFmt w:val="upperLetter"/>
      <w:lvlText w:val="%1."/>
      <w:lvlJc w:val="left"/>
      <w:pPr>
        <w:ind w:left="1800" w:hanging="360"/>
      </w:pPr>
      <w:rPr>
        <w:rFonts w:hint="default"/>
        <w:i w:val="0"/>
        <w:iCs w:val="0"/>
      </w:rPr>
    </w:lvl>
    <w:lvl w:ilvl="1" w:tplc="C38AFA2C" w:tentative="1">
      <w:start w:val="1"/>
      <w:numFmt w:val="lowerLetter"/>
      <w:lvlText w:val="%2."/>
      <w:lvlJc w:val="left"/>
      <w:pPr>
        <w:ind w:left="2520" w:hanging="360"/>
      </w:pPr>
    </w:lvl>
    <w:lvl w:ilvl="2" w:tplc="F782C4C6" w:tentative="1">
      <w:start w:val="1"/>
      <w:numFmt w:val="lowerRoman"/>
      <w:lvlText w:val="%3."/>
      <w:lvlJc w:val="right"/>
      <w:pPr>
        <w:ind w:left="3240" w:hanging="180"/>
      </w:pPr>
    </w:lvl>
    <w:lvl w:ilvl="3" w:tplc="61AA202A" w:tentative="1">
      <w:start w:val="1"/>
      <w:numFmt w:val="decimal"/>
      <w:lvlText w:val="%4."/>
      <w:lvlJc w:val="left"/>
      <w:pPr>
        <w:ind w:left="3960" w:hanging="360"/>
      </w:pPr>
    </w:lvl>
    <w:lvl w:ilvl="4" w:tplc="3C107D14" w:tentative="1">
      <w:start w:val="1"/>
      <w:numFmt w:val="lowerLetter"/>
      <w:lvlText w:val="%5."/>
      <w:lvlJc w:val="left"/>
      <w:pPr>
        <w:ind w:left="4680" w:hanging="360"/>
      </w:pPr>
    </w:lvl>
    <w:lvl w:ilvl="5" w:tplc="D2E41158" w:tentative="1">
      <w:start w:val="1"/>
      <w:numFmt w:val="lowerRoman"/>
      <w:lvlText w:val="%6."/>
      <w:lvlJc w:val="right"/>
      <w:pPr>
        <w:ind w:left="5400" w:hanging="180"/>
      </w:pPr>
    </w:lvl>
    <w:lvl w:ilvl="6" w:tplc="A1D4F192" w:tentative="1">
      <w:start w:val="1"/>
      <w:numFmt w:val="decimal"/>
      <w:lvlText w:val="%7."/>
      <w:lvlJc w:val="left"/>
      <w:pPr>
        <w:ind w:left="6120" w:hanging="360"/>
      </w:pPr>
    </w:lvl>
    <w:lvl w:ilvl="7" w:tplc="EEF85B02" w:tentative="1">
      <w:start w:val="1"/>
      <w:numFmt w:val="lowerLetter"/>
      <w:lvlText w:val="%8."/>
      <w:lvlJc w:val="left"/>
      <w:pPr>
        <w:ind w:left="6840" w:hanging="360"/>
      </w:pPr>
    </w:lvl>
    <w:lvl w:ilvl="8" w:tplc="F4F61480" w:tentative="1">
      <w:start w:val="1"/>
      <w:numFmt w:val="lowerRoman"/>
      <w:lvlText w:val="%9."/>
      <w:lvlJc w:val="right"/>
      <w:pPr>
        <w:ind w:left="7560" w:hanging="180"/>
      </w:pPr>
    </w:lvl>
  </w:abstractNum>
  <w:num w:numId="1" w16cid:durableId="29650031">
    <w:abstractNumId w:val="0"/>
  </w:num>
  <w:num w:numId="2" w16cid:durableId="277446228">
    <w:abstractNumId w:val="1"/>
  </w:num>
  <w:num w:numId="3" w16cid:durableId="2129203600">
    <w:abstractNumId w:val="5"/>
  </w:num>
  <w:num w:numId="4" w16cid:durableId="1349023263">
    <w:abstractNumId w:val="2"/>
  </w:num>
  <w:num w:numId="5" w16cid:durableId="1080754279">
    <w:abstractNumId w:val="4"/>
  </w:num>
  <w:num w:numId="6" w16cid:durableId="477964683">
    <w:abstractNumId w:val="3"/>
  </w:num>
  <w:num w:numId="7" w16cid:durableId="1470325441">
    <w:abstractNumId w:val="6"/>
  </w:num>
  <w:num w:numId="8" w16cid:durableId="2109034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CD"/>
    <w:rsid w:val="0000638E"/>
    <w:rsid w:val="00007877"/>
    <w:rsid w:val="00007F33"/>
    <w:rsid w:val="00013E10"/>
    <w:rsid w:val="00014425"/>
    <w:rsid w:val="0001664D"/>
    <w:rsid w:val="00021E62"/>
    <w:rsid w:val="00022B63"/>
    <w:rsid w:val="000231E2"/>
    <w:rsid w:val="000242D9"/>
    <w:rsid w:val="000331E2"/>
    <w:rsid w:val="0003489C"/>
    <w:rsid w:val="00036346"/>
    <w:rsid w:val="00050A87"/>
    <w:rsid w:val="00053C4C"/>
    <w:rsid w:val="00065786"/>
    <w:rsid w:val="00067985"/>
    <w:rsid w:val="000722D2"/>
    <w:rsid w:val="00073ACE"/>
    <w:rsid w:val="000742A6"/>
    <w:rsid w:val="000804B3"/>
    <w:rsid w:val="00082C85"/>
    <w:rsid w:val="00085D63"/>
    <w:rsid w:val="00087326"/>
    <w:rsid w:val="00093D27"/>
    <w:rsid w:val="00094498"/>
    <w:rsid w:val="0009535A"/>
    <w:rsid w:val="000959CC"/>
    <w:rsid w:val="000A3974"/>
    <w:rsid w:val="000B4674"/>
    <w:rsid w:val="000C0506"/>
    <w:rsid w:val="000D43B9"/>
    <w:rsid w:val="000E42AE"/>
    <w:rsid w:val="001000CC"/>
    <w:rsid w:val="00102042"/>
    <w:rsid w:val="0010364F"/>
    <w:rsid w:val="00107594"/>
    <w:rsid w:val="001117B4"/>
    <w:rsid w:val="00116C62"/>
    <w:rsid w:val="00116E5D"/>
    <w:rsid w:val="00124805"/>
    <w:rsid w:val="00144D3F"/>
    <w:rsid w:val="0015521D"/>
    <w:rsid w:val="001565DF"/>
    <w:rsid w:val="00160E8F"/>
    <w:rsid w:val="0016179F"/>
    <w:rsid w:val="00163E59"/>
    <w:rsid w:val="00172988"/>
    <w:rsid w:val="001862D3"/>
    <w:rsid w:val="00187677"/>
    <w:rsid w:val="00187E7A"/>
    <w:rsid w:val="0019244F"/>
    <w:rsid w:val="001939B2"/>
    <w:rsid w:val="001A02AA"/>
    <w:rsid w:val="001A15BB"/>
    <w:rsid w:val="001A2672"/>
    <w:rsid w:val="001C710D"/>
    <w:rsid w:val="001D510A"/>
    <w:rsid w:val="001E3140"/>
    <w:rsid w:val="001E31E6"/>
    <w:rsid w:val="001F21E7"/>
    <w:rsid w:val="001F4028"/>
    <w:rsid w:val="001F7F72"/>
    <w:rsid w:val="00200EBD"/>
    <w:rsid w:val="00204095"/>
    <w:rsid w:val="00210D27"/>
    <w:rsid w:val="00217A5C"/>
    <w:rsid w:val="00217F32"/>
    <w:rsid w:val="00223B61"/>
    <w:rsid w:val="00227F12"/>
    <w:rsid w:val="002301A4"/>
    <w:rsid w:val="002317FB"/>
    <w:rsid w:val="0023249E"/>
    <w:rsid w:val="00235249"/>
    <w:rsid w:val="0024159B"/>
    <w:rsid w:val="002448BD"/>
    <w:rsid w:val="00244E1B"/>
    <w:rsid w:val="0024654B"/>
    <w:rsid w:val="00252532"/>
    <w:rsid w:val="0025297C"/>
    <w:rsid w:val="00257091"/>
    <w:rsid w:val="002577C3"/>
    <w:rsid w:val="00263FEA"/>
    <w:rsid w:val="00264BE6"/>
    <w:rsid w:val="00267F47"/>
    <w:rsid w:val="00273A4C"/>
    <w:rsid w:val="00275861"/>
    <w:rsid w:val="00275C55"/>
    <w:rsid w:val="00285405"/>
    <w:rsid w:val="00290497"/>
    <w:rsid w:val="00293768"/>
    <w:rsid w:val="002A2241"/>
    <w:rsid w:val="002A309E"/>
    <w:rsid w:val="002A7247"/>
    <w:rsid w:val="002B2AFA"/>
    <w:rsid w:val="002B736D"/>
    <w:rsid w:val="002C0047"/>
    <w:rsid w:val="002C0D40"/>
    <w:rsid w:val="002C4218"/>
    <w:rsid w:val="002C7D7E"/>
    <w:rsid w:val="002D0FBF"/>
    <w:rsid w:val="002D1650"/>
    <w:rsid w:val="002D3BD4"/>
    <w:rsid w:val="002D6FE6"/>
    <w:rsid w:val="002D7A63"/>
    <w:rsid w:val="002E1642"/>
    <w:rsid w:val="002E48D7"/>
    <w:rsid w:val="002F12DD"/>
    <w:rsid w:val="002F2CFA"/>
    <w:rsid w:val="002F2D86"/>
    <w:rsid w:val="002F41B0"/>
    <w:rsid w:val="00301CB9"/>
    <w:rsid w:val="00302809"/>
    <w:rsid w:val="00307AD4"/>
    <w:rsid w:val="003138FA"/>
    <w:rsid w:val="00314121"/>
    <w:rsid w:val="003173BC"/>
    <w:rsid w:val="00321AE9"/>
    <w:rsid w:val="00343DDD"/>
    <w:rsid w:val="00344284"/>
    <w:rsid w:val="00353E72"/>
    <w:rsid w:val="00360579"/>
    <w:rsid w:val="00365124"/>
    <w:rsid w:val="00370D6F"/>
    <w:rsid w:val="00374B76"/>
    <w:rsid w:val="00375571"/>
    <w:rsid w:val="00376949"/>
    <w:rsid w:val="0038105F"/>
    <w:rsid w:val="00381A27"/>
    <w:rsid w:val="00387158"/>
    <w:rsid w:val="00390CED"/>
    <w:rsid w:val="00391DD3"/>
    <w:rsid w:val="00396222"/>
    <w:rsid w:val="003A0406"/>
    <w:rsid w:val="003A2133"/>
    <w:rsid w:val="003A3824"/>
    <w:rsid w:val="003A3E6F"/>
    <w:rsid w:val="003B478A"/>
    <w:rsid w:val="003D4738"/>
    <w:rsid w:val="003E0C27"/>
    <w:rsid w:val="003E0E41"/>
    <w:rsid w:val="003E246D"/>
    <w:rsid w:val="003E556C"/>
    <w:rsid w:val="003F4232"/>
    <w:rsid w:val="003F4BBD"/>
    <w:rsid w:val="004013B9"/>
    <w:rsid w:val="004027BC"/>
    <w:rsid w:val="004043C7"/>
    <w:rsid w:val="004100E2"/>
    <w:rsid w:val="00410B2A"/>
    <w:rsid w:val="00423CCC"/>
    <w:rsid w:val="004248F8"/>
    <w:rsid w:val="0042615D"/>
    <w:rsid w:val="00427A33"/>
    <w:rsid w:val="0043320E"/>
    <w:rsid w:val="0043454D"/>
    <w:rsid w:val="00434659"/>
    <w:rsid w:val="00447D97"/>
    <w:rsid w:val="00450EDC"/>
    <w:rsid w:val="00454097"/>
    <w:rsid w:val="0045780E"/>
    <w:rsid w:val="004607F7"/>
    <w:rsid w:val="00467036"/>
    <w:rsid w:val="0047151B"/>
    <w:rsid w:val="004737A8"/>
    <w:rsid w:val="004749E6"/>
    <w:rsid w:val="00476CCE"/>
    <w:rsid w:val="00476EBD"/>
    <w:rsid w:val="00477625"/>
    <w:rsid w:val="00481820"/>
    <w:rsid w:val="004844A4"/>
    <w:rsid w:val="00487FC2"/>
    <w:rsid w:val="004A5191"/>
    <w:rsid w:val="004B353B"/>
    <w:rsid w:val="004B3C55"/>
    <w:rsid w:val="004B7933"/>
    <w:rsid w:val="004B7A67"/>
    <w:rsid w:val="004C2CC0"/>
    <w:rsid w:val="004C5375"/>
    <w:rsid w:val="004C7283"/>
    <w:rsid w:val="004C756B"/>
    <w:rsid w:val="004D4A66"/>
    <w:rsid w:val="004E2CB5"/>
    <w:rsid w:val="004F206E"/>
    <w:rsid w:val="004F7C38"/>
    <w:rsid w:val="00502715"/>
    <w:rsid w:val="0050443E"/>
    <w:rsid w:val="00505D41"/>
    <w:rsid w:val="005065C7"/>
    <w:rsid w:val="00511DCC"/>
    <w:rsid w:val="00512F26"/>
    <w:rsid w:val="00515203"/>
    <w:rsid w:val="005217EC"/>
    <w:rsid w:val="00522214"/>
    <w:rsid w:val="00525912"/>
    <w:rsid w:val="005278FC"/>
    <w:rsid w:val="00527FDB"/>
    <w:rsid w:val="00530C03"/>
    <w:rsid w:val="00537033"/>
    <w:rsid w:val="00537D1B"/>
    <w:rsid w:val="00543A9F"/>
    <w:rsid w:val="005443A8"/>
    <w:rsid w:val="00550874"/>
    <w:rsid w:val="00550D41"/>
    <w:rsid w:val="00555C21"/>
    <w:rsid w:val="00557C22"/>
    <w:rsid w:val="0056015A"/>
    <w:rsid w:val="005611FE"/>
    <w:rsid w:val="005625F8"/>
    <w:rsid w:val="005643D6"/>
    <w:rsid w:val="00571D3F"/>
    <w:rsid w:val="00574654"/>
    <w:rsid w:val="005746BA"/>
    <w:rsid w:val="005862AE"/>
    <w:rsid w:val="00587FBD"/>
    <w:rsid w:val="005957C5"/>
    <w:rsid w:val="005A2E7B"/>
    <w:rsid w:val="005A38E0"/>
    <w:rsid w:val="005B078C"/>
    <w:rsid w:val="005B777B"/>
    <w:rsid w:val="005E65E5"/>
    <w:rsid w:val="005E7CD0"/>
    <w:rsid w:val="00600356"/>
    <w:rsid w:val="00606EAE"/>
    <w:rsid w:val="006119A1"/>
    <w:rsid w:val="00614EB9"/>
    <w:rsid w:val="006169A4"/>
    <w:rsid w:val="00616EDD"/>
    <w:rsid w:val="0062118B"/>
    <w:rsid w:val="00623643"/>
    <w:rsid w:val="00627BCF"/>
    <w:rsid w:val="00636621"/>
    <w:rsid w:val="00643637"/>
    <w:rsid w:val="0065220C"/>
    <w:rsid w:val="0065525C"/>
    <w:rsid w:val="00660D3A"/>
    <w:rsid w:val="0067048A"/>
    <w:rsid w:val="006827A8"/>
    <w:rsid w:val="0068672F"/>
    <w:rsid w:val="006A378E"/>
    <w:rsid w:val="006A3A14"/>
    <w:rsid w:val="006A47C8"/>
    <w:rsid w:val="006A6F27"/>
    <w:rsid w:val="006C0037"/>
    <w:rsid w:val="006C4E63"/>
    <w:rsid w:val="006D761D"/>
    <w:rsid w:val="006E6B10"/>
    <w:rsid w:val="006F375F"/>
    <w:rsid w:val="006F6536"/>
    <w:rsid w:val="00702008"/>
    <w:rsid w:val="0072225A"/>
    <w:rsid w:val="00722F87"/>
    <w:rsid w:val="00745C58"/>
    <w:rsid w:val="0076076D"/>
    <w:rsid w:val="007625DB"/>
    <w:rsid w:val="00762AD9"/>
    <w:rsid w:val="0076424E"/>
    <w:rsid w:val="0076552B"/>
    <w:rsid w:val="00767B13"/>
    <w:rsid w:val="00780D3C"/>
    <w:rsid w:val="00786AC7"/>
    <w:rsid w:val="00793BE8"/>
    <w:rsid w:val="00796118"/>
    <w:rsid w:val="00797CD0"/>
    <w:rsid w:val="007A2CFC"/>
    <w:rsid w:val="007A5B5A"/>
    <w:rsid w:val="007A69BE"/>
    <w:rsid w:val="007B1C73"/>
    <w:rsid w:val="007B1F3A"/>
    <w:rsid w:val="007B23B6"/>
    <w:rsid w:val="007B31A9"/>
    <w:rsid w:val="007B72A7"/>
    <w:rsid w:val="007C0D8F"/>
    <w:rsid w:val="007C208B"/>
    <w:rsid w:val="007C4BCA"/>
    <w:rsid w:val="007D27B6"/>
    <w:rsid w:val="007D76F8"/>
    <w:rsid w:val="007E05D9"/>
    <w:rsid w:val="00816292"/>
    <w:rsid w:val="008175E0"/>
    <w:rsid w:val="008176CD"/>
    <w:rsid w:val="00824041"/>
    <w:rsid w:val="00826814"/>
    <w:rsid w:val="0083617C"/>
    <w:rsid w:val="0085452A"/>
    <w:rsid w:val="0085502C"/>
    <w:rsid w:val="00855D22"/>
    <w:rsid w:val="00860741"/>
    <w:rsid w:val="00862C97"/>
    <w:rsid w:val="008679BB"/>
    <w:rsid w:val="00867BF5"/>
    <w:rsid w:val="0087313C"/>
    <w:rsid w:val="00881252"/>
    <w:rsid w:val="00883FFD"/>
    <w:rsid w:val="008861FF"/>
    <w:rsid w:val="00890F46"/>
    <w:rsid w:val="00896F47"/>
    <w:rsid w:val="008C0ADC"/>
    <w:rsid w:val="008C3CFF"/>
    <w:rsid w:val="008C52EF"/>
    <w:rsid w:val="008C69C3"/>
    <w:rsid w:val="008D0F56"/>
    <w:rsid w:val="008D1D45"/>
    <w:rsid w:val="008E125D"/>
    <w:rsid w:val="008E181F"/>
    <w:rsid w:val="008E48FF"/>
    <w:rsid w:val="008E717F"/>
    <w:rsid w:val="008F3A67"/>
    <w:rsid w:val="008F4007"/>
    <w:rsid w:val="00915D94"/>
    <w:rsid w:val="0092395A"/>
    <w:rsid w:val="0092576F"/>
    <w:rsid w:val="00933832"/>
    <w:rsid w:val="009417F2"/>
    <w:rsid w:val="00941C87"/>
    <w:rsid w:val="0094389D"/>
    <w:rsid w:val="00944D3A"/>
    <w:rsid w:val="0094658E"/>
    <w:rsid w:val="00951141"/>
    <w:rsid w:val="00954C37"/>
    <w:rsid w:val="00955DDE"/>
    <w:rsid w:val="0095616B"/>
    <w:rsid w:val="009567D9"/>
    <w:rsid w:val="00957B87"/>
    <w:rsid w:val="009616F1"/>
    <w:rsid w:val="00966473"/>
    <w:rsid w:val="00971127"/>
    <w:rsid w:val="00973096"/>
    <w:rsid w:val="009818B7"/>
    <w:rsid w:val="00981945"/>
    <w:rsid w:val="00982564"/>
    <w:rsid w:val="00982C69"/>
    <w:rsid w:val="00983081"/>
    <w:rsid w:val="0099013E"/>
    <w:rsid w:val="009923DD"/>
    <w:rsid w:val="00995B5B"/>
    <w:rsid w:val="009B4A57"/>
    <w:rsid w:val="009B5040"/>
    <w:rsid w:val="009D2AF1"/>
    <w:rsid w:val="009E1781"/>
    <w:rsid w:val="009F1365"/>
    <w:rsid w:val="009F195B"/>
    <w:rsid w:val="009F59E0"/>
    <w:rsid w:val="009F7B04"/>
    <w:rsid w:val="00A0724D"/>
    <w:rsid w:val="00A2331E"/>
    <w:rsid w:val="00A37A88"/>
    <w:rsid w:val="00A41FED"/>
    <w:rsid w:val="00A462D1"/>
    <w:rsid w:val="00A55CF5"/>
    <w:rsid w:val="00A56B27"/>
    <w:rsid w:val="00A56F92"/>
    <w:rsid w:val="00A62BFD"/>
    <w:rsid w:val="00A63A86"/>
    <w:rsid w:val="00A6556D"/>
    <w:rsid w:val="00A67FE5"/>
    <w:rsid w:val="00A70020"/>
    <w:rsid w:val="00A771E3"/>
    <w:rsid w:val="00AA5480"/>
    <w:rsid w:val="00AB2774"/>
    <w:rsid w:val="00AB4287"/>
    <w:rsid w:val="00AB563A"/>
    <w:rsid w:val="00AC53D1"/>
    <w:rsid w:val="00AC5F60"/>
    <w:rsid w:val="00AE05E6"/>
    <w:rsid w:val="00AE109A"/>
    <w:rsid w:val="00AE1E07"/>
    <w:rsid w:val="00AE6D43"/>
    <w:rsid w:val="00AF006E"/>
    <w:rsid w:val="00AF0858"/>
    <w:rsid w:val="00AF0E70"/>
    <w:rsid w:val="00AF472B"/>
    <w:rsid w:val="00B00702"/>
    <w:rsid w:val="00B02EF7"/>
    <w:rsid w:val="00B033D4"/>
    <w:rsid w:val="00B07E7D"/>
    <w:rsid w:val="00B20750"/>
    <w:rsid w:val="00B2238B"/>
    <w:rsid w:val="00B2680D"/>
    <w:rsid w:val="00B271AE"/>
    <w:rsid w:val="00B31486"/>
    <w:rsid w:val="00B339CA"/>
    <w:rsid w:val="00B34915"/>
    <w:rsid w:val="00B4422E"/>
    <w:rsid w:val="00B46D75"/>
    <w:rsid w:val="00B47C7F"/>
    <w:rsid w:val="00B53386"/>
    <w:rsid w:val="00B5373C"/>
    <w:rsid w:val="00B54354"/>
    <w:rsid w:val="00B5668E"/>
    <w:rsid w:val="00B64CCF"/>
    <w:rsid w:val="00B64F41"/>
    <w:rsid w:val="00B72034"/>
    <w:rsid w:val="00B73F9D"/>
    <w:rsid w:val="00B75F1E"/>
    <w:rsid w:val="00B8152E"/>
    <w:rsid w:val="00B857B0"/>
    <w:rsid w:val="00B8594D"/>
    <w:rsid w:val="00B94864"/>
    <w:rsid w:val="00BA0C0D"/>
    <w:rsid w:val="00BB16A3"/>
    <w:rsid w:val="00BB23F1"/>
    <w:rsid w:val="00BB79B8"/>
    <w:rsid w:val="00BC07E6"/>
    <w:rsid w:val="00BC3282"/>
    <w:rsid w:val="00BC5F14"/>
    <w:rsid w:val="00BD4E52"/>
    <w:rsid w:val="00BE0773"/>
    <w:rsid w:val="00BE15FC"/>
    <w:rsid w:val="00BE1A2E"/>
    <w:rsid w:val="00BE3A6A"/>
    <w:rsid w:val="00BE63F0"/>
    <w:rsid w:val="00BF122A"/>
    <w:rsid w:val="00BF63DB"/>
    <w:rsid w:val="00BF6EB0"/>
    <w:rsid w:val="00C03503"/>
    <w:rsid w:val="00C14794"/>
    <w:rsid w:val="00C14F6C"/>
    <w:rsid w:val="00C22492"/>
    <w:rsid w:val="00C27662"/>
    <w:rsid w:val="00C27EBB"/>
    <w:rsid w:val="00C3099D"/>
    <w:rsid w:val="00C37085"/>
    <w:rsid w:val="00C42175"/>
    <w:rsid w:val="00C4334A"/>
    <w:rsid w:val="00C45500"/>
    <w:rsid w:val="00C47C63"/>
    <w:rsid w:val="00C501C4"/>
    <w:rsid w:val="00C53BC9"/>
    <w:rsid w:val="00C56A26"/>
    <w:rsid w:val="00C60191"/>
    <w:rsid w:val="00C613FA"/>
    <w:rsid w:val="00C77D2C"/>
    <w:rsid w:val="00C8007B"/>
    <w:rsid w:val="00C84903"/>
    <w:rsid w:val="00C93CDF"/>
    <w:rsid w:val="00CA0B25"/>
    <w:rsid w:val="00CA0DB1"/>
    <w:rsid w:val="00CA1B3A"/>
    <w:rsid w:val="00CA5046"/>
    <w:rsid w:val="00CA6109"/>
    <w:rsid w:val="00CA7EDA"/>
    <w:rsid w:val="00CB1438"/>
    <w:rsid w:val="00CB35AF"/>
    <w:rsid w:val="00CB46D6"/>
    <w:rsid w:val="00CB6C47"/>
    <w:rsid w:val="00CD4455"/>
    <w:rsid w:val="00CD7E6D"/>
    <w:rsid w:val="00CE0DFC"/>
    <w:rsid w:val="00CE3266"/>
    <w:rsid w:val="00CE7547"/>
    <w:rsid w:val="00CF6ED0"/>
    <w:rsid w:val="00CF720A"/>
    <w:rsid w:val="00D10801"/>
    <w:rsid w:val="00D11760"/>
    <w:rsid w:val="00D255D4"/>
    <w:rsid w:val="00D26ACD"/>
    <w:rsid w:val="00D27C43"/>
    <w:rsid w:val="00D3356E"/>
    <w:rsid w:val="00D368A3"/>
    <w:rsid w:val="00D40C2C"/>
    <w:rsid w:val="00D42DA4"/>
    <w:rsid w:val="00D45A4A"/>
    <w:rsid w:val="00D45CB6"/>
    <w:rsid w:val="00D51AFF"/>
    <w:rsid w:val="00D51E8F"/>
    <w:rsid w:val="00D55F2F"/>
    <w:rsid w:val="00D60965"/>
    <w:rsid w:val="00D65E06"/>
    <w:rsid w:val="00D72E59"/>
    <w:rsid w:val="00D75B5B"/>
    <w:rsid w:val="00D824AA"/>
    <w:rsid w:val="00D82619"/>
    <w:rsid w:val="00D843E0"/>
    <w:rsid w:val="00D853B1"/>
    <w:rsid w:val="00D91C58"/>
    <w:rsid w:val="00D960CA"/>
    <w:rsid w:val="00DA4FDB"/>
    <w:rsid w:val="00DB08E3"/>
    <w:rsid w:val="00DC1378"/>
    <w:rsid w:val="00DC293D"/>
    <w:rsid w:val="00DC588B"/>
    <w:rsid w:val="00DD4E89"/>
    <w:rsid w:val="00DE0693"/>
    <w:rsid w:val="00DE09B3"/>
    <w:rsid w:val="00E00B78"/>
    <w:rsid w:val="00E01FCF"/>
    <w:rsid w:val="00E054B9"/>
    <w:rsid w:val="00E06E56"/>
    <w:rsid w:val="00E11FAE"/>
    <w:rsid w:val="00E17363"/>
    <w:rsid w:val="00E23463"/>
    <w:rsid w:val="00E3097B"/>
    <w:rsid w:val="00E34F20"/>
    <w:rsid w:val="00E52729"/>
    <w:rsid w:val="00E5424E"/>
    <w:rsid w:val="00E61CBA"/>
    <w:rsid w:val="00E63CC7"/>
    <w:rsid w:val="00E6657C"/>
    <w:rsid w:val="00E66D16"/>
    <w:rsid w:val="00E703D3"/>
    <w:rsid w:val="00E73149"/>
    <w:rsid w:val="00E7408B"/>
    <w:rsid w:val="00E77769"/>
    <w:rsid w:val="00E81039"/>
    <w:rsid w:val="00E82F67"/>
    <w:rsid w:val="00E87831"/>
    <w:rsid w:val="00E91DFB"/>
    <w:rsid w:val="00E94F71"/>
    <w:rsid w:val="00E96AD8"/>
    <w:rsid w:val="00E97FF9"/>
    <w:rsid w:val="00EA6E45"/>
    <w:rsid w:val="00EC261F"/>
    <w:rsid w:val="00EC3748"/>
    <w:rsid w:val="00EC39EC"/>
    <w:rsid w:val="00EC3AEE"/>
    <w:rsid w:val="00EC4971"/>
    <w:rsid w:val="00EC7D56"/>
    <w:rsid w:val="00ED35F1"/>
    <w:rsid w:val="00ED5C5B"/>
    <w:rsid w:val="00EF5895"/>
    <w:rsid w:val="00EF71F6"/>
    <w:rsid w:val="00F03069"/>
    <w:rsid w:val="00F1189A"/>
    <w:rsid w:val="00F15D19"/>
    <w:rsid w:val="00F17407"/>
    <w:rsid w:val="00F24A91"/>
    <w:rsid w:val="00F41B2B"/>
    <w:rsid w:val="00F439A9"/>
    <w:rsid w:val="00F55568"/>
    <w:rsid w:val="00F564EA"/>
    <w:rsid w:val="00F56D84"/>
    <w:rsid w:val="00F608F0"/>
    <w:rsid w:val="00F6286E"/>
    <w:rsid w:val="00F62910"/>
    <w:rsid w:val="00F734A1"/>
    <w:rsid w:val="00F7531C"/>
    <w:rsid w:val="00F816CF"/>
    <w:rsid w:val="00F859E3"/>
    <w:rsid w:val="00F91AE0"/>
    <w:rsid w:val="00F94BCA"/>
    <w:rsid w:val="00FA5805"/>
    <w:rsid w:val="00FA792B"/>
    <w:rsid w:val="00FA7DBD"/>
    <w:rsid w:val="00FB517F"/>
    <w:rsid w:val="00FC0643"/>
    <w:rsid w:val="00FC6554"/>
    <w:rsid w:val="00FC7EF4"/>
    <w:rsid w:val="00FD0A86"/>
    <w:rsid w:val="00FD2A40"/>
    <w:rsid w:val="00FD6243"/>
    <w:rsid w:val="00FE0673"/>
    <w:rsid w:val="00FE4F06"/>
    <w:rsid w:val="00FE7ECA"/>
    <w:rsid w:val="00FF3D32"/>
    <w:rsid w:val="00FF4E61"/>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E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547"/>
    <w:pPr>
      <w:ind w:left="720"/>
      <w:contextualSpacing/>
    </w:pPr>
  </w:style>
  <w:style w:type="paragraph" w:styleId="FootnoteText">
    <w:name w:val="footnote text"/>
    <w:link w:val="FootnoteTextChar"/>
    <w:uiPriority w:val="99"/>
    <w:unhideWhenUsed/>
    <w:rsid w:val="0043454D"/>
    <w:pPr>
      <w:spacing w:line="240" w:lineRule="auto"/>
    </w:pPr>
    <w:rPr>
      <w:szCs w:val="20"/>
    </w:rPr>
  </w:style>
  <w:style w:type="character" w:customStyle="1" w:styleId="FootnoteTextChar">
    <w:name w:val="Footnote Text Char"/>
    <w:basedOn w:val="DefaultParagraphFont"/>
    <w:link w:val="FootnoteText"/>
    <w:uiPriority w:val="99"/>
    <w:rsid w:val="0043454D"/>
    <w:rPr>
      <w:szCs w:val="20"/>
    </w:rPr>
  </w:style>
  <w:style w:type="character" w:styleId="FootnoteReference">
    <w:name w:val="footnote reference"/>
    <w:basedOn w:val="DefaultParagraphFont"/>
    <w:uiPriority w:val="99"/>
    <w:semiHidden/>
    <w:unhideWhenUsed/>
    <w:rsid w:val="0043454D"/>
    <w:rPr>
      <w:vertAlign w:val="superscript"/>
    </w:rPr>
  </w:style>
  <w:style w:type="paragraph" w:styleId="Header">
    <w:name w:val="header"/>
    <w:basedOn w:val="Normal"/>
    <w:link w:val="HeaderChar"/>
    <w:uiPriority w:val="99"/>
    <w:unhideWhenUsed/>
    <w:rsid w:val="00AF006E"/>
    <w:pPr>
      <w:tabs>
        <w:tab w:val="center" w:pos="4680"/>
        <w:tab w:val="right" w:pos="9360"/>
      </w:tabs>
      <w:spacing w:line="240" w:lineRule="auto"/>
    </w:pPr>
  </w:style>
  <w:style w:type="character" w:customStyle="1" w:styleId="HeaderChar">
    <w:name w:val="Header Char"/>
    <w:basedOn w:val="DefaultParagraphFont"/>
    <w:link w:val="Header"/>
    <w:uiPriority w:val="99"/>
    <w:rsid w:val="00AF006E"/>
  </w:style>
  <w:style w:type="paragraph" w:styleId="Footer">
    <w:name w:val="footer"/>
    <w:basedOn w:val="Normal"/>
    <w:link w:val="FooterChar"/>
    <w:uiPriority w:val="99"/>
    <w:unhideWhenUsed/>
    <w:rsid w:val="00AF006E"/>
    <w:pPr>
      <w:tabs>
        <w:tab w:val="center" w:pos="4680"/>
        <w:tab w:val="right" w:pos="9360"/>
      </w:tabs>
      <w:spacing w:line="240" w:lineRule="auto"/>
    </w:pPr>
  </w:style>
  <w:style w:type="character" w:customStyle="1" w:styleId="FooterChar">
    <w:name w:val="Footer Char"/>
    <w:basedOn w:val="DefaultParagraphFont"/>
    <w:link w:val="Footer"/>
    <w:uiPriority w:val="99"/>
    <w:rsid w:val="00AF006E"/>
  </w:style>
  <w:style w:type="character" w:styleId="PageNumber">
    <w:name w:val="page number"/>
    <w:basedOn w:val="DefaultParagraphFont"/>
    <w:unhideWhenUsed/>
    <w:rsid w:val="00AF006E"/>
  </w:style>
  <w:style w:type="paragraph" w:styleId="Revision">
    <w:name w:val="Revision"/>
    <w:hidden/>
    <w:uiPriority w:val="99"/>
    <w:semiHidden/>
    <w:rsid w:val="00EF5895"/>
    <w:pPr>
      <w:spacing w:line="240" w:lineRule="auto"/>
    </w:pPr>
  </w:style>
  <w:style w:type="character" w:styleId="CommentReference">
    <w:name w:val="annotation reference"/>
    <w:basedOn w:val="DefaultParagraphFont"/>
    <w:uiPriority w:val="99"/>
    <w:semiHidden/>
    <w:unhideWhenUsed/>
    <w:rsid w:val="00D51E8F"/>
    <w:rPr>
      <w:sz w:val="16"/>
      <w:szCs w:val="16"/>
    </w:rPr>
  </w:style>
  <w:style w:type="paragraph" w:styleId="CommentText">
    <w:name w:val="annotation text"/>
    <w:basedOn w:val="Normal"/>
    <w:link w:val="CommentTextChar"/>
    <w:uiPriority w:val="99"/>
    <w:unhideWhenUsed/>
    <w:rsid w:val="00D51E8F"/>
    <w:pPr>
      <w:spacing w:line="240" w:lineRule="auto"/>
    </w:pPr>
    <w:rPr>
      <w:sz w:val="20"/>
      <w:szCs w:val="20"/>
    </w:rPr>
  </w:style>
  <w:style w:type="character" w:customStyle="1" w:styleId="CommentTextChar">
    <w:name w:val="Comment Text Char"/>
    <w:basedOn w:val="DefaultParagraphFont"/>
    <w:link w:val="CommentText"/>
    <w:uiPriority w:val="99"/>
    <w:rsid w:val="00D51E8F"/>
    <w:rPr>
      <w:sz w:val="20"/>
      <w:szCs w:val="20"/>
    </w:rPr>
  </w:style>
  <w:style w:type="paragraph" w:styleId="CommentSubject">
    <w:name w:val="annotation subject"/>
    <w:basedOn w:val="CommentText"/>
    <w:next w:val="CommentText"/>
    <w:link w:val="CommentSubjectChar"/>
    <w:uiPriority w:val="99"/>
    <w:semiHidden/>
    <w:unhideWhenUsed/>
    <w:rsid w:val="00D51E8F"/>
    <w:rPr>
      <w:b/>
      <w:bCs/>
    </w:rPr>
  </w:style>
  <w:style w:type="character" w:customStyle="1" w:styleId="CommentSubjectChar">
    <w:name w:val="Comment Subject Char"/>
    <w:basedOn w:val="CommentTextChar"/>
    <w:link w:val="CommentSubject"/>
    <w:uiPriority w:val="99"/>
    <w:semiHidden/>
    <w:rsid w:val="00D51E8F"/>
    <w:rPr>
      <w:b/>
      <w:bCs/>
      <w:sz w:val="20"/>
      <w:szCs w:val="20"/>
    </w:rPr>
  </w:style>
  <w:style w:type="paragraph" w:styleId="BalloonText">
    <w:name w:val="Balloon Text"/>
    <w:basedOn w:val="Normal"/>
    <w:link w:val="BalloonTextChar"/>
    <w:uiPriority w:val="99"/>
    <w:semiHidden/>
    <w:unhideWhenUsed/>
    <w:rsid w:val="00D45CB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CB6"/>
    <w:rPr>
      <w:rFonts w:ascii="Times New Roman" w:hAnsi="Times New Roman" w:cs="Times New Roman"/>
      <w:sz w:val="18"/>
      <w:szCs w:val="18"/>
    </w:rPr>
  </w:style>
  <w:style w:type="paragraph" w:styleId="NormalWeb">
    <w:name w:val="Normal (Web)"/>
    <w:basedOn w:val="Normal"/>
    <w:uiPriority w:val="99"/>
    <w:semiHidden/>
    <w:unhideWhenUsed/>
    <w:rsid w:val="00D27C43"/>
    <w:pPr>
      <w:tabs>
        <w:tab w:val="clear" w:pos="720"/>
      </w:tabs>
      <w:spacing w:before="100" w:beforeAutospacing="1" w:after="100" w:afterAutospacing="1" w:line="240" w:lineRule="auto"/>
    </w:pPr>
    <w:rPr>
      <w:rFonts w:eastAsia="Times New Roman" w:cs="Century Schoolbook"/>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2BBF-B435-4705-986F-7594AE7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5163</Words>
  <Characters>26698</Characters>
  <Application>Microsoft Office Word</Application>
  <DocSecurity>0</DocSecurity>
  <Lines>523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2024-01-08T20:10:00Z</dcterms:created>
  <dcterms:modified xsi:type="dcterms:W3CDTF">2024-01-08T20:14:00Z</dcterms:modified>
  <cp:category/>
</cp:coreProperties>
</file>