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A4335" w:rsidRPr="006F6923" w:rsidP="00AA4335" w14:paraId="4636D899" w14:textId="4299CEBA">
      <w:pPr>
        <w:spacing w:line="240" w:lineRule="auto"/>
        <w:rPr>
          <w:rFonts w:ascii="Century Schoolbook" w:hAnsi="Century Schoolbook"/>
          <w:sz w:val="20"/>
          <w:szCs w:val="20"/>
        </w:rPr>
      </w:pPr>
      <w:r>
        <w:rPr>
          <w:rFonts w:ascii="Century Schoolbook" w:hAnsi="Century Schoolbook"/>
          <w:sz w:val="20"/>
          <w:szCs w:val="20"/>
        </w:rPr>
        <w:t>Filed 12/18/23 (unmodified opinion attached)</w:t>
      </w:r>
    </w:p>
    <w:p w:rsidR="00AA4335" w:rsidRPr="006F6923" w:rsidP="00AA4335" w14:paraId="41204B69" w14:textId="77777777">
      <w:pPr>
        <w:spacing w:line="240" w:lineRule="auto"/>
        <w:jc w:val="center"/>
        <w:rPr>
          <w:rFonts w:ascii="Century Schoolbook" w:hAnsi="Century Schoolbook"/>
          <w:b/>
        </w:rPr>
      </w:pPr>
      <w:r w:rsidRPr="006F6923">
        <w:rPr>
          <w:rFonts w:ascii="Century Schoolbook" w:hAnsi="Century Schoolbook"/>
          <w:b/>
        </w:rPr>
        <w:t>CERTIFIED FOR PUBLICATION</w:t>
      </w:r>
    </w:p>
    <w:p w:rsidR="00AA4335" w:rsidRPr="006F6923" w:rsidP="00AA4335" w14:paraId="0EF9CF38" w14:textId="77777777">
      <w:pPr>
        <w:spacing w:line="240" w:lineRule="auto"/>
        <w:jc w:val="center"/>
        <w:rPr>
          <w:rFonts w:ascii="Century Schoolbook" w:hAnsi="Century Schoolbook"/>
        </w:rPr>
      </w:pPr>
    </w:p>
    <w:p w:rsidR="00AA4335" w:rsidRPr="006F6923" w:rsidP="00AA4335" w14:paraId="208F432E" w14:textId="77777777">
      <w:pPr>
        <w:spacing w:line="240" w:lineRule="auto"/>
        <w:jc w:val="center"/>
        <w:rPr>
          <w:rFonts w:ascii="Century Schoolbook" w:hAnsi="Century Schoolbook"/>
        </w:rPr>
      </w:pPr>
      <w:r w:rsidRPr="006F6923">
        <w:rPr>
          <w:rFonts w:ascii="Century Schoolbook" w:hAnsi="Century Schoolbook"/>
        </w:rPr>
        <w:t>IN THE COURT OF APPEAL OF THE STATE OF CALIFORNIA</w:t>
      </w:r>
    </w:p>
    <w:p w:rsidR="00AA4335" w:rsidRPr="006F6923" w:rsidP="00AA4335" w14:paraId="3310F927" w14:textId="77777777">
      <w:pPr>
        <w:spacing w:line="240" w:lineRule="auto"/>
        <w:jc w:val="center"/>
        <w:rPr>
          <w:rFonts w:ascii="Century Schoolbook" w:hAnsi="Century Schoolbook"/>
        </w:rPr>
      </w:pPr>
    </w:p>
    <w:p w:rsidR="00AA4335" w:rsidRPr="006F6923" w:rsidP="00AA4335" w14:paraId="2D3324E9" w14:textId="77777777">
      <w:pPr>
        <w:spacing w:line="240" w:lineRule="auto"/>
        <w:jc w:val="center"/>
        <w:rPr>
          <w:rFonts w:ascii="Century Schoolbook" w:hAnsi="Century Schoolbook"/>
        </w:rPr>
      </w:pPr>
      <w:r w:rsidRPr="006F6923">
        <w:rPr>
          <w:rFonts w:ascii="Century Schoolbook" w:hAnsi="Century Schoolbook"/>
        </w:rPr>
        <w:t>FIRST APPELLATE DISTRICT</w:t>
      </w:r>
    </w:p>
    <w:p w:rsidR="00AA4335" w:rsidRPr="006F6923" w:rsidP="00AA4335" w14:paraId="1E1BCD06" w14:textId="77777777">
      <w:pPr>
        <w:spacing w:line="240" w:lineRule="auto"/>
        <w:jc w:val="center"/>
        <w:rPr>
          <w:rFonts w:ascii="Century Schoolbook" w:hAnsi="Century Schoolbook"/>
        </w:rPr>
      </w:pPr>
    </w:p>
    <w:p w:rsidR="00AA4335" w:rsidRPr="006F6923" w:rsidP="00AA4335" w14:paraId="2B951282" w14:textId="77777777">
      <w:pPr>
        <w:spacing w:line="240" w:lineRule="auto"/>
        <w:jc w:val="center"/>
        <w:rPr>
          <w:rFonts w:ascii="Century Schoolbook" w:hAnsi="Century Schoolbook"/>
        </w:rPr>
      </w:pPr>
      <w:r w:rsidRPr="006F6923">
        <w:rPr>
          <w:rFonts w:ascii="Century Schoolbook" w:hAnsi="Century Schoolbook"/>
        </w:rPr>
        <w:t>DIVISION ONE</w:t>
      </w:r>
    </w:p>
    <w:p w:rsidR="00AA4335" w:rsidRPr="006F6923" w:rsidP="00AA4335" w14:paraId="10F3C8F7" w14:textId="77777777">
      <w:pPr>
        <w:spacing w:line="240" w:lineRule="auto"/>
        <w:jc w:val="center"/>
        <w:rPr>
          <w:rFonts w:ascii="Century Schoolbook" w:hAnsi="Century Schoolbook"/>
        </w:rPr>
      </w:pPr>
    </w:p>
    <w:tbl>
      <w:tblPr>
        <w:tblW w:w="0" w:type="auto"/>
        <w:tblLayout w:type="fixed"/>
        <w:tblLook w:val="0000"/>
      </w:tblPr>
      <w:tblGrid>
        <w:gridCol w:w="4680"/>
        <w:gridCol w:w="4680"/>
      </w:tblGrid>
      <w:tr w14:paraId="50A4971D" w14:textId="77777777" w:rsidTr="002C6515">
        <w:tblPrEx>
          <w:tblW w:w="0" w:type="auto"/>
          <w:tblLayout w:type="fixed"/>
          <w:tblLook w:val="0000"/>
        </w:tblPrEx>
        <w:tc>
          <w:tcPr>
            <w:tcW w:w="4680" w:type="dxa"/>
            <w:tcBorders>
              <w:right w:val="single" w:sz="4" w:space="0" w:color="auto"/>
            </w:tcBorders>
            <w:shd w:val="clear" w:color="auto" w:fill="auto"/>
          </w:tcPr>
          <w:p w:rsidR="00AA4335" w:rsidRPr="006F6923" w:rsidP="002C6515" w14:paraId="737166FF" w14:textId="77777777">
            <w:pPr>
              <w:spacing w:after="120" w:line="240" w:lineRule="auto"/>
              <w:rPr>
                <w:rFonts w:ascii="Century Schoolbook" w:hAnsi="Century Schoolbook"/>
              </w:rPr>
            </w:pPr>
            <w:r w:rsidRPr="006F6923">
              <w:rPr>
                <w:rFonts w:ascii="Century Schoolbook" w:hAnsi="Century Schoolbook"/>
              </w:rPr>
              <w:t>THE PEOPLE,</w:t>
            </w:r>
          </w:p>
          <w:p w:rsidR="00AA4335" w:rsidRPr="006F6923" w:rsidP="002C6515" w14:paraId="60893879" w14:textId="77777777">
            <w:pPr>
              <w:spacing w:after="120" w:line="240" w:lineRule="auto"/>
              <w:rPr>
                <w:rFonts w:ascii="Century Schoolbook" w:hAnsi="Century Schoolbook"/>
              </w:rPr>
            </w:pPr>
            <w:r w:rsidRPr="006F6923">
              <w:rPr>
                <w:rFonts w:ascii="Century Schoolbook" w:hAnsi="Century Schoolbook"/>
              </w:rPr>
              <w:tab/>
              <w:t>Plaintiff and Respondent,</w:t>
            </w:r>
          </w:p>
          <w:p w:rsidR="00AA4335" w:rsidRPr="006F6923" w:rsidP="002C6515" w14:paraId="0B487345" w14:textId="77777777">
            <w:pPr>
              <w:spacing w:after="120" w:line="240" w:lineRule="auto"/>
              <w:rPr>
                <w:rFonts w:ascii="Century Schoolbook" w:hAnsi="Century Schoolbook"/>
              </w:rPr>
            </w:pPr>
            <w:r w:rsidRPr="006F6923">
              <w:rPr>
                <w:rFonts w:ascii="Century Schoolbook" w:hAnsi="Century Schoolbook"/>
              </w:rPr>
              <w:t>v.</w:t>
            </w:r>
          </w:p>
          <w:p w:rsidR="00AA4335" w:rsidRPr="006F6923" w:rsidP="002C6515" w14:paraId="757AD476" w14:textId="77777777">
            <w:pPr>
              <w:spacing w:after="120" w:line="240" w:lineRule="auto"/>
              <w:rPr>
                <w:rFonts w:ascii="Century Schoolbook" w:hAnsi="Century Schoolbook"/>
              </w:rPr>
            </w:pPr>
            <w:r w:rsidRPr="006F6923">
              <w:rPr>
                <w:rFonts w:ascii="Century Schoolbook" w:hAnsi="Century Schoolbook"/>
              </w:rPr>
              <w:t>TERRELL TRAMMEL,</w:t>
            </w:r>
          </w:p>
          <w:p w:rsidR="00AA4335" w:rsidRPr="006F6923" w:rsidP="002C6515" w14:paraId="0435AE21" w14:textId="77777777">
            <w:pPr>
              <w:spacing w:after="120" w:line="240" w:lineRule="auto"/>
              <w:rPr>
                <w:rFonts w:ascii="Century Schoolbook" w:hAnsi="Century Schoolbook"/>
              </w:rPr>
            </w:pPr>
            <w:r w:rsidRPr="006F6923">
              <w:rPr>
                <w:rFonts w:ascii="Century Schoolbook" w:hAnsi="Century Schoolbook"/>
              </w:rPr>
              <w:tab/>
              <w:t>Defendant and Appellant.</w:t>
            </w:r>
          </w:p>
        </w:tc>
        <w:tc>
          <w:tcPr>
            <w:tcW w:w="4680" w:type="dxa"/>
            <w:tcBorders>
              <w:left w:val="single" w:sz="4" w:space="0" w:color="auto"/>
            </w:tcBorders>
            <w:shd w:val="clear" w:color="auto" w:fill="auto"/>
          </w:tcPr>
          <w:p w:rsidR="00AA4335" w:rsidRPr="006F6923" w:rsidP="002C6515" w14:paraId="1A65D3D3" w14:textId="77777777">
            <w:pPr>
              <w:spacing w:line="240" w:lineRule="auto"/>
              <w:rPr>
                <w:rFonts w:ascii="Century Schoolbook" w:hAnsi="Century Schoolbook"/>
              </w:rPr>
            </w:pPr>
          </w:p>
          <w:p w:rsidR="00AA4335" w:rsidRPr="006F6923" w:rsidP="002C6515" w14:paraId="4F7C0318" w14:textId="77777777">
            <w:pPr>
              <w:spacing w:line="240" w:lineRule="auto"/>
              <w:rPr>
                <w:rFonts w:ascii="Century Schoolbook" w:hAnsi="Century Schoolbook"/>
              </w:rPr>
            </w:pPr>
            <w:r w:rsidRPr="006F6923">
              <w:rPr>
                <w:rFonts w:ascii="Century Schoolbook" w:hAnsi="Century Schoolbook"/>
              </w:rPr>
              <w:t xml:space="preserve">      A166756</w:t>
            </w:r>
          </w:p>
          <w:p w:rsidR="00AA4335" w:rsidRPr="006F6923" w:rsidP="002C6515" w14:paraId="638F8775" w14:textId="77777777">
            <w:pPr>
              <w:spacing w:line="240" w:lineRule="auto"/>
              <w:rPr>
                <w:rFonts w:ascii="Century Schoolbook" w:hAnsi="Century Schoolbook"/>
              </w:rPr>
            </w:pPr>
          </w:p>
          <w:p w:rsidR="00AA4335" w:rsidRPr="006F6923" w:rsidP="002C6515" w14:paraId="144C883F" w14:textId="77777777">
            <w:pPr>
              <w:spacing w:line="240" w:lineRule="auto"/>
              <w:rPr>
                <w:rFonts w:ascii="Century Schoolbook" w:hAnsi="Century Schoolbook"/>
              </w:rPr>
            </w:pPr>
            <w:r w:rsidRPr="006F6923">
              <w:rPr>
                <w:rFonts w:ascii="Century Schoolbook" w:hAnsi="Century Schoolbook"/>
              </w:rPr>
              <w:t xml:space="preserve">      (San Francisco City &amp; County </w:t>
            </w:r>
          </w:p>
          <w:p w:rsidR="00AA4335" w:rsidRPr="006F6923" w:rsidP="002C6515" w14:paraId="57138C36" w14:textId="77777777">
            <w:pPr>
              <w:spacing w:line="240" w:lineRule="auto"/>
              <w:rPr>
                <w:rFonts w:ascii="Century Schoolbook" w:hAnsi="Century Schoolbook"/>
              </w:rPr>
            </w:pPr>
            <w:r w:rsidRPr="006F6923">
              <w:rPr>
                <w:rFonts w:ascii="Century Schoolbook" w:hAnsi="Century Schoolbook"/>
              </w:rPr>
              <w:t xml:space="preserve">       Super Ct. Nos., SCN 232509,</w:t>
            </w:r>
          </w:p>
          <w:p w:rsidR="00AA4335" w:rsidRPr="006F6923" w:rsidP="002C6515" w14:paraId="23F6DDB8" w14:textId="77777777">
            <w:pPr>
              <w:spacing w:line="240" w:lineRule="auto"/>
              <w:rPr>
                <w:rFonts w:ascii="Century Schoolbook" w:hAnsi="Century Schoolbook"/>
              </w:rPr>
            </w:pPr>
            <w:r w:rsidRPr="006F6923">
              <w:rPr>
                <w:rFonts w:ascii="Century Schoolbook" w:hAnsi="Century Schoolbook"/>
              </w:rPr>
              <w:t xml:space="preserve">       CT20000300 &amp; CT20004019)</w:t>
            </w:r>
          </w:p>
        </w:tc>
      </w:tr>
      <w:tr w14:paraId="043C0A31" w14:textId="77777777" w:rsidTr="002C6515">
        <w:tblPrEx>
          <w:tblW w:w="0" w:type="auto"/>
          <w:tblLayout w:type="fixed"/>
          <w:tblLook w:val="0000"/>
        </w:tblPrEx>
        <w:tc>
          <w:tcPr>
            <w:tcW w:w="4680" w:type="dxa"/>
            <w:tcBorders>
              <w:bottom w:val="single" w:sz="4" w:space="0" w:color="auto"/>
              <w:right w:val="single" w:sz="4" w:space="0" w:color="auto"/>
            </w:tcBorders>
            <w:shd w:val="clear" w:color="auto" w:fill="auto"/>
          </w:tcPr>
          <w:p w:rsidR="00AA4335" w:rsidRPr="006F6923" w:rsidP="002C6515" w14:paraId="55460103" w14:textId="77777777">
            <w:pPr>
              <w:spacing w:after="120" w:line="240" w:lineRule="auto"/>
              <w:rPr>
                <w:rFonts w:ascii="Century Schoolbook" w:hAnsi="Century Schoolbook"/>
              </w:rPr>
            </w:pPr>
          </w:p>
        </w:tc>
        <w:tc>
          <w:tcPr>
            <w:tcW w:w="4680" w:type="dxa"/>
            <w:tcBorders>
              <w:left w:val="single" w:sz="4" w:space="0" w:color="auto"/>
            </w:tcBorders>
            <w:shd w:val="clear" w:color="auto" w:fill="auto"/>
          </w:tcPr>
          <w:p w:rsidR="00AA4335" w:rsidRPr="006F6923" w:rsidP="002C6515" w14:paraId="79A1A2E2" w14:textId="77777777">
            <w:pPr>
              <w:spacing w:line="240" w:lineRule="auto"/>
              <w:ind w:left="360"/>
              <w:rPr>
                <w:rFonts w:ascii="Century Schoolbook" w:hAnsi="Century Schoolbook"/>
              </w:rPr>
            </w:pPr>
            <w:r w:rsidRPr="006F6923">
              <w:rPr>
                <w:rFonts w:ascii="Century Schoolbook" w:hAnsi="Century Schoolbook"/>
              </w:rPr>
              <w:t xml:space="preserve"> ORDER MODIFYING OPINION</w:t>
            </w:r>
          </w:p>
          <w:p w:rsidR="00AA4335" w:rsidRPr="006F6923" w:rsidP="002C6515" w14:paraId="48F2AD4A" w14:textId="77777777">
            <w:pPr>
              <w:spacing w:line="240" w:lineRule="auto"/>
              <w:ind w:left="360"/>
              <w:rPr>
                <w:rFonts w:ascii="Century Schoolbook" w:hAnsi="Century Schoolbook"/>
              </w:rPr>
            </w:pPr>
          </w:p>
          <w:p w:rsidR="00AA4335" w:rsidRPr="006F6923" w:rsidP="002C6515" w14:paraId="20EECD05" w14:textId="77777777">
            <w:pPr>
              <w:spacing w:line="240" w:lineRule="auto"/>
              <w:rPr>
                <w:rFonts w:ascii="Century Schoolbook" w:hAnsi="Century Schoolbook"/>
              </w:rPr>
            </w:pPr>
            <w:r w:rsidRPr="006F6923">
              <w:rPr>
                <w:rFonts w:ascii="Century Schoolbook" w:hAnsi="Century Schoolbook"/>
              </w:rPr>
              <w:t xml:space="preserve">    </w:t>
            </w:r>
            <w:r>
              <w:rPr>
                <w:rFonts w:ascii="Century Schoolbook" w:hAnsi="Century Schoolbook"/>
              </w:rPr>
              <w:t xml:space="preserve">  </w:t>
            </w:r>
            <w:r w:rsidRPr="006F6923">
              <w:rPr>
                <w:rFonts w:ascii="Century Schoolbook" w:hAnsi="Century Schoolbook"/>
              </w:rPr>
              <w:t xml:space="preserve">[NO CHANGE IN </w:t>
            </w:r>
            <w:r>
              <w:rPr>
                <w:rFonts w:ascii="Century Schoolbook" w:hAnsi="Century Schoolbook"/>
              </w:rPr>
              <w:t xml:space="preserve"> </w:t>
            </w:r>
            <w:r w:rsidRPr="006F6923">
              <w:rPr>
                <w:rFonts w:ascii="Century Schoolbook" w:hAnsi="Century Schoolbook"/>
              </w:rPr>
              <w:t>JUDGMENT]</w:t>
            </w:r>
          </w:p>
        </w:tc>
      </w:tr>
    </w:tbl>
    <w:p w:rsidR="00AA4335" w:rsidRPr="006F6923" w:rsidP="00AA4335" w14:paraId="0E5FB752" w14:textId="77777777">
      <w:pPr>
        <w:spacing w:line="360" w:lineRule="auto"/>
        <w:rPr>
          <w:rFonts w:ascii="Century Schoolbook" w:hAnsi="Century Schoolbook"/>
        </w:rPr>
      </w:pPr>
    </w:p>
    <w:p w:rsidR="00AA4335" w:rsidP="00AA4335" w14:paraId="09087D24" w14:textId="77777777">
      <w:pPr>
        <w:spacing w:line="360" w:lineRule="auto"/>
        <w:rPr>
          <w:rFonts w:ascii="Century Schoolbook" w:hAnsi="Century Schoolbook"/>
        </w:rPr>
      </w:pPr>
      <w:r w:rsidRPr="006F6923">
        <w:rPr>
          <w:rFonts w:ascii="Century Schoolbook" w:hAnsi="Century Schoolbook"/>
        </w:rPr>
        <w:tab/>
      </w:r>
      <w:r>
        <w:rPr>
          <w:rFonts w:ascii="Century Schoolbook" w:hAnsi="Century Schoolbook"/>
        </w:rPr>
        <w:t>BY THE COURT:</w:t>
      </w:r>
    </w:p>
    <w:p w:rsidR="00AA4335" w:rsidP="00AA4335" w14:paraId="25B571F9" w14:textId="77777777">
      <w:pPr>
        <w:spacing w:line="360" w:lineRule="auto"/>
        <w:rPr>
          <w:rFonts w:ascii="Century Schoolbook" w:hAnsi="Century Schoolbook"/>
        </w:rPr>
      </w:pPr>
      <w:r>
        <w:rPr>
          <w:rFonts w:ascii="Century Schoolbook" w:hAnsi="Century Schoolbook"/>
        </w:rPr>
        <w:tab/>
        <w:t xml:space="preserve">On its own motion, the court orders that the opinion </w:t>
      </w:r>
      <w:r w:rsidRPr="006F6923">
        <w:rPr>
          <w:rFonts w:ascii="Century Schoolbook" w:hAnsi="Century Schoolbook"/>
        </w:rPr>
        <w:t>filed on November</w:t>
      </w:r>
      <w:r>
        <w:rPr>
          <w:rFonts w:ascii="Century Schoolbook" w:hAnsi="Century Schoolbook"/>
        </w:rPr>
        <w:t> </w:t>
      </w:r>
      <w:r w:rsidRPr="006F6923">
        <w:rPr>
          <w:rFonts w:ascii="Century Schoolbook" w:hAnsi="Century Schoolbook"/>
        </w:rPr>
        <w:t>21</w:t>
      </w:r>
      <w:r>
        <w:rPr>
          <w:rFonts w:ascii="Century Schoolbook" w:hAnsi="Century Schoolbook"/>
        </w:rPr>
        <w:t>,</w:t>
      </w:r>
      <w:r w:rsidRPr="006F6923">
        <w:rPr>
          <w:rFonts w:ascii="Century Schoolbook" w:hAnsi="Century Schoolbook"/>
        </w:rPr>
        <w:t xml:space="preserve"> 2023, be modified as follows:</w:t>
      </w:r>
    </w:p>
    <w:p w:rsidR="00AA4335" w:rsidP="00AA4335" w14:paraId="3CE21128" w14:textId="77777777">
      <w:pPr>
        <w:spacing w:line="360" w:lineRule="auto"/>
        <w:rPr>
          <w:rFonts w:ascii="Century Schoolbook" w:hAnsi="Century Schoolbook"/>
        </w:rPr>
      </w:pPr>
      <w:r>
        <w:rPr>
          <w:rFonts w:ascii="Century Schoolbook" w:hAnsi="Century Schoolbook"/>
        </w:rPr>
        <w:tab/>
        <w:t>On the second line of page 5 (starting with “violated double jeopardy . . . ,”), the word “recognizes” should be deleted and replaced with “recognize.”</w:t>
      </w:r>
    </w:p>
    <w:p w:rsidR="00AA4335" w:rsidP="00AA4335" w14:paraId="47B9121C" w14:textId="77777777">
      <w:pPr>
        <w:spacing w:line="360" w:lineRule="auto"/>
        <w:rPr>
          <w:rFonts w:ascii="Century Schoolbook" w:hAnsi="Century Schoolbook"/>
        </w:rPr>
      </w:pPr>
      <w:r>
        <w:rPr>
          <w:rFonts w:ascii="Century Schoolbook" w:hAnsi="Century Schoolbook"/>
        </w:rPr>
        <w:tab/>
        <w:t>On line 7 of page 26 (starting with “V vandalism charge . . .”), “count VIII” should be deleted and replated with “count XIII.”</w:t>
      </w:r>
    </w:p>
    <w:p w:rsidR="00AA4335" w:rsidP="00AA4335" w14:paraId="21F88933" w14:textId="77777777">
      <w:pPr>
        <w:spacing w:line="360" w:lineRule="auto"/>
        <w:rPr>
          <w:rFonts w:ascii="Century Schoolbook" w:hAnsi="Century Schoolbook"/>
        </w:rPr>
      </w:pPr>
      <w:r>
        <w:rPr>
          <w:rFonts w:ascii="Century Schoolbook" w:hAnsi="Century Schoolbook"/>
        </w:rPr>
        <w:tab/>
        <w:t xml:space="preserve">On line 9 of page 26 (starting with “grounds.”), “(18 months)” should be deleted and replaced with </w:t>
      </w:r>
      <w:r w:rsidRPr="006F6923">
        <w:rPr>
          <w:rFonts w:ascii="Century Schoolbook" w:hAnsi="Century Schoolbook"/>
        </w:rPr>
        <w:t>“(16 months).”</w:t>
      </w:r>
    </w:p>
    <w:p w:rsidR="00AA4335" w:rsidP="00AA4335" w14:paraId="56B438E0" w14:textId="77777777">
      <w:pPr>
        <w:spacing w:line="360" w:lineRule="auto"/>
        <w:rPr>
          <w:rFonts w:ascii="Century Schoolbook" w:hAnsi="Century Schoolbook"/>
        </w:rPr>
      </w:pPr>
      <w:r>
        <w:rPr>
          <w:rFonts w:ascii="Century Schoolbook" w:hAnsi="Century Schoolbook"/>
        </w:rPr>
        <w:tab/>
        <w:t>There is no change in judgment.</w:t>
      </w:r>
    </w:p>
    <w:p w:rsidR="00AA4335" w:rsidRPr="006F6923" w:rsidP="00AA4335" w14:paraId="5AF6D0ED" w14:textId="77777777">
      <w:pPr>
        <w:spacing w:line="360" w:lineRule="auto"/>
        <w:rPr>
          <w:rFonts w:ascii="Century Schoolbook" w:hAnsi="Century Schoolbook"/>
        </w:rPr>
      </w:pPr>
      <w:r w:rsidRPr="006F6923">
        <w:rPr>
          <w:rFonts w:ascii="Century Schoolbook" w:hAnsi="Century Schoolbook"/>
        </w:rPr>
        <w:t xml:space="preserve">Dated:  </w:t>
      </w:r>
    </w:p>
    <w:p w:rsidR="00AA4335" w:rsidRPr="006F6923" w:rsidP="00AA4335" w14:paraId="49B9EEFC" w14:textId="77777777">
      <w:pPr>
        <w:spacing w:line="240" w:lineRule="auto"/>
        <w:rPr>
          <w:rFonts w:ascii="Century Schoolbook" w:hAnsi="Century Schoolbook"/>
        </w:rPr>
      </w:pP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t>____________________________</w:t>
      </w:r>
    </w:p>
    <w:p w:rsidR="00AA4335" w:rsidRPr="006F6923" w:rsidP="00AA4335" w14:paraId="7D12200C" w14:textId="77777777">
      <w:pPr>
        <w:spacing w:line="240" w:lineRule="auto"/>
        <w:rPr>
          <w:rFonts w:ascii="Century Schoolbook" w:hAnsi="Century Schoolbook"/>
        </w:rPr>
      </w:pP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r>
      <w:r w:rsidRPr="006F6923">
        <w:rPr>
          <w:rFonts w:ascii="Century Schoolbook" w:hAnsi="Century Schoolbook"/>
        </w:rPr>
        <w:tab/>
        <w:t>Humes, P.J.</w:t>
      </w:r>
    </w:p>
    <w:p w:rsidR="00317C8F" w:rsidP="00C81E31" w14:paraId="45C7ED3C" w14:textId="77777777">
      <w:pPr>
        <w:spacing w:line="240" w:lineRule="auto"/>
        <w:rPr>
          <w:rFonts w:ascii="Century Schoolbook" w:hAnsi="Century Schoolbook"/>
          <w:sz w:val="20"/>
        </w:rPr>
        <w:sectPr w:rsidSect="00514AB4">
          <w:footerReference w:type="even" r:id="rId6"/>
          <w:footerReference w:type="default" r:id="rId7"/>
          <w:pgSz w:w="12240" w:h="15840"/>
          <w:pgMar w:top="1440" w:right="1440" w:bottom="1440" w:left="1440" w:header="720" w:footer="720" w:gutter="0"/>
          <w:cols w:space="720"/>
          <w:docGrid w:linePitch="360"/>
        </w:sectPr>
      </w:pPr>
    </w:p>
    <w:p w:rsidR="00C81E31" w:rsidP="00C81E31" w14:paraId="114BBAEA" w14:textId="65C546F5">
      <w:pPr>
        <w:spacing w:line="240" w:lineRule="auto"/>
        <w:rPr>
          <w:rFonts w:ascii="Century Schoolbook" w:hAnsi="Century Schoolbook"/>
          <w:sz w:val="20"/>
        </w:rPr>
      </w:pPr>
      <w:r>
        <w:rPr>
          <w:rFonts w:ascii="Century Schoolbook" w:hAnsi="Century Schoolbook"/>
          <w:sz w:val="20"/>
        </w:rPr>
        <w:t xml:space="preserve">Filed </w:t>
      </w:r>
      <w:r w:rsidR="0021726C">
        <w:rPr>
          <w:rFonts w:ascii="Century Schoolbook" w:hAnsi="Century Schoolbook"/>
          <w:sz w:val="20"/>
        </w:rPr>
        <w:t>11/21/23</w:t>
      </w:r>
      <w:r w:rsidR="00317C8F">
        <w:rPr>
          <w:rFonts w:ascii="Century Schoolbook" w:hAnsi="Century Schoolbook"/>
          <w:sz w:val="20"/>
        </w:rPr>
        <w:t xml:space="preserve"> (unmodified opinion)</w:t>
      </w:r>
    </w:p>
    <w:p w:rsidR="00C81E31" w:rsidP="00C81E31" w14:paraId="30D54BD9" w14:textId="77777777">
      <w:pPr>
        <w:spacing w:line="240" w:lineRule="auto"/>
        <w:jc w:val="center"/>
        <w:rPr>
          <w:rFonts w:ascii="Century Schoolbook" w:hAnsi="Century Schoolbook"/>
          <w:b/>
        </w:rPr>
      </w:pPr>
      <w:r>
        <w:rPr>
          <w:rFonts w:ascii="Century Schoolbook" w:hAnsi="Century Schoolbook"/>
          <w:b/>
        </w:rPr>
        <w:t>CERTIFIED FOR PUBLICATION</w:t>
      </w:r>
    </w:p>
    <w:p w:rsidR="00C81E31" w:rsidP="00C81E31" w14:paraId="7944B9FC" w14:textId="77777777">
      <w:pPr>
        <w:spacing w:line="240" w:lineRule="auto"/>
        <w:jc w:val="center"/>
        <w:rPr>
          <w:rFonts w:ascii="Century Schoolbook" w:hAnsi="Century Schoolbook"/>
        </w:rPr>
      </w:pPr>
    </w:p>
    <w:p w:rsidR="00AE59ED" w:rsidRPr="00AD7DA6" w:rsidP="00C81E31" w14:paraId="7A13FDD2" w14:textId="01CB8F4A">
      <w:pPr>
        <w:spacing w:line="240" w:lineRule="auto"/>
        <w:jc w:val="center"/>
        <w:rPr>
          <w:rFonts w:ascii="Century Schoolbook" w:hAnsi="Century Schoolbook"/>
        </w:rPr>
      </w:pPr>
      <w:r w:rsidRPr="00AD7DA6">
        <w:rPr>
          <w:rFonts w:ascii="Century Schoolbook" w:hAnsi="Century Schoolbook"/>
        </w:rPr>
        <w:t>IN THE COURT OF APPEAL OF THE STATE OF CALIFORNIA</w:t>
      </w:r>
    </w:p>
    <w:p w:rsidR="00514AB4" w:rsidRPr="00AD7DA6" w:rsidP="00514AB4" w14:paraId="6BFD63D0" w14:textId="77777777">
      <w:pPr>
        <w:spacing w:line="240" w:lineRule="auto"/>
        <w:jc w:val="center"/>
        <w:rPr>
          <w:rFonts w:ascii="Century Schoolbook" w:hAnsi="Century Schoolbook"/>
        </w:rPr>
      </w:pPr>
    </w:p>
    <w:p w:rsidR="00514AB4" w:rsidRPr="00AD7DA6" w:rsidP="00514AB4" w14:paraId="72EB0C95" w14:textId="77777777">
      <w:pPr>
        <w:spacing w:line="240" w:lineRule="auto"/>
        <w:jc w:val="center"/>
        <w:rPr>
          <w:rFonts w:ascii="Century Schoolbook" w:hAnsi="Century Schoolbook"/>
        </w:rPr>
      </w:pPr>
      <w:r w:rsidRPr="00AD7DA6">
        <w:rPr>
          <w:rFonts w:ascii="Century Schoolbook" w:hAnsi="Century Schoolbook"/>
        </w:rPr>
        <w:t>FIRST APPELLATE DISTRICT</w:t>
      </w:r>
    </w:p>
    <w:p w:rsidR="00514AB4" w:rsidRPr="00AD7DA6" w:rsidP="00514AB4" w14:paraId="3E4EB13B" w14:textId="77777777">
      <w:pPr>
        <w:spacing w:line="240" w:lineRule="auto"/>
        <w:jc w:val="center"/>
        <w:rPr>
          <w:rFonts w:ascii="Century Schoolbook" w:hAnsi="Century Schoolbook"/>
        </w:rPr>
      </w:pPr>
    </w:p>
    <w:p w:rsidR="00514AB4" w:rsidRPr="00AD7DA6" w:rsidP="00514AB4" w14:paraId="6BF1FD12" w14:textId="77777777">
      <w:pPr>
        <w:spacing w:line="240" w:lineRule="auto"/>
        <w:jc w:val="center"/>
        <w:rPr>
          <w:rFonts w:ascii="Century Schoolbook" w:hAnsi="Century Schoolbook"/>
        </w:rPr>
      </w:pPr>
      <w:r w:rsidRPr="00AD7DA6">
        <w:rPr>
          <w:rFonts w:ascii="Century Schoolbook" w:hAnsi="Century Schoolbook"/>
        </w:rPr>
        <w:t>DIVISION ONE</w:t>
      </w:r>
    </w:p>
    <w:p w:rsidR="00514AB4" w:rsidRPr="00AD7DA6" w:rsidP="00514AB4" w14:paraId="3D86972C" w14:textId="77777777">
      <w:pPr>
        <w:spacing w:line="240" w:lineRule="auto"/>
        <w:jc w:val="center"/>
        <w:rPr>
          <w:rFonts w:ascii="Century Schoolbook" w:hAnsi="Century Schoolbook"/>
        </w:rPr>
      </w:pPr>
    </w:p>
    <w:p w:rsidR="00514AB4" w:rsidRPr="00AD7DA6" w:rsidP="00514AB4" w14:paraId="6F6241BB" w14:textId="77777777">
      <w:pPr>
        <w:spacing w:line="240" w:lineRule="auto"/>
        <w:jc w:val="center"/>
        <w:rPr>
          <w:rFonts w:ascii="Century Schoolbook" w:hAnsi="Century Schoolbook"/>
        </w:rPr>
      </w:pPr>
    </w:p>
    <w:tbl>
      <w:tblPr>
        <w:tblW w:w="0" w:type="auto"/>
        <w:tblLayout w:type="fixed"/>
        <w:tblLook w:val="0000"/>
      </w:tblPr>
      <w:tblGrid>
        <w:gridCol w:w="4680"/>
        <w:gridCol w:w="4680"/>
      </w:tblGrid>
      <w:tr w14:paraId="12C04521" w14:textId="77777777" w:rsidTr="00D42196">
        <w:tblPrEx>
          <w:tblW w:w="0" w:type="auto"/>
          <w:tblLayout w:type="fixed"/>
          <w:tblLook w:val="0000"/>
        </w:tblPrEx>
        <w:tc>
          <w:tcPr>
            <w:tcW w:w="4680" w:type="dxa"/>
            <w:tcBorders>
              <w:right w:val="single" w:sz="4" w:space="0" w:color="auto"/>
            </w:tcBorders>
            <w:shd w:val="clear" w:color="auto" w:fill="auto"/>
          </w:tcPr>
          <w:p w:rsidR="00124769" w:rsidRPr="00AD7DA6" w:rsidP="00D42196" w14:paraId="46C50BF3" w14:textId="2BF2AC6B">
            <w:pPr>
              <w:spacing w:after="120" w:line="240" w:lineRule="auto"/>
              <w:rPr>
                <w:rFonts w:ascii="Century Schoolbook" w:hAnsi="Century Schoolbook"/>
              </w:rPr>
            </w:pPr>
            <w:r>
              <w:rPr>
                <w:rFonts w:ascii="Century Schoolbook" w:hAnsi="Century Schoolbook"/>
              </w:rPr>
              <w:t>THE PEOPLE</w:t>
            </w:r>
            <w:r w:rsidRPr="00AD7DA6">
              <w:rPr>
                <w:rFonts w:ascii="Century Schoolbook" w:hAnsi="Century Schoolbook"/>
              </w:rPr>
              <w:t>,</w:t>
            </w:r>
          </w:p>
          <w:p w:rsidR="00124769" w:rsidRPr="00AD7DA6" w:rsidP="00D42196" w14:paraId="106832A3" w14:textId="77777777">
            <w:pPr>
              <w:spacing w:after="120" w:line="240" w:lineRule="auto"/>
              <w:rPr>
                <w:rFonts w:ascii="Century Schoolbook" w:hAnsi="Century Schoolbook"/>
              </w:rPr>
            </w:pPr>
            <w:r w:rsidRPr="00AD7DA6">
              <w:rPr>
                <w:rFonts w:ascii="Century Schoolbook" w:hAnsi="Century Schoolbook"/>
              </w:rPr>
              <w:tab/>
              <w:t>Plaintiff and Responden</w:t>
            </w:r>
            <w:r>
              <w:rPr>
                <w:rFonts w:ascii="Century Schoolbook" w:hAnsi="Century Schoolbook"/>
              </w:rPr>
              <w:t>t</w:t>
            </w:r>
            <w:r w:rsidRPr="00AD7DA6">
              <w:rPr>
                <w:rFonts w:ascii="Century Schoolbook" w:hAnsi="Century Schoolbook"/>
              </w:rPr>
              <w:t>,</w:t>
            </w:r>
          </w:p>
          <w:p w:rsidR="00124769" w:rsidRPr="00AD7DA6" w:rsidP="00D42196" w14:paraId="086B4407" w14:textId="77777777">
            <w:pPr>
              <w:spacing w:after="120" w:line="240" w:lineRule="auto"/>
              <w:rPr>
                <w:rFonts w:ascii="Century Schoolbook" w:hAnsi="Century Schoolbook"/>
              </w:rPr>
            </w:pPr>
            <w:r w:rsidRPr="00AD7DA6">
              <w:rPr>
                <w:rFonts w:ascii="Century Schoolbook" w:hAnsi="Century Schoolbook"/>
              </w:rPr>
              <w:t>v.</w:t>
            </w:r>
          </w:p>
          <w:p w:rsidR="00124769" w:rsidRPr="00AD7DA6" w:rsidP="00D42196" w14:paraId="161D657C" w14:textId="4669DEE4">
            <w:pPr>
              <w:spacing w:after="120" w:line="240" w:lineRule="auto"/>
              <w:rPr>
                <w:rFonts w:ascii="Century Schoolbook" w:hAnsi="Century Schoolbook"/>
              </w:rPr>
            </w:pPr>
            <w:r>
              <w:rPr>
                <w:rFonts w:ascii="Century Schoolbook" w:hAnsi="Century Schoolbook"/>
              </w:rPr>
              <w:t>TERRELL TRAMME</w:t>
            </w:r>
            <w:r w:rsidR="00387B67">
              <w:rPr>
                <w:rFonts w:ascii="Century Schoolbook" w:hAnsi="Century Schoolbook"/>
              </w:rPr>
              <w:t>L</w:t>
            </w:r>
            <w:r>
              <w:rPr>
                <w:rFonts w:ascii="Century Schoolbook" w:hAnsi="Century Schoolbook"/>
              </w:rPr>
              <w:t>,</w:t>
            </w:r>
          </w:p>
          <w:p w:rsidR="00124769" w:rsidRPr="00AD7DA6" w:rsidP="00D42196" w14:paraId="00CB0E95" w14:textId="77777777">
            <w:pPr>
              <w:spacing w:after="120" w:line="240" w:lineRule="auto"/>
              <w:rPr>
                <w:rFonts w:ascii="Century Schoolbook" w:hAnsi="Century Schoolbook"/>
              </w:rPr>
            </w:pPr>
            <w:r w:rsidRPr="00AD7DA6">
              <w:rPr>
                <w:rFonts w:ascii="Century Schoolbook" w:hAnsi="Century Schoolbook"/>
              </w:rPr>
              <w:tab/>
              <w:t>Defendant and Appellant.</w:t>
            </w:r>
          </w:p>
        </w:tc>
        <w:tc>
          <w:tcPr>
            <w:tcW w:w="4680" w:type="dxa"/>
            <w:tcBorders>
              <w:left w:val="single" w:sz="4" w:space="0" w:color="auto"/>
            </w:tcBorders>
            <w:shd w:val="clear" w:color="auto" w:fill="auto"/>
          </w:tcPr>
          <w:p w:rsidR="00124769" w:rsidRPr="00AD7DA6" w:rsidP="00D42196" w14:paraId="23AEA05D" w14:textId="77777777">
            <w:pPr>
              <w:spacing w:line="240" w:lineRule="auto"/>
              <w:rPr>
                <w:rFonts w:ascii="Century Schoolbook" w:hAnsi="Century Schoolbook"/>
              </w:rPr>
            </w:pPr>
          </w:p>
          <w:p w:rsidR="00124769" w:rsidRPr="00AD7DA6" w:rsidP="00D42196" w14:paraId="7D4ADFB1" w14:textId="5ABD397B">
            <w:pPr>
              <w:spacing w:line="240" w:lineRule="auto"/>
              <w:rPr>
                <w:rFonts w:ascii="Century Schoolbook" w:hAnsi="Century Schoolbook"/>
              </w:rPr>
            </w:pPr>
            <w:r w:rsidRPr="00AD7DA6">
              <w:rPr>
                <w:rFonts w:ascii="Century Schoolbook" w:hAnsi="Century Schoolbook"/>
              </w:rPr>
              <w:t xml:space="preserve">      A</w:t>
            </w:r>
            <w:r>
              <w:rPr>
                <w:rFonts w:ascii="Century Schoolbook" w:hAnsi="Century Schoolbook"/>
              </w:rPr>
              <w:t>1</w:t>
            </w:r>
            <w:r w:rsidR="007576FA">
              <w:rPr>
                <w:rFonts w:ascii="Century Schoolbook" w:hAnsi="Century Schoolbook"/>
              </w:rPr>
              <w:t>6</w:t>
            </w:r>
            <w:r w:rsidR="00EF0163">
              <w:rPr>
                <w:rFonts w:ascii="Century Schoolbook" w:hAnsi="Century Schoolbook"/>
              </w:rPr>
              <w:t>6756</w:t>
            </w:r>
          </w:p>
          <w:p w:rsidR="00124769" w:rsidRPr="00AD7DA6" w:rsidP="00D42196" w14:paraId="3C7491EF" w14:textId="77777777">
            <w:pPr>
              <w:spacing w:line="240" w:lineRule="auto"/>
              <w:rPr>
                <w:rFonts w:ascii="Century Schoolbook" w:hAnsi="Century Schoolbook"/>
              </w:rPr>
            </w:pPr>
          </w:p>
          <w:p w:rsidR="00124769" w:rsidRPr="00AD7DA6" w:rsidP="00D42196" w14:paraId="5F0F4D06" w14:textId="7C31EF79">
            <w:pPr>
              <w:spacing w:line="240" w:lineRule="auto"/>
              <w:rPr>
                <w:rFonts w:ascii="Century Schoolbook" w:hAnsi="Century Schoolbook"/>
              </w:rPr>
            </w:pPr>
            <w:r w:rsidRPr="00AD7DA6">
              <w:rPr>
                <w:rFonts w:ascii="Century Schoolbook" w:hAnsi="Century Schoolbook"/>
              </w:rPr>
              <w:t xml:space="preserve">      (</w:t>
            </w:r>
            <w:r w:rsidR="007C51FC">
              <w:rPr>
                <w:rFonts w:ascii="Century Schoolbook" w:hAnsi="Century Schoolbook"/>
              </w:rPr>
              <w:t>San Francisco City &amp;</w:t>
            </w:r>
            <w:r>
              <w:rPr>
                <w:rFonts w:ascii="Century Schoolbook" w:hAnsi="Century Schoolbook"/>
              </w:rPr>
              <w:t xml:space="preserve"> </w:t>
            </w:r>
            <w:r w:rsidRPr="00AD7DA6">
              <w:rPr>
                <w:rFonts w:ascii="Century Schoolbook" w:hAnsi="Century Schoolbook"/>
              </w:rPr>
              <w:t>County</w:t>
            </w:r>
            <w:r>
              <w:rPr>
                <w:rFonts w:ascii="Century Schoolbook" w:hAnsi="Century Schoolbook"/>
              </w:rPr>
              <w:t xml:space="preserve"> </w:t>
            </w:r>
          </w:p>
          <w:p w:rsidR="00124769" w:rsidRPr="00AD7DA6" w:rsidP="00D42196" w14:paraId="690AB8CB" w14:textId="31F7F658">
            <w:pPr>
              <w:spacing w:line="240" w:lineRule="auto"/>
              <w:rPr>
                <w:rFonts w:ascii="Century Schoolbook" w:hAnsi="Century Schoolbook"/>
              </w:rPr>
            </w:pPr>
            <w:r w:rsidRPr="00AD7DA6">
              <w:rPr>
                <w:rFonts w:ascii="Century Schoolbook" w:hAnsi="Century Schoolbook"/>
              </w:rPr>
              <w:t xml:space="preserve">      </w:t>
            </w:r>
            <w:r w:rsidR="005D0B88">
              <w:rPr>
                <w:rFonts w:ascii="Century Schoolbook" w:hAnsi="Century Schoolbook"/>
              </w:rPr>
              <w:t xml:space="preserve"> </w:t>
            </w:r>
            <w:r w:rsidR="004932FB">
              <w:rPr>
                <w:rFonts w:ascii="Century Schoolbook" w:hAnsi="Century Schoolbook"/>
              </w:rPr>
              <w:t xml:space="preserve">Super Ct. </w:t>
            </w:r>
            <w:r w:rsidRPr="00AD7DA6">
              <w:rPr>
                <w:rFonts w:ascii="Century Schoolbook" w:hAnsi="Century Schoolbook"/>
              </w:rPr>
              <w:t>No</w:t>
            </w:r>
            <w:r w:rsidR="007C51FC">
              <w:rPr>
                <w:rFonts w:ascii="Century Schoolbook" w:hAnsi="Century Schoolbook"/>
              </w:rPr>
              <w:t xml:space="preserve">s., </w:t>
            </w:r>
            <w:r w:rsidR="00FD26A5">
              <w:rPr>
                <w:rFonts w:ascii="Century Schoolbook" w:hAnsi="Century Schoolbook"/>
              </w:rPr>
              <w:t>SCN 232509,</w:t>
            </w:r>
          </w:p>
          <w:p w:rsidR="00124769" w:rsidRPr="00AD7DA6" w:rsidP="00D42196" w14:paraId="5B6026E0" w14:textId="2CD0FF3C">
            <w:pPr>
              <w:spacing w:line="240" w:lineRule="auto"/>
              <w:rPr>
                <w:rFonts w:ascii="Century Schoolbook" w:hAnsi="Century Schoolbook"/>
              </w:rPr>
            </w:pPr>
            <w:r>
              <w:rPr>
                <w:rFonts w:ascii="Century Schoolbook" w:hAnsi="Century Schoolbook"/>
              </w:rPr>
              <w:t xml:space="preserve">       CT20000300</w:t>
            </w:r>
            <w:r w:rsidR="00FD26A5">
              <w:rPr>
                <w:rFonts w:ascii="Century Schoolbook" w:hAnsi="Century Schoolbook"/>
              </w:rPr>
              <w:t xml:space="preserve"> &amp; CT20004019</w:t>
            </w:r>
            <w:r>
              <w:rPr>
                <w:rFonts w:ascii="Century Schoolbook" w:hAnsi="Century Schoolbook"/>
              </w:rPr>
              <w:t>)</w:t>
            </w:r>
          </w:p>
        </w:tc>
      </w:tr>
      <w:tr w14:paraId="295C21EA" w14:textId="77777777" w:rsidTr="00D42196">
        <w:tblPrEx>
          <w:tblW w:w="0" w:type="auto"/>
          <w:tblLayout w:type="fixed"/>
          <w:tblLook w:val="0000"/>
        </w:tblPrEx>
        <w:tc>
          <w:tcPr>
            <w:tcW w:w="4680" w:type="dxa"/>
            <w:tcBorders>
              <w:bottom w:val="single" w:sz="4" w:space="0" w:color="auto"/>
              <w:right w:val="single" w:sz="4" w:space="0" w:color="auto"/>
            </w:tcBorders>
            <w:shd w:val="clear" w:color="auto" w:fill="auto"/>
          </w:tcPr>
          <w:p w:rsidR="009216C4" w:rsidP="00D42196" w14:paraId="7528D016" w14:textId="20F73208">
            <w:pPr>
              <w:spacing w:after="120" w:line="240" w:lineRule="auto"/>
              <w:rPr>
                <w:rFonts w:ascii="Century Schoolbook" w:hAnsi="Century Schoolbook"/>
              </w:rPr>
            </w:pPr>
          </w:p>
        </w:tc>
        <w:tc>
          <w:tcPr>
            <w:tcW w:w="4680" w:type="dxa"/>
            <w:tcBorders>
              <w:left w:val="single" w:sz="4" w:space="0" w:color="auto"/>
            </w:tcBorders>
            <w:shd w:val="clear" w:color="auto" w:fill="auto"/>
          </w:tcPr>
          <w:p w:rsidR="00124769" w:rsidRPr="00AD7DA6" w:rsidP="00D42196" w14:paraId="39C3D8AC" w14:textId="7FEA3AE3">
            <w:pPr>
              <w:spacing w:line="240" w:lineRule="auto"/>
              <w:rPr>
                <w:rFonts w:ascii="Century Schoolbook" w:hAnsi="Century Schoolbook"/>
              </w:rPr>
            </w:pPr>
            <w:r>
              <w:rPr>
                <w:rFonts w:ascii="Century Schoolbook" w:hAnsi="Century Schoolbook"/>
              </w:rPr>
              <w:t xml:space="preserve">       </w:t>
            </w:r>
            <w:r w:rsidRPr="00A1555C">
              <w:rPr>
                <w:rFonts w:ascii="Century Schoolbook" w:hAnsi="Century Schoolbook"/>
              </w:rPr>
              <w:t xml:space="preserve"> </w:t>
            </w:r>
            <w:r>
              <w:rPr>
                <w:rFonts w:ascii="Century Schoolbook" w:hAnsi="Century Schoolbook"/>
              </w:rPr>
              <w:t xml:space="preserve">       </w:t>
            </w:r>
          </w:p>
        </w:tc>
      </w:tr>
    </w:tbl>
    <w:p w:rsidR="00124769" w:rsidP="00124769" w14:paraId="4E8DE945" w14:textId="77777777"/>
    <w:p w:rsidR="00716B1E" w:rsidRPr="00604C32" w:rsidP="00716B1E" w14:paraId="3FE3254F" w14:textId="25CD0C9E">
      <w:pPr>
        <w:rPr>
          <w:rFonts w:ascii="Century Schoolbook" w:hAnsi="Century Schoolbook"/>
        </w:rPr>
      </w:pPr>
      <w:r>
        <w:tab/>
      </w:r>
      <w:r w:rsidRPr="00D77530" w:rsidR="00D77530">
        <w:rPr>
          <w:rFonts w:ascii="Century Schoolbook" w:hAnsi="Century Schoolbook"/>
        </w:rPr>
        <w:t>In his first appeal in this matter, d</w:t>
      </w:r>
      <w:r w:rsidRPr="00D77530" w:rsidR="004A31C0">
        <w:rPr>
          <w:rFonts w:ascii="Century Schoolbook" w:hAnsi="Century Schoolbook"/>
        </w:rPr>
        <w:t xml:space="preserve">efendant Terrell Trammel </w:t>
      </w:r>
      <w:r w:rsidR="00D77530">
        <w:rPr>
          <w:rFonts w:ascii="Century Schoolbook" w:hAnsi="Century Schoolbook"/>
        </w:rPr>
        <w:t xml:space="preserve">challenged </w:t>
      </w:r>
      <w:r w:rsidRPr="00D77530" w:rsidR="00D77530">
        <w:rPr>
          <w:rFonts w:ascii="Century Schoolbook" w:hAnsi="Century Schoolbook"/>
        </w:rPr>
        <w:t>the trial court’s sentencing</w:t>
      </w:r>
      <w:r w:rsidRPr="00063453" w:rsidR="00D77530">
        <w:rPr>
          <w:rFonts w:ascii="Century Schoolbook" w:hAnsi="Century Schoolbook"/>
        </w:rPr>
        <w:t xml:space="preserve"> order, </w:t>
      </w:r>
      <w:r w:rsidR="00261626">
        <w:rPr>
          <w:rFonts w:ascii="Century Schoolbook" w:hAnsi="Century Schoolbook"/>
        </w:rPr>
        <w:t xml:space="preserve">which </w:t>
      </w:r>
      <w:r w:rsidRPr="00063453" w:rsidR="00D77530">
        <w:rPr>
          <w:rFonts w:ascii="Century Schoolbook" w:hAnsi="Century Schoolbook"/>
        </w:rPr>
        <w:t>impos</w:t>
      </w:r>
      <w:r w:rsidR="00261626">
        <w:rPr>
          <w:rFonts w:ascii="Century Schoolbook" w:hAnsi="Century Schoolbook"/>
        </w:rPr>
        <w:t>ed</w:t>
      </w:r>
      <w:r w:rsidRPr="00063453" w:rsidR="00D77530">
        <w:rPr>
          <w:rFonts w:ascii="Century Schoolbook" w:hAnsi="Century Schoolbook"/>
        </w:rPr>
        <w:t xml:space="preserve"> a</w:t>
      </w:r>
      <w:r w:rsidR="00D77530">
        <w:rPr>
          <w:rFonts w:ascii="Century Schoolbook" w:hAnsi="Century Schoolbook"/>
        </w:rPr>
        <w:t>n aggregate 12</w:t>
      </w:r>
      <w:r w:rsidRPr="00063453" w:rsidR="00D77530">
        <w:rPr>
          <w:rFonts w:ascii="Century Schoolbook" w:hAnsi="Century Schoolbook"/>
        </w:rPr>
        <w:t>-year prison term</w:t>
      </w:r>
      <w:r w:rsidR="00EB41C6">
        <w:rPr>
          <w:rFonts w:ascii="Century Schoolbook" w:hAnsi="Century Schoolbook"/>
        </w:rPr>
        <w:t xml:space="preserve"> for</w:t>
      </w:r>
      <w:r w:rsidR="00D77530">
        <w:rPr>
          <w:rFonts w:ascii="Century Schoolbook" w:hAnsi="Century Schoolbook"/>
        </w:rPr>
        <w:t xml:space="preserve"> numerous convictions </w:t>
      </w:r>
      <w:r w:rsidRPr="00EA3140" w:rsidR="00D77530">
        <w:rPr>
          <w:rFonts w:ascii="Century Schoolbook" w:hAnsi="Century Schoolbook"/>
        </w:rPr>
        <w:t xml:space="preserve">arising out of his violent relationship with his former </w:t>
      </w:r>
      <w:r w:rsidRPr="00604C32" w:rsidR="00D77530">
        <w:rPr>
          <w:rFonts w:ascii="Century Schoolbook" w:hAnsi="Century Schoolbook"/>
        </w:rPr>
        <w:t xml:space="preserve">girlfriend, M.T.  We agreed with Trammel that the trial court erroneously failed to stay the punishment for </w:t>
      </w:r>
      <w:r w:rsidRPr="00604C32" w:rsidR="00261626">
        <w:rPr>
          <w:rFonts w:ascii="Century Schoolbook" w:hAnsi="Century Schoolbook"/>
        </w:rPr>
        <w:t>two</w:t>
      </w:r>
      <w:r w:rsidRPr="00604C32" w:rsidR="00D77530">
        <w:rPr>
          <w:rFonts w:ascii="Century Schoolbook" w:hAnsi="Century Schoolbook"/>
        </w:rPr>
        <w:t xml:space="preserve"> </w:t>
      </w:r>
      <w:r w:rsidRPr="00604C32" w:rsidR="00261626">
        <w:rPr>
          <w:rFonts w:ascii="Century Schoolbook" w:hAnsi="Century Schoolbook"/>
        </w:rPr>
        <w:t>c</w:t>
      </w:r>
      <w:r w:rsidRPr="00604C32" w:rsidR="00D77530">
        <w:rPr>
          <w:rFonts w:ascii="Century Schoolbook" w:hAnsi="Century Schoolbook"/>
        </w:rPr>
        <w:t>onvictions pursuant to Penal Code</w:t>
      </w:r>
      <w:r>
        <w:rPr>
          <w:rStyle w:val="FootnoteReference"/>
          <w:rFonts w:ascii="Century Schoolbook" w:hAnsi="Century Schoolbook"/>
        </w:rPr>
        <w:footnoteReference w:id="2"/>
      </w:r>
      <w:r w:rsidRPr="00604C32" w:rsidR="00D77530">
        <w:rPr>
          <w:rFonts w:ascii="Century Schoolbook" w:hAnsi="Century Schoolbook"/>
        </w:rPr>
        <w:t xml:space="preserve"> section 654 and remanded the matter for</w:t>
      </w:r>
      <w:r w:rsidRPr="00604C32" w:rsidR="00261626">
        <w:rPr>
          <w:rFonts w:ascii="Century Schoolbook" w:hAnsi="Century Schoolbook"/>
        </w:rPr>
        <w:t xml:space="preserve"> a full</w:t>
      </w:r>
      <w:r w:rsidRPr="00604C32" w:rsidR="00D77530">
        <w:rPr>
          <w:rFonts w:ascii="Century Schoolbook" w:hAnsi="Century Schoolbook"/>
        </w:rPr>
        <w:t xml:space="preserve"> resentencing.  (</w:t>
      </w:r>
      <w:r w:rsidRPr="00604C32" w:rsidR="00D77530">
        <w:rPr>
          <w:rFonts w:ascii="Century Schoolbook" w:hAnsi="Century Schoolbook"/>
          <w:i/>
          <w:iCs/>
        </w:rPr>
        <w:t>People v. Trammel</w:t>
      </w:r>
      <w:r w:rsidRPr="00604C32" w:rsidR="00D77530">
        <w:rPr>
          <w:rFonts w:ascii="Century Schoolbook" w:hAnsi="Century Schoolbook"/>
        </w:rPr>
        <w:t xml:space="preserve"> (</w:t>
      </w:r>
      <w:r w:rsidRPr="00604C32">
        <w:rPr>
          <w:rFonts w:ascii="Century Schoolbook" w:hAnsi="Century Schoolbook"/>
        </w:rPr>
        <w:t>June 30, 2022, A161381) [nonpub. opn.].)</w:t>
      </w:r>
      <w:r>
        <w:rPr>
          <w:rStyle w:val="FootnoteReference"/>
          <w:rFonts w:ascii="Century Schoolbook" w:hAnsi="Century Schoolbook"/>
        </w:rPr>
        <w:footnoteReference w:id="3"/>
      </w:r>
      <w:r w:rsidRPr="00604C32">
        <w:rPr>
          <w:rFonts w:ascii="Century Schoolbook" w:hAnsi="Century Schoolbook"/>
        </w:rPr>
        <w:t xml:space="preserve">  </w:t>
      </w:r>
    </w:p>
    <w:p w:rsidR="004B461A" w:rsidP="00716B1E" w14:paraId="7EB723E8" w14:textId="2710D1C0">
      <w:pPr>
        <w:rPr>
          <w:rFonts w:ascii="Century Schoolbook" w:hAnsi="Century Schoolbook"/>
        </w:rPr>
      </w:pPr>
      <w:r w:rsidRPr="00604C32">
        <w:rPr>
          <w:rFonts w:ascii="Century Schoolbook" w:hAnsi="Century Schoolbook"/>
        </w:rPr>
        <w:tab/>
        <w:t xml:space="preserve">On remand, the trial court corrected its </w:t>
      </w:r>
      <w:r w:rsidRPr="00604C32" w:rsidR="00261626">
        <w:rPr>
          <w:rFonts w:ascii="Century Schoolbook" w:hAnsi="Century Schoolbook"/>
        </w:rPr>
        <w:t xml:space="preserve">section 654 </w:t>
      </w:r>
      <w:r w:rsidRPr="00604C32">
        <w:rPr>
          <w:rFonts w:ascii="Century Schoolbook" w:hAnsi="Century Schoolbook"/>
        </w:rPr>
        <w:t>errors</w:t>
      </w:r>
      <w:r w:rsidRPr="00604C32" w:rsidR="00261626">
        <w:rPr>
          <w:rFonts w:ascii="Century Schoolbook" w:hAnsi="Century Schoolbook"/>
        </w:rPr>
        <w:t xml:space="preserve">, </w:t>
      </w:r>
      <w:r w:rsidRPr="00604C32">
        <w:rPr>
          <w:rFonts w:ascii="Century Schoolbook" w:hAnsi="Century Schoolbook"/>
        </w:rPr>
        <w:t>resentenc</w:t>
      </w:r>
      <w:r w:rsidRPr="00604C32" w:rsidR="00261626">
        <w:rPr>
          <w:rFonts w:ascii="Century Schoolbook" w:hAnsi="Century Schoolbook"/>
        </w:rPr>
        <w:t>ing</w:t>
      </w:r>
      <w:r w:rsidRPr="00604C32">
        <w:rPr>
          <w:rFonts w:ascii="Century Schoolbook" w:hAnsi="Century Schoolbook"/>
        </w:rPr>
        <w:t xml:space="preserve"> Trammel to a total </w:t>
      </w:r>
      <w:r w:rsidRPr="00604C32" w:rsidR="00261626">
        <w:rPr>
          <w:rFonts w:ascii="Century Schoolbook" w:hAnsi="Century Schoolbook"/>
        </w:rPr>
        <w:t xml:space="preserve">prison </w:t>
      </w:r>
      <w:r w:rsidRPr="00604C32">
        <w:rPr>
          <w:rFonts w:ascii="Century Schoolbook" w:hAnsi="Century Schoolbook"/>
        </w:rPr>
        <w:t xml:space="preserve">term of 12 years, four months. </w:t>
      </w:r>
      <w:r w:rsidRPr="00604C32" w:rsidR="004A31C0">
        <w:rPr>
          <w:rFonts w:ascii="Century Schoolbook" w:hAnsi="Century Schoolbook"/>
        </w:rPr>
        <w:t xml:space="preserve"> In </w:t>
      </w:r>
      <w:r w:rsidRPr="00604C32">
        <w:rPr>
          <w:rFonts w:ascii="Century Schoolbook" w:hAnsi="Century Schoolbook"/>
        </w:rPr>
        <w:t>this second</w:t>
      </w:r>
      <w:r w:rsidRPr="00604C32" w:rsidR="004A31C0">
        <w:rPr>
          <w:rFonts w:ascii="Century Schoolbook" w:hAnsi="Century Schoolbook"/>
        </w:rPr>
        <w:t xml:space="preserve"> appeal, Trammel</w:t>
      </w:r>
      <w:r w:rsidRPr="00604C32">
        <w:rPr>
          <w:rFonts w:ascii="Century Schoolbook" w:hAnsi="Century Schoolbook"/>
        </w:rPr>
        <w:t xml:space="preserve"> argues that</w:t>
      </w:r>
      <w:r w:rsidRPr="00604C32" w:rsidR="00604C32">
        <w:rPr>
          <w:rFonts w:ascii="Century Schoolbook" w:hAnsi="Century Schoolbook"/>
        </w:rPr>
        <w:t xml:space="preserve"> </w:t>
      </w:r>
      <w:r w:rsidR="00F871B2">
        <w:rPr>
          <w:rFonts w:ascii="Century Schoolbook" w:hAnsi="Century Schoolbook"/>
        </w:rPr>
        <w:t>his</w:t>
      </w:r>
      <w:r w:rsidR="00EB41C6">
        <w:rPr>
          <w:rFonts w:ascii="Century Schoolbook" w:hAnsi="Century Schoolbook"/>
        </w:rPr>
        <w:t xml:space="preserve"> new</w:t>
      </w:r>
      <w:r w:rsidRPr="00604C32" w:rsidR="00604C32">
        <w:rPr>
          <w:rFonts w:ascii="Century Schoolbook" w:hAnsi="Century Schoolbook"/>
        </w:rPr>
        <w:t xml:space="preserve"> sentence runs afoul of the prohibition </w:t>
      </w:r>
      <w:r w:rsidRPr="00604C32" w:rsidR="00604C32">
        <w:rPr>
          <w:rFonts w:ascii="Century Schoolbook" w:hAnsi="Century Schoolbook"/>
          <w:color w:val="000000"/>
        </w:rPr>
        <w:t xml:space="preserve">against double jeopardy set forth in </w:t>
      </w:r>
      <w:r w:rsidRPr="00604C32" w:rsidR="00604C32">
        <w:rPr>
          <w:rStyle w:val="ssrfcpassagedeactivated"/>
          <w:rFonts w:ascii="Century Schoolbook" w:hAnsi="Century Schoolbook"/>
          <w:color w:val="000000"/>
          <w:bdr w:val="none" w:sz="0" w:space="0" w:color="auto" w:frame="1"/>
        </w:rPr>
        <w:t>Article I, section 13 of the California Constitution</w:t>
      </w:r>
      <w:r w:rsidRPr="00604C32" w:rsidR="004A31C0">
        <w:rPr>
          <w:rFonts w:ascii="Century Schoolbook" w:hAnsi="Century Schoolbook"/>
        </w:rPr>
        <w:t xml:space="preserve">. </w:t>
      </w:r>
      <w:bookmarkStart w:id="0" w:name="_Hlk142476358"/>
      <w:r w:rsidRPr="00604C32" w:rsidR="004A31C0">
        <w:rPr>
          <w:rFonts w:ascii="Century Schoolbook" w:hAnsi="Century Schoolbook"/>
        </w:rPr>
        <w:t xml:space="preserve"> </w:t>
      </w:r>
      <w:bookmarkEnd w:id="0"/>
      <w:r w:rsidRPr="00604C32" w:rsidR="004A31C0">
        <w:rPr>
          <w:rFonts w:ascii="Century Schoolbook" w:hAnsi="Century Schoolbook"/>
        </w:rPr>
        <w:t xml:space="preserve">We agree and </w:t>
      </w:r>
      <w:r w:rsidR="00B27AE4">
        <w:rPr>
          <w:rFonts w:ascii="Century Schoolbook" w:hAnsi="Century Schoolbook"/>
        </w:rPr>
        <w:t xml:space="preserve">will </w:t>
      </w:r>
      <w:r w:rsidRPr="00604C32" w:rsidR="00261626">
        <w:rPr>
          <w:rFonts w:ascii="Century Schoolbook" w:hAnsi="Century Schoolbook"/>
        </w:rPr>
        <w:t>remand</w:t>
      </w:r>
      <w:r w:rsidRPr="00604C32" w:rsidR="00124769">
        <w:rPr>
          <w:rFonts w:ascii="Century Schoolbook" w:hAnsi="Century Schoolbook"/>
        </w:rPr>
        <w:t xml:space="preserve"> </w:t>
      </w:r>
      <w:bookmarkStart w:id="1" w:name="_Hlk70501355"/>
      <w:r w:rsidR="00D3250E">
        <w:rPr>
          <w:rFonts w:ascii="Century Schoolbook" w:hAnsi="Century Schoolbook"/>
        </w:rPr>
        <w:t>to correct this error a</w:t>
      </w:r>
      <w:r w:rsidR="009870A9">
        <w:rPr>
          <w:rFonts w:ascii="Century Schoolbook" w:hAnsi="Century Schoolbook"/>
        </w:rPr>
        <w:t>s</w:t>
      </w:r>
      <w:r w:rsidR="00D3250E">
        <w:rPr>
          <w:rFonts w:ascii="Century Schoolbook" w:hAnsi="Century Schoolbook"/>
        </w:rPr>
        <w:t xml:space="preserve"> well as an error with respect to custody credits</w:t>
      </w:r>
      <w:bookmarkEnd w:id="1"/>
      <w:r w:rsidR="00F438D7">
        <w:rPr>
          <w:rFonts w:ascii="Century Schoolbook" w:hAnsi="Century Schoolbook"/>
        </w:rPr>
        <w:t>.</w:t>
      </w:r>
    </w:p>
    <w:p w:rsidR="00B27AE4" w:rsidRPr="00F438D7" w:rsidP="00287C1A" w14:paraId="135122D6" w14:textId="02371B01">
      <w:pPr>
        <w:spacing w:after="240"/>
        <w:rPr>
          <w:rStyle w:val="ssrfcpassagedeactivated"/>
          <w:rFonts w:ascii="Century Schoolbook" w:hAnsi="Century Schoolbook"/>
        </w:rPr>
      </w:pPr>
      <w:r>
        <w:rPr>
          <w:rFonts w:ascii="Century Schoolbook" w:hAnsi="Century Schoolbook"/>
        </w:rPr>
        <w:tab/>
      </w:r>
      <w:r w:rsidRPr="00F438D7">
        <w:rPr>
          <w:rFonts w:ascii="Century Schoolbook" w:hAnsi="Century Schoolbook"/>
          <w:color w:val="242424"/>
          <w:shd w:val="clear" w:color="auto" w:fill="FFFFFF"/>
        </w:rPr>
        <w:t>In remanding the case, however, we reject</w:t>
      </w:r>
      <w:r w:rsidR="00F438D7">
        <w:rPr>
          <w:rFonts w:ascii="Century Schoolbook" w:hAnsi="Century Schoolbook"/>
          <w:color w:val="242424"/>
          <w:shd w:val="clear" w:color="auto" w:fill="FFFFFF"/>
        </w:rPr>
        <w:t xml:space="preserve"> </w:t>
      </w:r>
      <w:r w:rsidRPr="00F438D7">
        <w:rPr>
          <w:rStyle w:val="markomdw03dnu"/>
          <w:rFonts w:ascii="Century Schoolbook" w:hAnsi="Century Schoolbook"/>
          <w:color w:val="242424"/>
          <w:bdr w:val="none" w:sz="0" w:space="0" w:color="auto" w:frame="1"/>
          <w:shd w:val="clear" w:color="auto" w:fill="FFFFFF"/>
        </w:rPr>
        <w:t>Trammel</w:t>
      </w:r>
      <w:r w:rsidRPr="00F438D7">
        <w:rPr>
          <w:rFonts w:ascii="Century Schoolbook" w:hAnsi="Century Schoolbook"/>
          <w:color w:val="242424"/>
          <w:shd w:val="clear" w:color="auto" w:fill="FFFFFF"/>
        </w:rPr>
        <w:t>’s request to have another full resentencing hearing before a different trial judge.</w:t>
      </w:r>
      <w:r w:rsidR="00F438D7">
        <w:rPr>
          <w:rFonts w:ascii="Century Schoolbook" w:hAnsi="Century Schoolbook"/>
          <w:color w:val="242424"/>
          <w:shd w:val="clear" w:color="auto" w:fill="FFFFFF"/>
        </w:rPr>
        <w:t xml:space="preserve"> </w:t>
      </w:r>
      <w:r w:rsidRPr="00F438D7">
        <w:rPr>
          <w:rFonts w:ascii="Century Schoolbook" w:hAnsi="Century Schoolbook"/>
          <w:color w:val="242424"/>
          <w:shd w:val="clear" w:color="auto" w:fill="FFFFFF"/>
        </w:rPr>
        <w:t xml:space="preserve"> As we discuss further below, the trial court here understood it was engaged in a full resentencing, thoughtfully considered the parties’ arguments, and </w:t>
      </w:r>
      <w:r w:rsidRPr="00F438D7" w:rsidR="001814A8">
        <w:rPr>
          <w:rFonts w:ascii="Century Schoolbook" w:hAnsi="Century Schoolbook"/>
          <w:color w:val="242424"/>
          <w:shd w:val="clear" w:color="auto" w:fill="FFFFFF"/>
        </w:rPr>
        <w:t xml:space="preserve">clearly </w:t>
      </w:r>
      <w:r w:rsidRPr="00F438D7">
        <w:rPr>
          <w:rFonts w:ascii="Century Schoolbook" w:hAnsi="Century Schoolbook"/>
          <w:color w:val="242424"/>
          <w:shd w:val="clear" w:color="auto" w:fill="FFFFFF"/>
        </w:rPr>
        <w:t xml:space="preserve">articulated its reasons for imposing sentence as it did.  Given these facts—along with the murkiness of the restrictions on resentencing that </w:t>
      </w:r>
      <w:r w:rsidRPr="00F438D7" w:rsidR="0021100B">
        <w:rPr>
          <w:rFonts w:ascii="Century Schoolbook" w:hAnsi="Century Schoolbook"/>
          <w:color w:val="242424"/>
          <w:shd w:val="clear" w:color="auto" w:fill="FFFFFF"/>
        </w:rPr>
        <w:t>exist</w:t>
      </w:r>
      <w:r w:rsidRPr="00F438D7">
        <w:rPr>
          <w:rFonts w:ascii="Century Schoolbook" w:hAnsi="Century Schoolbook"/>
          <w:color w:val="242424"/>
          <w:shd w:val="clear" w:color="auto" w:fill="FFFFFF"/>
        </w:rPr>
        <w:t xml:space="preserve"> in this context—</w:t>
      </w:r>
      <w:r w:rsidRPr="00F438D7" w:rsidR="0021100B">
        <w:rPr>
          <w:rFonts w:ascii="Century Schoolbook" w:hAnsi="Century Schoolbook"/>
          <w:color w:val="242424"/>
          <w:shd w:val="clear" w:color="auto" w:fill="FFFFFF"/>
        </w:rPr>
        <w:t xml:space="preserve">we see absolutely no showing of vindictiveness in </w:t>
      </w:r>
      <w:r w:rsidRPr="00F438D7">
        <w:rPr>
          <w:rFonts w:ascii="Century Schoolbook" w:hAnsi="Century Schoolbook"/>
          <w:color w:val="242424"/>
          <w:shd w:val="clear" w:color="auto" w:fill="FFFFFF"/>
        </w:rPr>
        <w:t>the trial court’s action</w:t>
      </w:r>
      <w:r w:rsidRPr="00F438D7" w:rsidR="0021100B">
        <w:rPr>
          <w:rFonts w:ascii="Century Schoolbook" w:hAnsi="Century Schoolbook"/>
          <w:color w:val="242424"/>
          <w:shd w:val="clear" w:color="auto" w:fill="FFFFFF"/>
        </w:rPr>
        <w:t>s</w:t>
      </w:r>
      <w:r w:rsidRPr="00F438D7">
        <w:rPr>
          <w:rFonts w:ascii="Century Schoolbook" w:hAnsi="Century Schoolbook"/>
          <w:color w:val="242424"/>
          <w:shd w:val="clear" w:color="auto" w:fill="FFFFFF"/>
        </w:rPr>
        <w:t>.</w:t>
      </w:r>
    </w:p>
    <w:p w:rsidR="00383EC6" w:rsidRPr="00AD7DA6" w:rsidP="00913D6B" w14:paraId="2F830F74" w14:textId="5C7BC153">
      <w:pPr>
        <w:pStyle w:val="Heading"/>
        <w:numPr>
          <w:ilvl w:val="0"/>
          <w:numId w:val="10"/>
        </w:numPr>
      </w:pPr>
      <w:r w:rsidRPr="00261626">
        <w:t>FACTUAL AND PROCEDURAL</w:t>
      </w:r>
      <w:r w:rsidRPr="00E663F0">
        <w:t xml:space="preserve"> BACKGROUND</w:t>
      </w:r>
    </w:p>
    <w:p w:rsidR="00AC41CE" w:rsidP="00AC41CE" w14:paraId="3F0E83CE" w14:textId="57C32808">
      <w:pPr>
        <w:pStyle w:val="Text"/>
        <w:ind w:firstLine="0"/>
      </w:pPr>
      <w:bookmarkStart w:id="2" w:name="_Hlk79390529"/>
      <w:r>
        <w:tab/>
      </w:r>
      <w:r w:rsidR="008D661F">
        <w:t>The underlying facts with respect to this criminal prosecution are detailed in ou</w:t>
      </w:r>
      <w:r w:rsidR="009870A9">
        <w:t>r</w:t>
      </w:r>
      <w:r w:rsidR="008D661F">
        <w:t xml:space="preserve"> prior </w:t>
      </w:r>
      <w:r w:rsidR="006B4EB5">
        <w:t xml:space="preserve">unpublished </w:t>
      </w:r>
      <w:r w:rsidR="008D661F">
        <w:t>opinion in this matter</w:t>
      </w:r>
      <w:r w:rsidR="007D5E34">
        <w:t xml:space="preserve">, </w:t>
      </w:r>
      <w:r w:rsidR="00914EB3">
        <w:t>and</w:t>
      </w:r>
      <w:r w:rsidR="008D661F">
        <w:t xml:space="preserve"> we </w:t>
      </w:r>
      <w:r w:rsidR="007D5E34">
        <w:t>need</w:t>
      </w:r>
      <w:r w:rsidR="008D661F">
        <w:t xml:space="preserve"> not repeat them here</w:t>
      </w:r>
      <w:r w:rsidR="007D5E34">
        <w:t xml:space="preserve"> </w:t>
      </w:r>
      <w:r w:rsidR="00B6618F">
        <w:t>at length</w:t>
      </w:r>
      <w:r w:rsidR="008D661F">
        <w:t>.  In</w:t>
      </w:r>
      <w:r w:rsidR="009E0877">
        <w:t xml:space="preserve"> August 2020, a jury found Trammel guilty of burglary (count I), making a criminal threat as to M.T. (count II), vandalism (count V), three counts of domestic violence (counts VII, IX, and XII), and kidnapping (count XI).</w:t>
      </w:r>
      <w:r>
        <w:t xml:space="preserve"> </w:t>
      </w:r>
      <w:r w:rsidR="008D661F">
        <w:t xml:space="preserve"> </w:t>
      </w:r>
      <w:r>
        <w:t>The jury found Tramme</w:t>
      </w:r>
      <w:r w:rsidR="00387B67">
        <w:t>l</w:t>
      </w:r>
      <w:r>
        <w:t xml:space="preserve"> not guilty of three charged assaults by force likely to cause great bodily injury (counts VIII, X, and XIII), but found him guilty of the lesser included offense of misdemeanor </w:t>
      </w:r>
      <w:r w:rsidR="00974CD4">
        <w:t>assault</w:t>
      </w:r>
      <w:r>
        <w:t xml:space="preserve"> (§</w:t>
      </w:r>
      <w:r w:rsidR="00C414D9">
        <w:t> </w:t>
      </w:r>
      <w:r>
        <w:t xml:space="preserve">240) </w:t>
      </w:r>
      <w:r w:rsidR="008D661F">
        <w:t>with respect to</w:t>
      </w:r>
      <w:r>
        <w:t xml:space="preserve"> each charge.</w:t>
      </w:r>
      <w:r w:rsidR="008D661F">
        <w:t xml:space="preserve">  </w:t>
      </w:r>
      <w:bookmarkStart w:id="3" w:name="_Hlk142472813"/>
      <w:r w:rsidR="008D661F">
        <w:t>(</w:t>
      </w:r>
      <w:r w:rsidR="008D661F">
        <w:rPr>
          <w:i/>
          <w:iCs/>
        </w:rPr>
        <w:t>People v. Trammel</w:t>
      </w:r>
      <w:r w:rsidR="008D661F">
        <w:t xml:space="preserve">, </w:t>
      </w:r>
      <w:r w:rsidR="008D661F">
        <w:rPr>
          <w:i/>
          <w:iCs/>
        </w:rPr>
        <w:t>supra</w:t>
      </w:r>
      <w:r w:rsidR="008D661F">
        <w:t>, A</w:t>
      </w:r>
      <w:r w:rsidR="008B47E6">
        <w:t>161381</w:t>
      </w:r>
      <w:r w:rsidR="008D661F">
        <w:t>.)</w:t>
      </w:r>
      <w:r w:rsidRPr="00BA7B98">
        <w:t xml:space="preserve"> </w:t>
      </w:r>
      <w:bookmarkEnd w:id="3"/>
    </w:p>
    <w:p w:rsidR="008B47E6" w:rsidP="00384F76" w14:paraId="6507AF7A" w14:textId="3F215E89">
      <w:pPr>
        <w:pStyle w:val="Text"/>
        <w:ind w:firstLine="0"/>
      </w:pPr>
      <w:r>
        <w:tab/>
        <w:t>Trammel was sentenc</w:t>
      </w:r>
      <w:r w:rsidR="00EA4FEF">
        <w:t>ed</w:t>
      </w:r>
      <w:r>
        <w:t xml:space="preserve"> </w:t>
      </w:r>
      <w:r w:rsidR="00EA4FEF">
        <w:t xml:space="preserve">to a total of 12 years in state prison </w:t>
      </w:r>
      <w:r>
        <w:t>in November 2020.  Specifically, the trial court</w:t>
      </w:r>
      <w:r w:rsidR="00EA4FEF">
        <w:t xml:space="preserve"> ordered: the upper term of eight years for </w:t>
      </w:r>
      <w:r w:rsidR="00F4653F">
        <w:t xml:space="preserve">the principal count, </w:t>
      </w:r>
      <w:r w:rsidR="00EA4FEF">
        <w:t xml:space="preserve">kidnapping (count XI); </w:t>
      </w:r>
      <w:r w:rsidR="002704B8">
        <w:t xml:space="preserve">a consecutive </w:t>
      </w:r>
      <w:r w:rsidR="00F4653F">
        <w:t>16 months for burglary (count I)</w:t>
      </w:r>
      <w:r w:rsidR="002149A6">
        <w:t xml:space="preserve">, </w:t>
      </w:r>
      <w:r w:rsidR="002704B8">
        <w:t>a consecutive</w:t>
      </w:r>
      <w:r w:rsidR="00F4653F">
        <w:t xml:space="preserve"> </w:t>
      </w:r>
      <w:r w:rsidR="002149A6">
        <w:t>eight months for making criminal threats (count II);</w:t>
      </w:r>
      <w:r w:rsidR="002704B8">
        <w:t xml:space="preserve"> and a consecutive </w:t>
      </w:r>
      <w:r w:rsidR="00EB41C6">
        <w:t>two</w:t>
      </w:r>
      <w:r w:rsidR="002704B8">
        <w:t xml:space="preserve"> years </w:t>
      </w:r>
      <w:r w:rsidR="00BB3C77">
        <w:t>for</w:t>
      </w:r>
      <w:r w:rsidR="002704B8">
        <w:t xml:space="preserve"> </w:t>
      </w:r>
      <w:r w:rsidR="00DE567C">
        <w:t>the June 2017</w:t>
      </w:r>
      <w:r w:rsidR="002704B8">
        <w:t xml:space="preserve"> domestic violence</w:t>
      </w:r>
      <w:r w:rsidR="005D5BFD">
        <w:t xml:space="preserve"> conviction</w:t>
      </w:r>
      <w:r w:rsidR="002704B8">
        <w:t xml:space="preserve"> (count VII), one year for the convictio</w:t>
      </w:r>
      <w:r w:rsidR="005D5BFD">
        <w:t>n</w:t>
      </w:r>
      <w:r w:rsidR="00BB3C77">
        <w:t>, itself,</w:t>
      </w:r>
      <w:r w:rsidR="002704B8">
        <w:t xml:space="preserve"> and an additional year on the attached arming enhancement.</w:t>
      </w:r>
      <w:r>
        <w:t xml:space="preserve">  </w:t>
      </w:r>
      <w:r w:rsidR="005D5BFD">
        <w:t>The trial court imposed concurrent three-year terms for the remaining domestic violence convictions (counts IX and XII) and concurrent time-served sentences for the</w:t>
      </w:r>
      <w:r w:rsidR="00EB41C6">
        <w:t xml:space="preserve"> remaining</w:t>
      </w:r>
      <w:r w:rsidR="005D5BFD">
        <w:t xml:space="preserve"> misdemeanors (counts V, VIII, X</w:t>
      </w:r>
      <w:r w:rsidR="00914EB3">
        <w:t>,</w:t>
      </w:r>
      <w:r w:rsidR="005D5BFD">
        <w:t xml:space="preserve"> and XIII).</w:t>
      </w:r>
      <w:r w:rsidRPr="005D5BFD" w:rsidR="005D5BFD">
        <w:t xml:space="preserve"> </w:t>
      </w:r>
      <w:bookmarkEnd w:id="2"/>
      <w:r>
        <w:t xml:space="preserve"> (</w:t>
      </w:r>
      <w:r>
        <w:rPr>
          <w:i/>
          <w:iCs/>
        </w:rPr>
        <w:t>People v. Trammel</w:t>
      </w:r>
      <w:r>
        <w:t xml:space="preserve">, </w:t>
      </w:r>
      <w:r>
        <w:rPr>
          <w:i/>
          <w:iCs/>
        </w:rPr>
        <w:t>supra</w:t>
      </w:r>
      <w:r>
        <w:t xml:space="preserve">, A161381.)  </w:t>
      </w:r>
    </w:p>
    <w:p w:rsidR="00E44BE9" w:rsidP="00E44BE9" w14:paraId="0C6B6A5B" w14:textId="181D4792">
      <w:pPr>
        <w:pStyle w:val="Text"/>
        <w:ind w:firstLine="0"/>
      </w:pPr>
      <w:r>
        <w:tab/>
      </w:r>
      <w:r w:rsidRPr="00E44BE9">
        <w:t xml:space="preserve">On appeal, </w:t>
      </w:r>
      <w:bookmarkStart w:id="4" w:name="_Hlk143169379"/>
      <w:r w:rsidRPr="00E44BE9">
        <w:t xml:space="preserve">we concluded that the trial court erred </w:t>
      </w:r>
      <w:r w:rsidRPr="00E44BE9" w:rsidR="00A60F44">
        <w:t xml:space="preserve">under section 654 by </w:t>
      </w:r>
      <w:r w:rsidRPr="00E44BE9">
        <w:rPr>
          <w:shd w:val="clear" w:color="auto" w:fill="FFFFFF"/>
        </w:rPr>
        <w:t>imposing separate punishment for both domestic violence under count VII and simple assault under count VIII</w:t>
      </w:r>
      <w:r w:rsidRPr="00E44BE9" w:rsidR="00A60F44">
        <w:rPr>
          <w:shd w:val="clear" w:color="auto" w:fill="FFFFFF"/>
        </w:rPr>
        <w:t xml:space="preserve">, both of which </w:t>
      </w:r>
      <w:r w:rsidRPr="00E44BE9">
        <w:rPr>
          <w:shd w:val="clear" w:color="auto" w:fill="FFFFFF"/>
        </w:rPr>
        <w:t>related to</w:t>
      </w:r>
      <w:r w:rsidRPr="00E44BE9" w:rsidR="00A60F44">
        <w:t xml:space="preserve"> </w:t>
      </w:r>
      <w:r w:rsidRPr="00E44BE9">
        <w:rPr>
          <w:shd w:val="clear" w:color="auto" w:fill="FFFFFF"/>
        </w:rPr>
        <w:t xml:space="preserve">the </w:t>
      </w:r>
      <w:r w:rsidRPr="00E44BE9" w:rsidR="00A60F44">
        <w:rPr>
          <w:shd w:val="clear" w:color="auto" w:fill="FFFFFF"/>
        </w:rPr>
        <w:t xml:space="preserve">same </w:t>
      </w:r>
      <w:r w:rsidRPr="00E44BE9">
        <w:rPr>
          <w:shd w:val="clear" w:color="auto" w:fill="FFFFFF"/>
        </w:rPr>
        <w:t xml:space="preserve">June 2017 </w:t>
      </w:r>
      <w:r>
        <w:rPr>
          <w:shd w:val="clear" w:color="auto" w:fill="FFFFFF"/>
        </w:rPr>
        <w:t xml:space="preserve">domestic violence </w:t>
      </w:r>
      <w:r w:rsidRPr="00E44BE9">
        <w:rPr>
          <w:shd w:val="clear" w:color="auto" w:fill="FFFFFF"/>
        </w:rPr>
        <w:t>incident</w:t>
      </w:r>
      <w:r w:rsidRPr="00E44BE9" w:rsidR="00A60F44">
        <w:rPr>
          <w:shd w:val="clear" w:color="auto" w:fill="FFFFFF"/>
        </w:rPr>
        <w:t xml:space="preserve">.  </w:t>
      </w:r>
      <w:r w:rsidRPr="00E44BE9">
        <w:rPr>
          <w:shd w:val="clear" w:color="auto" w:fill="FFFFFF"/>
        </w:rPr>
        <w:t>W</w:t>
      </w:r>
      <w:r w:rsidRPr="00E44BE9" w:rsidR="00A60F44">
        <w:rPr>
          <w:shd w:val="clear" w:color="auto" w:fill="FFFFFF"/>
        </w:rPr>
        <w:t xml:space="preserve">e </w:t>
      </w:r>
      <w:r w:rsidRPr="00E44BE9">
        <w:rPr>
          <w:shd w:val="clear" w:color="auto" w:fill="FFFFFF"/>
        </w:rPr>
        <w:t xml:space="preserve">similarly </w:t>
      </w:r>
      <w:r w:rsidRPr="00E44BE9" w:rsidR="00A60F44">
        <w:rPr>
          <w:shd w:val="clear" w:color="auto" w:fill="FFFFFF"/>
        </w:rPr>
        <w:t xml:space="preserve">found </w:t>
      </w:r>
      <w:r w:rsidRPr="00E44BE9">
        <w:rPr>
          <w:shd w:val="clear" w:color="auto" w:fill="FFFFFF"/>
        </w:rPr>
        <w:t>that</w:t>
      </w:r>
      <w:r w:rsidR="00225663">
        <w:rPr>
          <w:shd w:val="clear" w:color="auto" w:fill="FFFFFF"/>
        </w:rPr>
        <w:t xml:space="preserve"> </w:t>
      </w:r>
      <w:r w:rsidRPr="00E44BE9">
        <w:rPr>
          <w:shd w:val="clear" w:color="auto" w:fill="FFFFFF"/>
        </w:rPr>
        <w:t>section 654</w:t>
      </w:r>
      <w:r w:rsidR="00225663">
        <w:rPr>
          <w:shd w:val="clear" w:color="auto" w:fill="FFFFFF"/>
        </w:rPr>
        <w:t xml:space="preserve"> </w:t>
      </w:r>
      <w:r w:rsidRPr="00E44BE9">
        <w:rPr>
          <w:shd w:val="clear" w:color="auto" w:fill="FFFFFF"/>
        </w:rPr>
        <w:t>precluded punishment for both domestic violence under count IX and simple assault under count X with respect to the</w:t>
      </w:r>
      <w:r>
        <w:rPr>
          <w:shd w:val="clear" w:color="auto" w:fill="FFFFFF"/>
        </w:rPr>
        <w:t xml:space="preserve"> domestic violence incident on</w:t>
      </w:r>
      <w:r w:rsidRPr="00E44BE9">
        <w:rPr>
          <w:shd w:val="clear" w:color="auto" w:fill="FFFFFF"/>
        </w:rPr>
        <w:t xml:space="preserve"> October 18, 2019.</w:t>
      </w:r>
      <w:r>
        <w:rPr>
          <w:shd w:val="clear" w:color="auto" w:fill="FFFFFF"/>
        </w:rPr>
        <w:t xml:space="preserve">  We remanded the matter </w:t>
      </w:r>
      <w:bookmarkEnd w:id="4"/>
      <w:r>
        <w:rPr>
          <w:shd w:val="clear" w:color="auto" w:fill="FFFFFF"/>
        </w:rPr>
        <w:t xml:space="preserve">for resentencing.  </w:t>
      </w:r>
      <w:r>
        <w:t>(</w:t>
      </w:r>
      <w:r>
        <w:rPr>
          <w:i/>
          <w:iCs/>
        </w:rPr>
        <w:t>People v. Trammel</w:t>
      </w:r>
      <w:r>
        <w:t xml:space="preserve">, </w:t>
      </w:r>
      <w:r>
        <w:rPr>
          <w:i/>
          <w:iCs/>
        </w:rPr>
        <w:t>supra</w:t>
      </w:r>
      <w:r>
        <w:t>, A161381.)</w:t>
      </w:r>
    </w:p>
    <w:p w:rsidR="002E2107" w:rsidP="00E44BE9" w14:paraId="75F7AC89" w14:textId="331D24C3">
      <w:pPr>
        <w:pStyle w:val="Text"/>
        <w:ind w:firstLine="0"/>
      </w:pPr>
      <w:r>
        <w:tab/>
        <w:t xml:space="preserve">On </w:t>
      </w:r>
      <w:r w:rsidR="00D222EC">
        <w:t>November 23, 2022</w:t>
      </w:r>
      <w:r>
        <w:t xml:space="preserve">, the trial court conducted a full resentencing </w:t>
      </w:r>
      <w:r w:rsidR="00D222EC">
        <w:t xml:space="preserve">in accordance with our </w:t>
      </w:r>
      <w:r w:rsidR="00F871B2">
        <w:t>instructions</w:t>
      </w:r>
      <w:r w:rsidR="0044537F">
        <w:t xml:space="preserve">, </w:t>
      </w:r>
      <w:r w:rsidR="00D222EC">
        <w:t>commenting that it was “of great consequence” that the new sentencing law</w:t>
      </w:r>
      <w:r w:rsidR="00782EAA">
        <w:t>s</w:t>
      </w:r>
      <w:r w:rsidR="00D222EC">
        <w:t xml:space="preserve"> effective on January 1, 2022, w</w:t>
      </w:r>
      <w:r w:rsidR="00782EAA">
        <w:t>ere</w:t>
      </w:r>
      <w:r w:rsidR="00D222EC">
        <w:t xml:space="preserve"> applicable to Trammel’s case and discussing the </w:t>
      </w:r>
      <w:r w:rsidR="00782EAA">
        <w:t>relevant</w:t>
      </w:r>
      <w:r w:rsidR="00F871B2">
        <w:t xml:space="preserve"> </w:t>
      </w:r>
      <w:r w:rsidR="00241483">
        <w:t xml:space="preserve">statutory </w:t>
      </w:r>
      <w:r w:rsidR="00D222EC">
        <w:t>changes</w:t>
      </w:r>
      <w:r>
        <w:t xml:space="preserve">. </w:t>
      </w:r>
      <w:r w:rsidR="00241483">
        <w:t xml:space="preserve"> </w:t>
      </w:r>
      <w:r w:rsidR="00740567">
        <w:t>The court</w:t>
      </w:r>
      <w:r>
        <w:t xml:space="preserve"> reviewed the presentence report, </w:t>
      </w:r>
      <w:r w:rsidR="0044537F">
        <w:t xml:space="preserve">a </w:t>
      </w:r>
      <w:r>
        <w:t xml:space="preserve">resentencing memorandum from the prosecutor and </w:t>
      </w:r>
      <w:r w:rsidR="0044537F">
        <w:t xml:space="preserve">a resentencing memorandum from </w:t>
      </w:r>
      <w:r>
        <w:t>the defense</w:t>
      </w:r>
      <w:r w:rsidR="0044537F">
        <w:t xml:space="preserve">, </w:t>
      </w:r>
      <w:r w:rsidR="007D6462">
        <w:t xml:space="preserve">the latter of </w:t>
      </w:r>
      <w:r w:rsidR="0044537F">
        <w:t xml:space="preserve">which included a </w:t>
      </w:r>
      <w:r w:rsidR="00D16766">
        <w:t xml:space="preserve">social worker’s </w:t>
      </w:r>
      <w:r w:rsidR="0044537F">
        <w:t>mitigation</w:t>
      </w:r>
      <w:bookmarkStart w:id="5" w:name="_Hlk142564974"/>
      <w:r w:rsidR="00D16766">
        <w:t xml:space="preserve"> assessment. </w:t>
      </w:r>
      <w:r w:rsidR="00740567">
        <w:t xml:space="preserve">  </w:t>
      </w:r>
      <w:bookmarkEnd w:id="5"/>
      <w:r w:rsidR="0044537F">
        <w:t>The defense requested a sentence of three years, eight months.</w:t>
      </w:r>
      <w:r w:rsidRPr="0044537F" w:rsidR="0044537F">
        <w:t xml:space="preserve"> </w:t>
      </w:r>
      <w:r w:rsidR="0044537F">
        <w:t xml:space="preserve"> The prosecutor urged</w:t>
      </w:r>
      <w:r w:rsidR="00241483">
        <w:t xml:space="preserve"> </w:t>
      </w:r>
      <w:r w:rsidR="0044537F">
        <w:t xml:space="preserve">the court to impose a sentence of </w:t>
      </w:r>
      <w:r w:rsidR="00480182">
        <w:t xml:space="preserve">14 years. </w:t>
      </w:r>
    </w:p>
    <w:p w:rsidR="00140343" w:rsidP="00E44BE9" w14:paraId="4E79D796" w14:textId="598EF7E7">
      <w:pPr>
        <w:pStyle w:val="Text"/>
        <w:ind w:firstLine="0"/>
      </w:pPr>
      <w:r>
        <w:tab/>
      </w:r>
      <w:r w:rsidR="00A63AAD">
        <w:t>T</w:t>
      </w:r>
      <w:r w:rsidR="00740567">
        <w:t xml:space="preserve">he trial court </w:t>
      </w:r>
      <w:r w:rsidRPr="00740567" w:rsidR="00E44BE9">
        <w:t>resentenced</w:t>
      </w:r>
      <w:r w:rsidR="00E44BE9">
        <w:t xml:space="preserve"> Trammel to 12 years and four months in prison.  Specifically, the court </w:t>
      </w:r>
      <w:r w:rsidR="00740567">
        <w:t>again</w:t>
      </w:r>
      <w:r w:rsidR="00E36A2F">
        <w:t xml:space="preserve"> </w:t>
      </w:r>
      <w:r w:rsidR="00E44BE9">
        <w:t>ordered the upper term of eight years for the principal count, kidnapping (count XI); a consecutive 16 months for burglary (count I)</w:t>
      </w:r>
      <w:r w:rsidR="00E36A2F">
        <w:t>;</w:t>
      </w:r>
      <w:r w:rsidR="00E44BE9">
        <w:t xml:space="preserve"> </w:t>
      </w:r>
      <w:r w:rsidR="00E36A2F">
        <w:t xml:space="preserve">and </w:t>
      </w:r>
      <w:r w:rsidR="00E44BE9">
        <w:t xml:space="preserve">a consecutive </w:t>
      </w:r>
      <w:r w:rsidR="00EB41C6">
        <w:t>two</w:t>
      </w:r>
      <w:r w:rsidR="00E44BE9">
        <w:t xml:space="preserve"> years for the June 2017 domestic violence conviction (count VII), one year for the conviction</w:t>
      </w:r>
      <w:r w:rsidR="00EB41C6">
        <w:t xml:space="preserve"> </w:t>
      </w:r>
      <w:r w:rsidR="00E44BE9">
        <w:t>and an additional year on the attached arming enhancement.</w:t>
      </w:r>
      <w:r w:rsidR="00725BDA">
        <w:t xml:space="preserve"> </w:t>
      </w:r>
      <w:r w:rsidR="00AA24CD">
        <w:t xml:space="preserve"> </w:t>
      </w:r>
      <w:r>
        <w:t>The court stayed the punishment for making criminal threats (count II (eight months)) and for the misdemeanors (counts V (1 year), VIII</w:t>
      </w:r>
      <w:r w:rsidR="00DA5514">
        <w:t xml:space="preserve"> (180 days)</w:t>
      </w:r>
      <w:r>
        <w:t>, X</w:t>
      </w:r>
      <w:r w:rsidR="00DA5514">
        <w:t xml:space="preserve"> (180 days)</w:t>
      </w:r>
      <w:r>
        <w:t xml:space="preserve">, and XIII (180 days) pursuant to section 654.  Finally, rather than imposing concurrent three-year terms for the remaining domestic violence convictions (counts IX and XII), the trial court imposed a consecutive one-year term on count IX and a concurrent one-year term on count XII.  </w:t>
      </w:r>
    </w:p>
    <w:p w:rsidR="00740567" w:rsidP="00E44BE9" w14:paraId="6CA64E96" w14:textId="4FD5870D">
      <w:pPr>
        <w:pStyle w:val="Text"/>
        <w:ind w:firstLine="0"/>
      </w:pPr>
      <w:r>
        <w:tab/>
      </w:r>
      <w:r w:rsidR="007D6462">
        <w:t xml:space="preserve">In reaching this sentence, the court indicated it had considered the mitigation report </w:t>
      </w:r>
      <w:r w:rsidR="00725BDA">
        <w:t>but determined that no evidence suggested childhood trauma was related to the commission of the crimes.  It further found that imposition of the lower term would be contrary to the interest</w:t>
      </w:r>
      <w:r w:rsidR="00B12650">
        <w:t>s</w:t>
      </w:r>
      <w:r w:rsidR="00725BDA">
        <w:t xml:space="preserve"> of justice, noting that Trammel showed no remorse for the crimes.</w:t>
      </w:r>
      <w:r w:rsidRPr="00725BDA" w:rsidR="00725BDA">
        <w:t xml:space="preserve"> </w:t>
      </w:r>
      <w:r w:rsidR="00AA24CD">
        <w:t xml:space="preserve"> The court additionally concluded that the middle term was not appropriate given Trammel’s history of prior convictions (which the prosecutor established </w:t>
      </w:r>
      <w:r w:rsidR="00972A9A">
        <w:t>with certified records of conviction) in aggravation and no factors in mitigation.</w:t>
      </w:r>
      <w:r w:rsidRPr="00972A9A" w:rsidR="00972A9A">
        <w:t xml:space="preserve"> </w:t>
      </w:r>
      <w:r w:rsidR="00725BDA">
        <w:t xml:space="preserve"> </w:t>
      </w:r>
      <w:r w:rsidR="007D6462">
        <w:t xml:space="preserve">When defense counsel commented </w:t>
      </w:r>
      <w:r w:rsidR="002F17AE">
        <w:t xml:space="preserve">that </w:t>
      </w:r>
      <w:r w:rsidR="007D6462">
        <w:t>the sentence was four months longer than the court had previously imposed, the court indicated its awareness of this fact.</w:t>
      </w:r>
      <w:r w:rsidRPr="007D6462" w:rsidR="007D6462">
        <w:t xml:space="preserve"> </w:t>
      </w:r>
      <w:r w:rsidR="007D6462">
        <w:t xml:space="preserve">  </w:t>
      </w:r>
    </w:p>
    <w:p w:rsidR="00DB5895" w:rsidP="00384F76" w14:paraId="770114F5" w14:textId="7A8A6618">
      <w:pPr>
        <w:pStyle w:val="Text"/>
        <w:ind w:firstLine="0"/>
      </w:pPr>
      <w:r>
        <w:tab/>
        <w:t>Trammel again appealed.</w:t>
      </w:r>
      <w:r w:rsidRPr="00824A6E" w:rsidR="00824A6E">
        <w:t xml:space="preserve"> </w:t>
      </w:r>
    </w:p>
    <w:p w:rsidR="007A448D" w:rsidRPr="00DB5895" w:rsidP="00384F76" w14:paraId="65289446" w14:textId="77777777">
      <w:pPr>
        <w:pStyle w:val="Text"/>
        <w:ind w:firstLine="0"/>
      </w:pPr>
    </w:p>
    <w:p w:rsidR="003C1F7B" w:rsidP="0060748E" w14:paraId="12817365" w14:textId="77777777">
      <w:pPr>
        <w:pStyle w:val="Text"/>
        <w:keepNext/>
        <w:ind w:left="360" w:firstLine="0"/>
        <w:jc w:val="center"/>
        <w:rPr>
          <w:b/>
          <w:bCs/>
        </w:rPr>
      </w:pPr>
      <w:r w:rsidRPr="006701AC">
        <w:rPr>
          <w:b/>
          <w:bCs/>
        </w:rPr>
        <w:t>II.</w:t>
      </w:r>
      <w:r>
        <w:rPr>
          <w:b/>
          <w:bCs/>
        </w:rPr>
        <w:t xml:space="preserve">  </w:t>
      </w:r>
      <w:r w:rsidR="00384F76">
        <w:rPr>
          <w:b/>
          <w:bCs/>
        </w:rPr>
        <w:t>DISCUSSIO</w:t>
      </w:r>
      <w:r>
        <w:rPr>
          <w:b/>
          <w:bCs/>
        </w:rPr>
        <w:t>N</w:t>
      </w:r>
    </w:p>
    <w:p w:rsidR="00DB5895" w:rsidRPr="003C1F7B" w:rsidP="0060748E" w14:paraId="3F495CD6" w14:textId="5C706C8E">
      <w:pPr>
        <w:pStyle w:val="Text"/>
        <w:keepNext/>
        <w:tabs>
          <w:tab w:val="left" w:pos="0"/>
          <w:tab w:val="clear" w:pos="720"/>
        </w:tabs>
        <w:ind w:firstLine="0"/>
        <w:rPr>
          <w:b/>
          <w:bCs/>
        </w:rPr>
      </w:pPr>
      <w:r>
        <w:tab/>
      </w:r>
      <w:r w:rsidRPr="00DB5895">
        <w:t>Trammel argues that</w:t>
      </w:r>
      <w:r>
        <w:t xml:space="preserve"> imposition of a longer sentence on remand violated double jeopardy principles </w:t>
      </w:r>
      <w:r w:rsidR="00073BB8">
        <w:t xml:space="preserve">which </w:t>
      </w:r>
      <w:r>
        <w:t>recogniz</w:t>
      </w:r>
      <w:r w:rsidR="00073BB8">
        <w:t>e</w:t>
      </w:r>
      <w:r w:rsidR="008F23DA">
        <w:t>s</w:t>
      </w:r>
      <w:r>
        <w:t xml:space="preserve"> that defendants should not be required to risk being given greater punishment for </w:t>
      </w:r>
      <w:r w:rsidR="00DC5E5D">
        <w:t xml:space="preserve">successfully </w:t>
      </w:r>
      <w:r>
        <w:t xml:space="preserve">exercising their appellate rights. </w:t>
      </w:r>
      <w:r w:rsidRPr="00DB5895">
        <w:t xml:space="preserve"> </w:t>
      </w:r>
      <w:r w:rsidR="00DC5E5D">
        <w:t xml:space="preserve">The Attorney General disagrees, asserting that, since Trammel’s original sentence was </w:t>
      </w:r>
      <w:r w:rsidR="00073BB8">
        <w:t>“</w:t>
      </w:r>
      <w:r w:rsidR="00DC5E5D">
        <w:t>unauthorized,</w:t>
      </w:r>
      <w:r w:rsidR="00073BB8">
        <w:t>”</w:t>
      </w:r>
      <w:r w:rsidR="00DC5E5D">
        <w:t xml:space="preserve"> there was no limitation on the trial court’s power to impose a greater sentence on remand.</w:t>
      </w:r>
      <w:r w:rsidRPr="00DC5E5D" w:rsidR="00DC5E5D">
        <w:t xml:space="preserve"> </w:t>
      </w:r>
      <w:r w:rsidR="00DC5E5D">
        <w:t xml:space="preserve"> </w:t>
      </w:r>
      <w:r>
        <w:t>Resolution of this dispute requires analysis of two intersecting lines of Supreme Court precedent.  We thus begin by discussing each in turn</w:t>
      </w:r>
      <w:r w:rsidR="00DC5E5D">
        <w:t>.</w:t>
      </w:r>
    </w:p>
    <w:p w:rsidR="006701AC" w:rsidRPr="006701AC" w:rsidP="00387B67" w14:paraId="5DAFFCBD" w14:textId="3C3482A8">
      <w:pPr>
        <w:pStyle w:val="Text"/>
        <w:keepNext/>
        <w:ind w:firstLine="0"/>
        <w:rPr>
          <w:b/>
          <w:bCs/>
          <w:i/>
          <w:iCs/>
        </w:rPr>
      </w:pPr>
      <w:r>
        <w:rPr>
          <w:b/>
          <w:bCs/>
          <w:i/>
          <w:iCs/>
        </w:rPr>
        <w:t>A.</w:t>
      </w:r>
      <w:r w:rsidR="00046E03">
        <w:rPr>
          <w:b/>
          <w:bCs/>
          <w:i/>
          <w:iCs/>
        </w:rPr>
        <w:t xml:space="preserve">  </w:t>
      </w:r>
      <w:r>
        <w:rPr>
          <w:b/>
          <w:bCs/>
          <w:i/>
          <w:iCs/>
        </w:rPr>
        <w:t>Supreme Court Double Jeopardy Precedent</w:t>
      </w:r>
    </w:p>
    <w:p w:rsidR="005B513F" w:rsidRPr="008F23DA" w:rsidP="00387B67" w14:paraId="0B914AC2" w14:textId="33D903C6">
      <w:pPr>
        <w:pStyle w:val="NormalWeb"/>
        <w:keepNext/>
        <w:spacing w:before="0" w:beforeAutospacing="0" w:after="0" w:afterAutospacing="0" w:line="360" w:lineRule="auto"/>
        <w:textAlignment w:val="baseline"/>
        <w:rPr>
          <w:rFonts w:ascii="Century Schoolbook" w:hAnsi="Century Schoolbook"/>
          <w:sz w:val="26"/>
          <w:szCs w:val="26"/>
          <w:shd w:val="clear" w:color="auto" w:fill="FFFFFF"/>
        </w:rPr>
      </w:pPr>
      <w:r>
        <w:rPr>
          <w:rFonts w:ascii="Century Schoolbook" w:hAnsi="Century Schoolbook"/>
          <w:sz w:val="26"/>
          <w:szCs w:val="26"/>
        </w:rPr>
        <w:tab/>
      </w:r>
      <w:r w:rsidRPr="00B32F33" w:rsidR="00384F76">
        <w:rPr>
          <w:rFonts w:ascii="Century Schoolbook" w:hAnsi="Century Schoolbook"/>
          <w:sz w:val="26"/>
          <w:szCs w:val="26"/>
        </w:rPr>
        <w:t xml:space="preserve">In the seminal case of </w:t>
      </w:r>
      <w:r w:rsidRPr="00B32F33" w:rsidR="00236A2D">
        <w:rPr>
          <w:rFonts w:ascii="Century Schoolbook" w:hAnsi="Century Schoolbook"/>
          <w:i/>
          <w:iCs/>
          <w:sz w:val="26"/>
          <w:szCs w:val="26"/>
          <w:shd w:val="clear" w:color="auto" w:fill="FFFFFF"/>
        </w:rPr>
        <w:t xml:space="preserve">People v. </w:t>
      </w:r>
      <w:r w:rsidRPr="00B32F33" w:rsidR="00D66544">
        <w:rPr>
          <w:rFonts w:ascii="Century Schoolbook" w:hAnsi="Century Schoolbook"/>
          <w:i/>
          <w:iCs/>
          <w:sz w:val="26"/>
          <w:szCs w:val="26"/>
          <w:bdr w:val="none" w:sz="0" w:space="0" w:color="auto" w:frame="1"/>
          <w:shd w:val="clear" w:color="auto" w:fill="FFFFFF"/>
        </w:rPr>
        <w:t>Henderson</w:t>
      </w:r>
      <w:r w:rsidRPr="00B32F33" w:rsidR="00236A2D">
        <w:rPr>
          <w:rFonts w:ascii="Century Schoolbook" w:hAnsi="Century Schoolbook"/>
          <w:sz w:val="26"/>
          <w:szCs w:val="26"/>
          <w:shd w:val="clear" w:color="auto" w:fill="FFFFFF"/>
        </w:rPr>
        <w:t xml:space="preserve"> (1963) 60 Cal.2d 482 (</w:t>
      </w:r>
      <w:r w:rsidRPr="00B32F33" w:rsidR="00236A2D">
        <w:rPr>
          <w:rFonts w:ascii="Century Schoolbook" w:hAnsi="Century Schoolbook"/>
          <w:i/>
          <w:iCs/>
          <w:sz w:val="26"/>
          <w:szCs w:val="26"/>
          <w:shd w:val="clear" w:color="auto" w:fill="FFFFFF"/>
        </w:rPr>
        <w:t>Henderson</w:t>
      </w:r>
      <w:r w:rsidRPr="00B32F33" w:rsidR="00236A2D">
        <w:rPr>
          <w:rFonts w:ascii="Century Schoolbook" w:hAnsi="Century Schoolbook"/>
          <w:sz w:val="26"/>
          <w:szCs w:val="26"/>
          <w:shd w:val="clear" w:color="auto" w:fill="FFFFFF"/>
        </w:rPr>
        <w:t>), the</w:t>
      </w:r>
      <w:r w:rsidRPr="00B32F33" w:rsidR="00D66544">
        <w:rPr>
          <w:rFonts w:ascii="Century Schoolbook" w:hAnsi="Century Schoolbook"/>
          <w:sz w:val="26"/>
          <w:szCs w:val="26"/>
          <w:shd w:val="clear" w:color="auto" w:fill="FFFFFF"/>
        </w:rPr>
        <w:t xml:space="preserve"> defendant was convicted of first degree murder and sentenced to life imprisonment.</w:t>
      </w:r>
      <w:r w:rsidRPr="00B32F33" w:rsidR="00236A2D">
        <w:rPr>
          <w:rFonts w:ascii="Century Schoolbook" w:hAnsi="Century Schoolbook"/>
          <w:sz w:val="26"/>
          <w:szCs w:val="26"/>
          <w:shd w:val="clear" w:color="auto" w:fill="FFFFFF"/>
        </w:rPr>
        <w:t xml:space="preserve">  </w:t>
      </w:r>
      <w:r w:rsidRPr="00B32F33" w:rsidR="00D66544">
        <w:rPr>
          <w:rFonts w:ascii="Century Schoolbook" w:hAnsi="Century Schoolbook"/>
          <w:sz w:val="26"/>
          <w:szCs w:val="26"/>
          <w:shd w:val="clear" w:color="auto" w:fill="FFFFFF"/>
        </w:rPr>
        <w:t>Following reversal of that conviction, he was again tried and convicted, and the jury fixed the penalty at death.</w:t>
      </w:r>
      <w:r w:rsidRPr="00B32F33" w:rsidR="00236A2D">
        <w:rPr>
          <w:rFonts w:ascii="Century Schoolbook" w:hAnsi="Century Schoolbook"/>
          <w:sz w:val="26"/>
          <w:szCs w:val="26"/>
          <w:shd w:val="clear" w:color="auto" w:fill="FFFFFF"/>
        </w:rPr>
        <w:t xml:space="preserve">  (</w:t>
      </w:r>
      <w:r w:rsidRPr="00B32F33" w:rsidR="00236A2D">
        <w:rPr>
          <w:rFonts w:ascii="Century Schoolbook" w:hAnsi="Century Schoolbook"/>
          <w:i/>
          <w:iCs/>
          <w:sz w:val="26"/>
          <w:szCs w:val="26"/>
          <w:shd w:val="clear" w:color="auto" w:fill="FFFFFF"/>
        </w:rPr>
        <w:t>Id.</w:t>
      </w:r>
      <w:r w:rsidRPr="00B32F33" w:rsidR="00236A2D">
        <w:rPr>
          <w:rFonts w:ascii="Century Schoolbook" w:hAnsi="Century Schoolbook"/>
          <w:sz w:val="26"/>
          <w:szCs w:val="26"/>
          <w:shd w:val="clear" w:color="auto" w:fill="FFFFFF"/>
        </w:rPr>
        <w:t xml:space="preserve"> at p.</w:t>
      </w:r>
      <w:r w:rsidR="009747F6">
        <w:rPr>
          <w:rFonts w:ascii="Century Schoolbook" w:hAnsi="Century Schoolbook"/>
          <w:sz w:val="26"/>
          <w:szCs w:val="26"/>
          <w:shd w:val="clear" w:color="auto" w:fill="FFFFFF"/>
        </w:rPr>
        <w:t> </w:t>
      </w:r>
      <w:r w:rsidRPr="00B32F33" w:rsidR="00185780">
        <w:rPr>
          <w:rFonts w:ascii="Century Schoolbook" w:hAnsi="Century Schoolbook"/>
          <w:sz w:val="26"/>
          <w:szCs w:val="26"/>
          <w:shd w:val="clear" w:color="auto" w:fill="FFFFFF"/>
        </w:rPr>
        <w:t>484.</w:t>
      </w:r>
      <w:r w:rsidRPr="00B32F33" w:rsidR="00236A2D">
        <w:rPr>
          <w:rFonts w:ascii="Century Schoolbook" w:hAnsi="Century Schoolbook"/>
          <w:sz w:val="26"/>
          <w:szCs w:val="26"/>
          <w:shd w:val="clear" w:color="auto" w:fill="FFFFFF"/>
        </w:rPr>
        <w:t>)</w:t>
      </w:r>
      <w:r w:rsidRPr="00B32F33" w:rsidR="00D66544">
        <w:rPr>
          <w:rFonts w:ascii="Century Schoolbook" w:hAnsi="Century Schoolbook"/>
          <w:sz w:val="26"/>
          <w:szCs w:val="26"/>
          <w:shd w:val="clear" w:color="auto" w:fill="FFFFFF"/>
        </w:rPr>
        <w:t xml:space="preserve"> </w:t>
      </w:r>
      <w:r w:rsidRPr="00B32F33" w:rsidR="00236A2D">
        <w:rPr>
          <w:rFonts w:ascii="Century Schoolbook" w:hAnsi="Century Schoolbook"/>
          <w:sz w:val="26"/>
          <w:szCs w:val="26"/>
          <w:shd w:val="clear" w:color="auto" w:fill="FFFFFF"/>
        </w:rPr>
        <w:t xml:space="preserve"> </w:t>
      </w:r>
      <w:r w:rsidRPr="00B32F33">
        <w:rPr>
          <w:rFonts w:ascii="Century Schoolbook" w:hAnsi="Century Schoolbook"/>
          <w:sz w:val="26"/>
          <w:szCs w:val="26"/>
          <w:shd w:val="clear" w:color="auto" w:fill="FFFFFF"/>
        </w:rPr>
        <w:t xml:space="preserve">The defendant argued that </w:t>
      </w:r>
      <w:r w:rsidRPr="00B32F33">
        <w:rPr>
          <w:rFonts w:ascii="Century Schoolbook" w:hAnsi="Century Schoolbook"/>
          <w:sz w:val="26"/>
          <w:szCs w:val="26"/>
        </w:rPr>
        <w:t>the prohibition against double jeopardy preclude</w:t>
      </w:r>
      <w:r>
        <w:rPr>
          <w:rFonts w:ascii="Century Schoolbook" w:hAnsi="Century Schoolbook"/>
          <w:sz w:val="26"/>
          <w:szCs w:val="26"/>
        </w:rPr>
        <w:t>d</w:t>
      </w:r>
      <w:r w:rsidRPr="00B32F33">
        <w:rPr>
          <w:rFonts w:ascii="Century Schoolbook" w:hAnsi="Century Schoolbook"/>
          <w:sz w:val="26"/>
          <w:szCs w:val="26"/>
        </w:rPr>
        <w:t xml:space="preserve"> imposing the death </w:t>
      </w:r>
      <w:r w:rsidRPr="00E10FAA">
        <w:rPr>
          <w:rFonts w:ascii="Century Schoolbook" w:hAnsi="Century Schoolbook"/>
          <w:sz w:val="26"/>
          <w:szCs w:val="26"/>
        </w:rPr>
        <w:t>sentence after reversal of the first judgment sentencing him to life imprisonment.  (</w:t>
      </w:r>
      <w:r w:rsidRPr="00E10FAA">
        <w:rPr>
          <w:rFonts w:ascii="Century Schoolbook" w:hAnsi="Century Schoolbook"/>
          <w:i/>
          <w:iCs/>
          <w:sz w:val="26"/>
          <w:szCs w:val="26"/>
        </w:rPr>
        <w:t>Id.</w:t>
      </w:r>
      <w:r w:rsidRPr="00E10FAA">
        <w:rPr>
          <w:rFonts w:ascii="Century Schoolbook" w:hAnsi="Century Schoolbook"/>
          <w:sz w:val="26"/>
          <w:szCs w:val="26"/>
        </w:rPr>
        <w:t xml:space="preserve"> at p. 495.)  </w:t>
      </w:r>
      <w:r w:rsidRPr="00E10FAA" w:rsidR="00D66544">
        <w:rPr>
          <w:rFonts w:ascii="Century Schoolbook" w:hAnsi="Century Schoolbook"/>
          <w:sz w:val="26"/>
          <w:szCs w:val="26"/>
          <w:shd w:val="clear" w:color="auto" w:fill="FFFFFF"/>
        </w:rPr>
        <w:t>Th</w:t>
      </w:r>
      <w:r w:rsidRPr="00E10FAA" w:rsidR="00236A2D">
        <w:rPr>
          <w:rFonts w:ascii="Century Schoolbook" w:hAnsi="Century Schoolbook"/>
          <w:sz w:val="26"/>
          <w:szCs w:val="26"/>
          <w:shd w:val="clear" w:color="auto" w:fill="FFFFFF"/>
        </w:rPr>
        <w:t>e Supreme C</w:t>
      </w:r>
      <w:r w:rsidRPr="00E10FAA" w:rsidR="00D66544">
        <w:rPr>
          <w:rFonts w:ascii="Century Schoolbook" w:hAnsi="Century Schoolbook"/>
          <w:sz w:val="26"/>
          <w:szCs w:val="26"/>
          <w:shd w:val="clear" w:color="auto" w:fill="FFFFFF"/>
        </w:rPr>
        <w:t>ourt</w:t>
      </w:r>
      <w:r w:rsidRPr="00E10FAA" w:rsidR="00185780">
        <w:rPr>
          <w:rFonts w:ascii="Century Schoolbook" w:hAnsi="Century Schoolbook"/>
          <w:sz w:val="26"/>
          <w:szCs w:val="26"/>
          <w:shd w:val="clear" w:color="auto" w:fill="FFFFFF"/>
        </w:rPr>
        <w:t xml:space="preserve"> </w:t>
      </w:r>
      <w:r w:rsidRPr="00E10FAA">
        <w:rPr>
          <w:rFonts w:ascii="Century Schoolbook" w:hAnsi="Century Schoolbook"/>
          <w:sz w:val="26"/>
          <w:szCs w:val="26"/>
          <w:shd w:val="clear" w:color="auto" w:fill="FFFFFF"/>
        </w:rPr>
        <w:t>agreed</w:t>
      </w:r>
      <w:r w:rsidRPr="00E10FAA" w:rsidR="00185780">
        <w:rPr>
          <w:rFonts w:ascii="Century Schoolbook" w:hAnsi="Century Schoolbook"/>
          <w:sz w:val="26"/>
          <w:szCs w:val="26"/>
          <w:shd w:val="clear" w:color="auto" w:fill="FFFFFF"/>
        </w:rPr>
        <w:t xml:space="preserve">, </w:t>
      </w:r>
      <w:r w:rsidRPr="00E10FAA" w:rsidR="00D66544">
        <w:rPr>
          <w:rFonts w:ascii="Century Schoolbook" w:hAnsi="Century Schoolbook"/>
          <w:sz w:val="26"/>
          <w:szCs w:val="26"/>
          <w:shd w:val="clear" w:color="auto" w:fill="FFFFFF"/>
        </w:rPr>
        <w:t>h</w:t>
      </w:r>
      <w:r w:rsidRPr="00E10FAA" w:rsidR="00185780">
        <w:rPr>
          <w:rFonts w:ascii="Century Schoolbook" w:hAnsi="Century Schoolbook"/>
          <w:sz w:val="26"/>
          <w:szCs w:val="26"/>
          <w:shd w:val="clear" w:color="auto" w:fill="FFFFFF"/>
        </w:rPr>
        <w:t>o</w:t>
      </w:r>
      <w:r w:rsidRPr="00E10FAA" w:rsidR="00D66544">
        <w:rPr>
          <w:rFonts w:ascii="Century Schoolbook" w:hAnsi="Century Schoolbook"/>
          <w:sz w:val="26"/>
          <w:szCs w:val="26"/>
          <w:shd w:val="clear" w:color="auto" w:fill="FFFFFF"/>
        </w:rPr>
        <w:t>ld</w:t>
      </w:r>
      <w:r w:rsidRPr="00E10FAA" w:rsidR="00185780">
        <w:rPr>
          <w:rFonts w:ascii="Century Schoolbook" w:hAnsi="Century Schoolbook"/>
          <w:sz w:val="26"/>
          <w:szCs w:val="26"/>
          <w:shd w:val="clear" w:color="auto" w:fill="FFFFFF"/>
        </w:rPr>
        <w:t>ing</w:t>
      </w:r>
      <w:r w:rsidRPr="00E10FAA" w:rsidR="00D66544">
        <w:rPr>
          <w:rFonts w:ascii="Century Schoolbook" w:hAnsi="Century Schoolbook"/>
          <w:sz w:val="26"/>
          <w:szCs w:val="26"/>
          <w:shd w:val="clear" w:color="auto" w:fill="FFFFFF"/>
        </w:rPr>
        <w:t xml:space="preserve"> that the California Constitution</w:t>
      </w:r>
      <w:r w:rsidRPr="00E10FAA" w:rsidR="00185780">
        <w:rPr>
          <w:rFonts w:ascii="Century Schoolbook" w:hAnsi="Century Schoolbook"/>
          <w:sz w:val="26"/>
          <w:szCs w:val="26"/>
          <w:shd w:val="clear" w:color="auto" w:fill="FFFFFF"/>
        </w:rPr>
        <w:t>’</w:t>
      </w:r>
      <w:r w:rsidRPr="00E10FAA" w:rsidR="00D66544">
        <w:rPr>
          <w:rFonts w:ascii="Century Schoolbook" w:hAnsi="Century Schoolbook"/>
          <w:sz w:val="26"/>
          <w:szCs w:val="26"/>
          <w:shd w:val="clear" w:color="auto" w:fill="FFFFFF"/>
        </w:rPr>
        <w:t>s guarantee against double jeopardy (art. I, § 13) pr</w:t>
      </w:r>
      <w:r w:rsidR="009747F6">
        <w:rPr>
          <w:rFonts w:ascii="Century Schoolbook" w:hAnsi="Century Schoolbook"/>
          <w:sz w:val="26"/>
          <w:szCs w:val="26"/>
          <w:shd w:val="clear" w:color="auto" w:fill="FFFFFF"/>
        </w:rPr>
        <w:t>ohibited</w:t>
      </w:r>
      <w:r w:rsidRPr="00E10FAA" w:rsidR="00D66544">
        <w:rPr>
          <w:rFonts w:ascii="Century Schoolbook" w:hAnsi="Century Schoolbook"/>
          <w:sz w:val="26"/>
          <w:szCs w:val="26"/>
          <w:shd w:val="clear" w:color="auto" w:fill="FFFFFF"/>
        </w:rPr>
        <w:t xml:space="preserve"> the imposition</w:t>
      </w:r>
      <w:r w:rsidRPr="00E10FAA" w:rsidR="00236A2D">
        <w:rPr>
          <w:rFonts w:ascii="Century Schoolbook" w:hAnsi="Century Schoolbook"/>
          <w:sz w:val="26"/>
          <w:szCs w:val="26"/>
          <w:shd w:val="clear" w:color="auto" w:fill="FFFFFF"/>
        </w:rPr>
        <w:t xml:space="preserve"> </w:t>
      </w:r>
      <w:r w:rsidRPr="00E10FAA" w:rsidR="00D66544">
        <w:rPr>
          <w:rFonts w:ascii="Century Schoolbook" w:hAnsi="Century Schoolbook"/>
          <w:sz w:val="26"/>
          <w:szCs w:val="26"/>
          <w:shd w:val="clear" w:color="auto" w:fill="FFFFFF"/>
        </w:rPr>
        <w:t>of a more severe sentence upon retrial.</w:t>
      </w:r>
      <w:r w:rsidR="00E10FAA">
        <w:rPr>
          <w:rFonts w:ascii="Century Schoolbook" w:hAnsi="Century Schoolbook"/>
          <w:sz w:val="26"/>
          <w:szCs w:val="26"/>
          <w:shd w:val="clear" w:color="auto" w:fill="FFFFFF"/>
        </w:rPr>
        <w:t xml:space="preserve">  (</w:t>
      </w:r>
      <w:r w:rsidR="00E10FAA">
        <w:rPr>
          <w:rFonts w:ascii="Century Schoolbook" w:hAnsi="Century Schoolbook"/>
          <w:i/>
          <w:iCs/>
          <w:sz w:val="26"/>
          <w:szCs w:val="26"/>
          <w:shd w:val="clear" w:color="auto" w:fill="FFFFFF"/>
        </w:rPr>
        <w:t>Henderson</w:t>
      </w:r>
      <w:r w:rsidR="00E10FAA">
        <w:rPr>
          <w:rFonts w:ascii="Century Schoolbook" w:hAnsi="Century Schoolbook"/>
          <w:sz w:val="26"/>
          <w:szCs w:val="26"/>
          <w:shd w:val="clear" w:color="auto" w:fill="FFFFFF"/>
        </w:rPr>
        <w:t>, at pp. 496–497.)</w:t>
      </w:r>
      <w:r w:rsidRPr="00E10FAA">
        <w:rPr>
          <w:rFonts w:ascii="Century Schoolbook" w:hAnsi="Century Schoolbook"/>
          <w:sz w:val="26"/>
          <w:szCs w:val="26"/>
          <w:shd w:val="clear" w:color="auto" w:fill="FFFFFF"/>
        </w:rPr>
        <w:t xml:space="preserve">  The Court reasoned: </w:t>
      </w:r>
      <w:r w:rsidRPr="00E10FAA">
        <w:rPr>
          <w:rFonts w:ascii="Century Schoolbook" w:hAnsi="Century Schoolbook"/>
          <w:color w:val="212121"/>
          <w:sz w:val="27"/>
          <w:szCs w:val="27"/>
          <w:shd w:val="clear" w:color="auto" w:fill="FFFFFF"/>
        </w:rPr>
        <w:t xml:space="preserve"> “A </w:t>
      </w:r>
      <w:r w:rsidRPr="00F2469D">
        <w:rPr>
          <w:rFonts w:ascii="Century Schoolbook" w:hAnsi="Century Schoolbook"/>
          <w:color w:val="212121"/>
          <w:sz w:val="26"/>
          <w:szCs w:val="26"/>
          <w:shd w:val="clear" w:color="auto" w:fill="FFFFFF"/>
        </w:rPr>
        <w:t>defendant</w:t>
      </w:r>
      <w:r w:rsidRPr="00F2469D" w:rsidR="009747F6">
        <w:rPr>
          <w:rFonts w:ascii="Century Schoolbook" w:hAnsi="Century Schoolbook"/>
          <w:color w:val="212121"/>
          <w:sz w:val="26"/>
          <w:szCs w:val="26"/>
          <w:shd w:val="clear" w:color="auto" w:fill="FFFFFF"/>
        </w:rPr>
        <w:t>’</w:t>
      </w:r>
      <w:r w:rsidRPr="00F2469D">
        <w:rPr>
          <w:rFonts w:ascii="Century Schoolbook" w:hAnsi="Century Schoolbook"/>
          <w:color w:val="212121"/>
          <w:sz w:val="26"/>
          <w:szCs w:val="26"/>
          <w:shd w:val="clear" w:color="auto" w:fill="FFFFFF"/>
        </w:rPr>
        <w:t>s right of appeal from an erroneous judgment is unreasonably impaired when he is required to risk his life to invoke that right.  Since the state has no interest in preserving erroneous judgments, it has no interest in foreclosing appeals therefrom by imposing unreasonable conditions on the right to appeal.”  (</w:t>
      </w:r>
      <w:r w:rsidRPr="00F2469D" w:rsidR="00E10FAA">
        <w:rPr>
          <w:rFonts w:ascii="Century Schoolbook" w:hAnsi="Century Schoolbook"/>
          <w:i/>
          <w:iCs/>
          <w:color w:val="212121"/>
          <w:sz w:val="26"/>
          <w:szCs w:val="26"/>
          <w:shd w:val="clear" w:color="auto" w:fill="FFFFFF"/>
        </w:rPr>
        <w:t>Id.</w:t>
      </w:r>
      <w:r w:rsidRPr="00F2469D" w:rsidR="00E10FAA">
        <w:rPr>
          <w:rFonts w:ascii="Century Schoolbook" w:hAnsi="Century Schoolbook"/>
          <w:color w:val="212121"/>
          <w:sz w:val="26"/>
          <w:szCs w:val="26"/>
          <w:shd w:val="clear" w:color="auto" w:fill="FFFFFF"/>
        </w:rPr>
        <w:t xml:space="preserve"> at p. 497.)</w:t>
      </w:r>
    </w:p>
    <w:p w:rsidR="00185780" w:rsidRPr="00AA17BF" w:rsidP="00AA17BF" w14:paraId="304B5A52" w14:textId="2D4C003A">
      <w:pPr>
        <w:pStyle w:val="Text"/>
        <w:rPr>
          <w:color w:val="000000"/>
        </w:rPr>
      </w:pPr>
      <w:r w:rsidRPr="00A02A63">
        <w:rPr>
          <w:shd w:val="clear" w:color="auto" w:fill="FFFFFF"/>
        </w:rPr>
        <w:t xml:space="preserve">Shortly thereafter, </w:t>
      </w:r>
      <w:r w:rsidR="009747F6">
        <w:rPr>
          <w:shd w:val="clear" w:color="auto" w:fill="FFFFFF"/>
        </w:rPr>
        <w:t xml:space="preserve">the Supreme Court reaffirmed </w:t>
      </w:r>
      <w:r w:rsidR="009747F6">
        <w:rPr>
          <w:i/>
          <w:iCs/>
          <w:shd w:val="clear" w:color="auto" w:fill="FFFFFF"/>
        </w:rPr>
        <w:t>Henderson</w:t>
      </w:r>
      <w:r w:rsidR="009747F6">
        <w:rPr>
          <w:shd w:val="clear" w:color="auto" w:fill="FFFFFF"/>
        </w:rPr>
        <w:t xml:space="preserve">’s reasoning in </w:t>
      </w:r>
      <w:r w:rsidR="009747F6">
        <w:rPr>
          <w:i/>
          <w:iCs/>
          <w:shd w:val="clear" w:color="auto" w:fill="FFFFFF"/>
        </w:rPr>
        <w:t>People v. Ali</w:t>
      </w:r>
      <w:r w:rsidR="009747F6">
        <w:rPr>
          <w:shd w:val="clear" w:color="auto" w:fill="FFFFFF"/>
        </w:rPr>
        <w:t xml:space="preserve"> (</w:t>
      </w:r>
      <w:r w:rsidR="00AA17BF">
        <w:rPr>
          <w:shd w:val="clear" w:color="auto" w:fill="FFFFFF"/>
        </w:rPr>
        <w:t>1967</w:t>
      </w:r>
      <w:r w:rsidR="009747F6">
        <w:rPr>
          <w:shd w:val="clear" w:color="auto" w:fill="FFFFFF"/>
        </w:rPr>
        <w:t>) 66 Cal.2d 277 (</w:t>
      </w:r>
      <w:r w:rsidR="009747F6">
        <w:rPr>
          <w:i/>
          <w:iCs/>
          <w:shd w:val="clear" w:color="auto" w:fill="FFFFFF"/>
        </w:rPr>
        <w:t>Ali</w:t>
      </w:r>
      <w:r w:rsidR="009747F6">
        <w:rPr>
          <w:shd w:val="clear" w:color="auto" w:fill="FFFFFF"/>
        </w:rPr>
        <w:t>).  There, the defendant had been sentenced to concurrent terms</w:t>
      </w:r>
      <w:r w:rsidR="00AA17BF">
        <w:rPr>
          <w:shd w:val="clear" w:color="auto" w:fill="FFFFFF"/>
        </w:rPr>
        <w:t xml:space="preserve"> for three credit card offenses but was subsequently retried</w:t>
      </w:r>
      <w:r w:rsidR="009747F6">
        <w:rPr>
          <w:shd w:val="clear" w:color="auto" w:fill="FFFFFF"/>
        </w:rPr>
        <w:t>.  (</w:t>
      </w:r>
      <w:r w:rsidR="009747F6">
        <w:rPr>
          <w:i/>
          <w:iCs/>
          <w:shd w:val="clear" w:color="auto" w:fill="FFFFFF"/>
        </w:rPr>
        <w:t>Id.</w:t>
      </w:r>
      <w:r w:rsidR="009747F6">
        <w:rPr>
          <w:shd w:val="clear" w:color="auto" w:fill="FFFFFF"/>
        </w:rPr>
        <w:t xml:space="preserve"> at pp. </w:t>
      </w:r>
      <w:r w:rsidR="00AA17BF">
        <w:rPr>
          <w:shd w:val="clear" w:color="auto" w:fill="FFFFFF"/>
        </w:rPr>
        <w:t>278,</w:t>
      </w:r>
      <w:r w:rsidR="009747F6">
        <w:rPr>
          <w:shd w:val="clear" w:color="auto" w:fill="FFFFFF"/>
        </w:rPr>
        <w:t xml:space="preserve"> </w:t>
      </w:r>
      <w:r w:rsidR="00AA17BF">
        <w:rPr>
          <w:shd w:val="clear" w:color="auto" w:fill="FFFFFF"/>
        </w:rPr>
        <w:t>281</w:t>
      </w:r>
      <w:r w:rsidR="009747F6">
        <w:rPr>
          <w:shd w:val="clear" w:color="auto" w:fill="FFFFFF"/>
        </w:rPr>
        <w:t>.)  At his second sentencing, he was sentenced to consecutive terms for the same offenses that had previously been ordered to run concurrently.  (</w:t>
      </w:r>
      <w:r w:rsidR="009747F6">
        <w:rPr>
          <w:i/>
          <w:iCs/>
          <w:shd w:val="clear" w:color="auto" w:fill="FFFFFF"/>
        </w:rPr>
        <w:t>Id.</w:t>
      </w:r>
      <w:r w:rsidR="00AA17BF">
        <w:rPr>
          <w:shd w:val="clear" w:color="auto" w:fill="FFFFFF"/>
        </w:rPr>
        <w:t xml:space="preserve"> at pp. 281–282.</w:t>
      </w:r>
      <w:r w:rsidR="009747F6">
        <w:rPr>
          <w:shd w:val="clear" w:color="auto" w:fill="FFFFFF"/>
        </w:rPr>
        <w:t>)</w:t>
      </w:r>
      <w:r w:rsidR="00AA17BF">
        <w:rPr>
          <w:shd w:val="clear" w:color="auto" w:fill="FFFFFF"/>
        </w:rPr>
        <w:t xml:space="preserve">  Applying </w:t>
      </w:r>
      <w:r w:rsidR="00AA17BF">
        <w:rPr>
          <w:i/>
          <w:iCs/>
          <w:shd w:val="clear" w:color="auto" w:fill="FFFFFF"/>
        </w:rPr>
        <w:t>Henderson</w:t>
      </w:r>
      <w:r w:rsidR="00AA17BF">
        <w:rPr>
          <w:shd w:val="clear" w:color="auto" w:fill="FFFFFF"/>
        </w:rPr>
        <w:t>, the Court opined:  “</w:t>
      </w:r>
      <w:r>
        <w:rPr>
          <w:color w:val="000000"/>
        </w:rPr>
        <w:t>Where a defendant has been sentenced to concurrent terms and then upon a retrial is sentenced to consecutive terms for the same offenses, his</w:t>
      </w:r>
      <w:r w:rsidR="00AA17BF">
        <w:rPr>
          <w:color w:val="000000"/>
        </w:rPr>
        <w:t xml:space="preserve"> [or her]</w:t>
      </w:r>
      <w:r>
        <w:rPr>
          <w:color w:val="000000"/>
        </w:rPr>
        <w:t xml:space="preserve"> punishment has been increased by indirect means. </w:t>
      </w:r>
      <w:r w:rsidR="00AA17BF">
        <w:rPr>
          <w:color w:val="000000"/>
        </w:rPr>
        <w:t xml:space="preserve"> </w:t>
      </w:r>
      <w:r>
        <w:rPr>
          <w:color w:val="000000"/>
        </w:rPr>
        <w:t>The reasoning which prevents an increase by direct means would seem to be applicable in such a situation, as a defendant should not be required to risk being given greater punishment on a retrial for the privilege of exercising his</w:t>
      </w:r>
      <w:r w:rsidR="00AA17BF">
        <w:rPr>
          <w:color w:val="000000"/>
        </w:rPr>
        <w:t xml:space="preserve"> [or her]</w:t>
      </w:r>
      <w:r>
        <w:rPr>
          <w:color w:val="000000"/>
        </w:rPr>
        <w:t xml:space="preserve"> right to appeal.</w:t>
      </w:r>
      <w:r w:rsidR="00AA17BF">
        <w:rPr>
          <w:color w:val="000000"/>
        </w:rPr>
        <w:t>”  (</w:t>
      </w:r>
      <w:r w:rsidR="00AA17BF">
        <w:rPr>
          <w:i/>
          <w:iCs/>
          <w:color w:val="000000"/>
        </w:rPr>
        <w:t>Id.</w:t>
      </w:r>
      <w:r w:rsidR="00AA17BF">
        <w:rPr>
          <w:color w:val="000000"/>
        </w:rPr>
        <w:t xml:space="preserve"> at p. 281.)</w:t>
      </w:r>
    </w:p>
    <w:p w:rsidR="005012C5" w:rsidP="005012C5" w14:paraId="3817CBF9" w14:textId="1DDD98C6">
      <w:pPr>
        <w:pStyle w:val="Text"/>
      </w:pPr>
      <w:r>
        <w:t xml:space="preserve">In </w:t>
      </w:r>
      <w:r>
        <w:rPr>
          <w:i/>
          <w:iCs/>
        </w:rPr>
        <w:t xml:space="preserve">People v. Collins </w:t>
      </w:r>
      <w:r>
        <w:t>(1978) 21 Cal.3d 208</w:t>
      </w:r>
      <w:r w:rsidR="00983001">
        <w:t xml:space="preserve"> (</w:t>
      </w:r>
      <w:r w:rsidR="00983001">
        <w:rPr>
          <w:i/>
          <w:iCs/>
        </w:rPr>
        <w:t>Collins</w:t>
      </w:r>
      <w:r w:rsidR="00983001">
        <w:t>)</w:t>
      </w:r>
      <w:r>
        <w:t xml:space="preserve">, the defendant was initially charged with numerous robbery and sexual offenses, but pleaded guilty to one count of oral copulation, after which the remaining counts and various enhancement allegations were dismissed.  The court then suspended criminal proceedings, found the defendant to be a mentally disordered sex offender, and committed him to </w:t>
      </w:r>
      <w:r w:rsidR="001F0CB1">
        <w:t xml:space="preserve">a state hospital </w:t>
      </w:r>
      <w:r>
        <w:t>for an indefinite period.  (</w:t>
      </w:r>
      <w:r>
        <w:rPr>
          <w:i/>
          <w:iCs/>
        </w:rPr>
        <w:t>Id.</w:t>
      </w:r>
      <w:r>
        <w:t xml:space="preserve"> at p. 211.)  While the defendant was institutionalized, former section 288a (the oral copulation statute) was repealed and reenacted in a new section with the same number.</w:t>
      </w:r>
      <w:r w:rsidR="00AD3206">
        <w:t xml:space="preserve">  Thereafter, it was determined that the defendant was no longer a danger to others, and criminal proceedings were reinstated.  Rejecting the defendant’s argument that it had no jurisdiction to sentence him because of the repeal of the underlying statute, the trial court sentenced </w:t>
      </w:r>
      <w:r w:rsidR="00983001">
        <w:t>the defendant</w:t>
      </w:r>
      <w:r w:rsidR="00AD3206">
        <w:t xml:space="preserve"> to state prison for one to 15 years, with credit for the </w:t>
      </w:r>
      <w:r w:rsidR="001F0CB1">
        <w:t>time</w:t>
      </w:r>
      <w:r w:rsidR="00AD3206">
        <w:t xml:space="preserve"> he </w:t>
      </w:r>
      <w:r w:rsidR="001F0CB1">
        <w:t xml:space="preserve">had </w:t>
      </w:r>
      <w:r w:rsidR="00AD3206">
        <w:t xml:space="preserve">served at </w:t>
      </w:r>
      <w:r w:rsidR="001F0CB1">
        <w:t>the state hospital</w:t>
      </w:r>
      <w:r w:rsidR="00AD3206">
        <w:t>.  (</w:t>
      </w:r>
      <w:r w:rsidR="00AD3206">
        <w:rPr>
          <w:i/>
          <w:iCs/>
        </w:rPr>
        <w:t>Id.</w:t>
      </w:r>
      <w:r w:rsidR="00AD3206">
        <w:t xml:space="preserve"> a</w:t>
      </w:r>
      <w:r w:rsidR="007A448D">
        <w:t>t</w:t>
      </w:r>
      <w:r w:rsidR="00AD3206">
        <w:t xml:space="preserve"> pp. 211–212.) </w:t>
      </w:r>
      <w:r>
        <w:t xml:space="preserve">     </w:t>
      </w:r>
    </w:p>
    <w:p w:rsidR="00DE2023" w:rsidRPr="00DE2023" w:rsidP="00DE2023" w14:paraId="1C1E3E15" w14:textId="64E0D03E">
      <w:pPr>
        <w:pStyle w:val="NormalWeb"/>
        <w:shd w:val="clear" w:color="auto" w:fill="FFFFFF"/>
        <w:spacing w:before="0" w:beforeAutospacing="0" w:after="0" w:afterAutospacing="0" w:line="360" w:lineRule="auto"/>
        <w:textAlignment w:val="baseline"/>
        <w:rPr>
          <w:rFonts w:ascii="Century Schoolbook" w:hAnsi="Century Schoolbook"/>
          <w:color w:val="212121"/>
          <w:sz w:val="26"/>
          <w:szCs w:val="26"/>
          <w:shd w:val="clear" w:color="auto" w:fill="FFFFFF"/>
        </w:rPr>
      </w:pPr>
      <w:r>
        <w:rPr>
          <w:rStyle w:val="ssrfcpassagedeactivated"/>
          <w:color w:val="000000"/>
          <w:bdr w:val="none" w:sz="0" w:space="0" w:color="auto" w:frame="1"/>
        </w:rPr>
        <w:tab/>
      </w:r>
      <w:r w:rsidRPr="00983001">
        <w:rPr>
          <w:rStyle w:val="ssrfcpassagedeactivated"/>
          <w:rFonts w:ascii="Century Schoolbook" w:hAnsi="Century Schoolbook"/>
          <w:color w:val="000000"/>
          <w:sz w:val="26"/>
          <w:szCs w:val="26"/>
          <w:bdr w:val="none" w:sz="0" w:space="0" w:color="auto" w:frame="1"/>
        </w:rPr>
        <w:t>The Supreme Court reversed the conviction,</w:t>
      </w:r>
      <w:r w:rsidRPr="00983001" w:rsidR="00983001">
        <w:rPr>
          <w:rStyle w:val="ssrfcpassagedeactivated"/>
          <w:rFonts w:ascii="Century Schoolbook" w:hAnsi="Century Schoolbook"/>
          <w:color w:val="000000"/>
          <w:sz w:val="26"/>
          <w:szCs w:val="26"/>
          <w:bdr w:val="none" w:sz="0" w:space="0" w:color="auto" w:frame="1"/>
        </w:rPr>
        <w:t xml:space="preserve"> concluding that the trial court </w:t>
      </w:r>
      <w:r w:rsidRPr="00202002">
        <w:rPr>
          <w:rFonts w:ascii="Century Schoolbook" w:hAnsi="Century Schoolbook"/>
          <w:color w:val="212121"/>
          <w:sz w:val="26"/>
          <w:szCs w:val="26"/>
        </w:rPr>
        <w:t xml:space="preserve">erred in imposing sentence because the conduct which </w:t>
      </w:r>
      <w:r w:rsidRPr="00983001" w:rsidR="00983001">
        <w:rPr>
          <w:rFonts w:ascii="Century Schoolbook" w:hAnsi="Century Schoolbook"/>
          <w:color w:val="212121"/>
          <w:sz w:val="26"/>
          <w:szCs w:val="26"/>
        </w:rPr>
        <w:t>the defend</w:t>
      </w:r>
      <w:r w:rsidR="00983001">
        <w:rPr>
          <w:rFonts w:ascii="Century Schoolbook" w:hAnsi="Century Schoolbook"/>
          <w:color w:val="212121"/>
          <w:sz w:val="26"/>
          <w:szCs w:val="26"/>
        </w:rPr>
        <w:t>a</w:t>
      </w:r>
      <w:r w:rsidRPr="00983001" w:rsidR="00983001">
        <w:rPr>
          <w:rFonts w:ascii="Century Schoolbook" w:hAnsi="Century Schoolbook"/>
          <w:color w:val="212121"/>
          <w:sz w:val="26"/>
          <w:szCs w:val="26"/>
        </w:rPr>
        <w:t>nt</w:t>
      </w:r>
      <w:r w:rsidRPr="00202002">
        <w:rPr>
          <w:rFonts w:ascii="Century Schoolbook" w:hAnsi="Century Schoolbook"/>
          <w:color w:val="212121"/>
          <w:sz w:val="26"/>
          <w:szCs w:val="26"/>
        </w:rPr>
        <w:t xml:space="preserve"> admitted in pleading guilty was no longer punishable at the time of sentencing.</w:t>
      </w:r>
      <w:r w:rsidRPr="001045FF" w:rsidR="00983001">
        <w:rPr>
          <w:rFonts w:ascii="Century Schoolbook" w:hAnsi="Century Schoolbook"/>
          <w:color w:val="212121"/>
          <w:sz w:val="26"/>
          <w:szCs w:val="26"/>
        </w:rPr>
        <w:t xml:space="preserve">  (</w:t>
      </w:r>
      <w:r w:rsidRPr="001045FF" w:rsidR="00983001">
        <w:rPr>
          <w:rFonts w:ascii="Century Schoolbook" w:hAnsi="Century Schoolbook"/>
          <w:i/>
          <w:iCs/>
          <w:color w:val="212121"/>
          <w:sz w:val="26"/>
          <w:szCs w:val="26"/>
        </w:rPr>
        <w:t>Collins</w:t>
      </w:r>
      <w:r w:rsidRPr="001045FF" w:rsidR="00983001">
        <w:rPr>
          <w:rFonts w:ascii="Century Schoolbook" w:hAnsi="Century Schoolbook"/>
          <w:color w:val="212121"/>
          <w:sz w:val="26"/>
          <w:szCs w:val="26"/>
        </w:rPr>
        <w:t xml:space="preserve">, </w:t>
      </w:r>
      <w:r w:rsidRPr="001045FF" w:rsidR="00983001">
        <w:rPr>
          <w:rFonts w:ascii="Century Schoolbook" w:hAnsi="Century Schoolbook"/>
          <w:i/>
          <w:iCs/>
          <w:color w:val="212121"/>
          <w:sz w:val="26"/>
          <w:szCs w:val="26"/>
        </w:rPr>
        <w:t>supra</w:t>
      </w:r>
      <w:r w:rsidRPr="001045FF" w:rsidR="00983001">
        <w:rPr>
          <w:rFonts w:ascii="Century Schoolbook" w:hAnsi="Century Schoolbook"/>
          <w:color w:val="212121"/>
          <w:sz w:val="26"/>
          <w:szCs w:val="26"/>
        </w:rPr>
        <w:t xml:space="preserve">, 21 Cal.3d at p. 212.)  </w:t>
      </w:r>
      <w:r w:rsidR="00712C07">
        <w:rPr>
          <w:rFonts w:ascii="Century Schoolbook" w:hAnsi="Century Schoolbook"/>
          <w:color w:val="212121"/>
          <w:sz w:val="26"/>
          <w:szCs w:val="26"/>
        </w:rPr>
        <w:t>It</w:t>
      </w:r>
      <w:r w:rsidRPr="001045FF" w:rsidR="00983001">
        <w:rPr>
          <w:rFonts w:ascii="Century Schoolbook" w:hAnsi="Century Schoolbook"/>
          <w:color w:val="212121"/>
          <w:sz w:val="26"/>
          <w:szCs w:val="26"/>
        </w:rPr>
        <w:t xml:space="preserve"> then considered the effect of its reversal on the dismissed counts.  (</w:t>
      </w:r>
      <w:r w:rsidRPr="001045FF" w:rsidR="00983001">
        <w:rPr>
          <w:rFonts w:ascii="Century Schoolbook" w:hAnsi="Century Schoolbook"/>
          <w:i/>
          <w:iCs/>
          <w:color w:val="212121"/>
          <w:sz w:val="26"/>
          <w:szCs w:val="26"/>
        </w:rPr>
        <w:t>Id.</w:t>
      </w:r>
      <w:r w:rsidRPr="001045FF" w:rsidR="00983001">
        <w:rPr>
          <w:rFonts w:ascii="Century Schoolbook" w:hAnsi="Century Schoolbook"/>
          <w:color w:val="212121"/>
          <w:sz w:val="26"/>
          <w:szCs w:val="26"/>
        </w:rPr>
        <w:t xml:space="preserve"> at p. 214.)  Noting that “[c]</w:t>
      </w:r>
      <w:r w:rsidRPr="001045FF" w:rsidR="00983001">
        <w:rPr>
          <w:rFonts w:ascii="Century Schoolbook" w:hAnsi="Century Schoolbook"/>
          <w:color w:val="212121"/>
          <w:sz w:val="26"/>
          <w:szCs w:val="26"/>
          <w:shd w:val="clear" w:color="auto" w:fill="FFFFFF"/>
        </w:rPr>
        <w:t>ritical to plea bargaining is the concept of reciprocal benefits</w:t>
      </w:r>
      <w:r w:rsidR="001045FF">
        <w:rPr>
          <w:rFonts w:ascii="Century Schoolbook" w:hAnsi="Century Schoolbook"/>
          <w:color w:val="212121"/>
          <w:sz w:val="26"/>
          <w:szCs w:val="26"/>
          <w:shd w:val="clear" w:color="auto" w:fill="FFFFFF"/>
        </w:rPr>
        <w:t>,</w:t>
      </w:r>
      <w:r w:rsidRPr="001045FF" w:rsidR="00983001">
        <w:rPr>
          <w:rFonts w:ascii="Century Schoolbook" w:hAnsi="Century Schoolbook"/>
          <w:color w:val="212121"/>
          <w:sz w:val="26"/>
          <w:szCs w:val="26"/>
          <w:shd w:val="clear" w:color="auto" w:fill="FFFFFF"/>
        </w:rPr>
        <w:t xml:space="preserve">” </w:t>
      </w:r>
      <w:r w:rsidR="001045FF">
        <w:rPr>
          <w:rFonts w:ascii="Century Schoolbook" w:hAnsi="Century Schoolbook"/>
          <w:color w:val="212121"/>
          <w:sz w:val="26"/>
          <w:szCs w:val="26"/>
          <w:shd w:val="clear" w:color="auto" w:fill="FFFFFF"/>
        </w:rPr>
        <w:t>t</w:t>
      </w:r>
      <w:r w:rsidRPr="001045FF" w:rsidR="001045FF">
        <w:rPr>
          <w:rFonts w:ascii="Century Schoolbook" w:hAnsi="Century Schoolbook"/>
          <w:color w:val="212121"/>
          <w:sz w:val="26"/>
          <w:szCs w:val="26"/>
          <w:shd w:val="clear" w:color="auto" w:fill="FFFFFF"/>
        </w:rPr>
        <w:t>he Court concluded</w:t>
      </w:r>
      <w:r w:rsidR="001045FF">
        <w:rPr>
          <w:rFonts w:ascii="Century Schoolbook" w:hAnsi="Century Schoolbook"/>
          <w:color w:val="212121"/>
          <w:sz w:val="26"/>
          <w:szCs w:val="26"/>
          <w:shd w:val="clear" w:color="auto" w:fill="FFFFFF"/>
        </w:rPr>
        <w:t xml:space="preserve"> that, in order for the prosecution to get the benefit of its bargain, the dismissed counts must be restored.  However, </w:t>
      </w:r>
      <w:r w:rsidR="00EE7F18">
        <w:rPr>
          <w:rFonts w:ascii="Century Schoolbook" w:hAnsi="Century Schoolbook"/>
          <w:color w:val="212121"/>
          <w:sz w:val="26"/>
          <w:szCs w:val="26"/>
          <w:shd w:val="clear" w:color="auto" w:fill="FFFFFF"/>
        </w:rPr>
        <w:t xml:space="preserve">since the defendant had not </w:t>
      </w:r>
      <w:r w:rsidRPr="00182619" w:rsidR="00EE7F18">
        <w:rPr>
          <w:rFonts w:ascii="Century Schoolbook" w:hAnsi="Century Schoolbook"/>
          <w:color w:val="212121"/>
          <w:sz w:val="26"/>
          <w:szCs w:val="26"/>
          <w:shd w:val="clear" w:color="auto" w:fill="FFFFFF"/>
        </w:rPr>
        <w:t>repudiated the plea bargain by attacking his guilty plea, he was also entitled to the benefit of his bargain.</w:t>
      </w:r>
      <w:r>
        <w:rPr>
          <w:rFonts w:ascii="Century Schoolbook" w:hAnsi="Century Schoolbook"/>
          <w:color w:val="212121"/>
          <w:sz w:val="26"/>
          <w:szCs w:val="26"/>
          <w:shd w:val="clear" w:color="auto" w:fill="FFFFFF"/>
        </w:rPr>
        <w:t xml:space="preserve">  (</w:t>
      </w:r>
      <w:r w:rsidR="00712C07">
        <w:rPr>
          <w:rFonts w:ascii="Century Schoolbook" w:hAnsi="Century Schoolbook"/>
          <w:i/>
          <w:iCs/>
          <w:color w:val="212121"/>
          <w:sz w:val="26"/>
          <w:szCs w:val="26"/>
          <w:shd w:val="clear" w:color="auto" w:fill="FFFFFF"/>
        </w:rPr>
        <w:t>Id.</w:t>
      </w:r>
      <w:r w:rsidR="00712C07">
        <w:rPr>
          <w:rFonts w:ascii="Century Schoolbook" w:hAnsi="Century Schoolbook"/>
          <w:color w:val="212121"/>
          <w:sz w:val="26"/>
          <w:szCs w:val="26"/>
          <w:shd w:val="clear" w:color="auto" w:fill="FFFFFF"/>
        </w:rPr>
        <w:t xml:space="preserve"> at pp. 214–216.)</w:t>
      </w:r>
      <w:r>
        <w:rPr>
          <w:rFonts w:ascii="Century Schoolbook" w:hAnsi="Century Schoolbook"/>
          <w:color w:val="212121"/>
          <w:sz w:val="26"/>
          <w:szCs w:val="26"/>
          <w:shd w:val="clear" w:color="auto" w:fill="FFFFFF"/>
        </w:rPr>
        <w:t xml:space="preserve">  To craft an appropriate remedy, t</w:t>
      </w:r>
      <w:r w:rsidRPr="00182619" w:rsidR="00182619">
        <w:rPr>
          <w:rFonts w:ascii="Century Schoolbook" w:hAnsi="Century Schoolbook"/>
          <w:color w:val="212121"/>
          <w:sz w:val="26"/>
          <w:szCs w:val="26"/>
          <w:shd w:val="clear" w:color="auto" w:fill="FFFFFF"/>
        </w:rPr>
        <w:t>he Court t</w:t>
      </w:r>
      <w:r w:rsidR="00182619">
        <w:rPr>
          <w:rFonts w:ascii="Century Schoolbook" w:hAnsi="Century Schoolbook"/>
          <w:color w:val="212121"/>
          <w:sz w:val="26"/>
          <w:szCs w:val="26"/>
          <w:shd w:val="clear" w:color="auto" w:fill="FFFFFF"/>
        </w:rPr>
        <w:t>urned to</w:t>
      </w:r>
      <w:r w:rsidRPr="00182619" w:rsidR="00182619">
        <w:rPr>
          <w:rFonts w:ascii="Century Schoolbook" w:hAnsi="Century Schoolbook"/>
          <w:color w:val="212121"/>
          <w:sz w:val="26"/>
          <w:szCs w:val="26"/>
          <w:shd w:val="clear" w:color="auto" w:fill="FFFFFF"/>
        </w:rPr>
        <w:t xml:space="preserve"> “a line of cases based on principles of double jeopardy” in which its concerns were </w:t>
      </w:r>
      <w:r w:rsidR="00182619">
        <w:rPr>
          <w:rFonts w:ascii="Century Schoolbook" w:hAnsi="Century Schoolbook" w:eastAsiaTheme="minorHAnsi"/>
          <w:color w:val="212121"/>
          <w:sz w:val="26"/>
          <w:szCs w:val="26"/>
          <w:shd w:val="clear" w:color="auto" w:fill="FFFFFF"/>
        </w:rPr>
        <w:t>“</w:t>
      </w:r>
      <w:r w:rsidRPr="00182619" w:rsidR="00182619">
        <w:rPr>
          <w:rFonts w:ascii="Century Schoolbook" w:hAnsi="Century Schoolbook" w:eastAsiaTheme="minorHAnsi"/>
          <w:color w:val="212121"/>
          <w:sz w:val="26"/>
          <w:szCs w:val="26"/>
          <w:shd w:val="clear" w:color="auto" w:fill="FFFFFF"/>
        </w:rPr>
        <w:t xml:space="preserve">specifically to preclude vindictiveness and more generally to avoid penalizing a defendant for pursuing a successful appeal.”  </w:t>
      </w:r>
      <w:r w:rsidRPr="00182619" w:rsidR="00182619">
        <w:rPr>
          <w:rFonts w:ascii="Century Schoolbook" w:hAnsi="Century Schoolbook"/>
          <w:color w:val="212121"/>
          <w:sz w:val="26"/>
          <w:szCs w:val="26"/>
        </w:rPr>
        <w:t>(</w:t>
      </w:r>
      <w:r w:rsidR="00712C07">
        <w:rPr>
          <w:rFonts w:ascii="Century Schoolbook" w:hAnsi="Century Schoolbook"/>
          <w:i/>
          <w:iCs/>
          <w:color w:val="212121"/>
          <w:sz w:val="26"/>
          <w:szCs w:val="26"/>
        </w:rPr>
        <w:t>Ibid</w:t>
      </w:r>
      <w:r w:rsidRPr="00DE2023" w:rsidR="00182619">
        <w:rPr>
          <w:rFonts w:ascii="Century Schoolbook" w:hAnsi="Century Schoolbook"/>
          <w:color w:val="212121"/>
          <w:sz w:val="26"/>
          <w:szCs w:val="26"/>
        </w:rPr>
        <w:t xml:space="preserve">.)  Citing </w:t>
      </w:r>
      <w:r w:rsidRPr="00DE2023" w:rsidR="00182619">
        <w:rPr>
          <w:rFonts w:ascii="Century Schoolbook" w:hAnsi="Century Schoolbook"/>
          <w:i/>
          <w:iCs/>
          <w:color w:val="212121"/>
          <w:sz w:val="26"/>
          <w:szCs w:val="26"/>
        </w:rPr>
        <w:t>Henderson</w:t>
      </w:r>
      <w:r w:rsidRPr="00DE2023" w:rsidR="00182619">
        <w:rPr>
          <w:rFonts w:ascii="Century Schoolbook" w:hAnsi="Century Schoolbook"/>
          <w:color w:val="212121"/>
          <w:sz w:val="26"/>
          <w:szCs w:val="26"/>
        </w:rPr>
        <w:t xml:space="preserve"> for the “long recognized” principal that “</w:t>
      </w:r>
      <w:r w:rsidRPr="00DE2023" w:rsidR="00182619">
        <w:rPr>
          <w:rFonts w:ascii="Century Schoolbook" w:hAnsi="Century Schoolbook"/>
          <w:color w:val="212121"/>
          <w:sz w:val="26"/>
          <w:szCs w:val="26"/>
          <w:shd w:val="clear" w:color="auto" w:fill="FFFFFF"/>
        </w:rPr>
        <w:t xml:space="preserve">the state has no interest in preserving erroneous judgments,” the Supreme Court </w:t>
      </w:r>
      <w:r w:rsidRPr="00DE2023">
        <w:rPr>
          <w:rFonts w:ascii="Century Schoolbook" w:hAnsi="Century Schoolbook"/>
          <w:color w:val="212121"/>
          <w:sz w:val="26"/>
          <w:szCs w:val="26"/>
          <w:shd w:val="clear" w:color="auto" w:fill="FFFFFF"/>
        </w:rPr>
        <w:t xml:space="preserve">concluded that the rights of the prosecution and the defendant could best be protected </w:t>
      </w:r>
      <w:r w:rsidRPr="00EE7F18" w:rsidR="00EE7F18">
        <w:rPr>
          <w:rFonts w:ascii="Century Schoolbook" w:hAnsi="Century Schoolbook"/>
          <w:color w:val="212121"/>
          <w:sz w:val="26"/>
          <w:szCs w:val="26"/>
        </w:rPr>
        <w:t>by permitting the state to revive one or more of the dismissed counts</w:t>
      </w:r>
      <w:r>
        <w:rPr>
          <w:rFonts w:ascii="Century Schoolbook" w:hAnsi="Century Schoolbook"/>
          <w:color w:val="212121"/>
          <w:sz w:val="26"/>
          <w:szCs w:val="26"/>
        </w:rPr>
        <w:t xml:space="preserve"> </w:t>
      </w:r>
      <w:r w:rsidRPr="00EE7F18" w:rsidR="00EE7F18">
        <w:rPr>
          <w:rFonts w:ascii="Century Schoolbook" w:hAnsi="Century Schoolbook"/>
          <w:color w:val="212121"/>
          <w:sz w:val="26"/>
          <w:szCs w:val="26"/>
        </w:rPr>
        <w:t xml:space="preserve">but limiting </w:t>
      </w:r>
      <w:r w:rsidRPr="00DE2023">
        <w:rPr>
          <w:rFonts w:ascii="Century Schoolbook" w:hAnsi="Century Schoolbook"/>
          <w:color w:val="212121"/>
          <w:sz w:val="26"/>
          <w:szCs w:val="26"/>
        </w:rPr>
        <w:t xml:space="preserve">the </w:t>
      </w:r>
      <w:r w:rsidRPr="00EE7F18" w:rsidR="00EE7F18">
        <w:rPr>
          <w:rFonts w:ascii="Century Schoolbook" w:hAnsi="Century Schoolbook"/>
          <w:color w:val="212121"/>
          <w:sz w:val="26"/>
          <w:szCs w:val="26"/>
        </w:rPr>
        <w:t>defendant</w:t>
      </w:r>
      <w:r>
        <w:rPr>
          <w:rFonts w:ascii="Century Schoolbook" w:hAnsi="Century Schoolbook"/>
          <w:color w:val="212121"/>
          <w:sz w:val="26"/>
          <w:szCs w:val="26"/>
        </w:rPr>
        <w:t>’</w:t>
      </w:r>
      <w:r w:rsidRPr="00EE7F18" w:rsidR="00EE7F18">
        <w:rPr>
          <w:rFonts w:ascii="Century Schoolbook" w:hAnsi="Century Schoolbook"/>
          <w:color w:val="212121"/>
          <w:sz w:val="26"/>
          <w:szCs w:val="26"/>
        </w:rPr>
        <w:t xml:space="preserve">s potential sentence to not more than three years in state prison, the </w:t>
      </w:r>
      <w:r w:rsidRPr="00DE2023">
        <w:rPr>
          <w:rFonts w:ascii="Century Schoolbook" w:hAnsi="Century Schoolbook"/>
          <w:color w:val="212121"/>
          <w:sz w:val="26"/>
          <w:szCs w:val="26"/>
        </w:rPr>
        <w:t xml:space="preserve">comparable </w:t>
      </w:r>
      <w:r w:rsidRPr="00EE7F18" w:rsidR="00EE7F18">
        <w:rPr>
          <w:rFonts w:ascii="Century Schoolbook" w:hAnsi="Century Schoolbook"/>
          <w:color w:val="212121"/>
          <w:sz w:val="26"/>
          <w:szCs w:val="26"/>
        </w:rPr>
        <w:t xml:space="preserve">term of punishment </w:t>
      </w:r>
      <w:r w:rsidRPr="00DE2023">
        <w:rPr>
          <w:rFonts w:ascii="Century Schoolbook" w:hAnsi="Century Schoolbook"/>
          <w:color w:val="212121"/>
          <w:sz w:val="26"/>
          <w:szCs w:val="26"/>
        </w:rPr>
        <w:t>that had been set by the determinate sentencing law</w:t>
      </w:r>
      <w:r w:rsidR="00DC5F4F">
        <w:rPr>
          <w:rFonts w:ascii="Century Schoolbook" w:hAnsi="Century Schoolbook"/>
          <w:color w:val="212121"/>
          <w:sz w:val="26"/>
          <w:szCs w:val="26"/>
        </w:rPr>
        <w:t xml:space="preserve"> (D</w:t>
      </w:r>
      <w:r w:rsidR="00C74B3B">
        <w:rPr>
          <w:rFonts w:ascii="Century Schoolbook" w:hAnsi="Century Schoolbook"/>
          <w:color w:val="212121"/>
          <w:sz w:val="26"/>
          <w:szCs w:val="26"/>
        </w:rPr>
        <w:t>S</w:t>
      </w:r>
      <w:r w:rsidR="00DC5F4F">
        <w:rPr>
          <w:rFonts w:ascii="Century Schoolbook" w:hAnsi="Century Schoolbook"/>
          <w:color w:val="212121"/>
          <w:sz w:val="26"/>
          <w:szCs w:val="26"/>
        </w:rPr>
        <w:t>L)</w:t>
      </w:r>
      <w:r w:rsidRPr="00DE2023">
        <w:rPr>
          <w:rFonts w:ascii="Century Schoolbook" w:hAnsi="Century Schoolbook"/>
          <w:color w:val="212121"/>
          <w:sz w:val="26"/>
          <w:szCs w:val="26"/>
        </w:rPr>
        <w:t>.  (</w:t>
      </w:r>
      <w:r w:rsidRPr="00DE2023">
        <w:rPr>
          <w:rFonts w:ascii="Century Schoolbook" w:hAnsi="Century Schoolbook"/>
          <w:i/>
          <w:iCs/>
          <w:color w:val="212121"/>
          <w:sz w:val="26"/>
          <w:szCs w:val="26"/>
        </w:rPr>
        <w:t>Collins</w:t>
      </w:r>
      <w:r w:rsidRPr="00DE2023">
        <w:rPr>
          <w:rFonts w:ascii="Century Schoolbook" w:hAnsi="Century Schoolbook"/>
          <w:color w:val="212121"/>
          <w:sz w:val="26"/>
          <w:szCs w:val="26"/>
        </w:rPr>
        <w:t xml:space="preserve">, at p. 216.) </w:t>
      </w:r>
    </w:p>
    <w:p w:rsidR="00C16884" w:rsidP="00C16884" w14:paraId="4D93D0D6" w14:textId="4720CB7A">
      <w:pPr>
        <w:pStyle w:val="Text"/>
        <w:ind w:firstLine="0"/>
        <w:rPr>
          <w:color w:val="000000"/>
        </w:rPr>
      </w:pPr>
      <w:r>
        <w:rPr>
          <w:color w:val="212121"/>
          <w:shd w:val="clear" w:color="auto" w:fill="FFFFFF"/>
        </w:rPr>
        <w:tab/>
      </w:r>
      <w:r w:rsidRPr="00DE2023">
        <w:rPr>
          <w:rStyle w:val="ssrfcpassagedeactivated"/>
          <w:color w:val="000000"/>
          <w:bdr w:val="none" w:sz="0" w:space="0" w:color="auto" w:frame="1"/>
        </w:rPr>
        <w:t xml:space="preserve">In </w:t>
      </w:r>
      <w:r w:rsidRPr="00DE2023">
        <w:rPr>
          <w:rStyle w:val="ssrfcpassagedeactivated"/>
          <w:i/>
          <w:iCs/>
          <w:color w:val="000000"/>
          <w:bdr w:val="none" w:sz="0" w:space="0" w:color="auto" w:frame="1"/>
        </w:rPr>
        <w:t>People v. Hanson</w:t>
      </w:r>
      <w:r w:rsidRPr="00DE2023">
        <w:rPr>
          <w:rStyle w:val="ssrfcpassagedeactivated"/>
          <w:color w:val="000000"/>
          <w:bdr w:val="none" w:sz="0" w:space="0" w:color="auto" w:frame="1"/>
        </w:rPr>
        <w:t xml:space="preserve"> (2000) </w:t>
      </w:r>
      <w:r>
        <w:rPr>
          <w:rStyle w:val="ssrfcpassagedeactivated"/>
          <w:color w:val="000000"/>
          <w:bdr w:val="none" w:sz="0" w:space="0" w:color="auto" w:frame="1"/>
        </w:rPr>
        <w:t>23 Cal.4th 355 (</w:t>
      </w:r>
      <w:r>
        <w:rPr>
          <w:rStyle w:val="ssrfcpassagedeactivated"/>
          <w:i/>
          <w:iCs/>
          <w:color w:val="000000"/>
          <w:bdr w:val="none" w:sz="0" w:space="0" w:color="auto" w:frame="1"/>
        </w:rPr>
        <w:t>Hanson</w:t>
      </w:r>
      <w:r>
        <w:rPr>
          <w:rStyle w:val="ssrfcpassagedeactivated"/>
          <w:color w:val="000000"/>
          <w:bdr w:val="none" w:sz="0" w:space="0" w:color="auto" w:frame="1"/>
        </w:rPr>
        <w:t xml:space="preserve">), the Supreme Court considered whether the double jeopardy principles set forth in </w:t>
      </w:r>
      <w:r>
        <w:rPr>
          <w:rStyle w:val="ssrfcpassagedeactivated"/>
          <w:i/>
          <w:iCs/>
          <w:color w:val="000000"/>
          <w:bdr w:val="none" w:sz="0" w:space="0" w:color="auto" w:frame="1"/>
        </w:rPr>
        <w:t xml:space="preserve">Henderson </w:t>
      </w:r>
      <w:r>
        <w:rPr>
          <w:rStyle w:val="ssrfcpassagedeactivated"/>
          <w:color w:val="000000"/>
          <w:bdr w:val="none" w:sz="0" w:space="0" w:color="auto" w:frame="1"/>
        </w:rPr>
        <w:t xml:space="preserve">and its </w:t>
      </w:r>
      <w:r w:rsidRPr="00867E82">
        <w:rPr>
          <w:rStyle w:val="ssrfcpassagedeactivated"/>
          <w:color w:val="000000"/>
          <w:bdr w:val="none" w:sz="0" w:space="0" w:color="auto" w:frame="1"/>
        </w:rPr>
        <w:t>progeny should apply to an increase in a defendant’s restitution fine upon resentencing.  (</w:t>
      </w:r>
      <w:r w:rsidRPr="00867E82">
        <w:rPr>
          <w:rStyle w:val="ssrfcpassagedeactivated"/>
          <w:i/>
          <w:iCs/>
          <w:color w:val="000000"/>
          <w:bdr w:val="none" w:sz="0" w:space="0" w:color="auto" w:frame="1"/>
        </w:rPr>
        <w:t>Hanson</w:t>
      </w:r>
      <w:r w:rsidRPr="00867E82" w:rsidR="00712C07">
        <w:rPr>
          <w:rStyle w:val="ssrfcpassagedeactivated"/>
          <w:color w:val="000000"/>
          <w:bdr w:val="none" w:sz="0" w:space="0" w:color="auto" w:frame="1"/>
        </w:rPr>
        <w:t xml:space="preserve">, at p. </w:t>
      </w:r>
      <w:r w:rsidRPr="00867E82" w:rsidR="00867E82">
        <w:rPr>
          <w:rStyle w:val="ssrfcpassagedeactivated"/>
          <w:color w:val="000000"/>
          <w:bdr w:val="none" w:sz="0" w:space="0" w:color="auto" w:frame="1"/>
        </w:rPr>
        <w:t>357.</w:t>
      </w:r>
      <w:r w:rsidRPr="00867E82">
        <w:rPr>
          <w:rStyle w:val="ssrfcpassagedeactivated"/>
          <w:color w:val="000000"/>
          <w:bdr w:val="none" w:sz="0" w:space="0" w:color="auto" w:frame="1"/>
        </w:rPr>
        <w:t>)</w:t>
      </w:r>
      <w:r w:rsidRPr="00867E82" w:rsidR="00867E82">
        <w:rPr>
          <w:rStyle w:val="ssrfcpassagedeactivated"/>
          <w:color w:val="000000"/>
          <w:bdr w:val="none" w:sz="0" w:space="0" w:color="auto" w:frame="1"/>
        </w:rPr>
        <w:t xml:space="preserve">  The Court concluded that such fines constitute punishment and could find “no principled basis for excluding </w:t>
      </w:r>
      <w:r w:rsidRPr="009D26EC" w:rsidR="00867E82">
        <w:rPr>
          <w:rStyle w:val="ssrfcpassagedeactivated"/>
          <w:color w:val="000000"/>
          <w:bdr w:val="none" w:sz="0" w:space="0" w:color="auto" w:frame="1"/>
        </w:rPr>
        <w:t>them from the rationale of</w:t>
      </w:r>
      <w:r w:rsidR="00C74B3B">
        <w:rPr>
          <w:rStyle w:val="ssrfcpassagedeactivated"/>
          <w:color w:val="000000"/>
          <w:bdr w:val="none" w:sz="0" w:space="0" w:color="auto" w:frame="1"/>
        </w:rPr>
        <w:t xml:space="preserve"> </w:t>
      </w:r>
      <w:r w:rsidRPr="009D26EC" w:rsidR="00867E82">
        <w:rPr>
          <w:rStyle w:val="ssit"/>
          <w:i/>
          <w:iCs/>
          <w:color w:val="000000"/>
          <w:bdr w:val="none" w:sz="0" w:space="0" w:color="auto" w:frame="1"/>
        </w:rPr>
        <w:t>Henderson</w:t>
      </w:r>
      <w:r w:rsidRPr="009D26EC" w:rsidR="00867E82">
        <w:rPr>
          <w:rStyle w:val="ssrfcpassagedeactivated"/>
          <w:color w:val="000000"/>
          <w:bdr w:val="none" w:sz="0" w:space="0" w:color="auto" w:frame="1"/>
        </w:rPr>
        <w:t>.”  (</w:t>
      </w:r>
      <w:r w:rsidRPr="009D26EC" w:rsidR="00867E82">
        <w:rPr>
          <w:rStyle w:val="ssrfcpassagedeactivated"/>
          <w:i/>
          <w:iCs/>
          <w:color w:val="000000"/>
          <w:bdr w:val="none" w:sz="0" w:space="0" w:color="auto" w:frame="1"/>
        </w:rPr>
        <w:t>Hanson</w:t>
      </w:r>
      <w:r w:rsidRPr="009D26EC" w:rsidR="00867E82">
        <w:rPr>
          <w:rStyle w:val="ssrfcpassagedeactivated"/>
          <w:color w:val="000000"/>
          <w:bdr w:val="none" w:sz="0" w:space="0" w:color="auto" w:frame="1"/>
        </w:rPr>
        <w:t xml:space="preserve">, at p. 357.)  In making this determination, the Court expressly rejected the appellate court’s conclusion that </w:t>
      </w:r>
      <w:r w:rsidRPr="009D26EC" w:rsidR="009D26EC">
        <w:rPr>
          <w:rStyle w:val="ssrfcpassagedeactivated"/>
          <w:color w:val="000000"/>
          <w:bdr w:val="none" w:sz="0" w:space="0" w:color="auto" w:frame="1"/>
        </w:rPr>
        <w:t>it could find no cogent reason</w:t>
      </w:r>
      <w:r w:rsidR="009D26EC">
        <w:rPr>
          <w:rStyle w:val="ssrfcpassagedeactivated"/>
          <w:color w:val="000000"/>
          <w:bdr w:val="none" w:sz="0" w:space="0" w:color="auto" w:frame="1"/>
        </w:rPr>
        <w:t>s</w:t>
      </w:r>
      <w:r w:rsidRPr="009D26EC" w:rsidR="009D26EC">
        <w:rPr>
          <w:rStyle w:val="ssrfcpassagedeactivated"/>
          <w:color w:val="000000"/>
          <w:bdr w:val="none" w:sz="0" w:space="0" w:color="auto" w:frame="1"/>
        </w:rPr>
        <w:t xml:space="preserve"> </w:t>
      </w:r>
      <w:r w:rsidR="00746B9D">
        <w:rPr>
          <w:rStyle w:val="ssrfcpassagedeactivated"/>
          <w:color w:val="000000"/>
          <w:bdr w:val="none" w:sz="0" w:space="0" w:color="auto" w:frame="1"/>
        </w:rPr>
        <w:t xml:space="preserve">in this context </w:t>
      </w:r>
      <w:r w:rsidRPr="009D26EC" w:rsidR="009D26EC">
        <w:rPr>
          <w:color w:val="212121"/>
          <w:shd w:val="clear" w:color="auto" w:fill="FFFFFF"/>
        </w:rPr>
        <w:t xml:space="preserve">to construe the state double </w:t>
      </w:r>
      <w:r w:rsidRPr="00746B9D" w:rsidR="009D26EC">
        <w:rPr>
          <w:color w:val="212121"/>
          <w:shd w:val="clear" w:color="auto" w:fill="FFFFFF"/>
        </w:rPr>
        <w:t xml:space="preserve">jeopardy prohibition any more broadly than its federal counterpart, which generally </w:t>
      </w:r>
      <w:r w:rsidRPr="00746B9D" w:rsidR="00867E82">
        <w:rPr>
          <w:rStyle w:val="ssrfcpassagedeactivated"/>
          <w:color w:val="000000"/>
          <w:bdr w:val="none" w:sz="0" w:space="0" w:color="auto" w:frame="1"/>
        </w:rPr>
        <w:t>“ ‘i</w:t>
      </w:r>
      <w:r w:rsidRPr="00746B9D" w:rsidR="005B513F">
        <w:rPr>
          <w:rStyle w:val="ssrfcsection"/>
          <w:color w:val="000000"/>
          <w:bdr w:val="none" w:sz="0" w:space="0" w:color="auto" w:frame="1"/>
        </w:rPr>
        <w:t>mposes no restrictions upon the length of a sentence imposed upon reconviction</w:t>
      </w:r>
      <w:r w:rsidRPr="00746B9D" w:rsidR="00867E82">
        <w:rPr>
          <w:rStyle w:val="ssrfcsection"/>
          <w:color w:val="000000"/>
          <w:bdr w:val="none" w:sz="0" w:space="0" w:color="auto" w:frame="1"/>
        </w:rPr>
        <w:t>.’ ”</w:t>
      </w:r>
      <w:r w:rsidRPr="00746B9D" w:rsidR="005B513F">
        <w:rPr>
          <w:rStyle w:val="ssrfcsection"/>
          <w:color w:val="000000"/>
          <w:bdr w:val="none" w:sz="0" w:space="0" w:color="auto" w:frame="1"/>
        </w:rPr>
        <w:t xml:space="preserve"> </w:t>
      </w:r>
      <w:r w:rsidRPr="00746B9D" w:rsidR="00867E82">
        <w:rPr>
          <w:rStyle w:val="ssrfcsection"/>
          <w:color w:val="000000"/>
          <w:bdr w:val="none" w:sz="0" w:space="0" w:color="auto" w:frame="1"/>
        </w:rPr>
        <w:t xml:space="preserve"> </w:t>
      </w:r>
      <w:r w:rsidRPr="00746B9D" w:rsidR="005B513F">
        <w:rPr>
          <w:rStyle w:val="ssrfcsection"/>
          <w:color w:val="000000"/>
          <w:bdr w:val="none" w:sz="0" w:space="0" w:color="auto" w:frame="1"/>
        </w:rPr>
        <w:t>(</w:t>
      </w:r>
      <w:r w:rsidRPr="00746B9D" w:rsidR="009D26EC">
        <w:rPr>
          <w:rStyle w:val="ssrfcsection"/>
          <w:i/>
          <w:iCs/>
          <w:color w:val="000000"/>
          <w:bdr w:val="none" w:sz="0" w:space="0" w:color="auto" w:frame="1"/>
        </w:rPr>
        <w:t>Id.</w:t>
      </w:r>
      <w:r w:rsidRPr="00746B9D" w:rsidR="009D26EC">
        <w:rPr>
          <w:rStyle w:val="ssrfcsection"/>
          <w:color w:val="000000"/>
          <w:bdr w:val="none" w:sz="0" w:space="0" w:color="auto" w:frame="1"/>
        </w:rPr>
        <w:t xml:space="preserve"> at p. 358, quoting </w:t>
      </w:r>
      <w:r w:rsidRPr="00746B9D" w:rsidR="009D26EC">
        <w:rPr>
          <w:rStyle w:val="ssrfcsection"/>
          <w:i/>
          <w:iCs/>
          <w:color w:val="000000"/>
          <w:bdr w:val="none" w:sz="0" w:space="0" w:color="auto" w:frame="1"/>
        </w:rPr>
        <w:t>North Carolina v. Pearce</w:t>
      </w:r>
      <w:r w:rsidRPr="00746B9D" w:rsidR="009D26EC">
        <w:rPr>
          <w:rStyle w:val="ssrfcsection"/>
          <w:color w:val="000000"/>
          <w:bdr w:val="none" w:sz="0" w:space="0" w:color="auto" w:frame="1"/>
        </w:rPr>
        <w:t xml:space="preserve"> (1969) 395 U.S. 711, 719</w:t>
      </w:r>
      <w:r w:rsidR="00746B9D">
        <w:rPr>
          <w:rStyle w:val="ssrfcsection"/>
          <w:color w:val="000000"/>
          <w:bdr w:val="none" w:sz="0" w:space="0" w:color="auto" w:frame="1"/>
        </w:rPr>
        <w:t xml:space="preserve"> (</w:t>
      </w:r>
      <w:r w:rsidR="00746B9D">
        <w:rPr>
          <w:rStyle w:val="ssrfcsection"/>
          <w:i/>
          <w:iCs/>
          <w:color w:val="000000"/>
          <w:bdr w:val="none" w:sz="0" w:space="0" w:color="auto" w:frame="1"/>
        </w:rPr>
        <w:t>Pearce</w:t>
      </w:r>
      <w:r w:rsidR="00746B9D">
        <w:rPr>
          <w:rStyle w:val="ssrfcsection"/>
          <w:color w:val="000000"/>
          <w:bdr w:val="none" w:sz="0" w:space="0" w:color="auto" w:frame="1"/>
        </w:rPr>
        <w:t>)</w:t>
      </w:r>
      <w:r w:rsidRPr="00746B9D" w:rsidR="009D26EC">
        <w:rPr>
          <w:rStyle w:val="ssrfcsection"/>
          <w:color w:val="000000"/>
          <w:bdr w:val="none" w:sz="0" w:space="0" w:color="auto" w:frame="1"/>
        </w:rPr>
        <w:t>.)</w:t>
      </w:r>
      <w:r w:rsidRPr="00746B9D" w:rsidR="003E3056">
        <w:rPr>
          <w:rStyle w:val="ssrfcsection"/>
          <w:color w:val="000000"/>
          <w:bdr w:val="none" w:sz="0" w:space="0" w:color="auto" w:frame="1"/>
        </w:rPr>
        <w:t xml:space="preserve">  The </w:t>
      </w:r>
      <w:r w:rsidR="0020059A">
        <w:rPr>
          <w:rStyle w:val="ssrfcsection"/>
          <w:color w:val="000000"/>
          <w:bdr w:val="none" w:sz="0" w:space="0" w:color="auto" w:frame="1"/>
        </w:rPr>
        <w:t xml:space="preserve">cogent </w:t>
      </w:r>
      <w:r w:rsidRPr="00746B9D" w:rsidR="003E3056">
        <w:rPr>
          <w:rStyle w:val="ssrfcsection"/>
          <w:color w:val="000000"/>
          <w:bdr w:val="none" w:sz="0" w:space="0" w:color="auto" w:frame="1"/>
        </w:rPr>
        <w:t xml:space="preserve">reason, the Supreme Court reaffirmed, was </w:t>
      </w:r>
      <w:r w:rsidRPr="00746B9D" w:rsidR="003E3056">
        <w:rPr>
          <w:rStyle w:val="ssrfcsection"/>
          <w:i/>
          <w:iCs/>
          <w:color w:val="000000"/>
          <w:bdr w:val="none" w:sz="0" w:space="0" w:color="auto" w:frame="1"/>
        </w:rPr>
        <w:t>Henderson</w:t>
      </w:r>
      <w:r w:rsidR="00C74B3B">
        <w:rPr>
          <w:rStyle w:val="ssrfcsection"/>
          <w:color w:val="000000"/>
          <w:bdr w:val="none" w:sz="0" w:space="0" w:color="auto" w:frame="1"/>
        </w:rPr>
        <w:t xml:space="preserve"> </w:t>
      </w:r>
      <w:r w:rsidRPr="00746B9D" w:rsidR="00746B9D">
        <w:rPr>
          <w:rStyle w:val="ssrfcsection"/>
          <w:color w:val="000000"/>
          <w:bdr w:val="none" w:sz="0" w:space="0" w:color="auto" w:frame="1"/>
        </w:rPr>
        <w:t>because its “ ‘</w:t>
      </w:r>
      <w:r w:rsidRPr="00746B9D" w:rsidR="003E3056">
        <w:rPr>
          <w:color w:val="000000"/>
        </w:rPr>
        <w:t xml:space="preserve">rule . . . protecting defendants from receiving a greater sentence if reconvicted after a successful appeal [citations] is one instance where </w:t>
      </w:r>
      <w:r w:rsidRPr="00746B9D" w:rsidR="00746B9D">
        <w:rPr>
          <w:color w:val="000000"/>
        </w:rPr>
        <w:t>[</w:t>
      </w:r>
      <w:r w:rsidRPr="004F36D1" w:rsidR="00746B9D">
        <w:rPr>
          <w:color w:val="000000"/>
        </w:rPr>
        <w:t xml:space="preserve">the Court has]  </w:t>
      </w:r>
      <w:r w:rsidRPr="004F36D1" w:rsidR="003E3056">
        <w:rPr>
          <w:color w:val="000000"/>
        </w:rPr>
        <w:t>interpreted the state double jeopardy clause more broadly than the federal clause.</w:t>
      </w:r>
      <w:r w:rsidRPr="004F36D1" w:rsidR="00746B9D">
        <w:rPr>
          <w:color w:val="000000"/>
        </w:rPr>
        <w:t>’ ”  (</w:t>
      </w:r>
      <w:r w:rsidRPr="004F36D1" w:rsidR="00746B9D">
        <w:rPr>
          <w:i/>
          <w:iCs/>
          <w:color w:val="000000"/>
        </w:rPr>
        <w:t>Hanson</w:t>
      </w:r>
      <w:r w:rsidRPr="004F36D1" w:rsidR="00746B9D">
        <w:rPr>
          <w:color w:val="000000"/>
        </w:rPr>
        <w:t>, at p. 364</w:t>
      </w:r>
      <w:r w:rsidRPr="004F36D1" w:rsidR="004F36D1">
        <w:rPr>
          <w:color w:val="000000"/>
        </w:rPr>
        <w:t xml:space="preserve">; see also </w:t>
      </w:r>
      <w:r w:rsidRPr="004F36D1" w:rsidR="004F36D1">
        <w:rPr>
          <w:i/>
          <w:iCs/>
          <w:color w:val="000000"/>
        </w:rPr>
        <w:t>id.</w:t>
      </w:r>
      <w:r w:rsidRPr="004F36D1" w:rsidR="004F36D1">
        <w:rPr>
          <w:color w:val="000000"/>
        </w:rPr>
        <w:t xml:space="preserve"> at p. 365 [“ ‘</w:t>
      </w:r>
      <w:r w:rsidRPr="004F36D1" w:rsidR="004F36D1">
        <w:rPr>
          <w:color w:val="212121"/>
          <w:shd w:val="clear" w:color="auto" w:fill="FFFFFF"/>
        </w:rPr>
        <w:t>Although presented with both the opportunity to do so and subsequent clarification of federal constitutional law, the court has never retreated from the rationale or holding of</w:t>
      </w:r>
      <w:r w:rsidR="00C74B3B">
        <w:rPr>
          <w:color w:val="212121"/>
          <w:shd w:val="clear" w:color="auto" w:fill="FFFFFF"/>
        </w:rPr>
        <w:t xml:space="preserve"> </w:t>
      </w:r>
      <w:r w:rsidRPr="004F36D1" w:rsidR="004F36D1">
        <w:rPr>
          <w:rStyle w:val="ssit"/>
          <w:i/>
          <w:iCs/>
          <w:color w:val="212121"/>
          <w:bdr w:val="none" w:sz="0" w:space="0" w:color="auto" w:frame="1"/>
          <w:shd w:val="clear" w:color="auto" w:fill="FFFFFF"/>
        </w:rPr>
        <w:t>Henderson</w:t>
      </w:r>
      <w:r w:rsidRPr="004F36D1" w:rsidR="004F36D1">
        <w:rPr>
          <w:color w:val="212121"/>
          <w:shd w:val="clear" w:color="auto" w:fill="FFFFFF"/>
        </w:rPr>
        <w:t>.’</w:t>
      </w:r>
      <w:r w:rsidR="004F36D1">
        <w:rPr>
          <w:color w:val="212121"/>
          <w:shd w:val="clear" w:color="auto" w:fill="FFFFFF"/>
        </w:rPr>
        <w:t> ”].</w:t>
      </w:r>
      <w:r w:rsidRPr="004F36D1" w:rsidR="00746B9D">
        <w:rPr>
          <w:color w:val="000000"/>
        </w:rPr>
        <w:t>)  Thus,</w:t>
      </w:r>
      <w:r w:rsidRPr="00746B9D" w:rsidR="00746B9D">
        <w:rPr>
          <w:color w:val="000000"/>
        </w:rPr>
        <w:t xml:space="preserve"> “</w:t>
      </w:r>
      <w:r w:rsidRPr="00746B9D" w:rsidR="002E385B">
        <w:rPr>
          <w:color w:val="000000"/>
        </w:rPr>
        <w:t>under California</w:t>
      </w:r>
      <w:r w:rsidRPr="00746B9D" w:rsidR="00746B9D">
        <w:rPr>
          <w:color w:val="000000"/>
        </w:rPr>
        <w:t>’</w:t>
      </w:r>
      <w:r w:rsidRPr="00746B9D" w:rsidR="002E385B">
        <w:rPr>
          <w:color w:val="000000"/>
        </w:rPr>
        <w:t>s Constitution the proper focus with respect to resentencing is whether increased punishment operates to penalize the defendant for exercising the right of appeal.</w:t>
      </w:r>
      <w:r w:rsidRPr="00746B9D" w:rsidR="00746B9D">
        <w:rPr>
          <w:color w:val="000000"/>
        </w:rPr>
        <w:t>”</w:t>
      </w:r>
      <w:r w:rsidR="00746B9D">
        <w:rPr>
          <w:color w:val="000000"/>
        </w:rPr>
        <w:t xml:space="preserve">  (</w:t>
      </w:r>
      <w:r w:rsidR="00746B9D">
        <w:rPr>
          <w:i/>
          <w:iCs/>
          <w:color w:val="000000"/>
        </w:rPr>
        <w:t>Id.</w:t>
      </w:r>
      <w:r w:rsidR="00746B9D">
        <w:rPr>
          <w:color w:val="000000"/>
        </w:rPr>
        <w:t xml:space="preserve"> at p. 365.)</w:t>
      </w:r>
    </w:p>
    <w:p w:rsidR="004A69A6" w:rsidP="00952363" w14:paraId="0EC45EEB" w14:textId="483785E7">
      <w:pPr>
        <w:pStyle w:val="Text"/>
        <w:ind w:firstLine="0"/>
      </w:pPr>
      <w:r>
        <w:rPr>
          <w:color w:val="000000"/>
        </w:rPr>
        <w:tab/>
      </w:r>
      <w:r w:rsidRPr="00746B9D" w:rsidR="00746B9D">
        <w:t xml:space="preserve">Indeed, the Supreme Court found the </w:t>
      </w:r>
      <w:r w:rsidRPr="00746B9D" w:rsidR="00746B9D">
        <w:rPr>
          <w:i/>
          <w:iCs/>
        </w:rPr>
        <w:t>Henderson</w:t>
      </w:r>
      <w:r w:rsidRPr="00746B9D" w:rsidR="00746B9D">
        <w:t xml:space="preserve"> rule so fundamental that it further </w:t>
      </w:r>
      <w:r w:rsidRPr="00994739" w:rsidR="00746B9D">
        <w:t>opined:  “[E]</w:t>
      </w:r>
      <w:r w:rsidRPr="00994739" w:rsidR="00746B9D">
        <w:rPr>
          <w:color w:val="000000"/>
        </w:rPr>
        <w:t>ven if we were to find our state double jeopardy clause does not compel the holding in</w:t>
      </w:r>
      <w:r w:rsidR="00C74B3B">
        <w:rPr>
          <w:color w:val="000000"/>
        </w:rPr>
        <w:t xml:space="preserve"> </w:t>
      </w:r>
      <w:r w:rsidRPr="00994739" w:rsidR="00746B9D">
        <w:rPr>
          <w:rStyle w:val="ssit"/>
          <w:i/>
          <w:iCs/>
          <w:color w:val="000000"/>
          <w:bdr w:val="none" w:sz="0" w:space="0" w:color="auto" w:frame="1"/>
        </w:rPr>
        <w:t>Henderson</w:t>
      </w:r>
      <w:r w:rsidRPr="00994739" w:rsidR="00746B9D">
        <w:rPr>
          <w:color w:val="000000"/>
        </w:rPr>
        <w:t>, we would not hesitate to enforce the same rule on alternate state due process grounds.</w:t>
      </w:r>
      <w:r w:rsidR="008F23DA">
        <w:rPr>
          <w:color w:val="000000"/>
        </w:rPr>
        <w:t>”</w:t>
      </w:r>
      <w:r w:rsidRPr="00994739" w:rsidR="00746B9D">
        <w:rPr>
          <w:color w:val="000000"/>
        </w:rPr>
        <w:t xml:space="preserve">  (</w:t>
      </w:r>
      <w:r w:rsidRPr="00994739" w:rsidR="00746B9D">
        <w:rPr>
          <w:i/>
          <w:iCs/>
          <w:color w:val="000000"/>
        </w:rPr>
        <w:t>Hanson</w:t>
      </w:r>
      <w:r w:rsidRPr="00994739" w:rsidR="00746B9D">
        <w:rPr>
          <w:color w:val="000000"/>
        </w:rPr>
        <w:t xml:space="preserve">, </w:t>
      </w:r>
      <w:r w:rsidRPr="00994739" w:rsidR="00746B9D">
        <w:rPr>
          <w:i/>
          <w:iCs/>
          <w:color w:val="000000"/>
        </w:rPr>
        <w:t>supra</w:t>
      </w:r>
      <w:r w:rsidRPr="00994739" w:rsidR="00746B9D">
        <w:rPr>
          <w:color w:val="000000"/>
        </w:rPr>
        <w:t>, 23 Cal.4th at p. 366.)</w:t>
      </w:r>
      <w:r w:rsidRPr="00994739" w:rsidR="00994739">
        <w:rPr>
          <w:color w:val="000000"/>
        </w:rPr>
        <w:t xml:space="preserve">  </w:t>
      </w:r>
      <w:r w:rsidR="0020059A">
        <w:rPr>
          <w:color w:val="000000"/>
        </w:rPr>
        <w:t>The Court</w:t>
      </w:r>
      <w:r w:rsidR="00994739">
        <w:rPr>
          <w:color w:val="000000"/>
        </w:rPr>
        <w:t xml:space="preserve"> noted that, in </w:t>
      </w:r>
      <w:r w:rsidRPr="00994739" w:rsidR="00952363">
        <w:rPr>
          <w:rStyle w:val="ssit"/>
          <w:i/>
          <w:iCs/>
          <w:color w:val="000000"/>
          <w:bdr w:val="none" w:sz="0" w:space="0" w:color="auto" w:frame="1"/>
        </w:rPr>
        <w:t>Pearce</w:t>
      </w:r>
      <w:r w:rsidR="00994739">
        <w:rPr>
          <w:rStyle w:val="ssit"/>
          <w:color w:val="000000"/>
          <w:bdr w:val="none" w:sz="0" w:space="0" w:color="auto" w:frame="1"/>
        </w:rPr>
        <w:t>,</w:t>
      </w:r>
      <w:r w:rsidR="00C74B3B">
        <w:rPr>
          <w:rStyle w:val="ssrfcsection"/>
          <w:color w:val="000000"/>
          <w:bdr w:val="none" w:sz="0" w:space="0" w:color="auto" w:frame="1"/>
        </w:rPr>
        <w:t xml:space="preserve"> </w:t>
      </w:r>
      <w:r w:rsidR="00994739">
        <w:rPr>
          <w:rStyle w:val="ssrfcsection"/>
          <w:color w:val="000000"/>
          <w:bdr w:val="none" w:sz="0" w:space="0" w:color="auto" w:frame="1"/>
        </w:rPr>
        <w:t>the United States Supreme Court had “</w:t>
      </w:r>
      <w:r w:rsidRPr="00994739" w:rsidR="00952363">
        <w:rPr>
          <w:rStyle w:val="ssrfcsection"/>
          <w:color w:val="000000"/>
          <w:bdr w:val="none" w:sz="0" w:space="0" w:color="auto" w:frame="1"/>
        </w:rPr>
        <w:t xml:space="preserve">attempted to provide a modicum of protection against improper resentencing by cautioning that </w:t>
      </w:r>
      <w:r w:rsidR="00994739">
        <w:rPr>
          <w:rStyle w:val="ssrfcsection"/>
          <w:color w:val="000000"/>
          <w:bdr w:val="none" w:sz="0" w:space="0" w:color="auto" w:frame="1"/>
        </w:rPr>
        <w:t>‘</w:t>
      </w:r>
      <w:r w:rsidRPr="00994739" w:rsidR="00952363">
        <w:rPr>
          <w:rStyle w:val="ssrfcsection"/>
          <w:color w:val="000000"/>
          <w:bdr w:val="none" w:sz="0" w:space="0" w:color="auto" w:frame="1"/>
        </w:rPr>
        <w:t>[d]ue process of law . . . requires that vindictiveness against a defendant for having successfully attacked his first conviction must play no part in the sentence he receives after a new trial.</w:t>
      </w:r>
      <w:r w:rsidR="00994739">
        <w:rPr>
          <w:rStyle w:val="ssrfcsection"/>
          <w:color w:val="000000"/>
          <w:bdr w:val="none" w:sz="0" w:space="0" w:color="auto" w:frame="1"/>
        </w:rPr>
        <w:t>’ ”  (</w:t>
      </w:r>
      <w:r w:rsidR="00994739">
        <w:rPr>
          <w:rStyle w:val="ssrfcsection"/>
          <w:i/>
          <w:iCs/>
          <w:color w:val="000000"/>
          <w:bdr w:val="none" w:sz="0" w:space="0" w:color="auto" w:frame="1"/>
        </w:rPr>
        <w:t>Hanson</w:t>
      </w:r>
      <w:r w:rsidR="00994739">
        <w:rPr>
          <w:rStyle w:val="ssrfcsection"/>
          <w:color w:val="000000"/>
          <w:bdr w:val="none" w:sz="0" w:space="0" w:color="auto" w:frame="1"/>
        </w:rPr>
        <w:t xml:space="preserve">, at p. 366.)  </w:t>
      </w:r>
      <w:r w:rsidRPr="00994739" w:rsidR="00952363">
        <w:rPr>
          <w:rStyle w:val="ssrfcsection"/>
          <w:color w:val="000000"/>
          <w:bdr w:val="none" w:sz="0" w:space="0" w:color="auto" w:frame="1"/>
        </w:rPr>
        <w:t xml:space="preserve">In our </w:t>
      </w:r>
      <w:r w:rsidR="00994739">
        <w:rPr>
          <w:rStyle w:val="ssrfcsection"/>
          <w:color w:val="000000"/>
          <w:bdr w:val="none" w:sz="0" w:space="0" w:color="auto" w:frame="1"/>
        </w:rPr>
        <w:t xml:space="preserve">high court’s </w:t>
      </w:r>
      <w:r w:rsidRPr="00994739" w:rsidR="00952363">
        <w:rPr>
          <w:rStyle w:val="ssrfcsection"/>
          <w:color w:val="000000"/>
          <w:bdr w:val="none" w:sz="0" w:space="0" w:color="auto" w:frame="1"/>
        </w:rPr>
        <w:t>v</w:t>
      </w:r>
      <w:r w:rsidR="00994739">
        <w:rPr>
          <w:rStyle w:val="ssrfcsection"/>
          <w:color w:val="000000"/>
          <w:bdr w:val="none" w:sz="0" w:space="0" w:color="auto" w:frame="1"/>
        </w:rPr>
        <w:t>iew, however, “</w:t>
      </w:r>
      <w:r w:rsidRPr="00994739" w:rsidR="00952363">
        <w:rPr>
          <w:rStyle w:val="ssrfcsection"/>
          <w:color w:val="000000"/>
          <w:bdr w:val="none" w:sz="0" w:space="0" w:color="auto" w:frame="1"/>
        </w:rPr>
        <w:t>vindictiveness is only one of the evils the rule in</w:t>
      </w:r>
      <w:r w:rsidR="00C74B3B">
        <w:rPr>
          <w:rStyle w:val="ssrfcsection"/>
          <w:color w:val="000000"/>
          <w:bdr w:val="none" w:sz="0" w:space="0" w:color="auto" w:frame="1"/>
        </w:rPr>
        <w:t xml:space="preserve"> </w:t>
      </w:r>
      <w:r w:rsidRPr="00994739" w:rsidR="00952363">
        <w:rPr>
          <w:rStyle w:val="ssit"/>
          <w:i/>
          <w:iCs/>
          <w:color w:val="000000"/>
          <w:bdr w:val="none" w:sz="0" w:space="0" w:color="auto" w:frame="1"/>
        </w:rPr>
        <w:t>Henderson</w:t>
      </w:r>
      <w:r w:rsidR="00C74B3B">
        <w:rPr>
          <w:rStyle w:val="ssrfcsection"/>
          <w:color w:val="000000"/>
          <w:bdr w:val="none" w:sz="0" w:space="0" w:color="auto" w:frame="1"/>
        </w:rPr>
        <w:t xml:space="preserve"> </w:t>
      </w:r>
      <w:r w:rsidRPr="00994739" w:rsidR="00952363">
        <w:rPr>
          <w:rStyle w:val="ssrfcsection"/>
          <w:color w:val="000000"/>
          <w:bdr w:val="none" w:sz="0" w:space="0" w:color="auto" w:frame="1"/>
        </w:rPr>
        <w:t xml:space="preserve">forestalls. </w:t>
      </w:r>
      <w:r w:rsidR="00994739">
        <w:rPr>
          <w:rStyle w:val="ssrfcsection"/>
          <w:color w:val="000000"/>
          <w:bdr w:val="none" w:sz="0" w:space="0" w:color="auto" w:frame="1"/>
        </w:rPr>
        <w:t xml:space="preserve"> </w:t>
      </w:r>
      <w:r w:rsidRPr="00994739" w:rsidR="00952363">
        <w:rPr>
          <w:rStyle w:val="ssrfcsection"/>
          <w:color w:val="000000"/>
          <w:bdr w:val="none" w:sz="0" w:space="0" w:color="auto" w:frame="1"/>
        </w:rPr>
        <w:t>More basically, it is the chilling effect on the right to appeal generated by the risk of a more severe punishment that lies at its</w:t>
      </w:r>
      <w:r w:rsidR="00C74B3B">
        <w:rPr>
          <w:rStyle w:val="ssrfcsection"/>
          <w:color w:val="000000"/>
          <w:bdr w:val="none" w:sz="0" w:space="0" w:color="auto" w:frame="1"/>
        </w:rPr>
        <w:t xml:space="preserve"> </w:t>
      </w:r>
      <w:r w:rsidRPr="00994739" w:rsidR="00952363">
        <w:rPr>
          <w:rStyle w:val="ssrfcsection"/>
          <w:color w:val="000000"/>
          <w:bdr w:val="none" w:sz="0" w:space="0" w:color="auto" w:frame="1"/>
        </w:rPr>
        <w:t>core.</w:t>
      </w:r>
      <w:r w:rsidR="00994739">
        <w:rPr>
          <w:rStyle w:val="ssrfcsection"/>
          <w:color w:val="000000"/>
          <w:bdr w:val="none" w:sz="0" w:space="0" w:color="auto" w:frame="1"/>
        </w:rPr>
        <w:t xml:space="preserve">  [Citations.]</w:t>
      </w:r>
      <w:r w:rsidRPr="00994739" w:rsidR="00952363">
        <w:rPr>
          <w:rStyle w:val="ssrfcsection"/>
          <w:color w:val="000000"/>
          <w:bdr w:val="none" w:sz="0" w:space="0" w:color="auto" w:frame="1"/>
        </w:rPr>
        <w:t xml:space="preserve"> </w:t>
      </w:r>
      <w:r w:rsidR="00994739">
        <w:rPr>
          <w:rStyle w:val="ssrfcsection"/>
          <w:color w:val="000000"/>
          <w:bdr w:val="none" w:sz="0" w:space="0" w:color="auto" w:frame="1"/>
        </w:rPr>
        <w:t xml:space="preserve"> </w:t>
      </w:r>
      <w:r w:rsidRPr="00994739" w:rsidR="00952363">
        <w:rPr>
          <w:rStyle w:val="ssrfcpassagedeactivated"/>
          <w:color w:val="000000"/>
          <w:bdr w:val="none" w:sz="0" w:space="0" w:color="auto" w:frame="1"/>
        </w:rPr>
        <w:t xml:space="preserve">Moreover, as the </w:t>
      </w:r>
      <w:r w:rsidR="00994739">
        <w:rPr>
          <w:rStyle w:val="ssrfcpassagedeactivated"/>
          <w:color w:val="000000"/>
          <w:bdr w:val="none" w:sz="0" w:space="0" w:color="auto" w:frame="1"/>
        </w:rPr>
        <w:t xml:space="preserve">[United States] </w:t>
      </w:r>
      <w:r w:rsidRPr="00994739" w:rsidR="00952363">
        <w:rPr>
          <w:rStyle w:val="ssrfcpassagedeactivated"/>
          <w:color w:val="000000"/>
          <w:bdr w:val="none" w:sz="0" w:space="0" w:color="auto" w:frame="1"/>
        </w:rPr>
        <w:t xml:space="preserve">Supreme Court itself acknowledged: </w:t>
      </w:r>
      <w:r w:rsidR="00994739">
        <w:rPr>
          <w:rStyle w:val="ssrfcpassagedeactivated"/>
          <w:color w:val="000000"/>
          <w:bdr w:val="none" w:sz="0" w:space="0" w:color="auto" w:frame="1"/>
        </w:rPr>
        <w:t xml:space="preserve"> ‘</w:t>
      </w:r>
      <w:r w:rsidRPr="00994739" w:rsidR="00952363">
        <w:rPr>
          <w:rStyle w:val="ssrfcpassagedeactivated"/>
          <w:color w:val="000000"/>
          <w:bdr w:val="none" w:sz="0" w:space="0" w:color="auto" w:frame="1"/>
        </w:rPr>
        <w:t>The existence of a retaliatory motivation would, of course, be extremely difficult to prove in any individual case.</w:t>
      </w:r>
      <w:r w:rsidR="00994739">
        <w:rPr>
          <w:rStyle w:val="ssrfcpassagedeactivated"/>
          <w:color w:val="000000"/>
          <w:bdr w:val="none" w:sz="0" w:space="0" w:color="auto" w:frame="1"/>
        </w:rPr>
        <w:t xml:space="preserve">’ ”  </w:t>
      </w:r>
      <w:r w:rsidRPr="00994739" w:rsidR="00952363">
        <w:rPr>
          <w:rStyle w:val="ssrfcpassagedeactivated"/>
          <w:color w:val="000000"/>
          <w:bdr w:val="none" w:sz="0" w:space="0" w:color="auto" w:frame="1"/>
        </w:rPr>
        <w:t>(</w:t>
      </w:r>
      <w:r w:rsidR="00994739">
        <w:rPr>
          <w:rStyle w:val="ssrfcpassagedeactivated"/>
          <w:i/>
          <w:iCs/>
          <w:color w:val="000000"/>
          <w:bdr w:val="none" w:sz="0" w:space="0" w:color="auto" w:frame="1"/>
        </w:rPr>
        <w:t>Hanson</w:t>
      </w:r>
      <w:r w:rsidR="00994739">
        <w:rPr>
          <w:rStyle w:val="ssrfcpassagedeactivated"/>
          <w:color w:val="000000"/>
          <w:bdr w:val="none" w:sz="0" w:space="0" w:color="auto" w:frame="1"/>
        </w:rPr>
        <w:t>, at p. 366</w:t>
      </w:r>
      <w:r w:rsidRPr="00994739" w:rsidR="00952363">
        <w:rPr>
          <w:rStyle w:val="ssrfcpassagedeactivated"/>
          <w:color w:val="000000"/>
          <w:bdr w:val="none" w:sz="0" w:space="0" w:color="auto" w:frame="1"/>
        </w:rPr>
        <w:t>.)</w:t>
      </w:r>
      <w:r w:rsidR="00994739">
        <w:rPr>
          <w:rStyle w:val="ssrfcpassagedeactivated"/>
          <w:color w:val="000000"/>
          <w:bdr w:val="none" w:sz="0" w:space="0" w:color="auto" w:frame="1"/>
        </w:rPr>
        <w:t xml:space="preserve">  In contrast, the Court cited with approval an Alaska Supreme Court opinion which “[t]ranslat[ed] the rationale of </w:t>
      </w:r>
      <w:r w:rsidR="00994739">
        <w:rPr>
          <w:rStyle w:val="ssrfcpassagedeactivated"/>
          <w:i/>
          <w:iCs/>
          <w:color w:val="000000"/>
          <w:bdr w:val="none" w:sz="0" w:space="0" w:color="auto" w:frame="1"/>
        </w:rPr>
        <w:t>Henderson</w:t>
      </w:r>
      <w:r w:rsidR="00994739">
        <w:rPr>
          <w:rStyle w:val="ssrfcpassagedeactivated"/>
          <w:color w:val="000000"/>
          <w:bdr w:val="none" w:sz="0" w:space="0" w:color="auto" w:frame="1"/>
        </w:rPr>
        <w:t xml:space="preserve"> into due process terms.”</w:t>
      </w:r>
      <w:r>
        <w:rPr>
          <w:rStyle w:val="FootnoteReference"/>
          <w:color w:val="000000"/>
          <w:bdr w:val="none" w:sz="0" w:space="0" w:color="auto" w:frame="1"/>
        </w:rPr>
        <w:footnoteReference w:id="4"/>
      </w:r>
      <w:r w:rsidR="00994739">
        <w:rPr>
          <w:rStyle w:val="ssrfcpassagedeactivated"/>
          <w:color w:val="000000"/>
          <w:bdr w:val="none" w:sz="0" w:space="0" w:color="auto" w:frame="1"/>
        </w:rPr>
        <w:t xml:space="preserve">  (</w:t>
      </w:r>
      <w:r w:rsidR="00994739">
        <w:rPr>
          <w:rStyle w:val="ssrfcpassagedeactivated"/>
          <w:i/>
          <w:iCs/>
          <w:color w:val="000000"/>
          <w:bdr w:val="none" w:sz="0" w:space="0" w:color="auto" w:frame="1"/>
        </w:rPr>
        <w:t>Hanson</w:t>
      </w:r>
      <w:r w:rsidR="00994739">
        <w:rPr>
          <w:rStyle w:val="ssrfcpassagedeactivated"/>
          <w:color w:val="000000"/>
          <w:bdr w:val="none" w:sz="0" w:space="0" w:color="auto" w:frame="1"/>
        </w:rPr>
        <w:t>, at p. 366.)</w:t>
      </w:r>
    </w:p>
    <w:p w:rsidR="005C3D0F" w:rsidRPr="00A657CC" w:rsidP="00952363" w14:paraId="4111EA13" w14:textId="1713B162">
      <w:pPr>
        <w:pStyle w:val="Text"/>
        <w:ind w:firstLine="0"/>
      </w:pPr>
      <w:r>
        <w:tab/>
      </w:r>
      <w:r w:rsidR="00867E82">
        <w:t>More recently</w:t>
      </w:r>
      <w:r>
        <w:t xml:space="preserve">, in a case involving a different Henderson, the Supreme Court </w:t>
      </w:r>
      <w:r w:rsidR="00A657CC">
        <w:t xml:space="preserve">determined that the trial court was unaware at sentencing under the three strikes law that it had concurrent sentencing discretion when sentencing on qualifying offenses committed on the same occasion or arising out of </w:t>
      </w:r>
      <w:r w:rsidRPr="00A657CC" w:rsidR="00A657CC">
        <w:t xml:space="preserve">the same set of operative facts.  It therefore remanded for a full resentencing. </w:t>
      </w:r>
      <w:r w:rsidR="00E53435">
        <w:t xml:space="preserve"> </w:t>
      </w:r>
      <w:r w:rsidRPr="00A657CC" w:rsidR="00A657CC">
        <w:t>(</w:t>
      </w:r>
      <w:r w:rsidRPr="00A657CC" w:rsidR="00A657CC">
        <w:rPr>
          <w:i/>
          <w:iCs/>
        </w:rPr>
        <w:t>People v. Henderson</w:t>
      </w:r>
      <w:r w:rsidRPr="00A657CC" w:rsidR="00A657CC">
        <w:t xml:space="preserve"> (2022) 14 Cal.</w:t>
      </w:r>
      <w:r w:rsidR="00A474EF">
        <w:t>5</w:t>
      </w:r>
      <w:r w:rsidRPr="00A657CC" w:rsidR="00A657CC">
        <w:t xml:space="preserve">th 34, 56.)  </w:t>
      </w:r>
      <w:bookmarkStart w:id="6" w:name="_Hlk142485041"/>
      <w:r w:rsidRPr="00A657CC" w:rsidR="00A657CC">
        <w:t>I</w:t>
      </w:r>
      <w:bookmarkEnd w:id="6"/>
      <w:r w:rsidRPr="00A657CC" w:rsidR="00A657CC">
        <w:t>n doing so, it confirmed that “</w:t>
      </w:r>
      <w:r w:rsidRPr="00A657CC">
        <w:rPr>
          <w:bdr w:val="none" w:sz="0" w:space="0" w:color="auto" w:frame="1"/>
          <w:shd w:val="clear" w:color="auto" w:fill="FFFFFF"/>
        </w:rPr>
        <w:t>because ‘</w:t>
      </w:r>
      <w:r w:rsidRPr="00A657CC" w:rsidR="00A657CC">
        <w:rPr>
          <w:bdr w:val="none" w:sz="0" w:space="0" w:color="auto" w:frame="1"/>
          <w:shd w:val="clear" w:color="auto" w:fill="FFFFFF"/>
        </w:rPr>
        <w:t> “</w:t>
      </w:r>
      <w:r w:rsidRPr="00A657CC">
        <w:rPr>
          <w:bdr w:val="none" w:sz="0" w:space="0" w:color="auto" w:frame="1"/>
          <w:shd w:val="clear" w:color="auto" w:fill="FFFFFF"/>
        </w:rPr>
        <w:t xml:space="preserve">a defendant should not be required to risk being given greater punishment </w:t>
      </w:r>
      <w:r w:rsidRPr="00A657CC" w:rsidR="00A657CC">
        <w:rPr>
          <w:bdr w:val="none" w:sz="0" w:space="0" w:color="auto" w:frame="1"/>
          <w:shd w:val="clear" w:color="auto" w:fill="FFFFFF"/>
        </w:rPr>
        <w:t>. . .</w:t>
      </w:r>
      <w:r w:rsidRPr="00A657CC">
        <w:rPr>
          <w:bdr w:val="none" w:sz="0" w:space="0" w:color="auto" w:frame="1"/>
          <w:shd w:val="clear" w:color="auto" w:fill="FFFFFF"/>
        </w:rPr>
        <w:t xml:space="preserve"> for the privilege of exercising his right to appeal”</w:t>
      </w:r>
      <w:r w:rsidRPr="00A657CC" w:rsidR="00A657CC">
        <w:rPr>
          <w:bdr w:val="none" w:sz="0" w:space="0" w:color="auto" w:frame="1"/>
          <w:shd w:val="clear" w:color="auto" w:fill="FFFFFF"/>
        </w:rPr>
        <w:t> ’</w:t>
      </w:r>
      <w:r w:rsidRPr="00A657CC">
        <w:rPr>
          <w:bdr w:val="none" w:sz="0" w:space="0" w:color="auto" w:frame="1"/>
          <w:shd w:val="clear" w:color="auto" w:fill="FFFFFF"/>
        </w:rPr>
        <w:t xml:space="preserve"> </w:t>
      </w:r>
      <w:r w:rsidRPr="00A657CC" w:rsidR="00A657CC">
        <w:rPr>
          <w:bdr w:val="none" w:sz="0" w:space="0" w:color="auto" w:frame="1"/>
          <w:shd w:val="clear" w:color="auto" w:fill="FFFFFF"/>
        </w:rPr>
        <w:t xml:space="preserve">[citing </w:t>
      </w:r>
      <w:r w:rsidRPr="00A657CC" w:rsidR="00A657CC">
        <w:rPr>
          <w:i/>
          <w:iCs/>
          <w:bdr w:val="none" w:sz="0" w:space="0" w:color="auto" w:frame="1"/>
          <w:shd w:val="clear" w:color="auto" w:fill="FFFFFF"/>
        </w:rPr>
        <w:t>Hanson</w:t>
      </w:r>
      <w:r w:rsidRPr="00A657CC" w:rsidR="00A657CC">
        <w:rPr>
          <w:bdr w:val="none" w:sz="0" w:space="0" w:color="auto" w:frame="1"/>
          <w:shd w:val="clear" w:color="auto" w:fill="FFFFFF"/>
        </w:rPr>
        <w:t xml:space="preserve"> and </w:t>
      </w:r>
      <w:r w:rsidRPr="00A657CC" w:rsidR="00A657CC">
        <w:rPr>
          <w:i/>
          <w:iCs/>
          <w:bdr w:val="none" w:sz="0" w:space="0" w:color="auto" w:frame="1"/>
          <w:shd w:val="clear" w:color="auto" w:fill="FFFFFF"/>
        </w:rPr>
        <w:t>Ali</w:t>
      </w:r>
      <w:r w:rsidRPr="00A657CC" w:rsidR="00A657CC">
        <w:rPr>
          <w:bdr w:val="none" w:sz="0" w:space="0" w:color="auto" w:frame="1"/>
          <w:shd w:val="clear" w:color="auto" w:fill="FFFFFF"/>
        </w:rPr>
        <w:t>]</w:t>
      </w:r>
      <w:r w:rsidRPr="00A657CC">
        <w:rPr>
          <w:bdr w:val="none" w:sz="0" w:space="0" w:color="auto" w:frame="1"/>
          <w:shd w:val="clear" w:color="auto" w:fill="FFFFFF"/>
        </w:rPr>
        <w:t>, the court on remand may not impose an aggregate sentence greater than the one defendant initially received.</w:t>
      </w:r>
      <w:r w:rsidRPr="00A657CC" w:rsidR="00A657CC">
        <w:rPr>
          <w:bdr w:val="none" w:sz="0" w:space="0" w:color="auto" w:frame="1"/>
          <w:shd w:val="clear" w:color="auto" w:fill="FFFFFF"/>
        </w:rPr>
        <w:t>”</w:t>
      </w:r>
      <w:r w:rsidR="00A657CC">
        <w:rPr>
          <w:bdr w:val="none" w:sz="0" w:space="0" w:color="auto" w:frame="1"/>
          <w:shd w:val="clear" w:color="auto" w:fill="FFFFFF"/>
        </w:rPr>
        <w:t xml:space="preserve">  (</w:t>
      </w:r>
      <w:r w:rsidR="00A657CC">
        <w:rPr>
          <w:i/>
          <w:iCs/>
          <w:bdr w:val="none" w:sz="0" w:space="0" w:color="auto" w:frame="1"/>
          <w:shd w:val="clear" w:color="auto" w:fill="FFFFFF"/>
        </w:rPr>
        <w:t>People v. Henderson</w:t>
      </w:r>
      <w:r w:rsidR="00A657CC">
        <w:rPr>
          <w:bdr w:val="none" w:sz="0" w:space="0" w:color="auto" w:frame="1"/>
          <w:shd w:val="clear" w:color="auto" w:fill="FFFFFF"/>
        </w:rPr>
        <w:t>, at p. 56.)</w:t>
      </w:r>
    </w:p>
    <w:p w:rsidR="004C2333" w:rsidRPr="006701AC" w:rsidP="00A9020B" w14:paraId="16CAA242" w14:textId="5FA3289F">
      <w:pPr>
        <w:pStyle w:val="Text"/>
        <w:keepNext/>
        <w:ind w:firstLine="0"/>
        <w:rPr>
          <w:b/>
          <w:bCs/>
          <w:i/>
          <w:iCs/>
        </w:rPr>
      </w:pPr>
      <w:r>
        <w:rPr>
          <w:b/>
          <w:bCs/>
          <w:i/>
          <w:iCs/>
        </w:rPr>
        <w:t>B.</w:t>
      </w:r>
      <w:r w:rsidR="004731DD">
        <w:rPr>
          <w:b/>
          <w:bCs/>
          <w:i/>
          <w:iCs/>
        </w:rPr>
        <w:t xml:space="preserve">  </w:t>
      </w:r>
      <w:r w:rsidR="00D95EBA">
        <w:rPr>
          <w:b/>
          <w:bCs/>
          <w:i/>
          <w:iCs/>
        </w:rPr>
        <w:t xml:space="preserve">The </w:t>
      </w:r>
      <w:r>
        <w:rPr>
          <w:b/>
          <w:bCs/>
        </w:rPr>
        <w:t xml:space="preserve">Serrato </w:t>
      </w:r>
      <w:r>
        <w:rPr>
          <w:b/>
          <w:bCs/>
          <w:i/>
          <w:iCs/>
        </w:rPr>
        <w:t>Exception to Double Jeopardy</w:t>
      </w:r>
    </w:p>
    <w:p w:rsidR="004C2333" w:rsidP="00A9020B" w14:paraId="2850E4C0" w14:textId="71C579E0">
      <w:pPr>
        <w:pStyle w:val="Text"/>
        <w:keepNext/>
        <w:ind w:firstLine="0"/>
      </w:pPr>
      <w:r>
        <w:tab/>
      </w:r>
      <w:r w:rsidR="00AA0011">
        <w:t xml:space="preserve">In 1973, the Supreme Court </w:t>
      </w:r>
      <w:r w:rsidR="00236A2D">
        <w:t>discuss</w:t>
      </w:r>
      <w:r w:rsidR="00AA0011">
        <w:t xml:space="preserve">ed an exception to its double jeopardy precedent in </w:t>
      </w:r>
      <w:r w:rsidR="00AA0011">
        <w:rPr>
          <w:i/>
          <w:iCs/>
        </w:rPr>
        <w:t>People v. Serrato</w:t>
      </w:r>
      <w:r w:rsidR="00AA0011">
        <w:t xml:space="preserve"> (1973) 9 Cal.3d 753 (</w:t>
      </w:r>
      <w:r w:rsidR="00AA0011">
        <w:rPr>
          <w:i/>
          <w:iCs/>
        </w:rPr>
        <w:t>Serrato</w:t>
      </w:r>
      <w:r w:rsidR="00AA0011">
        <w:t>)</w:t>
      </w:r>
      <w:r w:rsidR="00236A2D">
        <w:t xml:space="preserve">, disapproved on another ground as stated in </w:t>
      </w:r>
      <w:r w:rsidR="00236A2D">
        <w:rPr>
          <w:i/>
          <w:iCs/>
        </w:rPr>
        <w:t>People v. Fosselman</w:t>
      </w:r>
      <w:r w:rsidR="00236A2D">
        <w:t xml:space="preserve"> (1983) 33 Cal.3</w:t>
      </w:r>
      <w:r w:rsidR="004B7067">
        <w:t>d</w:t>
      </w:r>
      <w:r w:rsidR="00236A2D">
        <w:t xml:space="preserve"> 572, 583, fn.1.  </w:t>
      </w:r>
      <w:r w:rsidR="00AA0011">
        <w:t xml:space="preserve">In </w:t>
      </w:r>
      <w:r w:rsidR="00236A2D">
        <w:rPr>
          <w:i/>
          <w:iCs/>
        </w:rPr>
        <w:t>Serrato</w:t>
      </w:r>
      <w:r w:rsidR="00AA0011">
        <w:t>, the two defendants had been convicted by a jury of felony possession of a fire</w:t>
      </w:r>
      <w:r w:rsidR="001F0F93">
        <w:t>bomb</w:t>
      </w:r>
      <w:r w:rsidR="00AA0011">
        <w:t>.  (</w:t>
      </w:r>
      <w:r w:rsidR="00236A2D">
        <w:rPr>
          <w:i/>
          <w:iCs/>
        </w:rPr>
        <w:t>Ser</w:t>
      </w:r>
      <w:r w:rsidR="00F877D7">
        <w:rPr>
          <w:i/>
          <w:iCs/>
        </w:rPr>
        <w:t>r</w:t>
      </w:r>
      <w:r w:rsidR="00236A2D">
        <w:rPr>
          <w:i/>
          <w:iCs/>
        </w:rPr>
        <w:t>ato</w:t>
      </w:r>
      <w:r w:rsidR="00236A2D">
        <w:t>,</w:t>
      </w:r>
      <w:r w:rsidR="00AA0011">
        <w:t xml:space="preserve"> at p. 756.)  The defendants moved for a new trial and the trial court purported to modify their convictions to </w:t>
      </w:r>
      <w:r w:rsidR="009C5D39">
        <w:t xml:space="preserve">misdemeanor </w:t>
      </w:r>
      <w:r w:rsidR="00AA0011">
        <w:t>disturbing the peace.  It</w:t>
      </w:r>
      <w:r w:rsidR="009C5D39">
        <w:t xml:space="preserve"> </w:t>
      </w:r>
      <w:r w:rsidR="00AA0011">
        <w:t>th</w:t>
      </w:r>
      <w:r w:rsidR="009C5D39">
        <w:t>en placed them on probation for two years on the condition that each pay a fine of $125.  (</w:t>
      </w:r>
      <w:r w:rsidR="009C5D39">
        <w:rPr>
          <w:i/>
          <w:iCs/>
        </w:rPr>
        <w:t xml:space="preserve">Id. </w:t>
      </w:r>
      <w:r w:rsidR="009C5D39">
        <w:t xml:space="preserve">at pp. 756–757 &amp; fn. 2.)  The defendants </w:t>
      </w:r>
      <w:r w:rsidR="00DD4723">
        <w:t>appealed</w:t>
      </w:r>
      <w:r w:rsidR="009C5D39">
        <w:t xml:space="preserve"> from the order granting probation.  (</w:t>
      </w:r>
      <w:r w:rsidR="009C5D39">
        <w:rPr>
          <w:i/>
          <w:iCs/>
        </w:rPr>
        <w:t xml:space="preserve">Id. </w:t>
      </w:r>
      <w:r w:rsidR="009C5D39">
        <w:t xml:space="preserve">at p. 756.)   </w:t>
      </w:r>
    </w:p>
    <w:p w:rsidR="00AA0011" w:rsidP="00DD4723" w14:paraId="623002FE" w14:textId="182ABDB2">
      <w:pPr>
        <w:pStyle w:val="Text"/>
        <w:ind w:firstLine="0"/>
        <w:rPr>
          <w:shd w:val="clear" w:color="auto" w:fill="FFFFFF"/>
        </w:rPr>
      </w:pPr>
      <w:r>
        <w:tab/>
      </w:r>
      <w:r w:rsidRPr="00DD4723">
        <w:t>Noting that a trial court considering a motion for a new trial is statutorily authorized to “</w:t>
      </w:r>
      <w:r w:rsidRPr="00DD4723">
        <w:rPr>
          <w:shd w:val="clear" w:color="auto" w:fill="FFFFFF"/>
        </w:rPr>
        <w:t>modify the verdict to a lesser degree of the crime found by the jury, or to a lesser crime included therein” (</w:t>
      </w:r>
      <w:r w:rsidRPr="00DD4723">
        <w:rPr>
          <w:i/>
          <w:iCs/>
          <w:shd w:val="clear" w:color="auto" w:fill="FFFFFF"/>
        </w:rPr>
        <w:t>Serrato</w:t>
      </w:r>
      <w:r w:rsidRPr="00DD4723">
        <w:rPr>
          <w:shd w:val="clear" w:color="auto" w:fill="FFFFFF"/>
        </w:rPr>
        <w:t xml:space="preserve">, </w:t>
      </w:r>
      <w:r w:rsidRPr="00DD4723">
        <w:rPr>
          <w:i/>
          <w:iCs/>
          <w:shd w:val="clear" w:color="auto" w:fill="FFFFFF"/>
        </w:rPr>
        <w:t>supra</w:t>
      </w:r>
      <w:r w:rsidRPr="00DD4723">
        <w:rPr>
          <w:shd w:val="clear" w:color="auto" w:fill="FFFFFF"/>
        </w:rPr>
        <w:t>, 9 Cal.3d at p. 757</w:t>
      </w:r>
      <w:r w:rsidR="001F0F93">
        <w:rPr>
          <w:shd w:val="clear" w:color="auto" w:fill="FFFFFF"/>
        </w:rPr>
        <w:t xml:space="preserve"> &amp; fn. 3</w:t>
      </w:r>
      <w:r w:rsidRPr="00DD4723">
        <w:rPr>
          <w:shd w:val="clear" w:color="auto" w:fill="FFFFFF"/>
        </w:rPr>
        <w:t>), our high court concluded that</w:t>
      </w:r>
      <w:r w:rsidR="001F0F93">
        <w:rPr>
          <w:shd w:val="clear" w:color="auto" w:fill="FFFFFF"/>
        </w:rPr>
        <w:t xml:space="preserve"> the trial court had exceeded its statutory authority and violated due process in the case because disturbing the peace was not a lesser included offense of possession of a firebomb.  (</w:t>
      </w:r>
      <w:r w:rsidR="001F0F93">
        <w:rPr>
          <w:i/>
          <w:iCs/>
          <w:shd w:val="clear" w:color="auto" w:fill="FFFFFF"/>
        </w:rPr>
        <w:t>Id.</w:t>
      </w:r>
      <w:r w:rsidR="001F0F93">
        <w:rPr>
          <w:shd w:val="clear" w:color="auto" w:fill="FFFFFF"/>
        </w:rPr>
        <w:t xml:space="preserve"> at p. 758.)  The Court then turned to the appropriate procedure on remand.  The defendants argued that they were entitled to dismissal or a judgment of acquittal on double jeopardy grounds because the court’s action in modifying the verdict was an implied acquittal.  (</w:t>
      </w:r>
      <w:r w:rsidR="001F0F93">
        <w:rPr>
          <w:i/>
          <w:iCs/>
          <w:shd w:val="clear" w:color="auto" w:fill="FFFFFF"/>
        </w:rPr>
        <w:t xml:space="preserve">Id. </w:t>
      </w:r>
      <w:r w:rsidR="001F0F93">
        <w:rPr>
          <w:shd w:val="clear" w:color="auto" w:fill="FFFFFF"/>
        </w:rPr>
        <w:t xml:space="preserve">at p. 759.)  </w:t>
      </w:r>
    </w:p>
    <w:p w:rsidR="005E4CAF" w:rsidRPr="005C019F" w:rsidP="00647FC7" w14:paraId="7AC7A699" w14:textId="6675621C">
      <w:pPr>
        <w:pStyle w:val="Text"/>
        <w:ind w:firstLine="0"/>
        <w:rPr>
          <w:shd w:val="clear" w:color="auto" w:fill="FFFFFF"/>
        </w:rPr>
      </w:pPr>
      <w:r>
        <w:rPr>
          <w:shd w:val="clear" w:color="auto" w:fill="FFFFFF"/>
        </w:rPr>
        <w:tab/>
        <w:t>In rejecting this claim, the Court began by reciting the “familiar principle” that a defendant who has successfully moved to have a conviction set aside “impliedly waives an</w:t>
      </w:r>
      <w:r w:rsidR="00EF46CA">
        <w:rPr>
          <w:shd w:val="clear" w:color="auto" w:fill="FFFFFF"/>
        </w:rPr>
        <w:t>y</w:t>
      </w:r>
      <w:r>
        <w:rPr>
          <w:shd w:val="clear" w:color="auto" w:fill="FFFFFF"/>
        </w:rPr>
        <w:t xml:space="preserve"> objection to being retried” on the original charge.  (</w:t>
      </w:r>
      <w:bookmarkStart w:id="7" w:name="_Hlk142404601"/>
      <w:r w:rsidRPr="00DD4723">
        <w:rPr>
          <w:i/>
          <w:iCs/>
          <w:shd w:val="clear" w:color="auto" w:fill="FFFFFF"/>
        </w:rPr>
        <w:t>Serrato</w:t>
      </w:r>
      <w:r w:rsidRPr="00DD4723">
        <w:rPr>
          <w:shd w:val="clear" w:color="auto" w:fill="FFFFFF"/>
        </w:rPr>
        <w:t xml:space="preserve">, </w:t>
      </w:r>
      <w:r w:rsidRPr="00DD4723">
        <w:rPr>
          <w:i/>
          <w:iCs/>
          <w:shd w:val="clear" w:color="auto" w:fill="FFFFFF"/>
        </w:rPr>
        <w:t>supra</w:t>
      </w:r>
      <w:r w:rsidRPr="00DD4723">
        <w:rPr>
          <w:shd w:val="clear" w:color="auto" w:fill="FFFFFF"/>
        </w:rPr>
        <w:t xml:space="preserve">, 9 Cal.3d </w:t>
      </w:r>
      <w:r w:rsidRPr="005E4CAF">
        <w:rPr>
          <w:shd w:val="clear" w:color="auto" w:fill="FFFFFF"/>
        </w:rPr>
        <w:t xml:space="preserve">at pp. 759–760.)  </w:t>
      </w:r>
      <w:bookmarkEnd w:id="7"/>
      <w:r w:rsidRPr="005E4CAF">
        <w:rPr>
          <w:shd w:val="clear" w:color="auto" w:fill="FFFFFF"/>
        </w:rPr>
        <w:t xml:space="preserve">The Court also acknowledged another well-established rule:  “[W]here a trier of the facts finds the defendant guilty of a lesser degree of the offense charged, or of a lesser </w:t>
      </w:r>
      <w:r w:rsidRPr="00647FC7">
        <w:rPr>
          <w:shd w:val="clear" w:color="auto" w:fill="FFFFFF"/>
        </w:rPr>
        <w:t>included offense, there is an implied acquittal of the greater offense.”  (</w:t>
      </w:r>
      <w:r w:rsidRPr="00647FC7">
        <w:rPr>
          <w:i/>
          <w:iCs/>
          <w:shd w:val="clear" w:color="auto" w:fill="FFFFFF"/>
        </w:rPr>
        <w:t>Id.</w:t>
      </w:r>
      <w:r w:rsidRPr="00647FC7">
        <w:rPr>
          <w:shd w:val="clear" w:color="auto" w:fill="FFFFFF"/>
        </w:rPr>
        <w:t xml:space="preserve"> at p. 760.)</w:t>
      </w:r>
      <w:r w:rsidRPr="00647FC7" w:rsidR="00647FC7">
        <w:rPr>
          <w:shd w:val="clear" w:color="auto" w:fill="FFFFFF"/>
        </w:rPr>
        <w:t xml:space="preserve">  And it confirmed that “[i]f in lieu of granting a new trial the court decides to modify the verdict to a lesser included offense, and this modified verdict ultimately ripens into a final judgment of conviction, the conviction bars </w:t>
      </w:r>
      <w:r w:rsidRPr="005C019F" w:rsidR="00647FC7">
        <w:rPr>
          <w:shd w:val="clear" w:color="auto" w:fill="FFFFFF"/>
        </w:rPr>
        <w:t>further prosecution of either the offense charged or the lesser offense.”  (</w:t>
      </w:r>
      <w:r w:rsidRPr="005C019F" w:rsidR="00647FC7">
        <w:rPr>
          <w:i/>
          <w:iCs/>
          <w:shd w:val="clear" w:color="auto" w:fill="FFFFFF"/>
        </w:rPr>
        <w:t xml:space="preserve">Id. </w:t>
      </w:r>
      <w:r w:rsidRPr="005C019F" w:rsidR="00647FC7">
        <w:rPr>
          <w:shd w:val="clear" w:color="auto" w:fill="FFFFFF"/>
        </w:rPr>
        <w:t>at p. 761.) </w:t>
      </w:r>
    </w:p>
    <w:p w:rsidR="004C2333" w:rsidP="005C019F" w14:paraId="1F429559" w14:textId="2F07F5CD">
      <w:pPr>
        <w:pStyle w:val="Text"/>
        <w:ind w:firstLine="0"/>
        <w:rPr>
          <w:color w:val="000000"/>
        </w:rPr>
      </w:pPr>
      <w:r w:rsidRPr="005C019F">
        <w:rPr>
          <w:shd w:val="clear" w:color="auto" w:fill="FFFFFF"/>
        </w:rPr>
        <w:tab/>
        <w:t xml:space="preserve">The Supreme Court </w:t>
      </w:r>
      <w:r w:rsidR="00D66544">
        <w:rPr>
          <w:shd w:val="clear" w:color="auto" w:fill="FFFFFF"/>
        </w:rPr>
        <w:t xml:space="preserve">determined, however, </w:t>
      </w:r>
      <w:r w:rsidRPr="005C019F">
        <w:rPr>
          <w:shd w:val="clear" w:color="auto" w:fill="FFFFFF"/>
        </w:rPr>
        <w:t xml:space="preserve">that </w:t>
      </w:r>
      <w:r w:rsidR="00D66544">
        <w:rPr>
          <w:shd w:val="clear" w:color="auto" w:fill="FFFFFF"/>
        </w:rPr>
        <w:t xml:space="preserve">if </w:t>
      </w:r>
      <w:r w:rsidRPr="005C019F" w:rsidR="005C019F">
        <w:rPr>
          <w:shd w:val="clear" w:color="auto" w:fill="FFFFFF"/>
        </w:rPr>
        <w:t>a trial court reviewing a new trial motion</w:t>
      </w:r>
      <w:r w:rsidRPr="005C019F" w:rsidR="005C019F">
        <w:rPr>
          <w:rFonts w:eastAsia="Times New Roman"/>
        </w:rPr>
        <w:t xml:space="preserve"> </w:t>
      </w:r>
      <w:r w:rsidR="00D66544">
        <w:rPr>
          <w:shd w:val="clear" w:color="auto" w:fill="FFFFFF"/>
        </w:rPr>
        <w:t xml:space="preserve">concludes that a verdict should be modified to an </w:t>
      </w:r>
      <w:r w:rsidRPr="00D66544" w:rsidR="00D66544">
        <w:rPr>
          <w:i/>
          <w:iCs/>
          <w:shd w:val="clear" w:color="auto" w:fill="FFFFFF"/>
        </w:rPr>
        <w:t>uncharged</w:t>
      </w:r>
      <w:r w:rsidR="00D66544">
        <w:rPr>
          <w:shd w:val="clear" w:color="auto" w:fill="FFFFFF"/>
        </w:rPr>
        <w:t xml:space="preserve"> offense, it should grant a new trial, not an acquittal.</w:t>
      </w:r>
      <w:r w:rsidRPr="005C019F" w:rsidR="00D66544">
        <w:rPr>
          <w:rFonts w:eastAsia="Times New Roman"/>
        </w:rPr>
        <w:t xml:space="preserve"> </w:t>
      </w:r>
      <w:r w:rsidR="00D66544">
        <w:rPr>
          <w:rFonts w:eastAsia="Times New Roman"/>
        </w:rPr>
        <w:t xml:space="preserve"> </w:t>
      </w:r>
      <w:r w:rsidRPr="005C019F" w:rsidR="005C019F">
        <w:rPr>
          <w:rFonts w:eastAsia="Times New Roman"/>
        </w:rPr>
        <w:t>(</w:t>
      </w:r>
      <w:r w:rsidRPr="00DD4723" w:rsidR="005C019F">
        <w:rPr>
          <w:i/>
          <w:iCs/>
          <w:shd w:val="clear" w:color="auto" w:fill="FFFFFF"/>
        </w:rPr>
        <w:t>Serrato</w:t>
      </w:r>
      <w:r w:rsidRPr="00DD4723" w:rsidR="005C019F">
        <w:rPr>
          <w:shd w:val="clear" w:color="auto" w:fill="FFFFFF"/>
        </w:rPr>
        <w:t xml:space="preserve">, </w:t>
      </w:r>
      <w:r w:rsidRPr="00DD4723" w:rsidR="005C019F">
        <w:rPr>
          <w:i/>
          <w:iCs/>
          <w:shd w:val="clear" w:color="auto" w:fill="FFFFFF"/>
        </w:rPr>
        <w:t>supra</w:t>
      </w:r>
      <w:r w:rsidRPr="00DD4723" w:rsidR="005C019F">
        <w:rPr>
          <w:shd w:val="clear" w:color="auto" w:fill="FFFFFF"/>
        </w:rPr>
        <w:t xml:space="preserve">, 9 Cal.3d </w:t>
      </w:r>
      <w:r w:rsidRPr="005E4CAF" w:rsidR="005C019F">
        <w:rPr>
          <w:shd w:val="clear" w:color="auto" w:fill="FFFFFF"/>
        </w:rPr>
        <w:t>at p. 7</w:t>
      </w:r>
      <w:r w:rsidR="005C019F">
        <w:rPr>
          <w:shd w:val="clear" w:color="auto" w:fill="FFFFFF"/>
        </w:rPr>
        <w:t>62</w:t>
      </w:r>
      <w:r w:rsidRPr="005E4CAF" w:rsidR="005C019F">
        <w:rPr>
          <w:shd w:val="clear" w:color="auto" w:fill="FFFFFF"/>
        </w:rPr>
        <w:t>.)</w:t>
      </w:r>
      <w:r w:rsidR="005C019F">
        <w:rPr>
          <w:shd w:val="clear" w:color="auto" w:fill="FFFFFF"/>
        </w:rPr>
        <w:t xml:space="preserve">  The Court continued:  “</w:t>
      </w:r>
      <w:r w:rsidR="005C019F">
        <w:rPr>
          <w:color w:val="000000"/>
        </w:rPr>
        <w:t>[L]</w:t>
      </w:r>
      <w:r>
        <w:rPr>
          <w:color w:val="000000"/>
        </w:rPr>
        <w:t xml:space="preserve">ogic does not reveal any fact-finding which would support a modification to an offense neither charged nor </w:t>
      </w:r>
      <w:bookmarkStart w:id="8" w:name="_Hlk143238975"/>
      <w:r>
        <w:rPr>
          <w:color w:val="000000"/>
        </w:rPr>
        <w:t xml:space="preserve">proved. </w:t>
      </w:r>
      <w:r w:rsidR="005C019F">
        <w:rPr>
          <w:color w:val="000000"/>
        </w:rPr>
        <w:t xml:space="preserve"> </w:t>
      </w:r>
      <w:r w:rsidRPr="00D66544">
        <w:rPr>
          <w:i/>
          <w:iCs/>
          <w:color w:val="000000"/>
        </w:rPr>
        <w:t>What appears is that the trial court desired to exercise an unauthorized leniency</w:t>
      </w:r>
      <w:r>
        <w:rPr>
          <w:color w:val="000000"/>
        </w:rPr>
        <w:t xml:space="preserve">. The fact that the court imposed probation and a fine implies the court found that the defendants were guilty of some offense. </w:t>
      </w:r>
      <w:r w:rsidR="005C019F">
        <w:rPr>
          <w:color w:val="000000"/>
        </w:rPr>
        <w:t xml:space="preserve"> </w:t>
      </w:r>
      <w:r>
        <w:rPr>
          <w:color w:val="000000"/>
        </w:rPr>
        <w:t>But if they are not being punished for the offense found by the jury, we have no clue to any other basis of punishment.</w:t>
      </w:r>
      <w:r w:rsidR="005C019F">
        <w:rPr>
          <w:color w:val="000000"/>
        </w:rPr>
        <w:t>”  (</w:t>
      </w:r>
      <w:r w:rsidR="005C019F">
        <w:rPr>
          <w:i/>
          <w:iCs/>
          <w:color w:val="000000"/>
        </w:rPr>
        <w:t xml:space="preserve">Id. </w:t>
      </w:r>
      <w:r w:rsidR="005C019F">
        <w:rPr>
          <w:color w:val="000000"/>
        </w:rPr>
        <w:t>at pp. 762-763</w:t>
      </w:r>
      <w:r w:rsidR="00D66544">
        <w:rPr>
          <w:color w:val="000000"/>
        </w:rPr>
        <w:t>, italics added</w:t>
      </w:r>
      <w:r w:rsidR="005C019F">
        <w:rPr>
          <w:color w:val="000000"/>
        </w:rPr>
        <w:t>.)</w:t>
      </w:r>
      <w:bookmarkEnd w:id="8"/>
    </w:p>
    <w:p w:rsidR="003935BF" w:rsidP="004C2333" w14:paraId="1E6B4B58" w14:textId="79AEFFA4">
      <w:pPr>
        <w:pStyle w:val="Text"/>
        <w:ind w:firstLine="0"/>
        <w:rPr>
          <w:shd w:val="clear" w:color="auto" w:fill="FFFFFF"/>
        </w:rPr>
      </w:pPr>
      <w:r>
        <w:rPr>
          <w:color w:val="000000"/>
        </w:rPr>
        <w:tab/>
      </w:r>
      <w:r w:rsidR="00D66544">
        <w:rPr>
          <w:color w:val="000000"/>
        </w:rPr>
        <w:t xml:space="preserve">The Court also rejected the defendant’s </w:t>
      </w:r>
      <w:r w:rsidR="00D95EBA">
        <w:rPr>
          <w:color w:val="000000"/>
        </w:rPr>
        <w:t xml:space="preserve">alternate </w:t>
      </w:r>
      <w:r w:rsidR="00D66544">
        <w:rPr>
          <w:color w:val="000000"/>
        </w:rPr>
        <w:t xml:space="preserve">contention that they were </w:t>
      </w:r>
      <w:r w:rsidR="00D3763A">
        <w:rPr>
          <w:color w:val="000000"/>
        </w:rPr>
        <w:t xml:space="preserve">at least </w:t>
      </w:r>
      <w:r w:rsidR="00D66544">
        <w:rPr>
          <w:color w:val="000000"/>
        </w:rPr>
        <w:t>protected</w:t>
      </w:r>
      <w:r w:rsidR="00D3763A">
        <w:rPr>
          <w:color w:val="000000"/>
        </w:rPr>
        <w:t xml:space="preserve"> from more severe punishment under </w:t>
      </w:r>
      <w:r w:rsidR="00D3763A">
        <w:rPr>
          <w:i/>
          <w:iCs/>
          <w:color w:val="000000"/>
        </w:rPr>
        <w:t>Henderson</w:t>
      </w:r>
      <w:r w:rsidR="00D3763A">
        <w:rPr>
          <w:color w:val="000000"/>
        </w:rPr>
        <w:t xml:space="preserve"> and its progeny. </w:t>
      </w:r>
      <w:r w:rsidR="008F23DA">
        <w:rPr>
          <w:color w:val="000000"/>
        </w:rPr>
        <w:t xml:space="preserve"> </w:t>
      </w:r>
      <w:r w:rsidRPr="00D3763A" w:rsidR="00D3763A">
        <w:t>(</w:t>
      </w:r>
      <w:bookmarkStart w:id="9" w:name="_Hlk142466625"/>
      <w:r w:rsidRPr="00D3763A" w:rsidR="00D3763A">
        <w:rPr>
          <w:i/>
          <w:iCs/>
          <w:shd w:val="clear" w:color="auto" w:fill="FFFFFF"/>
        </w:rPr>
        <w:t>Serrato</w:t>
      </w:r>
      <w:r w:rsidRPr="00D3763A" w:rsidR="00D3763A">
        <w:rPr>
          <w:shd w:val="clear" w:color="auto" w:fill="FFFFFF"/>
        </w:rPr>
        <w:t xml:space="preserve">, </w:t>
      </w:r>
      <w:r w:rsidRPr="00D3763A" w:rsidR="00D3763A">
        <w:rPr>
          <w:i/>
          <w:iCs/>
          <w:shd w:val="clear" w:color="auto" w:fill="FFFFFF"/>
        </w:rPr>
        <w:t>supra</w:t>
      </w:r>
      <w:r w:rsidRPr="00D3763A" w:rsidR="00D3763A">
        <w:rPr>
          <w:shd w:val="clear" w:color="auto" w:fill="FFFFFF"/>
        </w:rPr>
        <w:t>, 9 Cal.3d at p. 763</w:t>
      </w:r>
      <w:bookmarkEnd w:id="9"/>
      <w:r w:rsidRPr="00D3763A" w:rsidR="00D3763A">
        <w:rPr>
          <w:shd w:val="clear" w:color="auto" w:fill="FFFFFF"/>
        </w:rPr>
        <w:t>.)  Specifically, it reasoned that, “[i]n</w:t>
      </w:r>
      <w:r w:rsidRPr="00D3763A" w:rsidR="00D66544">
        <w:t xml:space="preserve"> </w:t>
      </w:r>
      <w:r w:rsidRPr="00D3763A" w:rsidR="00D3763A">
        <w:rPr>
          <w:shd w:val="clear" w:color="auto" w:fill="FFFFFF"/>
        </w:rPr>
        <w:t>the</w:t>
      </w:r>
      <w:r w:rsidR="00570AC8">
        <w:rPr>
          <w:shd w:val="clear" w:color="auto" w:fill="FFFFFF"/>
        </w:rPr>
        <w:t xml:space="preserve"> </w:t>
      </w:r>
      <w:r w:rsidRPr="00D3763A" w:rsidR="00D3763A">
        <w:rPr>
          <w:rStyle w:val="ssit"/>
          <w:i/>
          <w:iCs/>
          <w:bdr w:val="none" w:sz="0" w:space="0" w:color="auto" w:frame="1"/>
          <w:shd w:val="clear" w:color="auto" w:fill="FFFFFF"/>
        </w:rPr>
        <w:t>Henderson</w:t>
      </w:r>
      <w:r w:rsidR="00570AC8">
        <w:rPr>
          <w:shd w:val="clear" w:color="auto" w:fill="FFFFFF"/>
        </w:rPr>
        <w:t xml:space="preserve"> </w:t>
      </w:r>
      <w:r w:rsidRPr="00D3763A" w:rsidR="00D3763A">
        <w:rPr>
          <w:shd w:val="clear" w:color="auto" w:fill="FFFFFF"/>
        </w:rPr>
        <w:t>case, as in each of the cited cases which followed it, the sentence imposed after the first trial was a lawful one, within the limits of the discretion conferred by statute for the offense of which the defendant had been convicted.  The judgments pronounced at the first trials were reversed because of errors having nothing to do with the sentences.”</w:t>
      </w:r>
      <w:r w:rsidR="00D3763A">
        <w:rPr>
          <w:shd w:val="clear" w:color="auto" w:fill="FFFFFF"/>
        </w:rPr>
        <w:t xml:space="preserve">  (</w:t>
      </w:r>
      <w:r w:rsidR="00D3763A">
        <w:rPr>
          <w:i/>
          <w:iCs/>
          <w:shd w:val="clear" w:color="auto" w:fill="FFFFFF"/>
        </w:rPr>
        <w:t>Id.</w:t>
      </w:r>
      <w:r w:rsidR="00D3763A">
        <w:rPr>
          <w:shd w:val="clear" w:color="auto" w:fill="FFFFFF"/>
        </w:rPr>
        <w:t xml:space="preserve"> at p.</w:t>
      </w:r>
      <w:r w:rsidR="00530C8A">
        <w:rPr>
          <w:shd w:val="clear" w:color="auto" w:fill="FFFFFF"/>
        </w:rPr>
        <w:t> </w:t>
      </w:r>
      <w:r w:rsidR="00D3763A">
        <w:rPr>
          <w:shd w:val="clear" w:color="auto" w:fill="FFFFFF"/>
        </w:rPr>
        <w:t>764.)  In contrast, when “a trial court pronounces an unauthorized sentence,” the “rule is otherwise.  (</w:t>
      </w:r>
      <w:r w:rsidR="00D3763A">
        <w:rPr>
          <w:i/>
          <w:iCs/>
          <w:shd w:val="clear" w:color="auto" w:fill="FFFFFF"/>
        </w:rPr>
        <w:t>Ibid.</w:t>
      </w:r>
      <w:r w:rsidR="00D3763A">
        <w:rPr>
          <w:shd w:val="clear" w:color="auto" w:fill="FFFFFF"/>
        </w:rPr>
        <w:t>)  “</w:t>
      </w:r>
      <w:r w:rsidR="004C2333">
        <w:rPr>
          <w:rStyle w:val="ssrfcpassagedeactivated"/>
          <w:bdr w:val="none" w:sz="0" w:space="0" w:color="auto" w:frame="1"/>
        </w:rPr>
        <w:t xml:space="preserve">Such a sentence is subject to being set aside judicially and is no bar to the imposition of a </w:t>
      </w:r>
      <w:r w:rsidRPr="00731713" w:rsidR="004C2333">
        <w:rPr>
          <w:rStyle w:val="ssrfcpassagedeactivated"/>
          <w:bdr w:val="none" w:sz="0" w:space="0" w:color="auto" w:frame="1"/>
        </w:rPr>
        <w:t>proper judgment thereafter, even though it is more severe than the original unauthorized pronouncement.</w:t>
      </w:r>
      <w:r w:rsidRPr="00731713" w:rsidR="00D3763A">
        <w:rPr>
          <w:rStyle w:val="ssrfcpassagedeactivated"/>
          <w:bdr w:val="none" w:sz="0" w:space="0" w:color="auto" w:frame="1"/>
        </w:rPr>
        <w:t>”  (</w:t>
      </w:r>
      <w:r w:rsidRPr="00731713" w:rsidR="00D3763A">
        <w:rPr>
          <w:rStyle w:val="ssrfcpassagedeactivated"/>
          <w:i/>
          <w:iCs/>
          <w:bdr w:val="none" w:sz="0" w:space="0" w:color="auto" w:frame="1"/>
        </w:rPr>
        <w:t>Ibid.</w:t>
      </w:r>
      <w:r w:rsidRPr="00731713" w:rsidR="00D3763A">
        <w:rPr>
          <w:rStyle w:val="ssrfcpassagedeactivated"/>
          <w:bdr w:val="none" w:sz="0" w:space="0" w:color="auto" w:frame="1"/>
        </w:rPr>
        <w:t>)</w:t>
      </w:r>
      <w:r w:rsidRPr="00731713" w:rsidR="00731713">
        <w:rPr>
          <w:rStyle w:val="ssrfcpassagedeactivated"/>
          <w:bdr w:val="none" w:sz="0" w:space="0" w:color="auto" w:frame="1"/>
        </w:rPr>
        <w:t xml:space="preserve">  The Court gave three examples, all of which involved unauthorized sentences which were </w:t>
      </w:r>
      <w:r w:rsidR="00F877D7">
        <w:rPr>
          <w:rStyle w:val="ssrfcpassagedeactivated"/>
          <w:bdr w:val="none" w:sz="0" w:space="0" w:color="auto" w:frame="1"/>
        </w:rPr>
        <w:t>impermissibly</w:t>
      </w:r>
      <w:r w:rsidRPr="00731713" w:rsidR="00731713">
        <w:rPr>
          <w:rStyle w:val="ssrfcpassagedeactivated"/>
          <w:bdr w:val="none" w:sz="0" w:space="0" w:color="auto" w:frame="1"/>
        </w:rPr>
        <w:t xml:space="preserve"> lenient.  (</w:t>
      </w:r>
      <w:r w:rsidR="00731713">
        <w:rPr>
          <w:rStyle w:val="ssrfcpassagedeactivated"/>
          <w:bdr w:val="none" w:sz="0" w:space="0" w:color="auto" w:frame="1"/>
        </w:rPr>
        <w:t xml:space="preserve">See </w:t>
      </w:r>
      <w:r w:rsidR="00731713">
        <w:rPr>
          <w:rStyle w:val="ssrfcpassagedeactivated"/>
          <w:i/>
          <w:iCs/>
          <w:bdr w:val="none" w:sz="0" w:space="0" w:color="auto" w:frame="1"/>
        </w:rPr>
        <w:t>In re Sandel</w:t>
      </w:r>
      <w:r w:rsidR="00731713">
        <w:rPr>
          <w:rStyle w:val="ssrfcpassagedeactivated"/>
          <w:bdr w:val="none" w:sz="0" w:space="0" w:color="auto" w:frame="1"/>
        </w:rPr>
        <w:t xml:space="preserve"> (1966) 64 Cal.2d 412</w:t>
      </w:r>
      <w:r w:rsidR="0068545A">
        <w:rPr>
          <w:rStyle w:val="ssrfcpassagedeactivated"/>
          <w:bdr w:val="none" w:sz="0" w:space="0" w:color="auto" w:frame="1"/>
        </w:rPr>
        <w:t>, 418</w:t>
      </w:r>
      <w:r w:rsidR="00731713">
        <w:rPr>
          <w:rStyle w:val="ssrfcpassagedeactivated"/>
          <w:bdr w:val="none" w:sz="0" w:space="0" w:color="auto" w:frame="1"/>
        </w:rPr>
        <w:t xml:space="preserve"> [unauthorized concurrent sentence for escape </w:t>
      </w:r>
      <w:r w:rsidR="0068545A">
        <w:rPr>
          <w:rStyle w:val="ssrfcpassagedeactivated"/>
          <w:bdr w:val="none" w:sz="0" w:space="0" w:color="auto" w:frame="1"/>
        </w:rPr>
        <w:t>judicially modified to consecutive sentence]</w:t>
      </w:r>
      <w:r w:rsidR="00731713">
        <w:rPr>
          <w:rStyle w:val="ssrfcpassagedeactivated"/>
          <w:bdr w:val="none" w:sz="0" w:space="0" w:color="auto" w:frame="1"/>
        </w:rPr>
        <w:t xml:space="preserve">; </w:t>
      </w:r>
      <w:r w:rsidR="0042425D">
        <w:rPr>
          <w:rStyle w:val="ssrfcpassagedeactivated"/>
          <w:i/>
          <w:iCs/>
          <w:bdr w:val="none" w:sz="0" w:space="0" w:color="auto" w:frame="1"/>
        </w:rPr>
        <w:t xml:space="preserve">People </w:t>
      </w:r>
      <w:r w:rsidRPr="0042425D" w:rsidR="0042425D">
        <w:rPr>
          <w:rStyle w:val="ssrfcpassagedeactivated"/>
          <w:i/>
          <w:iCs/>
          <w:bdr w:val="none" w:sz="0" w:space="0" w:color="auto" w:frame="1"/>
        </w:rPr>
        <w:t>v. Massengale</w:t>
      </w:r>
      <w:r w:rsidR="0042425D">
        <w:rPr>
          <w:rStyle w:val="ssrfcpassagedeactivated"/>
          <w:bdr w:val="none" w:sz="0" w:space="0" w:color="auto" w:frame="1"/>
        </w:rPr>
        <w:t xml:space="preserve"> (1970) 10 Cal.App.3d 689, 693</w:t>
      </w:r>
      <w:r w:rsidR="0005469C">
        <w:rPr>
          <w:rStyle w:val="ssrfcpassagedeactivated"/>
          <w:bdr w:val="none" w:sz="0" w:space="0" w:color="auto" w:frame="1"/>
        </w:rPr>
        <w:t xml:space="preserve"> (</w:t>
      </w:r>
      <w:r w:rsidR="0005469C">
        <w:rPr>
          <w:rStyle w:val="ssrfcpassagedeactivated"/>
          <w:i/>
          <w:iCs/>
          <w:bdr w:val="none" w:sz="0" w:space="0" w:color="auto" w:frame="1"/>
        </w:rPr>
        <w:t>Massengale</w:t>
      </w:r>
      <w:r w:rsidR="0005469C">
        <w:rPr>
          <w:rStyle w:val="ssrfcpassagedeactivated"/>
          <w:bdr w:val="none" w:sz="0" w:space="0" w:color="auto" w:frame="1"/>
        </w:rPr>
        <w:t>)</w:t>
      </w:r>
      <w:r w:rsidR="0042425D">
        <w:rPr>
          <w:rStyle w:val="ssrfcpassagedeactivated"/>
          <w:bdr w:val="none" w:sz="0" w:space="0" w:color="auto" w:frame="1"/>
        </w:rPr>
        <w:t xml:space="preserve"> [</w:t>
      </w:r>
      <w:r w:rsidR="0030412E">
        <w:rPr>
          <w:rStyle w:val="ssrfcpassagedeactivated"/>
          <w:bdr w:val="none" w:sz="0" w:space="0" w:color="auto" w:frame="1"/>
        </w:rPr>
        <w:t xml:space="preserve">county jail </w:t>
      </w:r>
      <w:r w:rsidR="005A32D1">
        <w:rPr>
          <w:rStyle w:val="ssrfcpassagedeactivated"/>
          <w:bdr w:val="none" w:sz="0" w:space="0" w:color="auto" w:frame="1"/>
        </w:rPr>
        <w:t xml:space="preserve">sentences </w:t>
      </w:r>
      <w:r w:rsidR="0030412E">
        <w:rPr>
          <w:rStyle w:val="ssrfcpassagedeactivated"/>
          <w:bdr w:val="none" w:sz="0" w:space="0" w:color="auto" w:frame="1"/>
        </w:rPr>
        <w:t>unauthorized where sentencing statute provided for one to ten years in state prison</w:t>
      </w:r>
      <w:r w:rsidR="0042425D">
        <w:rPr>
          <w:rStyle w:val="ssrfcpassagedeactivated"/>
          <w:bdr w:val="none" w:sz="0" w:space="0" w:color="auto" w:frame="1"/>
        </w:rPr>
        <w:t>]</w:t>
      </w:r>
      <w:r>
        <w:rPr>
          <w:rStyle w:val="FootnoteReference"/>
          <w:bdr w:val="none" w:sz="0" w:space="0" w:color="auto" w:frame="1"/>
        </w:rPr>
        <w:footnoteReference w:id="5"/>
      </w:r>
      <w:r w:rsidR="0042425D">
        <w:rPr>
          <w:rStyle w:val="ssrfcpassagedeactivated"/>
          <w:bdr w:val="none" w:sz="0" w:space="0" w:color="auto" w:frame="1"/>
        </w:rPr>
        <w:t xml:space="preserve">; </w:t>
      </w:r>
      <w:r w:rsidRPr="00F2469D" w:rsidR="0068545A">
        <w:rPr>
          <w:rStyle w:val="ssrfcpassagedeactivated"/>
          <w:i/>
          <w:iCs/>
          <w:bdr w:val="none" w:sz="0" w:space="0" w:color="auto" w:frame="1"/>
        </w:rPr>
        <w:t>People</w:t>
      </w:r>
      <w:r w:rsidR="0068545A">
        <w:rPr>
          <w:rStyle w:val="ssrfcpassagedeactivated"/>
          <w:i/>
          <w:iCs/>
          <w:bdr w:val="none" w:sz="0" w:space="0" w:color="auto" w:frame="1"/>
        </w:rPr>
        <w:t xml:space="preserve"> v. Orrante</w:t>
      </w:r>
      <w:r w:rsidR="0068545A">
        <w:rPr>
          <w:rStyle w:val="ssrfcpassagedeactivated"/>
          <w:bdr w:val="none" w:sz="0" w:space="0" w:color="auto" w:frame="1"/>
        </w:rPr>
        <w:t xml:space="preserve"> (</w:t>
      </w:r>
      <w:r w:rsidR="0042425D">
        <w:rPr>
          <w:rStyle w:val="ssrfcpassagedeactivated"/>
          <w:bdr w:val="none" w:sz="0" w:space="0" w:color="auto" w:frame="1"/>
        </w:rPr>
        <w:t>1962</w:t>
      </w:r>
      <w:r w:rsidR="0068545A">
        <w:rPr>
          <w:rStyle w:val="ssrfcpassagedeactivated"/>
          <w:bdr w:val="none" w:sz="0" w:space="0" w:color="auto" w:frame="1"/>
        </w:rPr>
        <w:t>) 201 Cal.App.2d 553,</w:t>
      </w:r>
      <w:r w:rsidR="0042425D">
        <w:rPr>
          <w:rStyle w:val="ssrfcpassagedeactivated"/>
          <w:bdr w:val="none" w:sz="0" w:space="0" w:color="auto" w:frame="1"/>
        </w:rPr>
        <w:t xml:space="preserve"> 558, 566–567</w:t>
      </w:r>
      <w:r w:rsidR="0068545A">
        <w:rPr>
          <w:rStyle w:val="ssrfcpassagedeactivated"/>
          <w:bdr w:val="none" w:sz="0" w:space="0" w:color="auto" w:frame="1"/>
        </w:rPr>
        <w:t xml:space="preserve"> [placement on probation after murder conviction in excess of trial court’s </w:t>
      </w:r>
      <w:r w:rsidR="0042425D">
        <w:rPr>
          <w:rStyle w:val="ssrfcpassagedeactivated"/>
          <w:bdr w:val="none" w:sz="0" w:space="0" w:color="auto" w:frame="1"/>
        </w:rPr>
        <w:t>jurisdiction</w:t>
      </w:r>
      <w:r w:rsidR="0068545A">
        <w:rPr>
          <w:rStyle w:val="ssrfcpassagedeactivated"/>
          <w:bdr w:val="none" w:sz="0" w:space="0" w:color="auto" w:frame="1"/>
        </w:rPr>
        <w:t>; remanded to impose lawful sentence]</w:t>
      </w:r>
      <w:r w:rsidR="0042425D">
        <w:rPr>
          <w:rStyle w:val="ssrfcpassagedeactivated"/>
          <w:bdr w:val="none" w:sz="0" w:space="0" w:color="auto" w:frame="1"/>
        </w:rPr>
        <w:t xml:space="preserve">, superseded by statute as stated in </w:t>
      </w:r>
      <w:r w:rsidR="0042425D">
        <w:rPr>
          <w:rStyle w:val="ssrfcpassagedeactivated"/>
          <w:i/>
          <w:iCs/>
          <w:bdr w:val="none" w:sz="0" w:space="0" w:color="auto" w:frame="1"/>
        </w:rPr>
        <w:t>People v. Bailey</w:t>
      </w:r>
      <w:r w:rsidR="0042425D">
        <w:rPr>
          <w:rStyle w:val="ssrfcpassagedeactivated"/>
          <w:bdr w:val="none" w:sz="0" w:space="0" w:color="auto" w:frame="1"/>
        </w:rPr>
        <w:t xml:space="preserve"> (1996) 45 Cal.App.4th 926, 929–930</w:t>
      </w:r>
      <w:r w:rsidRPr="00731713" w:rsidR="00731713">
        <w:rPr>
          <w:rStyle w:val="ssrfcpassagedeactivated"/>
          <w:bdr w:val="none" w:sz="0" w:space="0" w:color="auto" w:frame="1"/>
        </w:rPr>
        <w:t>.)</w:t>
      </w:r>
      <w:r w:rsidR="0030412E">
        <w:rPr>
          <w:rStyle w:val="ssrfcpassagedeactivated"/>
          <w:bdr w:val="none" w:sz="0" w:space="0" w:color="auto" w:frame="1"/>
        </w:rPr>
        <w:t xml:space="preserve">  </w:t>
      </w:r>
      <w:r w:rsidRPr="00731713" w:rsidR="00731713">
        <w:rPr>
          <w:rStyle w:val="ssrfcpassagedeactivated"/>
          <w:bdr w:val="none" w:sz="0" w:space="0" w:color="auto" w:frame="1"/>
        </w:rPr>
        <w:t>In sum, “</w:t>
      </w:r>
      <w:r w:rsidRPr="00731713" w:rsidR="00731713">
        <w:rPr>
          <w:shd w:val="clear" w:color="auto" w:fill="FFFFFF"/>
        </w:rPr>
        <w:t>a defendant who successfully attacks a judgment which is in excess of the court</w:t>
      </w:r>
      <w:r w:rsidR="00EF46CA">
        <w:rPr>
          <w:shd w:val="clear" w:color="auto" w:fill="FFFFFF"/>
        </w:rPr>
        <w:t>’</w:t>
      </w:r>
      <w:r w:rsidRPr="00731713" w:rsidR="00731713">
        <w:rPr>
          <w:shd w:val="clear" w:color="auto" w:fill="FFFFFF"/>
        </w:rPr>
        <w:t xml:space="preserve">s jurisdiction is </w:t>
      </w:r>
      <w:r w:rsidRPr="00043400" w:rsidR="00731713">
        <w:rPr>
          <w:i/>
          <w:iCs/>
          <w:shd w:val="clear" w:color="auto" w:fill="FFFFFF"/>
        </w:rPr>
        <w:t>not necessarily</w:t>
      </w:r>
      <w:r w:rsidRPr="00731713" w:rsidR="00731713">
        <w:rPr>
          <w:shd w:val="clear" w:color="auto" w:fill="FFFFFF"/>
        </w:rPr>
        <w:t xml:space="preserve"> entitled to claim the protection of that invalid judgment as an absolute limitation upon what the court may do thereafter.”</w:t>
      </w:r>
      <w:r w:rsidR="00731713">
        <w:rPr>
          <w:shd w:val="clear" w:color="auto" w:fill="FFFFFF"/>
        </w:rPr>
        <w:t xml:space="preserve"> </w:t>
      </w:r>
      <w:r w:rsidR="00951525">
        <w:rPr>
          <w:shd w:val="clear" w:color="auto" w:fill="FFFFFF"/>
        </w:rPr>
        <w:t xml:space="preserve"> </w:t>
      </w:r>
      <w:r w:rsidR="00731713">
        <w:rPr>
          <w:shd w:val="clear" w:color="auto" w:fill="FFFFFF"/>
        </w:rPr>
        <w:t>(</w:t>
      </w:r>
      <w:r w:rsidR="00731713">
        <w:rPr>
          <w:i/>
          <w:iCs/>
          <w:shd w:val="clear" w:color="auto" w:fill="FFFFFF"/>
        </w:rPr>
        <w:t>Serrato</w:t>
      </w:r>
      <w:r w:rsidR="00731713">
        <w:rPr>
          <w:shd w:val="clear" w:color="auto" w:fill="FFFFFF"/>
        </w:rPr>
        <w:t>, at p.</w:t>
      </w:r>
      <w:r w:rsidR="00951525">
        <w:rPr>
          <w:shd w:val="clear" w:color="auto" w:fill="FFFFFF"/>
        </w:rPr>
        <w:t xml:space="preserve"> 765</w:t>
      </w:r>
      <w:r w:rsidR="00043400">
        <w:rPr>
          <w:shd w:val="clear" w:color="auto" w:fill="FFFFFF"/>
        </w:rPr>
        <w:t>, italics added</w:t>
      </w:r>
      <w:r w:rsidR="00951525">
        <w:rPr>
          <w:shd w:val="clear" w:color="auto" w:fill="FFFFFF"/>
        </w:rPr>
        <w:t>.)</w:t>
      </w:r>
    </w:p>
    <w:p w:rsidR="003F30EC" w:rsidRPr="003F075C" w:rsidP="004C2333" w14:paraId="272B23A1" w14:textId="0ABCC4BA">
      <w:pPr>
        <w:pStyle w:val="Text"/>
        <w:ind w:firstLine="0"/>
        <w:rPr>
          <w:bdr w:val="none" w:sz="0" w:space="0" w:color="auto" w:frame="1"/>
        </w:rPr>
      </w:pPr>
      <w:r>
        <w:rPr>
          <w:shd w:val="clear" w:color="auto" w:fill="FFFFFF"/>
        </w:rPr>
        <w:tab/>
        <w:t xml:space="preserve">Although the Supreme Court noted that, under the circumstances, it would normally remand the case </w:t>
      </w:r>
      <w:r w:rsidR="00A03C89">
        <w:rPr>
          <w:shd w:val="clear" w:color="auto" w:fill="FFFFFF"/>
        </w:rPr>
        <w:t>to</w:t>
      </w:r>
      <w:r>
        <w:rPr>
          <w:shd w:val="clear" w:color="auto" w:fill="FFFFFF"/>
        </w:rPr>
        <w:t xml:space="preserve"> the superior court for a new hearing on the new trial motion, </w:t>
      </w:r>
      <w:r w:rsidR="00A35EDE">
        <w:rPr>
          <w:shd w:val="clear" w:color="auto" w:fill="FFFFFF"/>
        </w:rPr>
        <w:t>the Court</w:t>
      </w:r>
      <w:r>
        <w:rPr>
          <w:shd w:val="clear" w:color="auto" w:fill="FFFFFF"/>
        </w:rPr>
        <w:t xml:space="preserve"> </w:t>
      </w:r>
      <w:r w:rsidR="00A03C89">
        <w:rPr>
          <w:shd w:val="clear" w:color="auto" w:fill="FFFFFF"/>
        </w:rPr>
        <w:t xml:space="preserve">went on to </w:t>
      </w:r>
      <w:r>
        <w:rPr>
          <w:shd w:val="clear" w:color="auto" w:fill="FFFFFF"/>
        </w:rPr>
        <w:t xml:space="preserve">determine that the </w:t>
      </w:r>
      <w:r w:rsidR="00A35EDE">
        <w:rPr>
          <w:shd w:val="clear" w:color="auto" w:fill="FFFFFF"/>
        </w:rPr>
        <w:t xml:space="preserve">superior </w:t>
      </w:r>
      <w:r>
        <w:rPr>
          <w:shd w:val="clear" w:color="auto" w:fill="FFFFFF"/>
        </w:rPr>
        <w:t xml:space="preserve">court had violated </w:t>
      </w:r>
      <w:r w:rsidR="00A03C89">
        <w:rPr>
          <w:shd w:val="clear" w:color="auto" w:fill="FFFFFF"/>
        </w:rPr>
        <w:t>the defendants</w:t>
      </w:r>
      <w:r w:rsidR="00B5499B">
        <w:rPr>
          <w:shd w:val="clear" w:color="auto" w:fill="FFFFFF"/>
        </w:rPr>
        <w:t>’</w:t>
      </w:r>
      <w:r w:rsidR="00A03C89">
        <w:rPr>
          <w:shd w:val="clear" w:color="auto" w:fill="FFFFFF"/>
        </w:rPr>
        <w:t xml:space="preserve"> due process rights at trial by instructing the jury in a way that effectively reversed the burden of proof.  (</w:t>
      </w:r>
      <w:r w:rsidRPr="00D3763A" w:rsidR="00A03C89">
        <w:rPr>
          <w:i/>
          <w:iCs/>
          <w:shd w:val="clear" w:color="auto" w:fill="FFFFFF"/>
        </w:rPr>
        <w:t>Serrato</w:t>
      </w:r>
      <w:r w:rsidRPr="00D3763A" w:rsidR="00A03C89">
        <w:rPr>
          <w:shd w:val="clear" w:color="auto" w:fill="FFFFFF"/>
        </w:rPr>
        <w:t xml:space="preserve">, </w:t>
      </w:r>
      <w:r w:rsidRPr="00D3763A" w:rsidR="00A03C89">
        <w:rPr>
          <w:i/>
          <w:iCs/>
          <w:shd w:val="clear" w:color="auto" w:fill="FFFFFF"/>
        </w:rPr>
        <w:t>supra</w:t>
      </w:r>
      <w:r w:rsidRPr="00D3763A" w:rsidR="00A03C89">
        <w:rPr>
          <w:shd w:val="clear" w:color="auto" w:fill="FFFFFF"/>
        </w:rPr>
        <w:t xml:space="preserve">, 9 Cal.3d at </w:t>
      </w:r>
      <w:r w:rsidR="00A03C89">
        <w:rPr>
          <w:shd w:val="clear" w:color="auto" w:fill="FFFFFF"/>
        </w:rPr>
        <w:t>p</w:t>
      </w:r>
      <w:r w:rsidRPr="00D3763A" w:rsidR="00A03C89">
        <w:rPr>
          <w:shd w:val="clear" w:color="auto" w:fill="FFFFFF"/>
        </w:rPr>
        <w:t>p. 76</w:t>
      </w:r>
      <w:r w:rsidR="00A35EDE">
        <w:rPr>
          <w:shd w:val="clear" w:color="auto" w:fill="FFFFFF"/>
        </w:rPr>
        <w:t>5–</w:t>
      </w:r>
      <w:r w:rsidRPr="003F075C" w:rsidR="00A35EDE">
        <w:rPr>
          <w:shd w:val="clear" w:color="auto" w:fill="FFFFFF"/>
        </w:rPr>
        <w:t>767.)  It therefore ordered a new trial.  (</w:t>
      </w:r>
      <w:r w:rsidRPr="003F075C" w:rsidR="00A35EDE">
        <w:rPr>
          <w:i/>
          <w:iCs/>
          <w:shd w:val="clear" w:color="auto" w:fill="FFFFFF"/>
        </w:rPr>
        <w:t>Id.</w:t>
      </w:r>
      <w:r w:rsidRPr="003F075C" w:rsidR="00A35EDE">
        <w:rPr>
          <w:shd w:val="clear" w:color="auto" w:fill="FFFFFF"/>
        </w:rPr>
        <w:t xml:space="preserve"> at p. 765.)  Justice Mosk concurred in part and dissented in part, arguing that </w:t>
      </w:r>
      <w:r w:rsidRPr="003F075C" w:rsidR="003F075C">
        <w:rPr>
          <w:shd w:val="clear" w:color="auto" w:fill="FFFFFF"/>
        </w:rPr>
        <w:t>whatever “the rationale of the majority opinion, its melancholy result [was] to penalize these defendants for a successful appeal” in violation of the prohibition against double jeopardy.  (</w:t>
      </w:r>
      <w:r w:rsidRPr="003F075C" w:rsidR="003F075C">
        <w:rPr>
          <w:i/>
          <w:iCs/>
          <w:shd w:val="clear" w:color="auto" w:fill="FFFFFF"/>
        </w:rPr>
        <w:t>Id.</w:t>
      </w:r>
      <w:r w:rsidRPr="003F075C" w:rsidR="003F075C">
        <w:rPr>
          <w:shd w:val="clear" w:color="auto" w:fill="FFFFFF"/>
        </w:rPr>
        <w:t xml:space="preserve"> at pp. 767–768 (conc. &amp; dis. opn. of Mosk, J.).) </w:t>
      </w:r>
      <w:r w:rsidRPr="003F075C" w:rsidR="00A35EDE">
        <w:rPr>
          <w:shd w:val="clear" w:color="auto" w:fill="FFFFFF"/>
        </w:rPr>
        <w:t xml:space="preserve"> </w:t>
      </w:r>
      <w:r w:rsidRPr="003F075C" w:rsidR="00A03C89">
        <w:rPr>
          <w:shd w:val="clear" w:color="auto" w:fill="FFFFFF"/>
        </w:rPr>
        <w:t xml:space="preserve"> </w:t>
      </w:r>
      <w:r w:rsidRPr="003F075C" w:rsidR="00731713">
        <w:rPr>
          <w:shd w:val="clear" w:color="auto" w:fill="FFFFFF"/>
        </w:rPr>
        <w:t xml:space="preserve"> </w:t>
      </w:r>
    </w:p>
    <w:p w:rsidR="00357ADD" w:rsidP="004379C8" w14:paraId="66CB3AA2" w14:textId="2AB6F060">
      <w:pPr>
        <w:pStyle w:val="Text"/>
        <w:ind w:firstLine="0"/>
        <w:rPr>
          <w:color w:val="000000"/>
        </w:rPr>
      </w:pPr>
      <w:r>
        <w:tab/>
        <w:t xml:space="preserve">In the 50 years since the </w:t>
      </w:r>
      <w:r>
        <w:rPr>
          <w:i/>
          <w:iCs/>
        </w:rPr>
        <w:t>Serrato</w:t>
      </w:r>
      <w:r>
        <w:t xml:space="preserve"> decision, our high court has returned to the case</w:t>
      </w:r>
      <w:r w:rsidR="002361EB">
        <w:t>—</w:t>
      </w:r>
      <w:r>
        <w:t>in ways relevant to the instant appeal</w:t>
      </w:r>
      <w:r w:rsidR="002361EB">
        <w:t>—</w:t>
      </w:r>
      <w:r>
        <w:t xml:space="preserve">only a handful of times.  In </w:t>
      </w:r>
      <w:r w:rsidR="000E56DD">
        <w:rPr>
          <w:i/>
          <w:iCs/>
        </w:rPr>
        <w:t>In re Ricky H.</w:t>
      </w:r>
      <w:r w:rsidR="000E56DD">
        <w:t xml:space="preserve"> (1981) 30 Cal.3d 176 (</w:t>
      </w:r>
      <w:r w:rsidR="000E56DD">
        <w:rPr>
          <w:i/>
          <w:iCs/>
        </w:rPr>
        <w:t>Ricky H.</w:t>
      </w:r>
      <w:r w:rsidR="000E56DD">
        <w:t xml:space="preserve">), superseded by statute on other grounds as stated in </w:t>
      </w:r>
      <w:r w:rsidR="000E56DD">
        <w:rPr>
          <w:i/>
          <w:iCs/>
        </w:rPr>
        <w:t>In re Michael D.</w:t>
      </w:r>
      <w:r w:rsidR="000E56DD">
        <w:t xml:space="preserve"> (1987) 188 Cal.App.3d 1392</w:t>
      </w:r>
      <w:r w:rsidR="002361EB">
        <w:t>,</w:t>
      </w:r>
      <w:r w:rsidR="00A74F84">
        <w:t xml:space="preserve"> 1396,</w:t>
      </w:r>
      <w:r w:rsidR="002361EB">
        <w:t xml:space="preserve"> the Supreme Court was considering a minor’s challenge to his Youth Authority commitment when its own review of the record disclosed “several deficiencies” in the dispositional order that had not been raised by the parties.</w:t>
      </w:r>
      <w:r>
        <w:rPr>
          <w:rStyle w:val="FootnoteReference"/>
        </w:rPr>
        <w:footnoteReference w:id="6"/>
      </w:r>
      <w:r w:rsidR="002361EB">
        <w:t xml:space="preserve">  (</w:t>
      </w:r>
      <w:r w:rsidR="002361EB">
        <w:rPr>
          <w:i/>
          <w:iCs/>
        </w:rPr>
        <w:t>Ricky H.</w:t>
      </w:r>
      <w:r w:rsidR="002361EB">
        <w:t xml:space="preserve">, at pp. 182, 190–191.)  For example, it noted that the superior court had imposed a three-year median term for aggravated assault instead of the </w:t>
      </w:r>
      <w:r w:rsidRPr="003F30EC" w:rsidR="002361EB">
        <w:t>mandatory four-year upper term.  (</w:t>
      </w:r>
      <w:r w:rsidRPr="003F30EC" w:rsidR="002361EB">
        <w:rPr>
          <w:i/>
          <w:iCs/>
        </w:rPr>
        <w:t>Id.</w:t>
      </w:r>
      <w:r w:rsidRPr="003F30EC" w:rsidR="002361EB">
        <w:t xml:space="preserve"> at p. 191.)</w:t>
      </w:r>
      <w:r w:rsidRPr="003F30EC" w:rsidR="003F30EC">
        <w:t xml:space="preserve">  Citing </w:t>
      </w:r>
      <w:r w:rsidRPr="003F30EC" w:rsidR="003F30EC">
        <w:rPr>
          <w:i/>
          <w:iCs/>
        </w:rPr>
        <w:t>Serrato</w:t>
      </w:r>
      <w:r w:rsidRPr="003F30EC" w:rsidR="003F30EC">
        <w:t>, the Court stated that “[a]</w:t>
      </w:r>
      <w:r w:rsidRPr="003F30EC" w:rsidR="003F30EC">
        <w:rPr>
          <w:color w:val="212121"/>
          <w:shd w:val="clear" w:color="auto" w:fill="FFFFFF"/>
        </w:rPr>
        <w:t>uthority exists for an appellate court to correct a sentence that is not authorized by law whenever the error comes to the attention of the court, even if the correction creates the possibility of a more severe punishment.”</w:t>
      </w:r>
      <w:r w:rsidR="003F30EC">
        <w:rPr>
          <w:color w:val="212121"/>
          <w:shd w:val="clear" w:color="auto" w:fill="FFFFFF"/>
        </w:rPr>
        <w:t xml:space="preserve">  (</w:t>
      </w:r>
      <w:r w:rsidR="003F30EC">
        <w:rPr>
          <w:i/>
          <w:iCs/>
          <w:color w:val="212121"/>
          <w:shd w:val="clear" w:color="auto" w:fill="FFFFFF"/>
        </w:rPr>
        <w:t>Ricky H.</w:t>
      </w:r>
      <w:r w:rsidR="003F30EC">
        <w:rPr>
          <w:color w:val="212121"/>
          <w:shd w:val="clear" w:color="auto" w:fill="FFFFFF"/>
        </w:rPr>
        <w:t xml:space="preserve">, at p. 191.)  However, given other errors in the dispositional order, the Court </w:t>
      </w:r>
      <w:r w:rsidR="008A0FEC">
        <w:rPr>
          <w:color w:val="212121"/>
          <w:shd w:val="clear" w:color="auto" w:fill="FFFFFF"/>
        </w:rPr>
        <w:t xml:space="preserve">concluded that a </w:t>
      </w:r>
      <w:r w:rsidR="003F30EC">
        <w:rPr>
          <w:color w:val="212121"/>
          <w:shd w:val="clear" w:color="auto" w:fill="FFFFFF"/>
        </w:rPr>
        <w:t>remand</w:t>
      </w:r>
      <w:r w:rsidR="008A0FEC">
        <w:rPr>
          <w:color w:val="212121"/>
          <w:shd w:val="clear" w:color="auto" w:fill="FFFFFF"/>
        </w:rPr>
        <w:t xml:space="preserve"> with directions was more appropriate than appellate correction</w:t>
      </w:r>
      <w:r w:rsidR="003F30EC">
        <w:rPr>
          <w:color w:val="212121"/>
          <w:shd w:val="clear" w:color="auto" w:fill="FFFFFF"/>
        </w:rPr>
        <w:t>.  (</w:t>
      </w:r>
      <w:r w:rsidR="003F30EC">
        <w:rPr>
          <w:i/>
          <w:iCs/>
          <w:color w:val="212121"/>
          <w:shd w:val="clear" w:color="auto" w:fill="FFFFFF"/>
        </w:rPr>
        <w:t>Id.</w:t>
      </w:r>
      <w:r w:rsidR="003F30EC">
        <w:rPr>
          <w:color w:val="212121"/>
          <w:shd w:val="clear" w:color="auto" w:fill="FFFFFF"/>
        </w:rPr>
        <w:t xml:space="preserve"> at pp. 191–192.)</w:t>
      </w:r>
      <w:r w:rsidRPr="003F30EC" w:rsidR="003F30EC">
        <w:rPr>
          <w:color w:val="212121"/>
          <w:shd w:val="clear" w:color="auto" w:fill="FFFFFF"/>
        </w:rPr>
        <w:t xml:space="preserve"> </w:t>
      </w:r>
      <w:r w:rsidR="00F86F9C">
        <w:rPr>
          <w:color w:val="212121"/>
          <w:shd w:val="clear" w:color="auto" w:fill="FFFFFF"/>
        </w:rPr>
        <w:tab/>
      </w:r>
      <w:r w:rsidR="00A74F84">
        <w:rPr>
          <w:color w:val="212121"/>
          <w:shd w:val="clear" w:color="auto" w:fill="FFFFFF"/>
        </w:rPr>
        <w:t xml:space="preserve">Thereafter, </w:t>
      </w:r>
      <w:r w:rsidR="004379C8">
        <w:rPr>
          <w:color w:val="212121"/>
          <w:shd w:val="clear" w:color="auto" w:fill="FFFFFF"/>
        </w:rPr>
        <w:t xml:space="preserve">in </w:t>
      </w:r>
      <w:r w:rsidR="004379C8">
        <w:rPr>
          <w:i/>
          <w:iCs/>
          <w:color w:val="212121"/>
          <w:shd w:val="clear" w:color="auto" w:fill="FFFFFF"/>
        </w:rPr>
        <w:t>People v. Karaman</w:t>
      </w:r>
      <w:r w:rsidR="004379C8">
        <w:rPr>
          <w:color w:val="212121"/>
          <w:shd w:val="clear" w:color="auto" w:fill="FFFFFF"/>
        </w:rPr>
        <w:t xml:space="preserve"> (1992) 4 Cal.4th 335</w:t>
      </w:r>
      <w:r w:rsidR="00BF3FEB">
        <w:rPr>
          <w:color w:val="212121"/>
          <w:shd w:val="clear" w:color="auto" w:fill="FFFFFF"/>
        </w:rPr>
        <w:t xml:space="preserve"> (</w:t>
      </w:r>
      <w:r w:rsidR="00BF3FEB">
        <w:rPr>
          <w:i/>
          <w:iCs/>
          <w:color w:val="212121"/>
          <w:shd w:val="clear" w:color="auto" w:fill="FFFFFF"/>
        </w:rPr>
        <w:t>Karaman</w:t>
      </w:r>
      <w:r w:rsidR="00BF3FEB">
        <w:rPr>
          <w:color w:val="212121"/>
          <w:shd w:val="clear" w:color="auto" w:fill="FFFFFF"/>
        </w:rPr>
        <w:t>)</w:t>
      </w:r>
      <w:r w:rsidR="004379C8">
        <w:rPr>
          <w:color w:val="212121"/>
          <w:shd w:val="clear" w:color="auto" w:fill="FFFFFF"/>
        </w:rPr>
        <w:t xml:space="preserve">, the Supreme Court cited </w:t>
      </w:r>
      <w:r w:rsidR="004379C8">
        <w:rPr>
          <w:i/>
          <w:iCs/>
          <w:color w:val="212121"/>
          <w:shd w:val="clear" w:color="auto" w:fill="FFFFFF"/>
        </w:rPr>
        <w:t>Serrato</w:t>
      </w:r>
      <w:r w:rsidR="004379C8">
        <w:rPr>
          <w:color w:val="212121"/>
          <w:shd w:val="clear" w:color="auto" w:fill="FFFFFF"/>
        </w:rPr>
        <w:t xml:space="preserve"> and </w:t>
      </w:r>
      <w:r w:rsidR="004379C8">
        <w:rPr>
          <w:i/>
          <w:iCs/>
          <w:color w:val="212121"/>
          <w:shd w:val="clear" w:color="auto" w:fill="FFFFFF"/>
        </w:rPr>
        <w:t xml:space="preserve">Ricky H. </w:t>
      </w:r>
      <w:r w:rsidR="00921BD6">
        <w:rPr>
          <w:color w:val="212121"/>
          <w:shd w:val="clear" w:color="auto" w:fill="FFFFFF"/>
        </w:rPr>
        <w:t xml:space="preserve">in dicta </w:t>
      </w:r>
      <w:r w:rsidR="004379C8">
        <w:rPr>
          <w:color w:val="212121"/>
          <w:shd w:val="clear" w:color="auto" w:fill="FFFFFF"/>
        </w:rPr>
        <w:t>for the proposition that “</w:t>
      </w:r>
      <w:r w:rsidR="001220EE">
        <w:rPr>
          <w:color w:val="000000"/>
        </w:rPr>
        <w:t xml:space="preserve">where the court is required to impose a certain minimum term but imposes a lesser term instead, the unauthorized sentence is considered invalid or </w:t>
      </w:r>
      <w:r w:rsidR="004379C8">
        <w:rPr>
          <w:color w:val="000000"/>
        </w:rPr>
        <w:t>‘</w:t>
      </w:r>
      <w:r w:rsidR="001220EE">
        <w:rPr>
          <w:color w:val="000000"/>
        </w:rPr>
        <w:t>unlawful</w:t>
      </w:r>
      <w:r w:rsidR="004379C8">
        <w:rPr>
          <w:color w:val="000000"/>
        </w:rPr>
        <w:t>’</w:t>
      </w:r>
      <w:r w:rsidR="001220EE">
        <w:rPr>
          <w:color w:val="000000"/>
        </w:rPr>
        <w:t xml:space="preserve"> and may be increased even after execution of the sentence has begun.</w:t>
      </w:r>
      <w:r w:rsidR="004379C8">
        <w:rPr>
          <w:color w:val="000000"/>
        </w:rPr>
        <w:t>”</w:t>
      </w:r>
      <w:r w:rsidR="00BF3FEB">
        <w:rPr>
          <w:color w:val="000000"/>
        </w:rPr>
        <w:t xml:space="preserve">  (</w:t>
      </w:r>
      <w:r w:rsidR="00BF3FEB">
        <w:rPr>
          <w:i/>
          <w:iCs/>
          <w:color w:val="000000"/>
        </w:rPr>
        <w:t>Karaman</w:t>
      </w:r>
      <w:r w:rsidR="00BF3FEB">
        <w:rPr>
          <w:color w:val="000000"/>
        </w:rPr>
        <w:t xml:space="preserve">, at p. </w:t>
      </w:r>
      <w:r w:rsidRPr="006C19C0" w:rsidR="00BF3FEB">
        <w:rPr>
          <w:color w:val="000000"/>
        </w:rPr>
        <w:t>349</w:t>
      </w:r>
      <w:r w:rsidRPr="006C19C0" w:rsidR="00AB62CF">
        <w:rPr>
          <w:color w:val="000000"/>
        </w:rPr>
        <w:t>, fn. 15</w:t>
      </w:r>
      <w:r w:rsidRPr="006C19C0" w:rsidR="00BF3FEB">
        <w:rPr>
          <w:color w:val="000000"/>
        </w:rPr>
        <w:t>.)</w:t>
      </w:r>
      <w:r w:rsidRPr="006C19C0" w:rsidR="00F86F9C">
        <w:rPr>
          <w:color w:val="000000"/>
        </w:rPr>
        <w:t xml:space="preserve">  </w:t>
      </w:r>
    </w:p>
    <w:p w:rsidR="005E51D0" w:rsidP="004379C8" w14:paraId="193CE55D" w14:textId="4992422B">
      <w:pPr>
        <w:pStyle w:val="Text"/>
        <w:ind w:firstLine="0"/>
        <w:rPr>
          <w:shd w:val="clear" w:color="auto" w:fill="FFFFFF"/>
        </w:rPr>
      </w:pPr>
      <w:r>
        <w:rPr>
          <w:color w:val="000000"/>
        </w:rPr>
        <w:tab/>
      </w:r>
      <w:r w:rsidR="007267A8">
        <w:rPr>
          <w:color w:val="000000"/>
        </w:rPr>
        <w:t>Next, i</w:t>
      </w:r>
      <w:r w:rsidRPr="006C19C0" w:rsidR="00F86F9C">
        <w:rPr>
          <w:color w:val="000000"/>
        </w:rPr>
        <w:t xml:space="preserve">n </w:t>
      </w:r>
      <w:r w:rsidRPr="006C19C0" w:rsidR="00F86F9C">
        <w:rPr>
          <w:i/>
          <w:iCs/>
          <w:color w:val="000000"/>
        </w:rPr>
        <w:t>People v. Dotson</w:t>
      </w:r>
      <w:r w:rsidRPr="006C19C0" w:rsidR="00F86F9C">
        <w:rPr>
          <w:color w:val="000000"/>
        </w:rPr>
        <w:t xml:space="preserve"> (1997) 16 Cal.4th 547</w:t>
      </w:r>
      <w:r w:rsidR="006C19C0">
        <w:rPr>
          <w:color w:val="000000"/>
        </w:rPr>
        <w:t xml:space="preserve"> (</w:t>
      </w:r>
      <w:r w:rsidR="006C19C0">
        <w:rPr>
          <w:i/>
          <w:iCs/>
          <w:color w:val="000000"/>
        </w:rPr>
        <w:t>Dotson</w:t>
      </w:r>
      <w:r w:rsidR="006C19C0">
        <w:rPr>
          <w:color w:val="000000"/>
        </w:rPr>
        <w:t>)</w:t>
      </w:r>
      <w:r w:rsidRPr="006C19C0" w:rsidR="00F86F9C">
        <w:rPr>
          <w:color w:val="000000"/>
        </w:rPr>
        <w:t xml:space="preserve">, the Court considered whether or not a sentence under the </w:t>
      </w:r>
      <w:r w:rsidR="006C19C0">
        <w:rPr>
          <w:color w:val="000000"/>
        </w:rPr>
        <w:t>t</w:t>
      </w:r>
      <w:r w:rsidRPr="006C19C0" w:rsidR="00F86F9C">
        <w:rPr>
          <w:color w:val="000000"/>
        </w:rPr>
        <w:t xml:space="preserve">hree </w:t>
      </w:r>
      <w:r w:rsidR="006C19C0">
        <w:rPr>
          <w:color w:val="000000"/>
        </w:rPr>
        <w:t>s</w:t>
      </w:r>
      <w:r w:rsidRPr="006C19C0" w:rsidR="00F86F9C">
        <w:rPr>
          <w:color w:val="000000"/>
        </w:rPr>
        <w:t xml:space="preserve">trikes </w:t>
      </w:r>
      <w:r w:rsidR="006C19C0">
        <w:rPr>
          <w:color w:val="000000"/>
        </w:rPr>
        <w:t>l</w:t>
      </w:r>
      <w:r w:rsidRPr="006C19C0" w:rsidR="00F86F9C">
        <w:rPr>
          <w:color w:val="000000"/>
        </w:rPr>
        <w:t xml:space="preserve">aw for a serious felony </w:t>
      </w:r>
      <w:r w:rsidRPr="006C19C0" w:rsidR="00F86F9C">
        <w:rPr>
          <w:rFonts w:eastAsia="Times New Roman"/>
          <w:color w:val="212121"/>
        </w:rPr>
        <w:t>should include a separate determinate term for enhancements under</w:t>
      </w:r>
      <w:r w:rsidRPr="006C19C0" w:rsidR="006C19C0">
        <w:rPr>
          <w:rFonts w:eastAsia="Times New Roman"/>
          <w:color w:val="212121"/>
        </w:rPr>
        <w:t xml:space="preserve"> section 667, subdivision (a).</w:t>
      </w:r>
      <w:r w:rsidR="006C19C0">
        <w:rPr>
          <w:rFonts w:eastAsia="Times New Roman"/>
          <w:color w:val="212121"/>
        </w:rPr>
        <w:t xml:space="preserve">  (</w:t>
      </w:r>
      <w:r w:rsidR="006C19C0">
        <w:rPr>
          <w:rFonts w:eastAsia="Times New Roman"/>
          <w:i/>
          <w:iCs/>
          <w:color w:val="212121"/>
        </w:rPr>
        <w:t>Dotson</w:t>
      </w:r>
      <w:r w:rsidR="006C19C0">
        <w:rPr>
          <w:rFonts w:eastAsia="Times New Roman"/>
          <w:color w:val="212121"/>
        </w:rPr>
        <w:t>, at p.</w:t>
      </w:r>
      <w:r w:rsidR="00921BD6">
        <w:rPr>
          <w:rFonts w:eastAsia="Times New Roman"/>
          <w:color w:val="212121"/>
        </w:rPr>
        <w:t xml:space="preserve"> </w:t>
      </w:r>
      <w:r w:rsidR="006C19C0">
        <w:rPr>
          <w:rFonts w:eastAsia="Times New Roman"/>
          <w:color w:val="212121"/>
        </w:rPr>
        <w:t xml:space="preserve">550.)  </w:t>
      </w:r>
      <w:r w:rsidR="00530B05">
        <w:rPr>
          <w:rFonts w:eastAsia="Times New Roman"/>
          <w:color w:val="212121"/>
        </w:rPr>
        <w:t xml:space="preserve">In the trial court, the prosecutor had requested </w:t>
      </w:r>
      <w:r w:rsidR="006C19C0">
        <w:rPr>
          <w:rFonts w:eastAsia="Times New Roman"/>
          <w:color w:val="212121"/>
        </w:rPr>
        <w:t>an indeterminate term of 26 years to life</w:t>
      </w:r>
      <w:r w:rsidR="00A72E99">
        <w:rPr>
          <w:rFonts w:eastAsia="Times New Roman"/>
          <w:color w:val="212121"/>
        </w:rPr>
        <w:t xml:space="preserve"> </w:t>
      </w:r>
      <w:r w:rsidR="00530B05">
        <w:rPr>
          <w:rFonts w:eastAsia="Times New Roman"/>
          <w:color w:val="212121"/>
        </w:rPr>
        <w:t>and did not argue that the enhancements should be imposed as a separate</w:t>
      </w:r>
      <w:r w:rsidR="002E30B2">
        <w:rPr>
          <w:rFonts w:eastAsia="Times New Roman"/>
          <w:color w:val="212121"/>
        </w:rPr>
        <w:t xml:space="preserve"> </w:t>
      </w:r>
      <w:r w:rsidR="00530B05">
        <w:rPr>
          <w:rFonts w:eastAsia="Times New Roman"/>
          <w:color w:val="212121"/>
        </w:rPr>
        <w:t>determinate term</w:t>
      </w:r>
      <w:r w:rsidR="00A72E99">
        <w:rPr>
          <w:rFonts w:eastAsia="Times New Roman"/>
          <w:color w:val="212121"/>
        </w:rPr>
        <w:t>.</w:t>
      </w:r>
      <w:r w:rsidR="00530B05">
        <w:rPr>
          <w:rFonts w:eastAsia="Times New Roman"/>
          <w:color w:val="212121"/>
        </w:rPr>
        <w:t xml:space="preserve">  The Supreme Court nevertheless reached the issue</w:t>
      </w:r>
      <w:r w:rsidR="00AA0011">
        <w:rPr>
          <w:rFonts w:eastAsia="Times New Roman"/>
          <w:color w:val="212121"/>
        </w:rPr>
        <w:t xml:space="preserve"> via a petition for review</w:t>
      </w:r>
      <w:r w:rsidR="00530B05">
        <w:rPr>
          <w:rFonts w:eastAsia="Times New Roman"/>
          <w:color w:val="212121"/>
        </w:rPr>
        <w:t>.  (</w:t>
      </w:r>
      <w:r w:rsidR="00530B05">
        <w:rPr>
          <w:rFonts w:eastAsia="Times New Roman"/>
          <w:i/>
          <w:iCs/>
          <w:color w:val="212121"/>
        </w:rPr>
        <w:t>Id.</w:t>
      </w:r>
      <w:r w:rsidR="00530B05">
        <w:rPr>
          <w:rFonts w:eastAsia="Times New Roman"/>
          <w:color w:val="212121"/>
        </w:rPr>
        <w:t xml:space="preserve"> at </w:t>
      </w:r>
      <w:r>
        <w:rPr>
          <w:rFonts w:eastAsia="Times New Roman"/>
          <w:color w:val="212121"/>
        </w:rPr>
        <w:t>p</w:t>
      </w:r>
      <w:r w:rsidR="00530B05">
        <w:rPr>
          <w:rFonts w:eastAsia="Times New Roman"/>
          <w:color w:val="212121"/>
        </w:rPr>
        <w:t xml:space="preserve">p. </w:t>
      </w:r>
      <w:r>
        <w:rPr>
          <w:rFonts w:eastAsia="Times New Roman"/>
          <w:color w:val="212121"/>
        </w:rPr>
        <w:t>553</w:t>
      </w:r>
      <w:r w:rsidR="00921BD6">
        <w:rPr>
          <w:rFonts w:eastAsia="Times New Roman"/>
          <w:color w:val="212121"/>
        </w:rPr>
        <w:t>–</w:t>
      </w:r>
      <w:r w:rsidR="00530B05">
        <w:rPr>
          <w:rFonts w:eastAsia="Times New Roman"/>
          <w:color w:val="212121"/>
        </w:rPr>
        <w:t>55</w:t>
      </w:r>
      <w:r>
        <w:rPr>
          <w:rFonts w:eastAsia="Times New Roman"/>
          <w:color w:val="212121"/>
        </w:rPr>
        <w:t>4</w:t>
      </w:r>
      <w:r w:rsidR="00530B05">
        <w:rPr>
          <w:rFonts w:eastAsia="Times New Roman"/>
          <w:color w:val="212121"/>
        </w:rPr>
        <w:t xml:space="preserve"> &amp; fn. 6.)  </w:t>
      </w:r>
      <w:r w:rsidRPr="007267A8" w:rsidR="00530B05">
        <w:rPr>
          <w:rFonts w:eastAsia="Times New Roman"/>
        </w:rPr>
        <w:t xml:space="preserve">Citing </w:t>
      </w:r>
      <w:r w:rsidRPr="007267A8" w:rsidR="00530B05">
        <w:rPr>
          <w:rFonts w:eastAsia="Times New Roman"/>
          <w:i/>
          <w:iCs/>
        </w:rPr>
        <w:t>Serrato</w:t>
      </w:r>
      <w:r w:rsidRPr="007267A8" w:rsidR="00530B05">
        <w:rPr>
          <w:rFonts w:eastAsia="Times New Roman"/>
        </w:rPr>
        <w:t xml:space="preserve">, </w:t>
      </w:r>
      <w:r w:rsidRPr="007267A8" w:rsidR="00530B05">
        <w:rPr>
          <w:rFonts w:eastAsia="Times New Roman"/>
          <w:i/>
          <w:iCs/>
        </w:rPr>
        <w:t>Ricky H.</w:t>
      </w:r>
      <w:r w:rsidRPr="007267A8" w:rsidR="00530B05">
        <w:rPr>
          <w:rFonts w:eastAsia="Times New Roman"/>
        </w:rPr>
        <w:t xml:space="preserve">, and </w:t>
      </w:r>
      <w:r w:rsidR="00241FE3">
        <w:rPr>
          <w:i/>
          <w:iCs/>
        </w:rPr>
        <w:t xml:space="preserve">People v. </w:t>
      </w:r>
      <w:r w:rsidRPr="00E77C90" w:rsidR="00241FE3">
        <w:rPr>
          <w:i/>
          <w:iCs/>
        </w:rPr>
        <w:t>Scott</w:t>
      </w:r>
      <w:r w:rsidR="00241FE3">
        <w:rPr>
          <w:i/>
          <w:iCs/>
        </w:rPr>
        <w:t xml:space="preserve"> </w:t>
      </w:r>
      <w:r w:rsidR="00241FE3">
        <w:t xml:space="preserve">(1994) </w:t>
      </w:r>
      <w:r w:rsidRPr="00E77C90" w:rsidR="00241FE3">
        <w:t>9 Cal.4th 331</w:t>
      </w:r>
      <w:r w:rsidR="00241FE3">
        <w:t xml:space="preserve"> (</w:t>
      </w:r>
      <w:r w:rsidRPr="007267A8" w:rsidR="00530B05">
        <w:rPr>
          <w:rFonts w:eastAsia="Times New Roman"/>
          <w:i/>
          <w:iCs/>
        </w:rPr>
        <w:t>Scott</w:t>
      </w:r>
      <w:r w:rsidR="00241FE3">
        <w:rPr>
          <w:rFonts w:eastAsia="Times New Roman"/>
        </w:rPr>
        <w:t>)</w:t>
      </w:r>
      <w:r w:rsidRPr="007267A8" w:rsidR="00530B05">
        <w:rPr>
          <w:rFonts w:eastAsia="Times New Roman"/>
        </w:rPr>
        <w:t>, the Court opined</w:t>
      </w:r>
      <w:r w:rsidRPr="007267A8" w:rsidR="007267A8">
        <w:rPr>
          <w:rFonts w:eastAsia="Times New Roman"/>
        </w:rPr>
        <w:t>:  “</w:t>
      </w:r>
      <w:r w:rsidRPr="007267A8" w:rsidR="00A72E99">
        <w:rPr>
          <w:shd w:val="clear" w:color="auto" w:fill="FFFFFF"/>
        </w:rPr>
        <w:t>A claim that a sentence is unauthorized</w:t>
      </w:r>
      <w:r w:rsidRPr="007267A8" w:rsidR="007267A8">
        <w:rPr>
          <w:shd w:val="clear" w:color="auto" w:fill="FFFFFF"/>
        </w:rPr>
        <w:t xml:space="preserve"> . . .</w:t>
      </w:r>
      <w:r w:rsidRPr="007267A8" w:rsidR="00A72E99">
        <w:rPr>
          <w:shd w:val="clear" w:color="auto" w:fill="FFFFFF"/>
        </w:rPr>
        <w:t xml:space="preserve"> may be </w:t>
      </w:r>
      <w:r w:rsidRPr="00357ADD" w:rsidR="00A72E99">
        <w:rPr>
          <w:shd w:val="clear" w:color="auto" w:fill="FFFFFF"/>
        </w:rPr>
        <w:t>raised for the first time on appeal</w:t>
      </w:r>
      <w:r w:rsidRPr="00357ADD" w:rsidR="007267A8">
        <w:rPr>
          <w:shd w:val="clear" w:color="auto" w:fill="FFFFFF"/>
        </w:rPr>
        <w:t>[]</w:t>
      </w:r>
      <w:r w:rsidRPr="00357ADD" w:rsidR="00A72E99">
        <w:rPr>
          <w:shd w:val="clear" w:color="auto" w:fill="FFFFFF"/>
        </w:rPr>
        <w:t xml:space="preserve"> and is subject to judicial correction whenever the error comes to the attention of the reviewing court.</w:t>
      </w:r>
      <w:r w:rsidRPr="00357ADD" w:rsidR="007267A8">
        <w:rPr>
          <w:shd w:val="clear" w:color="auto" w:fill="FFFFFF"/>
        </w:rPr>
        <w:t>”  (</w:t>
      </w:r>
      <w:r w:rsidRPr="00357ADD" w:rsidR="007267A8">
        <w:rPr>
          <w:i/>
          <w:iCs/>
          <w:shd w:val="clear" w:color="auto" w:fill="FFFFFF"/>
        </w:rPr>
        <w:t>Dotson</w:t>
      </w:r>
      <w:r w:rsidRPr="00357ADD" w:rsidR="007267A8">
        <w:rPr>
          <w:shd w:val="clear" w:color="auto" w:fill="FFFFFF"/>
        </w:rPr>
        <w:t xml:space="preserve">, </w:t>
      </w:r>
      <w:r w:rsidR="008F23DA">
        <w:rPr>
          <w:shd w:val="clear" w:color="auto" w:fill="FFFFFF"/>
        </w:rPr>
        <w:t xml:space="preserve">at p. </w:t>
      </w:r>
      <w:r w:rsidRPr="00357ADD" w:rsidR="007267A8">
        <w:rPr>
          <w:shd w:val="clear" w:color="auto" w:fill="FFFFFF"/>
        </w:rPr>
        <w:t>55</w:t>
      </w:r>
      <w:r>
        <w:rPr>
          <w:shd w:val="clear" w:color="auto" w:fill="FFFFFF"/>
        </w:rPr>
        <w:t>4</w:t>
      </w:r>
      <w:r w:rsidRPr="00357ADD" w:rsidR="007267A8">
        <w:rPr>
          <w:shd w:val="clear" w:color="auto" w:fill="FFFFFF"/>
        </w:rPr>
        <w:t xml:space="preserve">, fn. 6; see also </w:t>
      </w:r>
      <w:r w:rsidRPr="00357ADD" w:rsidR="007267A8">
        <w:rPr>
          <w:i/>
          <w:iCs/>
          <w:shd w:val="clear" w:color="auto" w:fill="FFFFFF"/>
        </w:rPr>
        <w:t>Scott</w:t>
      </w:r>
      <w:r w:rsidRPr="00357ADD" w:rsidR="007267A8">
        <w:rPr>
          <w:shd w:val="clear" w:color="auto" w:fill="FFFFFF"/>
        </w:rPr>
        <w:t>,</w:t>
      </w:r>
      <w:r w:rsidR="007A0FA6">
        <w:rPr>
          <w:shd w:val="clear" w:color="auto" w:fill="FFFFFF"/>
        </w:rPr>
        <w:t xml:space="preserve"> </w:t>
      </w:r>
      <w:r w:rsidR="00A474EF">
        <w:rPr>
          <w:shd w:val="clear" w:color="auto" w:fill="FFFFFF"/>
        </w:rPr>
        <w:t>at p.</w:t>
      </w:r>
      <w:r w:rsidR="0092592C">
        <w:rPr>
          <w:shd w:val="clear" w:color="auto" w:fill="FFFFFF"/>
        </w:rPr>
        <w:t> </w:t>
      </w:r>
      <w:r w:rsidR="00D16766">
        <w:rPr>
          <w:shd w:val="clear" w:color="auto" w:fill="FFFFFF"/>
        </w:rPr>
        <w:t>354</w:t>
      </w:r>
      <w:r w:rsidRPr="00357ADD" w:rsidR="007267A8">
        <w:rPr>
          <w:shd w:val="clear" w:color="auto" w:fill="FFFFFF"/>
        </w:rPr>
        <w:t xml:space="preserve"> [</w:t>
      </w:r>
      <w:r w:rsidRPr="00357ADD">
        <w:rPr>
          <w:shd w:val="clear" w:color="auto" w:fill="FFFFFF"/>
        </w:rPr>
        <w:t>discussing exception to waiver rule for unauthorized sentences and noting that</w:t>
      </w:r>
      <w:r w:rsidRPr="00357ADD" w:rsidR="007267A8">
        <w:rPr>
          <w:shd w:val="clear" w:color="auto" w:fill="FFFFFF"/>
        </w:rPr>
        <w:t xml:space="preserve"> “a sentence is generally ‘unauthorized’</w:t>
      </w:r>
      <w:r w:rsidR="00570AC8">
        <w:rPr>
          <w:shd w:val="clear" w:color="auto" w:fill="FFFFFF"/>
        </w:rPr>
        <w:t xml:space="preserve"> </w:t>
      </w:r>
      <w:r w:rsidRPr="00357ADD" w:rsidR="007267A8">
        <w:rPr>
          <w:shd w:val="clear" w:color="auto" w:fill="FFFFFF"/>
        </w:rPr>
        <w:t>where it could not lawfully be imposed under any circumstance in the particular case”].)</w:t>
      </w:r>
      <w:r>
        <w:rPr>
          <w:shd w:val="clear" w:color="auto" w:fill="FFFFFF"/>
        </w:rPr>
        <w:t xml:space="preserve">  The Court went on to conclude that </w:t>
      </w:r>
      <w:r w:rsidR="002E30B2">
        <w:rPr>
          <w:shd w:val="clear" w:color="auto" w:fill="FFFFFF"/>
        </w:rPr>
        <w:t>a</w:t>
      </w:r>
      <w:r>
        <w:rPr>
          <w:shd w:val="clear" w:color="auto" w:fill="FFFFFF"/>
        </w:rPr>
        <w:t xml:space="preserve"> </w:t>
      </w:r>
      <w:r w:rsidR="0022028A">
        <w:rPr>
          <w:shd w:val="clear" w:color="auto" w:fill="FFFFFF"/>
        </w:rPr>
        <w:t xml:space="preserve">consecutive </w:t>
      </w:r>
      <w:r>
        <w:rPr>
          <w:shd w:val="clear" w:color="auto" w:fill="FFFFFF"/>
        </w:rPr>
        <w:t xml:space="preserve">20-year </w:t>
      </w:r>
      <w:r w:rsidR="002E30B2">
        <w:rPr>
          <w:shd w:val="clear" w:color="auto" w:fill="FFFFFF"/>
        </w:rPr>
        <w:t xml:space="preserve">determinate </w:t>
      </w:r>
      <w:r>
        <w:rPr>
          <w:shd w:val="clear" w:color="auto" w:fill="FFFFFF"/>
        </w:rPr>
        <w:t>term should</w:t>
      </w:r>
      <w:r w:rsidR="0022028A">
        <w:rPr>
          <w:shd w:val="clear" w:color="auto" w:fill="FFFFFF"/>
        </w:rPr>
        <w:t xml:space="preserve"> have been </w:t>
      </w:r>
      <w:r w:rsidR="002E30B2">
        <w:rPr>
          <w:shd w:val="clear" w:color="auto" w:fill="FFFFFF"/>
        </w:rPr>
        <w:t>imposed</w:t>
      </w:r>
      <w:r w:rsidR="0022028A">
        <w:rPr>
          <w:shd w:val="clear" w:color="auto" w:fill="FFFFFF"/>
        </w:rPr>
        <w:t xml:space="preserve"> </w:t>
      </w:r>
      <w:r w:rsidR="00AA0011">
        <w:rPr>
          <w:shd w:val="clear" w:color="auto" w:fill="FFFFFF"/>
        </w:rPr>
        <w:t xml:space="preserve">in the case </w:t>
      </w:r>
      <w:r w:rsidR="0022028A">
        <w:rPr>
          <w:shd w:val="clear" w:color="auto" w:fill="FFFFFF"/>
        </w:rPr>
        <w:t>and remanded to the trial court for appropriate resentencing.  (</w:t>
      </w:r>
      <w:r w:rsidR="0022028A">
        <w:rPr>
          <w:i/>
          <w:iCs/>
          <w:shd w:val="clear" w:color="auto" w:fill="FFFFFF"/>
        </w:rPr>
        <w:t>Dotson</w:t>
      </w:r>
      <w:r w:rsidR="0022028A">
        <w:rPr>
          <w:shd w:val="clear" w:color="auto" w:fill="FFFFFF"/>
        </w:rPr>
        <w:t xml:space="preserve">, at pp. </w:t>
      </w:r>
      <w:r w:rsidR="002E30B2">
        <w:rPr>
          <w:shd w:val="clear" w:color="auto" w:fill="FFFFFF"/>
        </w:rPr>
        <w:t>557–560.)</w:t>
      </w:r>
    </w:p>
    <w:p w:rsidR="004E048F" w:rsidP="004E048F" w14:paraId="518916C9" w14:textId="09DBF5A7">
      <w:pPr>
        <w:pStyle w:val="Text"/>
        <w:ind w:firstLine="0"/>
        <w:rPr>
          <w:rFonts w:ascii="Lato" w:hAnsi="Lato"/>
          <w:color w:val="212121"/>
          <w:sz w:val="27"/>
          <w:szCs w:val="27"/>
          <w:bdr w:val="none" w:sz="0" w:space="0" w:color="auto" w:frame="1"/>
          <w:shd w:val="clear" w:color="auto" w:fill="FFFFFF"/>
        </w:rPr>
      </w:pPr>
      <w:r>
        <w:rPr>
          <w:shd w:val="clear" w:color="auto" w:fill="FFFFFF"/>
        </w:rPr>
        <w:tab/>
        <w:t xml:space="preserve">In </w:t>
      </w:r>
      <w:r>
        <w:rPr>
          <w:i/>
          <w:iCs/>
          <w:shd w:val="clear" w:color="auto" w:fill="FFFFFF"/>
        </w:rPr>
        <w:t>Ha</w:t>
      </w:r>
      <w:r w:rsidR="004D4DFE">
        <w:rPr>
          <w:i/>
          <w:iCs/>
          <w:shd w:val="clear" w:color="auto" w:fill="FFFFFF"/>
        </w:rPr>
        <w:t>nson</w:t>
      </w:r>
      <w:r>
        <w:rPr>
          <w:shd w:val="clear" w:color="auto" w:fill="FFFFFF"/>
        </w:rPr>
        <w:t xml:space="preserve">, </w:t>
      </w:r>
      <w:r>
        <w:rPr>
          <w:i/>
          <w:iCs/>
          <w:shd w:val="clear" w:color="auto" w:fill="FFFFFF"/>
        </w:rPr>
        <w:t>supra</w:t>
      </w:r>
      <w:r>
        <w:rPr>
          <w:shd w:val="clear" w:color="auto" w:fill="FFFFFF"/>
        </w:rPr>
        <w:t>, 2</w:t>
      </w:r>
      <w:r w:rsidR="006C675B">
        <w:rPr>
          <w:shd w:val="clear" w:color="auto" w:fill="FFFFFF"/>
        </w:rPr>
        <w:t>3</w:t>
      </w:r>
      <w:r>
        <w:rPr>
          <w:shd w:val="clear" w:color="auto" w:fill="FFFFFF"/>
        </w:rPr>
        <w:t xml:space="preserve"> Cal.4th </w:t>
      </w:r>
      <w:r w:rsidR="006C675B">
        <w:rPr>
          <w:shd w:val="clear" w:color="auto" w:fill="FFFFFF"/>
        </w:rPr>
        <w:t>355</w:t>
      </w:r>
      <w:r>
        <w:rPr>
          <w:shd w:val="clear" w:color="auto" w:fill="FFFFFF"/>
        </w:rPr>
        <w:t xml:space="preserve">, </w:t>
      </w:r>
      <w:r w:rsidR="00B470CD">
        <w:rPr>
          <w:shd w:val="clear" w:color="auto" w:fill="FFFFFF"/>
        </w:rPr>
        <w:t xml:space="preserve">discussed above, </w:t>
      </w:r>
      <w:r>
        <w:rPr>
          <w:shd w:val="clear" w:color="auto" w:fill="FFFFFF"/>
        </w:rPr>
        <w:t xml:space="preserve">the Supreme Court cited </w:t>
      </w:r>
      <w:r>
        <w:rPr>
          <w:i/>
          <w:iCs/>
          <w:shd w:val="clear" w:color="auto" w:fill="FFFFFF"/>
        </w:rPr>
        <w:t xml:space="preserve">Serrato </w:t>
      </w:r>
      <w:r w:rsidR="004D4DFE">
        <w:rPr>
          <w:shd w:val="clear" w:color="auto" w:fill="FFFFFF"/>
        </w:rPr>
        <w:t xml:space="preserve">in a footnote contrasting the </w:t>
      </w:r>
      <w:r w:rsidR="004D4DFE">
        <w:rPr>
          <w:i/>
          <w:iCs/>
          <w:shd w:val="clear" w:color="auto" w:fill="FFFFFF"/>
        </w:rPr>
        <w:t>Henderson</w:t>
      </w:r>
      <w:r w:rsidR="004D4DFE">
        <w:rPr>
          <w:shd w:val="clear" w:color="auto" w:fill="FFFFFF"/>
        </w:rPr>
        <w:t xml:space="preserve"> rule with </w:t>
      </w:r>
      <w:r w:rsidR="000315C3">
        <w:rPr>
          <w:shd w:val="clear" w:color="auto" w:fill="FFFFFF"/>
        </w:rPr>
        <w:t xml:space="preserve">the situation </w:t>
      </w:r>
      <w:r w:rsidR="003F110C">
        <w:rPr>
          <w:shd w:val="clear" w:color="auto" w:fill="FFFFFF"/>
        </w:rPr>
        <w:t>in which</w:t>
      </w:r>
      <w:r w:rsidR="000315C3">
        <w:rPr>
          <w:shd w:val="clear" w:color="auto" w:fill="FFFFFF"/>
        </w:rPr>
        <w:t xml:space="preserve"> a defendant seeks to withdraw a guilty plea or repudiate a plea bargain.  (</w:t>
      </w:r>
      <w:r w:rsidRPr="003F110C" w:rsidR="000315C3">
        <w:rPr>
          <w:i/>
          <w:iCs/>
          <w:shd w:val="clear" w:color="auto" w:fill="FFFFFF"/>
        </w:rPr>
        <w:t>Hanson</w:t>
      </w:r>
      <w:r w:rsidRPr="003F110C" w:rsidR="000315C3">
        <w:rPr>
          <w:shd w:val="clear" w:color="auto" w:fill="FFFFFF"/>
        </w:rPr>
        <w:t xml:space="preserve">, at p. 360 &amp; fn. 2.)  In </w:t>
      </w:r>
      <w:r w:rsidRPr="003F110C" w:rsidR="000315C3">
        <w:rPr>
          <w:i/>
          <w:iCs/>
          <w:shd w:val="clear" w:color="auto" w:fill="FFFFFF"/>
        </w:rPr>
        <w:t>Se</w:t>
      </w:r>
      <w:r w:rsidR="003F110C">
        <w:rPr>
          <w:i/>
          <w:iCs/>
          <w:shd w:val="clear" w:color="auto" w:fill="FFFFFF"/>
        </w:rPr>
        <w:t>r</w:t>
      </w:r>
      <w:r w:rsidRPr="003F110C" w:rsidR="000315C3">
        <w:rPr>
          <w:i/>
          <w:iCs/>
          <w:shd w:val="clear" w:color="auto" w:fill="FFFFFF"/>
        </w:rPr>
        <w:t xml:space="preserve">rato, </w:t>
      </w:r>
      <w:r w:rsidRPr="003F110C" w:rsidR="000315C3">
        <w:rPr>
          <w:shd w:val="clear" w:color="auto" w:fill="FFFFFF"/>
        </w:rPr>
        <w:t xml:space="preserve">the Supreme Court </w:t>
      </w:r>
      <w:r w:rsidR="003F110C">
        <w:rPr>
          <w:shd w:val="clear" w:color="auto" w:fill="FFFFFF"/>
        </w:rPr>
        <w:t xml:space="preserve">had </w:t>
      </w:r>
      <w:r w:rsidRPr="003F110C" w:rsidR="000315C3">
        <w:rPr>
          <w:shd w:val="clear" w:color="auto" w:fill="FFFFFF"/>
        </w:rPr>
        <w:t xml:space="preserve">described its prior opinion in </w:t>
      </w:r>
      <w:r w:rsidRPr="003F110C" w:rsidR="000315C3">
        <w:rPr>
          <w:i/>
          <w:iCs/>
          <w:shd w:val="clear" w:color="auto" w:fill="FFFFFF"/>
        </w:rPr>
        <w:t>In re Sutherland</w:t>
      </w:r>
      <w:r w:rsidRPr="003F110C" w:rsidR="000315C3">
        <w:rPr>
          <w:shd w:val="clear" w:color="auto" w:fill="FFFFFF"/>
        </w:rPr>
        <w:t xml:space="preserve"> (1972) </w:t>
      </w:r>
      <w:r w:rsidRPr="003F110C" w:rsidR="003F110C">
        <w:rPr>
          <w:shd w:val="clear" w:color="auto" w:fill="FFFFFF"/>
        </w:rPr>
        <w:t>6 Cal.3d 666</w:t>
      </w:r>
      <w:r w:rsidRPr="003F110C" w:rsidR="000315C3">
        <w:rPr>
          <w:shd w:val="clear" w:color="auto" w:fill="FFFFFF"/>
        </w:rPr>
        <w:t>.  There</w:t>
      </w:r>
      <w:r w:rsidRPr="003F110C" w:rsidR="003F110C">
        <w:rPr>
          <w:shd w:val="clear" w:color="auto" w:fill="FFFFFF"/>
        </w:rPr>
        <w:t xml:space="preserve">, the defendant </w:t>
      </w:r>
      <w:r w:rsidRPr="003F110C" w:rsidR="003F110C">
        <w:rPr>
          <w:color w:val="212121"/>
          <w:bdr w:val="none" w:sz="0" w:space="0" w:color="auto" w:frame="1"/>
          <w:shd w:val="clear" w:color="auto" w:fill="FFFFFF"/>
        </w:rPr>
        <w:t xml:space="preserve">pleaded guilty to one count, the prosecutor moved to dismiss the four remaining counts, and his motion was granted.  The Supreme Court recognized that, by granting relief it was in effect permitting the defendant to withdraw his guilty plea.  Under such circumstances, it concluded that </w:t>
      </w:r>
      <w:r w:rsidR="003F110C">
        <w:rPr>
          <w:color w:val="212121"/>
          <w:bdr w:val="none" w:sz="0" w:space="0" w:color="auto" w:frame="1"/>
          <w:shd w:val="clear" w:color="auto" w:fill="FFFFFF"/>
        </w:rPr>
        <w:t>“ ‘</w:t>
      </w:r>
      <w:r w:rsidRPr="003F110C" w:rsidR="000315C3">
        <w:rPr>
          <w:color w:val="212121"/>
          <w:bdr w:val="none" w:sz="0" w:space="0" w:color="auto" w:frame="1"/>
          <w:shd w:val="clear" w:color="auto" w:fill="FFFFFF"/>
        </w:rPr>
        <w:t>the ends of justice require</w:t>
      </w:r>
      <w:r w:rsidRPr="003F110C" w:rsidR="003F110C">
        <w:rPr>
          <w:color w:val="212121"/>
          <w:bdr w:val="none" w:sz="0" w:space="0" w:color="auto" w:frame="1"/>
          <w:shd w:val="clear" w:color="auto" w:fill="FFFFFF"/>
        </w:rPr>
        <w:t>[d]</w:t>
      </w:r>
      <w:r w:rsidRPr="003F110C" w:rsidR="000315C3">
        <w:rPr>
          <w:color w:val="212121"/>
          <w:bdr w:val="none" w:sz="0" w:space="0" w:color="auto" w:frame="1"/>
          <w:shd w:val="clear" w:color="auto" w:fill="FFFFFF"/>
        </w:rPr>
        <w:t xml:space="preserve"> that the</w:t>
      </w:r>
      <w:r w:rsidR="00570AC8">
        <w:rPr>
          <w:color w:val="212121"/>
          <w:bdr w:val="none" w:sz="0" w:space="0" w:color="auto" w:frame="1"/>
          <w:shd w:val="clear" w:color="auto" w:fill="FFFFFF"/>
        </w:rPr>
        <w:t xml:space="preserve"> </w:t>
      </w:r>
      <w:r w:rsidRPr="003F110C" w:rsidR="000315C3">
        <w:rPr>
          <w:i/>
          <w:iCs/>
          <w:color w:val="212121"/>
          <w:bdr w:val="none" w:sz="0" w:space="0" w:color="auto" w:frame="1"/>
          <w:shd w:val="clear" w:color="auto" w:fill="FFFFFF"/>
        </w:rPr>
        <w:t>status quo ante</w:t>
      </w:r>
      <w:r w:rsidR="00570AC8">
        <w:rPr>
          <w:color w:val="212121"/>
          <w:bdr w:val="none" w:sz="0" w:space="0" w:color="auto" w:frame="1"/>
          <w:shd w:val="clear" w:color="auto" w:fill="FFFFFF"/>
        </w:rPr>
        <w:t xml:space="preserve"> </w:t>
      </w:r>
      <w:r w:rsidRPr="003F110C" w:rsidR="000315C3">
        <w:rPr>
          <w:color w:val="212121"/>
          <w:bdr w:val="none" w:sz="0" w:space="0" w:color="auto" w:frame="1"/>
          <w:shd w:val="clear" w:color="auto" w:fill="FFFFFF"/>
        </w:rPr>
        <w:t>be restored by reviving the four</w:t>
      </w:r>
      <w:r w:rsidRPr="003F110C" w:rsidR="003F110C">
        <w:rPr>
          <w:color w:val="212121"/>
          <w:bdr w:val="none" w:sz="0" w:space="0" w:color="auto" w:frame="1"/>
          <w:shd w:val="clear" w:color="auto" w:fill="FFFFFF"/>
        </w:rPr>
        <w:t xml:space="preserve"> </w:t>
      </w:r>
      <w:r w:rsidRPr="003F110C" w:rsidR="000315C3">
        <w:rPr>
          <w:color w:val="212121"/>
          <w:bdr w:val="none" w:sz="0" w:space="0" w:color="auto" w:frame="1"/>
          <w:shd w:val="clear" w:color="auto" w:fill="FFFFFF"/>
        </w:rPr>
        <w:t>dismissed counts.</w:t>
      </w:r>
      <w:r w:rsidR="003F110C">
        <w:rPr>
          <w:color w:val="212121"/>
          <w:bdr w:val="none" w:sz="0" w:space="0" w:color="auto" w:frame="1"/>
          <w:shd w:val="clear" w:color="auto" w:fill="FFFFFF"/>
        </w:rPr>
        <w:t xml:space="preserve">’ </w:t>
      </w:r>
      <w:r w:rsidRPr="003F110C" w:rsidR="003F110C">
        <w:rPr>
          <w:color w:val="212121"/>
          <w:bdr w:val="none" w:sz="0" w:space="0" w:color="auto" w:frame="1"/>
          <w:shd w:val="clear" w:color="auto" w:fill="FFFFFF"/>
        </w:rPr>
        <w:t>”</w:t>
      </w:r>
      <w:r w:rsidR="003F110C">
        <w:rPr>
          <w:color w:val="212121"/>
          <w:bdr w:val="none" w:sz="0" w:space="0" w:color="auto" w:frame="1"/>
          <w:shd w:val="clear" w:color="auto" w:fill="FFFFFF"/>
        </w:rPr>
        <w:t xml:space="preserve">  (</w:t>
      </w:r>
      <w:r w:rsidR="003F110C">
        <w:rPr>
          <w:i/>
          <w:iCs/>
          <w:color w:val="212121"/>
          <w:bdr w:val="none" w:sz="0" w:space="0" w:color="auto" w:frame="1"/>
          <w:shd w:val="clear" w:color="auto" w:fill="FFFFFF"/>
        </w:rPr>
        <w:t>Serrato,</w:t>
      </w:r>
      <w:r w:rsidR="003F110C">
        <w:rPr>
          <w:color w:val="212121"/>
          <w:bdr w:val="none" w:sz="0" w:space="0" w:color="auto" w:frame="1"/>
          <w:shd w:val="clear" w:color="auto" w:fill="FFFFFF"/>
        </w:rPr>
        <w:t xml:space="preserve"> </w:t>
      </w:r>
      <w:r w:rsidR="003F110C">
        <w:rPr>
          <w:i/>
          <w:iCs/>
          <w:color w:val="212121"/>
          <w:bdr w:val="none" w:sz="0" w:space="0" w:color="auto" w:frame="1"/>
          <w:shd w:val="clear" w:color="auto" w:fill="FFFFFF"/>
        </w:rPr>
        <w:t>supra</w:t>
      </w:r>
      <w:r w:rsidR="003F110C">
        <w:rPr>
          <w:color w:val="212121"/>
          <w:bdr w:val="none" w:sz="0" w:space="0" w:color="auto" w:frame="1"/>
          <w:shd w:val="clear" w:color="auto" w:fill="FFFFFF"/>
        </w:rPr>
        <w:t xml:space="preserve">, 9 Cal.3d at p. 765.)   </w:t>
      </w:r>
      <w:r w:rsidRPr="000315C3" w:rsidR="000315C3">
        <w:rPr>
          <w:rFonts w:ascii="Lato" w:hAnsi="Lato"/>
          <w:color w:val="212121"/>
          <w:sz w:val="27"/>
          <w:szCs w:val="27"/>
          <w:bdr w:val="none" w:sz="0" w:space="0" w:color="auto" w:frame="1"/>
          <w:shd w:val="clear" w:color="auto" w:fill="FFFFFF"/>
        </w:rPr>
        <w:t xml:space="preserve"> </w:t>
      </w:r>
    </w:p>
    <w:p w:rsidR="001D6774" w:rsidRPr="00893E98" w:rsidP="004C2333" w14:paraId="55430DF7" w14:textId="5F53855A">
      <w:pPr>
        <w:pStyle w:val="Text"/>
        <w:ind w:firstLine="0"/>
        <w:rPr>
          <w:shd w:val="clear" w:color="auto" w:fill="FFFFFF"/>
        </w:rPr>
      </w:pPr>
      <w:r>
        <w:rPr>
          <w:rFonts w:ascii="Lato" w:hAnsi="Lato"/>
          <w:color w:val="212121"/>
          <w:sz w:val="27"/>
          <w:szCs w:val="27"/>
          <w:bdr w:val="none" w:sz="0" w:space="0" w:color="auto" w:frame="1"/>
          <w:shd w:val="clear" w:color="auto" w:fill="FFFFFF"/>
        </w:rPr>
        <w:tab/>
      </w:r>
      <w:r w:rsidR="00EF158D">
        <w:t xml:space="preserve">Finally, in </w:t>
      </w:r>
      <w:r w:rsidR="00EF158D">
        <w:rPr>
          <w:i/>
          <w:iCs/>
        </w:rPr>
        <w:t>People v. Carbajal</w:t>
      </w:r>
      <w:r w:rsidR="00EF158D">
        <w:t xml:space="preserve"> (2013) 56 Cal.4th 521 (</w:t>
      </w:r>
      <w:r w:rsidR="00EF158D">
        <w:rPr>
          <w:i/>
          <w:iCs/>
        </w:rPr>
        <w:t>Carbajal</w:t>
      </w:r>
      <w:r w:rsidR="00EF158D">
        <w:t xml:space="preserve">), </w:t>
      </w:r>
      <w:r w:rsidRPr="00E94D07" w:rsidR="00E94D07">
        <w:rPr>
          <w:color w:val="212121"/>
          <w:shd w:val="clear" w:color="auto" w:fill="FFFFFF"/>
        </w:rPr>
        <w:t xml:space="preserve">the defendant was charged with sexually molesting two victims.  A jury convicted the defendant of some counts involving one victim while deadlocking on all counts involving the other victim.  Nevertheless, </w:t>
      </w:r>
      <w:r w:rsidR="008013F8">
        <w:rPr>
          <w:color w:val="212121"/>
          <w:shd w:val="clear" w:color="auto" w:fill="FFFFFF"/>
        </w:rPr>
        <w:t>it</w:t>
      </w:r>
      <w:r w:rsidRPr="00E94D07" w:rsidR="00E94D07">
        <w:rPr>
          <w:color w:val="212121"/>
          <w:shd w:val="clear" w:color="auto" w:fill="FFFFFF"/>
        </w:rPr>
        <w:t xml:space="preserve"> </w:t>
      </w:r>
      <w:r>
        <w:rPr>
          <w:color w:val="212121"/>
          <w:shd w:val="clear" w:color="auto" w:fill="FFFFFF"/>
        </w:rPr>
        <w:t xml:space="preserve">initially </w:t>
      </w:r>
      <w:r w:rsidRPr="00E94D07" w:rsidR="00E94D07">
        <w:rPr>
          <w:color w:val="212121"/>
          <w:shd w:val="clear" w:color="auto" w:fill="FFFFFF"/>
        </w:rPr>
        <w:t xml:space="preserve">returned a true finding on a </w:t>
      </w:r>
      <w:r>
        <w:rPr>
          <w:color w:val="212121"/>
          <w:shd w:val="clear" w:color="auto" w:fill="FFFFFF"/>
        </w:rPr>
        <w:t xml:space="preserve">multiple victim </w:t>
      </w:r>
      <w:r w:rsidRPr="00E94D07" w:rsidR="00E94D07">
        <w:rPr>
          <w:color w:val="212121"/>
          <w:shd w:val="clear" w:color="auto" w:fill="FFFFFF"/>
        </w:rPr>
        <w:t>special allegation</w:t>
      </w:r>
      <w:r w:rsidRPr="004E048F" w:rsidR="00E94D07">
        <w:rPr>
          <w:color w:val="212121"/>
          <w:shd w:val="clear" w:color="auto" w:fill="FFFFFF"/>
        </w:rPr>
        <w:t>.</w:t>
      </w:r>
      <w:r w:rsidRPr="004E048F" w:rsidR="008013F8">
        <w:rPr>
          <w:color w:val="212121"/>
          <w:shd w:val="clear" w:color="auto" w:fill="FFFFFF"/>
        </w:rPr>
        <w:t xml:space="preserve">  With some coaching from the trial judge, the jury </w:t>
      </w:r>
      <w:r>
        <w:rPr>
          <w:color w:val="212121"/>
          <w:shd w:val="clear" w:color="auto" w:fill="FFFFFF"/>
        </w:rPr>
        <w:t xml:space="preserve">next </w:t>
      </w:r>
      <w:r w:rsidRPr="004E048F" w:rsidR="008013F8">
        <w:rPr>
          <w:color w:val="212121"/>
          <w:shd w:val="clear" w:color="auto" w:fill="FFFFFF"/>
        </w:rPr>
        <w:t>came back with a not true finding with respect to the allegation and then later stated they were deadlocked on it.</w:t>
      </w:r>
      <w:r w:rsidRPr="004E048F">
        <w:rPr>
          <w:color w:val="212121"/>
          <w:shd w:val="clear" w:color="auto" w:fill="FFFFFF"/>
        </w:rPr>
        <w:t xml:space="preserve">  A second jury subsequently convicted the defendant of counts involving the other victim and found true the multiple victim allegation.</w:t>
      </w:r>
      <w:r w:rsidRPr="004E048F" w:rsidR="00E94D07">
        <w:rPr>
          <w:color w:val="212121"/>
          <w:shd w:val="clear" w:color="auto" w:fill="FFFFFF"/>
        </w:rPr>
        <w:t xml:space="preserve">  (</w:t>
      </w:r>
      <w:r w:rsidRPr="004E048F" w:rsidR="00E94D07">
        <w:rPr>
          <w:i/>
          <w:iCs/>
          <w:color w:val="212121"/>
          <w:shd w:val="clear" w:color="auto" w:fill="FFFFFF"/>
        </w:rPr>
        <w:t>Carbajal</w:t>
      </w:r>
      <w:r w:rsidRPr="004E048F" w:rsidR="00E94D07">
        <w:rPr>
          <w:color w:val="212121"/>
          <w:shd w:val="clear" w:color="auto" w:fill="FFFFFF"/>
        </w:rPr>
        <w:t>, at p. 525.)</w:t>
      </w:r>
      <w:r w:rsidRPr="004E048F" w:rsidR="008013F8">
        <w:rPr>
          <w:color w:val="212121"/>
          <w:shd w:val="clear" w:color="auto" w:fill="FFFFFF"/>
        </w:rPr>
        <w:t xml:space="preserve">  The question before the Supreme Court was whether retrial on the multiple victim allegation was barred by double jeopardy.  (</w:t>
      </w:r>
      <w:r w:rsidRPr="004E048F">
        <w:rPr>
          <w:i/>
          <w:iCs/>
          <w:color w:val="212121"/>
          <w:shd w:val="clear" w:color="auto" w:fill="FFFFFF"/>
        </w:rPr>
        <w:t>Ibid</w:t>
      </w:r>
      <w:r w:rsidRPr="004E048F" w:rsidR="008013F8">
        <w:rPr>
          <w:color w:val="212121"/>
          <w:shd w:val="clear" w:color="auto" w:fill="FFFFFF"/>
        </w:rPr>
        <w:t>.)</w:t>
      </w:r>
      <w:r w:rsidRPr="004E048F">
        <w:rPr>
          <w:color w:val="212121"/>
          <w:shd w:val="clear" w:color="auto" w:fill="FFFFFF"/>
        </w:rPr>
        <w:t xml:space="preserve">  The Court concluded</w:t>
      </w:r>
      <w:r>
        <w:rPr>
          <w:color w:val="212121"/>
          <w:shd w:val="clear" w:color="auto" w:fill="FFFFFF"/>
        </w:rPr>
        <w:t xml:space="preserve"> it was not, reasoning: “</w:t>
      </w:r>
      <w:r>
        <w:rPr>
          <w:rStyle w:val="ssrfcpassagedeactivated"/>
          <w:color w:val="000000"/>
          <w:bdr w:val="none" w:sz="0" w:space="0" w:color="auto" w:frame="1"/>
        </w:rPr>
        <w:t>Because the</w:t>
      </w:r>
      <w:r w:rsidR="005164BD">
        <w:rPr>
          <w:rStyle w:val="ssrfcpassagedeactivated"/>
          <w:color w:val="000000"/>
          <w:bdr w:val="none" w:sz="0" w:space="0" w:color="auto" w:frame="1"/>
        </w:rPr>
        <w:t xml:space="preserve"> [first]</w:t>
      </w:r>
      <w:r>
        <w:rPr>
          <w:rStyle w:val="ssrfcpassagedeactivated"/>
          <w:color w:val="000000"/>
          <w:bdr w:val="none" w:sz="0" w:space="0" w:color="auto" w:frame="1"/>
        </w:rPr>
        <w:t xml:space="preserve"> jury could not have returned any valid verdict on the multiple victim allegation, double jeopardy did not bar </w:t>
      </w:r>
      <w:r w:rsidRPr="005164BD">
        <w:rPr>
          <w:rStyle w:val="ssrfcpassagedeactivated"/>
          <w:color w:val="000000"/>
          <w:bdr w:val="none" w:sz="0" w:space="0" w:color="auto" w:frame="1"/>
        </w:rPr>
        <w:t>retrial on that allegation. (Cf.</w:t>
      </w:r>
      <w:r w:rsidR="00570AC8">
        <w:rPr>
          <w:rStyle w:val="ssrfcpassagedeactivated"/>
          <w:color w:val="000000"/>
          <w:bdr w:val="none" w:sz="0" w:space="0" w:color="auto" w:frame="1"/>
        </w:rPr>
        <w:t xml:space="preserve"> </w:t>
      </w:r>
      <w:r w:rsidRPr="005164BD">
        <w:rPr>
          <w:rStyle w:val="ssit"/>
          <w:i/>
          <w:iCs/>
          <w:color w:val="000000"/>
          <w:bdr w:val="none" w:sz="0" w:space="0" w:color="auto" w:frame="1"/>
        </w:rPr>
        <w:t>People v. Serrato</w:t>
      </w:r>
      <w:r w:rsidR="00570AC8">
        <w:rPr>
          <w:rStyle w:val="sssh"/>
          <w:color w:val="000000"/>
          <w:bdr w:val="none" w:sz="0" w:space="0" w:color="auto" w:frame="1"/>
        </w:rPr>
        <w:t xml:space="preserve"> </w:t>
      </w:r>
      <w:r w:rsidRPr="005164BD">
        <w:rPr>
          <w:rStyle w:val="sssh"/>
          <w:color w:val="000000"/>
          <w:bdr w:val="none" w:sz="0" w:space="0" w:color="auto" w:frame="1"/>
        </w:rPr>
        <w:t xml:space="preserve">(1973) 9 Cal.3d 753, 764 </w:t>
      </w:r>
      <w:r w:rsidRPr="005164BD">
        <w:rPr>
          <w:rStyle w:val="ssrfcpassagedeactivated"/>
          <w:color w:val="000000"/>
          <w:bdr w:val="none" w:sz="0" w:space="0" w:color="auto" w:frame="1"/>
        </w:rPr>
        <w:t>[when sentence imposed is not just erroneous but entirely unauthorized, state constitutional double jeopardy clause does not prohibit subsequent imposition of more severe sentence].)</w:t>
      </w:r>
      <w:r w:rsidR="005164BD">
        <w:rPr>
          <w:rStyle w:val="ssrfcpassagedeactivated"/>
          <w:color w:val="000000"/>
          <w:bdr w:val="none" w:sz="0" w:space="0" w:color="auto" w:frame="1"/>
        </w:rPr>
        <w:t>”  (</w:t>
      </w:r>
      <w:r w:rsidR="005164BD">
        <w:rPr>
          <w:rStyle w:val="ssrfcpassagedeactivated"/>
          <w:i/>
          <w:iCs/>
          <w:color w:val="000000"/>
          <w:bdr w:val="none" w:sz="0" w:space="0" w:color="auto" w:frame="1"/>
        </w:rPr>
        <w:t>Carbajal</w:t>
      </w:r>
      <w:r w:rsidR="005164BD">
        <w:rPr>
          <w:rStyle w:val="ssrfcpassagedeactivated"/>
          <w:color w:val="000000"/>
          <w:bdr w:val="none" w:sz="0" w:space="0" w:color="auto" w:frame="1"/>
        </w:rPr>
        <w:t>, at p. 535.)</w:t>
      </w:r>
    </w:p>
    <w:p w:rsidR="006701AC" w:rsidRPr="006701AC" w:rsidP="004C2333" w14:paraId="0A13FE45" w14:textId="291BECE6">
      <w:pPr>
        <w:pStyle w:val="Text"/>
        <w:ind w:firstLine="0"/>
        <w:rPr>
          <w:b/>
          <w:bCs/>
          <w:i/>
          <w:iCs/>
        </w:rPr>
      </w:pPr>
      <w:r>
        <w:rPr>
          <w:b/>
          <w:bCs/>
          <w:i/>
          <w:iCs/>
        </w:rPr>
        <w:t>C.  Appellate Court Application</w:t>
      </w:r>
      <w:r w:rsidR="007267A8">
        <w:rPr>
          <w:b/>
          <w:bCs/>
          <w:i/>
          <w:iCs/>
        </w:rPr>
        <w:t>s</w:t>
      </w:r>
      <w:r>
        <w:rPr>
          <w:b/>
          <w:bCs/>
          <w:i/>
          <w:iCs/>
        </w:rPr>
        <w:t xml:space="preserve"> of </w:t>
      </w:r>
      <w:r>
        <w:rPr>
          <w:b/>
          <w:bCs/>
        </w:rPr>
        <w:t>Serrato</w:t>
      </w:r>
      <w:r>
        <w:rPr>
          <w:b/>
          <w:bCs/>
          <w:i/>
          <w:iCs/>
        </w:rPr>
        <w:t xml:space="preserve"> Exception</w:t>
      </w:r>
    </w:p>
    <w:p w:rsidR="000C666F" w:rsidP="000C666F" w14:paraId="7AD9AE5D" w14:textId="0B0154C0">
      <w:pPr>
        <w:pStyle w:val="Text"/>
        <w:ind w:firstLine="0"/>
        <w:rPr>
          <w:rFonts w:eastAsia="Times New Roman"/>
          <w:color w:val="212121"/>
          <w:bdr w:val="none" w:sz="0" w:space="0" w:color="auto" w:frame="1"/>
        </w:rPr>
      </w:pPr>
      <w:r>
        <w:tab/>
      </w:r>
      <w:r w:rsidR="002C661C">
        <w:t>Post-</w:t>
      </w:r>
      <w:r>
        <w:rPr>
          <w:i/>
          <w:iCs/>
        </w:rPr>
        <w:t>Serrato</w:t>
      </w:r>
      <w:r w:rsidR="002C661C">
        <w:t>, appellate courts have handled unauthorized sentences in various ways</w:t>
      </w:r>
      <w:r>
        <w:t xml:space="preserve">.  </w:t>
      </w:r>
      <w:r w:rsidR="006629AD">
        <w:t xml:space="preserve">For example, in 1984 our colleagues in </w:t>
      </w:r>
      <w:r w:rsidRPr="00231278" w:rsidR="006629AD">
        <w:t>Division Two of this District</w:t>
      </w:r>
      <w:r w:rsidR="006629AD">
        <w:t xml:space="preserve"> </w:t>
      </w:r>
      <w:r w:rsidR="002C661C">
        <w:t>addressed a situation where a defendant had been sentenced consecutively for both rape (six years) and kidnapping for the purpose of rape (five years) in violation of section 654.  (</w:t>
      </w:r>
      <w:r w:rsidR="002C661C">
        <w:rPr>
          <w:i/>
          <w:iCs/>
        </w:rPr>
        <w:t>People v. Burns</w:t>
      </w:r>
      <w:r w:rsidR="002C661C">
        <w:t xml:space="preserve"> (1984) 158 Cal.App.3d 1178, 1181</w:t>
      </w:r>
      <w:r w:rsidR="005D5AC7">
        <w:t xml:space="preserve"> (</w:t>
      </w:r>
      <w:r w:rsidR="005D5AC7">
        <w:rPr>
          <w:i/>
          <w:iCs/>
        </w:rPr>
        <w:t>Burns</w:t>
      </w:r>
      <w:r w:rsidR="005D5AC7">
        <w:t>)</w:t>
      </w:r>
      <w:r w:rsidR="002C661C">
        <w:t xml:space="preserve">.)  In considering the appropriate remedy for this error, the </w:t>
      </w:r>
      <w:r w:rsidRPr="002C661C" w:rsidR="002C661C">
        <w:t xml:space="preserve">court noted that a defendant’s aggregate prison term under the </w:t>
      </w:r>
      <w:r w:rsidR="00DC6130">
        <w:t>determinate sentencing law (</w:t>
      </w:r>
      <w:r w:rsidR="00DC5F4F">
        <w:t>D</w:t>
      </w:r>
      <w:r w:rsidR="00DC6130">
        <w:t>S</w:t>
      </w:r>
      <w:r w:rsidR="00DC5F4F">
        <w:t>L</w:t>
      </w:r>
      <w:r w:rsidR="00DC6130">
        <w:t>)</w:t>
      </w:r>
      <w:r w:rsidRPr="002C661C" w:rsidR="002C661C">
        <w:t xml:space="preserve"> “ ‘</w:t>
      </w:r>
      <w:r w:rsidRPr="002C661C" w:rsidR="002C661C">
        <w:rPr>
          <w:color w:val="212121"/>
          <w:bdr w:val="none" w:sz="0" w:space="0" w:color="auto" w:frame="1"/>
          <w:shd w:val="clear" w:color="auto" w:fill="FFFFFF"/>
        </w:rPr>
        <w:t>cannot be viewed as a series of separate independent terms, but rather must be viewed as one prison term made up of interdependent components.</w:t>
      </w:r>
      <w:r w:rsidR="002C661C">
        <w:rPr>
          <w:color w:val="212121"/>
          <w:bdr w:val="none" w:sz="0" w:space="0" w:color="auto" w:frame="1"/>
          <w:shd w:val="clear" w:color="auto" w:fill="FFFFFF"/>
        </w:rPr>
        <w:t xml:space="preserve"> </w:t>
      </w:r>
      <w:r w:rsidR="00570AC8">
        <w:rPr>
          <w:color w:val="212121"/>
          <w:bdr w:val="none" w:sz="0" w:space="0" w:color="auto" w:frame="1"/>
          <w:shd w:val="clear" w:color="auto" w:fill="FFFFFF"/>
        </w:rPr>
        <w:t xml:space="preserve"> </w:t>
      </w:r>
      <w:r w:rsidRPr="002C661C" w:rsidR="002C661C">
        <w:rPr>
          <w:color w:val="212121"/>
          <w:bdr w:val="none" w:sz="0" w:space="0" w:color="auto" w:frame="1"/>
          <w:shd w:val="clear" w:color="auto" w:fill="FFFFFF"/>
        </w:rPr>
        <w:t xml:space="preserve">The invalidity of some of those components necessarily </w:t>
      </w:r>
      <w:r w:rsidRPr="003A41B3" w:rsidR="002C661C">
        <w:rPr>
          <w:color w:val="212121"/>
          <w:bdr w:val="none" w:sz="0" w:space="0" w:color="auto" w:frame="1"/>
          <w:shd w:val="clear" w:color="auto" w:fill="FFFFFF"/>
        </w:rPr>
        <w:t>infects the entire sentence . . . . In making its sentencing choices in the first instance the trial court undoubtedly considered the overall prison term to be imposed.’ ”  (</w:t>
      </w:r>
      <w:r w:rsidRPr="003A41B3" w:rsidR="002C661C">
        <w:rPr>
          <w:i/>
          <w:iCs/>
          <w:color w:val="212121"/>
          <w:bdr w:val="none" w:sz="0" w:space="0" w:color="auto" w:frame="1"/>
          <w:shd w:val="clear" w:color="auto" w:fill="FFFFFF"/>
        </w:rPr>
        <w:t>Id.</w:t>
      </w:r>
      <w:r w:rsidRPr="003A41B3" w:rsidR="002C661C">
        <w:rPr>
          <w:color w:val="212121"/>
          <w:bdr w:val="none" w:sz="0" w:space="0" w:color="auto" w:frame="1"/>
          <w:shd w:val="clear" w:color="auto" w:fill="FFFFFF"/>
        </w:rPr>
        <w:t xml:space="preserve"> at 1183.)  The trial court was therefore allowed to reconsider its entire sentencing scheme</w:t>
      </w:r>
      <w:r w:rsidR="003A41B3">
        <w:rPr>
          <w:color w:val="212121"/>
          <w:bdr w:val="none" w:sz="0" w:space="0" w:color="auto" w:frame="1"/>
          <w:shd w:val="clear" w:color="auto" w:fill="FFFFFF"/>
        </w:rPr>
        <w:t xml:space="preserve"> on remand</w:t>
      </w:r>
      <w:r w:rsidRPr="003A41B3" w:rsidR="003A41B3">
        <w:rPr>
          <w:color w:val="212121"/>
          <w:bdr w:val="none" w:sz="0" w:space="0" w:color="auto" w:frame="1"/>
          <w:shd w:val="clear" w:color="auto" w:fill="FFFFFF"/>
        </w:rPr>
        <w:t>.  “</w:t>
      </w:r>
      <w:r w:rsidRPr="002C661C" w:rsidR="002C661C">
        <w:rPr>
          <w:rFonts w:eastAsia="Times New Roman"/>
          <w:color w:val="212121"/>
          <w:bdr w:val="none" w:sz="0" w:space="0" w:color="auto" w:frame="1"/>
        </w:rPr>
        <w:t xml:space="preserve">However, in order to </w:t>
      </w:r>
      <w:r w:rsidRPr="003A41B3" w:rsidR="003A41B3">
        <w:rPr>
          <w:rFonts w:eastAsia="Times New Roman"/>
          <w:color w:val="212121"/>
          <w:bdr w:val="none" w:sz="0" w:space="0" w:color="auto" w:frame="1"/>
        </w:rPr>
        <w:t>‘</w:t>
      </w:r>
      <w:r w:rsidRPr="002C661C" w:rsidR="002C661C">
        <w:rPr>
          <w:rFonts w:eastAsia="Times New Roman"/>
          <w:color w:val="212121"/>
          <w:bdr w:val="none" w:sz="0" w:space="0" w:color="auto" w:frame="1"/>
        </w:rPr>
        <w:t>preclude vindictiveness and more generally to avoid penalizing a defendant for pursuing a successful appeal</w:t>
      </w:r>
      <w:r w:rsidRPr="003A41B3" w:rsidR="003A41B3">
        <w:rPr>
          <w:rFonts w:eastAsia="Times New Roman"/>
          <w:color w:val="212121"/>
          <w:bdr w:val="none" w:sz="0" w:space="0" w:color="auto" w:frame="1"/>
        </w:rPr>
        <w:t>’ [citation]</w:t>
      </w:r>
      <w:r w:rsidRPr="002C661C" w:rsidR="002C661C">
        <w:rPr>
          <w:rFonts w:eastAsia="Times New Roman"/>
          <w:color w:val="212121"/>
          <w:bdr w:val="none" w:sz="0" w:space="0" w:color="auto" w:frame="1"/>
        </w:rPr>
        <w:t>,</w:t>
      </w:r>
      <w:r w:rsidR="006C675B">
        <w:rPr>
          <w:rFonts w:eastAsia="Times New Roman"/>
          <w:color w:val="212121"/>
          <w:bdr w:val="none" w:sz="0" w:space="0" w:color="auto" w:frame="1"/>
        </w:rPr>
        <w:t>”</w:t>
      </w:r>
      <w:r w:rsidR="003A41B3">
        <w:rPr>
          <w:rFonts w:eastAsia="Times New Roman"/>
          <w:color w:val="212121"/>
          <w:bdr w:val="none" w:sz="0" w:space="0" w:color="auto" w:frame="1"/>
        </w:rPr>
        <w:t xml:space="preserve"> the appellate court concluded, citing </w:t>
      </w:r>
      <w:r w:rsidR="003A41B3">
        <w:rPr>
          <w:rFonts w:eastAsia="Times New Roman"/>
          <w:i/>
          <w:iCs/>
          <w:color w:val="212121"/>
          <w:bdr w:val="none" w:sz="0" w:space="0" w:color="auto" w:frame="1"/>
        </w:rPr>
        <w:t>Henderson</w:t>
      </w:r>
      <w:r w:rsidR="003A41B3">
        <w:rPr>
          <w:rFonts w:eastAsia="Times New Roman"/>
          <w:color w:val="212121"/>
          <w:bdr w:val="none" w:sz="0" w:space="0" w:color="auto" w:frame="1"/>
        </w:rPr>
        <w:t>, that Burns could not be “sentenced on re</w:t>
      </w:r>
      <w:r w:rsidRPr="002C661C" w:rsidR="002C661C">
        <w:rPr>
          <w:rFonts w:eastAsia="Times New Roman"/>
          <w:color w:val="212121"/>
          <w:bdr w:val="none" w:sz="0" w:space="0" w:color="auto" w:frame="1"/>
        </w:rPr>
        <w:t>mand to a term in excess of his original sentence.</w:t>
      </w:r>
      <w:r w:rsidRPr="003A41B3" w:rsidR="003A41B3">
        <w:rPr>
          <w:rFonts w:eastAsia="Times New Roman"/>
          <w:color w:val="212121"/>
          <w:bdr w:val="none" w:sz="0" w:space="0" w:color="auto" w:frame="1"/>
        </w:rPr>
        <w:t>”  (</w:t>
      </w:r>
      <w:r w:rsidRPr="003A41B3" w:rsidR="003A41B3">
        <w:rPr>
          <w:rFonts w:eastAsia="Times New Roman"/>
          <w:i/>
          <w:iCs/>
          <w:color w:val="212121"/>
          <w:bdr w:val="none" w:sz="0" w:space="0" w:color="auto" w:frame="1"/>
        </w:rPr>
        <w:t>Burns</w:t>
      </w:r>
      <w:r w:rsidRPr="003A41B3" w:rsidR="003A41B3">
        <w:rPr>
          <w:rFonts w:eastAsia="Times New Roman"/>
          <w:color w:val="212121"/>
          <w:bdr w:val="none" w:sz="0" w:space="0" w:color="auto" w:frame="1"/>
        </w:rPr>
        <w:t>, at p. 1184.)</w:t>
      </w:r>
    </w:p>
    <w:p w:rsidR="00EE0041" w:rsidP="00EE0041" w14:paraId="5A6D7E84" w14:textId="19E4D6A8">
      <w:pPr>
        <w:pStyle w:val="Text"/>
        <w:ind w:firstLine="0"/>
        <w:rPr>
          <w:rStyle w:val="ssrfcpassagedeactivated"/>
          <w:bdr w:val="none" w:sz="0" w:space="0" w:color="auto" w:frame="1"/>
        </w:rPr>
      </w:pPr>
      <w:r>
        <w:rPr>
          <w:rFonts w:eastAsia="Times New Roman"/>
          <w:color w:val="212121"/>
          <w:bdr w:val="none" w:sz="0" w:space="0" w:color="auto" w:frame="1"/>
        </w:rPr>
        <w:tab/>
      </w:r>
      <w:r w:rsidRPr="003A41B3" w:rsidR="003A41B3">
        <w:rPr>
          <w:rStyle w:val="ssrfcpassagedeactivated"/>
          <w:bdr w:val="none" w:sz="0" w:space="0" w:color="auto" w:frame="1"/>
        </w:rPr>
        <w:t>Several years later,</w:t>
      </w:r>
      <w:r w:rsidR="005D5AC7">
        <w:rPr>
          <w:rStyle w:val="ssrfcpassagedeactivated"/>
          <w:bdr w:val="none" w:sz="0" w:space="0" w:color="auto" w:frame="1"/>
        </w:rPr>
        <w:t xml:space="preserve"> the Fifth District considered the propriety of resentencing a sexual offender to 50 years in prison on remand from an </w:t>
      </w:r>
      <w:r w:rsidR="00C27140">
        <w:rPr>
          <w:rStyle w:val="ssrfcpassagedeactivated"/>
          <w:bdr w:val="none" w:sz="0" w:space="0" w:color="auto" w:frame="1"/>
        </w:rPr>
        <w:t>unauthorized</w:t>
      </w:r>
      <w:r w:rsidR="005D5AC7">
        <w:rPr>
          <w:rStyle w:val="ssrfcpassagedeactivated"/>
          <w:bdr w:val="none" w:sz="0" w:space="0" w:color="auto" w:frame="1"/>
        </w:rPr>
        <w:t xml:space="preserve"> sentence of 37 years.  (</w:t>
      </w:r>
      <w:r w:rsidRPr="00AB404D" w:rsidR="005D5AC7">
        <w:rPr>
          <w:rStyle w:val="ssrfcpassagedeactivated"/>
          <w:i/>
          <w:iCs/>
          <w:bdr w:val="none" w:sz="0" w:space="0" w:color="auto" w:frame="1"/>
        </w:rPr>
        <w:t>People v. Price</w:t>
      </w:r>
      <w:r w:rsidRPr="00AB404D" w:rsidR="005D5AC7">
        <w:rPr>
          <w:rStyle w:val="ssrfcpassagedeactivated"/>
          <w:bdr w:val="none" w:sz="0" w:space="0" w:color="auto" w:frame="1"/>
        </w:rPr>
        <w:t xml:space="preserve"> (1986) 184 Cal.App.3d 1405, 1407 (</w:t>
      </w:r>
      <w:r w:rsidRPr="00AB404D" w:rsidR="005D5AC7">
        <w:rPr>
          <w:rStyle w:val="ssrfcpassagedeactivated"/>
          <w:i/>
          <w:iCs/>
          <w:bdr w:val="none" w:sz="0" w:space="0" w:color="auto" w:frame="1"/>
        </w:rPr>
        <w:t>Price</w:t>
      </w:r>
      <w:r w:rsidRPr="00AB404D" w:rsidR="005D5AC7">
        <w:rPr>
          <w:rStyle w:val="ssrfcpassagedeactivated"/>
          <w:bdr w:val="none" w:sz="0" w:space="0" w:color="auto" w:frame="1"/>
        </w:rPr>
        <w:t>).)</w:t>
      </w:r>
      <w:r w:rsidRPr="00AB404D" w:rsidR="00AB404D">
        <w:rPr>
          <w:rStyle w:val="ssrfcpassagedeactivated"/>
          <w:bdr w:val="none" w:sz="0" w:space="0" w:color="auto" w:frame="1"/>
        </w:rPr>
        <w:t xml:space="preserve">  </w:t>
      </w:r>
      <w:r w:rsidR="00332B50">
        <w:rPr>
          <w:rStyle w:val="ssrfcpassagedeactivated"/>
          <w:bdr w:val="none" w:sz="0" w:space="0" w:color="auto" w:frame="1"/>
        </w:rPr>
        <w:t xml:space="preserve">Given the exemplar cases discussed in </w:t>
      </w:r>
      <w:r w:rsidRPr="00332B50" w:rsidR="00332B50">
        <w:rPr>
          <w:rStyle w:val="ssrfcpassagedeactivated"/>
          <w:i/>
          <w:iCs/>
          <w:bdr w:val="none" w:sz="0" w:space="0" w:color="auto" w:frame="1"/>
        </w:rPr>
        <w:t>Serrato</w:t>
      </w:r>
      <w:r w:rsidR="00332B50">
        <w:rPr>
          <w:rStyle w:val="ssrfcpassagedeactivated"/>
          <w:bdr w:val="none" w:sz="0" w:space="0" w:color="auto" w:frame="1"/>
        </w:rPr>
        <w:t xml:space="preserve">, and the </w:t>
      </w:r>
      <w:r w:rsidRPr="00332B50" w:rsidR="00332B50">
        <w:rPr>
          <w:rStyle w:val="ssrfcpassagedeactivated"/>
          <w:i/>
          <w:iCs/>
          <w:bdr w:val="none" w:sz="0" w:space="0" w:color="auto" w:frame="1"/>
        </w:rPr>
        <w:t>Serrato</w:t>
      </w:r>
      <w:r w:rsidR="00332B50">
        <w:rPr>
          <w:rStyle w:val="ssrfcpassagedeactivated"/>
          <w:bdr w:val="none" w:sz="0" w:space="0" w:color="auto" w:frame="1"/>
        </w:rPr>
        <w:t xml:space="preserve"> Court’s </w:t>
      </w:r>
      <w:r w:rsidR="005433F0">
        <w:rPr>
          <w:rStyle w:val="ssrfcpassagedeactivated"/>
          <w:bdr w:val="none" w:sz="0" w:space="0" w:color="auto" w:frame="1"/>
        </w:rPr>
        <w:t xml:space="preserve">analogizing of those cases </w:t>
      </w:r>
      <w:r w:rsidR="00332B50">
        <w:rPr>
          <w:rStyle w:val="ssrfcpassagedeactivated"/>
          <w:bdr w:val="none" w:sz="0" w:space="0" w:color="auto" w:frame="1"/>
        </w:rPr>
        <w:t>to the situation where a negotiated plea is set aside (which requires restoration of any dismissed counts)</w:t>
      </w:r>
      <w:r w:rsidR="005433F0">
        <w:rPr>
          <w:rStyle w:val="ssrfcpassagedeactivated"/>
          <w:bdr w:val="none" w:sz="0" w:space="0" w:color="auto" w:frame="1"/>
        </w:rPr>
        <w:t xml:space="preserve">, the appellate court in </w:t>
      </w:r>
      <w:r w:rsidR="005433F0">
        <w:rPr>
          <w:rStyle w:val="ssrfcpassagedeactivated"/>
          <w:i/>
          <w:iCs/>
          <w:bdr w:val="none" w:sz="0" w:space="0" w:color="auto" w:frame="1"/>
        </w:rPr>
        <w:t xml:space="preserve">Price </w:t>
      </w:r>
      <w:r w:rsidR="005433F0">
        <w:rPr>
          <w:rStyle w:val="ssrfcpassagedeactivated"/>
          <w:bdr w:val="none" w:sz="0" w:space="0" w:color="auto" w:frame="1"/>
        </w:rPr>
        <w:t xml:space="preserve">concluded that the holding in </w:t>
      </w:r>
      <w:r w:rsidR="005433F0">
        <w:rPr>
          <w:rStyle w:val="ssrfcpassagedeactivated"/>
          <w:i/>
          <w:iCs/>
          <w:bdr w:val="none" w:sz="0" w:space="0" w:color="auto" w:frame="1"/>
        </w:rPr>
        <w:t>Ser</w:t>
      </w:r>
      <w:r w:rsidR="00C27140">
        <w:rPr>
          <w:rStyle w:val="ssrfcpassagedeactivated"/>
          <w:i/>
          <w:iCs/>
          <w:bdr w:val="none" w:sz="0" w:space="0" w:color="auto" w:frame="1"/>
        </w:rPr>
        <w:t xml:space="preserve">rato </w:t>
      </w:r>
      <w:r w:rsidRPr="00332B50" w:rsidR="00332B50">
        <w:rPr>
          <w:rStyle w:val="ssrfcpassagedeactivated"/>
          <w:bdr w:val="none" w:sz="0" w:space="0" w:color="auto" w:frame="1"/>
        </w:rPr>
        <w:t>“</w:t>
      </w:r>
      <w:r w:rsidRPr="00332B50" w:rsidR="00332B50">
        <w:rPr>
          <w:rStyle w:val="ssrfcpassagedeactivated"/>
          <w:color w:val="212121"/>
          <w:bdr w:val="none" w:sz="0" w:space="0" w:color="auto" w:frame="1"/>
          <w:shd w:val="clear" w:color="auto" w:fill="FFFFFF"/>
        </w:rPr>
        <w:t>vindicate</w:t>
      </w:r>
      <w:r w:rsidR="00C27140">
        <w:rPr>
          <w:rStyle w:val="ssrfcpassagedeactivated"/>
          <w:color w:val="212121"/>
          <w:bdr w:val="none" w:sz="0" w:space="0" w:color="auto" w:frame="1"/>
          <w:shd w:val="clear" w:color="auto" w:fill="FFFFFF"/>
        </w:rPr>
        <w:t>s</w:t>
      </w:r>
      <w:r w:rsidRPr="00332B50" w:rsidR="00332B50">
        <w:rPr>
          <w:rStyle w:val="ssrfcpassagedeactivated"/>
          <w:color w:val="212121"/>
          <w:bdr w:val="none" w:sz="0" w:space="0" w:color="auto" w:frame="1"/>
          <w:shd w:val="clear" w:color="auto" w:fill="FFFFFF"/>
        </w:rPr>
        <w:t xml:space="preserve"> the People</w:t>
      </w:r>
      <w:r w:rsidR="005433F0">
        <w:rPr>
          <w:rStyle w:val="ssrfcpassagedeactivated"/>
          <w:color w:val="212121"/>
          <w:bdr w:val="none" w:sz="0" w:space="0" w:color="auto" w:frame="1"/>
          <w:shd w:val="clear" w:color="auto" w:fill="FFFFFF"/>
        </w:rPr>
        <w:t>’</w:t>
      </w:r>
      <w:r w:rsidRPr="00332B50" w:rsidR="00332B50">
        <w:rPr>
          <w:rStyle w:val="ssrfcpassagedeactivated"/>
          <w:color w:val="212121"/>
          <w:bdr w:val="none" w:sz="0" w:space="0" w:color="auto" w:frame="1"/>
          <w:shd w:val="clear" w:color="auto" w:fill="FFFFFF"/>
        </w:rPr>
        <w:t>s right to imposition of a proper sentence.”  (</w:t>
      </w:r>
      <w:r w:rsidR="00332B50">
        <w:rPr>
          <w:rStyle w:val="ssrfcpassagedeactivated"/>
          <w:i/>
          <w:iCs/>
          <w:color w:val="212121"/>
          <w:bdr w:val="none" w:sz="0" w:space="0" w:color="auto" w:frame="1"/>
          <w:shd w:val="clear" w:color="auto" w:fill="FFFFFF"/>
        </w:rPr>
        <w:t>Price</w:t>
      </w:r>
      <w:r w:rsidR="00332B50">
        <w:rPr>
          <w:rStyle w:val="ssrfcpassagedeactivated"/>
          <w:color w:val="212121"/>
          <w:bdr w:val="none" w:sz="0" w:space="0" w:color="auto" w:frame="1"/>
          <w:shd w:val="clear" w:color="auto" w:fill="FFFFFF"/>
        </w:rPr>
        <w:t>, at p. 1409</w:t>
      </w:r>
      <w:r w:rsidR="00C27140">
        <w:rPr>
          <w:rStyle w:val="ssrfcpassagedeactivated"/>
          <w:color w:val="212121"/>
          <w:bdr w:val="none" w:sz="0" w:space="0" w:color="auto" w:frame="1"/>
          <w:shd w:val="clear" w:color="auto" w:fill="FFFFFF"/>
        </w:rPr>
        <w:t xml:space="preserve">; see also </w:t>
      </w:r>
      <w:r w:rsidR="00C27140">
        <w:rPr>
          <w:rStyle w:val="ssrfcpassagedeactivated"/>
          <w:i/>
          <w:iCs/>
          <w:color w:val="212121"/>
          <w:bdr w:val="none" w:sz="0" w:space="0" w:color="auto" w:frame="1"/>
          <w:shd w:val="clear" w:color="auto" w:fill="FFFFFF"/>
        </w:rPr>
        <w:t>Serrato</w:t>
      </w:r>
      <w:r w:rsidR="00C27140">
        <w:rPr>
          <w:rStyle w:val="ssrfcpassagedeactivated"/>
          <w:color w:val="212121"/>
          <w:bdr w:val="none" w:sz="0" w:space="0" w:color="auto" w:frame="1"/>
          <w:shd w:val="clear" w:color="auto" w:fill="FFFFFF"/>
        </w:rPr>
        <w:t xml:space="preserve">, </w:t>
      </w:r>
      <w:r w:rsidR="00C27140">
        <w:rPr>
          <w:rStyle w:val="ssrfcpassagedeactivated"/>
          <w:i/>
          <w:iCs/>
          <w:color w:val="212121"/>
          <w:bdr w:val="none" w:sz="0" w:space="0" w:color="auto" w:frame="1"/>
          <w:shd w:val="clear" w:color="auto" w:fill="FFFFFF"/>
        </w:rPr>
        <w:t>supra</w:t>
      </w:r>
      <w:r w:rsidR="00C27140">
        <w:rPr>
          <w:rStyle w:val="ssrfcpassagedeactivated"/>
          <w:color w:val="212121"/>
          <w:bdr w:val="none" w:sz="0" w:space="0" w:color="auto" w:frame="1"/>
          <w:shd w:val="clear" w:color="auto" w:fill="FFFFFF"/>
        </w:rPr>
        <w:t xml:space="preserve">, 9 Cal.3d at pp. </w:t>
      </w:r>
      <w:r w:rsidR="006C675B">
        <w:rPr>
          <w:rStyle w:val="ssrfcpassagedeactivated"/>
          <w:color w:val="212121"/>
          <w:bdr w:val="none" w:sz="0" w:space="0" w:color="auto" w:frame="1"/>
          <w:shd w:val="clear" w:color="auto" w:fill="FFFFFF"/>
        </w:rPr>
        <w:t>7</w:t>
      </w:r>
      <w:r w:rsidR="00C27140">
        <w:rPr>
          <w:rStyle w:val="ssrfcpassagedeactivated"/>
          <w:color w:val="212121"/>
          <w:bdr w:val="none" w:sz="0" w:space="0" w:color="auto" w:frame="1"/>
          <w:shd w:val="clear" w:color="auto" w:fill="FFFFFF"/>
        </w:rPr>
        <w:t>64–</w:t>
      </w:r>
      <w:r w:rsidR="006C675B">
        <w:rPr>
          <w:rStyle w:val="ssrfcpassagedeactivated"/>
          <w:color w:val="212121"/>
          <w:bdr w:val="none" w:sz="0" w:space="0" w:color="auto" w:frame="1"/>
          <w:shd w:val="clear" w:color="auto" w:fill="FFFFFF"/>
        </w:rPr>
        <w:t>7</w:t>
      </w:r>
      <w:r w:rsidR="00C27140">
        <w:rPr>
          <w:rStyle w:val="ssrfcpassagedeactivated"/>
          <w:color w:val="212121"/>
          <w:bdr w:val="none" w:sz="0" w:space="0" w:color="auto" w:frame="1"/>
          <w:shd w:val="clear" w:color="auto" w:fill="FFFFFF"/>
        </w:rPr>
        <w:t>65</w:t>
      </w:r>
      <w:r w:rsidR="00332B50">
        <w:rPr>
          <w:rStyle w:val="ssrfcpassagedeactivated"/>
          <w:color w:val="212121"/>
          <w:bdr w:val="none" w:sz="0" w:space="0" w:color="auto" w:frame="1"/>
          <w:shd w:val="clear" w:color="auto" w:fill="FFFFFF"/>
        </w:rPr>
        <w:t>.)</w:t>
      </w:r>
      <w:r w:rsidRPr="00332B50" w:rsidR="00AB404D">
        <w:rPr>
          <w:rStyle w:val="ssrfcpassagedeactivated"/>
          <w:bdr w:val="none" w:sz="0" w:space="0" w:color="auto" w:frame="1"/>
        </w:rPr>
        <w:t xml:space="preserve"> </w:t>
      </w:r>
      <w:r w:rsidR="00332B50">
        <w:rPr>
          <w:rStyle w:val="ssrfcpassagedeactivated"/>
          <w:bdr w:val="none" w:sz="0" w:space="0" w:color="auto" w:frame="1"/>
        </w:rPr>
        <w:t xml:space="preserve"> </w:t>
      </w:r>
      <w:r w:rsidRPr="00332B50" w:rsidR="00332B50">
        <w:rPr>
          <w:rStyle w:val="ssrfcpassagedeactivated"/>
          <w:bdr w:val="none" w:sz="0" w:space="0" w:color="auto" w:frame="1"/>
        </w:rPr>
        <w:t>It</w:t>
      </w:r>
      <w:r w:rsidR="00332B50">
        <w:rPr>
          <w:rStyle w:val="ssrfcpassagedeactivated"/>
          <w:bdr w:val="none" w:sz="0" w:space="0" w:color="auto" w:frame="1"/>
        </w:rPr>
        <w:t xml:space="preserve"> </w:t>
      </w:r>
      <w:r w:rsidR="00C27140">
        <w:rPr>
          <w:rStyle w:val="ssrfcpassagedeactivated"/>
          <w:bdr w:val="none" w:sz="0" w:space="0" w:color="auto" w:frame="1"/>
        </w:rPr>
        <w:t>th</w:t>
      </w:r>
      <w:r w:rsidR="005820D7">
        <w:rPr>
          <w:rStyle w:val="ssrfcpassagedeactivated"/>
          <w:bdr w:val="none" w:sz="0" w:space="0" w:color="auto" w:frame="1"/>
        </w:rPr>
        <w:t>erefore</w:t>
      </w:r>
      <w:r w:rsidR="00C27140">
        <w:rPr>
          <w:rStyle w:val="ssrfcpassagedeactivated"/>
          <w:bdr w:val="none" w:sz="0" w:space="0" w:color="auto" w:frame="1"/>
        </w:rPr>
        <w:t xml:space="preserve"> </w:t>
      </w:r>
      <w:r w:rsidRPr="00AB404D" w:rsidR="00AB404D">
        <w:rPr>
          <w:rStyle w:val="ssrfcpassagedeactivated"/>
          <w:bdr w:val="none" w:sz="0" w:space="0" w:color="auto" w:frame="1"/>
        </w:rPr>
        <w:t>concluded that, i</w:t>
      </w:r>
      <w:r w:rsidRPr="00AB404D" w:rsidR="00AB404D">
        <w:rPr>
          <w:shd w:val="clear" w:color="auto" w:fill="FFFFFF"/>
        </w:rPr>
        <w:t>n order to determine if the sentencing court on remand properly could impose a harsher sentence, it was required to characterize the sentencing errors which occurred at the first sentencing.</w:t>
      </w:r>
      <w:r w:rsidRPr="00AB404D" w:rsidR="00AB404D">
        <w:rPr>
          <w:rStyle w:val="ssrfcpassagedeactivated"/>
          <w:bdr w:val="none" w:sz="0" w:space="0" w:color="auto" w:frame="1"/>
        </w:rPr>
        <w:t xml:space="preserve">  </w:t>
      </w:r>
      <w:r w:rsidR="005820D7">
        <w:rPr>
          <w:rStyle w:val="ssrfcpassagedeactivated"/>
          <w:bdr w:val="none" w:sz="0" w:space="0" w:color="auto" w:frame="1"/>
        </w:rPr>
        <w:t>Some identified sentencing errors “could not result in a greater overall term on the sentencing” and thus “did not produce unauthorized sentences.</w:t>
      </w:r>
      <w:r w:rsidR="006C675B">
        <w:rPr>
          <w:rStyle w:val="ssrfcpassagedeactivated"/>
          <w:bdr w:val="none" w:sz="0" w:space="0" w:color="auto" w:frame="1"/>
        </w:rPr>
        <w:t>”</w:t>
      </w:r>
      <w:r w:rsidR="005820D7">
        <w:rPr>
          <w:rStyle w:val="ssrfcpassagedeactivated"/>
          <w:bdr w:val="none" w:sz="0" w:space="0" w:color="auto" w:frame="1"/>
        </w:rPr>
        <w:t xml:space="preserve">  (</w:t>
      </w:r>
      <w:r w:rsidR="005820D7">
        <w:rPr>
          <w:rStyle w:val="ssrfcpassagedeactivated"/>
          <w:i/>
          <w:iCs/>
          <w:bdr w:val="none" w:sz="0" w:space="0" w:color="auto" w:frame="1"/>
        </w:rPr>
        <w:t>Price</w:t>
      </w:r>
      <w:r w:rsidR="005820D7">
        <w:rPr>
          <w:rStyle w:val="ssrfcpassagedeactivated"/>
          <w:bdr w:val="none" w:sz="0" w:space="0" w:color="auto" w:frame="1"/>
        </w:rPr>
        <w:t xml:space="preserve">, at p. 1409.)  In contrast, the appellate court </w:t>
      </w:r>
      <w:r w:rsidRPr="00AB404D" w:rsidR="00AB404D">
        <w:rPr>
          <w:rStyle w:val="ssrfcpassagedeactivated"/>
          <w:bdr w:val="none" w:sz="0" w:space="0" w:color="auto" w:frame="1"/>
        </w:rPr>
        <w:t>found two unauthorized errors</w:t>
      </w:r>
      <w:r w:rsidR="005820D7">
        <w:rPr>
          <w:rStyle w:val="ssrfcpassagedeactivated"/>
          <w:bdr w:val="none" w:sz="0" w:space="0" w:color="auto" w:frame="1"/>
        </w:rPr>
        <w:t xml:space="preserve"> in the initial sentencing</w:t>
      </w:r>
      <w:r w:rsidRPr="00AB404D" w:rsidR="00AB404D">
        <w:rPr>
          <w:rStyle w:val="ssrfcpassagedeactivated"/>
          <w:bdr w:val="none" w:sz="0" w:space="0" w:color="auto" w:frame="1"/>
        </w:rPr>
        <w:t xml:space="preserve">: </w:t>
      </w:r>
      <w:r w:rsidR="00AB404D">
        <w:rPr>
          <w:rStyle w:val="ssrfcpassagedeactivated"/>
          <w:bdr w:val="none" w:sz="0" w:space="0" w:color="auto" w:frame="1"/>
        </w:rPr>
        <w:t>the failure to impose a consecutive sentence on one robbery count and the failure to impose weapons enhancements on three counts</w:t>
      </w:r>
      <w:r w:rsidR="005820D7">
        <w:rPr>
          <w:rStyle w:val="ssrfcpassagedeactivated"/>
          <w:bdr w:val="none" w:sz="0" w:space="0" w:color="auto" w:frame="1"/>
        </w:rPr>
        <w:t xml:space="preserve"> due to a misunderstanding regarding the application of section 654</w:t>
      </w:r>
      <w:r w:rsidR="00AB404D">
        <w:rPr>
          <w:rStyle w:val="ssrfcpassagedeactivated"/>
          <w:bdr w:val="none" w:sz="0" w:space="0" w:color="auto" w:frame="1"/>
        </w:rPr>
        <w:t>.  (</w:t>
      </w:r>
      <w:r w:rsidR="005820D7">
        <w:rPr>
          <w:rStyle w:val="ssrfcpassagedeactivated"/>
          <w:i/>
          <w:iCs/>
          <w:bdr w:val="none" w:sz="0" w:space="0" w:color="auto" w:frame="1"/>
        </w:rPr>
        <w:t>Price</w:t>
      </w:r>
      <w:r w:rsidR="005820D7">
        <w:rPr>
          <w:rStyle w:val="ssrfcpassagedeactivated"/>
          <w:bdr w:val="none" w:sz="0" w:space="0" w:color="auto" w:frame="1"/>
        </w:rPr>
        <w:t>,</w:t>
      </w:r>
      <w:r w:rsidR="00AB404D">
        <w:rPr>
          <w:rStyle w:val="ssrfcpassagedeactivated"/>
          <w:bdr w:val="none" w:sz="0" w:space="0" w:color="auto" w:frame="1"/>
        </w:rPr>
        <w:t xml:space="preserve"> at p</w:t>
      </w:r>
      <w:r w:rsidR="005820D7">
        <w:rPr>
          <w:rStyle w:val="ssrfcpassagedeactivated"/>
          <w:bdr w:val="none" w:sz="0" w:space="0" w:color="auto" w:frame="1"/>
        </w:rPr>
        <w:t>p</w:t>
      </w:r>
      <w:r w:rsidR="00AB404D">
        <w:rPr>
          <w:rStyle w:val="ssrfcpassagedeactivated"/>
          <w:bdr w:val="none" w:sz="0" w:space="0" w:color="auto" w:frame="1"/>
        </w:rPr>
        <w:t>. 1409</w:t>
      </w:r>
      <w:r w:rsidR="005820D7">
        <w:rPr>
          <w:rStyle w:val="ssrfcpassagedeactivated"/>
          <w:bdr w:val="none" w:sz="0" w:space="0" w:color="auto" w:frame="1"/>
        </w:rPr>
        <w:t>, 1411</w:t>
      </w:r>
      <w:r>
        <w:rPr>
          <w:rStyle w:val="ssrfcpassagedeactivated"/>
          <w:bdr w:val="none" w:sz="0" w:space="0" w:color="auto" w:frame="1"/>
        </w:rPr>
        <w:t>–1412 [“</w:t>
      </w:r>
      <w:r>
        <w:rPr>
          <w:color w:val="000000"/>
        </w:rPr>
        <w:t>Where a court mistakenly stays punishment under section 654, the stay operates to defeat the otherwise mandated sentence which the court must impose.”].</w:t>
      </w:r>
      <w:r w:rsidR="00AB404D">
        <w:rPr>
          <w:rStyle w:val="ssrfcpassagedeactivated"/>
          <w:bdr w:val="none" w:sz="0" w:space="0" w:color="auto" w:frame="1"/>
        </w:rPr>
        <w:t>)</w:t>
      </w:r>
      <w:r>
        <w:rPr>
          <w:rStyle w:val="ssrfcpassagedeactivated"/>
          <w:bdr w:val="none" w:sz="0" w:space="0" w:color="auto" w:frame="1"/>
        </w:rPr>
        <w:t xml:space="preserve">  </w:t>
      </w:r>
      <w:r w:rsidR="005820D7">
        <w:rPr>
          <w:rStyle w:val="ssrfcpassagedeactivated"/>
          <w:bdr w:val="none" w:sz="0" w:space="0" w:color="auto" w:frame="1"/>
        </w:rPr>
        <w:t xml:space="preserve">Turning to the propriety of the resentencing, the </w:t>
      </w:r>
      <w:r w:rsidR="005820D7">
        <w:rPr>
          <w:rStyle w:val="ssrfcpassagedeactivated"/>
          <w:i/>
          <w:iCs/>
          <w:bdr w:val="none" w:sz="0" w:space="0" w:color="auto" w:frame="1"/>
        </w:rPr>
        <w:t xml:space="preserve">Price </w:t>
      </w:r>
      <w:r w:rsidR="005820D7">
        <w:rPr>
          <w:rStyle w:val="ssrfcpassagedeactivated"/>
          <w:bdr w:val="none" w:sz="0" w:space="0" w:color="auto" w:frame="1"/>
        </w:rPr>
        <w:t xml:space="preserve">court concluded that the sentencing court had fixed the unauthorized sentencing </w:t>
      </w:r>
      <w:r>
        <w:rPr>
          <w:rStyle w:val="ssrfcpassagedeactivated"/>
          <w:bdr w:val="none" w:sz="0" w:space="0" w:color="auto" w:frame="1"/>
        </w:rPr>
        <w:t>e</w:t>
      </w:r>
      <w:r w:rsidR="005820D7">
        <w:rPr>
          <w:rStyle w:val="ssrfcpassagedeactivated"/>
          <w:bdr w:val="none" w:sz="0" w:space="0" w:color="auto" w:frame="1"/>
        </w:rPr>
        <w:t>rrors</w:t>
      </w:r>
      <w:r>
        <w:rPr>
          <w:rStyle w:val="ssrfcpassagedeactivated"/>
          <w:bdr w:val="none" w:sz="0" w:space="0" w:color="auto" w:frame="1"/>
        </w:rPr>
        <w:t xml:space="preserve"> and that the resulting increases in punishment were “condoned under the </w:t>
      </w:r>
      <w:r w:rsidRPr="000C666F">
        <w:rPr>
          <w:rStyle w:val="ssrfcpassagedeactivated"/>
          <w:i/>
          <w:iCs/>
          <w:bdr w:val="none" w:sz="0" w:space="0" w:color="auto" w:frame="1"/>
        </w:rPr>
        <w:t xml:space="preserve">Serrato </w:t>
      </w:r>
      <w:r>
        <w:rPr>
          <w:rStyle w:val="ssrfcpassagedeactivated"/>
          <w:bdr w:val="none" w:sz="0" w:space="0" w:color="auto" w:frame="1"/>
        </w:rPr>
        <w:t>rule</w:t>
      </w:r>
      <w:r w:rsidR="005820D7">
        <w:rPr>
          <w:rStyle w:val="ssrfcpassagedeactivated"/>
          <w:bdr w:val="none" w:sz="0" w:space="0" w:color="auto" w:frame="1"/>
        </w:rPr>
        <w:t>.</w:t>
      </w:r>
      <w:r>
        <w:rPr>
          <w:rStyle w:val="ssrfcpassagedeactivated"/>
          <w:bdr w:val="none" w:sz="0" w:space="0" w:color="auto" w:frame="1"/>
        </w:rPr>
        <w:t>”  (</w:t>
      </w:r>
      <w:r>
        <w:rPr>
          <w:rStyle w:val="ssrfcpassagedeactivated"/>
          <w:i/>
          <w:iCs/>
          <w:bdr w:val="none" w:sz="0" w:space="0" w:color="auto" w:frame="1"/>
        </w:rPr>
        <w:t>Price</w:t>
      </w:r>
      <w:r>
        <w:rPr>
          <w:rStyle w:val="ssrfcpassagedeactivated"/>
          <w:bdr w:val="none" w:sz="0" w:space="0" w:color="auto" w:frame="1"/>
        </w:rPr>
        <w:t xml:space="preserve">, at p. </w:t>
      </w:r>
      <w:r w:rsidR="00A8393A">
        <w:rPr>
          <w:rStyle w:val="ssrfcpassagedeactivated"/>
          <w:bdr w:val="none" w:sz="0" w:space="0" w:color="auto" w:frame="1"/>
        </w:rPr>
        <w:t>1412</w:t>
      </w:r>
      <w:r>
        <w:rPr>
          <w:rStyle w:val="ssrfcpassagedeactivated"/>
          <w:bdr w:val="none" w:sz="0" w:space="0" w:color="auto" w:frame="1"/>
        </w:rPr>
        <w:t>.)</w:t>
      </w:r>
      <w:r w:rsidR="005820D7">
        <w:rPr>
          <w:rStyle w:val="ssrfcpassagedeactivated"/>
          <w:bdr w:val="none" w:sz="0" w:space="0" w:color="auto" w:frame="1"/>
        </w:rPr>
        <w:t xml:space="preserve">  As for </w:t>
      </w:r>
      <w:r>
        <w:rPr>
          <w:rStyle w:val="ssrfcpassagedeactivated"/>
          <w:bdr w:val="none" w:sz="0" w:space="0" w:color="auto" w:frame="1"/>
        </w:rPr>
        <w:t>the sentencing choices that were no</w:t>
      </w:r>
      <w:r w:rsidR="00B94C3D">
        <w:rPr>
          <w:rStyle w:val="ssrfcpassagedeactivated"/>
          <w:bdr w:val="none" w:sz="0" w:space="0" w:color="auto" w:frame="1"/>
        </w:rPr>
        <w:t>t</w:t>
      </w:r>
      <w:r>
        <w:rPr>
          <w:rStyle w:val="ssrfcpassagedeactivated"/>
          <w:bdr w:val="none" w:sz="0" w:space="0" w:color="auto" w:frame="1"/>
        </w:rPr>
        <w:t xml:space="preserve"> unauthorized but </w:t>
      </w:r>
      <w:r w:rsidR="00B94C3D">
        <w:rPr>
          <w:rStyle w:val="ssrfcpassagedeactivated"/>
          <w:bdr w:val="none" w:sz="0" w:space="0" w:color="auto" w:frame="1"/>
        </w:rPr>
        <w:t>“</w:t>
      </w:r>
      <w:r>
        <w:rPr>
          <w:rStyle w:val="ssrfcpassagedeactivated"/>
          <w:bdr w:val="none" w:sz="0" w:space="0" w:color="auto" w:frame="1"/>
        </w:rPr>
        <w:t>were defectively supported in the first appeal,</w:t>
      </w:r>
      <w:r w:rsidR="00B94C3D">
        <w:rPr>
          <w:rStyle w:val="ssrfcpassagedeactivated"/>
          <w:bdr w:val="none" w:sz="0" w:space="0" w:color="auto" w:frame="1"/>
        </w:rPr>
        <w:t>”</w:t>
      </w:r>
      <w:r>
        <w:rPr>
          <w:rStyle w:val="ssrfcpassagedeactivated"/>
          <w:bdr w:val="none" w:sz="0" w:space="0" w:color="auto" w:frame="1"/>
        </w:rPr>
        <w:t xml:space="preserve"> </w:t>
      </w:r>
      <w:r w:rsidR="00A8393A">
        <w:rPr>
          <w:rStyle w:val="ssrfcpassagedeactivated"/>
          <w:bdr w:val="none" w:sz="0" w:space="0" w:color="auto" w:frame="1"/>
        </w:rPr>
        <w:t>the court found the sentences on remand “to be no harsher than before” and therefor</w:t>
      </w:r>
      <w:r w:rsidR="006C675B">
        <w:rPr>
          <w:rStyle w:val="ssrfcpassagedeactivated"/>
          <w:bdr w:val="none" w:sz="0" w:space="0" w:color="auto" w:frame="1"/>
        </w:rPr>
        <w:t>e</w:t>
      </w:r>
      <w:r w:rsidR="00A8393A">
        <w:rPr>
          <w:rStyle w:val="ssrfcpassagedeactivated"/>
          <w:bdr w:val="none" w:sz="0" w:space="0" w:color="auto" w:frame="1"/>
        </w:rPr>
        <w:t xml:space="preserve"> </w:t>
      </w:r>
      <w:r w:rsidRPr="0047060D" w:rsidR="00A8393A">
        <w:rPr>
          <w:rStyle w:val="ssrfcpassagedeactivated"/>
          <w:bdr w:val="none" w:sz="0" w:space="0" w:color="auto" w:frame="1"/>
        </w:rPr>
        <w:t>appropriate.  (</w:t>
      </w:r>
      <w:r w:rsidRPr="0047060D" w:rsidR="00A8393A">
        <w:rPr>
          <w:rStyle w:val="ssrfcpassagedeactivated"/>
          <w:i/>
          <w:iCs/>
          <w:bdr w:val="none" w:sz="0" w:space="0" w:color="auto" w:frame="1"/>
        </w:rPr>
        <w:t>Ibid.</w:t>
      </w:r>
      <w:r w:rsidRPr="0047060D" w:rsidR="00A8393A">
        <w:rPr>
          <w:rStyle w:val="ssrfcpassagedeactivated"/>
          <w:bdr w:val="none" w:sz="0" w:space="0" w:color="auto" w:frame="1"/>
        </w:rPr>
        <w:t xml:space="preserve">) </w:t>
      </w:r>
      <w:r w:rsidRPr="0047060D" w:rsidR="005820D7">
        <w:rPr>
          <w:rStyle w:val="ssrfcpassagedeactivated"/>
          <w:bdr w:val="none" w:sz="0" w:space="0" w:color="auto" w:frame="1"/>
        </w:rPr>
        <w:t xml:space="preserve"> </w:t>
      </w:r>
    </w:p>
    <w:p w:rsidR="005D5AC7" w:rsidRPr="009F0448" w:rsidP="009F0448" w14:paraId="79AA6D8F" w14:textId="7A26FED4">
      <w:pPr>
        <w:pStyle w:val="Text"/>
        <w:ind w:firstLine="0"/>
        <w:rPr>
          <w:rStyle w:val="ssrfcpassagedeactivated"/>
          <w:bdr w:val="none" w:sz="0" w:space="0" w:color="auto" w:frame="1"/>
        </w:rPr>
      </w:pPr>
      <w:r>
        <w:rPr>
          <w:rStyle w:val="ssrfcpassagedeactivated"/>
          <w:bdr w:val="none" w:sz="0" w:space="0" w:color="auto" w:frame="1"/>
        </w:rPr>
        <w:tab/>
      </w:r>
      <w:r w:rsidRPr="0047060D" w:rsidR="00A8393A">
        <w:rPr>
          <w:rStyle w:val="ssrfcpassagedeactivated"/>
          <w:bdr w:val="none" w:sz="0" w:space="0" w:color="auto" w:frame="1"/>
        </w:rPr>
        <w:t xml:space="preserve">The court, however, did find error in the trial court’s treatment of the </w:t>
      </w:r>
      <w:r w:rsidR="00B94C3D">
        <w:rPr>
          <w:rStyle w:val="ssrfcpassagedeactivated"/>
          <w:bdr w:val="none" w:sz="0" w:space="0" w:color="auto" w:frame="1"/>
        </w:rPr>
        <w:t xml:space="preserve">two </w:t>
      </w:r>
      <w:r w:rsidRPr="0047060D" w:rsidR="00A8393A">
        <w:rPr>
          <w:rStyle w:val="ssrfcpassagedeactivated"/>
          <w:bdr w:val="none" w:sz="0" w:space="0" w:color="auto" w:frame="1"/>
        </w:rPr>
        <w:t>robbery conviction</w:t>
      </w:r>
      <w:r w:rsidR="0047060D">
        <w:rPr>
          <w:rStyle w:val="ssrfcpassagedeactivated"/>
          <w:bdr w:val="none" w:sz="0" w:space="0" w:color="auto" w:frame="1"/>
        </w:rPr>
        <w:t>s</w:t>
      </w:r>
      <w:r w:rsidRPr="0047060D" w:rsidR="00A8393A">
        <w:rPr>
          <w:rStyle w:val="ssrfcpassagedeactivated"/>
          <w:bdr w:val="none" w:sz="0" w:space="0" w:color="auto" w:frame="1"/>
        </w:rPr>
        <w:t xml:space="preserve"> on remand, reasoning as follows:  “</w:t>
      </w:r>
      <w:r w:rsidRPr="00A8393A" w:rsidR="00A8393A">
        <w:rPr>
          <w:rFonts w:eastAsia="Times New Roman"/>
          <w:color w:val="212121"/>
        </w:rPr>
        <w:t>The</w:t>
      </w:r>
      <w:r w:rsidR="00570AC8">
        <w:rPr>
          <w:rFonts w:eastAsia="Times New Roman"/>
          <w:color w:val="212121"/>
        </w:rPr>
        <w:t xml:space="preserve"> </w:t>
      </w:r>
      <w:r w:rsidRPr="00A8393A" w:rsidR="00A8393A">
        <w:rPr>
          <w:rFonts w:eastAsia="Times New Roman"/>
          <w:i/>
          <w:iCs/>
          <w:color w:val="212121"/>
          <w:bdr w:val="none" w:sz="0" w:space="0" w:color="auto" w:frame="1"/>
        </w:rPr>
        <w:t>Serrato</w:t>
      </w:r>
      <w:r w:rsidR="00570AC8">
        <w:rPr>
          <w:rFonts w:eastAsia="Times New Roman"/>
          <w:color w:val="212121"/>
        </w:rPr>
        <w:t xml:space="preserve"> </w:t>
      </w:r>
      <w:r w:rsidRPr="00A8393A" w:rsidR="00A8393A">
        <w:rPr>
          <w:rFonts w:eastAsia="Times New Roman"/>
          <w:color w:val="212121"/>
        </w:rPr>
        <w:t>rule protects the People</w:t>
      </w:r>
      <w:r w:rsidR="00B94C3D">
        <w:rPr>
          <w:color w:val="212121"/>
        </w:rPr>
        <w:t>’</w:t>
      </w:r>
      <w:r w:rsidRPr="00A8393A" w:rsidR="00A8393A">
        <w:rPr>
          <w:rFonts w:eastAsia="Times New Roman"/>
          <w:color w:val="212121"/>
        </w:rPr>
        <w:t xml:space="preserve">s right to mandated, lawful sentences. </w:t>
      </w:r>
      <w:r w:rsidRPr="0047060D" w:rsidR="00A8393A">
        <w:rPr>
          <w:color w:val="212121"/>
        </w:rPr>
        <w:t xml:space="preserve"> </w:t>
      </w:r>
      <w:r w:rsidRPr="00A8393A" w:rsidR="00A8393A">
        <w:rPr>
          <w:rFonts w:eastAsia="Times New Roman"/>
          <w:color w:val="212121"/>
        </w:rPr>
        <w:t xml:space="preserve">The limitations of the rule </w:t>
      </w:r>
      <w:r w:rsidRPr="0047060D" w:rsidR="00A8393A">
        <w:rPr>
          <w:color w:val="212121"/>
        </w:rPr>
        <w:t>‘</w:t>
      </w:r>
      <w:r w:rsidRPr="00A8393A" w:rsidR="00A8393A">
        <w:rPr>
          <w:rFonts w:eastAsia="Times New Roman"/>
          <w:color w:val="212121"/>
        </w:rPr>
        <w:t>rebut</w:t>
      </w:r>
      <w:r w:rsidRPr="0047060D" w:rsidR="00A8393A">
        <w:rPr>
          <w:color w:val="212121"/>
        </w:rPr>
        <w:t>’</w:t>
      </w:r>
      <w:r w:rsidRPr="00A8393A" w:rsidR="00A8393A">
        <w:rPr>
          <w:rFonts w:eastAsia="Times New Roman"/>
          <w:color w:val="212121"/>
        </w:rPr>
        <w:t xml:space="preserve"> any appearance of vindictiveness. </w:t>
      </w:r>
      <w:r w:rsidRPr="0047060D" w:rsidR="00A8393A">
        <w:rPr>
          <w:color w:val="212121"/>
        </w:rPr>
        <w:t xml:space="preserve"> </w:t>
      </w:r>
      <w:r w:rsidRPr="00A8393A" w:rsidR="00A8393A">
        <w:rPr>
          <w:rFonts w:eastAsia="Times New Roman"/>
          <w:color w:val="212121"/>
        </w:rPr>
        <w:t xml:space="preserve">If an increase in penalty has no nexus to the original illegality in the sentence, the protection against vindictiveness is not applicable. </w:t>
      </w:r>
      <w:r w:rsidRPr="0047060D" w:rsidR="0047060D">
        <w:rPr>
          <w:color w:val="212121"/>
        </w:rPr>
        <w:t xml:space="preserve"> </w:t>
      </w:r>
      <w:r w:rsidRPr="00A8393A" w:rsidR="00A8393A">
        <w:rPr>
          <w:rFonts w:eastAsia="Times New Roman"/>
          <w:color w:val="212121"/>
        </w:rPr>
        <w:t>The general rule applies that in California a harsher penalty may not be imposed after a successful appeal.</w:t>
      </w:r>
      <w:r w:rsidRPr="00B94C3D" w:rsidR="0047060D">
        <w:rPr>
          <w:color w:val="212121"/>
        </w:rPr>
        <w:t>”  (</w:t>
      </w:r>
      <w:r w:rsidRPr="00B94C3D" w:rsidR="0047060D">
        <w:rPr>
          <w:i/>
          <w:iCs/>
          <w:color w:val="212121"/>
        </w:rPr>
        <w:t>Price</w:t>
      </w:r>
      <w:r w:rsidRPr="00B94C3D" w:rsidR="0047060D">
        <w:rPr>
          <w:color w:val="212121"/>
        </w:rPr>
        <w:t xml:space="preserve">, </w:t>
      </w:r>
      <w:r w:rsidRPr="00EE0041">
        <w:rPr>
          <w:i/>
          <w:iCs/>
          <w:color w:val="212121"/>
        </w:rPr>
        <w:t>supra</w:t>
      </w:r>
      <w:r>
        <w:rPr>
          <w:color w:val="212121"/>
        </w:rPr>
        <w:t xml:space="preserve">, 184 Cal.App.3d </w:t>
      </w:r>
      <w:r w:rsidRPr="00EE0041" w:rsidR="0047060D">
        <w:rPr>
          <w:color w:val="212121"/>
        </w:rPr>
        <w:t>at</w:t>
      </w:r>
      <w:r w:rsidRPr="00B94C3D" w:rsidR="0047060D">
        <w:rPr>
          <w:color w:val="212121"/>
        </w:rPr>
        <w:t xml:space="preserve"> p. 1413.)</w:t>
      </w:r>
      <w:r w:rsidRPr="00B94C3D" w:rsidR="00B94C3D">
        <w:rPr>
          <w:color w:val="212121"/>
        </w:rPr>
        <w:t xml:space="preserve">  The defendant in </w:t>
      </w:r>
      <w:r w:rsidRPr="00B94C3D" w:rsidR="00B94C3D">
        <w:rPr>
          <w:i/>
          <w:iCs/>
          <w:color w:val="212121"/>
        </w:rPr>
        <w:t>Price</w:t>
      </w:r>
      <w:r w:rsidRPr="00B94C3D" w:rsidR="00B94C3D">
        <w:rPr>
          <w:color w:val="212121"/>
        </w:rPr>
        <w:t xml:space="preserve"> had originally been sentenced to </w:t>
      </w:r>
      <w:r w:rsidR="0030193F">
        <w:rPr>
          <w:color w:val="212121"/>
        </w:rPr>
        <w:t>concurrent</w:t>
      </w:r>
      <w:r w:rsidRPr="00B94C3D" w:rsidR="00B94C3D">
        <w:rPr>
          <w:color w:val="212121"/>
        </w:rPr>
        <w:t xml:space="preserve"> middle term</w:t>
      </w:r>
      <w:r w:rsidR="0030193F">
        <w:rPr>
          <w:color w:val="212121"/>
        </w:rPr>
        <w:t>s</w:t>
      </w:r>
      <w:r w:rsidRPr="00B94C3D" w:rsidR="00B94C3D">
        <w:rPr>
          <w:color w:val="212121"/>
        </w:rPr>
        <w:t xml:space="preserve"> on each </w:t>
      </w:r>
      <w:r>
        <w:rPr>
          <w:color w:val="212121"/>
        </w:rPr>
        <w:t xml:space="preserve">of two </w:t>
      </w:r>
      <w:r w:rsidRPr="00B94C3D" w:rsidR="00B94C3D">
        <w:rPr>
          <w:color w:val="212121"/>
        </w:rPr>
        <w:t>robbery count</w:t>
      </w:r>
      <w:r>
        <w:rPr>
          <w:color w:val="212121"/>
        </w:rPr>
        <w:t>s</w:t>
      </w:r>
      <w:r w:rsidRPr="00B94C3D" w:rsidR="00B94C3D">
        <w:rPr>
          <w:color w:val="212121"/>
        </w:rPr>
        <w:t xml:space="preserve"> and that</w:t>
      </w:r>
      <w:r w:rsidRPr="00B94C3D" w:rsidR="0047060D">
        <w:rPr>
          <w:color w:val="212121"/>
        </w:rPr>
        <w:t xml:space="preserve"> </w:t>
      </w:r>
      <w:r w:rsidRPr="00B94C3D" w:rsidR="00B94C3D">
        <w:rPr>
          <w:color w:val="212121"/>
        </w:rPr>
        <w:t>“</w:t>
      </w:r>
      <w:r w:rsidRPr="00A8393A" w:rsidR="00A8393A">
        <w:rPr>
          <w:rFonts w:eastAsia="Times New Roman"/>
          <w:color w:val="212121"/>
        </w:rPr>
        <w:t>sentence was neither attacked on appeal, nor criticized</w:t>
      </w:r>
      <w:r w:rsidRPr="00B94C3D" w:rsidR="00B94C3D">
        <w:rPr>
          <w:color w:val="212121"/>
        </w:rPr>
        <w:t>”</w:t>
      </w:r>
      <w:r w:rsidRPr="00A8393A" w:rsidR="00A8393A">
        <w:rPr>
          <w:rFonts w:eastAsia="Times New Roman"/>
          <w:color w:val="212121"/>
        </w:rPr>
        <w:t xml:space="preserve"> in</w:t>
      </w:r>
      <w:r w:rsidRPr="00B94C3D" w:rsidR="00B94C3D">
        <w:rPr>
          <w:color w:val="212121"/>
        </w:rPr>
        <w:t xml:space="preserve"> the court’s prior opinion in the matter</w:t>
      </w:r>
      <w:r w:rsidRPr="00A8393A" w:rsidR="00A8393A">
        <w:rPr>
          <w:rFonts w:eastAsia="Times New Roman"/>
          <w:color w:val="212121"/>
        </w:rPr>
        <w:t>.</w:t>
      </w:r>
      <w:r w:rsidR="00B94C3D">
        <w:rPr>
          <w:color w:val="212121"/>
        </w:rPr>
        <w:t xml:space="preserve">  </w:t>
      </w:r>
      <w:r w:rsidR="0030193F">
        <w:rPr>
          <w:color w:val="212121"/>
        </w:rPr>
        <w:t xml:space="preserve">On remand, the court imposed the </w:t>
      </w:r>
      <w:r w:rsidRPr="00EE0041" w:rsidR="0030193F">
        <w:rPr>
          <w:color w:val="212121"/>
        </w:rPr>
        <w:t>upper term on one count and ran the second count consecutively.</w:t>
      </w:r>
      <w:r w:rsidRPr="00EE0041" w:rsidR="00B94C3D">
        <w:rPr>
          <w:color w:val="212121"/>
        </w:rPr>
        <w:t xml:space="preserve">  </w:t>
      </w:r>
      <w:r w:rsidRPr="00EE0041">
        <w:rPr>
          <w:color w:val="212121"/>
        </w:rPr>
        <w:t>The court concluded:  “</w:t>
      </w:r>
      <w:r w:rsidRPr="00A8393A" w:rsidR="00A8393A">
        <w:rPr>
          <w:rFonts w:eastAsia="Times New Roman"/>
          <w:color w:val="212121"/>
        </w:rPr>
        <w:t xml:space="preserve">These three additional years (the difference between the three-year midterm to a five-year upper term (two years) and the addition of one-third of the midterm (one year)) were not corrections of </w:t>
      </w:r>
      <w:r w:rsidRPr="00EE0041">
        <w:rPr>
          <w:color w:val="212121"/>
        </w:rPr>
        <w:t>‘</w:t>
      </w:r>
      <w:r w:rsidRPr="00A8393A" w:rsidR="00A8393A">
        <w:rPr>
          <w:rFonts w:eastAsia="Times New Roman"/>
          <w:color w:val="212121"/>
        </w:rPr>
        <w:t>illegalities</w:t>
      </w:r>
      <w:r w:rsidRPr="00EE0041">
        <w:rPr>
          <w:color w:val="212121"/>
        </w:rPr>
        <w:t>’</w:t>
      </w:r>
      <w:r w:rsidRPr="00A8393A" w:rsidR="00A8393A">
        <w:rPr>
          <w:rFonts w:eastAsia="Times New Roman"/>
          <w:color w:val="212121"/>
        </w:rPr>
        <w:t xml:space="preserve"> in the original sentence.</w:t>
      </w:r>
      <w:r w:rsidRPr="00EE0041">
        <w:rPr>
          <w:color w:val="212121"/>
        </w:rPr>
        <w:t xml:space="preserve">  ‘</w:t>
      </w:r>
      <w:r w:rsidRPr="00A8393A" w:rsidR="00A8393A">
        <w:rPr>
          <w:rFonts w:eastAsia="Times New Roman"/>
          <w:color w:val="212121"/>
        </w:rPr>
        <w:t>Illegalities</w:t>
      </w:r>
      <w:r w:rsidRPr="00EE0041">
        <w:rPr>
          <w:color w:val="212121"/>
        </w:rPr>
        <w:t>’</w:t>
      </w:r>
      <w:r w:rsidRPr="00A8393A" w:rsidR="00A8393A">
        <w:rPr>
          <w:rFonts w:eastAsia="Times New Roman"/>
          <w:color w:val="212121"/>
        </w:rPr>
        <w:t xml:space="preserve"> requiring </w:t>
      </w:r>
      <w:r w:rsidR="00441D52">
        <w:rPr>
          <w:rFonts w:eastAsia="Times New Roman"/>
          <w:color w:val="212121"/>
        </w:rPr>
        <w:t>re</w:t>
      </w:r>
      <w:r w:rsidRPr="00A8393A" w:rsidR="00A8393A">
        <w:rPr>
          <w:rFonts w:eastAsia="Times New Roman"/>
          <w:color w:val="212121"/>
        </w:rPr>
        <w:t>sentencing permit the imposition of a harsher punishment.</w:t>
      </w:r>
      <w:r w:rsidR="00467308">
        <w:rPr>
          <w:rFonts w:eastAsia="Times New Roman"/>
          <w:color w:val="212121"/>
        </w:rPr>
        <w:t xml:space="preserve"> </w:t>
      </w:r>
      <w:r w:rsidRPr="00EE0041">
        <w:rPr>
          <w:color w:val="212121"/>
        </w:rPr>
        <w:t xml:space="preserve"> </w:t>
      </w:r>
      <w:r w:rsidRPr="00A8393A" w:rsidR="00A8393A">
        <w:rPr>
          <w:rFonts w:eastAsia="Times New Roman"/>
          <w:color w:val="212121"/>
        </w:rPr>
        <w:t xml:space="preserve">Those portions of the sentence were unaffected by </w:t>
      </w:r>
      <w:r w:rsidRPr="00EE0041">
        <w:rPr>
          <w:color w:val="212121"/>
        </w:rPr>
        <w:t>‘</w:t>
      </w:r>
      <w:r w:rsidRPr="00A8393A" w:rsidR="00A8393A">
        <w:rPr>
          <w:rFonts w:eastAsia="Times New Roman"/>
          <w:color w:val="212121"/>
        </w:rPr>
        <w:t>illegality</w:t>
      </w:r>
      <w:r w:rsidRPr="00EE0041">
        <w:rPr>
          <w:color w:val="212121"/>
        </w:rPr>
        <w:t>’</w:t>
      </w:r>
      <w:r w:rsidRPr="00A8393A" w:rsidR="00A8393A">
        <w:rPr>
          <w:rFonts w:eastAsia="Times New Roman"/>
          <w:color w:val="212121"/>
        </w:rPr>
        <w:t xml:space="preserve"> and cannot be increased in punishment.</w:t>
      </w:r>
      <w:r w:rsidRPr="009F0448">
        <w:rPr>
          <w:color w:val="212121"/>
        </w:rPr>
        <w:t>”  (</w:t>
      </w:r>
      <w:r w:rsidRPr="009F0448">
        <w:rPr>
          <w:i/>
          <w:iCs/>
          <w:color w:val="212121"/>
        </w:rPr>
        <w:t>Ibid.</w:t>
      </w:r>
      <w:r w:rsidRPr="009F0448">
        <w:rPr>
          <w:color w:val="212121"/>
        </w:rPr>
        <w:t xml:space="preserve">)  The </w:t>
      </w:r>
      <w:r w:rsidRPr="009F0448">
        <w:rPr>
          <w:i/>
          <w:iCs/>
          <w:color w:val="212121"/>
        </w:rPr>
        <w:t xml:space="preserve">Price </w:t>
      </w:r>
      <w:r w:rsidRPr="009F0448">
        <w:rPr>
          <w:color w:val="212121"/>
        </w:rPr>
        <w:t xml:space="preserve">court determined that remand for resentencing was unnecessary because </w:t>
      </w:r>
      <w:r w:rsidRPr="009F0448" w:rsidR="009F0448">
        <w:rPr>
          <w:color w:val="212121"/>
          <w:shd w:val="clear" w:color="auto" w:fill="FFFFFF"/>
        </w:rPr>
        <w:t>there was no reasonable likelihood that on remand the court would impose the lower term on the principal robbery conviction.  (</w:t>
      </w:r>
      <w:r w:rsidRPr="009F0448" w:rsidR="009F0448">
        <w:rPr>
          <w:i/>
          <w:iCs/>
          <w:color w:val="212121"/>
          <w:shd w:val="clear" w:color="auto" w:fill="FFFFFF"/>
        </w:rPr>
        <w:t>Ibid.</w:t>
      </w:r>
      <w:r w:rsidRPr="009F0448" w:rsidR="009F0448">
        <w:rPr>
          <w:color w:val="212121"/>
          <w:shd w:val="clear" w:color="auto" w:fill="FFFFFF"/>
        </w:rPr>
        <w:t xml:space="preserve">)  It therefore ordered the principal robbery term reduced to three years and the second robbery sentence </w:t>
      </w:r>
      <w:r w:rsidR="003C3E5C">
        <w:rPr>
          <w:color w:val="212121"/>
          <w:shd w:val="clear" w:color="auto" w:fill="FFFFFF"/>
        </w:rPr>
        <w:t>to</w:t>
      </w:r>
      <w:r w:rsidRPr="009F0448" w:rsidR="009F0448">
        <w:rPr>
          <w:color w:val="212121"/>
          <w:shd w:val="clear" w:color="auto" w:fill="FFFFFF"/>
        </w:rPr>
        <w:t xml:space="preserve"> be run concurrently, reducing the defendant’s total term from 50 to 47 years.  (</w:t>
      </w:r>
      <w:r w:rsidRPr="009F0448" w:rsidR="009F0448">
        <w:rPr>
          <w:i/>
          <w:iCs/>
          <w:color w:val="212121"/>
          <w:shd w:val="clear" w:color="auto" w:fill="FFFFFF"/>
        </w:rPr>
        <w:t>Ibid.</w:t>
      </w:r>
      <w:r w:rsidRPr="009F0448" w:rsidR="009F0448">
        <w:rPr>
          <w:color w:val="212121"/>
          <w:shd w:val="clear" w:color="auto" w:fill="FFFFFF"/>
        </w:rPr>
        <w:t xml:space="preserve">) </w:t>
      </w:r>
    </w:p>
    <w:p w:rsidR="001F234C" w:rsidP="009515C2" w14:paraId="3B8A422F" w14:textId="38177283">
      <w:pPr>
        <w:pStyle w:val="NormalWeb"/>
        <w:spacing w:before="0" w:beforeAutospacing="0" w:after="0" w:afterAutospacing="0" w:line="360" w:lineRule="auto"/>
        <w:textAlignment w:val="baseline"/>
        <w:rPr>
          <w:rFonts w:ascii="Century Schoolbook" w:hAnsi="Century Schoolbook"/>
          <w:color w:val="212121"/>
          <w:sz w:val="26"/>
          <w:szCs w:val="26"/>
        </w:rPr>
      </w:pPr>
      <w:r>
        <w:rPr>
          <w:rStyle w:val="ssrfcpassagedeactivated"/>
          <w:rFonts w:ascii="Century Schoolbook" w:hAnsi="Century Schoolbook"/>
          <w:sz w:val="26"/>
          <w:szCs w:val="26"/>
          <w:bdr w:val="none" w:sz="0" w:space="0" w:color="auto" w:frame="1"/>
        </w:rPr>
        <w:tab/>
        <w:t xml:space="preserve">In </w:t>
      </w:r>
      <w:r>
        <w:rPr>
          <w:rStyle w:val="ssrfcpassagedeactivated"/>
          <w:rFonts w:ascii="Century Schoolbook" w:hAnsi="Century Schoolbook"/>
          <w:i/>
          <w:iCs/>
          <w:sz w:val="26"/>
          <w:szCs w:val="26"/>
          <w:bdr w:val="none" w:sz="0" w:space="0" w:color="auto" w:frame="1"/>
        </w:rPr>
        <w:t>People v. Hill</w:t>
      </w:r>
      <w:r>
        <w:rPr>
          <w:rStyle w:val="ssrfcpassagedeactivated"/>
          <w:rFonts w:ascii="Century Schoolbook" w:hAnsi="Century Schoolbook"/>
          <w:sz w:val="26"/>
          <w:szCs w:val="26"/>
          <w:bdr w:val="none" w:sz="0" w:space="0" w:color="auto" w:frame="1"/>
        </w:rPr>
        <w:t xml:space="preserve"> (</w:t>
      </w:r>
      <w:r w:rsidR="00E12CE4">
        <w:rPr>
          <w:rStyle w:val="ssrfcpassagedeactivated"/>
          <w:rFonts w:ascii="Century Schoolbook" w:hAnsi="Century Schoolbook"/>
          <w:sz w:val="26"/>
          <w:szCs w:val="26"/>
          <w:bdr w:val="none" w:sz="0" w:space="0" w:color="auto" w:frame="1"/>
        </w:rPr>
        <w:t>1986</w:t>
      </w:r>
      <w:r>
        <w:rPr>
          <w:rStyle w:val="ssrfcpassagedeactivated"/>
          <w:rFonts w:ascii="Century Schoolbook" w:hAnsi="Century Schoolbook"/>
          <w:sz w:val="26"/>
          <w:szCs w:val="26"/>
          <w:bdr w:val="none" w:sz="0" w:space="0" w:color="auto" w:frame="1"/>
        </w:rPr>
        <w:t>)</w:t>
      </w:r>
      <w:r w:rsidR="00E12CE4">
        <w:rPr>
          <w:rStyle w:val="ssrfcpassagedeactivated"/>
          <w:rFonts w:ascii="Century Schoolbook" w:hAnsi="Century Schoolbook"/>
          <w:sz w:val="26"/>
          <w:szCs w:val="26"/>
          <w:bdr w:val="none" w:sz="0" w:space="0" w:color="auto" w:frame="1"/>
        </w:rPr>
        <w:t xml:space="preserve"> 185 Cal.App.3d 831 (</w:t>
      </w:r>
      <w:r w:rsidR="00E12CE4">
        <w:rPr>
          <w:rStyle w:val="ssrfcpassagedeactivated"/>
          <w:rFonts w:ascii="Century Schoolbook" w:hAnsi="Century Schoolbook"/>
          <w:i/>
          <w:iCs/>
          <w:sz w:val="26"/>
          <w:szCs w:val="26"/>
          <w:bdr w:val="none" w:sz="0" w:space="0" w:color="auto" w:frame="1"/>
        </w:rPr>
        <w:t>Hill</w:t>
      </w:r>
      <w:r w:rsidR="00E12CE4">
        <w:rPr>
          <w:rStyle w:val="ssrfcpassagedeactivated"/>
          <w:rFonts w:ascii="Century Schoolbook" w:hAnsi="Century Schoolbook"/>
          <w:sz w:val="26"/>
          <w:szCs w:val="26"/>
          <w:bdr w:val="none" w:sz="0" w:space="0" w:color="auto" w:frame="1"/>
        </w:rPr>
        <w:t xml:space="preserve">), the defendant </w:t>
      </w:r>
      <w:r w:rsidR="00EC1A17">
        <w:rPr>
          <w:rStyle w:val="ssrfcpassagedeactivated"/>
          <w:rFonts w:ascii="Century Schoolbook" w:hAnsi="Century Schoolbook"/>
          <w:sz w:val="26"/>
          <w:szCs w:val="26"/>
          <w:bdr w:val="none" w:sz="0" w:space="0" w:color="auto" w:frame="1"/>
        </w:rPr>
        <w:t xml:space="preserve">pleaded guilty to four counts </w:t>
      </w:r>
      <w:r w:rsidR="00E12CE4">
        <w:rPr>
          <w:rStyle w:val="ssrfcpassagedeactivated"/>
          <w:rFonts w:ascii="Century Schoolbook" w:hAnsi="Century Schoolbook"/>
          <w:sz w:val="26"/>
          <w:szCs w:val="26"/>
          <w:bdr w:val="none" w:sz="0" w:space="0" w:color="auto" w:frame="1"/>
        </w:rPr>
        <w:t xml:space="preserve">of child molestation </w:t>
      </w:r>
      <w:r w:rsidR="00EC1A17">
        <w:rPr>
          <w:rStyle w:val="ssrfcpassagedeactivated"/>
          <w:rFonts w:ascii="Century Schoolbook" w:hAnsi="Century Schoolbook"/>
          <w:sz w:val="26"/>
          <w:szCs w:val="26"/>
          <w:bdr w:val="none" w:sz="0" w:space="0" w:color="auto" w:frame="1"/>
        </w:rPr>
        <w:t xml:space="preserve">(two counts with respect to each of the two victims) and was initially sentenced to an aggregate term of 16 years—two </w:t>
      </w:r>
      <w:r w:rsidRPr="009515C2" w:rsidR="00EC1A17">
        <w:rPr>
          <w:rStyle w:val="ssrfcpassagedeactivated"/>
          <w:rFonts w:ascii="Century Schoolbook" w:hAnsi="Century Schoolbook"/>
          <w:sz w:val="26"/>
          <w:szCs w:val="26"/>
          <w:bdr w:val="none" w:sz="0" w:space="0" w:color="auto" w:frame="1"/>
        </w:rPr>
        <w:t>consecutive upper terms of eight years and two concurrent terms of six years.  (</w:t>
      </w:r>
      <w:r w:rsidRPr="009515C2" w:rsidR="00EC1A17">
        <w:rPr>
          <w:rStyle w:val="ssrfcpassagedeactivated"/>
          <w:rFonts w:ascii="Century Schoolbook" w:hAnsi="Century Schoolbook"/>
          <w:i/>
          <w:iCs/>
          <w:sz w:val="26"/>
          <w:szCs w:val="26"/>
          <w:bdr w:val="none" w:sz="0" w:space="0" w:color="auto" w:frame="1"/>
        </w:rPr>
        <w:t>Id.</w:t>
      </w:r>
      <w:r w:rsidRPr="009515C2" w:rsidR="00EC1A17">
        <w:rPr>
          <w:rStyle w:val="ssrfcpassagedeactivated"/>
          <w:rFonts w:ascii="Century Schoolbook" w:hAnsi="Century Schoolbook"/>
          <w:sz w:val="26"/>
          <w:szCs w:val="26"/>
          <w:bdr w:val="none" w:sz="0" w:space="0" w:color="auto" w:frame="1"/>
        </w:rPr>
        <w:t xml:space="preserve"> at p. 833.)</w:t>
      </w:r>
      <w:r w:rsidRPr="009515C2" w:rsidR="009515C2">
        <w:rPr>
          <w:rStyle w:val="ssrfcpassagedeactivated"/>
          <w:rFonts w:ascii="Century Schoolbook" w:hAnsi="Century Schoolbook"/>
          <w:sz w:val="26"/>
          <w:szCs w:val="26"/>
          <w:bdr w:val="none" w:sz="0" w:space="0" w:color="auto" w:frame="1"/>
        </w:rPr>
        <w:t xml:space="preserve">  After being notified by the Department of Corrections that the sentence was erroneous, the court</w:t>
      </w:r>
      <w:r w:rsidRPr="009515C2" w:rsidR="00EC1A17">
        <w:rPr>
          <w:rStyle w:val="ssrfcpassagedeactivated"/>
          <w:rFonts w:ascii="Century Schoolbook" w:hAnsi="Century Schoolbook"/>
          <w:sz w:val="26"/>
          <w:szCs w:val="26"/>
          <w:bdr w:val="none" w:sz="0" w:space="0" w:color="auto" w:frame="1"/>
        </w:rPr>
        <w:t xml:space="preserve"> </w:t>
      </w:r>
      <w:r w:rsidRPr="009515C2" w:rsidR="009515C2">
        <w:rPr>
          <w:rStyle w:val="ssrfcpassagedeactivated"/>
          <w:rFonts w:ascii="Century Schoolbook" w:hAnsi="Century Schoolbook"/>
          <w:sz w:val="26"/>
          <w:szCs w:val="26"/>
          <w:bdr w:val="none" w:sz="0" w:space="0" w:color="auto" w:frame="1"/>
        </w:rPr>
        <w:t xml:space="preserve">resentenced the defendant to </w:t>
      </w:r>
      <w:r w:rsidRPr="009515C2" w:rsidR="009515C2">
        <w:rPr>
          <w:rFonts w:ascii="Century Schoolbook" w:hAnsi="Century Schoolbook"/>
          <w:color w:val="212121"/>
          <w:sz w:val="26"/>
          <w:szCs w:val="26"/>
        </w:rPr>
        <w:t xml:space="preserve">eight years on the principal count and </w:t>
      </w:r>
      <w:r w:rsidR="009515C2">
        <w:rPr>
          <w:rFonts w:ascii="Century Schoolbook" w:hAnsi="Century Schoolbook"/>
          <w:color w:val="212121"/>
          <w:sz w:val="26"/>
          <w:szCs w:val="26"/>
        </w:rPr>
        <w:t>consecutive two</w:t>
      </w:r>
      <w:r w:rsidR="003C3E5C">
        <w:rPr>
          <w:rFonts w:ascii="Century Schoolbook" w:hAnsi="Century Schoolbook"/>
          <w:color w:val="212121"/>
          <w:sz w:val="26"/>
          <w:szCs w:val="26"/>
        </w:rPr>
        <w:t>-</w:t>
      </w:r>
      <w:r w:rsidR="009515C2">
        <w:rPr>
          <w:rFonts w:ascii="Century Schoolbook" w:hAnsi="Century Schoolbook"/>
          <w:color w:val="212121"/>
          <w:sz w:val="26"/>
          <w:szCs w:val="26"/>
        </w:rPr>
        <w:t>year terms (</w:t>
      </w:r>
      <w:r w:rsidRPr="009515C2" w:rsidR="009515C2">
        <w:rPr>
          <w:rFonts w:ascii="Century Schoolbook" w:hAnsi="Century Schoolbook"/>
          <w:color w:val="212121"/>
          <w:sz w:val="26"/>
          <w:szCs w:val="26"/>
        </w:rPr>
        <w:t>one-third of the midterm</w:t>
      </w:r>
      <w:r w:rsidR="009515C2">
        <w:rPr>
          <w:rFonts w:ascii="Century Schoolbook" w:hAnsi="Century Schoolbook"/>
          <w:color w:val="212121"/>
          <w:sz w:val="26"/>
          <w:szCs w:val="26"/>
        </w:rPr>
        <w:t>)</w:t>
      </w:r>
      <w:r w:rsidRPr="009515C2" w:rsidR="009515C2">
        <w:rPr>
          <w:rFonts w:ascii="Century Schoolbook" w:hAnsi="Century Schoolbook"/>
          <w:color w:val="212121"/>
          <w:sz w:val="26"/>
          <w:szCs w:val="26"/>
        </w:rPr>
        <w:t xml:space="preserve"> on each of the three remaining counts</w:t>
      </w:r>
      <w:r w:rsidR="009515C2">
        <w:rPr>
          <w:rFonts w:ascii="Century Schoolbook" w:hAnsi="Century Schoolbook"/>
          <w:color w:val="212121"/>
          <w:sz w:val="26"/>
          <w:szCs w:val="26"/>
        </w:rPr>
        <w:t xml:space="preserve">, </w:t>
      </w:r>
      <w:r w:rsidRPr="009515C2" w:rsidR="009515C2">
        <w:rPr>
          <w:rFonts w:ascii="Century Schoolbook" w:hAnsi="Century Schoolbook"/>
          <w:color w:val="212121"/>
          <w:sz w:val="26"/>
          <w:szCs w:val="26"/>
        </w:rPr>
        <w:t>for a total of 14 years.</w:t>
      </w:r>
      <w:r w:rsidR="009515C2">
        <w:rPr>
          <w:rFonts w:ascii="Century Schoolbook" w:hAnsi="Century Schoolbook"/>
          <w:color w:val="212121"/>
          <w:sz w:val="26"/>
          <w:szCs w:val="26"/>
        </w:rPr>
        <w:t xml:space="preserve">  (</w:t>
      </w:r>
      <w:r w:rsidR="009515C2">
        <w:rPr>
          <w:rFonts w:ascii="Century Schoolbook" w:hAnsi="Century Schoolbook"/>
          <w:i/>
          <w:iCs/>
          <w:color w:val="212121"/>
          <w:sz w:val="26"/>
          <w:szCs w:val="26"/>
        </w:rPr>
        <w:t>Ibid.</w:t>
      </w:r>
      <w:r w:rsidR="009515C2">
        <w:rPr>
          <w:rFonts w:ascii="Century Schoolbook" w:hAnsi="Century Schoolbook"/>
          <w:color w:val="212121"/>
          <w:sz w:val="26"/>
          <w:szCs w:val="26"/>
        </w:rPr>
        <w:t xml:space="preserve">)  On appeal, the defendant argued </w:t>
      </w:r>
      <w:r>
        <w:rPr>
          <w:rFonts w:ascii="Century Schoolbook" w:hAnsi="Century Schoolbook"/>
          <w:color w:val="212121"/>
          <w:sz w:val="26"/>
          <w:szCs w:val="26"/>
        </w:rPr>
        <w:t>that the trial court should have modified the erroneous portion only (the second eight-year term), and that the court was without authority to resentence on the two counts that were initially run concurrently.  (</w:t>
      </w:r>
      <w:r>
        <w:rPr>
          <w:rFonts w:ascii="Century Schoolbook" w:hAnsi="Century Schoolbook"/>
          <w:i/>
          <w:iCs/>
          <w:color w:val="212121"/>
          <w:sz w:val="26"/>
          <w:szCs w:val="26"/>
        </w:rPr>
        <w:t>Ibid.</w:t>
      </w:r>
      <w:r>
        <w:rPr>
          <w:rFonts w:ascii="Century Schoolbook" w:hAnsi="Century Schoolbook"/>
          <w:color w:val="212121"/>
          <w:sz w:val="26"/>
          <w:szCs w:val="26"/>
        </w:rPr>
        <w:t>)  The Second District disagreed.</w:t>
      </w:r>
    </w:p>
    <w:p w:rsidR="007879A9" w:rsidRPr="007879A9" w:rsidP="009515C2" w14:paraId="4F773B5E" w14:textId="2D8E6207">
      <w:pPr>
        <w:pStyle w:val="NormalWeb"/>
        <w:spacing w:before="0" w:beforeAutospacing="0" w:after="0" w:afterAutospacing="0" w:line="360" w:lineRule="auto"/>
        <w:textAlignment w:val="baseline"/>
        <w:rPr>
          <w:rFonts w:ascii="Century Schoolbook" w:hAnsi="Century Schoolbook"/>
          <w:color w:val="212121"/>
          <w:sz w:val="26"/>
          <w:szCs w:val="26"/>
          <w:shd w:val="clear" w:color="auto" w:fill="FFFFFF"/>
        </w:rPr>
      </w:pPr>
      <w:r>
        <w:rPr>
          <w:rFonts w:ascii="Century Schoolbook" w:hAnsi="Century Schoolbook"/>
          <w:color w:val="212121"/>
          <w:sz w:val="26"/>
          <w:szCs w:val="26"/>
        </w:rPr>
        <w:tab/>
        <w:t xml:space="preserve">Specifically, the </w:t>
      </w:r>
      <w:r w:rsidRPr="001F234C">
        <w:rPr>
          <w:rFonts w:ascii="Century Schoolbook" w:hAnsi="Century Schoolbook"/>
          <w:i/>
          <w:iCs/>
          <w:color w:val="212121"/>
          <w:sz w:val="26"/>
          <w:szCs w:val="26"/>
        </w:rPr>
        <w:t>Hill</w:t>
      </w:r>
      <w:r>
        <w:rPr>
          <w:rFonts w:ascii="Century Schoolbook" w:hAnsi="Century Schoolbook"/>
          <w:color w:val="212121"/>
          <w:sz w:val="26"/>
          <w:szCs w:val="26"/>
        </w:rPr>
        <w:t xml:space="preserve"> court reasoned:  “</w:t>
      </w:r>
      <w:r w:rsidRPr="001F234C">
        <w:rPr>
          <w:rFonts w:ascii="Century Schoolbook" w:hAnsi="Century Schoolbook" w:eastAsiaTheme="minorHAnsi"/>
          <w:color w:val="212121"/>
          <w:sz w:val="26"/>
          <w:szCs w:val="26"/>
          <w:bdr w:val="none" w:sz="0" w:space="0" w:color="auto" w:frame="1"/>
          <w:shd w:val="clear" w:color="auto" w:fill="FFFFFF"/>
        </w:rPr>
        <w:t xml:space="preserve">When a case is remanded for resentencing by an appellate court, the trial court is entitled to consider the entire sentencing scheme. </w:t>
      </w:r>
      <w:r>
        <w:rPr>
          <w:rFonts w:ascii="Century Schoolbook" w:hAnsi="Century Schoolbook" w:eastAsiaTheme="minorHAnsi"/>
          <w:color w:val="212121"/>
          <w:sz w:val="26"/>
          <w:szCs w:val="26"/>
          <w:bdr w:val="none" w:sz="0" w:space="0" w:color="auto" w:frame="1"/>
          <w:shd w:val="clear" w:color="auto" w:fill="FFFFFF"/>
        </w:rPr>
        <w:t xml:space="preserve"> </w:t>
      </w:r>
      <w:r w:rsidRPr="001F234C">
        <w:rPr>
          <w:rFonts w:ascii="Century Schoolbook" w:hAnsi="Century Schoolbook" w:eastAsiaTheme="minorHAnsi"/>
          <w:color w:val="212121"/>
          <w:sz w:val="26"/>
          <w:szCs w:val="26"/>
          <w:bdr w:val="none" w:sz="0" w:space="0" w:color="auto" w:frame="1"/>
          <w:shd w:val="clear" w:color="auto" w:fill="FFFFFF"/>
        </w:rPr>
        <w:t>Not limited to merely striking illegal portions, the trial court may reconsider all sentencing choices.</w:t>
      </w:r>
      <w:r>
        <w:rPr>
          <w:rFonts w:ascii="Century Schoolbook" w:hAnsi="Century Schoolbook" w:eastAsiaTheme="minorHAnsi"/>
          <w:color w:val="212121"/>
          <w:sz w:val="26"/>
          <w:szCs w:val="26"/>
          <w:bdr w:val="none" w:sz="0" w:space="0" w:color="auto" w:frame="1"/>
          <w:shd w:val="clear" w:color="auto" w:fill="FFFFFF"/>
        </w:rPr>
        <w:t xml:space="preserve">  [Citations.]</w:t>
      </w:r>
      <w:r w:rsidRPr="001F234C">
        <w:rPr>
          <w:rFonts w:ascii="Century Schoolbook" w:hAnsi="Century Schoolbook" w:eastAsiaTheme="minorHAnsi"/>
          <w:color w:val="212121"/>
          <w:sz w:val="26"/>
          <w:szCs w:val="26"/>
          <w:bdr w:val="none" w:sz="0" w:space="0" w:color="auto" w:frame="1"/>
          <w:shd w:val="clear" w:color="auto" w:fill="FFFFFF"/>
        </w:rPr>
        <w:t xml:space="preserve"> </w:t>
      </w:r>
      <w:r>
        <w:rPr>
          <w:rFonts w:ascii="Century Schoolbook" w:hAnsi="Century Schoolbook" w:eastAsiaTheme="minorHAnsi"/>
          <w:color w:val="212121"/>
          <w:sz w:val="26"/>
          <w:szCs w:val="26"/>
          <w:bdr w:val="none" w:sz="0" w:space="0" w:color="auto" w:frame="1"/>
          <w:shd w:val="clear" w:color="auto" w:fill="FFFFFF"/>
        </w:rPr>
        <w:t xml:space="preserve"> </w:t>
      </w:r>
      <w:r w:rsidRPr="001F234C">
        <w:rPr>
          <w:rFonts w:ascii="Century Schoolbook" w:hAnsi="Century Schoolbook" w:eastAsiaTheme="minorHAnsi"/>
          <w:color w:val="212121"/>
          <w:sz w:val="26"/>
          <w:szCs w:val="26"/>
          <w:bdr w:val="none" w:sz="0" w:space="0" w:color="auto" w:frame="1"/>
          <w:shd w:val="clear" w:color="auto" w:fill="FFFFFF"/>
        </w:rPr>
        <w:t>This rule is justified because an aggregate prison term</w:t>
      </w:r>
      <w:r>
        <w:rPr>
          <w:rFonts w:ascii="Century Schoolbook" w:hAnsi="Century Schoolbook" w:eastAsiaTheme="minorHAnsi"/>
          <w:color w:val="212121"/>
          <w:sz w:val="26"/>
          <w:szCs w:val="26"/>
          <w:bdr w:val="none" w:sz="0" w:space="0" w:color="auto" w:frame="1"/>
          <w:shd w:val="clear" w:color="auto" w:fill="FFFFFF"/>
        </w:rPr>
        <w:t xml:space="preserve"> </w:t>
      </w:r>
      <w:r w:rsidRPr="001F234C">
        <w:rPr>
          <w:rFonts w:ascii="Century Schoolbook" w:hAnsi="Century Schoolbook" w:eastAsiaTheme="minorHAnsi"/>
          <w:color w:val="212121"/>
          <w:sz w:val="26"/>
          <w:szCs w:val="26"/>
          <w:bdr w:val="none" w:sz="0" w:space="0" w:color="auto" w:frame="1"/>
          <w:shd w:val="clear" w:color="auto" w:fill="FFFFFF"/>
        </w:rPr>
        <w:t>is not a series of separate independent terms, but one term made up of interdependent components. The invalidity of one component infects the entire scheme.”  (</w:t>
      </w:r>
      <w:r w:rsidRPr="001F234C">
        <w:rPr>
          <w:rFonts w:ascii="Century Schoolbook" w:hAnsi="Century Schoolbook" w:eastAsiaTheme="minorHAnsi"/>
          <w:i/>
          <w:iCs/>
          <w:color w:val="212121"/>
          <w:sz w:val="26"/>
          <w:szCs w:val="26"/>
          <w:bdr w:val="none" w:sz="0" w:space="0" w:color="auto" w:frame="1"/>
          <w:shd w:val="clear" w:color="auto" w:fill="FFFFFF"/>
        </w:rPr>
        <w:t>Hill</w:t>
      </w:r>
      <w:r w:rsidRPr="001F234C">
        <w:rPr>
          <w:rFonts w:ascii="Century Schoolbook" w:hAnsi="Century Schoolbook" w:eastAsiaTheme="minorHAnsi"/>
          <w:color w:val="212121"/>
          <w:sz w:val="26"/>
          <w:szCs w:val="26"/>
          <w:bdr w:val="none" w:sz="0" w:space="0" w:color="auto" w:frame="1"/>
          <w:shd w:val="clear" w:color="auto" w:fill="FFFFFF"/>
        </w:rPr>
        <w:t xml:space="preserve">, </w:t>
      </w:r>
      <w:r w:rsidRPr="001F234C">
        <w:rPr>
          <w:rFonts w:ascii="Century Schoolbook" w:hAnsi="Century Schoolbook" w:eastAsiaTheme="minorHAnsi"/>
          <w:i/>
          <w:iCs/>
          <w:color w:val="212121"/>
          <w:sz w:val="26"/>
          <w:szCs w:val="26"/>
          <w:bdr w:val="none" w:sz="0" w:space="0" w:color="auto" w:frame="1"/>
          <w:shd w:val="clear" w:color="auto" w:fill="FFFFFF"/>
        </w:rPr>
        <w:t>supra</w:t>
      </w:r>
      <w:r w:rsidRPr="001F234C">
        <w:rPr>
          <w:rFonts w:ascii="Century Schoolbook" w:hAnsi="Century Schoolbook" w:eastAsiaTheme="minorHAnsi"/>
          <w:color w:val="212121"/>
          <w:sz w:val="26"/>
          <w:szCs w:val="26"/>
          <w:bdr w:val="none" w:sz="0" w:space="0" w:color="auto" w:frame="1"/>
          <w:shd w:val="clear" w:color="auto" w:fill="FFFFFF"/>
        </w:rPr>
        <w:t>, 185 Cal.App.3d at p. 834.)  Thus, “[t]</w:t>
      </w:r>
      <w:r w:rsidRPr="001F234C">
        <w:rPr>
          <w:rFonts w:ascii="Century Schoolbook" w:hAnsi="Century Schoolbook"/>
          <w:color w:val="212121"/>
          <w:sz w:val="26"/>
          <w:szCs w:val="26"/>
          <w:shd w:val="clear" w:color="auto" w:fill="FFFFFF"/>
        </w:rPr>
        <w:t xml:space="preserve">he trial court is entitled to rethink the entire sentence to </w:t>
      </w:r>
      <w:r w:rsidRPr="007879A9">
        <w:rPr>
          <w:rFonts w:ascii="Century Schoolbook" w:hAnsi="Century Schoolbook"/>
          <w:color w:val="212121"/>
          <w:sz w:val="26"/>
          <w:szCs w:val="26"/>
          <w:shd w:val="clear" w:color="auto" w:fill="FFFFFF"/>
        </w:rPr>
        <w:t>achieve its original and presumably unchanged goal.”  (</w:t>
      </w:r>
      <w:r w:rsidRPr="007879A9">
        <w:rPr>
          <w:rFonts w:ascii="Century Schoolbook" w:hAnsi="Century Schoolbook"/>
          <w:i/>
          <w:iCs/>
          <w:color w:val="212121"/>
          <w:sz w:val="26"/>
          <w:szCs w:val="26"/>
          <w:shd w:val="clear" w:color="auto" w:fill="FFFFFF"/>
        </w:rPr>
        <w:t>Ibid.</w:t>
      </w:r>
      <w:r w:rsidRPr="007879A9">
        <w:rPr>
          <w:rFonts w:ascii="Century Schoolbook" w:hAnsi="Century Schoolbook"/>
          <w:color w:val="212121"/>
          <w:sz w:val="26"/>
          <w:szCs w:val="26"/>
          <w:shd w:val="clear" w:color="auto" w:fill="FFFFFF"/>
        </w:rPr>
        <w:t xml:space="preserve">)  In reaching this conclusion, the </w:t>
      </w:r>
      <w:r w:rsidRPr="007879A9">
        <w:rPr>
          <w:rFonts w:ascii="Century Schoolbook" w:hAnsi="Century Schoolbook"/>
          <w:i/>
          <w:iCs/>
          <w:color w:val="212121"/>
          <w:sz w:val="26"/>
          <w:szCs w:val="26"/>
          <w:shd w:val="clear" w:color="auto" w:fill="FFFFFF"/>
        </w:rPr>
        <w:t xml:space="preserve">Hill </w:t>
      </w:r>
      <w:r w:rsidRPr="007879A9">
        <w:rPr>
          <w:rFonts w:ascii="Century Schoolbook" w:hAnsi="Century Schoolbook"/>
          <w:color w:val="212121"/>
          <w:sz w:val="26"/>
          <w:szCs w:val="26"/>
          <w:shd w:val="clear" w:color="auto" w:fill="FFFFFF"/>
        </w:rPr>
        <w:t xml:space="preserve">court found </w:t>
      </w:r>
      <w:r w:rsidRPr="007879A9">
        <w:rPr>
          <w:rFonts w:ascii="Century Schoolbook" w:hAnsi="Century Schoolbook"/>
          <w:i/>
          <w:iCs/>
          <w:color w:val="212121"/>
          <w:sz w:val="26"/>
          <w:szCs w:val="26"/>
          <w:shd w:val="clear" w:color="auto" w:fill="FFFFFF"/>
        </w:rPr>
        <w:t>Serrato</w:t>
      </w:r>
      <w:r w:rsidRPr="007879A9">
        <w:rPr>
          <w:rFonts w:ascii="Century Schoolbook" w:hAnsi="Century Schoolbook"/>
          <w:color w:val="212121"/>
          <w:sz w:val="26"/>
          <w:szCs w:val="26"/>
          <w:shd w:val="clear" w:color="auto" w:fill="FFFFFF"/>
        </w:rPr>
        <w:t xml:space="preserve">, </w:t>
      </w:r>
      <w:r w:rsidRPr="007879A9">
        <w:rPr>
          <w:rFonts w:ascii="Century Schoolbook" w:hAnsi="Century Schoolbook"/>
          <w:i/>
          <w:iCs/>
          <w:color w:val="212121"/>
          <w:sz w:val="26"/>
          <w:szCs w:val="26"/>
          <w:shd w:val="clear" w:color="auto" w:fill="FFFFFF"/>
        </w:rPr>
        <w:t>Ricky H</w:t>
      </w:r>
      <w:r w:rsidRPr="007879A9">
        <w:rPr>
          <w:rFonts w:ascii="Century Schoolbook" w:hAnsi="Century Schoolbook"/>
          <w:color w:val="212121"/>
          <w:sz w:val="26"/>
          <w:szCs w:val="26"/>
          <w:shd w:val="clear" w:color="auto" w:fill="FFFFFF"/>
        </w:rPr>
        <w:t xml:space="preserve">., and </w:t>
      </w:r>
      <w:r w:rsidRPr="007879A9">
        <w:rPr>
          <w:rFonts w:ascii="Century Schoolbook" w:hAnsi="Century Schoolbook"/>
          <w:i/>
          <w:iCs/>
          <w:color w:val="212121"/>
          <w:sz w:val="26"/>
          <w:szCs w:val="26"/>
          <w:shd w:val="clear" w:color="auto" w:fill="FFFFFF"/>
        </w:rPr>
        <w:t>Ali</w:t>
      </w:r>
      <w:r w:rsidRPr="007879A9">
        <w:rPr>
          <w:rFonts w:ascii="Century Schoolbook" w:hAnsi="Century Schoolbook"/>
          <w:color w:val="212121"/>
          <w:sz w:val="26"/>
          <w:szCs w:val="26"/>
          <w:shd w:val="clear" w:color="auto" w:fill="FFFFFF"/>
        </w:rPr>
        <w:t xml:space="preserve"> inapplicable because the defendant’s aggregate sentence was not increased upon resentencing.  (</w:t>
      </w:r>
      <w:r w:rsidRPr="007879A9">
        <w:rPr>
          <w:rFonts w:ascii="Century Schoolbook" w:hAnsi="Century Schoolbook"/>
          <w:i/>
          <w:iCs/>
          <w:color w:val="212121"/>
          <w:sz w:val="26"/>
          <w:szCs w:val="26"/>
          <w:shd w:val="clear" w:color="auto" w:fill="FFFFFF"/>
        </w:rPr>
        <w:t>Hill</w:t>
      </w:r>
      <w:r w:rsidRPr="007879A9">
        <w:rPr>
          <w:rFonts w:ascii="Century Schoolbook" w:hAnsi="Century Schoolbook"/>
          <w:color w:val="212121"/>
          <w:sz w:val="26"/>
          <w:szCs w:val="26"/>
          <w:shd w:val="clear" w:color="auto" w:fill="FFFFFF"/>
        </w:rPr>
        <w:t xml:space="preserve"> at p. 836.)  It concluded that the defendant’s </w:t>
      </w:r>
      <w:r>
        <w:rPr>
          <w:rFonts w:ascii="Century Schoolbook" w:hAnsi="Century Schoolbook"/>
          <w:color w:val="212121"/>
          <w:sz w:val="26"/>
          <w:szCs w:val="26"/>
          <w:shd w:val="clear" w:color="auto" w:fill="FFFFFF"/>
        </w:rPr>
        <w:t>“</w:t>
      </w:r>
      <w:r w:rsidRPr="007879A9">
        <w:rPr>
          <w:rStyle w:val="ssrfcpassagedeactivated"/>
          <w:rFonts w:ascii="Century Schoolbook" w:hAnsi="Century Schoolbook"/>
          <w:color w:val="212121"/>
          <w:sz w:val="26"/>
          <w:szCs w:val="26"/>
          <w:bdr w:val="none" w:sz="0" w:space="0" w:color="auto" w:frame="1"/>
          <w:shd w:val="clear" w:color="auto" w:fill="FFFFFF"/>
        </w:rPr>
        <w:t>initial sentence was illegal and therefore void.  Upon recall the trial court had the jurisdiction to impose a sentence which it could have imposed at the time the original sentence was given.”</w:t>
      </w:r>
      <w:r>
        <w:rPr>
          <w:rStyle w:val="ssrfcpassagedeactivated"/>
          <w:rFonts w:ascii="Century Schoolbook" w:hAnsi="Century Schoolbook"/>
          <w:color w:val="212121"/>
          <w:sz w:val="26"/>
          <w:szCs w:val="26"/>
          <w:bdr w:val="none" w:sz="0" w:space="0" w:color="auto" w:frame="1"/>
          <w:shd w:val="clear" w:color="auto" w:fill="FFFFFF"/>
        </w:rPr>
        <w:t xml:space="preserve">  (</w:t>
      </w:r>
      <w:r>
        <w:rPr>
          <w:rStyle w:val="ssrfcpassagedeactivated"/>
          <w:rFonts w:ascii="Century Schoolbook" w:hAnsi="Century Schoolbook"/>
          <w:i/>
          <w:iCs/>
          <w:color w:val="212121"/>
          <w:sz w:val="26"/>
          <w:szCs w:val="26"/>
          <w:bdr w:val="none" w:sz="0" w:space="0" w:color="auto" w:frame="1"/>
          <w:shd w:val="clear" w:color="auto" w:fill="FFFFFF"/>
        </w:rPr>
        <w:t>Ibid.</w:t>
      </w:r>
      <w:r>
        <w:rPr>
          <w:rStyle w:val="ssrfcpassagedeactivated"/>
          <w:rFonts w:ascii="Century Schoolbook" w:hAnsi="Century Schoolbook"/>
          <w:color w:val="212121"/>
          <w:sz w:val="26"/>
          <w:szCs w:val="26"/>
          <w:bdr w:val="none" w:sz="0" w:space="0" w:color="auto" w:frame="1"/>
          <w:shd w:val="clear" w:color="auto" w:fill="FFFFFF"/>
        </w:rPr>
        <w:t>)</w:t>
      </w:r>
    </w:p>
    <w:p w:rsidR="007F579A" w:rsidRPr="007F579A" w:rsidP="004F4668" w14:paraId="77571375" w14:textId="46E4183A">
      <w:pPr>
        <w:pStyle w:val="Text"/>
        <w:ind w:firstLine="0"/>
        <w:rPr>
          <w:color w:val="212121"/>
          <w:shd w:val="clear" w:color="auto" w:fill="FFFFFF"/>
        </w:rPr>
      </w:pPr>
      <w:r>
        <w:rPr>
          <w:rStyle w:val="ssrfcpassagedeactivated"/>
          <w:bdr w:val="none" w:sz="0" w:space="0" w:color="auto" w:frame="1"/>
        </w:rPr>
        <w:tab/>
      </w:r>
      <w:r w:rsidRPr="003A41B3" w:rsidR="003A41B3">
        <w:rPr>
          <w:rStyle w:val="ssrfcpassagedeactivated"/>
          <w:bdr w:val="none" w:sz="0" w:space="0" w:color="auto" w:frame="1"/>
        </w:rPr>
        <w:t xml:space="preserve">Division Two </w:t>
      </w:r>
      <w:r w:rsidR="00E12CE4">
        <w:rPr>
          <w:rStyle w:val="ssrfcpassagedeactivated"/>
          <w:bdr w:val="none" w:sz="0" w:space="0" w:color="auto" w:frame="1"/>
        </w:rPr>
        <w:t xml:space="preserve">of this District </w:t>
      </w:r>
      <w:r w:rsidR="00834709">
        <w:rPr>
          <w:rStyle w:val="ssrfcpassagedeactivated"/>
          <w:bdr w:val="none" w:sz="0" w:space="0" w:color="auto" w:frame="1"/>
        </w:rPr>
        <w:t xml:space="preserve">revisited </w:t>
      </w:r>
      <w:r w:rsidR="00834709">
        <w:rPr>
          <w:rStyle w:val="ssrfcpassagedeactivated"/>
          <w:i/>
          <w:iCs/>
          <w:bdr w:val="none" w:sz="0" w:space="0" w:color="auto" w:frame="1"/>
        </w:rPr>
        <w:t xml:space="preserve">Henderson </w:t>
      </w:r>
      <w:r w:rsidR="00834709">
        <w:rPr>
          <w:rStyle w:val="ssrfcpassagedeactivated"/>
          <w:bdr w:val="none" w:sz="0" w:space="0" w:color="auto" w:frame="1"/>
        </w:rPr>
        <w:t xml:space="preserve">through the lens of </w:t>
      </w:r>
      <w:r w:rsidR="00834709">
        <w:rPr>
          <w:rStyle w:val="ssrfcpassagedeactivated"/>
          <w:i/>
          <w:iCs/>
          <w:bdr w:val="none" w:sz="0" w:space="0" w:color="auto" w:frame="1"/>
        </w:rPr>
        <w:t>Serrato</w:t>
      </w:r>
      <w:r w:rsidR="00834709">
        <w:rPr>
          <w:rStyle w:val="ssrfcpassagedeactivated"/>
          <w:bdr w:val="none" w:sz="0" w:space="0" w:color="auto" w:frame="1"/>
        </w:rPr>
        <w:t xml:space="preserve"> </w:t>
      </w:r>
      <w:r>
        <w:rPr>
          <w:rStyle w:val="ssrfcpassagedeactivated"/>
          <w:bdr w:val="none" w:sz="0" w:space="0" w:color="auto" w:frame="1"/>
        </w:rPr>
        <w:t>in 198</w:t>
      </w:r>
      <w:r w:rsidR="00C072FD">
        <w:rPr>
          <w:rStyle w:val="ssrfcpassagedeactivated"/>
          <w:bdr w:val="none" w:sz="0" w:space="0" w:color="auto" w:frame="1"/>
        </w:rPr>
        <w:t>7</w:t>
      </w:r>
      <w:r w:rsidRPr="004F4668" w:rsidR="00834709">
        <w:rPr>
          <w:rStyle w:val="ssrfcpassagedeactivated"/>
          <w:bdr w:val="none" w:sz="0" w:space="0" w:color="auto" w:frame="1"/>
        </w:rPr>
        <w:t>.</w:t>
      </w:r>
      <w:r>
        <w:rPr>
          <w:rStyle w:val="ssrfcpassagedeactivated"/>
          <w:bdr w:val="none" w:sz="0" w:space="0" w:color="auto" w:frame="1"/>
        </w:rPr>
        <w:t xml:space="preserve">  </w:t>
      </w:r>
      <w:r w:rsidR="00144671">
        <w:rPr>
          <w:rStyle w:val="ssrfcpassagedeactivated"/>
          <w:bdr w:val="none" w:sz="0" w:space="0" w:color="auto" w:frame="1"/>
        </w:rPr>
        <w:t>(</w:t>
      </w:r>
      <w:r>
        <w:rPr>
          <w:rStyle w:val="ssrfcpassagedeactivated"/>
          <w:bdr w:val="none" w:sz="0" w:space="0" w:color="auto" w:frame="1"/>
        </w:rPr>
        <w:t xml:space="preserve">See </w:t>
      </w:r>
      <w:r w:rsidRPr="004F4668" w:rsidR="00834709">
        <w:rPr>
          <w:rStyle w:val="ssrfcpassagedeactivated"/>
          <w:i/>
          <w:iCs/>
          <w:bdr w:val="none" w:sz="0" w:space="0" w:color="auto" w:frame="1"/>
        </w:rPr>
        <w:t>People v. Brown</w:t>
      </w:r>
      <w:r w:rsidRPr="004F4668" w:rsidR="00834709">
        <w:rPr>
          <w:rStyle w:val="ssrfcpassagedeactivated"/>
          <w:bdr w:val="none" w:sz="0" w:space="0" w:color="auto" w:frame="1"/>
        </w:rPr>
        <w:t xml:space="preserve"> (1987) 193 Cal.App.3d 957</w:t>
      </w:r>
      <w:r>
        <w:rPr>
          <w:rStyle w:val="ssrfcpassagedeactivated"/>
          <w:bdr w:val="none" w:sz="0" w:space="0" w:color="auto" w:frame="1"/>
        </w:rPr>
        <w:t xml:space="preserve"> (</w:t>
      </w:r>
      <w:r>
        <w:rPr>
          <w:rStyle w:val="ssrfcpassagedeactivated"/>
          <w:i/>
          <w:iCs/>
          <w:bdr w:val="none" w:sz="0" w:space="0" w:color="auto" w:frame="1"/>
        </w:rPr>
        <w:t>Brown</w:t>
      </w:r>
      <w:r>
        <w:rPr>
          <w:rStyle w:val="ssrfcpassagedeactivated"/>
          <w:bdr w:val="none" w:sz="0" w:space="0" w:color="auto" w:frame="1"/>
        </w:rPr>
        <w:t xml:space="preserve">).)  In </w:t>
      </w:r>
      <w:r w:rsidRPr="0038081A">
        <w:rPr>
          <w:rStyle w:val="ssrfcpassagedeactivated"/>
          <w:i/>
          <w:iCs/>
          <w:bdr w:val="none" w:sz="0" w:space="0" w:color="auto" w:frame="1"/>
        </w:rPr>
        <w:t>Brown</w:t>
      </w:r>
      <w:r>
        <w:rPr>
          <w:rStyle w:val="ssrfcpassagedeactivated"/>
          <w:bdr w:val="none" w:sz="0" w:space="0" w:color="auto" w:frame="1"/>
        </w:rPr>
        <w:t xml:space="preserve">, </w:t>
      </w:r>
      <w:r w:rsidRPr="007F579A" w:rsidR="00834709">
        <w:rPr>
          <w:rStyle w:val="ssrfcpassagedeactivated"/>
          <w:bdr w:val="none" w:sz="0" w:space="0" w:color="auto" w:frame="1"/>
        </w:rPr>
        <w:t>the</w:t>
      </w:r>
      <w:r w:rsidRPr="004F4668" w:rsidR="004F4668">
        <w:rPr>
          <w:rStyle w:val="ssrfcpassagedeactivated"/>
          <w:bdr w:val="none" w:sz="0" w:space="0" w:color="auto" w:frame="1"/>
        </w:rPr>
        <w:t xml:space="preserve"> defendant</w:t>
      </w:r>
      <w:r w:rsidRPr="004F4668" w:rsidR="00834709">
        <w:rPr>
          <w:rStyle w:val="ssrfcpassagedeactivated"/>
          <w:bdr w:val="none" w:sz="0" w:space="0" w:color="auto" w:frame="1"/>
        </w:rPr>
        <w:t xml:space="preserve"> had been </w:t>
      </w:r>
      <w:r w:rsidRPr="004F4668" w:rsidR="00543915">
        <w:rPr>
          <w:rStyle w:val="ssrfcpassagedeactivated"/>
          <w:bdr w:val="none" w:sz="0" w:space="0" w:color="auto" w:frame="1"/>
        </w:rPr>
        <w:t>convicted of two count</w:t>
      </w:r>
      <w:r w:rsidRPr="004F4668" w:rsidR="004F4668">
        <w:rPr>
          <w:rStyle w:val="ssrfcpassagedeactivated"/>
          <w:bdr w:val="none" w:sz="0" w:space="0" w:color="auto" w:frame="1"/>
        </w:rPr>
        <w:t>s</w:t>
      </w:r>
      <w:r w:rsidRPr="004F4668" w:rsidR="00543915">
        <w:rPr>
          <w:rStyle w:val="ssrfcpassagedeactivated"/>
          <w:bdr w:val="none" w:sz="0" w:space="0" w:color="auto" w:frame="1"/>
        </w:rPr>
        <w:t xml:space="preserve"> of attempted grand theft from a </w:t>
      </w:r>
      <w:r w:rsidRPr="00DC5F4F" w:rsidR="00543915">
        <w:rPr>
          <w:rStyle w:val="ssrfcpassagedeactivated"/>
          <w:bdr w:val="none" w:sz="0" w:space="0" w:color="auto" w:frame="1"/>
        </w:rPr>
        <w:t>person and initially sentenced to 46 months in state prison.</w:t>
      </w:r>
      <w:r w:rsidRPr="00DC5F4F" w:rsidR="004F4668">
        <w:rPr>
          <w:rStyle w:val="ssrfcpassagedeactivated"/>
          <w:bdr w:val="none" w:sz="0" w:space="0" w:color="auto" w:frame="1"/>
        </w:rPr>
        <w:t xml:space="preserve">  </w:t>
      </w:r>
      <w:r w:rsidRPr="00DC5F4F" w:rsidR="004F4668">
        <w:rPr>
          <w:color w:val="212121"/>
          <w:shd w:val="clear" w:color="auto" w:fill="FFFFFF"/>
        </w:rPr>
        <w:t xml:space="preserve">On appeal, the conviction was affirmed but the </w:t>
      </w:r>
      <w:r w:rsidRPr="00DC5F4F" w:rsidR="00DC5F4F">
        <w:rPr>
          <w:color w:val="212121"/>
          <w:shd w:val="clear" w:color="auto" w:fill="FFFFFF"/>
        </w:rPr>
        <w:t>appellate court concluded that the 46-month sentence was improper in that it exceeded the double the base term limitation in the D</w:t>
      </w:r>
      <w:r w:rsidR="00467308">
        <w:rPr>
          <w:color w:val="212121"/>
          <w:shd w:val="clear" w:color="auto" w:fill="FFFFFF"/>
        </w:rPr>
        <w:t>S</w:t>
      </w:r>
      <w:r w:rsidRPr="00DC5F4F" w:rsidR="00DC5F4F">
        <w:rPr>
          <w:color w:val="212121"/>
          <w:shd w:val="clear" w:color="auto" w:fill="FFFFFF"/>
        </w:rPr>
        <w:t xml:space="preserve">L.  The </w:t>
      </w:r>
      <w:r w:rsidRPr="00DC5F4F" w:rsidR="004F4668">
        <w:rPr>
          <w:color w:val="212121"/>
          <w:shd w:val="clear" w:color="auto" w:fill="FFFFFF"/>
        </w:rPr>
        <w:t xml:space="preserve">matter </w:t>
      </w:r>
      <w:r>
        <w:rPr>
          <w:color w:val="212121"/>
          <w:shd w:val="clear" w:color="auto" w:fill="FFFFFF"/>
        </w:rPr>
        <w:t xml:space="preserve">was </w:t>
      </w:r>
      <w:r w:rsidRPr="00DC5F4F" w:rsidR="004F4668">
        <w:rPr>
          <w:color w:val="212121"/>
          <w:shd w:val="clear" w:color="auto" w:fill="FFFFFF"/>
        </w:rPr>
        <w:t>remanded for resentencing after which the defendant was sentenced to a 48-month term.  The defendant again appealed,</w:t>
      </w:r>
      <w:r w:rsidRPr="004F4668" w:rsidR="004F4668">
        <w:rPr>
          <w:color w:val="212121"/>
          <w:shd w:val="clear" w:color="auto" w:fill="FFFFFF"/>
        </w:rPr>
        <w:t xml:space="preserve"> contending that the imposition of a longer sentence on remand impermissibly </w:t>
      </w:r>
      <w:r w:rsidRPr="007F579A" w:rsidR="004F4668">
        <w:rPr>
          <w:color w:val="212121"/>
          <w:shd w:val="clear" w:color="auto" w:fill="FFFFFF"/>
        </w:rPr>
        <w:t>penalized him for his successful appeal and violated the prohibition against double jeopardy.  (</w:t>
      </w:r>
      <w:r w:rsidRPr="007F579A" w:rsidR="004F4668">
        <w:rPr>
          <w:i/>
          <w:iCs/>
          <w:color w:val="212121"/>
          <w:shd w:val="clear" w:color="auto" w:fill="FFFFFF"/>
        </w:rPr>
        <w:t>Id.</w:t>
      </w:r>
      <w:r w:rsidRPr="007F579A" w:rsidR="004F4668">
        <w:rPr>
          <w:color w:val="212121"/>
          <w:shd w:val="clear" w:color="auto" w:fill="FFFFFF"/>
        </w:rPr>
        <w:t xml:space="preserve"> at p. 960.)</w:t>
      </w:r>
      <w:r w:rsidRPr="007F579A" w:rsidR="00DC5F4F">
        <w:rPr>
          <w:color w:val="212121"/>
          <w:shd w:val="clear" w:color="auto" w:fill="FFFFFF"/>
        </w:rPr>
        <w:t xml:space="preserve">  The </w:t>
      </w:r>
      <w:r w:rsidR="003F11B4">
        <w:rPr>
          <w:color w:val="212121"/>
          <w:shd w:val="clear" w:color="auto" w:fill="FFFFFF"/>
        </w:rPr>
        <w:t xml:space="preserve">appellate </w:t>
      </w:r>
      <w:r w:rsidRPr="007F579A" w:rsidR="00DC5F4F">
        <w:rPr>
          <w:color w:val="212121"/>
          <w:shd w:val="clear" w:color="auto" w:fill="FFFFFF"/>
        </w:rPr>
        <w:t xml:space="preserve">court disagreed. </w:t>
      </w:r>
    </w:p>
    <w:p w:rsidR="004F4668" w:rsidRPr="003F11B4" w:rsidP="004F4668" w14:paraId="4AF3B14F" w14:textId="400F226F">
      <w:pPr>
        <w:pStyle w:val="Text"/>
        <w:ind w:firstLine="0"/>
      </w:pPr>
      <w:r w:rsidRPr="007F579A">
        <w:rPr>
          <w:color w:val="212121"/>
          <w:shd w:val="clear" w:color="auto" w:fill="FFFFFF"/>
        </w:rPr>
        <w:tab/>
      </w:r>
      <w:r w:rsidRPr="007F579A" w:rsidR="00DC5F4F">
        <w:rPr>
          <w:color w:val="212121"/>
          <w:shd w:val="clear" w:color="auto" w:fill="FFFFFF"/>
        </w:rPr>
        <w:t xml:space="preserve">After noting the </w:t>
      </w:r>
      <w:r w:rsidRPr="007F579A">
        <w:rPr>
          <w:color w:val="212121"/>
          <w:shd w:val="clear" w:color="auto" w:fill="FFFFFF"/>
        </w:rPr>
        <w:t>“</w:t>
      </w:r>
      <w:r w:rsidRPr="007F579A" w:rsidR="00DC5F4F">
        <w:rPr>
          <w:color w:val="212121"/>
          <w:shd w:val="clear" w:color="auto" w:fill="FFFFFF"/>
        </w:rPr>
        <w:t>general rule</w:t>
      </w:r>
      <w:r w:rsidRPr="007F579A">
        <w:rPr>
          <w:color w:val="212121"/>
          <w:shd w:val="clear" w:color="auto" w:fill="FFFFFF"/>
        </w:rPr>
        <w:t>”</w:t>
      </w:r>
      <w:r w:rsidRPr="007F579A" w:rsidR="00DC5F4F">
        <w:rPr>
          <w:color w:val="212121"/>
          <w:shd w:val="clear" w:color="auto" w:fill="FFFFFF"/>
        </w:rPr>
        <w:t xml:space="preserve"> that</w:t>
      </w:r>
      <w:r w:rsidRPr="007F579A">
        <w:rPr>
          <w:color w:val="212121"/>
          <w:shd w:val="clear" w:color="auto" w:fill="FFFFFF"/>
        </w:rPr>
        <w:t xml:space="preserve"> “a greater sentence may not be imposed upon remand after an appeal,” the court considered the </w:t>
      </w:r>
      <w:r w:rsidRPr="007F579A">
        <w:rPr>
          <w:i/>
          <w:iCs/>
          <w:color w:val="212121"/>
          <w:shd w:val="clear" w:color="auto" w:fill="FFFFFF"/>
        </w:rPr>
        <w:t xml:space="preserve">Serrato </w:t>
      </w:r>
      <w:r w:rsidRPr="007F579A">
        <w:rPr>
          <w:color w:val="212121"/>
          <w:shd w:val="clear" w:color="auto" w:fill="FFFFFF"/>
        </w:rPr>
        <w:t xml:space="preserve">exception which provides that “an unauthorized sentence ‘is subject to being set aside judicially </w:t>
      </w:r>
      <w:r w:rsidRPr="003F11B4">
        <w:rPr>
          <w:color w:val="212121"/>
          <w:shd w:val="clear" w:color="auto" w:fill="FFFFFF"/>
        </w:rPr>
        <w:t>and is no bar to the imposition of a proper judgment thereafter, even though it is more severe than the original unauthorized pronouncement.’ ” (</w:t>
      </w:r>
      <w:r w:rsidRPr="003F11B4">
        <w:rPr>
          <w:i/>
          <w:iCs/>
          <w:color w:val="212121"/>
          <w:shd w:val="clear" w:color="auto" w:fill="FFFFFF"/>
        </w:rPr>
        <w:t>Brown</w:t>
      </w:r>
      <w:r w:rsidRPr="003F11B4">
        <w:rPr>
          <w:color w:val="212121"/>
          <w:shd w:val="clear" w:color="auto" w:fill="FFFFFF"/>
        </w:rPr>
        <w:t>,</w:t>
      </w:r>
      <w:r w:rsidRPr="003F11B4">
        <w:rPr>
          <w:i/>
          <w:iCs/>
        </w:rPr>
        <w:t xml:space="preserve"> supra</w:t>
      </w:r>
      <w:r w:rsidRPr="003F11B4">
        <w:t>,</w:t>
      </w:r>
      <w:r w:rsidRPr="003F11B4" w:rsidR="003F11B4">
        <w:t xml:space="preserve"> 193 Cal.App.3d at p. 962.)  The court read </w:t>
      </w:r>
      <w:r w:rsidRPr="003F11B4" w:rsidR="003F11B4">
        <w:rPr>
          <w:i/>
          <w:iCs/>
        </w:rPr>
        <w:t>Serrato</w:t>
      </w:r>
      <w:r w:rsidRPr="003F11B4" w:rsidR="003F11B4">
        <w:t xml:space="preserve"> as “</w:t>
      </w:r>
      <w:r w:rsidRPr="003F11B4" w:rsidR="003F11B4">
        <w:rPr>
          <w:color w:val="212121"/>
          <w:shd w:val="clear" w:color="auto" w:fill="FFFFFF"/>
        </w:rPr>
        <w:t>set[ting] up a distinction between resentencing upon retrial necessitated by an error not involving the sentence and resentencing necessitated by the illegality of the original sentence, allowing imposition of a greater sentence only in the latter</w:t>
      </w:r>
      <w:r w:rsidR="00EB0A5D">
        <w:rPr>
          <w:color w:val="212121"/>
          <w:shd w:val="clear" w:color="auto" w:fill="FFFFFF"/>
        </w:rPr>
        <w:t xml:space="preserve"> </w:t>
      </w:r>
      <w:r w:rsidRPr="003F11B4" w:rsidR="003F11B4">
        <w:rPr>
          <w:color w:val="212121"/>
          <w:shd w:val="clear" w:color="auto" w:fill="FFFFFF"/>
        </w:rPr>
        <w:t>situation.”  (</w:t>
      </w:r>
      <w:r w:rsidRPr="003F11B4" w:rsidR="003F11B4">
        <w:rPr>
          <w:i/>
          <w:iCs/>
          <w:color w:val="212121"/>
          <w:shd w:val="clear" w:color="auto" w:fill="FFFFFF"/>
        </w:rPr>
        <w:t>Brown</w:t>
      </w:r>
      <w:r w:rsidRPr="003F11B4" w:rsidR="003F11B4">
        <w:rPr>
          <w:color w:val="212121"/>
          <w:shd w:val="clear" w:color="auto" w:fill="FFFFFF"/>
        </w:rPr>
        <w:t>, at p. 962.)</w:t>
      </w:r>
      <w:r w:rsidR="003F11B4">
        <w:t xml:space="preserve">  While the court was critical of </w:t>
      </w:r>
      <w:r w:rsidR="003F11B4">
        <w:rPr>
          <w:i/>
          <w:iCs/>
        </w:rPr>
        <w:t>Serrato</w:t>
      </w:r>
      <w:r w:rsidR="003F11B4">
        <w:t>, it recognized that it was bound to follow it.  (</w:t>
      </w:r>
      <w:r w:rsidR="003F11B4">
        <w:rPr>
          <w:i/>
          <w:iCs/>
        </w:rPr>
        <w:t>Brown</w:t>
      </w:r>
      <w:r w:rsidR="003F11B4">
        <w:t>, at pp. 961</w:t>
      </w:r>
      <w:r w:rsidR="003C3E5C">
        <w:t>–</w:t>
      </w:r>
      <w:r w:rsidR="003F11B4">
        <w:t>962.)  Deeming the initial sentence unauthorized because it exceeded a statutory limitation, the court concluded it was not error to impose a harsher sentence on remand.  (</w:t>
      </w:r>
      <w:r w:rsidR="003F11B4">
        <w:rPr>
          <w:i/>
          <w:iCs/>
        </w:rPr>
        <w:t>Id.</w:t>
      </w:r>
      <w:r w:rsidR="003F11B4">
        <w:t xml:space="preserve"> at p. 962.)  </w:t>
      </w:r>
    </w:p>
    <w:p w:rsidR="006629AD" w:rsidRPr="00AC2BBA" w:rsidP="00952363" w14:paraId="70BD8DFF" w14:textId="4C41676C">
      <w:pPr>
        <w:pStyle w:val="Text"/>
        <w:ind w:firstLine="0"/>
      </w:pPr>
      <w:r>
        <w:tab/>
        <w:t xml:space="preserve">In </w:t>
      </w:r>
      <w:r>
        <w:rPr>
          <w:i/>
          <w:iCs/>
        </w:rPr>
        <w:t>People v. Mustafaa</w:t>
      </w:r>
      <w:r>
        <w:t xml:space="preserve"> (1994) 22 Cal.App.4th 1305 (</w:t>
      </w:r>
      <w:bookmarkStart w:id="10" w:name="_Hlk143071718"/>
      <w:r>
        <w:rPr>
          <w:i/>
          <w:iCs/>
        </w:rPr>
        <w:t>Mustafaa</w:t>
      </w:r>
      <w:bookmarkEnd w:id="10"/>
      <w:r>
        <w:t xml:space="preserve">), the Fourth District </w:t>
      </w:r>
      <w:r w:rsidR="00FF5C37">
        <w:t>considered the validity of the defendant’s</w:t>
      </w:r>
      <w:r>
        <w:t xml:space="preserve"> </w:t>
      </w:r>
      <w:r w:rsidR="00FF5C37">
        <w:t>sentence of 14 years, four months after he pleaded guilty to three counts of robbery while personally armed with a firearm and three count</w:t>
      </w:r>
      <w:r w:rsidR="003C3E5C">
        <w:t>s</w:t>
      </w:r>
      <w:r w:rsidR="00FF5C37">
        <w:t xml:space="preserve"> of possession of a firearm by a felon.  He also </w:t>
      </w:r>
      <w:r w:rsidRPr="00FF5C37" w:rsidR="00FF5C37">
        <w:t>admitted suffering three prior felony convictions.  (</w:t>
      </w:r>
      <w:r w:rsidRPr="00FF5C37" w:rsidR="00FF5C37">
        <w:rPr>
          <w:i/>
          <w:iCs/>
        </w:rPr>
        <w:t>Id.</w:t>
      </w:r>
      <w:r w:rsidRPr="00FF5C37" w:rsidR="00FF5C37">
        <w:t xml:space="preserve"> at p. 1309.)  The appellate court concluded that </w:t>
      </w:r>
      <w:r w:rsidRPr="00FF5C37" w:rsidR="00FF5C37">
        <w:rPr>
          <w:color w:val="212121"/>
          <w:shd w:val="clear" w:color="auto" w:fill="FFFFFF"/>
        </w:rPr>
        <w:t xml:space="preserve">the trial court erred in imposing consecutive terms </w:t>
      </w:r>
      <w:r w:rsidRPr="00962CEC" w:rsidR="00FF5C37">
        <w:rPr>
          <w:color w:val="212121"/>
          <w:shd w:val="clear" w:color="auto" w:fill="FFFFFF"/>
        </w:rPr>
        <w:t>for two gun-use enhancements, while imposing concurrent terms for the robbery convictions in the same counts.  (</w:t>
      </w:r>
      <w:r w:rsidRPr="00962CEC" w:rsidR="00FF5C37">
        <w:rPr>
          <w:i/>
          <w:iCs/>
          <w:color w:val="212121"/>
          <w:shd w:val="clear" w:color="auto" w:fill="FFFFFF"/>
        </w:rPr>
        <w:t>Ibid.</w:t>
      </w:r>
      <w:r w:rsidRPr="00962CEC" w:rsidR="00FF5C37">
        <w:rPr>
          <w:color w:val="212121"/>
          <w:shd w:val="clear" w:color="auto" w:fill="FFFFFF"/>
        </w:rPr>
        <w:t>)</w:t>
      </w:r>
      <w:r w:rsidRPr="00962CEC" w:rsidR="00962CEC">
        <w:t xml:space="preserve">  Since “</w:t>
      </w:r>
      <w:r w:rsidRPr="00962CEC" w:rsidR="00962CEC">
        <w:rPr>
          <w:color w:val="212121"/>
          <w:shd w:val="clear" w:color="auto" w:fill="FFFFFF"/>
        </w:rPr>
        <w:t xml:space="preserve">fashioning a sentence in a manner which is unauthorized by law exceeds the jurisdiction </w:t>
      </w:r>
      <w:r w:rsidRPr="00AC2BBA" w:rsidR="00962CEC">
        <w:rPr>
          <w:color w:val="212121"/>
          <w:shd w:val="clear" w:color="auto" w:fill="FFFFFF"/>
        </w:rPr>
        <w:t>of the court</w:t>
      </w:r>
      <w:r w:rsidRPr="00AC2BBA" w:rsidR="00393EB2">
        <w:rPr>
          <w:color w:val="212121"/>
          <w:shd w:val="clear" w:color="auto" w:fill="FFFFFF"/>
        </w:rPr>
        <w:t>,</w:t>
      </w:r>
      <w:r w:rsidRPr="00AC2BBA" w:rsidR="00962CEC">
        <w:rPr>
          <w:color w:val="212121"/>
          <w:shd w:val="clear" w:color="auto" w:fill="FFFFFF"/>
        </w:rPr>
        <w:t>” the defendant could raise th</w:t>
      </w:r>
      <w:r w:rsidRPr="00AC2BBA" w:rsidR="00393EB2">
        <w:rPr>
          <w:color w:val="212121"/>
          <w:shd w:val="clear" w:color="auto" w:fill="FFFFFF"/>
        </w:rPr>
        <w:t>e</w:t>
      </w:r>
      <w:r w:rsidRPr="00AC2BBA" w:rsidR="00962CEC">
        <w:rPr>
          <w:color w:val="212121"/>
          <w:shd w:val="clear" w:color="auto" w:fill="FFFFFF"/>
        </w:rPr>
        <w:t xml:space="preserve"> issue on appeal even though no objection was made in the trial court.</w:t>
      </w:r>
      <w:r w:rsidRPr="00AC2BBA" w:rsidR="00393EB2">
        <w:rPr>
          <w:color w:val="212121"/>
          <w:shd w:val="clear" w:color="auto" w:fill="FFFFFF"/>
        </w:rPr>
        <w:t xml:space="preserve">  (</w:t>
      </w:r>
      <w:r w:rsidRPr="00AC2BBA" w:rsidR="00393EB2">
        <w:rPr>
          <w:i/>
          <w:iCs/>
          <w:color w:val="212121"/>
          <w:shd w:val="clear" w:color="auto" w:fill="FFFFFF"/>
        </w:rPr>
        <w:t>Id.</w:t>
      </w:r>
      <w:r w:rsidRPr="00AC2BBA" w:rsidR="00393EB2">
        <w:rPr>
          <w:color w:val="212121"/>
          <w:shd w:val="clear" w:color="auto" w:fill="FFFFFF"/>
        </w:rPr>
        <w:t xml:space="preserve"> at p. 1311.)</w:t>
      </w:r>
      <w:r w:rsidR="0038081A">
        <w:rPr>
          <w:color w:val="212121"/>
          <w:shd w:val="clear" w:color="auto" w:fill="FFFFFF"/>
        </w:rPr>
        <w:t xml:space="preserve">  In discussing the proper procedure on </w:t>
      </w:r>
      <w:r w:rsidRPr="00AC2BBA" w:rsidR="00AC2BBA">
        <w:rPr>
          <w:color w:val="212121"/>
          <w:shd w:val="clear" w:color="auto" w:fill="FFFFFF"/>
        </w:rPr>
        <w:t xml:space="preserve">remand, the court rejected the argument that the </w:t>
      </w:r>
      <w:r w:rsidRPr="00AC2BBA" w:rsidR="00AC2BBA">
        <w:rPr>
          <w:i/>
          <w:iCs/>
          <w:color w:val="212121"/>
          <w:shd w:val="clear" w:color="auto" w:fill="FFFFFF"/>
        </w:rPr>
        <w:t>Serrato</w:t>
      </w:r>
      <w:r w:rsidRPr="00AC2BBA" w:rsidR="00AC2BBA">
        <w:rPr>
          <w:color w:val="212121"/>
          <w:shd w:val="clear" w:color="auto" w:fill="FFFFFF"/>
        </w:rPr>
        <w:t xml:space="preserve"> exception applied, reasoning:  “[T]he rule against double jeopardy</w:t>
      </w:r>
      <w:r w:rsidR="007B1F99">
        <w:rPr>
          <w:color w:val="212121"/>
          <w:shd w:val="clear" w:color="auto" w:fill="FFFFFF"/>
        </w:rPr>
        <w:t xml:space="preserve"> </w:t>
      </w:r>
      <w:r w:rsidRPr="00AC2BBA" w:rsidR="00AC2BBA">
        <w:rPr>
          <w:color w:val="212121"/>
          <w:shd w:val="clear" w:color="auto" w:fill="FFFFFF"/>
        </w:rPr>
        <w:t>applies because the court imposed a legal aggregate sentence, only fashioning it in an</w:t>
      </w:r>
      <w:r w:rsidR="007B1F99">
        <w:rPr>
          <w:color w:val="212121"/>
          <w:shd w:val="clear" w:color="auto" w:fill="FFFFFF"/>
        </w:rPr>
        <w:t xml:space="preserve"> </w:t>
      </w:r>
      <w:r w:rsidRPr="00AC2BBA" w:rsidR="00AC2BBA">
        <w:rPr>
          <w:color w:val="212121"/>
          <w:shd w:val="clear" w:color="auto" w:fill="FFFFFF"/>
        </w:rPr>
        <w:t>unauthorized manner.</w:t>
      </w:r>
      <w:r w:rsidR="007B1F99">
        <w:rPr>
          <w:color w:val="212121"/>
          <w:shd w:val="clear" w:color="auto" w:fill="FFFFFF"/>
        </w:rPr>
        <w:t xml:space="preserve"> </w:t>
      </w:r>
      <w:r w:rsidRPr="00AC2BBA" w:rsidR="00AC2BBA">
        <w:rPr>
          <w:color w:val="212121"/>
          <w:shd w:val="clear" w:color="auto" w:fill="FFFFFF"/>
        </w:rPr>
        <w:t xml:space="preserve"> The court’s error in separating the convictions from their attendant enhancements, though unauthorized by law, does not make the total sentence illegal.  On remand the court may not impose a total sentence more severe than the sentence originally imposed.”</w:t>
      </w:r>
      <w:r w:rsidR="00AC2BBA">
        <w:rPr>
          <w:color w:val="212121"/>
          <w:shd w:val="clear" w:color="auto" w:fill="FFFFFF"/>
        </w:rPr>
        <w:t xml:space="preserve">  (</w:t>
      </w:r>
      <w:r w:rsidR="00AC2BBA">
        <w:rPr>
          <w:i/>
          <w:iCs/>
        </w:rPr>
        <w:t>Mustafaa</w:t>
      </w:r>
      <w:r w:rsidR="00AC2BBA">
        <w:t>, at pp. 1311–1312.)</w:t>
      </w:r>
    </w:p>
    <w:p w:rsidR="00DF3810" w:rsidP="00952363" w14:paraId="2BAA916A" w14:textId="0429670A">
      <w:pPr>
        <w:pStyle w:val="Text"/>
        <w:ind w:firstLine="0"/>
        <w:rPr>
          <w:color w:val="212121"/>
          <w:shd w:val="clear" w:color="auto" w:fill="FFFFFF"/>
        </w:rPr>
      </w:pPr>
      <w:r>
        <w:rPr>
          <w:color w:val="000000"/>
        </w:rPr>
        <w:tab/>
        <w:t xml:space="preserve">In </w:t>
      </w:r>
      <w:r>
        <w:rPr>
          <w:i/>
          <w:iCs/>
          <w:color w:val="000000"/>
        </w:rPr>
        <w:t>People v. Craig</w:t>
      </w:r>
      <w:r>
        <w:rPr>
          <w:color w:val="000000"/>
        </w:rPr>
        <w:t xml:space="preserve"> (1998) 66 Cal.App.4th 1444 (</w:t>
      </w:r>
      <w:r>
        <w:rPr>
          <w:i/>
          <w:iCs/>
          <w:color w:val="000000"/>
        </w:rPr>
        <w:t>Craig</w:t>
      </w:r>
      <w:r>
        <w:rPr>
          <w:color w:val="000000"/>
        </w:rPr>
        <w:t xml:space="preserve">), Division Four of this District </w:t>
      </w:r>
      <w:r w:rsidR="00857B98">
        <w:rPr>
          <w:color w:val="000000"/>
        </w:rPr>
        <w:t xml:space="preserve">found no </w:t>
      </w:r>
      <w:r w:rsidRPr="00EA5B1C" w:rsidR="00857B98">
        <w:rPr>
          <w:color w:val="000000"/>
        </w:rPr>
        <w:t>double jeopardy issue</w:t>
      </w:r>
      <w:r w:rsidRPr="00EA5B1C" w:rsidR="00EA5B1C">
        <w:rPr>
          <w:color w:val="000000"/>
        </w:rPr>
        <w:t xml:space="preserve"> where </w:t>
      </w:r>
      <w:r w:rsidRPr="00EA5B1C" w:rsidR="00EA5B1C">
        <w:rPr>
          <w:color w:val="212121"/>
          <w:shd w:val="clear" w:color="auto" w:fill="FFFFFF"/>
        </w:rPr>
        <w:t>the defendant</w:t>
      </w:r>
      <w:r w:rsidR="00EA5B1C">
        <w:rPr>
          <w:color w:val="212121"/>
          <w:shd w:val="clear" w:color="auto" w:fill="FFFFFF"/>
        </w:rPr>
        <w:t>—</w:t>
      </w:r>
      <w:r w:rsidRPr="00EA5B1C" w:rsidR="00EA5B1C">
        <w:rPr>
          <w:color w:val="212121"/>
          <w:shd w:val="clear" w:color="auto" w:fill="FFFFFF"/>
        </w:rPr>
        <w:t>who ha</w:t>
      </w:r>
      <w:r w:rsidR="009D69DF">
        <w:rPr>
          <w:color w:val="212121"/>
          <w:shd w:val="clear" w:color="auto" w:fill="FFFFFF"/>
        </w:rPr>
        <w:t>d</w:t>
      </w:r>
      <w:r w:rsidRPr="00EA5B1C" w:rsidR="00EA5B1C">
        <w:rPr>
          <w:color w:val="212121"/>
          <w:shd w:val="clear" w:color="auto" w:fill="FFFFFF"/>
        </w:rPr>
        <w:t xml:space="preserve"> successfully appealed from a prior conviction</w:t>
      </w:r>
      <w:r w:rsidR="00EA5B1C">
        <w:rPr>
          <w:color w:val="212121"/>
          <w:shd w:val="clear" w:color="auto" w:fill="FFFFFF"/>
        </w:rPr>
        <w:t>—</w:t>
      </w:r>
      <w:r w:rsidRPr="00EA5B1C" w:rsidR="00EA5B1C">
        <w:rPr>
          <w:color w:val="212121"/>
          <w:shd w:val="clear" w:color="auto" w:fill="FFFFFF"/>
        </w:rPr>
        <w:t xml:space="preserve">was sentenced after retrial to a greater term for the offense, but the aggregate term </w:t>
      </w:r>
      <w:r w:rsidR="00EA5B1C">
        <w:rPr>
          <w:color w:val="212121"/>
          <w:shd w:val="clear" w:color="auto" w:fill="FFFFFF"/>
        </w:rPr>
        <w:t xml:space="preserve">(which included enhancements) </w:t>
      </w:r>
      <w:r w:rsidRPr="00EA5B1C" w:rsidR="00EA5B1C">
        <w:rPr>
          <w:color w:val="212121"/>
          <w:shd w:val="clear" w:color="auto" w:fill="FFFFFF"/>
        </w:rPr>
        <w:t>did not exceed that</w:t>
      </w:r>
      <w:r w:rsidRPr="00EA5B1C" w:rsidR="00EA5B1C">
        <w:t xml:space="preserve"> </w:t>
      </w:r>
      <w:r w:rsidRPr="00EA5B1C" w:rsidR="00EA5B1C">
        <w:rPr>
          <w:color w:val="212121"/>
          <w:shd w:val="clear" w:color="auto" w:fill="FFFFFF"/>
        </w:rPr>
        <w:t>imposed at his initial sentencing.</w:t>
      </w:r>
      <w:r w:rsidR="00EA5B1C">
        <w:rPr>
          <w:color w:val="212121"/>
          <w:shd w:val="clear" w:color="auto" w:fill="FFFFFF"/>
        </w:rPr>
        <w:t xml:space="preserve">  (</w:t>
      </w:r>
      <w:r w:rsidR="00EA5B1C">
        <w:rPr>
          <w:i/>
          <w:iCs/>
          <w:color w:val="212121"/>
          <w:shd w:val="clear" w:color="auto" w:fill="FFFFFF"/>
        </w:rPr>
        <w:t xml:space="preserve">Id. </w:t>
      </w:r>
      <w:r w:rsidR="00EA5B1C">
        <w:rPr>
          <w:color w:val="212121"/>
          <w:shd w:val="clear" w:color="auto" w:fill="FFFFFF"/>
        </w:rPr>
        <w:t xml:space="preserve">at pp. 1446, </w:t>
      </w:r>
      <w:r w:rsidR="009673FC">
        <w:rPr>
          <w:color w:val="212121"/>
          <w:shd w:val="clear" w:color="auto" w:fill="FFFFFF"/>
        </w:rPr>
        <w:t>1448</w:t>
      </w:r>
      <w:r w:rsidR="00EA5B1C">
        <w:rPr>
          <w:color w:val="212121"/>
          <w:shd w:val="clear" w:color="auto" w:fill="FFFFFF"/>
        </w:rPr>
        <w:t>.)  At the initial sentencing, the defendant was sentenced to the mitigated term of two years for burglary along with five years for each of five prior serious felonies, for a total of 27 years.  On retrial, only three prior felonies were proved, and the defendant was sentenced to the midterm of four years on the burglary plus 15 years for the three enhancements, for a total of 19 years.  (</w:t>
      </w:r>
      <w:r w:rsidR="00EA5B1C">
        <w:rPr>
          <w:i/>
          <w:iCs/>
          <w:color w:val="212121"/>
          <w:shd w:val="clear" w:color="auto" w:fill="FFFFFF"/>
        </w:rPr>
        <w:t>Id.</w:t>
      </w:r>
      <w:r w:rsidR="00EA5B1C">
        <w:rPr>
          <w:color w:val="212121"/>
          <w:shd w:val="clear" w:color="auto" w:fill="FFFFFF"/>
        </w:rPr>
        <w:t xml:space="preserve"> at p. 1446</w:t>
      </w:r>
      <w:r w:rsidRPr="009D69DF" w:rsidR="00EA5B1C">
        <w:rPr>
          <w:color w:val="212121"/>
          <w:shd w:val="clear" w:color="auto" w:fill="FFFFFF"/>
        </w:rPr>
        <w:t>.)</w:t>
      </w:r>
      <w:r w:rsidRPr="009D69DF" w:rsidR="009D69DF">
        <w:rPr>
          <w:color w:val="212121"/>
          <w:shd w:val="clear" w:color="auto" w:fill="FFFFFF"/>
        </w:rPr>
        <w:t xml:space="preserve"> </w:t>
      </w:r>
      <w:r w:rsidR="007B1F99">
        <w:rPr>
          <w:color w:val="212121"/>
          <w:shd w:val="clear" w:color="auto" w:fill="FFFFFF"/>
        </w:rPr>
        <w:t xml:space="preserve"> </w:t>
      </w:r>
      <w:r w:rsidRPr="009D69DF" w:rsidR="009D69DF">
        <w:rPr>
          <w:color w:val="212121"/>
          <w:shd w:val="clear" w:color="auto" w:fill="FFFFFF"/>
        </w:rPr>
        <w:t>The defendant</w:t>
      </w:r>
      <w:r w:rsidRPr="009D69DF" w:rsidR="009D69DF">
        <w:t xml:space="preserve"> </w:t>
      </w:r>
      <w:r w:rsidRPr="009D69DF" w:rsidR="009D69DF">
        <w:rPr>
          <w:color w:val="212121"/>
          <w:shd w:val="clear" w:color="auto" w:fill="FFFFFF"/>
        </w:rPr>
        <w:t>contended in a second appeal that it was impermissible under the due process clause of our federal Constitution and under the double jeopardy provisions of our state Constitution for the trial court at the second sentencing to impose four years for the burglary when at the initial sentencing it had imposed only two years for that offense.</w:t>
      </w:r>
      <w:r w:rsidR="009D69DF">
        <w:rPr>
          <w:color w:val="212121"/>
          <w:shd w:val="clear" w:color="auto" w:fill="FFFFFF"/>
        </w:rPr>
        <w:t xml:space="preserve">  (</w:t>
      </w:r>
      <w:r w:rsidR="009D69DF">
        <w:rPr>
          <w:i/>
          <w:iCs/>
          <w:color w:val="212121"/>
          <w:shd w:val="clear" w:color="auto" w:fill="FFFFFF"/>
        </w:rPr>
        <w:t xml:space="preserve">Id. </w:t>
      </w:r>
      <w:r w:rsidR="009D69DF">
        <w:rPr>
          <w:color w:val="212121"/>
          <w:shd w:val="clear" w:color="auto" w:fill="FFFFFF"/>
        </w:rPr>
        <w:t>at p. 1447.)</w:t>
      </w:r>
      <w:r>
        <w:rPr>
          <w:color w:val="212121"/>
          <w:shd w:val="clear" w:color="auto" w:fill="FFFFFF"/>
        </w:rPr>
        <w:t xml:space="preserve">  </w:t>
      </w:r>
      <w:r w:rsidR="009D69DF">
        <w:rPr>
          <w:color w:val="212121"/>
          <w:shd w:val="clear" w:color="auto" w:fill="FFFFFF"/>
        </w:rPr>
        <w:t xml:space="preserve">The appellate court </w:t>
      </w:r>
      <w:r w:rsidRPr="009D69DF" w:rsidR="009D69DF">
        <w:rPr>
          <w:color w:val="212121"/>
          <w:shd w:val="clear" w:color="auto" w:fill="FFFFFF"/>
        </w:rPr>
        <w:t xml:space="preserve">noted that “one of the consistent concerns of our state </w:t>
      </w:r>
      <w:r w:rsidRPr="009673FC" w:rsidR="009D69DF">
        <w:rPr>
          <w:color w:val="212121"/>
          <w:shd w:val="clear" w:color="auto" w:fill="FFFFFF"/>
        </w:rPr>
        <w:t>courts in looking at double jeopardy issues in the context of a sentence imposed after a successful appeal has been the related due process concern of whether an increased punishment reflects a vindictive retaliation for defendant</w:t>
      </w:r>
      <w:r w:rsidR="00D27482">
        <w:rPr>
          <w:color w:val="212121"/>
          <w:shd w:val="clear" w:color="auto" w:fill="FFFFFF"/>
        </w:rPr>
        <w:t>’</w:t>
      </w:r>
      <w:r w:rsidRPr="009673FC" w:rsidR="009D69DF">
        <w:rPr>
          <w:color w:val="212121"/>
          <w:shd w:val="clear" w:color="auto" w:fill="FFFFFF"/>
        </w:rPr>
        <w:t>s having taken a successful appeal.”  (</w:t>
      </w:r>
      <w:r w:rsidR="00A730DD">
        <w:rPr>
          <w:i/>
          <w:iCs/>
          <w:color w:val="212121"/>
          <w:shd w:val="clear" w:color="auto" w:fill="FFFFFF"/>
        </w:rPr>
        <w:t>Ibid</w:t>
      </w:r>
      <w:r w:rsidRPr="009673FC" w:rsidR="009D69DF">
        <w:rPr>
          <w:color w:val="212121"/>
          <w:shd w:val="clear" w:color="auto" w:fill="FFFFFF"/>
        </w:rPr>
        <w:t>.)  It thus considered the defendant’s due process challenge within the double jeopardy framework.  (</w:t>
      </w:r>
      <w:r w:rsidRPr="009673FC" w:rsidR="009D69DF">
        <w:rPr>
          <w:i/>
          <w:iCs/>
          <w:color w:val="212121"/>
          <w:shd w:val="clear" w:color="auto" w:fill="FFFFFF"/>
        </w:rPr>
        <w:t>Ibid.</w:t>
      </w:r>
      <w:r w:rsidRPr="009673FC" w:rsidR="009D69DF">
        <w:rPr>
          <w:color w:val="212121"/>
          <w:shd w:val="clear" w:color="auto" w:fill="FFFFFF"/>
        </w:rPr>
        <w:t>)</w:t>
      </w:r>
      <w:r w:rsidRPr="009673FC" w:rsidR="009673FC">
        <w:rPr>
          <w:color w:val="212121"/>
          <w:shd w:val="clear" w:color="auto" w:fill="FFFFFF"/>
        </w:rPr>
        <w:t xml:space="preserve">  </w:t>
      </w:r>
    </w:p>
    <w:p w:rsidR="00802396" w:rsidRPr="00DA140F" w:rsidP="002D5EF0" w14:paraId="74C48AD6" w14:textId="066D5502">
      <w:pPr>
        <w:pStyle w:val="Text"/>
        <w:ind w:firstLine="0"/>
        <w:rPr>
          <w:rStyle w:val="ssrfcpassagedeactivated"/>
          <w:color w:val="212121"/>
          <w:bdr w:val="none" w:sz="0" w:space="0" w:color="auto" w:frame="1"/>
          <w:shd w:val="clear" w:color="auto" w:fill="FFFFFF"/>
        </w:rPr>
      </w:pPr>
      <w:r>
        <w:rPr>
          <w:color w:val="212121"/>
          <w:shd w:val="clear" w:color="auto" w:fill="FFFFFF"/>
        </w:rPr>
        <w:tab/>
      </w:r>
      <w:r w:rsidRPr="009673FC" w:rsidR="009673FC">
        <w:rPr>
          <w:color w:val="212121"/>
          <w:shd w:val="clear" w:color="auto" w:fill="FFFFFF"/>
        </w:rPr>
        <w:t xml:space="preserve">After a survey of relevant precedent, the court concluded that, under double jeopardy principles, a defendant may not upon reconviction be subjected to an </w:t>
      </w:r>
      <w:r w:rsidRPr="009673FC" w:rsidR="009673FC">
        <w:rPr>
          <w:i/>
          <w:iCs/>
          <w:color w:val="212121"/>
          <w:shd w:val="clear" w:color="auto" w:fill="FFFFFF"/>
        </w:rPr>
        <w:t>aggregate sentence</w:t>
      </w:r>
      <w:r w:rsidRPr="009673FC" w:rsidR="009673FC">
        <w:rPr>
          <w:color w:val="212121"/>
          <w:shd w:val="clear" w:color="auto" w:fill="FFFFFF"/>
        </w:rPr>
        <w:t xml:space="preserve"> greater than that imposed at the first trial.</w:t>
      </w:r>
      <w:r w:rsidR="009673FC">
        <w:rPr>
          <w:color w:val="212121"/>
          <w:shd w:val="clear" w:color="auto" w:fill="FFFFFF"/>
        </w:rPr>
        <w:t xml:space="preserve">  Since</w:t>
      </w:r>
      <w:r w:rsidR="00A730DD">
        <w:rPr>
          <w:color w:val="212121"/>
          <w:shd w:val="clear" w:color="auto" w:fill="FFFFFF"/>
        </w:rPr>
        <w:t xml:space="preserve"> </w:t>
      </w:r>
      <w:r w:rsidR="009673FC">
        <w:rPr>
          <w:color w:val="212121"/>
          <w:shd w:val="clear" w:color="auto" w:fill="FFFFFF"/>
        </w:rPr>
        <w:t>the defendant’s sentence had been reduced from 27 years to 19 years, no double jeopardy issue was found.  (</w:t>
      </w:r>
      <w:r w:rsidR="00A730DD">
        <w:rPr>
          <w:i/>
          <w:iCs/>
          <w:color w:val="212121"/>
          <w:shd w:val="clear" w:color="auto" w:fill="FFFFFF"/>
        </w:rPr>
        <w:t>Craig</w:t>
      </w:r>
      <w:r w:rsidR="00A730DD">
        <w:rPr>
          <w:color w:val="212121"/>
          <w:shd w:val="clear" w:color="auto" w:fill="FFFFFF"/>
        </w:rPr>
        <w:t xml:space="preserve">, </w:t>
      </w:r>
      <w:r w:rsidR="00A730DD">
        <w:rPr>
          <w:i/>
          <w:iCs/>
          <w:color w:val="212121"/>
          <w:shd w:val="clear" w:color="auto" w:fill="FFFFFF"/>
        </w:rPr>
        <w:t>supra</w:t>
      </w:r>
      <w:r w:rsidR="00A730DD">
        <w:rPr>
          <w:color w:val="212121"/>
          <w:shd w:val="clear" w:color="auto" w:fill="FFFFFF"/>
        </w:rPr>
        <w:t>, 66 Cal.App.4th</w:t>
      </w:r>
      <w:r w:rsidR="009673FC">
        <w:rPr>
          <w:color w:val="212121"/>
          <w:shd w:val="clear" w:color="auto" w:fill="FFFFFF"/>
        </w:rPr>
        <w:t xml:space="preserve"> at pp.</w:t>
      </w:r>
      <w:r w:rsidR="00DF62FC">
        <w:rPr>
          <w:color w:val="212121"/>
          <w:shd w:val="clear" w:color="auto" w:fill="FFFFFF"/>
        </w:rPr>
        <w:t> </w:t>
      </w:r>
      <w:r w:rsidR="009673FC">
        <w:rPr>
          <w:color w:val="212121"/>
          <w:shd w:val="clear" w:color="auto" w:fill="FFFFFF"/>
        </w:rPr>
        <w:t xml:space="preserve">1447–1448.)  </w:t>
      </w:r>
      <w:r w:rsidRPr="00DF3810" w:rsidR="009673FC">
        <w:rPr>
          <w:color w:val="212121"/>
          <w:shd w:val="clear" w:color="auto" w:fill="FFFFFF"/>
        </w:rPr>
        <w:t xml:space="preserve">In making this determination, the court </w:t>
      </w:r>
      <w:r w:rsidRPr="00DF3810">
        <w:rPr>
          <w:color w:val="212121"/>
          <w:shd w:val="clear" w:color="auto" w:fill="FFFFFF"/>
        </w:rPr>
        <w:t xml:space="preserve">distinguished </w:t>
      </w:r>
      <w:r w:rsidRPr="00DF3810">
        <w:rPr>
          <w:i/>
          <w:iCs/>
          <w:color w:val="212121"/>
          <w:shd w:val="clear" w:color="auto" w:fill="FFFFFF"/>
        </w:rPr>
        <w:t>Price</w:t>
      </w:r>
      <w:r w:rsidR="00DF62FC">
        <w:rPr>
          <w:color w:val="212121"/>
          <w:shd w:val="clear" w:color="auto" w:fill="FFFFFF"/>
        </w:rPr>
        <w:t>—</w:t>
      </w:r>
      <w:r w:rsidRPr="00DF3810">
        <w:rPr>
          <w:color w:val="212121"/>
          <w:shd w:val="clear" w:color="auto" w:fill="FFFFFF"/>
        </w:rPr>
        <w:t xml:space="preserve">which the defendant argued supported his contention that his sentence should </w:t>
      </w:r>
      <w:r w:rsidRPr="006F2543">
        <w:rPr>
          <w:color w:val="212121"/>
          <w:shd w:val="clear" w:color="auto" w:fill="FFFFFF"/>
        </w:rPr>
        <w:t>be viewed as a series of components for double jeopardy purposes</w:t>
      </w:r>
      <w:r w:rsidR="00DF62FC">
        <w:rPr>
          <w:color w:val="212121"/>
          <w:shd w:val="clear" w:color="auto" w:fill="FFFFFF"/>
        </w:rPr>
        <w:t>—</w:t>
      </w:r>
      <w:r w:rsidRPr="006F2543">
        <w:rPr>
          <w:color w:val="212121"/>
          <w:shd w:val="clear" w:color="auto" w:fill="FFFFFF"/>
        </w:rPr>
        <w:t xml:space="preserve">because </w:t>
      </w:r>
      <w:r w:rsidRPr="006F2543">
        <w:rPr>
          <w:i/>
          <w:iCs/>
          <w:color w:val="212121"/>
          <w:shd w:val="clear" w:color="auto" w:fill="FFFFFF"/>
        </w:rPr>
        <w:t xml:space="preserve">Price </w:t>
      </w:r>
      <w:r w:rsidRPr="006F2543">
        <w:rPr>
          <w:color w:val="212121"/>
          <w:shd w:val="clear" w:color="auto" w:fill="FFFFFF"/>
        </w:rPr>
        <w:t xml:space="preserve">held that it was impermissible to increase on remand a </w:t>
      </w:r>
      <w:r w:rsidRPr="006F2543">
        <w:rPr>
          <w:rStyle w:val="ssrfcpassagedeactivated"/>
          <w:color w:val="212121"/>
          <w:bdr w:val="none" w:sz="0" w:space="0" w:color="auto" w:frame="1"/>
          <w:shd w:val="clear" w:color="auto" w:fill="FFFFFF"/>
        </w:rPr>
        <w:t xml:space="preserve">robbery term that had neither been attacked on appeal nor criticized in its earlier opinion as unlawful.  </w:t>
      </w:r>
      <w:r>
        <w:rPr>
          <w:rStyle w:val="ssrfcpassagedeactivated"/>
          <w:color w:val="212121"/>
          <w:bdr w:val="none" w:sz="0" w:space="0" w:color="auto" w:frame="1"/>
          <w:shd w:val="clear" w:color="auto" w:fill="FFFFFF"/>
        </w:rPr>
        <w:t xml:space="preserve">In the court’s view, </w:t>
      </w:r>
      <w:r>
        <w:rPr>
          <w:rStyle w:val="ssrfcpassagedeactivated"/>
          <w:i/>
          <w:iCs/>
          <w:color w:val="212121"/>
          <w:bdr w:val="none" w:sz="0" w:space="0" w:color="auto" w:frame="1"/>
          <w:shd w:val="clear" w:color="auto" w:fill="FFFFFF"/>
        </w:rPr>
        <w:t xml:space="preserve">Price </w:t>
      </w:r>
      <w:r>
        <w:rPr>
          <w:rStyle w:val="ssrfcpassagedeactivated"/>
          <w:color w:val="212121"/>
          <w:bdr w:val="none" w:sz="0" w:space="0" w:color="auto" w:frame="1"/>
          <w:shd w:val="clear" w:color="auto" w:fill="FFFFFF"/>
        </w:rPr>
        <w:t xml:space="preserve">was inapplicable because the case as a whole fell within the </w:t>
      </w:r>
      <w:r>
        <w:rPr>
          <w:rStyle w:val="ssrfcpassagedeactivated"/>
          <w:i/>
          <w:iCs/>
          <w:color w:val="212121"/>
          <w:bdr w:val="none" w:sz="0" w:space="0" w:color="auto" w:frame="1"/>
          <w:shd w:val="clear" w:color="auto" w:fill="FFFFFF"/>
        </w:rPr>
        <w:t>Serrato</w:t>
      </w:r>
      <w:r>
        <w:rPr>
          <w:rStyle w:val="ssrfcpassagedeactivated"/>
          <w:color w:val="212121"/>
          <w:bdr w:val="none" w:sz="0" w:space="0" w:color="auto" w:frame="1"/>
          <w:shd w:val="clear" w:color="auto" w:fill="FFFFFF"/>
        </w:rPr>
        <w:t xml:space="preserve"> exception for unauthorized or unlawful sentences.</w:t>
      </w:r>
      <w:r>
        <w:rPr>
          <w:rStyle w:val="FootnoteReference"/>
          <w:color w:val="212121"/>
          <w:bdr w:val="none" w:sz="0" w:space="0" w:color="auto" w:frame="1"/>
          <w:shd w:val="clear" w:color="auto" w:fill="FFFFFF"/>
        </w:rPr>
        <w:footnoteReference w:id="7"/>
      </w:r>
      <w:r>
        <w:rPr>
          <w:rStyle w:val="ssrfcpassagedeactivated"/>
          <w:color w:val="212121"/>
          <w:bdr w:val="none" w:sz="0" w:space="0" w:color="auto" w:frame="1"/>
          <w:shd w:val="clear" w:color="auto" w:fill="FFFFFF"/>
        </w:rPr>
        <w:t xml:space="preserve">  </w:t>
      </w:r>
      <w:r w:rsidRPr="006F2543">
        <w:rPr>
          <w:rStyle w:val="ssrfcpassagedeactivated"/>
          <w:color w:val="212121"/>
          <w:bdr w:val="none" w:sz="0" w:space="0" w:color="auto" w:frame="1"/>
          <w:shd w:val="clear" w:color="auto" w:fill="FFFFFF"/>
        </w:rPr>
        <w:t>(</w:t>
      </w:r>
      <w:r w:rsidRPr="006F2543">
        <w:rPr>
          <w:rStyle w:val="ssrfcpassagedeactivated"/>
          <w:i/>
          <w:iCs/>
          <w:color w:val="212121"/>
          <w:bdr w:val="none" w:sz="0" w:space="0" w:color="auto" w:frame="1"/>
          <w:shd w:val="clear" w:color="auto" w:fill="FFFFFF"/>
        </w:rPr>
        <w:t>Craig</w:t>
      </w:r>
      <w:r w:rsidRPr="006F2543">
        <w:rPr>
          <w:rStyle w:val="ssrfcpassagedeactivated"/>
          <w:color w:val="212121"/>
          <w:bdr w:val="none" w:sz="0" w:space="0" w:color="auto" w:frame="1"/>
          <w:shd w:val="clear" w:color="auto" w:fill="FFFFFF"/>
        </w:rPr>
        <w:t>, at p. 1450</w:t>
      </w:r>
      <w:r>
        <w:rPr>
          <w:rStyle w:val="ssrfcpassagedeactivated"/>
          <w:color w:val="212121"/>
          <w:bdr w:val="none" w:sz="0" w:space="0" w:color="auto" w:frame="1"/>
          <w:shd w:val="clear" w:color="auto" w:fill="FFFFFF"/>
        </w:rPr>
        <w:t xml:space="preserve">; see also </w:t>
      </w:r>
      <w:r>
        <w:rPr>
          <w:rStyle w:val="ssrfcpassagedeactivated"/>
          <w:i/>
          <w:iCs/>
          <w:color w:val="212121"/>
          <w:bdr w:val="none" w:sz="0" w:space="0" w:color="auto" w:frame="1"/>
          <w:shd w:val="clear" w:color="auto" w:fill="FFFFFF"/>
        </w:rPr>
        <w:t>People v. Burbine</w:t>
      </w:r>
      <w:r>
        <w:rPr>
          <w:rStyle w:val="ssrfcpassagedeactivated"/>
          <w:color w:val="212121"/>
          <w:bdr w:val="none" w:sz="0" w:space="0" w:color="auto" w:frame="1"/>
          <w:shd w:val="clear" w:color="auto" w:fill="FFFFFF"/>
        </w:rPr>
        <w:t xml:space="preserve"> (2003) 106 Cal.App.4th</w:t>
      </w:r>
      <w:r>
        <w:rPr>
          <w:rStyle w:val="ssrfcpassagedeactivated"/>
          <w:i/>
          <w:iCs/>
          <w:color w:val="212121"/>
          <w:bdr w:val="none" w:sz="0" w:space="0" w:color="auto" w:frame="1"/>
          <w:shd w:val="clear" w:color="auto" w:fill="FFFFFF"/>
        </w:rPr>
        <w:t xml:space="preserve"> </w:t>
      </w:r>
      <w:r w:rsidRPr="00DA140F">
        <w:rPr>
          <w:rStyle w:val="ssrfcpassagedeactivated"/>
          <w:color w:val="212121"/>
          <w:bdr w:val="none" w:sz="0" w:space="0" w:color="auto" w:frame="1"/>
          <w:shd w:val="clear" w:color="auto" w:fill="FFFFFF"/>
        </w:rPr>
        <w:t xml:space="preserve">1250 [citing </w:t>
      </w:r>
      <w:r w:rsidRPr="00DA140F">
        <w:rPr>
          <w:rStyle w:val="ssrfcpassagedeactivated"/>
          <w:i/>
          <w:iCs/>
          <w:color w:val="212121"/>
          <w:bdr w:val="none" w:sz="0" w:space="0" w:color="auto" w:frame="1"/>
          <w:shd w:val="clear" w:color="auto" w:fill="FFFFFF"/>
        </w:rPr>
        <w:t>Craig</w:t>
      </w:r>
      <w:r w:rsidRPr="00DA140F">
        <w:rPr>
          <w:rStyle w:val="ssrfcpassagedeactivated"/>
          <w:color w:val="212121"/>
          <w:bdr w:val="none" w:sz="0" w:space="0" w:color="auto" w:frame="1"/>
          <w:shd w:val="clear" w:color="auto" w:fill="FFFFFF"/>
        </w:rPr>
        <w:t xml:space="preserve"> in holding </w:t>
      </w:r>
      <w:r w:rsidR="00DA140F">
        <w:rPr>
          <w:rStyle w:val="ssrfcpassagedeactivated"/>
          <w:color w:val="212121"/>
          <w:bdr w:val="none" w:sz="0" w:space="0" w:color="auto" w:frame="1"/>
          <w:shd w:val="clear" w:color="auto" w:fill="FFFFFF"/>
        </w:rPr>
        <w:t xml:space="preserve">that </w:t>
      </w:r>
      <w:r w:rsidR="006A50A2">
        <w:rPr>
          <w:rStyle w:val="ssrfcpassagedeactivated"/>
          <w:color w:val="212121"/>
          <w:bdr w:val="none" w:sz="0" w:space="0" w:color="auto" w:frame="1"/>
          <w:shd w:val="clear" w:color="auto" w:fill="FFFFFF"/>
        </w:rPr>
        <w:t xml:space="preserve">a </w:t>
      </w:r>
      <w:r w:rsidRPr="00DA140F" w:rsidR="00DA140F">
        <w:rPr>
          <w:color w:val="212121"/>
          <w:shd w:val="clear" w:color="auto" w:fill="FFFFFF"/>
        </w:rPr>
        <w:t>defendant can receive the same aggregate prison term upon resentencing for a multi-victim felony conviction even where one count was reversed on appeal; any sentence permitted under the applicable statutes and rules may be imposed on remand, subject only to the limitation that the original aggregate prison term could not be increased]</w:t>
      </w:r>
      <w:r w:rsidRPr="00DA140F">
        <w:rPr>
          <w:rStyle w:val="ssrfcpassagedeactivated"/>
          <w:color w:val="212121"/>
          <w:bdr w:val="none" w:sz="0" w:space="0" w:color="auto" w:frame="1"/>
          <w:shd w:val="clear" w:color="auto" w:fill="FFFFFF"/>
        </w:rPr>
        <w:t xml:space="preserve">.)  </w:t>
      </w:r>
      <w:r w:rsidRPr="00DA140F" w:rsidR="002D5EF0">
        <w:rPr>
          <w:rStyle w:val="ssrfcpassagedeactivated"/>
          <w:color w:val="212121"/>
          <w:bdr w:val="none" w:sz="0" w:space="0" w:color="auto" w:frame="1"/>
          <w:shd w:val="clear" w:color="auto" w:fill="FFFFFF"/>
        </w:rPr>
        <w:t xml:space="preserve"> </w:t>
      </w:r>
    </w:p>
    <w:p w:rsidR="007D7737" w:rsidP="007D7737" w14:paraId="2145303B" w14:textId="6B429637">
      <w:pPr>
        <w:pStyle w:val="Text"/>
        <w:ind w:firstLine="0"/>
        <w:rPr>
          <w:rStyle w:val="ssrfcpassagedeactivated"/>
          <w:color w:val="212121"/>
          <w:bdr w:val="none" w:sz="0" w:space="0" w:color="auto" w:frame="1"/>
          <w:shd w:val="clear" w:color="auto" w:fill="FFFFFF"/>
        </w:rPr>
      </w:pPr>
      <w:r>
        <w:rPr>
          <w:rStyle w:val="ssrfcpassagedeactivated"/>
          <w:color w:val="212121"/>
          <w:bdr w:val="none" w:sz="0" w:space="0" w:color="auto" w:frame="1"/>
          <w:shd w:val="clear" w:color="auto" w:fill="FFFFFF"/>
        </w:rPr>
        <w:tab/>
        <w:t xml:space="preserve">A final example is found in </w:t>
      </w:r>
      <w:r>
        <w:rPr>
          <w:rStyle w:val="ssrfcpassagedeactivated"/>
          <w:i/>
          <w:iCs/>
          <w:color w:val="212121"/>
          <w:bdr w:val="none" w:sz="0" w:space="0" w:color="auto" w:frame="1"/>
          <w:shd w:val="clear" w:color="auto" w:fill="FFFFFF"/>
        </w:rPr>
        <w:t>People v. Torres</w:t>
      </w:r>
      <w:r>
        <w:rPr>
          <w:rStyle w:val="ssrfcpassagedeactivated"/>
          <w:color w:val="212121"/>
          <w:bdr w:val="none" w:sz="0" w:space="0" w:color="auto" w:frame="1"/>
          <w:shd w:val="clear" w:color="auto" w:fill="FFFFFF"/>
        </w:rPr>
        <w:t xml:space="preserve"> (2008) 163 Cal.App.4th 14</w:t>
      </w:r>
      <w:r w:rsidR="0074339A">
        <w:rPr>
          <w:rStyle w:val="ssrfcpassagedeactivated"/>
          <w:color w:val="212121"/>
          <w:bdr w:val="none" w:sz="0" w:space="0" w:color="auto" w:frame="1"/>
          <w:shd w:val="clear" w:color="auto" w:fill="FFFFFF"/>
        </w:rPr>
        <w:t>20</w:t>
      </w:r>
      <w:r>
        <w:rPr>
          <w:rStyle w:val="ssrfcpassagedeactivated"/>
          <w:color w:val="212121"/>
          <w:bdr w:val="none" w:sz="0" w:space="0" w:color="auto" w:frame="1"/>
          <w:shd w:val="clear" w:color="auto" w:fill="FFFFFF"/>
        </w:rPr>
        <w:t xml:space="preserve"> </w:t>
      </w:r>
      <w:r w:rsidR="00321E18">
        <w:rPr>
          <w:rStyle w:val="ssrfcpassagedeactivated"/>
          <w:color w:val="212121"/>
          <w:bdr w:val="none" w:sz="0" w:space="0" w:color="auto" w:frame="1"/>
          <w:shd w:val="clear" w:color="auto" w:fill="FFFFFF"/>
        </w:rPr>
        <w:t>(</w:t>
      </w:r>
      <w:r w:rsidR="00321E18">
        <w:rPr>
          <w:rStyle w:val="ssrfcpassagedeactivated"/>
          <w:i/>
          <w:iCs/>
          <w:color w:val="212121"/>
          <w:bdr w:val="none" w:sz="0" w:space="0" w:color="auto" w:frame="1"/>
          <w:shd w:val="clear" w:color="auto" w:fill="FFFFFF"/>
        </w:rPr>
        <w:t>Torres</w:t>
      </w:r>
      <w:r w:rsidR="00321E18">
        <w:rPr>
          <w:rStyle w:val="ssrfcpassagedeactivated"/>
          <w:color w:val="212121"/>
          <w:bdr w:val="none" w:sz="0" w:space="0" w:color="auto" w:frame="1"/>
          <w:shd w:val="clear" w:color="auto" w:fill="FFFFFF"/>
        </w:rPr>
        <w:t>) where the defendant was convicted of one count of attempting to dissuade a witness and one count of criminal threats, both with an attached gang enhancement.  At sentencing</w:t>
      </w:r>
      <w:r w:rsidR="00CC4271">
        <w:rPr>
          <w:rStyle w:val="ssrfcpassagedeactivated"/>
          <w:color w:val="212121"/>
          <w:bdr w:val="none" w:sz="0" w:space="0" w:color="auto" w:frame="1"/>
          <w:shd w:val="clear" w:color="auto" w:fill="FFFFFF"/>
        </w:rPr>
        <w:t>,</w:t>
      </w:r>
      <w:r w:rsidR="00321E18">
        <w:rPr>
          <w:rStyle w:val="ssrfcpassagedeactivated"/>
          <w:color w:val="212121"/>
          <w:bdr w:val="none" w:sz="0" w:space="0" w:color="auto" w:frame="1"/>
          <w:shd w:val="clear" w:color="auto" w:fill="FFFFFF"/>
        </w:rPr>
        <w:t xml:space="preserve"> the court struck the gang enhancements</w:t>
      </w:r>
      <w:r w:rsidR="007C2AE6">
        <w:rPr>
          <w:rStyle w:val="ssrfcpassagedeactivated"/>
          <w:color w:val="212121"/>
          <w:bdr w:val="none" w:sz="0" w:space="0" w:color="auto" w:frame="1"/>
          <w:shd w:val="clear" w:color="auto" w:fill="FFFFFF"/>
        </w:rPr>
        <w:t xml:space="preserve">, </w:t>
      </w:r>
      <w:r w:rsidR="00321E18">
        <w:rPr>
          <w:rStyle w:val="ssrfcpassagedeactivated"/>
          <w:color w:val="212121"/>
          <w:bdr w:val="none" w:sz="0" w:space="0" w:color="auto" w:frame="1"/>
          <w:shd w:val="clear" w:color="auto" w:fill="FFFFFF"/>
        </w:rPr>
        <w:t>imposed the aggravated term of seven years on the criminal threat</w:t>
      </w:r>
      <w:r w:rsidR="007C2AE6">
        <w:rPr>
          <w:rStyle w:val="ssrfcpassagedeactivated"/>
          <w:color w:val="212121"/>
          <w:bdr w:val="none" w:sz="0" w:space="0" w:color="auto" w:frame="1"/>
          <w:shd w:val="clear" w:color="auto" w:fill="FFFFFF"/>
        </w:rPr>
        <w:t xml:space="preserve"> count, and imposed but stayed the mid-term on </w:t>
      </w:r>
      <w:r w:rsidR="000028E2">
        <w:rPr>
          <w:rStyle w:val="ssrfcpassagedeactivated"/>
          <w:color w:val="212121"/>
          <w:bdr w:val="none" w:sz="0" w:space="0" w:color="auto" w:frame="1"/>
          <w:shd w:val="clear" w:color="auto" w:fill="FFFFFF"/>
        </w:rPr>
        <w:t xml:space="preserve">the other </w:t>
      </w:r>
      <w:r w:rsidR="007C2AE6">
        <w:rPr>
          <w:rStyle w:val="ssrfcpassagedeactivated"/>
          <w:color w:val="212121"/>
          <w:bdr w:val="none" w:sz="0" w:space="0" w:color="auto" w:frame="1"/>
          <w:shd w:val="clear" w:color="auto" w:fill="FFFFFF"/>
        </w:rPr>
        <w:t>coun</w:t>
      </w:r>
      <w:r w:rsidR="000028E2">
        <w:rPr>
          <w:rStyle w:val="ssrfcpassagedeactivated"/>
          <w:color w:val="212121"/>
          <w:bdr w:val="none" w:sz="0" w:space="0" w:color="auto" w:frame="1"/>
          <w:shd w:val="clear" w:color="auto" w:fill="FFFFFF"/>
        </w:rPr>
        <w:t>t</w:t>
      </w:r>
      <w:r w:rsidR="00321E18">
        <w:rPr>
          <w:rStyle w:val="ssrfcpassagedeactivated"/>
          <w:color w:val="212121"/>
          <w:bdr w:val="none" w:sz="0" w:space="0" w:color="auto" w:frame="1"/>
          <w:shd w:val="clear" w:color="auto" w:fill="FFFFFF"/>
        </w:rPr>
        <w:t>.  (</w:t>
      </w:r>
      <w:r w:rsidR="00321E18">
        <w:rPr>
          <w:rStyle w:val="ssrfcpassagedeactivated"/>
          <w:i/>
          <w:iCs/>
          <w:color w:val="212121"/>
          <w:bdr w:val="none" w:sz="0" w:space="0" w:color="auto" w:frame="1"/>
          <w:shd w:val="clear" w:color="auto" w:fill="FFFFFF"/>
        </w:rPr>
        <w:t>Id.</w:t>
      </w:r>
      <w:r w:rsidR="00321E18">
        <w:rPr>
          <w:rStyle w:val="ssrfcpassagedeactivated"/>
          <w:color w:val="212121"/>
          <w:bdr w:val="none" w:sz="0" w:space="0" w:color="auto" w:frame="1"/>
          <w:shd w:val="clear" w:color="auto" w:fill="FFFFFF"/>
        </w:rPr>
        <w:t xml:space="preserve"> at </w:t>
      </w:r>
      <w:r w:rsidR="002043DE">
        <w:rPr>
          <w:rStyle w:val="ssrfcpassagedeactivated"/>
          <w:color w:val="212121"/>
          <w:bdr w:val="none" w:sz="0" w:space="0" w:color="auto" w:frame="1"/>
          <w:shd w:val="clear" w:color="auto" w:fill="FFFFFF"/>
        </w:rPr>
        <w:t>p</w:t>
      </w:r>
      <w:r w:rsidR="00321E18">
        <w:rPr>
          <w:rStyle w:val="ssrfcpassagedeactivated"/>
          <w:color w:val="212121"/>
          <w:bdr w:val="none" w:sz="0" w:space="0" w:color="auto" w:frame="1"/>
          <w:shd w:val="clear" w:color="auto" w:fill="FFFFFF"/>
        </w:rPr>
        <w:t>p. 1421</w:t>
      </w:r>
      <w:r w:rsidR="009A04E5">
        <w:rPr>
          <w:rStyle w:val="ssrfcpassagedeactivated"/>
          <w:color w:val="212121"/>
          <w:bdr w:val="none" w:sz="0" w:space="0" w:color="auto" w:frame="1"/>
          <w:shd w:val="clear" w:color="auto" w:fill="FFFFFF"/>
        </w:rPr>
        <w:t>,</w:t>
      </w:r>
      <w:r w:rsidR="002043DE">
        <w:rPr>
          <w:rStyle w:val="ssrfcpassagedeactivated"/>
          <w:color w:val="212121"/>
          <w:bdr w:val="none" w:sz="0" w:space="0" w:color="auto" w:frame="1"/>
          <w:shd w:val="clear" w:color="auto" w:fill="FFFFFF"/>
        </w:rPr>
        <w:t xml:space="preserve"> 1427</w:t>
      </w:r>
      <w:r w:rsidR="00321E18">
        <w:rPr>
          <w:rStyle w:val="ssrfcpassagedeactivated"/>
          <w:color w:val="212121"/>
          <w:bdr w:val="none" w:sz="0" w:space="0" w:color="auto" w:frame="1"/>
          <w:shd w:val="clear" w:color="auto" w:fill="FFFFFF"/>
        </w:rPr>
        <w:t>.)</w:t>
      </w:r>
      <w:r>
        <w:rPr>
          <w:rStyle w:val="ssrfcpassagedeactivated"/>
          <w:color w:val="212121"/>
          <w:bdr w:val="none" w:sz="0" w:space="0" w:color="auto" w:frame="1"/>
          <w:shd w:val="clear" w:color="auto" w:fill="FFFFFF"/>
        </w:rPr>
        <w:t xml:space="preserve">  </w:t>
      </w:r>
      <w:r w:rsidR="000028E2">
        <w:rPr>
          <w:rStyle w:val="ssrfcpassagedeactivated"/>
          <w:color w:val="212121"/>
          <w:bdr w:val="none" w:sz="0" w:space="0" w:color="auto" w:frame="1"/>
          <w:shd w:val="clear" w:color="auto" w:fill="FFFFFF"/>
        </w:rPr>
        <w:t xml:space="preserve">More than a </w:t>
      </w:r>
      <w:r w:rsidR="009A04E5">
        <w:rPr>
          <w:rStyle w:val="ssrfcpassagedeactivated"/>
          <w:color w:val="212121"/>
          <w:bdr w:val="none" w:sz="0" w:space="0" w:color="auto" w:frame="1"/>
          <w:shd w:val="clear" w:color="auto" w:fill="FFFFFF"/>
        </w:rPr>
        <w:t xml:space="preserve">year later, the Department of Corrections sent a letter to the </w:t>
      </w:r>
      <w:r w:rsidR="00CC4271">
        <w:rPr>
          <w:rStyle w:val="ssrfcpassagedeactivated"/>
          <w:color w:val="212121"/>
          <w:bdr w:val="none" w:sz="0" w:space="0" w:color="auto" w:frame="1"/>
          <w:shd w:val="clear" w:color="auto" w:fill="FFFFFF"/>
        </w:rPr>
        <w:t>trial</w:t>
      </w:r>
      <w:r w:rsidR="009A04E5">
        <w:rPr>
          <w:rStyle w:val="ssrfcpassagedeactivated"/>
          <w:color w:val="212121"/>
          <w:bdr w:val="none" w:sz="0" w:space="0" w:color="auto" w:frame="1"/>
          <w:shd w:val="clear" w:color="auto" w:fill="FFFFFF"/>
        </w:rPr>
        <w:t xml:space="preserve"> court informing it that the sentencing triad for the criminal threats count was 16 months, two years, or three years.  (</w:t>
      </w:r>
      <w:r w:rsidR="009A04E5">
        <w:rPr>
          <w:rStyle w:val="ssrfcpassagedeactivated"/>
          <w:i/>
          <w:iCs/>
          <w:color w:val="212121"/>
          <w:bdr w:val="none" w:sz="0" w:space="0" w:color="auto" w:frame="1"/>
          <w:shd w:val="clear" w:color="auto" w:fill="FFFFFF"/>
        </w:rPr>
        <w:t>Id.</w:t>
      </w:r>
      <w:r w:rsidR="009A04E5">
        <w:rPr>
          <w:rStyle w:val="ssrfcpassagedeactivated"/>
          <w:color w:val="212121"/>
          <w:bdr w:val="none" w:sz="0" w:space="0" w:color="auto" w:frame="1"/>
          <w:shd w:val="clear" w:color="auto" w:fill="FFFFFF"/>
        </w:rPr>
        <w:t xml:space="preserve"> at p.</w:t>
      </w:r>
      <w:r w:rsidR="004F298E">
        <w:rPr>
          <w:rStyle w:val="ssrfcpassagedeactivated"/>
          <w:color w:val="212121"/>
          <w:bdr w:val="none" w:sz="0" w:space="0" w:color="auto" w:frame="1"/>
          <w:shd w:val="clear" w:color="auto" w:fill="FFFFFF"/>
        </w:rPr>
        <w:t> </w:t>
      </w:r>
      <w:r w:rsidR="009A04E5">
        <w:rPr>
          <w:rStyle w:val="ssrfcpassagedeactivated"/>
          <w:color w:val="212121"/>
          <w:bdr w:val="none" w:sz="0" w:space="0" w:color="auto" w:frame="1"/>
          <w:shd w:val="clear" w:color="auto" w:fill="FFFFFF"/>
        </w:rPr>
        <w:t>1427.)  Thus, the court’s seven-year sentence was unauthorized.  At the resentencing, the trial court declined to stay the gang allegations.  It sentenced the defendant to an indeterminate term of seven years to life on the criminal threats count.  The court imposed and stayed a seven-year term with respect to the other count.  (</w:t>
      </w:r>
      <w:r w:rsidR="009A04E5">
        <w:rPr>
          <w:rStyle w:val="ssrfcpassagedeactivated"/>
          <w:i/>
          <w:iCs/>
          <w:color w:val="212121"/>
          <w:bdr w:val="none" w:sz="0" w:space="0" w:color="auto" w:frame="1"/>
          <w:shd w:val="clear" w:color="auto" w:fill="FFFFFF"/>
        </w:rPr>
        <w:t>Id.</w:t>
      </w:r>
      <w:r w:rsidR="009A04E5">
        <w:rPr>
          <w:rStyle w:val="ssrfcpassagedeactivated"/>
          <w:color w:val="212121"/>
          <w:bdr w:val="none" w:sz="0" w:space="0" w:color="auto" w:frame="1"/>
          <w:shd w:val="clear" w:color="auto" w:fill="FFFFFF"/>
        </w:rPr>
        <w:t xml:space="preserve"> at p. 1428.)</w:t>
      </w:r>
    </w:p>
    <w:p w:rsidR="007D7737" w:rsidP="007D7737" w14:paraId="30D02AF2" w14:textId="2B62E4E0">
      <w:pPr>
        <w:pStyle w:val="Text"/>
        <w:ind w:firstLine="0"/>
        <w:rPr>
          <w:rFonts w:eastAsia="Times New Roman"/>
          <w:color w:val="212121"/>
        </w:rPr>
      </w:pPr>
      <w:r>
        <w:rPr>
          <w:rStyle w:val="ssrfcpassagedeactivated"/>
          <w:color w:val="212121"/>
          <w:bdr w:val="none" w:sz="0" w:space="0" w:color="auto" w:frame="1"/>
          <w:shd w:val="clear" w:color="auto" w:fill="FFFFFF"/>
        </w:rPr>
        <w:tab/>
      </w:r>
      <w:r w:rsidR="00CC4271">
        <w:rPr>
          <w:rStyle w:val="ssrfcpassagedeactivated"/>
          <w:color w:val="212121"/>
          <w:bdr w:val="none" w:sz="0" w:space="0" w:color="auto" w:frame="1"/>
          <w:shd w:val="clear" w:color="auto" w:fill="FFFFFF"/>
        </w:rPr>
        <w:t xml:space="preserve">The </w:t>
      </w:r>
      <w:r w:rsidR="00D27482">
        <w:rPr>
          <w:rStyle w:val="ssrfcpassagedeactivated"/>
          <w:color w:val="212121"/>
          <w:bdr w:val="none" w:sz="0" w:space="0" w:color="auto" w:frame="1"/>
          <w:shd w:val="clear" w:color="auto" w:fill="FFFFFF"/>
        </w:rPr>
        <w:t>Fifth District</w:t>
      </w:r>
      <w:r w:rsidRPr="00CC4271" w:rsidR="00CC4271">
        <w:rPr>
          <w:rStyle w:val="ssrfcpassagedeactivated"/>
          <w:color w:val="212121"/>
          <w:bdr w:val="none" w:sz="0" w:space="0" w:color="auto" w:frame="1"/>
          <w:shd w:val="clear" w:color="auto" w:fill="FFFFFF"/>
        </w:rPr>
        <w:t xml:space="preserve"> reviewed double jeopardy cases as well as cases involving the </w:t>
      </w:r>
      <w:r w:rsidRPr="00CC4271" w:rsidR="00CC4271">
        <w:rPr>
          <w:rStyle w:val="ssrfcpassagedeactivated"/>
          <w:i/>
          <w:iCs/>
          <w:color w:val="212121"/>
          <w:bdr w:val="none" w:sz="0" w:space="0" w:color="auto" w:frame="1"/>
          <w:shd w:val="clear" w:color="auto" w:fill="FFFFFF"/>
        </w:rPr>
        <w:t>Serrato</w:t>
      </w:r>
      <w:r w:rsidRPr="00CC4271" w:rsidR="00CC4271">
        <w:rPr>
          <w:rStyle w:val="ssrfcpassagedeactivated"/>
          <w:color w:val="212121"/>
          <w:bdr w:val="none" w:sz="0" w:space="0" w:color="auto" w:frame="1"/>
          <w:shd w:val="clear" w:color="auto" w:fill="FFFFFF"/>
        </w:rPr>
        <w:t xml:space="preserve"> exception and concluded:  “</w:t>
      </w:r>
      <w:r w:rsidRPr="00CC4271" w:rsidR="00CC4271">
        <w:rPr>
          <w:rFonts w:eastAsia="Times New Roman"/>
          <w:color w:val="212121"/>
        </w:rPr>
        <w:t>In all of the . . . cases, the defendant either received a sentence equal or lesser than his original sentence</w:t>
      </w:r>
      <w:r w:rsidR="00CC4271">
        <w:rPr>
          <w:rFonts w:eastAsia="Times New Roman"/>
          <w:color w:val="212121"/>
        </w:rPr>
        <w:t>[]</w:t>
      </w:r>
      <w:r w:rsidRPr="00CC4271" w:rsidR="00CC4271">
        <w:rPr>
          <w:rFonts w:eastAsia="Times New Roman"/>
          <w:color w:val="212121"/>
        </w:rPr>
        <w:t xml:space="preserve"> or received a greater sentence only when the court</w:t>
      </w:r>
      <w:r w:rsidR="00CC4271">
        <w:rPr>
          <w:rFonts w:eastAsia="Times New Roman"/>
          <w:color w:val="212121"/>
        </w:rPr>
        <w:t>’</w:t>
      </w:r>
      <w:r w:rsidRPr="00CC4271" w:rsidR="00CC4271">
        <w:rPr>
          <w:rFonts w:eastAsia="Times New Roman"/>
          <w:color w:val="212121"/>
        </w:rPr>
        <w:t>s sentence demonstrated legally unauthorized leniency that</w:t>
      </w:r>
      <w:r w:rsidR="007B1F99">
        <w:rPr>
          <w:rFonts w:eastAsia="Times New Roman"/>
          <w:color w:val="212121"/>
        </w:rPr>
        <w:t xml:space="preserve"> </w:t>
      </w:r>
      <w:r w:rsidRPr="00CC4271" w:rsidR="00CC4271">
        <w:rPr>
          <w:rFonts w:eastAsia="Times New Roman"/>
          <w:color w:val="212121"/>
        </w:rPr>
        <w:t>resulted in an aggregate sentence that fell below that authorized by law.”  (</w:t>
      </w:r>
      <w:r w:rsidRPr="00CC4271" w:rsidR="00CC4271">
        <w:rPr>
          <w:rFonts w:eastAsia="Times New Roman"/>
          <w:i/>
          <w:iCs/>
          <w:color w:val="212121"/>
        </w:rPr>
        <w:t>Torres</w:t>
      </w:r>
      <w:r w:rsidRPr="00CC4271" w:rsidR="00CC4271">
        <w:rPr>
          <w:rFonts w:eastAsia="Times New Roman"/>
          <w:color w:val="212121"/>
        </w:rPr>
        <w:t xml:space="preserve">, </w:t>
      </w:r>
      <w:r w:rsidRPr="00CC4271" w:rsidR="00CC4271">
        <w:rPr>
          <w:rFonts w:eastAsia="Times New Roman"/>
          <w:i/>
          <w:iCs/>
          <w:color w:val="212121"/>
        </w:rPr>
        <w:t>supra</w:t>
      </w:r>
      <w:r w:rsidRPr="00CC4271" w:rsidR="00CC4271">
        <w:rPr>
          <w:rFonts w:eastAsia="Times New Roman"/>
          <w:color w:val="212121"/>
        </w:rPr>
        <w:t>, 163 Cal.App.4th at p. 1432.)</w:t>
      </w:r>
      <w:r w:rsidR="00CC4271">
        <w:rPr>
          <w:rFonts w:eastAsia="Times New Roman"/>
          <w:color w:val="212121"/>
        </w:rPr>
        <w:t xml:space="preserve">  It concluded that its case was similar to </w:t>
      </w:r>
      <w:r w:rsidR="00CC4271">
        <w:rPr>
          <w:rFonts w:eastAsia="Times New Roman"/>
          <w:i/>
          <w:iCs/>
          <w:color w:val="212121"/>
        </w:rPr>
        <w:t xml:space="preserve">Mustafaa, </w:t>
      </w:r>
      <w:r w:rsidR="00CC4271">
        <w:rPr>
          <w:rFonts w:eastAsia="Times New Roman"/>
          <w:color w:val="212121"/>
        </w:rPr>
        <w:t xml:space="preserve">explaining:  </w:t>
      </w:r>
      <w:r w:rsidR="00CC4271">
        <w:rPr>
          <w:color w:val="000000"/>
        </w:rPr>
        <w:t>“</w:t>
      </w:r>
      <w:r w:rsidR="007B1F99">
        <w:rPr>
          <w:color w:val="000000"/>
        </w:rPr>
        <w:t> ‘</w:t>
      </w:r>
      <w:r w:rsidR="00CC4271">
        <w:rPr>
          <w:color w:val="000000"/>
        </w:rPr>
        <w:t>In Mustafaa</w:t>
      </w:r>
      <w:r>
        <w:rPr>
          <w:color w:val="000000"/>
        </w:rPr>
        <w:t>’</w:t>
      </w:r>
      <w:r w:rsidR="00CC4271">
        <w:rPr>
          <w:color w:val="000000"/>
        </w:rPr>
        <w:t xml:space="preserve">s case the rule against double jeopardy applie[d] because the court imposed a legal aggregate sentence, only fashioning it in an unauthorized manner.  The </w:t>
      </w:r>
      <w:r w:rsidRPr="00BF2CC2" w:rsidR="00CC4271">
        <w:rPr>
          <w:color w:val="000000"/>
        </w:rPr>
        <w:t xml:space="preserve">court’s error in separating the convictions from their attendant enhancements, though unauthorized by law, </w:t>
      </w:r>
      <w:r w:rsidRPr="00BF2CC2">
        <w:rPr>
          <w:color w:val="000000"/>
        </w:rPr>
        <w:t>[did]</w:t>
      </w:r>
      <w:r w:rsidRPr="00BF2CC2" w:rsidR="00CC4271">
        <w:rPr>
          <w:color w:val="000000"/>
        </w:rPr>
        <w:t xml:space="preserve"> not make the total sentence illegal. </w:t>
      </w:r>
      <w:r w:rsidRPr="00BF2CC2">
        <w:rPr>
          <w:color w:val="000000"/>
        </w:rPr>
        <w:t xml:space="preserve"> </w:t>
      </w:r>
      <w:r w:rsidRPr="00BF2CC2" w:rsidR="00CC4271">
        <w:rPr>
          <w:color w:val="000000"/>
        </w:rPr>
        <w:t xml:space="preserve">On remand the court </w:t>
      </w:r>
      <w:r w:rsidRPr="00BF2CC2">
        <w:rPr>
          <w:color w:val="000000"/>
        </w:rPr>
        <w:t xml:space="preserve">[could] </w:t>
      </w:r>
      <w:r w:rsidRPr="00BF2CC2" w:rsidR="00CC4271">
        <w:rPr>
          <w:color w:val="000000"/>
        </w:rPr>
        <w:t>not impose a total sentence more severe than the sentence originally imposed.</w:t>
      </w:r>
      <w:r w:rsidR="00DF62FC">
        <w:rPr>
          <w:color w:val="000000"/>
        </w:rPr>
        <w:t>’ </w:t>
      </w:r>
      <w:r w:rsidRPr="00BF2CC2" w:rsidR="00CC4271">
        <w:rPr>
          <w:color w:val="000000"/>
        </w:rPr>
        <w:t>”</w:t>
      </w:r>
      <w:r w:rsidRPr="00BF2CC2">
        <w:rPr>
          <w:color w:val="000000"/>
        </w:rPr>
        <w:t xml:space="preserve">  (</w:t>
      </w:r>
      <w:r w:rsidRPr="00BF2CC2">
        <w:rPr>
          <w:i/>
          <w:iCs/>
          <w:color w:val="000000"/>
        </w:rPr>
        <w:t>Torres</w:t>
      </w:r>
      <w:r w:rsidRPr="00BF2CC2">
        <w:rPr>
          <w:color w:val="000000"/>
        </w:rPr>
        <w:t>, at p.</w:t>
      </w:r>
      <w:r w:rsidR="00D203A5">
        <w:rPr>
          <w:color w:val="000000"/>
        </w:rPr>
        <w:t> </w:t>
      </w:r>
      <w:r w:rsidRPr="00BF2CC2">
        <w:rPr>
          <w:color w:val="000000"/>
        </w:rPr>
        <w:t xml:space="preserve">1432.)  The </w:t>
      </w:r>
      <w:r w:rsidRPr="00BF2CC2">
        <w:rPr>
          <w:i/>
          <w:iCs/>
          <w:color w:val="000000"/>
        </w:rPr>
        <w:t>Torres</w:t>
      </w:r>
      <w:r w:rsidRPr="00BF2CC2">
        <w:rPr>
          <w:color w:val="000000"/>
        </w:rPr>
        <w:t xml:space="preserve"> court concluded that, since</w:t>
      </w:r>
      <w:r w:rsidRPr="00BF2CC2">
        <w:rPr>
          <w:rFonts w:eastAsia="Times New Roman"/>
          <w:color w:val="212121"/>
        </w:rPr>
        <w:t xml:space="preserve"> </w:t>
      </w:r>
      <w:r w:rsidRPr="00BF2CC2">
        <w:rPr>
          <w:color w:val="212121"/>
          <w:shd w:val="clear" w:color="auto" w:fill="FFFFFF"/>
        </w:rPr>
        <w:t xml:space="preserve">the aggregate sentence of seven years imposed on defendant at the original sentencing hearing </w:t>
      </w:r>
      <w:r w:rsidRPr="00BF2CC2" w:rsidR="00BF2CC2">
        <w:rPr>
          <w:color w:val="212121"/>
          <w:shd w:val="clear" w:color="auto" w:fill="FFFFFF"/>
        </w:rPr>
        <w:t xml:space="preserve">in that case </w:t>
      </w:r>
      <w:r w:rsidRPr="00BF2CC2">
        <w:rPr>
          <w:color w:val="212121"/>
          <w:shd w:val="clear" w:color="auto" w:fill="FFFFFF"/>
        </w:rPr>
        <w:t>could have been lawfully achieved,</w:t>
      </w:r>
      <w:r w:rsidRPr="00BF2CC2" w:rsidR="00BF2CC2">
        <w:rPr>
          <w:color w:val="212121"/>
          <w:shd w:val="clear" w:color="auto" w:fill="FFFFFF"/>
        </w:rPr>
        <w:t xml:space="preserve"> p</w:t>
      </w:r>
      <w:r w:rsidRPr="00BF2CC2">
        <w:rPr>
          <w:rFonts w:eastAsia="Times New Roman"/>
          <w:color w:val="212121"/>
        </w:rPr>
        <w:t xml:space="preserve">rinciples of double jeopardy </w:t>
      </w:r>
      <w:r w:rsidRPr="00BF2CC2" w:rsidR="00BF2CC2">
        <w:rPr>
          <w:rFonts w:eastAsia="Times New Roman"/>
          <w:color w:val="212121"/>
        </w:rPr>
        <w:t xml:space="preserve">required a remand at which the trial court could </w:t>
      </w:r>
      <w:r w:rsidRPr="00BF2CC2">
        <w:rPr>
          <w:rFonts w:eastAsia="Times New Roman"/>
          <w:color w:val="212121"/>
        </w:rPr>
        <w:t>not impose a total sentence greater than seven years in prison.</w:t>
      </w:r>
      <w:r w:rsidR="00BF2CC2">
        <w:rPr>
          <w:rFonts w:eastAsia="Times New Roman"/>
          <w:color w:val="212121"/>
        </w:rPr>
        <w:t xml:space="preserve">  (</w:t>
      </w:r>
      <w:r w:rsidR="00BF2CC2">
        <w:rPr>
          <w:rFonts w:eastAsia="Times New Roman"/>
          <w:i/>
          <w:iCs/>
          <w:color w:val="212121"/>
        </w:rPr>
        <w:t>Id.</w:t>
      </w:r>
      <w:r w:rsidR="00BF2CC2">
        <w:rPr>
          <w:rFonts w:eastAsia="Times New Roman"/>
          <w:color w:val="212121"/>
        </w:rPr>
        <w:t xml:space="preserve"> at pp. 1432–1433.)</w:t>
      </w:r>
    </w:p>
    <w:p w:rsidR="007A448D" w:rsidRPr="00BF2CC2" w:rsidP="007D7737" w14:paraId="363E0AA0" w14:textId="77777777">
      <w:pPr>
        <w:pStyle w:val="Text"/>
        <w:ind w:firstLine="0"/>
        <w:rPr>
          <w:color w:val="212121"/>
          <w:bdr w:val="none" w:sz="0" w:space="0" w:color="auto" w:frame="1"/>
          <w:shd w:val="clear" w:color="auto" w:fill="FFFFFF"/>
        </w:rPr>
      </w:pPr>
    </w:p>
    <w:p w:rsidR="005115C8" w:rsidRPr="005115C8" w:rsidP="005115C8" w14:paraId="131B8567" w14:textId="25FC406F">
      <w:pPr>
        <w:pStyle w:val="Text"/>
        <w:ind w:firstLine="0"/>
        <w:rPr>
          <w:b/>
          <w:bCs/>
          <w:i/>
          <w:iCs/>
        </w:rPr>
      </w:pPr>
      <w:bookmarkStart w:id="11" w:name="_Hlk143163286"/>
      <w:r>
        <w:rPr>
          <w:b/>
          <w:bCs/>
          <w:i/>
          <w:iCs/>
        </w:rPr>
        <w:t xml:space="preserve">D.  The </w:t>
      </w:r>
      <w:r>
        <w:rPr>
          <w:b/>
          <w:bCs/>
        </w:rPr>
        <w:t xml:space="preserve">Serrato </w:t>
      </w:r>
      <w:r>
        <w:rPr>
          <w:b/>
          <w:bCs/>
          <w:i/>
          <w:iCs/>
        </w:rPr>
        <w:t xml:space="preserve">Exception </w:t>
      </w:r>
      <w:r w:rsidR="00CC7B6B">
        <w:rPr>
          <w:b/>
          <w:bCs/>
          <w:i/>
          <w:iCs/>
        </w:rPr>
        <w:t xml:space="preserve">Does Not </w:t>
      </w:r>
      <w:r>
        <w:rPr>
          <w:b/>
          <w:bCs/>
          <w:i/>
          <w:iCs/>
        </w:rPr>
        <w:t>Appl</w:t>
      </w:r>
      <w:r w:rsidR="00CC7B6B">
        <w:rPr>
          <w:b/>
          <w:bCs/>
          <w:i/>
          <w:iCs/>
        </w:rPr>
        <w:t>y</w:t>
      </w:r>
    </w:p>
    <w:p w:rsidR="00CD1E62" w:rsidP="005B513F" w14:paraId="0BC398E2" w14:textId="6DB7107C">
      <w:pPr>
        <w:pStyle w:val="Text"/>
        <w:ind w:firstLine="0"/>
      </w:pPr>
      <w:r>
        <w:rPr>
          <w:bdr w:val="none" w:sz="0" w:space="0" w:color="auto" w:frame="1"/>
          <w:shd w:val="clear" w:color="auto" w:fill="FFFFFF"/>
        </w:rPr>
        <w:tab/>
      </w:r>
      <w:r>
        <w:t>A</w:t>
      </w:r>
      <w:r w:rsidRPr="00B42AA5" w:rsidR="00BB3C77">
        <w:t xml:space="preserve">s stated above, Trammel </w:t>
      </w:r>
      <w:r w:rsidR="00321E18">
        <w:t xml:space="preserve">and the Attorney General disagree as to whether the </w:t>
      </w:r>
      <w:r w:rsidR="00321E18">
        <w:rPr>
          <w:i/>
          <w:iCs/>
        </w:rPr>
        <w:t xml:space="preserve">Serrato </w:t>
      </w:r>
      <w:bookmarkEnd w:id="11"/>
      <w:r w:rsidR="00321E18">
        <w:t xml:space="preserve">exception applies in this case, authorizing a harsher sentence on remand. </w:t>
      </w:r>
      <w:bookmarkStart w:id="12" w:name="_Hlk143164400"/>
      <w:r>
        <w:t xml:space="preserve"> </w:t>
      </w:r>
      <w:bookmarkEnd w:id="12"/>
      <w:r>
        <w:t xml:space="preserve">While we </w:t>
      </w:r>
      <w:r w:rsidR="00CC7B6B">
        <w:t>conclude</w:t>
      </w:r>
      <w:r>
        <w:t xml:space="preserve"> that Trammel </w:t>
      </w:r>
      <w:r w:rsidR="00E337FC">
        <w:t xml:space="preserve">largely </w:t>
      </w:r>
      <w:r>
        <w:t xml:space="preserve">has the better argument </w:t>
      </w:r>
      <w:r w:rsidR="00CC7B6B">
        <w:t>on this record</w:t>
      </w:r>
      <w:r>
        <w:t>,</w:t>
      </w:r>
      <w:r w:rsidR="00D3250E">
        <w:t xml:space="preserve"> our analysis of the question took </w:t>
      </w:r>
      <w:r>
        <w:t xml:space="preserve">longer and </w:t>
      </w:r>
      <w:r w:rsidR="00D3250E">
        <w:t xml:space="preserve">was </w:t>
      </w:r>
      <w:r>
        <w:t xml:space="preserve">more </w:t>
      </w:r>
      <w:r w:rsidR="00D27482">
        <w:t>nuanced</w:t>
      </w:r>
      <w:r>
        <w:t xml:space="preserve"> tha</w:t>
      </w:r>
      <w:r w:rsidR="00D27482">
        <w:t>n</w:t>
      </w:r>
      <w:r>
        <w:t xml:space="preserve"> we originally anticipated.  </w:t>
      </w:r>
      <w:r w:rsidR="00CC7B6B">
        <w:t xml:space="preserve">Having discovered </w:t>
      </w:r>
      <w:r w:rsidR="00376F9F">
        <w:t>the</w:t>
      </w:r>
      <w:r w:rsidR="00CC7B6B">
        <w:t xml:space="preserve"> </w:t>
      </w:r>
      <w:r>
        <w:t xml:space="preserve">lack of consistency among appellate courts </w:t>
      </w:r>
      <w:r w:rsidR="00CC7B6B">
        <w:t>analyzing these issues</w:t>
      </w:r>
      <w:r w:rsidR="00376F9F">
        <w:t xml:space="preserve"> as </w:t>
      </w:r>
      <w:r w:rsidR="00E337FC">
        <w:t>set forth</w:t>
      </w:r>
      <w:r w:rsidR="00376F9F">
        <w:t xml:space="preserve"> above</w:t>
      </w:r>
      <w:r>
        <w:t xml:space="preserve">, we </w:t>
      </w:r>
      <w:r w:rsidR="00CC7B6B">
        <w:t xml:space="preserve">offer our </w:t>
      </w:r>
      <w:r w:rsidR="007C2AE6">
        <w:t>own interpretation of</w:t>
      </w:r>
      <w:r w:rsidR="00CC7B6B">
        <w:t xml:space="preserve"> </w:t>
      </w:r>
      <w:r w:rsidR="00D27482">
        <w:t xml:space="preserve">how </w:t>
      </w:r>
      <w:r w:rsidR="00CC7B6B">
        <w:rPr>
          <w:i/>
          <w:iCs/>
        </w:rPr>
        <w:t>Serrato</w:t>
      </w:r>
      <w:r w:rsidR="00D27482">
        <w:t xml:space="preserve"> should be applied at resentencing</w:t>
      </w:r>
      <w:r w:rsidR="00CC7B6B">
        <w:t>.</w:t>
      </w:r>
    </w:p>
    <w:p w:rsidR="00D44303" w:rsidP="005B513F" w14:paraId="37A0D3AE" w14:textId="288C3932">
      <w:pPr>
        <w:pStyle w:val="Text"/>
        <w:ind w:firstLine="0"/>
      </w:pPr>
      <w:r>
        <w:tab/>
      </w:r>
      <w:r w:rsidRPr="00E77C90" w:rsidR="00CD1E62">
        <w:t xml:space="preserve">Preliminarily, we would like to </w:t>
      </w:r>
      <w:r w:rsidR="00E77C90">
        <w:t>dispel some</w:t>
      </w:r>
      <w:r w:rsidRPr="00E77C90" w:rsidR="00CD1E62">
        <w:t xml:space="preserve"> confusion that has arisen in this and other cases by use of the term “unauthorized sentence.</w:t>
      </w:r>
      <w:r w:rsidR="00E337FC">
        <w:t>”</w:t>
      </w:r>
      <w:r w:rsidR="00D629F7">
        <w:t xml:space="preserve">  (See</w:t>
      </w:r>
      <w:r w:rsidR="00D629F7">
        <w:rPr>
          <w:i/>
          <w:iCs/>
        </w:rPr>
        <w:t xml:space="preserve">, </w:t>
      </w:r>
      <w:r w:rsidR="00D629F7">
        <w:t xml:space="preserve">e.g., </w:t>
      </w:r>
      <w:r w:rsidR="00D629F7">
        <w:rPr>
          <w:i/>
          <w:iCs/>
        </w:rPr>
        <w:t>People v. King</w:t>
      </w:r>
      <w:r w:rsidR="00D629F7">
        <w:t xml:space="preserve"> (2022) 77 Cal.App.5th</w:t>
      </w:r>
      <w:r w:rsidRPr="00E77C90" w:rsidR="00E77C90">
        <w:t xml:space="preserve"> </w:t>
      </w:r>
      <w:r w:rsidR="00D629F7">
        <w:t xml:space="preserve">629 [appearing to misapprehend the </w:t>
      </w:r>
      <w:r w:rsidR="004864E2">
        <w:t xml:space="preserve">various </w:t>
      </w:r>
      <w:r w:rsidR="00D629F7">
        <w:t xml:space="preserve">attributes of an unauthorized sentence and limiting it to a waiver concept].)  </w:t>
      </w:r>
      <w:bookmarkStart w:id="13" w:name="_Hlk150756532"/>
      <w:r w:rsidRPr="00E77C90" w:rsidR="00E77C90">
        <w:t xml:space="preserve">In </w:t>
      </w:r>
      <w:r w:rsidRPr="00E77C90" w:rsidR="00E77C90">
        <w:rPr>
          <w:i/>
          <w:iCs/>
        </w:rPr>
        <w:t>Scott</w:t>
      </w:r>
      <w:r w:rsidR="00241FE3">
        <w:t xml:space="preserve">, </w:t>
      </w:r>
      <w:r w:rsidR="00241FE3">
        <w:rPr>
          <w:i/>
          <w:iCs/>
        </w:rPr>
        <w:t>supra</w:t>
      </w:r>
      <w:r w:rsidR="00241FE3">
        <w:t>,</w:t>
      </w:r>
      <w:r w:rsidR="001E6F5E">
        <w:rPr>
          <w:i/>
          <w:iCs/>
        </w:rPr>
        <w:t xml:space="preserve"> </w:t>
      </w:r>
      <w:r w:rsidRPr="00E77C90" w:rsidR="00E77C90">
        <w:t>9 Cal.4th 331</w:t>
      </w:r>
      <w:bookmarkEnd w:id="13"/>
      <w:r w:rsidRPr="00E77C90" w:rsidR="00E77C90">
        <w:t xml:space="preserve">, our Supreme Court discussed </w:t>
      </w:r>
      <w:r w:rsidR="00E77C90">
        <w:t>generally “</w:t>
      </w:r>
      <w:r w:rsidRPr="00E77C90" w:rsidR="00E77C90">
        <w:rPr>
          <w:color w:val="212121"/>
          <w:shd w:val="clear" w:color="auto" w:fill="FFFFFF"/>
        </w:rPr>
        <w:t xml:space="preserve">the venerable notion that claims involving </w:t>
      </w:r>
      <w:r w:rsidR="00E77C90">
        <w:rPr>
          <w:color w:val="212121"/>
          <w:shd w:val="clear" w:color="auto" w:fill="FFFFFF"/>
        </w:rPr>
        <w:t>‘</w:t>
      </w:r>
      <w:r w:rsidRPr="00E77C90" w:rsidR="00E77C90">
        <w:rPr>
          <w:color w:val="212121"/>
          <w:shd w:val="clear" w:color="auto" w:fill="FFFFFF"/>
        </w:rPr>
        <w:t>unauthorized,</w:t>
      </w:r>
      <w:r w:rsidR="00E77C90">
        <w:rPr>
          <w:color w:val="212121"/>
          <w:shd w:val="clear" w:color="auto" w:fill="FFFFFF"/>
        </w:rPr>
        <w:t>’</w:t>
      </w:r>
      <w:r w:rsidRPr="00E77C90" w:rsidR="00E77C90">
        <w:rPr>
          <w:color w:val="212121"/>
          <w:shd w:val="clear" w:color="auto" w:fill="FFFFFF"/>
        </w:rPr>
        <w:t xml:space="preserve"> </w:t>
      </w:r>
      <w:r w:rsidR="00E77C90">
        <w:rPr>
          <w:color w:val="212121"/>
          <w:shd w:val="clear" w:color="auto" w:fill="FFFFFF"/>
        </w:rPr>
        <w:t>‘</w:t>
      </w:r>
      <w:r w:rsidRPr="00E77C90" w:rsidR="00E77C90">
        <w:rPr>
          <w:color w:val="212121"/>
          <w:shd w:val="clear" w:color="auto" w:fill="FFFFFF"/>
        </w:rPr>
        <w:t>void,</w:t>
      </w:r>
      <w:r w:rsidR="00E77C90">
        <w:rPr>
          <w:color w:val="212121"/>
          <w:shd w:val="clear" w:color="auto" w:fill="FFFFFF"/>
        </w:rPr>
        <w:t>’</w:t>
      </w:r>
      <w:r w:rsidRPr="00E77C90" w:rsidR="00E77C90">
        <w:rPr>
          <w:color w:val="212121"/>
          <w:shd w:val="clear" w:color="auto" w:fill="FFFFFF"/>
        </w:rPr>
        <w:t xml:space="preserve"> or </w:t>
      </w:r>
      <w:r w:rsidR="00E77C90">
        <w:rPr>
          <w:color w:val="212121"/>
          <w:shd w:val="clear" w:color="auto" w:fill="FFFFFF"/>
        </w:rPr>
        <w:t>‘</w:t>
      </w:r>
      <w:r w:rsidRPr="00E77C90" w:rsidR="00E77C90">
        <w:rPr>
          <w:color w:val="212121"/>
          <w:shd w:val="clear" w:color="auto" w:fill="FFFFFF"/>
        </w:rPr>
        <w:t>excessive</w:t>
      </w:r>
      <w:r w:rsidR="00E77C90">
        <w:rPr>
          <w:color w:val="212121"/>
          <w:shd w:val="clear" w:color="auto" w:fill="FFFFFF"/>
        </w:rPr>
        <w:t>’</w:t>
      </w:r>
      <w:r w:rsidRPr="00E77C90" w:rsidR="00E77C90">
        <w:rPr>
          <w:color w:val="212121"/>
          <w:shd w:val="clear" w:color="auto" w:fill="FFFFFF"/>
        </w:rPr>
        <w:t xml:space="preserve"> sentences, and sentences entered </w:t>
      </w:r>
      <w:r w:rsidRPr="00C70510" w:rsidR="00E77C90">
        <w:rPr>
          <w:color w:val="212121"/>
          <w:shd w:val="clear" w:color="auto" w:fill="FFFFFF"/>
        </w:rPr>
        <w:t>in ‘excess of jurisdiction,’ can be raised at any time.”  (</w:t>
      </w:r>
      <w:r w:rsidRPr="00C70510" w:rsidR="00E77C90">
        <w:rPr>
          <w:i/>
          <w:iCs/>
          <w:color w:val="212121"/>
          <w:shd w:val="clear" w:color="auto" w:fill="FFFFFF"/>
        </w:rPr>
        <w:t>Id.</w:t>
      </w:r>
      <w:r w:rsidRPr="00C70510" w:rsidR="00E77C90">
        <w:rPr>
          <w:color w:val="212121"/>
          <w:shd w:val="clear" w:color="auto" w:fill="FFFFFF"/>
        </w:rPr>
        <w:t xml:space="preserve"> at p. 354.)  In doing so, it </w:t>
      </w:r>
      <w:r w:rsidRPr="00C70510" w:rsidR="00C70510">
        <w:rPr>
          <w:color w:val="212121"/>
          <w:shd w:val="clear" w:color="auto" w:fill="FFFFFF"/>
        </w:rPr>
        <w:t>held that</w:t>
      </w:r>
      <w:r>
        <w:rPr>
          <w:color w:val="212121"/>
          <w:shd w:val="clear" w:color="auto" w:fill="FFFFFF"/>
        </w:rPr>
        <w:t>, for waiver purposes,</w:t>
      </w:r>
      <w:r w:rsidRPr="00C70510" w:rsidR="00E77C90">
        <w:t xml:space="preserve"> </w:t>
      </w:r>
      <w:r w:rsidRPr="00C70510" w:rsidR="00C70510">
        <w:rPr>
          <w:color w:val="212121"/>
          <w:shd w:val="clear" w:color="auto" w:fill="FFFFFF"/>
        </w:rPr>
        <w:t>“a sentence is generally ‘unauthorized’</w:t>
      </w:r>
      <w:r w:rsidR="00EB0A5D">
        <w:rPr>
          <w:color w:val="212121"/>
          <w:shd w:val="clear" w:color="auto" w:fill="FFFFFF"/>
        </w:rPr>
        <w:t xml:space="preserve"> </w:t>
      </w:r>
      <w:r w:rsidRPr="00C70510" w:rsidR="00C70510">
        <w:rPr>
          <w:color w:val="212121"/>
          <w:shd w:val="clear" w:color="auto" w:fill="FFFFFF"/>
        </w:rPr>
        <w:t>where it could not lawfully be imposed under any circumstance in the particular case.  Appellate courts are willing to intervene in the first instance because such error is ‘clear and correctable’ independent of any factual issues presented by the record at sentencing.”</w:t>
      </w:r>
      <w:r w:rsidR="00C70510">
        <w:rPr>
          <w:color w:val="212121"/>
          <w:shd w:val="clear" w:color="auto" w:fill="FFFFFF"/>
        </w:rPr>
        <w:t xml:space="preserve">  (</w:t>
      </w:r>
      <w:r w:rsidR="00C70510">
        <w:rPr>
          <w:i/>
          <w:iCs/>
          <w:color w:val="212121"/>
          <w:shd w:val="clear" w:color="auto" w:fill="FFFFFF"/>
        </w:rPr>
        <w:t>Ibid.</w:t>
      </w:r>
      <w:r w:rsidR="00C70510">
        <w:rPr>
          <w:color w:val="212121"/>
          <w:shd w:val="clear" w:color="auto" w:fill="FFFFFF"/>
        </w:rPr>
        <w:t xml:space="preserve">)  As an example, the </w:t>
      </w:r>
      <w:r>
        <w:rPr>
          <w:i/>
          <w:iCs/>
          <w:color w:val="212121"/>
          <w:shd w:val="clear" w:color="auto" w:fill="FFFFFF"/>
        </w:rPr>
        <w:t xml:space="preserve">Scott </w:t>
      </w:r>
      <w:r w:rsidR="00C70510">
        <w:rPr>
          <w:color w:val="212121"/>
          <w:shd w:val="clear" w:color="auto" w:fill="FFFFFF"/>
        </w:rPr>
        <w:t xml:space="preserve">Court indicated it is “well settled . . . </w:t>
      </w:r>
      <w:r w:rsidR="00C70510">
        <w:rPr>
          <w:color w:val="000000"/>
        </w:rPr>
        <w:t xml:space="preserve">that the court acts in ‘excess of its jurisdiction’ and imposes an </w:t>
      </w:r>
      <w:r>
        <w:rPr>
          <w:color w:val="000000"/>
        </w:rPr>
        <w:t>‘</w:t>
      </w:r>
      <w:r w:rsidR="00C70510">
        <w:rPr>
          <w:color w:val="000000"/>
        </w:rPr>
        <w:t>unauthorized</w:t>
      </w:r>
      <w:r>
        <w:rPr>
          <w:color w:val="000000"/>
        </w:rPr>
        <w:t>’</w:t>
      </w:r>
      <w:r w:rsidR="00C70510">
        <w:rPr>
          <w:color w:val="000000"/>
        </w:rPr>
        <w:t xml:space="preserve"> sentence when it erroneously stays or fails to stay execution of a sentence under section 654.</w:t>
      </w:r>
      <w:r w:rsidR="00C70510">
        <w:rPr>
          <w:color w:val="212121"/>
          <w:shd w:val="clear" w:color="auto" w:fill="FFFFFF"/>
        </w:rPr>
        <w:t>”</w:t>
      </w:r>
      <w:r>
        <w:rPr>
          <w:color w:val="212121"/>
          <w:shd w:val="clear" w:color="auto" w:fill="FFFFFF"/>
        </w:rPr>
        <w:t xml:space="preserve">  (</w:t>
      </w:r>
      <w:r>
        <w:rPr>
          <w:i/>
          <w:iCs/>
          <w:color w:val="212121"/>
          <w:shd w:val="clear" w:color="auto" w:fill="FFFFFF"/>
        </w:rPr>
        <w:t>Scott</w:t>
      </w:r>
      <w:r>
        <w:rPr>
          <w:color w:val="212121"/>
          <w:shd w:val="clear" w:color="auto" w:fill="FFFFFF"/>
        </w:rPr>
        <w:t xml:space="preserve">, at p. 354, fn. 17.)  </w:t>
      </w:r>
      <w:r>
        <w:rPr>
          <w:i/>
          <w:iCs/>
        </w:rPr>
        <w:t>Scott</w:t>
      </w:r>
      <w:r>
        <w:t xml:space="preserve">, however, is a waiver case.  It has nothing to do with whether a sentence is unauthorized for purposes of the </w:t>
      </w:r>
      <w:r>
        <w:rPr>
          <w:i/>
          <w:iCs/>
        </w:rPr>
        <w:t>Serrato</w:t>
      </w:r>
      <w:r>
        <w:t xml:space="preserve"> exception.  As we discuss further below, while the two concepts may overlap in </w:t>
      </w:r>
      <w:r w:rsidR="00376F9F">
        <w:t>certain</w:t>
      </w:r>
      <w:r>
        <w:t xml:space="preserve"> case</w:t>
      </w:r>
      <w:r w:rsidR="00376F9F">
        <w:t>s</w:t>
      </w:r>
      <w:r>
        <w:t>,</w:t>
      </w:r>
      <w:r w:rsidR="00E337FC">
        <w:t xml:space="preserve"> both </w:t>
      </w:r>
      <w:r>
        <w:t xml:space="preserve">the analyses and </w:t>
      </w:r>
      <w:r w:rsidR="0074679B">
        <w:t xml:space="preserve">the </w:t>
      </w:r>
      <w:r>
        <w:t xml:space="preserve">consequences under </w:t>
      </w:r>
      <w:r>
        <w:rPr>
          <w:i/>
          <w:iCs/>
        </w:rPr>
        <w:t>Scott</w:t>
      </w:r>
      <w:r>
        <w:t xml:space="preserve"> and </w:t>
      </w:r>
      <w:r>
        <w:rPr>
          <w:i/>
          <w:iCs/>
        </w:rPr>
        <w:t>Serrato</w:t>
      </w:r>
      <w:r>
        <w:t xml:space="preserve"> are distinct.</w:t>
      </w:r>
    </w:p>
    <w:p w:rsidR="00BF4D6F" w:rsidP="002066B4" w14:paraId="653F7B9B" w14:textId="1D6D4BA9">
      <w:pPr>
        <w:pStyle w:val="Text"/>
        <w:ind w:firstLine="0"/>
        <w:rPr>
          <w:rStyle w:val="ssrfcpassagedeactivated"/>
          <w:bdr w:val="none" w:sz="0" w:space="0" w:color="auto" w:frame="1"/>
        </w:rPr>
      </w:pPr>
      <w:r>
        <w:tab/>
        <w:t xml:space="preserve">Next, we </w:t>
      </w:r>
      <w:r w:rsidR="0074679B">
        <w:t>join</w:t>
      </w:r>
      <w:r>
        <w:t xml:space="preserve"> our Division Two colleagues in finding aspects of </w:t>
      </w:r>
      <w:r>
        <w:rPr>
          <w:i/>
          <w:iCs/>
        </w:rPr>
        <w:t xml:space="preserve">Serrato </w:t>
      </w:r>
      <w:r w:rsidR="003D0C96">
        <w:t>troubling</w:t>
      </w:r>
      <w:r>
        <w:t>.</w:t>
      </w:r>
      <w:r w:rsidR="0074679B">
        <w:t xml:space="preserve">  For </w:t>
      </w:r>
      <w:bookmarkStart w:id="14" w:name="_Hlk143247283"/>
      <w:r w:rsidR="0074679B">
        <w:t>example, the distinction between sentencing illegalities and other errors seems dubious when viewed in the context of our double jeopardy precedent</w:t>
      </w:r>
      <w:r w:rsidR="005772BD">
        <w:t>:</w:t>
      </w:r>
      <w:r w:rsidR="0074679B">
        <w:t xml:space="preserve">  “[A]</w:t>
      </w:r>
      <w:r w:rsidRPr="0074679B" w:rsidR="0074679B">
        <w:rPr>
          <w:rStyle w:val="ssrfcpassagedeactivated"/>
          <w:bdr w:val="none" w:sz="0" w:space="0" w:color="auto" w:frame="1"/>
        </w:rPr>
        <w:t xml:space="preserve"> </w:t>
      </w:r>
      <w:r w:rsidR="0074679B">
        <w:rPr>
          <w:rStyle w:val="ssrfcpassagedeactivated"/>
          <w:bdr w:val="none" w:sz="0" w:space="0" w:color="auto" w:frame="1"/>
        </w:rPr>
        <w:t>defendant is penalized as much for bringing a successful appeal if he or she is left subject to imposition of a greater sentence when the basis of the appeal is sentencing error as when the basis is error relating to the conviction.”  (</w:t>
      </w:r>
      <w:r w:rsidR="0074679B">
        <w:rPr>
          <w:rStyle w:val="ssrfcpassagedeactivated"/>
          <w:i/>
          <w:iCs/>
          <w:bdr w:val="none" w:sz="0" w:space="0" w:color="auto" w:frame="1"/>
        </w:rPr>
        <w:t>Brown</w:t>
      </w:r>
      <w:r w:rsidR="0074679B">
        <w:rPr>
          <w:rStyle w:val="ssrfcpassagedeactivated"/>
          <w:bdr w:val="none" w:sz="0" w:space="0" w:color="auto" w:frame="1"/>
        </w:rPr>
        <w:t xml:space="preserve">, </w:t>
      </w:r>
      <w:r w:rsidR="0074679B">
        <w:rPr>
          <w:rStyle w:val="ssrfcpassagedeactivated"/>
          <w:i/>
          <w:iCs/>
          <w:bdr w:val="none" w:sz="0" w:space="0" w:color="auto" w:frame="1"/>
        </w:rPr>
        <w:t>supra</w:t>
      </w:r>
      <w:r w:rsidR="0074679B">
        <w:rPr>
          <w:rStyle w:val="ssrfcpassagedeactivated"/>
          <w:bdr w:val="none" w:sz="0" w:space="0" w:color="auto" w:frame="1"/>
        </w:rPr>
        <w:t xml:space="preserve">, </w:t>
      </w:r>
      <w:r w:rsidR="0074679B">
        <w:t>193 Cal.App.3d at p. 961.)</w:t>
      </w:r>
      <w:r w:rsidR="002066B4">
        <w:t xml:space="preserve">  In addition, as our survey of the caselaw makes clear, it is not always easy to distinguish illegal sentences for </w:t>
      </w:r>
      <w:r w:rsidR="002066B4">
        <w:rPr>
          <w:i/>
          <w:iCs/>
        </w:rPr>
        <w:t>Serrato</w:t>
      </w:r>
      <w:r w:rsidR="002066B4">
        <w:t xml:space="preserve"> purposes from sentences that are erroneous for some other reason </w:t>
      </w:r>
      <w:r w:rsidR="00E337FC">
        <w:t>and/</w:t>
      </w:r>
      <w:r w:rsidR="002066B4">
        <w:t xml:space="preserve">or determine how mixed sentences should be treated.  (See </w:t>
      </w:r>
      <w:r w:rsidR="002066B4">
        <w:rPr>
          <w:i/>
          <w:iCs/>
        </w:rPr>
        <w:t>Brown</w:t>
      </w:r>
      <w:r w:rsidR="002066B4">
        <w:t>, at pp. 961–962</w:t>
      </w:r>
      <w:r w:rsidR="00376F9F">
        <w:t xml:space="preserve"> [citing cases]; see, e.g., </w:t>
      </w:r>
      <w:r w:rsidRPr="00376F9F" w:rsidR="00376F9F">
        <w:rPr>
          <w:i/>
          <w:iCs/>
        </w:rPr>
        <w:t>Craig</w:t>
      </w:r>
      <w:r w:rsidR="00376F9F">
        <w:t xml:space="preserve">, </w:t>
      </w:r>
      <w:r w:rsidR="00376F9F">
        <w:rPr>
          <w:i/>
          <w:iCs/>
        </w:rPr>
        <w:t xml:space="preserve">supra </w:t>
      </w:r>
      <w:r w:rsidR="00E337FC">
        <w:t>66 Cal.App.4th 1444</w:t>
      </w:r>
      <w:r w:rsidR="00376F9F">
        <w:t xml:space="preserve">; </w:t>
      </w:r>
      <w:r w:rsidR="00376F9F">
        <w:rPr>
          <w:i/>
          <w:iCs/>
        </w:rPr>
        <w:t>Mustafaa</w:t>
      </w:r>
      <w:r w:rsidR="00376F9F">
        <w:t xml:space="preserve">, </w:t>
      </w:r>
      <w:r w:rsidR="00376F9F">
        <w:rPr>
          <w:i/>
          <w:iCs/>
        </w:rPr>
        <w:t>supra</w:t>
      </w:r>
      <w:r w:rsidR="00376F9F">
        <w:t xml:space="preserve">, </w:t>
      </w:r>
      <w:r w:rsidR="00E337FC">
        <w:t>22 Cal.App.4th</w:t>
      </w:r>
      <w:r w:rsidR="00376F9F">
        <w:t xml:space="preserve"> </w:t>
      </w:r>
      <w:r w:rsidR="00E337FC">
        <w:t>1305</w:t>
      </w:r>
      <w:r w:rsidR="00376F9F">
        <w:t xml:space="preserve">; </w:t>
      </w:r>
      <w:r w:rsidR="00376F9F">
        <w:rPr>
          <w:i/>
          <w:iCs/>
        </w:rPr>
        <w:t>Hill</w:t>
      </w:r>
      <w:r w:rsidR="00376F9F">
        <w:t xml:space="preserve">, </w:t>
      </w:r>
      <w:r w:rsidR="00376F9F">
        <w:rPr>
          <w:i/>
          <w:iCs/>
        </w:rPr>
        <w:t>supra</w:t>
      </w:r>
      <w:r w:rsidR="00376F9F">
        <w:t>,</w:t>
      </w:r>
      <w:r w:rsidR="00E337FC">
        <w:t xml:space="preserve"> 185 Cal.App.3d 831</w:t>
      </w:r>
      <w:r w:rsidR="00376F9F">
        <w:t xml:space="preserve">; </w:t>
      </w:r>
      <w:r w:rsidR="00376F9F">
        <w:rPr>
          <w:i/>
          <w:iCs/>
        </w:rPr>
        <w:t>Price</w:t>
      </w:r>
      <w:r w:rsidR="00376F9F">
        <w:t xml:space="preserve">, </w:t>
      </w:r>
      <w:r w:rsidR="00376F9F">
        <w:rPr>
          <w:i/>
          <w:iCs/>
        </w:rPr>
        <w:t>supra</w:t>
      </w:r>
      <w:r w:rsidR="00376F9F">
        <w:t>,</w:t>
      </w:r>
      <w:r w:rsidR="00E337FC">
        <w:t xml:space="preserve"> 184 Cal.App.</w:t>
      </w:r>
      <w:r w:rsidRPr="00E337FC" w:rsidR="00E337FC">
        <w:t>3d 1405</w:t>
      </w:r>
      <w:r w:rsidRPr="00E337FC" w:rsidR="002066B4">
        <w:t>.)  Finally, “</w:t>
      </w:r>
      <w:r w:rsidRPr="00E337FC" w:rsidR="00834709">
        <w:rPr>
          <w:rStyle w:val="ssrfcpassagedeactivated"/>
          <w:bdr w:val="none" w:sz="0" w:space="0" w:color="auto" w:frame="1"/>
        </w:rPr>
        <w:t>the</w:t>
      </w:r>
      <w:r w:rsidR="00EB0A5D">
        <w:rPr>
          <w:rStyle w:val="ssrfcpassagedeactivated"/>
          <w:bdr w:val="none" w:sz="0" w:space="0" w:color="auto" w:frame="1"/>
        </w:rPr>
        <w:t xml:space="preserve"> </w:t>
      </w:r>
      <w:r w:rsidRPr="00E337FC" w:rsidR="00834709">
        <w:rPr>
          <w:rStyle w:val="ssit"/>
          <w:i/>
          <w:iCs/>
          <w:bdr w:val="none" w:sz="0" w:space="0" w:color="auto" w:frame="1"/>
        </w:rPr>
        <w:t>Serrato</w:t>
      </w:r>
      <w:r w:rsidR="00EB0A5D">
        <w:rPr>
          <w:rStyle w:val="ssrfcpassagedeactivated"/>
          <w:bdr w:val="none" w:sz="0" w:space="0" w:color="auto" w:frame="1"/>
        </w:rPr>
        <w:t xml:space="preserve"> </w:t>
      </w:r>
      <w:r w:rsidRPr="00E337FC" w:rsidR="00834709">
        <w:rPr>
          <w:rStyle w:val="ssrfcpassagedeactivated"/>
          <w:bdr w:val="none" w:sz="0" w:space="0" w:color="auto" w:frame="1"/>
        </w:rPr>
        <w:t>distinction leads to an anomalous result in the context of appeals, as a defendant is</w:t>
      </w:r>
      <w:r w:rsidR="00834709">
        <w:rPr>
          <w:rStyle w:val="ssrfcpassagedeactivated"/>
          <w:bdr w:val="none" w:sz="0" w:space="0" w:color="auto" w:frame="1"/>
        </w:rPr>
        <w:t xml:space="preserve"> encouraged to appeal an erroneous but authorized sentence and penalized for appealing an outright illegal one. </w:t>
      </w:r>
      <w:r w:rsidR="002066B4">
        <w:rPr>
          <w:rStyle w:val="ssrfcpassagedeactivated"/>
          <w:bdr w:val="none" w:sz="0" w:space="0" w:color="auto" w:frame="1"/>
        </w:rPr>
        <w:t xml:space="preserve"> </w:t>
      </w:r>
      <w:r w:rsidR="00834709">
        <w:rPr>
          <w:rStyle w:val="ssrfcpassagedeactivated"/>
          <w:bdr w:val="none" w:sz="0" w:space="0" w:color="auto" w:frame="1"/>
        </w:rPr>
        <w:t xml:space="preserve">This result is contrary to the established principle that </w:t>
      </w:r>
      <w:r w:rsidR="002066B4">
        <w:rPr>
          <w:rStyle w:val="ssrfcpassagedeactivated"/>
          <w:bdr w:val="none" w:sz="0" w:space="0" w:color="auto" w:frame="1"/>
        </w:rPr>
        <w:t>‘</w:t>
      </w:r>
      <w:r w:rsidR="00834709">
        <w:rPr>
          <w:rStyle w:val="ssrfcpassagedeactivated"/>
          <w:bdr w:val="none" w:sz="0" w:space="0" w:color="auto" w:frame="1"/>
        </w:rPr>
        <w:t>[since] the state has no interest in preserving erroneous judgments, it has no interest in foreclosing appeals therefrom by imposing unreasonable conditions on the right to appeal.</w:t>
      </w:r>
      <w:r w:rsidR="002066B4">
        <w:rPr>
          <w:rStyle w:val="ssrfcpassagedeactivated"/>
          <w:bdr w:val="none" w:sz="0" w:space="0" w:color="auto" w:frame="1"/>
        </w:rPr>
        <w:t>’ ”  (</w:t>
      </w:r>
      <w:r w:rsidR="002066B4">
        <w:rPr>
          <w:rStyle w:val="ssrfcpassagedeactivated"/>
          <w:i/>
          <w:iCs/>
          <w:bdr w:val="none" w:sz="0" w:space="0" w:color="auto" w:frame="1"/>
        </w:rPr>
        <w:t>Brown</w:t>
      </w:r>
      <w:r w:rsidR="002066B4">
        <w:rPr>
          <w:rStyle w:val="ssrfcpassagedeactivated"/>
          <w:bdr w:val="none" w:sz="0" w:space="0" w:color="auto" w:frame="1"/>
        </w:rPr>
        <w:t xml:space="preserve">, at p. 962, quoting </w:t>
      </w:r>
      <w:r w:rsidR="002066B4">
        <w:rPr>
          <w:rStyle w:val="ssrfcpassagedeactivated"/>
          <w:i/>
          <w:iCs/>
          <w:bdr w:val="none" w:sz="0" w:space="0" w:color="auto" w:frame="1"/>
        </w:rPr>
        <w:t>Henderson</w:t>
      </w:r>
      <w:r w:rsidR="002066B4">
        <w:rPr>
          <w:rStyle w:val="ssrfcpassagedeactivated"/>
          <w:bdr w:val="none" w:sz="0" w:space="0" w:color="auto" w:frame="1"/>
        </w:rPr>
        <w:t xml:space="preserve">, </w:t>
      </w:r>
      <w:r w:rsidR="002066B4">
        <w:rPr>
          <w:rStyle w:val="ssrfcpassagedeactivated"/>
          <w:i/>
          <w:iCs/>
          <w:bdr w:val="none" w:sz="0" w:space="0" w:color="auto" w:frame="1"/>
        </w:rPr>
        <w:t>supra</w:t>
      </w:r>
      <w:r w:rsidR="002066B4">
        <w:rPr>
          <w:rStyle w:val="ssrfcpassagedeactivated"/>
          <w:bdr w:val="none" w:sz="0" w:space="0" w:color="auto" w:frame="1"/>
        </w:rPr>
        <w:t>, 60 Cal.2</w:t>
      </w:r>
      <w:r w:rsidR="00376F9F">
        <w:rPr>
          <w:rStyle w:val="ssrfcpassagedeactivated"/>
          <w:bdr w:val="none" w:sz="0" w:space="0" w:color="auto" w:frame="1"/>
        </w:rPr>
        <w:t xml:space="preserve">d at p. 497 &amp; citing </w:t>
      </w:r>
      <w:r w:rsidR="00376F9F">
        <w:rPr>
          <w:rStyle w:val="ssrfcpassagedeactivated"/>
          <w:i/>
          <w:iCs/>
          <w:bdr w:val="none" w:sz="0" w:space="0" w:color="auto" w:frame="1"/>
        </w:rPr>
        <w:t>Serrato</w:t>
      </w:r>
      <w:r w:rsidR="00376F9F">
        <w:rPr>
          <w:rStyle w:val="ssrfcpassagedeactivated"/>
          <w:bdr w:val="none" w:sz="0" w:space="0" w:color="auto" w:frame="1"/>
        </w:rPr>
        <w:t xml:space="preserve">, </w:t>
      </w:r>
      <w:r w:rsidR="00376F9F">
        <w:rPr>
          <w:rStyle w:val="ssrfcpassagedeactivated"/>
          <w:i/>
          <w:iCs/>
          <w:bdr w:val="none" w:sz="0" w:space="0" w:color="auto" w:frame="1"/>
        </w:rPr>
        <w:t>supra</w:t>
      </w:r>
      <w:r w:rsidR="00376F9F">
        <w:rPr>
          <w:rStyle w:val="ssrfcpassagedeactivated"/>
          <w:bdr w:val="none" w:sz="0" w:space="0" w:color="auto" w:frame="1"/>
        </w:rPr>
        <w:t>, 9 Cal.3d at p. 767</w:t>
      </w:r>
      <w:r w:rsidR="002066B4">
        <w:rPr>
          <w:rStyle w:val="ssrfcpassagedeactivated"/>
          <w:bdr w:val="none" w:sz="0" w:space="0" w:color="auto" w:frame="1"/>
        </w:rPr>
        <w:t xml:space="preserve"> </w:t>
      </w:r>
      <w:r w:rsidR="00376F9F">
        <w:rPr>
          <w:rStyle w:val="ssrfcpassagedeactivated"/>
          <w:bdr w:val="none" w:sz="0" w:space="0" w:color="auto" w:frame="1"/>
        </w:rPr>
        <w:t>[Mosk, J., conc</w:t>
      </w:r>
      <w:r w:rsidR="001E10C7">
        <w:rPr>
          <w:rStyle w:val="ssrfcpassagedeactivated"/>
          <w:bdr w:val="none" w:sz="0" w:space="0" w:color="auto" w:frame="1"/>
        </w:rPr>
        <w:t>.</w:t>
      </w:r>
      <w:r w:rsidR="00376F9F">
        <w:rPr>
          <w:rStyle w:val="ssrfcpassagedeactivated"/>
          <w:bdr w:val="none" w:sz="0" w:space="0" w:color="auto" w:frame="1"/>
        </w:rPr>
        <w:t xml:space="preserve"> and dis</w:t>
      </w:r>
      <w:r w:rsidR="001E10C7">
        <w:rPr>
          <w:rStyle w:val="ssrfcpassagedeactivated"/>
          <w:bdr w:val="none" w:sz="0" w:space="0" w:color="auto" w:frame="1"/>
        </w:rPr>
        <w:t>.</w:t>
      </w:r>
      <w:r w:rsidR="00376F9F">
        <w:rPr>
          <w:rStyle w:val="ssrfcpassagedeactivated"/>
          <w:bdr w:val="none" w:sz="0" w:space="0" w:color="auto" w:frame="1"/>
        </w:rPr>
        <w:t xml:space="preserve"> opn.].)</w:t>
      </w:r>
      <w:r w:rsidR="00E337FC">
        <w:rPr>
          <w:rStyle w:val="ssrfcpassagedeactivated"/>
          <w:bdr w:val="none" w:sz="0" w:space="0" w:color="auto" w:frame="1"/>
        </w:rPr>
        <w:t xml:space="preserve">  </w:t>
      </w:r>
      <w:bookmarkEnd w:id="14"/>
      <w:r w:rsidR="00E337FC">
        <w:rPr>
          <w:rStyle w:val="ssrfcpassagedeactivated"/>
          <w:bdr w:val="none" w:sz="0" w:space="0" w:color="auto" w:frame="1"/>
        </w:rPr>
        <w:t xml:space="preserve">Nevertheless, since the Supreme Court has not retracted </w:t>
      </w:r>
      <w:r w:rsidR="00E337FC">
        <w:rPr>
          <w:rStyle w:val="ssrfcpassagedeactivated"/>
          <w:i/>
          <w:iCs/>
          <w:bdr w:val="none" w:sz="0" w:space="0" w:color="auto" w:frame="1"/>
        </w:rPr>
        <w:t xml:space="preserve">Serrato </w:t>
      </w:r>
      <w:r w:rsidR="00E337FC">
        <w:rPr>
          <w:rStyle w:val="ssrfcpassagedeactivated"/>
          <w:bdr w:val="none" w:sz="0" w:space="0" w:color="auto" w:frame="1"/>
        </w:rPr>
        <w:t>in the last 50 years, we are bound to follow it.  (</w:t>
      </w:r>
      <w:r w:rsidR="00E337FC">
        <w:rPr>
          <w:rStyle w:val="ssrfcpassagedeactivated"/>
          <w:i/>
          <w:iCs/>
          <w:bdr w:val="none" w:sz="0" w:space="0" w:color="auto" w:frame="1"/>
        </w:rPr>
        <w:t xml:space="preserve">Auto </w:t>
      </w:r>
      <w:r w:rsidRPr="00E337FC" w:rsidR="00E337FC">
        <w:rPr>
          <w:rStyle w:val="ssrfcpassagedeactivated"/>
          <w:i/>
          <w:iCs/>
          <w:bdr w:val="none" w:sz="0" w:space="0" w:color="auto" w:frame="1"/>
        </w:rPr>
        <w:t>Equity Sales</w:t>
      </w:r>
      <w:r w:rsidR="007B1F99">
        <w:rPr>
          <w:rStyle w:val="ssrfcpassagedeactivated"/>
          <w:i/>
          <w:iCs/>
          <w:bdr w:val="none" w:sz="0" w:space="0" w:color="auto" w:frame="1"/>
        </w:rPr>
        <w:t>, Inc.</w:t>
      </w:r>
      <w:r w:rsidRPr="00E337FC" w:rsidR="00E337FC">
        <w:rPr>
          <w:rStyle w:val="ssrfcpassagedeactivated"/>
          <w:i/>
          <w:iCs/>
          <w:bdr w:val="none" w:sz="0" w:space="0" w:color="auto" w:frame="1"/>
        </w:rPr>
        <w:t xml:space="preserve"> v. Superi</w:t>
      </w:r>
      <w:r w:rsidR="00E337FC">
        <w:rPr>
          <w:rStyle w:val="ssrfcpassagedeactivated"/>
          <w:i/>
          <w:iCs/>
          <w:bdr w:val="none" w:sz="0" w:space="0" w:color="auto" w:frame="1"/>
        </w:rPr>
        <w:t xml:space="preserve">or Court </w:t>
      </w:r>
      <w:r w:rsidR="00E337FC">
        <w:rPr>
          <w:rStyle w:val="ssrfcpassagedeactivated"/>
          <w:bdr w:val="none" w:sz="0" w:space="0" w:color="auto" w:frame="1"/>
        </w:rPr>
        <w:t>(1962) 57 Cal.2d 450, 455.</w:t>
      </w:r>
      <w:r>
        <w:rPr>
          <w:rStyle w:val="ssrfcpassagedeactivated"/>
          <w:bdr w:val="none" w:sz="0" w:space="0" w:color="auto" w:frame="1"/>
        </w:rPr>
        <w:t xml:space="preserve">)  We therefore turn to </w:t>
      </w:r>
      <w:r w:rsidR="00D3250E">
        <w:rPr>
          <w:rStyle w:val="ssrfcpassagedeactivated"/>
          <w:bdr w:val="none" w:sz="0" w:space="0" w:color="auto" w:frame="1"/>
        </w:rPr>
        <w:t xml:space="preserve">the question of </w:t>
      </w:r>
      <w:r>
        <w:rPr>
          <w:rStyle w:val="ssrfcpassagedeactivated"/>
          <w:bdr w:val="none" w:sz="0" w:space="0" w:color="auto" w:frame="1"/>
        </w:rPr>
        <w:t>how it should be applied in this case.</w:t>
      </w:r>
    </w:p>
    <w:p w:rsidR="00181126" w:rsidRPr="00622C37" w:rsidP="002066B4" w14:paraId="787CC59C" w14:textId="2C2C6E35">
      <w:pPr>
        <w:pStyle w:val="Text"/>
        <w:ind w:firstLine="0"/>
        <w:rPr>
          <w:rStyle w:val="ssrfcpassagedeactivated"/>
        </w:rPr>
      </w:pPr>
      <w:r>
        <w:rPr>
          <w:rStyle w:val="ssrfcpassagedeactivated"/>
          <w:bdr w:val="none" w:sz="0" w:space="0" w:color="auto" w:frame="1"/>
        </w:rPr>
        <w:tab/>
        <w:t xml:space="preserve">In our prior opinion, we </w:t>
      </w:r>
      <w:r w:rsidR="007E56D3">
        <w:rPr>
          <w:rStyle w:val="ssrfcpassagedeactivated"/>
          <w:bdr w:val="none" w:sz="0" w:space="0" w:color="auto" w:frame="1"/>
        </w:rPr>
        <w:t>found</w:t>
      </w:r>
      <w:r>
        <w:rPr>
          <w:rStyle w:val="ssrfcpassagedeactivated"/>
          <w:bdr w:val="none" w:sz="0" w:space="0" w:color="auto" w:frame="1"/>
        </w:rPr>
        <w:t xml:space="preserve"> two instances where the trial court erroneously failed to stay sentences under section 654</w:t>
      </w:r>
      <w:r w:rsidR="00583F82">
        <w:rPr>
          <w:rStyle w:val="ssrfcpassagedeactivated"/>
          <w:bdr w:val="none" w:sz="0" w:space="0" w:color="auto" w:frame="1"/>
        </w:rPr>
        <w:t>,</w:t>
      </w:r>
      <w:r>
        <w:rPr>
          <w:rStyle w:val="ssrfcpassagedeactivated"/>
          <w:bdr w:val="none" w:sz="0" w:space="0" w:color="auto" w:frame="1"/>
        </w:rPr>
        <w:t xml:space="preserve"> and </w:t>
      </w:r>
      <w:r w:rsidR="00583F82">
        <w:rPr>
          <w:rStyle w:val="ssrfcpassagedeactivated"/>
          <w:bdr w:val="none" w:sz="0" w:space="0" w:color="auto" w:frame="1"/>
        </w:rPr>
        <w:t xml:space="preserve">we also </w:t>
      </w:r>
      <w:r>
        <w:rPr>
          <w:rStyle w:val="ssrfcpassagedeactivated"/>
          <w:bdr w:val="none" w:sz="0" w:space="0" w:color="auto" w:frame="1"/>
        </w:rPr>
        <w:t>suggested that Trammel could raise any additional section 654 challenges upon remand for resentencing.</w:t>
      </w:r>
      <w:r w:rsidR="00DC5681">
        <w:rPr>
          <w:rStyle w:val="ssrfcpassagedeactivated"/>
          <w:bdr w:val="none" w:sz="0" w:space="0" w:color="auto" w:frame="1"/>
        </w:rPr>
        <w:t xml:space="preserve">  At the resentencing hearing, the trial court corrected the errors </w:t>
      </w:r>
      <w:r w:rsidR="007E56D3">
        <w:rPr>
          <w:rStyle w:val="ssrfcpassagedeactivated"/>
          <w:bdr w:val="none" w:sz="0" w:space="0" w:color="auto" w:frame="1"/>
        </w:rPr>
        <w:t xml:space="preserve">we identified </w:t>
      </w:r>
      <w:r w:rsidR="00DC5681">
        <w:rPr>
          <w:rStyle w:val="ssrfcpassagedeactivated"/>
          <w:bdr w:val="none" w:sz="0" w:space="0" w:color="auto" w:frame="1"/>
        </w:rPr>
        <w:t>by choosing to stay two simple assault counts (counts VIII and X</w:t>
      </w:r>
      <w:r w:rsidR="009C6564">
        <w:rPr>
          <w:rStyle w:val="ssrfcpassagedeactivated"/>
          <w:bdr w:val="none" w:sz="0" w:space="0" w:color="auto" w:frame="1"/>
        </w:rPr>
        <w:t>, both 180 days</w:t>
      </w:r>
      <w:r w:rsidR="00DC5681">
        <w:rPr>
          <w:rStyle w:val="ssrfcpassagedeactivated"/>
          <w:bdr w:val="none" w:sz="0" w:space="0" w:color="auto" w:frame="1"/>
        </w:rPr>
        <w:t xml:space="preserve">).  The </w:t>
      </w:r>
      <w:r w:rsidR="00A475A2">
        <w:rPr>
          <w:rStyle w:val="ssrfcpassagedeactivated"/>
          <w:bdr w:val="none" w:sz="0" w:space="0" w:color="auto" w:frame="1"/>
        </w:rPr>
        <w:t xml:space="preserve">court also stayed </w:t>
      </w:r>
      <w:r w:rsidR="00DC5681">
        <w:rPr>
          <w:rStyle w:val="ssrfcpassagedeactivated"/>
          <w:bdr w:val="none" w:sz="0" w:space="0" w:color="auto" w:frame="1"/>
        </w:rPr>
        <w:t xml:space="preserve">the </w:t>
      </w:r>
      <w:r w:rsidR="009C6564">
        <w:rPr>
          <w:rStyle w:val="ssrfcpassagedeactivated"/>
          <w:bdr w:val="none" w:sz="0" w:space="0" w:color="auto" w:frame="1"/>
        </w:rPr>
        <w:t xml:space="preserve">sentences for the </w:t>
      </w:r>
      <w:r w:rsidR="00DC5681">
        <w:rPr>
          <w:rStyle w:val="ssrfcpassagedeactivated"/>
          <w:bdr w:val="none" w:sz="0" w:space="0" w:color="auto" w:frame="1"/>
        </w:rPr>
        <w:t>count V vandalism charge</w:t>
      </w:r>
      <w:r w:rsidR="009C6564">
        <w:rPr>
          <w:rStyle w:val="ssrfcpassagedeactivated"/>
          <w:bdr w:val="none" w:sz="0" w:space="0" w:color="auto" w:frame="1"/>
        </w:rPr>
        <w:t xml:space="preserve"> (one year)</w:t>
      </w:r>
      <w:r w:rsidR="00914910">
        <w:rPr>
          <w:rStyle w:val="ssrfcpassagedeactivated"/>
          <w:bdr w:val="none" w:sz="0" w:space="0" w:color="auto" w:frame="1"/>
        </w:rPr>
        <w:t>, the count VIII simple assault charge</w:t>
      </w:r>
      <w:r w:rsidR="009C6564">
        <w:rPr>
          <w:rStyle w:val="ssrfcpassagedeactivated"/>
          <w:bdr w:val="none" w:sz="0" w:space="0" w:color="auto" w:frame="1"/>
        </w:rPr>
        <w:t xml:space="preserve"> (180 days), and the count II criminal threats charge (eight months) on section 654 grounds</w:t>
      </w:r>
      <w:r w:rsidR="00DC5681">
        <w:rPr>
          <w:rStyle w:val="ssrfcpassagedeactivated"/>
          <w:bdr w:val="none" w:sz="0" w:space="0" w:color="auto" w:frame="1"/>
        </w:rPr>
        <w:t>.</w:t>
      </w:r>
      <w:r w:rsidRPr="00A475A2" w:rsidR="00A475A2">
        <w:rPr>
          <w:rStyle w:val="ssrfcpassagedeactivated"/>
          <w:bdr w:val="none" w:sz="0" w:space="0" w:color="auto" w:frame="1"/>
        </w:rPr>
        <w:t xml:space="preserve"> </w:t>
      </w:r>
      <w:r w:rsidR="00A475A2">
        <w:t xml:space="preserve"> </w:t>
      </w:r>
      <w:r w:rsidR="00914910">
        <w:t>Sentences for count I (18 months), count VII (one year plus one year for relate</w:t>
      </w:r>
      <w:r w:rsidR="00374629">
        <w:t>d</w:t>
      </w:r>
      <w:r w:rsidR="00914910">
        <w:t xml:space="preserve"> enhancement), and count </w:t>
      </w:r>
      <w:r w:rsidR="007E56D3">
        <w:t>X</w:t>
      </w:r>
      <w:r w:rsidR="00914910">
        <w:t xml:space="preserve">I (8 years) remained the same, but were imposed after full consideration of the </w:t>
      </w:r>
      <w:r w:rsidR="004A4A65">
        <w:t xml:space="preserve">recent </w:t>
      </w:r>
      <w:r w:rsidR="00914910">
        <w:t>changes in the sentencing laws.</w:t>
      </w:r>
      <w:r w:rsidRPr="00914910" w:rsidR="00914910">
        <w:t xml:space="preserve"> </w:t>
      </w:r>
      <w:r w:rsidR="00622C37">
        <w:rPr>
          <w:rStyle w:val="ssrfcpassagedeactivated"/>
          <w:bdr w:val="none" w:sz="0" w:space="0" w:color="auto" w:frame="1"/>
        </w:rPr>
        <w:t xml:space="preserve"> </w:t>
      </w:r>
      <w:r w:rsidR="00CA5F54">
        <w:rPr>
          <w:rStyle w:val="ssrfcpassagedeactivated"/>
          <w:bdr w:val="none" w:sz="0" w:space="0" w:color="auto" w:frame="1"/>
        </w:rPr>
        <w:t xml:space="preserve">The court changed the concurrent three-year sentence on count XII to a concurrent </w:t>
      </w:r>
      <w:r w:rsidR="007E56D3">
        <w:rPr>
          <w:rStyle w:val="ssrfcpassagedeactivated"/>
          <w:bdr w:val="none" w:sz="0" w:space="0" w:color="auto" w:frame="1"/>
        </w:rPr>
        <w:t>one</w:t>
      </w:r>
      <w:r w:rsidR="00CA5F54">
        <w:rPr>
          <w:rStyle w:val="ssrfcpassagedeactivated"/>
          <w:bdr w:val="none" w:sz="0" w:space="0" w:color="auto" w:frame="1"/>
        </w:rPr>
        <w:t>-year term</w:t>
      </w:r>
      <w:r w:rsidR="00622C37">
        <w:rPr>
          <w:rStyle w:val="ssrfcpassagedeactivated"/>
          <w:bdr w:val="none" w:sz="0" w:space="0" w:color="auto" w:frame="1"/>
        </w:rPr>
        <w:t xml:space="preserve"> and the concurrent three-year sentence on count </w:t>
      </w:r>
      <w:r w:rsidR="007E56D3">
        <w:rPr>
          <w:rStyle w:val="ssrfcpassagedeactivated"/>
          <w:bdr w:val="none" w:sz="0" w:space="0" w:color="auto" w:frame="1"/>
        </w:rPr>
        <w:t>IX to a consecutive one-year term</w:t>
      </w:r>
      <w:r w:rsidR="00CA5F54">
        <w:rPr>
          <w:rStyle w:val="ssrfcpassagedeactivated"/>
          <w:bdr w:val="none" w:sz="0" w:space="0" w:color="auto" w:frame="1"/>
        </w:rPr>
        <w:t>.</w:t>
      </w:r>
      <w:r w:rsidRPr="00CA5F54" w:rsidR="00CA5F54">
        <w:t xml:space="preserve"> </w:t>
      </w:r>
    </w:p>
    <w:p w:rsidR="005772BD" w:rsidRPr="003A6694" w:rsidP="00A475A2" w14:paraId="7AF5FE01" w14:textId="0BF3333B">
      <w:pPr>
        <w:pStyle w:val="Text"/>
        <w:ind w:firstLine="0"/>
        <w:rPr>
          <w:rStyle w:val="ssrfcpassagedeactivated"/>
          <w:bdr w:val="none" w:sz="0" w:space="0" w:color="auto" w:frame="1"/>
        </w:rPr>
      </w:pPr>
      <w:r>
        <w:rPr>
          <w:rStyle w:val="ssrfcpassagedeactivated"/>
          <w:bdr w:val="none" w:sz="0" w:space="0" w:color="auto" w:frame="1"/>
        </w:rPr>
        <w:tab/>
        <w:t xml:space="preserve">In sum, all of the section 654 violations that were corrected by the trial court resulted either in no change or a decrease in Trammel’s aggregate sentence.  The extra four months </w:t>
      </w:r>
      <w:r w:rsidR="00583F82">
        <w:rPr>
          <w:rStyle w:val="ssrfcpassagedeactivated"/>
          <w:bdr w:val="none" w:sz="0" w:space="0" w:color="auto" w:frame="1"/>
        </w:rPr>
        <w:t xml:space="preserve">the court </w:t>
      </w:r>
      <w:r>
        <w:rPr>
          <w:rStyle w:val="ssrfcpassagedeactivated"/>
          <w:bdr w:val="none" w:sz="0" w:space="0" w:color="auto" w:frame="1"/>
        </w:rPr>
        <w:t xml:space="preserve">imposed at resentencing </w:t>
      </w:r>
      <w:r w:rsidR="003A6694">
        <w:rPr>
          <w:rStyle w:val="ssrfcpassagedeactivated"/>
          <w:bdr w:val="none" w:sz="0" w:space="0" w:color="auto" w:frame="1"/>
        </w:rPr>
        <w:t>w</w:t>
      </w:r>
      <w:r w:rsidR="00583F82">
        <w:rPr>
          <w:rStyle w:val="ssrfcpassagedeactivated"/>
          <w:bdr w:val="none" w:sz="0" w:space="0" w:color="auto" w:frame="1"/>
        </w:rPr>
        <w:t>ere</w:t>
      </w:r>
      <w:r w:rsidR="003A6694">
        <w:rPr>
          <w:rStyle w:val="ssrfcpassagedeactivated"/>
          <w:bdr w:val="none" w:sz="0" w:space="0" w:color="auto" w:frame="1"/>
        </w:rPr>
        <w:t xml:space="preserve"> the result of </w:t>
      </w:r>
      <w:r w:rsidR="004A4A65">
        <w:rPr>
          <w:rStyle w:val="ssrfcpassagedeactivated"/>
          <w:bdr w:val="none" w:sz="0" w:space="0" w:color="auto" w:frame="1"/>
        </w:rPr>
        <w:t xml:space="preserve">the </w:t>
      </w:r>
      <w:r w:rsidR="003A6694">
        <w:rPr>
          <w:rStyle w:val="ssrfcpassagedeactivated"/>
          <w:bdr w:val="none" w:sz="0" w:space="0" w:color="auto" w:frame="1"/>
        </w:rPr>
        <w:t>trial court swapping the eight-month criminal threats charge (count II)</w:t>
      </w:r>
      <w:r w:rsidR="004A4A65">
        <w:rPr>
          <w:rStyle w:val="ssrfcpassagedeactivated"/>
          <w:bdr w:val="none" w:sz="0" w:space="0" w:color="auto" w:frame="1"/>
        </w:rPr>
        <w:t xml:space="preserve">, </w:t>
      </w:r>
      <w:r w:rsidR="003A6694">
        <w:rPr>
          <w:rStyle w:val="ssrfcpassagedeactivated"/>
          <w:bdr w:val="none" w:sz="0" w:space="0" w:color="auto" w:frame="1"/>
        </w:rPr>
        <w:t>which the court stayed</w:t>
      </w:r>
      <w:r w:rsidR="004A4A65">
        <w:rPr>
          <w:rStyle w:val="ssrfcpassagedeactivated"/>
          <w:bdr w:val="none" w:sz="0" w:space="0" w:color="auto" w:frame="1"/>
        </w:rPr>
        <w:t>,</w:t>
      </w:r>
      <w:r w:rsidR="003A6694">
        <w:rPr>
          <w:rStyle w:val="ssrfcpassagedeactivated"/>
          <w:bdr w:val="none" w:sz="0" w:space="0" w:color="auto" w:frame="1"/>
        </w:rPr>
        <w:t xml:space="preserve"> w</w:t>
      </w:r>
      <w:r w:rsidR="006A50A2">
        <w:rPr>
          <w:rStyle w:val="ssrfcpassagedeactivated"/>
          <w:bdr w:val="none" w:sz="0" w:space="0" w:color="auto" w:frame="1"/>
        </w:rPr>
        <w:t>ith</w:t>
      </w:r>
      <w:r w:rsidR="003A6694">
        <w:rPr>
          <w:rStyle w:val="ssrfcpassagedeactivated"/>
          <w:bdr w:val="none" w:sz="0" w:space="0" w:color="auto" w:frame="1"/>
        </w:rPr>
        <w:t xml:space="preserve"> a consecutive sentence of one year on count IX, which the judge reduced from three years and made consecutive instead of concurrent. </w:t>
      </w:r>
      <w:r>
        <w:rPr>
          <w:rStyle w:val="ssrfcpassagedeactivated"/>
          <w:bdr w:val="none" w:sz="0" w:space="0" w:color="auto" w:frame="1"/>
        </w:rPr>
        <w:t xml:space="preserve"> </w:t>
      </w:r>
      <w:r w:rsidR="003A6694">
        <w:rPr>
          <w:rStyle w:val="ssrfcpassagedeactivated"/>
          <w:bdr w:val="none" w:sz="0" w:space="0" w:color="auto" w:frame="1"/>
        </w:rPr>
        <w:t xml:space="preserve">The sentence for count IX was permissible both when originally imposed and when modified upon resentencing.  The question, then, is whether </w:t>
      </w:r>
      <w:r w:rsidR="003D0C96">
        <w:rPr>
          <w:rStyle w:val="ssrfcpassagedeactivated"/>
          <w:bdr w:val="none" w:sz="0" w:space="0" w:color="auto" w:frame="1"/>
        </w:rPr>
        <w:t xml:space="preserve">an </w:t>
      </w:r>
      <w:r w:rsidR="003A6694">
        <w:rPr>
          <w:rStyle w:val="ssrfcpassagedeactivated"/>
          <w:bdr w:val="none" w:sz="0" w:space="0" w:color="auto" w:frame="1"/>
        </w:rPr>
        <w:t xml:space="preserve">erroneous sentence under section 654 which improperly </w:t>
      </w:r>
      <w:r w:rsidRPr="003D0C96" w:rsidR="003A6694">
        <w:rPr>
          <w:rStyle w:val="ssrfcpassagedeactivated"/>
          <w:i/>
          <w:iCs/>
          <w:bdr w:val="none" w:sz="0" w:space="0" w:color="auto" w:frame="1"/>
        </w:rPr>
        <w:t>inflated</w:t>
      </w:r>
      <w:r w:rsidR="003A6694">
        <w:rPr>
          <w:rStyle w:val="ssrfcpassagedeactivated"/>
          <w:bdr w:val="none" w:sz="0" w:space="0" w:color="auto" w:frame="1"/>
        </w:rPr>
        <w:t xml:space="preserve"> Trammel’s </w:t>
      </w:r>
      <w:r w:rsidR="003D0C96">
        <w:rPr>
          <w:rStyle w:val="ssrfcpassagedeactivated"/>
          <w:bdr w:val="none" w:sz="0" w:space="0" w:color="auto" w:frame="1"/>
        </w:rPr>
        <w:t xml:space="preserve">aggregate </w:t>
      </w:r>
      <w:r w:rsidR="003A6694">
        <w:rPr>
          <w:rStyle w:val="ssrfcpassagedeactivated"/>
          <w:bdr w:val="none" w:sz="0" w:space="0" w:color="auto" w:frame="1"/>
        </w:rPr>
        <w:t>sentence fall</w:t>
      </w:r>
      <w:r w:rsidR="003D0C96">
        <w:rPr>
          <w:rStyle w:val="ssrfcpassagedeactivated"/>
          <w:bdr w:val="none" w:sz="0" w:space="0" w:color="auto" w:frame="1"/>
        </w:rPr>
        <w:t>s</w:t>
      </w:r>
      <w:r w:rsidR="003A6694">
        <w:rPr>
          <w:rStyle w:val="ssrfcpassagedeactivated"/>
          <w:bdr w:val="none" w:sz="0" w:space="0" w:color="auto" w:frame="1"/>
        </w:rPr>
        <w:t xml:space="preserve"> within the </w:t>
      </w:r>
      <w:r w:rsidR="003A6694">
        <w:rPr>
          <w:rStyle w:val="ssrfcpassagedeactivated"/>
          <w:i/>
          <w:iCs/>
          <w:bdr w:val="none" w:sz="0" w:space="0" w:color="auto" w:frame="1"/>
        </w:rPr>
        <w:t xml:space="preserve">Serrato </w:t>
      </w:r>
      <w:r w:rsidR="003A6694">
        <w:rPr>
          <w:rStyle w:val="ssrfcpassagedeactivated"/>
          <w:bdr w:val="none" w:sz="0" w:space="0" w:color="auto" w:frame="1"/>
        </w:rPr>
        <w:t>exception, thus allowing a harsher sentence on remand.  We conclude that it does not.</w:t>
      </w:r>
    </w:p>
    <w:p w:rsidR="00043400" w:rsidRPr="005D7F48" w:rsidP="00043400" w14:paraId="41642A80" w14:textId="6299FF06">
      <w:pPr>
        <w:pStyle w:val="Text"/>
        <w:ind w:firstLine="0"/>
        <w:rPr>
          <w:i/>
          <w:iCs/>
        </w:rPr>
      </w:pPr>
      <w:r>
        <w:tab/>
      </w:r>
      <w:r w:rsidR="00DC260D">
        <w:t xml:space="preserve">When the </w:t>
      </w:r>
      <w:r w:rsidR="004578F6">
        <w:rPr>
          <w:i/>
          <w:iCs/>
        </w:rPr>
        <w:t>Serrato</w:t>
      </w:r>
      <w:r w:rsidR="004578F6">
        <w:t xml:space="preserve"> </w:t>
      </w:r>
      <w:r w:rsidR="00DC260D">
        <w:t xml:space="preserve">Court discussed the </w:t>
      </w:r>
      <w:r w:rsidR="004578F6">
        <w:t xml:space="preserve">exception </w:t>
      </w:r>
      <w:r w:rsidR="00DC260D">
        <w:t xml:space="preserve">to </w:t>
      </w:r>
      <w:r w:rsidRPr="00DC260D" w:rsidR="00DC260D">
        <w:rPr>
          <w:i/>
          <w:iCs/>
        </w:rPr>
        <w:t>Henderson</w:t>
      </w:r>
      <w:r w:rsidR="00DC260D">
        <w:t xml:space="preserve"> it was </w:t>
      </w:r>
      <w:r w:rsidR="00156E03">
        <w:t>articulating</w:t>
      </w:r>
      <w:r w:rsidR="00DC260D">
        <w:t>, it listed three cases as examples of the problem it was addressing.  (</w:t>
      </w:r>
      <w:r w:rsidRPr="00DC260D" w:rsidR="00DC260D">
        <w:rPr>
          <w:i/>
          <w:iCs/>
        </w:rPr>
        <w:t>Serrato,</w:t>
      </w:r>
      <w:r w:rsidR="00DC260D">
        <w:t xml:space="preserve"> </w:t>
      </w:r>
      <w:r w:rsidRPr="00DC260D" w:rsidR="00DC260D">
        <w:rPr>
          <w:i/>
          <w:iCs/>
        </w:rPr>
        <w:t>supra</w:t>
      </w:r>
      <w:r w:rsidR="00DC260D">
        <w:t>, 9 Cal.3d at p</w:t>
      </w:r>
      <w:r w:rsidR="00231C0F">
        <w:t>p</w:t>
      </w:r>
      <w:r w:rsidR="00DC260D">
        <w:t xml:space="preserve">. </w:t>
      </w:r>
      <w:r w:rsidR="00231C0F">
        <w:t>764–</w:t>
      </w:r>
      <w:r w:rsidR="00DC260D">
        <w:t xml:space="preserve">765.)  In all of those cases, the unauthorized sentence imposed was </w:t>
      </w:r>
      <w:r w:rsidR="004578F6">
        <w:t xml:space="preserve">erroneously </w:t>
      </w:r>
      <w:r w:rsidRPr="00231C0F" w:rsidR="00DC260D">
        <w:rPr>
          <w:i/>
          <w:iCs/>
        </w:rPr>
        <w:t>lenient</w:t>
      </w:r>
      <w:r w:rsidR="004578F6">
        <w:t>.</w:t>
      </w:r>
      <w:r w:rsidR="00DC260D">
        <w:t xml:space="preserve">  (</w:t>
      </w:r>
      <w:r w:rsidR="00DC260D">
        <w:rPr>
          <w:i/>
          <w:iCs/>
        </w:rPr>
        <w:t>I</w:t>
      </w:r>
      <w:r w:rsidR="00231C0F">
        <w:rPr>
          <w:i/>
          <w:iCs/>
        </w:rPr>
        <w:t>bi</w:t>
      </w:r>
      <w:r w:rsidR="00DC260D">
        <w:rPr>
          <w:i/>
          <w:iCs/>
        </w:rPr>
        <w:t>d</w:t>
      </w:r>
      <w:r w:rsidR="00DC260D">
        <w:t>.)</w:t>
      </w:r>
      <w:r w:rsidR="00231C0F">
        <w:t xml:space="preserve">  As was the sentence that </w:t>
      </w:r>
      <w:r w:rsidR="00231C0F">
        <w:rPr>
          <w:i/>
          <w:iCs/>
        </w:rPr>
        <w:t>Serrato</w:t>
      </w:r>
      <w:r w:rsidR="00231C0F">
        <w:t xml:space="preserve">, itself, was </w:t>
      </w:r>
      <w:r w:rsidR="003D0C96">
        <w:t>reviewing</w:t>
      </w:r>
      <w:r w:rsidR="00231C0F">
        <w:t>.  (</w:t>
      </w:r>
      <w:r w:rsidR="00231C0F">
        <w:rPr>
          <w:i/>
          <w:iCs/>
        </w:rPr>
        <w:t>Id.</w:t>
      </w:r>
      <w:r w:rsidR="00231C0F">
        <w:t xml:space="preserve"> at p. 756</w:t>
      </w:r>
      <w:r w:rsidR="00156E03">
        <w:t xml:space="preserve">; see </w:t>
      </w:r>
      <w:r w:rsidR="00156E03">
        <w:rPr>
          <w:i/>
          <w:iCs/>
        </w:rPr>
        <w:t>id.</w:t>
      </w:r>
      <w:r w:rsidR="00156E03">
        <w:t xml:space="preserve"> at pp.</w:t>
      </w:r>
      <w:r w:rsidR="001E10C7">
        <w:t> </w:t>
      </w:r>
      <w:r w:rsidR="00156E03">
        <w:t>762–763 [“</w:t>
      </w:r>
      <w:r w:rsidRPr="00156E03" w:rsidR="00156E03">
        <w:rPr>
          <w:color w:val="000000"/>
        </w:rPr>
        <w:t>What appears is that the trial court desired to exercise an unauthorized leniency</w:t>
      </w:r>
      <w:r w:rsidRPr="00156E03" w:rsidR="00231C0F">
        <w:t>.</w:t>
      </w:r>
      <w:r w:rsidRPr="00156E03" w:rsidR="00156E03">
        <w:t>”].</w:t>
      </w:r>
      <w:r w:rsidRPr="00156E03" w:rsidR="00231C0F">
        <w:t>)</w:t>
      </w:r>
      <w:r w:rsidRPr="00156E03" w:rsidR="00156E03">
        <w:rPr>
          <w:color w:val="000000"/>
        </w:rPr>
        <w:t xml:space="preserve"> </w:t>
      </w:r>
      <w:r w:rsidR="00156E03">
        <w:rPr>
          <w:color w:val="000000"/>
        </w:rPr>
        <w:t xml:space="preserve"> </w:t>
      </w:r>
      <w:r w:rsidR="00231C0F">
        <w:t xml:space="preserve">Moreover, the </w:t>
      </w:r>
      <w:r w:rsidR="00231C0F">
        <w:rPr>
          <w:i/>
          <w:iCs/>
        </w:rPr>
        <w:t>Serrato</w:t>
      </w:r>
      <w:r w:rsidR="00231C0F">
        <w:t xml:space="preserve"> </w:t>
      </w:r>
      <w:r w:rsidRPr="003D74E0" w:rsidR="00231C0F">
        <w:t xml:space="preserve">Court stated that the situation with which it was presented was analogous to </w:t>
      </w:r>
      <w:r w:rsidRPr="003D74E0" w:rsidR="00231C0F">
        <w:rPr>
          <w:color w:val="212121"/>
          <w:shd w:val="clear" w:color="auto" w:fill="FFFFFF"/>
        </w:rPr>
        <w:t xml:space="preserve">cases </w:t>
      </w:r>
      <w:r w:rsidRPr="003D74E0" w:rsidR="003D74E0">
        <w:rPr>
          <w:color w:val="212121"/>
          <w:shd w:val="clear" w:color="auto" w:fill="FFFFFF"/>
        </w:rPr>
        <w:t>in which</w:t>
      </w:r>
      <w:r w:rsidRPr="003D74E0" w:rsidR="00231C0F">
        <w:rPr>
          <w:color w:val="212121"/>
          <w:shd w:val="clear" w:color="auto" w:fill="FFFFFF"/>
        </w:rPr>
        <w:t xml:space="preserve"> a conviction based upon a negotiated guilty plea is set aside</w:t>
      </w:r>
      <w:r w:rsidRPr="003D74E0" w:rsidR="00231C0F">
        <w:t>, whe</w:t>
      </w:r>
      <w:r w:rsidRPr="003D74E0" w:rsidR="003D74E0">
        <w:t>re</w:t>
      </w:r>
      <w:r w:rsidRPr="003D74E0" w:rsidR="00231C0F">
        <w:t xml:space="preserve"> the ends of justice required that counts dismissed by the prosecutor be restored.</w:t>
      </w:r>
      <w:r w:rsidRPr="003D74E0" w:rsidR="003D74E0">
        <w:t xml:space="preserve">  (</w:t>
      </w:r>
      <w:r w:rsidRPr="003D74E0" w:rsidR="003D74E0">
        <w:rPr>
          <w:i/>
          <w:iCs/>
        </w:rPr>
        <w:t>Id.</w:t>
      </w:r>
      <w:r w:rsidRPr="003D74E0" w:rsidR="003D74E0">
        <w:t xml:space="preserve"> at p. 765.)  </w:t>
      </w:r>
      <w:r w:rsidRPr="003D74E0" w:rsidR="00231C0F">
        <w:t xml:space="preserve">Under these circumstances, we agree with the appellate court in </w:t>
      </w:r>
      <w:r w:rsidRPr="003D74E0" w:rsidR="00231C0F">
        <w:rPr>
          <w:i/>
          <w:iCs/>
        </w:rPr>
        <w:t xml:space="preserve">Price </w:t>
      </w:r>
      <w:r w:rsidRPr="003D74E0" w:rsidR="00231C0F">
        <w:t xml:space="preserve">that </w:t>
      </w:r>
      <w:r w:rsidRPr="003D74E0" w:rsidR="003D74E0">
        <w:rPr>
          <w:color w:val="212121"/>
          <w:shd w:val="clear" w:color="auto" w:fill="FFFFFF"/>
        </w:rPr>
        <w:t>“[t]he holding in</w:t>
      </w:r>
      <w:r w:rsidR="00EB0A5D">
        <w:rPr>
          <w:color w:val="212121"/>
          <w:shd w:val="clear" w:color="auto" w:fill="FFFFFF"/>
        </w:rPr>
        <w:t xml:space="preserve"> </w:t>
      </w:r>
      <w:r w:rsidRPr="003D74E0" w:rsidR="003D74E0">
        <w:rPr>
          <w:rStyle w:val="ssit"/>
          <w:i/>
          <w:iCs/>
          <w:color w:val="212121"/>
          <w:bdr w:val="none" w:sz="0" w:space="0" w:color="auto" w:frame="1"/>
          <w:shd w:val="clear" w:color="auto" w:fill="FFFFFF"/>
        </w:rPr>
        <w:t>Serrato</w:t>
      </w:r>
      <w:r w:rsidR="00EB0A5D">
        <w:rPr>
          <w:color w:val="212121"/>
          <w:shd w:val="clear" w:color="auto" w:fill="FFFFFF"/>
        </w:rPr>
        <w:t xml:space="preserve"> </w:t>
      </w:r>
      <w:r w:rsidRPr="003D74E0" w:rsidR="003D74E0">
        <w:rPr>
          <w:color w:val="212121"/>
          <w:shd w:val="clear" w:color="auto" w:fill="FFFFFF"/>
        </w:rPr>
        <w:t>vindicates the People</w:t>
      </w:r>
      <w:r w:rsidR="00156E03">
        <w:rPr>
          <w:color w:val="212121"/>
          <w:shd w:val="clear" w:color="auto" w:fill="FFFFFF"/>
        </w:rPr>
        <w:t>’</w:t>
      </w:r>
      <w:r w:rsidRPr="003D74E0" w:rsidR="003D74E0">
        <w:rPr>
          <w:color w:val="212121"/>
          <w:shd w:val="clear" w:color="auto" w:fill="FFFFFF"/>
        </w:rPr>
        <w:t>s right to imposition of a proper sentence.”</w:t>
      </w:r>
      <w:r w:rsidR="00156E03">
        <w:t xml:space="preserve">  </w:t>
      </w:r>
      <w:r w:rsidR="004578F6">
        <w:t>(</w:t>
      </w:r>
      <w:r w:rsidR="004578F6">
        <w:rPr>
          <w:i/>
          <w:iCs/>
        </w:rPr>
        <w:t>Price</w:t>
      </w:r>
      <w:r w:rsidR="004578F6">
        <w:t xml:space="preserve">, </w:t>
      </w:r>
      <w:r w:rsidR="004578F6">
        <w:rPr>
          <w:i/>
          <w:iCs/>
        </w:rPr>
        <w:t>supra</w:t>
      </w:r>
      <w:r w:rsidR="004578F6">
        <w:t xml:space="preserve">, 184 Cal.App.3d at p. </w:t>
      </w:r>
      <w:r w:rsidR="003D74E0">
        <w:t>1409</w:t>
      </w:r>
      <w:r w:rsidR="00231C0F">
        <w:t xml:space="preserve">; accord, </w:t>
      </w:r>
      <w:r w:rsidRPr="003D74E0" w:rsidR="003D74E0">
        <w:rPr>
          <w:i/>
          <w:iCs/>
        </w:rPr>
        <w:t>Torres</w:t>
      </w:r>
      <w:r w:rsidR="003D74E0">
        <w:t xml:space="preserve">, </w:t>
      </w:r>
      <w:r w:rsidR="003D74E0">
        <w:rPr>
          <w:i/>
          <w:iCs/>
        </w:rPr>
        <w:t>supra</w:t>
      </w:r>
      <w:r w:rsidR="003D74E0">
        <w:t>, 163 Cal.App.4th</w:t>
      </w:r>
      <w:r w:rsidR="003D74E0">
        <w:rPr>
          <w:i/>
          <w:iCs/>
        </w:rPr>
        <w:t xml:space="preserve"> </w:t>
      </w:r>
      <w:r w:rsidR="003D74E0">
        <w:t>at p</w:t>
      </w:r>
      <w:r w:rsidR="00145985">
        <w:t>p</w:t>
      </w:r>
      <w:r w:rsidR="003D74E0">
        <w:t>.</w:t>
      </w:r>
      <w:r w:rsidR="00145985">
        <w:t xml:space="preserve"> 1429-1432;</w:t>
      </w:r>
      <w:r w:rsidR="003D74E0">
        <w:t xml:space="preserve"> </w:t>
      </w:r>
      <w:r w:rsidRPr="00156E03" w:rsidR="00231C0F">
        <w:rPr>
          <w:i/>
          <w:iCs/>
        </w:rPr>
        <w:t>Craig</w:t>
      </w:r>
      <w:r w:rsidR="00231C0F">
        <w:t xml:space="preserve">, </w:t>
      </w:r>
      <w:r w:rsidR="00231C0F">
        <w:rPr>
          <w:i/>
          <w:iCs/>
        </w:rPr>
        <w:t>supra</w:t>
      </w:r>
      <w:r w:rsidR="00231C0F">
        <w:t xml:space="preserve">, </w:t>
      </w:r>
      <w:r w:rsidR="00145985">
        <w:t xml:space="preserve">66 Cal.App.4th at p. 1449.) </w:t>
      </w:r>
      <w:r w:rsidR="00156E03">
        <w:t xml:space="preserve"> </w:t>
      </w:r>
      <w:r w:rsidR="00145985">
        <w:t xml:space="preserve">Thus, the </w:t>
      </w:r>
      <w:r w:rsidR="00145985">
        <w:rPr>
          <w:i/>
          <w:iCs/>
        </w:rPr>
        <w:t>Serrato</w:t>
      </w:r>
      <w:r w:rsidR="00145985">
        <w:t xml:space="preserve"> exception only applies to unauthorized sentences which were unlawfully lenient to the detriment of the People.</w:t>
      </w:r>
      <w:r w:rsidR="005F3524">
        <w:t xml:space="preserve">  (</w:t>
      </w:r>
      <w:r w:rsidR="003D0C96">
        <w:t>Cf.</w:t>
      </w:r>
      <w:r w:rsidR="005F3524">
        <w:t xml:space="preserve"> </w:t>
      </w:r>
      <w:r w:rsidR="005F3524">
        <w:rPr>
          <w:i/>
          <w:iCs/>
        </w:rPr>
        <w:t>Karaman</w:t>
      </w:r>
      <w:r w:rsidR="005F3524">
        <w:t xml:space="preserve">, </w:t>
      </w:r>
      <w:r w:rsidR="005F3524">
        <w:rPr>
          <w:i/>
          <w:iCs/>
        </w:rPr>
        <w:t>supra</w:t>
      </w:r>
      <w:r w:rsidR="005F3524">
        <w:t xml:space="preserve">, </w:t>
      </w:r>
      <w:r w:rsidR="005D7F48">
        <w:t xml:space="preserve">4 Cal.4th at p. 349 &amp; fn. 15 [contrasting the situation where a trial court may not increase a valid sentence after it has commenced with </w:t>
      </w:r>
      <w:r>
        <w:rPr>
          <w:i/>
          <w:iCs/>
          <w:color w:val="212121"/>
          <w:shd w:val="clear" w:color="auto" w:fill="FFFFFF"/>
        </w:rPr>
        <w:t>Serrato</w:t>
      </w:r>
      <w:r>
        <w:rPr>
          <w:color w:val="212121"/>
          <w:shd w:val="clear" w:color="auto" w:fill="FFFFFF"/>
        </w:rPr>
        <w:t xml:space="preserve"> and </w:t>
      </w:r>
      <w:r>
        <w:rPr>
          <w:i/>
          <w:iCs/>
          <w:color w:val="212121"/>
          <w:shd w:val="clear" w:color="auto" w:fill="FFFFFF"/>
        </w:rPr>
        <w:t>Ricky H.</w:t>
      </w:r>
      <w:r w:rsidR="005D7F48">
        <w:rPr>
          <w:i/>
          <w:iCs/>
          <w:color w:val="212121"/>
          <w:shd w:val="clear" w:color="auto" w:fill="FFFFFF"/>
        </w:rPr>
        <w:t xml:space="preserve">, </w:t>
      </w:r>
      <w:r w:rsidR="005D7F48">
        <w:rPr>
          <w:color w:val="212121"/>
          <w:shd w:val="clear" w:color="auto" w:fill="FFFFFF"/>
        </w:rPr>
        <w:t>stating:  “[W]</w:t>
      </w:r>
      <w:r>
        <w:rPr>
          <w:color w:val="000000"/>
        </w:rPr>
        <w:t>here the court is required to impose a certain minimum term but imposes a lesser term instead, the unauthorized sentence is considered invalid or ‘unlawful’ and may be increased even after execution of the sentence has begun.”</w:t>
      </w:r>
      <w:r w:rsidR="005D7F48">
        <w:rPr>
          <w:color w:val="000000"/>
        </w:rPr>
        <w:t>].)</w:t>
      </w:r>
    </w:p>
    <w:p w:rsidR="00145985" w:rsidP="00834709" w14:paraId="1BE7E89E" w14:textId="136F14A6">
      <w:pPr>
        <w:pStyle w:val="Text"/>
        <w:ind w:firstLine="0"/>
      </w:pPr>
      <w:r>
        <w:tab/>
      </w:r>
      <w:r w:rsidR="00CB3157">
        <w:t xml:space="preserve">We </w:t>
      </w:r>
      <w:r w:rsidR="005D7F48">
        <w:t xml:space="preserve">also </w:t>
      </w:r>
      <w:r w:rsidR="00CB3157">
        <w:t>find support for th</w:t>
      </w:r>
      <w:r w:rsidR="005D7F48">
        <w:t>e</w:t>
      </w:r>
      <w:r w:rsidR="00CB3157">
        <w:t xml:space="preserve"> conclusion </w:t>
      </w:r>
      <w:r w:rsidR="005D7F48">
        <w:t xml:space="preserve">that </w:t>
      </w:r>
      <w:r w:rsidRPr="005D7F48" w:rsidR="005D7F48">
        <w:rPr>
          <w:i/>
          <w:iCs/>
        </w:rPr>
        <w:t>Serrato</w:t>
      </w:r>
      <w:r w:rsidR="005D7F48">
        <w:t xml:space="preserve"> applies only to unauthorized, lenient sentences </w:t>
      </w:r>
      <w:r w:rsidRPr="005D7F48" w:rsidR="00CB3157">
        <w:t>in</w:t>
      </w:r>
      <w:r>
        <w:t xml:space="preserve"> the Supreme Court’s decision in </w:t>
      </w:r>
      <w:r w:rsidR="00CB3157">
        <w:rPr>
          <w:i/>
          <w:iCs/>
        </w:rPr>
        <w:t>Collins</w:t>
      </w:r>
      <w:r w:rsidR="00CB3157">
        <w:t xml:space="preserve">.  There, as discussed above, the defendant’s plea bargain was </w:t>
      </w:r>
      <w:r w:rsidR="00043400">
        <w:t xml:space="preserve">effectively </w:t>
      </w:r>
      <w:r w:rsidR="00CB3157">
        <w:t xml:space="preserve">set aside through no fault of his own.  The Court discussed the rights of both the prosecution and the defendant in this circumstance, and, </w:t>
      </w:r>
      <w:r w:rsidR="00CB3157">
        <w:rPr>
          <w:color w:val="212121"/>
        </w:rPr>
        <w:t>c</w:t>
      </w:r>
      <w:r w:rsidRPr="00DE2023" w:rsidR="00CB3157">
        <w:rPr>
          <w:color w:val="212121"/>
        </w:rPr>
        <w:t xml:space="preserve">iting </w:t>
      </w:r>
      <w:r w:rsidRPr="00DE2023" w:rsidR="00CB3157">
        <w:rPr>
          <w:i/>
          <w:iCs/>
          <w:color w:val="212121"/>
        </w:rPr>
        <w:t>Henderson</w:t>
      </w:r>
      <w:r w:rsidRPr="00DE2023" w:rsidR="00CB3157">
        <w:rPr>
          <w:color w:val="212121"/>
        </w:rPr>
        <w:t xml:space="preserve"> for the “long recognized” principal that “</w:t>
      </w:r>
      <w:r w:rsidRPr="00DE2023" w:rsidR="00CB3157">
        <w:rPr>
          <w:color w:val="212121"/>
          <w:shd w:val="clear" w:color="auto" w:fill="FFFFFF"/>
        </w:rPr>
        <w:t xml:space="preserve">the state has no interest in preserving erroneous judgments,” the Supreme Court concluded that the rights of the prosecution and the defendant could best be protected </w:t>
      </w:r>
      <w:r w:rsidRPr="00EE7F18" w:rsidR="00CB3157">
        <w:rPr>
          <w:color w:val="212121"/>
        </w:rPr>
        <w:t>by permitting the state to revive one or more of the dismissed counts</w:t>
      </w:r>
      <w:r w:rsidR="00CB3157">
        <w:rPr>
          <w:color w:val="212121"/>
        </w:rPr>
        <w:t xml:space="preserve"> </w:t>
      </w:r>
      <w:r w:rsidRPr="00EE7F18" w:rsidR="00CB3157">
        <w:rPr>
          <w:color w:val="212121"/>
        </w:rPr>
        <w:t xml:space="preserve">but limiting </w:t>
      </w:r>
      <w:r w:rsidRPr="00DE2023" w:rsidR="00CB3157">
        <w:rPr>
          <w:color w:val="212121"/>
        </w:rPr>
        <w:t xml:space="preserve">the </w:t>
      </w:r>
      <w:r w:rsidRPr="00EE7F18" w:rsidR="00CB3157">
        <w:rPr>
          <w:color w:val="212121"/>
        </w:rPr>
        <w:t>defendant</w:t>
      </w:r>
      <w:r w:rsidR="00CB3157">
        <w:rPr>
          <w:color w:val="212121"/>
        </w:rPr>
        <w:t>’</w:t>
      </w:r>
      <w:r w:rsidRPr="00EE7F18" w:rsidR="00CB3157">
        <w:rPr>
          <w:color w:val="212121"/>
        </w:rPr>
        <w:t xml:space="preserve">s potential sentence to not more than three years in state prison, the </w:t>
      </w:r>
      <w:r w:rsidRPr="00DE2023" w:rsidR="00CB3157">
        <w:rPr>
          <w:color w:val="212121"/>
        </w:rPr>
        <w:t xml:space="preserve">comparable </w:t>
      </w:r>
      <w:r w:rsidRPr="00EE7F18" w:rsidR="00CB3157">
        <w:rPr>
          <w:color w:val="212121"/>
        </w:rPr>
        <w:t xml:space="preserve">term of punishment </w:t>
      </w:r>
      <w:r w:rsidRPr="00DE2023" w:rsidR="00CB3157">
        <w:rPr>
          <w:color w:val="212121"/>
        </w:rPr>
        <w:t xml:space="preserve">that had been set by the </w:t>
      </w:r>
      <w:r w:rsidR="00CB3157">
        <w:rPr>
          <w:color w:val="212121"/>
        </w:rPr>
        <w:t>D</w:t>
      </w:r>
      <w:r w:rsidR="00D4571A">
        <w:rPr>
          <w:color w:val="212121"/>
        </w:rPr>
        <w:t>S</w:t>
      </w:r>
      <w:r w:rsidR="00CB3157">
        <w:rPr>
          <w:color w:val="212121"/>
        </w:rPr>
        <w:t>L</w:t>
      </w:r>
      <w:r w:rsidRPr="00DE2023" w:rsidR="00CB3157">
        <w:rPr>
          <w:color w:val="212121"/>
        </w:rPr>
        <w:t>.  (</w:t>
      </w:r>
      <w:r w:rsidRPr="00DE2023" w:rsidR="00CB3157">
        <w:rPr>
          <w:i/>
          <w:iCs/>
          <w:color w:val="212121"/>
        </w:rPr>
        <w:t>Collins</w:t>
      </w:r>
      <w:r w:rsidRPr="00DE2023" w:rsidR="00CB3157">
        <w:rPr>
          <w:color w:val="212121"/>
        </w:rPr>
        <w:t>,</w:t>
      </w:r>
      <w:r w:rsidR="000D3AFA">
        <w:rPr>
          <w:color w:val="212121"/>
        </w:rPr>
        <w:t xml:space="preserve"> </w:t>
      </w:r>
      <w:r w:rsidR="000D3AFA">
        <w:rPr>
          <w:i/>
          <w:iCs/>
          <w:color w:val="212121"/>
        </w:rPr>
        <w:t>supra</w:t>
      </w:r>
      <w:r w:rsidR="000D3AFA">
        <w:rPr>
          <w:color w:val="212121"/>
        </w:rPr>
        <w:t>,</w:t>
      </w:r>
      <w:r w:rsidRPr="00DE2023" w:rsidR="00CB3157">
        <w:rPr>
          <w:color w:val="212121"/>
        </w:rPr>
        <w:t xml:space="preserve"> </w:t>
      </w:r>
      <w:r w:rsidR="000D3AFA">
        <w:rPr>
          <w:color w:val="212121"/>
        </w:rPr>
        <w:t xml:space="preserve">21 Cal.3d </w:t>
      </w:r>
      <w:r w:rsidRPr="00DE2023" w:rsidR="00CB3157">
        <w:rPr>
          <w:color w:val="212121"/>
        </w:rPr>
        <w:t>at p</w:t>
      </w:r>
      <w:r w:rsidR="00CB3157">
        <w:rPr>
          <w:color w:val="212121"/>
        </w:rPr>
        <w:t>p</w:t>
      </w:r>
      <w:r w:rsidRPr="00DE2023" w:rsidR="00CB3157">
        <w:rPr>
          <w:color w:val="212121"/>
        </w:rPr>
        <w:t xml:space="preserve">. </w:t>
      </w:r>
      <w:r w:rsidR="00CB3157">
        <w:rPr>
          <w:color w:val="212121"/>
        </w:rPr>
        <w:t>214–</w:t>
      </w:r>
      <w:r w:rsidRPr="00DE2023" w:rsidR="00CB3157">
        <w:rPr>
          <w:color w:val="212121"/>
        </w:rPr>
        <w:t>216.)</w:t>
      </w:r>
      <w:r w:rsidR="00043400">
        <w:rPr>
          <w:color w:val="212121"/>
        </w:rPr>
        <w:t xml:space="preserve">  We read this case as standing for the proposition that a defendant’s double jeopardy rights may be narrowly impacted when necessary to protect the People’s right to a proper sentence.</w:t>
      </w:r>
    </w:p>
    <w:p w:rsidR="008E495E" w:rsidRPr="006D10B2" w:rsidP="00834709" w14:paraId="258057B5" w14:textId="441745BE">
      <w:pPr>
        <w:pStyle w:val="Text"/>
        <w:ind w:firstLine="0"/>
      </w:pPr>
      <w:r>
        <w:tab/>
        <w:t xml:space="preserve">A narrow interpretation of </w:t>
      </w:r>
      <w:r>
        <w:rPr>
          <w:i/>
          <w:iCs/>
        </w:rPr>
        <w:t>Serrato</w:t>
      </w:r>
      <w:r w:rsidR="000D3AFA">
        <w:rPr>
          <w:i/>
          <w:iCs/>
        </w:rPr>
        <w:t xml:space="preserve"> </w:t>
      </w:r>
      <w:r w:rsidR="000D3AFA">
        <w:t xml:space="preserve">also minimizes many of the problems </w:t>
      </w:r>
      <w:r w:rsidR="006D10B2">
        <w:t xml:space="preserve">with the exception </w:t>
      </w:r>
      <w:r w:rsidR="000D3AFA">
        <w:t xml:space="preserve">identified in </w:t>
      </w:r>
      <w:r w:rsidR="000D3AFA">
        <w:rPr>
          <w:i/>
          <w:iCs/>
        </w:rPr>
        <w:t xml:space="preserve">Brown.  </w:t>
      </w:r>
      <w:r>
        <w:t>For instance, a defendant may be penalized for appealing only in those limited situations where an erroneous</w:t>
      </w:r>
      <w:r w:rsidR="006D10B2">
        <w:t>ly lenient</w:t>
      </w:r>
      <w:r>
        <w:t xml:space="preserve"> judgment impedes the People’s right to a proper sentence.  And a defendant is still encouraged to appeal unauthorized, excessive sentences.</w:t>
      </w:r>
      <w:r w:rsidR="001C38AF">
        <w:t xml:space="preserve">  </w:t>
      </w:r>
      <w:r w:rsidR="00630760">
        <w:t xml:space="preserve">Moreover, we believe this construction of </w:t>
      </w:r>
      <w:r w:rsidR="00630760">
        <w:rPr>
          <w:i/>
          <w:iCs/>
        </w:rPr>
        <w:t xml:space="preserve">Serrato </w:t>
      </w:r>
      <w:r w:rsidR="00630760">
        <w:t>is more straightforward in application.  At a resentencing, the trial court must first consider whether any unauthorized portions of the sentence were impermissibly lenient</w:t>
      </w:r>
      <w:r w:rsidR="006D10B2">
        <w:t xml:space="preserve"> to the detriment of the People</w:t>
      </w:r>
      <w:r w:rsidR="00630760">
        <w:t xml:space="preserve">.  If they were, a harsher sentence may be imposed </w:t>
      </w:r>
      <w:r w:rsidR="006D10B2">
        <w:t xml:space="preserve">at resentencing, </w:t>
      </w:r>
      <w:r w:rsidRPr="001C38AF" w:rsidR="006D10B2">
        <w:rPr>
          <w:i/>
          <w:iCs/>
        </w:rPr>
        <w:t xml:space="preserve">but </w:t>
      </w:r>
      <w:r w:rsidRPr="001C38AF" w:rsidR="00630760">
        <w:rPr>
          <w:i/>
          <w:iCs/>
        </w:rPr>
        <w:t>only to the extent necessary to correct those errors</w:t>
      </w:r>
      <w:r w:rsidR="00630760">
        <w:t>.</w:t>
      </w:r>
      <w:r w:rsidR="006D10B2">
        <w:t xml:space="preserve">  Next, w</w:t>
      </w:r>
      <w:r w:rsidR="00630760">
        <w:t xml:space="preserve">e agree with the </w:t>
      </w:r>
      <w:r w:rsidR="006D10B2">
        <w:t xml:space="preserve">cases which conclude that an aggregate prison term </w:t>
      </w:r>
      <w:r w:rsidRPr="002C661C" w:rsidR="006D10B2">
        <w:t>“ ‘</w:t>
      </w:r>
      <w:r w:rsidRPr="002C661C" w:rsidR="006D10B2">
        <w:rPr>
          <w:color w:val="212121"/>
          <w:bdr w:val="none" w:sz="0" w:space="0" w:color="auto" w:frame="1"/>
          <w:shd w:val="clear" w:color="auto" w:fill="FFFFFF"/>
        </w:rPr>
        <w:t>cannot be viewed as a series of separate independent terms, but rather must be viewed as one prison term made up of interdependent components.</w:t>
      </w:r>
      <w:r w:rsidR="006D10B2">
        <w:rPr>
          <w:color w:val="212121"/>
          <w:bdr w:val="none" w:sz="0" w:space="0" w:color="auto" w:frame="1"/>
          <w:shd w:val="clear" w:color="auto" w:fill="FFFFFF"/>
        </w:rPr>
        <w:t>’ ” (</w:t>
      </w:r>
      <w:r w:rsidR="006D10B2">
        <w:rPr>
          <w:i/>
          <w:iCs/>
          <w:color w:val="212121"/>
          <w:bdr w:val="none" w:sz="0" w:space="0" w:color="auto" w:frame="1"/>
          <w:shd w:val="clear" w:color="auto" w:fill="FFFFFF"/>
        </w:rPr>
        <w:t>Burns</w:t>
      </w:r>
      <w:r w:rsidR="006D10B2">
        <w:rPr>
          <w:color w:val="212121"/>
          <w:bdr w:val="none" w:sz="0" w:space="0" w:color="auto" w:frame="1"/>
          <w:shd w:val="clear" w:color="auto" w:fill="FFFFFF"/>
        </w:rPr>
        <w:t xml:space="preserve">, </w:t>
      </w:r>
      <w:r w:rsidR="006D10B2">
        <w:rPr>
          <w:i/>
          <w:iCs/>
          <w:color w:val="212121"/>
          <w:bdr w:val="none" w:sz="0" w:space="0" w:color="auto" w:frame="1"/>
          <w:shd w:val="clear" w:color="auto" w:fill="FFFFFF"/>
        </w:rPr>
        <w:t>supra</w:t>
      </w:r>
      <w:r w:rsidR="006D10B2">
        <w:rPr>
          <w:color w:val="212121"/>
          <w:bdr w:val="none" w:sz="0" w:space="0" w:color="auto" w:frame="1"/>
          <w:shd w:val="clear" w:color="auto" w:fill="FFFFFF"/>
        </w:rPr>
        <w:t xml:space="preserve">, 158 Cal.App.3d at p. 1183; accord, </w:t>
      </w:r>
      <w:r w:rsidR="006D10B2">
        <w:rPr>
          <w:i/>
          <w:iCs/>
          <w:color w:val="212121"/>
          <w:bdr w:val="none" w:sz="0" w:space="0" w:color="auto" w:frame="1"/>
          <w:shd w:val="clear" w:color="auto" w:fill="FFFFFF"/>
        </w:rPr>
        <w:t>Hill</w:t>
      </w:r>
      <w:r w:rsidR="006D10B2">
        <w:rPr>
          <w:color w:val="212121"/>
          <w:bdr w:val="none" w:sz="0" w:space="0" w:color="auto" w:frame="1"/>
          <w:shd w:val="clear" w:color="auto" w:fill="FFFFFF"/>
        </w:rPr>
        <w:t xml:space="preserve">, </w:t>
      </w:r>
      <w:r w:rsidR="006D10B2">
        <w:rPr>
          <w:i/>
          <w:iCs/>
          <w:color w:val="212121"/>
          <w:bdr w:val="none" w:sz="0" w:space="0" w:color="auto" w:frame="1"/>
          <w:shd w:val="clear" w:color="auto" w:fill="FFFFFF"/>
        </w:rPr>
        <w:t>supra</w:t>
      </w:r>
      <w:r w:rsidR="006D10B2">
        <w:rPr>
          <w:color w:val="212121"/>
          <w:bdr w:val="none" w:sz="0" w:space="0" w:color="auto" w:frame="1"/>
          <w:shd w:val="clear" w:color="auto" w:fill="FFFFFF"/>
        </w:rPr>
        <w:t>, 185 Cal.App.3d at p, 834.)  Thus, the resentencing court is permitted to reconsider all of its discretionary sentencing choices.</w:t>
      </w:r>
      <w:r>
        <w:rPr>
          <w:rStyle w:val="FootnoteReference"/>
          <w:color w:val="212121"/>
          <w:bdr w:val="none" w:sz="0" w:space="0" w:color="auto" w:frame="1"/>
          <w:shd w:val="clear" w:color="auto" w:fill="FFFFFF"/>
        </w:rPr>
        <w:footnoteReference w:id="8"/>
      </w:r>
      <w:r w:rsidR="006D10B2">
        <w:rPr>
          <w:color w:val="212121"/>
          <w:bdr w:val="none" w:sz="0" w:space="0" w:color="auto" w:frame="1"/>
          <w:shd w:val="clear" w:color="auto" w:fill="FFFFFF"/>
        </w:rPr>
        <w:t xml:space="preserve">  For example, it could choose to decrease other components of the sentence to compensate for the increase required under </w:t>
      </w:r>
      <w:r w:rsidR="006D10B2">
        <w:rPr>
          <w:i/>
          <w:iCs/>
          <w:color w:val="212121"/>
          <w:bdr w:val="none" w:sz="0" w:space="0" w:color="auto" w:frame="1"/>
          <w:shd w:val="clear" w:color="auto" w:fill="FFFFFF"/>
        </w:rPr>
        <w:t>Serrato</w:t>
      </w:r>
      <w:r w:rsidR="001C38AF">
        <w:rPr>
          <w:color w:val="212121"/>
          <w:bdr w:val="none" w:sz="0" w:space="0" w:color="auto" w:frame="1"/>
          <w:shd w:val="clear" w:color="auto" w:fill="FFFFFF"/>
        </w:rPr>
        <w:t xml:space="preserve"> and reach </w:t>
      </w:r>
      <w:r w:rsidR="00E201DA">
        <w:rPr>
          <w:color w:val="212121"/>
          <w:bdr w:val="none" w:sz="0" w:space="0" w:color="auto" w:frame="1"/>
          <w:shd w:val="clear" w:color="auto" w:fill="FFFFFF"/>
        </w:rPr>
        <w:t xml:space="preserve">an </w:t>
      </w:r>
      <w:r w:rsidR="001C38AF">
        <w:rPr>
          <w:color w:val="212121"/>
          <w:bdr w:val="none" w:sz="0" w:space="0" w:color="auto" w:frame="1"/>
          <w:shd w:val="clear" w:color="auto" w:fill="FFFFFF"/>
        </w:rPr>
        <w:t>identical or lower sentence</w:t>
      </w:r>
      <w:r w:rsidR="006D10B2">
        <w:rPr>
          <w:i/>
          <w:iCs/>
          <w:color w:val="212121"/>
          <w:bdr w:val="none" w:sz="0" w:space="0" w:color="auto" w:frame="1"/>
          <w:shd w:val="clear" w:color="auto" w:fill="FFFFFF"/>
        </w:rPr>
        <w:t>.</w:t>
      </w:r>
      <w:r w:rsidR="001C38AF">
        <w:rPr>
          <w:i/>
          <w:iCs/>
          <w:color w:val="212121"/>
          <w:bdr w:val="none" w:sz="0" w:space="0" w:color="auto" w:frame="1"/>
          <w:shd w:val="clear" w:color="auto" w:fill="FFFFFF"/>
        </w:rPr>
        <w:t xml:space="preserve">  </w:t>
      </w:r>
      <w:r w:rsidR="001C38AF">
        <w:rPr>
          <w:color w:val="212121"/>
          <w:bdr w:val="none" w:sz="0" w:space="0" w:color="auto" w:frame="1"/>
          <w:shd w:val="clear" w:color="auto" w:fill="FFFFFF"/>
        </w:rPr>
        <w:t>But under no circumstances should the aggregate sentence be more than the sum of the original sentence and the mandatory increase required d</w:t>
      </w:r>
      <w:r w:rsidR="00AF446F">
        <w:rPr>
          <w:color w:val="212121"/>
          <w:bdr w:val="none" w:sz="0" w:space="0" w:color="auto" w:frame="1"/>
          <w:shd w:val="clear" w:color="auto" w:fill="FFFFFF"/>
        </w:rPr>
        <w:t>ue</w:t>
      </w:r>
      <w:r w:rsidR="001C38AF">
        <w:rPr>
          <w:color w:val="212121"/>
          <w:bdr w:val="none" w:sz="0" w:space="0" w:color="auto" w:frame="1"/>
          <w:shd w:val="clear" w:color="auto" w:fill="FFFFFF"/>
        </w:rPr>
        <w:t xml:space="preserve"> to the </w:t>
      </w:r>
      <w:r w:rsidR="001C38AF">
        <w:rPr>
          <w:i/>
          <w:iCs/>
          <w:color w:val="212121"/>
          <w:bdr w:val="none" w:sz="0" w:space="0" w:color="auto" w:frame="1"/>
          <w:shd w:val="clear" w:color="auto" w:fill="FFFFFF"/>
        </w:rPr>
        <w:t>Serrato</w:t>
      </w:r>
      <w:r w:rsidR="001C38AF">
        <w:rPr>
          <w:color w:val="212121"/>
          <w:bdr w:val="none" w:sz="0" w:space="0" w:color="auto" w:frame="1"/>
          <w:shd w:val="clear" w:color="auto" w:fill="FFFFFF"/>
        </w:rPr>
        <w:t xml:space="preserve"> errors. </w:t>
      </w:r>
      <w:r w:rsidR="006D10B2">
        <w:rPr>
          <w:color w:val="212121"/>
          <w:bdr w:val="none" w:sz="0" w:space="0" w:color="auto" w:frame="1"/>
          <w:shd w:val="clear" w:color="auto" w:fill="FFFFFF"/>
        </w:rPr>
        <w:t xml:space="preserve"> </w:t>
      </w:r>
    </w:p>
    <w:p w:rsidR="00145985" w:rsidRPr="00145985" w:rsidP="00834709" w14:paraId="276EC5E2" w14:textId="646F22F0">
      <w:pPr>
        <w:pStyle w:val="Text"/>
        <w:ind w:firstLine="0"/>
      </w:pPr>
      <w:r>
        <w:tab/>
        <w:t>Since, in this case, the unauthorized sentences were erroneously harsh</w:t>
      </w:r>
      <w:r w:rsidR="00630760">
        <w:t xml:space="preserve"> or neutral rather than lenient</w:t>
      </w:r>
      <w:r>
        <w:t xml:space="preserve">, the </w:t>
      </w:r>
      <w:r>
        <w:rPr>
          <w:i/>
          <w:iCs/>
        </w:rPr>
        <w:t>Serrato</w:t>
      </w:r>
      <w:r>
        <w:t xml:space="preserve"> exception does not apply.  Consequently, while the trial court was allowed to reconsider all of the other elements of Tra</w:t>
      </w:r>
      <w:r w:rsidR="00E201DA">
        <w:t>m</w:t>
      </w:r>
      <w:r>
        <w:t xml:space="preserve">mel’s sentence, under </w:t>
      </w:r>
      <w:r w:rsidRPr="00156E03">
        <w:rPr>
          <w:i/>
          <w:iCs/>
        </w:rPr>
        <w:t xml:space="preserve">Henderson </w:t>
      </w:r>
      <w:r>
        <w:t xml:space="preserve">and its progeny </w:t>
      </w:r>
      <w:r w:rsidRPr="00156E03">
        <w:t>it</w:t>
      </w:r>
      <w:r>
        <w:t xml:space="preserve"> could not impose a</w:t>
      </w:r>
      <w:r w:rsidR="006D10B2">
        <w:t>n</w:t>
      </w:r>
      <w:r w:rsidR="00630760">
        <w:t xml:space="preserve"> aggregate</w:t>
      </w:r>
      <w:r>
        <w:t xml:space="preserve"> sentence greater than the original sentence of 12 years.  The 12 year, four month sentence </w:t>
      </w:r>
      <w:r w:rsidR="006937E1">
        <w:t xml:space="preserve">the court </w:t>
      </w:r>
      <w:r>
        <w:t>imposed on resentencing thus violate</w:t>
      </w:r>
      <w:r w:rsidR="00CB3157">
        <w:t>s</w:t>
      </w:r>
      <w:r>
        <w:t xml:space="preserve"> the California Constitution’s prohibition against double jeopardy. </w:t>
      </w:r>
      <w:r>
        <w:rPr>
          <w:i/>
          <w:iCs/>
        </w:rPr>
        <w:tab/>
      </w:r>
    </w:p>
    <w:p w:rsidR="00BF4D6F" w:rsidRPr="005115C8" w:rsidP="00BF4D6F" w14:paraId="54A97ECC" w14:textId="71C0B65E">
      <w:pPr>
        <w:pStyle w:val="Text"/>
        <w:ind w:firstLine="0"/>
        <w:rPr>
          <w:b/>
          <w:bCs/>
          <w:i/>
          <w:iCs/>
        </w:rPr>
      </w:pPr>
      <w:r>
        <w:rPr>
          <w:b/>
          <w:bCs/>
          <w:i/>
          <w:iCs/>
        </w:rPr>
        <w:t>E.  Appropriate Remedy</w:t>
      </w:r>
    </w:p>
    <w:p w:rsidR="00A6573C" w:rsidRPr="0057636A" w:rsidP="00BF4D6F" w14:paraId="07E9D3E9" w14:textId="48D978E6">
      <w:pPr>
        <w:pStyle w:val="Text"/>
        <w:ind w:firstLine="0"/>
      </w:pPr>
      <w:r>
        <w:rPr>
          <w:bdr w:val="none" w:sz="0" w:space="0" w:color="auto" w:frame="1"/>
          <w:shd w:val="clear" w:color="auto" w:fill="FFFFFF"/>
        </w:rPr>
        <w:tab/>
      </w:r>
      <w:r w:rsidRPr="00B42AA5">
        <w:t xml:space="preserve">Trammel </w:t>
      </w:r>
      <w:r>
        <w:t xml:space="preserve">asks that we remand this matter for another full resentencing, this time before a different judge </w:t>
      </w:r>
      <w:r w:rsidR="004173E4">
        <w:t xml:space="preserve">pursuant to Code of Civil Procedure section 170.1, subdivision (c) and </w:t>
      </w:r>
      <w:r w:rsidR="004173E4">
        <w:rPr>
          <w:i/>
          <w:iCs/>
        </w:rPr>
        <w:t xml:space="preserve">People v. Swanson </w:t>
      </w:r>
      <w:r w:rsidR="004173E4">
        <w:t xml:space="preserve">(1983) 140 Cal.App.3d 571 </w:t>
      </w:r>
      <w:r>
        <w:t xml:space="preserve">in order to </w:t>
      </w:r>
      <w:r w:rsidR="004173E4">
        <w:t>avoid any appearance of unfairness.</w:t>
      </w:r>
      <w:r w:rsidRPr="000402B0" w:rsidR="000402B0">
        <w:t xml:space="preserve"> </w:t>
      </w:r>
      <w:r w:rsidR="006D10B2">
        <w:t xml:space="preserve"> We decline to do so.</w:t>
      </w:r>
      <w:r>
        <w:t xml:space="preserve">  </w:t>
      </w:r>
      <w:r w:rsidR="00AF446F">
        <w:t>As stated above, w</w:t>
      </w:r>
      <w:r>
        <w:t xml:space="preserve">e have reviewed the trial court’s resentencing proceedings and see no evidence of vindictiveness.  Rather, the court understood it was engaged in a full resentencing, thoughtfully considered all of the arguments raised by the parties, and </w:t>
      </w:r>
      <w:r w:rsidR="001C38AF">
        <w:t xml:space="preserve">then </w:t>
      </w:r>
      <w:r w:rsidR="00F927E5">
        <w:t>articulated</w:t>
      </w:r>
      <w:r>
        <w:t xml:space="preserve"> its reasons for imposing sentence </w:t>
      </w:r>
      <w:r w:rsidR="0057636A">
        <w:t xml:space="preserve">on each sentencing </w:t>
      </w:r>
      <w:r w:rsidR="001C38AF">
        <w:t>component</w:t>
      </w:r>
      <w:r>
        <w:t xml:space="preserve">.  Moreover, the court did this fully aware of the discretion it possessed under </w:t>
      </w:r>
      <w:r w:rsidR="00F927E5">
        <w:t xml:space="preserve">certain </w:t>
      </w:r>
      <w:r>
        <w:t>new changes in the law</w:t>
      </w:r>
      <w:r w:rsidR="00F927E5">
        <w:t xml:space="preserve"> as well as the additional requirements established by other statutory changes.  </w:t>
      </w:r>
      <w:r w:rsidR="00237C7D">
        <w:t>T</w:t>
      </w:r>
      <w:r w:rsidR="00F927E5">
        <w:t xml:space="preserve">he imposition of the additional four months does not appear </w:t>
      </w:r>
      <w:r w:rsidR="001C38AF">
        <w:t xml:space="preserve">to have been </w:t>
      </w:r>
      <w:r w:rsidR="00F927E5">
        <w:t>vindictive</w:t>
      </w:r>
      <w:r w:rsidR="001C38AF">
        <w:t xml:space="preserve">.  Rather, it </w:t>
      </w:r>
      <w:r w:rsidR="004B461A">
        <w:t>seems</w:t>
      </w:r>
      <w:r w:rsidR="001C38AF">
        <w:t xml:space="preserve"> that the court </w:t>
      </w:r>
      <w:r w:rsidR="0057636A">
        <w:t>simply imposed the one-year consecutive term on count IX to compensate for its decision to stay the eight month sentence for count II.</w:t>
      </w:r>
      <w:r w:rsidR="00191987">
        <w:t xml:space="preserve">  Given the legal uncertainties in this area, it is certainly </w:t>
      </w:r>
      <w:r w:rsidR="00FD45C0">
        <w:t>understandable</w:t>
      </w:r>
      <w:r w:rsidR="00191987">
        <w:t xml:space="preserve"> that the court </w:t>
      </w:r>
      <w:r w:rsidR="00D4571A">
        <w:t xml:space="preserve">mistakenly </w:t>
      </w:r>
      <w:r w:rsidR="00191987">
        <w:t>believed this small increase in the aggregate sentence was permissible.</w:t>
      </w:r>
      <w:r w:rsidR="0057636A">
        <w:t xml:space="preserve">  </w:t>
      </w:r>
    </w:p>
    <w:p w:rsidR="000402B0" w:rsidP="00BF4D6F" w14:paraId="3507C13F" w14:textId="335E2AA7">
      <w:pPr>
        <w:pStyle w:val="Text"/>
        <w:ind w:firstLine="0"/>
      </w:pPr>
      <w:r>
        <w:tab/>
      </w:r>
      <w:r w:rsidR="00D54DE7">
        <w:t>W</w:t>
      </w:r>
      <w:r>
        <w:t xml:space="preserve">e </w:t>
      </w:r>
      <w:r w:rsidR="004B461A">
        <w:t xml:space="preserve">thus </w:t>
      </w:r>
      <w:r>
        <w:t>see no need for a</w:t>
      </w:r>
      <w:r w:rsidR="00D54DE7">
        <w:t>nother</w:t>
      </w:r>
      <w:r>
        <w:t xml:space="preserve"> resentencing before a different judge.  Nor do we see any reasonable likelihood that on remand this trial court would impose an aggregate term </w:t>
      </w:r>
      <w:r w:rsidR="00D54DE7">
        <w:t>appreciably different</w:t>
      </w:r>
      <w:r>
        <w:t xml:space="preserve"> than </w:t>
      </w:r>
      <w:r w:rsidR="00D54DE7">
        <w:t xml:space="preserve">the maximum allowable </w:t>
      </w:r>
      <w:r>
        <w:t xml:space="preserve">12 years.  (See </w:t>
      </w:r>
      <w:r>
        <w:rPr>
          <w:i/>
          <w:iCs/>
        </w:rPr>
        <w:t>Price</w:t>
      </w:r>
      <w:r>
        <w:t xml:space="preserve">, </w:t>
      </w:r>
      <w:r>
        <w:rPr>
          <w:i/>
          <w:iCs/>
        </w:rPr>
        <w:t>supra</w:t>
      </w:r>
      <w:r>
        <w:t>, 184 Cal.App.3d</w:t>
      </w:r>
      <w:r>
        <w:rPr>
          <w:i/>
          <w:iCs/>
        </w:rPr>
        <w:t xml:space="preserve"> </w:t>
      </w:r>
      <w:r>
        <w:t xml:space="preserve">at p. 1413, citing </w:t>
      </w:r>
      <w:r>
        <w:rPr>
          <w:i/>
          <w:iCs/>
        </w:rPr>
        <w:t xml:space="preserve">People v. Avalos </w:t>
      </w:r>
      <w:r>
        <w:t>(1984) 37 Cal.3d 216, 233.)</w:t>
      </w:r>
      <w:r w:rsidR="00D54DE7">
        <w:t xml:space="preserve">  Under the circumstances, we will exercise our authority to modify the judgment by making the </w:t>
      </w:r>
      <w:r w:rsidR="00715075">
        <w:t xml:space="preserve">term imposed on </w:t>
      </w:r>
      <w:r w:rsidR="00D54DE7">
        <w:t xml:space="preserve">count IX run concurrently rather than consecutively, for a total aggregate term of 11 years, four months.  (§ 1260; </w:t>
      </w:r>
      <w:r w:rsidR="00D54DE7">
        <w:rPr>
          <w:i/>
          <w:iCs/>
        </w:rPr>
        <w:t>People v. Alford</w:t>
      </w:r>
      <w:r w:rsidR="00D54DE7">
        <w:t xml:space="preserve"> (2010) 180 Cal.App.4th 1463, 1473.) </w:t>
      </w:r>
    </w:p>
    <w:p w:rsidR="00412966" w:rsidRPr="00556199" w:rsidP="00B437A6" w14:paraId="3398FFCF" w14:textId="48A9C4DF">
      <w:pPr>
        <w:pStyle w:val="Text"/>
        <w:ind w:firstLine="0"/>
      </w:pPr>
      <w:r>
        <w:tab/>
        <w:t xml:space="preserve">Finally, both parties agree that the </w:t>
      </w:r>
      <w:r w:rsidR="00F8664C">
        <w:t xml:space="preserve">amended </w:t>
      </w:r>
      <w:r>
        <w:t xml:space="preserve">abstract of judgment in this case failed to accurately reflect Trammel’s </w:t>
      </w:r>
      <w:r w:rsidR="00B437A6">
        <w:t xml:space="preserve">total </w:t>
      </w:r>
      <w:r>
        <w:t>custody credits at the time of resentencing.</w:t>
      </w:r>
      <w:r w:rsidRPr="000402B0">
        <w:t xml:space="preserve"> </w:t>
      </w:r>
      <w:bookmarkStart w:id="15" w:name="_Hlk143258218"/>
      <w:r w:rsidRPr="00400B31" w:rsidR="00400B31">
        <w:t xml:space="preserve"> </w:t>
      </w:r>
      <w:bookmarkEnd w:id="15"/>
      <w:r w:rsidR="00BF3B3C">
        <w:t>T</w:t>
      </w:r>
      <w:r w:rsidR="00400B31">
        <w:t xml:space="preserve">he trial court confirmed </w:t>
      </w:r>
      <w:r w:rsidR="00BF3B3C">
        <w:t xml:space="preserve">at resentencing </w:t>
      </w:r>
      <w:r w:rsidR="00400B31">
        <w:t xml:space="preserve">that, as of November 6, 2020, Trammel had 311 presentence credits and 311 conduct credits.  </w:t>
      </w:r>
      <w:r w:rsidR="00BF3B3C">
        <w:t xml:space="preserve">As of </w:t>
      </w:r>
      <w:r w:rsidR="00400B31">
        <w:t xml:space="preserve">the resentencing on November </w:t>
      </w:r>
      <w:r w:rsidR="00AE497B">
        <w:t>2</w:t>
      </w:r>
      <w:r w:rsidR="00400B31">
        <w:t>3, 2022, the court found that he had total custody credits of 1,054 days.</w:t>
      </w:r>
      <w:r w:rsidR="008A2396">
        <w:t xml:space="preserve">  It stated it was </w:t>
      </w:r>
      <w:r w:rsidRPr="00BF3B3C" w:rsidR="008A2396">
        <w:t xml:space="preserve">going </w:t>
      </w:r>
      <w:r w:rsidRPr="00BF3B3C" w:rsidR="00400B31">
        <w:t xml:space="preserve">to “indicate that Mr. Trammel has 1,054 actual custody credits and allow the Department of Corrections to determine the conduct credits.” </w:t>
      </w:r>
      <w:r w:rsidRPr="00BF3B3C" w:rsidR="008A2396">
        <w:t xml:space="preserve"> But the amended abstract only sets forth the original presentence credits of 622 days (311 custody/311 conduct).  This was error.  (See § 2900.1 </w:t>
      </w:r>
      <w:r w:rsidR="00BF3B3C">
        <w:t>[</w:t>
      </w:r>
      <w:r w:rsidRPr="00BF3B3C" w:rsidR="00BF3B3C">
        <w:t>“</w:t>
      </w:r>
      <w:r w:rsidRPr="00BF3B3C" w:rsidR="00BF3B3C">
        <w:rPr>
          <w:color w:val="212121"/>
          <w:shd w:val="clear" w:color="auto" w:fill="FFFFFF"/>
        </w:rPr>
        <w:t>Where a defendant has served any portion of his sentence under a commitment based upon a judgment which judgment is subsequently declared invalid or which is modified during the term of imprisonment, such time shall be credited upon any subsequent sentence he may receive upon a new commitment for the same criminal act or acts.”]</w:t>
      </w:r>
      <w:r w:rsidR="002C62DB">
        <w:rPr>
          <w:color w:val="212121"/>
          <w:shd w:val="clear" w:color="auto" w:fill="FFFFFF"/>
        </w:rPr>
        <w:t xml:space="preserve">; see also </w:t>
      </w:r>
      <w:r w:rsidR="002C62DB">
        <w:rPr>
          <w:i/>
          <w:iCs/>
          <w:color w:val="212121"/>
          <w:shd w:val="clear" w:color="auto" w:fill="FFFFFF"/>
        </w:rPr>
        <w:t>People v. Buckhalter</w:t>
      </w:r>
      <w:r w:rsidR="002C62DB">
        <w:rPr>
          <w:color w:val="212121"/>
          <w:shd w:val="clear" w:color="auto" w:fill="FFFFFF"/>
        </w:rPr>
        <w:t xml:space="preserve"> (2001) 26 Cal.4th 2</w:t>
      </w:r>
      <w:r w:rsidR="00682C85">
        <w:rPr>
          <w:color w:val="212121"/>
          <w:shd w:val="clear" w:color="auto" w:fill="FFFFFF"/>
        </w:rPr>
        <w:t>0</w:t>
      </w:r>
      <w:r w:rsidR="002C62DB">
        <w:rPr>
          <w:color w:val="212121"/>
          <w:shd w:val="clear" w:color="auto" w:fill="FFFFFF"/>
        </w:rPr>
        <w:t>, 23 [</w:t>
      </w:r>
      <w:r w:rsidRPr="002C62DB" w:rsidR="002C62DB">
        <w:rPr>
          <w:color w:val="212121"/>
          <w:shd w:val="clear" w:color="auto" w:fill="FFFFFF"/>
        </w:rPr>
        <w:t>conclud</w:t>
      </w:r>
      <w:r w:rsidR="002C62DB">
        <w:rPr>
          <w:color w:val="212121"/>
          <w:shd w:val="clear" w:color="auto" w:fill="FFFFFF"/>
        </w:rPr>
        <w:t>ing</w:t>
      </w:r>
      <w:r w:rsidRPr="002C62DB" w:rsidR="002C62DB">
        <w:rPr>
          <w:color w:val="212121"/>
          <w:shd w:val="clear" w:color="auto" w:fill="FFFFFF"/>
        </w:rPr>
        <w:t xml:space="preserve"> that</w:t>
      </w:r>
      <w:r w:rsidR="002C62DB">
        <w:rPr>
          <w:color w:val="212121"/>
          <w:shd w:val="clear" w:color="auto" w:fill="FFFFFF"/>
        </w:rPr>
        <w:t>, at resentencing,</w:t>
      </w:r>
      <w:r w:rsidRPr="002C62DB" w:rsidR="002C62DB">
        <w:rPr>
          <w:color w:val="212121"/>
          <w:shd w:val="clear" w:color="auto" w:fill="FFFFFF"/>
        </w:rPr>
        <w:t xml:space="preserve"> the trial court </w:t>
      </w:r>
      <w:r w:rsidR="002C62DB">
        <w:rPr>
          <w:color w:val="212121"/>
          <w:shd w:val="clear" w:color="auto" w:fill="FFFFFF"/>
        </w:rPr>
        <w:t>must</w:t>
      </w:r>
      <w:r w:rsidRPr="002C62DB" w:rsidR="002C62DB">
        <w:rPr>
          <w:color w:val="212121"/>
          <w:shd w:val="clear" w:color="auto" w:fill="FFFFFF"/>
        </w:rPr>
        <w:t xml:space="preserve"> recalculate and credit the actual time </w:t>
      </w:r>
      <w:r w:rsidR="002C62DB">
        <w:rPr>
          <w:color w:val="212121"/>
          <w:shd w:val="clear" w:color="auto" w:fill="FFFFFF"/>
        </w:rPr>
        <w:t xml:space="preserve">the </w:t>
      </w:r>
      <w:r w:rsidRPr="002C62DB" w:rsidR="002C62DB">
        <w:rPr>
          <w:color w:val="212121"/>
          <w:shd w:val="clear" w:color="auto" w:fill="FFFFFF"/>
        </w:rPr>
        <w:t>defendant had served</w:t>
      </w:r>
      <w:r w:rsidR="002C62DB">
        <w:rPr>
          <w:color w:val="212121"/>
          <w:shd w:val="clear" w:color="auto" w:fill="FFFFFF"/>
        </w:rPr>
        <w:t xml:space="preserve"> </w:t>
      </w:r>
      <w:r w:rsidRPr="002C62DB" w:rsidR="002C62DB">
        <w:rPr>
          <w:color w:val="212121"/>
          <w:shd w:val="clear" w:color="auto" w:fill="FFFFFF"/>
        </w:rPr>
        <w:t>prior to the modification</w:t>
      </w:r>
      <w:r w:rsidR="002C62DB">
        <w:rPr>
          <w:color w:val="212121"/>
          <w:shd w:val="clear" w:color="auto" w:fill="FFFFFF"/>
        </w:rPr>
        <w:t>]</w:t>
      </w:r>
      <w:r w:rsidRPr="00BF3B3C" w:rsidR="00BF3B3C">
        <w:rPr>
          <w:color w:val="212121"/>
          <w:shd w:val="clear" w:color="auto" w:fill="FFFFFF"/>
        </w:rPr>
        <w:t>.)</w:t>
      </w:r>
      <w:r w:rsidRPr="00BF3B3C" w:rsidR="00400B31">
        <w:t xml:space="preserve">  </w:t>
      </w:r>
      <w:r w:rsidR="00BF3B3C">
        <w:t xml:space="preserve">We will therefore </w:t>
      </w:r>
      <w:r w:rsidR="00B437A6">
        <w:t xml:space="preserve">also </w:t>
      </w:r>
      <w:r w:rsidR="00BF3B3C">
        <w:t xml:space="preserve">instruct the trial court to include </w:t>
      </w:r>
      <w:r w:rsidR="001D24C8">
        <w:t>in</w:t>
      </w:r>
      <w:r w:rsidR="00BF3B3C">
        <w:t xml:space="preserve"> its second amended abstract of judgment the actual total custody credits</w:t>
      </w:r>
      <w:r w:rsidR="00BC3C20">
        <w:t xml:space="preserve"> to which Trammel </w:t>
      </w:r>
      <w:r w:rsidR="002C62DB">
        <w:t>wa</w:t>
      </w:r>
      <w:r w:rsidR="00BC3C20">
        <w:t>s entitled</w:t>
      </w:r>
      <w:r w:rsidR="002C62DB">
        <w:t xml:space="preserve"> at</w:t>
      </w:r>
      <w:r w:rsidR="005F62FD">
        <w:t xml:space="preserve"> the time of his</w:t>
      </w:r>
      <w:r w:rsidR="002C62DB">
        <w:t xml:space="preserve"> resentencing</w:t>
      </w:r>
      <w:r w:rsidR="00BC3C20">
        <w:t>.</w:t>
      </w:r>
      <w:r>
        <w:t xml:space="preserve"> </w:t>
      </w:r>
    </w:p>
    <w:p w:rsidR="00B45695" w:rsidRPr="004C1D40" w:rsidP="00D375FE" w14:paraId="2427A996" w14:textId="7D7E388E">
      <w:pPr>
        <w:pStyle w:val="Heading"/>
      </w:pPr>
      <w:r>
        <w:t xml:space="preserve">III.  </w:t>
      </w:r>
      <w:r w:rsidRPr="004C1D40">
        <w:t>DISPOSITION</w:t>
      </w:r>
    </w:p>
    <w:p w:rsidR="00BF37F3" w:rsidP="00BF37F3" w14:paraId="4F06A25F" w14:textId="18FB8A52">
      <w:pPr>
        <w:pStyle w:val="Text"/>
        <w:rPr>
          <w:color w:val="212121"/>
          <w:shd w:val="clear" w:color="auto" w:fill="FFFFFF"/>
        </w:rPr>
      </w:pPr>
      <w:r>
        <w:rPr>
          <w:color w:val="212121"/>
          <w:shd w:val="clear" w:color="auto" w:fill="FFFFFF"/>
        </w:rPr>
        <w:t xml:space="preserve">The matter </w:t>
      </w:r>
      <w:r w:rsidRPr="00706B1C" w:rsidR="00706B1C">
        <w:rPr>
          <w:color w:val="212121"/>
          <w:shd w:val="clear" w:color="auto" w:fill="FFFFFF"/>
        </w:rPr>
        <w:t>is remanded</w:t>
      </w:r>
      <w:r w:rsidR="00D54DE7">
        <w:rPr>
          <w:color w:val="212121"/>
          <w:shd w:val="clear" w:color="auto" w:fill="FFFFFF"/>
        </w:rPr>
        <w:t xml:space="preserve"> to </w:t>
      </w:r>
      <w:r w:rsidRPr="00706B1C" w:rsidR="00706B1C">
        <w:rPr>
          <w:color w:val="212121"/>
          <w:shd w:val="clear" w:color="auto" w:fill="FFFFFF"/>
        </w:rPr>
        <w:t xml:space="preserve">the trial court </w:t>
      </w:r>
      <w:r w:rsidR="00D54DE7">
        <w:rPr>
          <w:color w:val="212121"/>
          <w:shd w:val="clear" w:color="auto" w:fill="FFFFFF"/>
        </w:rPr>
        <w:t xml:space="preserve">with </w:t>
      </w:r>
      <w:r w:rsidR="0057636A">
        <w:rPr>
          <w:color w:val="212121"/>
          <w:shd w:val="clear" w:color="auto" w:fill="FFFFFF"/>
        </w:rPr>
        <w:t>instruct</w:t>
      </w:r>
      <w:r w:rsidR="00D54DE7">
        <w:rPr>
          <w:color w:val="212121"/>
          <w:shd w:val="clear" w:color="auto" w:fill="FFFFFF"/>
        </w:rPr>
        <w:t>ions</w:t>
      </w:r>
      <w:r w:rsidR="0057636A">
        <w:rPr>
          <w:color w:val="212121"/>
          <w:shd w:val="clear" w:color="auto" w:fill="FFFFFF"/>
        </w:rPr>
        <w:t xml:space="preserve"> to</w:t>
      </w:r>
      <w:r w:rsidR="00BF4D6F">
        <w:rPr>
          <w:color w:val="212121"/>
          <w:shd w:val="clear" w:color="auto" w:fill="FFFFFF"/>
        </w:rPr>
        <w:t xml:space="preserve"> </w:t>
      </w:r>
      <w:r w:rsidR="000D6852">
        <w:rPr>
          <w:color w:val="212121"/>
          <w:shd w:val="clear" w:color="auto" w:fill="FFFFFF"/>
        </w:rPr>
        <w:t xml:space="preserve">modify the sentence on count IX to run concurrently rather than consecutively, to </w:t>
      </w:r>
      <w:r w:rsidR="00020E4C">
        <w:rPr>
          <w:color w:val="212121"/>
          <w:shd w:val="clear" w:color="auto" w:fill="FFFFFF"/>
        </w:rPr>
        <w:t xml:space="preserve">impose a </w:t>
      </w:r>
      <w:r w:rsidR="00FD45C0">
        <w:rPr>
          <w:color w:val="212121"/>
          <w:shd w:val="clear" w:color="auto" w:fill="FFFFFF"/>
        </w:rPr>
        <w:t xml:space="preserve">total </w:t>
      </w:r>
      <w:r w:rsidR="00020E4C">
        <w:rPr>
          <w:color w:val="212121"/>
          <w:shd w:val="clear" w:color="auto" w:fill="FFFFFF"/>
        </w:rPr>
        <w:t xml:space="preserve">aggregate sentence of </w:t>
      </w:r>
      <w:r w:rsidR="000D6852">
        <w:rPr>
          <w:color w:val="212121"/>
          <w:shd w:val="clear" w:color="auto" w:fill="FFFFFF"/>
        </w:rPr>
        <w:t>11</w:t>
      </w:r>
      <w:r w:rsidR="00020E4C">
        <w:rPr>
          <w:color w:val="212121"/>
          <w:shd w:val="clear" w:color="auto" w:fill="FFFFFF"/>
        </w:rPr>
        <w:t xml:space="preserve"> years</w:t>
      </w:r>
      <w:r w:rsidR="000D6852">
        <w:rPr>
          <w:color w:val="212121"/>
          <w:shd w:val="clear" w:color="auto" w:fill="FFFFFF"/>
        </w:rPr>
        <w:t>, four months,</w:t>
      </w:r>
      <w:r w:rsidR="00BC3C20">
        <w:rPr>
          <w:color w:val="212121"/>
          <w:shd w:val="clear" w:color="auto" w:fill="FFFFFF"/>
        </w:rPr>
        <w:t xml:space="preserve"> and </w:t>
      </w:r>
      <w:r w:rsidR="000D6852">
        <w:rPr>
          <w:color w:val="212121"/>
          <w:shd w:val="clear" w:color="auto" w:fill="FFFFFF"/>
        </w:rPr>
        <w:t xml:space="preserve">to </w:t>
      </w:r>
      <w:r w:rsidR="00BC3C20">
        <w:rPr>
          <w:color w:val="212121"/>
          <w:shd w:val="clear" w:color="auto" w:fill="FFFFFF"/>
        </w:rPr>
        <w:t>determine Trammel’s actual total custody credits</w:t>
      </w:r>
      <w:r w:rsidR="00FD45C0">
        <w:rPr>
          <w:color w:val="212121"/>
          <w:shd w:val="clear" w:color="auto" w:fill="FFFFFF"/>
        </w:rPr>
        <w:t xml:space="preserve"> as of November 23, 2022</w:t>
      </w:r>
      <w:r w:rsidR="00BF3B3C">
        <w:rPr>
          <w:color w:val="212121"/>
          <w:shd w:val="clear" w:color="auto" w:fill="FFFFFF"/>
        </w:rPr>
        <w:t>.  The court shall order the clerk of the superior court to prepare a second amended abstract of judgmen</w:t>
      </w:r>
      <w:r w:rsidR="00BC3C20">
        <w:rPr>
          <w:color w:val="212121"/>
          <w:shd w:val="clear" w:color="auto" w:fill="FFFFFF"/>
        </w:rPr>
        <w:t>t</w:t>
      </w:r>
      <w:r w:rsidR="000D6852">
        <w:rPr>
          <w:color w:val="212121"/>
          <w:shd w:val="clear" w:color="auto" w:fill="FFFFFF"/>
        </w:rPr>
        <w:t xml:space="preserve"> memorializing these changes </w:t>
      </w:r>
      <w:r w:rsidR="00BC3C20">
        <w:rPr>
          <w:color w:val="212121"/>
          <w:shd w:val="clear" w:color="auto" w:fill="FFFFFF"/>
        </w:rPr>
        <w:t>and transmit a copy to the Department of Corrections</w:t>
      </w:r>
      <w:r w:rsidR="00995411">
        <w:rPr>
          <w:color w:val="212121"/>
          <w:shd w:val="clear" w:color="auto" w:fill="FFFFFF"/>
        </w:rPr>
        <w:t xml:space="preserve"> and Rehabilitation</w:t>
      </w:r>
      <w:r w:rsidR="00BC3C20">
        <w:rPr>
          <w:color w:val="212121"/>
          <w:shd w:val="clear" w:color="auto" w:fill="FFFFFF"/>
        </w:rPr>
        <w:t>.  I</w:t>
      </w:r>
      <w:r w:rsidR="00B437A6">
        <w:rPr>
          <w:color w:val="212121"/>
          <w:shd w:val="clear" w:color="auto" w:fill="FFFFFF"/>
        </w:rPr>
        <w:t>n</w:t>
      </w:r>
      <w:r w:rsidR="00BC3C20">
        <w:rPr>
          <w:color w:val="212121"/>
          <w:shd w:val="clear" w:color="auto" w:fill="FFFFFF"/>
        </w:rPr>
        <w:t xml:space="preserve"> all other respects, the judgment is affirmed.</w:t>
      </w:r>
    </w:p>
    <w:p w:rsidR="006B5B11" w14:paraId="763C1632" w14:textId="7A2C802F">
      <w:pPr>
        <w:tabs>
          <w:tab w:val="clear" w:pos="720"/>
        </w:tabs>
        <w:spacing w:after="160" w:line="259" w:lineRule="auto"/>
        <w:rPr>
          <w:rFonts w:ascii="Century Schoolbook" w:hAnsi="Century Schoolbook"/>
          <w:color w:val="212121"/>
          <w:shd w:val="clear" w:color="auto" w:fill="FFFFFF"/>
        </w:rPr>
      </w:pPr>
      <w:r>
        <w:rPr>
          <w:color w:val="212121"/>
          <w:shd w:val="clear" w:color="auto" w:fill="FFFFFF"/>
        </w:rPr>
        <w:br w:type="page"/>
      </w:r>
    </w:p>
    <w:p w:rsidR="006B5B11" w:rsidRPr="006B5B11" w:rsidP="00D64F5C" w14:paraId="51B0F328" w14:textId="77777777">
      <w:pPr>
        <w:spacing w:line="240" w:lineRule="auto"/>
        <w:rPr>
          <w:rFonts w:ascii="Century Schoolbook" w:hAnsi="Century Schoolbook"/>
        </w:rPr>
      </w:pPr>
    </w:p>
    <w:p w:rsidR="006B5B11" w:rsidRPr="006B5B11" w:rsidP="00D64F5C" w14:paraId="0C6D38D9" w14:textId="77777777">
      <w:pPr>
        <w:spacing w:line="240" w:lineRule="auto"/>
        <w:rPr>
          <w:rFonts w:ascii="Century Schoolbook" w:hAnsi="Century Schoolbook"/>
        </w:rPr>
      </w:pPr>
    </w:p>
    <w:p w:rsidR="006B5B11" w:rsidRPr="006B5B11" w:rsidP="00D64F5C" w14:paraId="552AA536" w14:textId="77777777">
      <w:pPr>
        <w:spacing w:line="240" w:lineRule="auto"/>
        <w:rPr>
          <w:rFonts w:ascii="Century Schoolbook" w:hAnsi="Century Schoolbook"/>
        </w:rPr>
      </w:pPr>
    </w:p>
    <w:p w:rsidR="006B5B11" w:rsidRPr="006B5B11" w:rsidP="00D64F5C" w14:paraId="6010F44A" w14:textId="77777777">
      <w:pPr>
        <w:spacing w:line="240" w:lineRule="auto"/>
        <w:rPr>
          <w:rFonts w:ascii="Century Schoolbook" w:hAnsi="Century Schoolbook"/>
          <w:smallCaps/>
        </w:rPr>
      </w:pPr>
      <w:r w:rsidRPr="006B5B11">
        <w:rPr>
          <w:rFonts w:ascii="Century Schoolbook" w:hAnsi="Century Schoolbook"/>
        </w:rPr>
        <w:tab/>
      </w:r>
      <w:r w:rsidRPr="006B5B11">
        <w:rPr>
          <w:rFonts w:ascii="Century Schoolbook" w:hAnsi="Century Schoolbook"/>
        </w:rPr>
        <w:tab/>
      </w:r>
      <w:r w:rsidRPr="006B5B11">
        <w:rPr>
          <w:rFonts w:ascii="Century Schoolbook" w:hAnsi="Century Schoolbook"/>
        </w:rPr>
        <w:tab/>
      </w:r>
      <w:r w:rsidRPr="006B5B11">
        <w:rPr>
          <w:rFonts w:ascii="Century Schoolbook" w:hAnsi="Century Schoolbook"/>
        </w:rPr>
        <w:tab/>
      </w:r>
      <w:r w:rsidRPr="006B5B11">
        <w:rPr>
          <w:rFonts w:ascii="Century Schoolbook" w:hAnsi="Century Schoolbook"/>
        </w:rPr>
        <w:tab/>
      </w:r>
      <w:r w:rsidRPr="006B5B11">
        <w:rPr>
          <w:rFonts w:ascii="Century Schoolbook" w:hAnsi="Century Schoolbook"/>
        </w:rPr>
        <w:tab/>
      </w:r>
      <w:r w:rsidRPr="006B5B11">
        <w:rPr>
          <w:rFonts w:ascii="Century Schoolbook" w:hAnsi="Century Schoolbook"/>
        </w:rPr>
        <w:tab/>
      </w:r>
      <w:r w:rsidRPr="006B5B11">
        <w:rPr>
          <w:rFonts w:ascii="Century Schoolbook" w:hAnsi="Century Schoolbook"/>
          <w:smallCaps/>
        </w:rPr>
        <w:t>BOWEN, J.</w:t>
      </w:r>
      <w:r>
        <w:rPr>
          <w:rFonts w:ascii="Symbol" w:hAnsi="Symbol"/>
          <w:smallCaps/>
          <w:vertAlign w:val="superscript"/>
        </w:rPr>
        <w:footnoteReference w:customMarkFollows="1" w:id="9"/>
        <w:sym w:font="Symbol" w:char="F02A"/>
      </w:r>
    </w:p>
    <w:p w:rsidR="006B5B11" w:rsidRPr="006B5B11" w:rsidP="00D64F5C" w14:paraId="05789566" w14:textId="77777777">
      <w:pPr>
        <w:spacing w:line="240" w:lineRule="auto"/>
        <w:rPr>
          <w:rFonts w:ascii="Century Schoolbook" w:hAnsi="Century Schoolbook"/>
        </w:rPr>
      </w:pPr>
    </w:p>
    <w:p w:rsidR="006B5B11" w:rsidRPr="006B5B11" w:rsidP="00D64F5C" w14:paraId="7E082DB6" w14:textId="77777777">
      <w:pPr>
        <w:spacing w:line="240" w:lineRule="auto"/>
        <w:rPr>
          <w:rFonts w:ascii="Century Schoolbook" w:hAnsi="Century Schoolbook"/>
        </w:rPr>
      </w:pPr>
    </w:p>
    <w:p w:rsidR="006B5B11" w:rsidRPr="006B5B11" w:rsidP="00D64F5C" w14:paraId="1ACEA025" w14:textId="77777777">
      <w:pPr>
        <w:spacing w:line="240" w:lineRule="auto"/>
        <w:rPr>
          <w:rFonts w:ascii="Century Schoolbook" w:hAnsi="Century Schoolbook"/>
        </w:rPr>
      </w:pPr>
      <w:r w:rsidRPr="006B5B11">
        <w:rPr>
          <w:rFonts w:ascii="Century Schoolbook" w:hAnsi="Century Schoolbook"/>
        </w:rPr>
        <w:t>WE CONCUR:</w:t>
      </w:r>
    </w:p>
    <w:p w:rsidR="006B5B11" w:rsidRPr="006B5B11" w:rsidP="00D64F5C" w14:paraId="03E27D31" w14:textId="77777777">
      <w:pPr>
        <w:spacing w:line="240" w:lineRule="auto"/>
        <w:rPr>
          <w:rFonts w:ascii="Century Schoolbook" w:hAnsi="Century Schoolbook"/>
        </w:rPr>
      </w:pPr>
    </w:p>
    <w:p w:rsidR="006B5B11" w:rsidRPr="006B5B11" w:rsidP="00D64F5C" w14:paraId="22E97ACC" w14:textId="77777777">
      <w:pPr>
        <w:spacing w:line="240" w:lineRule="auto"/>
        <w:rPr>
          <w:rFonts w:ascii="Century Schoolbook" w:hAnsi="Century Schoolbook"/>
        </w:rPr>
      </w:pPr>
    </w:p>
    <w:p w:rsidR="006B5B11" w:rsidRPr="006B5B11" w:rsidP="00D64F5C" w14:paraId="7218AE36" w14:textId="77777777">
      <w:pPr>
        <w:spacing w:line="240" w:lineRule="auto"/>
        <w:rPr>
          <w:rFonts w:ascii="Century Schoolbook" w:hAnsi="Century Schoolbook"/>
        </w:rPr>
      </w:pPr>
    </w:p>
    <w:p w:rsidR="006B5B11" w:rsidRPr="006B5B11" w:rsidP="00D64F5C" w14:paraId="37E0401C" w14:textId="77777777">
      <w:pPr>
        <w:spacing w:line="240" w:lineRule="auto"/>
        <w:rPr>
          <w:rFonts w:ascii="Century Schoolbook" w:hAnsi="Century Schoolbook"/>
          <w:smallCaps/>
        </w:rPr>
      </w:pPr>
      <w:r w:rsidRPr="006B5B11">
        <w:rPr>
          <w:rFonts w:ascii="Century Schoolbook" w:hAnsi="Century Schoolbook"/>
          <w:smallCaps/>
        </w:rPr>
        <w:t>Humes, P. J.</w:t>
      </w:r>
    </w:p>
    <w:p w:rsidR="006B5B11" w:rsidRPr="006B5B11" w:rsidP="00D64F5C" w14:paraId="31083AA1" w14:textId="77777777">
      <w:pPr>
        <w:spacing w:line="240" w:lineRule="auto"/>
        <w:rPr>
          <w:rFonts w:ascii="Century Schoolbook" w:hAnsi="Century Schoolbook"/>
        </w:rPr>
      </w:pPr>
    </w:p>
    <w:p w:rsidR="006B5B11" w:rsidRPr="006B5B11" w:rsidP="00D64F5C" w14:paraId="23BDFEC4" w14:textId="77777777">
      <w:pPr>
        <w:spacing w:line="240" w:lineRule="auto"/>
        <w:rPr>
          <w:rFonts w:ascii="Century Schoolbook" w:hAnsi="Century Schoolbook"/>
        </w:rPr>
      </w:pPr>
    </w:p>
    <w:p w:rsidR="006B5B11" w:rsidRPr="006B5B11" w:rsidP="00D64F5C" w14:paraId="4AE37B98" w14:textId="77777777">
      <w:pPr>
        <w:spacing w:line="240" w:lineRule="auto"/>
        <w:rPr>
          <w:rFonts w:ascii="Century Schoolbook" w:hAnsi="Century Schoolbook"/>
        </w:rPr>
      </w:pPr>
    </w:p>
    <w:p w:rsidR="006B5B11" w:rsidRPr="006B5B11" w:rsidP="00D64F5C" w14:paraId="1409609F" w14:textId="77777777">
      <w:pPr>
        <w:spacing w:line="240" w:lineRule="auto"/>
        <w:rPr>
          <w:rFonts w:ascii="Century Schoolbook" w:hAnsi="Century Schoolbook"/>
          <w:smallCaps/>
        </w:rPr>
      </w:pPr>
      <w:r w:rsidRPr="006B5B11">
        <w:rPr>
          <w:rFonts w:ascii="Century Schoolbook" w:hAnsi="Century Schoolbook"/>
          <w:smallCaps/>
        </w:rPr>
        <w:t>Margulies, J.</w:t>
      </w:r>
    </w:p>
    <w:p w:rsidR="006B5B11" w:rsidRPr="006B5B11" w:rsidP="00D64F5C" w14:paraId="46CC648A" w14:textId="77777777">
      <w:pPr>
        <w:spacing w:line="240" w:lineRule="auto"/>
        <w:rPr>
          <w:rFonts w:ascii="Century Schoolbook" w:hAnsi="Century Schoolbook"/>
          <w:smallCaps/>
        </w:rPr>
      </w:pPr>
    </w:p>
    <w:p w:rsidR="006B5B11" w:rsidRPr="006B5B11" w:rsidP="00D64F5C" w14:paraId="655EA07D" w14:textId="0288A517">
      <w:pPr>
        <w:spacing w:line="240" w:lineRule="auto"/>
        <w:rPr>
          <w:rFonts w:ascii="Century Schoolbook" w:hAnsi="Century Schoolbook"/>
          <w:smallCaps/>
        </w:rPr>
      </w:pPr>
    </w:p>
    <w:p w:rsidR="006B5B11" w:rsidRPr="006B5B11" w:rsidP="00D64F5C" w14:paraId="7A3FD936" w14:textId="77777777">
      <w:pPr>
        <w:spacing w:line="240" w:lineRule="auto"/>
        <w:rPr>
          <w:rFonts w:ascii="Century Schoolbook" w:hAnsi="Century Schoolbook"/>
        </w:rPr>
      </w:pPr>
    </w:p>
    <w:p w:rsidR="006B5B11" w:rsidRPr="006B5B11" w:rsidP="00D64F5C" w14:paraId="7E7CEBD8" w14:textId="77777777">
      <w:pPr>
        <w:spacing w:line="240" w:lineRule="auto"/>
        <w:rPr>
          <w:rFonts w:ascii="Century Schoolbook" w:hAnsi="Century Schoolbook"/>
        </w:rPr>
      </w:pPr>
    </w:p>
    <w:p w:rsidR="006B5B11" w:rsidRPr="006B5B11" w:rsidP="00D64F5C" w14:paraId="1970A7CB" w14:textId="77777777">
      <w:pPr>
        <w:spacing w:line="240" w:lineRule="auto"/>
        <w:rPr>
          <w:rFonts w:ascii="Century Schoolbook" w:hAnsi="Century Schoolbook"/>
        </w:rPr>
      </w:pPr>
    </w:p>
    <w:p w:rsidR="006B5B11" w:rsidRPr="006B5B11" w:rsidP="00D64F5C" w14:paraId="11E1E6FF" w14:textId="77777777">
      <w:pPr>
        <w:spacing w:line="240" w:lineRule="auto"/>
        <w:rPr>
          <w:rFonts w:ascii="Century Schoolbook" w:hAnsi="Century Schoolbook"/>
        </w:rPr>
      </w:pPr>
    </w:p>
    <w:p w:rsidR="006B5B11" w:rsidRPr="006B5B11" w:rsidP="00D64F5C" w14:paraId="22678CB8" w14:textId="77777777">
      <w:pPr>
        <w:spacing w:line="240" w:lineRule="auto"/>
        <w:rPr>
          <w:rFonts w:ascii="Century Schoolbook" w:hAnsi="Century Schoolbook"/>
        </w:rPr>
      </w:pPr>
    </w:p>
    <w:p w:rsidR="006B5B11" w:rsidRPr="006B5B11" w:rsidP="00D64F5C" w14:paraId="798E3EA4" w14:textId="77777777">
      <w:pPr>
        <w:spacing w:line="240" w:lineRule="auto"/>
        <w:rPr>
          <w:rFonts w:ascii="Century Schoolbook" w:hAnsi="Century Schoolbook"/>
        </w:rPr>
      </w:pPr>
    </w:p>
    <w:p w:rsidR="006B5B11" w:rsidRPr="006B5B11" w:rsidP="00D64F5C" w14:paraId="61060493" w14:textId="77777777">
      <w:pPr>
        <w:spacing w:line="240" w:lineRule="auto"/>
        <w:rPr>
          <w:rFonts w:ascii="Century Schoolbook" w:hAnsi="Century Schoolbook"/>
        </w:rPr>
      </w:pPr>
    </w:p>
    <w:p w:rsidR="006B5B11" w:rsidRPr="006B5B11" w:rsidP="00D64F5C" w14:paraId="3EEA63ED" w14:textId="77777777">
      <w:pPr>
        <w:spacing w:line="240" w:lineRule="auto"/>
        <w:rPr>
          <w:rFonts w:ascii="Century Schoolbook" w:hAnsi="Century Schoolbook"/>
        </w:rPr>
      </w:pPr>
    </w:p>
    <w:p w:rsidR="006B5B11" w:rsidRPr="006B5B11" w:rsidP="00D64F5C" w14:paraId="410863D9" w14:textId="77777777">
      <w:pPr>
        <w:spacing w:line="240" w:lineRule="auto"/>
        <w:rPr>
          <w:rFonts w:ascii="Century Schoolbook" w:hAnsi="Century Schoolbook"/>
        </w:rPr>
      </w:pPr>
    </w:p>
    <w:p w:rsidR="006B5B11" w:rsidRPr="006B5B11" w:rsidP="00D64F5C" w14:paraId="79EB531F" w14:textId="77777777">
      <w:pPr>
        <w:spacing w:line="240" w:lineRule="auto"/>
        <w:rPr>
          <w:rFonts w:ascii="Century Schoolbook" w:hAnsi="Century Schoolbook"/>
        </w:rPr>
      </w:pPr>
    </w:p>
    <w:p w:rsidR="006B5B11" w:rsidRPr="006B5B11" w:rsidP="00D64F5C" w14:paraId="53E0BD8D" w14:textId="77777777">
      <w:pPr>
        <w:spacing w:line="240" w:lineRule="auto"/>
        <w:rPr>
          <w:rFonts w:ascii="Century Schoolbook" w:hAnsi="Century Schoolbook"/>
        </w:rPr>
      </w:pPr>
    </w:p>
    <w:p w:rsidR="006B5B11" w:rsidRPr="006B5B11" w:rsidP="00D64F5C" w14:paraId="6FD4BCA3" w14:textId="77777777">
      <w:pPr>
        <w:spacing w:line="240" w:lineRule="auto"/>
        <w:rPr>
          <w:rFonts w:ascii="Century Schoolbook" w:hAnsi="Century Schoolbook"/>
        </w:rPr>
      </w:pPr>
    </w:p>
    <w:p w:rsidR="006B5B11" w:rsidRPr="006B5B11" w:rsidP="00D64F5C" w14:paraId="4F55A111" w14:textId="77777777">
      <w:pPr>
        <w:spacing w:line="240" w:lineRule="auto"/>
        <w:rPr>
          <w:rFonts w:ascii="Century Schoolbook" w:hAnsi="Century Schoolbook"/>
        </w:rPr>
      </w:pPr>
    </w:p>
    <w:p w:rsidR="006B5B11" w:rsidRPr="006B5B11" w:rsidP="00D64F5C" w14:paraId="2310D9BA" w14:textId="77777777">
      <w:pPr>
        <w:spacing w:line="240" w:lineRule="auto"/>
        <w:rPr>
          <w:rFonts w:ascii="Century Schoolbook" w:hAnsi="Century Schoolbook"/>
        </w:rPr>
      </w:pPr>
    </w:p>
    <w:p w:rsidR="006B5B11" w:rsidRPr="006B5B11" w:rsidP="00D64F5C" w14:paraId="587D7229" w14:textId="77777777">
      <w:pPr>
        <w:spacing w:line="240" w:lineRule="auto"/>
        <w:rPr>
          <w:rFonts w:ascii="Century Schoolbook" w:hAnsi="Century Schoolbook"/>
        </w:rPr>
      </w:pPr>
    </w:p>
    <w:p w:rsidR="006B5B11" w:rsidRPr="006B5B11" w:rsidP="00D64F5C" w14:paraId="5F917492" w14:textId="6A7740BD">
      <w:pPr>
        <w:spacing w:line="240" w:lineRule="auto"/>
        <w:rPr>
          <w:rFonts w:ascii="Century Schoolbook" w:hAnsi="Century Schoolbook"/>
        </w:rPr>
      </w:pPr>
      <w:r w:rsidRPr="006B5B11">
        <w:rPr>
          <w:rFonts w:ascii="Century Schoolbook" w:hAnsi="Century Schoolbook"/>
        </w:rPr>
        <w:t>A166756P</w:t>
      </w:r>
    </w:p>
    <w:p w:rsidR="006B5B11" w:rsidRPr="00E41254" w:rsidP="00D64F5C" w14:paraId="6A31F188" w14:textId="77777777">
      <w:pPr>
        <w:spacing w:line="240" w:lineRule="auto"/>
        <w:rPr>
          <w:i/>
        </w:rPr>
      </w:pPr>
    </w:p>
    <w:p w:rsidR="006B5B11" w:rsidRPr="00E41254" w:rsidP="00D64F5C" w14:paraId="190BEF36" w14:textId="77777777">
      <w:pPr>
        <w:spacing w:line="240" w:lineRule="auto"/>
        <w:rPr>
          <w:iCs/>
        </w:rPr>
      </w:pPr>
    </w:p>
    <w:p w:rsidR="006B5B11" w14:paraId="183E8D61" w14:textId="4F321209">
      <w:pPr>
        <w:tabs>
          <w:tab w:val="clear" w:pos="720"/>
        </w:tabs>
        <w:spacing w:after="160" w:line="259" w:lineRule="auto"/>
        <w:rPr>
          <w:rFonts w:ascii="Century Schoolbook" w:hAnsi="Century Schoolbook"/>
          <w:color w:val="212121"/>
          <w:shd w:val="clear" w:color="auto" w:fill="FFFFFF"/>
        </w:rPr>
      </w:pPr>
      <w:r>
        <w:rPr>
          <w:color w:val="212121"/>
          <w:shd w:val="clear" w:color="auto" w:fill="FFFFFF"/>
        </w:rPr>
        <w:br w:type="page"/>
      </w:r>
    </w:p>
    <w:p w:rsidR="006B5B11" w:rsidRPr="006B5B11" w:rsidP="0025232B" w14:paraId="1C53BA2E" w14:textId="77777777">
      <w:pPr>
        <w:spacing w:line="240" w:lineRule="auto"/>
        <w:rPr>
          <w:rFonts w:ascii="Century Schoolbook" w:hAnsi="Century Schoolbook"/>
        </w:rPr>
      </w:pPr>
      <w:r w:rsidRPr="006B5B11">
        <w:rPr>
          <w:rFonts w:ascii="Century Schoolbook" w:hAnsi="Century Schoolbook"/>
        </w:rPr>
        <w:t>San Francisco County Superior Court</w:t>
      </w:r>
    </w:p>
    <w:p w:rsidR="006B5B11" w:rsidRPr="006B5B11" w:rsidP="0025232B" w14:paraId="531A35E0" w14:textId="77777777">
      <w:pPr>
        <w:spacing w:line="240" w:lineRule="auto"/>
        <w:rPr>
          <w:rFonts w:ascii="Century Schoolbook" w:hAnsi="Century Schoolbook"/>
        </w:rPr>
      </w:pPr>
    </w:p>
    <w:p w:rsidR="006B5B11" w:rsidRPr="006B5B11" w:rsidP="0025232B" w14:paraId="2F91B0F0" w14:textId="77777777">
      <w:pPr>
        <w:spacing w:line="240" w:lineRule="auto"/>
        <w:rPr>
          <w:rFonts w:ascii="Century Schoolbook" w:hAnsi="Century Schoolbook"/>
        </w:rPr>
      </w:pPr>
      <w:r w:rsidRPr="006B5B11">
        <w:rPr>
          <w:rFonts w:ascii="Century Schoolbook" w:hAnsi="Century Schoolbook"/>
        </w:rPr>
        <w:t>Hon. Teresa M. Caffese</w:t>
      </w:r>
    </w:p>
    <w:p w:rsidR="006B5B11" w:rsidRPr="006B5B11" w:rsidP="0025232B" w14:paraId="033DA382" w14:textId="77777777">
      <w:pPr>
        <w:spacing w:line="240" w:lineRule="auto"/>
        <w:rPr>
          <w:rFonts w:ascii="Century Schoolbook" w:hAnsi="Century Schoolbook"/>
        </w:rPr>
      </w:pPr>
    </w:p>
    <w:p w:rsidR="006B5B11" w:rsidRPr="006B5B11" w:rsidP="0025232B" w14:paraId="6EB66E2B" w14:textId="77777777">
      <w:pPr>
        <w:spacing w:line="240" w:lineRule="auto"/>
        <w:rPr>
          <w:rFonts w:ascii="Century Schoolbook" w:hAnsi="Century Schoolbook"/>
        </w:rPr>
      </w:pPr>
      <w:r w:rsidRPr="006B5B11">
        <w:rPr>
          <w:rFonts w:ascii="Century Schoolbook" w:hAnsi="Century Schoolbook"/>
        </w:rPr>
        <w:t xml:space="preserve">Counsel:  </w:t>
      </w:r>
    </w:p>
    <w:p w:rsidR="006B5B11" w:rsidRPr="006B5B11" w:rsidP="0025232B" w14:paraId="67AD4D73" w14:textId="77777777">
      <w:pPr>
        <w:spacing w:line="240" w:lineRule="auto"/>
        <w:rPr>
          <w:rFonts w:ascii="Century Schoolbook" w:hAnsi="Century Schoolbook"/>
        </w:rPr>
      </w:pPr>
    </w:p>
    <w:p w:rsidR="006B5B11" w:rsidRPr="006B5B11" w:rsidP="6B4F90DA" w14:paraId="7E811FD9" w14:textId="3C4AFBED">
      <w:pPr>
        <w:spacing w:line="240" w:lineRule="auto"/>
        <w:rPr>
          <w:rFonts w:ascii="Century Schoolbook" w:hAnsi="Century Schoolbook"/>
        </w:rPr>
      </w:pPr>
      <w:r w:rsidRPr="006B5B11">
        <w:rPr>
          <w:rFonts w:ascii="Century Schoolbook" w:hAnsi="Century Schoolbook"/>
        </w:rPr>
        <w:t>Law offices of Bess Stiffelman, Bess Stiffelman</w:t>
      </w:r>
      <w:r w:rsidR="003D2D4D">
        <w:rPr>
          <w:rFonts w:ascii="Century Schoolbook" w:hAnsi="Century Schoolbook"/>
        </w:rPr>
        <w:t xml:space="preserve"> under appointment by the Court of Appeal</w:t>
      </w:r>
      <w:r w:rsidRPr="006B5B11">
        <w:rPr>
          <w:rFonts w:ascii="Century Schoolbook" w:hAnsi="Century Schoolbook"/>
        </w:rPr>
        <w:t xml:space="preserve"> for Defendant and Appellant.</w:t>
      </w:r>
    </w:p>
    <w:p w:rsidR="006B5B11" w:rsidRPr="006B5B11" w:rsidP="0025232B" w14:paraId="3AAFB753" w14:textId="77777777">
      <w:pPr>
        <w:spacing w:line="240" w:lineRule="auto"/>
        <w:rPr>
          <w:rFonts w:ascii="Century Schoolbook" w:hAnsi="Century Schoolbook"/>
        </w:rPr>
      </w:pPr>
    </w:p>
    <w:p w:rsidR="006B5B11" w:rsidRPr="006B5B11" w:rsidP="009A6360" w14:paraId="0218CFC9" w14:textId="77777777">
      <w:pPr>
        <w:spacing w:line="240" w:lineRule="auto"/>
        <w:rPr>
          <w:rFonts w:ascii="Century Schoolbook" w:hAnsi="Century Schoolbook"/>
        </w:rPr>
      </w:pPr>
      <w:r w:rsidRPr="006B5B11">
        <w:rPr>
          <w:rFonts w:ascii="Century Schoolbook" w:hAnsi="Century Schoolbook"/>
        </w:rPr>
        <w:t xml:space="preserve">Rob Bonta, Attorney General, Lance E. Winters, Chief Assistant Attorney General, Jeffrey M. Laurence, Senior Assistant Attorney General, Melissa A. Meth, Deputy Attorney General, Jalem Z. Peguero, Deputy Attorney General for Plaintiff and Respondent. </w:t>
      </w:r>
    </w:p>
    <w:p w:rsidR="006B5B11" w:rsidRPr="00057B4F" w:rsidP="009A6360" w14:paraId="0CE80353" w14:textId="77777777">
      <w:pPr>
        <w:spacing w:line="240" w:lineRule="auto"/>
        <w:rPr>
          <w:rFonts w:ascii="Century Schoolbook" w:hAnsi="Century Schoolbook"/>
        </w:rPr>
      </w:pPr>
    </w:p>
    <w:p w:rsidR="006B5B11" w:rsidRPr="00057B4F" w:rsidP="009A6360" w14:paraId="3BD44E90" w14:textId="77777777">
      <w:pPr>
        <w:spacing w:line="240" w:lineRule="auto"/>
        <w:rPr>
          <w:rFonts w:ascii="Century Schoolbook" w:hAnsi="Century Schoolbook"/>
        </w:rPr>
      </w:pPr>
    </w:p>
    <w:p w:rsidR="006B5B11" w:rsidRPr="00057B4F" w14:paraId="5AD6B8C0" w14:textId="77777777">
      <w:pPr>
        <w:rPr>
          <w:rFonts w:ascii="Century Schoolbook" w:hAnsi="Century Schoolbook"/>
        </w:rPr>
      </w:pPr>
    </w:p>
    <w:p w:rsidR="006B5B11" w:rsidRPr="00BF37F3" w:rsidP="006B5B11" w14:paraId="4EEAC354" w14:textId="77777777">
      <w:pPr>
        <w:pStyle w:val="Text"/>
        <w:ind w:firstLine="0"/>
        <w:rPr>
          <w:color w:val="212121"/>
          <w:shd w:val="clear" w:color="auto" w:fill="FFFFFF"/>
        </w:rPr>
      </w:pPr>
    </w:p>
    <w:sectPr w:rsidSect="00AA4335">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E36" w:rsidP="00154D94" w14:paraId="03F5BEAA"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EE11BC">
      <w:rPr>
        <w:rStyle w:val="PageNumber"/>
      </w:rPr>
      <w:fldChar w:fldCharType="separate"/>
    </w:r>
    <w:r>
      <w:rPr>
        <w:rStyle w:val="PageNumber"/>
      </w:rPr>
      <w:fldChar w:fldCharType="end"/>
    </w:r>
  </w:p>
  <w:p w:rsidR="00812E36" w:rsidP="00154D94" w14:paraId="05A03722" w14:textId="77777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sidR="00EE11BC">
      <w:rPr>
        <w:rStyle w:val="PageNumber"/>
      </w:rPr>
      <w:fldChar w:fldCharType="separate"/>
    </w:r>
    <w:r>
      <w:rPr>
        <w:rStyle w:val="PageNumber"/>
      </w:rPr>
      <w:fldChar w:fldCharType="end"/>
    </w:r>
  </w:p>
  <w:p w:rsidR="00812E36" w14:paraId="6E6FCF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2E36" w:rsidP="00514AB4" w14:paraId="50496664" w14:textId="66BD700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6591">
      <w:rPr>
        <w:rStyle w:val="PageNumber"/>
        <w:noProof/>
      </w:rPr>
      <w:t>10</w:t>
    </w:r>
    <w:r>
      <w:rPr>
        <w:rStyle w:val="PageNumber"/>
      </w:rPr>
      <w:fldChar w:fldCharType="end"/>
    </w:r>
  </w:p>
  <w:p w:rsidR="00812E36" w14:paraId="2AE9E5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10F8F" w:rsidP="00514AB4" w14:paraId="0BB3FE7E" w14:textId="77777777">
      <w:pPr>
        <w:spacing w:line="240" w:lineRule="auto"/>
      </w:pPr>
      <w:r>
        <w:separator/>
      </w:r>
    </w:p>
  </w:footnote>
  <w:footnote w:type="continuationSeparator" w:id="1">
    <w:p w:rsidR="00810F8F" w:rsidP="00514AB4" w14:paraId="38B89CAE" w14:textId="77777777">
      <w:pPr>
        <w:spacing w:line="240" w:lineRule="auto"/>
      </w:pPr>
      <w:r>
        <w:continuationSeparator/>
      </w:r>
    </w:p>
  </w:footnote>
  <w:footnote w:id="2">
    <w:p w:rsidR="00D77530" w:rsidRPr="00CE033E" w:rsidP="00A9020B" w14:paraId="46EB1B22" w14:textId="77777777">
      <w:pPr>
        <w:pStyle w:val="FootnoteText"/>
        <w:spacing w:after="120"/>
        <w:rPr>
          <w:rFonts w:ascii="Century Schoolbook" w:hAnsi="Century Schoolbook"/>
        </w:rPr>
      </w:pPr>
      <w:r w:rsidRPr="00CE033E">
        <w:rPr>
          <w:rFonts w:ascii="Century Schoolbook" w:hAnsi="Century Schoolbook"/>
        </w:rPr>
        <w:tab/>
      </w:r>
      <w:r w:rsidRPr="00CE033E">
        <w:rPr>
          <w:rStyle w:val="FootnoteReference"/>
          <w:rFonts w:ascii="Century Schoolbook" w:hAnsi="Century Schoolbook"/>
        </w:rPr>
        <w:footnoteRef/>
      </w:r>
      <w:r w:rsidRPr="00CE033E">
        <w:rPr>
          <w:rFonts w:ascii="Century Schoolbook" w:hAnsi="Century Schoolbook"/>
        </w:rPr>
        <w:t xml:space="preserve"> </w:t>
      </w:r>
      <w:r>
        <w:rPr>
          <w:rFonts w:ascii="Century Schoolbook" w:hAnsi="Century Schoolbook"/>
        </w:rPr>
        <w:t>All statutory references are to the Penal Code unless otherwise specified.</w:t>
      </w:r>
    </w:p>
  </w:footnote>
  <w:footnote w:id="3">
    <w:p w:rsidR="00F454C8" w:rsidRPr="00F2469D" w:rsidP="00A9020B" w14:paraId="2153535E" w14:textId="505EFE83">
      <w:pPr>
        <w:pStyle w:val="FootnoteText"/>
        <w:spacing w:after="120"/>
        <w:ind w:firstLine="720"/>
        <w:rPr>
          <w:rFonts w:ascii="Century Schoolbook" w:hAnsi="Century Schoolbook"/>
        </w:rPr>
      </w:pPr>
      <w:r w:rsidRPr="00F2469D">
        <w:rPr>
          <w:rStyle w:val="FootnoteReference"/>
          <w:rFonts w:ascii="Century Schoolbook" w:hAnsi="Century Schoolbook"/>
        </w:rPr>
        <w:footnoteRef/>
      </w:r>
      <w:r>
        <w:rPr>
          <w:rFonts w:ascii="Century Schoolbook" w:hAnsi="Century Schoolbook"/>
        </w:rPr>
        <w:t xml:space="preserve">  Since the filing of our first opinion in this matter, it has come to our attention that there is a discrepancy with respect to the spelling of the defendant’s last name.  While the bulk of the documents refer to the defendant as “Trammel,” including pleadings filed by his own attorneys, other documents</w:t>
      </w:r>
      <w:r w:rsidR="006C4FF3">
        <w:rPr>
          <w:rFonts w:ascii="Century Schoolbook" w:hAnsi="Century Schoolbook"/>
        </w:rPr>
        <w:t xml:space="preserve"> (such as police reports and the second notice of appeal) reference him as “Trammell.”</w:t>
      </w:r>
      <w:r>
        <w:rPr>
          <w:rFonts w:ascii="Century Schoolbook" w:hAnsi="Century Schoolbook"/>
        </w:rPr>
        <w:t xml:space="preserve"> </w:t>
      </w:r>
      <w:r w:rsidR="006C4FF3">
        <w:rPr>
          <w:rFonts w:ascii="Century Schoolbook" w:hAnsi="Century Schoolbook"/>
        </w:rPr>
        <w:t xml:space="preserve"> For purposes of consistency with our prior opinion, we will refer to the defendant herein as “Trammel,” but clarify that we are </w:t>
      </w:r>
      <w:r w:rsidR="00F145DA">
        <w:rPr>
          <w:rFonts w:ascii="Century Schoolbook" w:hAnsi="Century Schoolbook"/>
        </w:rPr>
        <w:t xml:space="preserve">referring to the </w:t>
      </w:r>
      <w:r w:rsidR="00116A94">
        <w:rPr>
          <w:rFonts w:ascii="Century Schoolbook" w:hAnsi="Century Schoolbook"/>
        </w:rPr>
        <w:t>individual</w:t>
      </w:r>
      <w:r w:rsidR="00F145DA">
        <w:rPr>
          <w:rFonts w:ascii="Century Schoolbook" w:hAnsi="Century Schoolbook"/>
        </w:rPr>
        <w:t xml:space="preserve"> </w:t>
      </w:r>
      <w:r w:rsidR="00116A94">
        <w:rPr>
          <w:rFonts w:ascii="Century Schoolbook" w:hAnsi="Century Schoolbook"/>
        </w:rPr>
        <w:t>identified by</w:t>
      </w:r>
      <w:r w:rsidR="00F145DA">
        <w:rPr>
          <w:rFonts w:ascii="Century Schoolbook" w:hAnsi="Century Schoolbook"/>
        </w:rPr>
        <w:t xml:space="preserve"> CII No. 11688126.</w:t>
      </w:r>
      <w:r w:rsidR="006C4FF3">
        <w:rPr>
          <w:rFonts w:ascii="Century Schoolbook" w:hAnsi="Century Schoolbook"/>
        </w:rPr>
        <w:t xml:space="preserve"> </w:t>
      </w:r>
      <w:r>
        <w:rPr>
          <w:rFonts w:ascii="Century Schoolbook" w:hAnsi="Century Schoolbook"/>
        </w:rPr>
        <w:t xml:space="preserve"> </w:t>
      </w:r>
    </w:p>
  </w:footnote>
  <w:footnote w:id="4">
    <w:p w:rsidR="00C16884" w:rsidRPr="00C16884" w:rsidP="00A9020B" w14:paraId="79110902" w14:textId="69F95FA2">
      <w:pPr>
        <w:pStyle w:val="FootnoteText"/>
        <w:spacing w:after="120"/>
        <w:rPr>
          <w:rFonts w:ascii="Century Schoolbook" w:hAnsi="Century Schoolbook"/>
        </w:rPr>
      </w:pPr>
      <w:r w:rsidRPr="00C16884">
        <w:rPr>
          <w:rFonts w:ascii="Century Schoolbook" w:hAnsi="Century Schoolbook"/>
        </w:rPr>
        <w:tab/>
      </w:r>
      <w:r w:rsidRPr="00C16884">
        <w:rPr>
          <w:rStyle w:val="FootnoteReference"/>
          <w:rFonts w:ascii="Century Schoolbook" w:hAnsi="Century Schoolbook"/>
        </w:rPr>
        <w:footnoteRef/>
      </w:r>
      <w:r w:rsidRPr="00C16884">
        <w:rPr>
          <w:rFonts w:ascii="Century Schoolbook" w:hAnsi="Century Schoolbook"/>
        </w:rPr>
        <w:t xml:space="preserve"> As the Alaska Supreme Court explained:  “ </w:t>
      </w:r>
      <w:r>
        <w:rPr>
          <w:rFonts w:ascii="Century Schoolbook" w:hAnsi="Century Schoolbook"/>
          <w:color w:val="000000"/>
        </w:rPr>
        <w:t>‘[I]</w:t>
      </w:r>
      <w:r w:rsidRPr="00C16884">
        <w:rPr>
          <w:rFonts w:ascii="Century Schoolbook" w:hAnsi="Century Schoolbook"/>
          <w:color w:val="000000"/>
        </w:rPr>
        <w:t>f a more severe sentence may be imposed after retrial for any reason, there will always be a definite apprehension on the part of the accused that a heavier sentence may be imposed. . . . </w:t>
      </w:r>
      <w:r w:rsidRPr="00C16884">
        <w:rPr>
          <w:rStyle w:val="ssrfcpassagedeactivated"/>
          <w:rFonts w:ascii="Century Schoolbook" w:hAnsi="Century Schoolbook"/>
          <w:color w:val="000000"/>
          <w:bdr w:val="none" w:sz="0" w:space="0" w:color="auto" w:frame="1"/>
        </w:rPr>
        <w:t xml:space="preserve">Such deterrence violates the due process clause of the Alaska Constitution. </w:t>
      </w:r>
      <w:r>
        <w:rPr>
          <w:rStyle w:val="ssrfcpassagedeactivated"/>
          <w:rFonts w:ascii="Century Schoolbook" w:hAnsi="Century Schoolbook"/>
          <w:color w:val="000000"/>
          <w:bdr w:val="none" w:sz="0" w:space="0" w:color="auto" w:frame="1"/>
        </w:rPr>
        <w:t xml:space="preserve"> </w:t>
      </w:r>
      <w:r w:rsidRPr="00C16884">
        <w:rPr>
          <w:rStyle w:val="ssrfcpassagedeactivated"/>
          <w:rFonts w:ascii="Century Schoolbook" w:hAnsi="Century Schoolbook"/>
          <w:color w:val="000000"/>
          <w:bdr w:val="none" w:sz="0" w:space="0" w:color="auto" w:frame="1"/>
        </w:rPr>
        <w:t>The fundamental standard of procedural fairness, which is the basic due process right claimed in this case, forbids placing a limitation on the defendant</w:t>
      </w:r>
      <w:r>
        <w:rPr>
          <w:rStyle w:val="ssrfcpassagedeactivated"/>
          <w:rFonts w:ascii="Century Schoolbook" w:hAnsi="Century Schoolbook"/>
          <w:color w:val="000000"/>
          <w:bdr w:val="none" w:sz="0" w:space="0" w:color="auto" w:frame="1"/>
        </w:rPr>
        <w:t>’</w:t>
      </w:r>
      <w:r w:rsidRPr="00C16884">
        <w:rPr>
          <w:rStyle w:val="ssrfcpassagedeactivated"/>
          <w:rFonts w:ascii="Century Schoolbook" w:hAnsi="Century Schoolbook"/>
          <w:color w:val="000000"/>
          <w:bdr w:val="none" w:sz="0" w:space="0" w:color="auto" w:frame="1"/>
        </w:rPr>
        <w:t xml:space="preserve">s right to a fair trial by requiring a defendant to barter with freedom for the opportunity of exercising it. </w:t>
      </w:r>
      <w:r>
        <w:rPr>
          <w:rStyle w:val="ssrfcpassagedeactivated"/>
          <w:rFonts w:ascii="Century Schoolbook" w:hAnsi="Century Schoolbook"/>
          <w:color w:val="000000"/>
          <w:bdr w:val="none" w:sz="0" w:space="0" w:color="auto" w:frame="1"/>
        </w:rPr>
        <w:t xml:space="preserve"> </w:t>
      </w:r>
      <w:r w:rsidRPr="00C16884">
        <w:rPr>
          <w:rStyle w:val="ssrfcpassagedeactivated"/>
          <w:rFonts w:ascii="Century Schoolbook" w:hAnsi="Century Schoolbook"/>
          <w:color w:val="000000"/>
          <w:bdr w:val="none" w:sz="0" w:space="0" w:color="auto" w:frame="1"/>
        </w:rPr>
        <w:t xml:space="preserve">[Citation.] </w:t>
      </w:r>
      <w:r>
        <w:rPr>
          <w:rStyle w:val="ssrfcpassagedeactivated"/>
          <w:rFonts w:ascii="Century Schoolbook" w:hAnsi="Century Schoolbook"/>
          <w:color w:val="000000"/>
          <w:bdr w:val="none" w:sz="0" w:space="0" w:color="auto" w:frame="1"/>
        </w:rPr>
        <w:t xml:space="preserve"> </w:t>
      </w:r>
      <w:r w:rsidRPr="00C16884">
        <w:rPr>
          <w:rStyle w:val="ssrfcpassagedeactivated"/>
          <w:rFonts w:ascii="Century Schoolbook" w:hAnsi="Century Schoolbook"/>
          <w:color w:val="000000"/>
          <w:bdr w:val="none" w:sz="0" w:space="0" w:color="auto" w:frame="1"/>
        </w:rPr>
        <w:t>The state has no valid interest in imposing unreasonable conditions on [a defendant</w:t>
      </w:r>
      <w:r>
        <w:rPr>
          <w:rStyle w:val="ssrfcpassagedeactivated"/>
          <w:rFonts w:ascii="Century Schoolbook" w:hAnsi="Century Schoolbook"/>
          <w:color w:val="000000"/>
          <w:bdr w:val="none" w:sz="0" w:space="0" w:color="auto" w:frame="1"/>
        </w:rPr>
        <w:t>’</w:t>
      </w:r>
      <w:r w:rsidRPr="00C16884">
        <w:rPr>
          <w:rStyle w:val="ssrfcpassagedeactivated"/>
          <w:rFonts w:ascii="Century Schoolbook" w:hAnsi="Century Schoolbook"/>
          <w:color w:val="000000"/>
          <w:bdr w:val="none" w:sz="0" w:space="0" w:color="auto" w:frame="1"/>
        </w:rPr>
        <w:t xml:space="preserve">s] legitimate exercise of his </w:t>
      </w:r>
      <w:r w:rsidR="0020059A">
        <w:rPr>
          <w:rStyle w:val="ssrfcpassagedeactivated"/>
          <w:rFonts w:ascii="Century Schoolbook" w:hAnsi="Century Schoolbook"/>
          <w:color w:val="000000"/>
          <w:bdr w:val="none" w:sz="0" w:space="0" w:color="auto" w:frame="1"/>
        </w:rPr>
        <w:t xml:space="preserve">[or her] </w:t>
      </w:r>
      <w:r w:rsidRPr="00C16884">
        <w:rPr>
          <w:rStyle w:val="ssrfcpassagedeactivated"/>
          <w:rFonts w:ascii="Century Schoolbook" w:hAnsi="Century Schoolbook"/>
          <w:color w:val="000000"/>
          <w:bdr w:val="none" w:sz="0" w:space="0" w:color="auto" w:frame="1"/>
        </w:rPr>
        <w:t>due process right.</w:t>
      </w:r>
      <w:r>
        <w:rPr>
          <w:rStyle w:val="ssrfcpassagedeactivated"/>
          <w:rFonts w:ascii="Century Schoolbook" w:hAnsi="Century Schoolbook"/>
          <w:color w:val="000000"/>
          <w:bdr w:val="none" w:sz="0" w:space="0" w:color="auto" w:frame="1"/>
        </w:rPr>
        <w:t>’ ”  (</w:t>
      </w:r>
      <w:r>
        <w:rPr>
          <w:rStyle w:val="ssrfcpassagedeactivated"/>
          <w:rFonts w:ascii="Century Schoolbook" w:hAnsi="Century Schoolbook"/>
          <w:i/>
          <w:iCs/>
          <w:color w:val="000000"/>
          <w:bdr w:val="none" w:sz="0" w:space="0" w:color="auto" w:frame="1"/>
        </w:rPr>
        <w:t>Hanson</w:t>
      </w:r>
      <w:r>
        <w:rPr>
          <w:rStyle w:val="ssrfcpassagedeactivated"/>
          <w:rFonts w:ascii="Century Schoolbook" w:hAnsi="Century Schoolbook"/>
          <w:color w:val="000000"/>
          <w:bdr w:val="none" w:sz="0" w:space="0" w:color="auto" w:frame="1"/>
        </w:rPr>
        <w:t xml:space="preserve">, </w:t>
      </w:r>
      <w:r>
        <w:rPr>
          <w:rStyle w:val="ssrfcpassagedeactivated"/>
          <w:rFonts w:ascii="Century Schoolbook" w:hAnsi="Century Schoolbook"/>
          <w:i/>
          <w:iCs/>
          <w:color w:val="000000"/>
          <w:bdr w:val="none" w:sz="0" w:space="0" w:color="auto" w:frame="1"/>
        </w:rPr>
        <w:t>supra</w:t>
      </w:r>
      <w:r>
        <w:rPr>
          <w:rStyle w:val="ssrfcpassagedeactivated"/>
          <w:rFonts w:ascii="Century Schoolbook" w:hAnsi="Century Schoolbook"/>
          <w:color w:val="000000"/>
          <w:bdr w:val="none" w:sz="0" w:space="0" w:color="auto" w:frame="1"/>
        </w:rPr>
        <w:t>, 23 Cal.4t</w:t>
      </w:r>
      <w:r w:rsidR="004A69A6">
        <w:rPr>
          <w:rStyle w:val="ssrfcpassagedeactivated"/>
          <w:rFonts w:ascii="Century Schoolbook" w:hAnsi="Century Schoolbook"/>
          <w:color w:val="000000"/>
          <w:bdr w:val="none" w:sz="0" w:space="0" w:color="auto" w:frame="1"/>
        </w:rPr>
        <w:t xml:space="preserve">h at pp. 366–367, quoting </w:t>
      </w:r>
      <w:r w:rsidR="004A69A6">
        <w:rPr>
          <w:rStyle w:val="ssrfcpassagedeactivated"/>
          <w:rFonts w:ascii="Century Schoolbook" w:hAnsi="Century Schoolbook"/>
          <w:i/>
          <w:iCs/>
          <w:color w:val="000000"/>
          <w:bdr w:val="none" w:sz="0" w:space="0" w:color="auto" w:frame="1"/>
        </w:rPr>
        <w:t xml:space="preserve">Shagloak v. State </w:t>
      </w:r>
      <w:r w:rsidR="004A69A6">
        <w:rPr>
          <w:rStyle w:val="ssrfcpassagedeactivated"/>
          <w:rFonts w:ascii="Century Schoolbook" w:hAnsi="Century Schoolbook"/>
          <w:color w:val="000000"/>
          <w:bdr w:val="none" w:sz="0" w:space="0" w:color="auto" w:frame="1"/>
        </w:rPr>
        <w:t xml:space="preserve"> (Alaska 1979)  597 P.2d 142, 145.)  </w:t>
      </w:r>
    </w:p>
  </w:footnote>
  <w:footnote w:id="5">
    <w:p w:rsidR="005A32D1" w:rsidRPr="0005469C" w:rsidP="00A9020B" w14:paraId="0FA6A7D3" w14:textId="08F54483">
      <w:pPr>
        <w:pStyle w:val="NormalWeb"/>
        <w:shd w:val="clear" w:color="auto" w:fill="FFFFFF"/>
        <w:spacing w:before="0" w:beforeAutospacing="0" w:after="120" w:afterAutospacing="0"/>
        <w:textAlignment w:val="baseline"/>
        <w:rPr>
          <w:rFonts w:ascii="Century Schoolbook" w:hAnsi="Century Schoolbook"/>
          <w:sz w:val="26"/>
          <w:szCs w:val="26"/>
        </w:rPr>
      </w:pPr>
      <w:r w:rsidRPr="005A32D1">
        <w:rPr>
          <w:rFonts w:ascii="Century Schoolbook" w:hAnsi="Century Schoolbook"/>
        </w:rPr>
        <w:tab/>
      </w:r>
      <w:r w:rsidRPr="005A32D1">
        <w:rPr>
          <w:rStyle w:val="FootnoteReference"/>
          <w:rFonts w:ascii="Century Schoolbook" w:hAnsi="Century Schoolbook"/>
          <w:sz w:val="26"/>
          <w:szCs w:val="26"/>
        </w:rPr>
        <w:footnoteRef/>
      </w:r>
      <w:r w:rsidRPr="005A32D1">
        <w:rPr>
          <w:rFonts w:ascii="Century Schoolbook" w:hAnsi="Century Schoolbook"/>
          <w:sz w:val="26"/>
          <w:szCs w:val="26"/>
        </w:rPr>
        <w:t xml:space="preserve"> </w:t>
      </w:r>
      <w:r>
        <w:rPr>
          <w:rFonts w:ascii="Century Schoolbook" w:hAnsi="Century Schoolbook"/>
          <w:sz w:val="26"/>
          <w:szCs w:val="26"/>
        </w:rPr>
        <w:t xml:space="preserve">The </w:t>
      </w:r>
      <w:r>
        <w:rPr>
          <w:rFonts w:ascii="Century Schoolbook" w:hAnsi="Century Schoolbook"/>
          <w:i/>
          <w:iCs/>
          <w:sz w:val="26"/>
          <w:szCs w:val="26"/>
        </w:rPr>
        <w:t xml:space="preserve">Massengale </w:t>
      </w:r>
      <w:r>
        <w:rPr>
          <w:rFonts w:ascii="Century Schoolbook" w:hAnsi="Century Schoolbook"/>
          <w:sz w:val="26"/>
          <w:szCs w:val="26"/>
        </w:rPr>
        <w:t>court</w:t>
      </w:r>
      <w:r w:rsidR="0005469C">
        <w:rPr>
          <w:rFonts w:ascii="Century Schoolbook" w:hAnsi="Century Schoolbook"/>
          <w:sz w:val="26"/>
          <w:szCs w:val="26"/>
        </w:rPr>
        <w:t xml:space="preserve"> distinguished its situation from that involved in </w:t>
      </w:r>
      <w:r w:rsidRPr="0005469C" w:rsidR="0005469C">
        <w:rPr>
          <w:rFonts w:ascii="Century Schoolbook" w:hAnsi="Century Schoolbook"/>
          <w:i/>
          <w:iCs/>
          <w:sz w:val="26"/>
          <w:szCs w:val="26"/>
        </w:rPr>
        <w:t>Henderson</w:t>
      </w:r>
      <w:r w:rsidR="0005469C">
        <w:rPr>
          <w:rFonts w:ascii="Century Schoolbook" w:hAnsi="Century Schoolbook"/>
          <w:sz w:val="26"/>
          <w:szCs w:val="26"/>
        </w:rPr>
        <w:t xml:space="preserve">, stating that </w:t>
      </w:r>
      <w:r w:rsidR="0005469C">
        <w:rPr>
          <w:rStyle w:val="ssrfcpassagedeactivated"/>
          <w:rFonts w:ascii="Century Schoolbook" w:hAnsi="Century Schoolbook"/>
          <w:sz w:val="26"/>
          <w:szCs w:val="26"/>
          <w:bdr w:val="none" w:sz="0" w:space="0" w:color="auto" w:frame="1"/>
        </w:rPr>
        <w:t>“</w:t>
      </w:r>
      <w:r w:rsidRPr="005A32D1">
        <w:rPr>
          <w:rStyle w:val="ssrfcpassagedeactivated"/>
          <w:rFonts w:ascii="Century Schoolbook" w:hAnsi="Century Schoolbook"/>
          <w:sz w:val="26"/>
          <w:szCs w:val="26"/>
          <w:bdr w:val="none" w:sz="0" w:space="0" w:color="auto" w:frame="1"/>
        </w:rPr>
        <w:t xml:space="preserve">such a correction of the </w:t>
      </w:r>
      <w:r w:rsidRPr="0005469C">
        <w:rPr>
          <w:rStyle w:val="ssrfcpassagedeactivated"/>
          <w:rFonts w:ascii="Century Schoolbook" w:hAnsi="Century Schoolbook"/>
          <w:sz w:val="26"/>
          <w:szCs w:val="26"/>
          <w:bdr w:val="none" w:sz="0" w:space="0" w:color="auto" w:frame="1"/>
        </w:rPr>
        <w:t>judgment is not a penalty imposed upon appellants because of their appeals.</w:t>
      </w:r>
      <w:r w:rsidRPr="0005469C" w:rsidR="0005469C">
        <w:rPr>
          <w:rStyle w:val="ssrfcpassagedeactivated"/>
          <w:rFonts w:ascii="Century Schoolbook" w:hAnsi="Century Schoolbook"/>
          <w:sz w:val="26"/>
          <w:szCs w:val="26"/>
          <w:bdr w:val="none" w:sz="0" w:space="0" w:color="auto" w:frame="1"/>
        </w:rPr>
        <w:t>”  (</w:t>
      </w:r>
      <w:r w:rsidRPr="0005469C" w:rsidR="0005469C">
        <w:rPr>
          <w:rStyle w:val="ssrfcpassagedeactivated"/>
          <w:rFonts w:ascii="Century Schoolbook" w:hAnsi="Century Schoolbook"/>
          <w:i/>
          <w:iCs/>
          <w:sz w:val="26"/>
          <w:szCs w:val="26"/>
          <w:bdr w:val="none" w:sz="0" w:space="0" w:color="auto" w:frame="1"/>
        </w:rPr>
        <w:t>Massengale</w:t>
      </w:r>
      <w:r w:rsidR="0005469C">
        <w:rPr>
          <w:rStyle w:val="ssrfcpassagedeactivated"/>
          <w:rFonts w:ascii="Century Schoolbook" w:hAnsi="Century Schoolbook"/>
          <w:sz w:val="26"/>
          <w:szCs w:val="26"/>
          <w:bdr w:val="none" w:sz="0" w:space="0" w:color="auto" w:frame="1"/>
        </w:rPr>
        <w:t xml:space="preserve">, </w:t>
      </w:r>
      <w:r w:rsidR="0005469C">
        <w:rPr>
          <w:rStyle w:val="ssrfcpassagedeactivated"/>
          <w:rFonts w:ascii="Century Schoolbook" w:hAnsi="Century Schoolbook"/>
          <w:i/>
          <w:iCs/>
          <w:sz w:val="26"/>
          <w:szCs w:val="26"/>
          <w:bdr w:val="none" w:sz="0" w:space="0" w:color="auto" w:frame="1"/>
        </w:rPr>
        <w:t>supra</w:t>
      </w:r>
      <w:r w:rsidR="0005469C">
        <w:rPr>
          <w:rStyle w:val="ssrfcpassagedeactivated"/>
          <w:rFonts w:ascii="Century Schoolbook" w:hAnsi="Century Schoolbook"/>
          <w:sz w:val="26"/>
          <w:szCs w:val="26"/>
          <w:bdr w:val="none" w:sz="0" w:space="0" w:color="auto" w:frame="1"/>
        </w:rPr>
        <w:t>,</w:t>
      </w:r>
      <w:r w:rsidRPr="0005469C" w:rsidR="0005469C">
        <w:rPr>
          <w:rStyle w:val="ssrfcpassagedeactivated"/>
          <w:rFonts w:ascii="Century Schoolbook" w:hAnsi="Century Schoolbook"/>
          <w:sz w:val="26"/>
          <w:szCs w:val="26"/>
          <w:bdr w:val="none" w:sz="0" w:space="0" w:color="auto" w:frame="1"/>
        </w:rPr>
        <w:t xml:space="preserve"> 10 Cal.App.3d </w:t>
      </w:r>
      <w:r w:rsidR="0005469C">
        <w:rPr>
          <w:rStyle w:val="ssrfcpassagedeactivated"/>
          <w:rFonts w:ascii="Century Schoolbook" w:hAnsi="Century Schoolbook"/>
          <w:sz w:val="26"/>
          <w:szCs w:val="26"/>
          <w:bdr w:val="none" w:sz="0" w:space="0" w:color="auto" w:frame="1"/>
        </w:rPr>
        <w:t>at p.</w:t>
      </w:r>
      <w:r w:rsidRPr="0005469C" w:rsidR="0005469C">
        <w:rPr>
          <w:rStyle w:val="ssrfcpassagedeactivated"/>
          <w:rFonts w:ascii="Century Schoolbook" w:hAnsi="Century Schoolbook"/>
          <w:sz w:val="26"/>
          <w:szCs w:val="26"/>
          <w:bdr w:val="none" w:sz="0" w:space="0" w:color="auto" w:frame="1"/>
        </w:rPr>
        <w:t xml:space="preserve"> 693</w:t>
      </w:r>
      <w:r w:rsidR="0005469C">
        <w:rPr>
          <w:rStyle w:val="ssrfcpassagedeactivated"/>
          <w:rFonts w:ascii="Century Schoolbook" w:hAnsi="Century Schoolbook"/>
          <w:sz w:val="26"/>
          <w:szCs w:val="26"/>
          <w:bdr w:val="none" w:sz="0" w:space="0" w:color="auto" w:frame="1"/>
        </w:rPr>
        <w:t>.)</w:t>
      </w:r>
      <w:r w:rsidRPr="0005469C" w:rsidR="0005469C">
        <w:rPr>
          <w:rStyle w:val="ssrfcpassagedeactivated"/>
          <w:rFonts w:ascii="Century Schoolbook" w:hAnsi="Century Schoolbook"/>
          <w:sz w:val="26"/>
          <w:szCs w:val="26"/>
          <w:bdr w:val="none" w:sz="0" w:space="0" w:color="auto" w:frame="1"/>
        </w:rPr>
        <w:t xml:space="preserve"> </w:t>
      </w:r>
      <w:r w:rsidRPr="0005469C">
        <w:rPr>
          <w:rStyle w:val="ssrfcpassagedeactivated"/>
          <w:rFonts w:ascii="Century Schoolbook" w:hAnsi="Century Schoolbook"/>
          <w:sz w:val="26"/>
          <w:szCs w:val="26"/>
          <w:bdr w:val="none" w:sz="0" w:space="0" w:color="auto" w:frame="1"/>
        </w:rPr>
        <w:t xml:space="preserve"> </w:t>
      </w:r>
      <w:r w:rsidR="0005469C">
        <w:rPr>
          <w:rStyle w:val="ssrfcpassagedeactivated"/>
          <w:rFonts w:ascii="Century Schoolbook" w:hAnsi="Century Schoolbook"/>
          <w:sz w:val="26"/>
          <w:szCs w:val="26"/>
          <w:bdr w:val="none" w:sz="0" w:space="0" w:color="auto" w:frame="1"/>
        </w:rPr>
        <w:t xml:space="preserve">Rather the </w:t>
      </w:r>
      <w:r w:rsidRPr="005A32D1">
        <w:rPr>
          <w:rFonts w:ascii="Century Schoolbook" w:hAnsi="Century Schoolbook"/>
          <w:sz w:val="26"/>
          <w:szCs w:val="26"/>
        </w:rPr>
        <w:t xml:space="preserve">correction in the judgments </w:t>
      </w:r>
      <w:r w:rsidR="0005469C">
        <w:rPr>
          <w:rFonts w:ascii="Century Schoolbook" w:hAnsi="Century Schoolbook"/>
          <w:sz w:val="26"/>
          <w:szCs w:val="26"/>
        </w:rPr>
        <w:t>in that case “</w:t>
      </w:r>
      <w:r w:rsidRPr="005A32D1">
        <w:rPr>
          <w:rFonts w:ascii="Century Schoolbook" w:hAnsi="Century Schoolbook"/>
          <w:sz w:val="26"/>
          <w:szCs w:val="26"/>
        </w:rPr>
        <w:t>would be required whenever the mistake was discovered, regardless of whether or not defendants had appealed.</w:t>
      </w:r>
      <w:r w:rsidR="0005469C">
        <w:rPr>
          <w:rFonts w:ascii="Century Schoolbook" w:hAnsi="Century Schoolbook"/>
          <w:sz w:val="26"/>
          <w:szCs w:val="26"/>
        </w:rPr>
        <w:t>”  (</w:t>
      </w:r>
      <w:r w:rsidR="0005469C">
        <w:rPr>
          <w:rFonts w:ascii="Century Schoolbook" w:hAnsi="Century Schoolbook"/>
          <w:i/>
          <w:iCs/>
          <w:sz w:val="26"/>
          <w:szCs w:val="26"/>
        </w:rPr>
        <w:t>Ibid.</w:t>
      </w:r>
      <w:r w:rsidR="0005469C">
        <w:rPr>
          <w:rFonts w:ascii="Century Schoolbook" w:hAnsi="Century Schoolbook"/>
          <w:sz w:val="26"/>
          <w:szCs w:val="26"/>
        </w:rPr>
        <w:t>)</w:t>
      </w:r>
    </w:p>
  </w:footnote>
  <w:footnote w:id="6">
    <w:p w:rsidR="008A0FEC" w:rsidRPr="008A0FEC" w:rsidP="00A9020B" w14:paraId="117C0219" w14:textId="534F0D23">
      <w:pPr>
        <w:pStyle w:val="FootnoteText"/>
        <w:spacing w:after="120"/>
        <w:rPr>
          <w:rFonts w:ascii="Century Schoolbook" w:hAnsi="Century Schoolbook"/>
        </w:rPr>
      </w:pPr>
      <w:r>
        <w:tab/>
      </w:r>
      <w:r w:rsidRPr="008A0FEC">
        <w:rPr>
          <w:rStyle w:val="FootnoteReference"/>
          <w:rFonts w:ascii="Century Schoolbook" w:hAnsi="Century Schoolbook"/>
        </w:rPr>
        <w:footnoteRef/>
      </w:r>
      <w:r w:rsidRPr="008A0FEC">
        <w:rPr>
          <w:rFonts w:ascii="Century Schoolbook" w:hAnsi="Century Schoolbook"/>
        </w:rPr>
        <w:t xml:space="preserve"> </w:t>
      </w:r>
      <w:r>
        <w:rPr>
          <w:rFonts w:ascii="Century Schoolbook" w:hAnsi="Century Schoolbook"/>
        </w:rPr>
        <w:t>Two sustained petitions were before the superior court at the dispositional hearing, involving four counts of burglary, one count of assault by means of force likely to produce great bodily injury, and one count of escape from juvenile hall.  (</w:t>
      </w:r>
      <w:r>
        <w:rPr>
          <w:rFonts w:ascii="Century Schoolbook" w:hAnsi="Century Schoolbook"/>
          <w:i/>
          <w:iCs/>
        </w:rPr>
        <w:t>Ricky H.</w:t>
      </w:r>
      <w:r>
        <w:rPr>
          <w:rFonts w:ascii="Century Schoolbook" w:hAnsi="Century Schoolbook"/>
        </w:rPr>
        <w:t xml:space="preserve">, </w:t>
      </w:r>
      <w:r>
        <w:rPr>
          <w:rFonts w:ascii="Century Schoolbook" w:hAnsi="Century Schoolbook"/>
          <w:i/>
          <w:iCs/>
        </w:rPr>
        <w:t>supra</w:t>
      </w:r>
      <w:r>
        <w:rPr>
          <w:rFonts w:ascii="Century Schoolbook" w:hAnsi="Century Schoolbook"/>
        </w:rPr>
        <w:t xml:space="preserve">, 30 Cal.3d at p. </w:t>
      </w:r>
      <w:r w:rsidR="00A74F84">
        <w:rPr>
          <w:rFonts w:ascii="Century Schoolbook" w:hAnsi="Century Schoolbook"/>
        </w:rPr>
        <w:t>180.)</w:t>
      </w:r>
      <w:r>
        <w:rPr>
          <w:rFonts w:ascii="Century Schoolbook" w:hAnsi="Century Schoolbook"/>
        </w:rPr>
        <w:t xml:space="preserve">  </w:t>
      </w:r>
    </w:p>
  </w:footnote>
  <w:footnote w:id="7">
    <w:p w:rsidR="00802396" w:rsidRPr="001E0266" w:rsidP="00A9020B" w14:paraId="1C921EAB" w14:textId="661A4238">
      <w:pPr>
        <w:pStyle w:val="Text"/>
        <w:spacing w:after="120" w:line="240" w:lineRule="auto"/>
        <w:ind w:firstLine="0"/>
        <w:rPr>
          <w:color w:val="000000"/>
        </w:rPr>
      </w:pPr>
      <w:r w:rsidRPr="00802396">
        <w:tab/>
      </w:r>
      <w:r w:rsidRPr="00802396">
        <w:rPr>
          <w:rStyle w:val="FootnoteReference"/>
        </w:rPr>
        <w:footnoteRef/>
      </w:r>
      <w:r w:rsidRPr="00802396">
        <w:t xml:space="preserve"> </w:t>
      </w:r>
      <w:r w:rsidRPr="006F2543">
        <w:rPr>
          <w:rStyle w:val="ssrfcpassagedeactivated"/>
          <w:color w:val="212121"/>
          <w:bdr w:val="none" w:sz="0" w:space="0" w:color="auto" w:frame="1"/>
          <w:shd w:val="clear" w:color="auto" w:fill="FFFFFF"/>
        </w:rPr>
        <w:t xml:space="preserve">Specifically, the </w:t>
      </w:r>
      <w:r>
        <w:rPr>
          <w:rStyle w:val="ssrfcpassagedeactivated"/>
          <w:i/>
          <w:iCs/>
          <w:color w:val="212121"/>
          <w:bdr w:val="none" w:sz="0" w:space="0" w:color="auto" w:frame="1"/>
          <w:shd w:val="clear" w:color="auto" w:fill="FFFFFF"/>
        </w:rPr>
        <w:t xml:space="preserve">Craig </w:t>
      </w:r>
      <w:r w:rsidRPr="006F2543">
        <w:rPr>
          <w:rStyle w:val="ssrfcpassagedeactivated"/>
          <w:color w:val="212121"/>
          <w:bdr w:val="none" w:sz="0" w:space="0" w:color="auto" w:frame="1"/>
          <w:shd w:val="clear" w:color="auto" w:fill="FFFFFF"/>
        </w:rPr>
        <w:t>court asserted:  “</w:t>
      </w:r>
      <w:r w:rsidRPr="006F2543">
        <w:rPr>
          <w:rStyle w:val="ssit"/>
          <w:i/>
          <w:iCs/>
          <w:color w:val="000000"/>
          <w:bdr w:val="none" w:sz="0" w:space="0" w:color="auto" w:frame="1"/>
        </w:rPr>
        <w:t>Price</w:t>
      </w:r>
      <w:r w:rsidR="007B1F99">
        <w:rPr>
          <w:color w:val="000000"/>
        </w:rPr>
        <w:t xml:space="preserve"> </w:t>
      </w:r>
      <w:r w:rsidRPr="006F2543">
        <w:rPr>
          <w:color w:val="000000"/>
        </w:rPr>
        <w:t xml:space="preserve">is an example of the exception to the general rule of </w:t>
      </w:r>
      <w:r w:rsidRPr="006F2543">
        <w:rPr>
          <w:i/>
          <w:iCs/>
          <w:color w:val="000000"/>
        </w:rPr>
        <w:t xml:space="preserve">Henderson </w:t>
      </w:r>
      <w:r w:rsidRPr="006F2543">
        <w:rPr>
          <w:color w:val="000000"/>
        </w:rPr>
        <w:t>that an unlawful or unauthorized sentence may be increased without offending double jeopardy.  The</w:t>
      </w:r>
      <w:r w:rsidR="007B1F99">
        <w:rPr>
          <w:color w:val="000000"/>
        </w:rPr>
        <w:t xml:space="preserve"> </w:t>
      </w:r>
      <w:r w:rsidRPr="006F2543">
        <w:rPr>
          <w:rStyle w:val="ssit"/>
          <w:i/>
          <w:iCs/>
          <w:color w:val="000000"/>
          <w:bdr w:val="none" w:sz="0" w:space="0" w:color="auto" w:frame="1"/>
        </w:rPr>
        <w:t>Price</w:t>
      </w:r>
      <w:r w:rsidR="007B1F99">
        <w:rPr>
          <w:color w:val="000000"/>
        </w:rPr>
        <w:t xml:space="preserve"> </w:t>
      </w:r>
      <w:r w:rsidRPr="006F2543">
        <w:rPr>
          <w:color w:val="000000"/>
        </w:rPr>
        <w:t>court, however, carefully tailored that exception to the facts before it, according defendant the benefit of double jeopardy protection for the portions of his sentence which were not unlawful or unauthorized.  Accordingly,</w:t>
      </w:r>
      <w:r w:rsidR="007B1F99">
        <w:rPr>
          <w:color w:val="000000"/>
        </w:rPr>
        <w:t xml:space="preserve"> </w:t>
      </w:r>
      <w:r w:rsidRPr="006F2543">
        <w:rPr>
          <w:rStyle w:val="ssit"/>
          <w:i/>
          <w:iCs/>
          <w:color w:val="000000"/>
          <w:bdr w:val="none" w:sz="0" w:space="0" w:color="auto" w:frame="1"/>
        </w:rPr>
        <w:t>Price</w:t>
      </w:r>
      <w:r w:rsidR="007B1F99">
        <w:rPr>
          <w:color w:val="000000"/>
        </w:rPr>
        <w:t xml:space="preserve"> </w:t>
      </w:r>
      <w:r w:rsidRPr="006F2543">
        <w:rPr>
          <w:color w:val="000000"/>
        </w:rPr>
        <w:t>is not authority for the proposition that an aggregate sentence which does not offend</w:t>
      </w:r>
      <w:r w:rsidR="007B1F99">
        <w:rPr>
          <w:color w:val="000000"/>
        </w:rPr>
        <w:t xml:space="preserve"> </w:t>
      </w:r>
      <w:r w:rsidRPr="006F2543">
        <w:rPr>
          <w:rStyle w:val="ssit"/>
          <w:i/>
          <w:iCs/>
          <w:color w:val="000000"/>
          <w:bdr w:val="none" w:sz="0" w:space="0" w:color="auto" w:frame="1"/>
        </w:rPr>
        <w:t>Henderson</w:t>
      </w:r>
      <w:r w:rsidR="007B1F99">
        <w:rPr>
          <w:color w:val="000000"/>
        </w:rPr>
        <w:t xml:space="preserve"> </w:t>
      </w:r>
      <w:r w:rsidRPr="006F2543">
        <w:rPr>
          <w:color w:val="000000"/>
        </w:rPr>
        <w:t>must be broken into its components each one of which carries on resentencing the upper limit of that term which was originally imposed.</w:t>
      </w:r>
      <w:r>
        <w:rPr>
          <w:color w:val="000000"/>
        </w:rPr>
        <w:t xml:space="preserve">  (</w:t>
      </w:r>
      <w:r>
        <w:rPr>
          <w:i/>
          <w:iCs/>
          <w:color w:val="000000"/>
        </w:rPr>
        <w:t>Craig</w:t>
      </w:r>
      <w:r>
        <w:rPr>
          <w:color w:val="000000"/>
        </w:rPr>
        <w:t>, at p. 1450.)</w:t>
      </w:r>
    </w:p>
  </w:footnote>
  <w:footnote w:id="8">
    <w:p w:rsidR="00E201DA" w:rsidRPr="00850406" w:rsidP="00A9020B" w14:paraId="0196326A" w14:textId="3BDA429D">
      <w:pPr>
        <w:pStyle w:val="FootnoteText"/>
        <w:spacing w:after="120"/>
        <w:rPr>
          <w:rFonts w:ascii="Century Schoolbook" w:eastAsia="Times New Roman" w:hAnsi="Century Schoolbook"/>
          <w:color w:val="212121"/>
        </w:rPr>
      </w:pPr>
      <w:r w:rsidRPr="00E201DA">
        <w:rPr>
          <w:rFonts w:ascii="Century Schoolbook" w:hAnsi="Century Schoolbook"/>
        </w:rPr>
        <w:tab/>
      </w:r>
      <w:r w:rsidRPr="00E201DA">
        <w:rPr>
          <w:rStyle w:val="FootnoteReference"/>
          <w:rFonts w:ascii="Century Schoolbook" w:hAnsi="Century Schoolbook"/>
        </w:rPr>
        <w:footnoteRef/>
      </w:r>
      <w:r w:rsidRPr="00E201DA">
        <w:rPr>
          <w:rFonts w:ascii="Century Schoolbook" w:hAnsi="Century Schoolbook"/>
        </w:rPr>
        <w:t xml:space="preserve"> At first blush, certain statements in </w:t>
      </w:r>
      <w:r w:rsidRPr="00E201DA">
        <w:rPr>
          <w:rFonts w:ascii="Century Schoolbook" w:hAnsi="Century Schoolbook"/>
          <w:i/>
          <w:iCs/>
        </w:rPr>
        <w:t xml:space="preserve">Price </w:t>
      </w:r>
      <w:r w:rsidRPr="00E201DA">
        <w:rPr>
          <w:rFonts w:ascii="Century Schoolbook" w:hAnsi="Century Schoolbook"/>
        </w:rPr>
        <w:t>may seem contrary to this conclusion</w:t>
      </w:r>
      <w:r w:rsidRPr="00E201DA">
        <w:rPr>
          <w:rFonts w:ascii="Century Schoolbook" w:eastAsia="Times New Roman" w:hAnsi="Century Schoolbook"/>
          <w:color w:val="212121"/>
        </w:rPr>
        <w:t xml:space="preserve">.  Specifically, the </w:t>
      </w:r>
      <w:r w:rsidRPr="00E201DA">
        <w:rPr>
          <w:rFonts w:ascii="Century Schoolbook" w:eastAsia="Times New Roman" w:hAnsi="Century Schoolbook"/>
          <w:i/>
          <w:iCs/>
          <w:color w:val="212121"/>
        </w:rPr>
        <w:t xml:space="preserve">Price </w:t>
      </w:r>
      <w:r w:rsidRPr="00E201DA">
        <w:rPr>
          <w:rFonts w:ascii="Century Schoolbook" w:eastAsia="Times New Roman" w:hAnsi="Century Schoolbook"/>
          <w:color w:val="212121"/>
        </w:rPr>
        <w:t xml:space="preserve">court faulted the trial court for </w:t>
      </w:r>
      <w:r>
        <w:rPr>
          <w:rFonts w:ascii="Century Schoolbook" w:eastAsia="Times New Roman" w:hAnsi="Century Schoolbook"/>
          <w:color w:val="212121"/>
        </w:rPr>
        <w:t xml:space="preserve">increasing </w:t>
      </w:r>
      <w:r w:rsidR="00850406">
        <w:rPr>
          <w:rFonts w:ascii="Century Schoolbook" w:eastAsia="Times New Roman" w:hAnsi="Century Schoolbook"/>
          <w:color w:val="212121"/>
        </w:rPr>
        <w:t xml:space="preserve">on resentencing </w:t>
      </w:r>
      <w:r>
        <w:rPr>
          <w:rFonts w:ascii="Century Schoolbook" w:eastAsia="Times New Roman" w:hAnsi="Century Schoolbook"/>
          <w:color w:val="212121"/>
        </w:rPr>
        <w:t>the sentences for two robbery counts</w:t>
      </w:r>
      <w:r w:rsidRPr="00E201DA">
        <w:rPr>
          <w:rFonts w:ascii="Century Schoolbook" w:eastAsia="Times New Roman" w:hAnsi="Century Schoolbook"/>
          <w:color w:val="212121"/>
        </w:rPr>
        <w:t xml:space="preserve"> </w:t>
      </w:r>
      <w:r w:rsidR="00850406">
        <w:rPr>
          <w:rFonts w:ascii="Century Schoolbook" w:eastAsia="Times New Roman" w:hAnsi="Century Schoolbook"/>
          <w:color w:val="212121"/>
        </w:rPr>
        <w:t>“</w:t>
      </w:r>
      <w:r w:rsidRPr="00E201DA">
        <w:rPr>
          <w:rFonts w:ascii="Century Schoolbook" w:eastAsia="Times New Roman" w:hAnsi="Century Schoolbook"/>
          <w:color w:val="212121"/>
        </w:rPr>
        <w:t>neither attacked on appeal, nor criticized</w:t>
      </w:r>
      <w:r w:rsidRPr="00E201DA">
        <w:rPr>
          <w:rFonts w:ascii="Century Schoolbook" w:hAnsi="Century Schoolbook"/>
          <w:color w:val="212121"/>
        </w:rPr>
        <w:t>”</w:t>
      </w:r>
      <w:r w:rsidRPr="00E201DA">
        <w:rPr>
          <w:rFonts w:ascii="Century Schoolbook" w:eastAsia="Times New Roman" w:hAnsi="Century Schoolbook"/>
          <w:color w:val="212121"/>
        </w:rPr>
        <w:t xml:space="preserve"> in</w:t>
      </w:r>
      <w:r w:rsidRPr="00E201DA">
        <w:rPr>
          <w:rFonts w:ascii="Century Schoolbook" w:hAnsi="Century Schoolbook"/>
          <w:color w:val="212121"/>
        </w:rPr>
        <w:t xml:space="preserve"> the court’s prior opinion in the matter</w:t>
      </w:r>
      <w:r w:rsidRPr="00E201DA">
        <w:rPr>
          <w:rFonts w:ascii="Century Schoolbook" w:eastAsia="Times New Roman" w:hAnsi="Century Schoolbook"/>
          <w:color w:val="212121"/>
        </w:rPr>
        <w:t>.</w:t>
      </w:r>
      <w:r w:rsidR="00850406">
        <w:rPr>
          <w:rFonts w:ascii="Century Schoolbook" w:hAnsi="Century Schoolbook"/>
          <w:color w:val="212121"/>
        </w:rPr>
        <w:t xml:space="preserve">  </w:t>
      </w:r>
      <w:r w:rsidRPr="00E201DA">
        <w:rPr>
          <w:rFonts w:ascii="Century Schoolbook" w:hAnsi="Century Schoolbook"/>
          <w:color w:val="212121"/>
        </w:rPr>
        <w:t>(</w:t>
      </w:r>
      <w:r w:rsidRPr="00E201DA">
        <w:rPr>
          <w:rFonts w:ascii="Century Schoolbook" w:hAnsi="Century Schoolbook"/>
          <w:i/>
          <w:iCs/>
          <w:color w:val="212121"/>
        </w:rPr>
        <w:t>Price</w:t>
      </w:r>
      <w:r w:rsidRPr="00E201DA">
        <w:rPr>
          <w:rFonts w:ascii="Century Schoolbook" w:hAnsi="Century Schoolbook"/>
          <w:color w:val="212121"/>
        </w:rPr>
        <w:t xml:space="preserve">, </w:t>
      </w:r>
      <w:r w:rsidRPr="00E201DA">
        <w:rPr>
          <w:rFonts w:ascii="Century Schoolbook" w:hAnsi="Century Schoolbook"/>
          <w:i/>
          <w:iCs/>
          <w:color w:val="212121"/>
        </w:rPr>
        <w:t>supra</w:t>
      </w:r>
      <w:r w:rsidRPr="00E201DA">
        <w:rPr>
          <w:rFonts w:ascii="Century Schoolbook" w:hAnsi="Century Schoolbook"/>
          <w:color w:val="212121"/>
        </w:rPr>
        <w:t>, 184 Cal.App.3d at p. 1413.)  The court concluded:  “</w:t>
      </w:r>
      <w:r w:rsidRPr="00E201DA">
        <w:rPr>
          <w:rFonts w:ascii="Century Schoolbook" w:eastAsia="Times New Roman" w:hAnsi="Century Schoolbook"/>
          <w:color w:val="212121"/>
        </w:rPr>
        <w:t xml:space="preserve">These three additional years (the difference between the three-year midterm to a five-year upper term (two years) and the addition of one-third of the midterm (one year)) were not corrections of </w:t>
      </w:r>
      <w:r w:rsidRPr="00E201DA">
        <w:rPr>
          <w:rFonts w:ascii="Century Schoolbook" w:hAnsi="Century Schoolbook"/>
          <w:color w:val="212121"/>
        </w:rPr>
        <w:t>‘</w:t>
      </w:r>
      <w:r w:rsidRPr="00E201DA">
        <w:rPr>
          <w:rFonts w:ascii="Century Schoolbook" w:eastAsia="Times New Roman" w:hAnsi="Century Schoolbook"/>
          <w:color w:val="212121"/>
        </w:rPr>
        <w:t>illegalities</w:t>
      </w:r>
      <w:r w:rsidRPr="00E201DA">
        <w:rPr>
          <w:rFonts w:ascii="Century Schoolbook" w:hAnsi="Century Schoolbook"/>
          <w:color w:val="212121"/>
        </w:rPr>
        <w:t>’</w:t>
      </w:r>
      <w:r w:rsidRPr="00E201DA">
        <w:rPr>
          <w:rFonts w:ascii="Century Schoolbook" w:eastAsia="Times New Roman" w:hAnsi="Century Schoolbook"/>
          <w:color w:val="212121"/>
        </w:rPr>
        <w:t xml:space="preserve"> in the original sentence.</w:t>
      </w:r>
      <w:r w:rsidRPr="00E201DA">
        <w:rPr>
          <w:rFonts w:ascii="Century Schoolbook" w:hAnsi="Century Schoolbook"/>
          <w:color w:val="212121"/>
        </w:rPr>
        <w:t xml:space="preserve">  ‘</w:t>
      </w:r>
      <w:r w:rsidRPr="00E201DA">
        <w:rPr>
          <w:rFonts w:ascii="Century Schoolbook" w:eastAsia="Times New Roman" w:hAnsi="Century Schoolbook"/>
          <w:color w:val="212121"/>
        </w:rPr>
        <w:t>Illegalities</w:t>
      </w:r>
      <w:r w:rsidRPr="00E201DA">
        <w:rPr>
          <w:rFonts w:ascii="Century Schoolbook" w:hAnsi="Century Schoolbook"/>
          <w:color w:val="212121"/>
        </w:rPr>
        <w:t>’</w:t>
      </w:r>
      <w:r w:rsidRPr="00E201DA">
        <w:rPr>
          <w:rFonts w:ascii="Century Schoolbook" w:eastAsia="Times New Roman" w:hAnsi="Century Schoolbook"/>
          <w:color w:val="212121"/>
        </w:rPr>
        <w:t xml:space="preserve"> requiring </w:t>
      </w:r>
      <w:r w:rsidR="00AF446F">
        <w:rPr>
          <w:rFonts w:ascii="Century Schoolbook" w:eastAsia="Times New Roman" w:hAnsi="Century Schoolbook"/>
          <w:color w:val="212121"/>
        </w:rPr>
        <w:t>re</w:t>
      </w:r>
      <w:r w:rsidRPr="00E201DA">
        <w:rPr>
          <w:rFonts w:ascii="Century Schoolbook" w:eastAsia="Times New Roman" w:hAnsi="Century Schoolbook"/>
          <w:color w:val="212121"/>
        </w:rPr>
        <w:t>sentencing permit the imposition of a harsher punishment.</w:t>
      </w:r>
      <w:r w:rsidR="00D4571A">
        <w:rPr>
          <w:rFonts w:ascii="Century Schoolbook" w:eastAsia="Times New Roman" w:hAnsi="Century Schoolbook"/>
          <w:color w:val="212121"/>
        </w:rPr>
        <w:t xml:space="preserve"> </w:t>
      </w:r>
      <w:r w:rsidRPr="00E201DA">
        <w:rPr>
          <w:rFonts w:ascii="Century Schoolbook" w:hAnsi="Century Schoolbook"/>
          <w:color w:val="212121"/>
        </w:rPr>
        <w:t xml:space="preserve"> </w:t>
      </w:r>
      <w:r w:rsidRPr="00E201DA">
        <w:rPr>
          <w:rFonts w:ascii="Century Schoolbook" w:eastAsia="Times New Roman" w:hAnsi="Century Schoolbook"/>
          <w:color w:val="212121"/>
        </w:rPr>
        <w:t xml:space="preserve">Those portions of the sentence were unaffected by </w:t>
      </w:r>
      <w:r w:rsidRPr="00E201DA">
        <w:rPr>
          <w:rFonts w:ascii="Century Schoolbook" w:hAnsi="Century Schoolbook"/>
          <w:color w:val="212121"/>
        </w:rPr>
        <w:t>‘</w:t>
      </w:r>
      <w:r w:rsidRPr="00E201DA">
        <w:rPr>
          <w:rFonts w:ascii="Century Schoolbook" w:eastAsia="Times New Roman" w:hAnsi="Century Schoolbook"/>
          <w:color w:val="212121"/>
        </w:rPr>
        <w:t>illegality</w:t>
      </w:r>
      <w:r w:rsidRPr="00E201DA">
        <w:rPr>
          <w:rFonts w:ascii="Century Schoolbook" w:hAnsi="Century Schoolbook"/>
          <w:color w:val="212121"/>
        </w:rPr>
        <w:t>’</w:t>
      </w:r>
      <w:r w:rsidRPr="00E201DA">
        <w:rPr>
          <w:rFonts w:ascii="Century Schoolbook" w:eastAsia="Times New Roman" w:hAnsi="Century Schoolbook"/>
          <w:color w:val="212121"/>
        </w:rPr>
        <w:t xml:space="preserve"> and cannot be increased in punishment.</w:t>
      </w:r>
      <w:r w:rsidRPr="00E201DA">
        <w:rPr>
          <w:rFonts w:ascii="Century Schoolbook" w:hAnsi="Century Schoolbook"/>
          <w:color w:val="212121"/>
        </w:rPr>
        <w:t>”  (</w:t>
      </w:r>
      <w:r w:rsidRPr="00E201DA">
        <w:rPr>
          <w:rFonts w:ascii="Century Schoolbook" w:hAnsi="Century Schoolbook"/>
          <w:i/>
          <w:iCs/>
          <w:color w:val="212121"/>
        </w:rPr>
        <w:t>Ibid.</w:t>
      </w:r>
      <w:r w:rsidRPr="00E201DA">
        <w:rPr>
          <w:rFonts w:ascii="Century Schoolbook" w:hAnsi="Century Schoolbook"/>
          <w:color w:val="212121"/>
        </w:rPr>
        <w:t>)</w:t>
      </w:r>
      <w:r w:rsidR="00850406">
        <w:rPr>
          <w:rFonts w:ascii="Century Schoolbook" w:hAnsi="Century Schoolbook"/>
          <w:color w:val="212121"/>
        </w:rPr>
        <w:t xml:space="preserve">  </w:t>
      </w:r>
      <w:r w:rsidR="00237C7D">
        <w:rPr>
          <w:rFonts w:ascii="Century Schoolbook" w:hAnsi="Century Schoolbook"/>
          <w:color w:val="212121"/>
        </w:rPr>
        <w:t xml:space="preserve">Having reviewed both </w:t>
      </w:r>
      <w:r w:rsidRPr="00237C7D" w:rsidR="00237C7D">
        <w:rPr>
          <w:rFonts w:ascii="Century Schoolbook" w:hAnsi="Century Schoolbook"/>
          <w:i/>
          <w:iCs/>
          <w:color w:val="212121"/>
        </w:rPr>
        <w:t>Price</w:t>
      </w:r>
      <w:r w:rsidR="00237C7D">
        <w:rPr>
          <w:rFonts w:ascii="Century Schoolbook" w:hAnsi="Century Schoolbook"/>
          <w:color w:val="212121"/>
        </w:rPr>
        <w:t xml:space="preserve"> and the prior opinion in the matter (</w:t>
      </w:r>
      <w:r w:rsidR="00237C7D">
        <w:rPr>
          <w:rFonts w:ascii="Century Schoolbook" w:hAnsi="Century Schoolbook"/>
          <w:i/>
          <w:iCs/>
          <w:color w:val="212121"/>
        </w:rPr>
        <w:t>People v. Price</w:t>
      </w:r>
      <w:r w:rsidR="00237C7D">
        <w:rPr>
          <w:rFonts w:ascii="Century Schoolbook" w:hAnsi="Century Schoolbook"/>
          <w:color w:val="212121"/>
        </w:rPr>
        <w:t xml:space="preserve"> (1984) 151</w:t>
      </w:r>
      <w:r w:rsidR="00191987">
        <w:rPr>
          <w:rFonts w:ascii="Century Schoolbook" w:hAnsi="Century Schoolbook"/>
          <w:color w:val="212121"/>
        </w:rPr>
        <w:t xml:space="preserve"> </w:t>
      </w:r>
      <w:r w:rsidR="00237C7D">
        <w:rPr>
          <w:rFonts w:ascii="Century Schoolbook" w:hAnsi="Century Schoolbook"/>
          <w:color w:val="212121"/>
        </w:rPr>
        <w:t>Cal.App.3d 803)</w:t>
      </w:r>
      <w:r w:rsidR="00850406">
        <w:rPr>
          <w:rFonts w:ascii="Century Schoolbook" w:hAnsi="Century Schoolbook"/>
          <w:color w:val="212121"/>
        </w:rPr>
        <w:t xml:space="preserve"> it appears that </w:t>
      </w:r>
      <w:r w:rsidR="00850406">
        <w:rPr>
          <w:rFonts w:ascii="Century Schoolbook" w:hAnsi="Century Schoolbook"/>
          <w:i/>
          <w:iCs/>
          <w:color w:val="212121"/>
        </w:rPr>
        <w:t>Price</w:t>
      </w:r>
      <w:r w:rsidR="00850406">
        <w:rPr>
          <w:rFonts w:ascii="Century Schoolbook" w:hAnsi="Century Schoolbook"/>
          <w:color w:val="212121"/>
        </w:rPr>
        <w:t xml:space="preserve"> </w:t>
      </w:r>
      <w:r w:rsidR="00237C7D">
        <w:rPr>
          <w:rFonts w:ascii="Century Schoolbook" w:hAnsi="Century Schoolbook"/>
          <w:color w:val="212121"/>
        </w:rPr>
        <w:t>may have been</w:t>
      </w:r>
      <w:r w:rsidR="00850406">
        <w:rPr>
          <w:rFonts w:ascii="Century Schoolbook" w:hAnsi="Century Schoolbook"/>
          <w:color w:val="212121"/>
        </w:rPr>
        <w:t xml:space="preserve"> objecting to these additional increases because they went beyond those which had already been implemented to correct the </w:t>
      </w:r>
      <w:r w:rsidR="00237C7D">
        <w:rPr>
          <w:rFonts w:ascii="Century Schoolbook" w:hAnsi="Century Schoolbook"/>
          <w:color w:val="212121"/>
        </w:rPr>
        <w:t xml:space="preserve">identified </w:t>
      </w:r>
      <w:r w:rsidR="00850406">
        <w:rPr>
          <w:rFonts w:ascii="Century Schoolbook" w:hAnsi="Century Schoolbook"/>
          <w:i/>
          <w:iCs/>
          <w:color w:val="212121"/>
        </w:rPr>
        <w:t>Serrato</w:t>
      </w:r>
      <w:r w:rsidR="00850406">
        <w:rPr>
          <w:rFonts w:ascii="Century Schoolbook" w:hAnsi="Century Schoolbook"/>
          <w:color w:val="212121"/>
        </w:rPr>
        <w:t xml:space="preserve"> errors.  Read as such, it supports our suggested approach to </w:t>
      </w:r>
      <w:r w:rsidR="00850406">
        <w:rPr>
          <w:rFonts w:ascii="Century Schoolbook" w:hAnsi="Century Schoolbook"/>
          <w:i/>
          <w:iCs/>
          <w:color w:val="212121"/>
        </w:rPr>
        <w:t>Serrato</w:t>
      </w:r>
      <w:r w:rsidR="00850406">
        <w:rPr>
          <w:rFonts w:ascii="Century Schoolbook" w:hAnsi="Century Schoolbook"/>
          <w:color w:val="212121"/>
        </w:rPr>
        <w:t xml:space="preserve"> error.   </w:t>
      </w:r>
      <w:r w:rsidRPr="00E201DA">
        <w:rPr>
          <w:rFonts w:ascii="Century Schoolbook" w:hAnsi="Century Schoolbook"/>
          <w:color w:val="212121"/>
        </w:rPr>
        <w:t xml:space="preserve">  </w:t>
      </w:r>
    </w:p>
  </w:footnote>
  <w:footnote w:id="9">
    <w:p w:rsidR="006B5B11" w:rsidRPr="006B5B11" w:rsidP="00A9020B" w14:paraId="569C7AE1" w14:textId="77777777">
      <w:pPr>
        <w:pStyle w:val="FootnoteText"/>
        <w:spacing w:after="120"/>
        <w:rPr>
          <w:rFonts w:ascii="Century Schoolbook" w:hAnsi="Century Schoolbook"/>
          <w:iCs/>
        </w:rPr>
      </w:pPr>
      <w:r w:rsidRPr="006B5B11">
        <w:rPr>
          <w:rStyle w:val="FootnoteReference"/>
          <w:rFonts w:ascii="Symbol" w:hAnsi="Symbol"/>
        </w:rPr>
        <w:sym w:font="Symbol" w:char="F02A"/>
      </w:r>
      <w:r w:rsidRPr="006B5B11">
        <w:rPr>
          <w:rFonts w:ascii="Century Schoolbook" w:hAnsi="Century Schoolbook"/>
        </w:rPr>
        <w:t xml:space="preserve"> </w:t>
      </w:r>
      <w:r w:rsidRPr="006B5B11">
        <w:rPr>
          <w:rFonts w:ascii="Century Schoolbook" w:hAnsi="Century Schoolbook"/>
          <w:iCs/>
        </w:rPr>
        <w:t xml:space="preserve">Judge of the Contra Costa County Superior Court, assigned by the Chief Justice pursuant to article VI, section 6 of the California Constitution.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84822"/>
    <w:multiLevelType w:val="hybridMultilevel"/>
    <w:tmpl w:val="472231AE"/>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50566"/>
    <w:multiLevelType w:val="hybridMultilevel"/>
    <w:tmpl w:val="3E140E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8D0F50"/>
    <w:multiLevelType w:val="hybridMultilevel"/>
    <w:tmpl w:val="34CAB35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B6B1263"/>
    <w:multiLevelType w:val="hybridMultilevel"/>
    <w:tmpl w:val="E474B2B4"/>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09F1F1F"/>
    <w:multiLevelType w:val="hybridMultilevel"/>
    <w:tmpl w:val="855EE7E6"/>
    <w:lvl w:ilvl="0">
      <w:start w:val="1"/>
      <w:numFmt w:val="upperLetter"/>
      <w:pStyle w:val="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3043C36"/>
    <w:multiLevelType w:val="hybridMultilevel"/>
    <w:tmpl w:val="8FF41A2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EB1EED"/>
    <w:multiLevelType w:val="hybridMultilevel"/>
    <w:tmpl w:val="29CA9B38"/>
    <w:lvl w:ilvl="0">
      <w:start w:val="1"/>
      <w:numFmt w:val="upperRoman"/>
      <w:pStyle w:val="ISubheading"/>
      <w:lvlText w:val="%1."/>
      <w:lvlJc w:val="left"/>
      <w:pPr>
        <w:ind w:left="1080" w:hanging="720"/>
      </w:pPr>
      <w:rPr>
        <w:rFonts w:hint="default"/>
      </w:rPr>
    </w:lvl>
    <w:lvl w:ilvl="1">
      <w:start w:val="1"/>
      <w:numFmt w:val="lowerLetter"/>
      <w:pStyle w:val="aSubheading"/>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F681897"/>
    <w:multiLevelType w:val="hybridMultilevel"/>
    <w:tmpl w:val="A16C2BBC"/>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12551E1"/>
    <w:multiLevelType w:val="hybridMultilevel"/>
    <w:tmpl w:val="7C4864E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D34"/>
    <w:multiLevelType w:val="hybridMultilevel"/>
    <w:tmpl w:val="740C7A7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A8E379F"/>
    <w:multiLevelType w:val="hybridMultilevel"/>
    <w:tmpl w:val="35B8323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5BB567BB"/>
    <w:multiLevelType w:val="hybridMultilevel"/>
    <w:tmpl w:val="55C28584"/>
    <w:lvl w:ilvl="0">
      <w:start w:val="1"/>
      <w:numFmt w:val="upp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D000A2C"/>
    <w:multiLevelType w:val="hybridMultilevel"/>
    <w:tmpl w:val="56EC103A"/>
    <w:lvl w:ilvl="0">
      <w:start w:val="1"/>
      <w:numFmt w:val="upp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62064D65"/>
    <w:multiLevelType w:val="hybridMultilevel"/>
    <w:tmpl w:val="CC8839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62907491"/>
    <w:multiLevelType w:val="hybridMultilevel"/>
    <w:tmpl w:val="B41064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714684"/>
    <w:multiLevelType w:val="hybridMultilevel"/>
    <w:tmpl w:val="11A8B184"/>
    <w:lvl w:ilvl="0">
      <w:start w:val="3"/>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2020858"/>
    <w:multiLevelType w:val="hybridMultilevel"/>
    <w:tmpl w:val="D9B8ECD6"/>
    <w:lvl w:ilvl="0">
      <w:start w:val="2"/>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2E63C09"/>
    <w:multiLevelType w:val="hybridMultilevel"/>
    <w:tmpl w:val="6FA821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2A35D3"/>
    <w:multiLevelType w:val="hybridMultilevel"/>
    <w:tmpl w:val="7674A30A"/>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5"/>
  </w:num>
  <w:num w:numId="3">
    <w:abstractNumId w:val="1"/>
  </w:num>
  <w:num w:numId="4">
    <w:abstractNumId w:val="13"/>
  </w:num>
  <w:num w:numId="5">
    <w:abstractNumId w:val="4"/>
  </w:num>
  <w:num w:numId="6">
    <w:abstractNumId w:val="18"/>
  </w:num>
  <w:num w:numId="7">
    <w:abstractNumId w:val="17"/>
  </w:num>
  <w:num w:numId="8">
    <w:abstractNumId w:val="3"/>
  </w:num>
  <w:num w:numId="9">
    <w:abstractNumId w:val="12"/>
  </w:num>
  <w:num w:numId="10">
    <w:abstractNumId w:val="5"/>
  </w:num>
  <w:num w:numId="11">
    <w:abstractNumId w:val="10"/>
  </w:num>
  <w:num w:numId="12">
    <w:abstractNumId w:val="0"/>
  </w:num>
  <w:num w:numId="13">
    <w:abstractNumId w:val="14"/>
  </w:num>
  <w:num w:numId="14">
    <w:abstractNumId w:val="8"/>
  </w:num>
  <w:num w:numId="15">
    <w:abstractNumId w:val="9"/>
  </w:num>
  <w:num w:numId="16">
    <w:abstractNumId w:val="2"/>
  </w:num>
  <w:num w:numId="17">
    <w:abstractNumId w:val="11"/>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AB4"/>
    <w:rsid w:val="00000FAA"/>
    <w:rsid w:val="00001561"/>
    <w:rsid w:val="000025D5"/>
    <w:rsid w:val="000028E2"/>
    <w:rsid w:val="00002DF2"/>
    <w:rsid w:val="00003435"/>
    <w:rsid w:val="0000371B"/>
    <w:rsid w:val="00003AE4"/>
    <w:rsid w:val="00003D37"/>
    <w:rsid w:val="000061D5"/>
    <w:rsid w:val="00006788"/>
    <w:rsid w:val="00006B73"/>
    <w:rsid w:val="000076C3"/>
    <w:rsid w:val="00007FF8"/>
    <w:rsid w:val="00010962"/>
    <w:rsid w:val="00010D6E"/>
    <w:rsid w:val="0001144F"/>
    <w:rsid w:val="0001231B"/>
    <w:rsid w:val="0001258F"/>
    <w:rsid w:val="0001273C"/>
    <w:rsid w:val="000134D3"/>
    <w:rsid w:val="000138F4"/>
    <w:rsid w:val="0001396A"/>
    <w:rsid w:val="00016232"/>
    <w:rsid w:val="00017B85"/>
    <w:rsid w:val="00020E4C"/>
    <w:rsid w:val="00021600"/>
    <w:rsid w:val="00021667"/>
    <w:rsid w:val="00021972"/>
    <w:rsid w:val="000219B0"/>
    <w:rsid w:val="000219D4"/>
    <w:rsid w:val="0002300C"/>
    <w:rsid w:val="000233D1"/>
    <w:rsid w:val="0002383E"/>
    <w:rsid w:val="00023AC1"/>
    <w:rsid w:val="000245A2"/>
    <w:rsid w:val="00024F34"/>
    <w:rsid w:val="000262DC"/>
    <w:rsid w:val="000267C3"/>
    <w:rsid w:val="000268A8"/>
    <w:rsid w:val="00026A2D"/>
    <w:rsid w:val="00026D49"/>
    <w:rsid w:val="000276F5"/>
    <w:rsid w:val="00027C80"/>
    <w:rsid w:val="000306B1"/>
    <w:rsid w:val="00030AB8"/>
    <w:rsid w:val="000315C3"/>
    <w:rsid w:val="00032F35"/>
    <w:rsid w:val="00034487"/>
    <w:rsid w:val="00034625"/>
    <w:rsid w:val="000347F6"/>
    <w:rsid w:val="000355F6"/>
    <w:rsid w:val="00035687"/>
    <w:rsid w:val="000357E7"/>
    <w:rsid w:val="00035A46"/>
    <w:rsid w:val="00037481"/>
    <w:rsid w:val="00037ED2"/>
    <w:rsid w:val="000402B0"/>
    <w:rsid w:val="00040321"/>
    <w:rsid w:val="000405B9"/>
    <w:rsid w:val="00040DBC"/>
    <w:rsid w:val="00041570"/>
    <w:rsid w:val="00041C2F"/>
    <w:rsid w:val="00041D7C"/>
    <w:rsid w:val="00042259"/>
    <w:rsid w:val="00043400"/>
    <w:rsid w:val="00043769"/>
    <w:rsid w:val="00044251"/>
    <w:rsid w:val="0004453A"/>
    <w:rsid w:val="00044AE7"/>
    <w:rsid w:val="0004502E"/>
    <w:rsid w:val="00046A10"/>
    <w:rsid w:val="00046A63"/>
    <w:rsid w:val="00046E03"/>
    <w:rsid w:val="000516F3"/>
    <w:rsid w:val="000519FD"/>
    <w:rsid w:val="00052A6E"/>
    <w:rsid w:val="00052B42"/>
    <w:rsid w:val="00052E3C"/>
    <w:rsid w:val="0005438A"/>
    <w:rsid w:val="0005469C"/>
    <w:rsid w:val="0005587B"/>
    <w:rsid w:val="00057462"/>
    <w:rsid w:val="00057880"/>
    <w:rsid w:val="000578C4"/>
    <w:rsid w:val="00057B4F"/>
    <w:rsid w:val="00057C8D"/>
    <w:rsid w:val="000610B3"/>
    <w:rsid w:val="00061154"/>
    <w:rsid w:val="00061948"/>
    <w:rsid w:val="00061990"/>
    <w:rsid w:val="00061BEB"/>
    <w:rsid w:val="00063453"/>
    <w:rsid w:val="0006389E"/>
    <w:rsid w:val="00063EAA"/>
    <w:rsid w:val="00064026"/>
    <w:rsid w:val="000648D7"/>
    <w:rsid w:val="000652C1"/>
    <w:rsid w:val="00066913"/>
    <w:rsid w:val="00066E7E"/>
    <w:rsid w:val="0006759B"/>
    <w:rsid w:val="00067B0C"/>
    <w:rsid w:val="00067BEB"/>
    <w:rsid w:val="00067ED6"/>
    <w:rsid w:val="00070A4C"/>
    <w:rsid w:val="00071001"/>
    <w:rsid w:val="00071ABE"/>
    <w:rsid w:val="00071DE7"/>
    <w:rsid w:val="00071F8F"/>
    <w:rsid w:val="00072D47"/>
    <w:rsid w:val="00073750"/>
    <w:rsid w:val="00073BB8"/>
    <w:rsid w:val="0007400E"/>
    <w:rsid w:val="0007463C"/>
    <w:rsid w:val="0007547A"/>
    <w:rsid w:val="000759C9"/>
    <w:rsid w:val="00075AA3"/>
    <w:rsid w:val="000762C1"/>
    <w:rsid w:val="000772D3"/>
    <w:rsid w:val="000773C6"/>
    <w:rsid w:val="00080424"/>
    <w:rsid w:val="0008261D"/>
    <w:rsid w:val="00082D9B"/>
    <w:rsid w:val="00083EA1"/>
    <w:rsid w:val="00084AAA"/>
    <w:rsid w:val="00085A3D"/>
    <w:rsid w:val="00085CAE"/>
    <w:rsid w:val="000866D5"/>
    <w:rsid w:val="00086CDC"/>
    <w:rsid w:val="000876B8"/>
    <w:rsid w:val="00087923"/>
    <w:rsid w:val="000910DC"/>
    <w:rsid w:val="00091E96"/>
    <w:rsid w:val="00092199"/>
    <w:rsid w:val="000934B0"/>
    <w:rsid w:val="000938FA"/>
    <w:rsid w:val="00093A9C"/>
    <w:rsid w:val="00093AEA"/>
    <w:rsid w:val="000944FB"/>
    <w:rsid w:val="00095AFA"/>
    <w:rsid w:val="00097155"/>
    <w:rsid w:val="000A023A"/>
    <w:rsid w:val="000A1A18"/>
    <w:rsid w:val="000A1CFF"/>
    <w:rsid w:val="000A2997"/>
    <w:rsid w:val="000A2BF7"/>
    <w:rsid w:val="000A30CD"/>
    <w:rsid w:val="000A5DEB"/>
    <w:rsid w:val="000A5F83"/>
    <w:rsid w:val="000A71F6"/>
    <w:rsid w:val="000A7899"/>
    <w:rsid w:val="000B0875"/>
    <w:rsid w:val="000B1DA2"/>
    <w:rsid w:val="000B1E59"/>
    <w:rsid w:val="000B1F1F"/>
    <w:rsid w:val="000B28B4"/>
    <w:rsid w:val="000B356C"/>
    <w:rsid w:val="000B36D2"/>
    <w:rsid w:val="000B3A6E"/>
    <w:rsid w:val="000B3C7F"/>
    <w:rsid w:val="000B3E7F"/>
    <w:rsid w:val="000B4572"/>
    <w:rsid w:val="000B4D95"/>
    <w:rsid w:val="000B63BA"/>
    <w:rsid w:val="000B67C7"/>
    <w:rsid w:val="000B6A31"/>
    <w:rsid w:val="000B6E6A"/>
    <w:rsid w:val="000B7815"/>
    <w:rsid w:val="000B7890"/>
    <w:rsid w:val="000B78F6"/>
    <w:rsid w:val="000B7E0C"/>
    <w:rsid w:val="000C0067"/>
    <w:rsid w:val="000C01D4"/>
    <w:rsid w:val="000C030C"/>
    <w:rsid w:val="000C0A6A"/>
    <w:rsid w:val="000C0BD8"/>
    <w:rsid w:val="000C0FE4"/>
    <w:rsid w:val="000C2456"/>
    <w:rsid w:val="000C29B9"/>
    <w:rsid w:val="000C3FBE"/>
    <w:rsid w:val="000C40EF"/>
    <w:rsid w:val="000C44D5"/>
    <w:rsid w:val="000C5C8A"/>
    <w:rsid w:val="000C6151"/>
    <w:rsid w:val="000C63B4"/>
    <w:rsid w:val="000C666F"/>
    <w:rsid w:val="000C7E27"/>
    <w:rsid w:val="000D04B6"/>
    <w:rsid w:val="000D0581"/>
    <w:rsid w:val="000D0ECB"/>
    <w:rsid w:val="000D1042"/>
    <w:rsid w:val="000D15F5"/>
    <w:rsid w:val="000D1C5B"/>
    <w:rsid w:val="000D1DE0"/>
    <w:rsid w:val="000D21B6"/>
    <w:rsid w:val="000D27D5"/>
    <w:rsid w:val="000D30DC"/>
    <w:rsid w:val="000D39CF"/>
    <w:rsid w:val="000D39E8"/>
    <w:rsid w:val="000D3A77"/>
    <w:rsid w:val="000D3AFA"/>
    <w:rsid w:val="000D43E2"/>
    <w:rsid w:val="000D465F"/>
    <w:rsid w:val="000D56E9"/>
    <w:rsid w:val="000D5734"/>
    <w:rsid w:val="000D5F56"/>
    <w:rsid w:val="000D6852"/>
    <w:rsid w:val="000D6ACD"/>
    <w:rsid w:val="000D6FBE"/>
    <w:rsid w:val="000D701E"/>
    <w:rsid w:val="000D7BD7"/>
    <w:rsid w:val="000D7DF8"/>
    <w:rsid w:val="000E0341"/>
    <w:rsid w:val="000E078A"/>
    <w:rsid w:val="000E09D9"/>
    <w:rsid w:val="000E0EB7"/>
    <w:rsid w:val="000E3003"/>
    <w:rsid w:val="000E4089"/>
    <w:rsid w:val="000E41B0"/>
    <w:rsid w:val="000E427D"/>
    <w:rsid w:val="000E56DD"/>
    <w:rsid w:val="000E6A0B"/>
    <w:rsid w:val="000E75DE"/>
    <w:rsid w:val="000E7627"/>
    <w:rsid w:val="000F12FC"/>
    <w:rsid w:val="000F1575"/>
    <w:rsid w:val="000F2F87"/>
    <w:rsid w:val="000F4C51"/>
    <w:rsid w:val="000F6A5B"/>
    <w:rsid w:val="000F721D"/>
    <w:rsid w:val="000F724F"/>
    <w:rsid w:val="000F77FE"/>
    <w:rsid w:val="000F7EBB"/>
    <w:rsid w:val="000F7FF3"/>
    <w:rsid w:val="00100574"/>
    <w:rsid w:val="0010237C"/>
    <w:rsid w:val="00102552"/>
    <w:rsid w:val="001032E7"/>
    <w:rsid w:val="0010377E"/>
    <w:rsid w:val="001039DD"/>
    <w:rsid w:val="001045FF"/>
    <w:rsid w:val="001055CD"/>
    <w:rsid w:val="00105F7B"/>
    <w:rsid w:val="00106393"/>
    <w:rsid w:val="00107863"/>
    <w:rsid w:val="001079D3"/>
    <w:rsid w:val="00107D43"/>
    <w:rsid w:val="00111352"/>
    <w:rsid w:val="00111A2F"/>
    <w:rsid w:val="00112BBF"/>
    <w:rsid w:val="00112FE8"/>
    <w:rsid w:val="00113063"/>
    <w:rsid w:val="00113437"/>
    <w:rsid w:val="00113955"/>
    <w:rsid w:val="001168B2"/>
    <w:rsid w:val="00116A94"/>
    <w:rsid w:val="00116D08"/>
    <w:rsid w:val="00116E53"/>
    <w:rsid w:val="00117033"/>
    <w:rsid w:val="00120629"/>
    <w:rsid w:val="00121ACD"/>
    <w:rsid w:val="001220EE"/>
    <w:rsid w:val="001221B5"/>
    <w:rsid w:val="00122620"/>
    <w:rsid w:val="00122FDB"/>
    <w:rsid w:val="0012334D"/>
    <w:rsid w:val="001240ED"/>
    <w:rsid w:val="00124769"/>
    <w:rsid w:val="00124C60"/>
    <w:rsid w:val="0012684A"/>
    <w:rsid w:val="00126BC4"/>
    <w:rsid w:val="00126BF5"/>
    <w:rsid w:val="00126DB5"/>
    <w:rsid w:val="00126FF2"/>
    <w:rsid w:val="0013013B"/>
    <w:rsid w:val="0013073A"/>
    <w:rsid w:val="001314B0"/>
    <w:rsid w:val="001315C7"/>
    <w:rsid w:val="00131E4F"/>
    <w:rsid w:val="001329EB"/>
    <w:rsid w:val="00132F30"/>
    <w:rsid w:val="00133003"/>
    <w:rsid w:val="00133451"/>
    <w:rsid w:val="00133B92"/>
    <w:rsid w:val="001346C1"/>
    <w:rsid w:val="001356E1"/>
    <w:rsid w:val="0013631F"/>
    <w:rsid w:val="001379B3"/>
    <w:rsid w:val="00140026"/>
    <w:rsid w:val="00140343"/>
    <w:rsid w:val="001407BB"/>
    <w:rsid w:val="00140BD9"/>
    <w:rsid w:val="00141531"/>
    <w:rsid w:val="0014171B"/>
    <w:rsid w:val="00141C51"/>
    <w:rsid w:val="00141E2A"/>
    <w:rsid w:val="00143709"/>
    <w:rsid w:val="00143A52"/>
    <w:rsid w:val="00144671"/>
    <w:rsid w:val="00145985"/>
    <w:rsid w:val="00145FA5"/>
    <w:rsid w:val="001476D6"/>
    <w:rsid w:val="00147C70"/>
    <w:rsid w:val="0015297E"/>
    <w:rsid w:val="00152A9A"/>
    <w:rsid w:val="00152E2D"/>
    <w:rsid w:val="00154D94"/>
    <w:rsid w:val="00154F11"/>
    <w:rsid w:val="00155483"/>
    <w:rsid w:val="00155795"/>
    <w:rsid w:val="00155AFC"/>
    <w:rsid w:val="001561BD"/>
    <w:rsid w:val="00156463"/>
    <w:rsid w:val="00156E03"/>
    <w:rsid w:val="00157D9B"/>
    <w:rsid w:val="00160091"/>
    <w:rsid w:val="001605DB"/>
    <w:rsid w:val="00161D0B"/>
    <w:rsid w:val="001620EE"/>
    <w:rsid w:val="001627DF"/>
    <w:rsid w:val="0016293F"/>
    <w:rsid w:val="00164034"/>
    <w:rsid w:val="0016524D"/>
    <w:rsid w:val="00165322"/>
    <w:rsid w:val="00165F11"/>
    <w:rsid w:val="00165FB4"/>
    <w:rsid w:val="001679F7"/>
    <w:rsid w:val="00167B08"/>
    <w:rsid w:val="00167D81"/>
    <w:rsid w:val="001700FD"/>
    <w:rsid w:val="00170134"/>
    <w:rsid w:val="00170473"/>
    <w:rsid w:val="00171126"/>
    <w:rsid w:val="001730FB"/>
    <w:rsid w:val="001733F2"/>
    <w:rsid w:val="0017363A"/>
    <w:rsid w:val="00173800"/>
    <w:rsid w:val="00173C71"/>
    <w:rsid w:val="0017483F"/>
    <w:rsid w:val="0017541C"/>
    <w:rsid w:val="00175F5D"/>
    <w:rsid w:val="00176188"/>
    <w:rsid w:val="00176314"/>
    <w:rsid w:val="00176365"/>
    <w:rsid w:val="0017684E"/>
    <w:rsid w:val="00176CE2"/>
    <w:rsid w:val="001774A4"/>
    <w:rsid w:val="00181126"/>
    <w:rsid w:val="001814A8"/>
    <w:rsid w:val="00181646"/>
    <w:rsid w:val="0018175B"/>
    <w:rsid w:val="00181A32"/>
    <w:rsid w:val="00181A56"/>
    <w:rsid w:val="00182619"/>
    <w:rsid w:val="001828CC"/>
    <w:rsid w:val="00182AB6"/>
    <w:rsid w:val="001832FE"/>
    <w:rsid w:val="00184633"/>
    <w:rsid w:val="00184B3A"/>
    <w:rsid w:val="001853D7"/>
    <w:rsid w:val="00185780"/>
    <w:rsid w:val="00186E1C"/>
    <w:rsid w:val="00187C7B"/>
    <w:rsid w:val="00187E69"/>
    <w:rsid w:val="00187E72"/>
    <w:rsid w:val="0019127F"/>
    <w:rsid w:val="00191987"/>
    <w:rsid w:val="00191ADC"/>
    <w:rsid w:val="00192CB4"/>
    <w:rsid w:val="00192D09"/>
    <w:rsid w:val="00192E97"/>
    <w:rsid w:val="00193B91"/>
    <w:rsid w:val="00195512"/>
    <w:rsid w:val="00195617"/>
    <w:rsid w:val="00195AC9"/>
    <w:rsid w:val="00195AE9"/>
    <w:rsid w:val="00196489"/>
    <w:rsid w:val="00196E59"/>
    <w:rsid w:val="00197F65"/>
    <w:rsid w:val="001A039B"/>
    <w:rsid w:val="001A0814"/>
    <w:rsid w:val="001A140F"/>
    <w:rsid w:val="001A1A8F"/>
    <w:rsid w:val="001A1BB5"/>
    <w:rsid w:val="001A1FDD"/>
    <w:rsid w:val="001A29F8"/>
    <w:rsid w:val="001A2DAC"/>
    <w:rsid w:val="001A6574"/>
    <w:rsid w:val="001A729A"/>
    <w:rsid w:val="001B047C"/>
    <w:rsid w:val="001B0844"/>
    <w:rsid w:val="001B1818"/>
    <w:rsid w:val="001B199D"/>
    <w:rsid w:val="001B1FBF"/>
    <w:rsid w:val="001B3058"/>
    <w:rsid w:val="001B33FA"/>
    <w:rsid w:val="001B381A"/>
    <w:rsid w:val="001B3975"/>
    <w:rsid w:val="001B40BB"/>
    <w:rsid w:val="001B41F3"/>
    <w:rsid w:val="001B4EE2"/>
    <w:rsid w:val="001B5B02"/>
    <w:rsid w:val="001B64CD"/>
    <w:rsid w:val="001B6741"/>
    <w:rsid w:val="001B68A9"/>
    <w:rsid w:val="001B6BFB"/>
    <w:rsid w:val="001B6E0C"/>
    <w:rsid w:val="001B75A9"/>
    <w:rsid w:val="001B7B8D"/>
    <w:rsid w:val="001C1753"/>
    <w:rsid w:val="001C2694"/>
    <w:rsid w:val="001C278D"/>
    <w:rsid w:val="001C37D0"/>
    <w:rsid w:val="001C38AF"/>
    <w:rsid w:val="001C4803"/>
    <w:rsid w:val="001C4C45"/>
    <w:rsid w:val="001C6538"/>
    <w:rsid w:val="001C67F5"/>
    <w:rsid w:val="001C6C3E"/>
    <w:rsid w:val="001C743F"/>
    <w:rsid w:val="001D15D0"/>
    <w:rsid w:val="001D1780"/>
    <w:rsid w:val="001D1E41"/>
    <w:rsid w:val="001D24C8"/>
    <w:rsid w:val="001D32B8"/>
    <w:rsid w:val="001D37D8"/>
    <w:rsid w:val="001D3DA2"/>
    <w:rsid w:val="001D4B2E"/>
    <w:rsid w:val="001D5204"/>
    <w:rsid w:val="001D5568"/>
    <w:rsid w:val="001D64FF"/>
    <w:rsid w:val="001D673F"/>
    <w:rsid w:val="001D6774"/>
    <w:rsid w:val="001D6CAD"/>
    <w:rsid w:val="001D6E9B"/>
    <w:rsid w:val="001D793A"/>
    <w:rsid w:val="001E0266"/>
    <w:rsid w:val="001E0D58"/>
    <w:rsid w:val="001E10C7"/>
    <w:rsid w:val="001E1B4D"/>
    <w:rsid w:val="001E1BF3"/>
    <w:rsid w:val="001E2AFD"/>
    <w:rsid w:val="001E2B3F"/>
    <w:rsid w:val="001E330F"/>
    <w:rsid w:val="001E49D2"/>
    <w:rsid w:val="001E4BC3"/>
    <w:rsid w:val="001E5597"/>
    <w:rsid w:val="001E5699"/>
    <w:rsid w:val="001E575E"/>
    <w:rsid w:val="001E695C"/>
    <w:rsid w:val="001E69E2"/>
    <w:rsid w:val="001E6F5E"/>
    <w:rsid w:val="001E763F"/>
    <w:rsid w:val="001E7AF7"/>
    <w:rsid w:val="001E7B6D"/>
    <w:rsid w:val="001E7BAA"/>
    <w:rsid w:val="001F02DC"/>
    <w:rsid w:val="001F0CB1"/>
    <w:rsid w:val="001F0F93"/>
    <w:rsid w:val="001F234C"/>
    <w:rsid w:val="001F25A9"/>
    <w:rsid w:val="001F2A4D"/>
    <w:rsid w:val="001F2C9C"/>
    <w:rsid w:val="001F31E0"/>
    <w:rsid w:val="001F3A75"/>
    <w:rsid w:val="001F3DE5"/>
    <w:rsid w:val="001F4C4F"/>
    <w:rsid w:val="001F68DD"/>
    <w:rsid w:val="001F6966"/>
    <w:rsid w:val="001F6F34"/>
    <w:rsid w:val="001F7AAF"/>
    <w:rsid w:val="00200036"/>
    <w:rsid w:val="0020059A"/>
    <w:rsid w:val="002007F6"/>
    <w:rsid w:val="00201301"/>
    <w:rsid w:val="00202002"/>
    <w:rsid w:val="0020256A"/>
    <w:rsid w:val="002034A0"/>
    <w:rsid w:val="00204391"/>
    <w:rsid w:val="002043DE"/>
    <w:rsid w:val="0020497B"/>
    <w:rsid w:val="00204D02"/>
    <w:rsid w:val="002054A1"/>
    <w:rsid w:val="00205E01"/>
    <w:rsid w:val="00205E7A"/>
    <w:rsid w:val="0020616C"/>
    <w:rsid w:val="002066B4"/>
    <w:rsid w:val="00206B13"/>
    <w:rsid w:val="00207DBD"/>
    <w:rsid w:val="002106E3"/>
    <w:rsid w:val="0021086F"/>
    <w:rsid w:val="00210F47"/>
    <w:rsid w:val="0021100B"/>
    <w:rsid w:val="002112F3"/>
    <w:rsid w:val="00211B89"/>
    <w:rsid w:val="00212202"/>
    <w:rsid w:val="00212941"/>
    <w:rsid w:val="00213266"/>
    <w:rsid w:val="002139EF"/>
    <w:rsid w:val="00213D5B"/>
    <w:rsid w:val="00213E66"/>
    <w:rsid w:val="0021492C"/>
    <w:rsid w:val="002149A6"/>
    <w:rsid w:val="00214C51"/>
    <w:rsid w:val="002152DE"/>
    <w:rsid w:val="00215A9C"/>
    <w:rsid w:val="002162D9"/>
    <w:rsid w:val="00216518"/>
    <w:rsid w:val="002168B5"/>
    <w:rsid w:val="00216C0C"/>
    <w:rsid w:val="0021726C"/>
    <w:rsid w:val="0022028A"/>
    <w:rsid w:val="002207E1"/>
    <w:rsid w:val="002214AC"/>
    <w:rsid w:val="00221AA7"/>
    <w:rsid w:val="002220DE"/>
    <w:rsid w:val="00222886"/>
    <w:rsid w:val="002233BB"/>
    <w:rsid w:val="002234C7"/>
    <w:rsid w:val="00224BD8"/>
    <w:rsid w:val="0022510B"/>
    <w:rsid w:val="002251CB"/>
    <w:rsid w:val="002252D3"/>
    <w:rsid w:val="00225663"/>
    <w:rsid w:val="00225790"/>
    <w:rsid w:val="00226927"/>
    <w:rsid w:val="00227156"/>
    <w:rsid w:val="002272C6"/>
    <w:rsid w:val="00227382"/>
    <w:rsid w:val="00227768"/>
    <w:rsid w:val="0023089A"/>
    <w:rsid w:val="00230902"/>
    <w:rsid w:val="0023123E"/>
    <w:rsid w:val="00231278"/>
    <w:rsid w:val="00231C0F"/>
    <w:rsid w:val="00231E79"/>
    <w:rsid w:val="0023204B"/>
    <w:rsid w:val="00232C15"/>
    <w:rsid w:val="00232E2F"/>
    <w:rsid w:val="002348C7"/>
    <w:rsid w:val="0023527B"/>
    <w:rsid w:val="002361EB"/>
    <w:rsid w:val="00236A2D"/>
    <w:rsid w:val="00236A6D"/>
    <w:rsid w:val="00236D7B"/>
    <w:rsid w:val="00236F79"/>
    <w:rsid w:val="00236FF6"/>
    <w:rsid w:val="00237AF5"/>
    <w:rsid w:val="00237C7D"/>
    <w:rsid w:val="00237CC9"/>
    <w:rsid w:val="00240C2F"/>
    <w:rsid w:val="00241483"/>
    <w:rsid w:val="00241B04"/>
    <w:rsid w:val="00241C6D"/>
    <w:rsid w:val="00241FE3"/>
    <w:rsid w:val="002422D6"/>
    <w:rsid w:val="002426AB"/>
    <w:rsid w:val="00242971"/>
    <w:rsid w:val="002432FD"/>
    <w:rsid w:val="0024456D"/>
    <w:rsid w:val="00244D91"/>
    <w:rsid w:val="00245E5B"/>
    <w:rsid w:val="00245EB8"/>
    <w:rsid w:val="00245F07"/>
    <w:rsid w:val="0024653D"/>
    <w:rsid w:val="0024654D"/>
    <w:rsid w:val="00246E35"/>
    <w:rsid w:val="0025078E"/>
    <w:rsid w:val="00250E39"/>
    <w:rsid w:val="0025232B"/>
    <w:rsid w:val="00252380"/>
    <w:rsid w:val="00253195"/>
    <w:rsid w:val="0025364C"/>
    <w:rsid w:val="0025694B"/>
    <w:rsid w:val="00256AEB"/>
    <w:rsid w:val="002577B0"/>
    <w:rsid w:val="00257A9B"/>
    <w:rsid w:val="00261626"/>
    <w:rsid w:val="0026264D"/>
    <w:rsid w:val="002626B0"/>
    <w:rsid w:val="002639E3"/>
    <w:rsid w:val="0026467E"/>
    <w:rsid w:val="00265254"/>
    <w:rsid w:val="002653A4"/>
    <w:rsid w:val="002662B1"/>
    <w:rsid w:val="00267AD2"/>
    <w:rsid w:val="002704B8"/>
    <w:rsid w:val="00270C60"/>
    <w:rsid w:val="00271BE1"/>
    <w:rsid w:val="002722B4"/>
    <w:rsid w:val="002725D4"/>
    <w:rsid w:val="002727C2"/>
    <w:rsid w:val="0027535A"/>
    <w:rsid w:val="002754F9"/>
    <w:rsid w:val="00275FA0"/>
    <w:rsid w:val="00276079"/>
    <w:rsid w:val="00276193"/>
    <w:rsid w:val="00276620"/>
    <w:rsid w:val="00276EC1"/>
    <w:rsid w:val="00277446"/>
    <w:rsid w:val="00281789"/>
    <w:rsid w:val="00282E40"/>
    <w:rsid w:val="00284706"/>
    <w:rsid w:val="00284CB1"/>
    <w:rsid w:val="0028568E"/>
    <w:rsid w:val="00285993"/>
    <w:rsid w:val="00286265"/>
    <w:rsid w:val="00286A42"/>
    <w:rsid w:val="00287B54"/>
    <w:rsid w:val="00287C1A"/>
    <w:rsid w:val="00287D00"/>
    <w:rsid w:val="00290A5F"/>
    <w:rsid w:val="002913BD"/>
    <w:rsid w:val="00291856"/>
    <w:rsid w:val="002918EE"/>
    <w:rsid w:val="00291989"/>
    <w:rsid w:val="00291C21"/>
    <w:rsid w:val="0029204A"/>
    <w:rsid w:val="00292854"/>
    <w:rsid w:val="0029372E"/>
    <w:rsid w:val="0029542B"/>
    <w:rsid w:val="0029657A"/>
    <w:rsid w:val="002971C4"/>
    <w:rsid w:val="0029761B"/>
    <w:rsid w:val="00297C2C"/>
    <w:rsid w:val="002A0687"/>
    <w:rsid w:val="002A0ED9"/>
    <w:rsid w:val="002A213F"/>
    <w:rsid w:val="002A238E"/>
    <w:rsid w:val="002A321B"/>
    <w:rsid w:val="002A4F1C"/>
    <w:rsid w:val="002A53D1"/>
    <w:rsid w:val="002A5BF9"/>
    <w:rsid w:val="002A5C65"/>
    <w:rsid w:val="002A6D23"/>
    <w:rsid w:val="002A73BA"/>
    <w:rsid w:val="002A740F"/>
    <w:rsid w:val="002A7C56"/>
    <w:rsid w:val="002A7F75"/>
    <w:rsid w:val="002B0371"/>
    <w:rsid w:val="002B3387"/>
    <w:rsid w:val="002B338A"/>
    <w:rsid w:val="002B3AA9"/>
    <w:rsid w:val="002B3F15"/>
    <w:rsid w:val="002B49FA"/>
    <w:rsid w:val="002B58EF"/>
    <w:rsid w:val="002B592E"/>
    <w:rsid w:val="002B7F90"/>
    <w:rsid w:val="002C1217"/>
    <w:rsid w:val="002C14A7"/>
    <w:rsid w:val="002C16CE"/>
    <w:rsid w:val="002C22E0"/>
    <w:rsid w:val="002C2526"/>
    <w:rsid w:val="002C2D50"/>
    <w:rsid w:val="002C3868"/>
    <w:rsid w:val="002C3A29"/>
    <w:rsid w:val="002C4AA2"/>
    <w:rsid w:val="002C4C80"/>
    <w:rsid w:val="002C4D6A"/>
    <w:rsid w:val="002C5ADB"/>
    <w:rsid w:val="002C5D77"/>
    <w:rsid w:val="002C62DB"/>
    <w:rsid w:val="002C6515"/>
    <w:rsid w:val="002C661C"/>
    <w:rsid w:val="002C6845"/>
    <w:rsid w:val="002C6A87"/>
    <w:rsid w:val="002C72B5"/>
    <w:rsid w:val="002C7A90"/>
    <w:rsid w:val="002D0FC5"/>
    <w:rsid w:val="002D273C"/>
    <w:rsid w:val="002D3796"/>
    <w:rsid w:val="002D50F2"/>
    <w:rsid w:val="002D5B19"/>
    <w:rsid w:val="002D5EF0"/>
    <w:rsid w:val="002D6279"/>
    <w:rsid w:val="002D6B3B"/>
    <w:rsid w:val="002D70EE"/>
    <w:rsid w:val="002D7243"/>
    <w:rsid w:val="002E1812"/>
    <w:rsid w:val="002E1E31"/>
    <w:rsid w:val="002E2107"/>
    <w:rsid w:val="002E22C1"/>
    <w:rsid w:val="002E2C7F"/>
    <w:rsid w:val="002E30B2"/>
    <w:rsid w:val="002E317F"/>
    <w:rsid w:val="002E385B"/>
    <w:rsid w:val="002E4AFC"/>
    <w:rsid w:val="002E5CFD"/>
    <w:rsid w:val="002E70BF"/>
    <w:rsid w:val="002F0437"/>
    <w:rsid w:val="002F063B"/>
    <w:rsid w:val="002F1273"/>
    <w:rsid w:val="002F17AE"/>
    <w:rsid w:val="002F225C"/>
    <w:rsid w:val="002F2B70"/>
    <w:rsid w:val="002F30C7"/>
    <w:rsid w:val="002F3232"/>
    <w:rsid w:val="002F350F"/>
    <w:rsid w:val="002F54E2"/>
    <w:rsid w:val="002F572D"/>
    <w:rsid w:val="002F5E80"/>
    <w:rsid w:val="002F6D53"/>
    <w:rsid w:val="002F7380"/>
    <w:rsid w:val="002F79DD"/>
    <w:rsid w:val="00300438"/>
    <w:rsid w:val="003015EF"/>
    <w:rsid w:val="0030193F"/>
    <w:rsid w:val="00302BB3"/>
    <w:rsid w:val="003031D7"/>
    <w:rsid w:val="0030412E"/>
    <w:rsid w:val="003051D3"/>
    <w:rsid w:val="0030541F"/>
    <w:rsid w:val="003057F8"/>
    <w:rsid w:val="00305818"/>
    <w:rsid w:val="0030641D"/>
    <w:rsid w:val="00306540"/>
    <w:rsid w:val="00306702"/>
    <w:rsid w:val="00306A15"/>
    <w:rsid w:val="00306E57"/>
    <w:rsid w:val="00307272"/>
    <w:rsid w:val="003075B9"/>
    <w:rsid w:val="00307EDA"/>
    <w:rsid w:val="0031079F"/>
    <w:rsid w:val="00310CB6"/>
    <w:rsid w:val="003114A6"/>
    <w:rsid w:val="00314438"/>
    <w:rsid w:val="00314B55"/>
    <w:rsid w:val="00315324"/>
    <w:rsid w:val="00315343"/>
    <w:rsid w:val="00316C54"/>
    <w:rsid w:val="00317365"/>
    <w:rsid w:val="00317C8F"/>
    <w:rsid w:val="00320A29"/>
    <w:rsid w:val="00320BF3"/>
    <w:rsid w:val="00321597"/>
    <w:rsid w:val="003219D8"/>
    <w:rsid w:val="00321E18"/>
    <w:rsid w:val="0032245C"/>
    <w:rsid w:val="003227BF"/>
    <w:rsid w:val="00322DDD"/>
    <w:rsid w:val="00323E1D"/>
    <w:rsid w:val="00324418"/>
    <w:rsid w:val="00325C1A"/>
    <w:rsid w:val="0032602B"/>
    <w:rsid w:val="00327348"/>
    <w:rsid w:val="003273C7"/>
    <w:rsid w:val="003275DF"/>
    <w:rsid w:val="0033042A"/>
    <w:rsid w:val="00330F8F"/>
    <w:rsid w:val="00331655"/>
    <w:rsid w:val="00332B50"/>
    <w:rsid w:val="00332D0D"/>
    <w:rsid w:val="00332D5A"/>
    <w:rsid w:val="00333D1C"/>
    <w:rsid w:val="00333F91"/>
    <w:rsid w:val="0033417F"/>
    <w:rsid w:val="00334364"/>
    <w:rsid w:val="00334CB0"/>
    <w:rsid w:val="00334D77"/>
    <w:rsid w:val="00335530"/>
    <w:rsid w:val="003356EE"/>
    <w:rsid w:val="00335CB1"/>
    <w:rsid w:val="00336A4C"/>
    <w:rsid w:val="00340C35"/>
    <w:rsid w:val="00341899"/>
    <w:rsid w:val="00342220"/>
    <w:rsid w:val="00342233"/>
    <w:rsid w:val="00342387"/>
    <w:rsid w:val="003434B7"/>
    <w:rsid w:val="00344F37"/>
    <w:rsid w:val="0034525F"/>
    <w:rsid w:val="00345C44"/>
    <w:rsid w:val="00345CDC"/>
    <w:rsid w:val="00345D23"/>
    <w:rsid w:val="00345DD5"/>
    <w:rsid w:val="00346226"/>
    <w:rsid w:val="00347027"/>
    <w:rsid w:val="00347033"/>
    <w:rsid w:val="003472F1"/>
    <w:rsid w:val="003476E5"/>
    <w:rsid w:val="00347941"/>
    <w:rsid w:val="00350C02"/>
    <w:rsid w:val="00351268"/>
    <w:rsid w:val="00351673"/>
    <w:rsid w:val="003524A2"/>
    <w:rsid w:val="003528D3"/>
    <w:rsid w:val="00352DA9"/>
    <w:rsid w:val="00353C74"/>
    <w:rsid w:val="00353D0C"/>
    <w:rsid w:val="00354F92"/>
    <w:rsid w:val="003554CB"/>
    <w:rsid w:val="0035552D"/>
    <w:rsid w:val="00355A1A"/>
    <w:rsid w:val="00355DCC"/>
    <w:rsid w:val="00355F1D"/>
    <w:rsid w:val="00356037"/>
    <w:rsid w:val="00357A60"/>
    <w:rsid w:val="00357ADD"/>
    <w:rsid w:val="00360F1E"/>
    <w:rsid w:val="003618A3"/>
    <w:rsid w:val="00361A84"/>
    <w:rsid w:val="00362A92"/>
    <w:rsid w:val="00362E27"/>
    <w:rsid w:val="003630ED"/>
    <w:rsid w:val="00363F45"/>
    <w:rsid w:val="003648BF"/>
    <w:rsid w:val="003653CE"/>
    <w:rsid w:val="00365C6B"/>
    <w:rsid w:val="003670D6"/>
    <w:rsid w:val="0036721D"/>
    <w:rsid w:val="00367431"/>
    <w:rsid w:val="00367456"/>
    <w:rsid w:val="00367797"/>
    <w:rsid w:val="00367E52"/>
    <w:rsid w:val="003700F4"/>
    <w:rsid w:val="0037208C"/>
    <w:rsid w:val="003731EF"/>
    <w:rsid w:val="00373D22"/>
    <w:rsid w:val="00374572"/>
    <w:rsid w:val="00374629"/>
    <w:rsid w:val="00374734"/>
    <w:rsid w:val="003760B7"/>
    <w:rsid w:val="003769F4"/>
    <w:rsid w:val="00376F9F"/>
    <w:rsid w:val="0038021B"/>
    <w:rsid w:val="003804B1"/>
    <w:rsid w:val="0038081A"/>
    <w:rsid w:val="0038272E"/>
    <w:rsid w:val="00382AB3"/>
    <w:rsid w:val="00383EC6"/>
    <w:rsid w:val="00383FA4"/>
    <w:rsid w:val="0038479E"/>
    <w:rsid w:val="00384F76"/>
    <w:rsid w:val="0038599A"/>
    <w:rsid w:val="00385A02"/>
    <w:rsid w:val="00385D87"/>
    <w:rsid w:val="003860B5"/>
    <w:rsid w:val="00386256"/>
    <w:rsid w:val="00386719"/>
    <w:rsid w:val="00387B67"/>
    <w:rsid w:val="003907CC"/>
    <w:rsid w:val="003916D5"/>
    <w:rsid w:val="0039210C"/>
    <w:rsid w:val="003921AC"/>
    <w:rsid w:val="003923AF"/>
    <w:rsid w:val="003931D9"/>
    <w:rsid w:val="003935BF"/>
    <w:rsid w:val="003938A1"/>
    <w:rsid w:val="00393EB2"/>
    <w:rsid w:val="00395275"/>
    <w:rsid w:val="00395B4D"/>
    <w:rsid w:val="003961F6"/>
    <w:rsid w:val="0039708C"/>
    <w:rsid w:val="00397835"/>
    <w:rsid w:val="00397F8C"/>
    <w:rsid w:val="003A0211"/>
    <w:rsid w:val="003A04AB"/>
    <w:rsid w:val="003A1779"/>
    <w:rsid w:val="003A1842"/>
    <w:rsid w:val="003A2447"/>
    <w:rsid w:val="003A402E"/>
    <w:rsid w:val="003A4069"/>
    <w:rsid w:val="003A41B3"/>
    <w:rsid w:val="003A4676"/>
    <w:rsid w:val="003A4DEA"/>
    <w:rsid w:val="003A5ACE"/>
    <w:rsid w:val="003A6109"/>
    <w:rsid w:val="003A65C6"/>
    <w:rsid w:val="003A6694"/>
    <w:rsid w:val="003A6A4C"/>
    <w:rsid w:val="003A70F0"/>
    <w:rsid w:val="003A7255"/>
    <w:rsid w:val="003A7FF6"/>
    <w:rsid w:val="003B17EA"/>
    <w:rsid w:val="003B1B6A"/>
    <w:rsid w:val="003B2455"/>
    <w:rsid w:val="003B3464"/>
    <w:rsid w:val="003B4416"/>
    <w:rsid w:val="003B6B66"/>
    <w:rsid w:val="003B7E98"/>
    <w:rsid w:val="003C1517"/>
    <w:rsid w:val="003C1611"/>
    <w:rsid w:val="003C1F7B"/>
    <w:rsid w:val="003C2109"/>
    <w:rsid w:val="003C2F28"/>
    <w:rsid w:val="003C346D"/>
    <w:rsid w:val="003C3A69"/>
    <w:rsid w:val="003C3E5C"/>
    <w:rsid w:val="003C4400"/>
    <w:rsid w:val="003C4621"/>
    <w:rsid w:val="003C46A0"/>
    <w:rsid w:val="003C582F"/>
    <w:rsid w:val="003C5D8F"/>
    <w:rsid w:val="003C680A"/>
    <w:rsid w:val="003C6A9E"/>
    <w:rsid w:val="003C6ABE"/>
    <w:rsid w:val="003C74BA"/>
    <w:rsid w:val="003C7501"/>
    <w:rsid w:val="003C7512"/>
    <w:rsid w:val="003C7D43"/>
    <w:rsid w:val="003D003F"/>
    <w:rsid w:val="003D0C96"/>
    <w:rsid w:val="003D1833"/>
    <w:rsid w:val="003D2224"/>
    <w:rsid w:val="003D2D4D"/>
    <w:rsid w:val="003D3596"/>
    <w:rsid w:val="003D39CB"/>
    <w:rsid w:val="003D3CBD"/>
    <w:rsid w:val="003D6B83"/>
    <w:rsid w:val="003D74E0"/>
    <w:rsid w:val="003E036F"/>
    <w:rsid w:val="003E0E8E"/>
    <w:rsid w:val="003E105F"/>
    <w:rsid w:val="003E1621"/>
    <w:rsid w:val="003E1A4B"/>
    <w:rsid w:val="003E2545"/>
    <w:rsid w:val="003E2FDF"/>
    <w:rsid w:val="003E3056"/>
    <w:rsid w:val="003E3088"/>
    <w:rsid w:val="003E3661"/>
    <w:rsid w:val="003E406C"/>
    <w:rsid w:val="003E40A1"/>
    <w:rsid w:val="003E427A"/>
    <w:rsid w:val="003E4E2F"/>
    <w:rsid w:val="003E5448"/>
    <w:rsid w:val="003E6309"/>
    <w:rsid w:val="003E7F37"/>
    <w:rsid w:val="003F03EC"/>
    <w:rsid w:val="003F0510"/>
    <w:rsid w:val="003F075C"/>
    <w:rsid w:val="003F0A90"/>
    <w:rsid w:val="003F0D44"/>
    <w:rsid w:val="003F110C"/>
    <w:rsid w:val="003F11B4"/>
    <w:rsid w:val="003F13AD"/>
    <w:rsid w:val="003F188F"/>
    <w:rsid w:val="003F1A9E"/>
    <w:rsid w:val="003F1F5C"/>
    <w:rsid w:val="003F25B2"/>
    <w:rsid w:val="003F30EC"/>
    <w:rsid w:val="003F36C9"/>
    <w:rsid w:val="003F4020"/>
    <w:rsid w:val="003F48C1"/>
    <w:rsid w:val="003F569D"/>
    <w:rsid w:val="003F63EE"/>
    <w:rsid w:val="003F7025"/>
    <w:rsid w:val="003F7CF7"/>
    <w:rsid w:val="003F7D7C"/>
    <w:rsid w:val="0040004C"/>
    <w:rsid w:val="00400253"/>
    <w:rsid w:val="00400555"/>
    <w:rsid w:val="0040096D"/>
    <w:rsid w:val="00400B31"/>
    <w:rsid w:val="00400CA0"/>
    <w:rsid w:val="00400DEC"/>
    <w:rsid w:val="00400EFA"/>
    <w:rsid w:val="004013BE"/>
    <w:rsid w:val="00402128"/>
    <w:rsid w:val="004030F6"/>
    <w:rsid w:val="00403B33"/>
    <w:rsid w:val="00404CA4"/>
    <w:rsid w:val="0040635F"/>
    <w:rsid w:val="00406745"/>
    <w:rsid w:val="00407A22"/>
    <w:rsid w:val="00407CCE"/>
    <w:rsid w:val="00407E99"/>
    <w:rsid w:val="00407EAF"/>
    <w:rsid w:val="004102EF"/>
    <w:rsid w:val="004111B0"/>
    <w:rsid w:val="00411534"/>
    <w:rsid w:val="00411988"/>
    <w:rsid w:val="00411B05"/>
    <w:rsid w:val="00412966"/>
    <w:rsid w:val="00413EA9"/>
    <w:rsid w:val="00414593"/>
    <w:rsid w:val="00415CAD"/>
    <w:rsid w:val="00415D72"/>
    <w:rsid w:val="004160AB"/>
    <w:rsid w:val="00416943"/>
    <w:rsid w:val="004173E4"/>
    <w:rsid w:val="00417A2D"/>
    <w:rsid w:val="00417DED"/>
    <w:rsid w:val="00420BB2"/>
    <w:rsid w:val="00420E33"/>
    <w:rsid w:val="00421CC6"/>
    <w:rsid w:val="004223CD"/>
    <w:rsid w:val="00422FF9"/>
    <w:rsid w:val="004234D1"/>
    <w:rsid w:val="0042425D"/>
    <w:rsid w:val="004248E4"/>
    <w:rsid w:val="00425477"/>
    <w:rsid w:val="00426126"/>
    <w:rsid w:val="0042650C"/>
    <w:rsid w:val="00426976"/>
    <w:rsid w:val="00426988"/>
    <w:rsid w:val="004276E2"/>
    <w:rsid w:val="004300E4"/>
    <w:rsid w:val="004301CE"/>
    <w:rsid w:val="00430F33"/>
    <w:rsid w:val="0043350A"/>
    <w:rsid w:val="004336CB"/>
    <w:rsid w:val="00435CA0"/>
    <w:rsid w:val="00436A43"/>
    <w:rsid w:val="00436E04"/>
    <w:rsid w:val="00436E34"/>
    <w:rsid w:val="004377D5"/>
    <w:rsid w:val="004379C8"/>
    <w:rsid w:val="00437DA5"/>
    <w:rsid w:val="00437E86"/>
    <w:rsid w:val="00440BF6"/>
    <w:rsid w:val="00440E34"/>
    <w:rsid w:val="00440FE9"/>
    <w:rsid w:val="004417FB"/>
    <w:rsid w:val="00441D52"/>
    <w:rsid w:val="00442D84"/>
    <w:rsid w:val="00443806"/>
    <w:rsid w:val="004441F8"/>
    <w:rsid w:val="004444EF"/>
    <w:rsid w:val="00444864"/>
    <w:rsid w:val="0044537F"/>
    <w:rsid w:val="00446451"/>
    <w:rsid w:val="004474A3"/>
    <w:rsid w:val="004479C1"/>
    <w:rsid w:val="00447BDB"/>
    <w:rsid w:val="004506AC"/>
    <w:rsid w:val="00451AC5"/>
    <w:rsid w:val="00451B39"/>
    <w:rsid w:val="00452AB2"/>
    <w:rsid w:val="00453176"/>
    <w:rsid w:val="00454846"/>
    <w:rsid w:val="00454952"/>
    <w:rsid w:val="00455B24"/>
    <w:rsid w:val="00456196"/>
    <w:rsid w:val="00456CD8"/>
    <w:rsid w:val="00456E2E"/>
    <w:rsid w:val="00457439"/>
    <w:rsid w:val="004578F6"/>
    <w:rsid w:val="00457991"/>
    <w:rsid w:val="00457C51"/>
    <w:rsid w:val="00457C5B"/>
    <w:rsid w:val="0046008B"/>
    <w:rsid w:val="00460C3D"/>
    <w:rsid w:val="004619E8"/>
    <w:rsid w:val="00461AE7"/>
    <w:rsid w:val="00461CA1"/>
    <w:rsid w:val="0046264E"/>
    <w:rsid w:val="00463779"/>
    <w:rsid w:val="00464B06"/>
    <w:rsid w:val="00465DB7"/>
    <w:rsid w:val="00465E94"/>
    <w:rsid w:val="004663C4"/>
    <w:rsid w:val="004663E7"/>
    <w:rsid w:val="00467308"/>
    <w:rsid w:val="00470108"/>
    <w:rsid w:val="0047054C"/>
    <w:rsid w:val="0047060D"/>
    <w:rsid w:val="004708B4"/>
    <w:rsid w:val="004714FC"/>
    <w:rsid w:val="004717DD"/>
    <w:rsid w:val="00471BBA"/>
    <w:rsid w:val="00471E1B"/>
    <w:rsid w:val="004731DD"/>
    <w:rsid w:val="00473596"/>
    <w:rsid w:val="004737B2"/>
    <w:rsid w:val="00475153"/>
    <w:rsid w:val="0047523C"/>
    <w:rsid w:val="00475D88"/>
    <w:rsid w:val="0047661F"/>
    <w:rsid w:val="00476A8E"/>
    <w:rsid w:val="00476E6F"/>
    <w:rsid w:val="0047720D"/>
    <w:rsid w:val="00480182"/>
    <w:rsid w:val="004814FA"/>
    <w:rsid w:val="0048163B"/>
    <w:rsid w:val="00482E7D"/>
    <w:rsid w:val="004831B8"/>
    <w:rsid w:val="004834F7"/>
    <w:rsid w:val="00483552"/>
    <w:rsid w:val="00483809"/>
    <w:rsid w:val="004843DE"/>
    <w:rsid w:val="00485C3A"/>
    <w:rsid w:val="004864E2"/>
    <w:rsid w:val="0048698A"/>
    <w:rsid w:val="0048733D"/>
    <w:rsid w:val="004876DC"/>
    <w:rsid w:val="004906B8"/>
    <w:rsid w:val="0049108C"/>
    <w:rsid w:val="00491CE0"/>
    <w:rsid w:val="00491F3B"/>
    <w:rsid w:val="004920A6"/>
    <w:rsid w:val="0049215B"/>
    <w:rsid w:val="004923B5"/>
    <w:rsid w:val="0049240F"/>
    <w:rsid w:val="004928F7"/>
    <w:rsid w:val="00492D63"/>
    <w:rsid w:val="004932FB"/>
    <w:rsid w:val="004938E4"/>
    <w:rsid w:val="004940F0"/>
    <w:rsid w:val="0049494B"/>
    <w:rsid w:val="00494FF4"/>
    <w:rsid w:val="00495588"/>
    <w:rsid w:val="00496E68"/>
    <w:rsid w:val="00497C43"/>
    <w:rsid w:val="004A1623"/>
    <w:rsid w:val="004A2EDE"/>
    <w:rsid w:val="004A2F70"/>
    <w:rsid w:val="004A31C0"/>
    <w:rsid w:val="004A3F28"/>
    <w:rsid w:val="004A4A65"/>
    <w:rsid w:val="004A5117"/>
    <w:rsid w:val="004A5B3A"/>
    <w:rsid w:val="004A5C4B"/>
    <w:rsid w:val="004A5CA4"/>
    <w:rsid w:val="004A64E0"/>
    <w:rsid w:val="004A69A6"/>
    <w:rsid w:val="004B06E2"/>
    <w:rsid w:val="004B317B"/>
    <w:rsid w:val="004B3724"/>
    <w:rsid w:val="004B45A5"/>
    <w:rsid w:val="004B461A"/>
    <w:rsid w:val="004B4A01"/>
    <w:rsid w:val="004B60F3"/>
    <w:rsid w:val="004B6B22"/>
    <w:rsid w:val="004B7067"/>
    <w:rsid w:val="004B796F"/>
    <w:rsid w:val="004C0640"/>
    <w:rsid w:val="004C08F3"/>
    <w:rsid w:val="004C0CAE"/>
    <w:rsid w:val="004C1316"/>
    <w:rsid w:val="004C148A"/>
    <w:rsid w:val="004C175A"/>
    <w:rsid w:val="004C19DD"/>
    <w:rsid w:val="004C1D40"/>
    <w:rsid w:val="004C2333"/>
    <w:rsid w:val="004C2C2D"/>
    <w:rsid w:val="004C3F8A"/>
    <w:rsid w:val="004C566B"/>
    <w:rsid w:val="004C56B0"/>
    <w:rsid w:val="004C58CC"/>
    <w:rsid w:val="004C5D20"/>
    <w:rsid w:val="004C5E0A"/>
    <w:rsid w:val="004D034A"/>
    <w:rsid w:val="004D0BD7"/>
    <w:rsid w:val="004D21ED"/>
    <w:rsid w:val="004D29D1"/>
    <w:rsid w:val="004D2A15"/>
    <w:rsid w:val="004D36BD"/>
    <w:rsid w:val="004D4C46"/>
    <w:rsid w:val="004D4DFE"/>
    <w:rsid w:val="004D5048"/>
    <w:rsid w:val="004D56DF"/>
    <w:rsid w:val="004D683C"/>
    <w:rsid w:val="004D77CE"/>
    <w:rsid w:val="004D7C5E"/>
    <w:rsid w:val="004E048F"/>
    <w:rsid w:val="004E04D7"/>
    <w:rsid w:val="004E0819"/>
    <w:rsid w:val="004E1586"/>
    <w:rsid w:val="004E275F"/>
    <w:rsid w:val="004E3B4D"/>
    <w:rsid w:val="004E4677"/>
    <w:rsid w:val="004E59D0"/>
    <w:rsid w:val="004E5A5B"/>
    <w:rsid w:val="004E5A8A"/>
    <w:rsid w:val="004E5F3D"/>
    <w:rsid w:val="004E6BA2"/>
    <w:rsid w:val="004E6D40"/>
    <w:rsid w:val="004E6D4F"/>
    <w:rsid w:val="004E7632"/>
    <w:rsid w:val="004E7CA9"/>
    <w:rsid w:val="004F09F5"/>
    <w:rsid w:val="004F0BDE"/>
    <w:rsid w:val="004F1711"/>
    <w:rsid w:val="004F1B6E"/>
    <w:rsid w:val="004F298E"/>
    <w:rsid w:val="004F3355"/>
    <w:rsid w:val="004F36D1"/>
    <w:rsid w:val="004F3A24"/>
    <w:rsid w:val="004F4128"/>
    <w:rsid w:val="004F4668"/>
    <w:rsid w:val="004F4C4E"/>
    <w:rsid w:val="004F4FCA"/>
    <w:rsid w:val="004F5473"/>
    <w:rsid w:val="004F5A63"/>
    <w:rsid w:val="004F6244"/>
    <w:rsid w:val="004F64E0"/>
    <w:rsid w:val="004F6A06"/>
    <w:rsid w:val="004F6EA0"/>
    <w:rsid w:val="004F7714"/>
    <w:rsid w:val="004F78D6"/>
    <w:rsid w:val="004F7BB2"/>
    <w:rsid w:val="00500A65"/>
    <w:rsid w:val="005012C5"/>
    <w:rsid w:val="00502C48"/>
    <w:rsid w:val="0050321F"/>
    <w:rsid w:val="005036D0"/>
    <w:rsid w:val="00503D2D"/>
    <w:rsid w:val="0050422D"/>
    <w:rsid w:val="00505BC3"/>
    <w:rsid w:val="00505D8D"/>
    <w:rsid w:val="00507293"/>
    <w:rsid w:val="005112FA"/>
    <w:rsid w:val="0051147A"/>
    <w:rsid w:val="005115C8"/>
    <w:rsid w:val="0051178A"/>
    <w:rsid w:val="0051397F"/>
    <w:rsid w:val="00514AB4"/>
    <w:rsid w:val="00514B5A"/>
    <w:rsid w:val="00515278"/>
    <w:rsid w:val="005164BD"/>
    <w:rsid w:val="00517622"/>
    <w:rsid w:val="00520416"/>
    <w:rsid w:val="00520C9F"/>
    <w:rsid w:val="00520F55"/>
    <w:rsid w:val="00521513"/>
    <w:rsid w:val="00522487"/>
    <w:rsid w:val="0052253F"/>
    <w:rsid w:val="0052345E"/>
    <w:rsid w:val="005246C4"/>
    <w:rsid w:val="0052510B"/>
    <w:rsid w:val="00525A10"/>
    <w:rsid w:val="00525B1D"/>
    <w:rsid w:val="00525BF3"/>
    <w:rsid w:val="00527086"/>
    <w:rsid w:val="005271FF"/>
    <w:rsid w:val="00527243"/>
    <w:rsid w:val="00530A6E"/>
    <w:rsid w:val="00530B05"/>
    <w:rsid w:val="00530C8A"/>
    <w:rsid w:val="00530EBF"/>
    <w:rsid w:val="00531AC3"/>
    <w:rsid w:val="005327E1"/>
    <w:rsid w:val="005329E2"/>
    <w:rsid w:val="00532C37"/>
    <w:rsid w:val="00535B54"/>
    <w:rsid w:val="0053606C"/>
    <w:rsid w:val="00536FA9"/>
    <w:rsid w:val="005375C0"/>
    <w:rsid w:val="005378E8"/>
    <w:rsid w:val="0054039A"/>
    <w:rsid w:val="00540A53"/>
    <w:rsid w:val="00540E2B"/>
    <w:rsid w:val="0054143C"/>
    <w:rsid w:val="00541E77"/>
    <w:rsid w:val="00542205"/>
    <w:rsid w:val="005427DF"/>
    <w:rsid w:val="005433F0"/>
    <w:rsid w:val="00543915"/>
    <w:rsid w:val="00543E68"/>
    <w:rsid w:val="00544159"/>
    <w:rsid w:val="005457BF"/>
    <w:rsid w:val="005459B6"/>
    <w:rsid w:val="0054626C"/>
    <w:rsid w:val="00546A48"/>
    <w:rsid w:val="00546F71"/>
    <w:rsid w:val="005477D9"/>
    <w:rsid w:val="0054783D"/>
    <w:rsid w:val="00550905"/>
    <w:rsid w:val="00550A10"/>
    <w:rsid w:val="00551089"/>
    <w:rsid w:val="00551358"/>
    <w:rsid w:val="00551834"/>
    <w:rsid w:val="0055197F"/>
    <w:rsid w:val="00551CC2"/>
    <w:rsid w:val="0055269C"/>
    <w:rsid w:val="005536C3"/>
    <w:rsid w:val="005537A9"/>
    <w:rsid w:val="00553AB7"/>
    <w:rsid w:val="00554AA0"/>
    <w:rsid w:val="005555C5"/>
    <w:rsid w:val="0055573E"/>
    <w:rsid w:val="00556199"/>
    <w:rsid w:val="00557988"/>
    <w:rsid w:val="00560F1D"/>
    <w:rsid w:val="00560F52"/>
    <w:rsid w:val="0056122D"/>
    <w:rsid w:val="00561513"/>
    <w:rsid w:val="005615F5"/>
    <w:rsid w:val="005625A3"/>
    <w:rsid w:val="005625F4"/>
    <w:rsid w:val="005627FB"/>
    <w:rsid w:val="00562897"/>
    <w:rsid w:val="00562DC9"/>
    <w:rsid w:val="00563261"/>
    <w:rsid w:val="005644FA"/>
    <w:rsid w:val="00564A61"/>
    <w:rsid w:val="00564D88"/>
    <w:rsid w:val="0056502A"/>
    <w:rsid w:val="005651F2"/>
    <w:rsid w:val="00565F51"/>
    <w:rsid w:val="005665DC"/>
    <w:rsid w:val="0056684E"/>
    <w:rsid w:val="0056685B"/>
    <w:rsid w:val="00567F91"/>
    <w:rsid w:val="00570756"/>
    <w:rsid w:val="00570AC8"/>
    <w:rsid w:val="00570CD0"/>
    <w:rsid w:val="00571139"/>
    <w:rsid w:val="005726B2"/>
    <w:rsid w:val="00572E4D"/>
    <w:rsid w:val="005740BA"/>
    <w:rsid w:val="00574818"/>
    <w:rsid w:val="00574B92"/>
    <w:rsid w:val="0057636A"/>
    <w:rsid w:val="0057636F"/>
    <w:rsid w:val="005764B7"/>
    <w:rsid w:val="00576700"/>
    <w:rsid w:val="005772BD"/>
    <w:rsid w:val="005776CD"/>
    <w:rsid w:val="0058087C"/>
    <w:rsid w:val="005815C7"/>
    <w:rsid w:val="005818FB"/>
    <w:rsid w:val="00582056"/>
    <w:rsid w:val="005820D7"/>
    <w:rsid w:val="005823D5"/>
    <w:rsid w:val="005825C6"/>
    <w:rsid w:val="00582812"/>
    <w:rsid w:val="0058389C"/>
    <w:rsid w:val="00583F82"/>
    <w:rsid w:val="005849EA"/>
    <w:rsid w:val="00584D84"/>
    <w:rsid w:val="00585FF8"/>
    <w:rsid w:val="00586F04"/>
    <w:rsid w:val="0058782D"/>
    <w:rsid w:val="00587AF9"/>
    <w:rsid w:val="00590930"/>
    <w:rsid w:val="00591DED"/>
    <w:rsid w:val="00591DF2"/>
    <w:rsid w:val="005924C6"/>
    <w:rsid w:val="00592DFB"/>
    <w:rsid w:val="00593631"/>
    <w:rsid w:val="00593CA8"/>
    <w:rsid w:val="00594B1D"/>
    <w:rsid w:val="005950D3"/>
    <w:rsid w:val="00597C04"/>
    <w:rsid w:val="00597C15"/>
    <w:rsid w:val="005A00CA"/>
    <w:rsid w:val="005A017C"/>
    <w:rsid w:val="005A038C"/>
    <w:rsid w:val="005A03A2"/>
    <w:rsid w:val="005A0936"/>
    <w:rsid w:val="005A0BE1"/>
    <w:rsid w:val="005A12F6"/>
    <w:rsid w:val="005A239C"/>
    <w:rsid w:val="005A29FE"/>
    <w:rsid w:val="005A2E42"/>
    <w:rsid w:val="005A30C8"/>
    <w:rsid w:val="005A32D1"/>
    <w:rsid w:val="005A452F"/>
    <w:rsid w:val="005A46C0"/>
    <w:rsid w:val="005A4CCA"/>
    <w:rsid w:val="005A5068"/>
    <w:rsid w:val="005A5CC8"/>
    <w:rsid w:val="005A62AF"/>
    <w:rsid w:val="005A6D01"/>
    <w:rsid w:val="005A70B9"/>
    <w:rsid w:val="005A7E55"/>
    <w:rsid w:val="005B0B1B"/>
    <w:rsid w:val="005B2659"/>
    <w:rsid w:val="005B2840"/>
    <w:rsid w:val="005B3015"/>
    <w:rsid w:val="005B43B2"/>
    <w:rsid w:val="005B4866"/>
    <w:rsid w:val="005B513F"/>
    <w:rsid w:val="005B546E"/>
    <w:rsid w:val="005B6471"/>
    <w:rsid w:val="005B7947"/>
    <w:rsid w:val="005C019F"/>
    <w:rsid w:val="005C0505"/>
    <w:rsid w:val="005C186A"/>
    <w:rsid w:val="005C23EB"/>
    <w:rsid w:val="005C2B9E"/>
    <w:rsid w:val="005C2E00"/>
    <w:rsid w:val="005C3D0F"/>
    <w:rsid w:val="005C4F94"/>
    <w:rsid w:val="005C55C0"/>
    <w:rsid w:val="005C7045"/>
    <w:rsid w:val="005D0B88"/>
    <w:rsid w:val="005D12B6"/>
    <w:rsid w:val="005D1502"/>
    <w:rsid w:val="005D1CE4"/>
    <w:rsid w:val="005D42E7"/>
    <w:rsid w:val="005D456C"/>
    <w:rsid w:val="005D4796"/>
    <w:rsid w:val="005D5AC7"/>
    <w:rsid w:val="005D5BFD"/>
    <w:rsid w:val="005D5C92"/>
    <w:rsid w:val="005D5D9C"/>
    <w:rsid w:val="005D6456"/>
    <w:rsid w:val="005D6E10"/>
    <w:rsid w:val="005D7F48"/>
    <w:rsid w:val="005E0B49"/>
    <w:rsid w:val="005E1154"/>
    <w:rsid w:val="005E1278"/>
    <w:rsid w:val="005E14FD"/>
    <w:rsid w:val="005E1BD5"/>
    <w:rsid w:val="005E27AD"/>
    <w:rsid w:val="005E4749"/>
    <w:rsid w:val="005E4ACB"/>
    <w:rsid w:val="005E4C28"/>
    <w:rsid w:val="005E4CAF"/>
    <w:rsid w:val="005E4E13"/>
    <w:rsid w:val="005E51D0"/>
    <w:rsid w:val="005E5297"/>
    <w:rsid w:val="005E55AB"/>
    <w:rsid w:val="005E5AE9"/>
    <w:rsid w:val="005E5B3E"/>
    <w:rsid w:val="005E698F"/>
    <w:rsid w:val="005E6E39"/>
    <w:rsid w:val="005E7B7F"/>
    <w:rsid w:val="005F2832"/>
    <w:rsid w:val="005F298E"/>
    <w:rsid w:val="005F3524"/>
    <w:rsid w:val="005F367A"/>
    <w:rsid w:val="005F3A6E"/>
    <w:rsid w:val="005F4C10"/>
    <w:rsid w:val="005F50A4"/>
    <w:rsid w:val="005F50CB"/>
    <w:rsid w:val="005F5259"/>
    <w:rsid w:val="005F62FD"/>
    <w:rsid w:val="005F7462"/>
    <w:rsid w:val="00600AF9"/>
    <w:rsid w:val="00601254"/>
    <w:rsid w:val="006013DC"/>
    <w:rsid w:val="0060148C"/>
    <w:rsid w:val="006029B9"/>
    <w:rsid w:val="00602FDA"/>
    <w:rsid w:val="00603372"/>
    <w:rsid w:val="00603795"/>
    <w:rsid w:val="00603859"/>
    <w:rsid w:val="00604C32"/>
    <w:rsid w:val="00606DF8"/>
    <w:rsid w:val="0060748E"/>
    <w:rsid w:val="0061011E"/>
    <w:rsid w:val="006112D5"/>
    <w:rsid w:val="00611409"/>
    <w:rsid w:val="00611CF1"/>
    <w:rsid w:val="00611F37"/>
    <w:rsid w:val="00612890"/>
    <w:rsid w:val="00612B26"/>
    <w:rsid w:val="00613255"/>
    <w:rsid w:val="00613325"/>
    <w:rsid w:val="0061345C"/>
    <w:rsid w:val="00613885"/>
    <w:rsid w:val="00614116"/>
    <w:rsid w:val="00614B80"/>
    <w:rsid w:val="00614FCB"/>
    <w:rsid w:val="006150C0"/>
    <w:rsid w:val="006171E0"/>
    <w:rsid w:val="006172ED"/>
    <w:rsid w:val="00617E81"/>
    <w:rsid w:val="00617F39"/>
    <w:rsid w:val="00620166"/>
    <w:rsid w:val="0062026C"/>
    <w:rsid w:val="006209D7"/>
    <w:rsid w:val="00620B6A"/>
    <w:rsid w:val="00620FA6"/>
    <w:rsid w:val="006213A0"/>
    <w:rsid w:val="00621482"/>
    <w:rsid w:val="006219A6"/>
    <w:rsid w:val="006221E7"/>
    <w:rsid w:val="00622613"/>
    <w:rsid w:val="00622C37"/>
    <w:rsid w:val="00622C91"/>
    <w:rsid w:val="0062310D"/>
    <w:rsid w:val="00623BF6"/>
    <w:rsid w:val="00623E5B"/>
    <w:rsid w:val="006245A5"/>
    <w:rsid w:val="0062649D"/>
    <w:rsid w:val="00626676"/>
    <w:rsid w:val="00630488"/>
    <w:rsid w:val="00630760"/>
    <w:rsid w:val="00630B67"/>
    <w:rsid w:val="00630BD5"/>
    <w:rsid w:val="00630FAF"/>
    <w:rsid w:val="006316DC"/>
    <w:rsid w:val="006316EF"/>
    <w:rsid w:val="00631965"/>
    <w:rsid w:val="00631B76"/>
    <w:rsid w:val="00631DA3"/>
    <w:rsid w:val="00631F30"/>
    <w:rsid w:val="0063278B"/>
    <w:rsid w:val="00632EE4"/>
    <w:rsid w:val="0063326E"/>
    <w:rsid w:val="006340AD"/>
    <w:rsid w:val="00634825"/>
    <w:rsid w:val="00635309"/>
    <w:rsid w:val="0063547D"/>
    <w:rsid w:val="006359F8"/>
    <w:rsid w:val="00636BD3"/>
    <w:rsid w:val="00637DDF"/>
    <w:rsid w:val="00640210"/>
    <w:rsid w:val="00640376"/>
    <w:rsid w:val="00640393"/>
    <w:rsid w:val="00640870"/>
    <w:rsid w:val="006416E4"/>
    <w:rsid w:val="00642CD6"/>
    <w:rsid w:val="00642D2F"/>
    <w:rsid w:val="006449A5"/>
    <w:rsid w:val="00644E0E"/>
    <w:rsid w:val="00645F9E"/>
    <w:rsid w:val="006461B6"/>
    <w:rsid w:val="006474E6"/>
    <w:rsid w:val="0064797D"/>
    <w:rsid w:val="00647FC7"/>
    <w:rsid w:val="006505EA"/>
    <w:rsid w:val="006509EC"/>
    <w:rsid w:val="00652C78"/>
    <w:rsid w:val="0065471F"/>
    <w:rsid w:val="00654A4B"/>
    <w:rsid w:val="00654E0E"/>
    <w:rsid w:val="00654E1A"/>
    <w:rsid w:val="006550AD"/>
    <w:rsid w:val="0065688B"/>
    <w:rsid w:val="00656C45"/>
    <w:rsid w:val="00657679"/>
    <w:rsid w:val="00657D98"/>
    <w:rsid w:val="00657FF6"/>
    <w:rsid w:val="00661DEF"/>
    <w:rsid w:val="006629AD"/>
    <w:rsid w:val="00662E8F"/>
    <w:rsid w:val="00663EB8"/>
    <w:rsid w:val="0066403D"/>
    <w:rsid w:val="0066431E"/>
    <w:rsid w:val="00665145"/>
    <w:rsid w:val="00666107"/>
    <w:rsid w:val="00666EEA"/>
    <w:rsid w:val="00667449"/>
    <w:rsid w:val="006677D0"/>
    <w:rsid w:val="006701AC"/>
    <w:rsid w:val="00672D47"/>
    <w:rsid w:val="0067372B"/>
    <w:rsid w:val="00673A02"/>
    <w:rsid w:val="00674455"/>
    <w:rsid w:val="006755F6"/>
    <w:rsid w:val="00675B51"/>
    <w:rsid w:val="00676713"/>
    <w:rsid w:val="00676914"/>
    <w:rsid w:val="00676986"/>
    <w:rsid w:val="00676C78"/>
    <w:rsid w:val="00676F56"/>
    <w:rsid w:val="00677128"/>
    <w:rsid w:val="006803C8"/>
    <w:rsid w:val="0068064F"/>
    <w:rsid w:val="006811C8"/>
    <w:rsid w:val="0068242C"/>
    <w:rsid w:val="006827FE"/>
    <w:rsid w:val="00682C85"/>
    <w:rsid w:val="00682F3B"/>
    <w:rsid w:val="00682FDA"/>
    <w:rsid w:val="00683666"/>
    <w:rsid w:val="00684DAC"/>
    <w:rsid w:val="0068545A"/>
    <w:rsid w:val="006857F9"/>
    <w:rsid w:val="006860CE"/>
    <w:rsid w:val="0068626E"/>
    <w:rsid w:val="00686347"/>
    <w:rsid w:val="00686E07"/>
    <w:rsid w:val="00687E77"/>
    <w:rsid w:val="0069085D"/>
    <w:rsid w:val="00690BB3"/>
    <w:rsid w:val="00692187"/>
    <w:rsid w:val="006921A3"/>
    <w:rsid w:val="00692D6A"/>
    <w:rsid w:val="0069353D"/>
    <w:rsid w:val="00693679"/>
    <w:rsid w:val="006937E1"/>
    <w:rsid w:val="00693898"/>
    <w:rsid w:val="00693933"/>
    <w:rsid w:val="00693B43"/>
    <w:rsid w:val="00693C9B"/>
    <w:rsid w:val="00693EB3"/>
    <w:rsid w:val="00694372"/>
    <w:rsid w:val="00694863"/>
    <w:rsid w:val="00695471"/>
    <w:rsid w:val="0069580E"/>
    <w:rsid w:val="00696038"/>
    <w:rsid w:val="006960D4"/>
    <w:rsid w:val="0069673A"/>
    <w:rsid w:val="0069721A"/>
    <w:rsid w:val="00697D05"/>
    <w:rsid w:val="00697FFC"/>
    <w:rsid w:val="006A209E"/>
    <w:rsid w:val="006A25AD"/>
    <w:rsid w:val="006A3B2A"/>
    <w:rsid w:val="006A3E53"/>
    <w:rsid w:val="006A4127"/>
    <w:rsid w:val="006A46E8"/>
    <w:rsid w:val="006A484B"/>
    <w:rsid w:val="006A4A07"/>
    <w:rsid w:val="006A50A2"/>
    <w:rsid w:val="006A5666"/>
    <w:rsid w:val="006A5AB6"/>
    <w:rsid w:val="006A5D65"/>
    <w:rsid w:val="006A6162"/>
    <w:rsid w:val="006A6298"/>
    <w:rsid w:val="006A66A2"/>
    <w:rsid w:val="006B0511"/>
    <w:rsid w:val="006B18D6"/>
    <w:rsid w:val="006B1C5C"/>
    <w:rsid w:val="006B2922"/>
    <w:rsid w:val="006B3045"/>
    <w:rsid w:val="006B4E58"/>
    <w:rsid w:val="006B4EB5"/>
    <w:rsid w:val="006B5B11"/>
    <w:rsid w:val="006B7AFF"/>
    <w:rsid w:val="006C0658"/>
    <w:rsid w:val="006C0B7A"/>
    <w:rsid w:val="006C0C1E"/>
    <w:rsid w:val="006C0D65"/>
    <w:rsid w:val="006C19C0"/>
    <w:rsid w:val="006C1B05"/>
    <w:rsid w:val="006C2C0A"/>
    <w:rsid w:val="006C2EA1"/>
    <w:rsid w:val="006C3101"/>
    <w:rsid w:val="006C3EA1"/>
    <w:rsid w:val="006C441E"/>
    <w:rsid w:val="006C4FF3"/>
    <w:rsid w:val="006C55D2"/>
    <w:rsid w:val="006C675B"/>
    <w:rsid w:val="006C77B0"/>
    <w:rsid w:val="006D05F3"/>
    <w:rsid w:val="006D0981"/>
    <w:rsid w:val="006D10B2"/>
    <w:rsid w:val="006D12E4"/>
    <w:rsid w:val="006D159D"/>
    <w:rsid w:val="006D1932"/>
    <w:rsid w:val="006D314F"/>
    <w:rsid w:val="006D3FDF"/>
    <w:rsid w:val="006D4915"/>
    <w:rsid w:val="006D4F3D"/>
    <w:rsid w:val="006D5521"/>
    <w:rsid w:val="006D5FA3"/>
    <w:rsid w:val="006D68ED"/>
    <w:rsid w:val="006D6924"/>
    <w:rsid w:val="006D6DE8"/>
    <w:rsid w:val="006D7424"/>
    <w:rsid w:val="006D7CDE"/>
    <w:rsid w:val="006E0374"/>
    <w:rsid w:val="006E0938"/>
    <w:rsid w:val="006E0D25"/>
    <w:rsid w:val="006E127F"/>
    <w:rsid w:val="006E17D3"/>
    <w:rsid w:val="006E2E1A"/>
    <w:rsid w:val="006E305C"/>
    <w:rsid w:val="006E4CD3"/>
    <w:rsid w:val="006E4F4A"/>
    <w:rsid w:val="006E57B8"/>
    <w:rsid w:val="006E684F"/>
    <w:rsid w:val="006E7184"/>
    <w:rsid w:val="006E7B41"/>
    <w:rsid w:val="006E7BEE"/>
    <w:rsid w:val="006E7C8D"/>
    <w:rsid w:val="006F186A"/>
    <w:rsid w:val="006F2543"/>
    <w:rsid w:val="006F323C"/>
    <w:rsid w:val="006F3B5B"/>
    <w:rsid w:val="006F4003"/>
    <w:rsid w:val="006F41B5"/>
    <w:rsid w:val="006F439D"/>
    <w:rsid w:val="006F46A2"/>
    <w:rsid w:val="006F5563"/>
    <w:rsid w:val="006F6923"/>
    <w:rsid w:val="006F712B"/>
    <w:rsid w:val="006F75D9"/>
    <w:rsid w:val="007002C9"/>
    <w:rsid w:val="00702E81"/>
    <w:rsid w:val="007030E4"/>
    <w:rsid w:val="007037EE"/>
    <w:rsid w:val="007039B2"/>
    <w:rsid w:val="00703B48"/>
    <w:rsid w:val="00703C50"/>
    <w:rsid w:val="00703E04"/>
    <w:rsid w:val="007044A4"/>
    <w:rsid w:val="00705C79"/>
    <w:rsid w:val="007066D7"/>
    <w:rsid w:val="007068F1"/>
    <w:rsid w:val="00706B1C"/>
    <w:rsid w:val="0070748B"/>
    <w:rsid w:val="00707CE2"/>
    <w:rsid w:val="00711741"/>
    <w:rsid w:val="00712C07"/>
    <w:rsid w:val="0071347B"/>
    <w:rsid w:val="007134CC"/>
    <w:rsid w:val="007144C2"/>
    <w:rsid w:val="0071457E"/>
    <w:rsid w:val="00714AB7"/>
    <w:rsid w:val="00715075"/>
    <w:rsid w:val="00715199"/>
    <w:rsid w:val="007155E2"/>
    <w:rsid w:val="00715854"/>
    <w:rsid w:val="007159E0"/>
    <w:rsid w:val="00716AAC"/>
    <w:rsid w:val="00716B1E"/>
    <w:rsid w:val="00716F19"/>
    <w:rsid w:val="0071721A"/>
    <w:rsid w:val="00720E70"/>
    <w:rsid w:val="00720EE1"/>
    <w:rsid w:val="00722449"/>
    <w:rsid w:val="00722B58"/>
    <w:rsid w:val="00723150"/>
    <w:rsid w:val="00723221"/>
    <w:rsid w:val="00723652"/>
    <w:rsid w:val="00723DDA"/>
    <w:rsid w:val="00725BDA"/>
    <w:rsid w:val="007265D3"/>
    <w:rsid w:val="007267A8"/>
    <w:rsid w:val="00726B44"/>
    <w:rsid w:val="007270FF"/>
    <w:rsid w:val="00731713"/>
    <w:rsid w:val="00731B69"/>
    <w:rsid w:val="00732159"/>
    <w:rsid w:val="007329FB"/>
    <w:rsid w:val="00732B95"/>
    <w:rsid w:val="00732F94"/>
    <w:rsid w:val="00733493"/>
    <w:rsid w:val="00734C3B"/>
    <w:rsid w:val="00734C7D"/>
    <w:rsid w:val="00736D46"/>
    <w:rsid w:val="00736DBE"/>
    <w:rsid w:val="00736DD4"/>
    <w:rsid w:val="00737251"/>
    <w:rsid w:val="00740567"/>
    <w:rsid w:val="00741096"/>
    <w:rsid w:val="00741438"/>
    <w:rsid w:val="0074190D"/>
    <w:rsid w:val="00741C9C"/>
    <w:rsid w:val="0074339A"/>
    <w:rsid w:val="00743954"/>
    <w:rsid w:val="00743A28"/>
    <w:rsid w:val="00743D51"/>
    <w:rsid w:val="00743DAB"/>
    <w:rsid w:val="00744128"/>
    <w:rsid w:val="007442B7"/>
    <w:rsid w:val="007446EE"/>
    <w:rsid w:val="007451A6"/>
    <w:rsid w:val="00745333"/>
    <w:rsid w:val="00745363"/>
    <w:rsid w:val="007466DF"/>
    <w:rsid w:val="0074679B"/>
    <w:rsid w:val="00746B9D"/>
    <w:rsid w:val="00746C01"/>
    <w:rsid w:val="007470F7"/>
    <w:rsid w:val="0074719C"/>
    <w:rsid w:val="00747489"/>
    <w:rsid w:val="00747E71"/>
    <w:rsid w:val="0075011B"/>
    <w:rsid w:val="00750185"/>
    <w:rsid w:val="00751552"/>
    <w:rsid w:val="00751B9F"/>
    <w:rsid w:val="007521AB"/>
    <w:rsid w:val="007525CF"/>
    <w:rsid w:val="00752708"/>
    <w:rsid w:val="00752783"/>
    <w:rsid w:val="00752788"/>
    <w:rsid w:val="00753197"/>
    <w:rsid w:val="007532BF"/>
    <w:rsid w:val="0075342C"/>
    <w:rsid w:val="007534CA"/>
    <w:rsid w:val="00753627"/>
    <w:rsid w:val="00753A31"/>
    <w:rsid w:val="00754345"/>
    <w:rsid w:val="007543AC"/>
    <w:rsid w:val="00755099"/>
    <w:rsid w:val="00755C6B"/>
    <w:rsid w:val="007561EC"/>
    <w:rsid w:val="00756412"/>
    <w:rsid w:val="00756BE5"/>
    <w:rsid w:val="007576FA"/>
    <w:rsid w:val="00757F94"/>
    <w:rsid w:val="007608D0"/>
    <w:rsid w:val="00760C0E"/>
    <w:rsid w:val="007622A7"/>
    <w:rsid w:val="00762A56"/>
    <w:rsid w:val="00762B62"/>
    <w:rsid w:val="007642DA"/>
    <w:rsid w:val="0076439C"/>
    <w:rsid w:val="00765380"/>
    <w:rsid w:val="00767014"/>
    <w:rsid w:val="00767D84"/>
    <w:rsid w:val="00770EE4"/>
    <w:rsid w:val="007711B4"/>
    <w:rsid w:val="0077325C"/>
    <w:rsid w:val="007739D0"/>
    <w:rsid w:val="00775005"/>
    <w:rsid w:val="0077623E"/>
    <w:rsid w:val="007767B2"/>
    <w:rsid w:val="00776BF1"/>
    <w:rsid w:val="00777886"/>
    <w:rsid w:val="00777904"/>
    <w:rsid w:val="00780057"/>
    <w:rsid w:val="00780F9B"/>
    <w:rsid w:val="007810D9"/>
    <w:rsid w:val="0078113A"/>
    <w:rsid w:val="00781ABC"/>
    <w:rsid w:val="00782143"/>
    <w:rsid w:val="00782CA4"/>
    <w:rsid w:val="00782D26"/>
    <w:rsid w:val="00782EAA"/>
    <w:rsid w:val="007834E0"/>
    <w:rsid w:val="00785CA0"/>
    <w:rsid w:val="007878A3"/>
    <w:rsid w:val="007879A9"/>
    <w:rsid w:val="00787E51"/>
    <w:rsid w:val="00790820"/>
    <w:rsid w:val="00790901"/>
    <w:rsid w:val="00790D4E"/>
    <w:rsid w:val="00791146"/>
    <w:rsid w:val="00791645"/>
    <w:rsid w:val="00792166"/>
    <w:rsid w:val="00792C1C"/>
    <w:rsid w:val="00792CDF"/>
    <w:rsid w:val="00792F37"/>
    <w:rsid w:val="0079303B"/>
    <w:rsid w:val="0079391D"/>
    <w:rsid w:val="007939FD"/>
    <w:rsid w:val="00793B55"/>
    <w:rsid w:val="00793F25"/>
    <w:rsid w:val="0079432E"/>
    <w:rsid w:val="00794847"/>
    <w:rsid w:val="00794BBF"/>
    <w:rsid w:val="007951F5"/>
    <w:rsid w:val="00795484"/>
    <w:rsid w:val="00795E6B"/>
    <w:rsid w:val="00796FB9"/>
    <w:rsid w:val="00797189"/>
    <w:rsid w:val="007A0336"/>
    <w:rsid w:val="007A097D"/>
    <w:rsid w:val="007A0FA6"/>
    <w:rsid w:val="007A1E55"/>
    <w:rsid w:val="007A2C2A"/>
    <w:rsid w:val="007A3229"/>
    <w:rsid w:val="007A448D"/>
    <w:rsid w:val="007A4E66"/>
    <w:rsid w:val="007A506F"/>
    <w:rsid w:val="007A5488"/>
    <w:rsid w:val="007A56DA"/>
    <w:rsid w:val="007A57AC"/>
    <w:rsid w:val="007A63ED"/>
    <w:rsid w:val="007A68BE"/>
    <w:rsid w:val="007B0159"/>
    <w:rsid w:val="007B125A"/>
    <w:rsid w:val="007B171E"/>
    <w:rsid w:val="007B1F99"/>
    <w:rsid w:val="007B23B6"/>
    <w:rsid w:val="007B2B1B"/>
    <w:rsid w:val="007B32E3"/>
    <w:rsid w:val="007B4408"/>
    <w:rsid w:val="007B4B0B"/>
    <w:rsid w:val="007B55AF"/>
    <w:rsid w:val="007B61C8"/>
    <w:rsid w:val="007B61E8"/>
    <w:rsid w:val="007B626F"/>
    <w:rsid w:val="007B6E12"/>
    <w:rsid w:val="007B6E9C"/>
    <w:rsid w:val="007B72BE"/>
    <w:rsid w:val="007C016B"/>
    <w:rsid w:val="007C0A4E"/>
    <w:rsid w:val="007C0F5B"/>
    <w:rsid w:val="007C1BB3"/>
    <w:rsid w:val="007C2AE6"/>
    <w:rsid w:val="007C434C"/>
    <w:rsid w:val="007C4904"/>
    <w:rsid w:val="007C4A97"/>
    <w:rsid w:val="007C503C"/>
    <w:rsid w:val="007C51FC"/>
    <w:rsid w:val="007C5397"/>
    <w:rsid w:val="007C541D"/>
    <w:rsid w:val="007C5A68"/>
    <w:rsid w:val="007C7003"/>
    <w:rsid w:val="007C71AD"/>
    <w:rsid w:val="007C774D"/>
    <w:rsid w:val="007C7B41"/>
    <w:rsid w:val="007D04F6"/>
    <w:rsid w:val="007D055A"/>
    <w:rsid w:val="007D1266"/>
    <w:rsid w:val="007D2168"/>
    <w:rsid w:val="007D219A"/>
    <w:rsid w:val="007D25DC"/>
    <w:rsid w:val="007D40E6"/>
    <w:rsid w:val="007D43F4"/>
    <w:rsid w:val="007D46BC"/>
    <w:rsid w:val="007D50DB"/>
    <w:rsid w:val="007D54AD"/>
    <w:rsid w:val="007D5E34"/>
    <w:rsid w:val="007D6462"/>
    <w:rsid w:val="007D6A46"/>
    <w:rsid w:val="007D73D3"/>
    <w:rsid w:val="007D7737"/>
    <w:rsid w:val="007E0617"/>
    <w:rsid w:val="007E0865"/>
    <w:rsid w:val="007E0D63"/>
    <w:rsid w:val="007E189C"/>
    <w:rsid w:val="007E2510"/>
    <w:rsid w:val="007E252C"/>
    <w:rsid w:val="007E3B98"/>
    <w:rsid w:val="007E43A1"/>
    <w:rsid w:val="007E4682"/>
    <w:rsid w:val="007E55A9"/>
    <w:rsid w:val="007E56D3"/>
    <w:rsid w:val="007E5D97"/>
    <w:rsid w:val="007E61B6"/>
    <w:rsid w:val="007E6FA6"/>
    <w:rsid w:val="007E7428"/>
    <w:rsid w:val="007E74E8"/>
    <w:rsid w:val="007E78A6"/>
    <w:rsid w:val="007E7E72"/>
    <w:rsid w:val="007F11ED"/>
    <w:rsid w:val="007F1ADB"/>
    <w:rsid w:val="007F1CF8"/>
    <w:rsid w:val="007F25DA"/>
    <w:rsid w:val="007F2C2F"/>
    <w:rsid w:val="007F2DE9"/>
    <w:rsid w:val="007F3EE4"/>
    <w:rsid w:val="007F3F8F"/>
    <w:rsid w:val="007F579A"/>
    <w:rsid w:val="007F5B59"/>
    <w:rsid w:val="007F5F70"/>
    <w:rsid w:val="007F660E"/>
    <w:rsid w:val="007F67F4"/>
    <w:rsid w:val="007F6845"/>
    <w:rsid w:val="007F6A2C"/>
    <w:rsid w:val="007F7FCA"/>
    <w:rsid w:val="008008B8"/>
    <w:rsid w:val="008013F8"/>
    <w:rsid w:val="00801486"/>
    <w:rsid w:val="00802396"/>
    <w:rsid w:val="00802F26"/>
    <w:rsid w:val="008041B0"/>
    <w:rsid w:val="0080465D"/>
    <w:rsid w:val="008046EA"/>
    <w:rsid w:val="00804E33"/>
    <w:rsid w:val="008057CB"/>
    <w:rsid w:val="008058A0"/>
    <w:rsid w:val="00807A16"/>
    <w:rsid w:val="00807EA1"/>
    <w:rsid w:val="00807FAC"/>
    <w:rsid w:val="00810095"/>
    <w:rsid w:val="0081094C"/>
    <w:rsid w:val="00810D2A"/>
    <w:rsid w:val="00810F8F"/>
    <w:rsid w:val="00811FF2"/>
    <w:rsid w:val="00812E36"/>
    <w:rsid w:val="008134C0"/>
    <w:rsid w:val="00813D3A"/>
    <w:rsid w:val="00814CD6"/>
    <w:rsid w:val="0081533E"/>
    <w:rsid w:val="00815D74"/>
    <w:rsid w:val="0081620E"/>
    <w:rsid w:val="008167C9"/>
    <w:rsid w:val="00816A67"/>
    <w:rsid w:val="00816CD4"/>
    <w:rsid w:val="00820DC9"/>
    <w:rsid w:val="00823E30"/>
    <w:rsid w:val="00824085"/>
    <w:rsid w:val="008244E4"/>
    <w:rsid w:val="0082488A"/>
    <w:rsid w:val="00824A6E"/>
    <w:rsid w:val="0082510C"/>
    <w:rsid w:val="00827736"/>
    <w:rsid w:val="00827E21"/>
    <w:rsid w:val="00827E3D"/>
    <w:rsid w:val="008317CD"/>
    <w:rsid w:val="00832191"/>
    <w:rsid w:val="00832237"/>
    <w:rsid w:val="00833BA2"/>
    <w:rsid w:val="00834203"/>
    <w:rsid w:val="008343A3"/>
    <w:rsid w:val="00834709"/>
    <w:rsid w:val="00834AF3"/>
    <w:rsid w:val="00834CEA"/>
    <w:rsid w:val="00835077"/>
    <w:rsid w:val="008355F5"/>
    <w:rsid w:val="0083628C"/>
    <w:rsid w:val="0083739A"/>
    <w:rsid w:val="00837F36"/>
    <w:rsid w:val="008406B8"/>
    <w:rsid w:val="00840F58"/>
    <w:rsid w:val="00841FEA"/>
    <w:rsid w:val="00842556"/>
    <w:rsid w:val="00842739"/>
    <w:rsid w:val="00844071"/>
    <w:rsid w:val="00844480"/>
    <w:rsid w:val="00844FB7"/>
    <w:rsid w:val="0084503E"/>
    <w:rsid w:val="008455D9"/>
    <w:rsid w:val="008459C8"/>
    <w:rsid w:val="00845A46"/>
    <w:rsid w:val="00846F39"/>
    <w:rsid w:val="0084759D"/>
    <w:rsid w:val="00847C77"/>
    <w:rsid w:val="0085015E"/>
    <w:rsid w:val="00850406"/>
    <w:rsid w:val="00850B1E"/>
    <w:rsid w:val="00850C08"/>
    <w:rsid w:val="00851B77"/>
    <w:rsid w:val="00853866"/>
    <w:rsid w:val="00853AE1"/>
    <w:rsid w:val="00853F22"/>
    <w:rsid w:val="008546A4"/>
    <w:rsid w:val="008567DF"/>
    <w:rsid w:val="00857B98"/>
    <w:rsid w:val="00857D69"/>
    <w:rsid w:val="008601A9"/>
    <w:rsid w:val="00861543"/>
    <w:rsid w:val="008620E2"/>
    <w:rsid w:val="0086215C"/>
    <w:rsid w:val="008626E9"/>
    <w:rsid w:val="00863121"/>
    <w:rsid w:val="0086317D"/>
    <w:rsid w:val="008640C6"/>
    <w:rsid w:val="00864BF9"/>
    <w:rsid w:val="008670DC"/>
    <w:rsid w:val="00867E82"/>
    <w:rsid w:val="008702B3"/>
    <w:rsid w:val="00870BA8"/>
    <w:rsid w:val="00870E77"/>
    <w:rsid w:val="00871EB3"/>
    <w:rsid w:val="00872095"/>
    <w:rsid w:val="00872716"/>
    <w:rsid w:val="00872AED"/>
    <w:rsid w:val="00873310"/>
    <w:rsid w:val="00873B71"/>
    <w:rsid w:val="00874C97"/>
    <w:rsid w:val="0087535F"/>
    <w:rsid w:val="008758A0"/>
    <w:rsid w:val="0087601A"/>
    <w:rsid w:val="00877C39"/>
    <w:rsid w:val="008804F0"/>
    <w:rsid w:val="008805D7"/>
    <w:rsid w:val="008821A7"/>
    <w:rsid w:val="00882A92"/>
    <w:rsid w:val="00882AD9"/>
    <w:rsid w:val="00882B94"/>
    <w:rsid w:val="00883953"/>
    <w:rsid w:val="00884709"/>
    <w:rsid w:val="0088500F"/>
    <w:rsid w:val="00885A82"/>
    <w:rsid w:val="0088601A"/>
    <w:rsid w:val="00886282"/>
    <w:rsid w:val="00886413"/>
    <w:rsid w:val="0088642F"/>
    <w:rsid w:val="00887698"/>
    <w:rsid w:val="0089031E"/>
    <w:rsid w:val="00890C48"/>
    <w:rsid w:val="00890C95"/>
    <w:rsid w:val="0089130F"/>
    <w:rsid w:val="00891443"/>
    <w:rsid w:val="008915D8"/>
    <w:rsid w:val="0089166B"/>
    <w:rsid w:val="00891BE4"/>
    <w:rsid w:val="00892791"/>
    <w:rsid w:val="00892D8C"/>
    <w:rsid w:val="008934C3"/>
    <w:rsid w:val="008935C7"/>
    <w:rsid w:val="00893BC9"/>
    <w:rsid w:val="00893E98"/>
    <w:rsid w:val="00895307"/>
    <w:rsid w:val="0089576E"/>
    <w:rsid w:val="00895E4C"/>
    <w:rsid w:val="00896001"/>
    <w:rsid w:val="008969F5"/>
    <w:rsid w:val="00896D51"/>
    <w:rsid w:val="00897108"/>
    <w:rsid w:val="008971F8"/>
    <w:rsid w:val="00897C0B"/>
    <w:rsid w:val="008A0278"/>
    <w:rsid w:val="008A0FEC"/>
    <w:rsid w:val="008A183D"/>
    <w:rsid w:val="008A2396"/>
    <w:rsid w:val="008A2918"/>
    <w:rsid w:val="008A36C1"/>
    <w:rsid w:val="008A3B56"/>
    <w:rsid w:val="008A4E4D"/>
    <w:rsid w:val="008A5F55"/>
    <w:rsid w:val="008A6523"/>
    <w:rsid w:val="008A6972"/>
    <w:rsid w:val="008A6A44"/>
    <w:rsid w:val="008A6A64"/>
    <w:rsid w:val="008A6B44"/>
    <w:rsid w:val="008B0F69"/>
    <w:rsid w:val="008B1755"/>
    <w:rsid w:val="008B1894"/>
    <w:rsid w:val="008B2056"/>
    <w:rsid w:val="008B3E99"/>
    <w:rsid w:val="008B417E"/>
    <w:rsid w:val="008B46E1"/>
    <w:rsid w:val="008B47E6"/>
    <w:rsid w:val="008B4E39"/>
    <w:rsid w:val="008B614F"/>
    <w:rsid w:val="008B6765"/>
    <w:rsid w:val="008B7D93"/>
    <w:rsid w:val="008B7F43"/>
    <w:rsid w:val="008C27B0"/>
    <w:rsid w:val="008C3DE6"/>
    <w:rsid w:val="008C429F"/>
    <w:rsid w:val="008C437D"/>
    <w:rsid w:val="008C45B0"/>
    <w:rsid w:val="008C4986"/>
    <w:rsid w:val="008C4EF5"/>
    <w:rsid w:val="008C703C"/>
    <w:rsid w:val="008C70F0"/>
    <w:rsid w:val="008D06ED"/>
    <w:rsid w:val="008D0876"/>
    <w:rsid w:val="008D164C"/>
    <w:rsid w:val="008D2C81"/>
    <w:rsid w:val="008D5A1A"/>
    <w:rsid w:val="008D661F"/>
    <w:rsid w:val="008D7128"/>
    <w:rsid w:val="008D73E9"/>
    <w:rsid w:val="008D747D"/>
    <w:rsid w:val="008E04FE"/>
    <w:rsid w:val="008E0595"/>
    <w:rsid w:val="008E0A26"/>
    <w:rsid w:val="008E1D95"/>
    <w:rsid w:val="008E1F9E"/>
    <w:rsid w:val="008E2507"/>
    <w:rsid w:val="008E2C58"/>
    <w:rsid w:val="008E2CCF"/>
    <w:rsid w:val="008E2FE5"/>
    <w:rsid w:val="008E3D6D"/>
    <w:rsid w:val="008E412E"/>
    <w:rsid w:val="008E495E"/>
    <w:rsid w:val="008E4CF7"/>
    <w:rsid w:val="008E534B"/>
    <w:rsid w:val="008E5429"/>
    <w:rsid w:val="008E5A2A"/>
    <w:rsid w:val="008E7498"/>
    <w:rsid w:val="008E75F5"/>
    <w:rsid w:val="008E761D"/>
    <w:rsid w:val="008E7C6E"/>
    <w:rsid w:val="008E7D67"/>
    <w:rsid w:val="008F02CA"/>
    <w:rsid w:val="008F0C10"/>
    <w:rsid w:val="008F0F34"/>
    <w:rsid w:val="008F18EB"/>
    <w:rsid w:val="008F23DA"/>
    <w:rsid w:val="008F2CB8"/>
    <w:rsid w:val="008F317A"/>
    <w:rsid w:val="008F361C"/>
    <w:rsid w:val="008F4615"/>
    <w:rsid w:val="008F4ECF"/>
    <w:rsid w:val="008F4F3F"/>
    <w:rsid w:val="008F506C"/>
    <w:rsid w:val="008F5415"/>
    <w:rsid w:val="008F5D64"/>
    <w:rsid w:val="008F5F77"/>
    <w:rsid w:val="008F7732"/>
    <w:rsid w:val="00901736"/>
    <w:rsid w:val="00901B8C"/>
    <w:rsid w:val="00902185"/>
    <w:rsid w:val="00902BD6"/>
    <w:rsid w:val="00902C32"/>
    <w:rsid w:val="009032BE"/>
    <w:rsid w:val="00903FCD"/>
    <w:rsid w:val="009043D3"/>
    <w:rsid w:val="0090500A"/>
    <w:rsid w:val="009050C1"/>
    <w:rsid w:val="0090692E"/>
    <w:rsid w:val="0090715A"/>
    <w:rsid w:val="009076C7"/>
    <w:rsid w:val="00910036"/>
    <w:rsid w:val="00910D50"/>
    <w:rsid w:val="00911250"/>
    <w:rsid w:val="00911B29"/>
    <w:rsid w:val="00913D6B"/>
    <w:rsid w:val="00914910"/>
    <w:rsid w:val="00914D62"/>
    <w:rsid w:val="00914EB3"/>
    <w:rsid w:val="00915E2A"/>
    <w:rsid w:val="00915E7B"/>
    <w:rsid w:val="0091658B"/>
    <w:rsid w:val="009166F1"/>
    <w:rsid w:val="00916A17"/>
    <w:rsid w:val="00917A34"/>
    <w:rsid w:val="00917C2F"/>
    <w:rsid w:val="00917EE1"/>
    <w:rsid w:val="009208BA"/>
    <w:rsid w:val="00920932"/>
    <w:rsid w:val="009216C4"/>
    <w:rsid w:val="00921BD6"/>
    <w:rsid w:val="00921E20"/>
    <w:rsid w:val="00922424"/>
    <w:rsid w:val="00922A21"/>
    <w:rsid w:val="00922FAC"/>
    <w:rsid w:val="00923562"/>
    <w:rsid w:val="0092383F"/>
    <w:rsid w:val="009249B0"/>
    <w:rsid w:val="00925604"/>
    <w:rsid w:val="0092592C"/>
    <w:rsid w:val="0092603E"/>
    <w:rsid w:val="00926663"/>
    <w:rsid w:val="00926CD3"/>
    <w:rsid w:val="00927007"/>
    <w:rsid w:val="00927B6C"/>
    <w:rsid w:val="00930024"/>
    <w:rsid w:val="009315B3"/>
    <w:rsid w:val="00931998"/>
    <w:rsid w:val="00932A4F"/>
    <w:rsid w:val="00932D97"/>
    <w:rsid w:val="00932FA8"/>
    <w:rsid w:val="009346F2"/>
    <w:rsid w:val="00934BDE"/>
    <w:rsid w:val="009351F9"/>
    <w:rsid w:val="009369EC"/>
    <w:rsid w:val="00937ACE"/>
    <w:rsid w:val="0094038D"/>
    <w:rsid w:val="00940856"/>
    <w:rsid w:val="009409BD"/>
    <w:rsid w:val="00940A37"/>
    <w:rsid w:val="009414CE"/>
    <w:rsid w:val="009429DD"/>
    <w:rsid w:val="0094353D"/>
    <w:rsid w:val="00943EA8"/>
    <w:rsid w:val="00944234"/>
    <w:rsid w:val="00944B10"/>
    <w:rsid w:val="00945450"/>
    <w:rsid w:val="009457C7"/>
    <w:rsid w:val="00945D15"/>
    <w:rsid w:val="00945F6E"/>
    <w:rsid w:val="00946A6C"/>
    <w:rsid w:val="00946EE2"/>
    <w:rsid w:val="00951525"/>
    <w:rsid w:val="009515C2"/>
    <w:rsid w:val="00952158"/>
    <w:rsid w:val="00952363"/>
    <w:rsid w:val="00952DC7"/>
    <w:rsid w:val="00952ED7"/>
    <w:rsid w:val="009539EE"/>
    <w:rsid w:val="00953BC5"/>
    <w:rsid w:val="00954268"/>
    <w:rsid w:val="00954D2D"/>
    <w:rsid w:val="00954E3C"/>
    <w:rsid w:val="0095550A"/>
    <w:rsid w:val="00955AE3"/>
    <w:rsid w:val="00955D28"/>
    <w:rsid w:val="009562CF"/>
    <w:rsid w:val="00956CDE"/>
    <w:rsid w:val="00956EDE"/>
    <w:rsid w:val="00957E6C"/>
    <w:rsid w:val="00960BD3"/>
    <w:rsid w:val="00961D70"/>
    <w:rsid w:val="009621FB"/>
    <w:rsid w:val="00962912"/>
    <w:rsid w:val="00962CEC"/>
    <w:rsid w:val="00962EBA"/>
    <w:rsid w:val="0096311B"/>
    <w:rsid w:val="0096361A"/>
    <w:rsid w:val="00963A37"/>
    <w:rsid w:val="00964224"/>
    <w:rsid w:val="009642D5"/>
    <w:rsid w:val="009650C9"/>
    <w:rsid w:val="00965609"/>
    <w:rsid w:val="00965F3B"/>
    <w:rsid w:val="00967316"/>
    <w:rsid w:val="009673FC"/>
    <w:rsid w:val="00967848"/>
    <w:rsid w:val="00970B4B"/>
    <w:rsid w:val="009710DD"/>
    <w:rsid w:val="009722B7"/>
    <w:rsid w:val="009726EC"/>
    <w:rsid w:val="009729DF"/>
    <w:rsid w:val="00972A9A"/>
    <w:rsid w:val="00972B5E"/>
    <w:rsid w:val="00972B92"/>
    <w:rsid w:val="009732F2"/>
    <w:rsid w:val="00973598"/>
    <w:rsid w:val="00974552"/>
    <w:rsid w:val="0097469E"/>
    <w:rsid w:val="009747F6"/>
    <w:rsid w:val="00974CD4"/>
    <w:rsid w:val="00975974"/>
    <w:rsid w:val="00976DC1"/>
    <w:rsid w:val="00976F02"/>
    <w:rsid w:val="00976F9D"/>
    <w:rsid w:val="00977012"/>
    <w:rsid w:val="009770B3"/>
    <w:rsid w:val="009773BD"/>
    <w:rsid w:val="00977529"/>
    <w:rsid w:val="009775E6"/>
    <w:rsid w:val="0098057E"/>
    <w:rsid w:val="009807C5"/>
    <w:rsid w:val="009808BD"/>
    <w:rsid w:val="009826DF"/>
    <w:rsid w:val="00983001"/>
    <w:rsid w:val="00983C25"/>
    <w:rsid w:val="00984355"/>
    <w:rsid w:val="00984A0C"/>
    <w:rsid w:val="00985D80"/>
    <w:rsid w:val="009862E7"/>
    <w:rsid w:val="009863DF"/>
    <w:rsid w:val="00986460"/>
    <w:rsid w:val="009870A9"/>
    <w:rsid w:val="009872B4"/>
    <w:rsid w:val="00987C92"/>
    <w:rsid w:val="00987F3A"/>
    <w:rsid w:val="00990392"/>
    <w:rsid w:val="0099107D"/>
    <w:rsid w:val="00991968"/>
    <w:rsid w:val="00992FA5"/>
    <w:rsid w:val="00993985"/>
    <w:rsid w:val="009943BB"/>
    <w:rsid w:val="00994739"/>
    <w:rsid w:val="00994FF8"/>
    <w:rsid w:val="00995411"/>
    <w:rsid w:val="00996861"/>
    <w:rsid w:val="00997491"/>
    <w:rsid w:val="00997BB3"/>
    <w:rsid w:val="009A02A9"/>
    <w:rsid w:val="009A04E5"/>
    <w:rsid w:val="009A0857"/>
    <w:rsid w:val="009A0C35"/>
    <w:rsid w:val="009A16CA"/>
    <w:rsid w:val="009A1AF9"/>
    <w:rsid w:val="009A1D4B"/>
    <w:rsid w:val="009A1DB4"/>
    <w:rsid w:val="009A2551"/>
    <w:rsid w:val="009A2BDE"/>
    <w:rsid w:val="009A2EA0"/>
    <w:rsid w:val="009A301C"/>
    <w:rsid w:val="009A3454"/>
    <w:rsid w:val="009A3624"/>
    <w:rsid w:val="009A3B83"/>
    <w:rsid w:val="009A436C"/>
    <w:rsid w:val="009A4581"/>
    <w:rsid w:val="009A4E56"/>
    <w:rsid w:val="009A4F49"/>
    <w:rsid w:val="009A50B9"/>
    <w:rsid w:val="009A562D"/>
    <w:rsid w:val="009A5E1F"/>
    <w:rsid w:val="009A6040"/>
    <w:rsid w:val="009A6360"/>
    <w:rsid w:val="009A6591"/>
    <w:rsid w:val="009A6DA0"/>
    <w:rsid w:val="009A76E7"/>
    <w:rsid w:val="009B050A"/>
    <w:rsid w:val="009B0760"/>
    <w:rsid w:val="009B1709"/>
    <w:rsid w:val="009B2785"/>
    <w:rsid w:val="009B597B"/>
    <w:rsid w:val="009B669D"/>
    <w:rsid w:val="009B67C1"/>
    <w:rsid w:val="009B6B39"/>
    <w:rsid w:val="009C0089"/>
    <w:rsid w:val="009C13FE"/>
    <w:rsid w:val="009C185F"/>
    <w:rsid w:val="009C2833"/>
    <w:rsid w:val="009C4E7D"/>
    <w:rsid w:val="009C5D39"/>
    <w:rsid w:val="009C5D52"/>
    <w:rsid w:val="009C614B"/>
    <w:rsid w:val="009C6564"/>
    <w:rsid w:val="009C65EC"/>
    <w:rsid w:val="009C6B70"/>
    <w:rsid w:val="009C6F1C"/>
    <w:rsid w:val="009C7E1D"/>
    <w:rsid w:val="009C7F70"/>
    <w:rsid w:val="009D04EE"/>
    <w:rsid w:val="009D0AB4"/>
    <w:rsid w:val="009D124E"/>
    <w:rsid w:val="009D141D"/>
    <w:rsid w:val="009D17B6"/>
    <w:rsid w:val="009D1EF4"/>
    <w:rsid w:val="009D26EC"/>
    <w:rsid w:val="009D2BC0"/>
    <w:rsid w:val="009D2FEE"/>
    <w:rsid w:val="009D32AF"/>
    <w:rsid w:val="009D3447"/>
    <w:rsid w:val="009D3679"/>
    <w:rsid w:val="009D3F70"/>
    <w:rsid w:val="009D43F3"/>
    <w:rsid w:val="009D4FD5"/>
    <w:rsid w:val="009D6493"/>
    <w:rsid w:val="009D69DF"/>
    <w:rsid w:val="009D6DC7"/>
    <w:rsid w:val="009D78F9"/>
    <w:rsid w:val="009E0877"/>
    <w:rsid w:val="009E0E58"/>
    <w:rsid w:val="009E0F90"/>
    <w:rsid w:val="009E111B"/>
    <w:rsid w:val="009E1188"/>
    <w:rsid w:val="009E11A4"/>
    <w:rsid w:val="009E19B7"/>
    <w:rsid w:val="009E205C"/>
    <w:rsid w:val="009E36AA"/>
    <w:rsid w:val="009E37AC"/>
    <w:rsid w:val="009E3BDD"/>
    <w:rsid w:val="009E3C68"/>
    <w:rsid w:val="009E429A"/>
    <w:rsid w:val="009E48AE"/>
    <w:rsid w:val="009E5131"/>
    <w:rsid w:val="009E55C5"/>
    <w:rsid w:val="009E6526"/>
    <w:rsid w:val="009E6CDC"/>
    <w:rsid w:val="009F0448"/>
    <w:rsid w:val="009F0EC7"/>
    <w:rsid w:val="009F12A5"/>
    <w:rsid w:val="009F1358"/>
    <w:rsid w:val="009F16AE"/>
    <w:rsid w:val="009F48A3"/>
    <w:rsid w:val="009F4DA1"/>
    <w:rsid w:val="009F55D8"/>
    <w:rsid w:val="009F68A3"/>
    <w:rsid w:val="009F6B70"/>
    <w:rsid w:val="009F701F"/>
    <w:rsid w:val="009F7577"/>
    <w:rsid w:val="00A00200"/>
    <w:rsid w:val="00A005E3"/>
    <w:rsid w:val="00A01168"/>
    <w:rsid w:val="00A0147C"/>
    <w:rsid w:val="00A017ED"/>
    <w:rsid w:val="00A02A63"/>
    <w:rsid w:val="00A02B8E"/>
    <w:rsid w:val="00A02F59"/>
    <w:rsid w:val="00A0301A"/>
    <w:rsid w:val="00A0307F"/>
    <w:rsid w:val="00A0342E"/>
    <w:rsid w:val="00A03C89"/>
    <w:rsid w:val="00A0400C"/>
    <w:rsid w:val="00A044F8"/>
    <w:rsid w:val="00A056CF"/>
    <w:rsid w:val="00A05A53"/>
    <w:rsid w:val="00A05CFF"/>
    <w:rsid w:val="00A070F7"/>
    <w:rsid w:val="00A07644"/>
    <w:rsid w:val="00A078A4"/>
    <w:rsid w:val="00A1050D"/>
    <w:rsid w:val="00A106BF"/>
    <w:rsid w:val="00A10898"/>
    <w:rsid w:val="00A11157"/>
    <w:rsid w:val="00A11221"/>
    <w:rsid w:val="00A11705"/>
    <w:rsid w:val="00A120A2"/>
    <w:rsid w:val="00A12100"/>
    <w:rsid w:val="00A12221"/>
    <w:rsid w:val="00A1235F"/>
    <w:rsid w:val="00A12BA6"/>
    <w:rsid w:val="00A1302F"/>
    <w:rsid w:val="00A13883"/>
    <w:rsid w:val="00A14B9D"/>
    <w:rsid w:val="00A14DBE"/>
    <w:rsid w:val="00A1503C"/>
    <w:rsid w:val="00A1555C"/>
    <w:rsid w:val="00A15DA7"/>
    <w:rsid w:val="00A161FD"/>
    <w:rsid w:val="00A169CA"/>
    <w:rsid w:val="00A1725D"/>
    <w:rsid w:val="00A1767E"/>
    <w:rsid w:val="00A2065F"/>
    <w:rsid w:val="00A20AB5"/>
    <w:rsid w:val="00A21820"/>
    <w:rsid w:val="00A21BE9"/>
    <w:rsid w:val="00A22596"/>
    <w:rsid w:val="00A231ED"/>
    <w:rsid w:val="00A23C03"/>
    <w:rsid w:val="00A24559"/>
    <w:rsid w:val="00A2506A"/>
    <w:rsid w:val="00A25503"/>
    <w:rsid w:val="00A25F16"/>
    <w:rsid w:val="00A27659"/>
    <w:rsid w:val="00A31808"/>
    <w:rsid w:val="00A326D5"/>
    <w:rsid w:val="00A33CB0"/>
    <w:rsid w:val="00A3469B"/>
    <w:rsid w:val="00A35679"/>
    <w:rsid w:val="00A358A1"/>
    <w:rsid w:val="00A35EDE"/>
    <w:rsid w:val="00A36441"/>
    <w:rsid w:val="00A368D8"/>
    <w:rsid w:val="00A36DE7"/>
    <w:rsid w:val="00A37537"/>
    <w:rsid w:val="00A375CD"/>
    <w:rsid w:val="00A37A7B"/>
    <w:rsid w:val="00A40161"/>
    <w:rsid w:val="00A4017A"/>
    <w:rsid w:val="00A40CA8"/>
    <w:rsid w:val="00A420AA"/>
    <w:rsid w:val="00A42572"/>
    <w:rsid w:val="00A42EA2"/>
    <w:rsid w:val="00A436C9"/>
    <w:rsid w:val="00A449A5"/>
    <w:rsid w:val="00A44F4B"/>
    <w:rsid w:val="00A45659"/>
    <w:rsid w:val="00A45891"/>
    <w:rsid w:val="00A45CDF"/>
    <w:rsid w:val="00A463A0"/>
    <w:rsid w:val="00A46BC4"/>
    <w:rsid w:val="00A474EF"/>
    <w:rsid w:val="00A475A2"/>
    <w:rsid w:val="00A47693"/>
    <w:rsid w:val="00A47F2D"/>
    <w:rsid w:val="00A50219"/>
    <w:rsid w:val="00A50317"/>
    <w:rsid w:val="00A51382"/>
    <w:rsid w:val="00A51AA1"/>
    <w:rsid w:val="00A51D07"/>
    <w:rsid w:val="00A525EF"/>
    <w:rsid w:val="00A52EE3"/>
    <w:rsid w:val="00A53258"/>
    <w:rsid w:val="00A532BC"/>
    <w:rsid w:val="00A53E27"/>
    <w:rsid w:val="00A53E7E"/>
    <w:rsid w:val="00A54905"/>
    <w:rsid w:val="00A5566F"/>
    <w:rsid w:val="00A5585B"/>
    <w:rsid w:val="00A56755"/>
    <w:rsid w:val="00A5690D"/>
    <w:rsid w:val="00A56936"/>
    <w:rsid w:val="00A569C2"/>
    <w:rsid w:val="00A56BD4"/>
    <w:rsid w:val="00A600CA"/>
    <w:rsid w:val="00A607F5"/>
    <w:rsid w:val="00A60B3F"/>
    <w:rsid w:val="00A60E83"/>
    <w:rsid w:val="00A60F44"/>
    <w:rsid w:val="00A6128A"/>
    <w:rsid w:val="00A615F0"/>
    <w:rsid w:val="00A61AEB"/>
    <w:rsid w:val="00A628B3"/>
    <w:rsid w:val="00A629C3"/>
    <w:rsid w:val="00A63AAD"/>
    <w:rsid w:val="00A63C1B"/>
    <w:rsid w:val="00A641A3"/>
    <w:rsid w:val="00A642B3"/>
    <w:rsid w:val="00A6543B"/>
    <w:rsid w:val="00A6573C"/>
    <w:rsid w:val="00A657CC"/>
    <w:rsid w:val="00A65D07"/>
    <w:rsid w:val="00A65F2F"/>
    <w:rsid w:val="00A66B77"/>
    <w:rsid w:val="00A66EBB"/>
    <w:rsid w:val="00A6714E"/>
    <w:rsid w:val="00A672CC"/>
    <w:rsid w:val="00A6789C"/>
    <w:rsid w:val="00A67CE5"/>
    <w:rsid w:val="00A67EAE"/>
    <w:rsid w:val="00A70256"/>
    <w:rsid w:val="00A70540"/>
    <w:rsid w:val="00A70A02"/>
    <w:rsid w:val="00A7170A"/>
    <w:rsid w:val="00A71906"/>
    <w:rsid w:val="00A72E99"/>
    <w:rsid w:val="00A730DD"/>
    <w:rsid w:val="00A73A36"/>
    <w:rsid w:val="00A73B82"/>
    <w:rsid w:val="00A73FBD"/>
    <w:rsid w:val="00A74F84"/>
    <w:rsid w:val="00A770A7"/>
    <w:rsid w:val="00A775DD"/>
    <w:rsid w:val="00A77EDB"/>
    <w:rsid w:val="00A8027A"/>
    <w:rsid w:val="00A80387"/>
    <w:rsid w:val="00A80891"/>
    <w:rsid w:val="00A81351"/>
    <w:rsid w:val="00A8212B"/>
    <w:rsid w:val="00A825C1"/>
    <w:rsid w:val="00A82983"/>
    <w:rsid w:val="00A82A33"/>
    <w:rsid w:val="00A82AA6"/>
    <w:rsid w:val="00A82CD1"/>
    <w:rsid w:val="00A8393A"/>
    <w:rsid w:val="00A839D3"/>
    <w:rsid w:val="00A84C76"/>
    <w:rsid w:val="00A84CDE"/>
    <w:rsid w:val="00A85279"/>
    <w:rsid w:val="00A85528"/>
    <w:rsid w:val="00A855CC"/>
    <w:rsid w:val="00A8774B"/>
    <w:rsid w:val="00A878D4"/>
    <w:rsid w:val="00A9020B"/>
    <w:rsid w:val="00A903FD"/>
    <w:rsid w:val="00A90D78"/>
    <w:rsid w:val="00A90EA3"/>
    <w:rsid w:val="00A90FC0"/>
    <w:rsid w:val="00A90FE0"/>
    <w:rsid w:val="00A91AD8"/>
    <w:rsid w:val="00A91E65"/>
    <w:rsid w:val="00A92090"/>
    <w:rsid w:val="00A92309"/>
    <w:rsid w:val="00A924A7"/>
    <w:rsid w:val="00A92B53"/>
    <w:rsid w:val="00A92C2A"/>
    <w:rsid w:val="00A92DD4"/>
    <w:rsid w:val="00A92DEB"/>
    <w:rsid w:val="00A93AA9"/>
    <w:rsid w:val="00A94092"/>
    <w:rsid w:val="00A952A6"/>
    <w:rsid w:val="00A9571C"/>
    <w:rsid w:val="00A95B15"/>
    <w:rsid w:val="00A95C17"/>
    <w:rsid w:val="00A95E6C"/>
    <w:rsid w:val="00A963FA"/>
    <w:rsid w:val="00A96660"/>
    <w:rsid w:val="00A97CD4"/>
    <w:rsid w:val="00AA0011"/>
    <w:rsid w:val="00AA0910"/>
    <w:rsid w:val="00AA150C"/>
    <w:rsid w:val="00AA17BF"/>
    <w:rsid w:val="00AA24CD"/>
    <w:rsid w:val="00AA2D3C"/>
    <w:rsid w:val="00AA2EE7"/>
    <w:rsid w:val="00AA351F"/>
    <w:rsid w:val="00AA3605"/>
    <w:rsid w:val="00AA3A17"/>
    <w:rsid w:val="00AA3AD6"/>
    <w:rsid w:val="00AA40C5"/>
    <w:rsid w:val="00AA4335"/>
    <w:rsid w:val="00AA444B"/>
    <w:rsid w:val="00AA492C"/>
    <w:rsid w:val="00AA51AA"/>
    <w:rsid w:val="00AA740A"/>
    <w:rsid w:val="00AA7DB2"/>
    <w:rsid w:val="00AA7F0B"/>
    <w:rsid w:val="00AB07A1"/>
    <w:rsid w:val="00AB1407"/>
    <w:rsid w:val="00AB2990"/>
    <w:rsid w:val="00AB324D"/>
    <w:rsid w:val="00AB3D65"/>
    <w:rsid w:val="00AB3FCE"/>
    <w:rsid w:val="00AB404D"/>
    <w:rsid w:val="00AB466A"/>
    <w:rsid w:val="00AB46CE"/>
    <w:rsid w:val="00AB5443"/>
    <w:rsid w:val="00AB6080"/>
    <w:rsid w:val="00AB62CF"/>
    <w:rsid w:val="00AB6667"/>
    <w:rsid w:val="00AB6E41"/>
    <w:rsid w:val="00AC0E62"/>
    <w:rsid w:val="00AC1FF4"/>
    <w:rsid w:val="00AC25B7"/>
    <w:rsid w:val="00AC29C6"/>
    <w:rsid w:val="00AC2BBA"/>
    <w:rsid w:val="00AC3213"/>
    <w:rsid w:val="00AC41CE"/>
    <w:rsid w:val="00AC48E5"/>
    <w:rsid w:val="00AC4EC3"/>
    <w:rsid w:val="00AC5391"/>
    <w:rsid w:val="00AC55B4"/>
    <w:rsid w:val="00AC58D5"/>
    <w:rsid w:val="00AC6402"/>
    <w:rsid w:val="00AC6F69"/>
    <w:rsid w:val="00AD022E"/>
    <w:rsid w:val="00AD0B3F"/>
    <w:rsid w:val="00AD0C22"/>
    <w:rsid w:val="00AD3206"/>
    <w:rsid w:val="00AD363E"/>
    <w:rsid w:val="00AD5E68"/>
    <w:rsid w:val="00AD7DA6"/>
    <w:rsid w:val="00AD7E2B"/>
    <w:rsid w:val="00AE0505"/>
    <w:rsid w:val="00AE0A41"/>
    <w:rsid w:val="00AE1790"/>
    <w:rsid w:val="00AE1CAF"/>
    <w:rsid w:val="00AE315D"/>
    <w:rsid w:val="00AE35E8"/>
    <w:rsid w:val="00AE3CD5"/>
    <w:rsid w:val="00AE497B"/>
    <w:rsid w:val="00AE4CE7"/>
    <w:rsid w:val="00AE59ED"/>
    <w:rsid w:val="00AE607A"/>
    <w:rsid w:val="00AE644F"/>
    <w:rsid w:val="00AE746E"/>
    <w:rsid w:val="00AE7614"/>
    <w:rsid w:val="00AE78F7"/>
    <w:rsid w:val="00AF03DD"/>
    <w:rsid w:val="00AF089D"/>
    <w:rsid w:val="00AF0D80"/>
    <w:rsid w:val="00AF1794"/>
    <w:rsid w:val="00AF21B7"/>
    <w:rsid w:val="00AF3263"/>
    <w:rsid w:val="00AF3962"/>
    <w:rsid w:val="00AF4378"/>
    <w:rsid w:val="00AF446F"/>
    <w:rsid w:val="00AF4CE8"/>
    <w:rsid w:val="00AF5664"/>
    <w:rsid w:val="00AF6358"/>
    <w:rsid w:val="00AF6AA7"/>
    <w:rsid w:val="00AF6AFC"/>
    <w:rsid w:val="00AF6FFF"/>
    <w:rsid w:val="00B000CD"/>
    <w:rsid w:val="00B00100"/>
    <w:rsid w:val="00B0031B"/>
    <w:rsid w:val="00B008A1"/>
    <w:rsid w:val="00B00A88"/>
    <w:rsid w:val="00B01A38"/>
    <w:rsid w:val="00B01E3A"/>
    <w:rsid w:val="00B020BD"/>
    <w:rsid w:val="00B027D8"/>
    <w:rsid w:val="00B02898"/>
    <w:rsid w:val="00B02C9B"/>
    <w:rsid w:val="00B040F2"/>
    <w:rsid w:val="00B05ADE"/>
    <w:rsid w:val="00B06BF0"/>
    <w:rsid w:val="00B06DD3"/>
    <w:rsid w:val="00B076B6"/>
    <w:rsid w:val="00B0785B"/>
    <w:rsid w:val="00B078E2"/>
    <w:rsid w:val="00B0793C"/>
    <w:rsid w:val="00B104E5"/>
    <w:rsid w:val="00B105E0"/>
    <w:rsid w:val="00B10EBF"/>
    <w:rsid w:val="00B110EC"/>
    <w:rsid w:val="00B112EC"/>
    <w:rsid w:val="00B11749"/>
    <w:rsid w:val="00B12650"/>
    <w:rsid w:val="00B13AC9"/>
    <w:rsid w:val="00B14909"/>
    <w:rsid w:val="00B154C7"/>
    <w:rsid w:val="00B1633A"/>
    <w:rsid w:val="00B167EF"/>
    <w:rsid w:val="00B173A7"/>
    <w:rsid w:val="00B20001"/>
    <w:rsid w:val="00B20550"/>
    <w:rsid w:val="00B215F3"/>
    <w:rsid w:val="00B21863"/>
    <w:rsid w:val="00B222D7"/>
    <w:rsid w:val="00B2377C"/>
    <w:rsid w:val="00B239D2"/>
    <w:rsid w:val="00B23E61"/>
    <w:rsid w:val="00B251DE"/>
    <w:rsid w:val="00B2560B"/>
    <w:rsid w:val="00B2622C"/>
    <w:rsid w:val="00B262D1"/>
    <w:rsid w:val="00B2638A"/>
    <w:rsid w:val="00B26518"/>
    <w:rsid w:val="00B274DD"/>
    <w:rsid w:val="00B27760"/>
    <w:rsid w:val="00B27AE4"/>
    <w:rsid w:val="00B27EF3"/>
    <w:rsid w:val="00B30304"/>
    <w:rsid w:val="00B3055C"/>
    <w:rsid w:val="00B30844"/>
    <w:rsid w:val="00B3100D"/>
    <w:rsid w:val="00B3113F"/>
    <w:rsid w:val="00B3155B"/>
    <w:rsid w:val="00B3188B"/>
    <w:rsid w:val="00B3280B"/>
    <w:rsid w:val="00B3282A"/>
    <w:rsid w:val="00B32F33"/>
    <w:rsid w:val="00B348D2"/>
    <w:rsid w:val="00B351B6"/>
    <w:rsid w:val="00B364E8"/>
    <w:rsid w:val="00B36A2E"/>
    <w:rsid w:val="00B3709A"/>
    <w:rsid w:val="00B37553"/>
    <w:rsid w:val="00B37BF0"/>
    <w:rsid w:val="00B37DB0"/>
    <w:rsid w:val="00B40BAE"/>
    <w:rsid w:val="00B42AA5"/>
    <w:rsid w:val="00B437A6"/>
    <w:rsid w:val="00B4444F"/>
    <w:rsid w:val="00B44683"/>
    <w:rsid w:val="00B4544C"/>
    <w:rsid w:val="00B45695"/>
    <w:rsid w:val="00B470CD"/>
    <w:rsid w:val="00B47CF1"/>
    <w:rsid w:val="00B511DF"/>
    <w:rsid w:val="00B514B1"/>
    <w:rsid w:val="00B53F15"/>
    <w:rsid w:val="00B54012"/>
    <w:rsid w:val="00B54083"/>
    <w:rsid w:val="00B54287"/>
    <w:rsid w:val="00B5461E"/>
    <w:rsid w:val="00B5485B"/>
    <w:rsid w:val="00B5486A"/>
    <w:rsid w:val="00B5499B"/>
    <w:rsid w:val="00B56BB1"/>
    <w:rsid w:val="00B57850"/>
    <w:rsid w:val="00B607D2"/>
    <w:rsid w:val="00B60EA9"/>
    <w:rsid w:val="00B6108C"/>
    <w:rsid w:val="00B62B64"/>
    <w:rsid w:val="00B6355F"/>
    <w:rsid w:val="00B6432D"/>
    <w:rsid w:val="00B65599"/>
    <w:rsid w:val="00B655E4"/>
    <w:rsid w:val="00B6561A"/>
    <w:rsid w:val="00B660B5"/>
    <w:rsid w:val="00B6618F"/>
    <w:rsid w:val="00B6676A"/>
    <w:rsid w:val="00B66A4E"/>
    <w:rsid w:val="00B7033D"/>
    <w:rsid w:val="00B70B30"/>
    <w:rsid w:val="00B70DE1"/>
    <w:rsid w:val="00B739B4"/>
    <w:rsid w:val="00B743BA"/>
    <w:rsid w:val="00B75663"/>
    <w:rsid w:val="00B758F0"/>
    <w:rsid w:val="00B7648A"/>
    <w:rsid w:val="00B7710C"/>
    <w:rsid w:val="00B77CAD"/>
    <w:rsid w:val="00B800CF"/>
    <w:rsid w:val="00B801DA"/>
    <w:rsid w:val="00B8020B"/>
    <w:rsid w:val="00B80424"/>
    <w:rsid w:val="00B80426"/>
    <w:rsid w:val="00B808D6"/>
    <w:rsid w:val="00B81101"/>
    <w:rsid w:val="00B81680"/>
    <w:rsid w:val="00B8200C"/>
    <w:rsid w:val="00B82932"/>
    <w:rsid w:val="00B82C15"/>
    <w:rsid w:val="00B8360A"/>
    <w:rsid w:val="00B83828"/>
    <w:rsid w:val="00B84149"/>
    <w:rsid w:val="00B845E1"/>
    <w:rsid w:val="00B8471E"/>
    <w:rsid w:val="00B84A6D"/>
    <w:rsid w:val="00B84B75"/>
    <w:rsid w:val="00B85007"/>
    <w:rsid w:val="00B853F8"/>
    <w:rsid w:val="00B8570A"/>
    <w:rsid w:val="00B8659F"/>
    <w:rsid w:val="00B86AE2"/>
    <w:rsid w:val="00B907EF"/>
    <w:rsid w:val="00B91103"/>
    <w:rsid w:val="00B91CA9"/>
    <w:rsid w:val="00B92024"/>
    <w:rsid w:val="00B926E9"/>
    <w:rsid w:val="00B93B69"/>
    <w:rsid w:val="00B943A8"/>
    <w:rsid w:val="00B948C8"/>
    <w:rsid w:val="00B94C3D"/>
    <w:rsid w:val="00B95838"/>
    <w:rsid w:val="00B96022"/>
    <w:rsid w:val="00B96CAA"/>
    <w:rsid w:val="00B9716F"/>
    <w:rsid w:val="00B9764E"/>
    <w:rsid w:val="00B97FAA"/>
    <w:rsid w:val="00BA109E"/>
    <w:rsid w:val="00BA21B4"/>
    <w:rsid w:val="00BA2370"/>
    <w:rsid w:val="00BA2541"/>
    <w:rsid w:val="00BA3B96"/>
    <w:rsid w:val="00BA4180"/>
    <w:rsid w:val="00BA4AE4"/>
    <w:rsid w:val="00BA64D1"/>
    <w:rsid w:val="00BA67E3"/>
    <w:rsid w:val="00BA6E63"/>
    <w:rsid w:val="00BA7B98"/>
    <w:rsid w:val="00BB0196"/>
    <w:rsid w:val="00BB02B1"/>
    <w:rsid w:val="00BB0316"/>
    <w:rsid w:val="00BB041B"/>
    <w:rsid w:val="00BB1778"/>
    <w:rsid w:val="00BB1F2F"/>
    <w:rsid w:val="00BB2360"/>
    <w:rsid w:val="00BB25E3"/>
    <w:rsid w:val="00BB2ADF"/>
    <w:rsid w:val="00BB3C77"/>
    <w:rsid w:val="00BB425E"/>
    <w:rsid w:val="00BB7ADE"/>
    <w:rsid w:val="00BC08BB"/>
    <w:rsid w:val="00BC090A"/>
    <w:rsid w:val="00BC0988"/>
    <w:rsid w:val="00BC1E1F"/>
    <w:rsid w:val="00BC237F"/>
    <w:rsid w:val="00BC263F"/>
    <w:rsid w:val="00BC280F"/>
    <w:rsid w:val="00BC3845"/>
    <w:rsid w:val="00BC3C20"/>
    <w:rsid w:val="00BC43CD"/>
    <w:rsid w:val="00BC461A"/>
    <w:rsid w:val="00BC4C91"/>
    <w:rsid w:val="00BC4CDE"/>
    <w:rsid w:val="00BC67DA"/>
    <w:rsid w:val="00BC68AE"/>
    <w:rsid w:val="00BC6941"/>
    <w:rsid w:val="00BC716A"/>
    <w:rsid w:val="00BC71CC"/>
    <w:rsid w:val="00BC7670"/>
    <w:rsid w:val="00BC78EE"/>
    <w:rsid w:val="00BD1356"/>
    <w:rsid w:val="00BD183F"/>
    <w:rsid w:val="00BD184D"/>
    <w:rsid w:val="00BD2091"/>
    <w:rsid w:val="00BD23B5"/>
    <w:rsid w:val="00BD26D7"/>
    <w:rsid w:val="00BD2C15"/>
    <w:rsid w:val="00BD3ECB"/>
    <w:rsid w:val="00BD438B"/>
    <w:rsid w:val="00BD447D"/>
    <w:rsid w:val="00BD48C6"/>
    <w:rsid w:val="00BD4A1F"/>
    <w:rsid w:val="00BD4C0F"/>
    <w:rsid w:val="00BD62D9"/>
    <w:rsid w:val="00BD7C99"/>
    <w:rsid w:val="00BE07C2"/>
    <w:rsid w:val="00BE14D0"/>
    <w:rsid w:val="00BE1E17"/>
    <w:rsid w:val="00BE246C"/>
    <w:rsid w:val="00BE2F1B"/>
    <w:rsid w:val="00BE3D81"/>
    <w:rsid w:val="00BE4153"/>
    <w:rsid w:val="00BE432B"/>
    <w:rsid w:val="00BE58CA"/>
    <w:rsid w:val="00BE5A56"/>
    <w:rsid w:val="00BE6136"/>
    <w:rsid w:val="00BE696A"/>
    <w:rsid w:val="00BE6F85"/>
    <w:rsid w:val="00BE7335"/>
    <w:rsid w:val="00BE76B5"/>
    <w:rsid w:val="00BE7BEE"/>
    <w:rsid w:val="00BE7DDE"/>
    <w:rsid w:val="00BE7F15"/>
    <w:rsid w:val="00BF00B8"/>
    <w:rsid w:val="00BF0B84"/>
    <w:rsid w:val="00BF1038"/>
    <w:rsid w:val="00BF1510"/>
    <w:rsid w:val="00BF1686"/>
    <w:rsid w:val="00BF1B4E"/>
    <w:rsid w:val="00BF2160"/>
    <w:rsid w:val="00BF21F3"/>
    <w:rsid w:val="00BF26DB"/>
    <w:rsid w:val="00BF2809"/>
    <w:rsid w:val="00BF2CC2"/>
    <w:rsid w:val="00BF2D10"/>
    <w:rsid w:val="00BF2D35"/>
    <w:rsid w:val="00BF2F1E"/>
    <w:rsid w:val="00BF310E"/>
    <w:rsid w:val="00BF37F3"/>
    <w:rsid w:val="00BF3924"/>
    <w:rsid w:val="00BF3AAD"/>
    <w:rsid w:val="00BF3B3C"/>
    <w:rsid w:val="00BF3E4F"/>
    <w:rsid w:val="00BF3FEB"/>
    <w:rsid w:val="00BF453B"/>
    <w:rsid w:val="00BF4D6F"/>
    <w:rsid w:val="00BF6972"/>
    <w:rsid w:val="00BF6A59"/>
    <w:rsid w:val="00BF7EE5"/>
    <w:rsid w:val="00C0045F"/>
    <w:rsid w:val="00C00663"/>
    <w:rsid w:val="00C00881"/>
    <w:rsid w:val="00C009B4"/>
    <w:rsid w:val="00C01AB9"/>
    <w:rsid w:val="00C01DD1"/>
    <w:rsid w:val="00C01EB7"/>
    <w:rsid w:val="00C043D2"/>
    <w:rsid w:val="00C04F88"/>
    <w:rsid w:val="00C06202"/>
    <w:rsid w:val="00C072FD"/>
    <w:rsid w:val="00C0744D"/>
    <w:rsid w:val="00C07536"/>
    <w:rsid w:val="00C107D8"/>
    <w:rsid w:val="00C11A4F"/>
    <w:rsid w:val="00C11C7A"/>
    <w:rsid w:val="00C11EF3"/>
    <w:rsid w:val="00C12228"/>
    <w:rsid w:val="00C12B1C"/>
    <w:rsid w:val="00C12D1F"/>
    <w:rsid w:val="00C130BD"/>
    <w:rsid w:val="00C14065"/>
    <w:rsid w:val="00C148D6"/>
    <w:rsid w:val="00C14EF3"/>
    <w:rsid w:val="00C164D4"/>
    <w:rsid w:val="00C16884"/>
    <w:rsid w:val="00C200F1"/>
    <w:rsid w:val="00C20D26"/>
    <w:rsid w:val="00C217D8"/>
    <w:rsid w:val="00C219D7"/>
    <w:rsid w:val="00C22030"/>
    <w:rsid w:val="00C226D9"/>
    <w:rsid w:val="00C22D94"/>
    <w:rsid w:val="00C23200"/>
    <w:rsid w:val="00C24E96"/>
    <w:rsid w:val="00C258E1"/>
    <w:rsid w:val="00C263E2"/>
    <w:rsid w:val="00C268AA"/>
    <w:rsid w:val="00C27140"/>
    <w:rsid w:val="00C27B9E"/>
    <w:rsid w:val="00C27C90"/>
    <w:rsid w:val="00C303A7"/>
    <w:rsid w:val="00C30816"/>
    <w:rsid w:val="00C31076"/>
    <w:rsid w:val="00C31465"/>
    <w:rsid w:val="00C32E6B"/>
    <w:rsid w:val="00C33396"/>
    <w:rsid w:val="00C3487C"/>
    <w:rsid w:val="00C34BEB"/>
    <w:rsid w:val="00C3533C"/>
    <w:rsid w:val="00C36739"/>
    <w:rsid w:val="00C367BD"/>
    <w:rsid w:val="00C37241"/>
    <w:rsid w:val="00C373B6"/>
    <w:rsid w:val="00C37835"/>
    <w:rsid w:val="00C407C0"/>
    <w:rsid w:val="00C40E08"/>
    <w:rsid w:val="00C414D9"/>
    <w:rsid w:val="00C42C03"/>
    <w:rsid w:val="00C434FE"/>
    <w:rsid w:val="00C4360C"/>
    <w:rsid w:val="00C438F1"/>
    <w:rsid w:val="00C43A29"/>
    <w:rsid w:val="00C44994"/>
    <w:rsid w:val="00C45579"/>
    <w:rsid w:val="00C46236"/>
    <w:rsid w:val="00C467D7"/>
    <w:rsid w:val="00C47CFC"/>
    <w:rsid w:val="00C47F95"/>
    <w:rsid w:val="00C50128"/>
    <w:rsid w:val="00C50242"/>
    <w:rsid w:val="00C51512"/>
    <w:rsid w:val="00C515EA"/>
    <w:rsid w:val="00C5191E"/>
    <w:rsid w:val="00C5301C"/>
    <w:rsid w:val="00C538F6"/>
    <w:rsid w:val="00C5478C"/>
    <w:rsid w:val="00C54922"/>
    <w:rsid w:val="00C54C59"/>
    <w:rsid w:val="00C54C7C"/>
    <w:rsid w:val="00C54CDA"/>
    <w:rsid w:val="00C55002"/>
    <w:rsid w:val="00C567A7"/>
    <w:rsid w:val="00C56B9A"/>
    <w:rsid w:val="00C60F80"/>
    <w:rsid w:val="00C615B3"/>
    <w:rsid w:val="00C62041"/>
    <w:rsid w:val="00C6257C"/>
    <w:rsid w:val="00C62AC9"/>
    <w:rsid w:val="00C63109"/>
    <w:rsid w:val="00C6356E"/>
    <w:rsid w:val="00C64697"/>
    <w:rsid w:val="00C648C5"/>
    <w:rsid w:val="00C64B68"/>
    <w:rsid w:val="00C654D8"/>
    <w:rsid w:val="00C659C1"/>
    <w:rsid w:val="00C6682B"/>
    <w:rsid w:val="00C70510"/>
    <w:rsid w:val="00C71806"/>
    <w:rsid w:val="00C72350"/>
    <w:rsid w:val="00C733E4"/>
    <w:rsid w:val="00C734FA"/>
    <w:rsid w:val="00C73B4F"/>
    <w:rsid w:val="00C7469E"/>
    <w:rsid w:val="00C74B3B"/>
    <w:rsid w:val="00C75B52"/>
    <w:rsid w:val="00C760CC"/>
    <w:rsid w:val="00C764A5"/>
    <w:rsid w:val="00C7748A"/>
    <w:rsid w:val="00C77C88"/>
    <w:rsid w:val="00C802DF"/>
    <w:rsid w:val="00C8033D"/>
    <w:rsid w:val="00C813CA"/>
    <w:rsid w:val="00C81E31"/>
    <w:rsid w:val="00C82C92"/>
    <w:rsid w:val="00C83460"/>
    <w:rsid w:val="00C83EA7"/>
    <w:rsid w:val="00C83FB0"/>
    <w:rsid w:val="00C83FEA"/>
    <w:rsid w:val="00C84A19"/>
    <w:rsid w:val="00C84D68"/>
    <w:rsid w:val="00C85605"/>
    <w:rsid w:val="00C867F9"/>
    <w:rsid w:val="00C8688F"/>
    <w:rsid w:val="00C905ED"/>
    <w:rsid w:val="00C91818"/>
    <w:rsid w:val="00C91DFD"/>
    <w:rsid w:val="00C9286E"/>
    <w:rsid w:val="00C92C78"/>
    <w:rsid w:val="00C93D48"/>
    <w:rsid w:val="00C94C55"/>
    <w:rsid w:val="00C94E90"/>
    <w:rsid w:val="00C950E3"/>
    <w:rsid w:val="00C955B0"/>
    <w:rsid w:val="00C95CE5"/>
    <w:rsid w:val="00C9758A"/>
    <w:rsid w:val="00C97A2C"/>
    <w:rsid w:val="00C97AE4"/>
    <w:rsid w:val="00CA0286"/>
    <w:rsid w:val="00CA1EF5"/>
    <w:rsid w:val="00CA2382"/>
    <w:rsid w:val="00CA2B51"/>
    <w:rsid w:val="00CA2F77"/>
    <w:rsid w:val="00CA34B7"/>
    <w:rsid w:val="00CA3651"/>
    <w:rsid w:val="00CA36F1"/>
    <w:rsid w:val="00CA38E6"/>
    <w:rsid w:val="00CA3CFD"/>
    <w:rsid w:val="00CA441D"/>
    <w:rsid w:val="00CA48D0"/>
    <w:rsid w:val="00CA5244"/>
    <w:rsid w:val="00CA552A"/>
    <w:rsid w:val="00CA5F54"/>
    <w:rsid w:val="00CA65B5"/>
    <w:rsid w:val="00CA6C71"/>
    <w:rsid w:val="00CA70EA"/>
    <w:rsid w:val="00CA7B28"/>
    <w:rsid w:val="00CB0A0F"/>
    <w:rsid w:val="00CB0C11"/>
    <w:rsid w:val="00CB0DD9"/>
    <w:rsid w:val="00CB1C1F"/>
    <w:rsid w:val="00CB284C"/>
    <w:rsid w:val="00CB3157"/>
    <w:rsid w:val="00CB33E2"/>
    <w:rsid w:val="00CB3A52"/>
    <w:rsid w:val="00CB3BF4"/>
    <w:rsid w:val="00CB4C25"/>
    <w:rsid w:val="00CB55A4"/>
    <w:rsid w:val="00CB58ED"/>
    <w:rsid w:val="00CB59D8"/>
    <w:rsid w:val="00CB5CF8"/>
    <w:rsid w:val="00CB6F87"/>
    <w:rsid w:val="00CB7462"/>
    <w:rsid w:val="00CC17BD"/>
    <w:rsid w:val="00CC1E1B"/>
    <w:rsid w:val="00CC2519"/>
    <w:rsid w:val="00CC265D"/>
    <w:rsid w:val="00CC345C"/>
    <w:rsid w:val="00CC4054"/>
    <w:rsid w:val="00CC4271"/>
    <w:rsid w:val="00CC50C2"/>
    <w:rsid w:val="00CC686A"/>
    <w:rsid w:val="00CC74D0"/>
    <w:rsid w:val="00CC786C"/>
    <w:rsid w:val="00CC7B6B"/>
    <w:rsid w:val="00CD0986"/>
    <w:rsid w:val="00CD0C1A"/>
    <w:rsid w:val="00CD1E62"/>
    <w:rsid w:val="00CD1F7E"/>
    <w:rsid w:val="00CD297C"/>
    <w:rsid w:val="00CD2E8D"/>
    <w:rsid w:val="00CD2FEA"/>
    <w:rsid w:val="00CD3209"/>
    <w:rsid w:val="00CD3B30"/>
    <w:rsid w:val="00CD3C1D"/>
    <w:rsid w:val="00CD4BCE"/>
    <w:rsid w:val="00CD4FEB"/>
    <w:rsid w:val="00CD50B2"/>
    <w:rsid w:val="00CD5E17"/>
    <w:rsid w:val="00CD5EB3"/>
    <w:rsid w:val="00CD5EEE"/>
    <w:rsid w:val="00CD6E4E"/>
    <w:rsid w:val="00CD7194"/>
    <w:rsid w:val="00CD7898"/>
    <w:rsid w:val="00CD7A66"/>
    <w:rsid w:val="00CE033E"/>
    <w:rsid w:val="00CE085D"/>
    <w:rsid w:val="00CE14F4"/>
    <w:rsid w:val="00CE1781"/>
    <w:rsid w:val="00CE1AC4"/>
    <w:rsid w:val="00CE2B49"/>
    <w:rsid w:val="00CE2BA6"/>
    <w:rsid w:val="00CE2DDE"/>
    <w:rsid w:val="00CE2EE4"/>
    <w:rsid w:val="00CE4230"/>
    <w:rsid w:val="00CE49B5"/>
    <w:rsid w:val="00CE4A9F"/>
    <w:rsid w:val="00CE4E1F"/>
    <w:rsid w:val="00CE670A"/>
    <w:rsid w:val="00CE6782"/>
    <w:rsid w:val="00CE6EEB"/>
    <w:rsid w:val="00CF0ED1"/>
    <w:rsid w:val="00CF137B"/>
    <w:rsid w:val="00CF202D"/>
    <w:rsid w:val="00CF23C4"/>
    <w:rsid w:val="00CF3C00"/>
    <w:rsid w:val="00CF4311"/>
    <w:rsid w:val="00CF4B1B"/>
    <w:rsid w:val="00CF596A"/>
    <w:rsid w:val="00CF6030"/>
    <w:rsid w:val="00CF764C"/>
    <w:rsid w:val="00CF7B19"/>
    <w:rsid w:val="00CF7F76"/>
    <w:rsid w:val="00D01088"/>
    <w:rsid w:val="00D01E9C"/>
    <w:rsid w:val="00D0219C"/>
    <w:rsid w:val="00D02660"/>
    <w:rsid w:val="00D02AE4"/>
    <w:rsid w:val="00D049B8"/>
    <w:rsid w:val="00D05B2A"/>
    <w:rsid w:val="00D05C36"/>
    <w:rsid w:val="00D05C3F"/>
    <w:rsid w:val="00D05FF4"/>
    <w:rsid w:val="00D062C1"/>
    <w:rsid w:val="00D077ED"/>
    <w:rsid w:val="00D10186"/>
    <w:rsid w:val="00D10B7A"/>
    <w:rsid w:val="00D10E02"/>
    <w:rsid w:val="00D11F49"/>
    <w:rsid w:val="00D120B4"/>
    <w:rsid w:val="00D12B00"/>
    <w:rsid w:val="00D133E6"/>
    <w:rsid w:val="00D134A3"/>
    <w:rsid w:val="00D13673"/>
    <w:rsid w:val="00D13B7D"/>
    <w:rsid w:val="00D13E14"/>
    <w:rsid w:val="00D16766"/>
    <w:rsid w:val="00D17EFF"/>
    <w:rsid w:val="00D203A5"/>
    <w:rsid w:val="00D20598"/>
    <w:rsid w:val="00D20E18"/>
    <w:rsid w:val="00D21F0D"/>
    <w:rsid w:val="00D22093"/>
    <w:rsid w:val="00D222BB"/>
    <w:rsid w:val="00D222EC"/>
    <w:rsid w:val="00D225D0"/>
    <w:rsid w:val="00D244B3"/>
    <w:rsid w:val="00D257EA"/>
    <w:rsid w:val="00D2649C"/>
    <w:rsid w:val="00D27482"/>
    <w:rsid w:val="00D277B9"/>
    <w:rsid w:val="00D304C7"/>
    <w:rsid w:val="00D30643"/>
    <w:rsid w:val="00D31350"/>
    <w:rsid w:val="00D318B9"/>
    <w:rsid w:val="00D3250E"/>
    <w:rsid w:val="00D32E70"/>
    <w:rsid w:val="00D33615"/>
    <w:rsid w:val="00D33621"/>
    <w:rsid w:val="00D33CCC"/>
    <w:rsid w:val="00D34134"/>
    <w:rsid w:val="00D3494A"/>
    <w:rsid w:val="00D34C8D"/>
    <w:rsid w:val="00D351E3"/>
    <w:rsid w:val="00D3563C"/>
    <w:rsid w:val="00D369A3"/>
    <w:rsid w:val="00D36A29"/>
    <w:rsid w:val="00D374CA"/>
    <w:rsid w:val="00D375FE"/>
    <w:rsid w:val="00D3763A"/>
    <w:rsid w:val="00D40069"/>
    <w:rsid w:val="00D40A2F"/>
    <w:rsid w:val="00D41D21"/>
    <w:rsid w:val="00D41F02"/>
    <w:rsid w:val="00D41FEC"/>
    <w:rsid w:val="00D42130"/>
    <w:rsid w:val="00D42196"/>
    <w:rsid w:val="00D424E2"/>
    <w:rsid w:val="00D42691"/>
    <w:rsid w:val="00D426E8"/>
    <w:rsid w:val="00D43846"/>
    <w:rsid w:val="00D44303"/>
    <w:rsid w:val="00D44676"/>
    <w:rsid w:val="00D4503D"/>
    <w:rsid w:val="00D4571A"/>
    <w:rsid w:val="00D4695F"/>
    <w:rsid w:val="00D46F81"/>
    <w:rsid w:val="00D47362"/>
    <w:rsid w:val="00D47DD8"/>
    <w:rsid w:val="00D47DD9"/>
    <w:rsid w:val="00D502D5"/>
    <w:rsid w:val="00D50840"/>
    <w:rsid w:val="00D52050"/>
    <w:rsid w:val="00D52330"/>
    <w:rsid w:val="00D52D1E"/>
    <w:rsid w:val="00D5360C"/>
    <w:rsid w:val="00D53A6C"/>
    <w:rsid w:val="00D54547"/>
    <w:rsid w:val="00D54DE7"/>
    <w:rsid w:val="00D55783"/>
    <w:rsid w:val="00D55ADA"/>
    <w:rsid w:val="00D57550"/>
    <w:rsid w:val="00D60717"/>
    <w:rsid w:val="00D6109B"/>
    <w:rsid w:val="00D6119D"/>
    <w:rsid w:val="00D61A97"/>
    <w:rsid w:val="00D61CAA"/>
    <w:rsid w:val="00D627FB"/>
    <w:rsid w:val="00D629F7"/>
    <w:rsid w:val="00D62BE6"/>
    <w:rsid w:val="00D6310A"/>
    <w:rsid w:val="00D63143"/>
    <w:rsid w:val="00D636DA"/>
    <w:rsid w:val="00D642D7"/>
    <w:rsid w:val="00D64329"/>
    <w:rsid w:val="00D6494A"/>
    <w:rsid w:val="00D64F5C"/>
    <w:rsid w:val="00D66544"/>
    <w:rsid w:val="00D66557"/>
    <w:rsid w:val="00D66F42"/>
    <w:rsid w:val="00D6722C"/>
    <w:rsid w:val="00D702D1"/>
    <w:rsid w:val="00D7041F"/>
    <w:rsid w:val="00D716AF"/>
    <w:rsid w:val="00D7193E"/>
    <w:rsid w:val="00D71EC3"/>
    <w:rsid w:val="00D72C65"/>
    <w:rsid w:val="00D72F02"/>
    <w:rsid w:val="00D72FE6"/>
    <w:rsid w:val="00D732A6"/>
    <w:rsid w:val="00D73B6F"/>
    <w:rsid w:val="00D748AE"/>
    <w:rsid w:val="00D74F6E"/>
    <w:rsid w:val="00D750F6"/>
    <w:rsid w:val="00D77530"/>
    <w:rsid w:val="00D77751"/>
    <w:rsid w:val="00D803B0"/>
    <w:rsid w:val="00D83363"/>
    <w:rsid w:val="00D83823"/>
    <w:rsid w:val="00D83C0A"/>
    <w:rsid w:val="00D843A2"/>
    <w:rsid w:val="00D84A2A"/>
    <w:rsid w:val="00D85202"/>
    <w:rsid w:val="00D854D4"/>
    <w:rsid w:val="00D85C96"/>
    <w:rsid w:val="00D86257"/>
    <w:rsid w:val="00D86938"/>
    <w:rsid w:val="00D87215"/>
    <w:rsid w:val="00D87DA2"/>
    <w:rsid w:val="00D90459"/>
    <w:rsid w:val="00D907E5"/>
    <w:rsid w:val="00D90D0B"/>
    <w:rsid w:val="00D9357B"/>
    <w:rsid w:val="00D93BAA"/>
    <w:rsid w:val="00D95405"/>
    <w:rsid w:val="00D95439"/>
    <w:rsid w:val="00D95EBA"/>
    <w:rsid w:val="00D95FAD"/>
    <w:rsid w:val="00D973E8"/>
    <w:rsid w:val="00D9764A"/>
    <w:rsid w:val="00DA0C28"/>
    <w:rsid w:val="00DA140F"/>
    <w:rsid w:val="00DA1538"/>
    <w:rsid w:val="00DA2A0C"/>
    <w:rsid w:val="00DA3619"/>
    <w:rsid w:val="00DA3DC4"/>
    <w:rsid w:val="00DA4259"/>
    <w:rsid w:val="00DA4279"/>
    <w:rsid w:val="00DA438D"/>
    <w:rsid w:val="00DA43CE"/>
    <w:rsid w:val="00DA475F"/>
    <w:rsid w:val="00DA5514"/>
    <w:rsid w:val="00DA5908"/>
    <w:rsid w:val="00DA597B"/>
    <w:rsid w:val="00DA5FFE"/>
    <w:rsid w:val="00DA6C2E"/>
    <w:rsid w:val="00DA7309"/>
    <w:rsid w:val="00DA7610"/>
    <w:rsid w:val="00DA77C2"/>
    <w:rsid w:val="00DB05AF"/>
    <w:rsid w:val="00DB09ED"/>
    <w:rsid w:val="00DB1948"/>
    <w:rsid w:val="00DB2225"/>
    <w:rsid w:val="00DB445C"/>
    <w:rsid w:val="00DB4856"/>
    <w:rsid w:val="00DB5605"/>
    <w:rsid w:val="00DB5895"/>
    <w:rsid w:val="00DB5935"/>
    <w:rsid w:val="00DB62E9"/>
    <w:rsid w:val="00DB659C"/>
    <w:rsid w:val="00DB7121"/>
    <w:rsid w:val="00DB7166"/>
    <w:rsid w:val="00DB71D0"/>
    <w:rsid w:val="00DB7E7B"/>
    <w:rsid w:val="00DC163D"/>
    <w:rsid w:val="00DC1AA4"/>
    <w:rsid w:val="00DC204D"/>
    <w:rsid w:val="00DC260D"/>
    <w:rsid w:val="00DC353E"/>
    <w:rsid w:val="00DC365F"/>
    <w:rsid w:val="00DC3978"/>
    <w:rsid w:val="00DC3983"/>
    <w:rsid w:val="00DC4184"/>
    <w:rsid w:val="00DC44B9"/>
    <w:rsid w:val="00DC4E30"/>
    <w:rsid w:val="00DC5300"/>
    <w:rsid w:val="00DC5681"/>
    <w:rsid w:val="00DC5E5D"/>
    <w:rsid w:val="00DC5F4F"/>
    <w:rsid w:val="00DC6130"/>
    <w:rsid w:val="00DC62FD"/>
    <w:rsid w:val="00DC68F8"/>
    <w:rsid w:val="00DC69AD"/>
    <w:rsid w:val="00DD0D17"/>
    <w:rsid w:val="00DD0E75"/>
    <w:rsid w:val="00DD0EF0"/>
    <w:rsid w:val="00DD1130"/>
    <w:rsid w:val="00DD1978"/>
    <w:rsid w:val="00DD1EF8"/>
    <w:rsid w:val="00DD2300"/>
    <w:rsid w:val="00DD2BA0"/>
    <w:rsid w:val="00DD2CFE"/>
    <w:rsid w:val="00DD4723"/>
    <w:rsid w:val="00DD4BD7"/>
    <w:rsid w:val="00DD586C"/>
    <w:rsid w:val="00DD607A"/>
    <w:rsid w:val="00DD6602"/>
    <w:rsid w:val="00DD6AD4"/>
    <w:rsid w:val="00DD6C35"/>
    <w:rsid w:val="00DD6E0F"/>
    <w:rsid w:val="00DE0140"/>
    <w:rsid w:val="00DE1DFF"/>
    <w:rsid w:val="00DE2023"/>
    <w:rsid w:val="00DE26D4"/>
    <w:rsid w:val="00DE283E"/>
    <w:rsid w:val="00DE2F43"/>
    <w:rsid w:val="00DE3429"/>
    <w:rsid w:val="00DE3666"/>
    <w:rsid w:val="00DE3B04"/>
    <w:rsid w:val="00DE3B28"/>
    <w:rsid w:val="00DE3E1D"/>
    <w:rsid w:val="00DE49EF"/>
    <w:rsid w:val="00DE49F3"/>
    <w:rsid w:val="00DE540F"/>
    <w:rsid w:val="00DE567C"/>
    <w:rsid w:val="00DE7212"/>
    <w:rsid w:val="00DE73EB"/>
    <w:rsid w:val="00DE792F"/>
    <w:rsid w:val="00DF0251"/>
    <w:rsid w:val="00DF0ED4"/>
    <w:rsid w:val="00DF126D"/>
    <w:rsid w:val="00DF1775"/>
    <w:rsid w:val="00DF1E87"/>
    <w:rsid w:val="00DF2251"/>
    <w:rsid w:val="00DF3714"/>
    <w:rsid w:val="00DF3810"/>
    <w:rsid w:val="00DF38FD"/>
    <w:rsid w:val="00DF4094"/>
    <w:rsid w:val="00DF40DC"/>
    <w:rsid w:val="00DF46A8"/>
    <w:rsid w:val="00DF618A"/>
    <w:rsid w:val="00DF6273"/>
    <w:rsid w:val="00DF62FC"/>
    <w:rsid w:val="00DF6AC3"/>
    <w:rsid w:val="00DF7299"/>
    <w:rsid w:val="00DF7B0C"/>
    <w:rsid w:val="00E00152"/>
    <w:rsid w:val="00E00367"/>
    <w:rsid w:val="00E0094E"/>
    <w:rsid w:val="00E01CB9"/>
    <w:rsid w:val="00E021C1"/>
    <w:rsid w:val="00E021FF"/>
    <w:rsid w:val="00E022D0"/>
    <w:rsid w:val="00E024F6"/>
    <w:rsid w:val="00E03289"/>
    <w:rsid w:val="00E058AB"/>
    <w:rsid w:val="00E06A6E"/>
    <w:rsid w:val="00E06AB2"/>
    <w:rsid w:val="00E07572"/>
    <w:rsid w:val="00E0766C"/>
    <w:rsid w:val="00E077E0"/>
    <w:rsid w:val="00E07DF9"/>
    <w:rsid w:val="00E100A8"/>
    <w:rsid w:val="00E10128"/>
    <w:rsid w:val="00E10D48"/>
    <w:rsid w:val="00E10FAA"/>
    <w:rsid w:val="00E111E2"/>
    <w:rsid w:val="00E11DA7"/>
    <w:rsid w:val="00E11E8C"/>
    <w:rsid w:val="00E12CE4"/>
    <w:rsid w:val="00E12D1C"/>
    <w:rsid w:val="00E12F11"/>
    <w:rsid w:val="00E134CD"/>
    <w:rsid w:val="00E14857"/>
    <w:rsid w:val="00E163EF"/>
    <w:rsid w:val="00E17362"/>
    <w:rsid w:val="00E17B43"/>
    <w:rsid w:val="00E2001D"/>
    <w:rsid w:val="00E201DA"/>
    <w:rsid w:val="00E203BA"/>
    <w:rsid w:val="00E2057E"/>
    <w:rsid w:val="00E208C6"/>
    <w:rsid w:val="00E2091F"/>
    <w:rsid w:val="00E21E01"/>
    <w:rsid w:val="00E21F25"/>
    <w:rsid w:val="00E222A3"/>
    <w:rsid w:val="00E22388"/>
    <w:rsid w:val="00E22555"/>
    <w:rsid w:val="00E23686"/>
    <w:rsid w:val="00E23DE1"/>
    <w:rsid w:val="00E23E9F"/>
    <w:rsid w:val="00E2447B"/>
    <w:rsid w:val="00E2453B"/>
    <w:rsid w:val="00E25538"/>
    <w:rsid w:val="00E25E49"/>
    <w:rsid w:val="00E30350"/>
    <w:rsid w:val="00E31E8A"/>
    <w:rsid w:val="00E329BA"/>
    <w:rsid w:val="00E3343C"/>
    <w:rsid w:val="00E3350E"/>
    <w:rsid w:val="00E337FC"/>
    <w:rsid w:val="00E350F7"/>
    <w:rsid w:val="00E36A2F"/>
    <w:rsid w:val="00E379D7"/>
    <w:rsid w:val="00E37F3F"/>
    <w:rsid w:val="00E4081F"/>
    <w:rsid w:val="00E41254"/>
    <w:rsid w:val="00E42BC1"/>
    <w:rsid w:val="00E42C43"/>
    <w:rsid w:val="00E43021"/>
    <w:rsid w:val="00E435A9"/>
    <w:rsid w:val="00E43CCD"/>
    <w:rsid w:val="00E43FB6"/>
    <w:rsid w:val="00E448E6"/>
    <w:rsid w:val="00E44BE9"/>
    <w:rsid w:val="00E4604D"/>
    <w:rsid w:val="00E463AE"/>
    <w:rsid w:val="00E4674D"/>
    <w:rsid w:val="00E46E35"/>
    <w:rsid w:val="00E470EA"/>
    <w:rsid w:val="00E47841"/>
    <w:rsid w:val="00E5036E"/>
    <w:rsid w:val="00E508B5"/>
    <w:rsid w:val="00E5183E"/>
    <w:rsid w:val="00E5251F"/>
    <w:rsid w:val="00E52C3B"/>
    <w:rsid w:val="00E53435"/>
    <w:rsid w:val="00E54654"/>
    <w:rsid w:val="00E54B30"/>
    <w:rsid w:val="00E54CDF"/>
    <w:rsid w:val="00E557A9"/>
    <w:rsid w:val="00E55B5E"/>
    <w:rsid w:val="00E55DF6"/>
    <w:rsid w:val="00E56F60"/>
    <w:rsid w:val="00E574CF"/>
    <w:rsid w:val="00E60079"/>
    <w:rsid w:val="00E60FA0"/>
    <w:rsid w:val="00E613E7"/>
    <w:rsid w:val="00E6171B"/>
    <w:rsid w:val="00E61D94"/>
    <w:rsid w:val="00E62113"/>
    <w:rsid w:val="00E62BD7"/>
    <w:rsid w:val="00E63043"/>
    <w:rsid w:val="00E6330A"/>
    <w:rsid w:val="00E63415"/>
    <w:rsid w:val="00E63FFA"/>
    <w:rsid w:val="00E64E52"/>
    <w:rsid w:val="00E65224"/>
    <w:rsid w:val="00E65DA9"/>
    <w:rsid w:val="00E662B4"/>
    <w:rsid w:val="00E663F0"/>
    <w:rsid w:val="00E66651"/>
    <w:rsid w:val="00E66C57"/>
    <w:rsid w:val="00E70208"/>
    <w:rsid w:val="00E70CB6"/>
    <w:rsid w:val="00E70DAA"/>
    <w:rsid w:val="00E70EBA"/>
    <w:rsid w:val="00E726CA"/>
    <w:rsid w:val="00E72BE8"/>
    <w:rsid w:val="00E763B5"/>
    <w:rsid w:val="00E7674D"/>
    <w:rsid w:val="00E76A7A"/>
    <w:rsid w:val="00E779EB"/>
    <w:rsid w:val="00E77C90"/>
    <w:rsid w:val="00E8057D"/>
    <w:rsid w:val="00E816DF"/>
    <w:rsid w:val="00E84443"/>
    <w:rsid w:val="00E848AE"/>
    <w:rsid w:val="00E85360"/>
    <w:rsid w:val="00E85AA1"/>
    <w:rsid w:val="00E85E87"/>
    <w:rsid w:val="00E864DE"/>
    <w:rsid w:val="00E901BF"/>
    <w:rsid w:val="00E9147C"/>
    <w:rsid w:val="00E92AB7"/>
    <w:rsid w:val="00E92E9C"/>
    <w:rsid w:val="00E94465"/>
    <w:rsid w:val="00E94BAE"/>
    <w:rsid w:val="00E94BF9"/>
    <w:rsid w:val="00E94D07"/>
    <w:rsid w:val="00E96376"/>
    <w:rsid w:val="00E969A0"/>
    <w:rsid w:val="00E96C7C"/>
    <w:rsid w:val="00E970EC"/>
    <w:rsid w:val="00E974DB"/>
    <w:rsid w:val="00E975F5"/>
    <w:rsid w:val="00E97D11"/>
    <w:rsid w:val="00EA16F3"/>
    <w:rsid w:val="00EA3058"/>
    <w:rsid w:val="00EA3140"/>
    <w:rsid w:val="00EA34B1"/>
    <w:rsid w:val="00EA3A48"/>
    <w:rsid w:val="00EA4FEF"/>
    <w:rsid w:val="00EA54BE"/>
    <w:rsid w:val="00EA5B1C"/>
    <w:rsid w:val="00EA7053"/>
    <w:rsid w:val="00EA7BC7"/>
    <w:rsid w:val="00EB0291"/>
    <w:rsid w:val="00EB0A5D"/>
    <w:rsid w:val="00EB1070"/>
    <w:rsid w:val="00EB2610"/>
    <w:rsid w:val="00EB2AC8"/>
    <w:rsid w:val="00EB2B9F"/>
    <w:rsid w:val="00EB2F4E"/>
    <w:rsid w:val="00EB406A"/>
    <w:rsid w:val="00EB41C6"/>
    <w:rsid w:val="00EB550A"/>
    <w:rsid w:val="00EB6481"/>
    <w:rsid w:val="00EB7D0B"/>
    <w:rsid w:val="00EC054A"/>
    <w:rsid w:val="00EC0A84"/>
    <w:rsid w:val="00EC113C"/>
    <w:rsid w:val="00EC12EF"/>
    <w:rsid w:val="00EC15ED"/>
    <w:rsid w:val="00EC1A17"/>
    <w:rsid w:val="00EC1B4A"/>
    <w:rsid w:val="00EC2CC9"/>
    <w:rsid w:val="00EC2D12"/>
    <w:rsid w:val="00EC2EB7"/>
    <w:rsid w:val="00EC3080"/>
    <w:rsid w:val="00EC6201"/>
    <w:rsid w:val="00EC6E04"/>
    <w:rsid w:val="00EC702B"/>
    <w:rsid w:val="00EC714A"/>
    <w:rsid w:val="00EC763C"/>
    <w:rsid w:val="00EC7EB1"/>
    <w:rsid w:val="00ED043B"/>
    <w:rsid w:val="00ED10F1"/>
    <w:rsid w:val="00ED119C"/>
    <w:rsid w:val="00ED136B"/>
    <w:rsid w:val="00ED1412"/>
    <w:rsid w:val="00ED1E55"/>
    <w:rsid w:val="00ED3495"/>
    <w:rsid w:val="00ED3540"/>
    <w:rsid w:val="00ED4DBF"/>
    <w:rsid w:val="00ED6442"/>
    <w:rsid w:val="00ED644C"/>
    <w:rsid w:val="00ED7885"/>
    <w:rsid w:val="00ED78A4"/>
    <w:rsid w:val="00EE0041"/>
    <w:rsid w:val="00EE0367"/>
    <w:rsid w:val="00EE11BC"/>
    <w:rsid w:val="00EE1552"/>
    <w:rsid w:val="00EE178C"/>
    <w:rsid w:val="00EE2E75"/>
    <w:rsid w:val="00EE314E"/>
    <w:rsid w:val="00EE37DC"/>
    <w:rsid w:val="00EE39A3"/>
    <w:rsid w:val="00EE4384"/>
    <w:rsid w:val="00EE60BA"/>
    <w:rsid w:val="00EE6381"/>
    <w:rsid w:val="00EE71D3"/>
    <w:rsid w:val="00EE7F18"/>
    <w:rsid w:val="00EF0163"/>
    <w:rsid w:val="00EF055F"/>
    <w:rsid w:val="00EF0821"/>
    <w:rsid w:val="00EF1393"/>
    <w:rsid w:val="00EF158D"/>
    <w:rsid w:val="00EF218E"/>
    <w:rsid w:val="00EF3851"/>
    <w:rsid w:val="00EF3A28"/>
    <w:rsid w:val="00EF3C89"/>
    <w:rsid w:val="00EF3E8F"/>
    <w:rsid w:val="00EF4068"/>
    <w:rsid w:val="00EF435F"/>
    <w:rsid w:val="00EF46CA"/>
    <w:rsid w:val="00EF4ED4"/>
    <w:rsid w:val="00EF5031"/>
    <w:rsid w:val="00EF666C"/>
    <w:rsid w:val="00EF6FB4"/>
    <w:rsid w:val="00EF7066"/>
    <w:rsid w:val="00EF738B"/>
    <w:rsid w:val="00EF754B"/>
    <w:rsid w:val="00EF7CAC"/>
    <w:rsid w:val="00F0041B"/>
    <w:rsid w:val="00F03139"/>
    <w:rsid w:val="00F0340E"/>
    <w:rsid w:val="00F034BC"/>
    <w:rsid w:val="00F03AC1"/>
    <w:rsid w:val="00F04856"/>
    <w:rsid w:val="00F05BBB"/>
    <w:rsid w:val="00F06375"/>
    <w:rsid w:val="00F06426"/>
    <w:rsid w:val="00F06453"/>
    <w:rsid w:val="00F065F2"/>
    <w:rsid w:val="00F0726B"/>
    <w:rsid w:val="00F079AF"/>
    <w:rsid w:val="00F10997"/>
    <w:rsid w:val="00F110D9"/>
    <w:rsid w:val="00F11C10"/>
    <w:rsid w:val="00F11C2D"/>
    <w:rsid w:val="00F11E6D"/>
    <w:rsid w:val="00F12F55"/>
    <w:rsid w:val="00F13516"/>
    <w:rsid w:val="00F13C23"/>
    <w:rsid w:val="00F14173"/>
    <w:rsid w:val="00F145DA"/>
    <w:rsid w:val="00F155CC"/>
    <w:rsid w:val="00F16038"/>
    <w:rsid w:val="00F166BC"/>
    <w:rsid w:val="00F171E0"/>
    <w:rsid w:val="00F17491"/>
    <w:rsid w:val="00F174B5"/>
    <w:rsid w:val="00F20321"/>
    <w:rsid w:val="00F20471"/>
    <w:rsid w:val="00F20515"/>
    <w:rsid w:val="00F20FA8"/>
    <w:rsid w:val="00F213BB"/>
    <w:rsid w:val="00F21D67"/>
    <w:rsid w:val="00F22183"/>
    <w:rsid w:val="00F23675"/>
    <w:rsid w:val="00F2469D"/>
    <w:rsid w:val="00F248A7"/>
    <w:rsid w:val="00F25D1D"/>
    <w:rsid w:val="00F26F57"/>
    <w:rsid w:val="00F30A93"/>
    <w:rsid w:val="00F31F7E"/>
    <w:rsid w:val="00F3313D"/>
    <w:rsid w:val="00F33A8E"/>
    <w:rsid w:val="00F3429D"/>
    <w:rsid w:val="00F34F09"/>
    <w:rsid w:val="00F3504C"/>
    <w:rsid w:val="00F3598A"/>
    <w:rsid w:val="00F35C71"/>
    <w:rsid w:val="00F35CE5"/>
    <w:rsid w:val="00F35D7B"/>
    <w:rsid w:val="00F37D7A"/>
    <w:rsid w:val="00F4059C"/>
    <w:rsid w:val="00F4151B"/>
    <w:rsid w:val="00F41771"/>
    <w:rsid w:val="00F41DF1"/>
    <w:rsid w:val="00F42408"/>
    <w:rsid w:val="00F434AB"/>
    <w:rsid w:val="00F436FF"/>
    <w:rsid w:val="00F438D7"/>
    <w:rsid w:val="00F454C8"/>
    <w:rsid w:val="00F454F2"/>
    <w:rsid w:val="00F46179"/>
    <w:rsid w:val="00F4653F"/>
    <w:rsid w:val="00F47BDC"/>
    <w:rsid w:val="00F50131"/>
    <w:rsid w:val="00F506BC"/>
    <w:rsid w:val="00F51AD8"/>
    <w:rsid w:val="00F52D44"/>
    <w:rsid w:val="00F53554"/>
    <w:rsid w:val="00F53792"/>
    <w:rsid w:val="00F53863"/>
    <w:rsid w:val="00F56755"/>
    <w:rsid w:val="00F5678B"/>
    <w:rsid w:val="00F57E83"/>
    <w:rsid w:val="00F61004"/>
    <w:rsid w:val="00F61A25"/>
    <w:rsid w:val="00F62FC9"/>
    <w:rsid w:val="00F634AD"/>
    <w:rsid w:val="00F6504D"/>
    <w:rsid w:val="00F65179"/>
    <w:rsid w:val="00F65398"/>
    <w:rsid w:val="00F655CD"/>
    <w:rsid w:val="00F6582C"/>
    <w:rsid w:val="00F65A85"/>
    <w:rsid w:val="00F66940"/>
    <w:rsid w:val="00F67028"/>
    <w:rsid w:val="00F67963"/>
    <w:rsid w:val="00F700A1"/>
    <w:rsid w:val="00F70C7B"/>
    <w:rsid w:val="00F7110B"/>
    <w:rsid w:val="00F71659"/>
    <w:rsid w:val="00F720C0"/>
    <w:rsid w:val="00F72108"/>
    <w:rsid w:val="00F722A3"/>
    <w:rsid w:val="00F73A29"/>
    <w:rsid w:val="00F73BEB"/>
    <w:rsid w:val="00F74738"/>
    <w:rsid w:val="00F7474F"/>
    <w:rsid w:val="00F7518C"/>
    <w:rsid w:val="00F75C1B"/>
    <w:rsid w:val="00F76276"/>
    <w:rsid w:val="00F765D7"/>
    <w:rsid w:val="00F7759C"/>
    <w:rsid w:val="00F7776E"/>
    <w:rsid w:val="00F8039F"/>
    <w:rsid w:val="00F80C43"/>
    <w:rsid w:val="00F815ED"/>
    <w:rsid w:val="00F83B6D"/>
    <w:rsid w:val="00F83B8A"/>
    <w:rsid w:val="00F84331"/>
    <w:rsid w:val="00F84388"/>
    <w:rsid w:val="00F84C2F"/>
    <w:rsid w:val="00F85C16"/>
    <w:rsid w:val="00F86126"/>
    <w:rsid w:val="00F8661E"/>
    <w:rsid w:val="00F8664C"/>
    <w:rsid w:val="00F86693"/>
    <w:rsid w:val="00F86E09"/>
    <w:rsid w:val="00F86F9C"/>
    <w:rsid w:val="00F871B2"/>
    <w:rsid w:val="00F87285"/>
    <w:rsid w:val="00F877D7"/>
    <w:rsid w:val="00F90D4A"/>
    <w:rsid w:val="00F91BE5"/>
    <w:rsid w:val="00F92167"/>
    <w:rsid w:val="00F927E5"/>
    <w:rsid w:val="00F93CB6"/>
    <w:rsid w:val="00F952A3"/>
    <w:rsid w:val="00F966A0"/>
    <w:rsid w:val="00F96A55"/>
    <w:rsid w:val="00F96FA9"/>
    <w:rsid w:val="00F96FFF"/>
    <w:rsid w:val="00FA0550"/>
    <w:rsid w:val="00FA0C90"/>
    <w:rsid w:val="00FA1A9E"/>
    <w:rsid w:val="00FA2D07"/>
    <w:rsid w:val="00FA30F9"/>
    <w:rsid w:val="00FA3621"/>
    <w:rsid w:val="00FA3EB0"/>
    <w:rsid w:val="00FA40C7"/>
    <w:rsid w:val="00FA4B69"/>
    <w:rsid w:val="00FA51B0"/>
    <w:rsid w:val="00FA6060"/>
    <w:rsid w:val="00FA6F7F"/>
    <w:rsid w:val="00FA7140"/>
    <w:rsid w:val="00FB0068"/>
    <w:rsid w:val="00FB160A"/>
    <w:rsid w:val="00FB18AF"/>
    <w:rsid w:val="00FB21C4"/>
    <w:rsid w:val="00FB2568"/>
    <w:rsid w:val="00FB2B6E"/>
    <w:rsid w:val="00FB37B6"/>
    <w:rsid w:val="00FB3B3A"/>
    <w:rsid w:val="00FB4673"/>
    <w:rsid w:val="00FB498F"/>
    <w:rsid w:val="00FB57EA"/>
    <w:rsid w:val="00FB5E24"/>
    <w:rsid w:val="00FB61D4"/>
    <w:rsid w:val="00FB64CC"/>
    <w:rsid w:val="00FB6507"/>
    <w:rsid w:val="00FB6B68"/>
    <w:rsid w:val="00FB6DC4"/>
    <w:rsid w:val="00FC07EF"/>
    <w:rsid w:val="00FC136C"/>
    <w:rsid w:val="00FC1643"/>
    <w:rsid w:val="00FC1940"/>
    <w:rsid w:val="00FC1E6D"/>
    <w:rsid w:val="00FC24AD"/>
    <w:rsid w:val="00FC3DC0"/>
    <w:rsid w:val="00FC431A"/>
    <w:rsid w:val="00FC5D74"/>
    <w:rsid w:val="00FC6230"/>
    <w:rsid w:val="00FC65A1"/>
    <w:rsid w:val="00FC6D45"/>
    <w:rsid w:val="00FC6F70"/>
    <w:rsid w:val="00FC7136"/>
    <w:rsid w:val="00FC7E53"/>
    <w:rsid w:val="00FD028A"/>
    <w:rsid w:val="00FD0553"/>
    <w:rsid w:val="00FD0D2C"/>
    <w:rsid w:val="00FD0EB6"/>
    <w:rsid w:val="00FD172D"/>
    <w:rsid w:val="00FD19E6"/>
    <w:rsid w:val="00FD1AAA"/>
    <w:rsid w:val="00FD26A5"/>
    <w:rsid w:val="00FD2F27"/>
    <w:rsid w:val="00FD4209"/>
    <w:rsid w:val="00FD45C0"/>
    <w:rsid w:val="00FD46C9"/>
    <w:rsid w:val="00FD4700"/>
    <w:rsid w:val="00FD4C02"/>
    <w:rsid w:val="00FD6D3C"/>
    <w:rsid w:val="00FD77F8"/>
    <w:rsid w:val="00FD7A40"/>
    <w:rsid w:val="00FE023C"/>
    <w:rsid w:val="00FE1597"/>
    <w:rsid w:val="00FE217C"/>
    <w:rsid w:val="00FE3439"/>
    <w:rsid w:val="00FE6285"/>
    <w:rsid w:val="00FE6301"/>
    <w:rsid w:val="00FE6500"/>
    <w:rsid w:val="00FE72ED"/>
    <w:rsid w:val="00FE78FD"/>
    <w:rsid w:val="00FF0E3F"/>
    <w:rsid w:val="00FF10D8"/>
    <w:rsid w:val="00FF1CF5"/>
    <w:rsid w:val="00FF2D4B"/>
    <w:rsid w:val="00FF30D5"/>
    <w:rsid w:val="00FF3569"/>
    <w:rsid w:val="00FF3635"/>
    <w:rsid w:val="00FF38B7"/>
    <w:rsid w:val="00FF3F6D"/>
    <w:rsid w:val="00FF4331"/>
    <w:rsid w:val="00FF59E7"/>
    <w:rsid w:val="00FF5BF8"/>
    <w:rsid w:val="00FF5C37"/>
    <w:rsid w:val="00FF5E5F"/>
    <w:rsid w:val="00FF7327"/>
    <w:rsid w:val="00FF74F5"/>
    <w:rsid w:val="00FF7CA1"/>
    <w:rsid w:val="00FF7F4E"/>
    <w:rsid w:val="6B4F90D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56CF"/>
    <w:pPr>
      <w:tabs>
        <w:tab w:val="left" w:pos="720"/>
      </w:tabs>
      <w:spacing w:after="0" w:line="480" w:lineRule="atLeast"/>
    </w:pPr>
    <w:rPr>
      <w:rFonts w:cs="Times New Roman"/>
    </w:rPr>
  </w:style>
  <w:style w:type="paragraph" w:styleId="Heading1">
    <w:name w:val="heading 1"/>
    <w:basedOn w:val="Normal"/>
    <w:next w:val="Normal"/>
    <w:link w:val="Heading1Char"/>
    <w:uiPriority w:val="9"/>
    <w:rsid w:val="00CE17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AB4"/>
    <w:pPr>
      <w:tabs>
        <w:tab w:val="center" w:pos="4680"/>
        <w:tab w:val="right" w:pos="9360"/>
      </w:tabs>
      <w:spacing w:line="240" w:lineRule="auto"/>
    </w:pPr>
  </w:style>
  <w:style w:type="character" w:customStyle="1" w:styleId="HeaderChar">
    <w:name w:val="Header Char"/>
    <w:basedOn w:val="DefaultParagraphFont"/>
    <w:link w:val="Header"/>
    <w:uiPriority w:val="99"/>
    <w:rsid w:val="00514AB4"/>
  </w:style>
  <w:style w:type="paragraph" w:styleId="Footer">
    <w:name w:val="footer"/>
    <w:basedOn w:val="Normal"/>
    <w:link w:val="FooterChar"/>
    <w:uiPriority w:val="99"/>
    <w:unhideWhenUsed/>
    <w:rsid w:val="00514AB4"/>
    <w:pPr>
      <w:tabs>
        <w:tab w:val="center" w:pos="4680"/>
        <w:tab w:val="right" w:pos="9360"/>
      </w:tabs>
      <w:spacing w:line="240" w:lineRule="auto"/>
    </w:pPr>
  </w:style>
  <w:style w:type="character" w:customStyle="1" w:styleId="FooterChar">
    <w:name w:val="Footer Char"/>
    <w:basedOn w:val="DefaultParagraphFont"/>
    <w:link w:val="Footer"/>
    <w:uiPriority w:val="99"/>
    <w:rsid w:val="00514AB4"/>
  </w:style>
  <w:style w:type="character" w:styleId="PageNumber">
    <w:name w:val="page number"/>
    <w:basedOn w:val="DefaultParagraphFont"/>
    <w:uiPriority w:val="99"/>
    <w:semiHidden/>
    <w:unhideWhenUsed/>
    <w:rsid w:val="00514AB4"/>
  </w:style>
  <w:style w:type="paragraph" w:styleId="FootnoteText">
    <w:name w:val="footnote text"/>
    <w:link w:val="FootnoteTextChar"/>
    <w:uiPriority w:val="99"/>
    <w:unhideWhenUsed/>
    <w:rsid w:val="00514AB4"/>
    <w:pPr>
      <w:spacing w:after="0" w:line="240" w:lineRule="auto"/>
    </w:pPr>
    <w:rPr>
      <w:rFonts w:cs="Times New Roman"/>
      <w:szCs w:val="20"/>
    </w:rPr>
  </w:style>
  <w:style w:type="character" w:customStyle="1" w:styleId="FootnoteTextChar">
    <w:name w:val="Footnote Text Char"/>
    <w:basedOn w:val="DefaultParagraphFont"/>
    <w:link w:val="FootnoteText"/>
    <w:uiPriority w:val="99"/>
    <w:rsid w:val="00514AB4"/>
    <w:rPr>
      <w:rFonts w:cs="Times New Roman"/>
      <w:szCs w:val="20"/>
    </w:rPr>
  </w:style>
  <w:style w:type="paragraph" w:styleId="Title">
    <w:name w:val="Title"/>
    <w:basedOn w:val="Normal"/>
    <w:next w:val="Normal"/>
    <w:link w:val="TitleChar"/>
    <w:uiPriority w:val="10"/>
    <w:rsid w:val="008C703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03C"/>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sid w:val="00F52D44"/>
    <w:rPr>
      <w:vertAlign w:val="superscript"/>
    </w:rPr>
  </w:style>
  <w:style w:type="paragraph" w:styleId="BalloonText">
    <w:name w:val="Balloon Text"/>
    <w:basedOn w:val="Normal"/>
    <w:link w:val="BalloonTextChar"/>
    <w:uiPriority w:val="99"/>
    <w:semiHidden/>
    <w:unhideWhenUsed/>
    <w:rsid w:val="00BF2D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35"/>
    <w:rPr>
      <w:rFonts w:ascii="Segoe UI" w:hAnsi="Segoe UI" w:cs="Segoe UI"/>
      <w:sz w:val="18"/>
      <w:szCs w:val="18"/>
    </w:rPr>
  </w:style>
  <w:style w:type="paragraph" w:styleId="ListParagraph">
    <w:name w:val="List Paragraph"/>
    <w:basedOn w:val="Normal"/>
    <w:link w:val="ListParagraphChar"/>
    <w:uiPriority w:val="34"/>
    <w:rsid w:val="008A4E4D"/>
    <w:pPr>
      <w:ind w:left="720"/>
      <w:contextualSpacing/>
    </w:pPr>
  </w:style>
  <w:style w:type="character" w:styleId="Strong">
    <w:name w:val="Strong"/>
    <w:basedOn w:val="DefaultParagraphFont"/>
    <w:uiPriority w:val="22"/>
    <w:rsid w:val="004B06E2"/>
    <w:rPr>
      <w:b/>
      <w:bCs/>
    </w:rPr>
  </w:style>
  <w:style w:type="character" w:styleId="CommentReference">
    <w:name w:val="annotation reference"/>
    <w:basedOn w:val="DefaultParagraphFont"/>
    <w:uiPriority w:val="99"/>
    <w:semiHidden/>
    <w:unhideWhenUsed/>
    <w:rsid w:val="00BA3B96"/>
    <w:rPr>
      <w:sz w:val="16"/>
      <w:szCs w:val="16"/>
    </w:rPr>
  </w:style>
  <w:style w:type="paragraph" w:styleId="CommentText">
    <w:name w:val="annotation text"/>
    <w:basedOn w:val="Normal"/>
    <w:link w:val="CommentTextChar"/>
    <w:uiPriority w:val="99"/>
    <w:unhideWhenUsed/>
    <w:rsid w:val="00BA3B96"/>
    <w:pPr>
      <w:spacing w:line="240" w:lineRule="auto"/>
    </w:pPr>
    <w:rPr>
      <w:sz w:val="20"/>
      <w:szCs w:val="20"/>
    </w:rPr>
  </w:style>
  <w:style w:type="character" w:customStyle="1" w:styleId="CommentTextChar">
    <w:name w:val="Comment Text Char"/>
    <w:basedOn w:val="DefaultParagraphFont"/>
    <w:link w:val="CommentText"/>
    <w:uiPriority w:val="99"/>
    <w:rsid w:val="00BA3B96"/>
    <w:rPr>
      <w:rFonts w:cs="Times New Roman"/>
      <w:sz w:val="20"/>
      <w:szCs w:val="20"/>
    </w:rPr>
  </w:style>
  <w:style w:type="paragraph" w:styleId="CommentSubject">
    <w:name w:val="annotation subject"/>
    <w:basedOn w:val="CommentText"/>
    <w:next w:val="CommentText"/>
    <w:link w:val="CommentSubjectChar"/>
    <w:uiPriority w:val="99"/>
    <w:semiHidden/>
    <w:unhideWhenUsed/>
    <w:rsid w:val="00BA3B96"/>
    <w:rPr>
      <w:b/>
      <w:bCs/>
    </w:rPr>
  </w:style>
  <w:style w:type="character" w:customStyle="1" w:styleId="CommentSubjectChar">
    <w:name w:val="Comment Subject Char"/>
    <w:basedOn w:val="CommentTextChar"/>
    <w:link w:val="CommentSubject"/>
    <w:uiPriority w:val="99"/>
    <w:semiHidden/>
    <w:rsid w:val="00BA3B96"/>
    <w:rPr>
      <w:rFonts w:cs="Times New Roman"/>
      <w:b/>
      <w:bCs/>
      <w:sz w:val="20"/>
      <w:szCs w:val="20"/>
    </w:rPr>
  </w:style>
  <w:style w:type="paragraph" w:customStyle="1" w:styleId="Text">
    <w:name w:val="Text"/>
    <w:basedOn w:val="Normal"/>
    <w:link w:val="TextChar"/>
    <w:qFormat/>
    <w:rsid w:val="003923AF"/>
    <w:pPr>
      <w:spacing w:line="360" w:lineRule="auto"/>
      <w:ind w:firstLine="720"/>
    </w:pPr>
    <w:rPr>
      <w:rFonts w:ascii="Century Schoolbook" w:hAnsi="Century Schoolbook"/>
    </w:rPr>
  </w:style>
  <w:style w:type="character" w:customStyle="1" w:styleId="TextChar">
    <w:name w:val="Text Char"/>
    <w:basedOn w:val="DefaultParagraphFont"/>
    <w:link w:val="Text"/>
    <w:rsid w:val="003923AF"/>
    <w:rPr>
      <w:rFonts w:ascii="Century Schoolbook" w:hAnsi="Century Schoolbook" w:cs="Times New Roman"/>
    </w:rPr>
  </w:style>
  <w:style w:type="paragraph" w:customStyle="1" w:styleId="A">
    <w:name w:val="A"/>
    <w:aliases w:val="Subheading"/>
    <w:basedOn w:val="ListParagraph"/>
    <w:link w:val="AChar"/>
    <w:qFormat/>
    <w:rsid w:val="003653CE"/>
    <w:pPr>
      <w:keepNext/>
      <w:numPr>
        <w:numId w:val="5"/>
      </w:numPr>
      <w:spacing w:line="360" w:lineRule="auto"/>
      <w:ind w:hanging="720"/>
    </w:pPr>
    <w:rPr>
      <w:rFonts w:ascii="Century Schoolbook" w:hAnsi="Century Schoolbook"/>
      <w:b/>
      <w:bCs/>
      <w:i/>
    </w:rPr>
  </w:style>
  <w:style w:type="paragraph" w:customStyle="1" w:styleId="Heading">
    <w:name w:val="Heading"/>
    <w:basedOn w:val="Normal"/>
    <w:link w:val="HeadingChar"/>
    <w:qFormat/>
    <w:rsid w:val="004B60F3"/>
    <w:pPr>
      <w:keepNext/>
      <w:spacing w:line="360" w:lineRule="auto"/>
      <w:jc w:val="center"/>
    </w:pPr>
    <w:rPr>
      <w:rFonts w:ascii="Century Schoolbook" w:hAnsi="Century Schoolbook"/>
      <w:b/>
      <w:bCs/>
    </w:rPr>
  </w:style>
  <w:style w:type="character" w:customStyle="1" w:styleId="ListParagraphChar">
    <w:name w:val="List Paragraph Char"/>
    <w:basedOn w:val="DefaultParagraphFont"/>
    <w:link w:val="ListParagraph"/>
    <w:uiPriority w:val="34"/>
    <w:rsid w:val="003653CE"/>
    <w:rPr>
      <w:rFonts w:cs="Times New Roman"/>
    </w:rPr>
  </w:style>
  <w:style w:type="character" w:customStyle="1" w:styleId="AChar">
    <w:name w:val="A Char"/>
    <w:aliases w:val="Subheading Char"/>
    <w:basedOn w:val="ListParagraphChar"/>
    <w:link w:val="A"/>
    <w:rsid w:val="003653CE"/>
    <w:rPr>
      <w:rFonts w:ascii="Century Schoolbook" w:hAnsi="Century Schoolbook" w:cs="Times New Roman"/>
      <w:b/>
      <w:bCs/>
      <w:i/>
    </w:rPr>
  </w:style>
  <w:style w:type="paragraph" w:customStyle="1" w:styleId="ISubheading">
    <w:name w:val="I. Subheading"/>
    <w:basedOn w:val="ListParagraph"/>
    <w:link w:val="ISubheadingChar"/>
    <w:qFormat/>
    <w:rsid w:val="00213E66"/>
    <w:pPr>
      <w:numPr>
        <w:numId w:val="1"/>
      </w:numPr>
      <w:spacing w:line="360" w:lineRule="auto"/>
      <w:ind w:hanging="1080"/>
    </w:pPr>
    <w:rPr>
      <w:rFonts w:ascii="Century Schoolbook" w:hAnsi="Century Schoolbook"/>
      <w:b/>
      <w:bCs/>
      <w:i/>
    </w:rPr>
  </w:style>
  <w:style w:type="character" w:customStyle="1" w:styleId="HeadingChar">
    <w:name w:val="Heading Char"/>
    <w:basedOn w:val="DefaultParagraphFont"/>
    <w:link w:val="Heading"/>
    <w:rsid w:val="004B60F3"/>
    <w:rPr>
      <w:rFonts w:ascii="Century Schoolbook" w:hAnsi="Century Schoolbook" w:cs="Times New Roman"/>
      <w:b/>
      <w:bCs/>
    </w:rPr>
  </w:style>
  <w:style w:type="paragraph" w:customStyle="1" w:styleId="aSubheading">
    <w:name w:val="a. Subheading"/>
    <w:basedOn w:val="ListParagraph"/>
    <w:link w:val="aSubheadingChar"/>
    <w:qFormat/>
    <w:rsid w:val="000306B1"/>
    <w:pPr>
      <w:keepNext/>
      <w:numPr>
        <w:ilvl w:val="1"/>
        <w:numId w:val="1"/>
      </w:numPr>
      <w:spacing w:after="120" w:line="240" w:lineRule="auto"/>
    </w:pPr>
    <w:rPr>
      <w:rFonts w:ascii="Century Schoolbook" w:hAnsi="Century Schoolbook"/>
      <w:b/>
      <w:bCs/>
      <w:i/>
    </w:rPr>
  </w:style>
  <w:style w:type="character" w:customStyle="1" w:styleId="ISubheadingChar">
    <w:name w:val="I. Subheading Char"/>
    <w:basedOn w:val="ListParagraphChar"/>
    <w:link w:val="ISubheading"/>
    <w:rsid w:val="00213E66"/>
    <w:rPr>
      <w:rFonts w:ascii="Century Schoolbook" w:hAnsi="Century Schoolbook" w:cs="Times New Roman"/>
      <w:b/>
      <w:bCs/>
      <w:i/>
    </w:rPr>
  </w:style>
  <w:style w:type="character" w:customStyle="1" w:styleId="aSubheadingChar">
    <w:name w:val="a. Subheading Char"/>
    <w:basedOn w:val="ListParagraphChar"/>
    <w:link w:val="aSubheading"/>
    <w:rsid w:val="000306B1"/>
    <w:rPr>
      <w:rFonts w:ascii="Century Schoolbook" w:hAnsi="Century Schoolbook" w:cs="Times New Roman"/>
      <w:b/>
      <w:bCs/>
      <w:i/>
    </w:rPr>
  </w:style>
  <w:style w:type="character" w:customStyle="1" w:styleId="ssrfcpassagedeactivated">
    <w:name w:val="ss_rfcpassage_deactivated"/>
    <w:basedOn w:val="DefaultParagraphFont"/>
    <w:rsid w:val="00DF7299"/>
  </w:style>
  <w:style w:type="character" w:styleId="Hyperlink">
    <w:name w:val="Hyperlink"/>
    <w:basedOn w:val="DefaultParagraphFont"/>
    <w:uiPriority w:val="99"/>
    <w:semiHidden/>
    <w:unhideWhenUsed/>
    <w:rsid w:val="00DF7299"/>
    <w:rPr>
      <w:color w:val="0000FF"/>
      <w:u w:val="single"/>
    </w:rPr>
  </w:style>
  <w:style w:type="character" w:customStyle="1" w:styleId="ssit">
    <w:name w:val="ss_it"/>
    <w:basedOn w:val="DefaultParagraphFont"/>
    <w:rsid w:val="00DF7299"/>
  </w:style>
  <w:style w:type="character" w:customStyle="1" w:styleId="ssprior">
    <w:name w:val="ss_prior"/>
    <w:basedOn w:val="DefaultParagraphFont"/>
    <w:rsid w:val="00DF7299"/>
  </w:style>
  <w:style w:type="character" w:customStyle="1" w:styleId="ssib">
    <w:name w:val="ss_ib"/>
    <w:basedOn w:val="DefaultParagraphFont"/>
    <w:rsid w:val="00DF7299"/>
  </w:style>
  <w:style w:type="character" w:customStyle="1" w:styleId="ssbf">
    <w:name w:val="ss_bf"/>
    <w:basedOn w:val="DefaultParagraphFont"/>
    <w:rsid w:val="00DF7299"/>
  </w:style>
  <w:style w:type="paragraph" w:styleId="NormalWeb">
    <w:name w:val="Normal (Web)"/>
    <w:basedOn w:val="Normal"/>
    <w:uiPriority w:val="99"/>
    <w:unhideWhenUsed/>
    <w:rsid w:val="009E0F90"/>
    <w:pPr>
      <w:tabs>
        <w:tab w:val="clear" w:pos="720"/>
      </w:tabs>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CE1781"/>
    <w:rPr>
      <w:rFonts w:asciiTheme="majorHAnsi" w:eastAsiaTheme="majorEastAsia" w:hAnsiTheme="majorHAnsi" w:cstheme="majorBidi"/>
      <w:color w:val="2F5496" w:themeColor="accent1" w:themeShade="BF"/>
      <w:sz w:val="32"/>
      <w:szCs w:val="32"/>
    </w:rPr>
  </w:style>
  <w:style w:type="character" w:customStyle="1" w:styleId="sssh">
    <w:name w:val="ss_sh"/>
    <w:basedOn w:val="DefaultParagraphFont"/>
    <w:rsid w:val="008670DC"/>
  </w:style>
  <w:style w:type="paragraph" w:styleId="Revision">
    <w:name w:val="Revision"/>
    <w:hidden/>
    <w:uiPriority w:val="99"/>
    <w:semiHidden/>
    <w:rsid w:val="00AF089D"/>
    <w:pPr>
      <w:spacing w:after="0" w:line="240" w:lineRule="auto"/>
    </w:pPr>
    <w:rPr>
      <w:rFonts w:cs="Times New Roman"/>
    </w:rPr>
  </w:style>
  <w:style w:type="character" w:customStyle="1" w:styleId="ac">
    <w:name w:val="ac"/>
    <w:basedOn w:val="DefaultParagraphFont"/>
    <w:rsid w:val="005B513F"/>
  </w:style>
  <w:style w:type="character" w:customStyle="1" w:styleId="ssrfcsection">
    <w:name w:val="ss_rfcsection"/>
    <w:basedOn w:val="DefaultParagraphFont"/>
    <w:rsid w:val="005B513F"/>
  </w:style>
  <w:style w:type="character" w:customStyle="1" w:styleId="ssun">
    <w:name w:val="ss_un"/>
    <w:basedOn w:val="DefaultParagraphFont"/>
    <w:rsid w:val="005E51D0"/>
  </w:style>
  <w:style w:type="paragraph" w:customStyle="1" w:styleId="ssinlinetext">
    <w:name w:val="ss_inlinetext"/>
    <w:basedOn w:val="Normal"/>
    <w:rsid w:val="00F86F9C"/>
    <w:pPr>
      <w:tabs>
        <w:tab w:val="clear" w:pos="720"/>
      </w:tabs>
      <w:spacing w:before="100" w:beforeAutospacing="1" w:after="100" w:afterAutospacing="1" w:line="240" w:lineRule="auto"/>
    </w:pPr>
    <w:rPr>
      <w:rFonts w:eastAsia="Times New Roman"/>
      <w:sz w:val="24"/>
      <w:szCs w:val="24"/>
    </w:rPr>
  </w:style>
  <w:style w:type="character" w:customStyle="1" w:styleId="markomdw03dnu">
    <w:name w:val="markomdw03dnu"/>
    <w:basedOn w:val="DefaultParagraphFont"/>
    <w:rsid w:val="00B2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AD4FA-E2EA-477C-AD61-C29A5FF5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8603</Words>
  <Characters>49040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2023-12-18T19:31:58Z</dcterms:created>
  <dcterms:modified xsi:type="dcterms:W3CDTF">2023-12-18T19:31:58Z</dcterms:modified>
</cp:coreProperties>
</file>