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CF3F" w14:textId="77777777" w:rsidR="00827D11" w:rsidRPr="00384B8C" w:rsidRDefault="003C74B7" w:rsidP="00827D11">
      <w:pPr>
        <w:spacing w:line="480" w:lineRule="auto"/>
        <w:ind w:firstLine="0"/>
        <w:rPr>
          <w:sz w:val="20"/>
        </w:rPr>
      </w:pPr>
      <w:r w:rsidRPr="00384B8C">
        <w:rPr>
          <w:sz w:val="20"/>
        </w:rPr>
        <w:t>Filed 12/</w:t>
      </w:r>
      <w:r w:rsidR="00C26B5F" w:rsidRPr="00384B8C">
        <w:rPr>
          <w:sz w:val="20"/>
        </w:rPr>
        <w:t>22</w:t>
      </w:r>
      <w:r w:rsidRPr="00384B8C">
        <w:rPr>
          <w:sz w:val="20"/>
        </w:rPr>
        <w:t>/23</w:t>
      </w:r>
    </w:p>
    <w:p w14:paraId="5A41CF40" w14:textId="77777777" w:rsidR="00827D11" w:rsidRPr="00827D11" w:rsidRDefault="003C74B7" w:rsidP="00827D11">
      <w:pPr>
        <w:spacing w:line="480" w:lineRule="auto"/>
        <w:ind w:firstLine="0"/>
        <w:jc w:val="center"/>
        <w:rPr>
          <w:b/>
        </w:rPr>
      </w:pPr>
      <w:r>
        <w:rPr>
          <w:b/>
        </w:rPr>
        <w:t>CERTIFIED FOR PUBLICATION</w:t>
      </w:r>
    </w:p>
    <w:p w14:paraId="5A41CF41" w14:textId="77777777" w:rsidR="00737B68" w:rsidRPr="00944C2C" w:rsidRDefault="003C74B7" w:rsidP="00827D11">
      <w:pPr>
        <w:spacing w:line="480" w:lineRule="auto"/>
        <w:ind w:firstLine="0"/>
        <w:jc w:val="center"/>
      </w:pPr>
      <w:r w:rsidRPr="00944C2C">
        <w:t>IN THE COURT OF APPEAL OF THE STATE OF CALIFORNIA</w:t>
      </w:r>
    </w:p>
    <w:p w14:paraId="5A41CF42" w14:textId="77777777" w:rsidR="00737B68" w:rsidRDefault="003C74B7" w:rsidP="00F85CE6">
      <w:pPr>
        <w:spacing w:line="480" w:lineRule="auto"/>
        <w:ind w:firstLine="0"/>
        <w:jc w:val="center"/>
      </w:pPr>
      <w:r>
        <w:t>FIRST APPELLATE DISTRICT</w:t>
      </w:r>
    </w:p>
    <w:p w14:paraId="5A41CF43" w14:textId="77777777" w:rsidR="00737B68" w:rsidRDefault="003C74B7" w:rsidP="00F85CE6">
      <w:pPr>
        <w:spacing w:line="480" w:lineRule="auto"/>
        <w:ind w:firstLine="0"/>
        <w:jc w:val="center"/>
      </w:pPr>
      <w:r>
        <w:t>DIVISION FOUR</w:t>
      </w:r>
    </w:p>
    <w:p w14:paraId="5A41CF44" w14:textId="77777777" w:rsidR="00737B68" w:rsidRDefault="00737B68" w:rsidP="00F85CE6">
      <w:pPr>
        <w:spacing w:line="240" w:lineRule="auto"/>
        <w:ind w:firstLine="0"/>
        <w:jc w:val="center"/>
      </w:pPr>
    </w:p>
    <w:tbl>
      <w:tblPr>
        <w:tblW w:w="0" w:type="auto"/>
        <w:tblLayout w:type="fixed"/>
        <w:tblLook w:val="0000" w:firstRow="0" w:lastRow="0" w:firstColumn="0" w:lastColumn="0" w:noHBand="0" w:noVBand="0"/>
      </w:tblPr>
      <w:tblGrid>
        <w:gridCol w:w="4680"/>
        <w:gridCol w:w="4680"/>
      </w:tblGrid>
      <w:tr w:rsidR="009C5F1C" w14:paraId="5A41CF50" w14:textId="77777777" w:rsidTr="00D05BC9">
        <w:tc>
          <w:tcPr>
            <w:tcW w:w="4680" w:type="dxa"/>
            <w:tcBorders>
              <w:bottom w:val="single" w:sz="4" w:space="0" w:color="auto"/>
              <w:right w:val="single" w:sz="4" w:space="0" w:color="auto"/>
            </w:tcBorders>
            <w:shd w:val="clear" w:color="auto" w:fill="auto"/>
          </w:tcPr>
          <w:p w14:paraId="5A41CF45" w14:textId="77777777" w:rsidR="00737B68" w:rsidRPr="005D3D64" w:rsidRDefault="003C74B7" w:rsidP="00F239EC">
            <w:pPr>
              <w:spacing w:after="120" w:line="240" w:lineRule="auto"/>
              <w:ind w:firstLine="0"/>
            </w:pPr>
            <w:r w:rsidRPr="005D3D64">
              <w:t>THE PEOPLE,</w:t>
            </w:r>
          </w:p>
          <w:p w14:paraId="5A41CF46" w14:textId="77777777" w:rsidR="00737B68" w:rsidRPr="005D3D64" w:rsidRDefault="003C74B7" w:rsidP="00F239EC">
            <w:pPr>
              <w:tabs>
                <w:tab w:val="left" w:pos="610"/>
              </w:tabs>
              <w:spacing w:after="120" w:line="240" w:lineRule="auto"/>
              <w:ind w:firstLine="0"/>
            </w:pPr>
            <w:r w:rsidRPr="005D3D64">
              <w:tab/>
              <w:t xml:space="preserve">Plaintiff and </w:t>
            </w:r>
            <w:r w:rsidR="00FC250E" w:rsidRPr="005D3D64">
              <w:t>Respondent</w:t>
            </w:r>
            <w:r w:rsidRPr="005D3D64">
              <w:t>,</w:t>
            </w:r>
          </w:p>
          <w:p w14:paraId="5A41CF47" w14:textId="77777777" w:rsidR="00737B68" w:rsidRPr="005D3D64" w:rsidRDefault="003C74B7" w:rsidP="00F239EC">
            <w:pPr>
              <w:tabs>
                <w:tab w:val="left" w:pos="1870"/>
              </w:tabs>
              <w:spacing w:after="120" w:line="240" w:lineRule="auto"/>
              <w:ind w:firstLine="0"/>
            </w:pPr>
            <w:r w:rsidRPr="005D3D64">
              <w:tab/>
              <w:t>v.</w:t>
            </w:r>
          </w:p>
          <w:p w14:paraId="5A41CF48" w14:textId="77777777" w:rsidR="00737B68" w:rsidRPr="005D3D64" w:rsidRDefault="003C74B7" w:rsidP="00F239EC">
            <w:pPr>
              <w:tabs>
                <w:tab w:val="left" w:pos="610"/>
              </w:tabs>
              <w:spacing w:line="240" w:lineRule="auto"/>
              <w:ind w:firstLine="0"/>
            </w:pPr>
            <w:r>
              <w:t>JAMES MCCRAY</w:t>
            </w:r>
            <w:r w:rsidR="00FC250E" w:rsidRPr="005D3D64">
              <w:t>,</w:t>
            </w:r>
          </w:p>
          <w:p w14:paraId="5A41CF49" w14:textId="77777777" w:rsidR="00737B68" w:rsidRPr="005D3D64" w:rsidRDefault="003C74B7" w:rsidP="00F239EC">
            <w:pPr>
              <w:tabs>
                <w:tab w:val="left" w:pos="610"/>
              </w:tabs>
              <w:spacing w:before="120" w:after="240" w:line="240" w:lineRule="auto"/>
              <w:ind w:firstLine="0"/>
            </w:pPr>
            <w:r w:rsidRPr="005D3D64">
              <w:tab/>
              <w:t xml:space="preserve">Defendant and </w:t>
            </w:r>
            <w:r w:rsidR="00FC250E" w:rsidRPr="005D3D64">
              <w:t>Appellant</w:t>
            </w:r>
            <w:r w:rsidRPr="005D3D64">
              <w:t>.</w:t>
            </w:r>
          </w:p>
        </w:tc>
        <w:tc>
          <w:tcPr>
            <w:tcW w:w="4680" w:type="dxa"/>
            <w:tcBorders>
              <w:left w:val="single" w:sz="4" w:space="0" w:color="auto"/>
            </w:tcBorders>
            <w:shd w:val="clear" w:color="auto" w:fill="auto"/>
          </w:tcPr>
          <w:p w14:paraId="5A41CF4A" w14:textId="77777777" w:rsidR="00737B68" w:rsidRPr="005D3D64" w:rsidRDefault="00737B68" w:rsidP="00E7127E">
            <w:pPr>
              <w:spacing w:after="120" w:line="240" w:lineRule="auto"/>
              <w:ind w:firstLine="0"/>
            </w:pPr>
          </w:p>
          <w:p w14:paraId="5A41CF4B" w14:textId="77777777" w:rsidR="00737B68" w:rsidRPr="005D3D64" w:rsidRDefault="003C74B7" w:rsidP="00AF290D">
            <w:pPr>
              <w:tabs>
                <w:tab w:val="left" w:pos="346"/>
              </w:tabs>
              <w:spacing w:after="240" w:line="240" w:lineRule="auto"/>
              <w:ind w:firstLine="0"/>
            </w:pPr>
            <w:r w:rsidRPr="005D3D64">
              <w:tab/>
            </w:r>
            <w:r w:rsidR="00FC250E" w:rsidRPr="005D3D64">
              <w:t>A</w:t>
            </w:r>
            <w:r w:rsidR="00AC47F7" w:rsidRPr="005D3D64">
              <w:t>16</w:t>
            </w:r>
            <w:r w:rsidR="00AD7693">
              <w:t>60</w:t>
            </w:r>
            <w:r w:rsidR="003335AE">
              <w:t>84</w:t>
            </w:r>
          </w:p>
          <w:p w14:paraId="5A41CF4C" w14:textId="77777777" w:rsidR="00AF290D" w:rsidRPr="005D3D64" w:rsidRDefault="003C74B7" w:rsidP="00AF290D">
            <w:pPr>
              <w:tabs>
                <w:tab w:val="left" w:pos="346"/>
              </w:tabs>
              <w:spacing w:line="240" w:lineRule="auto"/>
              <w:ind w:firstLine="0"/>
            </w:pPr>
            <w:r w:rsidRPr="005D3D64">
              <w:tab/>
              <w:t>(</w:t>
            </w:r>
            <w:r w:rsidR="003335AE">
              <w:t>Alameda</w:t>
            </w:r>
            <w:r w:rsidRPr="005D3D64">
              <w:t xml:space="preserve"> </w:t>
            </w:r>
            <w:r w:rsidR="009D4144" w:rsidRPr="005D3D64">
              <w:t>County Super</w:t>
            </w:r>
            <w:r w:rsidR="003E3477" w:rsidRPr="005D3D64">
              <w:t>.</w:t>
            </w:r>
            <w:r w:rsidR="009D4144" w:rsidRPr="005D3D64">
              <w:t xml:space="preserve"> C</w:t>
            </w:r>
            <w:r w:rsidR="003E3477" w:rsidRPr="005D3D64">
              <w:t>t.</w:t>
            </w:r>
          </w:p>
          <w:p w14:paraId="5A41CF4D" w14:textId="77777777" w:rsidR="00737B68" w:rsidRPr="005D3D64" w:rsidRDefault="003C74B7" w:rsidP="00AF290D">
            <w:pPr>
              <w:tabs>
                <w:tab w:val="left" w:pos="346"/>
              </w:tabs>
              <w:spacing w:line="240" w:lineRule="auto"/>
              <w:ind w:firstLine="0"/>
            </w:pPr>
            <w:r w:rsidRPr="005D3D64">
              <w:tab/>
            </w:r>
            <w:r w:rsidR="009D4144" w:rsidRPr="005D3D64">
              <w:t>No.</w:t>
            </w:r>
            <w:r w:rsidR="000072F4" w:rsidRPr="005D3D64">
              <w:t> </w:t>
            </w:r>
            <w:r w:rsidR="003335AE">
              <w:t>RM</w:t>
            </w:r>
            <w:r w:rsidR="00B414D9">
              <w:t>08389840</w:t>
            </w:r>
            <w:r w:rsidRPr="005D3D64">
              <w:t>)</w:t>
            </w:r>
          </w:p>
          <w:p w14:paraId="5A41CF4E" w14:textId="77777777" w:rsidR="00737B68" w:rsidRPr="005D3D64" w:rsidRDefault="00737B68" w:rsidP="00E7127E">
            <w:pPr>
              <w:tabs>
                <w:tab w:val="left" w:pos="346"/>
              </w:tabs>
              <w:spacing w:line="240" w:lineRule="auto"/>
              <w:ind w:firstLine="0"/>
            </w:pPr>
          </w:p>
          <w:p w14:paraId="5A41CF4F" w14:textId="77777777" w:rsidR="00737B68" w:rsidRPr="005D3D64" w:rsidRDefault="003C74B7" w:rsidP="00E7127E">
            <w:pPr>
              <w:tabs>
                <w:tab w:val="left" w:pos="346"/>
              </w:tabs>
              <w:spacing w:line="240" w:lineRule="auto"/>
              <w:ind w:firstLine="0"/>
            </w:pPr>
            <w:r w:rsidRPr="005D3D64">
              <w:tab/>
            </w:r>
          </w:p>
        </w:tc>
      </w:tr>
    </w:tbl>
    <w:p w14:paraId="5A41CF51" w14:textId="77777777" w:rsidR="00737B68" w:rsidRDefault="00737B68" w:rsidP="00D05BC9">
      <w:pPr>
        <w:spacing w:line="240" w:lineRule="auto"/>
      </w:pPr>
    </w:p>
    <w:p w14:paraId="5A41CF52" w14:textId="77777777" w:rsidR="00937821" w:rsidRDefault="003C74B7" w:rsidP="00A2370F">
      <w:r>
        <w:t xml:space="preserve">James McCray </w:t>
      </w:r>
      <w:r w:rsidR="00D35D65">
        <w:t xml:space="preserve">has been committed to the </w:t>
      </w:r>
      <w:r w:rsidR="006A19DA">
        <w:t xml:space="preserve">State </w:t>
      </w:r>
      <w:r w:rsidR="00D35D65">
        <w:t xml:space="preserve">Department of </w:t>
      </w:r>
      <w:r w:rsidR="006A19DA">
        <w:t>State Hospitals</w:t>
      </w:r>
      <w:r w:rsidR="00D111C1">
        <w:t xml:space="preserve"> </w:t>
      </w:r>
      <w:r w:rsidR="00D915A1">
        <w:t>(D</w:t>
      </w:r>
      <w:r w:rsidR="00FB72B6">
        <w:t xml:space="preserve">SH) </w:t>
      </w:r>
      <w:r w:rsidR="00C05D17">
        <w:t xml:space="preserve">for </w:t>
      </w:r>
      <w:r w:rsidR="00A64917">
        <w:t xml:space="preserve">a </w:t>
      </w:r>
      <w:r w:rsidR="00C05D17">
        <w:t xml:space="preserve">series of one-year terms </w:t>
      </w:r>
      <w:proofErr w:type="gramStart"/>
      <w:r w:rsidR="00991B6A">
        <w:t>more or less continuously</w:t>
      </w:r>
      <w:proofErr w:type="gramEnd"/>
      <w:r w:rsidR="00991B6A">
        <w:t xml:space="preserve"> </w:t>
      </w:r>
      <w:r w:rsidR="00C05D17">
        <w:t>since 200</w:t>
      </w:r>
      <w:r w:rsidR="000E4765">
        <w:t>5</w:t>
      </w:r>
      <w:r w:rsidR="00734030">
        <w:t xml:space="preserve"> under the statutory scheme </w:t>
      </w:r>
      <w:r w:rsidR="00734030" w:rsidRPr="006D7C58">
        <w:t xml:space="preserve">governing </w:t>
      </w:r>
      <w:r w:rsidR="00734030" w:rsidRPr="00E638B7">
        <w:rPr>
          <w:rFonts w:eastAsia="Times New Roman" w:cs="Arial"/>
          <w:color w:val="000000"/>
        </w:rPr>
        <w:t xml:space="preserve">violent offenders with mental health disorders </w:t>
      </w:r>
      <w:r w:rsidR="00734030" w:rsidRPr="00765930">
        <w:rPr>
          <w:rFonts w:eastAsia="Times New Roman" w:cs="Arial"/>
          <w:color w:val="000000"/>
        </w:rPr>
        <w:t>(OMHD</w:t>
      </w:r>
      <w:r w:rsidR="00734030">
        <w:rPr>
          <w:rFonts w:eastAsia="Times New Roman" w:cs="Arial"/>
          <w:color w:val="000000"/>
        </w:rPr>
        <w:t>’</w:t>
      </w:r>
      <w:r w:rsidR="00734030" w:rsidRPr="00765930">
        <w:rPr>
          <w:rFonts w:eastAsia="Times New Roman" w:cs="Arial"/>
          <w:color w:val="000000"/>
        </w:rPr>
        <w:t>s)</w:t>
      </w:r>
      <w:r w:rsidR="00BF0BF3">
        <w:rPr>
          <w:rFonts w:eastAsia="Times New Roman" w:cs="Arial"/>
          <w:color w:val="000000"/>
        </w:rPr>
        <w:t>.</w:t>
      </w:r>
      <w:r w:rsidR="00734030" w:rsidRPr="006D7C58">
        <w:t xml:space="preserve"> </w:t>
      </w:r>
      <w:r w:rsidR="00AC3190">
        <w:t xml:space="preserve"> </w:t>
      </w:r>
      <w:r w:rsidR="00734030" w:rsidRPr="00E638B7">
        <w:rPr>
          <w:rFonts w:eastAsia="Times New Roman" w:cs="Arial"/>
          <w:color w:val="000000"/>
        </w:rPr>
        <w:t>(</w:t>
      </w:r>
      <w:r w:rsidR="00BF0BF3">
        <w:rPr>
          <w:rFonts w:eastAsia="Times New Roman" w:cs="Arial"/>
          <w:color w:val="000000"/>
        </w:rPr>
        <w:t>S</w:t>
      </w:r>
      <w:r w:rsidR="00734030" w:rsidRPr="00E638B7">
        <w:rPr>
          <w:rFonts w:eastAsia="Times New Roman" w:cs="Arial"/>
          <w:color w:val="000000"/>
        </w:rPr>
        <w:t>ee Pen. Code, §</w:t>
      </w:r>
      <w:r w:rsidR="00734030">
        <w:rPr>
          <w:rFonts w:eastAsia="Times New Roman" w:cs="Arial"/>
          <w:color w:val="000000"/>
        </w:rPr>
        <w:t> </w:t>
      </w:r>
      <w:r w:rsidR="00734030" w:rsidRPr="00E638B7">
        <w:rPr>
          <w:rFonts w:eastAsia="Times New Roman" w:cs="Arial"/>
          <w:color w:val="000000"/>
        </w:rPr>
        <w:t>2960 et seq.</w:t>
      </w:r>
      <w:r w:rsidR="00734030">
        <w:rPr>
          <w:rFonts w:eastAsia="Times New Roman" w:cs="Arial"/>
          <w:color w:val="000000"/>
        </w:rPr>
        <w:t>)</w:t>
      </w:r>
      <w:r w:rsidR="008D6E43">
        <w:rPr>
          <w:rFonts w:eastAsia="Times New Roman" w:cs="Arial"/>
          <w:color w:val="000000"/>
        </w:rPr>
        <w:t>.</w:t>
      </w:r>
      <w:r>
        <w:rPr>
          <w:rStyle w:val="FootnoteReference"/>
        </w:rPr>
        <w:footnoteReference w:id="2"/>
      </w:r>
      <w:r w:rsidR="008D6E43">
        <w:rPr>
          <w:rFonts w:eastAsia="Times New Roman" w:cs="Arial"/>
          <w:color w:val="000000"/>
        </w:rPr>
        <w:t xml:space="preserve"> </w:t>
      </w:r>
      <w:r w:rsidR="00BF0BF3">
        <w:rPr>
          <w:rFonts w:eastAsia="Times New Roman" w:cs="Arial"/>
          <w:color w:val="000000"/>
        </w:rPr>
        <w:t xml:space="preserve"> He now </w:t>
      </w:r>
      <w:r>
        <w:t>appeals from a 2022 order recommitting him for another one-year term</w:t>
      </w:r>
      <w:r w:rsidR="00734030">
        <w:t xml:space="preserve">. </w:t>
      </w:r>
    </w:p>
    <w:p w14:paraId="5A41CF53" w14:textId="77777777" w:rsidR="00A2370F" w:rsidRDefault="003C74B7" w:rsidP="00A2370F">
      <w:r>
        <w:t>McCray</w:t>
      </w:r>
      <w:r w:rsidR="00553CC0">
        <w:t xml:space="preserve"> </w:t>
      </w:r>
      <w:r>
        <w:t>argues we should reverse the recommitment order for three reasons:  (1)</w:t>
      </w:r>
      <w:r w:rsidR="00FD36B2">
        <w:t> </w:t>
      </w:r>
      <w:r>
        <w:t>contrary to the court’s findings, there is insufficient evidence he represents a substantial danger of</w:t>
      </w:r>
      <w:r w:rsidR="00877C56">
        <w:t xml:space="preserve"> </w:t>
      </w:r>
      <w:r>
        <w:t>physical harm to others by reason of a severe mental health disorder; (2)</w:t>
      </w:r>
      <w:r w:rsidR="00FD36B2">
        <w:t> </w:t>
      </w:r>
      <w:r>
        <w:t xml:space="preserve">the court erred in finding he voluntarily </w:t>
      </w:r>
      <w:r>
        <w:lastRenderedPageBreak/>
        <w:t xml:space="preserve">absented himself from </w:t>
      </w:r>
      <w:r w:rsidR="004A64B2">
        <w:t xml:space="preserve">his recommitment </w:t>
      </w:r>
      <w:r w:rsidR="00AC55A9">
        <w:t>trial</w:t>
      </w:r>
      <w:r>
        <w:t>; and (3)</w:t>
      </w:r>
      <w:r w:rsidR="00FD36B2">
        <w:t> </w:t>
      </w:r>
      <w:r w:rsidR="00994ECD">
        <w:t xml:space="preserve">prior to </w:t>
      </w:r>
      <w:r w:rsidR="00AC55A9">
        <w:t xml:space="preserve">trial, </w:t>
      </w:r>
      <w:r>
        <w:t xml:space="preserve">the </w:t>
      </w:r>
      <w:r w:rsidR="000B2951">
        <w:t xml:space="preserve">trial </w:t>
      </w:r>
      <w:r>
        <w:t xml:space="preserve">court failed to obtain from </w:t>
      </w:r>
      <w:r w:rsidR="006A5AA0">
        <w:t>him</w:t>
      </w:r>
      <w:r>
        <w:t xml:space="preserve"> a knowing and intelligent waiver of his right to a jury.  The People </w:t>
      </w:r>
      <w:r w:rsidR="009435F2">
        <w:t xml:space="preserve">argue that this appeal is moot, but on the merits </w:t>
      </w:r>
      <w:r>
        <w:t xml:space="preserve">disagree </w:t>
      </w:r>
      <w:r w:rsidR="00BA39A9">
        <w:t>on each point</w:t>
      </w:r>
      <w:r w:rsidR="00CA47FB">
        <w:t xml:space="preserve">. </w:t>
      </w:r>
      <w:r>
        <w:t xml:space="preserve"> </w:t>
      </w:r>
    </w:p>
    <w:p w14:paraId="5A41CF54" w14:textId="77777777" w:rsidR="00A2370F" w:rsidRDefault="003C74B7" w:rsidP="00A2370F">
      <w:r>
        <w:t xml:space="preserve">While we </w:t>
      </w:r>
      <w:r w:rsidR="003F2D8B">
        <w:t>agree that</w:t>
      </w:r>
      <w:r>
        <w:t xml:space="preserve"> McCray’s appeal must be dismissed as moot, </w:t>
      </w:r>
      <w:r w:rsidR="009E56FD">
        <w:t>u</w:t>
      </w:r>
      <w:r w:rsidR="00310587">
        <w:t>nder the exception to the mootness doctrine for important issues</w:t>
      </w:r>
      <w:r w:rsidR="008867C6">
        <w:t xml:space="preserve"> </w:t>
      </w:r>
      <w:r w:rsidR="00310587">
        <w:t>that recur</w:t>
      </w:r>
      <w:r w:rsidR="008867C6">
        <w:t xml:space="preserve"> on appeal yet evade review</w:t>
      </w:r>
      <w:r w:rsidR="005D47E6">
        <w:t xml:space="preserve">, </w:t>
      </w:r>
      <w:r w:rsidR="00A11A3B">
        <w:t>we</w:t>
      </w:r>
      <w:r>
        <w:t xml:space="preserve"> nonetheless address the </w:t>
      </w:r>
      <w:r w:rsidR="0076504B">
        <w:t xml:space="preserve">trial </w:t>
      </w:r>
      <w:r>
        <w:t xml:space="preserve">court’s failure to </w:t>
      </w:r>
      <w:r w:rsidR="00DF693E">
        <w:t xml:space="preserve">engage in a robust enough </w:t>
      </w:r>
      <w:r w:rsidR="00086BA6">
        <w:t xml:space="preserve">oral </w:t>
      </w:r>
      <w:r w:rsidR="00DF693E">
        <w:t xml:space="preserve">colloquy with </w:t>
      </w:r>
      <w:r>
        <w:t xml:space="preserve">McCray </w:t>
      </w:r>
      <w:r w:rsidR="00DF693E">
        <w:t>to establish that he knowingly and intelligently waived</w:t>
      </w:r>
      <w:r>
        <w:t xml:space="preserve"> his right to a jury trial</w:t>
      </w:r>
      <w:r w:rsidR="00D739F4">
        <w:t xml:space="preserve">. </w:t>
      </w:r>
    </w:p>
    <w:p w14:paraId="5A41CF55" w14:textId="77777777" w:rsidR="00D92215" w:rsidRDefault="003C74B7" w:rsidP="00BE1605">
      <w:pPr>
        <w:pStyle w:val="Heading1"/>
      </w:pPr>
      <w:r w:rsidRPr="00D92215">
        <w:t>BACKGROUND</w:t>
      </w:r>
    </w:p>
    <w:p w14:paraId="5A41CF56" w14:textId="77777777" w:rsidR="00C12372" w:rsidRDefault="003C74B7" w:rsidP="00170524">
      <w:r>
        <w:t>McCray</w:t>
      </w:r>
      <w:r w:rsidRPr="00BA730B">
        <w:t xml:space="preserve">, 73 years old at the time of his </w:t>
      </w:r>
      <w:r w:rsidR="00AF21A9">
        <w:t xml:space="preserve">2022 </w:t>
      </w:r>
      <w:r w:rsidRPr="00BA730B">
        <w:t>recommitment trial, suffers from schizophrenia</w:t>
      </w:r>
      <w:r w:rsidR="006E54FF">
        <w:t xml:space="preserve">.  </w:t>
      </w:r>
      <w:r w:rsidR="003F7226">
        <w:t>H</w:t>
      </w:r>
      <w:r w:rsidR="006E54FF">
        <w:t>e</w:t>
      </w:r>
      <w:r w:rsidR="00960370">
        <w:t xml:space="preserve"> </w:t>
      </w:r>
      <w:r>
        <w:t xml:space="preserve">was first hospitalized for </w:t>
      </w:r>
      <w:r w:rsidR="000B2951">
        <w:t xml:space="preserve">this condition </w:t>
      </w:r>
      <w:r>
        <w:t xml:space="preserve">in the 1970s, and </w:t>
      </w:r>
      <w:r w:rsidR="008F27D5">
        <w:t>ha</w:t>
      </w:r>
      <w:r w:rsidR="009F699C">
        <w:t>d</w:t>
      </w:r>
      <w:r w:rsidR="008F27D5">
        <w:t xml:space="preserve"> a long history of</w:t>
      </w:r>
      <w:r w:rsidR="00960370">
        <w:t xml:space="preserve"> auditory hallucinations</w:t>
      </w:r>
      <w:r w:rsidR="00344E8E">
        <w:t>;</w:t>
      </w:r>
      <w:r w:rsidR="00960370">
        <w:t xml:space="preserve"> delusional beliefs</w:t>
      </w:r>
      <w:r w:rsidR="00344E8E">
        <w:t>;</w:t>
      </w:r>
      <w:r w:rsidR="00960370">
        <w:t xml:space="preserve"> paranoia that others </w:t>
      </w:r>
      <w:r w:rsidR="00430FA6">
        <w:t xml:space="preserve">were </w:t>
      </w:r>
      <w:r w:rsidR="00960370">
        <w:t>trying to hurt or threaten him</w:t>
      </w:r>
      <w:r w:rsidR="00344E8E">
        <w:t>;</w:t>
      </w:r>
      <w:r w:rsidR="00960370">
        <w:t xml:space="preserve"> tangential and disorganized speech and thinking</w:t>
      </w:r>
      <w:r w:rsidR="00344E8E">
        <w:t>;</w:t>
      </w:r>
      <w:r w:rsidR="00960370">
        <w:t xml:space="preserve"> </w:t>
      </w:r>
      <w:r w:rsidR="008F71F1">
        <w:t>flattened affect</w:t>
      </w:r>
      <w:r w:rsidR="00A23E83">
        <w:t xml:space="preserve">, </w:t>
      </w:r>
      <w:r w:rsidR="00807156">
        <w:t xml:space="preserve">which </w:t>
      </w:r>
      <w:r w:rsidR="00A23E83">
        <w:t>manif</w:t>
      </w:r>
      <w:r w:rsidR="00807156">
        <w:t>est</w:t>
      </w:r>
      <w:r w:rsidR="009F699C">
        <w:t>ed</w:t>
      </w:r>
      <w:r w:rsidR="00807156">
        <w:t xml:space="preserve"> itself as a mismatch between </w:t>
      </w:r>
      <w:r w:rsidR="0067002D">
        <w:t xml:space="preserve">his facial expression and what he </w:t>
      </w:r>
      <w:r w:rsidR="009F699C">
        <w:t>was</w:t>
      </w:r>
      <w:r w:rsidR="0067002D">
        <w:t xml:space="preserve"> feeling</w:t>
      </w:r>
      <w:r w:rsidR="005C1DD4">
        <w:t xml:space="preserve">; and </w:t>
      </w:r>
      <w:r w:rsidR="00960370">
        <w:t xml:space="preserve">lack of motivation, </w:t>
      </w:r>
      <w:r w:rsidR="005C1DD4">
        <w:t xml:space="preserve">which </w:t>
      </w:r>
      <w:r w:rsidR="00BA35A2">
        <w:t>include</w:t>
      </w:r>
      <w:r w:rsidR="00D454CD">
        <w:t>d</w:t>
      </w:r>
      <w:r w:rsidR="00A43438">
        <w:t xml:space="preserve"> </w:t>
      </w:r>
      <w:r w:rsidR="00212B82">
        <w:t xml:space="preserve">disinterest </w:t>
      </w:r>
      <w:r w:rsidR="00D77F2E">
        <w:t xml:space="preserve">in </w:t>
      </w:r>
      <w:r w:rsidR="00A43438">
        <w:t xml:space="preserve">attending </w:t>
      </w:r>
      <w:r w:rsidR="00960370">
        <w:t xml:space="preserve">treatment groups </w:t>
      </w:r>
      <w:r w:rsidR="00ED15CE">
        <w:t xml:space="preserve">or </w:t>
      </w:r>
      <w:r w:rsidR="00960370">
        <w:t xml:space="preserve">meetings with his treatment team. </w:t>
      </w:r>
      <w:r w:rsidR="00170524">
        <w:t xml:space="preserve"> </w:t>
      </w:r>
    </w:p>
    <w:p w14:paraId="5A41CF57" w14:textId="77777777" w:rsidR="00D92215" w:rsidRDefault="003C74B7" w:rsidP="00170524">
      <w:r>
        <w:t>McCray</w:t>
      </w:r>
      <w:r w:rsidR="00D9226E">
        <w:t xml:space="preserve"> was </w:t>
      </w:r>
      <w:r w:rsidR="00F7611D" w:rsidRPr="00772283">
        <w:t xml:space="preserve">convicted of </w:t>
      </w:r>
      <w:r w:rsidR="00D9226E">
        <w:t>assault with a deadly weapon</w:t>
      </w:r>
      <w:r w:rsidR="00966F83">
        <w:t xml:space="preserve"> in </w:t>
      </w:r>
      <w:proofErr w:type="gramStart"/>
      <w:r w:rsidR="00966F83">
        <w:t>2004</w:t>
      </w:r>
      <w:r w:rsidR="00030DF7">
        <w:t>,</w:t>
      </w:r>
      <w:r w:rsidR="00F33D6F">
        <w:t xml:space="preserve"> and</w:t>
      </w:r>
      <w:proofErr w:type="gramEnd"/>
      <w:r w:rsidR="00F33D6F">
        <w:t xml:space="preserve"> sentenced to prison</w:t>
      </w:r>
      <w:r w:rsidR="005E2A2B">
        <w:t xml:space="preserve">.  </w:t>
      </w:r>
      <w:r w:rsidR="00402951">
        <w:t xml:space="preserve">In 2005, he </w:t>
      </w:r>
      <w:r w:rsidR="00D9226E">
        <w:t>was found to be an OMHD</w:t>
      </w:r>
      <w:r w:rsidR="00A659DA">
        <w:t xml:space="preserve">, and as </w:t>
      </w:r>
      <w:r w:rsidR="00684A41" w:rsidRPr="00772283">
        <w:t>a condition of p</w:t>
      </w:r>
      <w:r w:rsidR="00051543">
        <w:t>arole</w:t>
      </w:r>
      <w:r w:rsidR="00684A41" w:rsidRPr="00772283">
        <w:t xml:space="preserve"> </w:t>
      </w:r>
      <w:r w:rsidR="00884B30">
        <w:t xml:space="preserve">he was </w:t>
      </w:r>
      <w:r w:rsidR="00D9226E">
        <w:t xml:space="preserve">committed </w:t>
      </w:r>
      <w:r w:rsidR="00DA69B5">
        <w:t xml:space="preserve">for treatment </w:t>
      </w:r>
      <w:r w:rsidR="00D9226E" w:rsidRPr="00772283">
        <w:t xml:space="preserve">to </w:t>
      </w:r>
      <w:r w:rsidR="00A71EE4" w:rsidRPr="00772283">
        <w:t>DSH’s predecessor agency</w:t>
      </w:r>
      <w:r w:rsidR="00A71EE4">
        <w:t>,</w:t>
      </w:r>
      <w:r w:rsidR="00D9226E">
        <w:t xml:space="preserve"> the </w:t>
      </w:r>
      <w:r w:rsidR="00495876" w:rsidRPr="00772283">
        <w:t xml:space="preserve">State of California </w:t>
      </w:r>
      <w:r w:rsidR="00D9226E">
        <w:t xml:space="preserve">Department of </w:t>
      </w:r>
      <w:r w:rsidR="00495876" w:rsidRPr="00772283">
        <w:t>Mental Health</w:t>
      </w:r>
      <w:r w:rsidR="00A71EE4">
        <w:t>.</w:t>
      </w:r>
      <w:r>
        <w:rPr>
          <w:rStyle w:val="FootnoteReference"/>
        </w:rPr>
        <w:footnoteReference w:id="3"/>
      </w:r>
      <w:r w:rsidR="00D9226E">
        <w:t xml:space="preserve">  </w:t>
      </w:r>
      <w:r w:rsidR="00EE5A85">
        <w:t xml:space="preserve">After </w:t>
      </w:r>
      <w:r w:rsidR="003D485A">
        <w:t xml:space="preserve">being </w:t>
      </w:r>
      <w:r w:rsidR="00B447F7">
        <w:lastRenderedPageBreak/>
        <w:t>released on five different occasions to</w:t>
      </w:r>
      <w:r w:rsidR="00962C51">
        <w:t xml:space="preserve"> a </w:t>
      </w:r>
      <w:r w:rsidR="00B447F7">
        <w:t>conditional release program (CONREP) for outpatient treatment</w:t>
      </w:r>
      <w:r w:rsidR="003D485A">
        <w:t>, h</w:t>
      </w:r>
      <w:r w:rsidR="00580B09">
        <w:t>e</w:t>
      </w:r>
      <w:r w:rsidR="00B447F7">
        <w:t xml:space="preserve"> was </w:t>
      </w:r>
      <w:proofErr w:type="spellStart"/>
      <w:r w:rsidR="00960370">
        <w:t>rehospitalized</w:t>
      </w:r>
      <w:proofErr w:type="spellEnd"/>
      <w:r w:rsidR="00960370">
        <w:t xml:space="preserve"> </w:t>
      </w:r>
      <w:r w:rsidR="003D485A">
        <w:t xml:space="preserve">each time </w:t>
      </w:r>
      <w:r w:rsidR="00960370">
        <w:t xml:space="preserve">for </w:t>
      </w:r>
      <w:r w:rsidR="00B447F7">
        <w:t>noncomplian</w:t>
      </w:r>
      <w:r w:rsidR="00960370">
        <w:t>ce</w:t>
      </w:r>
      <w:r w:rsidR="00B447F7">
        <w:t xml:space="preserve"> with treatment</w:t>
      </w:r>
      <w:r w:rsidR="00303BEA">
        <w:t xml:space="preserve">. </w:t>
      </w:r>
      <w:r w:rsidR="00160B08">
        <w:t xml:space="preserve"> </w:t>
      </w:r>
      <w:r w:rsidR="00303BEA">
        <w:t xml:space="preserve">The throughline </w:t>
      </w:r>
      <w:r w:rsidR="00951A2A">
        <w:t xml:space="preserve">leading to </w:t>
      </w:r>
      <w:r w:rsidR="00303BEA">
        <w:t>all these</w:t>
      </w:r>
      <w:r w:rsidR="00160B08">
        <w:t xml:space="preserve"> rehospitalizations was </w:t>
      </w:r>
      <w:r w:rsidR="00704675">
        <w:t xml:space="preserve">failure to take </w:t>
      </w:r>
      <w:r w:rsidR="00B447F7">
        <w:t xml:space="preserve">medications.  </w:t>
      </w:r>
      <w:r w:rsidR="00C052D1">
        <w:t xml:space="preserve">McCray </w:t>
      </w:r>
      <w:r w:rsidR="00595DD5">
        <w:t xml:space="preserve">was </w:t>
      </w:r>
      <w:r w:rsidR="00962C51">
        <w:t xml:space="preserve">last </w:t>
      </w:r>
      <w:proofErr w:type="spellStart"/>
      <w:r w:rsidR="00962C51">
        <w:t>re</w:t>
      </w:r>
      <w:r w:rsidR="00595DD5">
        <w:t>hospitalized</w:t>
      </w:r>
      <w:proofErr w:type="spellEnd"/>
      <w:r w:rsidR="00595DD5">
        <w:t xml:space="preserve"> in November 2019.  </w:t>
      </w:r>
    </w:p>
    <w:p w14:paraId="5A41CF58" w14:textId="77777777" w:rsidR="0036509F" w:rsidRDefault="003C74B7" w:rsidP="0036509F">
      <w:r>
        <w:t>On June</w:t>
      </w:r>
      <w:r w:rsidR="00F840EA">
        <w:t> </w:t>
      </w:r>
      <w:r>
        <w:t>29, 2022, the Alameda County District Attorney’s Office moved to consolidate three pending petitions to extend McCray’s OMHD commitment</w:t>
      </w:r>
      <w:r w:rsidR="00675806">
        <w:t xml:space="preserve"> for an additional year</w:t>
      </w:r>
      <w:r w:rsidR="00011A24">
        <w:t xml:space="preserve">. </w:t>
      </w:r>
      <w:r w:rsidR="00675806">
        <w:t xml:space="preserve"> </w:t>
      </w:r>
      <w:r>
        <w:t xml:space="preserve">The three petitions covered extensions for 2020 to 2021, 2021 to 2022, and 2022 to 2023, respectively.  </w:t>
      </w:r>
      <w:r w:rsidR="00F34988">
        <w:t>T</w:t>
      </w:r>
      <w:r>
        <w:t xml:space="preserve">he </w:t>
      </w:r>
      <w:r>
        <w:t>court granted the motion to consolidate</w:t>
      </w:r>
      <w:r w:rsidR="00827453">
        <w:t>.</w:t>
      </w:r>
    </w:p>
    <w:p w14:paraId="5A41CF59" w14:textId="77777777" w:rsidR="006E10C5" w:rsidRDefault="003C74B7" w:rsidP="00170524">
      <w:r>
        <w:t xml:space="preserve">McCray waived his right to a jury trial, </w:t>
      </w:r>
      <w:r w:rsidR="0003236E">
        <w:t xml:space="preserve">and </w:t>
      </w:r>
      <w:r>
        <w:t xml:space="preserve">the trial court found </w:t>
      </w:r>
      <w:r w:rsidR="0003236E">
        <w:t xml:space="preserve">the waiver </w:t>
      </w:r>
      <w:r>
        <w:t xml:space="preserve">to be knowing, intelligent, and voluntary.  </w:t>
      </w:r>
      <w:r w:rsidR="000312F3">
        <w:t>T</w:t>
      </w:r>
      <w:r w:rsidR="003E704B">
        <w:t xml:space="preserve">he court </w:t>
      </w:r>
      <w:r w:rsidR="000312F3">
        <w:t xml:space="preserve">then </w:t>
      </w:r>
      <w:r>
        <w:t>conducted a bench trial</w:t>
      </w:r>
      <w:r w:rsidR="00170524">
        <w:t xml:space="preserve">, which occurred </w:t>
      </w:r>
      <w:r w:rsidR="00661797">
        <w:t xml:space="preserve">over several </w:t>
      </w:r>
      <w:r w:rsidR="00170524">
        <w:t>days in July, August, and September of 2022</w:t>
      </w:r>
      <w:r w:rsidR="003E704B">
        <w:t xml:space="preserve">. </w:t>
      </w:r>
      <w:r w:rsidR="00170524">
        <w:t xml:space="preserve"> </w:t>
      </w:r>
      <w:r w:rsidR="00512AAA">
        <w:t xml:space="preserve">At the August session of trial, the court found that McCray had voluntarily absented himself from the </w:t>
      </w:r>
      <w:r w:rsidR="00505485">
        <w:t>proceedings</w:t>
      </w:r>
      <w:r w:rsidR="00512AAA">
        <w:t xml:space="preserve">. </w:t>
      </w:r>
    </w:p>
    <w:p w14:paraId="5A41CF5A" w14:textId="77777777" w:rsidR="0079616F" w:rsidRDefault="003C74B7" w:rsidP="00505EB1">
      <w:proofErr w:type="gramStart"/>
      <w:r>
        <w:t>In light of</w:t>
      </w:r>
      <w:proofErr w:type="gramEnd"/>
      <w:r w:rsidR="00684044">
        <w:t xml:space="preserve"> our disposition of this appeal, w</w:t>
      </w:r>
      <w:r w:rsidR="00505EB1">
        <w:t xml:space="preserve">e </w:t>
      </w:r>
      <w:r w:rsidR="00D11768">
        <w:t xml:space="preserve">need </w:t>
      </w:r>
      <w:r w:rsidR="00505EB1">
        <w:t xml:space="preserve">not </w:t>
      </w:r>
      <w:r w:rsidR="004C02F0">
        <w:t xml:space="preserve">describe </w:t>
      </w:r>
      <w:r>
        <w:t xml:space="preserve">in </w:t>
      </w:r>
      <w:r w:rsidR="004C02F0">
        <w:t xml:space="preserve">great </w:t>
      </w:r>
      <w:r>
        <w:t xml:space="preserve">detail </w:t>
      </w:r>
      <w:r w:rsidR="00505EB1">
        <w:t>the evidence</w:t>
      </w:r>
      <w:r w:rsidR="000A3317">
        <w:t xml:space="preserve"> presented</w:t>
      </w:r>
      <w:r w:rsidR="00505EB1">
        <w:t xml:space="preserve"> at </w:t>
      </w:r>
      <w:r w:rsidR="007D687C">
        <w:t>McCray’s 2022</w:t>
      </w:r>
      <w:r w:rsidR="000A3317">
        <w:t xml:space="preserve"> </w:t>
      </w:r>
      <w:r w:rsidR="00505EB1">
        <w:t>trial</w:t>
      </w:r>
      <w:r w:rsidR="004C02F0">
        <w:t xml:space="preserve"> but </w:t>
      </w:r>
      <w:r w:rsidR="001E58BC">
        <w:t xml:space="preserve">will </w:t>
      </w:r>
      <w:r w:rsidR="004C02F0">
        <w:t xml:space="preserve">instead </w:t>
      </w:r>
      <w:r w:rsidR="007D687C">
        <w:t>provide</w:t>
      </w:r>
      <w:r w:rsidR="004C02F0">
        <w:t xml:space="preserve"> th</w:t>
      </w:r>
      <w:r>
        <w:t xml:space="preserve">e following </w:t>
      </w:r>
      <w:r w:rsidR="00D11768">
        <w:t xml:space="preserve">general </w:t>
      </w:r>
      <w:r w:rsidR="004C02F0">
        <w:t>summary</w:t>
      </w:r>
      <w:r>
        <w:t>.</w:t>
      </w:r>
    </w:p>
    <w:p w14:paraId="5A41CF5B" w14:textId="77777777" w:rsidR="009646C6" w:rsidRDefault="003C74B7" w:rsidP="000165BC">
      <w:r>
        <w:t>There was e</w:t>
      </w:r>
      <w:r w:rsidR="007D687C">
        <w:t>vidence of only one incident involving possible violence by McCray</w:t>
      </w:r>
      <w:r>
        <w:t xml:space="preserve">. </w:t>
      </w:r>
      <w:r w:rsidR="007D687C">
        <w:t xml:space="preserve"> </w:t>
      </w:r>
      <w:r w:rsidR="0044122F">
        <w:t>A CONREP clinical social worker testified that</w:t>
      </w:r>
      <w:r w:rsidR="00F54760">
        <w:t>,</w:t>
      </w:r>
      <w:r w:rsidR="0044122F">
        <w:t xml:space="preserve"> in </w:t>
      </w:r>
      <w:r w:rsidR="00F00D78">
        <w:t xml:space="preserve">October </w:t>
      </w:r>
      <w:r w:rsidR="0044122F">
        <w:t xml:space="preserve">2019, </w:t>
      </w:r>
      <w:r w:rsidR="00F00D78">
        <w:t>he went to McCray’s room to take him to a medical appointment</w:t>
      </w:r>
      <w:r w:rsidR="00E33AC9">
        <w:t>.</w:t>
      </w:r>
      <w:r w:rsidR="00BC7BE5">
        <w:t xml:space="preserve"> </w:t>
      </w:r>
      <w:r w:rsidR="00F54760">
        <w:t xml:space="preserve"> </w:t>
      </w:r>
      <w:r w:rsidR="00E33AC9">
        <w:t>H</w:t>
      </w:r>
      <w:r w:rsidR="00BC7BE5">
        <w:t xml:space="preserve">e entered </w:t>
      </w:r>
      <w:r w:rsidR="00E33AC9">
        <w:t xml:space="preserve">the room </w:t>
      </w:r>
      <w:r w:rsidR="00BC7BE5">
        <w:t xml:space="preserve">and </w:t>
      </w:r>
      <w:r w:rsidR="007C03E4">
        <w:t xml:space="preserve">spoke to </w:t>
      </w:r>
      <w:r w:rsidR="00BC7BE5">
        <w:t>M</w:t>
      </w:r>
      <w:r w:rsidR="002954A5">
        <w:t xml:space="preserve">cCray, </w:t>
      </w:r>
      <w:r w:rsidR="001A5A99">
        <w:t>who was</w:t>
      </w:r>
      <w:r w:rsidR="002954A5">
        <w:t xml:space="preserve"> located</w:t>
      </w:r>
      <w:r w:rsidR="000165BC">
        <w:t xml:space="preserve"> between the social worker and the door of the room</w:t>
      </w:r>
      <w:r w:rsidR="00586BE5">
        <w:t>.</w:t>
      </w:r>
      <w:r>
        <w:t xml:space="preserve"> </w:t>
      </w:r>
      <w:r w:rsidR="00A05B36">
        <w:t xml:space="preserve"> </w:t>
      </w:r>
      <w:r w:rsidR="002E175B">
        <w:t>T</w:t>
      </w:r>
      <w:r w:rsidR="000165BC" w:rsidRPr="000165BC">
        <w:t>he social worke</w:t>
      </w:r>
      <w:r w:rsidR="74295669">
        <w:t>r</w:t>
      </w:r>
      <w:r w:rsidR="000165BC" w:rsidRPr="000165BC">
        <w:t xml:space="preserve"> </w:t>
      </w:r>
      <w:r w:rsidR="00F54760">
        <w:t>described the ensu</w:t>
      </w:r>
      <w:r w:rsidR="00A02526">
        <w:t>ing interaction</w:t>
      </w:r>
      <w:r w:rsidR="000165BC" w:rsidRPr="000165BC">
        <w:t xml:space="preserve"> </w:t>
      </w:r>
      <w:r>
        <w:t>as follows</w:t>
      </w:r>
      <w:r w:rsidR="000165BC" w:rsidRPr="000165BC">
        <w:t xml:space="preserve">: </w:t>
      </w:r>
    </w:p>
    <w:p w14:paraId="5A41CF5C" w14:textId="77777777" w:rsidR="00DC4C43" w:rsidRDefault="003C74B7" w:rsidP="001D4FB4">
      <w:pPr>
        <w:rPr>
          <w:rFonts w:cs="Courier"/>
          <w:color w:val="000000" w:themeColor="text1"/>
        </w:rPr>
      </w:pPr>
      <w:r w:rsidRPr="000165BC">
        <w:lastRenderedPageBreak/>
        <w:t>“</w:t>
      </w:r>
      <w:r w:rsidRPr="009C2F89">
        <w:rPr>
          <w:rFonts w:cs="Courier"/>
          <w:color w:val="000000" w:themeColor="text1"/>
        </w:rPr>
        <w:t>Mr. McCray said, I</w:t>
      </w:r>
      <w:r w:rsidR="001B03FB">
        <w:rPr>
          <w:rFonts w:cs="Courier"/>
          <w:color w:val="000000" w:themeColor="text1"/>
        </w:rPr>
        <w:t>’</w:t>
      </w:r>
      <w:r w:rsidRPr="009C2F89">
        <w:rPr>
          <w:rFonts w:cs="Courier"/>
          <w:color w:val="000000" w:themeColor="text1"/>
        </w:rPr>
        <w:t>m not going anywhere with</w:t>
      </w:r>
      <w:r w:rsidR="000165BC" w:rsidRPr="009C2F89">
        <w:rPr>
          <w:rFonts w:cs="Courier"/>
          <w:color w:val="000000" w:themeColor="text1"/>
        </w:rPr>
        <w:t xml:space="preserve"> </w:t>
      </w:r>
      <w:r w:rsidRPr="009C2F89">
        <w:rPr>
          <w:rFonts w:cs="Courier"/>
          <w:color w:val="000000" w:themeColor="text1"/>
        </w:rPr>
        <w:t>you.</w:t>
      </w:r>
      <w:r w:rsidR="00FA308A">
        <w:rPr>
          <w:rFonts w:cs="Courier"/>
          <w:color w:val="FFFFFF" w:themeColor="background1"/>
        </w:rPr>
        <w:t xml:space="preserve">  </w:t>
      </w:r>
      <w:r w:rsidRPr="009C2F89">
        <w:rPr>
          <w:rFonts w:cs="Courier"/>
          <w:color w:val="000000" w:themeColor="text1"/>
        </w:rPr>
        <w:t xml:space="preserve">I </w:t>
      </w:r>
      <w:r w:rsidRPr="009C2F89">
        <w:rPr>
          <w:rFonts w:cs="Courier"/>
          <w:color w:val="000000" w:themeColor="text1"/>
        </w:rPr>
        <w:t>don</w:t>
      </w:r>
      <w:r w:rsidR="004F5E76">
        <w:rPr>
          <w:rFonts w:cs="Courier"/>
          <w:color w:val="000000" w:themeColor="text1"/>
        </w:rPr>
        <w:t>’</w:t>
      </w:r>
      <w:r w:rsidRPr="009C2F89">
        <w:rPr>
          <w:rFonts w:cs="Courier"/>
          <w:color w:val="000000" w:themeColor="text1"/>
        </w:rPr>
        <w:t>t have a mental illness.</w:t>
      </w:r>
      <w:r w:rsidR="00381B16">
        <w:rPr>
          <w:rFonts w:cs="Courier"/>
          <w:color w:val="FFFFFF" w:themeColor="background1"/>
        </w:rPr>
        <w:t xml:space="preserve">  </w:t>
      </w:r>
      <w:r w:rsidRPr="009C2F89">
        <w:rPr>
          <w:rFonts w:cs="Courier"/>
          <w:color w:val="000000" w:themeColor="text1"/>
        </w:rPr>
        <w:t>There</w:t>
      </w:r>
      <w:r w:rsidR="001B03FB">
        <w:rPr>
          <w:rFonts w:cs="Courier"/>
          <w:color w:val="000000" w:themeColor="text1"/>
        </w:rPr>
        <w:t>’</w:t>
      </w:r>
      <w:r w:rsidRPr="009C2F89">
        <w:rPr>
          <w:rFonts w:cs="Courier"/>
          <w:color w:val="000000" w:themeColor="text1"/>
        </w:rPr>
        <w:t>s nothing</w:t>
      </w:r>
      <w:r w:rsidR="000165BC" w:rsidRPr="009C2F89">
        <w:rPr>
          <w:rFonts w:cs="Courier"/>
          <w:color w:val="000000" w:themeColor="text1"/>
        </w:rPr>
        <w:t xml:space="preserve"> </w:t>
      </w:r>
      <w:r w:rsidRPr="009C2F89">
        <w:rPr>
          <w:rFonts w:cs="Courier"/>
          <w:color w:val="000000" w:themeColor="text1"/>
        </w:rPr>
        <w:t>wrong with me.</w:t>
      </w:r>
      <w:r w:rsidR="00381B16">
        <w:rPr>
          <w:rFonts w:cs="Courier"/>
          <w:color w:val="FFFFFF" w:themeColor="background1"/>
        </w:rPr>
        <w:t xml:space="preserve">  </w:t>
      </w:r>
      <w:r w:rsidRPr="009C2F89">
        <w:rPr>
          <w:rFonts w:cs="Courier"/>
          <w:color w:val="000000" w:themeColor="text1"/>
        </w:rPr>
        <w:t>And he has a cane.</w:t>
      </w:r>
      <w:r w:rsidR="00381B16">
        <w:rPr>
          <w:rFonts w:cs="Courier"/>
          <w:color w:val="FFFFFF" w:themeColor="background1"/>
        </w:rPr>
        <w:t xml:space="preserve">  </w:t>
      </w:r>
      <w:r w:rsidRPr="009C2F89">
        <w:rPr>
          <w:rFonts w:cs="Courier"/>
          <w:color w:val="000000" w:themeColor="text1"/>
        </w:rPr>
        <w:t>He uses the cane,</w:t>
      </w:r>
      <w:r w:rsidR="000165BC" w:rsidRPr="009C2F89">
        <w:rPr>
          <w:rFonts w:cs="Courier"/>
          <w:color w:val="000000" w:themeColor="text1"/>
        </w:rPr>
        <w:t xml:space="preserve"> </w:t>
      </w:r>
      <w:r w:rsidRPr="009C2F89">
        <w:rPr>
          <w:rFonts w:cs="Courier"/>
          <w:color w:val="000000" w:themeColor="text1"/>
        </w:rPr>
        <w:t>and he brandished the cane and stood in front of the</w:t>
      </w:r>
      <w:r w:rsidR="000165BC" w:rsidRPr="009C2F89">
        <w:rPr>
          <w:rFonts w:cs="Courier"/>
          <w:color w:val="000000" w:themeColor="text1"/>
        </w:rPr>
        <w:t xml:space="preserve"> </w:t>
      </w:r>
      <w:r w:rsidRPr="009C2F89">
        <w:rPr>
          <w:rFonts w:cs="Courier"/>
          <w:color w:val="000000" w:themeColor="text1"/>
        </w:rPr>
        <w:t>door, and said, I</w:t>
      </w:r>
      <w:r w:rsidR="001B03FB">
        <w:rPr>
          <w:rFonts w:cs="Courier"/>
          <w:color w:val="000000" w:themeColor="text1"/>
        </w:rPr>
        <w:t>’</w:t>
      </w:r>
      <w:r w:rsidRPr="009C2F89">
        <w:rPr>
          <w:rFonts w:cs="Courier"/>
          <w:color w:val="000000" w:themeColor="text1"/>
        </w:rPr>
        <w:t>m not going anywhere with you, and</w:t>
      </w:r>
      <w:r w:rsidR="000165BC" w:rsidRPr="009C2F89">
        <w:rPr>
          <w:rFonts w:cs="Courier"/>
          <w:color w:val="000000" w:themeColor="text1"/>
        </w:rPr>
        <w:t xml:space="preserve"> </w:t>
      </w:r>
      <w:r w:rsidRPr="009C2F89">
        <w:rPr>
          <w:rFonts w:cs="Courier"/>
          <w:color w:val="000000" w:themeColor="text1"/>
        </w:rPr>
        <w:t>then started to walk towards me with the cane.</w:t>
      </w:r>
      <w:r w:rsidR="00042892">
        <w:rPr>
          <w:rFonts w:cs="Courier"/>
          <w:color w:val="000000" w:themeColor="text1"/>
        </w:rPr>
        <w:t xml:space="preserve"> </w:t>
      </w:r>
      <w:r w:rsidR="00485C88">
        <w:rPr>
          <w:rFonts w:cs="Courier"/>
          <w:color w:val="000000" w:themeColor="text1"/>
        </w:rPr>
        <w:t xml:space="preserve"> </w:t>
      </w:r>
      <w:r w:rsidR="00042892">
        <w:rPr>
          <w:rFonts w:cs="Courier"/>
          <w:color w:val="000000" w:themeColor="text1"/>
        </w:rPr>
        <w:t>[¶]</w:t>
      </w:r>
      <w:r w:rsidR="000165BC" w:rsidRPr="009C2F89">
        <w:rPr>
          <w:rFonts w:cs="Courier"/>
          <w:color w:val="000000" w:themeColor="text1"/>
        </w:rPr>
        <w:t xml:space="preserve"> </w:t>
      </w:r>
      <w:r w:rsidRPr="009C2F89">
        <w:rPr>
          <w:rFonts w:cs="Courier"/>
          <w:color w:val="000000" w:themeColor="text1"/>
        </w:rPr>
        <w:t>I</w:t>
      </w:r>
      <w:r w:rsidR="0338F2A4" w:rsidRPr="7402BBAC">
        <w:rPr>
          <w:rFonts w:cs="Courier"/>
          <w:color w:val="000000" w:themeColor="text1"/>
        </w:rPr>
        <w:t xml:space="preserve"> </w:t>
      </w:r>
      <w:r w:rsidR="00EB0575">
        <w:rPr>
          <w:rFonts w:cs="Courier"/>
          <w:color w:val="000000" w:themeColor="text1"/>
        </w:rPr>
        <w:t>. . .</w:t>
      </w:r>
      <w:r w:rsidR="0338F2A4" w:rsidRPr="7402BBAC">
        <w:rPr>
          <w:rFonts w:cs="Courier"/>
          <w:color w:val="000000" w:themeColor="text1"/>
        </w:rPr>
        <w:t xml:space="preserve"> </w:t>
      </w:r>
      <w:r w:rsidRPr="009C2F89">
        <w:rPr>
          <w:rFonts w:cs="Courier"/>
          <w:color w:val="000000" w:themeColor="text1"/>
        </w:rPr>
        <w:t>told him that if you don</w:t>
      </w:r>
      <w:r w:rsidR="001B03FB">
        <w:rPr>
          <w:rFonts w:cs="Courier"/>
          <w:color w:val="000000" w:themeColor="text1"/>
        </w:rPr>
        <w:t>’</w:t>
      </w:r>
      <w:r w:rsidRPr="009C2F89">
        <w:rPr>
          <w:rFonts w:cs="Courier"/>
          <w:color w:val="000000" w:themeColor="text1"/>
        </w:rPr>
        <w:t>t want to go,</w:t>
      </w:r>
      <w:r w:rsidR="6FFC4714" w:rsidRPr="7402BBAC">
        <w:rPr>
          <w:rFonts w:cs="Courier"/>
          <w:color w:val="000000" w:themeColor="text1"/>
        </w:rPr>
        <w:t xml:space="preserve"> </w:t>
      </w:r>
      <w:r w:rsidR="00EB0575">
        <w:rPr>
          <w:rFonts w:cs="Courier"/>
          <w:color w:val="000000" w:themeColor="text1"/>
        </w:rPr>
        <w:t>. . .</w:t>
      </w:r>
      <w:r w:rsidR="6FFC4714" w:rsidRPr="7402BBAC">
        <w:rPr>
          <w:rFonts w:cs="Courier"/>
          <w:color w:val="000000" w:themeColor="text1"/>
        </w:rPr>
        <w:t xml:space="preserve"> </w:t>
      </w:r>
      <w:r w:rsidRPr="009C2F89">
        <w:rPr>
          <w:rFonts w:cs="Courier"/>
          <w:color w:val="000000" w:themeColor="text1"/>
        </w:rPr>
        <w:t>I can</w:t>
      </w:r>
      <w:r w:rsidR="001F50F3">
        <w:rPr>
          <w:rFonts w:cs="Courier"/>
          <w:color w:val="000000" w:themeColor="text1"/>
        </w:rPr>
        <w:t>’</w:t>
      </w:r>
      <w:r w:rsidRPr="009C2F89">
        <w:rPr>
          <w:rFonts w:cs="Courier"/>
          <w:color w:val="000000" w:themeColor="text1"/>
        </w:rPr>
        <w:t>t make you go, but I do need to you</w:t>
      </w:r>
      <w:r w:rsidRPr="009C2F89">
        <w:rPr>
          <w:rFonts w:cs="Courier"/>
          <w:color w:val="FFFFFF" w:themeColor="background1"/>
        </w:rPr>
        <w:t xml:space="preserve"> </w:t>
      </w:r>
      <w:r w:rsidRPr="009C2F89">
        <w:rPr>
          <w:rFonts w:cs="Courier"/>
          <w:color w:val="000000" w:themeColor="text1"/>
        </w:rPr>
        <w:t>move away from the door so I could leave.</w:t>
      </w:r>
      <w:r w:rsidR="00990B27">
        <w:rPr>
          <w:rFonts w:cs="Courier"/>
          <w:color w:val="000000" w:themeColor="text1"/>
        </w:rPr>
        <w:t xml:space="preserve"> </w:t>
      </w:r>
      <w:r w:rsidR="00420FF9">
        <w:rPr>
          <w:rFonts w:cs="Courier"/>
          <w:color w:val="000000" w:themeColor="text1"/>
        </w:rPr>
        <w:t xml:space="preserve"> </w:t>
      </w:r>
      <w:r w:rsidR="00D06FC3">
        <w:rPr>
          <w:rFonts w:cs="Courier"/>
          <w:color w:val="000000" w:themeColor="text1"/>
        </w:rPr>
        <w:t>[¶]</w:t>
      </w:r>
      <w:r w:rsidR="00B0084D">
        <w:rPr>
          <w:rFonts w:cs="Courier"/>
          <w:color w:val="000000" w:themeColor="text1"/>
        </w:rPr>
        <w:t xml:space="preserve"> </w:t>
      </w:r>
      <w:r w:rsidRPr="009C2F89">
        <w:rPr>
          <w:rFonts w:cs="Courier"/>
          <w:color w:val="000000" w:themeColor="text1"/>
        </w:rPr>
        <w:t>And after a short period of time he moved and</w:t>
      </w:r>
      <w:r w:rsidR="00BC7BE5" w:rsidRPr="009C2F89">
        <w:rPr>
          <w:rFonts w:cs="Courier"/>
          <w:color w:val="000000" w:themeColor="text1"/>
        </w:rPr>
        <w:t xml:space="preserve"> </w:t>
      </w:r>
      <w:r w:rsidRPr="009C2F89">
        <w:rPr>
          <w:rFonts w:cs="Courier"/>
          <w:color w:val="000000" w:themeColor="text1"/>
        </w:rPr>
        <w:t>let me walk out of the room.</w:t>
      </w:r>
      <w:r w:rsidR="00BC7BE5" w:rsidRPr="009C2F89">
        <w:rPr>
          <w:rFonts w:cs="Courier"/>
          <w:color w:val="000000" w:themeColor="text1"/>
        </w:rPr>
        <w:t>”</w:t>
      </w:r>
      <w:r w:rsidR="00F435D9" w:rsidRPr="7402BBAC">
        <w:rPr>
          <w:rFonts w:cs="Courier"/>
          <w:color w:val="000000" w:themeColor="text1"/>
        </w:rPr>
        <w:t xml:space="preserve"> </w:t>
      </w:r>
      <w:r w:rsidR="009C2F89">
        <w:rPr>
          <w:rFonts w:cs="Courier"/>
          <w:color w:val="000000" w:themeColor="text1"/>
        </w:rPr>
        <w:t xml:space="preserve"> </w:t>
      </w:r>
      <w:r w:rsidR="00B258E0">
        <w:rPr>
          <w:rFonts w:cs="Courier"/>
          <w:color w:val="000000" w:themeColor="text1"/>
        </w:rPr>
        <w:t xml:space="preserve">When </w:t>
      </w:r>
      <w:r w:rsidR="003A4437">
        <w:rPr>
          <w:rFonts w:cs="Courier"/>
          <w:color w:val="000000" w:themeColor="text1"/>
        </w:rPr>
        <w:t xml:space="preserve">the social </w:t>
      </w:r>
      <w:r w:rsidR="005875D1">
        <w:rPr>
          <w:rFonts w:cs="Courier"/>
          <w:color w:val="000000" w:themeColor="text1"/>
        </w:rPr>
        <w:t>worker</w:t>
      </w:r>
      <w:r w:rsidR="003A4437">
        <w:rPr>
          <w:rFonts w:cs="Courier"/>
          <w:color w:val="000000" w:themeColor="text1"/>
        </w:rPr>
        <w:t xml:space="preserve"> was asked </w:t>
      </w:r>
      <w:r w:rsidR="006F58BB">
        <w:rPr>
          <w:rFonts w:cs="Courier"/>
          <w:color w:val="000000" w:themeColor="text1"/>
        </w:rPr>
        <w:t xml:space="preserve">about his perceptions of </w:t>
      </w:r>
      <w:r w:rsidR="00222172">
        <w:rPr>
          <w:rFonts w:cs="Courier"/>
          <w:color w:val="000000" w:themeColor="text1"/>
        </w:rPr>
        <w:t xml:space="preserve">McCray’s </w:t>
      </w:r>
      <w:r w:rsidR="006F58BB">
        <w:rPr>
          <w:rFonts w:cs="Courier"/>
          <w:color w:val="000000" w:themeColor="text1"/>
        </w:rPr>
        <w:t>conduct</w:t>
      </w:r>
      <w:r w:rsidR="00B52AD6">
        <w:rPr>
          <w:rFonts w:cs="Courier"/>
          <w:color w:val="000000" w:themeColor="text1"/>
        </w:rPr>
        <w:t xml:space="preserve"> during this incide</w:t>
      </w:r>
      <w:r w:rsidR="007E2CE1">
        <w:rPr>
          <w:rFonts w:cs="Courier"/>
          <w:color w:val="000000" w:themeColor="text1"/>
        </w:rPr>
        <w:t>n</w:t>
      </w:r>
      <w:r w:rsidR="00B52AD6">
        <w:rPr>
          <w:rFonts w:cs="Courier"/>
          <w:color w:val="000000" w:themeColor="text1"/>
        </w:rPr>
        <w:t>t</w:t>
      </w:r>
      <w:r w:rsidR="006F58BB">
        <w:rPr>
          <w:rFonts w:cs="Courier"/>
          <w:color w:val="000000" w:themeColor="text1"/>
        </w:rPr>
        <w:t xml:space="preserve">, </w:t>
      </w:r>
      <w:r w:rsidR="00222172">
        <w:rPr>
          <w:rFonts w:cs="Courier"/>
          <w:color w:val="000000" w:themeColor="text1"/>
        </w:rPr>
        <w:t xml:space="preserve">he </w:t>
      </w:r>
      <w:r w:rsidR="005875D1">
        <w:rPr>
          <w:rFonts w:cs="Courier"/>
          <w:color w:val="000000" w:themeColor="text1"/>
        </w:rPr>
        <w:t xml:space="preserve">said he </w:t>
      </w:r>
      <w:r w:rsidR="00222172">
        <w:rPr>
          <w:rFonts w:cs="Courier"/>
          <w:color w:val="000000" w:themeColor="text1"/>
        </w:rPr>
        <w:t xml:space="preserve">took it </w:t>
      </w:r>
      <w:r w:rsidR="005875D1">
        <w:rPr>
          <w:rFonts w:cs="Courier"/>
          <w:color w:val="000000" w:themeColor="text1"/>
        </w:rPr>
        <w:t>as “</w:t>
      </w:r>
      <w:r w:rsidR="00B258E0">
        <w:rPr>
          <w:rFonts w:cs="Courier"/>
          <w:color w:val="000000" w:themeColor="text1"/>
        </w:rPr>
        <w:t xml:space="preserve">a threat to </w:t>
      </w:r>
      <w:r w:rsidR="000C3801">
        <w:rPr>
          <w:rFonts w:cs="Courier"/>
          <w:color w:val="000000" w:themeColor="text1"/>
        </w:rPr>
        <w:t xml:space="preserve">[do] </w:t>
      </w:r>
      <w:r w:rsidR="00B258E0">
        <w:rPr>
          <w:rFonts w:cs="Courier"/>
          <w:color w:val="000000" w:themeColor="text1"/>
        </w:rPr>
        <w:t xml:space="preserve">physical harm with the cane.” </w:t>
      </w:r>
    </w:p>
    <w:p w14:paraId="5A41CF5D" w14:textId="77777777" w:rsidR="001D4FB4" w:rsidRPr="00193E74" w:rsidRDefault="003C74B7" w:rsidP="001D4FB4">
      <w:r w:rsidRPr="00193E74">
        <w:t xml:space="preserve">The social worker also testified to </w:t>
      </w:r>
      <w:r w:rsidR="00A05B36">
        <w:t xml:space="preserve">McCray’s </w:t>
      </w:r>
      <w:r w:rsidRPr="00193E74">
        <w:t>general pattern of uncooperativeness</w:t>
      </w:r>
      <w:r w:rsidR="00AF4073" w:rsidRPr="00193E74">
        <w:t xml:space="preserve"> with treatment, which </w:t>
      </w:r>
      <w:r w:rsidR="00AF4073">
        <w:t>include</w:t>
      </w:r>
      <w:r w:rsidR="3E935755">
        <w:t>d</w:t>
      </w:r>
      <w:r w:rsidR="00AF4073">
        <w:t xml:space="preserve"> “</w:t>
      </w:r>
      <w:r w:rsidR="2F20AF33">
        <w:t>[r]</w:t>
      </w:r>
      <w:proofErr w:type="spellStart"/>
      <w:r w:rsidR="00E2064D" w:rsidRPr="009C2F89">
        <w:rPr>
          <w:rFonts w:cs="Courier"/>
          <w:color w:val="000000" w:themeColor="text1"/>
        </w:rPr>
        <w:t>efusing</w:t>
      </w:r>
      <w:proofErr w:type="spellEnd"/>
      <w:r w:rsidR="00E2064D" w:rsidRPr="009C2F89">
        <w:rPr>
          <w:rFonts w:cs="Courier"/>
          <w:color w:val="000000" w:themeColor="text1"/>
        </w:rPr>
        <w:t xml:space="preserve"> to use transportation.</w:t>
      </w:r>
      <w:r w:rsidR="008C7077">
        <w:rPr>
          <w:rFonts w:cs="Courier"/>
          <w:color w:val="FFFFFF" w:themeColor="background1"/>
        </w:rPr>
        <w:t xml:space="preserve">  </w:t>
      </w:r>
      <w:r w:rsidR="00E2064D" w:rsidRPr="009C2F89">
        <w:rPr>
          <w:rFonts w:cs="Courier"/>
          <w:color w:val="000000" w:themeColor="text1"/>
        </w:rPr>
        <w:t>We would have transportation set up for him to come to our program,</w:t>
      </w:r>
      <w:r w:rsidR="00E2064D" w:rsidRPr="7402BBAC">
        <w:rPr>
          <w:rFonts w:cs="Courier"/>
          <w:color w:val="000000" w:themeColor="text1"/>
        </w:rPr>
        <w:t xml:space="preserve"> </w:t>
      </w:r>
      <w:proofErr w:type="spellStart"/>
      <w:r w:rsidR="00E2064D" w:rsidRPr="009C2F89">
        <w:rPr>
          <w:rFonts w:cs="Courier"/>
          <w:color w:val="000000" w:themeColor="text1"/>
        </w:rPr>
        <w:t>ParaTransport</w:t>
      </w:r>
      <w:proofErr w:type="spellEnd"/>
      <w:r w:rsidR="00E2064D" w:rsidRPr="009C2F89">
        <w:rPr>
          <w:rFonts w:cs="Courier"/>
          <w:color w:val="000000" w:themeColor="text1"/>
        </w:rPr>
        <w:t xml:space="preserve"> </w:t>
      </w:r>
      <w:r w:rsidR="00E2064D" w:rsidRPr="00551E54">
        <w:rPr>
          <w:rFonts w:cs="Courier"/>
          <w:color w:val="000000" w:themeColor="text1"/>
        </w:rPr>
        <w:t>transportation.</w:t>
      </w:r>
      <w:r w:rsidR="00E2064D" w:rsidRPr="00551E54">
        <w:rPr>
          <w:rFonts w:cs="Courier"/>
          <w:color w:val="FFFFFF" w:themeColor="background1"/>
        </w:rPr>
        <w:t xml:space="preserve">· </w:t>
      </w:r>
      <w:r w:rsidR="00E2064D" w:rsidRPr="00551E54">
        <w:rPr>
          <w:rFonts w:cs="Courier"/>
          <w:color w:val="000000" w:themeColor="text1"/>
        </w:rPr>
        <w:t>He would refuse to get on the vehicle on many occasion[s].</w:t>
      </w:r>
      <w:r w:rsidRPr="00551E54">
        <w:rPr>
          <w:rFonts w:cs="Courier"/>
          <w:color w:val="000000" w:themeColor="text1"/>
        </w:rPr>
        <w:t xml:space="preserve">”  He also </w:t>
      </w:r>
      <w:r w:rsidR="00517684">
        <w:rPr>
          <w:rFonts w:cs="Courier"/>
          <w:color w:val="000000" w:themeColor="text1"/>
        </w:rPr>
        <w:t>“</w:t>
      </w:r>
      <w:proofErr w:type="spellStart"/>
      <w:r w:rsidRPr="00551E54">
        <w:rPr>
          <w:rFonts w:cs="Courier"/>
          <w:color w:val="000000" w:themeColor="text1"/>
        </w:rPr>
        <w:t>refus</w:t>
      </w:r>
      <w:proofErr w:type="spellEnd"/>
      <w:r w:rsidR="009749AC" w:rsidRPr="00551E54">
        <w:rPr>
          <w:rFonts w:cs="Courier"/>
          <w:color w:val="000000" w:themeColor="text1"/>
        </w:rPr>
        <w:t>[ed]</w:t>
      </w:r>
      <w:r w:rsidRPr="00551E54">
        <w:rPr>
          <w:rFonts w:cs="Courier"/>
          <w:color w:val="000000" w:themeColor="text1"/>
        </w:rPr>
        <w:t xml:space="preserve"> to participate in the group therapy</w:t>
      </w:r>
      <w:r w:rsidR="009749AC" w:rsidRPr="00551E54">
        <w:rPr>
          <w:rFonts w:cs="Courier"/>
          <w:color w:val="000000" w:themeColor="text1"/>
        </w:rPr>
        <w:t xml:space="preserve"> </w:t>
      </w:r>
      <w:r w:rsidRPr="00551E54">
        <w:rPr>
          <w:rFonts w:cs="Courier"/>
          <w:color w:val="000000" w:themeColor="text1"/>
        </w:rPr>
        <w:t>sessions that we schedule and we have for him,</w:t>
      </w:r>
      <w:r w:rsidR="656DCFBF" w:rsidRPr="7402BBAC">
        <w:rPr>
          <w:rFonts w:cs="Courier"/>
          <w:color w:val="000000" w:themeColor="text1"/>
        </w:rPr>
        <w:t xml:space="preserve"> </w:t>
      </w:r>
      <w:r w:rsidR="00551E54">
        <w:rPr>
          <w:rFonts w:cs="Courier"/>
          <w:color w:val="000000" w:themeColor="text1"/>
        </w:rPr>
        <w:t>. . .</w:t>
      </w:r>
      <w:r w:rsidR="656DCFBF" w:rsidRPr="7402BBAC">
        <w:rPr>
          <w:rFonts w:cs="Courier"/>
          <w:color w:val="000000" w:themeColor="text1"/>
        </w:rPr>
        <w:t xml:space="preserve"> </w:t>
      </w:r>
      <w:proofErr w:type="spellStart"/>
      <w:r w:rsidRPr="00551E54">
        <w:rPr>
          <w:rFonts w:cs="Courier"/>
          <w:color w:val="000000" w:themeColor="text1"/>
        </w:rPr>
        <w:t>continu</w:t>
      </w:r>
      <w:proofErr w:type="spellEnd"/>
      <w:r w:rsidR="00EC23A3" w:rsidRPr="00551E54">
        <w:rPr>
          <w:rFonts w:cs="Courier"/>
          <w:color w:val="000000" w:themeColor="text1"/>
        </w:rPr>
        <w:t xml:space="preserve">[ed] [to] </w:t>
      </w:r>
      <w:r w:rsidRPr="00551E54">
        <w:rPr>
          <w:rFonts w:cs="Courier"/>
          <w:color w:val="000000" w:themeColor="text1"/>
        </w:rPr>
        <w:t>insist</w:t>
      </w:r>
      <w:r w:rsidR="00EC23A3" w:rsidRPr="003F29DB">
        <w:rPr>
          <w:rFonts w:cs="Courier"/>
          <w:color w:val="000000" w:themeColor="text1"/>
          <w:spacing w:val="20"/>
        </w:rPr>
        <w:t>[]</w:t>
      </w:r>
      <w:r w:rsidRPr="00551E54">
        <w:rPr>
          <w:rFonts w:cs="Courier"/>
          <w:color w:val="000000" w:themeColor="text1"/>
        </w:rPr>
        <w:t xml:space="preserve"> that he was not mentally ill and</w:t>
      </w:r>
      <w:r w:rsidR="00EC23A3" w:rsidRPr="00551E54">
        <w:rPr>
          <w:rFonts w:cs="Courier"/>
          <w:color w:val="000000" w:themeColor="text1"/>
        </w:rPr>
        <w:t xml:space="preserve"> </w:t>
      </w:r>
      <w:r w:rsidRPr="00551E54">
        <w:rPr>
          <w:rFonts w:cs="Courier"/>
          <w:color w:val="000000" w:themeColor="text1"/>
        </w:rPr>
        <w:t>did not need to be in the program, and on several</w:t>
      </w:r>
      <w:r w:rsidR="00EC23A3" w:rsidRPr="00551E54">
        <w:rPr>
          <w:rFonts w:cs="Courier"/>
          <w:color w:val="000000" w:themeColor="text1"/>
        </w:rPr>
        <w:t xml:space="preserve"> </w:t>
      </w:r>
      <w:r w:rsidRPr="00551E54">
        <w:rPr>
          <w:rFonts w:cs="Courier"/>
          <w:color w:val="000000" w:themeColor="text1"/>
        </w:rPr>
        <w:t>occasion</w:t>
      </w:r>
      <w:r w:rsidR="00EA48A6">
        <w:rPr>
          <w:rFonts w:cs="Courier"/>
          <w:color w:val="000000" w:themeColor="text1"/>
        </w:rPr>
        <w:t>[s]</w:t>
      </w:r>
      <w:r w:rsidRPr="00551E54">
        <w:rPr>
          <w:rFonts w:cs="Courier"/>
          <w:color w:val="000000" w:themeColor="text1"/>
        </w:rPr>
        <w:t xml:space="preserve"> h</w:t>
      </w:r>
      <w:r w:rsidR="00EA48A6">
        <w:rPr>
          <w:rFonts w:cs="Courier"/>
          <w:color w:val="000000" w:themeColor="text1"/>
        </w:rPr>
        <w:t>[e]</w:t>
      </w:r>
      <w:r w:rsidRPr="00551E54">
        <w:rPr>
          <w:rFonts w:cs="Courier"/>
          <w:color w:val="000000" w:themeColor="text1"/>
        </w:rPr>
        <w:t xml:space="preserve"> </w:t>
      </w:r>
      <w:proofErr w:type="spellStart"/>
      <w:r w:rsidRPr="00551E54">
        <w:rPr>
          <w:rFonts w:cs="Courier"/>
          <w:color w:val="000000" w:themeColor="text1"/>
        </w:rPr>
        <w:t>refus</w:t>
      </w:r>
      <w:proofErr w:type="spellEnd"/>
      <w:r w:rsidR="00EC23A3" w:rsidRPr="00551E54">
        <w:rPr>
          <w:rFonts w:cs="Courier"/>
          <w:color w:val="000000" w:themeColor="text1"/>
        </w:rPr>
        <w:t>[ed]</w:t>
      </w:r>
      <w:r w:rsidRPr="00551E54">
        <w:rPr>
          <w:rFonts w:cs="Courier"/>
          <w:color w:val="000000" w:themeColor="text1"/>
        </w:rPr>
        <w:t xml:space="preserve"> to take medication</w:t>
      </w:r>
      <w:r w:rsidR="002E3C4E" w:rsidRPr="00551E54">
        <w:rPr>
          <w:rFonts w:cs="Courier"/>
          <w:color w:val="000000" w:themeColor="text1"/>
        </w:rPr>
        <w:t>,</w:t>
      </w:r>
      <w:r w:rsidR="002E3C4E" w:rsidRPr="7402BBAC">
        <w:rPr>
          <w:rFonts w:cs="Courier"/>
          <w:color w:val="000000" w:themeColor="text1"/>
        </w:rPr>
        <w:t xml:space="preserve"> </w:t>
      </w:r>
      <w:r w:rsidR="00551E54">
        <w:rPr>
          <w:rFonts w:cs="Courier"/>
          <w:color w:val="000000" w:themeColor="text1"/>
        </w:rPr>
        <w:t>. . .</w:t>
      </w:r>
      <w:r w:rsidR="002E3C4E" w:rsidRPr="00551E54">
        <w:rPr>
          <w:rFonts w:cs="Courier"/>
          <w:color w:val="000000" w:themeColor="text1"/>
        </w:rPr>
        <w:t xml:space="preserve"> [and] </w:t>
      </w:r>
      <w:proofErr w:type="spellStart"/>
      <w:r w:rsidRPr="00551E54">
        <w:rPr>
          <w:rFonts w:cs="Courier"/>
          <w:color w:val="000000" w:themeColor="text1"/>
        </w:rPr>
        <w:t>refus</w:t>
      </w:r>
      <w:proofErr w:type="spellEnd"/>
      <w:r w:rsidR="002E3C4E" w:rsidRPr="00551E54">
        <w:rPr>
          <w:rFonts w:cs="Courier"/>
          <w:color w:val="000000" w:themeColor="text1"/>
        </w:rPr>
        <w:t>[ed]</w:t>
      </w:r>
      <w:r w:rsidRPr="00551E54">
        <w:rPr>
          <w:rFonts w:cs="Courier"/>
          <w:color w:val="000000" w:themeColor="text1"/>
        </w:rPr>
        <w:t xml:space="preserve"> to get on the van to come in to get his shot.</w:t>
      </w:r>
      <w:r w:rsidR="002E3C4E" w:rsidRPr="00551E54">
        <w:rPr>
          <w:rFonts w:cs="Courier"/>
          <w:color w:val="000000" w:themeColor="text1"/>
        </w:rPr>
        <w:t>”</w:t>
      </w:r>
      <w:r w:rsidR="00193E74" w:rsidRPr="00551E54">
        <w:rPr>
          <w:rFonts w:cs="Courier"/>
          <w:color w:val="000000" w:themeColor="text1"/>
        </w:rPr>
        <w:t xml:space="preserve">   </w:t>
      </w:r>
    </w:p>
    <w:p w14:paraId="5A41CF5E" w14:textId="77777777" w:rsidR="007D687C" w:rsidRDefault="003C74B7">
      <w:r>
        <w:t xml:space="preserve">A state hospital psychiatrist who had worked with McCray and was designated as an expert testified that McCray suffered from schizophrenia and resulting symptoms, such as </w:t>
      </w:r>
      <w:r>
        <w:t>hallucinations and disorganized behaviors and speech</w:t>
      </w:r>
      <w:r w:rsidR="00623B0D">
        <w:t xml:space="preserve">; </w:t>
      </w:r>
      <w:r>
        <w:t xml:space="preserve">that </w:t>
      </w:r>
      <w:r w:rsidR="00623B0D">
        <w:t xml:space="preserve">these symptoms </w:t>
      </w:r>
      <w:r>
        <w:t xml:space="preserve">were not in remission; </w:t>
      </w:r>
      <w:r w:rsidR="00623B0D">
        <w:t xml:space="preserve">that McCray </w:t>
      </w:r>
      <w:r>
        <w:t xml:space="preserve">had </w:t>
      </w:r>
      <w:r w:rsidR="00A17031">
        <w:t xml:space="preserve">very </w:t>
      </w:r>
      <w:r>
        <w:t xml:space="preserve">poor insight into his mental illness and was unaware of his chronic symptoms; and </w:t>
      </w:r>
      <w:r w:rsidR="00623B0D">
        <w:t xml:space="preserve">that McCray </w:t>
      </w:r>
      <w:r>
        <w:t xml:space="preserve">did not meaningfully participate or engage in his treatment. </w:t>
      </w:r>
      <w:r w:rsidR="008254CA">
        <w:t xml:space="preserve"> </w:t>
      </w:r>
    </w:p>
    <w:p w14:paraId="5A41CF5F" w14:textId="77777777" w:rsidR="00F410B2" w:rsidRDefault="003C74B7" w:rsidP="00193E74">
      <w:r>
        <w:lastRenderedPageBreak/>
        <w:t>A</w:t>
      </w:r>
      <w:r w:rsidR="00EF7871">
        <w:t xml:space="preserve"> state hospital</w:t>
      </w:r>
      <w:r>
        <w:t xml:space="preserve"> clinical psychologist testified </w:t>
      </w:r>
      <w:r w:rsidR="00153B00">
        <w:t xml:space="preserve">to conducting </w:t>
      </w:r>
      <w:r>
        <w:t xml:space="preserve">an evaluation of McCray </w:t>
      </w:r>
      <w:proofErr w:type="gramStart"/>
      <w:r>
        <w:t>in order to</w:t>
      </w:r>
      <w:proofErr w:type="gramEnd"/>
      <w:r>
        <w:t xml:space="preserve"> assess his risk </w:t>
      </w:r>
      <w:r w:rsidR="002D22FE">
        <w:t>o</w:t>
      </w:r>
      <w:r>
        <w:t xml:space="preserve">f dangerousness.  She </w:t>
      </w:r>
      <w:r w:rsidR="00F8092F">
        <w:t xml:space="preserve">pointed to </w:t>
      </w:r>
      <w:r w:rsidR="001D758A">
        <w:t>McCray’s</w:t>
      </w:r>
      <w:r>
        <w:t xml:space="preserve"> </w:t>
      </w:r>
      <w:r w:rsidR="008941EA">
        <w:t>“</w:t>
      </w:r>
      <w:r>
        <w:t>history of violent behavior</w:t>
      </w:r>
      <w:r w:rsidR="004C02F0">
        <w:t>”</w:t>
      </w:r>
      <w:r w:rsidR="00533C6E">
        <w:t>;</w:t>
      </w:r>
      <w:r w:rsidR="004C02F0">
        <w:t xml:space="preserve"> </w:t>
      </w:r>
      <w:r w:rsidR="003C75AA">
        <w:t>opined</w:t>
      </w:r>
      <w:r w:rsidR="004C02F0">
        <w:t xml:space="preserve"> </w:t>
      </w:r>
      <w:r w:rsidR="008941EA">
        <w:t xml:space="preserve">that </w:t>
      </w:r>
      <w:r w:rsidR="003C75AA">
        <w:t xml:space="preserve">this behavior </w:t>
      </w:r>
      <w:r w:rsidR="008941EA">
        <w:t xml:space="preserve">was of </w:t>
      </w:r>
      <w:r w:rsidR="004C02F0">
        <w:t>“</w:t>
      </w:r>
      <w:r w:rsidR="008941EA">
        <w:t>high relevance</w:t>
      </w:r>
      <w:r w:rsidR="004C02F0">
        <w:t>”</w:t>
      </w:r>
      <w:r w:rsidR="008941EA">
        <w:t xml:space="preserve"> to his risk for future violence</w:t>
      </w:r>
      <w:r w:rsidR="00533C6E">
        <w:t>;</w:t>
      </w:r>
      <w:r w:rsidR="008941EA">
        <w:t xml:space="preserve"> </w:t>
      </w:r>
      <w:r w:rsidR="001D758A">
        <w:t>and further opined that he</w:t>
      </w:r>
      <w:r w:rsidR="008941EA">
        <w:t xml:space="preserve"> had a history of problems with relationships</w:t>
      </w:r>
      <w:r w:rsidR="008602C5">
        <w:t xml:space="preserve"> and antisocial behavior</w:t>
      </w:r>
      <w:r w:rsidR="004C02F0">
        <w:t xml:space="preserve"> that</w:t>
      </w:r>
      <w:r w:rsidR="008941EA">
        <w:t xml:space="preserve"> w</w:t>
      </w:r>
      <w:r w:rsidR="008602C5">
        <w:t>ere</w:t>
      </w:r>
      <w:r w:rsidR="008941EA">
        <w:t xml:space="preserve"> of “moderate relevance</w:t>
      </w:r>
      <w:r w:rsidR="008602C5">
        <w:t>”</w:t>
      </w:r>
      <w:r w:rsidR="008941EA">
        <w:t xml:space="preserve"> to his risk for </w:t>
      </w:r>
      <w:r w:rsidR="004C02F0">
        <w:t xml:space="preserve">future </w:t>
      </w:r>
      <w:r w:rsidR="008941EA">
        <w:t>violence.</w:t>
      </w:r>
      <w:r>
        <w:t xml:space="preserve">  </w:t>
      </w:r>
    </w:p>
    <w:p w14:paraId="5A41CF60" w14:textId="77777777" w:rsidR="006E721E" w:rsidRDefault="003C74B7" w:rsidP="007D5DFA">
      <w:r>
        <w:t xml:space="preserve">A </w:t>
      </w:r>
      <w:r w:rsidR="00765EA7">
        <w:t>s</w:t>
      </w:r>
      <w:r>
        <w:t xml:space="preserve">tate hospital forensic evaluation report prepared by a senior forensic psychologist </w:t>
      </w:r>
      <w:r w:rsidR="00220F43">
        <w:t xml:space="preserve">in October 2021 </w:t>
      </w:r>
      <w:r>
        <w:t xml:space="preserve">concluded that McCray represented a substantial danger of physical harm to others by reason of </w:t>
      </w:r>
      <w:r w:rsidR="004C02F0">
        <w:t>a</w:t>
      </w:r>
      <w:r>
        <w:t xml:space="preserve"> severe mental disorder</w:t>
      </w:r>
      <w:r w:rsidR="004C02F0">
        <w:t xml:space="preserve"> that was not in remission</w:t>
      </w:r>
      <w:r>
        <w:t xml:space="preserve">. </w:t>
      </w:r>
      <w:r w:rsidR="00D35765">
        <w:t xml:space="preserve"> </w:t>
      </w:r>
    </w:p>
    <w:p w14:paraId="5A41CF61" w14:textId="77777777" w:rsidR="007D5DFA" w:rsidRDefault="003C74B7" w:rsidP="007D5DFA">
      <w:r>
        <w:t>The trial court</w:t>
      </w:r>
      <w:r w:rsidR="00E37FE0">
        <w:t xml:space="preserve"> </w:t>
      </w:r>
      <w:r>
        <w:t xml:space="preserve">found it </w:t>
      </w:r>
      <w:r w:rsidR="00053A72">
        <w:t>was proven</w:t>
      </w:r>
      <w:r>
        <w:t xml:space="preserve"> true beyond a reasonable doubt that McCray had a severe mental disorder</w:t>
      </w:r>
      <w:r w:rsidR="00BE7AAC">
        <w:t xml:space="preserve">; </w:t>
      </w:r>
      <w:r>
        <w:t xml:space="preserve">that </w:t>
      </w:r>
      <w:r w:rsidR="00BE7AAC">
        <w:t xml:space="preserve">the disorder </w:t>
      </w:r>
      <w:r>
        <w:t xml:space="preserve">was not in remission </w:t>
      </w:r>
      <w:r w:rsidR="00F04464">
        <w:t xml:space="preserve">and </w:t>
      </w:r>
      <w:r>
        <w:t>could not be kept in remission without treatment</w:t>
      </w:r>
      <w:r w:rsidR="00BE7AAC">
        <w:t xml:space="preserve">; </w:t>
      </w:r>
      <w:r>
        <w:t xml:space="preserve">and that </w:t>
      </w:r>
      <w:proofErr w:type="gramStart"/>
      <w:r>
        <w:t>as a result of</w:t>
      </w:r>
      <w:proofErr w:type="gramEnd"/>
      <w:r>
        <w:t xml:space="preserve"> th</w:t>
      </w:r>
      <w:r w:rsidR="00BE7AAC">
        <w:t xml:space="preserve">e </w:t>
      </w:r>
      <w:r>
        <w:t>disorder</w:t>
      </w:r>
      <w:r w:rsidR="00BE7AAC">
        <w:t xml:space="preserve">, McCray </w:t>
      </w:r>
      <w:r>
        <w:t>represented a substantial danger of physical harm to others under</w:t>
      </w:r>
      <w:r w:rsidR="00112373">
        <w:t xml:space="preserve"> Penal Code</w:t>
      </w:r>
      <w:r>
        <w:t xml:space="preserve"> section 2970.  </w:t>
      </w:r>
      <w:r w:rsidR="00E04272">
        <w:t xml:space="preserve">The court </w:t>
      </w:r>
      <w:r>
        <w:t>ordered him recommitted for a period of one year, ending on April</w:t>
      </w:r>
      <w:r w:rsidR="00301815">
        <w:t> </w:t>
      </w:r>
      <w:r>
        <w:t xml:space="preserve">29, 2023. </w:t>
      </w:r>
    </w:p>
    <w:p w14:paraId="5A41CF62" w14:textId="77777777" w:rsidR="007D5DFA" w:rsidRPr="00D92215" w:rsidRDefault="003C74B7" w:rsidP="007D5DFA">
      <w:r>
        <w:t>McCray filed a timely notice of appeal.</w:t>
      </w:r>
      <w:r>
        <w:rPr>
          <w:rStyle w:val="FootnoteReference"/>
        </w:rPr>
        <w:footnoteReference w:id="4"/>
      </w:r>
      <w:r>
        <w:t xml:space="preserve"> </w:t>
      </w:r>
    </w:p>
    <w:p w14:paraId="5A41CF63" w14:textId="77777777" w:rsidR="00CB0FE2" w:rsidRDefault="003C74B7" w:rsidP="00945DBB">
      <w:pPr>
        <w:pStyle w:val="Heading1"/>
      </w:pPr>
      <w:r>
        <w:t>DISCUSSION</w:t>
      </w:r>
    </w:p>
    <w:p w14:paraId="5A41CF64" w14:textId="77777777" w:rsidR="00E77F50" w:rsidRDefault="003C74B7" w:rsidP="00BE1605">
      <w:pPr>
        <w:pStyle w:val="Heading2"/>
      </w:pPr>
      <w:r w:rsidRPr="00BA5DC1">
        <w:t>McCray’s Appeal is Moot</w:t>
      </w:r>
    </w:p>
    <w:p w14:paraId="5A41CF65" w14:textId="77777777" w:rsidR="006423D8" w:rsidRDefault="003C74B7" w:rsidP="008D5487">
      <w:r w:rsidRPr="00442A54">
        <w:t>The People argue McCray’s appeal is moot because the order from which he has appealed recommitted him for a term that expired</w:t>
      </w:r>
      <w:r w:rsidR="003674EC">
        <w:t xml:space="preserve"> in April 2023</w:t>
      </w:r>
      <w:r w:rsidR="00B703F4">
        <w:t>,</w:t>
      </w:r>
      <w:r w:rsidRPr="00442A54">
        <w:t xml:space="preserve"> and</w:t>
      </w:r>
      <w:r w:rsidR="007B5C23">
        <w:t xml:space="preserve"> </w:t>
      </w:r>
      <w:r w:rsidR="005A06FF">
        <w:t xml:space="preserve">prior to </w:t>
      </w:r>
      <w:r w:rsidR="00677CE3">
        <w:t xml:space="preserve">the </w:t>
      </w:r>
      <w:r w:rsidR="007B5C23">
        <w:t>expiration</w:t>
      </w:r>
      <w:r w:rsidR="00677CE3">
        <w:t xml:space="preserve"> of th</w:t>
      </w:r>
      <w:r w:rsidR="00447295">
        <w:t>is</w:t>
      </w:r>
      <w:r w:rsidR="00677CE3">
        <w:t xml:space="preserve"> recommitment order</w:t>
      </w:r>
      <w:r w:rsidR="005A06FF">
        <w:t>,</w:t>
      </w:r>
      <w:r w:rsidRPr="00442A54">
        <w:t xml:space="preserve"> the District Attorney filed a </w:t>
      </w:r>
      <w:r w:rsidR="00836D07" w:rsidRPr="00442A54">
        <w:t xml:space="preserve">new recommitment </w:t>
      </w:r>
      <w:r w:rsidRPr="00442A54">
        <w:t>petition</w:t>
      </w:r>
      <w:r w:rsidR="005A06FF">
        <w:t xml:space="preserve">. </w:t>
      </w:r>
      <w:r w:rsidR="005242CE" w:rsidRPr="00442A54">
        <w:t xml:space="preserve"> The record further indicates that McCray </w:t>
      </w:r>
      <w:r w:rsidR="00FF6B88">
        <w:t xml:space="preserve">has since been </w:t>
      </w:r>
      <w:r w:rsidR="00524886">
        <w:t xml:space="preserve">recommitted </w:t>
      </w:r>
      <w:r w:rsidR="005242CE" w:rsidRPr="00442A54">
        <w:t xml:space="preserve">for one more year. </w:t>
      </w:r>
      <w:r w:rsidR="00DF2CBC" w:rsidRPr="00442A54">
        <w:t xml:space="preserve"> </w:t>
      </w:r>
    </w:p>
    <w:p w14:paraId="5A41CF66" w14:textId="77777777" w:rsidR="004C7D38" w:rsidRDefault="003C74B7" w:rsidP="0025684F">
      <w:pPr>
        <w:rPr>
          <w:rFonts w:eastAsia="Times New Roman" w:cs="Arial"/>
          <w:color w:val="000000"/>
        </w:rPr>
      </w:pPr>
      <w:r w:rsidRPr="00442A54">
        <w:rPr>
          <w:rFonts w:eastAsia="Times New Roman" w:cs="Times New Roman"/>
          <w:color w:val="000000"/>
        </w:rPr>
        <w:lastRenderedPageBreak/>
        <w:t>The mootness problem presented here “frequently arises in this area of law given the short duration of conservatorships.”  (</w:t>
      </w:r>
      <w:r w:rsidRPr="00442A54">
        <w:rPr>
          <w:rFonts w:eastAsia="Times New Roman" w:cs="Times New Roman"/>
          <w:i/>
          <w:iCs/>
          <w:color w:val="3D3D3D"/>
          <w:bdr w:val="none" w:sz="0" w:space="0" w:color="auto" w:frame="1"/>
        </w:rPr>
        <w:t>Eric</w:t>
      </w:r>
      <w:r w:rsidR="00A751AE">
        <w:rPr>
          <w:rFonts w:eastAsia="Times New Roman" w:cs="Times New Roman"/>
          <w:i/>
          <w:iCs/>
          <w:color w:val="3D3D3D"/>
          <w:bdr w:val="none" w:sz="0" w:space="0" w:color="auto" w:frame="1"/>
        </w:rPr>
        <w:t> </w:t>
      </w:r>
      <w:r w:rsidRPr="00442A54">
        <w:rPr>
          <w:rFonts w:eastAsia="Times New Roman" w:cs="Times New Roman"/>
          <w:i/>
          <w:iCs/>
          <w:color w:val="3D3D3D"/>
          <w:bdr w:val="none" w:sz="0" w:space="0" w:color="auto" w:frame="1"/>
        </w:rPr>
        <w:t>B</w:t>
      </w:r>
      <w:r w:rsidRPr="00BC37FD">
        <w:rPr>
          <w:rFonts w:eastAsia="Times New Roman" w:cs="Times New Roman"/>
          <w:i/>
          <w:iCs/>
          <w:color w:val="3D3D3D"/>
          <w:bdr w:val="none" w:sz="0" w:space="0" w:color="auto" w:frame="1"/>
        </w:rPr>
        <w:t>.</w:t>
      </w:r>
      <w:r w:rsidR="003B11EF" w:rsidRPr="00BC37FD">
        <w:rPr>
          <w:rFonts w:eastAsia="Times New Roman" w:cs="Times New Roman"/>
          <w:color w:val="000000"/>
        </w:rPr>
        <w:t>,</w:t>
      </w:r>
      <w:r w:rsidR="003B11EF" w:rsidRPr="00BC37FD">
        <w:rPr>
          <w:rFonts w:eastAsia="Times New Roman" w:cs="Times New Roman"/>
          <w:i/>
          <w:iCs/>
          <w:color w:val="000000"/>
        </w:rPr>
        <w:t xml:space="preserve"> supra</w:t>
      </w:r>
      <w:r w:rsidR="003B11EF">
        <w:rPr>
          <w:rFonts w:eastAsia="Times New Roman" w:cs="Times New Roman"/>
          <w:color w:val="000000"/>
        </w:rPr>
        <w:t xml:space="preserve">, </w:t>
      </w:r>
      <w:r w:rsidRPr="00442A54">
        <w:rPr>
          <w:rFonts w:eastAsia="Times New Roman" w:cs="Times New Roman"/>
          <w:color w:val="000000"/>
        </w:rPr>
        <w:t>12</w:t>
      </w:r>
      <w:r w:rsidR="00BC37FD">
        <w:rPr>
          <w:rFonts w:eastAsia="Times New Roman" w:cs="Times New Roman"/>
          <w:color w:val="000000"/>
        </w:rPr>
        <w:t> </w:t>
      </w:r>
      <w:r w:rsidRPr="00442A54">
        <w:rPr>
          <w:rFonts w:eastAsia="Times New Roman" w:cs="Times New Roman"/>
          <w:color w:val="000000"/>
        </w:rPr>
        <w:t xml:space="preserve">Cal.5th </w:t>
      </w:r>
      <w:r w:rsidR="00BC37FD">
        <w:rPr>
          <w:rFonts w:eastAsia="Times New Roman" w:cs="Times New Roman"/>
          <w:color w:val="000000"/>
        </w:rPr>
        <w:t>at p. </w:t>
      </w:r>
      <w:r w:rsidRPr="00442A54">
        <w:rPr>
          <w:rFonts w:eastAsia="Times New Roman" w:cs="Times New Roman"/>
          <w:color w:val="000000"/>
        </w:rPr>
        <w:t>1094</w:t>
      </w:r>
      <w:r w:rsidR="00146494">
        <w:rPr>
          <w:rFonts w:eastAsia="Times New Roman" w:cs="Times New Roman"/>
          <w:color w:val="000000"/>
        </w:rPr>
        <w:t>, fn.</w:t>
      </w:r>
      <w:r w:rsidR="00240DCE">
        <w:rPr>
          <w:rFonts w:eastAsia="Times New Roman" w:cs="Times New Roman"/>
          <w:color w:val="000000"/>
        </w:rPr>
        <w:t> </w:t>
      </w:r>
      <w:r w:rsidR="00FD14EC">
        <w:rPr>
          <w:rFonts w:eastAsia="Times New Roman" w:cs="Times New Roman"/>
          <w:color w:val="000000"/>
        </w:rPr>
        <w:t>2</w:t>
      </w:r>
      <w:r w:rsidRPr="00442A54">
        <w:rPr>
          <w:rFonts w:eastAsia="Times New Roman" w:cs="Times New Roman"/>
          <w:color w:val="000000"/>
        </w:rPr>
        <w:t>.)</w:t>
      </w:r>
      <w:r w:rsidR="006423D8">
        <w:rPr>
          <w:rFonts w:eastAsia="Times New Roman" w:cs="Arial"/>
          <w:color w:val="000000"/>
        </w:rPr>
        <w:t xml:space="preserve"> </w:t>
      </w:r>
      <w:r w:rsidR="00811CC2">
        <w:rPr>
          <w:rFonts w:eastAsia="Times New Roman" w:cs="Arial"/>
          <w:color w:val="000000"/>
        </w:rPr>
        <w:t xml:space="preserve"> The governing principles of justiciability are familiar ones.</w:t>
      </w:r>
      <w:r w:rsidR="0025684F">
        <w:rPr>
          <w:rFonts w:eastAsia="Times New Roman" w:cs="Arial"/>
          <w:color w:val="000000"/>
        </w:rPr>
        <w:t xml:space="preserve">  </w:t>
      </w:r>
      <w:r w:rsidR="00694EFB" w:rsidRPr="00694EFB">
        <w:rPr>
          <w:rFonts w:eastAsia="Times New Roman" w:cs="Arial"/>
          <w:color w:val="000000"/>
        </w:rPr>
        <w:t>In general, it is a court</w:t>
      </w:r>
      <w:r w:rsidR="005E3ABF">
        <w:rPr>
          <w:rFonts w:eastAsia="Times New Roman" w:cs="Arial"/>
          <w:color w:val="000000"/>
        </w:rPr>
        <w:t>’</w:t>
      </w:r>
      <w:r w:rsidR="00694EFB" w:rsidRPr="00694EFB">
        <w:rPr>
          <w:rFonts w:eastAsia="Times New Roman" w:cs="Arial"/>
          <w:color w:val="000000"/>
        </w:rPr>
        <w:t>s duty to decide “</w:t>
      </w:r>
      <w:r w:rsidR="00BC37FD">
        <w:rPr>
          <w:rFonts w:eastAsia="Times New Roman" w:cs="Arial"/>
          <w:color w:val="000000"/>
        </w:rPr>
        <w:t> </w:t>
      </w:r>
      <w:r w:rsidR="00694EFB" w:rsidRPr="00694EFB">
        <w:rPr>
          <w:rFonts w:eastAsia="Times New Roman" w:cs="Arial"/>
          <w:color w:val="000000"/>
        </w:rPr>
        <w:t>‘</w:t>
      </w:r>
      <w:r w:rsidR="00BC37FD">
        <w:rPr>
          <w:rFonts w:eastAsia="Times New Roman" w:cs="Arial"/>
          <w:color w:val="000000"/>
        </w:rPr>
        <w:t> </w:t>
      </w:r>
      <w:r w:rsidR="00694EFB" w:rsidRPr="00694EFB">
        <w:rPr>
          <w:rFonts w:eastAsia="Times New Roman" w:cs="Arial"/>
          <w:color w:val="000000"/>
        </w:rPr>
        <w:t>“actual controversies by a judgment which can be carried into effect, and not to give opinions upon moot questions or abstract propositions, or to declare principles or rules of law which cannot affect the matter in issue in the case before it.”</w:t>
      </w:r>
      <w:r w:rsidR="00BC37FD">
        <w:rPr>
          <w:rFonts w:eastAsia="Times New Roman" w:cs="Arial"/>
          <w:color w:val="000000"/>
        </w:rPr>
        <w:t> </w:t>
      </w:r>
      <w:r w:rsidR="00694EFB" w:rsidRPr="00694EFB">
        <w:rPr>
          <w:rFonts w:eastAsia="Times New Roman" w:cs="Arial"/>
          <w:color w:val="000000"/>
        </w:rPr>
        <w:t>’</w:t>
      </w:r>
      <w:r w:rsidR="00BC37FD">
        <w:rPr>
          <w:rFonts w:eastAsia="Times New Roman" w:cs="Arial"/>
          <w:color w:val="000000"/>
        </w:rPr>
        <w:t> </w:t>
      </w:r>
      <w:r w:rsidR="00694EFB" w:rsidRPr="00694EFB">
        <w:rPr>
          <w:rFonts w:eastAsia="Times New Roman" w:cs="Arial"/>
          <w:color w:val="000000"/>
        </w:rPr>
        <w:t xml:space="preserve">” </w:t>
      </w:r>
      <w:r w:rsidR="00D05EA8">
        <w:rPr>
          <w:rFonts w:eastAsia="Times New Roman" w:cs="Arial"/>
          <w:color w:val="000000"/>
        </w:rPr>
        <w:t xml:space="preserve"> </w:t>
      </w:r>
      <w:r w:rsidR="00694EFB" w:rsidRPr="00694EFB">
        <w:rPr>
          <w:rFonts w:eastAsia="Times New Roman" w:cs="Arial"/>
          <w:color w:val="000000"/>
        </w:rPr>
        <w:t>(</w:t>
      </w:r>
      <w:r w:rsidR="00694EFB" w:rsidRPr="00694EFB">
        <w:rPr>
          <w:rFonts w:eastAsia="Times New Roman" w:cs="Arial"/>
          <w:i/>
          <w:iCs/>
          <w:color w:val="3D3D3D"/>
          <w:bdr w:val="none" w:sz="0" w:space="0" w:color="auto" w:frame="1"/>
        </w:rPr>
        <w:t>Eye Dog Foundation v. State Board of Guide Dogs for the Blind</w:t>
      </w:r>
      <w:r w:rsidR="00694EFB" w:rsidRPr="00694EFB">
        <w:rPr>
          <w:rFonts w:eastAsia="Times New Roman" w:cs="Arial"/>
          <w:color w:val="000000"/>
        </w:rPr>
        <w:t xml:space="preserve"> (1967) 67</w:t>
      </w:r>
      <w:r w:rsidR="00BC37FD">
        <w:rPr>
          <w:rFonts w:eastAsia="Times New Roman" w:cs="Arial"/>
          <w:color w:val="000000"/>
        </w:rPr>
        <w:t> </w:t>
      </w:r>
      <w:r w:rsidR="00694EFB" w:rsidRPr="00694EFB">
        <w:rPr>
          <w:rFonts w:eastAsia="Times New Roman" w:cs="Arial"/>
          <w:color w:val="000000"/>
        </w:rPr>
        <w:t xml:space="preserve">Cal.2d 536, 541.) </w:t>
      </w:r>
      <w:r w:rsidR="00495E1A">
        <w:rPr>
          <w:rFonts w:eastAsia="Times New Roman" w:cs="Arial"/>
          <w:color w:val="000000"/>
        </w:rPr>
        <w:t xml:space="preserve"> </w:t>
      </w:r>
    </w:p>
    <w:p w14:paraId="5A41CF67" w14:textId="77777777" w:rsidR="002A28F5" w:rsidRDefault="003C74B7" w:rsidP="002A28F5">
      <w:r>
        <w:rPr>
          <w:rFonts w:eastAsia="Times New Roman" w:cs="Arial"/>
          <w:color w:val="000000"/>
        </w:rPr>
        <w:t>The a</w:t>
      </w:r>
      <w:r w:rsidR="009B3FF9">
        <w:rPr>
          <w:rFonts w:eastAsia="Times New Roman" w:cs="Arial"/>
          <w:color w:val="000000"/>
        </w:rPr>
        <w:t>ppl</w:t>
      </w:r>
      <w:r>
        <w:rPr>
          <w:rFonts w:eastAsia="Times New Roman" w:cs="Arial"/>
          <w:color w:val="000000"/>
        </w:rPr>
        <w:t xml:space="preserve">ication of </w:t>
      </w:r>
      <w:r w:rsidR="00715118">
        <w:rPr>
          <w:rFonts w:eastAsia="Times New Roman" w:cs="Arial"/>
          <w:color w:val="000000"/>
        </w:rPr>
        <w:t>these principles</w:t>
      </w:r>
      <w:r>
        <w:rPr>
          <w:rFonts w:eastAsia="Times New Roman" w:cs="Arial"/>
          <w:color w:val="000000"/>
        </w:rPr>
        <w:t xml:space="preserve"> here is straightforward.  W</w:t>
      </w:r>
      <w:r w:rsidR="00694EFB" w:rsidRPr="00694EFB">
        <w:rPr>
          <w:rFonts w:eastAsia="Times New Roman" w:cs="Arial"/>
          <w:color w:val="000000"/>
        </w:rPr>
        <w:t xml:space="preserve">hen, during the pendency of an </w:t>
      </w:r>
      <w:r w:rsidR="00006589">
        <w:rPr>
          <w:rFonts w:eastAsia="Times New Roman" w:cs="Arial"/>
          <w:color w:val="000000"/>
        </w:rPr>
        <w:t>O</w:t>
      </w:r>
      <w:r w:rsidR="001F1BD7">
        <w:rPr>
          <w:rFonts w:eastAsia="Times New Roman" w:cs="Arial"/>
          <w:color w:val="000000"/>
        </w:rPr>
        <w:t>M</w:t>
      </w:r>
      <w:r w:rsidR="00006589">
        <w:rPr>
          <w:rFonts w:eastAsia="Times New Roman" w:cs="Arial"/>
          <w:color w:val="000000"/>
        </w:rPr>
        <w:t>HD</w:t>
      </w:r>
      <w:r w:rsidR="00694EFB" w:rsidRPr="00694EFB">
        <w:rPr>
          <w:rFonts w:eastAsia="Times New Roman" w:cs="Arial"/>
          <w:color w:val="000000"/>
        </w:rPr>
        <w:t xml:space="preserve"> appeal, an event occurs such that the appellate court cannot grant any effectual relief, the appeal becomes moot and should ordinarily be dismissed. </w:t>
      </w:r>
      <w:r w:rsidR="00691403">
        <w:rPr>
          <w:rFonts w:eastAsia="Times New Roman" w:cs="Arial"/>
          <w:color w:val="000000"/>
        </w:rPr>
        <w:t xml:space="preserve"> </w:t>
      </w:r>
      <w:r w:rsidR="00694EFB" w:rsidRPr="00694EFB">
        <w:rPr>
          <w:rFonts w:eastAsia="Times New Roman" w:cs="Arial"/>
          <w:color w:val="000000"/>
        </w:rPr>
        <w:t>(</w:t>
      </w:r>
      <w:r w:rsidR="00082824">
        <w:rPr>
          <w:rFonts w:eastAsia="Times New Roman" w:cs="Arial"/>
          <w:color w:val="000000"/>
        </w:rPr>
        <w:t xml:space="preserve">See </w:t>
      </w:r>
      <w:r w:rsidR="00694EFB" w:rsidRPr="00694EFB">
        <w:rPr>
          <w:rFonts w:eastAsia="Times New Roman" w:cs="Arial"/>
          <w:i/>
          <w:iCs/>
          <w:color w:val="000000"/>
          <w:bdr w:val="none" w:sz="0" w:space="0" w:color="auto" w:frame="1"/>
          <w:shd w:val="clear" w:color="auto" w:fill="FFFFFF"/>
        </w:rPr>
        <w:t>People</w:t>
      </w:r>
      <w:r w:rsidR="00694EFB" w:rsidRPr="00694EFB">
        <w:rPr>
          <w:rFonts w:eastAsia="Times New Roman" w:cs="Arial"/>
          <w:i/>
          <w:iCs/>
          <w:color w:val="3D3D3D"/>
          <w:bdr w:val="none" w:sz="0" w:space="0" w:color="auto" w:frame="1"/>
          <w:shd w:val="clear" w:color="auto" w:fill="FFFFFF"/>
        </w:rPr>
        <w:t xml:space="preserve"> </w:t>
      </w:r>
      <w:r w:rsidR="00694EFB" w:rsidRPr="00694EFB">
        <w:rPr>
          <w:rFonts w:eastAsia="Times New Roman" w:cs="Arial"/>
          <w:i/>
          <w:iCs/>
          <w:color w:val="000000"/>
          <w:bdr w:val="none" w:sz="0" w:space="0" w:color="auto" w:frame="1"/>
          <w:shd w:val="clear" w:color="auto" w:fill="FFFFFF"/>
        </w:rPr>
        <w:t>v</w:t>
      </w:r>
      <w:r w:rsidR="00694EFB" w:rsidRPr="00694EFB">
        <w:rPr>
          <w:rFonts w:eastAsia="Times New Roman" w:cs="Arial"/>
          <w:i/>
          <w:iCs/>
          <w:color w:val="3D3D3D"/>
          <w:bdr w:val="none" w:sz="0" w:space="0" w:color="auto" w:frame="1"/>
          <w:shd w:val="clear" w:color="auto" w:fill="FFFFFF"/>
        </w:rPr>
        <w:t xml:space="preserve">. </w:t>
      </w:r>
      <w:proofErr w:type="spellStart"/>
      <w:r w:rsidR="00694EFB" w:rsidRPr="00694EFB">
        <w:rPr>
          <w:rFonts w:eastAsia="Times New Roman" w:cs="Arial"/>
          <w:i/>
          <w:iCs/>
          <w:color w:val="000000"/>
          <w:bdr w:val="none" w:sz="0" w:space="0" w:color="auto" w:frame="1"/>
          <w:shd w:val="clear" w:color="auto" w:fill="FFFFFF"/>
        </w:rPr>
        <w:t>Alsafar</w:t>
      </w:r>
      <w:proofErr w:type="spellEnd"/>
      <w:r w:rsidR="00694EFB" w:rsidRPr="00694EFB">
        <w:rPr>
          <w:rFonts w:eastAsia="Times New Roman" w:cs="Arial"/>
          <w:color w:val="000000"/>
          <w:bdr w:val="none" w:sz="0" w:space="0" w:color="auto" w:frame="1"/>
          <w:shd w:val="clear" w:color="auto" w:fill="FFFFFF"/>
        </w:rPr>
        <w:t xml:space="preserve"> (2017) 8</w:t>
      </w:r>
      <w:r w:rsidR="00BC37FD">
        <w:rPr>
          <w:rFonts w:eastAsia="Times New Roman" w:cs="Arial"/>
          <w:color w:val="000000"/>
          <w:bdr w:val="none" w:sz="0" w:space="0" w:color="auto" w:frame="1"/>
          <w:shd w:val="clear" w:color="auto" w:fill="FFFFFF"/>
        </w:rPr>
        <w:t> </w:t>
      </w:r>
      <w:r w:rsidR="00694EFB" w:rsidRPr="00694EFB">
        <w:rPr>
          <w:rFonts w:eastAsia="Times New Roman" w:cs="Arial"/>
          <w:color w:val="000000"/>
          <w:bdr w:val="none" w:sz="0" w:space="0" w:color="auto" w:frame="1"/>
          <w:shd w:val="clear" w:color="auto" w:fill="FFFFFF"/>
        </w:rPr>
        <w:t>Cal.App.5th 880, 882–883</w:t>
      </w:r>
      <w:r w:rsidR="00692B3C">
        <w:rPr>
          <w:rFonts w:eastAsia="Times New Roman" w:cs="Arial"/>
          <w:color w:val="000000"/>
          <w:bdr w:val="none" w:sz="0" w:space="0" w:color="auto" w:frame="1"/>
          <w:shd w:val="clear" w:color="auto" w:fill="FFFFFF"/>
        </w:rPr>
        <w:t xml:space="preserve"> (</w:t>
      </w:r>
      <w:proofErr w:type="spellStart"/>
      <w:r w:rsidR="00692B3C" w:rsidRPr="00706F70">
        <w:rPr>
          <w:rFonts w:eastAsia="Times New Roman" w:cs="Arial"/>
          <w:i/>
          <w:iCs/>
          <w:color w:val="000000"/>
          <w:bdr w:val="none" w:sz="0" w:space="0" w:color="auto" w:frame="1"/>
          <w:shd w:val="clear" w:color="auto" w:fill="FFFFFF"/>
        </w:rPr>
        <w:t>Alsafar</w:t>
      </w:r>
      <w:proofErr w:type="spellEnd"/>
      <w:r w:rsidR="00692B3C">
        <w:rPr>
          <w:rFonts w:eastAsia="Times New Roman" w:cs="Arial"/>
          <w:color w:val="000000"/>
          <w:bdr w:val="none" w:sz="0" w:space="0" w:color="auto" w:frame="1"/>
          <w:shd w:val="clear" w:color="auto" w:fill="FFFFFF"/>
        </w:rPr>
        <w:t>)</w:t>
      </w:r>
      <w:r w:rsidR="00694EFB" w:rsidRPr="00694EFB">
        <w:rPr>
          <w:rFonts w:eastAsia="Times New Roman" w:cs="Arial"/>
          <w:color w:val="000000"/>
        </w:rPr>
        <w:t xml:space="preserve">; </w:t>
      </w:r>
      <w:r w:rsidR="00F30FEB">
        <w:rPr>
          <w:rFonts w:eastAsia="Times New Roman" w:cs="Arial"/>
          <w:color w:val="000000"/>
        </w:rPr>
        <w:t xml:space="preserve">see also </w:t>
      </w:r>
      <w:r w:rsidR="00694EFB" w:rsidRPr="00694EFB">
        <w:rPr>
          <w:rFonts w:eastAsia="Times New Roman" w:cs="Arial"/>
          <w:i/>
          <w:iCs/>
          <w:color w:val="3D3D3D"/>
          <w:bdr w:val="none" w:sz="0" w:space="0" w:color="auto" w:frame="1"/>
        </w:rPr>
        <w:t>Conservatorship of Joseph</w:t>
      </w:r>
      <w:r w:rsidR="00BC37FD">
        <w:rPr>
          <w:rFonts w:eastAsia="Times New Roman" w:cs="Arial"/>
          <w:i/>
          <w:iCs/>
          <w:color w:val="3D3D3D"/>
          <w:bdr w:val="none" w:sz="0" w:space="0" w:color="auto" w:frame="1"/>
        </w:rPr>
        <w:t> </w:t>
      </w:r>
      <w:r w:rsidR="00694EFB" w:rsidRPr="00694EFB">
        <w:rPr>
          <w:rFonts w:eastAsia="Times New Roman" w:cs="Arial"/>
          <w:i/>
          <w:iCs/>
          <w:color w:val="3D3D3D"/>
          <w:bdr w:val="none" w:sz="0" w:space="0" w:color="auto" w:frame="1"/>
        </w:rPr>
        <w:t>W.</w:t>
      </w:r>
      <w:r w:rsidR="00694EFB" w:rsidRPr="00694EFB">
        <w:rPr>
          <w:rFonts w:eastAsia="Times New Roman" w:cs="Arial"/>
          <w:color w:val="000000"/>
        </w:rPr>
        <w:t xml:space="preserve"> (2011) 199</w:t>
      </w:r>
      <w:r w:rsidR="00BC37FD">
        <w:rPr>
          <w:rFonts w:eastAsia="Times New Roman" w:cs="Arial"/>
          <w:color w:val="000000"/>
        </w:rPr>
        <w:t> </w:t>
      </w:r>
      <w:r w:rsidR="00694EFB" w:rsidRPr="00694EFB">
        <w:rPr>
          <w:rFonts w:eastAsia="Times New Roman" w:cs="Arial"/>
          <w:color w:val="000000"/>
        </w:rPr>
        <w:t>Cal.App.4th 953, 960</w:t>
      </w:r>
      <w:r w:rsidR="00706F70">
        <w:rPr>
          <w:rFonts w:eastAsia="Times New Roman" w:cs="Arial"/>
          <w:color w:val="000000"/>
        </w:rPr>
        <w:t>–</w:t>
      </w:r>
      <w:r w:rsidR="00FB471D">
        <w:rPr>
          <w:rFonts w:eastAsia="Times New Roman" w:cs="Arial"/>
          <w:color w:val="000000"/>
        </w:rPr>
        <w:t>961</w:t>
      </w:r>
      <w:r w:rsidR="00694EFB" w:rsidRPr="00694EFB">
        <w:rPr>
          <w:rFonts w:eastAsia="Times New Roman" w:cs="Arial"/>
          <w:color w:val="000000"/>
        </w:rPr>
        <w:t xml:space="preserve"> (</w:t>
      </w:r>
      <w:r w:rsidR="00694EFB" w:rsidRPr="00694EFB">
        <w:rPr>
          <w:rFonts w:eastAsia="Times New Roman" w:cs="Arial"/>
          <w:i/>
          <w:iCs/>
          <w:color w:val="3D3D3D"/>
          <w:bdr w:val="none" w:sz="0" w:space="0" w:color="auto" w:frame="1"/>
        </w:rPr>
        <w:t>Joseph</w:t>
      </w:r>
      <w:r w:rsidR="000625BE">
        <w:rPr>
          <w:rFonts w:eastAsia="Times New Roman" w:cs="Arial"/>
          <w:i/>
          <w:iCs/>
          <w:color w:val="3D3D3D"/>
          <w:bdr w:val="none" w:sz="0" w:space="0" w:color="auto" w:frame="1"/>
        </w:rPr>
        <w:t> </w:t>
      </w:r>
      <w:r w:rsidR="00694EFB" w:rsidRPr="00694EFB">
        <w:rPr>
          <w:rFonts w:eastAsia="Times New Roman" w:cs="Arial"/>
          <w:i/>
          <w:iCs/>
          <w:color w:val="3D3D3D"/>
          <w:bdr w:val="none" w:sz="0" w:space="0" w:color="auto" w:frame="1"/>
        </w:rPr>
        <w:t>W.</w:t>
      </w:r>
      <w:r w:rsidR="00694EFB" w:rsidRPr="00694EFB">
        <w:rPr>
          <w:rFonts w:eastAsia="Times New Roman" w:cs="Arial"/>
          <w:color w:val="000000"/>
        </w:rPr>
        <w:t>) [</w:t>
      </w:r>
      <w:r w:rsidR="002709AA">
        <w:rPr>
          <w:rFonts w:eastAsia="Times New Roman" w:cs="Arial"/>
          <w:color w:val="000000"/>
        </w:rPr>
        <w:t xml:space="preserve">dismissing </w:t>
      </w:r>
      <w:r w:rsidR="00F30FEB">
        <w:rPr>
          <w:rFonts w:eastAsia="Times New Roman" w:cs="Arial"/>
          <w:color w:val="000000"/>
        </w:rPr>
        <w:t xml:space="preserve">an LPS appeal </w:t>
      </w:r>
      <w:r w:rsidR="002709AA">
        <w:rPr>
          <w:rFonts w:eastAsia="Times New Roman" w:cs="Arial"/>
          <w:color w:val="000000"/>
        </w:rPr>
        <w:t xml:space="preserve">for mootness </w:t>
      </w:r>
      <w:r w:rsidR="00694EFB" w:rsidRPr="00694EFB">
        <w:rPr>
          <w:rFonts w:eastAsia="Times New Roman" w:cs="Arial"/>
          <w:color w:val="000000"/>
        </w:rPr>
        <w:t>but exercising discretion to address important issue</w:t>
      </w:r>
      <w:r w:rsidR="00B76C59">
        <w:rPr>
          <w:rFonts w:eastAsia="Times New Roman" w:cs="Arial"/>
          <w:color w:val="000000"/>
        </w:rPr>
        <w:t>s</w:t>
      </w:r>
      <w:r w:rsidR="00694EFB" w:rsidRPr="00694EFB">
        <w:rPr>
          <w:rFonts w:eastAsia="Times New Roman" w:cs="Arial"/>
          <w:color w:val="000000"/>
        </w:rPr>
        <w:t xml:space="preserve"> likely to </w:t>
      </w:r>
      <w:r w:rsidR="002470C4">
        <w:rPr>
          <w:rFonts w:eastAsia="Times New Roman" w:cs="Arial"/>
          <w:color w:val="000000"/>
        </w:rPr>
        <w:t xml:space="preserve">recur </w:t>
      </w:r>
      <w:r w:rsidR="002470C4" w:rsidRPr="00DE58BF">
        <w:rPr>
          <w:rFonts w:eastAsia="Times New Roman" w:cs="Arial"/>
          <w:color w:val="000000"/>
        </w:rPr>
        <w:t xml:space="preserve">and </w:t>
      </w:r>
      <w:r w:rsidR="00694EFB" w:rsidRPr="006F78E6">
        <w:rPr>
          <w:rFonts w:eastAsia="Times New Roman" w:cs="Arial"/>
          <w:color w:val="000000"/>
        </w:rPr>
        <w:t>evade review].)</w:t>
      </w:r>
      <w:r w:rsidR="00F24512" w:rsidRPr="006F78E6">
        <w:rPr>
          <w:rFonts w:eastAsia="Times New Roman" w:cs="Arial"/>
          <w:color w:val="000000"/>
        </w:rPr>
        <w:t xml:space="preserve"> </w:t>
      </w:r>
      <w:r>
        <w:t xml:space="preserve"> </w:t>
      </w:r>
      <w:r w:rsidR="009E71B5" w:rsidRPr="006F78E6">
        <w:t>W</w:t>
      </w:r>
      <w:r w:rsidR="008F4FCA" w:rsidRPr="006F78E6">
        <w:t xml:space="preserve">e conclude that </w:t>
      </w:r>
      <w:proofErr w:type="spellStart"/>
      <w:r w:rsidR="008F4FCA" w:rsidRPr="006F78E6">
        <w:rPr>
          <w:i/>
          <w:iCs/>
        </w:rPr>
        <w:t>Alsafar</w:t>
      </w:r>
      <w:proofErr w:type="spellEnd"/>
      <w:r w:rsidR="008F4FCA" w:rsidRPr="006F78E6">
        <w:rPr>
          <w:i/>
          <w:iCs/>
        </w:rPr>
        <w:t xml:space="preserve"> </w:t>
      </w:r>
      <w:r w:rsidR="008F4FCA" w:rsidRPr="006F78E6">
        <w:t>controls</w:t>
      </w:r>
      <w:r>
        <w:t>,</w:t>
      </w:r>
      <w:r w:rsidR="008F4FCA" w:rsidRPr="006F78E6">
        <w:t xml:space="preserve"> and that McCray’s appeal is moot because of his subsequent recommitment in 2023</w:t>
      </w:r>
      <w:r w:rsidR="006F089F">
        <w:t xml:space="preserve">.  </w:t>
      </w:r>
    </w:p>
    <w:p w14:paraId="5A41CF68" w14:textId="77777777" w:rsidR="003260FD" w:rsidRPr="006F78E6" w:rsidRDefault="003C74B7" w:rsidP="00E13857">
      <w:pPr>
        <w:rPr>
          <w:rFonts w:eastAsia="Times New Roman" w:cs="Times New Roman"/>
          <w:color w:val="000000"/>
        </w:rPr>
      </w:pPr>
      <w:r w:rsidRPr="006F78E6">
        <w:t xml:space="preserve">But </w:t>
      </w:r>
      <w:r w:rsidR="009B6350" w:rsidRPr="006F78E6">
        <w:t xml:space="preserve">there is an exception to the mootness </w:t>
      </w:r>
      <w:r w:rsidR="002709AA" w:rsidRPr="006F78E6">
        <w:t xml:space="preserve">doctrine for </w:t>
      </w:r>
      <w:r w:rsidR="00C405C7">
        <w:rPr>
          <w:rFonts w:eastAsia="Times New Roman" w:cs="Times New Roman"/>
          <w:color w:val="000000" w:themeColor="text1"/>
        </w:rPr>
        <w:t xml:space="preserve">issues of </w:t>
      </w:r>
      <w:r w:rsidR="00DF4045" w:rsidRPr="7402BBAC">
        <w:rPr>
          <w:rFonts w:eastAsia="Times New Roman" w:cs="Times New Roman"/>
          <w:color w:val="000000" w:themeColor="text1"/>
        </w:rPr>
        <w:t>“</w:t>
      </w:r>
      <w:r w:rsidR="00DF4045" w:rsidRPr="00C07FB2">
        <w:rPr>
          <w:rFonts w:eastAsia="Times New Roman" w:cs="Times New Roman"/>
          <w:color w:val="212121"/>
        </w:rPr>
        <w:t>continuing public importance</w:t>
      </w:r>
      <w:r w:rsidR="00B808E7" w:rsidRPr="00C07FB2">
        <w:rPr>
          <w:rFonts w:eastAsia="Times New Roman" w:cs="Times New Roman"/>
          <w:color w:val="212121"/>
        </w:rPr>
        <w:t xml:space="preserve">” </w:t>
      </w:r>
      <w:r w:rsidR="00870E7A" w:rsidRPr="006F78E6">
        <w:rPr>
          <w:rFonts w:eastAsia="Times New Roman" w:cs="Times New Roman"/>
          <w:color w:val="000000"/>
        </w:rPr>
        <w:t xml:space="preserve">that are </w:t>
      </w:r>
      <w:r w:rsidR="00B75DD2">
        <w:rPr>
          <w:rFonts w:eastAsia="Times New Roman" w:cs="Times New Roman"/>
          <w:color w:val="000000"/>
        </w:rPr>
        <w:t>deemed</w:t>
      </w:r>
      <w:r w:rsidR="00870E7A" w:rsidRPr="006F78E6">
        <w:rPr>
          <w:rFonts w:eastAsia="Times New Roman" w:cs="Times New Roman"/>
          <w:color w:val="000000"/>
        </w:rPr>
        <w:t xml:space="preserve"> “</w:t>
      </w:r>
      <w:r w:rsidR="00F24512" w:rsidRPr="006F78E6">
        <w:rPr>
          <w:rFonts w:eastAsia="Times New Roman" w:cs="Times New Roman"/>
          <w:color w:val="000000"/>
        </w:rPr>
        <w:t>capable of repetition</w:t>
      </w:r>
      <w:r w:rsidR="001C7DA9">
        <w:rPr>
          <w:rFonts w:eastAsia="Times New Roman" w:cs="Times New Roman"/>
          <w:color w:val="000000"/>
        </w:rPr>
        <w:t>,</w:t>
      </w:r>
      <w:r w:rsidR="00F24512" w:rsidRPr="006F78E6">
        <w:rPr>
          <w:rFonts w:eastAsia="Times New Roman" w:cs="Times New Roman"/>
          <w:color w:val="000000"/>
        </w:rPr>
        <w:t xml:space="preserve"> </w:t>
      </w:r>
      <w:r w:rsidR="001C7DA9">
        <w:rPr>
          <w:rFonts w:eastAsia="Times New Roman" w:cs="Times New Roman"/>
          <w:color w:val="000000"/>
        </w:rPr>
        <w:t xml:space="preserve">yet </w:t>
      </w:r>
      <w:proofErr w:type="spellStart"/>
      <w:r w:rsidR="001C7DA9">
        <w:rPr>
          <w:rFonts w:eastAsia="Times New Roman" w:cs="Times New Roman"/>
          <w:color w:val="000000"/>
        </w:rPr>
        <w:t>evad</w:t>
      </w:r>
      <w:proofErr w:type="spellEnd"/>
      <w:r w:rsidR="00432823">
        <w:rPr>
          <w:rFonts w:eastAsia="Times New Roman" w:cs="Times New Roman"/>
          <w:color w:val="000000"/>
        </w:rPr>
        <w:t>[e]</w:t>
      </w:r>
      <w:r w:rsidR="00F24512" w:rsidRPr="006F78E6">
        <w:rPr>
          <w:rFonts w:eastAsia="Times New Roman" w:cs="Times New Roman"/>
          <w:color w:val="000000"/>
        </w:rPr>
        <w:t xml:space="preserve"> review</w:t>
      </w:r>
      <w:r w:rsidR="00870E7A" w:rsidRPr="006F78E6">
        <w:rPr>
          <w:rFonts w:eastAsia="Times New Roman" w:cs="Times New Roman"/>
          <w:color w:val="000000"/>
        </w:rPr>
        <w:t xml:space="preserve">.” </w:t>
      </w:r>
      <w:r w:rsidR="00F24512" w:rsidRPr="006F78E6">
        <w:rPr>
          <w:rFonts w:eastAsia="Times New Roman" w:cs="Times New Roman"/>
          <w:color w:val="000000"/>
        </w:rPr>
        <w:t xml:space="preserve"> (</w:t>
      </w:r>
      <w:proofErr w:type="spellStart"/>
      <w:r w:rsidR="00B808E7" w:rsidRPr="00C07FB2">
        <w:rPr>
          <w:rFonts w:eastAsia="Times New Roman" w:cs="Times New Roman"/>
          <w:i/>
          <w:color w:val="000000" w:themeColor="text1"/>
        </w:rPr>
        <w:t>Alsafar</w:t>
      </w:r>
      <w:proofErr w:type="spellEnd"/>
      <w:r w:rsidR="002727D3" w:rsidRPr="7402BBAC">
        <w:rPr>
          <w:rFonts w:eastAsia="Times New Roman" w:cs="Times New Roman"/>
          <w:color w:val="000000" w:themeColor="text1"/>
        </w:rPr>
        <w:t xml:space="preserve">, </w:t>
      </w:r>
      <w:r w:rsidR="00100B60" w:rsidRPr="006F78E6">
        <w:rPr>
          <w:rFonts w:eastAsia="Times New Roman" w:cs="Times New Roman"/>
          <w:i/>
          <w:iCs/>
          <w:color w:val="000000"/>
        </w:rPr>
        <w:t>supra</w:t>
      </w:r>
      <w:r w:rsidR="00100B60" w:rsidRPr="006F78E6">
        <w:rPr>
          <w:rFonts w:eastAsia="Times New Roman" w:cs="Times New Roman"/>
          <w:color w:val="000000"/>
        </w:rPr>
        <w:t>,</w:t>
      </w:r>
      <w:r w:rsidR="00F24512" w:rsidRPr="006F78E6">
        <w:rPr>
          <w:rFonts w:eastAsia="Times New Roman" w:cs="Times New Roman"/>
          <w:color w:val="000000"/>
        </w:rPr>
        <w:t xml:space="preserve"> </w:t>
      </w:r>
      <w:r w:rsidR="002727D3" w:rsidRPr="7402BBAC">
        <w:rPr>
          <w:rFonts w:eastAsia="Times New Roman" w:cs="Times New Roman"/>
          <w:color w:val="000000" w:themeColor="text1"/>
        </w:rPr>
        <w:t>8</w:t>
      </w:r>
      <w:r w:rsidR="00241FEE">
        <w:rPr>
          <w:rFonts w:eastAsia="Times New Roman" w:cs="Times New Roman"/>
          <w:color w:val="000000" w:themeColor="text1"/>
        </w:rPr>
        <w:t> </w:t>
      </w:r>
      <w:r w:rsidR="00F24512" w:rsidRPr="006F78E6">
        <w:rPr>
          <w:rFonts w:eastAsia="Times New Roman" w:cs="Times New Roman"/>
          <w:color w:val="000000"/>
        </w:rPr>
        <w:t>Cal.</w:t>
      </w:r>
      <w:r w:rsidR="008E34E1" w:rsidRPr="7402BBAC">
        <w:rPr>
          <w:rFonts w:eastAsia="Times New Roman" w:cs="Times New Roman"/>
          <w:color w:val="000000" w:themeColor="text1"/>
        </w:rPr>
        <w:t>App.5</w:t>
      </w:r>
      <w:r w:rsidR="395B7ED4" w:rsidRPr="7402BBAC">
        <w:rPr>
          <w:rFonts w:eastAsia="Times New Roman" w:cs="Times New Roman"/>
          <w:color w:val="000000" w:themeColor="text1"/>
        </w:rPr>
        <w:t>th</w:t>
      </w:r>
      <w:r w:rsidR="008E34E1" w:rsidRPr="7402BBAC">
        <w:rPr>
          <w:rFonts w:eastAsia="Times New Roman" w:cs="Times New Roman"/>
          <w:color w:val="000000" w:themeColor="text1"/>
        </w:rPr>
        <w:t xml:space="preserve"> at p.</w:t>
      </w:r>
      <w:r w:rsidR="00241FEE">
        <w:rPr>
          <w:rFonts w:eastAsia="Times New Roman" w:cs="Times New Roman"/>
          <w:color w:val="000000" w:themeColor="text1"/>
        </w:rPr>
        <w:t> </w:t>
      </w:r>
      <w:r w:rsidR="002610F3" w:rsidRPr="7402BBAC">
        <w:rPr>
          <w:rFonts w:eastAsia="Times New Roman" w:cs="Times New Roman"/>
          <w:color w:val="000000" w:themeColor="text1"/>
        </w:rPr>
        <w:t>88</w:t>
      </w:r>
      <w:r w:rsidR="00DE58BF" w:rsidRPr="7402BBAC">
        <w:rPr>
          <w:rFonts w:eastAsia="Times New Roman" w:cs="Times New Roman"/>
          <w:color w:val="000000" w:themeColor="text1"/>
        </w:rPr>
        <w:t>3</w:t>
      </w:r>
      <w:r w:rsidR="00F24512" w:rsidRPr="006F78E6">
        <w:rPr>
          <w:rFonts w:eastAsia="Times New Roman" w:cs="Times New Roman"/>
          <w:color w:val="000000"/>
        </w:rPr>
        <w:t>.)</w:t>
      </w:r>
      <w:r w:rsidRPr="7402BBAC">
        <w:rPr>
          <w:rFonts w:eastAsia="Times New Roman" w:cs="Times New Roman"/>
          <w:color w:val="000000" w:themeColor="text1"/>
        </w:rPr>
        <w:t xml:space="preserve"> </w:t>
      </w:r>
      <w:r w:rsidR="005127F4" w:rsidRPr="7402BBAC">
        <w:rPr>
          <w:rFonts w:eastAsia="Times New Roman" w:cs="Times New Roman"/>
          <w:color w:val="000000" w:themeColor="text1"/>
        </w:rPr>
        <w:t xml:space="preserve"> </w:t>
      </w:r>
      <w:r w:rsidR="009136E6" w:rsidRPr="7402BBAC">
        <w:rPr>
          <w:rFonts w:eastAsia="Times New Roman" w:cs="Times New Roman"/>
          <w:color w:val="000000" w:themeColor="text1"/>
        </w:rPr>
        <w:t>For th</w:t>
      </w:r>
      <w:r w:rsidR="003C3760">
        <w:rPr>
          <w:rFonts w:eastAsia="Times New Roman" w:cs="Times New Roman"/>
          <w:color w:val="000000" w:themeColor="text1"/>
        </w:rPr>
        <w:t>e</w:t>
      </w:r>
      <w:r w:rsidR="005F1D1C">
        <w:rPr>
          <w:rFonts w:eastAsia="Times New Roman" w:cs="Times New Roman"/>
          <w:color w:val="000000" w:themeColor="text1"/>
        </w:rPr>
        <w:t xml:space="preserve"> </w:t>
      </w:r>
      <w:r w:rsidR="00E10008">
        <w:rPr>
          <w:rFonts w:eastAsia="Times New Roman" w:cs="Times New Roman"/>
          <w:color w:val="000000" w:themeColor="text1"/>
        </w:rPr>
        <w:t xml:space="preserve">evading review </w:t>
      </w:r>
      <w:r w:rsidR="005F1D1C">
        <w:rPr>
          <w:rFonts w:eastAsia="Times New Roman" w:cs="Times New Roman"/>
          <w:color w:val="000000" w:themeColor="text1"/>
        </w:rPr>
        <w:t>exception</w:t>
      </w:r>
      <w:r w:rsidR="009136E6" w:rsidRPr="7402BBAC">
        <w:rPr>
          <w:rFonts w:eastAsia="Times New Roman" w:cs="Times New Roman"/>
          <w:color w:val="000000" w:themeColor="text1"/>
        </w:rPr>
        <w:t xml:space="preserve"> to apply, </w:t>
      </w:r>
      <w:r w:rsidR="000E0604">
        <w:rPr>
          <w:rFonts w:eastAsia="Times New Roman" w:cs="Times New Roman"/>
          <w:color w:val="000000" w:themeColor="text1"/>
        </w:rPr>
        <w:t xml:space="preserve">there </w:t>
      </w:r>
      <w:r w:rsidR="009136E6" w:rsidRPr="7402BBAC">
        <w:rPr>
          <w:rFonts w:eastAsia="Times New Roman" w:cs="Times New Roman"/>
          <w:color w:val="000000" w:themeColor="text1"/>
        </w:rPr>
        <w:t xml:space="preserve">must be </w:t>
      </w:r>
      <w:r w:rsidR="00FA71E0">
        <w:rPr>
          <w:rFonts w:eastAsia="Times New Roman" w:cs="Times New Roman"/>
          <w:color w:val="000000" w:themeColor="text1"/>
        </w:rPr>
        <w:t xml:space="preserve">more </w:t>
      </w:r>
      <w:r w:rsidR="009136E6" w:rsidRPr="7402BBAC">
        <w:rPr>
          <w:rFonts w:eastAsia="Times New Roman" w:cs="Times New Roman"/>
          <w:color w:val="000000" w:themeColor="text1"/>
        </w:rPr>
        <w:t xml:space="preserve">at stake than simple </w:t>
      </w:r>
      <w:r w:rsidR="00A449AA" w:rsidRPr="7402BBAC">
        <w:rPr>
          <w:rFonts w:eastAsia="Times New Roman" w:cs="Times New Roman"/>
          <w:color w:val="000000" w:themeColor="text1"/>
        </w:rPr>
        <w:t>error-correction in an individual case</w:t>
      </w:r>
      <w:r w:rsidR="00011168" w:rsidRPr="7402BBAC">
        <w:rPr>
          <w:rFonts w:eastAsia="Times New Roman" w:cs="Times New Roman"/>
          <w:color w:val="000000" w:themeColor="text1"/>
        </w:rPr>
        <w:t xml:space="preserve">.  The </w:t>
      </w:r>
      <w:r w:rsidR="00815326">
        <w:rPr>
          <w:rFonts w:eastAsia="Times New Roman" w:cs="Times New Roman"/>
          <w:color w:val="000000" w:themeColor="text1"/>
        </w:rPr>
        <w:t xml:space="preserve">exception </w:t>
      </w:r>
      <w:r w:rsidR="00011168" w:rsidRPr="7402BBAC">
        <w:rPr>
          <w:rFonts w:eastAsia="Times New Roman" w:cs="Times New Roman"/>
          <w:color w:val="000000" w:themeColor="text1"/>
        </w:rPr>
        <w:t xml:space="preserve">implicates the fundamental role </w:t>
      </w:r>
      <w:r w:rsidR="006E14D4" w:rsidRPr="7402BBAC">
        <w:rPr>
          <w:rFonts w:eastAsia="Times New Roman" w:cs="Times New Roman"/>
          <w:color w:val="000000" w:themeColor="text1"/>
        </w:rPr>
        <w:t xml:space="preserve">of </w:t>
      </w:r>
      <w:r w:rsidR="00747CF9" w:rsidRPr="7402BBAC">
        <w:rPr>
          <w:rFonts w:eastAsia="Times New Roman" w:cs="Times New Roman"/>
          <w:color w:val="000000" w:themeColor="text1"/>
        </w:rPr>
        <w:t xml:space="preserve">an </w:t>
      </w:r>
      <w:r w:rsidR="00B10706" w:rsidRPr="7402BBAC">
        <w:rPr>
          <w:rFonts w:eastAsia="Times New Roman" w:cs="Times New Roman"/>
          <w:color w:val="000000" w:themeColor="text1"/>
        </w:rPr>
        <w:t>appellate court as a custodian of the law</w:t>
      </w:r>
      <w:r w:rsidR="00E43A72">
        <w:rPr>
          <w:rFonts w:eastAsia="Times New Roman" w:cs="Times New Roman"/>
          <w:color w:val="000000" w:themeColor="text1"/>
        </w:rPr>
        <w:t xml:space="preserve">, which </w:t>
      </w:r>
      <w:r w:rsidR="0069794F" w:rsidRPr="7402BBAC">
        <w:rPr>
          <w:rFonts w:eastAsia="Times New Roman" w:cs="Times New Roman"/>
          <w:color w:val="000000" w:themeColor="text1"/>
        </w:rPr>
        <w:t xml:space="preserve">is </w:t>
      </w:r>
      <w:r w:rsidR="00E43A72">
        <w:rPr>
          <w:rFonts w:eastAsia="Times New Roman" w:cs="Times New Roman"/>
          <w:color w:val="000000" w:themeColor="text1"/>
        </w:rPr>
        <w:t xml:space="preserve">why </w:t>
      </w:r>
      <w:r w:rsidR="000D72B1">
        <w:rPr>
          <w:rFonts w:eastAsia="Times New Roman" w:cs="Times New Roman"/>
          <w:color w:val="000000" w:themeColor="text1"/>
        </w:rPr>
        <w:t xml:space="preserve">courts </w:t>
      </w:r>
      <w:r w:rsidR="0069794F" w:rsidRPr="7402BBAC">
        <w:rPr>
          <w:rFonts w:eastAsia="Times New Roman" w:cs="Times New Roman"/>
          <w:color w:val="000000" w:themeColor="text1"/>
        </w:rPr>
        <w:t>often sa</w:t>
      </w:r>
      <w:r w:rsidR="000D72B1">
        <w:rPr>
          <w:rFonts w:eastAsia="Times New Roman" w:cs="Times New Roman"/>
          <w:color w:val="000000" w:themeColor="text1"/>
        </w:rPr>
        <w:t>y</w:t>
      </w:r>
      <w:r w:rsidR="0069794F" w:rsidRPr="7402BBAC">
        <w:rPr>
          <w:rFonts w:eastAsia="Times New Roman" w:cs="Times New Roman"/>
          <w:color w:val="000000" w:themeColor="text1"/>
        </w:rPr>
        <w:t xml:space="preserve"> </w:t>
      </w:r>
      <w:r w:rsidR="000D72B1">
        <w:rPr>
          <w:rFonts w:eastAsia="Times New Roman" w:cs="Times New Roman"/>
          <w:color w:val="000000" w:themeColor="text1"/>
        </w:rPr>
        <w:t>it</w:t>
      </w:r>
      <w:r w:rsidR="0069794F" w:rsidRPr="7402BBAC">
        <w:rPr>
          <w:rFonts w:eastAsia="Times New Roman" w:cs="Times New Roman"/>
          <w:color w:val="000000" w:themeColor="text1"/>
        </w:rPr>
        <w:t xml:space="preserve"> </w:t>
      </w:r>
      <w:r w:rsidR="00A62BED" w:rsidRPr="7402BBAC">
        <w:rPr>
          <w:rFonts w:eastAsia="Times New Roman" w:cs="Times New Roman"/>
          <w:color w:val="000000" w:themeColor="text1"/>
        </w:rPr>
        <w:t>applies to</w:t>
      </w:r>
      <w:r w:rsidR="00077AE7" w:rsidRPr="7402BBAC">
        <w:rPr>
          <w:rFonts w:eastAsia="Times New Roman" w:cs="Times New Roman"/>
          <w:color w:val="000000" w:themeColor="text1"/>
        </w:rPr>
        <w:t xml:space="preserve"> </w:t>
      </w:r>
      <w:r w:rsidR="00DF351E" w:rsidRPr="7402BBAC">
        <w:rPr>
          <w:rFonts w:eastAsia="Times New Roman" w:cs="Times New Roman"/>
          <w:color w:val="000000" w:themeColor="text1"/>
        </w:rPr>
        <w:t>issues that touch upon the “</w:t>
      </w:r>
      <w:r w:rsidR="00251270" w:rsidRPr="7402BBAC">
        <w:rPr>
          <w:rFonts w:eastAsia="Times New Roman" w:cs="Times New Roman"/>
          <w:color w:val="000000" w:themeColor="text1"/>
        </w:rPr>
        <w:t>public interest</w:t>
      </w:r>
      <w:r w:rsidR="00F01F52" w:rsidRPr="7402BBAC">
        <w:rPr>
          <w:rFonts w:eastAsia="Times New Roman" w:cs="Times New Roman"/>
          <w:color w:val="000000" w:themeColor="text1"/>
        </w:rPr>
        <w:t>.</w:t>
      </w:r>
      <w:r w:rsidR="006D0E64" w:rsidRPr="7402BBAC">
        <w:rPr>
          <w:rFonts w:eastAsia="Times New Roman" w:cs="Times New Roman"/>
          <w:color w:val="000000" w:themeColor="text1"/>
        </w:rPr>
        <w:t xml:space="preserve">” </w:t>
      </w:r>
      <w:r w:rsidR="00F01F52" w:rsidRPr="7402BBAC">
        <w:rPr>
          <w:rFonts w:eastAsia="Times New Roman" w:cs="Times New Roman"/>
          <w:color w:val="000000" w:themeColor="text1"/>
        </w:rPr>
        <w:t xml:space="preserve"> </w:t>
      </w:r>
      <w:r w:rsidR="00D845B6" w:rsidRPr="7402BBAC">
        <w:rPr>
          <w:rFonts w:eastAsia="Times New Roman" w:cs="Times New Roman"/>
          <w:color w:val="000000" w:themeColor="text1"/>
        </w:rPr>
        <w:t>(</w:t>
      </w:r>
      <w:r w:rsidR="00D845B6" w:rsidRPr="00C07FB2">
        <w:rPr>
          <w:rFonts w:eastAsia="Times New Roman" w:cs="Times New Roman"/>
          <w:i/>
        </w:rPr>
        <w:t>People v. Cheek</w:t>
      </w:r>
      <w:r w:rsidR="00D845B6" w:rsidRPr="00C07FB2">
        <w:rPr>
          <w:rFonts w:eastAsia="Times New Roman" w:cs="Times New Roman"/>
        </w:rPr>
        <w:t xml:space="preserve"> </w:t>
      </w:r>
      <w:r w:rsidR="00DC5A98" w:rsidRPr="7402BBAC">
        <w:rPr>
          <w:rFonts w:eastAsia="Times New Roman" w:cs="Times New Roman"/>
        </w:rPr>
        <w:t xml:space="preserve">(2001) </w:t>
      </w:r>
      <w:r w:rsidR="00D845B6" w:rsidRPr="00C07FB2">
        <w:rPr>
          <w:rFonts w:eastAsia="Times New Roman" w:cs="Times New Roman"/>
        </w:rPr>
        <w:t>25</w:t>
      </w:r>
      <w:r w:rsidR="00C07FB2">
        <w:rPr>
          <w:rFonts w:eastAsia="Times New Roman" w:cs="Times New Roman"/>
        </w:rPr>
        <w:t> </w:t>
      </w:r>
      <w:r w:rsidR="00D845B6" w:rsidRPr="00C07FB2">
        <w:rPr>
          <w:rFonts w:eastAsia="Times New Roman" w:cs="Times New Roman"/>
        </w:rPr>
        <w:t>Cal.4th 894, 897</w:t>
      </w:r>
      <w:r w:rsidR="00C07FB2">
        <w:rPr>
          <w:rFonts w:eastAsia="Times New Roman" w:cs="Times New Roman"/>
        </w:rPr>
        <w:t>–</w:t>
      </w:r>
      <w:r w:rsidR="00DA48B0">
        <w:rPr>
          <w:rFonts w:eastAsia="Times New Roman" w:cs="Times New Roman"/>
        </w:rPr>
        <w:t>898</w:t>
      </w:r>
      <w:r w:rsidR="00DC5A98" w:rsidRPr="7402BBAC">
        <w:rPr>
          <w:rFonts w:eastAsia="Times New Roman" w:cs="Times New Roman"/>
        </w:rPr>
        <w:t>.</w:t>
      </w:r>
      <w:r w:rsidR="006F78E6" w:rsidRPr="00C07FB2">
        <w:rPr>
          <w:rFonts w:eastAsia="Times New Roman" w:cs="Times New Roman"/>
        </w:rPr>
        <w:t xml:space="preserve">) </w:t>
      </w:r>
    </w:p>
    <w:p w14:paraId="5A41CF69" w14:textId="77777777" w:rsidR="00F24512" w:rsidRPr="00DE58BF" w:rsidRDefault="003C74B7" w:rsidP="00DE58BF">
      <w:pPr>
        <w:shd w:val="clear" w:color="auto" w:fill="FFFFFF"/>
      </w:pPr>
      <w:r>
        <w:rPr>
          <w:rFonts w:eastAsia="Times New Roman" w:cs="Times New Roman"/>
          <w:color w:val="000000"/>
        </w:rPr>
        <w:t>W</w:t>
      </w:r>
      <w:r w:rsidR="00946A3B" w:rsidRPr="009E29AB">
        <w:rPr>
          <w:rFonts w:eastAsia="Times New Roman" w:cs="Times New Roman"/>
          <w:color w:val="000000"/>
        </w:rPr>
        <w:t>e may</w:t>
      </w:r>
      <w:r w:rsidR="00946A3B" w:rsidRPr="00DE58BF">
        <w:rPr>
          <w:rFonts w:eastAsia="Times New Roman" w:cs="Times New Roman"/>
          <w:color w:val="000000"/>
        </w:rPr>
        <w:t xml:space="preserve"> exercise our discretion to address </w:t>
      </w:r>
      <w:r w:rsidRPr="006F78E6">
        <w:rPr>
          <w:rFonts w:eastAsia="Times New Roman" w:cs="Times New Roman"/>
          <w:color w:val="000000"/>
        </w:rPr>
        <w:t>issues of th</w:t>
      </w:r>
      <w:r>
        <w:rPr>
          <w:rFonts w:eastAsia="Times New Roman" w:cs="Times New Roman"/>
          <w:color w:val="000000"/>
        </w:rPr>
        <w:t>is</w:t>
      </w:r>
      <w:r w:rsidRPr="009E29AB">
        <w:rPr>
          <w:rFonts w:eastAsia="Times New Roman" w:cs="Times New Roman"/>
          <w:color w:val="000000"/>
        </w:rPr>
        <w:t xml:space="preserve"> nature</w:t>
      </w:r>
      <w:r w:rsidRPr="00DE58BF">
        <w:rPr>
          <w:rFonts w:eastAsia="Times New Roman" w:cs="Times New Roman"/>
          <w:color w:val="000000"/>
        </w:rPr>
        <w:t xml:space="preserve"> </w:t>
      </w:r>
      <w:r w:rsidR="000463FB">
        <w:rPr>
          <w:rFonts w:eastAsia="Times New Roman" w:cs="Times New Roman"/>
          <w:color w:val="000000"/>
        </w:rPr>
        <w:t xml:space="preserve">notwithstanding a dismissal </w:t>
      </w:r>
      <w:r w:rsidR="004D016D" w:rsidRPr="00DE58BF">
        <w:rPr>
          <w:rFonts w:eastAsia="Times New Roman" w:cs="Times New Roman"/>
          <w:color w:val="000000"/>
        </w:rPr>
        <w:t xml:space="preserve">for mootness.  </w:t>
      </w:r>
      <w:r w:rsidRPr="00DE58BF">
        <w:rPr>
          <w:rFonts w:eastAsia="Times New Roman" w:cs="Times New Roman"/>
          <w:color w:val="000000"/>
        </w:rPr>
        <w:t xml:space="preserve">The capable of repetition </w:t>
      </w:r>
      <w:r w:rsidRPr="00DE58BF">
        <w:rPr>
          <w:rFonts w:eastAsia="Times New Roman" w:cs="Times New Roman"/>
          <w:color w:val="000000"/>
        </w:rPr>
        <w:lastRenderedPageBreak/>
        <w:t xml:space="preserve">exception to mootness has been invoked </w:t>
      </w:r>
      <w:r w:rsidR="00F20527">
        <w:rPr>
          <w:rFonts w:eastAsia="Times New Roman" w:cs="Times New Roman"/>
          <w:color w:val="000000"/>
        </w:rPr>
        <w:t xml:space="preserve">several </w:t>
      </w:r>
      <w:r w:rsidRPr="00DE58BF">
        <w:rPr>
          <w:rFonts w:eastAsia="Times New Roman" w:cs="Times New Roman"/>
          <w:color w:val="000000"/>
        </w:rPr>
        <w:t xml:space="preserve">times in OMHD recommitment cases, most recently by the Supreme Court in </w:t>
      </w:r>
      <w:r w:rsidRPr="00DE58BF">
        <w:rPr>
          <w:rFonts w:eastAsia="Times New Roman" w:cs="Times New Roman"/>
          <w:i/>
          <w:iCs/>
          <w:color w:val="000000"/>
        </w:rPr>
        <w:t>Eric</w:t>
      </w:r>
      <w:r w:rsidR="00034300" w:rsidRPr="00DE58BF">
        <w:rPr>
          <w:rFonts w:eastAsia="Times New Roman" w:cs="Times New Roman"/>
          <w:i/>
          <w:iCs/>
          <w:color w:val="000000"/>
        </w:rPr>
        <w:t> </w:t>
      </w:r>
      <w:r w:rsidRPr="00DE58BF">
        <w:rPr>
          <w:rFonts w:eastAsia="Times New Roman" w:cs="Times New Roman"/>
          <w:i/>
          <w:iCs/>
          <w:color w:val="000000"/>
        </w:rPr>
        <w:t>B.</w:t>
      </w:r>
      <w:r w:rsidR="00F20527">
        <w:rPr>
          <w:rFonts w:eastAsia="Times New Roman" w:cs="Times New Roman"/>
          <w:color w:val="000000"/>
        </w:rPr>
        <w:t xml:space="preserve">, </w:t>
      </w:r>
      <w:r w:rsidRPr="00DE58BF">
        <w:rPr>
          <w:rFonts w:eastAsia="Times New Roman" w:cs="Times New Roman"/>
          <w:color w:val="000000"/>
        </w:rPr>
        <w:t xml:space="preserve">but also by </w:t>
      </w:r>
      <w:proofErr w:type="gramStart"/>
      <w:r w:rsidRPr="00DE58BF">
        <w:rPr>
          <w:rFonts w:eastAsia="Times New Roman" w:cs="Times New Roman"/>
          <w:color w:val="000000"/>
        </w:rPr>
        <w:t>a number of</w:t>
      </w:r>
      <w:proofErr w:type="gramEnd"/>
      <w:r w:rsidRPr="00DE58BF">
        <w:rPr>
          <w:rFonts w:eastAsia="Times New Roman" w:cs="Times New Roman"/>
          <w:color w:val="000000"/>
        </w:rPr>
        <w:t xml:space="preserve"> Court of Appeal panels over the last 25 years.  </w:t>
      </w:r>
      <w:r w:rsidRPr="00DE58BF">
        <w:t>(See, e.g</w:t>
      </w:r>
      <w:r w:rsidRPr="00DE58BF">
        <w:rPr>
          <w:i/>
          <w:iCs/>
        </w:rPr>
        <w:t xml:space="preserve">., </w:t>
      </w:r>
      <w:proofErr w:type="spellStart"/>
      <w:r w:rsidRPr="00DE58BF">
        <w:rPr>
          <w:i/>
          <w:iCs/>
        </w:rPr>
        <w:t>Alsafar</w:t>
      </w:r>
      <w:proofErr w:type="spellEnd"/>
      <w:r w:rsidRPr="00DE58BF">
        <w:t xml:space="preserve">, </w:t>
      </w:r>
      <w:r w:rsidRPr="00DE58BF">
        <w:rPr>
          <w:i/>
          <w:iCs/>
        </w:rPr>
        <w:t>supra</w:t>
      </w:r>
      <w:r w:rsidRPr="00DE58BF">
        <w:t>, 8</w:t>
      </w:r>
      <w:r w:rsidR="00034300" w:rsidRPr="00DE58BF">
        <w:t> </w:t>
      </w:r>
      <w:r w:rsidRPr="00DE58BF">
        <w:t>Cal.App.5th at pp.</w:t>
      </w:r>
      <w:r w:rsidR="0003425F">
        <w:t> </w:t>
      </w:r>
      <w:r w:rsidRPr="00DE58BF">
        <w:t>886</w:t>
      </w:r>
      <w:r w:rsidR="0091201C" w:rsidRPr="00DE58BF">
        <w:t>–</w:t>
      </w:r>
      <w:r w:rsidRPr="00DE58BF">
        <w:t>887;</w:t>
      </w:r>
      <w:r w:rsidRPr="00DE58BF">
        <w:rPr>
          <w:i/>
          <w:iCs/>
        </w:rPr>
        <w:t xml:space="preserve"> People v. Dunley</w:t>
      </w:r>
      <w:r w:rsidR="002D0295">
        <w:t xml:space="preserve"> (</w:t>
      </w:r>
      <w:r w:rsidR="00D306AC">
        <w:t>2016)</w:t>
      </w:r>
      <w:r w:rsidRPr="00DE58BF">
        <w:t xml:space="preserve"> 247</w:t>
      </w:r>
      <w:r w:rsidR="00207BA2" w:rsidRPr="00DE58BF">
        <w:t> </w:t>
      </w:r>
      <w:r w:rsidRPr="00DE58BF">
        <w:t xml:space="preserve">Cal.App.4th </w:t>
      </w:r>
      <w:r w:rsidR="005168F7">
        <w:t>1438</w:t>
      </w:r>
      <w:r w:rsidR="00606F58">
        <w:t xml:space="preserve">, </w:t>
      </w:r>
      <w:r w:rsidRPr="00DE58BF">
        <w:t>1442</w:t>
      </w:r>
      <w:r w:rsidR="0091201C" w:rsidRPr="00DE58BF">
        <w:t>–</w:t>
      </w:r>
      <w:r w:rsidRPr="00DE58BF">
        <w:t xml:space="preserve">1443; </w:t>
      </w:r>
      <w:r w:rsidRPr="00DE58BF">
        <w:rPr>
          <w:i/>
          <w:iCs/>
        </w:rPr>
        <w:t xml:space="preserve">People v. Gregerson </w:t>
      </w:r>
      <w:r w:rsidRPr="00DE58BF">
        <w:t>(2011) 202</w:t>
      </w:r>
      <w:r w:rsidR="00880290" w:rsidRPr="00DE58BF">
        <w:t> </w:t>
      </w:r>
      <w:r w:rsidRPr="00DE58BF">
        <w:t xml:space="preserve">Cal.App.4th 306, 321; </w:t>
      </w:r>
      <w:r w:rsidRPr="00DE58BF">
        <w:rPr>
          <w:i/>
          <w:iCs/>
        </w:rPr>
        <w:t xml:space="preserve">People v. Rish </w:t>
      </w:r>
      <w:r w:rsidRPr="00DE58BF">
        <w:t>(2008) 163</w:t>
      </w:r>
      <w:r w:rsidR="00880290" w:rsidRPr="00DE58BF">
        <w:t> </w:t>
      </w:r>
      <w:r w:rsidRPr="00DE58BF">
        <w:t>Cal.App.4th 1370, 1380</w:t>
      </w:r>
      <w:r w:rsidR="00880290" w:rsidRPr="00DE58BF">
        <w:t>–</w:t>
      </w:r>
      <w:r w:rsidRPr="00DE58BF">
        <w:t xml:space="preserve">1381; </w:t>
      </w:r>
      <w:r w:rsidRPr="00DE58BF">
        <w:rPr>
          <w:i/>
          <w:iCs/>
        </w:rPr>
        <w:t>People v. Williams</w:t>
      </w:r>
      <w:r w:rsidRPr="00DE58BF">
        <w:t xml:space="preserve"> (1999) 77</w:t>
      </w:r>
      <w:r w:rsidR="00880290" w:rsidRPr="00DE58BF">
        <w:t> </w:t>
      </w:r>
      <w:r w:rsidRPr="00DE58BF">
        <w:t>Cal.App.4th 436, 441, fn.</w:t>
      </w:r>
      <w:r w:rsidR="00880290" w:rsidRPr="00DE58BF">
        <w:t> </w:t>
      </w:r>
      <w:r w:rsidRPr="00DE58BF">
        <w:t xml:space="preserve">2.)     </w:t>
      </w:r>
    </w:p>
    <w:p w14:paraId="5A41CF6A" w14:textId="77777777" w:rsidR="00592AC1" w:rsidRDefault="003C74B7" w:rsidP="00DE58BF">
      <w:pPr>
        <w:shd w:val="clear" w:color="auto" w:fill="FFFFFF"/>
      </w:pPr>
      <w:r>
        <w:t xml:space="preserve">McCray argues that </w:t>
      </w:r>
      <w:r w:rsidR="00844C13">
        <w:t xml:space="preserve">his </w:t>
      </w:r>
      <w:r w:rsidR="00622D72" w:rsidRPr="00DE58BF">
        <w:t>sufficiency of the evidence and absence-from-trial claims</w:t>
      </w:r>
      <w:r w:rsidR="008E29CD">
        <w:t xml:space="preserve"> meet this standard.  </w:t>
      </w:r>
      <w:r w:rsidR="00612D6B">
        <w:t>Even if we ultimately agreed th</w:t>
      </w:r>
      <w:r w:rsidR="00D33904">
        <w:t xml:space="preserve">ere is </w:t>
      </w:r>
      <w:r w:rsidR="00612D6B">
        <w:t xml:space="preserve">merit to one or both </w:t>
      </w:r>
      <w:r w:rsidR="00F64C05">
        <w:t>claims of error</w:t>
      </w:r>
      <w:r w:rsidR="00612D6B">
        <w:t>,</w:t>
      </w:r>
      <w:r>
        <w:rPr>
          <w:rStyle w:val="FootnoteReference"/>
        </w:rPr>
        <w:footnoteReference w:id="5"/>
      </w:r>
      <w:r w:rsidR="00612D6B">
        <w:t xml:space="preserve"> </w:t>
      </w:r>
      <w:r w:rsidR="000E0752">
        <w:t>these are</w:t>
      </w:r>
      <w:r w:rsidR="004A1D66">
        <w:t xml:space="preserve"> </w:t>
      </w:r>
      <w:r w:rsidR="00CD6CC7">
        <w:t xml:space="preserve">fact-specific </w:t>
      </w:r>
      <w:proofErr w:type="gramStart"/>
      <w:r w:rsidR="00CD6CC7">
        <w:t>issues</w:t>
      </w:r>
      <w:proofErr w:type="gramEnd"/>
      <w:r w:rsidR="00CD6CC7">
        <w:t xml:space="preserve"> </w:t>
      </w:r>
      <w:r w:rsidR="00E853AA">
        <w:t xml:space="preserve">and </w:t>
      </w:r>
      <w:r w:rsidR="00FC7C25">
        <w:t xml:space="preserve">both are </w:t>
      </w:r>
      <w:r w:rsidR="008D6C74">
        <w:t xml:space="preserve">of </w:t>
      </w:r>
      <w:r w:rsidR="008D6C74">
        <w:lastRenderedPageBreak/>
        <w:t xml:space="preserve">concern only to McCray.  </w:t>
      </w:r>
      <w:r w:rsidR="008314C9">
        <w:t xml:space="preserve">For us to </w:t>
      </w:r>
      <w:r w:rsidR="00793A61">
        <w:t>address the</w:t>
      </w:r>
      <w:r w:rsidR="00FB3C4A">
        <w:t>m</w:t>
      </w:r>
      <w:r w:rsidR="004A1D66">
        <w:t xml:space="preserve"> </w:t>
      </w:r>
      <w:r w:rsidR="0063400A">
        <w:t>now</w:t>
      </w:r>
      <w:r w:rsidR="004A1D66">
        <w:t xml:space="preserve"> </w:t>
      </w:r>
      <w:r w:rsidR="00793A61">
        <w:t xml:space="preserve">and </w:t>
      </w:r>
      <w:r w:rsidR="008314C9">
        <w:t xml:space="preserve">render </w:t>
      </w:r>
      <w:r w:rsidR="007E3193">
        <w:t>a legal ruling</w:t>
      </w:r>
      <w:r w:rsidR="007A07DB">
        <w:t xml:space="preserve"> </w:t>
      </w:r>
      <w:r w:rsidR="008314C9">
        <w:t xml:space="preserve">that has </w:t>
      </w:r>
      <w:r w:rsidR="00D70334">
        <w:t xml:space="preserve">no practical effect in this case </w:t>
      </w:r>
      <w:r w:rsidR="000D579D">
        <w:t xml:space="preserve">would </w:t>
      </w:r>
      <w:r w:rsidR="00046851">
        <w:t xml:space="preserve">be pointless.  </w:t>
      </w:r>
      <w:r w:rsidR="006D1707">
        <w:t>S</w:t>
      </w:r>
      <w:r w:rsidR="00997815">
        <w:t>hould a</w:t>
      </w:r>
      <w:r w:rsidR="009A5E63">
        <w:t>nother</w:t>
      </w:r>
      <w:r w:rsidR="00A850A2">
        <w:t xml:space="preserve"> recommitment </w:t>
      </w:r>
      <w:r w:rsidR="00D5111C">
        <w:t>proceeding</w:t>
      </w:r>
      <w:r w:rsidR="00A850A2">
        <w:t xml:space="preserve"> </w:t>
      </w:r>
      <w:r w:rsidR="00997815">
        <w:t xml:space="preserve">be necessary, </w:t>
      </w:r>
      <w:r w:rsidR="00A623F2">
        <w:t xml:space="preserve">we see no reason why </w:t>
      </w:r>
      <w:r w:rsidR="004F74A6">
        <w:t>either issue</w:t>
      </w:r>
      <w:r w:rsidR="007123FF">
        <w:t xml:space="preserve"> </w:t>
      </w:r>
      <w:r w:rsidR="0017355F">
        <w:t>c</w:t>
      </w:r>
      <w:r w:rsidR="00A963E2">
        <w:t xml:space="preserve">ould not </w:t>
      </w:r>
      <w:r w:rsidR="0017355F">
        <w:t>be brought before us</w:t>
      </w:r>
      <w:r w:rsidR="007123FF">
        <w:t xml:space="preserve"> </w:t>
      </w:r>
      <w:r w:rsidR="007C50B1">
        <w:t>in a future appeal</w:t>
      </w:r>
      <w:r w:rsidR="00803548">
        <w:t xml:space="preserve"> </w:t>
      </w:r>
      <w:r w:rsidR="001E4AE3">
        <w:t>if</w:t>
      </w:r>
      <w:r w:rsidR="00803548">
        <w:t xml:space="preserve"> it recur</w:t>
      </w:r>
      <w:r w:rsidR="003B0782">
        <w:t>s</w:t>
      </w:r>
      <w:r w:rsidR="00F622F7">
        <w:t xml:space="preserve"> in </w:t>
      </w:r>
      <w:r w:rsidR="00AF2655">
        <w:t xml:space="preserve">that </w:t>
      </w:r>
      <w:r w:rsidR="00F622F7">
        <w:t>proceeding</w:t>
      </w:r>
      <w:r w:rsidR="007C50B1">
        <w:t xml:space="preserve">.  </w:t>
      </w:r>
      <w:r w:rsidR="004676E7">
        <w:t xml:space="preserve">We also find it </w:t>
      </w:r>
      <w:r w:rsidR="007F6081">
        <w:t xml:space="preserve">notable that </w:t>
      </w:r>
      <w:r w:rsidR="00A0575E">
        <w:t>n</w:t>
      </w:r>
      <w:r w:rsidR="001865D7">
        <w:t xml:space="preserve">o effort was made to seek calendar preference </w:t>
      </w:r>
      <w:r w:rsidR="000C7AFB">
        <w:t xml:space="preserve">in this appeal </w:t>
      </w:r>
      <w:r w:rsidR="001865D7">
        <w:t>due to imminent mootness</w:t>
      </w:r>
      <w:r w:rsidR="000C7AFB">
        <w:t xml:space="preserve">. </w:t>
      </w:r>
      <w:r w:rsidR="001865D7">
        <w:t xml:space="preserve"> </w:t>
      </w:r>
      <w:r w:rsidR="002B523F">
        <w:t xml:space="preserve">To </w:t>
      </w:r>
      <w:r w:rsidR="009321A4">
        <w:t>avoid mootness</w:t>
      </w:r>
      <w:r w:rsidR="00F15BB7">
        <w:t xml:space="preserve"> in a subsequent appeal</w:t>
      </w:r>
      <w:r w:rsidR="009321A4">
        <w:t>,</w:t>
      </w:r>
      <w:r w:rsidR="008D0DD6">
        <w:t xml:space="preserve"> McCray </w:t>
      </w:r>
      <w:r w:rsidR="00D5437C">
        <w:t>would be well-advised</w:t>
      </w:r>
      <w:r w:rsidR="003F7D8E">
        <w:t xml:space="preserve"> to </w:t>
      </w:r>
      <w:r w:rsidR="00666BDD">
        <w:t>proceed with greater urgency</w:t>
      </w:r>
      <w:r w:rsidR="00D5437C">
        <w:t xml:space="preserve"> and seek </w:t>
      </w:r>
      <w:r w:rsidR="00AF22DD">
        <w:t xml:space="preserve">calendar </w:t>
      </w:r>
      <w:r w:rsidR="00D5437C">
        <w:t>preference</w:t>
      </w:r>
      <w:r w:rsidR="003F7D8E">
        <w:t xml:space="preserve">. </w:t>
      </w:r>
    </w:p>
    <w:p w14:paraId="5A41CF6B" w14:textId="77777777" w:rsidR="00D953BD" w:rsidRDefault="003C74B7" w:rsidP="7402BBAC">
      <w:pPr>
        <w:shd w:val="clear" w:color="auto" w:fill="FFFFFF" w:themeFill="background1"/>
      </w:pPr>
      <w:r>
        <w:t>Applying the</w:t>
      </w:r>
      <w:r w:rsidR="00FE7FC5">
        <w:t xml:space="preserve"> </w:t>
      </w:r>
      <w:r w:rsidR="00FE7FC5" w:rsidRPr="003D6C65">
        <w:rPr>
          <w:i/>
          <w:iCs/>
        </w:rPr>
        <w:t>Eric</w:t>
      </w:r>
      <w:r w:rsidR="003D6C65">
        <w:rPr>
          <w:i/>
          <w:iCs/>
        </w:rPr>
        <w:t> </w:t>
      </w:r>
      <w:r w:rsidR="00FE7FC5" w:rsidRPr="003D6C65">
        <w:rPr>
          <w:i/>
          <w:iCs/>
        </w:rPr>
        <w:t>B.</w:t>
      </w:r>
      <w:r w:rsidR="00FE7FC5">
        <w:t xml:space="preserve"> </w:t>
      </w:r>
      <w:r>
        <w:t xml:space="preserve">standard to </w:t>
      </w:r>
      <w:r w:rsidR="00F8156A">
        <w:t xml:space="preserve">McCray’s </w:t>
      </w:r>
      <w:r w:rsidR="00321CEF">
        <w:t>contention that the trial court failed to obtain a</w:t>
      </w:r>
      <w:r w:rsidR="00242A98">
        <w:t xml:space="preserve">n effective </w:t>
      </w:r>
      <w:r w:rsidR="00333F46">
        <w:t xml:space="preserve">waiver </w:t>
      </w:r>
      <w:r w:rsidR="00040495">
        <w:t xml:space="preserve">of </w:t>
      </w:r>
      <w:r w:rsidR="00333F46">
        <w:t>his right to a jury trial</w:t>
      </w:r>
      <w:r>
        <w:t>, we come to a different conclusion</w:t>
      </w:r>
      <w:r w:rsidR="00333F46">
        <w:t xml:space="preserve">. </w:t>
      </w:r>
      <w:r w:rsidR="009C3EC8">
        <w:t xml:space="preserve"> </w:t>
      </w:r>
      <w:r w:rsidR="000A4C3C">
        <w:t>T</w:t>
      </w:r>
      <w:r w:rsidR="001076B2">
        <w:t xml:space="preserve">his </w:t>
      </w:r>
      <w:r w:rsidR="003879BA">
        <w:t>third assignment of error</w:t>
      </w:r>
      <w:r w:rsidR="008F6C5E">
        <w:t xml:space="preserve"> </w:t>
      </w:r>
      <w:r w:rsidR="00E81D8D">
        <w:t xml:space="preserve">has legal significance going beyond this case. </w:t>
      </w:r>
      <w:r w:rsidR="00C30C12">
        <w:t xml:space="preserve"> </w:t>
      </w:r>
      <w:r w:rsidR="006E0A1F">
        <w:t>W</w:t>
      </w:r>
      <w:r w:rsidR="00CE7187">
        <w:t xml:space="preserve">e have </w:t>
      </w:r>
      <w:r w:rsidR="00FC6A3C">
        <w:t xml:space="preserve">seen </w:t>
      </w:r>
      <w:r w:rsidR="002B242A">
        <w:t xml:space="preserve">the identical </w:t>
      </w:r>
      <w:r w:rsidR="00081836">
        <w:t>issue m</w:t>
      </w:r>
      <w:r w:rsidR="00C2432F">
        <w:t xml:space="preserve">ore than once </w:t>
      </w:r>
      <w:r w:rsidR="00C30C12">
        <w:t xml:space="preserve">in </w:t>
      </w:r>
      <w:r w:rsidR="00C55612">
        <w:t xml:space="preserve">moot </w:t>
      </w:r>
      <w:r w:rsidR="001D62C0" w:rsidRPr="00DE58BF">
        <w:t>OMHD</w:t>
      </w:r>
      <w:r w:rsidR="001D62C0">
        <w:t xml:space="preserve"> recommitment </w:t>
      </w:r>
      <w:r w:rsidR="00443F42">
        <w:t>appeal</w:t>
      </w:r>
      <w:r w:rsidR="00CE7F3C">
        <w:t>s</w:t>
      </w:r>
      <w:r w:rsidR="00443F42">
        <w:t xml:space="preserve"> </w:t>
      </w:r>
      <w:r w:rsidR="007C345C">
        <w:t>since our Supreme Court’s 2017 decision in</w:t>
      </w:r>
      <w:r w:rsidR="006F6A2F">
        <w:t xml:space="preserve"> </w:t>
      </w:r>
      <w:r w:rsidR="006F6A2F" w:rsidRPr="005B2FBF">
        <w:rPr>
          <w:i/>
          <w:iCs/>
        </w:rPr>
        <w:t>People v.</w:t>
      </w:r>
      <w:r w:rsidR="006F6A2F">
        <w:t xml:space="preserve"> </w:t>
      </w:r>
      <w:proofErr w:type="spellStart"/>
      <w:r w:rsidR="007C345C" w:rsidRPr="006C397D">
        <w:rPr>
          <w:i/>
          <w:iCs/>
        </w:rPr>
        <w:t>Sivongxxay</w:t>
      </w:r>
      <w:proofErr w:type="spellEnd"/>
      <w:r w:rsidR="006F6A2F">
        <w:rPr>
          <w:i/>
          <w:iCs/>
        </w:rPr>
        <w:t xml:space="preserve"> </w:t>
      </w:r>
      <w:r w:rsidR="00D9058F">
        <w:t>(2017) 3 Cal.5</w:t>
      </w:r>
      <w:r w:rsidR="00D9058F" w:rsidRPr="005B2FBF">
        <w:t>th</w:t>
      </w:r>
      <w:r w:rsidR="00D9058F">
        <w:t xml:space="preserve"> </w:t>
      </w:r>
      <w:r w:rsidR="005B2FBF">
        <w:t>151 (</w:t>
      </w:r>
      <w:proofErr w:type="spellStart"/>
      <w:r w:rsidR="005B2FBF" w:rsidRPr="005B2FBF">
        <w:rPr>
          <w:i/>
          <w:iCs/>
        </w:rPr>
        <w:t>Sivongxxay</w:t>
      </w:r>
      <w:proofErr w:type="spellEnd"/>
      <w:r w:rsidR="005B2FBF" w:rsidRPr="00715730">
        <w:t>)</w:t>
      </w:r>
      <w:r w:rsidR="00DB38A6" w:rsidRPr="00715730">
        <w:t xml:space="preserve">, </w:t>
      </w:r>
      <w:r w:rsidR="009D605B">
        <w:t xml:space="preserve">a </w:t>
      </w:r>
      <w:r w:rsidR="00CE626D" w:rsidRPr="00715730">
        <w:t xml:space="preserve">jury waiver case in which the court </w:t>
      </w:r>
      <w:r w:rsidR="00E7376C" w:rsidRPr="00715730">
        <w:t>“</w:t>
      </w:r>
      <w:proofErr w:type="spellStart"/>
      <w:r w:rsidR="00E7376C" w:rsidRPr="00715730">
        <w:t>emphasiz</w:t>
      </w:r>
      <w:proofErr w:type="spellEnd"/>
      <w:r w:rsidR="00E7376C" w:rsidRPr="00715730">
        <w:t xml:space="preserve">[ed] </w:t>
      </w:r>
      <w:r w:rsidR="00E7376C" w:rsidRPr="008F4304">
        <w:rPr>
          <w:rFonts w:eastAsia="Times New Roman" w:cs="Times New Roman"/>
          <w:color w:val="000000"/>
        </w:rPr>
        <w:t>the value of a robust oral colloquy in evincing a knowing, intelligent, and voluntary waiver of a jury trial.</w:t>
      </w:r>
      <w:r w:rsidR="00715730" w:rsidRPr="008F4304">
        <w:rPr>
          <w:rFonts w:eastAsia="Times New Roman" w:cs="Times New Roman"/>
          <w:color w:val="000000"/>
        </w:rPr>
        <w:t xml:space="preserve">” </w:t>
      </w:r>
      <w:r w:rsidR="00715730" w:rsidRPr="00715730">
        <w:t xml:space="preserve"> (</w:t>
      </w:r>
      <w:r w:rsidR="00715730" w:rsidRPr="008F4304">
        <w:rPr>
          <w:i/>
        </w:rPr>
        <w:t>Id</w:t>
      </w:r>
      <w:r w:rsidR="00715730" w:rsidRPr="00715730">
        <w:t>. at p.</w:t>
      </w:r>
      <w:r w:rsidR="00600994">
        <w:t> </w:t>
      </w:r>
      <w:r w:rsidR="00715730" w:rsidRPr="00715730">
        <w:t>169.)</w:t>
      </w:r>
      <w:r w:rsidR="006E0A1F">
        <w:t xml:space="preserve"> </w:t>
      </w:r>
      <w:r w:rsidR="002227A3">
        <w:t xml:space="preserve"> </w:t>
      </w:r>
      <w:proofErr w:type="gramStart"/>
      <w:r w:rsidR="002227A3">
        <w:t>In an effort to</w:t>
      </w:r>
      <w:proofErr w:type="gramEnd"/>
      <w:r w:rsidR="002227A3">
        <w:t xml:space="preserve"> rectify what appears to be a persis</w:t>
      </w:r>
      <w:r w:rsidR="00406E96">
        <w:t xml:space="preserve">tent </w:t>
      </w:r>
      <w:r w:rsidR="0071137F">
        <w:t>problem of deficient jury waivers</w:t>
      </w:r>
      <w:r w:rsidR="00354A6A">
        <w:t xml:space="preserve"> in some OMH</w:t>
      </w:r>
      <w:r w:rsidR="141B1570">
        <w:t>D</w:t>
      </w:r>
      <w:r w:rsidR="00D92834">
        <w:t xml:space="preserve"> recommitment cases</w:t>
      </w:r>
      <w:r w:rsidR="00406E96">
        <w:t xml:space="preserve">, </w:t>
      </w:r>
      <w:r w:rsidR="00C55C23">
        <w:t>w</w:t>
      </w:r>
      <w:r w:rsidR="00061A2D">
        <w:t xml:space="preserve">e believe </w:t>
      </w:r>
      <w:r w:rsidR="00CA2BF0">
        <w:t xml:space="preserve">a </w:t>
      </w:r>
      <w:r w:rsidR="00061A2D">
        <w:t xml:space="preserve">published opinion addressing </w:t>
      </w:r>
      <w:r w:rsidR="002C6DE9">
        <w:t xml:space="preserve">the jury waiver taken in this case </w:t>
      </w:r>
      <w:r w:rsidR="00061A2D">
        <w:t>is in order</w:t>
      </w:r>
      <w:r w:rsidR="00EC0FDA">
        <w:t>.</w:t>
      </w:r>
      <w:r w:rsidR="006D1221">
        <w:t xml:space="preserve">  </w:t>
      </w:r>
      <w:r w:rsidR="002A4DCD">
        <w:t xml:space="preserve">We therefore turn to </w:t>
      </w:r>
      <w:r w:rsidR="00105694">
        <w:t>that issue.</w:t>
      </w:r>
    </w:p>
    <w:p w14:paraId="5A41CF6C" w14:textId="77777777" w:rsidR="00951B49" w:rsidRPr="00C17C12" w:rsidRDefault="003C74B7" w:rsidP="00C17C12">
      <w:pPr>
        <w:pStyle w:val="Heading2"/>
        <w:rPr>
          <w:bCs/>
          <w:iCs/>
        </w:rPr>
      </w:pPr>
      <w:r w:rsidRPr="00951B49">
        <w:lastRenderedPageBreak/>
        <w:t xml:space="preserve">The Record Fails </w:t>
      </w:r>
      <w:r w:rsidR="00DB6FB6">
        <w:t>T</w:t>
      </w:r>
      <w:r w:rsidRPr="00951B49">
        <w:t>o Show That McCray Made a Knowing and</w:t>
      </w:r>
      <w:r w:rsidR="00C17C12">
        <w:t xml:space="preserve"> </w:t>
      </w:r>
      <w:r w:rsidRPr="00C17C12">
        <w:rPr>
          <w:bCs/>
          <w:iCs/>
        </w:rPr>
        <w:t xml:space="preserve">Intelligent Waiver of His Right to a Jury Trial </w:t>
      </w:r>
    </w:p>
    <w:p w14:paraId="5A41CF6D" w14:textId="77777777" w:rsidR="009B4F97" w:rsidRPr="00951B49" w:rsidRDefault="003C74B7" w:rsidP="00C17C12">
      <w:pPr>
        <w:pStyle w:val="Heading3"/>
      </w:pPr>
      <w:r w:rsidRPr="00951B49">
        <w:t>Relevant Proceedings Below</w:t>
      </w:r>
    </w:p>
    <w:p w14:paraId="5A41CF6E" w14:textId="77777777" w:rsidR="0091239C" w:rsidRDefault="003C74B7" w:rsidP="00BA17EF">
      <w:r>
        <w:t>A</w:t>
      </w:r>
      <w:r w:rsidR="00BA17EF">
        <w:t xml:space="preserve">t the beginning of the trial in July 2022, the </w:t>
      </w:r>
      <w:r>
        <w:t xml:space="preserve">following </w:t>
      </w:r>
      <w:r w:rsidR="00DE189E">
        <w:t>dialogue</w:t>
      </w:r>
      <w:r>
        <w:t xml:space="preserve"> occurred:</w:t>
      </w:r>
    </w:p>
    <w:p w14:paraId="5A41CF6F" w14:textId="77777777" w:rsidR="00BA17EF" w:rsidRDefault="003C74B7" w:rsidP="00BA17EF">
      <w:r>
        <w:t xml:space="preserve">“The COURT:  </w:t>
      </w:r>
      <w:r w:rsidR="00654E89">
        <w:t>. . .</w:t>
      </w:r>
      <w:r>
        <w:t xml:space="preserve"> Good afternoon, all, including, of course, Mr. McCray.</w:t>
      </w:r>
    </w:p>
    <w:p w14:paraId="5A41CF70" w14:textId="77777777" w:rsidR="0091239C" w:rsidRDefault="003C74B7" w:rsidP="00BA17EF">
      <w:r>
        <w:t>“And [McCray’s counsel], this is to be a court trial this afternoon?</w:t>
      </w:r>
    </w:p>
    <w:p w14:paraId="5A41CF71" w14:textId="77777777" w:rsidR="00BA17EF" w:rsidRDefault="003C74B7" w:rsidP="00BA17EF">
      <w:bookmarkStart w:id="0" w:name="_Hlk149737101"/>
      <w:r>
        <w:t>“[</w:t>
      </w:r>
      <w:r w:rsidR="0091239C">
        <w:t xml:space="preserve">MCCRAY’S </w:t>
      </w:r>
      <w:r>
        <w:t xml:space="preserve">COUNSEL]:  Yes, that is the proposal.  And I can voir dire Mr. McCray on the issue. </w:t>
      </w:r>
    </w:p>
    <w:p w14:paraId="5A41CF72" w14:textId="77777777" w:rsidR="00BA17EF" w:rsidRDefault="003C74B7" w:rsidP="00BA17EF">
      <w:r>
        <w:t>“THE COURT:  Okay.  Please.</w:t>
      </w:r>
    </w:p>
    <w:p w14:paraId="5A41CF73" w14:textId="77777777" w:rsidR="00BA17EF" w:rsidRDefault="003C74B7" w:rsidP="00BA17EF">
      <w:r>
        <w:t>“[</w:t>
      </w:r>
      <w:r w:rsidR="0026529B">
        <w:t xml:space="preserve">MCCRAY’S </w:t>
      </w:r>
      <w:r>
        <w:t xml:space="preserve">COUNSEL]:  </w:t>
      </w:r>
      <w:proofErr w:type="gramStart"/>
      <w:r>
        <w:t>So</w:t>
      </w:r>
      <w:proofErr w:type="gramEnd"/>
      <w:r>
        <w:t xml:space="preserve"> Mr. McCray, you remember we talked about you </w:t>
      </w:r>
      <w:proofErr w:type="gramStart"/>
      <w:r>
        <w:t>have</w:t>
      </w:r>
      <w:proofErr w:type="gramEnd"/>
      <w:r>
        <w:t xml:space="preserve"> the right to have a jury listen to the evidence in this case and make the decision on whether or not you need more treatment at the hospital. </w:t>
      </w:r>
    </w:p>
    <w:p w14:paraId="5A41CF74" w14:textId="77777777" w:rsidR="00BA17EF" w:rsidRDefault="003C74B7" w:rsidP="00BA17EF">
      <w:r>
        <w:t xml:space="preserve">“Do you remember talking about that? </w:t>
      </w:r>
    </w:p>
    <w:p w14:paraId="5A41CF75" w14:textId="77777777" w:rsidR="00BA17EF" w:rsidRDefault="003C74B7" w:rsidP="00BA17EF">
      <w:r>
        <w:t xml:space="preserve">“[MCCRAY]:  Yeah. </w:t>
      </w:r>
    </w:p>
    <w:p w14:paraId="5A41CF76" w14:textId="77777777" w:rsidR="00BA17EF" w:rsidRDefault="003C74B7" w:rsidP="00BA17EF">
      <w:r>
        <w:t>“[</w:t>
      </w:r>
      <w:r w:rsidR="0026529B">
        <w:t xml:space="preserve">MCCRAY’S </w:t>
      </w:r>
      <w:r>
        <w:t xml:space="preserve">COUNSEL]:  And you decided that you wanted to have the judge listen to the evidence and make the decision, to waive your right to a jury, correct? </w:t>
      </w:r>
    </w:p>
    <w:p w14:paraId="5A41CF77" w14:textId="77777777" w:rsidR="00BA17EF" w:rsidRDefault="003C74B7" w:rsidP="00BA17EF">
      <w:r>
        <w:t xml:space="preserve">“[MCCRAY]:  Yeah, yeah. </w:t>
      </w:r>
    </w:p>
    <w:p w14:paraId="5A41CF78" w14:textId="77777777" w:rsidR="00BA17EF" w:rsidRDefault="003C74B7" w:rsidP="00BA17EF">
      <w:r>
        <w:t>“[</w:t>
      </w:r>
      <w:r w:rsidR="0026529B">
        <w:t xml:space="preserve">MCCRAY’S </w:t>
      </w:r>
      <w:r>
        <w:t xml:space="preserve">COUNSEL]:  Okay.  </w:t>
      </w:r>
      <w:proofErr w:type="gramStart"/>
      <w:r>
        <w:t>So</w:t>
      </w:r>
      <w:proofErr w:type="gramEnd"/>
      <w:r>
        <w:t xml:space="preserve"> the judge is supposed to make sure that you understand that you have a right to have a jury but that you are waiving that right in order to have the judge make the decision. </w:t>
      </w:r>
    </w:p>
    <w:p w14:paraId="5A41CF79" w14:textId="77777777" w:rsidR="00BA17EF" w:rsidRDefault="003C74B7" w:rsidP="00BA17EF">
      <w:r>
        <w:t xml:space="preserve">“Do you understand? </w:t>
      </w:r>
    </w:p>
    <w:p w14:paraId="5A41CF7A" w14:textId="77777777" w:rsidR="00BA17EF" w:rsidRDefault="003C74B7" w:rsidP="00BA17EF">
      <w:r>
        <w:t xml:space="preserve">“[MCCRAY]:  I waive that right. </w:t>
      </w:r>
    </w:p>
    <w:p w14:paraId="5A41CF7B" w14:textId="77777777" w:rsidR="00BA17EF" w:rsidRDefault="003C74B7" w:rsidP="00BA17EF">
      <w:r>
        <w:t>“[</w:t>
      </w:r>
      <w:r w:rsidR="0026529B">
        <w:t xml:space="preserve">MCCRAY’S </w:t>
      </w:r>
      <w:r>
        <w:t xml:space="preserve">COUNSEL]:  Okay. </w:t>
      </w:r>
    </w:p>
    <w:p w14:paraId="5A41CF7C" w14:textId="77777777" w:rsidR="00BA17EF" w:rsidRDefault="003C74B7" w:rsidP="00BA17EF">
      <w:r>
        <w:t xml:space="preserve">“[MCCRAY]:  I waive.  </w:t>
      </w:r>
    </w:p>
    <w:p w14:paraId="5A41CF7D" w14:textId="77777777" w:rsidR="00BA17EF" w:rsidRDefault="003C74B7" w:rsidP="00BA17EF">
      <w:r>
        <w:lastRenderedPageBreak/>
        <w:t>“[</w:t>
      </w:r>
      <w:r w:rsidR="0026529B">
        <w:t xml:space="preserve">MCCRAY’S </w:t>
      </w:r>
      <w:r>
        <w:t>COUNSEL]:  Your Honor, does the Court or DA have any other voir dire on that issue that you’d wish to hear</w:t>
      </w:r>
      <w:r w:rsidR="00121AB0">
        <w:t>?</w:t>
      </w:r>
    </w:p>
    <w:p w14:paraId="5A41CF7E" w14:textId="77777777" w:rsidR="00BA17EF" w:rsidRDefault="003C74B7" w:rsidP="00BA17EF">
      <w:r>
        <w:t xml:space="preserve">“THE COURT:  Mr. [Prosecutor], </w:t>
      </w:r>
      <w:r>
        <w:t>anything further?</w:t>
      </w:r>
    </w:p>
    <w:p w14:paraId="5A41CF7F" w14:textId="77777777" w:rsidR="00BA17EF" w:rsidRDefault="003C74B7" w:rsidP="00BA17EF">
      <w:r>
        <w:t>“[PROSECUTOR]:  No, Your Honor.</w:t>
      </w:r>
    </w:p>
    <w:p w14:paraId="5A41CF80" w14:textId="77777777" w:rsidR="00BA17EF" w:rsidRDefault="003C74B7" w:rsidP="00BA17EF">
      <w:r>
        <w:t xml:space="preserve">“THE COURT:  Okay.  That’s satisfactory to the Court.  </w:t>
      </w:r>
      <w:proofErr w:type="gramStart"/>
      <w:r>
        <w:t>So</w:t>
      </w:r>
      <w:proofErr w:type="gramEnd"/>
      <w:r>
        <w:t xml:space="preserve"> I’ll take that as a clear indication of acknowledgement and understanding of the jury right and its waiver.”  </w:t>
      </w:r>
    </w:p>
    <w:p w14:paraId="5A41CF81" w14:textId="77777777" w:rsidR="00B75816" w:rsidRDefault="003C74B7" w:rsidP="00BA17EF">
      <w:r>
        <w:t xml:space="preserve">The record </w:t>
      </w:r>
      <w:r w:rsidR="00B61AEC">
        <w:t xml:space="preserve">supplies </w:t>
      </w:r>
      <w:r>
        <w:t xml:space="preserve">no other indication of McCray’s </w:t>
      </w:r>
      <w:r w:rsidR="00DE189E">
        <w:t xml:space="preserve">understanding of or </w:t>
      </w:r>
      <w:r>
        <w:t xml:space="preserve">agreement to waive his right to a jury trial, such as a jury waiver form.  </w:t>
      </w:r>
      <w:bookmarkEnd w:id="0"/>
    </w:p>
    <w:p w14:paraId="5A41CF82" w14:textId="77777777" w:rsidR="00B75B19" w:rsidRPr="00951B49" w:rsidRDefault="003C74B7" w:rsidP="00925F3F">
      <w:pPr>
        <w:pStyle w:val="Heading3"/>
      </w:pPr>
      <w:r w:rsidRPr="00951B49">
        <w:t>Legal Standards</w:t>
      </w:r>
    </w:p>
    <w:p w14:paraId="5A41CF83" w14:textId="77777777" w:rsidR="0092511A" w:rsidRDefault="003C74B7" w:rsidP="00B75B19">
      <w:r>
        <w:t>The recommitment of OM</w:t>
      </w:r>
      <w:r w:rsidR="00BD605B">
        <w:t>H</w:t>
      </w:r>
      <w:r>
        <w:t xml:space="preserve">D defendants is governed by </w:t>
      </w:r>
      <w:r w:rsidR="00B17D8B">
        <w:t xml:space="preserve">Penal Code </w:t>
      </w:r>
      <w:r>
        <w:t>section 2972.</w:t>
      </w:r>
      <w:r>
        <w:rPr>
          <w:rStyle w:val="FootnoteReference"/>
        </w:rPr>
        <w:footnoteReference w:id="6"/>
      </w:r>
      <w:r>
        <w:t xml:space="preserve">  “</w:t>
      </w:r>
      <w:r w:rsidRPr="0092511A">
        <w:t>If the court or jury finds that the patient has a severe mental health disorder, that the patient’s severe mental health disorder is not in remission or cannot be kept in remission without treatment, and that by reason of the patient’s severe mental health disorder, the patient represents a substantial danger of physical harm to others, the court shall order the patient recommitted to the facility in which the patient was confined at the time the petition was filed, or recommitted to the outpatient progr</w:t>
      </w:r>
      <w:r w:rsidRPr="0092511A">
        <w:t xml:space="preserve">am in which the patient was being treated at the time the petition was filed, or committed to the </w:t>
      </w:r>
      <w:r w:rsidR="009355B7">
        <w:t>DSH</w:t>
      </w:r>
      <w:r w:rsidRPr="0092511A">
        <w:t xml:space="preserve"> if the person was in prison. </w:t>
      </w:r>
      <w:r>
        <w:t xml:space="preserve"> </w:t>
      </w:r>
      <w:r w:rsidRPr="0092511A">
        <w:t>The commitment shall be for a period of one year from the date of termination of</w:t>
      </w:r>
      <w:r>
        <w:t xml:space="preserve"> </w:t>
      </w:r>
      <w:r w:rsidR="00666991">
        <w:t>. . .</w:t>
      </w:r>
      <w:r>
        <w:t xml:space="preserve"> </w:t>
      </w:r>
      <w:r w:rsidRPr="0092511A">
        <w:t>a previous commitment</w:t>
      </w:r>
      <w:r>
        <w:t xml:space="preserve"> </w:t>
      </w:r>
      <w:r w:rsidR="00666991">
        <w:t>. . .</w:t>
      </w:r>
      <w:r>
        <w:t xml:space="preserve"> .”  (§</w:t>
      </w:r>
      <w:r w:rsidR="00666991">
        <w:t> </w:t>
      </w:r>
      <w:r>
        <w:t>2972, subd.</w:t>
      </w:r>
      <w:r w:rsidR="00666991">
        <w:t> </w:t>
      </w:r>
      <w:r>
        <w:t>(c).)</w:t>
      </w:r>
    </w:p>
    <w:p w14:paraId="5A41CF84" w14:textId="77777777" w:rsidR="00B75B19" w:rsidRDefault="003C74B7" w:rsidP="00B75B19">
      <w:r>
        <w:t xml:space="preserve">Section 2972, subdivision (a) provides that </w:t>
      </w:r>
      <w:r w:rsidR="00F20AA6">
        <w:t xml:space="preserve">in recommitment proceedings </w:t>
      </w:r>
      <w:r>
        <w:t xml:space="preserve">a trial court “shall” advise an OMHD defendant of “the right to a jury trial” and that </w:t>
      </w:r>
      <w:r w:rsidR="001E04D6">
        <w:t>“</w:t>
      </w:r>
      <w:r>
        <w:t>[t]he trial shall be by jury unless waived by both the person and the district attorney.”  (</w:t>
      </w:r>
      <w:r w:rsidRPr="00F20AA6">
        <w:rPr>
          <w:i/>
          <w:iCs/>
        </w:rPr>
        <w:t>Id</w:t>
      </w:r>
      <w:r>
        <w:t>., subds.</w:t>
      </w:r>
      <w:r w:rsidR="00D329BA">
        <w:t> </w:t>
      </w:r>
      <w:r>
        <w:t xml:space="preserve">(a)(1) &amp; (a)(2).)  In </w:t>
      </w:r>
      <w:r w:rsidRPr="006C397D">
        <w:rPr>
          <w:i/>
          <w:iCs/>
        </w:rPr>
        <w:t>Blackburn</w:t>
      </w:r>
      <w:r w:rsidR="009F748F">
        <w:t xml:space="preserve">, </w:t>
      </w:r>
      <w:r w:rsidR="009F748F">
        <w:rPr>
          <w:i/>
          <w:iCs/>
        </w:rPr>
        <w:lastRenderedPageBreak/>
        <w:t>supra</w:t>
      </w:r>
      <w:r w:rsidR="009F748F">
        <w:t>,</w:t>
      </w:r>
      <w:r>
        <w:t xml:space="preserve"> 61</w:t>
      </w:r>
      <w:r w:rsidR="00D329BA">
        <w:t> </w:t>
      </w:r>
      <w:r>
        <w:t xml:space="preserve">Cal.4th 1113, our Supreme Court, interpreting section 2972, held that a defendant in </w:t>
      </w:r>
      <w:r w:rsidR="00AC72FA">
        <w:t xml:space="preserve">an </w:t>
      </w:r>
      <w:r>
        <w:t>OMHD recommitment proceeding</w:t>
      </w:r>
      <w:r w:rsidR="00C27C34">
        <w:t xml:space="preserve"> with the capacity to make a knowing a</w:t>
      </w:r>
      <w:r w:rsidR="007E40C7">
        <w:t>nd</w:t>
      </w:r>
      <w:r w:rsidR="00C27C34">
        <w:t xml:space="preserve"> voluntary</w:t>
      </w:r>
      <w:r>
        <w:t xml:space="preserve"> </w:t>
      </w:r>
      <w:r w:rsidR="003A2480">
        <w:t xml:space="preserve">waiver of the right to a jury trial </w:t>
      </w:r>
      <w:r>
        <w:t>must be personally advised of th</w:t>
      </w:r>
      <w:r w:rsidR="003A2480">
        <w:t>at</w:t>
      </w:r>
      <w:r>
        <w:t xml:space="preserve"> right, and that any waiver of that right must be personal, knowing, and voluntary.  (</w:t>
      </w:r>
      <w:r w:rsidRPr="006C397D">
        <w:rPr>
          <w:i/>
          <w:iCs/>
        </w:rPr>
        <w:t>Id</w:t>
      </w:r>
      <w:r>
        <w:t>. at pp.</w:t>
      </w:r>
      <w:r w:rsidR="00D329BA">
        <w:t> </w:t>
      </w:r>
      <w:r>
        <w:t>1124</w:t>
      </w:r>
      <w:r w:rsidR="00033382">
        <w:t>–</w:t>
      </w:r>
      <w:r>
        <w:t>112</w:t>
      </w:r>
      <w:r w:rsidR="000D6417">
        <w:t>6</w:t>
      </w:r>
      <w:r>
        <w:t xml:space="preserve">.) </w:t>
      </w:r>
    </w:p>
    <w:p w14:paraId="5A41CF85" w14:textId="77777777" w:rsidR="004D2DD3" w:rsidRDefault="003C74B7" w:rsidP="00B75B19">
      <w:r>
        <w:t xml:space="preserve">A trial court is not required to make, or confirm that a defendant is given, a </w:t>
      </w:r>
      <w:proofErr w:type="gramStart"/>
      <w:r>
        <w:t>“</w:t>
      </w:r>
      <w:r w:rsidR="00D329BA">
        <w:t> </w:t>
      </w:r>
      <w:r>
        <w:t>‘</w:t>
      </w:r>
      <w:proofErr w:type="gramEnd"/>
      <w:r>
        <w:t>specifically formulated canvass’</w:t>
      </w:r>
      <w:r w:rsidR="00D329BA">
        <w:t> </w:t>
      </w:r>
      <w:r>
        <w:t>” of a defendant’s right to a jury trial in the course of determining whether a defendant has given a knowing, intelligent, and voluntary waiver of that right.  (</w:t>
      </w:r>
      <w:proofErr w:type="spellStart"/>
      <w:r w:rsidRPr="006C397D">
        <w:rPr>
          <w:i/>
          <w:iCs/>
        </w:rPr>
        <w:t>Sivongxxay</w:t>
      </w:r>
      <w:proofErr w:type="spellEnd"/>
      <w:r w:rsidR="00A36D31">
        <w:t xml:space="preserve">, </w:t>
      </w:r>
      <w:r w:rsidR="00A36D31">
        <w:rPr>
          <w:i/>
          <w:iCs/>
        </w:rPr>
        <w:t>supra</w:t>
      </w:r>
      <w:r w:rsidR="00A36D31">
        <w:t>,</w:t>
      </w:r>
      <w:r>
        <w:t xml:space="preserve"> 3</w:t>
      </w:r>
      <w:r w:rsidR="00D329BA">
        <w:t> </w:t>
      </w:r>
      <w:r>
        <w:t xml:space="preserve">Cal.5th </w:t>
      </w:r>
      <w:r w:rsidR="00A36D31">
        <w:t>at p.</w:t>
      </w:r>
      <w:r w:rsidR="00D329BA">
        <w:t> </w:t>
      </w:r>
      <w:r>
        <w:t>168</w:t>
      </w:r>
      <w:r w:rsidR="00BF4D4E">
        <w:t xml:space="preserve">; </w:t>
      </w:r>
      <w:r w:rsidR="00BF4D4E" w:rsidRPr="006C397D">
        <w:rPr>
          <w:i/>
          <w:iCs/>
        </w:rPr>
        <w:t>People v. Daniels</w:t>
      </w:r>
      <w:r w:rsidR="00BF4D4E">
        <w:t xml:space="preserve"> (2017) 3</w:t>
      </w:r>
      <w:r w:rsidR="00D329BA">
        <w:t> </w:t>
      </w:r>
      <w:r w:rsidR="00BF4D4E">
        <w:t>Cal.5th 961, 99</w:t>
      </w:r>
      <w:r w:rsidR="00A35AD2">
        <w:t>2</w:t>
      </w:r>
      <w:r w:rsidR="002646F6">
        <w:t>–</w:t>
      </w:r>
      <w:r w:rsidR="00DE51F3">
        <w:t>993</w:t>
      </w:r>
      <w:r w:rsidR="00BF4D4E">
        <w:t xml:space="preserve"> (lead opn. of Cuéllar, J.) [“We continue to eschew any rigid rubric for trial courts to follow in order to decide whether to accept a defendant’s relinquishment of this [jury trial] right.”] (</w:t>
      </w:r>
      <w:r w:rsidR="00BF4D4E" w:rsidRPr="006C397D">
        <w:rPr>
          <w:i/>
          <w:iCs/>
        </w:rPr>
        <w:t>Daniels</w:t>
      </w:r>
      <w:r w:rsidR="00BF4D4E">
        <w:t>).)</w:t>
      </w:r>
      <w:r>
        <w:t xml:space="preserve">  “[W]</w:t>
      </w:r>
      <w:proofErr w:type="spellStart"/>
      <w:r>
        <w:t>hether</w:t>
      </w:r>
      <w:proofErr w:type="spellEnd"/>
      <w:r>
        <w:t xml:space="preserve"> or not ther</w:t>
      </w:r>
      <w:r>
        <w:t>e is an intelligent, competent, self-protecting waiver of jury trial by an accused must depend upon the unique circumstances of each case.”  (</w:t>
      </w:r>
      <w:r w:rsidRPr="00E1027E">
        <w:rPr>
          <w:i/>
          <w:iCs/>
        </w:rPr>
        <w:t>Adams v. U.S. ex rel. McCann</w:t>
      </w:r>
      <w:r>
        <w:t xml:space="preserve"> (1942) 317</w:t>
      </w:r>
      <w:r w:rsidR="00396115">
        <w:t> </w:t>
      </w:r>
      <w:r>
        <w:t xml:space="preserve">U.S. 269, 278; see </w:t>
      </w:r>
      <w:proofErr w:type="spellStart"/>
      <w:r w:rsidRPr="00E1027E">
        <w:rPr>
          <w:i/>
          <w:iCs/>
        </w:rPr>
        <w:t>Sivongxxay</w:t>
      </w:r>
      <w:proofErr w:type="spellEnd"/>
      <w:r>
        <w:t xml:space="preserve">, </w:t>
      </w:r>
      <w:r w:rsidRPr="00CD6C87">
        <w:rPr>
          <w:i/>
        </w:rPr>
        <w:t>supra</w:t>
      </w:r>
      <w:r>
        <w:t>, 3</w:t>
      </w:r>
      <w:r w:rsidR="00396115">
        <w:t> </w:t>
      </w:r>
      <w:r>
        <w:t>Cal.5th at pp.</w:t>
      </w:r>
      <w:r w:rsidR="00396115">
        <w:t> </w:t>
      </w:r>
      <w:r>
        <w:t>166</w:t>
      </w:r>
      <w:r w:rsidR="00C02A15">
        <w:t>–</w:t>
      </w:r>
      <w:r>
        <w:t xml:space="preserve">167.)  </w:t>
      </w:r>
    </w:p>
    <w:p w14:paraId="5A41CF86" w14:textId="77777777" w:rsidR="00FD332A" w:rsidRDefault="003C74B7" w:rsidP="001A5E89">
      <w:r>
        <w:t>O</w:t>
      </w:r>
      <w:r w:rsidR="00347BA2">
        <w:t>ur Supreme Court has emphasized</w:t>
      </w:r>
      <w:r w:rsidR="00872C0A">
        <w:t xml:space="preserve"> </w:t>
      </w:r>
      <w:r w:rsidR="001C4ABB">
        <w:t xml:space="preserve">that </w:t>
      </w:r>
      <w:r w:rsidR="004D2DD3">
        <w:t>“the trial court is not merely a passive receiver of an attempted [jury] waiver” (</w:t>
      </w:r>
      <w:r w:rsidR="004D2DD3">
        <w:rPr>
          <w:i/>
          <w:iCs/>
        </w:rPr>
        <w:t>Daniels</w:t>
      </w:r>
      <w:r w:rsidR="004D2DD3">
        <w:t xml:space="preserve">, </w:t>
      </w:r>
      <w:r w:rsidR="004D2DD3">
        <w:rPr>
          <w:i/>
          <w:iCs/>
        </w:rPr>
        <w:t>supra</w:t>
      </w:r>
      <w:r w:rsidR="004D2DD3">
        <w:t>, 3</w:t>
      </w:r>
      <w:r w:rsidR="00396115">
        <w:t> </w:t>
      </w:r>
      <w:r w:rsidR="004D2DD3">
        <w:t>Cal.5th at p.</w:t>
      </w:r>
      <w:r w:rsidR="00396115">
        <w:t> </w:t>
      </w:r>
      <w:r w:rsidR="004D2DD3">
        <w:t>993</w:t>
      </w:r>
      <w:r w:rsidR="002E21B2">
        <w:t xml:space="preserve"> </w:t>
      </w:r>
      <w:r w:rsidR="00D94314">
        <w:t>(lead opn. of Cuéllar, J.)</w:t>
      </w:r>
      <w:r w:rsidR="004D2DD3">
        <w:t>)</w:t>
      </w:r>
      <w:r w:rsidR="001C4ABB">
        <w:t xml:space="preserve"> and</w:t>
      </w:r>
      <w:r w:rsidR="004D2DD3">
        <w:t xml:space="preserve"> </w:t>
      </w:r>
      <w:r w:rsidR="005B4AAE">
        <w:t>has</w:t>
      </w:r>
      <w:r w:rsidR="004D2DD3">
        <w:t xml:space="preserve"> </w:t>
      </w:r>
      <w:r w:rsidR="001C4ABB">
        <w:t>underlined t</w:t>
      </w:r>
      <w:r w:rsidR="00B75B19">
        <w:t xml:space="preserve">he </w:t>
      </w:r>
      <w:r w:rsidR="00DB2E3E">
        <w:t xml:space="preserve">importance </w:t>
      </w:r>
      <w:r w:rsidR="00B75B19">
        <w:t xml:space="preserve">of a </w:t>
      </w:r>
      <w:r w:rsidR="0054312D">
        <w:t xml:space="preserve">carefully worded </w:t>
      </w:r>
      <w:r w:rsidR="00B75B19">
        <w:t>oral colloquy in evincing a knowing, intelligent, and voluntary waiver of a jury trial.</w:t>
      </w:r>
      <w:r w:rsidR="00703DBE">
        <w:t xml:space="preserve">  </w:t>
      </w:r>
      <w:r w:rsidR="00D739F4">
        <w:t>(</w:t>
      </w:r>
      <w:proofErr w:type="spellStart"/>
      <w:r w:rsidR="005A071F" w:rsidRPr="00E1027E">
        <w:rPr>
          <w:i/>
          <w:iCs/>
        </w:rPr>
        <w:t>Sivongxxay</w:t>
      </w:r>
      <w:proofErr w:type="spellEnd"/>
      <w:r w:rsidR="005A071F">
        <w:t xml:space="preserve">, </w:t>
      </w:r>
      <w:r w:rsidR="005A071F" w:rsidRPr="00E1027E">
        <w:rPr>
          <w:i/>
          <w:iCs/>
        </w:rPr>
        <w:t>supra</w:t>
      </w:r>
      <w:r w:rsidR="005A071F">
        <w:t>, 3</w:t>
      </w:r>
      <w:r w:rsidR="00396115">
        <w:t> </w:t>
      </w:r>
      <w:r w:rsidR="005A071F">
        <w:t>Cal.5th at p.</w:t>
      </w:r>
      <w:r w:rsidR="004E5AF7">
        <w:t> </w:t>
      </w:r>
      <w:r w:rsidR="00D739F4">
        <w:t xml:space="preserve">169; </w:t>
      </w:r>
      <w:r w:rsidR="00D739F4">
        <w:rPr>
          <w:i/>
          <w:iCs/>
        </w:rPr>
        <w:t xml:space="preserve">People v. Morelos </w:t>
      </w:r>
      <w:r w:rsidR="00D739F4">
        <w:t>(2022) 13</w:t>
      </w:r>
      <w:r w:rsidR="004E5AF7">
        <w:t> </w:t>
      </w:r>
      <w:r w:rsidR="00D739F4">
        <w:t xml:space="preserve">Cal.5th 722, 753.)  </w:t>
      </w:r>
      <w:r w:rsidR="00872C0A">
        <w:t>Though there is no one-size-fits</w:t>
      </w:r>
      <w:r w:rsidR="00865297">
        <w:t>-</w:t>
      </w:r>
      <w:r w:rsidR="00872C0A">
        <w:t>all formula for accomplishing this, there are some clear guideposts.</w:t>
      </w:r>
    </w:p>
    <w:p w14:paraId="5A41CF87" w14:textId="77777777" w:rsidR="00B75B19" w:rsidRDefault="003C74B7" w:rsidP="001A5E89">
      <w:r>
        <w:t>T</w:t>
      </w:r>
      <w:r w:rsidR="00990894">
        <w:t xml:space="preserve">he court </w:t>
      </w:r>
      <w:r w:rsidR="001C4ABB">
        <w:t>h</w:t>
      </w:r>
      <w:r>
        <w:t xml:space="preserve">as </w:t>
      </w:r>
      <w:r w:rsidR="00A32CE8">
        <w:t>specifically</w:t>
      </w:r>
      <w:r>
        <w:t xml:space="preserve"> recommended</w:t>
      </w:r>
      <w:r w:rsidR="004A4C15">
        <w:t>, for example,</w:t>
      </w:r>
      <w:r>
        <w:t xml:space="preserve"> </w:t>
      </w:r>
      <w:r w:rsidR="00A32CE8">
        <w:t>advisement on</w:t>
      </w:r>
      <w:r>
        <w:t xml:space="preserve"> “the basic mechanics of a jury trial in a waiver colloquy, including but not necessarily limited to the facts that (1)</w:t>
      </w:r>
      <w:r w:rsidR="004E5AF7">
        <w:t> </w:t>
      </w:r>
      <w:r>
        <w:t>a jury is made up of 12 members of the community; (2)</w:t>
      </w:r>
      <w:r w:rsidR="004E5AF7">
        <w:t> </w:t>
      </w:r>
      <w:r>
        <w:t xml:space="preserve">a defendant through his or her counsel may participate in </w:t>
      </w:r>
      <w:r>
        <w:lastRenderedPageBreak/>
        <w:t>jury selection; (3)</w:t>
      </w:r>
      <w:r w:rsidR="004E5AF7">
        <w:t> </w:t>
      </w:r>
      <w:r>
        <w:t>all 12 jurors must unanimously agree in order to render a verdict; and (4)</w:t>
      </w:r>
      <w:r w:rsidR="004E5AF7">
        <w:t> </w:t>
      </w:r>
      <w:r>
        <w:t>if a defendant waives the right to a jury trial, a judge alone will decide his or her guilt or innocence.”  (</w:t>
      </w:r>
      <w:proofErr w:type="spellStart"/>
      <w:r w:rsidR="00923373">
        <w:rPr>
          <w:i/>
          <w:iCs/>
        </w:rPr>
        <w:t>Sivongxxay</w:t>
      </w:r>
      <w:proofErr w:type="spellEnd"/>
      <w:r w:rsidR="00923373">
        <w:t>,</w:t>
      </w:r>
      <w:r>
        <w:t xml:space="preserve"> </w:t>
      </w:r>
      <w:r w:rsidR="001B269B">
        <w:rPr>
          <w:i/>
          <w:iCs/>
        </w:rPr>
        <w:t>supra</w:t>
      </w:r>
      <w:r w:rsidR="001B269B">
        <w:t>, 3 Cal.5th</w:t>
      </w:r>
      <w:r>
        <w:t xml:space="preserve"> at p.</w:t>
      </w:r>
      <w:r w:rsidR="004E5AF7">
        <w:t> </w:t>
      </w:r>
      <w:r>
        <w:t xml:space="preserve">169.)  </w:t>
      </w:r>
      <w:r w:rsidR="00347BA2">
        <w:t>T</w:t>
      </w:r>
      <w:r>
        <w:t xml:space="preserve">he </w:t>
      </w:r>
      <w:r w:rsidR="003D2106">
        <w:t>Supreme C</w:t>
      </w:r>
      <w:r>
        <w:t xml:space="preserve">ourt </w:t>
      </w:r>
      <w:r w:rsidR="003D2106">
        <w:t xml:space="preserve">has </w:t>
      </w:r>
      <w:r w:rsidR="001C4ABB">
        <w:t>even</w:t>
      </w:r>
      <w:r w:rsidR="00347BA2">
        <w:t xml:space="preserve"> </w:t>
      </w:r>
      <w:r>
        <w:t>recommended, “[</w:t>
      </w:r>
      <w:proofErr w:type="spellStart"/>
      <w:r>
        <w:t>i</w:t>
      </w:r>
      <w:proofErr w:type="spellEnd"/>
      <w:r>
        <w:t xml:space="preserve">]n situations where a defendant has waived counsel, </w:t>
      </w:r>
      <w:r w:rsidR="002C00F7">
        <w:t>. . .</w:t>
      </w:r>
      <w:r>
        <w:t xml:space="preserve"> the practice of appointing standby counsel for the limited purpose of discussing with the defendant the decision to waive a jury.”  (</w:t>
      </w:r>
      <w:r w:rsidRPr="006C397D">
        <w:rPr>
          <w:i/>
          <w:iCs/>
        </w:rPr>
        <w:t>Daniels</w:t>
      </w:r>
      <w:r w:rsidR="00DB6428">
        <w:t xml:space="preserve">, </w:t>
      </w:r>
      <w:r w:rsidR="00DB6428" w:rsidRPr="002C00F7">
        <w:rPr>
          <w:i/>
          <w:iCs/>
        </w:rPr>
        <w:t>supra</w:t>
      </w:r>
      <w:r w:rsidR="00DB6428">
        <w:t>,</w:t>
      </w:r>
      <w:r>
        <w:t xml:space="preserve"> 3</w:t>
      </w:r>
      <w:r w:rsidR="002C00F7">
        <w:t> </w:t>
      </w:r>
      <w:r>
        <w:t xml:space="preserve">Cal.5th </w:t>
      </w:r>
      <w:r w:rsidR="00DB6428">
        <w:t>at pp.</w:t>
      </w:r>
      <w:r w:rsidR="002C00F7">
        <w:t> </w:t>
      </w:r>
      <w:r>
        <w:t>999</w:t>
      </w:r>
      <w:r w:rsidR="002C00F7">
        <w:t>–</w:t>
      </w:r>
      <w:r>
        <w:t>1000 (lead opn. of Cuéllar, J.)</w:t>
      </w:r>
      <w:r w:rsidR="00DB6428">
        <w:t>.)</w:t>
      </w:r>
      <w:r>
        <w:t xml:space="preserve">  </w:t>
      </w:r>
    </w:p>
    <w:p w14:paraId="5A41CF88" w14:textId="77777777" w:rsidR="00B75B19" w:rsidRDefault="003C74B7" w:rsidP="00B75B19">
      <w:r>
        <w:t xml:space="preserve">Our task as a reviewing court is to independently examine the record to determine whether </w:t>
      </w:r>
      <w:r w:rsidR="00347BA2">
        <w:t>a</w:t>
      </w:r>
      <w:r>
        <w:t xml:space="preserve"> defendant’s jury waiver was knowing, intelligent, and voluntary.  (See </w:t>
      </w:r>
      <w:r w:rsidRPr="006C397D">
        <w:rPr>
          <w:i/>
          <w:iCs/>
        </w:rPr>
        <w:t>People v. Doolin</w:t>
      </w:r>
      <w:r>
        <w:t xml:space="preserve"> (2009) 45</w:t>
      </w:r>
      <w:r w:rsidR="002C00F7">
        <w:t> </w:t>
      </w:r>
      <w:r>
        <w:t xml:space="preserve">Cal.4th 390, 453; </w:t>
      </w:r>
      <w:r w:rsidRPr="006C397D">
        <w:rPr>
          <w:i/>
          <w:iCs/>
        </w:rPr>
        <w:t>People v. Vargas</w:t>
      </w:r>
      <w:r>
        <w:t xml:space="preserve"> (1993) 13</w:t>
      </w:r>
      <w:r w:rsidR="002C00F7">
        <w:t> </w:t>
      </w:r>
      <w:r>
        <w:t xml:space="preserve">Cal.App.4th 1653, 1660.)  </w:t>
      </w:r>
      <w:r w:rsidR="00347BA2">
        <w:t>We</w:t>
      </w:r>
      <w:r>
        <w:t xml:space="preserve"> will “uphold the validity of a jury waiver ‘</w:t>
      </w:r>
      <w:r w:rsidR="002C00F7">
        <w:t> </w:t>
      </w:r>
      <w:r>
        <w:t xml:space="preserve">“if the record </w:t>
      </w:r>
      <w:r w:rsidRPr="00AF7A97">
        <w:rPr>
          <w:i/>
          <w:iCs/>
        </w:rPr>
        <w:t>affirmatively</w:t>
      </w:r>
      <w:r>
        <w:t xml:space="preserve"> shows that it is voluntary and intelligent under the totality of the circumstances.”</w:t>
      </w:r>
      <w:r w:rsidR="00F56426">
        <w:t> </w:t>
      </w:r>
      <w:r>
        <w:t>’  [Citation.]  We do not start with a presumption of validity that may only be rebutted by signs of a defendant’s confusion or unwillingness in entering a waiver.  Instead, a rev</w:t>
      </w:r>
      <w:r>
        <w:t xml:space="preserve">iewing court satisfies itself of a legitimate waiver only when the record affirmatively demonstrates it was knowing and intelligent.” </w:t>
      </w:r>
      <w:r w:rsidR="00D13B7D">
        <w:t xml:space="preserve"> </w:t>
      </w:r>
      <w:r>
        <w:t>(</w:t>
      </w:r>
      <w:r w:rsidRPr="004B3F06">
        <w:rPr>
          <w:i/>
          <w:iCs/>
        </w:rPr>
        <w:t>Daniels</w:t>
      </w:r>
      <w:r>
        <w:t xml:space="preserve">, </w:t>
      </w:r>
      <w:r w:rsidRPr="004B3F06">
        <w:rPr>
          <w:i/>
          <w:iCs/>
        </w:rPr>
        <w:t>supra</w:t>
      </w:r>
      <w:r>
        <w:t>, 3</w:t>
      </w:r>
      <w:r w:rsidR="00F56426">
        <w:t> </w:t>
      </w:r>
      <w:r>
        <w:t>Cal.5th at p.</w:t>
      </w:r>
      <w:r w:rsidR="00F56426">
        <w:t> </w:t>
      </w:r>
      <w:r>
        <w:t xml:space="preserve">991 (lead opn. of Cuéllar, J.); see </w:t>
      </w:r>
      <w:r w:rsidRPr="00E1027E">
        <w:rPr>
          <w:i/>
          <w:iCs/>
        </w:rPr>
        <w:t>People v. Collins</w:t>
      </w:r>
      <w:r>
        <w:t xml:space="preserve"> (2001) 26</w:t>
      </w:r>
      <w:r w:rsidR="007D57EC">
        <w:t> </w:t>
      </w:r>
      <w:r>
        <w:t>Cal.4th 297, 310.)</w:t>
      </w:r>
      <w:r w:rsidR="009F1CED">
        <w:t xml:space="preserve"> </w:t>
      </w:r>
    </w:p>
    <w:p w14:paraId="5A41CF89" w14:textId="77777777" w:rsidR="006B61E8" w:rsidRPr="00407C3F" w:rsidRDefault="003C74B7" w:rsidP="006B61E8">
      <w:r>
        <w:t>The failure to obtain a valid jury trial waiver in an OMHD</w:t>
      </w:r>
      <w:r>
        <w:t xml:space="preserve"> commitment proceeding “defies ordinary harmless</w:t>
      </w:r>
      <w:r w:rsidR="00EC303A">
        <w:t xml:space="preserve"> </w:t>
      </w:r>
      <w:r>
        <w:t>error analysis.”  (</w:t>
      </w:r>
      <w:r w:rsidRPr="003874FA">
        <w:rPr>
          <w:i/>
          <w:iCs/>
        </w:rPr>
        <w:t>Blackburn</w:t>
      </w:r>
      <w:r>
        <w:t xml:space="preserve">, </w:t>
      </w:r>
      <w:r w:rsidRPr="003874FA">
        <w:rPr>
          <w:i/>
          <w:iCs/>
        </w:rPr>
        <w:t>supra</w:t>
      </w:r>
      <w:r>
        <w:t>, 61</w:t>
      </w:r>
      <w:r w:rsidR="00430BE1">
        <w:t> </w:t>
      </w:r>
      <w:r>
        <w:t>Cal.4th at p.</w:t>
      </w:r>
      <w:r w:rsidR="00430BE1">
        <w:t> </w:t>
      </w:r>
      <w:r>
        <w:t>1134.)  “To speculate about whether a defendant would have chosen a jury trial if he or she had been in a position to make a personal choice would pose insurmountable difficulties, as would an inquiry into what effect, if any, that choice would have had on the outcome of the trial</w:t>
      </w:r>
      <w:proofErr w:type="gramStart"/>
      <w:r>
        <w:t>.</w:t>
      </w:r>
      <w:r w:rsidR="00D241FF">
        <w:t xml:space="preserve"> </w:t>
      </w:r>
      <w:r w:rsidR="00994AD6">
        <w:t>. . .</w:t>
      </w:r>
      <w:proofErr w:type="gramEnd"/>
      <w:r w:rsidR="00D241FF">
        <w:t xml:space="preserve"> </w:t>
      </w:r>
      <w:r>
        <w:t>‘[W]here a case improperly is tried to the court rather than to a jury, there is no opportunity meaningfully to assess t</w:t>
      </w:r>
      <w:r>
        <w:t xml:space="preserve">he outcome that would have ensued in </w:t>
      </w:r>
      <w:r>
        <w:lastRenderedPageBreak/>
        <w:t>the absence of the error.’  [Citation.]”  (</w:t>
      </w:r>
      <w:r w:rsidRPr="003874FA">
        <w:rPr>
          <w:i/>
          <w:iCs/>
        </w:rPr>
        <w:t>Ibid</w:t>
      </w:r>
      <w:r>
        <w:t>.)  Accordingly, “a trial court’s failure to obtain a required personal jury trial waiver [</w:t>
      </w:r>
      <w:proofErr w:type="spellStart"/>
      <w:r>
        <w:t>i</w:t>
      </w:r>
      <w:proofErr w:type="spellEnd"/>
      <w:r>
        <w:t>]s tantamount to the denial of a jury trial, and as such, it constitutes a ‘miscarriage of justice’ under California Constitution, article VI, section 13.”  (</w:t>
      </w:r>
      <w:r w:rsidRPr="003874FA">
        <w:rPr>
          <w:i/>
          <w:iCs/>
        </w:rPr>
        <w:t>Ibid</w:t>
      </w:r>
      <w:r>
        <w:t xml:space="preserve">.)  Thus, the failure to obtain a valid jury trial waiver in an OMHD commitment proceeding </w:t>
      </w:r>
      <w:r w:rsidR="00DB736D">
        <w:t>“</w:t>
      </w:r>
      <w:r>
        <w:t>requires reversal without inquiry into the strength of the evidence in a particula</w:t>
      </w:r>
      <w:r>
        <w:t>r case.”  (</w:t>
      </w:r>
      <w:r>
        <w:rPr>
          <w:i/>
          <w:iCs/>
        </w:rPr>
        <w:t>Id</w:t>
      </w:r>
      <w:r>
        <w:t>. at p.</w:t>
      </w:r>
      <w:r w:rsidR="001223FE">
        <w:t> </w:t>
      </w:r>
      <w:r>
        <w:t xml:space="preserve">1133.)  </w:t>
      </w:r>
    </w:p>
    <w:p w14:paraId="5A41CF8A" w14:textId="77777777" w:rsidR="00B84925" w:rsidRDefault="003C74B7" w:rsidP="006B61E8">
      <w:r>
        <w:t>That said, “[t]</w:t>
      </w:r>
      <w:proofErr w:type="gramStart"/>
      <w:r>
        <w:t>he</w:t>
      </w:r>
      <w:proofErr w:type="gramEnd"/>
      <w:r>
        <w:t xml:space="preserve"> concept of harmless error” does apply in this conte</w:t>
      </w:r>
      <w:r w:rsidR="00B37194">
        <w:t>x</w:t>
      </w:r>
      <w:r>
        <w:t>t in a “limited sense.”  (</w:t>
      </w:r>
      <w:r>
        <w:rPr>
          <w:i/>
          <w:iCs/>
        </w:rPr>
        <w:t>Blackburn</w:t>
      </w:r>
      <w:r>
        <w:t xml:space="preserve">, </w:t>
      </w:r>
      <w:r>
        <w:rPr>
          <w:i/>
          <w:iCs/>
        </w:rPr>
        <w:t>supra</w:t>
      </w:r>
      <w:r>
        <w:t>, 61</w:t>
      </w:r>
      <w:r w:rsidR="001223FE">
        <w:t> </w:t>
      </w:r>
      <w:r>
        <w:t>Cal.4</w:t>
      </w:r>
      <w:r w:rsidRPr="00AC5835">
        <w:t>th</w:t>
      </w:r>
      <w:r w:rsidR="00AC5835">
        <w:t xml:space="preserve"> at p. </w:t>
      </w:r>
      <w:r>
        <w:t>113</w:t>
      </w:r>
      <w:r w:rsidR="00EA13F9">
        <w:t>6</w:t>
      </w:r>
      <w:r>
        <w:t xml:space="preserve">.)  </w:t>
      </w:r>
      <w:r w:rsidR="00F55E64">
        <w:t>While</w:t>
      </w:r>
      <w:r>
        <w:t xml:space="preserve"> “a trial court’s failure to properly advise an [OMHD] defendant of the right to a jury trial does not by itself warrant automatic reversal</w:t>
      </w:r>
      <w:r w:rsidR="00F55E64">
        <w:t>[,]</w:t>
      </w:r>
      <w:r>
        <w:t xml:space="preserve"> </w:t>
      </w:r>
      <w:r w:rsidR="00D142AD">
        <w:t>. . .</w:t>
      </w:r>
      <w:r w:rsidR="00DF3150">
        <w:t xml:space="preserve"> </w:t>
      </w:r>
      <w:r>
        <w:t>a trial court’s acceptance of a defendant’s personal waiver without an express advisement may be deemed harmless if the record affirmatively shows, based on the totality of the circumstances, that the defendant’s waiver was knowing an</w:t>
      </w:r>
      <w:r>
        <w:t>d voluntary.”  (</w:t>
      </w:r>
      <w:r w:rsidR="00CF537E" w:rsidRPr="00234DCA">
        <w:rPr>
          <w:i/>
          <w:iCs/>
        </w:rPr>
        <w:t>Ibid</w:t>
      </w:r>
      <w:r>
        <w:t>.)</w:t>
      </w:r>
      <w:r w:rsidR="00563047">
        <w:t xml:space="preserve">  </w:t>
      </w:r>
      <w:r w:rsidR="00B35DB8">
        <w:t>“</w:t>
      </w:r>
      <w:r>
        <w:t xml:space="preserve">[T]he requirement of an </w:t>
      </w:r>
      <w:r>
        <w:rPr>
          <w:i/>
          <w:iCs/>
        </w:rPr>
        <w:t xml:space="preserve">affirmative </w:t>
      </w:r>
      <w:r>
        <w:t>showing means that no valid waiver may be presumed from a silent record.”  (</w:t>
      </w:r>
      <w:r>
        <w:rPr>
          <w:i/>
          <w:iCs/>
        </w:rPr>
        <w:t>Ibid</w:t>
      </w:r>
      <w:r>
        <w:t xml:space="preserve">.)  </w:t>
      </w:r>
    </w:p>
    <w:p w14:paraId="5A41CF8B" w14:textId="77777777" w:rsidR="006B61E8" w:rsidRDefault="003C74B7" w:rsidP="006B61E8">
      <w:r>
        <w:t>For trial judges, t</w:t>
      </w:r>
      <w:r w:rsidR="005D21BB">
        <w:t>he practical effect of th</w:t>
      </w:r>
      <w:r w:rsidR="000975C6">
        <w:t>e</w:t>
      </w:r>
      <w:r w:rsidR="00EF6BA8">
        <w:t xml:space="preserve">se standards of </w:t>
      </w:r>
      <w:r w:rsidR="00A04AD7">
        <w:t xml:space="preserve">appellate </w:t>
      </w:r>
      <w:r w:rsidR="00146399">
        <w:t xml:space="preserve">review </w:t>
      </w:r>
      <w:r w:rsidR="00EF6BA8">
        <w:t xml:space="preserve">and </w:t>
      </w:r>
      <w:r w:rsidR="000975C6">
        <w:t xml:space="preserve">harmless error </w:t>
      </w:r>
      <w:r w:rsidR="00707409">
        <w:t xml:space="preserve">is </w:t>
      </w:r>
      <w:r w:rsidR="00894328">
        <w:t xml:space="preserve">important to appreciate.  </w:t>
      </w:r>
      <w:r w:rsidR="001050B9">
        <w:t xml:space="preserve">Because </w:t>
      </w:r>
      <w:proofErr w:type="gramStart"/>
      <w:r w:rsidR="007868F5">
        <w:t>all of</w:t>
      </w:r>
      <w:proofErr w:type="gramEnd"/>
      <w:r w:rsidR="007868F5">
        <w:t xml:space="preserve"> the governing </w:t>
      </w:r>
      <w:r w:rsidR="001D6AC0">
        <w:t xml:space="preserve">principles </w:t>
      </w:r>
      <w:r w:rsidR="007868F5">
        <w:t xml:space="preserve">here </w:t>
      </w:r>
      <w:r w:rsidR="001D6AC0">
        <w:t xml:space="preserve">are </w:t>
      </w:r>
      <w:r w:rsidR="00420C00">
        <w:t xml:space="preserve">biased in favor of demonstrably effective waivers, </w:t>
      </w:r>
      <w:r w:rsidR="00EF2E4F">
        <w:t>they e</w:t>
      </w:r>
      <w:r w:rsidR="00420C00">
        <w:t>ncourag</w:t>
      </w:r>
      <w:r w:rsidR="00146399">
        <w:t xml:space="preserve">e </w:t>
      </w:r>
      <w:r w:rsidR="00420C00">
        <w:t>robust</w:t>
      </w:r>
      <w:r w:rsidR="00512D56">
        <w:t>,</w:t>
      </w:r>
      <w:r w:rsidR="00282C3F">
        <w:t xml:space="preserve"> on-the-record colloquies</w:t>
      </w:r>
      <w:r w:rsidR="00C04FBA">
        <w:t xml:space="preserve"> that leave nothing to assumption </w:t>
      </w:r>
      <w:r w:rsidR="00D53DD8">
        <w:t xml:space="preserve">or </w:t>
      </w:r>
      <w:r w:rsidR="00DF14BB">
        <w:t xml:space="preserve">guesswork </w:t>
      </w:r>
      <w:r w:rsidR="00D53DD8">
        <w:t>about what</w:t>
      </w:r>
      <w:r w:rsidR="00EB7011">
        <w:t xml:space="preserve"> an OMHD </w:t>
      </w:r>
      <w:r w:rsidR="00B344F2">
        <w:t xml:space="preserve">defendant </w:t>
      </w:r>
      <w:r w:rsidR="00EB7011">
        <w:t>was told.</w:t>
      </w:r>
      <w:r w:rsidR="00282C3F">
        <w:t xml:space="preserve"> </w:t>
      </w:r>
      <w:r w:rsidR="00420C00">
        <w:t xml:space="preserve">  </w:t>
      </w:r>
    </w:p>
    <w:p w14:paraId="5A41CF8C" w14:textId="77777777" w:rsidR="00605E6A" w:rsidRPr="00951B49" w:rsidRDefault="003C74B7" w:rsidP="00925F3F">
      <w:pPr>
        <w:pStyle w:val="Heading3"/>
      </w:pPr>
      <w:r>
        <w:t>Analysis</w:t>
      </w:r>
    </w:p>
    <w:p w14:paraId="5A41CF8D" w14:textId="77777777" w:rsidR="006B41B2" w:rsidRDefault="003C74B7" w:rsidP="00BA17EF">
      <w:r>
        <w:t>W</w:t>
      </w:r>
      <w:r w:rsidR="002D19F4" w:rsidRPr="002D19F4">
        <w:t xml:space="preserve">e conclude the record </w:t>
      </w:r>
      <w:r>
        <w:t xml:space="preserve">in this case </w:t>
      </w:r>
      <w:r w:rsidR="002D19F4" w:rsidRPr="002D19F4">
        <w:t xml:space="preserve">is insufficient to </w:t>
      </w:r>
      <w:r w:rsidR="002F1A42" w:rsidRPr="002D19F4">
        <w:t xml:space="preserve">support </w:t>
      </w:r>
      <w:r w:rsidR="002F1A42">
        <w:t xml:space="preserve">the </w:t>
      </w:r>
      <w:r w:rsidR="00296A18">
        <w:t xml:space="preserve">determination </w:t>
      </w:r>
      <w:r w:rsidR="002F1A42">
        <w:t>that McCray made a valid waiver of his right to a jury</w:t>
      </w:r>
      <w:r w:rsidR="002F1A42" w:rsidRPr="002D19F4">
        <w:t xml:space="preserve">. </w:t>
      </w:r>
      <w:r>
        <w:t xml:space="preserve"> </w:t>
      </w:r>
    </w:p>
    <w:p w14:paraId="5A41CF8E" w14:textId="77777777" w:rsidR="005D5334" w:rsidRDefault="003C74B7" w:rsidP="00BA17EF">
      <w:r w:rsidRPr="002D19F4">
        <w:t xml:space="preserve">The trial court </w:t>
      </w:r>
      <w:r w:rsidR="006839B3">
        <w:t>did not take any steps itself</w:t>
      </w:r>
      <w:r w:rsidR="00DD4B02">
        <w:t xml:space="preserve"> </w:t>
      </w:r>
      <w:r w:rsidRPr="002D19F4">
        <w:t xml:space="preserve">to </w:t>
      </w:r>
      <w:r w:rsidR="00347BA2">
        <w:t>determine if</w:t>
      </w:r>
      <w:r w:rsidRPr="002D19F4">
        <w:t xml:space="preserve"> </w:t>
      </w:r>
      <w:r>
        <w:t>McCray</w:t>
      </w:r>
      <w:r w:rsidRPr="002D19F4">
        <w:t xml:space="preserve"> </w:t>
      </w:r>
      <w:r>
        <w:t>understood</w:t>
      </w:r>
      <w:r w:rsidRPr="002D19F4">
        <w:t xml:space="preserve"> what a jury trial entailed</w:t>
      </w:r>
      <w:r w:rsidR="0038165B">
        <w:t xml:space="preserve"> or </w:t>
      </w:r>
      <w:r w:rsidR="00DD4B02">
        <w:t>how it differed from a</w:t>
      </w:r>
      <w:r w:rsidR="0038165B">
        <w:t xml:space="preserve"> bench trial</w:t>
      </w:r>
      <w:r w:rsidRPr="002D19F4">
        <w:t xml:space="preserve">. </w:t>
      </w:r>
      <w:r>
        <w:t xml:space="preserve"> </w:t>
      </w:r>
      <w:r w:rsidRPr="002D19F4">
        <w:t>(</w:t>
      </w:r>
      <w:r w:rsidR="00DF2862">
        <w:t xml:space="preserve">See </w:t>
      </w:r>
      <w:proofErr w:type="spellStart"/>
      <w:r w:rsidRPr="002D19F4">
        <w:rPr>
          <w:i/>
          <w:iCs/>
        </w:rPr>
        <w:t>Sivongxxay</w:t>
      </w:r>
      <w:proofErr w:type="spellEnd"/>
      <w:r w:rsidRPr="002D19F4">
        <w:t xml:space="preserve">, </w:t>
      </w:r>
      <w:r w:rsidRPr="002D19F4">
        <w:rPr>
          <w:i/>
          <w:iCs/>
        </w:rPr>
        <w:t>supra</w:t>
      </w:r>
      <w:r w:rsidRPr="002D19F4">
        <w:t>, 3</w:t>
      </w:r>
      <w:r w:rsidR="00F4093F">
        <w:t> </w:t>
      </w:r>
      <w:r w:rsidRPr="002D19F4">
        <w:t>Cal.5th at p.</w:t>
      </w:r>
      <w:r w:rsidR="00F4093F">
        <w:t> </w:t>
      </w:r>
      <w:r w:rsidRPr="002D19F4">
        <w:t xml:space="preserve">169.) </w:t>
      </w:r>
      <w:r>
        <w:t xml:space="preserve"> Instead, </w:t>
      </w:r>
      <w:r w:rsidR="006839B3">
        <w:t>the court</w:t>
      </w:r>
      <w:r>
        <w:t xml:space="preserve"> relied </w:t>
      </w:r>
      <w:r w:rsidR="00F0591C">
        <w:t xml:space="preserve">entirely </w:t>
      </w:r>
      <w:r>
        <w:t>on McCray’s counsel</w:t>
      </w:r>
      <w:r w:rsidR="00DD4B02">
        <w:t>’s perfunctory questioning of</w:t>
      </w:r>
      <w:r w:rsidR="0038165B">
        <w:t xml:space="preserve"> McCray</w:t>
      </w:r>
      <w:r w:rsidR="00DD4B02">
        <w:t xml:space="preserve"> </w:t>
      </w:r>
      <w:r w:rsidR="007A48CF">
        <w:t xml:space="preserve">on the </w:t>
      </w:r>
      <w:r w:rsidR="007A48CF">
        <w:lastRenderedPageBreak/>
        <w:t xml:space="preserve">topic of his right to jury trial. </w:t>
      </w:r>
      <w:r w:rsidR="0038165B">
        <w:t xml:space="preserve"> Counsel </w:t>
      </w:r>
      <w:r w:rsidR="00F80C05">
        <w:t xml:space="preserve">began by </w:t>
      </w:r>
      <w:r w:rsidR="0038165B">
        <w:t>remind</w:t>
      </w:r>
      <w:r w:rsidR="00F80C05">
        <w:t xml:space="preserve">ing </w:t>
      </w:r>
      <w:r w:rsidR="0038165B">
        <w:t xml:space="preserve">McCray </w:t>
      </w:r>
      <w:r w:rsidR="00F80C05">
        <w:t xml:space="preserve">of a conversation the two of them </w:t>
      </w:r>
      <w:r w:rsidR="0038165B">
        <w:t xml:space="preserve">previously </w:t>
      </w:r>
      <w:r w:rsidR="00F80C05">
        <w:t xml:space="preserve">had </w:t>
      </w:r>
      <w:r w:rsidR="00412293">
        <w:t xml:space="preserve">had </w:t>
      </w:r>
      <w:r w:rsidR="00F80C05">
        <w:t>concerning</w:t>
      </w:r>
      <w:r w:rsidR="0038165B">
        <w:t xml:space="preserve"> McCray’s “right to have a jury listen to the evidence in this case and ma</w:t>
      </w:r>
      <w:r w:rsidR="00A92CD0">
        <w:t>k</w:t>
      </w:r>
      <w:r w:rsidR="0038165B">
        <w:t xml:space="preserve">e the decision on whether or not you need more treatment at the hospital,” and that McCray “decided that you wanted to have the judge listen to the evidence and make the decision, to waive your right to a jury.”  </w:t>
      </w:r>
    </w:p>
    <w:p w14:paraId="5A41CF8F" w14:textId="77777777" w:rsidR="00DD4B02" w:rsidRDefault="003C74B7" w:rsidP="00BA17EF">
      <w:r>
        <w:t>Co</w:t>
      </w:r>
      <w:r w:rsidR="006B41B2">
        <w:t>unsel</w:t>
      </w:r>
      <w:r w:rsidR="0038165B">
        <w:t xml:space="preserve"> </w:t>
      </w:r>
      <w:r w:rsidR="009A6B56">
        <w:t xml:space="preserve">then asked McCray if he understood that “the judge is supposed to make sure that you understand you have a right to have a jury but that you are waiving that right in order to have the judge make the decision,” to which McCray replied twice that he was waiving that right.  </w:t>
      </w:r>
      <w:r>
        <w:t>This exchange shed</w:t>
      </w:r>
      <w:r w:rsidR="000E19AE">
        <w:t>s</w:t>
      </w:r>
      <w:r>
        <w:t xml:space="preserve"> no light on McCray’s </w:t>
      </w:r>
      <w:r w:rsidRPr="00C00559">
        <w:rPr>
          <w:rFonts w:cs="Times New Roman"/>
        </w:rPr>
        <w:t xml:space="preserve">awareness of the nature of the </w:t>
      </w:r>
      <w:r>
        <w:rPr>
          <w:rFonts w:cs="Times New Roman"/>
        </w:rPr>
        <w:t xml:space="preserve">jury </w:t>
      </w:r>
      <w:r w:rsidRPr="00C00559">
        <w:rPr>
          <w:rFonts w:cs="Times New Roman"/>
        </w:rPr>
        <w:t xml:space="preserve">right </w:t>
      </w:r>
      <w:r w:rsidR="006839B3">
        <w:rPr>
          <w:rFonts w:cs="Times New Roman"/>
        </w:rPr>
        <w:t>he</w:t>
      </w:r>
      <w:r>
        <w:rPr>
          <w:rFonts w:cs="Times New Roman"/>
        </w:rPr>
        <w:t xml:space="preserve"> was abandoning or </w:t>
      </w:r>
      <w:r w:rsidRPr="00C00559">
        <w:rPr>
          <w:rFonts w:cs="Times New Roman"/>
        </w:rPr>
        <w:t>the consequences of</w:t>
      </w:r>
      <w:r>
        <w:rPr>
          <w:rFonts w:cs="Times New Roman"/>
        </w:rPr>
        <w:t xml:space="preserve"> his</w:t>
      </w:r>
      <w:r w:rsidRPr="00C00559">
        <w:rPr>
          <w:rFonts w:cs="Times New Roman"/>
        </w:rPr>
        <w:t xml:space="preserve"> decision to abandon it</w:t>
      </w:r>
      <w:r>
        <w:t xml:space="preserve">.  Nonetheless, the </w:t>
      </w:r>
      <w:r w:rsidR="008B27BF">
        <w:t>trial</w:t>
      </w:r>
      <w:r>
        <w:t xml:space="preserve"> court </w:t>
      </w:r>
      <w:r w:rsidR="00341F3F">
        <w:t>decline</w:t>
      </w:r>
      <w:r w:rsidR="00272C3D">
        <w:t>d</w:t>
      </w:r>
      <w:r w:rsidR="00341F3F">
        <w:t xml:space="preserve"> counsel’s invitation to ask further questions and </w:t>
      </w:r>
      <w:r>
        <w:t xml:space="preserve">found </w:t>
      </w:r>
      <w:r w:rsidR="00341F3F">
        <w:t>this exchange</w:t>
      </w:r>
      <w:r>
        <w:t xml:space="preserve"> showed “a clear indication of acknowledgement and understanding of the jury right and its waiver.” </w:t>
      </w:r>
    </w:p>
    <w:p w14:paraId="5A41CF90" w14:textId="77777777" w:rsidR="00605E6A" w:rsidRDefault="003C74B7" w:rsidP="00BA17EF">
      <w:r>
        <w:t xml:space="preserve">We disagree.  </w:t>
      </w:r>
      <w:r w:rsidR="00BC4285">
        <w:t>Whatever it was th</w:t>
      </w:r>
      <w:r w:rsidR="00454B38">
        <w:t xml:space="preserve">at </w:t>
      </w:r>
      <w:r>
        <w:t>McCray</w:t>
      </w:r>
      <w:r w:rsidR="00BC4285">
        <w:t xml:space="preserve"> acknowledged and understood is anything but clear.  </w:t>
      </w:r>
      <w:r>
        <w:t>C</w:t>
      </w:r>
      <w:r w:rsidR="009650F9">
        <w:t xml:space="preserve">ounsel said nothing </w:t>
      </w:r>
      <w:r>
        <w:t xml:space="preserve">to McCray </w:t>
      </w:r>
      <w:r w:rsidR="00B8496F">
        <w:t>on the record</w:t>
      </w:r>
      <w:r>
        <w:t xml:space="preserve"> </w:t>
      </w:r>
      <w:r w:rsidR="001A2EFB">
        <w:t xml:space="preserve">to explain the significance of </w:t>
      </w:r>
      <w:r>
        <w:t>a jury trial, such as that McCray had the right to participate in the selection of a jury</w:t>
      </w:r>
      <w:r w:rsidR="00BA1209">
        <w:t xml:space="preserve">, or that once selected, the jury </w:t>
      </w:r>
      <w:r>
        <w:t xml:space="preserve">had to unanimously agree </w:t>
      </w:r>
      <w:proofErr w:type="gramStart"/>
      <w:r>
        <w:t>in order to</w:t>
      </w:r>
      <w:proofErr w:type="gramEnd"/>
      <w:r>
        <w:t xml:space="preserve"> render a verdict</w:t>
      </w:r>
      <w:r w:rsidR="00761071">
        <w:t xml:space="preserve">.  </w:t>
      </w:r>
      <w:r w:rsidR="00C624BD">
        <w:t>And d</w:t>
      </w:r>
      <w:r>
        <w:t xml:space="preserve">espite </w:t>
      </w:r>
      <w:r w:rsidR="001C4ABB">
        <w:t>the</w:t>
      </w:r>
      <w:r>
        <w:t xml:space="preserve"> </w:t>
      </w:r>
      <w:r w:rsidR="002429FD">
        <w:t xml:space="preserve">guidance provided by </w:t>
      </w:r>
      <w:r>
        <w:rPr>
          <w:i/>
          <w:iCs/>
        </w:rPr>
        <w:t>Blackburn</w:t>
      </w:r>
      <w:r>
        <w:t xml:space="preserve">, </w:t>
      </w:r>
      <w:proofErr w:type="spellStart"/>
      <w:r w:rsidRPr="002D19F4">
        <w:rPr>
          <w:i/>
          <w:iCs/>
        </w:rPr>
        <w:t>Sivongxxay</w:t>
      </w:r>
      <w:proofErr w:type="spellEnd"/>
      <w:r>
        <w:t xml:space="preserve">, and </w:t>
      </w:r>
      <w:r>
        <w:rPr>
          <w:i/>
          <w:iCs/>
        </w:rPr>
        <w:t>Daniels</w:t>
      </w:r>
      <w:r>
        <w:t xml:space="preserve">, the court </w:t>
      </w:r>
      <w:r w:rsidR="00420986">
        <w:t xml:space="preserve">failed to explore </w:t>
      </w:r>
      <w:r>
        <w:t>McCray’s understanding</w:t>
      </w:r>
      <w:r w:rsidR="0059701D">
        <w:t xml:space="preserve"> of </w:t>
      </w:r>
      <w:r w:rsidR="0059701D" w:rsidRPr="006839B3">
        <w:rPr>
          <w:i/>
          <w:iCs/>
        </w:rPr>
        <w:t xml:space="preserve">any </w:t>
      </w:r>
      <w:r w:rsidR="0059701D">
        <w:t xml:space="preserve">of these </w:t>
      </w:r>
      <w:r w:rsidR="00AF4F38">
        <w:t>matters</w:t>
      </w:r>
      <w:r w:rsidR="00C129D7">
        <w:t xml:space="preserve"> with him</w:t>
      </w:r>
      <w:r>
        <w:t>.</w:t>
      </w:r>
      <w:r w:rsidR="0059701D">
        <w:t xml:space="preserve">  </w:t>
      </w:r>
      <w:r w:rsidR="005E6B9F">
        <w:t xml:space="preserve">There was no discussion between the </w:t>
      </w:r>
      <w:r w:rsidR="0059701D">
        <w:t xml:space="preserve">court </w:t>
      </w:r>
      <w:r w:rsidR="005E6B9F">
        <w:t>and</w:t>
      </w:r>
      <w:r w:rsidR="0059701D">
        <w:t xml:space="preserve"> </w:t>
      </w:r>
      <w:r w:rsidR="00C31EE3">
        <w:t xml:space="preserve">McCray </w:t>
      </w:r>
      <w:r w:rsidR="005E6B9F">
        <w:t xml:space="preserve">about </w:t>
      </w:r>
      <w:r w:rsidR="005A0466">
        <w:t xml:space="preserve">how a </w:t>
      </w:r>
      <w:r w:rsidR="0059701D">
        <w:t xml:space="preserve">jury </w:t>
      </w:r>
      <w:r w:rsidR="006839B3">
        <w:t xml:space="preserve">trial </w:t>
      </w:r>
      <w:r w:rsidR="005A0466">
        <w:t xml:space="preserve">works </w:t>
      </w:r>
      <w:r w:rsidR="0059701D">
        <w:t xml:space="preserve">or </w:t>
      </w:r>
      <w:r w:rsidR="007B392B">
        <w:t>the</w:t>
      </w:r>
      <w:r w:rsidR="0059701D">
        <w:t xml:space="preserve"> </w:t>
      </w:r>
      <w:r w:rsidR="006839B3">
        <w:t xml:space="preserve">difference </w:t>
      </w:r>
      <w:r w:rsidR="007B392B">
        <w:t xml:space="preserve">between </w:t>
      </w:r>
      <w:r w:rsidR="006839B3">
        <w:t xml:space="preserve">a </w:t>
      </w:r>
      <w:r w:rsidR="0059701D">
        <w:t>bench trial</w:t>
      </w:r>
      <w:r w:rsidR="00C31EE3">
        <w:t xml:space="preserve"> </w:t>
      </w:r>
      <w:r w:rsidR="005A0466">
        <w:t>and a trial by jury</w:t>
      </w:r>
      <w:r w:rsidR="007B392B">
        <w:t>.  T</w:t>
      </w:r>
      <w:r w:rsidR="0059701D">
        <w:t xml:space="preserve">he court did not even ask McCray’s counsel if he concurred with McCray’s </w:t>
      </w:r>
      <w:r w:rsidR="00AF4F38">
        <w:t xml:space="preserve">waiver </w:t>
      </w:r>
      <w:r w:rsidR="006E3876">
        <w:t>decision</w:t>
      </w:r>
      <w:r w:rsidR="0059701D">
        <w:t xml:space="preserve">. </w:t>
      </w:r>
      <w:r w:rsidR="008F0499">
        <w:t xml:space="preserve"> </w:t>
      </w:r>
    </w:p>
    <w:p w14:paraId="5A41CF91" w14:textId="77777777" w:rsidR="00E14D0C" w:rsidRDefault="003C74B7" w:rsidP="00E14D0C">
      <w:r>
        <w:t xml:space="preserve">The </w:t>
      </w:r>
      <w:r w:rsidR="0067414C">
        <w:t>People</w:t>
      </w:r>
      <w:r w:rsidR="004B27F7">
        <w:t xml:space="preserve"> </w:t>
      </w:r>
      <w:r w:rsidR="00A135DF">
        <w:t>do</w:t>
      </w:r>
      <w:r w:rsidR="004B27F7">
        <w:t xml:space="preserve"> </w:t>
      </w:r>
      <w:r w:rsidR="00A135DF">
        <w:t xml:space="preserve">not </w:t>
      </w:r>
      <w:r w:rsidR="00BE26F7">
        <w:t xml:space="preserve">attempt to </w:t>
      </w:r>
      <w:r w:rsidR="00A135DF">
        <w:t xml:space="preserve">argue that </w:t>
      </w:r>
      <w:r w:rsidR="003B3D90">
        <w:t>McCray</w:t>
      </w:r>
      <w:r w:rsidR="00073EF7">
        <w:t xml:space="preserve"> was</w:t>
      </w:r>
      <w:r w:rsidR="009542E7">
        <w:t xml:space="preserve"> sufficiently informed </w:t>
      </w:r>
      <w:r w:rsidR="003B3D90">
        <w:t xml:space="preserve">at the hearing </w:t>
      </w:r>
      <w:r w:rsidR="009542E7">
        <w:t xml:space="preserve">of the </w:t>
      </w:r>
      <w:r w:rsidR="003B3D90">
        <w:t xml:space="preserve">basic mechanics of a jury trial or its differences </w:t>
      </w:r>
      <w:r w:rsidR="003B3D90">
        <w:lastRenderedPageBreak/>
        <w:t xml:space="preserve">from a bench trial.  Instead, they </w:t>
      </w:r>
      <w:r>
        <w:t xml:space="preserve">would have us </w:t>
      </w:r>
      <w:r w:rsidR="005D0F89">
        <w:t>conclude</w:t>
      </w:r>
      <w:r>
        <w:t xml:space="preserve"> from </w:t>
      </w:r>
      <w:r w:rsidR="00206042">
        <w:t xml:space="preserve">the </w:t>
      </w:r>
      <w:r w:rsidR="00C624BD">
        <w:t>“</w:t>
      </w:r>
      <w:r w:rsidR="00206042">
        <w:t>totality of the circumstances</w:t>
      </w:r>
      <w:r w:rsidR="00C624BD">
        <w:t>”</w:t>
      </w:r>
      <w:r w:rsidR="00206042">
        <w:t xml:space="preserve"> that McCray’s </w:t>
      </w:r>
      <w:r w:rsidR="005B2F18">
        <w:t>waiver was knowing and intelligent.</w:t>
      </w:r>
      <w:r w:rsidR="00073EF7">
        <w:t xml:space="preserve"> </w:t>
      </w:r>
      <w:r w:rsidR="005B2F18">
        <w:t xml:space="preserve"> </w:t>
      </w:r>
      <w:r w:rsidR="00874EFF">
        <w:t>T</w:t>
      </w:r>
      <w:r w:rsidR="001A453D">
        <w:t>he</w:t>
      </w:r>
      <w:r w:rsidR="002F710F">
        <w:t xml:space="preserve"> People’s</w:t>
      </w:r>
      <w:r w:rsidR="001A453D">
        <w:t xml:space="preserve"> argument </w:t>
      </w:r>
      <w:r w:rsidR="002F710F">
        <w:t xml:space="preserve">on this point </w:t>
      </w:r>
      <w:r w:rsidR="00874EFF">
        <w:t xml:space="preserve">proceeds in </w:t>
      </w:r>
      <w:r w:rsidR="001A453D">
        <w:t>two</w:t>
      </w:r>
      <w:r w:rsidR="00874EFF">
        <w:t xml:space="preserve"> steps. </w:t>
      </w:r>
      <w:r w:rsidR="001A453D">
        <w:t xml:space="preserve"> </w:t>
      </w:r>
      <w:r w:rsidR="00246865">
        <w:t xml:space="preserve">First, </w:t>
      </w:r>
      <w:r w:rsidR="00AE48DB">
        <w:t>we are told</w:t>
      </w:r>
      <w:r w:rsidR="00246865">
        <w:t xml:space="preserve">, </w:t>
      </w:r>
      <w:r w:rsidR="004C0E85">
        <w:t>McCray’s</w:t>
      </w:r>
      <w:r w:rsidR="00462061">
        <w:t xml:space="preserve"> counsel’s presence and participation was “critical” to the analysis of whether his waiver was knowing and intelligent, </w:t>
      </w:r>
      <w:r w:rsidR="004B7E01">
        <w:t>including</w:t>
      </w:r>
      <w:r w:rsidR="003F51DD">
        <w:t xml:space="preserve"> </w:t>
      </w:r>
      <w:r w:rsidR="00733432">
        <w:t>counsel’s</w:t>
      </w:r>
      <w:r w:rsidR="003F51DD">
        <w:t xml:space="preserve"> confirmation to the court that McCray preferred a </w:t>
      </w:r>
      <w:r w:rsidR="0001025A">
        <w:t>bench</w:t>
      </w:r>
      <w:r w:rsidR="003F51DD">
        <w:t xml:space="preserve"> trial, his willingness to “voir dire” McCray on the issue</w:t>
      </w:r>
      <w:r w:rsidR="004B1F84">
        <w:t xml:space="preserve">, and his reminding McCray of their previous </w:t>
      </w:r>
      <w:r w:rsidR="004B7E01">
        <w:t>conversation</w:t>
      </w:r>
      <w:r w:rsidR="00B307D2">
        <w:t xml:space="preserve"> about </w:t>
      </w:r>
      <w:r w:rsidR="004B1F84">
        <w:t xml:space="preserve">his right to a jury trial. </w:t>
      </w:r>
      <w:r w:rsidR="00733432">
        <w:t xml:space="preserve"> </w:t>
      </w:r>
      <w:r w:rsidR="00E75F3D">
        <w:t>Here, t</w:t>
      </w:r>
      <w:r w:rsidR="00733432">
        <w:t xml:space="preserve">he People </w:t>
      </w:r>
      <w:r w:rsidR="00462061">
        <w:t>rely on pre-</w:t>
      </w:r>
      <w:proofErr w:type="spellStart"/>
      <w:r w:rsidR="00462061" w:rsidRPr="002D19F4">
        <w:rPr>
          <w:i/>
          <w:iCs/>
        </w:rPr>
        <w:t>Sivongxxay</w:t>
      </w:r>
      <w:proofErr w:type="spellEnd"/>
      <w:r w:rsidR="00462061">
        <w:rPr>
          <w:i/>
          <w:iCs/>
        </w:rPr>
        <w:t xml:space="preserve"> </w:t>
      </w:r>
      <w:r w:rsidR="00462061">
        <w:t xml:space="preserve">cases and the statement in </w:t>
      </w:r>
      <w:r w:rsidR="00462061">
        <w:rPr>
          <w:i/>
          <w:iCs/>
        </w:rPr>
        <w:t xml:space="preserve">Daniels </w:t>
      </w:r>
      <w:r w:rsidR="00462061">
        <w:t>that “[c]</w:t>
      </w:r>
      <w:proofErr w:type="spellStart"/>
      <w:r w:rsidR="00462061">
        <w:t>ounsel</w:t>
      </w:r>
      <w:proofErr w:type="spellEnd"/>
      <w:r w:rsidR="00462061">
        <w:t xml:space="preserve"> plays a crucial part in transmitting information to the client” about waiver of the right to a jury trial (</w:t>
      </w:r>
      <w:r w:rsidR="00462061">
        <w:rPr>
          <w:i/>
          <w:iCs/>
        </w:rPr>
        <w:t>Daniels</w:t>
      </w:r>
      <w:r w:rsidR="00462061">
        <w:t xml:space="preserve">, </w:t>
      </w:r>
      <w:r w:rsidR="00462061">
        <w:rPr>
          <w:i/>
          <w:iCs/>
        </w:rPr>
        <w:t>supra</w:t>
      </w:r>
      <w:r w:rsidR="00462061">
        <w:t>, 3</w:t>
      </w:r>
      <w:r w:rsidR="000700E2">
        <w:t> </w:t>
      </w:r>
      <w:r w:rsidR="00462061">
        <w:t>Cal.5th at p.</w:t>
      </w:r>
      <w:r w:rsidR="000700E2">
        <w:t> </w:t>
      </w:r>
      <w:r w:rsidR="00462061">
        <w:t>996</w:t>
      </w:r>
      <w:r w:rsidR="00D94314">
        <w:t xml:space="preserve"> (lead opn. of Cuéllar, J.)</w:t>
      </w:r>
      <w:r w:rsidR="00462061">
        <w:t xml:space="preserve">).  </w:t>
      </w:r>
      <w:r w:rsidR="00AA6F3E">
        <w:t xml:space="preserve">Second, the People </w:t>
      </w:r>
      <w:r w:rsidR="00AA0D18">
        <w:t>emphasize</w:t>
      </w:r>
      <w:r w:rsidR="00AA6F3E">
        <w:t xml:space="preserve"> that McCray, after recalling talking with his counsel about his right to a jury trial and his preference for a bench trial, “not once, but twice” stated without hesitation that he waived his right to a jury trial.  </w:t>
      </w:r>
      <w:r>
        <w:t xml:space="preserve"> </w:t>
      </w:r>
    </w:p>
    <w:p w14:paraId="5A41CF92" w14:textId="77777777" w:rsidR="00AA6F3E" w:rsidRPr="008B0C60" w:rsidRDefault="003C74B7" w:rsidP="00AA6F3E">
      <w:r>
        <w:t xml:space="preserve">We are unconvinced.  To begin with, as the </w:t>
      </w:r>
      <w:r w:rsidRPr="00E7666F">
        <w:rPr>
          <w:i/>
          <w:iCs/>
        </w:rPr>
        <w:t>Daniels</w:t>
      </w:r>
      <w:r>
        <w:t xml:space="preserve"> court observed</w:t>
      </w:r>
      <w:r w:rsidR="001D60E3">
        <w:t xml:space="preserve">, </w:t>
      </w:r>
      <w:r>
        <w:t>“The phrase, ‘You don’t know what you don’t know’ encapsulates the futility of relying on defendants to raise questions or identify misunderstandings on their own when they lack the very basis to understand what lies beyond the scope of their knowledge.”  (</w:t>
      </w:r>
      <w:r>
        <w:rPr>
          <w:i/>
          <w:iCs/>
        </w:rPr>
        <w:t>Daniels</w:t>
      </w:r>
      <w:r>
        <w:t xml:space="preserve">, </w:t>
      </w:r>
      <w:r>
        <w:rPr>
          <w:i/>
          <w:iCs/>
        </w:rPr>
        <w:t>supra</w:t>
      </w:r>
      <w:r>
        <w:t>, 3</w:t>
      </w:r>
      <w:r w:rsidR="00DA590C">
        <w:t> </w:t>
      </w:r>
      <w:r>
        <w:t>Cal.5th at p.</w:t>
      </w:r>
      <w:r w:rsidR="00DA590C">
        <w:t> </w:t>
      </w:r>
      <w:r>
        <w:t>995</w:t>
      </w:r>
      <w:r w:rsidR="00531318">
        <w:t xml:space="preserve"> (lead opn. of Cuéllar, J.)</w:t>
      </w:r>
      <w:r>
        <w:t>.)  “[C]</w:t>
      </w:r>
      <w:proofErr w:type="spellStart"/>
      <w:r w:rsidRPr="008B0C60">
        <w:t>onfidence</w:t>
      </w:r>
      <w:proofErr w:type="spellEnd"/>
      <w:r w:rsidRPr="008B0C60">
        <w:t xml:space="preserve"> does not imply comprehension. </w:t>
      </w:r>
      <w:r>
        <w:t xml:space="preserve"> </w:t>
      </w:r>
      <w:r w:rsidRPr="008B0C60">
        <w:t>Individuals are entirely capable of categorically asserting a position without awareness that the roots of that position</w:t>
      </w:r>
      <w:r w:rsidRPr="008B0C60">
        <w:t xml:space="preserve"> lie in ignorance or lack of reflection. </w:t>
      </w:r>
      <w:r>
        <w:t xml:space="preserve"> </w:t>
      </w:r>
      <w:r w:rsidRPr="008B0C60">
        <w:t xml:space="preserve">It was incumbent upon the court to verify, not merely to assume, that Daniels indeed grasped the actual nature of the jury right—even if only at a basic level. </w:t>
      </w:r>
      <w:r>
        <w:t xml:space="preserve"> </w:t>
      </w:r>
      <w:r w:rsidRPr="008B0C60">
        <w:t xml:space="preserve">In his own mind, Daniels may have had an impression of what a jury trial is. </w:t>
      </w:r>
      <w:r>
        <w:t xml:space="preserve"> </w:t>
      </w:r>
      <w:r w:rsidRPr="008B0C60">
        <w:t>Just what impression that was</w:t>
      </w:r>
      <w:r>
        <w:t xml:space="preserve"> </w:t>
      </w:r>
      <w:r w:rsidR="00907159">
        <w:t>. . .</w:t>
      </w:r>
      <w:r>
        <w:t xml:space="preserve"> is</w:t>
      </w:r>
      <w:r w:rsidRPr="008B0C60">
        <w:t xml:space="preserve"> well beyond what we can </w:t>
      </w:r>
      <w:r w:rsidRPr="008B0C60">
        <w:lastRenderedPageBreak/>
        <w:t>discern from this record.</w:t>
      </w:r>
      <w:r>
        <w:t>”  (</w:t>
      </w:r>
      <w:r>
        <w:rPr>
          <w:i/>
          <w:iCs/>
        </w:rPr>
        <w:t>Id</w:t>
      </w:r>
      <w:r>
        <w:t>. at p.</w:t>
      </w:r>
      <w:r w:rsidR="00907159">
        <w:t> </w:t>
      </w:r>
      <w:r>
        <w:t>996</w:t>
      </w:r>
      <w:r w:rsidR="00531318">
        <w:t xml:space="preserve"> (lead opn. of Cuéllar, J.)</w:t>
      </w:r>
      <w:r>
        <w:t>.)  That is equally true here.</w:t>
      </w:r>
    </w:p>
    <w:p w14:paraId="5A41CF93" w14:textId="77777777" w:rsidR="00660F4A" w:rsidRDefault="003C74B7" w:rsidP="00660F4A">
      <w:r>
        <w:t>The phrase “totality of the circumstances</w:t>
      </w:r>
      <w:r w:rsidR="00475E50">
        <w:t>,</w:t>
      </w:r>
      <w:r>
        <w:t xml:space="preserve">” </w:t>
      </w:r>
      <w:r w:rsidR="00475E50">
        <w:t>invoked repeatedly by the People</w:t>
      </w:r>
      <w:r w:rsidR="00D704A0">
        <w:t xml:space="preserve">, </w:t>
      </w:r>
      <w:r>
        <w:t>is not a talisman that serve</w:t>
      </w:r>
      <w:r w:rsidR="008E2608">
        <w:t>s</w:t>
      </w:r>
      <w:r>
        <w:t xml:space="preserve"> to validate any waiver colloquy, no matter how general.  </w:t>
      </w:r>
      <w:r w:rsidR="00B12799">
        <w:t xml:space="preserve">While it </w:t>
      </w:r>
      <w:r>
        <w:t>is true that representation by counsel is one of the circumstances to consider in determining whether a defendant’s waiver is valid (</w:t>
      </w:r>
      <w:proofErr w:type="spellStart"/>
      <w:r>
        <w:rPr>
          <w:i/>
          <w:iCs/>
        </w:rPr>
        <w:t>Sivongxxay</w:t>
      </w:r>
      <w:proofErr w:type="spellEnd"/>
      <w:r>
        <w:t xml:space="preserve">, </w:t>
      </w:r>
      <w:r>
        <w:rPr>
          <w:i/>
          <w:iCs/>
        </w:rPr>
        <w:t>supra</w:t>
      </w:r>
      <w:r>
        <w:t>, 3 Cal.5th at p. 173, fn. 8)</w:t>
      </w:r>
      <w:r w:rsidR="00B12799">
        <w:t>, it is hardly sufficient.</w:t>
      </w:r>
      <w:r w:rsidR="00614677">
        <w:t xml:space="preserve">  </w:t>
      </w:r>
      <w:r w:rsidR="00333EF0">
        <w:t xml:space="preserve">Nor does </w:t>
      </w:r>
      <w:r w:rsidR="00341863">
        <w:t xml:space="preserve">McCray’s represented status take on any greater </w:t>
      </w:r>
      <w:r w:rsidR="00B80DFB">
        <w:t xml:space="preserve">significance </w:t>
      </w:r>
      <w:proofErr w:type="gramStart"/>
      <w:r w:rsidR="00494954">
        <w:t>in light of</w:t>
      </w:r>
      <w:proofErr w:type="gramEnd"/>
      <w:r w:rsidR="00494954">
        <w:t xml:space="preserve"> how readily or vigorously he stated </w:t>
      </w:r>
      <w:r w:rsidR="00333EF0">
        <w:t xml:space="preserve">his </w:t>
      </w:r>
      <w:r w:rsidR="00494954">
        <w:t xml:space="preserve">agreement to the waiver. </w:t>
      </w:r>
      <w:r>
        <w:t xml:space="preserve"> </w:t>
      </w:r>
      <w:r w:rsidR="00574614">
        <w:t xml:space="preserve">For all we know, </w:t>
      </w:r>
      <w:r w:rsidR="00382225">
        <w:t xml:space="preserve">his ready assent </w:t>
      </w:r>
      <w:r w:rsidR="00574614">
        <w:t>indicates nothing more than that he understood he was to follow instr</w:t>
      </w:r>
      <w:r w:rsidR="00F936DF">
        <w:t>u</w:t>
      </w:r>
      <w:r w:rsidR="00574614">
        <w:t>ctions</w:t>
      </w:r>
      <w:r w:rsidR="00F936DF">
        <w:t xml:space="preserve"> while in court. </w:t>
      </w:r>
      <w:r w:rsidR="00DB5240">
        <w:t xml:space="preserve"> Under a standard that requires us to </w:t>
      </w:r>
      <w:r>
        <w:t>determine whether the record “affirmatively demonstrates” a</w:t>
      </w:r>
      <w:r w:rsidR="008B5226">
        <w:t>n effective</w:t>
      </w:r>
      <w:r>
        <w:t xml:space="preserve"> waiver (</w:t>
      </w:r>
      <w:r w:rsidRPr="004B3F06">
        <w:rPr>
          <w:i/>
          <w:iCs/>
        </w:rPr>
        <w:t>Daniels</w:t>
      </w:r>
      <w:r>
        <w:t xml:space="preserve">, </w:t>
      </w:r>
      <w:r w:rsidRPr="004B3F06">
        <w:rPr>
          <w:i/>
          <w:iCs/>
        </w:rPr>
        <w:t>supra</w:t>
      </w:r>
      <w:r>
        <w:t xml:space="preserve">, 3 Cal.5th at p. 991 (lead opn. of Cuéllar, J.); see </w:t>
      </w:r>
      <w:r w:rsidRPr="00E1027E">
        <w:rPr>
          <w:i/>
          <w:iCs/>
        </w:rPr>
        <w:t>People v. Coll</w:t>
      </w:r>
      <w:r>
        <w:rPr>
          <w:i/>
          <w:iCs/>
        </w:rPr>
        <w:t>ins</w:t>
      </w:r>
      <w:r>
        <w:t xml:space="preserve">, </w:t>
      </w:r>
      <w:r>
        <w:rPr>
          <w:i/>
          <w:iCs/>
        </w:rPr>
        <w:t>supra</w:t>
      </w:r>
      <w:r>
        <w:t xml:space="preserve">, 26 Cal.4th at p. 310), nothing </w:t>
      </w:r>
      <w:r w:rsidR="00D15460">
        <w:t>we see here</w:t>
      </w:r>
      <w:r>
        <w:t xml:space="preserve"> </w:t>
      </w:r>
      <w:r w:rsidR="006E18EA">
        <w:t>meets</w:t>
      </w:r>
      <w:r w:rsidR="00394DC7">
        <w:t xml:space="preserve"> </w:t>
      </w:r>
      <w:r w:rsidR="00CE2FF3">
        <w:t>the requisite standard.</w:t>
      </w:r>
      <w:r>
        <w:t xml:space="preserve"> </w:t>
      </w:r>
    </w:p>
    <w:p w14:paraId="5A41CF94" w14:textId="77777777" w:rsidR="00060205" w:rsidRPr="008B0C60" w:rsidRDefault="003C74B7" w:rsidP="00AA6F3E">
      <w:r>
        <w:t xml:space="preserve">The essential problem </w:t>
      </w:r>
      <w:r w:rsidR="005027CE">
        <w:t xml:space="preserve">in this case </w:t>
      </w:r>
      <w:r>
        <w:t xml:space="preserve">is that the trial court effectively outsourced </w:t>
      </w:r>
      <w:r w:rsidR="00C9793E">
        <w:t xml:space="preserve">to counsel </w:t>
      </w:r>
      <w:r>
        <w:t>the task of</w:t>
      </w:r>
      <w:r w:rsidR="00C9793E">
        <w:t xml:space="preserve"> ensuring McCray fully understood what he was giving up, and then did nothing to verify what counsel </w:t>
      </w:r>
      <w:r w:rsidR="008317D5">
        <w:t xml:space="preserve">advised his client.  </w:t>
      </w:r>
      <w:r w:rsidR="00660F4A">
        <w:t xml:space="preserve">Counsel’s remarks indicate only that the two discussed McCray’s right to a jury trial, not that they discussed anything about the content of that right, and the remarks give no indication of whether McCray believed he had sufficient time to discuss the matter fully with his counsel. </w:t>
      </w:r>
      <w:r w:rsidR="003D779C">
        <w:t xml:space="preserve"> </w:t>
      </w:r>
      <w:r w:rsidR="00660F4A">
        <w:t>Th</w:t>
      </w:r>
      <w:r w:rsidR="00E339FF">
        <w:t xml:space="preserve">ese lacunae in the record underscore </w:t>
      </w:r>
      <w:r w:rsidR="003D0B70">
        <w:t xml:space="preserve">the importance of </w:t>
      </w:r>
      <w:r w:rsidR="00350E8E">
        <w:t xml:space="preserve">the court </w:t>
      </w:r>
      <w:r w:rsidR="00660F4A">
        <w:rPr>
          <w:rFonts w:cs="Times New Roman"/>
        </w:rPr>
        <w:t>directly informing</w:t>
      </w:r>
      <w:r w:rsidR="00660F4A" w:rsidRPr="00EA58E9">
        <w:rPr>
          <w:rFonts w:cs="Times New Roman"/>
        </w:rPr>
        <w:t xml:space="preserve"> </w:t>
      </w:r>
      <w:r w:rsidR="00660F4A">
        <w:rPr>
          <w:rFonts w:cs="Times New Roman"/>
        </w:rPr>
        <w:t>an OMHD defendant</w:t>
      </w:r>
      <w:r w:rsidR="007D2342">
        <w:rPr>
          <w:rFonts w:cs="Times New Roman"/>
        </w:rPr>
        <w:t>—</w:t>
      </w:r>
      <w:r w:rsidR="004D60A1">
        <w:rPr>
          <w:rFonts w:cs="Times New Roman"/>
        </w:rPr>
        <w:t xml:space="preserve">someone </w:t>
      </w:r>
      <w:r w:rsidR="007D2342">
        <w:rPr>
          <w:rFonts w:cs="Times New Roman"/>
        </w:rPr>
        <w:t xml:space="preserve">who </w:t>
      </w:r>
      <w:proofErr w:type="gramStart"/>
      <w:r w:rsidR="007D2342">
        <w:rPr>
          <w:rFonts w:cs="Times New Roman"/>
        </w:rPr>
        <w:t>by definition is</w:t>
      </w:r>
      <w:proofErr w:type="gramEnd"/>
      <w:r w:rsidR="007D2342">
        <w:rPr>
          <w:rFonts w:cs="Times New Roman"/>
        </w:rPr>
        <w:t xml:space="preserve"> mentally impa</w:t>
      </w:r>
      <w:r w:rsidR="004D60A1">
        <w:rPr>
          <w:rFonts w:cs="Times New Roman"/>
        </w:rPr>
        <w:t>ired—</w:t>
      </w:r>
      <w:r w:rsidR="00660F4A" w:rsidRPr="00EA58E9">
        <w:rPr>
          <w:rFonts w:cs="Times New Roman"/>
        </w:rPr>
        <w:t>about the right being waived</w:t>
      </w:r>
      <w:r w:rsidR="00660F4A">
        <w:rPr>
          <w:rFonts w:cs="Times New Roman"/>
        </w:rPr>
        <w:t xml:space="preserve">, as only then can </w:t>
      </w:r>
      <w:r w:rsidR="00660F4A" w:rsidRPr="00EA58E9">
        <w:rPr>
          <w:rFonts w:cs="Times New Roman"/>
        </w:rPr>
        <w:t xml:space="preserve">a meaningful record </w:t>
      </w:r>
      <w:r w:rsidR="00660F4A">
        <w:rPr>
          <w:rFonts w:cs="Times New Roman"/>
        </w:rPr>
        <w:t>assuredly be made regarding</w:t>
      </w:r>
      <w:r w:rsidR="00660F4A" w:rsidRPr="00EA58E9">
        <w:rPr>
          <w:rFonts w:cs="Times New Roman"/>
        </w:rPr>
        <w:t xml:space="preserve"> </w:t>
      </w:r>
      <w:r w:rsidR="00660F4A">
        <w:rPr>
          <w:rFonts w:cs="Times New Roman"/>
        </w:rPr>
        <w:t>a defendant’s</w:t>
      </w:r>
      <w:r w:rsidR="00660F4A" w:rsidRPr="00EA58E9">
        <w:rPr>
          <w:rFonts w:cs="Times New Roman"/>
        </w:rPr>
        <w:t xml:space="preserve"> underst</w:t>
      </w:r>
      <w:r w:rsidR="00660F4A">
        <w:rPr>
          <w:rFonts w:cs="Times New Roman"/>
        </w:rPr>
        <w:t>anding of</w:t>
      </w:r>
      <w:r w:rsidR="00660F4A" w:rsidRPr="00EA58E9">
        <w:rPr>
          <w:rFonts w:cs="Times New Roman"/>
        </w:rPr>
        <w:t xml:space="preserve"> </w:t>
      </w:r>
      <w:r w:rsidR="00660F4A">
        <w:rPr>
          <w:rFonts w:cs="Times New Roman"/>
        </w:rPr>
        <w:t>the meaning of a jury waiver</w:t>
      </w:r>
      <w:r w:rsidR="00660F4A" w:rsidRPr="00EA58E9">
        <w:rPr>
          <w:rFonts w:cs="Times New Roman"/>
        </w:rPr>
        <w:t>.</w:t>
      </w:r>
      <w:r w:rsidR="00660F4A">
        <w:rPr>
          <w:rFonts w:cs="Times New Roman"/>
        </w:rPr>
        <w:t xml:space="preserve">  (See </w:t>
      </w:r>
      <w:r w:rsidR="00660F4A">
        <w:rPr>
          <w:rFonts w:cs="Times New Roman"/>
          <w:i/>
          <w:iCs/>
        </w:rPr>
        <w:t>Blackburn</w:t>
      </w:r>
      <w:r w:rsidR="00660F4A">
        <w:rPr>
          <w:rFonts w:cs="Times New Roman"/>
        </w:rPr>
        <w:t xml:space="preserve">, </w:t>
      </w:r>
      <w:r w:rsidR="00660F4A">
        <w:rPr>
          <w:rFonts w:cs="Times New Roman"/>
          <w:i/>
          <w:iCs/>
        </w:rPr>
        <w:t>supra</w:t>
      </w:r>
      <w:r w:rsidR="00660F4A">
        <w:rPr>
          <w:rFonts w:cs="Times New Roman"/>
        </w:rPr>
        <w:t xml:space="preserve">, 61 Cal.4th at p. 1137 [“Ultimately, we emphasize that </w:t>
      </w:r>
      <w:r w:rsidR="00660F4A">
        <w:rPr>
          <w:rFonts w:cs="Times New Roman"/>
        </w:rPr>
        <w:lastRenderedPageBreak/>
        <w:t xml:space="preserve">the most certain means of ensuring a valid waiver is careful compliance with the express advisement and waiver process explained in this opinion.”].)  </w:t>
      </w:r>
    </w:p>
    <w:p w14:paraId="5A41CF95" w14:textId="77777777" w:rsidR="008311AA" w:rsidRDefault="003C74B7" w:rsidP="00AB7DAD">
      <w:pPr>
        <w:ind w:firstLine="0"/>
      </w:pPr>
      <w:r>
        <w:tab/>
      </w:r>
      <w:r w:rsidR="006F2D92" w:rsidRPr="006F2D92">
        <w:t xml:space="preserve">The record </w:t>
      </w:r>
      <w:r w:rsidR="00AD70ED">
        <w:t xml:space="preserve">of the waiver taken </w:t>
      </w:r>
      <w:r w:rsidR="006F2D92" w:rsidRPr="006F2D92">
        <w:t xml:space="preserve">in this case is </w:t>
      </w:r>
      <w:proofErr w:type="gramStart"/>
      <w:r w:rsidR="006F2D92" w:rsidRPr="006F2D92">
        <w:t>similar to</w:t>
      </w:r>
      <w:proofErr w:type="gramEnd"/>
      <w:r w:rsidR="006F2D92" w:rsidRPr="006F2D92">
        <w:t xml:space="preserve"> th</w:t>
      </w:r>
      <w:r w:rsidR="00B92B3C">
        <w:t xml:space="preserve">ose </w:t>
      </w:r>
      <w:r w:rsidR="006F2D92" w:rsidRPr="006F2D92">
        <w:t xml:space="preserve">in </w:t>
      </w:r>
      <w:r w:rsidR="006F2D92" w:rsidRPr="00C410C5">
        <w:rPr>
          <w:i/>
          <w:iCs/>
        </w:rPr>
        <w:t>People v. Jones</w:t>
      </w:r>
      <w:r w:rsidR="006F2D92" w:rsidRPr="006F2D92">
        <w:t xml:space="preserve"> (2018) 26</w:t>
      </w:r>
      <w:r w:rsidR="00907159">
        <w:t> </w:t>
      </w:r>
      <w:r w:rsidR="006F2D92" w:rsidRPr="006F2D92">
        <w:t>Cal.App.5th 420 (</w:t>
      </w:r>
      <w:r w:rsidR="006F2D92" w:rsidRPr="00C410C5">
        <w:rPr>
          <w:i/>
          <w:iCs/>
        </w:rPr>
        <w:t>Jones</w:t>
      </w:r>
      <w:r w:rsidR="006F2D92" w:rsidRPr="006F2D92">
        <w:t xml:space="preserve">) and </w:t>
      </w:r>
      <w:r w:rsidR="006F2D92" w:rsidRPr="00C410C5">
        <w:rPr>
          <w:i/>
          <w:iCs/>
        </w:rPr>
        <w:t>People v. Blancett</w:t>
      </w:r>
      <w:r w:rsidR="006F2D92" w:rsidRPr="006F2D92">
        <w:t xml:space="preserve"> (2017) 15</w:t>
      </w:r>
      <w:r w:rsidR="00907159">
        <w:t> </w:t>
      </w:r>
      <w:r w:rsidR="006F2D92" w:rsidRPr="006F2D92">
        <w:t>Cal.App.5th 1200</w:t>
      </w:r>
      <w:r w:rsidR="00C502F0">
        <w:t xml:space="preserve"> (</w:t>
      </w:r>
      <w:r w:rsidR="00C502F0">
        <w:rPr>
          <w:i/>
          <w:iCs/>
        </w:rPr>
        <w:t>Blancett</w:t>
      </w:r>
      <w:r w:rsidR="00C502F0">
        <w:t>)</w:t>
      </w:r>
      <w:r w:rsidR="006F2D92" w:rsidRPr="006F2D92">
        <w:t>.</w:t>
      </w:r>
      <w:r w:rsidR="00C502F0">
        <w:t xml:space="preserve">  </w:t>
      </w:r>
      <w:r w:rsidR="008A7391" w:rsidRPr="008A7391">
        <w:t xml:space="preserve">Jones was accused of </w:t>
      </w:r>
      <w:proofErr w:type="gramStart"/>
      <w:r w:rsidR="008A7391" w:rsidRPr="008A7391">
        <w:t>second degree</w:t>
      </w:r>
      <w:proofErr w:type="gramEnd"/>
      <w:r w:rsidR="008A7391" w:rsidRPr="008A7391">
        <w:t xml:space="preserve"> murder and child abuse.</w:t>
      </w:r>
      <w:r w:rsidR="008A7391">
        <w:t xml:space="preserve"> </w:t>
      </w:r>
      <w:r w:rsidR="008A7391" w:rsidRPr="008A7391">
        <w:t xml:space="preserve"> (</w:t>
      </w:r>
      <w:r w:rsidR="00AB7DAD">
        <w:rPr>
          <w:i/>
          <w:iCs/>
        </w:rPr>
        <w:t>Jones,</w:t>
      </w:r>
      <w:r w:rsidR="008A7391" w:rsidRPr="008A7391">
        <w:t xml:space="preserve"> at p.</w:t>
      </w:r>
      <w:r w:rsidR="00AB7DAD">
        <w:t> </w:t>
      </w:r>
      <w:r w:rsidR="008A7391" w:rsidRPr="008A7391">
        <w:t xml:space="preserve">423.) </w:t>
      </w:r>
      <w:r w:rsidR="008522F6">
        <w:t xml:space="preserve"> </w:t>
      </w:r>
      <w:r w:rsidR="00C1567A">
        <w:t>R</w:t>
      </w:r>
      <w:r w:rsidR="008522F6">
        <w:t>e</w:t>
      </w:r>
      <w:r w:rsidR="008A7391" w:rsidRPr="008A7391">
        <w:t>presented by counsel</w:t>
      </w:r>
      <w:r w:rsidR="00C1567A">
        <w:t>, she</w:t>
      </w:r>
      <w:r w:rsidR="008522F6">
        <w:t xml:space="preserve"> s</w:t>
      </w:r>
      <w:r w:rsidR="008A7391" w:rsidRPr="008A7391">
        <w:t>ought to waive her right to a jury</w:t>
      </w:r>
      <w:r w:rsidR="00C1567A">
        <w:t xml:space="preserve"> trial</w:t>
      </w:r>
      <w:r w:rsidR="008A7391" w:rsidRPr="008A7391">
        <w:t xml:space="preserve">. </w:t>
      </w:r>
      <w:r w:rsidR="008A7391">
        <w:t xml:space="preserve"> </w:t>
      </w:r>
      <w:r w:rsidR="008A7391" w:rsidRPr="008A7391">
        <w:t>(</w:t>
      </w:r>
      <w:r w:rsidR="008A7391" w:rsidRPr="008A7391">
        <w:rPr>
          <w:i/>
          <w:iCs/>
        </w:rPr>
        <w:t>Id</w:t>
      </w:r>
      <w:r w:rsidR="008A7391" w:rsidRPr="008A7391">
        <w:t>. at p.</w:t>
      </w:r>
      <w:r w:rsidR="008515B2">
        <w:t> </w:t>
      </w:r>
      <w:r w:rsidR="008A7391" w:rsidRPr="008A7391">
        <w:t xml:space="preserve">428.) </w:t>
      </w:r>
      <w:r w:rsidR="002E3A5F">
        <w:t xml:space="preserve"> </w:t>
      </w:r>
      <w:r w:rsidR="006737A4">
        <w:t>She</w:t>
      </w:r>
      <w:r w:rsidR="00DE5F5C">
        <w:t xml:space="preserve"> </w:t>
      </w:r>
      <w:r w:rsidR="00F4511C">
        <w:t>answered affirmatively to two questions asked by the</w:t>
      </w:r>
      <w:r w:rsidR="008A7391" w:rsidRPr="008A7391">
        <w:t xml:space="preserve"> </w:t>
      </w:r>
      <w:r w:rsidR="00F4511C">
        <w:t>prosecutor</w:t>
      </w:r>
      <w:r w:rsidR="00C1567A">
        <w:t xml:space="preserve"> taking</w:t>
      </w:r>
      <w:r w:rsidR="00F4511C">
        <w:t xml:space="preserve"> her waiver:</w:t>
      </w:r>
      <w:r w:rsidR="008A7391" w:rsidRPr="008A7391">
        <w:t xml:space="preserve"> </w:t>
      </w:r>
      <w:r w:rsidR="002E3A5F">
        <w:t xml:space="preserve"> “</w:t>
      </w:r>
      <w:r w:rsidR="008515B2">
        <w:t> </w:t>
      </w:r>
      <w:r w:rsidR="002E3A5F">
        <w:t>‘</w:t>
      </w:r>
      <w:r w:rsidR="008A7391" w:rsidRPr="008A7391">
        <w:t>Ms. Jones, do you understand your right to a jury trial?</w:t>
      </w:r>
      <w:r w:rsidR="002E3A5F">
        <w:t>’</w:t>
      </w:r>
      <w:r w:rsidR="008515B2">
        <w:t> </w:t>
      </w:r>
      <w:r w:rsidR="002E3A5F">
        <w:t>”</w:t>
      </w:r>
      <w:r w:rsidR="008A7391" w:rsidRPr="008A7391">
        <w:t xml:space="preserve"> and </w:t>
      </w:r>
      <w:r w:rsidR="002E3A5F">
        <w:t>“</w:t>
      </w:r>
      <w:r w:rsidR="008515B2">
        <w:t> </w:t>
      </w:r>
      <w:r w:rsidR="002E3A5F">
        <w:t>‘</w:t>
      </w:r>
      <w:r w:rsidR="008A7391" w:rsidRPr="008A7391">
        <w:t>Do you agree to waive that right and have [the judge], sitting alone, decide the case?</w:t>
      </w:r>
      <w:r w:rsidR="002E3A5F">
        <w:t>’</w:t>
      </w:r>
      <w:r w:rsidR="008515B2">
        <w:t> </w:t>
      </w:r>
      <w:r w:rsidR="002E3A5F">
        <w:t>”</w:t>
      </w:r>
      <w:r w:rsidR="008A7391" w:rsidRPr="008A7391">
        <w:t xml:space="preserve"> </w:t>
      </w:r>
      <w:r w:rsidR="002E3A5F">
        <w:t xml:space="preserve"> </w:t>
      </w:r>
      <w:r w:rsidR="008A7391" w:rsidRPr="008A7391">
        <w:t>(</w:t>
      </w:r>
      <w:r w:rsidR="008A7391" w:rsidRPr="002E3A5F">
        <w:rPr>
          <w:i/>
          <w:iCs/>
        </w:rPr>
        <w:t>Ibid</w:t>
      </w:r>
      <w:r w:rsidR="008A7391" w:rsidRPr="008A7391">
        <w:t xml:space="preserve">.) </w:t>
      </w:r>
      <w:r w:rsidR="004C34EC">
        <w:t xml:space="preserve"> </w:t>
      </w:r>
    </w:p>
    <w:p w14:paraId="5A41CF96" w14:textId="77777777" w:rsidR="00A867DC" w:rsidRDefault="003C74B7" w:rsidP="00BA17EF">
      <w:r>
        <w:t xml:space="preserve">While </w:t>
      </w:r>
      <w:r w:rsidR="00DE5F5C">
        <w:t>acknowledg</w:t>
      </w:r>
      <w:r>
        <w:t xml:space="preserve">ing the precept that </w:t>
      </w:r>
      <w:r w:rsidR="005A3964">
        <w:t xml:space="preserve">no </w:t>
      </w:r>
      <w:r w:rsidR="00956B2A">
        <w:t>specific form of advisement is required</w:t>
      </w:r>
      <w:r w:rsidR="004C34EC">
        <w:t xml:space="preserve"> </w:t>
      </w:r>
      <w:r w:rsidR="008A7391" w:rsidRPr="008A7391">
        <w:t>(</w:t>
      </w:r>
      <w:r w:rsidR="008515B2">
        <w:rPr>
          <w:i/>
          <w:iCs/>
        </w:rPr>
        <w:t>Jones</w:t>
      </w:r>
      <w:r w:rsidR="00BD5203" w:rsidRPr="00BD5203">
        <w:t>,</w:t>
      </w:r>
      <w:r w:rsidR="00BD5203">
        <w:rPr>
          <w:i/>
          <w:iCs/>
        </w:rPr>
        <w:t xml:space="preserve"> supra</w:t>
      </w:r>
      <w:r w:rsidR="00BD5203" w:rsidRPr="00BD5203">
        <w:t xml:space="preserve">, </w:t>
      </w:r>
      <w:r w:rsidR="00BD5203" w:rsidRPr="006F2D92">
        <w:t>26</w:t>
      </w:r>
      <w:r w:rsidR="00BD5203">
        <w:t> </w:t>
      </w:r>
      <w:r w:rsidR="00BD5203" w:rsidRPr="006F2D92">
        <w:t>Cal.App.5th</w:t>
      </w:r>
      <w:r w:rsidR="00BD5203">
        <w:rPr>
          <w:i/>
          <w:iCs/>
        </w:rPr>
        <w:t xml:space="preserve"> </w:t>
      </w:r>
      <w:r w:rsidR="008A7391" w:rsidRPr="008A7391">
        <w:t>at p.</w:t>
      </w:r>
      <w:r w:rsidR="00BD5203">
        <w:t> </w:t>
      </w:r>
      <w:r w:rsidR="008A7391" w:rsidRPr="008A7391">
        <w:t>430)</w:t>
      </w:r>
      <w:r w:rsidR="00286945">
        <w:t xml:space="preserve">, the </w:t>
      </w:r>
      <w:r w:rsidR="00286945" w:rsidRPr="00B11939">
        <w:rPr>
          <w:i/>
          <w:iCs/>
        </w:rPr>
        <w:t>Jones</w:t>
      </w:r>
      <w:r w:rsidR="00286945">
        <w:t xml:space="preserve"> </w:t>
      </w:r>
      <w:r w:rsidR="00D83BC6">
        <w:t xml:space="preserve">panel </w:t>
      </w:r>
      <w:r w:rsidR="003763F9">
        <w:t xml:space="preserve">noted </w:t>
      </w:r>
      <w:r w:rsidR="00DE5F5C">
        <w:t xml:space="preserve">that in </w:t>
      </w:r>
      <w:r w:rsidR="006737A4">
        <w:t xml:space="preserve">several </w:t>
      </w:r>
      <w:r w:rsidR="008A7391" w:rsidRPr="008A7391">
        <w:t>cases</w:t>
      </w:r>
      <w:r w:rsidR="008522F6">
        <w:t xml:space="preserve"> </w:t>
      </w:r>
      <w:r w:rsidR="003763F9">
        <w:t>where jury</w:t>
      </w:r>
      <w:r w:rsidR="008A7391" w:rsidRPr="008A7391">
        <w:t xml:space="preserve"> waivers </w:t>
      </w:r>
      <w:r w:rsidR="006737A4">
        <w:t xml:space="preserve">were found to be </w:t>
      </w:r>
      <w:r w:rsidR="008A7391" w:rsidRPr="008A7391">
        <w:t xml:space="preserve">valid, </w:t>
      </w:r>
      <w:r w:rsidR="004C34EC">
        <w:t>“</w:t>
      </w:r>
      <w:r w:rsidR="008A7391" w:rsidRPr="008A7391">
        <w:t>the trial courts inquired extensively of the defendants before accepting their jury trial waivers</w:t>
      </w:r>
      <w:r w:rsidR="009831C1">
        <w:t xml:space="preserve">, </w:t>
      </w:r>
      <w:r w:rsidR="009831C1" w:rsidRPr="00F84E9E">
        <w:t>specifically advising them that they would be giving up the right to have their case decided by 12 members of a jury drawn from the community or comprised of citizens</w:t>
      </w:r>
      <w:r w:rsidR="008A7391" w:rsidRPr="008A7391">
        <w:t>.</w:t>
      </w:r>
      <w:r w:rsidR="004C34EC">
        <w:t>”</w:t>
      </w:r>
      <w:r w:rsidR="008A7391" w:rsidRPr="008A7391">
        <w:t xml:space="preserve"> </w:t>
      </w:r>
      <w:r w:rsidR="004C34EC">
        <w:t xml:space="preserve"> </w:t>
      </w:r>
      <w:r w:rsidR="008A7391" w:rsidRPr="008A7391">
        <w:t>(</w:t>
      </w:r>
      <w:r w:rsidR="008A7391" w:rsidRPr="004C34EC">
        <w:rPr>
          <w:i/>
          <w:iCs/>
        </w:rPr>
        <w:t>Id</w:t>
      </w:r>
      <w:r w:rsidR="008A7391" w:rsidRPr="008A7391">
        <w:t>. at p.</w:t>
      </w:r>
      <w:r w:rsidR="00F75231">
        <w:t> </w:t>
      </w:r>
      <w:r w:rsidR="008A7391" w:rsidRPr="008A7391">
        <w:t>431</w:t>
      </w:r>
      <w:r w:rsidR="008603E9">
        <w:t xml:space="preserve">, citing </w:t>
      </w:r>
      <w:proofErr w:type="spellStart"/>
      <w:r w:rsidR="008603E9">
        <w:rPr>
          <w:i/>
          <w:iCs/>
        </w:rPr>
        <w:t>Si</w:t>
      </w:r>
      <w:r w:rsidR="0076504B">
        <w:rPr>
          <w:i/>
          <w:iCs/>
        </w:rPr>
        <w:t>v</w:t>
      </w:r>
      <w:r w:rsidR="008603E9">
        <w:rPr>
          <w:i/>
          <w:iCs/>
        </w:rPr>
        <w:t>ongxxay</w:t>
      </w:r>
      <w:proofErr w:type="spellEnd"/>
      <w:r w:rsidR="008603E9">
        <w:rPr>
          <w:i/>
          <w:iCs/>
        </w:rPr>
        <w:t>, supra</w:t>
      </w:r>
      <w:r w:rsidR="008603E9">
        <w:t>, 3</w:t>
      </w:r>
      <w:r w:rsidR="00F75231">
        <w:t> </w:t>
      </w:r>
      <w:r w:rsidR="008603E9">
        <w:t xml:space="preserve">Cal.5th 151, </w:t>
      </w:r>
      <w:r w:rsidR="008603E9">
        <w:rPr>
          <w:i/>
          <w:iCs/>
        </w:rPr>
        <w:t xml:space="preserve">People v. Weaver </w:t>
      </w:r>
      <w:r w:rsidR="008603E9">
        <w:t>(2012) 53</w:t>
      </w:r>
      <w:r w:rsidR="00F75231">
        <w:t> </w:t>
      </w:r>
      <w:r w:rsidR="008603E9">
        <w:t xml:space="preserve">Cal.4th 1056, </w:t>
      </w:r>
      <w:r w:rsidR="008603E9">
        <w:rPr>
          <w:i/>
          <w:iCs/>
        </w:rPr>
        <w:t xml:space="preserve">People v. Wrest </w:t>
      </w:r>
      <w:r w:rsidR="008603E9">
        <w:t>(1992) 3</w:t>
      </w:r>
      <w:r w:rsidR="00F75231">
        <w:t> </w:t>
      </w:r>
      <w:r w:rsidR="008603E9">
        <w:t xml:space="preserve">Cal.4th 1088, and </w:t>
      </w:r>
      <w:r w:rsidR="00A253D1">
        <w:rPr>
          <w:i/>
          <w:iCs/>
        </w:rPr>
        <w:t>U.S. ex rel. Williams v. DeRobe</w:t>
      </w:r>
      <w:r w:rsidR="0076504B">
        <w:rPr>
          <w:i/>
          <w:iCs/>
        </w:rPr>
        <w:t>r</w:t>
      </w:r>
      <w:r w:rsidR="00A253D1">
        <w:rPr>
          <w:i/>
          <w:iCs/>
        </w:rPr>
        <w:t xml:space="preserve">tis </w:t>
      </w:r>
      <w:r w:rsidR="00A253D1">
        <w:t>(7th Cir. 1983) 715</w:t>
      </w:r>
      <w:r w:rsidR="00F75231">
        <w:t> </w:t>
      </w:r>
      <w:r w:rsidR="00A253D1">
        <w:t>F.2d 1174.</w:t>
      </w:r>
      <w:r w:rsidR="008A7391" w:rsidRPr="008A7391">
        <w:t xml:space="preserve">) </w:t>
      </w:r>
      <w:r w:rsidR="00DE5F5C">
        <w:t xml:space="preserve"> </w:t>
      </w:r>
    </w:p>
    <w:p w14:paraId="5A41CF97" w14:textId="77777777" w:rsidR="008A7391" w:rsidRDefault="003C74B7" w:rsidP="00BA17EF">
      <w:r w:rsidRPr="008A7391">
        <w:t xml:space="preserve">The </w:t>
      </w:r>
      <w:r w:rsidR="00D83BC6" w:rsidRPr="00527CF5">
        <w:rPr>
          <w:i/>
          <w:iCs/>
        </w:rPr>
        <w:t>Jones</w:t>
      </w:r>
      <w:r w:rsidR="00D83BC6">
        <w:t xml:space="preserve"> panel</w:t>
      </w:r>
      <w:r w:rsidR="00457DCF">
        <w:t xml:space="preserve"> also</w:t>
      </w:r>
      <w:r w:rsidR="00D83BC6">
        <w:t xml:space="preserve"> </w:t>
      </w:r>
      <w:r w:rsidRPr="008A7391">
        <w:t xml:space="preserve">recognized that </w:t>
      </w:r>
      <w:r w:rsidR="00A867DC">
        <w:t>the OMHD</w:t>
      </w:r>
      <w:r w:rsidR="003D0B70">
        <w:t xml:space="preserve"> defendant</w:t>
      </w:r>
      <w:r w:rsidR="00A867DC">
        <w:t xml:space="preserve"> </w:t>
      </w:r>
      <w:r w:rsidR="00423DD4">
        <w:t>in that case</w:t>
      </w:r>
      <w:r w:rsidRPr="008A7391">
        <w:t xml:space="preserve"> was represented by counsel and </w:t>
      </w:r>
      <w:r w:rsidR="00A32E62">
        <w:t xml:space="preserve">that the record showed </w:t>
      </w:r>
      <w:r w:rsidR="006737A4">
        <w:t>she</w:t>
      </w:r>
      <w:r w:rsidRPr="008A7391">
        <w:t xml:space="preserve"> </w:t>
      </w:r>
      <w:r w:rsidR="008522F6">
        <w:t>“</w:t>
      </w:r>
      <w:r w:rsidRPr="008A7391">
        <w:t>had some discussion with her attorney before the waiver was taken</w:t>
      </w:r>
      <w:r w:rsidR="00A32E62">
        <w:t xml:space="preserve"> in that it was her attorney who </w:t>
      </w:r>
      <w:r w:rsidRPr="008A7391">
        <w:t xml:space="preserve">indicated </w:t>
      </w:r>
      <w:r w:rsidR="00A32E62">
        <w:t xml:space="preserve">to the trial court that Jones wanted </w:t>
      </w:r>
      <w:r w:rsidRPr="008A7391">
        <w:t>to waive her right to a jury</w:t>
      </w:r>
      <w:r w:rsidR="00A32E62">
        <w:t xml:space="preserve"> trial</w:t>
      </w:r>
      <w:r w:rsidRPr="008A7391">
        <w:t>.</w:t>
      </w:r>
      <w:r w:rsidR="00A32E62">
        <w:t>”</w:t>
      </w:r>
      <w:r w:rsidR="008522F6">
        <w:t xml:space="preserve">  </w:t>
      </w:r>
      <w:r w:rsidRPr="008A7391">
        <w:t>(</w:t>
      </w:r>
      <w:r w:rsidR="004C086D">
        <w:rPr>
          <w:i/>
          <w:iCs/>
        </w:rPr>
        <w:t>Jones</w:t>
      </w:r>
      <w:r w:rsidR="004C086D">
        <w:t>,</w:t>
      </w:r>
      <w:r w:rsidRPr="008A7391">
        <w:t xml:space="preserve"> </w:t>
      </w:r>
      <w:r w:rsidR="00EB320D" w:rsidRPr="00EB320D">
        <w:rPr>
          <w:i/>
          <w:iCs/>
        </w:rPr>
        <w:t>supra</w:t>
      </w:r>
      <w:r w:rsidR="00EB320D">
        <w:t>,</w:t>
      </w:r>
      <w:r w:rsidR="00224977">
        <w:t xml:space="preserve"> 26 Cal.App.5th</w:t>
      </w:r>
      <w:r w:rsidR="00EB320D">
        <w:rPr>
          <w:i/>
          <w:iCs/>
        </w:rPr>
        <w:t xml:space="preserve"> </w:t>
      </w:r>
      <w:r w:rsidRPr="008A7391">
        <w:t>at p.</w:t>
      </w:r>
      <w:r w:rsidR="004C086D">
        <w:t> </w:t>
      </w:r>
      <w:r w:rsidRPr="008A7391">
        <w:t xml:space="preserve">435.) </w:t>
      </w:r>
      <w:r w:rsidR="008522F6">
        <w:t xml:space="preserve"> </w:t>
      </w:r>
      <w:r w:rsidR="00C502F0">
        <w:t xml:space="preserve">But the </w:t>
      </w:r>
      <w:r w:rsidR="00423DD4">
        <w:t>panel</w:t>
      </w:r>
      <w:r w:rsidR="00C502F0">
        <w:t xml:space="preserve"> </w:t>
      </w:r>
      <w:r w:rsidR="003476F7">
        <w:t xml:space="preserve">nonetheless reversed, describing </w:t>
      </w:r>
      <w:r w:rsidR="004F07B7">
        <w:t xml:space="preserve">what might </w:t>
      </w:r>
      <w:r w:rsidR="00C8759A">
        <w:t xml:space="preserve">as </w:t>
      </w:r>
      <w:r w:rsidR="004F07B7">
        <w:t xml:space="preserve">well have been the record in McCray’s case.  </w:t>
      </w:r>
      <w:r w:rsidR="00D40AD0">
        <w:t xml:space="preserve">Because </w:t>
      </w:r>
      <w:r w:rsidR="00C502F0">
        <w:t>“</w:t>
      </w:r>
      <w:r w:rsidR="00A85245">
        <w:t>t</w:t>
      </w:r>
      <w:r w:rsidRPr="008A7391">
        <w:t>he record does not show whether Jones</w:t>
      </w:r>
      <w:r w:rsidR="006737A4">
        <w:t>’</w:t>
      </w:r>
      <w:r w:rsidRPr="008A7391">
        <w:t xml:space="preserve">s attorney ever </w:t>
      </w:r>
      <w:r w:rsidRPr="008A7391">
        <w:t>discussed with her the nature of a jury trial,</w:t>
      </w:r>
      <w:r w:rsidR="00725BA8">
        <w:t xml:space="preserve">” </w:t>
      </w:r>
      <w:r w:rsidR="00D40AD0">
        <w:t xml:space="preserve">and because </w:t>
      </w:r>
      <w:r w:rsidR="008522F6">
        <w:t>“</w:t>
      </w:r>
      <w:r w:rsidRPr="008A7391">
        <w:t xml:space="preserve">[t]here is no </w:t>
      </w:r>
      <w:r w:rsidRPr="008A7391">
        <w:lastRenderedPageBreak/>
        <w:t>showing from this record that Jones understood the nature of the right to a jury trial she was relinquishing,</w:t>
      </w:r>
      <w:r w:rsidR="008522F6">
        <w:t>”</w:t>
      </w:r>
      <w:r w:rsidRPr="008A7391">
        <w:t xml:space="preserve"> </w:t>
      </w:r>
      <w:r w:rsidR="00D40AD0">
        <w:t xml:space="preserve">the panel concluded </w:t>
      </w:r>
      <w:r w:rsidRPr="008A7391">
        <w:t xml:space="preserve">that the trial court did not </w:t>
      </w:r>
      <w:r w:rsidR="008522F6">
        <w:t>“</w:t>
      </w:r>
      <w:r w:rsidRPr="008A7391">
        <w:t xml:space="preserve">take steps to ensure Jones </w:t>
      </w:r>
      <w:r w:rsidR="008522F6">
        <w:t>‘</w:t>
      </w:r>
      <w:r w:rsidRPr="008A7391">
        <w:t>comprehend[ed]</w:t>
      </w:r>
      <w:r w:rsidR="008522F6">
        <w:t xml:space="preserve"> </w:t>
      </w:r>
      <w:r w:rsidRPr="008A7391">
        <w:t>what the jury trial right entails.</w:t>
      </w:r>
      <w:r w:rsidR="008522F6">
        <w:t>’</w:t>
      </w:r>
      <w:r w:rsidR="00A94934">
        <w:t> </w:t>
      </w:r>
      <w:r w:rsidR="008522F6">
        <w:t>”</w:t>
      </w:r>
      <w:r w:rsidRPr="008A7391">
        <w:t xml:space="preserve"> </w:t>
      </w:r>
      <w:r w:rsidR="008522F6">
        <w:t xml:space="preserve"> </w:t>
      </w:r>
      <w:r w:rsidRPr="008A7391">
        <w:t>(</w:t>
      </w:r>
      <w:r w:rsidRPr="008522F6">
        <w:rPr>
          <w:i/>
          <w:iCs/>
        </w:rPr>
        <w:t>Id</w:t>
      </w:r>
      <w:r w:rsidRPr="008A7391">
        <w:t>. at pp.</w:t>
      </w:r>
      <w:r w:rsidR="00A94934">
        <w:t> </w:t>
      </w:r>
      <w:r w:rsidRPr="008A7391">
        <w:t>435</w:t>
      </w:r>
      <w:r w:rsidR="000C7BE2">
        <w:t xml:space="preserve">, </w:t>
      </w:r>
      <w:r w:rsidRPr="008A7391">
        <w:t xml:space="preserve">436.) </w:t>
      </w:r>
      <w:r w:rsidR="008522F6">
        <w:t xml:space="preserve"> </w:t>
      </w:r>
      <w:r w:rsidRPr="008A7391">
        <w:t xml:space="preserve">It </w:t>
      </w:r>
      <w:r w:rsidR="00EB6D88">
        <w:t>explained</w:t>
      </w:r>
      <w:r w:rsidRPr="008A7391">
        <w:t xml:space="preserve">, </w:t>
      </w:r>
      <w:r w:rsidR="008522F6">
        <w:t>“</w:t>
      </w:r>
      <w:r w:rsidRPr="008A7391">
        <w:t>The trial court</w:t>
      </w:r>
      <w:r w:rsidR="008522F6">
        <w:t>’</w:t>
      </w:r>
      <w:r w:rsidRPr="008A7391">
        <w:t xml:space="preserve">s two-question inquiry of Jones, as to whether she </w:t>
      </w:r>
      <w:r w:rsidR="008522F6">
        <w:t>‘</w:t>
      </w:r>
      <w:proofErr w:type="spellStart"/>
      <w:r w:rsidRPr="008A7391">
        <w:t>underst</w:t>
      </w:r>
      <w:proofErr w:type="spellEnd"/>
      <w:r w:rsidRPr="008A7391">
        <w:t>[</w:t>
      </w:r>
      <w:proofErr w:type="spellStart"/>
      <w:r w:rsidRPr="008A7391">
        <w:t>ood</w:t>
      </w:r>
      <w:proofErr w:type="spellEnd"/>
      <w:r w:rsidRPr="008A7391">
        <w:t>] [her] right to a jury trial</w:t>
      </w:r>
      <w:r w:rsidR="008522F6">
        <w:t>’</w:t>
      </w:r>
      <w:r w:rsidRPr="008A7391">
        <w:t xml:space="preserve"> and whether she agreed to waive that right an</w:t>
      </w:r>
      <w:r w:rsidRPr="008A7391">
        <w:t xml:space="preserve">d have the trial judge </w:t>
      </w:r>
      <w:r w:rsidR="008522F6">
        <w:t>‘</w:t>
      </w:r>
      <w:r w:rsidRPr="008A7391">
        <w:t>sitting alone, decide the case</w:t>
      </w:r>
      <w:r w:rsidR="008522F6">
        <w:t>’</w:t>
      </w:r>
      <w:r w:rsidRPr="008A7391">
        <w:t xml:space="preserve"> does not affirmatively show that Jones understood the nature of the right to a jury trial she was relinquishing.</w:t>
      </w:r>
      <w:r w:rsidR="008522F6">
        <w:t>”</w:t>
      </w:r>
      <w:r w:rsidRPr="008A7391">
        <w:t xml:space="preserve"> </w:t>
      </w:r>
      <w:r w:rsidR="008522F6">
        <w:t xml:space="preserve"> </w:t>
      </w:r>
      <w:r w:rsidRPr="008A7391">
        <w:t>(</w:t>
      </w:r>
      <w:r w:rsidRPr="008522F6">
        <w:rPr>
          <w:i/>
          <w:iCs/>
        </w:rPr>
        <w:t>Id</w:t>
      </w:r>
      <w:r w:rsidRPr="008A7391">
        <w:t>. at p.</w:t>
      </w:r>
      <w:r w:rsidR="00A94934">
        <w:t> </w:t>
      </w:r>
      <w:r w:rsidRPr="008A7391">
        <w:t xml:space="preserve">423.) </w:t>
      </w:r>
    </w:p>
    <w:p w14:paraId="5A41CF98" w14:textId="77777777" w:rsidR="00E31972" w:rsidRDefault="003C74B7" w:rsidP="00A12041">
      <w:r w:rsidRPr="00660266">
        <w:rPr>
          <w:i/>
          <w:iCs/>
        </w:rPr>
        <w:t>Jones</w:t>
      </w:r>
      <w:r>
        <w:t xml:space="preserve"> relied on </w:t>
      </w:r>
      <w:r w:rsidRPr="00660266">
        <w:rPr>
          <w:i/>
          <w:iCs/>
        </w:rPr>
        <w:t>Blancett</w:t>
      </w:r>
      <w:r w:rsidR="00E11860">
        <w:rPr>
          <w:i/>
          <w:iCs/>
        </w:rPr>
        <w:t xml:space="preserve"> </w:t>
      </w:r>
      <w:r w:rsidR="00E11860">
        <w:t>(</w:t>
      </w:r>
      <w:r w:rsidR="00E11860">
        <w:rPr>
          <w:i/>
          <w:iCs/>
        </w:rPr>
        <w:t>Jones</w:t>
      </w:r>
      <w:r w:rsidR="00E11860">
        <w:t xml:space="preserve">, </w:t>
      </w:r>
      <w:r w:rsidR="00E11860">
        <w:rPr>
          <w:i/>
          <w:iCs/>
        </w:rPr>
        <w:t>supra</w:t>
      </w:r>
      <w:r w:rsidR="00E11860">
        <w:t>, 26</w:t>
      </w:r>
      <w:r w:rsidR="0034133A">
        <w:t> </w:t>
      </w:r>
      <w:r w:rsidR="00E11860">
        <w:t>Cal.App.5th at pp.</w:t>
      </w:r>
      <w:r w:rsidR="0034133A">
        <w:t> </w:t>
      </w:r>
      <w:r w:rsidR="00E11860">
        <w:t>433</w:t>
      </w:r>
      <w:r w:rsidR="0034133A">
        <w:t>–</w:t>
      </w:r>
      <w:r w:rsidR="00E11860">
        <w:t>434)</w:t>
      </w:r>
      <w:r w:rsidR="00C502F0">
        <w:t>,</w:t>
      </w:r>
      <w:r w:rsidR="00E11860">
        <w:t xml:space="preserve"> </w:t>
      </w:r>
      <w:r w:rsidR="00C502F0">
        <w:t>which</w:t>
      </w:r>
      <w:r w:rsidR="00E12174">
        <w:rPr>
          <w:i/>
          <w:iCs/>
        </w:rPr>
        <w:t xml:space="preserve"> </w:t>
      </w:r>
      <w:r w:rsidR="00660266">
        <w:t>also</w:t>
      </w:r>
      <w:r>
        <w:t xml:space="preserve"> held </w:t>
      </w:r>
      <w:r w:rsidR="000416CA">
        <w:t xml:space="preserve">that </w:t>
      </w:r>
      <w:r>
        <w:t xml:space="preserve">a jury waiver was invalid </w:t>
      </w:r>
      <w:r w:rsidR="00660266">
        <w:t>under</w:t>
      </w:r>
      <w:r>
        <w:t xml:space="preserve"> circumstances </w:t>
      </w:r>
      <w:proofErr w:type="gramStart"/>
      <w:r>
        <w:t>similar to</w:t>
      </w:r>
      <w:proofErr w:type="gramEnd"/>
      <w:r>
        <w:t xml:space="preserve"> those </w:t>
      </w:r>
      <w:r w:rsidR="000416CA">
        <w:t>before us</w:t>
      </w:r>
      <w:r>
        <w:t xml:space="preserve">. </w:t>
      </w:r>
      <w:r w:rsidR="00660266">
        <w:t xml:space="preserve"> </w:t>
      </w:r>
      <w:r w:rsidR="00E12174">
        <w:t xml:space="preserve">The </w:t>
      </w:r>
      <w:r w:rsidR="000416CA">
        <w:rPr>
          <w:i/>
          <w:iCs/>
        </w:rPr>
        <w:t xml:space="preserve">Blancett </w:t>
      </w:r>
      <w:r w:rsidR="00E12174">
        <w:t xml:space="preserve">court considered </w:t>
      </w:r>
      <w:r>
        <w:t xml:space="preserve">whether </w:t>
      </w:r>
      <w:r w:rsidR="00E12174">
        <w:t xml:space="preserve">an </w:t>
      </w:r>
      <w:r w:rsidR="0049143F">
        <w:t>OMHD</w:t>
      </w:r>
      <w:r>
        <w:t xml:space="preserve"> defendant</w:t>
      </w:r>
      <w:r w:rsidR="000416CA">
        <w:t>, Blancett,</w:t>
      </w:r>
      <w:r>
        <w:t xml:space="preserve"> </w:t>
      </w:r>
      <w:r w:rsidR="000416CA">
        <w:t>facing</w:t>
      </w:r>
      <w:r>
        <w:t xml:space="preserve"> a hearing</w:t>
      </w:r>
      <w:r w:rsidR="0073341F">
        <w:t xml:space="preserve"> in which he was challenging </w:t>
      </w:r>
      <w:r w:rsidR="00FA4385">
        <w:t xml:space="preserve">a </w:t>
      </w:r>
      <w:r w:rsidR="00896C01">
        <w:t>requirement</w:t>
      </w:r>
      <w:r w:rsidR="00D11A88">
        <w:t xml:space="preserve"> </w:t>
      </w:r>
      <w:r w:rsidR="00FA4385">
        <w:t>that, as a condition of parole, he accept treatment from</w:t>
      </w:r>
      <w:r w:rsidR="00F82356">
        <w:t xml:space="preserve"> the </w:t>
      </w:r>
      <w:r w:rsidR="009355B7">
        <w:t>DSH</w:t>
      </w:r>
      <w:r w:rsidR="00F82356">
        <w:t xml:space="preserve"> as an OMHD</w:t>
      </w:r>
      <w:r w:rsidR="000416CA">
        <w:t>,</w:t>
      </w:r>
      <w:r>
        <w:t xml:space="preserve"> made a knowing</w:t>
      </w:r>
      <w:r w:rsidR="0049143F">
        <w:t xml:space="preserve"> and</w:t>
      </w:r>
      <w:r>
        <w:t xml:space="preserve"> intelligent</w:t>
      </w:r>
      <w:r w:rsidR="0049143F">
        <w:t xml:space="preserve"> </w:t>
      </w:r>
      <w:r>
        <w:t xml:space="preserve">waiver of his right to a jury </w:t>
      </w:r>
      <w:r w:rsidR="000416CA">
        <w:t xml:space="preserve">based on </w:t>
      </w:r>
      <w:r w:rsidR="00C972E2">
        <w:t xml:space="preserve">his confirmation </w:t>
      </w:r>
      <w:r w:rsidR="00C8531A">
        <w:t xml:space="preserve">to the court that, as </w:t>
      </w:r>
      <w:r w:rsidR="000416CA">
        <w:t>his attorney represent</w:t>
      </w:r>
      <w:r w:rsidR="00C8531A">
        <w:t>ed, he</w:t>
      </w:r>
      <w:r>
        <w:t xml:space="preserve"> was </w:t>
      </w:r>
      <w:r w:rsidR="000416CA">
        <w:t>“</w:t>
      </w:r>
      <w:r w:rsidR="0034133A">
        <w:t> </w:t>
      </w:r>
      <w:r w:rsidR="000416CA">
        <w:t>‘</w:t>
      </w:r>
      <w:r>
        <w:t>okay with having a judge decide [his] case and not a jury</w:t>
      </w:r>
      <w:r w:rsidR="00C8531A">
        <w:t>.</w:t>
      </w:r>
      <w:r w:rsidR="000416CA">
        <w:t>’</w:t>
      </w:r>
      <w:r w:rsidR="0034133A">
        <w:t> </w:t>
      </w:r>
      <w:r w:rsidR="000416CA">
        <w:t>”</w:t>
      </w:r>
      <w:r w:rsidR="00142E6F">
        <w:t xml:space="preserve"> </w:t>
      </w:r>
      <w:r>
        <w:t xml:space="preserve"> (</w:t>
      </w:r>
      <w:r w:rsidRPr="00142E6F">
        <w:rPr>
          <w:i/>
          <w:iCs/>
        </w:rPr>
        <w:t>Blancett</w:t>
      </w:r>
      <w:r>
        <w:t xml:space="preserve">, </w:t>
      </w:r>
      <w:r w:rsidRPr="00142E6F">
        <w:rPr>
          <w:i/>
          <w:iCs/>
        </w:rPr>
        <w:t>supra</w:t>
      </w:r>
      <w:r>
        <w:t>, 15</w:t>
      </w:r>
      <w:r w:rsidR="0034133A">
        <w:t> </w:t>
      </w:r>
      <w:r>
        <w:t>Cal.App.5th at p.</w:t>
      </w:r>
      <w:r w:rsidR="0034133A">
        <w:t> </w:t>
      </w:r>
      <w:r>
        <w:t>1203.)</w:t>
      </w:r>
      <w:r w:rsidR="00142E6F">
        <w:t xml:space="preserve">  </w:t>
      </w:r>
    </w:p>
    <w:p w14:paraId="5A41CF99" w14:textId="77777777" w:rsidR="00A12041" w:rsidRDefault="003C74B7" w:rsidP="00A12041">
      <w:r>
        <w:t xml:space="preserve">The </w:t>
      </w:r>
      <w:r w:rsidR="00647ED6">
        <w:rPr>
          <w:i/>
          <w:iCs/>
        </w:rPr>
        <w:t xml:space="preserve">Blancett </w:t>
      </w:r>
      <w:r>
        <w:t>court concluded that Blancett</w:t>
      </w:r>
      <w:r>
        <w:t xml:space="preserve"> “did not waive his right to a jury trial with full awareness of the nature of the right being abandoned and the consequences of the decision to abandon it.”  (</w:t>
      </w:r>
      <w:r w:rsidR="00ED159B">
        <w:rPr>
          <w:i/>
          <w:iCs/>
        </w:rPr>
        <w:t>Blancett</w:t>
      </w:r>
      <w:r w:rsidR="00ED159B">
        <w:t xml:space="preserve">, </w:t>
      </w:r>
      <w:r w:rsidR="00ED159B">
        <w:rPr>
          <w:i/>
          <w:iCs/>
        </w:rPr>
        <w:t>supra</w:t>
      </w:r>
      <w:r w:rsidR="00ED159B">
        <w:t>, 15</w:t>
      </w:r>
      <w:r w:rsidR="003E2DD9">
        <w:t> </w:t>
      </w:r>
      <w:r w:rsidR="00ED159B">
        <w:t>Cal.App.5th</w:t>
      </w:r>
      <w:r>
        <w:t xml:space="preserve"> at p.</w:t>
      </w:r>
      <w:r w:rsidR="008A1C30">
        <w:t> </w:t>
      </w:r>
      <w:r>
        <w:t xml:space="preserve">1206.)  </w:t>
      </w:r>
      <w:r w:rsidR="0067428F">
        <w:t>It pointed out</w:t>
      </w:r>
      <w:r w:rsidR="00647ED6">
        <w:t xml:space="preserve">, citing </w:t>
      </w:r>
      <w:proofErr w:type="spellStart"/>
      <w:r w:rsidR="00647ED6">
        <w:rPr>
          <w:i/>
          <w:iCs/>
        </w:rPr>
        <w:t>Sivongxxay</w:t>
      </w:r>
      <w:proofErr w:type="spellEnd"/>
      <w:r w:rsidR="00647ED6">
        <w:t>,</w:t>
      </w:r>
      <w:r w:rsidR="0067428F">
        <w:t xml:space="preserve"> that the trial court did not advise Blancett of</w:t>
      </w:r>
      <w:r>
        <w:t xml:space="preserve"> his right to a jury trial </w:t>
      </w:r>
      <w:r w:rsidR="0067428F">
        <w:rPr>
          <w:i/>
          <w:iCs/>
        </w:rPr>
        <w:t>or</w:t>
      </w:r>
      <w:r>
        <w:t xml:space="preserve"> </w:t>
      </w:r>
      <w:r w:rsidR="0067428F">
        <w:t>“</w:t>
      </w:r>
      <w:r>
        <w:t xml:space="preserve">explain the significant attributes or mechanics of a jury trial. </w:t>
      </w:r>
      <w:r w:rsidR="0067428F">
        <w:t xml:space="preserve"> </w:t>
      </w:r>
      <w:r w:rsidR="00647ED6">
        <w:t>([</w:t>
      </w:r>
      <w:proofErr w:type="spellStart"/>
      <w:r w:rsidR="00647ED6">
        <w:rPr>
          <w:i/>
          <w:iCs/>
        </w:rPr>
        <w:t>Sivongxxay</w:t>
      </w:r>
      <w:proofErr w:type="spellEnd"/>
      <w:r w:rsidR="00647ED6">
        <w:t>,</w:t>
      </w:r>
      <w:r w:rsidR="00647ED6">
        <w:rPr>
          <w:i/>
          <w:iCs/>
        </w:rPr>
        <w:t xml:space="preserve"> </w:t>
      </w:r>
      <w:r w:rsidR="00647ED6" w:rsidRPr="00647ED6">
        <w:rPr>
          <w:i/>
          <w:iCs/>
        </w:rPr>
        <w:t>supra</w:t>
      </w:r>
      <w:r w:rsidR="00647ED6" w:rsidRPr="00647ED6">
        <w:t>, 3</w:t>
      </w:r>
      <w:r w:rsidR="00E94055">
        <w:t> </w:t>
      </w:r>
      <w:r w:rsidR="00647ED6" w:rsidRPr="00647ED6">
        <w:t>Cal.5th] at p.</w:t>
      </w:r>
      <w:r w:rsidR="00E94055">
        <w:t> </w:t>
      </w:r>
      <w:r w:rsidR="00647ED6" w:rsidRPr="00647ED6">
        <w:t>169.)</w:t>
      </w:r>
      <w:r>
        <w:t xml:space="preserve"> </w:t>
      </w:r>
      <w:r w:rsidR="0067428F">
        <w:t xml:space="preserve"> </w:t>
      </w:r>
      <w:r>
        <w:t>Neither did the court inquire whether [</w:t>
      </w:r>
      <w:r w:rsidR="0067428F">
        <w:t>Blancett</w:t>
      </w:r>
      <w:r>
        <w:t>] had sufficient opportunity to dis</w:t>
      </w:r>
      <w:r>
        <w:t xml:space="preserve">cuss the decision with his attorney, whether his attorney explained the differences between a bench trial and a jury trial, or </w:t>
      </w:r>
      <w:r>
        <w:lastRenderedPageBreak/>
        <w:t xml:space="preserve">whether </w:t>
      </w:r>
      <w:r w:rsidR="00D40150">
        <w:t>Blancett</w:t>
      </w:r>
      <w:r>
        <w:t xml:space="preserve"> had any questions about the waiver.</w:t>
      </w:r>
      <w:r w:rsidR="00647ED6">
        <w:t xml:space="preserve">  (</w:t>
      </w:r>
      <w:r w:rsidR="00647ED6">
        <w:rPr>
          <w:i/>
          <w:iCs/>
        </w:rPr>
        <w:t>Id</w:t>
      </w:r>
      <w:r w:rsidR="00647ED6">
        <w:t>. at pp.</w:t>
      </w:r>
      <w:r w:rsidR="00873E2E">
        <w:t> </w:t>
      </w:r>
      <w:r w:rsidR="00647ED6">
        <w:t>169</w:t>
      </w:r>
      <w:r w:rsidR="00873E2E">
        <w:t>–</w:t>
      </w:r>
      <w:r w:rsidR="00647ED6">
        <w:t>170.)</w:t>
      </w:r>
      <w:r w:rsidR="0067428F">
        <w:t>”</w:t>
      </w:r>
      <w:r>
        <w:t xml:space="preserve"> </w:t>
      </w:r>
      <w:r w:rsidR="0067428F">
        <w:t xml:space="preserve"> </w:t>
      </w:r>
      <w:r>
        <w:t>(</w:t>
      </w:r>
      <w:r w:rsidR="004326FF">
        <w:rPr>
          <w:i/>
          <w:iCs/>
        </w:rPr>
        <w:t>Blancett</w:t>
      </w:r>
      <w:r w:rsidR="004326FF">
        <w:t>, at p.</w:t>
      </w:r>
      <w:r w:rsidR="00B94E4B">
        <w:t> </w:t>
      </w:r>
      <w:r w:rsidR="00AF175C">
        <w:t>1206.</w:t>
      </w:r>
      <w:r>
        <w:t xml:space="preserve">) </w:t>
      </w:r>
      <w:r w:rsidR="0067428F">
        <w:t xml:space="preserve"> </w:t>
      </w:r>
    </w:p>
    <w:p w14:paraId="5A41CF9A" w14:textId="77777777" w:rsidR="000329F1" w:rsidRDefault="003C74B7" w:rsidP="00BA17EF">
      <w:pPr>
        <w:rPr>
          <w:rFonts w:eastAsia="Times New Roman" w:cs="Arial"/>
          <w:color w:val="000000"/>
        </w:rPr>
      </w:pPr>
      <w:r w:rsidRPr="006F2D92">
        <w:t xml:space="preserve">In </w:t>
      </w:r>
      <w:r w:rsidR="000F6C70">
        <w:t xml:space="preserve">short, in </w:t>
      </w:r>
      <w:r w:rsidRPr="006F2D92">
        <w:t xml:space="preserve">both </w:t>
      </w:r>
      <w:r w:rsidR="000F6C70">
        <w:rPr>
          <w:i/>
          <w:iCs/>
        </w:rPr>
        <w:t xml:space="preserve">Jones </w:t>
      </w:r>
      <w:r w:rsidR="000F6C70">
        <w:t xml:space="preserve">and </w:t>
      </w:r>
      <w:r w:rsidR="000F6C70">
        <w:rPr>
          <w:i/>
          <w:iCs/>
        </w:rPr>
        <w:t>Blancett</w:t>
      </w:r>
      <w:r w:rsidRPr="006F2D92">
        <w:t>, (1)</w:t>
      </w:r>
      <w:r w:rsidR="008B5EE2">
        <w:t> </w:t>
      </w:r>
      <w:r w:rsidRPr="006F2D92">
        <w:t xml:space="preserve">the waiver colloquies were limited to asking the defendants whether they </w:t>
      </w:r>
      <w:r w:rsidR="000F6C70">
        <w:t>wanted</w:t>
      </w:r>
      <w:r w:rsidRPr="006F2D92">
        <w:t xml:space="preserve"> to have their cases decided by the court rather than a jury; (2)</w:t>
      </w:r>
      <w:r w:rsidR="008B5EE2">
        <w:t> </w:t>
      </w:r>
      <w:r w:rsidRPr="006F2D92">
        <w:t xml:space="preserve">the defendants were not advised </w:t>
      </w:r>
      <w:r w:rsidR="000F6C70">
        <w:t>about a</w:t>
      </w:r>
      <w:r w:rsidRPr="006F2D92">
        <w:t xml:space="preserve">ny of the other </w:t>
      </w:r>
      <w:r w:rsidR="000F6C70">
        <w:t>features</w:t>
      </w:r>
      <w:r w:rsidRPr="006F2D92">
        <w:t xml:space="preserve"> of a jury trial; and (3)</w:t>
      </w:r>
      <w:r w:rsidR="008B5EE2">
        <w:t> </w:t>
      </w:r>
      <w:r w:rsidRPr="006F2D92">
        <w:t xml:space="preserve">the trial courts did not ask the defendants whether they had had sufficient opportunities to discuss </w:t>
      </w:r>
      <w:r w:rsidRPr="00E80D38">
        <w:t xml:space="preserve">their jury waivers with their counsel. </w:t>
      </w:r>
      <w:r w:rsidR="000F6C70" w:rsidRPr="00E80D38">
        <w:t xml:space="preserve"> </w:t>
      </w:r>
      <w:r w:rsidR="00D9510A" w:rsidRPr="00E80D38">
        <w:t>Th</w:t>
      </w:r>
      <w:r w:rsidR="00FD7A1B">
        <w:t>at describes this case as well.</w:t>
      </w:r>
      <w:r w:rsidR="00D9510A" w:rsidRPr="00E80D38">
        <w:t xml:space="preserve"> </w:t>
      </w:r>
      <w:r w:rsidR="00FD7A1B">
        <w:t xml:space="preserve"> </w:t>
      </w:r>
      <w:r w:rsidR="0069579A">
        <w:t>On th</w:t>
      </w:r>
      <w:r w:rsidR="00904648">
        <w:t xml:space="preserve">e </w:t>
      </w:r>
      <w:r w:rsidR="0069579A">
        <w:t>record</w:t>
      </w:r>
      <w:r w:rsidR="00904648">
        <w:t xml:space="preserve"> before us</w:t>
      </w:r>
      <w:r w:rsidR="0069579A">
        <w:t>, t</w:t>
      </w:r>
      <w:r w:rsidR="00105694" w:rsidRPr="00E80D38">
        <w:t xml:space="preserve">he problem </w:t>
      </w:r>
      <w:r w:rsidR="0069579A">
        <w:t xml:space="preserve">we see </w:t>
      </w:r>
      <w:r w:rsidR="00874600">
        <w:t xml:space="preserve">is </w:t>
      </w:r>
      <w:r w:rsidR="00B56BB8">
        <w:t xml:space="preserve">not </w:t>
      </w:r>
      <w:r w:rsidR="00105694" w:rsidRPr="00E80D38">
        <w:t xml:space="preserve">a matter of </w:t>
      </w:r>
      <w:r w:rsidR="00197838">
        <w:t xml:space="preserve">lack of </w:t>
      </w:r>
      <w:r w:rsidR="00105694" w:rsidRPr="00E80D38">
        <w:t xml:space="preserve">specificity or </w:t>
      </w:r>
      <w:r w:rsidR="00C92FF0">
        <w:t xml:space="preserve">failure to give some </w:t>
      </w:r>
      <w:proofErr w:type="gramStart"/>
      <w:r w:rsidR="00C92FF0">
        <w:t xml:space="preserve">particular </w:t>
      </w:r>
      <w:r w:rsidR="00105694" w:rsidRPr="00E80D38">
        <w:t>formulation</w:t>
      </w:r>
      <w:proofErr w:type="gramEnd"/>
      <w:r w:rsidR="00105694" w:rsidRPr="00E80D38">
        <w:t xml:space="preserve"> of </w:t>
      </w:r>
      <w:r w:rsidR="00197838">
        <w:t xml:space="preserve">a </w:t>
      </w:r>
      <w:r w:rsidR="00225A82" w:rsidRPr="00E80D38">
        <w:t xml:space="preserve">waiver </w:t>
      </w:r>
      <w:r w:rsidR="00255547">
        <w:t>admonit</w:t>
      </w:r>
      <w:r w:rsidR="00BE0411">
        <w:t>ion</w:t>
      </w:r>
      <w:r w:rsidR="00197838">
        <w:t xml:space="preserve">.  </w:t>
      </w:r>
      <w:r w:rsidR="006F0189" w:rsidRPr="00E80D38">
        <w:t>Rather</w:t>
      </w:r>
      <w:r w:rsidR="008C2EA1">
        <w:t>,</w:t>
      </w:r>
      <w:r w:rsidR="006F0189" w:rsidRPr="00E80D38">
        <w:t xml:space="preserve"> </w:t>
      </w:r>
      <w:r w:rsidR="00A65101">
        <w:t>as noted above</w:t>
      </w:r>
      <w:r w:rsidR="0040453D">
        <w:t xml:space="preserve">, </w:t>
      </w:r>
      <w:r w:rsidR="006F0189" w:rsidRPr="00E80D38">
        <w:t xml:space="preserve">the problem </w:t>
      </w:r>
      <w:r w:rsidR="00897868">
        <w:t xml:space="preserve">is that we cannot tell </w:t>
      </w:r>
      <w:r w:rsidR="002C46C9">
        <w:t>what</w:t>
      </w:r>
      <w:r w:rsidR="006F0189" w:rsidRPr="00E80D38">
        <w:t xml:space="preserve"> </w:t>
      </w:r>
      <w:r w:rsidR="00B52015" w:rsidRPr="00E80D38">
        <w:t xml:space="preserve">McCray </w:t>
      </w:r>
      <w:r w:rsidR="002C46C9">
        <w:t>was told about his waiver</w:t>
      </w:r>
      <w:r w:rsidR="009130F7">
        <w:rPr>
          <w:rFonts w:cs="Times New Roman"/>
        </w:rPr>
        <w:t>—a</w:t>
      </w:r>
      <w:r w:rsidR="009130F7">
        <w:t>t all</w:t>
      </w:r>
      <w:r w:rsidR="002C46C9">
        <w:t>.</w:t>
      </w:r>
      <w:r w:rsidR="00094B7C">
        <w:t xml:space="preserve">  </w:t>
      </w:r>
      <w:r w:rsidR="00397588">
        <w:rPr>
          <w:rFonts w:eastAsia="Times New Roman" w:cs="Arial"/>
          <w:color w:val="000000"/>
        </w:rPr>
        <w:t>S</w:t>
      </w:r>
      <w:r w:rsidR="000A20C8" w:rsidRPr="008B023B">
        <w:rPr>
          <w:rFonts w:eastAsia="Times New Roman" w:cs="Arial"/>
          <w:color w:val="000000"/>
        </w:rPr>
        <w:t xml:space="preserve">imply </w:t>
      </w:r>
      <w:r w:rsidR="00B647A1">
        <w:rPr>
          <w:rFonts w:eastAsia="Times New Roman" w:cs="Arial"/>
          <w:color w:val="000000"/>
        </w:rPr>
        <w:t xml:space="preserve">alluding to </w:t>
      </w:r>
      <w:r w:rsidR="001E1DB9" w:rsidRPr="008B023B">
        <w:rPr>
          <w:rFonts w:eastAsia="Times New Roman" w:cs="Arial"/>
          <w:color w:val="000000"/>
        </w:rPr>
        <w:t>un</w:t>
      </w:r>
      <w:r w:rsidR="008C3BA6" w:rsidRPr="008B023B">
        <w:rPr>
          <w:rFonts w:eastAsia="Times New Roman" w:cs="Arial"/>
          <w:color w:val="000000"/>
        </w:rPr>
        <w:t xml:space="preserve">specified </w:t>
      </w:r>
      <w:r w:rsidR="002F56B8" w:rsidRPr="008B023B">
        <w:rPr>
          <w:rFonts w:eastAsia="Times New Roman" w:cs="Arial"/>
          <w:color w:val="000000"/>
        </w:rPr>
        <w:t>statements made outside the court</w:t>
      </w:r>
      <w:r w:rsidR="008C3BA6" w:rsidRPr="008B023B">
        <w:rPr>
          <w:rFonts w:eastAsia="Times New Roman" w:cs="Arial"/>
          <w:color w:val="000000"/>
        </w:rPr>
        <w:t xml:space="preserve">room by counsel </w:t>
      </w:r>
      <w:r w:rsidR="00E80D38" w:rsidRPr="008B023B">
        <w:rPr>
          <w:rFonts w:eastAsia="Times New Roman" w:cs="Arial"/>
          <w:color w:val="000000"/>
        </w:rPr>
        <w:t>is not enough</w:t>
      </w:r>
      <w:r w:rsidR="00456C95">
        <w:rPr>
          <w:rFonts w:eastAsia="Times New Roman" w:cs="Arial"/>
          <w:color w:val="000000"/>
        </w:rPr>
        <w:t xml:space="preserve"> to establish a valid waiver</w:t>
      </w:r>
      <w:r w:rsidR="00E80D38" w:rsidRPr="008B023B">
        <w:rPr>
          <w:rFonts w:eastAsia="Times New Roman" w:cs="Arial"/>
          <w:color w:val="000000"/>
        </w:rPr>
        <w:t>.</w:t>
      </w:r>
    </w:p>
    <w:p w14:paraId="5A41CF9B" w14:textId="77777777" w:rsidR="00FB55EF" w:rsidRDefault="003C74B7" w:rsidP="00BA17EF">
      <w:r>
        <w:rPr>
          <w:rFonts w:eastAsia="Times New Roman" w:cs="Arial"/>
          <w:color w:val="000000"/>
        </w:rPr>
        <w:t>T</w:t>
      </w:r>
      <w:r w:rsidR="006A4989">
        <w:t xml:space="preserve">he People </w:t>
      </w:r>
      <w:r>
        <w:t xml:space="preserve">attempt to distinguish </w:t>
      </w:r>
      <w:r w:rsidR="00B6231C">
        <w:rPr>
          <w:i/>
          <w:iCs/>
        </w:rPr>
        <w:t xml:space="preserve">Jones </w:t>
      </w:r>
      <w:r w:rsidR="00B6231C">
        <w:t xml:space="preserve">and </w:t>
      </w:r>
      <w:r w:rsidR="00B6231C">
        <w:rPr>
          <w:i/>
          <w:iCs/>
        </w:rPr>
        <w:t>Blancett</w:t>
      </w:r>
      <w:r w:rsidR="00B6231C">
        <w:t xml:space="preserve">, </w:t>
      </w:r>
      <w:r w:rsidR="00DA561E">
        <w:t xml:space="preserve">pointing out that in </w:t>
      </w:r>
      <w:r w:rsidR="00B6231C">
        <w:t>th</w:t>
      </w:r>
      <w:r w:rsidR="00DA561E">
        <w:t xml:space="preserve">ose cases </w:t>
      </w:r>
      <w:r w:rsidR="00B6231C">
        <w:t xml:space="preserve">the </w:t>
      </w:r>
      <w:r w:rsidR="00DA561E">
        <w:t xml:space="preserve">OMHD </w:t>
      </w:r>
      <w:r w:rsidR="00B6231C">
        <w:t xml:space="preserve">defendants did not have </w:t>
      </w:r>
      <w:r w:rsidR="00BE27B3">
        <w:t xml:space="preserve">relevant </w:t>
      </w:r>
      <w:r w:rsidR="00B6231C">
        <w:t>experience with the justice system.  (</w:t>
      </w:r>
      <w:r w:rsidR="003945D3">
        <w:t xml:space="preserve">See </w:t>
      </w:r>
      <w:r w:rsidR="00B6231C">
        <w:rPr>
          <w:i/>
          <w:iCs/>
        </w:rPr>
        <w:t>Jones</w:t>
      </w:r>
      <w:r w:rsidR="00B6231C">
        <w:t xml:space="preserve">, </w:t>
      </w:r>
      <w:r w:rsidR="00B6231C">
        <w:rPr>
          <w:i/>
          <w:iCs/>
        </w:rPr>
        <w:t>supra</w:t>
      </w:r>
      <w:r w:rsidR="00B6231C">
        <w:t>, 26</w:t>
      </w:r>
      <w:r w:rsidR="002F3247">
        <w:t> </w:t>
      </w:r>
      <w:r w:rsidR="00B6231C">
        <w:t xml:space="preserve">Cal.App.5th at </w:t>
      </w:r>
      <w:r w:rsidR="00776E31">
        <w:t>p</w:t>
      </w:r>
      <w:r w:rsidR="00B6231C">
        <w:t>p.</w:t>
      </w:r>
      <w:r w:rsidR="002F3247">
        <w:t> </w:t>
      </w:r>
      <w:r w:rsidR="00B6231C">
        <w:t>43</w:t>
      </w:r>
      <w:r w:rsidR="00776E31">
        <w:t>6</w:t>
      </w:r>
      <w:r w:rsidR="002F3247">
        <w:t>–</w:t>
      </w:r>
      <w:r w:rsidR="00776E31">
        <w:t>437</w:t>
      </w:r>
      <w:r w:rsidR="00B6231C">
        <w:t xml:space="preserve">; </w:t>
      </w:r>
      <w:r w:rsidR="00B6231C">
        <w:rPr>
          <w:i/>
          <w:iCs/>
        </w:rPr>
        <w:t>Blancett</w:t>
      </w:r>
      <w:r w:rsidR="00776E31">
        <w:t xml:space="preserve">, </w:t>
      </w:r>
      <w:r w:rsidR="00776E31">
        <w:rPr>
          <w:i/>
          <w:iCs/>
        </w:rPr>
        <w:t>supra</w:t>
      </w:r>
      <w:r w:rsidR="00776E31">
        <w:t>, 15</w:t>
      </w:r>
      <w:r w:rsidR="002F3247">
        <w:t> </w:t>
      </w:r>
      <w:r w:rsidR="00776E31">
        <w:t xml:space="preserve">Cal.App.5th at </w:t>
      </w:r>
      <w:r w:rsidR="00416E4F">
        <w:t>p</w:t>
      </w:r>
      <w:r w:rsidR="00776E31">
        <w:t>p.</w:t>
      </w:r>
      <w:r w:rsidR="002F3247">
        <w:t> </w:t>
      </w:r>
      <w:r w:rsidR="00416E4F">
        <w:t>1206</w:t>
      </w:r>
      <w:r w:rsidR="002F3247">
        <w:t>–</w:t>
      </w:r>
      <w:r w:rsidR="00776E31">
        <w:t>1207.)</w:t>
      </w:r>
      <w:r w:rsidR="004E0340">
        <w:t xml:space="preserve">  </w:t>
      </w:r>
      <w:r w:rsidR="00022879">
        <w:t>By contrast</w:t>
      </w:r>
      <w:r w:rsidR="0076212F">
        <w:t>, t</w:t>
      </w:r>
      <w:r w:rsidR="000F6C70">
        <w:t xml:space="preserve">he </w:t>
      </w:r>
      <w:r w:rsidR="00E37942">
        <w:t xml:space="preserve">People </w:t>
      </w:r>
      <w:r w:rsidR="0076212F">
        <w:t>observe,</w:t>
      </w:r>
      <w:r w:rsidR="00E37942">
        <w:t xml:space="preserve"> </w:t>
      </w:r>
      <w:r w:rsidR="000F6C70">
        <w:t xml:space="preserve">McCray </w:t>
      </w:r>
      <w:r w:rsidR="00C55953">
        <w:t xml:space="preserve">had </w:t>
      </w:r>
      <w:r w:rsidR="00AE7CE6">
        <w:t xml:space="preserve">a great deal of accumulated </w:t>
      </w:r>
      <w:r w:rsidR="00C55953">
        <w:t>experience</w:t>
      </w:r>
      <w:r w:rsidR="009F49E8">
        <w:t xml:space="preserve"> with the commitment process</w:t>
      </w:r>
      <w:r w:rsidR="00AE7CE6">
        <w:t xml:space="preserve">. </w:t>
      </w:r>
      <w:r w:rsidR="00022879">
        <w:t xml:space="preserve"> He </w:t>
      </w:r>
      <w:r w:rsidR="00A76998">
        <w:t xml:space="preserve">“was familiar with OMHD proceedings given that he was </w:t>
      </w:r>
      <w:r w:rsidR="004029CD">
        <w:t>i</w:t>
      </w:r>
      <w:r w:rsidR="00A76998">
        <w:t xml:space="preserve">nitially committed in </w:t>
      </w:r>
      <w:proofErr w:type="gramStart"/>
      <w:r w:rsidR="00A76998">
        <w:t>2005,</w:t>
      </w:r>
      <w:r w:rsidR="004029CD">
        <w:t xml:space="preserve"> and</w:t>
      </w:r>
      <w:proofErr w:type="gramEnd"/>
      <w:r w:rsidR="004029CD">
        <w:t xml:space="preserve"> r</w:t>
      </w:r>
      <w:r w:rsidR="004869A0">
        <w:t>ecommit</w:t>
      </w:r>
      <w:r w:rsidR="00A76998">
        <w:t>ted thereafter.</w:t>
      </w:r>
      <w:r w:rsidR="002E32A3">
        <w:t>”</w:t>
      </w:r>
      <w:r w:rsidR="008D1AEA">
        <w:t xml:space="preserve">  </w:t>
      </w:r>
      <w:r w:rsidR="000E0614">
        <w:t>Th</w:t>
      </w:r>
      <w:r w:rsidR="0045544B">
        <w:t>is</w:t>
      </w:r>
      <w:r w:rsidR="003955DC">
        <w:t xml:space="preserve">, in our view, is not a material distinction.  </w:t>
      </w:r>
      <w:r w:rsidR="001D5A50">
        <w:t xml:space="preserve">We </w:t>
      </w:r>
      <w:r w:rsidR="00D43A35">
        <w:t xml:space="preserve">are not </w:t>
      </w:r>
      <w:r w:rsidR="00611A2C">
        <w:t>convinced we may infer McCray’s level of understand</w:t>
      </w:r>
      <w:r w:rsidR="009C577F">
        <w:t>ing</w:t>
      </w:r>
      <w:r w:rsidR="00611A2C">
        <w:t xml:space="preserve"> from </w:t>
      </w:r>
      <w:r w:rsidR="00847650">
        <w:t>the fact he had been throu</w:t>
      </w:r>
      <w:r w:rsidR="0019661E">
        <w:t xml:space="preserve">gh </w:t>
      </w:r>
      <w:r w:rsidR="004D37A4">
        <w:t xml:space="preserve">some number of </w:t>
      </w:r>
      <w:r w:rsidR="003A09E4">
        <w:t xml:space="preserve">commitment </w:t>
      </w:r>
      <w:r w:rsidR="00DC513A">
        <w:t xml:space="preserve">and recommitment </w:t>
      </w:r>
      <w:r w:rsidR="003A09E4">
        <w:t>proceedings before</w:t>
      </w:r>
      <w:r w:rsidR="00695F79">
        <w:t xml:space="preserve">.  </w:t>
      </w:r>
      <w:r w:rsidR="005F0DA2">
        <w:t xml:space="preserve">It is indisputable </w:t>
      </w:r>
      <w:r w:rsidR="00E4759A">
        <w:t xml:space="preserve">he had been, but that says nothing about </w:t>
      </w:r>
      <w:r w:rsidR="00986CB5">
        <w:t>whether anyone ever explained to him what it means to have a jury trial</w:t>
      </w:r>
      <w:r w:rsidR="00C4740D">
        <w:t>—or to give up the right to one</w:t>
      </w:r>
      <w:r w:rsidR="00986CB5">
        <w:t xml:space="preserve">. </w:t>
      </w:r>
      <w:r w:rsidR="009E07BC">
        <w:t xml:space="preserve"> None of the People’s citations to the </w:t>
      </w:r>
      <w:r w:rsidR="00C44AB0">
        <w:t xml:space="preserve">records in these prior proceedings </w:t>
      </w:r>
      <w:r w:rsidR="00C44AB0">
        <w:lastRenderedPageBreak/>
        <w:t>shows wh</w:t>
      </w:r>
      <w:r w:rsidR="004A722C">
        <w:t xml:space="preserve">ether there </w:t>
      </w:r>
      <w:r w:rsidR="00A50479">
        <w:t xml:space="preserve">were </w:t>
      </w:r>
      <w:r w:rsidR="004A722C">
        <w:t xml:space="preserve">jury </w:t>
      </w:r>
      <w:r w:rsidR="00C44AB0">
        <w:t>waivers</w:t>
      </w:r>
      <w:r w:rsidR="002E0CC7">
        <w:t xml:space="preserve"> in any of those cases, and if so, whether the</w:t>
      </w:r>
      <w:r w:rsidR="00A945FB">
        <w:t xml:space="preserve"> waiver advisements </w:t>
      </w:r>
      <w:r w:rsidR="002E0CC7">
        <w:t>were any more robust than the one McCray</w:t>
      </w:r>
      <w:r w:rsidR="00C12117">
        <w:t xml:space="preserve"> </w:t>
      </w:r>
      <w:r w:rsidR="00A945FB">
        <w:t xml:space="preserve">received </w:t>
      </w:r>
      <w:r w:rsidR="00C12117">
        <w:t>in 2022.</w:t>
      </w:r>
      <w:r w:rsidR="00A552F7">
        <w:t xml:space="preserve"> </w:t>
      </w:r>
      <w:r w:rsidR="00AA6CD1">
        <w:t xml:space="preserve"> </w:t>
      </w:r>
    </w:p>
    <w:p w14:paraId="5A41CF9C" w14:textId="77777777" w:rsidR="002A0253" w:rsidRPr="000F6C70" w:rsidRDefault="003C74B7" w:rsidP="00BA17EF">
      <w:r>
        <w:t xml:space="preserve">In short, the </w:t>
      </w:r>
      <w:r w:rsidR="00FB55EF">
        <w:t>“</w:t>
      </w:r>
      <w:r>
        <w:t>totality of the circumstances</w:t>
      </w:r>
      <w:r w:rsidR="00FB55EF">
        <w:t>”</w:t>
      </w:r>
      <w:r>
        <w:t xml:space="preserve"> </w:t>
      </w:r>
      <w:r w:rsidR="002334FD">
        <w:t>here</w:t>
      </w:r>
      <w:r>
        <w:t xml:space="preserve"> do</w:t>
      </w:r>
      <w:r w:rsidR="0076504B">
        <w:t>es</w:t>
      </w:r>
      <w:r>
        <w:t xml:space="preserve"> </w:t>
      </w:r>
      <w:r w:rsidR="003022CA">
        <w:t xml:space="preserve">not demonstrate that </w:t>
      </w:r>
      <w:r>
        <w:t xml:space="preserve">McCray’s </w:t>
      </w:r>
      <w:r w:rsidR="003022CA">
        <w:t>waiver of his right to</w:t>
      </w:r>
      <w:r>
        <w:t xml:space="preserve"> a jury </w:t>
      </w:r>
      <w:r w:rsidR="005E00D1">
        <w:t xml:space="preserve">prior to his </w:t>
      </w:r>
      <w:r w:rsidR="00FE27AD">
        <w:t>20</w:t>
      </w:r>
      <w:r w:rsidR="005E00D1">
        <w:t>2</w:t>
      </w:r>
      <w:r w:rsidR="00361375">
        <w:t>2</w:t>
      </w:r>
      <w:r w:rsidR="005E00D1">
        <w:t xml:space="preserve"> recommitment </w:t>
      </w:r>
      <w:r>
        <w:t xml:space="preserve">trial </w:t>
      </w:r>
      <w:r w:rsidR="003022CA">
        <w:t>was knowing and intelligent</w:t>
      </w:r>
      <w:r>
        <w:t>.</w:t>
      </w:r>
      <w:r w:rsidR="0095373D">
        <w:t xml:space="preserve">  We conclude it was not</w:t>
      </w:r>
      <w:r w:rsidR="005062D9">
        <w:t>.</w:t>
      </w:r>
    </w:p>
    <w:p w14:paraId="5A41CF9D" w14:textId="77777777" w:rsidR="00FF6509" w:rsidRPr="00F231FE" w:rsidRDefault="003C74B7" w:rsidP="00F231FE">
      <w:pPr>
        <w:pStyle w:val="Heading1"/>
      </w:pPr>
      <w:r w:rsidRPr="00F231FE">
        <w:t>DISPOSITION</w:t>
      </w:r>
    </w:p>
    <w:p w14:paraId="5A41CF9E" w14:textId="77777777" w:rsidR="00FF6509" w:rsidRDefault="003C74B7" w:rsidP="00FF6509">
      <w:r>
        <w:t xml:space="preserve">The </w:t>
      </w:r>
      <w:r w:rsidR="006E4E05">
        <w:t>appeal is dismissed as moot</w:t>
      </w:r>
      <w:r>
        <w:t>.</w:t>
      </w:r>
    </w:p>
    <w:p w14:paraId="5A41CF9F" w14:textId="77777777" w:rsidR="00FF6509" w:rsidRPr="00D92215" w:rsidRDefault="00FF6509" w:rsidP="00FF6509"/>
    <w:p w14:paraId="5A41CFA0" w14:textId="78787E58" w:rsidR="00CF5D6F" w:rsidRDefault="003C74B7">
      <w:pPr>
        <w:tabs>
          <w:tab w:val="left" w:pos="6120"/>
        </w:tabs>
        <w:spacing w:before="240" w:line="240" w:lineRule="auto"/>
      </w:pPr>
      <w:r>
        <w:tab/>
        <w:t xml:space="preserve">STREETER, </w:t>
      </w:r>
      <w:r w:rsidR="00DA2557">
        <w:t>Acting P. </w:t>
      </w:r>
      <w:r>
        <w:t xml:space="preserve">J. </w:t>
      </w:r>
    </w:p>
    <w:p w14:paraId="5A41CFA1" w14:textId="77777777" w:rsidR="00CF5D6F" w:rsidRDefault="003C74B7" w:rsidP="00F231FE">
      <w:pPr>
        <w:tabs>
          <w:tab w:val="left" w:pos="1620"/>
        </w:tabs>
        <w:spacing w:before="240" w:after="240" w:line="240" w:lineRule="auto"/>
        <w:ind w:firstLine="0"/>
      </w:pPr>
      <w:r>
        <w:t>WE CONCUR:</w:t>
      </w:r>
    </w:p>
    <w:p w14:paraId="5A41CFA2" w14:textId="77777777" w:rsidR="00CF5D6F" w:rsidRDefault="003C74B7" w:rsidP="00F231FE">
      <w:pPr>
        <w:tabs>
          <w:tab w:val="left" w:pos="1620"/>
        </w:tabs>
        <w:spacing w:line="240" w:lineRule="auto"/>
        <w:ind w:firstLine="0"/>
      </w:pPr>
      <w:r>
        <w:t>GOLDMAN, J.</w:t>
      </w:r>
    </w:p>
    <w:p w14:paraId="5A41CFA3" w14:textId="77777777" w:rsidR="00263B69" w:rsidRDefault="003C74B7" w:rsidP="00277635">
      <w:pPr>
        <w:tabs>
          <w:tab w:val="left" w:pos="1620"/>
        </w:tabs>
        <w:spacing w:line="240" w:lineRule="auto"/>
        <w:ind w:firstLine="0"/>
        <w:rPr>
          <w:rStyle w:val="FootnoteReference"/>
        </w:rPr>
        <w:sectPr w:rsidR="00263B69" w:rsidSect="00D05BC9">
          <w:headerReference w:type="default" r:id="rId8"/>
          <w:footerReference w:type="default" r:id="rId9"/>
          <w:footerReference w:type="first" r:id="rId10"/>
          <w:pgSz w:w="12240" w:h="15840"/>
          <w:pgMar w:top="1440" w:right="1440" w:bottom="1440" w:left="1440" w:header="720" w:footer="720" w:gutter="0"/>
          <w:cols w:space="720"/>
          <w:docGrid w:linePitch="360"/>
        </w:sectPr>
      </w:pPr>
      <w:r>
        <w:t>HIRAMOTO, J.</w:t>
      </w:r>
      <w:r>
        <w:rPr>
          <w:rStyle w:val="FootnoteReference"/>
        </w:rPr>
        <w:footnoteReference w:customMarkFollows="1" w:id="7"/>
        <w:t>*</w:t>
      </w:r>
    </w:p>
    <w:p w14:paraId="5A41CFA4" w14:textId="77777777" w:rsidR="00277635" w:rsidRDefault="003C74B7" w:rsidP="00277635">
      <w:pPr>
        <w:spacing w:after="240"/>
        <w:ind w:left="2340" w:hanging="2340"/>
      </w:pPr>
      <w:r>
        <w:lastRenderedPageBreak/>
        <w:t xml:space="preserve">Trial Court:   </w:t>
      </w:r>
      <w:r w:rsidRPr="0092401B">
        <w:t xml:space="preserve">Superior Court of California, County of </w:t>
      </w:r>
      <w:r w:rsidR="0092401B">
        <w:t>Alameda</w:t>
      </w:r>
    </w:p>
    <w:p w14:paraId="5A41CFA5" w14:textId="77777777" w:rsidR="00277635" w:rsidRDefault="003C74B7" w:rsidP="00277635">
      <w:pPr>
        <w:spacing w:after="240"/>
        <w:ind w:left="2340" w:hanging="2340"/>
      </w:pPr>
      <w:r>
        <w:t>Trial Judge:  Hon. </w:t>
      </w:r>
      <w:r w:rsidR="00571DB6">
        <w:t>Andrew A. Steckler</w:t>
      </w:r>
    </w:p>
    <w:p w14:paraId="5A41CFA6" w14:textId="77777777" w:rsidR="00277635" w:rsidRDefault="003C74B7" w:rsidP="001D1B01">
      <w:pPr>
        <w:spacing w:line="240" w:lineRule="auto"/>
        <w:ind w:left="1987" w:hanging="1987"/>
      </w:pPr>
      <w:r>
        <w:t xml:space="preserve">Counsel:        </w:t>
      </w:r>
      <w:r w:rsidR="00DD0465">
        <w:t>K</w:t>
      </w:r>
      <w:r w:rsidR="001D1B01">
        <w:t>eith Fox, under appointment by the Court of Appeal</w:t>
      </w:r>
      <w:r w:rsidR="00F77C4C">
        <w:t>,</w:t>
      </w:r>
      <w:r w:rsidR="001D1B01">
        <w:t xml:space="preserve"> </w:t>
      </w:r>
      <w:r>
        <w:t xml:space="preserve">for </w:t>
      </w:r>
      <w:r w:rsidRPr="00571DB6">
        <w:t>Defendant and Appellant.</w:t>
      </w:r>
      <w:r>
        <w:t xml:space="preserve"> </w:t>
      </w:r>
    </w:p>
    <w:p w14:paraId="5A41CFA7" w14:textId="77777777" w:rsidR="00277635" w:rsidRDefault="00277635" w:rsidP="00F90ABB">
      <w:pPr>
        <w:ind w:firstLine="0"/>
      </w:pPr>
    </w:p>
    <w:p w14:paraId="5A41CFA8" w14:textId="77777777" w:rsidR="00277635" w:rsidRDefault="003C74B7" w:rsidP="00F90ABB">
      <w:pPr>
        <w:spacing w:line="240" w:lineRule="auto"/>
        <w:ind w:left="1980" w:hanging="1980"/>
      </w:pPr>
      <w:r>
        <w:t xml:space="preserve">                       </w:t>
      </w:r>
      <w:r w:rsidR="00DE5702">
        <w:t>Rob Bonta, Attorney General</w:t>
      </w:r>
      <w:r w:rsidR="00C26D44">
        <w:t>, Lance</w:t>
      </w:r>
      <w:r w:rsidR="007F5619">
        <w:t> </w:t>
      </w:r>
      <w:r w:rsidR="00C26D44">
        <w:t xml:space="preserve">E. Winters, Chief Assistant Attorney General, Susan Sullivan </w:t>
      </w:r>
      <w:proofErr w:type="spellStart"/>
      <w:r w:rsidR="00C26D44">
        <w:t>Pithey</w:t>
      </w:r>
      <w:proofErr w:type="spellEnd"/>
      <w:r w:rsidR="00C26D44">
        <w:t xml:space="preserve">, Senior Assistant </w:t>
      </w:r>
      <w:r w:rsidR="00AF625A">
        <w:t>Attorney General, Noah</w:t>
      </w:r>
      <w:r w:rsidR="007F5619">
        <w:t> </w:t>
      </w:r>
      <w:r w:rsidR="00AF625A">
        <w:t>P. Hill, Supervising Deputy Attorney General, and Eric</w:t>
      </w:r>
      <w:r w:rsidR="007F5619">
        <w:t> </w:t>
      </w:r>
      <w:r w:rsidR="006E0DEF">
        <w:t>J. Kohm, Deputy Attorney General</w:t>
      </w:r>
      <w:r w:rsidR="00047A80">
        <w:t>,</w:t>
      </w:r>
      <w:r>
        <w:t xml:space="preserve"> for </w:t>
      </w:r>
      <w:r w:rsidRPr="001D1B01">
        <w:t>Plaintiff</w:t>
      </w:r>
      <w:r>
        <w:t xml:space="preserve"> and Respondent.</w:t>
      </w:r>
    </w:p>
    <w:p w14:paraId="5A41CFA9" w14:textId="77777777" w:rsidR="00095060" w:rsidRDefault="00095060" w:rsidP="00394626">
      <w:pPr>
        <w:ind w:firstLine="0"/>
        <w:rPr>
          <w:rFonts w:cs="Times New Roman"/>
        </w:rPr>
      </w:pPr>
    </w:p>
    <w:sectPr w:rsidR="00095060" w:rsidSect="00263B6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4047" w14:textId="77777777" w:rsidR="0022296A" w:rsidRDefault="0022296A">
      <w:pPr>
        <w:spacing w:line="240" w:lineRule="auto"/>
      </w:pPr>
      <w:r>
        <w:separator/>
      </w:r>
    </w:p>
  </w:endnote>
  <w:endnote w:type="continuationSeparator" w:id="0">
    <w:p w14:paraId="76EE4D6B" w14:textId="77777777" w:rsidR="0022296A" w:rsidRDefault="00222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891619"/>
      <w:docPartObj>
        <w:docPartGallery w:val="Page Numbers (Bottom of Page)"/>
        <w:docPartUnique/>
      </w:docPartObj>
    </w:sdtPr>
    <w:sdtEndPr>
      <w:rPr>
        <w:noProof/>
      </w:rPr>
    </w:sdtEndPr>
    <w:sdtContent>
      <w:p w14:paraId="5A41CFAE" w14:textId="77777777" w:rsidR="00A634DB" w:rsidRDefault="003C74B7" w:rsidP="00E2772A">
        <w:pPr>
          <w:pStyle w:val="Footer"/>
          <w:tabs>
            <w:tab w:val="clear" w:pos="720"/>
          </w:tabs>
          <w:ind w:firstLine="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CFAF" w14:textId="77777777" w:rsidR="00263B69" w:rsidRPr="00CB07ED" w:rsidRDefault="003C74B7" w:rsidP="00CB07ED">
    <w:pPr>
      <w:pStyle w:val="Footer"/>
      <w:ind w:firstLine="0"/>
      <w:rPr>
        <w:sz w:val="20"/>
        <w:szCs w:val="20"/>
      </w:rPr>
    </w:pPr>
    <w:r w:rsidRPr="00CB07ED">
      <w:rPr>
        <w:i/>
        <w:iCs/>
        <w:sz w:val="20"/>
        <w:szCs w:val="20"/>
      </w:rPr>
      <w:t>People v. M</w:t>
    </w:r>
    <w:r w:rsidR="00CB07ED" w:rsidRPr="00CB07ED">
      <w:rPr>
        <w:i/>
        <w:iCs/>
        <w:sz w:val="20"/>
        <w:szCs w:val="20"/>
      </w:rPr>
      <w:t>cCray</w:t>
    </w:r>
    <w:r w:rsidR="00CB07ED" w:rsidRPr="00CB07ED">
      <w:rPr>
        <w:sz w:val="20"/>
        <w:szCs w:val="20"/>
      </w:rPr>
      <w:t xml:space="preserve"> – A166084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2563" w14:textId="77777777" w:rsidR="0022296A" w:rsidRDefault="0022296A" w:rsidP="003B2BC2">
      <w:pPr>
        <w:spacing w:line="240" w:lineRule="auto"/>
        <w:ind w:firstLine="0"/>
      </w:pPr>
      <w:r>
        <w:separator/>
      </w:r>
    </w:p>
  </w:footnote>
  <w:footnote w:type="continuationSeparator" w:id="0">
    <w:p w14:paraId="16F4A9EB" w14:textId="77777777" w:rsidR="0022296A" w:rsidRDefault="0022296A" w:rsidP="003B2BC2">
      <w:pPr>
        <w:spacing w:line="240" w:lineRule="auto"/>
        <w:ind w:firstLine="0"/>
      </w:pPr>
      <w:r>
        <w:continuationSeparator/>
      </w:r>
    </w:p>
  </w:footnote>
  <w:footnote w:type="continuationNotice" w:id="1">
    <w:p w14:paraId="59960251" w14:textId="77777777" w:rsidR="0022296A" w:rsidRDefault="0022296A">
      <w:pPr>
        <w:spacing w:line="240" w:lineRule="auto"/>
      </w:pPr>
    </w:p>
  </w:footnote>
  <w:footnote w:id="2">
    <w:p w14:paraId="5A41CFB0" w14:textId="77777777" w:rsidR="00BF0BF3" w:rsidRDefault="003C74B7" w:rsidP="00BF0BF3">
      <w:pPr>
        <w:pStyle w:val="FootnoteText"/>
      </w:pPr>
      <w:r>
        <w:rPr>
          <w:rStyle w:val="FootnoteReference"/>
        </w:rPr>
        <w:footnoteRef/>
      </w:r>
      <w:r>
        <w:t xml:space="preserve"> OMHD prisoners “</w:t>
      </w:r>
      <w:r w:rsidRPr="000D3AB3">
        <w:t xml:space="preserve">were previously described as mentally disordered offenders, or MDO’s. </w:t>
      </w:r>
      <w:r>
        <w:t xml:space="preserve"> </w:t>
      </w:r>
      <w:r w:rsidRPr="000D3AB3">
        <w:t xml:space="preserve">(See, e.g., </w:t>
      </w:r>
      <w:r w:rsidRPr="000D3AB3">
        <w:rPr>
          <w:i/>
          <w:iCs/>
        </w:rPr>
        <w:t>People v. Blackburn</w:t>
      </w:r>
      <w:r w:rsidRPr="000D3AB3">
        <w:t xml:space="preserve"> (2015) 61</w:t>
      </w:r>
      <w:r>
        <w:t> </w:t>
      </w:r>
      <w:r w:rsidRPr="000D3AB3">
        <w:t>Cal.4th 1113, 1116 (</w:t>
      </w:r>
      <w:r w:rsidRPr="000D3AB3">
        <w:rPr>
          <w:i/>
          <w:iCs/>
        </w:rPr>
        <w:t>Blackburn</w:t>
      </w:r>
      <w:r w:rsidRPr="000D3AB3">
        <w:t>).)</w:t>
      </w:r>
      <w:r>
        <w:t xml:space="preserve"> </w:t>
      </w:r>
      <w:r w:rsidRPr="000D3AB3">
        <w:t xml:space="preserve"> The Legislature recently changed this terminology to ‘offender with a mental health disorder.’ </w:t>
      </w:r>
      <w:r>
        <w:t xml:space="preserve"> </w:t>
      </w:r>
      <w:r w:rsidRPr="000D3AB3">
        <w:t>(Pen. Code, §</w:t>
      </w:r>
      <w:r>
        <w:t> </w:t>
      </w:r>
      <w:r w:rsidRPr="000D3AB3">
        <w:t>2962, subd.</w:t>
      </w:r>
      <w:r>
        <w:t> </w:t>
      </w:r>
      <w:r w:rsidRPr="000D3AB3">
        <w:t xml:space="preserve">(d)(3); Stats. 2019, </w:t>
      </w:r>
      <w:proofErr w:type="spellStart"/>
      <w:r w:rsidRPr="000D3AB3">
        <w:t>ch.</w:t>
      </w:r>
      <w:proofErr w:type="spellEnd"/>
      <w:r>
        <w:t> </w:t>
      </w:r>
      <w:r w:rsidRPr="000D3AB3">
        <w:t>9, §</w:t>
      </w:r>
      <w:r>
        <w:t> </w:t>
      </w:r>
      <w:r w:rsidRPr="000D3AB3">
        <w:t>7.)</w:t>
      </w:r>
      <w:r>
        <w:t>”</w:t>
      </w:r>
      <w:r w:rsidRPr="000D3AB3">
        <w:t xml:space="preserve"> </w:t>
      </w:r>
      <w:r>
        <w:t xml:space="preserve"> </w:t>
      </w:r>
      <w:r w:rsidRPr="000D3AB3">
        <w:t>(</w:t>
      </w:r>
      <w:r w:rsidRPr="009F748F">
        <w:rPr>
          <w:i/>
          <w:iCs/>
        </w:rPr>
        <w:t>Public Guardian of Contra Costa County v. Eric</w:t>
      </w:r>
      <w:r>
        <w:rPr>
          <w:i/>
          <w:iCs/>
        </w:rPr>
        <w:t> </w:t>
      </w:r>
      <w:r w:rsidRPr="009F748F">
        <w:rPr>
          <w:i/>
          <w:iCs/>
        </w:rPr>
        <w:t>B</w:t>
      </w:r>
      <w:r w:rsidRPr="000D3AB3">
        <w:t>. (2022) 12</w:t>
      </w:r>
      <w:r>
        <w:t> </w:t>
      </w:r>
      <w:r w:rsidRPr="000D3AB3">
        <w:t>Cal.5th 1085, 1095, fn.</w:t>
      </w:r>
      <w:r>
        <w:t> </w:t>
      </w:r>
      <w:r w:rsidRPr="000D3AB3">
        <w:t>3</w:t>
      </w:r>
      <w:r>
        <w:t xml:space="preserve"> (</w:t>
      </w:r>
      <w:r w:rsidRPr="00864203">
        <w:rPr>
          <w:i/>
          <w:iCs/>
        </w:rPr>
        <w:t>Eric B.</w:t>
      </w:r>
      <w:r>
        <w:t>).</w:t>
      </w:r>
      <w:r w:rsidRPr="000D3AB3">
        <w:t>)</w:t>
      </w:r>
      <w:r>
        <w:t xml:space="preserve">  For simplicity’s sake, we use the term “OMHD” for all relevant periods of time. </w:t>
      </w:r>
    </w:p>
  </w:footnote>
  <w:footnote w:id="3">
    <w:p w14:paraId="5A41CFB1" w14:textId="77777777" w:rsidR="0089604D" w:rsidRDefault="003C74B7" w:rsidP="00801CD1">
      <w:pPr>
        <w:spacing w:line="240" w:lineRule="auto"/>
      </w:pPr>
      <w:r>
        <w:rPr>
          <w:rStyle w:val="FootnoteReference"/>
        </w:rPr>
        <w:footnoteRef/>
      </w:r>
      <w:r>
        <w:t xml:space="preserve"> </w:t>
      </w:r>
      <w:r w:rsidR="00495876" w:rsidRPr="00667E9B">
        <w:t>See Pen. Cod</w:t>
      </w:r>
      <w:r w:rsidR="008579A2">
        <w:t>e</w:t>
      </w:r>
      <w:r w:rsidR="00495876" w:rsidRPr="00667E9B">
        <w:rPr>
          <w:rFonts w:eastAsia="Times New Roman" w:cs="Arial"/>
          <w:color w:val="000000"/>
        </w:rPr>
        <w:t>, § 2962</w:t>
      </w:r>
      <w:r w:rsidR="004B5C20" w:rsidRPr="00667E9B">
        <w:rPr>
          <w:rFonts w:eastAsia="Times New Roman" w:cs="Arial"/>
          <w:color w:val="000000"/>
        </w:rPr>
        <w:t xml:space="preserve"> </w:t>
      </w:r>
      <w:r w:rsidR="00667E9B" w:rsidRPr="00667E9B">
        <w:rPr>
          <w:rFonts w:eastAsia="Times New Roman" w:cs="Arial"/>
          <w:color w:val="000000"/>
        </w:rPr>
        <w:t>(</w:t>
      </w:r>
      <w:r w:rsidR="004B5C20" w:rsidRPr="00667E9B">
        <w:rPr>
          <w:rFonts w:eastAsia="Times New Roman" w:cs="Arial"/>
          <w:color w:val="000000"/>
        </w:rPr>
        <w:t>as “</w:t>
      </w:r>
      <w:r w:rsidR="004B5C20" w:rsidRPr="00161F5D">
        <w:rPr>
          <w:rFonts w:eastAsia="Times New Roman" w:cs="Times New Roman"/>
          <w:color w:val="000000"/>
        </w:rPr>
        <w:t>a condition of parole, a prisoner who meets [specified]</w:t>
      </w:r>
      <w:r w:rsidR="0098442E">
        <w:rPr>
          <w:rFonts w:eastAsia="Times New Roman" w:cs="Times New Roman"/>
          <w:color w:val="000000"/>
        </w:rPr>
        <w:t xml:space="preserve"> </w:t>
      </w:r>
      <w:r w:rsidR="008579A2">
        <w:rPr>
          <w:rFonts w:eastAsia="Times New Roman" w:cs="Times New Roman"/>
          <w:color w:val="000000"/>
        </w:rPr>
        <w:t>. . .</w:t>
      </w:r>
      <w:r w:rsidR="0098442E">
        <w:rPr>
          <w:rFonts w:eastAsia="Times New Roman" w:cs="Times New Roman"/>
          <w:color w:val="000000"/>
        </w:rPr>
        <w:t xml:space="preserve"> </w:t>
      </w:r>
      <w:r w:rsidR="004B5C20" w:rsidRPr="00161F5D">
        <w:rPr>
          <w:rFonts w:eastAsia="Times New Roman" w:cs="Times New Roman"/>
          <w:color w:val="000000"/>
        </w:rPr>
        <w:t>criteria shall be provided necessary treatment by the State Department of State Hospitals</w:t>
      </w:r>
      <w:r w:rsidR="00667E9B" w:rsidRPr="00161F5D">
        <w:rPr>
          <w:rFonts w:eastAsia="Times New Roman" w:cs="Times New Roman"/>
          <w:color w:val="000000"/>
        </w:rPr>
        <w:t>”).</w:t>
      </w:r>
      <w:r w:rsidR="00667E9B">
        <w:rPr>
          <w:rFonts w:eastAsia="Times New Roman" w:cs="Times New Roman"/>
          <w:color w:val="000000"/>
        </w:rPr>
        <w:t xml:space="preserve"> </w:t>
      </w:r>
      <w:r>
        <w:rPr>
          <w:rFonts w:eastAsia="Times New Roman" w:cs="Arial"/>
          <w:color w:val="000000"/>
        </w:rPr>
        <w:t xml:space="preserve"> </w:t>
      </w:r>
      <w:r>
        <w:t>Prior to 2004, McCray had “</w:t>
      </w:r>
      <w:r w:rsidR="009A43FB">
        <w:t> </w:t>
      </w:r>
      <w:r w:rsidR="00083DAA">
        <w:t>‘</w:t>
      </w:r>
      <w:r>
        <w:t>an extensive criminal history dating back to 1975 with charges including exhibiting a deadl</w:t>
      </w:r>
      <w:r w:rsidR="00150D6E">
        <w:t>y</w:t>
      </w:r>
      <w:r>
        <w:t xml:space="preserve"> weapon not a firearm, battery, battery with serious bodily injury</w:t>
      </w:r>
      <w:r w:rsidR="0083287F">
        <w:t xml:space="preserve"> (multiple counts)</w:t>
      </w:r>
      <w:r>
        <w:t>, obstruct/resist police officer, and assault with a deadly weapon.</w:t>
      </w:r>
      <w:r w:rsidR="00083DAA">
        <w:t>’</w:t>
      </w:r>
      <w:r w:rsidR="009A43FB">
        <w:t> </w:t>
      </w:r>
      <w:r>
        <w:t xml:space="preserve">” </w:t>
      </w:r>
    </w:p>
    <w:p w14:paraId="5A41CFB2" w14:textId="77777777" w:rsidR="0089604D" w:rsidRDefault="0089604D" w:rsidP="0089604D">
      <w:pPr>
        <w:pStyle w:val="FootnoteText"/>
      </w:pPr>
    </w:p>
  </w:footnote>
  <w:footnote w:id="4">
    <w:p w14:paraId="5A41CFB3" w14:textId="77777777" w:rsidR="00836D07" w:rsidRDefault="003C74B7">
      <w:pPr>
        <w:pStyle w:val="FootnoteText"/>
      </w:pPr>
      <w:r>
        <w:rPr>
          <w:rStyle w:val="FootnoteReference"/>
        </w:rPr>
        <w:footnoteRef/>
      </w:r>
      <w:r>
        <w:t xml:space="preserve"> During the pendency of this appeal, McCray filed a </w:t>
      </w:r>
      <w:r w:rsidR="00D2021C">
        <w:t>“motion</w:t>
      </w:r>
      <w:r>
        <w:t xml:space="preserve"> for judicial notice</w:t>
      </w:r>
      <w:r w:rsidR="00D2021C">
        <w:t xml:space="preserve">” </w:t>
      </w:r>
      <w:r>
        <w:t>of a May</w:t>
      </w:r>
      <w:r w:rsidR="00301815">
        <w:t> </w:t>
      </w:r>
      <w:r>
        <w:t xml:space="preserve">5, </w:t>
      </w:r>
      <w:proofErr w:type="gramStart"/>
      <w:r>
        <w:t>2023</w:t>
      </w:r>
      <w:proofErr w:type="gramEnd"/>
      <w:r>
        <w:t xml:space="preserve"> order issued by the trial court recommitting him under</w:t>
      </w:r>
      <w:r w:rsidR="00E551D7">
        <w:t xml:space="preserve"> Penal Code</w:t>
      </w:r>
      <w:r>
        <w:t xml:space="preserve"> section 2972 until April</w:t>
      </w:r>
      <w:r w:rsidR="00301815">
        <w:t> </w:t>
      </w:r>
      <w:r>
        <w:t xml:space="preserve">29, 2024.  We grant this </w:t>
      </w:r>
      <w:r>
        <w:t>request under Evidence Code sections 452 and 459.</w:t>
      </w:r>
    </w:p>
  </w:footnote>
  <w:footnote w:id="5">
    <w:p w14:paraId="5A41CFB4" w14:textId="77777777" w:rsidR="00D756D8" w:rsidRDefault="003C74B7" w:rsidP="00C756A3">
      <w:pPr>
        <w:shd w:val="clear" w:color="auto" w:fill="FFFFFF"/>
        <w:spacing w:line="320" w:lineRule="atLeast"/>
      </w:pPr>
      <w:r>
        <w:rPr>
          <w:rStyle w:val="FootnoteReference"/>
        </w:rPr>
        <w:footnoteRef/>
      </w:r>
      <w:r>
        <w:t xml:space="preserve"> </w:t>
      </w:r>
      <w:r w:rsidR="002117C8">
        <w:t>The sufficiency of the evidence issue</w:t>
      </w:r>
      <w:proofErr w:type="gramStart"/>
      <w:r w:rsidR="002117C8">
        <w:t>, in particular, is</w:t>
      </w:r>
      <w:proofErr w:type="gramEnd"/>
      <w:r w:rsidR="002117C8">
        <w:t xml:space="preserve"> close on the present record.  While even a single opinion by a psychiatric expert that a person is currently dangerous can be sufficient to support the extension of an OMHD commitment (</w:t>
      </w:r>
      <w:r w:rsidR="002117C8">
        <w:rPr>
          <w:rFonts w:eastAsia="Times New Roman" w:cs="Times New Roman"/>
          <w:i/>
          <w:iCs/>
          <w:color w:val="3D3D3D"/>
          <w:bdr w:val="none" w:sz="0" w:space="0" w:color="auto" w:frame="1"/>
        </w:rPr>
        <w:t>People v. Bowers</w:t>
      </w:r>
      <w:r w:rsidR="002117C8">
        <w:rPr>
          <w:rFonts w:eastAsia="Times New Roman" w:cs="Times New Roman"/>
          <w:color w:val="000000"/>
        </w:rPr>
        <w:t xml:space="preserve"> (2006) 145</w:t>
      </w:r>
      <w:r w:rsidR="00D02ECC">
        <w:rPr>
          <w:rFonts w:eastAsia="Times New Roman" w:cs="Times New Roman"/>
          <w:color w:val="000000"/>
        </w:rPr>
        <w:t> </w:t>
      </w:r>
      <w:r w:rsidR="002117C8">
        <w:rPr>
          <w:rFonts w:eastAsia="Times New Roman" w:cs="Times New Roman"/>
          <w:color w:val="000000"/>
        </w:rPr>
        <w:t>Cal.App.4th 870, 879), such an opinion must be based on more than speculation.</w:t>
      </w:r>
      <w:r w:rsidR="002117C8">
        <w:t xml:space="preserve">  Here, there </w:t>
      </w:r>
      <w:r w:rsidR="009E272D">
        <w:t>is</w:t>
      </w:r>
      <w:r w:rsidR="002117C8">
        <w:t xml:space="preserve"> evidence that McCray, who is now age 75, continues to be mentally ill</w:t>
      </w:r>
      <w:r w:rsidR="0067276F">
        <w:t>.  He</w:t>
      </w:r>
      <w:r w:rsidR="002117C8">
        <w:t xml:space="preserve"> is in denial about his illness; is resistant to treatment; uncooperative</w:t>
      </w:r>
      <w:r w:rsidR="00BA3EB8">
        <w:t xml:space="preserve"> and sometimes vituperative</w:t>
      </w:r>
      <w:r w:rsidR="005F723C">
        <w:t xml:space="preserve"> with staff assigned to assist him</w:t>
      </w:r>
      <w:r w:rsidR="00016E7F">
        <w:t>;</w:t>
      </w:r>
      <w:r w:rsidR="00971134">
        <w:t xml:space="preserve"> </w:t>
      </w:r>
      <w:r w:rsidR="005801A5">
        <w:t xml:space="preserve">and prone to </w:t>
      </w:r>
      <w:r w:rsidR="00385A0C">
        <w:t>outbursts of “agitation</w:t>
      </w:r>
      <w:r w:rsidR="0081602C">
        <w:t>,</w:t>
      </w:r>
      <w:r w:rsidR="00C9094D">
        <w:t xml:space="preserve"> hostility and bizarre beha</w:t>
      </w:r>
      <w:r w:rsidR="005801A5">
        <w:t>v</w:t>
      </w:r>
      <w:r w:rsidR="00C9094D">
        <w:t>ior</w:t>
      </w:r>
      <w:r w:rsidR="00B96899">
        <w:t>.</w:t>
      </w:r>
      <w:r w:rsidR="0004245D">
        <w:t>”</w:t>
      </w:r>
      <w:r w:rsidR="002117C8">
        <w:t xml:space="preserve">  There </w:t>
      </w:r>
      <w:r w:rsidR="009B42DE">
        <w:t>is</w:t>
      </w:r>
      <w:r w:rsidR="002117C8">
        <w:t xml:space="preserve"> also evidence that, as a much younger man, he had a significant criminal history of assaultive conduct, and that the last episode of such conduct, which took place two decades ago, was caused by his mental illness.  Without deciding whether, against this backdrop, the 2018 cane-brandishing incident justifie</w:t>
      </w:r>
      <w:r w:rsidR="00011BFF">
        <w:t>s</w:t>
      </w:r>
      <w:r w:rsidR="002117C8">
        <w:t xml:space="preserve"> the finding made here that McCray is </w:t>
      </w:r>
      <w:r w:rsidR="002117C8">
        <w:rPr>
          <w:i/>
          <w:iCs/>
        </w:rPr>
        <w:t>currently</w:t>
      </w:r>
      <w:r w:rsidR="002117C8">
        <w:t xml:space="preserve"> dangerous to others, suffice it to say, that, as time goes by, the evidence supporting continued recommitment in future years will become increasingly attenuated in the absence of more robust proof tying </w:t>
      </w:r>
      <w:r w:rsidR="007C4038">
        <w:t xml:space="preserve">McCray’s </w:t>
      </w:r>
      <w:r w:rsidR="002117C8">
        <w:t xml:space="preserve">mental illness to current dangerousness.  </w:t>
      </w:r>
      <w:r w:rsidR="002117C8">
        <w:rPr>
          <w:rFonts w:eastAsia="Times New Roman" w:cs="Arial"/>
          <w:color w:val="000000"/>
        </w:rPr>
        <w:t xml:space="preserve">“The [United States Supreme Court] has repeatedly ‘recognized that civil commitment for any purpose constitutes a significant deprivation of liberty that requires due process protection.’  [Citation.]  ‘Moreover, it is indisputable that involuntary commitment to a [psychiatric] hospital after a finding of probable dangerousness to self or others can engender adverse social consequences to the individual.  Whether we label this phenomena </w:t>
      </w:r>
      <w:r w:rsidR="009B76D0">
        <w:rPr>
          <w:rFonts w:eastAsia="Times New Roman" w:cs="Arial"/>
          <w:color w:val="000000"/>
        </w:rPr>
        <w:t>“</w:t>
      </w:r>
      <w:r w:rsidR="002117C8">
        <w:rPr>
          <w:rFonts w:eastAsia="Times New Roman" w:cs="Arial"/>
          <w:color w:val="000000"/>
        </w:rPr>
        <w:t>stigma</w:t>
      </w:r>
      <w:r w:rsidR="009B76D0">
        <w:rPr>
          <w:rFonts w:eastAsia="Times New Roman" w:cs="Arial"/>
          <w:color w:val="000000"/>
        </w:rPr>
        <w:t>”</w:t>
      </w:r>
      <w:r w:rsidR="002117C8">
        <w:rPr>
          <w:rFonts w:eastAsia="Times New Roman" w:cs="Arial"/>
          <w:color w:val="000000"/>
        </w:rPr>
        <w:t xml:space="preserve"> or choose to call it something else is less important than that we recognize that it can occur and that it can have a very significant impact on the individual.’  [Citation.]”  (</w:t>
      </w:r>
      <w:r w:rsidR="002117C8">
        <w:rPr>
          <w:rFonts w:eastAsia="Times New Roman" w:cs="Arial"/>
          <w:i/>
          <w:iCs/>
          <w:color w:val="3D3D3D"/>
          <w:bdr w:val="none" w:sz="0" w:space="0" w:color="auto" w:frame="1"/>
        </w:rPr>
        <w:t>In re Howard</w:t>
      </w:r>
      <w:r w:rsidR="00BA49D9">
        <w:rPr>
          <w:rFonts w:eastAsia="Times New Roman" w:cs="Arial"/>
          <w:i/>
          <w:iCs/>
          <w:color w:val="3D3D3D"/>
          <w:bdr w:val="none" w:sz="0" w:space="0" w:color="auto" w:frame="1"/>
        </w:rPr>
        <w:t> </w:t>
      </w:r>
      <w:r w:rsidR="002117C8">
        <w:rPr>
          <w:rFonts w:eastAsia="Times New Roman" w:cs="Arial"/>
          <w:i/>
          <w:iCs/>
          <w:color w:val="3D3D3D"/>
          <w:bdr w:val="none" w:sz="0" w:space="0" w:color="auto" w:frame="1"/>
        </w:rPr>
        <w:t>N</w:t>
      </w:r>
      <w:r w:rsidR="002117C8">
        <w:rPr>
          <w:rFonts w:eastAsia="Times New Roman" w:cs="Arial"/>
          <w:color w:val="000000"/>
        </w:rPr>
        <w:t>. (2005) 35</w:t>
      </w:r>
      <w:r w:rsidR="00BA49D9">
        <w:rPr>
          <w:rFonts w:eastAsia="Times New Roman" w:cs="Arial"/>
          <w:color w:val="000000"/>
        </w:rPr>
        <w:t> </w:t>
      </w:r>
      <w:r w:rsidR="002117C8">
        <w:rPr>
          <w:rFonts w:eastAsia="Times New Roman" w:cs="Arial"/>
          <w:color w:val="000000"/>
        </w:rPr>
        <w:t xml:space="preserve">Cal.4th 117, 127–128, quoting </w:t>
      </w:r>
      <w:r w:rsidR="002117C8">
        <w:rPr>
          <w:rFonts w:eastAsia="Times New Roman" w:cs="Arial"/>
          <w:i/>
          <w:iCs/>
          <w:color w:val="3D3D3D"/>
          <w:bdr w:val="none" w:sz="0" w:space="0" w:color="auto" w:frame="1"/>
        </w:rPr>
        <w:t>Addington v. Texas</w:t>
      </w:r>
      <w:r w:rsidR="002117C8">
        <w:rPr>
          <w:rFonts w:eastAsia="Times New Roman" w:cs="Arial"/>
          <w:color w:val="000000"/>
        </w:rPr>
        <w:t xml:space="preserve"> (1979) 441</w:t>
      </w:r>
      <w:r w:rsidR="00BA49D9">
        <w:rPr>
          <w:rFonts w:eastAsia="Times New Roman" w:cs="Arial"/>
          <w:color w:val="000000"/>
        </w:rPr>
        <w:t> </w:t>
      </w:r>
      <w:r w:rsidR="002117C8">
        <w:rPr>
          <w:rFonts w:eastAsia="Times New Roman" w:cs="Arial"/>
          <w:color w:val="000000"/>
        </w:rPr>
        <w:t>U.S. 418, 425–426.)</w:t>
      </w:r>
    </w:p>
  </w:footnote>
  <w:footnote w:id="6">
    <w:p w14:paraId="5A41CFB5" w14:textId="77777777" w:rsidR="005A071F" w:rsidRDefault="003C74B7" w:rsidP="005A071F">
      <w:pPr>
        <w:pStyle w:val="FootnoteText"/>
      </w:pPr>
      <w:r>
        <w:rPr>
          <w:rStyle w:val="FootnoteReference"/>
        </w:rPr>
        <w:footnoteRef/>
      </w:r>
      <w:r>
        <w:t xml:space="preserve"> Undesignated statutory references are to the Penal Code.</w:t>
      </w:r>
    </w:p>
  </w:footnote>
  <w:footnote w:id="7">
    <w:p w14:paraId="5A41CFB6" w14:textId="77777777" w:rsidR="00CF5D6F" w:rsidRDefault="003C74B7">
      <w:pPr>
        <w:pStyle w:val="FootnoteText"/>
      </w:pPr>
      <w:r>
        <w:rPr>
          <w:rStyle w:val="FootnoteReference"/>
        </w:rPr>
        <w:t>*</w:t>
      </w:r>
      <w:r>
        <w:t xml:space="preserve"> </w:t>
      </w:r>
      <w:r w:rsidR="007D2D83">
        <w:t xml:space="preserve">Judge of the Superior Court of California, County of Contra Costa, </w:t>
      </w:r>
      <w:r w:rsidR="004A2179">
        <w:t>assigned by the Chief Justice</w:t>
      </w:r>
      <w:r w:rsidR="00C377B8">
        <w:t xml:space="preserv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CFAD" w14:textId="77777777" w:rsidR="00A213FA" w:rsidRPr="000C7617" w:rsidRDefault="00A213FA" w:rsidP="00693516">
    <w:pPr>
      <w:pStyle w:val="Header"/>
      <w:tabs>
        <w:tab w:val="clear" w:pos="720"/>
        <w:tab w:val="left" w:pos="0"/>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66E"/>
    <w:multiLevelType w:val="hybridMultilevel"/>
    <w:tmpl w:val="D1D0CAE2"/>
    <w:lvl w:ilvl="0" w:tplc="1922784C">
      <w:start w:val="1"/>
      <w:numFmt w:val="decimal"/>
      <w:lvlText w:val="%1."/>
      <w:lvlJc w:val="left"/>
      <w:pPr>
        <w:ind w:left="1080" w:hanging="360"/>
      </w:pPr>
      <w:rPr>
        <w:rFonts w:hint="default"/>
      </w:rPr>
    </w:lvl>
    <w:lvl w:ilvl="1" w:tplc="5866A05A" w:tentative="1">
      <w:start w:val="1"/>
      <w:numFmt w:val="lowerLetter"/>
      <w:lvlText w:val="%2."/>
      <w:lvlJc w:val="left"/>
      <w:pPr>
        <w:ind w:left="1800" w:hanging="360"/>
      </w:pPr>
    </w:lvl>
    <w:lvl w:ilvl="2" w:tplc="1A520B40" w:tentative="1">
      <w:start w:val="1"/>
      <w:numFmt w:val="lowerRoman"/>
      <w:lvlText w:val="%3."/>
      <w:lvlJc w:val="right"/>
      <w:pPr>
        <w:ind w:left="2520" w:hanging="180"/>
      </w:pPr>
    </w:lvl>
    <w:lvl w:ilvl="3" w:tplc="008AEC84" w:tentative="1">
      <w:start w:val="1"/>
      <w:numFmt w:val="decimal"/>
      <w:lvlText w:val="%4."/>
      <w:lvlJc w:val="left"/>
      <w:pPr>
        <w:ind w:left="3240" w:hanging="360"/>
      </w:pPr>
    </w:lvl>
    <w:lvl w:ilvl="4" w:tplc="38D8490E" w:tentative="1">
      <w:start w:val="1"/>
      <w:numFmt w:val="lowerLetter"/>
      <w:lvlText w:val="%5."/>
      <w:lvlJc w:val="left"/>
      <w:pPr>
        <w:ind w:left="3960" w:hanging="360"/>
      </w:pPr>
    </w:lvl>
    <w:lvl w:ilvl="5" w:tplc="23A2469A" w:tentative="1">
      <w:start w:val="1"/>
      <w:numFmt w:val="lowerRoman"/>
      <w:lvlText w:val="%6."/>
      <w:lvlJc w:val="right"/>
      <w:pPr>
        <w:ind w:left="4680" w:hanging="180"/>
      </w:pPr>
    </w:lvl>
    <w:lvl w:ilvl="6" w:tplc="FEC453D4" w:tentative="1">
      <w:start w:val="1"/>
      <w:numFmt w:val="decimal"/>
      <w:lvlText w:val="%7."/>
      <w:lvlJc w:val="left"/>
      <w:pPr>
        <w:ind w:left="5400" w:hanging="360"/>
      </w:pPr>
    </w:lvl>
    <w:lvl w:ilvl="7" w:tplc="87262596" w:tentative="1">
      <w:start w:val="1"/>
      <w:numFmt w:val="lowerLetter"/>
      <w:lvlText w:val="%8."/>
      <w:lvlJc w:val="left"/>
      <w:pPr>
        <w:ind w:left="6120" w:hanging="360"/>
      </w:pPr>
    </w:lvl>
    <w:lvl w:ilvl="8" w:tplc="53900AE6" w:tentative="1">
      <w:start w:val="1"/>
      <w:numFmt w:val="lowerRoman"/>
      <w:lvlText w:val="%9."/>
      <w:lvlJc w:val="right"/>
      <w:pPr>
        <w:ind w:left="6840" w:hanging="180"/>
      </w:pPr>
    </w:lvl>
  </w:abstractNum>
  <w:abstractNum w:abstractNumId="1" w15:restartNumberingAfterBreak="0">
    <w:nsid w:val="1B1E7D42"/>
    <w:multiLevelType w:val="hybridMultilevel"/>
    <w:tmpl w:val="70529766"/>
    <w:lvl w:ilvl="0" w:tplc="C7CC9522">
      <w:start w:val="1"/>
      <w:numFmt w:val="upperRoman"/>
      <w:pStyle w:val="Heading1"/>
      <w:lvlText w:val="%1."/>
      <w:lvlJc w:val="right"/>
      <w:pPr>
        <w:ind w:left="72" w:hanging="72"/>
      </w:pPr>
    </w:lvl>
    <w:lvl w:ilvl="1" w:tplc="BB146FE4" w:tentative="1">
      <w:start w:val="1"/>
      <w:numFmt w:val="lowerLetter"/>
      <w:lvlText w:val="%2."/>
      <w:lvlJc w:val="left"/>
      <w:pPr>
        <w:ind w:left="8010" w:hanging="360"/>
      </w:pPr>
    </w:lvl>
    <w:lvl w:ilvl="2" w:tplc="EFB45E46" w:tentative="1">
      <w:start w:val="1"/>
      <w:numFmt w:val="lowerRoman"/>
      <w:lvlText w:val="%3."/>
      <w:lvlJc w:val="right"/>
      <w:pPr>
        <w:ind w:left="8730" w:hanging="180"/>
      </w:pPr>
    </w:lvl>
    <w:lvl w:ilvl="3" w:tplc="3634BE74" w:tentative="1">
      <w:start w:val="1"/>
      <w:numFmt w:val="decimal"/>
      <w:lvlText w:val="%4."/>
      <w:lvlJc w:val="left"/>
      <w:pPr>
        <w:ind w:left="9450" w:hanging="360"/>
      </w:pPr>
    </w:lvl>
    <w:lvl w:ilvl="4" w:tplc="F65A911C" w:tentative="1">
      <w:start w:val="1"/>
      <w:numFmt w:val="lowerLetter"/>
      <w:lvlText w:val="%5."/>
      <w:lvlJc w:val="left"/>
      <w:pPr>
        <w:ind w:left="10170" w:hanging="360"/>
      </w:pPr>
    </w:lvl>
    <w:lvl w:ilvl="5" w:tplc="4B1029FC" w:tentative="1">
      <w:start w:val="1"/>
      <w:numFmt w:val="lowerRoman"/>
      <w:lvlText w:val="%6."/>
      <w:lvlJc w:val="right"/>
      <w:pPr>
        <w:ind w:left="10890" w:hanging="180"/>
      </w:pPr>
    </w:lvl>
    <w:lvl w:ilvl="6" w:tplc="20582978" w:tentative="1">
      <w:start w:val="1"/>
      <w:numFmt w:val="decimal"/>
      <w:lvlText w:val="%7."/>
      <w:lvlJc w:val="left"/>
      <w:pPr>
        <w:ind w:left="11610" w:hanging="360"/>
      </w:pPr>
    </w:lvl>
    <w:lvl w:ilvl="7" w:tplc="23E20164" w:tentative="1">
      <w:start w:val="1"/>
      <w:numFmt w:val="lowerLetter"/>
      <w:lvlText w:val="%8."/>
      <w:lvlJc w:val="left"/>
      <w:pPr>
        <w:ind w:left="12330" w:hanging="360"/>
      </w:pPr>
    </w:lvl>
    <w:lvl w:ilvl="8" w:tplc="D5860494" w:tentative="1">
      <w:start w:val="1"/>
      <w:numFmt w:val="lowerRoman"/>
      <w:lvlText w:val="%9."/>
      <w:lvlJc w:val="right"/>
      <w:pPr>
        <w:ind w:left="13050" w:hanging="180"/>
      </w:pPr>
    </w:lvl>
  </w:abstractNum>
  <w:abstractNum w:abstractNumId="2" w15:restartNumberingAfterBreak="0">
    <w:nsid w:val="1F511C61"/>
    <w:multiLevelType w:val="hybridMultilevel"/>
    <w:tmpl w:val="D7C43212"/>
    <w:lvl w:ilvl="0" w:tplc="6216404A">
      <w:start w:val="1"/>
      <w:numFmt w:val="upperLetter"/>
      <w:lvlText w:val="%1."/>
      <w:lvlJc w:val="left"/>
      <w:pPr>
        <w:ind w:left="1440" w:hanging="360"/>
      </w:pPr>
    </w:lvl>
    <w:lvl w:ilvl="1" w:tplc="C5BA1D96" w:tentative="1">
      <w:start w:val="1"/>
      <w:numFmt w:val="lowerLetter"/>
      <w:lvlText w:val="%2."/>
      <w:lvlJc w:val="left"/>
      <w:pPr>
        <w:ind w:left="2160" w:hanging="360"/>
      </w:pPr>
    </w:lvl>
    <w:lvl w:ilvl="2" w:tplc="58F40DF6" w:tentative="1">
      <w:start w:val="1"/>
      <w:numFmt w:val="lowerRoman"/>
      <w:lvlText w:val="%3."/>
      <w:lvlJc w:val="right"/>
      <w:pPr>
        <w:ind w:left="2880" w:hanging="180"/>
      </w:pPr>
    </w:lvl>
    <w:lvl w:ilvl="3" w:tplc="0AA6FB42" w:tentative="1">
      <w:start w:val="1"/>
      <w:numFmt w:val="decimal"/>
      <w:lvlText w:val="%4."/>
      <w:lvlJc w:val="left"/>
      <w:pPr>
        <w:ind w:left="3600" w:hanging="360"/>
      </w:pPr>
    </w:lvl>
    <w:lvl w:ilvl="4" w:tplc="D22EBFD8" w:tentative="1">
      <w:start w:val="1"/>
      <w:numFmt w:val="lowerLetter"/>
      <w:lvlText w:val="%5."/>
      <w:lvlJc w:val="left"/>
      <w:pPr>
        <w:ind w:left="4320" w:hanging="360"/>
      </w:pPr>
    </w:lvl>
    <w:lvl w:ilvl="5" w:tplc="79E499BA" w:tentative="1">
      <w:start w:val="1"/>
      <w:numFmt w:val="lowerRoman"/>
      <w:lvlText w:val="%6."/>
      <w:lvlJc w:val="right"/>
      <w:pPr>
        <w:ind w:left="5040" w:hanging="180"/>
      </w:pPr>
    </w:lvl>
    <w:lvl w:ilvl="6" w:tplc="EE8CFF12" w:tentative="1">
      <w:start w:val="1"/>
      <w:numFmt w:val="decimal"/>
      <w:lvlText w:val="%7."/>
      <w:lvlJc w:val="left"/>
      <w:pPr>
        <w:ind w:left="5760" w:hanging="360"/>
      </w:pPr>
    </w:lvl>
    <w:lvl w:ilvl="7" w:tplc="DCD6816E" w:tentative="1">
      <w:start w:val="1"/>
      <w:numFmt w:val="lowerLetter"/>
      <w:lvlText w:val="%8."/>
      <w:lvlJc w:val="left"/>
      <w:pPr>
        <w:ind w:left="6480" w:hanging="360"/>
      </w:pPr>
    </w:lvl>
    <w:lvl w:ilvl="8" w:tplc="E3528570" w:tentative="1">
      <w:start w:val="1"/>
      <w:numFmt w:val="lowerRoman"/>
      <w:lvlText w:val="%9."/>
      <w:lvlJc w:val="right"/>
      <w:pPr>
        <w:ind w:left="7200" w:hanging="180"/>
      </w:pPr>
    </w:lvl>
  </w:abstractNum>
  <w:abstractNum w:abstractNumId="3" w15:restartNumberingAfterBreak="0">
    <w:nsid w:val="38555485"/>
    <w:multiLevelType w:val="hybridMultilevel"/>
    <w:tmpl w:val="0F660A00"/>
    <w:lvl w:ilvl="0" w:tplc="9F4EF648">
      <w:start w:val="1"/>
      <w:numFmt w:val="decimal"/>
      <w:pStyle w:val="Heading3"/>
      <w:lvlText w:val="%1."/>
      <w:lvlJc w:val="left"/>
      <w:pPr>
        <w:ind w:left="1080" w:hanging="360"/>
      </w:pPr>
      <w:rPr>
        <w:rFonts w:hint="default"/>
      </w:rPr>
    </w:lvl>
    <w:lvl w:ilvl="1" w:tplc="D2AEF196" w:tentative="1">
      <w:start w:val="1"/>
      <w:numFmt w:val="lowerLetter"/>
      <w:lvlText w:val="%2."/>
      <w:lvlJc w:val="left"/>
      <w:pPr>
        <w:ind w:left="1800" w:hanging="360"/>
      </w:pPr>
    </w:lvl>
    <w:lvl w:ilvl="2" w:tplc="87402E4E" w:tentative="1">
      <w:start w:val="1"/>
      <w:numFmt w:val="lowerRoman"/>
      <w:lvlText w:val="%3."/>
      <w:lvlJc w:val="right"/>
      <w:pPr>
        <w:ind w:left="2520" w:hanging="180"/>
      </w:pPr>
    </w:lvl>
    <w:lvl w:ilvl="3" w:tplc="B8DA0BA0" w:tentative="1">
      <w:start w:val="1"/>
      <w:numFmt w:val="decimal"/>
      <w:lvlText w:val="%4."/>
      <w:lvlJc w:val="left"/>
      <w:pPr>
        <w:ind w:left="3240" w:hanging="360"/>
      </w:pPr>
    </w:lvl>
    <w:lvl w:ilvl="4" w:tplc="510C9AAE" w:tentative="1">
      <w:start w:val="1"/>
      <w:numFmt w:val="lowerLetter"/>
      <w:lvlText w:val="%5."/>
      <w:lvlJc w:val="left"/>
      <w:pPr>
        <w:ind w:left="3960" w:hanging="360"/>
      </w:pPr>
    </w:lvl>
    <w:lvl w:ilvl="5" w:tplc="6F9E94DC" w:tentative="1">
      <w:start w:val="1"/>
      <w:numFmt w:val="lowerRoman"/>
      <w:lvlText w:val="%6."/>
      <w:lvlJc w:val="right"/>
      <w:pPr>
        <w:ind w:left="4680" w:hanging="180"/>
      </w:pPr>
    </w:lvl>
    <w:lvl w:ilvl="6" w:tplc="6AF6E79C" w:tentative="1">
      <w:start w:val="1"/>
      <w:numFmt w:val="decimal"/>
      <w:lvlText w:val="%7."/>
      <w:lvlJc w:val="left"/>
      <w:pPr>
        <w:ind w:left="5400" w:hanging="360"/>
      </w:pPr>
    </w:lvl>
    <w:lvl w:ilvl="7" w:tplc="06AEC4A8" w:tentative="1">
      <w:start w:val="1"/>
      <w:numFmt w:val="lowerLetter"/>
      <w:lvlText w:val="%8."/>
      <w:lvlJc w:val="left"/>
      <w:pPr>
        <w:ind w:left="6120" w:hanging="360"/>
      </w:pPr>
    </w:lvl>
    <w:lvl w:ilvl="8" w:tplc="FFEE1574" w:tentative="1">
      <w:start w:val="1"/>
      <w:numFmt w:val="lowerRoman"/>
      <w:lvlText w:val="%9."/>
      <w:lvlJc w:val="right"/>
      <w:pPr>
        <w:ind w:left="6840" w:hanging="180"/>
      </w:pPr>
    </w:lvl>
  </w:abstractNum>
  <w:abstractNum w:abstractNumId="4" w15:restartNumberingAfterBreak="0">
    <w:nsid w:val="39A23276"/>
    <w:multiLevelType w:val="hybridMultilevel"/>
    <w:tmpl w:val="0B90DBB0"/>
    <w:lvl w:ilvl="0" w:tplc="81F050C6">
      <w:start w:val="1"/>
      <w:numFmt w:val="upperLetter"/>
      <w:lvlText w:val="%1."/>
      <w:lvlJc w:val="left"/>
      <w:pPr>
        <w:ind w:left="2160" w:hanging="360"/>
      </w:pPr>
      <w:rPr>
        <w:b/>
        <w:bCs/>
      </w:rPr>
    </w:lvl>
    <w:lvl w:ilvl="1" w:tplc="56DED890" w:tentative="1">
      <w:start w:val="1"/>
      <w:numFmt w:val="lowerLetter"/>
      <w:lvlText w:val="%2."/>
      <w:lvlJc w:val="left"/>
      <w:pPr>
        <w:ind w:left="2880" w:hanging="360"/>
      </w:pPr>
    </w:lvl>
    <w:lvl w:ilvl="2" w:tplc="96D86F70" w:tentative="1">
      <w:start w:val="1"/>
      <w:numFmt w:val="lowerRoman"/>
      <w:lvlText w:val="%3."/>
      <w:lvlJc w:val="right"/>
      <w:pPr>
        <w:ind w:left="3600" w:hanging="180"/>
      </w:pPr>
    </w:lvl>
    <w:lvl w:ilvl="3" w:tplc="A3AA4F8C" w:tentative="1">
      <w:start w:val="1"/>
      <w:numFmt w:val="decimal"/>
      <w:lvlText w:val="%4."/>
      <w:lvlJc w:val="left"/>
      <w:pPr>
        <w:ind w:left="4320" w:hanging="360"/>
      </w:pPr>
    </w:lvl>
    <w:lvl w:ilvl="4" w:tplc="2CFC3960" w:tentative="1">
      <w:start w:val="1"/>
      <w:numFmt w:val="lowerLetter"/>
      <w:lvlText w:val="%5."/>
      <w:lvlJc w:val="left"/>
      <w:pPr>
        <w:ind w:left="5040" w:hanging="360"/>
      </w:pPr>
    </w:lvl>
    <w:lvl w:ilvl="5" w:tplc="A14A1D3E" w:tentative="1">
      <w:start w:val="1"/>
      <w:numFmt w:val="lowerRoman"/>
      <w:lvlText w:val="%6."/>
      <w:lvlJc w:val="right"/>
      <w:pPr>
        <w:ind w:left="5760" w:hanging="180"/>
      </w:pPr>
    </w:lvl>
    <w:lvl w:ilvl="6" w:tplc="248A378C" w:tentative="1">
      <w:start w:val="1"/>
      <w:numFmt w:val="decimal"/>
      <w:lvlText w:val="%7."/>
      <w:lvlJc w:val="left"/>
      <w:pPr>
        <w:ind w:left="6480" w:hanging="360"/>
      </w:pPr>
    </w:lvl>
    <w:lvl w:ilvl="7" w:tplc="5310FDC2" w:tentative="1">
      <w:start w:val="1"/>
      <w:numFmt w:val="lowerLetter"/>
      <w:lvlText w:val="%8."/>
      <w:lvlJc w:val="left"/>
      <w:pPr>
        <w:ind w:left="7200" w:hanging="360"/>
      </w:pPr>
    </w:lvl>
    <w:lvl w:ilvl="8" w:tplc="BC3CF690" w:tentative="1">
      <w:start w:val="1"/>
      <w:numFmt w:val="lowerRoman"/>
      <w:lvlText w:val="%9."/>
      <w:lvlJc w:val="right"/>
      <w:pPr>
        <w:ind w:left="7920" w:hanging="180"/>
      </w:pPr>
    </w:lvl>
  </w:abstractNum>
  <w:abstractNum w:abstractNumId="5" w15:restartNumberingAfterBreak="0">
    <w:nsid w:val="3BC53C32"/>
    <w:multiLevelType w:val="hybridMultilevel"/>
    <w:tmpl w:val="FFF6061C"/>
    <w:lvl w:ilvl="0" w:tplc="065A0CF8">
      <w:start w:val="1"/>
      <w:numFmt w:val="upperLetter"/>
      <w:pStyle w:val="Heading2"/>
      <w:lvlText w:val="%1."/>
      <w:lvlJc w:val="left"/>
      <w:pPr>
        <w:ind w:left="720" w:hanging="360"/>
      </w:pPr>
      <w:rPr>
        <w:rFonts w:hint="default"/>
        <w:i w:val="0"/>
        <w:iCs/>
      </w:rPr>
    </w:lvl>
    <w:lvl w:ilvl="1" w:tplc="DA6023B0" w:tentative="1">
      <w:start w:val="1"/>
      <w:numFmt w:val="lowerLetter"/>
      <w:lvlText w:val="%2."/>
      <w:lvlJc w:val="left"/>
      <w:pPr>
        <w:ind w:left="1440" w:hanging="360"/>
      </w:pPr>
    </w:lvl>
    <w:lvl w:ilvl="2" w:tplc="8B580F4E" w:tentative="1">
      <w:start w:val="1"/>
      <w:numFmt w:val="lowerRoman"/>
      <w:lvlText w:val="%3."/>
      <w:lvlJc w:val="right"/>
      <w:pPr>
        <w:ind w:left="2160" w:hanging="180"/>
      </w:pPr>
    </w:lvl>
    <w:lvl w:ilvl="3" w:tplc="87789A68" w:tentative="1">
      <w:start w:val="1"/>
      <w:numFmt w:val="decimal"/>
      <w:lvlText w:val="%4."/>
      <w:lvlJc w:val="left"/>
      <w:pPr>
        <w:ind w:left="2880" w:hanging="360"/>
      </w:pPr>
    </w:lvl>
    <w:lvl w:ilvl="4" w:tplc="2C60DCF6" w:tentative="1">
      <w:start w:val="1"/>
      <w:numFmt w:val="lowerLetter"/>
      <w:lvlText w:val="%5."/>
      <w:lvlJc w:val="left"/>
      <w:pPr>
        <w:ind w:left="3600" w:hanging="360"/>
      </w:pPr>
    </w:lvl>
    <w:lvl w:ilvl="5" w:tplc="71E834DA" w:tentative="1">
      <w:start w:val="1"/>
      <w:numFmt w:val="lowerRoman"/>
      <w:lvlText w:val="%6."/>
      <w:lvlJc w:val="right"/>
      <w:pPr>
        <w:ind w:left="4320" w:hanging="180"/>
      </w:pPr>
    </w:lvl>
    <w:lvl w:ilvl="6" w:tplc="D578026A" w:tentative="1">
      <w:start w:val="1"/>
      <w:numFmt w:val="decimal"/>
      <w:lvlText w:val="%7."/>
      <w:lvlJc w:val="left"/>
      <w:pPr>
        <w:ind w:left="5040" w:hanging="360"/>
      </w:pPr>
    </w:lvl>
    <w:lvl w:ilvl="7" w:tplc="F26488F8" w:tentative="1">
      <w:start w:val="1"/>
      <w:numFmt w:val="lowerLetter"/>
      <w:lvlText w:val="%8."/>
      <w:lvlJc w:val="left"/>
      <w:pPr>
        <w:ind w:left="5760" w:hanging="360"/>
      </w:pPr>
    </w:lvl>
    <w:lvl w:ilvl="8" w:tplc="FDAE8E88" w:tentative="1">
      <w:start w:val="1"/>
      <w:numFmt w:val="lowerRoman"/>
      <w:lvlText w:val="%9."/>
      <w:lvlJc w:val="right"/>
      <w:pPr>
        <w:ind w:left="6480" w:hanging="180"/>
      </w:pPr>
    </w:lvl>
  </w:abstractNum>
  <w:abstractNum w:abstractNumId="6" w15:restartNumberingAfterBreak="0">
    <w:nsid w:val="4A7C30E2"/>
    <w:multiLevelType w:val="hybridMultilevel"/>
    <w:tmpl w:val="1FC2E096"/>
    <w:lvl w:ilvl="0" w:tplc="28326B86">
      <w:start w:val="1"/>
      <w:numFmt w:val="lowerLetter"/>
      <w:pStyle w:val="Heading4"/>
      <w:lvlText w:val="%1."/>
      <w:lvlJc w:val="left"/>
      <w:pPr>
        <w:ind w:left="1440" w:hanging="360"/>
      </w:pPr>
      <w:rPr>
        <w:rFonts w:hint="default"/>
        <w:i w:val="0"/>
        <w:iCs w:val="0"/>
      </w:rPr>
    </w:lvl>
    <w:lvl w:ilvl="1" w:tplc="7D8AB192" w:tentative="1">
      <w:start w:val="1"/>
      <w:numFmt w:val="lowerLetter"/>
      <w:lvlText w:val="%2."/>
      <w:lvlJc w:val="left"/>
      <w:pPr>
        <w:ind w:left="2160" w:hanging="360"/>
      </w:pPr>
    </w:lvl>
    <w:lvl w:ilvl="2" w:tplc="C0F4F55E" w:tentative="1">
      <w:start w:val="1"/>
      <w:numFmt w:val="lowerRoman"/>
      <w:lvlText w:val="%3."/>
      <w:lvlJc w:val="right"/>
      <w:pPr>
        <w:ind w:left="2880" w:hanging="180"/>
      </w:pPr>
    </w:lvl>
    <w:lvl w:ilvl="3" w:tplc="B0F8954E" w:tentative="1">
      <w:start w:val="1"/>
      <w:numFmt w:val="decimal"/>
      <w:lvlText w:val="%4."/>
      <w:lvlJc w:val="left"/>
      <w:pPr>
        <w:ind w:left="3600" w:hanging="360"/>
      </w:pPr>
    </w:lvl>
    <w:lvl w:ilvl="4" w:tplc="63D2D5B8" w:tentative="1">
      <w:start w:val="1"/>
      <w:numFmt w:val="lowerLetter"/>
      <w:lvlText w:val="%5."/>
      <w:lvlJc w:val="left"/>
      <w:pPr>
        <w:ind w:left="4320" w:hanging="360"/>
      </w:pPr>
    </w:lvl>
    <w:lvl w:ilvl="5" w:tplc="9D7AD4A8" w:tentative="1">
      <w:start w:val="1"/>
      <w:numFmt w:val="lowerRoman"/>
      <w:lvlText w:val="%6."/>
      <w:lvlJc w:val="right"/>
      <w:pPr>
        <w:ind w:left="5040" w:hanging="180"/>
      </w:pPr>
    </w:lvl>
    <w:lvl w:ilvl="6" w:tplc="D8D62896" w:tentative="1">
      <w:start w:val="1"/>
      <w:numFmt w:val="decimal"/>
      <w:lvlText w:val="%7."/>
      <w:lvlJc w:val="left"/>
      <w:pPr>
        <w:ind w:left="5760" w:hanging="360"/>
      </w:pPr>
    </w:lvl>
    <w:lvl w:ilvl="7" w:tplc="4B72D8BE" w:tentative="1">
      <w:start w:val="1"/>
      <w:numFmt w:val="lowerLetter"/>
      <w:lvlText w:val="%8."/>
      <w:lvlJc w:val="left"/>
      <w:pPr>
        <w:ind w:left="6480" w:hanging="360"/>
      </w:pPr>
    </w:lvl>
    <w:lvl w:ilvl="8" w:tplc="AF643AE8" w:tentative="1">
      <w:start w:val="1"/>
      <w:numFmt w:val="lowerRoman"/>
      <w:lvlText w:val="%9."/>
      <w:lvlJc w:val="right"/>
      <w:pPr>
        <w:ind w:left="7200" w:hanging="180"/>
      </w:pPr>
    </w:lvl>
  </w:abstractNum>
  <w:num w:numId="1" w16cid:durableId="352147255">
    <w:abstractNumId w:val="1"/>
  </w:num>
  <w:num w:numId="2" w16cid:durableId="695545038">
    <w:abstractNumId w:val="5"/>
  </w:num>
  <w:num w:numId="3" w16cid:durableId="219293628">
    <w:abstractNumId w:val="3"/>
  </w:num>
  <w:num w:numId="4" w16cid:durableId="1220432930">
    <w:abstractNumId w:val="6"/>
  </w:num>
  <w:num w:numId="5" w16cid:durableId="1753116679">
    <w:abstractNumId w:val="1"/>
    <w:lvlOverride w:ilvl="0">
      <w:startOverride w:val="1"/>
    </w:lvlOverride>
  </w:num>
  <w:num w:numId="6" w16cid:durableId="1965034351">
    <w:abstractNumId w:val="1"/>
    <w:lvlOverride w:ilvl="0">
      <w:startOverride w:val="1"/>
    </w:lvlOverride>
  </w:num>
  <w:num w:numId="7" w16cid:durableId="238054612">
    <w:abstractNumId w:val="1"/>
    <w:lvlOverride w:ilvl="0">
      <w:startOverride w:val="1"/>
    </w:lvlOverride>
  </w:num>
  <w:num w:numId="8" w16cid:durableId="1886597981">
    <w:abstractNumId w:val="1"/>
    <w:lvlOverride w:ilvl="0">
      <w:startOverride w:val="1"/>
    </w:lvlOverride>
  </w:num>
  <w:num w:numId="9" w16cid:durableId="602879283">
    <w:abstractNumId w:val="1"/>
    <w:lvlOverride w:ilvl="0">
      <w:startOverride w:val="1"/>
    </w:lvlOverride>
  </w:num>
  <w:num w:numId="10" w16cid:durableId="1905214279">
    <w:abstractNumId w:val="1"/>
    <w:lvlOverride w:ilvl="0">
      <w:startOverride w:val="1"/>
    </w:lvlOverride>
  </w:num>
  <w:num w:numId="11" w16cid:durableId="599990372">
    <w:abstractNumId w:val="1"/>
    <w:lvlOverride w:ilvl="0">
      <w:startOverride w:val="1"/>
    </w:lvlOverride>
  </w:num>
  <w:num w:numId="12" w16cid:durableId="286544314">
    <w:abstractNumId w:val="1"/>
    <w:lvlOverride w:ilvl="0">
      <w:startOverride w:val="1"/>
    </w:lvlOverride>
  </w:num>
  <w:num w:numId="13" w16cid:durableId="507259873">
    <w:abstractNumId w:val="1"/>
    <w:lvlOverride w:ilvl="0">
      <w:startOverride w:val="1"/>
    </w:lvlOverride>
  </w:num>
  <w:num w:numId="14" w16cid:durableId="1588807893">
    <w:abstractNumId w:val="1"/>
    <w:lvlOverride w:ilvl="0">
      <w:startOverride w:val="1"/>
    </w:lvlOverride>
  </w:num>
  <w:num w:numId="15" w16cid:durableId="1462964232">
    <w:abstractNumId w:val="1"/>
    <w:lvlOverride w:ilvl="0">
      <w:startOverride w:val="1"/>
    </w:lvlOverride>
  </w:num>
  <w:num w:numId="16" w16cid:durableId="1122573523">
    <w:abstractNumId w:val="1"/>
    <w:lvlOverride w:ilvl="0">
      <w:startOverride w:val="1"/>
    </w:lvlOverride>
  </w:num>
  <w:num w:numId="17" w16cid:durableId="2075619741">
    <w:abstractNumId w:val="1"/>
    <w:lvlOverride w:ilvl="0">
      <w:startOverride w:val="1"/>
    </w:lvlOverride>
  </w:num>
  <w:num w:numId="18" w16cid:durableId="774860520">
    <w:abstractNumId w:val="4"/>
  </w:num>
  <w:num w:numId="19" w16cid:durableId="1215627693">
    <w:abstractNumId w:val="2"/>
  </w:num>
  <w:num w:numId="20" w16cid:durableId="837115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68"/>
    <w:rsid w:val="0000300A"/>
    <w:rsid w:val="00003421"/>
    <w:rsid w:val="0000445D"/>
    <w:rsid w:val="00004A05"/>
    <w:rsid w:val="000057BB"/>
    <w:rsid w:val="00005D6E"/>
    <w:rsid w:val="00006589"/>
    <w:rsid w:val="0000713A"/>
    <w:rsid w:val="000072F4"/>
    <w:rsid w:val="00007ED9"/>
    <w:rsid w:val="0001025A"/>
    <w:rsid w:val="00010712"/>
    <w:rsid w:val="00011168"/>
    <w:rsid w:val="00011A24"/>
    <w:rsid w:val="00011BFF"/>
    <w:rsid w:val="000131EA"/>
    <w:rsid w:val="00013F25"/>
    <w:rsid w:val="00014AFE"/>
    <w:rsid w:val="000165BC"/>
    <w:rsid w:val="000167C9"/>
    <w:rsid w:val="00016BD8"/>
    <w:rsid w:val="00016E7F"/>
    <w:rsid w:val="00017617"/>
    <w:rsid w:val="00017B6E"/>
    <w:rsid w:val="000221A4"/>
    <w:rsid w:val="000227D5"/>
    <w:rsid w:val="00022879"/>
    <w:rsid w:val="00022882"/>
    <w:rsid w:val="00024400"/>
    <w:rsid w:val="000258A6"/>
    <w:rsid w:val="00025BF5"/>
    <w:rsid w:val="000266F6"/>
    <w:rsid w:val="00026790"/>
    <w:rsid w:val="00026AD1"/>
    <w:rsid w:val="00026E10"/>
    <w:rsid w:val="000307F4"/>
    <w:rsid w:val="00030B82"/>
    <w:rsid w:val="00030DF7"/>
    <w:rsid w:val="000312F3"/>
    <w:rsid w:val="00031A94"/>
    <w:rsid w:val="0003236E"/>
    <w:rsid w:val="000329F1"/>
    <w:rsid w:val="00033382"/>
    <w:rsid w:val="00033D3A"/>
    <w:rsid w:val="0003425F"/>
    <w:rsid w:val="00034300"/>
    <w:rsid w:val="000348F0"/>
    <w:rsid w:val="00037F90"/>
    <w:rsid w:val="00040495"/>
    <w:rsid w:val="000412EF"/>
    <w:rsid w:val="000416CA"/>
    <w:rsid w:val="0004228D"/>
    <w:rsid w:val="0004245D"/>
    <w:rsid w:val="00042892"/>
    <w:rsid w:val="00045223"/>
    <w:rsid w:val="000463FB"/>
    <w:rsid w:val="00046851"/>
    <w:rsid w:val="00047A80"/>
    <w:rsid w:val="0005142F"/>
    <w:rsid w:val="00051543"/>
    <w:rsid w:val="00052353"/>
    <w:rsid w:val="0005280C"/>
    <w:rsid w:val="000528B5"/>
    <w:rsid w:val="00052D84"/>
    <w:rsid w:val="00053A72"/>
    <w:rsid w:val="00060205"/>
    <w:rsid w:val="0006029D"/>
    <w:rsid w:val="00061A2D"/>
    <w:rsid w:val="00061FF2"/>
    <w:rsid w:val="000625BE"/>
    <w:rsid w:val="00062B85"/>
    <w:rsid w:val="0006439B"/>
    <w:rsid w:val="00064A68"/>
    <w:rsid w:val="00066E1D"/>
    <w:rsid w:val="00066FF6"/>
    <w:rsid w:val="000700E2"/>
    <w:rsid w:val="00070DFE"/>
    <w:rsid w:val="00072701"/>
    <w:rsid w:val="00072C0B"/>
    <w:rsid w:val="00072EC9"/>
    <w:rsid w:val="000730CB"/>
    <w:rsid w:val="000736B2"/>
    <w:rsid w:val="0007394D"/>
    <w:rsid w:val="00073EF7"/>
    <w:rsid w:val="000747A1"/>
    <w:rsid w:val="00074DA7"/>
    <w:rsid w:val="00075256"/>
    <w:rsid w:val="000775C3"/>
    <w:rsid w:val="00077869"/>
    <w:rsid w:val="00077AE7"/>
    <w:rsid w:val="0008007C"/>
    <w:rsid w:val="00080669"/>
    <w:rsid w:val="00081836"/>
    <w:rsid w:val="00082824"/>
    <w:rsid w:val="0008299D"/>
    <w:rsid w:val="00082AC7"/>
    <w:rsid w:val="00082C19"/>
    <w:rsid w:val="00083DAA"/>
    <w:rsid w:val="00086BA6"/>
    <w:rsid w:val="00086E17"/>
    <w:rsid w:val="0009113C"/>
    <w:rsid w:val="00091303"/>
    <w:rsid w:val="0009272B"/>
    <w:rsid w:val="00092DF1"/>
    <w:rsid w:val="0009353E"/>
    <w:rsid w:val="00094B7C"/>
    <w:rsid w:val="00095060"/>
    <w:rsid w:val="00095359"/>
    <w:rsid w:val="0009573A"/>
    <w:rsid w:val="000975C6"/>
    <w:rsid w:val="000A0E71"/>
    <w:rsid w:val="000A1901"/>
    <w:rsid w:val="000A20C8"/>
    <w:rsid w:val="000A3317"/>
    <w:rsid w:val="000A4C3C"/>
    <w:rsid w:val="000A685F"/>
    <w:rsid w:val="000A6E1E"/>
    <w:rsid w:val="000B05C6"/>
    <w:rsid w:val="000B1DDF"/>
    <w:rsid w:val="000B2788"/>
    <w:rsid w:val="000B2951"/>
    <w:rsid w:val="000B4A18"/>
    <w:rsid w:val="000B58D3"/>
    <w:rsid w:val="000B7A1C"/>
    <w:rsid w:val="000B7F9B"/>
    <w:rsid w:val="000C210E"/>
    <w:rsid w:val="000C2736"/>
    <w:rsid w:val="000C3801"/>
    <w:rsid w:val="000C410F"/>
    <w:rsid w:val="000C46E7"/>
    <w:rsid w:val="000C5494"/>
    <w:rsid w:val="000C57EB"/>
    <w:rsid w:val="000C62F0"/>
    <w:rsid w:val="000C7315"/>
    <w:rsid w:val="000C7597"/>
    <w:rsid w:val="000C7617"/>
    <w:rsid w:val="000C7AFB"/>
    <w:rsid w:val="000C7BE2"/>
    <w:rsid w:val="000C7CF5"/>
    <w:rsid w:val="000D3030"/>
    <w:rsid w:val="000D3AB3"/>
    <w:rsid w:val="000D43BB"/>
    <w:rsid w:val="000D4BCF"/>
    <w:rsid w:val="000D579D"/>
    <w:rsid w:val="000D6417"/>
    <w:rsid w:val="000D72B1"/>
    <w:rsid w:val="000E03AD"/>
    <w:rsid w:val="000E0604"/>
    <w:rsid w:val="000E0614"/>
    <w:rsid w:val="000E0752"/>
    <w:rsid w:val="000E1545"/>
    <w:rsid w:val="000E19AE"/>
    <w:rsid w:val="000E3155"/>
    <w:rsid w:val="000E326E"/>
    <w:rsid w:val="000E37D8"/>
    <w:rsid w:val="000E4765"/>
    <w:rsid w:val="000E5225"/>
    <w:rsid w:val="000E68CC"/>
    <w:rsid w:val="000F12AD"/>
    <w:rsid w:val="000F433D"/>
    <w:rsid w:val="000F65F0"/>
    <w:rsid w:val="000F6C70"/>
    <w:rsid w:val="000F6E7C"/>
    <w:rsid w:val="000F7001"/>
    <w:rsid w:val="000F73F5"/>
    <w:rsid w:val="00100B60"/>
    <w:rsid w:val="00102D13"/>
    <w:rsid w:val="001050B9"/>
    <w:rsid w:val="00105694"/>
    <w:rsid w:val="001068CD"/>
    <w:rsid w:val="00106972"/>
    <w:rsid w:val="00106C1D"/>
    <w:rsid w:val="001072C1"/>
    <w:rsid w:val="001076B2"/>
    <w:rsid w:val="001078B3"/>
    <w:rsid w:val="00107A4D"/>
    <w:rsid w:val="00107BA3"/>
    <w:rsid w:val="00112131"/>
    <w:rsid w:val="00112373"/>
    <w:rsid w:val="0012089C"/>
    <w:rsid w:val="001212E5"/>
    <w:rsid w:val="00121AB0"/>
    <w:rsid w:val="00121D8F"/>
    <w:rsid w:val="001223FE"/>
    <w:rsid w:val="00122C3C"/>
    <w:rsid w:val="001233BC"/>
    <w:rsid w:val="001234A0"/>
    <w:rsid w:val="00126301"/>
    <w:rsid w:val="00126C50"/>
    <w:rsid w:val="0012710C"/>
    <w:rsid w:val="00130DBB"/>
    <w:rsid w:val="00133383"/>
    <w:rsid w:val="00134ECD"/>
    <w:rsid w:val="00136860"/>
    <w:rsid w:val="001368B8"/>
    <w:rsid w:val="00136F1B"/>
    <w:rsid w:val="0014003B"/>
    <w:rsid w:val="001403F7"/>
    <w:rsid w:val="001412FD"/>
    <w:rsid w:val="00142E6F"/>
    <w:rsid w:val="00146202"/>
    <w:rsid w:val="00146399"/>
    <w:rsid w:val="00146494"/>
    <w:rsid w:val="00147136"/>
    <w:rsid w:val="001473FC"/>
    <w:rsid w:val="001508C8"/>
    <w:rsid w:val="00150D6E"/>
    <w:rsid w:val="00152A2F"/>
    <w:rsid w:val="00152DDA"/>
    <w:rsid w:val="00153257"/>
    <w:rsid w:val="00153733"/>
    <w:rsid w:val="00153B00"/>
    <w:rsid w:val="00154827"/>
    <w:rsid w:val="001549FE"/>
    <w:rsid w:val="00155F97"/>
    <w:rsid w:val="0015627D"/>
    <w:rsid w:val="00160B08"/>
    <w:rsid w:val="00160DED"/>
    <w:rsid w:val="00161F5D"/>
    <w:rsid w:val="0016213E"/>
    <w:rsid w:val="001647B0"/>
    <w:rsid w:val="001649C9"/>
    <w:rsid w:val="00165D71"/>
    <w:rsid w:val="00165F5C"/>
    <w:rsid w:val="00167FBC"/>
    <w:rsid w:val="001704B4"/>
    <w:rsid w:val="00170524"/>
    <w:rsid w:val="00172A3C"/>
    <w:rsid w:val="0017355F"/>
    <w:rsid w:val="001744E7"/>
    <w:rsid w:val="0017492D"/>
    <w:rsid w:val="001749FB"/>
    <w:rsid w:val="0017641E"/>
    <w:rsid w:val="00176923"/>
    <w:rsid w:val="001807F4"/>
    <w:rsid w:val="00180DC0"/>
    <w:rsid w:val="00185909"/>
    <w:rsid w:val="00185C33"/>
    <w:rsid w:val="00185EE5"/>
    <w:rsid w:val="00186398"/>
    <w:rsid w:val="001865D7"/>
    <w:rsid w:val="00190C5E"/>
    <w:rsid w:val="00191C4D"/>
    <w:rsid w:val="00191FA8"/>
    <w:rsid w:val="00192733"/>
    <w:rsid w:val="00192B3C"/>
    <w:rsid w:val="00192D30"/>
    <w:rsid w:val="00193E74"/>
    <w:rsid w:val="00193FB8"/>
    <w:rsid w:val="0019433B"/>
    <w:rsid w:val="0019661E"/>
    <w:rsid w:val="00197838"/>
    <w:rsid w:val="001A1074"/>
    <w:rsid w:val="001A1E56"/>
    <w:rsid w:val="001A2813"/>
    <w:rsid w:val="001A2EFB"/>
    <w:rsid w:val="001A453D"/>
    <w:rsid w:val="001A5A99"/>
    <w:rsid w:val="001A5E89"/>
    <w:rsid w:val="001A63A6"/>
    <w:rsid w:val="001A67EB"/>
    <w:rsid w:val="001B03FB"/>
    <w:rsid w:val="001B0849"/>
    <w:rsid w:val="001B1663"/>
    <w:rsid w:val="001B269B"/>
    <w:rsid w:val="001B2C1B"/>
    <w:rsid w:val="001B32A6"/>
    <w:rsid w:val="001B330E"/>
    <w:rsid w:val="001B3DF1"/>
    <w:rsid w:val="001B448E"/>
    <w:rsid w:val="001B6A15"/>
    <w:rsid w:val="001B7613"/>
    <w:rsid w:val="001C1E1E"/>
    <w:rsid w:val="001C2CA1"/>
    <w:rsid w:val="001C36DC"/>
    <w:rsid w:val="001C4ABB"/>
    <w:rsid w:val="001C7DA9"/>
    <w:rsid w:val="001D1B01"/>
    <w:rsid w:val="001D2300"/>
    <w:rsid w:val="001D3CDC"/>
    <w:rsid w:val="001D4FB4"/>
    <w:rsid w:val="001D5A50"/>
    <w:rsid w:val="001D5C2C"/>
    <w:rsid w:val="001D60E3"/>
    <w:rsid w:val="001D62C0"/>
    <w:rsid w:val="001D67E7"/>
    <w:rsid w:val="001D6AC0"/>
    <w:rsid w:val="001D758A"/>
    <w:rsid w:val="001D759B"/>
    <w:rsid w:val="001D7B89"/>
    <w:rsid w:val="001E04D6"/>
    <w:rsid w:val="001E1DB9"/>
    <w:rsid w:val="001E34C9"/>
    <w:rsid w:val="001E4AE3"/>
    <w:rsid w:val="001E4AFE"/>
    <w:rsid w:val="001E58BC"/>
    <w:rsid w:val="001E5DBE"/>
    <w:rsid w:val="001E7309"/>
    <w:rsid w:val="001F16BB"/>
    <w:rsid w:val="001F1798"/>
    <w:rsid w:val="001F18C4"/>
    <w:rsid w:val="001F1965"/>
    <w:rsid w:val="001F1BD7"/>
    <w:rsid w:val="001F3BD6"/>
    <w:rsid w:val="001F3E3D"/>
    <w:rsid w:val="001F3FF6"/>
    <w:rsid w:val="001F46D8"/>
    <w:rsid w:val="001F4BC2"/>
    <w:rsid w:val="001F50F3"/>
    <w:rsid w:val="001F649A"/>
    <w:rsid w:val="00201190"/>
    <w:rsid w:val="002012E2"/>
    <w:rsid w:val="0020273E"/>
    <w:rsid w:val="0020509C"/>
    <w:rsid w:val="002055B9"/>
    <w:rsid w:val="00206042"/>
    <w:rsid w:val="002067C9"/>
    <w:rsid w:val="00206B2C"/>
    <w:rsid w:val="00207969"/>
    <w:rsid w:val="00207B32"/>
    <w:rsid w:val="00207BA2"/>
    <w:rsid w:val="0021049A"/>
    <w:rsid w:val="00210DC5"/>
    <w:rsid w:val="00211250"/>
    <w:rsid w:val="002117C8"/>
    <w:rsid w:val="00212724"/>
    <w:rsid w:val="00212B82"/>
    <w:rsid w:val="00214F39"/>
    <w:rsid w:val="002159F8"/>
    <w:rsid w:val="00215B3C"/>
    <w:rsid w:val="00216270"/>
    <w:rsid w:val="00220F43"/>
    <w:rsid w:val="0022207A"/>
    <w:rsid w:val="00222172"/>
    <w:rsid w:val="002227A3"/>
    <w:rsid w:val="0022296A"/>
    <w:rsid w:val="002231FE"/>
    <w:rsid w:val="002246E8"/>
    <w:rsid w:val="00224977"/>
    <w:rsid w:val="0022542C"/>
    <w:rsid w:val="0022567E"/>
    <w:rsid w:val="00225A82"/>
    <w:rsid w:val="00225EFA"/>
    <w:rsid w:val="00226FE6"/>
    <w:rsid w:val="00227FFD"/>
    <w:rsid w:val="00230339"/>
    <w:rsid w:val="00231292"/>
    <w:rsid w:val="00232C45"/>
    <w:rsid w:val="002334FD"/>
    <w:rsid w:val="00234DCA"/>
    <w:rsid w:val="002361E5"/>
    <w:rsid w:val="00236CCC"/>
    <w:rsid w:val="00236F61"/>
    <w:rsid w:val="00237492"/>
    <w:rsid w:val="00240DCE"/>
    <w:rsid w:val="00240E8A"/>
    <w:rsid w:val="00241FEE"/>
    <w:rsid w:val="00242247"/>
    <w:rsid w:val="002428CC"/>
    <w:rsid w:val="002429FD"/>
    <w:rsid w:val="00242A98"/>
    <w:rsid w:val="002431AA"/>
    <w:rsid w:val="00244BA2"/>
    <w:rsid w:val="00245354"/>
    <w:rsid w:val="002454D6"/>
    <w:rsid w:val="00245AA5"/>
    <w:rsid w:val="00245D64"/>
    <w:rsid w:val="00246865"/>
    <w:rsid w:val="002470C4"/>
    <w:rsid w:val="0025009B"/>
    <w:rsid w:val="00251023"/>
    <w:rsid w:val="002510C3"/>
    <w:rsid w:val="00251270"/>
    <w:rsid w:val="00252F04"/>
    <w:rsid w:val="0025430C"/>
    <w:rsid w:val="002551E0"/>
    <w:rsid w:val="00255547"/>
    <w:rsid w:val="002562C1"/>
    <w:rsid w:val="0025684F"/>
    <w:rsid w:val="00257909"/>
    <w:rsid w:val="002610F3"/>
    <w:rsid w:val="00261BA0"/>
    <w:rsid w:val="00263B69"/>
    <w:rsid w:val="00263DE0"/>
    <w:rsid w:val="002646F6"/>
    <w:rsid w:val="0026529B"/>
    <w:rsid w:val="00265FE7"/>
    <w:rsid w:val="0027009F"/>
    <w:rsid w:val="002709AA"/>
    <w:rsid w:val="002719A9"/>
    <w:rsid w:val="002727D3"/>
    <w:rsid w:val="00272C3D"/>
    <w:rsid w:val="00275DB9"/>
    <w:rsid w:val="002763F3"/>
    <w:rsid w:val="00277635"/>
    <w:rsid w:val="00277C03"/>
    <w:rsid w:val="00282988"/>
    <w:rsid w:val="00282ADA"/>
    <w:rsid w:val="00282B8D"/>
    <w:rsid w:val="00282C3F"/>
    <w:rsid w:val="002858DC"/>
    <w:rsid w:val="00286945"/>
    <w:rsid w:val="00287CD3"/>
    <w:rsid w:val="002922D9"/>
    <w:rsid w:val="00292ACD"/>
    <w:rsid w:val="00292B06"/>
    <w:rsid w:val="0029493F"/>
    <w:rsid w:val="002953F0"/>
    <w:rsid w:val="002954A5"/>
    <w:rsid w:val="00296A18"/>
    <w:rsid w:val="00296E2E"/>
    <w:rsid w:val="0029735D"/>
    <w:rsid w:val="002A0253"/>
    <w:rsid w:val="002A28F5"/>
    <w:rsid w:val="002A35A9"/>
    <w:rsid w:val="002A4DCD"/>
    <w:rsid w:val="002A7B10"/>
    <w:rsid w:val="002A7BB8"/>
    <w:rsid w:val="002B0BA9"/>
    <w:rsid w:val="002B0D26"/>
    <w:rsid w:val="002B242A"/>
    <w:rsid w:val="002B3848"/>
    <w:rsid w:val="002B523F"/>
    <w:rsid w:val="002B684B"/>
    <w:rsid w:val="002B6CDB"/>
    <w:rsid w:val="002B7407"/>
    <w:rsid w:val="002B77AE"/>
    <w:rsid w:val="002C00F7"/>
    <w:rsid w:val="002C1270"/>
    <w:rsid w:val="002C1A66"/>
    <w:rsid w:val="002C4406"/>
    <w:rsid w:val="002C46C9"/>
    <w:rsid w:val="002C6DE9"/>
    <w:rsid w:val="002C74DB"/>
    <w:rsid w:val="002D0295"/>
    <w:rsid w:val="002D044D"/>
    <w:rsid w:val="002D0A51"/>
    <w:rsid w:val="002D19F4"/>
    <w:rsid w:val="002D2049"/>
    <w:rsid w:val="002D22FE"/>
    <w:rsid w:val="002D24DE"/>
    <w:rsid w:val="002D3DDE"/>
    <w:rsid w:val="002D4167"/>
    <w:rsid w:val="002D43EA"/>
    <w:rsid w:val="002D4402"/>
    <w:rsid w:val="002D64E0"/>
    <w:rsid w:val="002D7B1D"/>
    <w:rsid w:val="002E06E6"/>
    <w:rsid w:val="002E072E"/>
    <w:rsid w:val="002E0CC7"/>
    <w:rsid w:val="002E175B"/>
    <w:rsid w:val="002E1EC9"/>
    <w:rsid w:val="002E21B2"/>
    <w:rsid w:val="002E26CA"/>
    <w:rsid w:val="002E32A3"/>
    <w:rsid w:val="002E3A5F"/>
    <w:rsid w:val="002E3C4E"/>
    <w:rsid w:val="002E3EC8"/>
    <w:rsid w:val="002E46EA"/>
    <w:rsid w:val="002E5C18"/>
    <w:rsid w:val="002E6114"/>
    <w:rsid w:val="002E64B5"/>
    <w:rsid w:val="002E6DEE"/>
    <w:rsid w:val="002F0CE9"/>
    <w:rsid w:val="002F1A42"/>
    <w:rsid w:val="002F1EDB"/>
    <w:rsid w:val="002F2299"/>
    <w:rsid w:val="002F2DDE"/>
    <w:rsid w:val="002F31E4"/>
    <w:rsid w:val="002F3247"/>
    <w:rsid w:val="002F35D8"/>
    <w:rsid w:val="002F38C7"/>
    <w:rsid w:val="002F432E"/>
    <w:rsid w:val="002F4D1A"/>
    <w:rsid w:val="002F5437"/>
    <w:rsid w:val="002F56B8"/>
    <w:rsid w:val="002F5772"/>
    <w:rsid w:val="002F5C20"/>
    <w:rsid w:val="002F5C55"/>
    <w:rsid w:val="002F66D3"/>
    <w:rsid w:val="002F69C7"/>
    <w:rsid w:val="002F710F"/>
    <w:rsid w:val="002F739A"/>
    <w:rsid w:val="003009E3"/>
    <w:rsid w:val="00301815"/>
    <w:rsid w:val="00301B09"/>
    <w:rsid w:val="003022CA"/>
    <w:rsid w:val="0030344C"/>
    <w:rsid w:val="00303BEA"/>
    <w:rsid w:val="00303D80"/>
    <w:rsid w:val="003044CA"/>
    <w:rsid w:val="00304C8C"/>
    <w:rsid w:val="00304DF1"/>
    <w:rsid w:val="00304F69"/>
    <w:rsid w:val="00305387"/>
    <w:rsid w:val="00310587"/>
    <w:rsid w:val="003116B4"/>
    <w:rsid w:val="003122B1"/>
    <w:rsid w:val="003136D0"/>
    <w:rsid w:val="003139BD"/>
    <w:rsid w:val="00314756"/>
    <w:rsid w:val="00315197"/>
    <w:rsid w:val="003172A8"/>
    <w:rsid w:val="00317BFD"/>
    <w:rsid w:val="003210B9"/>
    <w:rsid w:val="00321CEF"/>
    <w:rsid w:val="0032409D"/>
    <w:rsid w:val="00325DED"/>
    <w:rsid w:val="003260FD"/>
    <w:rsid w:val="00330089"/>
    <w:rsid w:val="003335AE"/>
    <w:rsid w:val="00333EF0"/>
    <w:rsid w:val="00333F46"/>
    <w:rsid w:val="00335EA4"/>
    <w:rsid w:val="00336E2A"/>
    <w:rsid w:val="003370C4"/>
    <w:rsid w:val="003407E5"/>
    <w:rsid w:val="003410D4"/>
    <w:rsid w:val="0034133A"/>
    <w:rsid w:val="00341863"/>
    <w:rsid w:val="00341F3F"/>
    <w:rsid w:val="00342868"/>
    <w:rsid w:val="00342F98"/>
    <w:rsid w:val="00344E8E"/>
    <w:rsid w:val="00345627"/>
    <w:rsid w:val="00345BC4"/>
    <w:rsid w:val="00345DC2"/>
    <w:rsid w:val="003474BC"/>
    <w:rsid w:val="003476F7"/>
    <w:rsid w:val="00347BA2"/>
    <w:rsid w:val="00350693"/>
    <w:rsid w:val="003507A1"/>
    <w:rsid w:val="00350E8E"/>
    <w:rsid w:val="00350F90"/>
    <w:rsid w:val="0035298B"/>
    <w:rsid w:val="00353EB3"/>
    <w:rsid w:val="00354596"/>
    <w:rsid w:val="00354A6A"/>
    <w:rsid w:val="00354B91"/>
    <w:rsid w:val="00354E08"/>
    <w:rsid w:val="0035547D"/>
    <w:rsid w:val="003554AF"/>
    <w:rsid w:val="00355A3A"/>
    <w:rsid w:val="00357AD7"/>
    <w:rsid w:val="00357F9A"/>
    <w:rsid w:val="00360F74"/>
    <w:rsid w:val="00361375"/>
    <w:rsid w:val="003637E8"/>
    <w:rsid w:val="0036500E"/>
    <w:rsid w:val="0036509F"/>
    <w:rsid w:val="003674EC"/>
    <w:rsid w:val="00367EF4"/>
    <w:rsid w:val="0037057B"/>
    <w:rsid w:val="0037068E"/>
    <w:rsid w:val="0037353C"/>
    <w:rsid w:val="003741DB"/>
    <w:rsid w:val="003755A6"/>
    <w:rsid w:val="003763F9"/>
    <w:rsid w:val="0037698D"/>
    <w:rsid w:val="0038004B"/>
    <w:rsid w:val="0038165B"/>
    <w:rsid w:val="00381B16"/>
    <w:rsid w:val="00382225"/>
    <w:rsid w:val="00384B8C"/>
    <w:rsid w:val="00385A0C"/>
    <w:rsid w:val="00386FFC"/>
    <w:rsid w:val="003874FA"/>
    <w:rsid w:val="003879BA"/>
    <w:rsid w:val="0039028B"/>
    <w:rsid w:val="00390543"/>
    <w:rsid w:val="00392739"/>
    <w:rsid w:val="003945D3"/>
    <w:rsid w:val="00394626"/>
    <w:rsid w:val="00394DC7"/>
    <w:rsid w:val="00395573"/>
    <w:rsid w:val="003955DC"/>
    <w:rsid w:val="00395936"/>
    <w:rsid w:val="00396115"/>
    <w:rsid w:val="003963B4"/>
    <w:rsid w:val="00397547"/>
    <w:rsid w:val="00397588"/>
    <w:rsid w:val="003975FF"/>
    <w:rsid w:val="003A007B"/>
    <w:rsid w:val="003A01B7"/>
    <w:rsid w:val="003A09E4"/>
    <w:rsid w:val="003A14C0"/>
    <w:rsid w:val="003A1755"/>
    <w:rsid w:val="003A210F"/>
    <w:rsid w:val="003A2480"/>
    <w:rsid w:val="003A4437"/>
    <w:rsid w:val="003A5410"/>
    <w:rsid w:val="003A58C7"/>
    <w:rsid w:val="003A66DA"/>
    <w:rsid w:val="003A7BC9"/>
    <w:rsid w:val="003B0782"/>
    <w:rsid w:val="003B0D0F"/>
    <w:rsid w:val="003B11EF"/>
    <w:rsid w:val="003B2BC2"/>
    <w:rsid w:val="003B3D90"/>
    <w:rsid w:val="003B427E"/>
    <w:rsid w:val="003B4CD2"/>
    <w:rsid w:val="003B5A41"/>
    <w:rsid w:val="003B5C48"/>
    <w:rsid w:val="003B5CE3"/>
    <w:rsid w:val="003C055E"/>
    <w:rsid w:val="003C0979"/>
    <w:rsid w:val="003C1173"/>
    <w:rsid w:val="003C2687"/>
    <w:rsid w:val="003C3760"/>
    <w:rsid w:val="003C6531"/>
    <w:rsid w:val="003C6DBF"/>
    <w:rsid w:val="003C71E9"/>
    <w:rsid w:val="003C74B7"/>
    <w:rsid w:val="003C75AA"/>
    <w:rsid w:val="003C7C98"/>
    <w:rsid w:val="003D0B70"/>
    <w:rsid w:val="003D1663"/>
    <w:rsid w:val="003D2106"/>
    <w:rsid w:val="003D31F7"/>
    <w:rsid w:val="003D4127"/>
    <w:rsid w:val="003D427F"/>
    <w:rsid w:val="003D485A"/>
    <w:rsid w:val="003D6C65"/>
    <w:rsid w:val="003D779C"/>
    <w:rsid w:val="003E16D0"/>
    <w:rsid w:val="003E2640"/>
    <w:rsid w:val="003E2DD9"/>
    <w:rsid w:val="003E32C4"/>
    <w:rsid w:val="003E3477"/>
    <w:rsid w:val="003E3A5F"/>
    <w:rsid w:val="003E44E0"/>
    <w:rsid w:val="003E704B"/>
    <w:rsid w:val="003F075A"/>
    <w:rsid w:val="003F077B"/>
    <w:rsid w:val="003F1648"/>
    <w:rsid w:val="003F1B5C"/>
    <w:rsid w:val="003F1F01"/>
    <w:rsid w:val="003F29DB"/>
    <w:rsid w:val="003F2D8B"/>
    <w:rsid w:val="003F32C8"/>
    <w:rsid w:val="003F4326"/>
    <w:rsid w:val="003F4D9E"/>
    <w:rsid w:val="003F51DD"/>
    <w:rsid w:val="003F66FB"/>
    <w:rsid w:val="003F7117"/>
    <w:rsid w:val="003F7226"/>
    <w:rsid w:val="003F77AA"/>
    <w:rsid w:val="003F7D8E"/>
    <w:rsid w:val="004022F5"/>
    <w:rsid w:val="00402342"/>
    <w:rsid w:val="00402951"/>
    <w:rsid w:val="004029CD"/>
    <w:rsid w:val="004035E1"/>
    <w:rsid w:val="00404532"/>
    <w:rsid w:val="0040453D"/>
    <w:rsid w:val="00404DF2"/>
    <w:rsid w:val="00405853"/>
    <w:rsid w:val="00406E96"/>
    <w:rsid w:val="00407C3F"/>
    <w:rsid w:val="00412293"/>
    <w:rsid w:val="0041328A"/>
    <w:rsid w:val="00414552"/>
    <w:rsid w:val="004156C3"/>
    <w:rsid w:val="00416E4F"/>
    <w:rsid w:val="00417DC7"/>
    <w:rsid w:val="0042004D"/>
    <w:rsid w:val="0042025B"/>
    <w:rsid w:val="00420986"/>
    <w:rsid w:val="00420C00"/>
    <w:rsid w:val="00420FF9"/>
    <w:rsid w:val="00421BFB"/>
    <w:rsid w:val="00423DD4"/>
    <w:rsid w:val="0042556E"/>
    <w:rsid w:val="0042681C"/>
    <w:rsid w:val="004307F9"/>
    <w:rsid w:val="00430BE1"/>
    <w:rsid w:val="00430FA6"/>
    <w:rsid w:val="0043214B"/>
    <w:rsid w:val="004326FF"/>
    <w:rsid w:val="004327E2"/>
    <w:rsid w:val="00432823"/>
    <w:rsid w:val="00433693"/>
    <w:rsid w:val="00433B4E"/>
    <w:rsid w:val="00434704"/>
    <w:rsid w:val="00435EAF"/>
    <w:rsid w:val="0043634B"/>
    <w:rsid w:val="00436B7E"/>
    <w:rsid w:val="004376D0"/>
    <w:rsid w:val="0044122F"/>
    <w:rsid w:val="00441E58"/>
    <w:rsid w:val="00441F0E"/>
    <w:rsid w:val="00442A54"/>
    <w:rsid w:val="00442C0A"/>
    <w:rsid w:val="00443F42"/>
    <w:rsid w:val="00446F22"/>
    <w:rsid w:val="00447295"/>
    <w:rsid w:val="0045109E"/>
    <w:rsid w:val="0045210A"/>
    <w:rsid w:val="00452E03"/>
    <w:rsid w:val="00454B38"/>
    <w:rsid w:val="0045544B"/>
    <w:rsid w:val="00456C95"/>
    <w:rsid w:val="00457DCF"/>
    <w:rsid w:val="00461305"/>
    <w:rsid w:val="00462040"/>
    <w:rsid w:val="00462061"/>
    <w:rsid w:val="004655AC"/>
    <w:rsid w:val="00466412"/>
    <w:rsid w:val="004665D5"/>
    <w:rsid w:val="00466918"/>
    <w:rsid w:val="004676E7"/>
    <w:rsid w:val="004704CF"/>
    <w:rsid w:val="004713D7"/>
    <w:rsid w:val="00473673"/>
    <w:rsid w:val="00473A5E"/>
    <w:rsid w:val="00475646"/>
    <w:rsid w:val="00475E50"/>
    <w:rsid w:val="0048111F"/>
    <w:rsid w:val="0048120F"/>
    <w:rsid w:val="0048163F"/>
    <w:rsid w:val="0048315B"/>
    <w:rsid w:val="0048469D"/>
    <w:rsid w:val="004846B8"/>
    <w:rsid w:val="00485B97"/>
    <w:rsid w:val="00485C88"/>
    <w:rsid w:val="00486509"/>
    <w:rsid w:val="004869A0"/>
    <w:rsid w:val="00487BC8"/>
    <w:rsid w:val="0049143F"/>
    <w:rsid w:val="00491DDC"/>
    <w:rsid w:val="004921F9"/>
    <w:rsid w:val="004942C1"/>
    <w:rsid w:val="00494954"/>
    <w:rsid w:val="0049530C"/>
    <w:rsid w:val="00495876"/>
    <w:rsid w:val="00495ABE"/>
    <w:rsid w:val="00495E1A"/>
    <w:rsid w:val="00497FEC"/>
    <w:rsid w:val="004A167C"/>
    <w:rsid w:val="004A1D66"/>
    <w:rsid w:val="004A2179"/>
    <w:rsid w:val="004A3ECC"/>
    <w:rsid w:val="004A4017"/>
    <w:rsid w:val="004A405F"/>
    <w:rsid w:val="004A4C15"/>
    <w:rsid w:val="004A64B2"/>
    <w:rsid w:val="004A6F91"/>
    <w:rsid w:val="004A722C"/>
    <w:rsid w:val="004B000D"/>
    <w:rsid w:val="004B1172"/>
    <w:rsid w:val="004B1F84"/>
    <w:rsid w:val="004B207E"/>
    <w:rsid w:val="004B27F7"/>
    <w:rsid w:val="004B2BB4"/>
    <w:rsid w:val="004B3125"/>
    <w:rsid w:val="004B3F06"/>
    <w:rsid w:val="004B4ADE"/>
    <w:rsid w:val="004B5C20"/>
    <w:rsid w:val="004B6045"/>
    <w:rsid w:val="004B702A"/>
    <w:rsid w:val="004B764F"/>
    <w:rsid w:val="004B7995"/>
    <w:rsid w:val="004B7E01"/>
    <w:rsid w:val="004C02F0"/>
    <w:rsid w:val="004C086D"/>
    <w:rsid w:val="004C0E85"/>
    <w:rsid w:val="004C0E8C"/>
    <w:rsid w:val="004C1066"/>
    <w:rsid w:val="004C1C1C"/>
    <w:rsid w:val="004C271C"/>
    <w:rsid w:val="004C2EA9"/>
    <w:rsid w:val="004C34EC"/>
    <w:rsid w:val="004C5B1D"/>
    <w:rsid w:val="004C5E72"/>
    <w:rsid w:val="004C672E"/>
    <w:rsid w:val="004C737C"/>
    <w:rsid w:val="004C75E9"/>
    <w:rsid w:val="004C7D38"/>
    <w:rsid w:val="004D016D"/>
    <w:rsid w:val="004D0CCD"/>
    <w:rsid w:val="004D21FC"/>
    <w:rsid w:val="004D2DD3"/>
    <w:rsid w:val="004D328A"/>
    <w:rsid w:val="004D37A4"/>
    <w:rsid w:val="004D479A"/>
    <w:rsid w:val="004D4EA9"/>
    <w:rsid w:val="004D519D"/>
    <w:rsid w:val="004D60A1"/>
    <w:rsid w:val="004D6621"/>
    <w:rsid w:val="004E0340"/>
    <w:rsid w:val="004E213E"/>
    <w:rsid w:val="004E241D"/>
    <w:rsid w:val="004E4C24"/>
    <w:rsid w:val="004E5AF7"/>
    <w:rsid w:val="004E5DA4"/>
    <w:rsid w:val="004E75F9"/>
    <w:rsid w:val="004F00F3"/>
    <w:rsid w:val="004F0161"/>
    <w:rsid w:val="004F0774"/>
    <w:rsid w:val="004F07B7"/>
    <w:rsid w:val="004F168E"/>
    <w:rsid w:val="004F2E63"/>
    <w:rsid w:val="004F3715"/>
    <w:rsid w:val="004F4931"/>
    <w:rsid w:val="004F5BCF"/>
    <w:rsid w:val="004F5E76"/>
    <w:rsid w:val="004F5FDC"/>
    <w:rsid w:val="004F6053"/>
    <w:rsid w:val="004F74A6"/>
    <w:rsid w:val="004F7F94"/>
    <w:rsid w:val="005010D1"/>
    <w:rsid w:val="005013D3"/>
    <w:rsid w:val="00501A3A"/>
    <w:rsid w:val="005027CE"/>
    <w:rsid w:val="00504481"/>
    <w:rsid w:val="00504548"/>
    <w:rsid w:val="00505485"/>
    <w:rsid w:val="0050564C"/>
    <w:rsid w:val="00505A02"/>
    <w:rsid w:val="00505EB1"/>
    <w:rsid w:val="005062D9"/>
    <w:rsid w:val="00507CDD"/>
    <w:rsid w:val="00510E6B"/>
    <w:rsid w:val="005126CF"/>
    <w:rsid w:val="005127F4"/>
    <w:rsid w:val="00512AAA"/>
    <w:rsid w:val="00512D56"/>
    <w:rsid w:val="00513155"/>
    <w:rsid w:val="00513DFF"/>
    <w:rsid w:val="00514B41"/>
    <w:rsid w:val="005151FF"/>
    <w:rsid w:val="005168F7"/>
    <w:rsid w:val="00517684"/>
    <w:rsid w:val="00517DBE"/>
    <w:rsid w:val="00520B08"/>
    <w:rsid w:val="00520CBD"/>
    <w:rsid w:val="00522C22"/>
    <w:rsid w:val="00523075"/>
    <w:rsid w:val="00523835"/>
    <w:rsid w:val="005239E8"/>
    <w:rsid w:val="005242CE"/>
    <w:rsid w:val="0052440B"/>
    <w:rsid w:val="00524886"/>
    <w:rsid w:val="005259CA"/>
    <w:rsid w:val="0052645C"/>
    <w:rsid w:val="00527CF5"/>
    <w:rsid w:val="00527EBE"/>
    <w:rsid w:val="0053034D"/>
    <w:rsid w:val="00531318"/>
    <w:rsid w:val="005314B0"/>
    <w:rsid w:val="00533C6E"/>
    <w:rsid w:val="00540000"/>
    <w:rsid w:val="0054048E"/>
    <w:rsid w:val="005404D2"/>
    <w:rsid w:val="00541632"/>
    <w:rsid w:val="005418CA"/>
    <w:rsid w:val="0054283B"/>
    <w:rsid w:val="0054312D"/>
    <w:rsid w:val="00543177"/>
    <w:rsid w:val="005432E2"/>
    <w:rsid w:val="00543569"/>
    <w:rsid w:val="00543A70"/>
    <w:rsid w:val="00551E54"/>
    <w:rsid w:val="0055299A"/>
    <w:rsid w:val="00553573"/>
    <w:rsid w:val="00553CC0"/>
    <w:rsid w:val="0055400B"/>
    <w:rsid w:val="00555431"/>
    <w:rsid w:val="00556165"/>
    <w:rsid w:val="00557CD5"/>
    <w:rsid w:val="00563047"/>
    <w:rsid w:val="00571C13"/>
    <w:rsid w:val="00571DB6"/>
    <w:rsid w:val="00573192"/>
    <w:rsid w:val="00574564"/>
    <w:rsid w:val="00574614"/>
    <w:rsid w:val="005746EA"/>
    <w:rsid w:val="005759F9"/>
    <w:rsid w:val="005779E9"/>
    <w:rsid w:val="00577C81"/>
    <w:rsid w:val="005801A5"/>
    <w:rsid w:val="00580B09"/>
    <w:rsid w:val="00584958"/>
    <w:rsid w:val="00584BC5"/>
    <w:rsid w:val="00585ACF"/>
    <w:rsid w:val="00586BE5"/>
    <w:rsid w:val="005875D1"/>
    <w:rsid w:val="00591453"/>
    <w:rsid w:val="00592AC1"/>
    <w:rsid w:val="00594EFC"/>
    <w:rsid w:val="00595DD5"/>
    <w:rsid w:val="005966C8"/>
    <w:rsid w:val="0059701D"/>
    <w:rsid w:val="005972F9"/>
    <w:rsid w:val="0059785B"/>
    <w:rsid w:val="005A0462"/>
    <w:rsid w:val="005A0466"/>
    <w:rsid w:val="005A06FF"/>
    <w:rsid w:val="005A071F"/>
    <w:rsid w:val="005A1DC9"/>
    <w:rsid w:val="005A1DCE"/>
    <w:rsid w:val="005A3964"/>
    <w:rsid w:val="005A555D"/>
    <w:rsid w:val="005A6D39"/>
    <w:rsid w:val="005A76B9"/>
    <w:rsid w:val="005B02C0"/>
    <w:rsid w:val="005B06B5"/>
    <w:rsid w:val="005B2F18"/>
    <w:rsid w:val="005B2FBF"/>
    <w:rsid w:val="005B4AAE"/>
    <w:rsid w:val="005B68AC"/>
    <w:rsid w:val="005B76BC"/>
    <w:rsid w:val="005B7816"/>
    <w:rsid w:val="005C15AA"/>
    <w:rsid w:val="005C1DD4"/>
    <w:rsid w:val="005C274C"/>
    <w:rsid w:val="005C3FF9"/>
    <w:rsid w:val="005C4FF3"/>
    <w:rsid w:val="005C56BD"/>
    <w:rsid w:val="005C6115"/>
    <w:rsid w:val="005D021F"/>
    <w:rsid w:val="005D0F89"/>
    <w:rsid w:val="005D1ED4"/>
    <w:rsid w:val="005D21BB"/>
    <w:rsid w:val="005D3C25"/>
    <w:rsid w:val="005D3D64"/>
    <w:rsid w:val="005D47E6"/>
    <w:rsid w:val="005D5334"/>
    <w:rsid w:val="005E00C2"/>
    <w:rsid w:val="005E00D1"/>
    <w:rsid w:val="005E2896"/>
    <w:rsid w:val="005E2918"/>
    <w:rsid w:val="005E2A2B"/>
    <w:rsid w:val="005E3176"/>
    <w:rsid w:val="005E3ABF"/>
    <w:rsid w:val="005E6500"/>
    <w:rsid w:val="005E6B9F"/>
    <w:rsid w:val="005E7344"/>
    <w:rsid w:val="005E7498"/>
    <w:rsid w:val="005E786E"/>
    <w:rsid w:val="005F0DA2"/>
    <w:rsid w:val="005F18F1"/>
    <w:rsid w:val="005F1D1C"/>
    <w:rsid w:val="005F3346"/>
    <w:rsid w:val="005F4B07"/>
    <w:rsid w:val="005F516C"/>
    <w:rsid w:val="005F676A"/>
    <w:rsid w:val="005F6A63"/>
    <w:rsid w:val="005F723C"/>
    <w:rsid w:val="005F78E5"/>
    <w:rsid w:val="00600971"/>
    <w:rsid w:val="00600994"/>
    <w:rsid w:val="0060106C"/>
    <w:rsid w:val="0060133F"/>
    <w:rsid w:val="00604A94"/>
    <w:rsid w:val="006050C0"/>
    <w:rsid w:val="00605E6A"/>
    <w:rsid w:val="00606F58"/>
    <w:rsid w:val="00610076"/>
    <w:rsid w:val="00610405"/>
    <w:rsid w:val="0061130B"/>
    <w:rsid w:val="0061152E"/>
    <w:rsid w:val="00611A2C"/>
    <w:rsid w:val="00611EA7"/>
    <w:rsid w:val="00612D6B"/>
    <w:rsid w:val="00614677"/>
    <w:rsid w:val="00617123"/>
    <w:rsid w:val="00617DEE"/>
    <w:rsid w:val="0062046E"/>
    <w:rsid w:val="00620707"/>
    <w:rsid w:val="00620771"/>
    <w:rsid w:val="006217B5"/>
    <w:rsid w:val="00622D72"/>
    <w:rsid w:val="00622F26"/>
    <w:rsid w:val="00623111"/>
    <w:rsid w:val="006234AF"/>
    <w:rsid w:val="00623B0D"/>
    <w:rsid w:val="006301C0"/>
    <w:rsid w:val="00633E12"/>
    <w:rsid w:val="0063400A"/>
    <w:rsid w:val="00637886"/>
    <w:rsid w:val="00637C49"/>
    <w:rsid w:val="00640270"/>
    <w:rsid w:val="006423D8"/>
    <w:rsid w:val="00645B46"/>
    <w:rsid w:val="0064742B"/>
    <w:rsid w:val="00647CE9"/>
    <w:rsid w:val="00647ED6"/>
    <w:rsid w:val="006505A0"/>
    <w:rsid w:val="00654998"/>
    <w:rsid w:val="00654E89"/>
    <w:rsid w:val="006558A0"/>
    <w:rsid w:val="006574E7"/>
    <w:rsid w:val="0065778A"/>
    <w:rsid w:val="00660266"/>
    <w:rsid w:val="00660F4A"/>
    <w:rsid w:val="00661797"/>
    <w:rsid w:val="00661F84"/>
    <w:rsid w:val="00662A68"/>
    <w:rsid w:val="00663377"/>
    <w:rsid w:val="006665B7"/>
    <w:rsid w:val="00666991"/>
    <w:rsid w:val="00666A42"/>
    <w:rsid w:val="00666BDD"/>
    <w:rsid w:val="00666DC2"/>
    <w:rsid w:val="00667E9B"/>
    <w:rsid w:val="0067002D"/>
    <w:rsid w:val="0067276F"/>
    <w:rsid w:val="00673412"/>
    <w:rsid w:val="006737A4"/>
    <w:rsid w:val="00673DFB"/>
    <w:rsid w:val="0067414C"/>
    <w:rsid w:val="0067428F"/>
    <w:rsid w:val="00675806"/>
    <w:rsid w:val="006761AF"/>
    <w:rsid w:val="0067693C"/>
    <w:rsid w:val="00676F21"/>
    <w:rsid w:val="00677CE3"/>
    <w:rsid w:val="006839B3"/>
    <w:rsid w:val="00684044"/>
    <w:rsid w:val="00684A41"/>
    <w:rsid w:val="00685961"/>
    <w:rsid w:val="00685DD3"/>
    <w:rsid w:val="00691403"/>
    <w:rsid w:val="00691EF3"/>
    <w:rsid w:val="00692B3C"/>
    <w:rsid w:val="00693516"/>
    <w:rsid w:val="00694EFB"/>
    <w:rsid w:val="0069515B"/>
    <w:rsid w:val="0069579A"/>
    <w:rsid w:val="00695F79"/>
    <w:rsid w:val="00696CBA"/>
    <w:rsid w:val="0069794F"/>
    <w:rsid w:val="006A19DA"/>
    <w:rsid w:val="006A362E"/>
    <w:rsid w:val="006A3B06"/>
    <w:rsid w:val="006A4989"/>
    <w:rsid w:val="006A4E13"/>
    <w:rsid w:val="006A5AA0"/>
    <w:rsid w:val="006A7794"/>
    <w:rsid w:val="006A77EA"/>
    <w:rsid w:val="006B07A0"/>
    <w:rsid w:val="006B390B"/>
    <w:rsid w:val="006B41B2"/>
    <w:rsid w:val="006B61E8"/>
    <w:rsid w:val="006B7706"/>
    <w:rsid w:val="006C397D"/>
    <w:rsid w:val="006C3DD3"/>
    <w:rsid w:val="006C759C"/>
    <w:rsid w:val="006D0E64"/>
    <w:rsid w:val="006D10B5"/>
    <w:rsid w:val="006D1221"/>
    <w:rsid w:val="006D1707"/>
    <w:rsid w:val="006D1D37"/>
    <w:rsid w:val="006D4A3E"/>
    <w:rsid w:val="006D5568"/>
    <w:rsid w:val="006D717A"/>
    <w:rsid w:val="006D7C58"/>
    <w:rsid w:val="006E0A1F"/>
    <w:rsid w:val="006E0DEF"/>
    <w:rsid w:val="006E10C5"/>
    <w:rsid w:val="006E14D4"/>
    <w:rsid w:val="006E18EA"/>
    <w:rsid w:val="006E2A96"/>
    <w:rsid w:val="006E2C21"/>
    <w:rsid w:val="006E34C2"/>
    <w:rsid w:val="006E3876"/>
    <w:rsid w:val="006E487D"/>
    <w:rsid w:val="006E4E05"/>
    <w:rsid w:val="006E54FF"/>
    <w:rsid w:val="006E550B"/>
    <w:rsid w:val="006E61AB"/>
    <w:rsid w:val="006E721E"/>
    <w:rsid w:val="006F0189"/>
    <w:rsid w:val="006F089F"/>
    <w:rsid w:val="006F2D92"/>
    <w:rsid w:val="006F5540"/>
    <w:rsid w:val="006F58BB"/>
    <w:rsid w:val="006F695C"/>
    <w:rsid w:val="006F6A2F"/>
    <w:rsid w:val="006F78E6"/>
    <w:rsid w:val="00700CD8"/>
    <w:rsid w:val="00701ABB"/>
    <w:rsid w:val="00703AE6"/>
    <w:rsid w:val="00703DBE"/>
    <w:rsid w:val="00704675"/>
    <w:rsid w:val="00705248"/>
    <w:rsid w:val="00705B1E"/>
    <w:rsid w:val="0070666C"/>
    <w:rsid w:val="00706B95"/>
    <w:rsid w:val="00706F70"/>
    <w:rsid w:val="00707140"/>
    <w:rsid w:val="00707409"/>
    <w:rsid w:val="00707934"/>
    <w:rsid w:val="00710104"/>
    <w:rsid w:val="0071137F"/>
    <w:rsid w:val="00711C7D"/>
    <w:rsid w:val="00711EEE"/>
    <w:rsid w:val="007123FF"/>
    <w:rsid w:val="00713AEF"/>
    <w:rsid w:val="00715118"/>
    <w:rsid w:val="00715482"/>
    <w:rsid w:val="00715730"/>
    <w:rsid w:val="00717CC3"/>
    <w:rsid w:val="00717EEF"/>
    <w:rsid w:val="007212FF"/>
    <w:rsid w:val="0072186E"/>
    <w:rsid w:val="00721CF3"/>
    <w:rsid w:val="00721F03"/>
    <w:rsid w:val="00722024"/>
    <w:rsid w:val="007220AA"/>
    <w:rsid w:val="00722E7C"/>
    <w:rsid w:val="0072397F"/>
    <w:rsid w:val="00725BA8"/>
    <w:rsid w:val="007270B2"/>
    <w:rsid w:val="00727A90"/>
    <w:rsid w:val="007307BE"/>
    <w:rsid w:val="0073098F"/>
    <w:rsid w:val="0073341F"/>
    <w:rsid w:val="00733432"/>
    <w:rsid w:val="00734030"/>
    <w:rsid w:val="007342EB"/>
    <w:rsid w:val="0073508A"/>
    <w:rsid w:val="00737B68"/>
    <w:rsid w:val="007415D3"/>
    <w:rsid w:val="00744757"/>
    <w:rsid w:val="007464C2"/>
    <w:rsid w:val="00747CF9"/>
    <w:rsid w:val="00750DF6"/>
    <w:rsid w:val="00756904"/>
    <w:rsid w:val="00757611"/>
    <w:rsid w:val="0076004C"/>
    <w:rsid w:val="00761071"/>
    <w:rsid w:val="00761D1A"/>
    <w:rsid w:val="0076212F"/>
    <w:rsid w:val="0076504B"/>
    <w:rsid w:val="00765569"/>
    <w:rsid w:val="00765930"/>
    <w:rsid w:val="00765EA7"/>
    <w:rsid w:val="00766997"/>
    <w:rsid w:val="00766B2E"/>
    <w:rsid w:val="007716F2"/>
    <w:rsid w:val="007717BD"/>
    <w:rsid w:val="00772070"/>
    <w:rsid w:val="00772283"/>
    <w:rsid w:val="00772717"/>
    <w:rsid w:val="00772A01"/>
    <w:rsid w:val="00774F97"/>
    <w:rsid w:val="00776B79"/>
    <w:rsid w:val="00776E31"/>
    <w:rsid w:val="007810D3"/>
    <w:rsid w:val="007813C3"/>
    <w:rsid w:val="007820F0"/>
    <w:rsid w:val="007826CF"/>
    <w:rsid w:val="00782764"/>
    <w:rsid w:val="007835EA"/>
    <w:rsid w:val="00784FFC"/>
    <w:rsid w:val="007863E2"/>
    <w:rsid w:val="007868F5"/>
    <w:rsid w:val="00786AAB"/>
    <w:rsid w:val="007871D6"/>
    <w:rsid w:val="00790204"/>
    <w:rsid w:val="00792169"/>
    <w:rsid w:val="00792546"/>
    <w:rsid w:val="00792DA8"/>
    <w:rsid w:val="00793A61"/>
    <w:rsid w:val="0079456A"/>
    <w:rsid w:val="00794C09"/>
    <w:rsid w:val="0079616F"/>
    <w:rsid w:val="007A0751"/>
    <w:rsid w:val="007A07DB"/>
    <w:rsid w:val="007A1023"/>
    <w:rsid w:val="007A2904"/>
    <w:rsid w:val="007A2F98"/>
    <w:rsid w:val="007A48CF"/>
    <w:rsid w:val="007B005C"/>
    <w:rsid w:val="007B0971"/>
    <w:rsid w:val="007B1096"/>
    <w:rsid w:val="007B169D"/>
    <w:rsid w:val="007B1922"/>
    <w:rsid w:val="007B25E7"/>
    <w:rsid w:val="007B371A"/>
    <w:rsid w:val="007B392B"/>
    <w:rsid w:val="007B4E62"/>
    <w:rsid w:val="007B5BEA"/>
    <w:rsid w:val="007B5C23"/>
    <w:rsid w:val="007B6196"/>
    <w:rsid w:val="007B687B"/>
    <w:rsid w:val="007B6899"/>
    <w:rsid w:val="007B6948"/>
    <w:rsid w:val="007B7FA6"/>
    <w:rsid w:val="007B7FF2"/>
    <w:rsid w:val="007C03E4"/>
    <w:rsid w:val="007C288C"/>
    <w:rsid w:val="007C345C"/>
    <w:rsid w:val="007C4038"/>
    <w:rsid w:val="007C50B1"/>
    <w:rsid w:val="007C595E"/>
    <w:rsid w:val="007C78DA"/>
    <w:rsid w:val="007C7A95"/>
    <w:rsid w:val="007D0BDA"/>
    <w:rsid w:val="007D0F86"/>
    <w:rsid w:val="007D1065"/>
    <w:rsid w:val="007D2342"/>
    <w:rsid w:val="007D2D83"/>
    <w:rsid w:val="007D332F"/>
    <w:rsid w:val="007D4AE6"/>
    <w:rsid w:val="007D57EC"/>
    <w:rsid w:val="007D5DFA"/>
    <w:rsid w:val="007D687C"/>
    <w:rsid w:val="007E19A1"/>
    <w:rsid w:val="007E2994"/>
    <w:rsid w:val="007E2CE1"/>
    <w:rsid w:val="007E3193"/>
    <w:rsid w:val="007E355F"/>
    <w:rsid w:val="007E35D1"/>
    <w:rsid w:val="007E40C7"/>
    <w:rsid w:val="007E7184"/>
    <w:rsid w:val="007F0FFE"/>
    <w:rsid w:val="007F5619"/>
    <w:rsid w:val="007F6081"/>
    <w:rsid w:val="007F790F"/>
    <w:rsid w:val="00801BE2"/>
    <w:rsid w:val="00801CD1"/>
    <w:rsid w:val="00802C71"/>
    <w:rsid w:val="00803548"/>
    <w:rsid w:val="00803DCB"/>
    <w:rsid w:val="00804693"/>
    <w:rsid w:val="00804EF3"/>
    <w:rsid w:val="00805C3D"/>
    <w:rsid w:val="00805E58"/>
    <w:rsid w:val="00807156"/>
    <w:rsid w:val="00807D1C"/>
    <w:rsid w:val="00807E16"/>
    <w:rsid w:val="00811CC2"/>
    <w:rsid w:val="008125E7"/>
    <w:rsid w:val="00814DA1"/>
    <w:rsid w:val="00815326"/>
    <w:rsid w:val="0081570E"/>
    <w:rsid w:val="00816021"/>
    <w:rsid w:val="0081602C"/>
    <w:rsid w:val="00820217"/>
    <w:rsid w:val="00820D44"/>
    <w:rsid w:val="00821080"/>
    <w:rsid w:val="008221DB"/>
    <w:rsid w:val="00824B46"/>
    <w:rsid w:val="008254CA"/>
    <w:rsid w:val="008255BC"/>
    <w:rsid w:val="00827453"/>
    <w:rsid w:val="00827D11"/>
    <w:rsid w:val="00830F6C"/>
    <w:rsid w:val="008311AA"/>
    <w:rsid w:val="008314C9"/>
    <w:rsid w:val="008317D5"/>
    <w:rsid w:val="00831C8A"/>
    <w:rsid w:val="0083237B"/>
    <w:rsid w:val="0083287F"/>
    <w:rsid w:val="008337E0"/>
    <w:rsid w:val="00836D07"/>
    <w:rsid w:val="00837550"/>
    <w:rsid w:val="00842E28"/>
    <w:rsid w:val="00844C13"/>
    <w:rsid w:val="00844CE5"/>
    <w:rsid w:val="008470ED"/>
    <w:rsid w:val="008471B1"/>
    <w:rsid w:val="00847650"/>
    <w:rsid w:val="008515B2"/>
    <w:rsid w:val="008522F6"/>
    <w:rsid w:val="008530F2"/>
    <w:rsid w:val="00855D1B"/>
    <w:rsid w:val="00855D7A"/>
    <w:rsid w:val="00856543"/>
    <w:rsid w:val="00856B0D"/>
    <w:rsid w:val="00856E6A"/>
    <w:rsid w:val="008579A2"/>
    <w:rsid w:val="008602C5"/>
    <w:rsid w:val="008603E9"/>
    <w:rsid w:val="00860E3A"/>
    <w:rsid w:val="00861B87"/>
    <w:rsid w:val="008628BC"/>
    <w:rsid w:val="00864203"/>
    <w:rsid w:val="0086484C"/>
    <w:rsid w:val="00864C48"/>
    <w:rsid w:val="00865297"/>
    <w:rsid w:val="0086646F"/>
    <w:rsid w:val="0087029E"/>
    <w:rsid w:val="00870E7A"/>
    <w:rsid w:val="00871692"/>
    <w:rsid w:val="0087172A"/>
    <w:rsid w:val="00871A65"/>
    <w:rsid w:val="00872216"/>
    <w:rsid w:val="00872C0A"/>
    <w:rsid w:val="00872CCA"/>
    <w:rsid w:val="008736FE"/>
    <w:rsid w:val="00873C3C"/>
    <w:rsid w:val="00873E2E"/>
    <w:rsid w:val="00874600"/>
    <w:rsid w:val="00874EE2"/>
    <w:rsid w:val="00874EFF"/>
    <w:rsid w:val="00875A69"/>
    <w:rsid w:val="00875D0D"/>
    <w:rsid w:val="00877010"/>
    <w:rsid w:val="00877C56"/>
    <w:rsid w:val="00880290"/>
    <w:rsid w:val="0088035F"/>
    <w:rsid w:val="0088082F"/>
    <w:rsid w:val="00880F86"/>
    <w:rsid w:val="00881035"/>
    <w:rsid w:val="00882CD0"/>
    <w:rsid w:val="0088416B"/>
    <w:rsid w:val="00884294"/>
    <w:rsid w:val="008845D2"/>
    <w:rsid w:val="00884B30"/>
    <w:rsid w:val="008851FB"/>
    <w:rsid w:val="00886217"/>
    <w:rsid w:val="008867C6"/>
    <w:rsid w:val="00887C29"/>
    <w:rsid w:val="00892642"/>
    <w:rsid w:val="008931A5"/>
    <w:rsid w:val="00894140"/>
    <w:rsid w:val="008941EA"/>
    <w:rsid w:val="00894328"/>
    <w:rsid w:val="00894F54"/>
    <w:rsid w:val="008956FE"/>
    <w:rsid w:val="0089604D"/>
    <w:rsid w:val="00896C01"/>
    <w:rsid w:val="008970B2"/>
    <w:rsid w:val="0089777A"/>
    <w:rsid w:val="00897868"/>
    <w:rsid w:val="008A0E3B"/>
    <w:rsid w:val="008A1C30"/>
    <w:rsid w:val="008A1C7E"/>
    <w:rsid w:val="008A3242"/>
    <w:rsid w:val="008A542F"/>
    <w:rsid w:val="008A60B1"/>
    <w:rsid w:val="008A7391"/>
    <w:rsid w:val="008B023B"/>
    <w:rsid w:val="008B0C60"/>
    <w:rsid w:val="008B130A"/>
    <w:rsid w:val="008B153C"/>
    <w:rsid w:val="008B1F72"/>
    <w:rsid w:val="008B220A"/>
    <w:rsid w:val="008B27BF"/>
    <w:rsid w:val="008B3FF8"/>
    <w:rsid w:val="008B425D"/>
    <w:rsid w:val="008B4A22"/>
    <w:rsid w:val="008B5226"/>
    <w:rsid w:val="008B5EE2"/>
    <w:rsid w:val="008B66EF"/>
    <w:rsid w:val="008C1A3C"/>
    <w:rsid w:val="008C2EA1"/>
    <w:rsid w:val="008C356B"/>
    <w:rsid w:val="008C3693"/>
    <w:rsid w:val="008C37A6"/>
    <w:rsid w:val="008C38FB"/>
    <w:rsid w:val="008C3BA6"/>
    <w:rsid w:val="008C3C6E"/>
    <w:rsid w:val="008C4878"/>
    <w:rsid w:val="008C51B7"/>
    <w:rsid w:val="008C6856"/>
    <w:rsid w:val="008C6C5C"/>
    <w:rsid w:val="008C6DFA"/>
    <w:rsid w:val="008C7077"/>
    <w:rsid w:val="008C7D21"/>
    <w:rsid w:val="008D03EB"/>
    <w:rsid w:val="008D0DD6"/>
    <w:rsid w:val="008D108F"/>
    <w:rsid w:val="008D1126"/>
    <w:rsid w:val="008D1AEA"/>
    <w:rsid w:val="008D303F"/>
    <w:rsid w:val="008D342D"/>
    <w:rsid w:val="008D5487"/>
    <w:rsid w:val="008D54D5"/>
    <w:rsid w:val="008D6C74"/>
    <w:rsid w:val="008D6E43"/>
    <w:rsid w:val="008D73EA"/>
    <w:rsid w:val="008E0581"/>
    <w:rsid w:val="008E2608"/>
    <w:rsid w:val="008E29CD"/>
    <w:rsid w:val="008E2C27"/>
    <w:rsid w:val="008E34E1"/>
    <w:rsid w:val="008E47C4"/>
    <w:rsid w:val="008E639B"/>
    <w:rsid w:val="008E6CD1"/>
    <w:rsid w:val="008F0499"/>
    <w:rsid w:val="008F06C7"/>
    <w:rsid w:val="008F151E"/>
    <w:rsid w:val="008F16AE"/>
    <w:rsid w:val="008F27D5"/>
    <w:rsid w:val="008F2832"/>
    <w:rsid w:val="008F344D"/>
    <w:rsid w:val="008F4304"/>
    <w:rsid w:val="008F4364"/>
    <w:rsid w:val="008F47B1"/>
    <w:rsid w:val="008F4FCA"/>
    <w:rsid w:val="008F5946"/>
    <w:rsid w:val="008F6734"/>
    <w:rsid w:val="008F6C5E"/>
    <w:rsid w:val="008F6E48"/>
    <w:rsid w:val="008F706A"/>
    <w:rsid w:val="008F71F1"/>
    <w:rsid w:val="008F7A78"/>
    <w:rsid w:val="00904648"/>
    <w:rsid w:val="00907159"/>
    <w:rsid w:val="009071E2"/>
    <w:rsid w:val="009102E2"/>
    <w:rsid w:val="00910CC0"/>
    <w:rsid w:val="0091201C"/>
    <w:rsid w:val="0091239C"/>
    <w:rsid w:val="00912560"/>
    <w:rsid w:val="00912A84"/>
    <w:rsid w:val="00912EB5"/>
    <w:rsid w:val="009130F7"/>
    <w:rsid w:val="009136E6"/>
    <w:rsid w:val="00917226"/>
    <w:rsid w:val="00917976"/>
    <w:rsid w:val="009203B9"/>
    <w:rsid w:val="00920D86"/>
    <w:rsid w:val="00921CF8"/>
    <w:rsid w:val="00921E17"/>
    <w:rsid w:val="00922193"/>
    <w:rsid w:val="00923373"/>
    <w:rsid w:val="0092401B"/>
    <w:rsid w:val="0092511A"/>
    <w:rsid w:val="00925563"/>
    <w:rsid w:val="00925F3F"/>
    <w:rsid w:val="009265F5"/>
    <w:rsid w:val="00927678"/>
    <w:rsid w:val="009303AF"/>
    <w:rsid w:val="00930EBD"/>
    <w:rsid w:val="009321A4"/>
    <w:rsid w:val="0093427E"/>
    <w:rsid w:val="00934743"/>
    <w:rsid w:val="00934FD1"/>
    <w:rsid w:val="009355B7"/>
    <w:rsid w:val="009364EC"/>
    <w:rsid w:val="00937821"/>
    <w:rsid w:val="00941F17"/>
    <w:rsid w:val="009425C9"/>
    <w:rsid w:val="00942BCE"/>
    <w:rsid w:val="009435F2"/>
    <w:rsid w:val="00943746"/>
    <w:rsid w:val="00943A90"/>
    <w:rsid w:val="009445E3"/>
    <w:rsid w:val="00944784"/>
    <w:rsid w:val="00944C2C"/>
    <w:rsid w:val="00944C36"/>
    <w:rsid w:val="00945464"/>
    <w:rsid w:val="00945DBB"/>
    <w:rsid w:val="00946A3B"/>
    <w:rsid w:val="00947F8E"/>
    <w:rsid w:val="009519C4"/>
    <w:rsid w:val="00951A2A"/>
    <w:rsid w:val="00951AB6"/>
    <w:rsid w:val="00951B49"/>
    <w:rsid w:val="00952F30"/>
    <w:rsid w:val="0095373D"/>
    <w:rsid w:val="009542E7"/>
    <w:rsid w:val="00955D22"/>
    <w:rsid w:val="00956B2A"/>
    <w:rsid w:val="00960370"/>
    <w:rsid w:val="00960B5B"/>
    <w:rsid w:val="00962C51"/>
    <w:rsid w:val="009646C6"/>
    <w:rsid w:val="009650F9"/>
    <w:rsid w:val="00966F83"/>
    <w:rsid w:val="00971134"/>
    <w:rsid w:val="00973D8C"/>
    <w:rsid w:val="00974102"/>
    <w:rsid w:val="009744DA"/>
    <w:rsid w:val="009749AC"/>
    <w:rsid w:val="00974B4F"/>
    <w:rsid w:val="00975C9E"/>
    <w:rsid w:val="00975E92"/>
    <w:rsid w:val="0097643D"/>
    <w:rsid w:val="009778ED"/>
    <w:rsid w:val="00980DEE"/>
    <w:rsid w:val="009826AA"/>
    <w:rsid w:val="009831C1"/>
    <w:rsid w:val="0098442E"/>
    <w:rsid w:val="0098500C"/>
    <w:rsid w:val="00986A84"/>
    <w:rsid w:val="00986CB5"/>
    <w:rsid w:val="009873D3"/>
    <w:rsid w:val="0098766E"/>
    <w:rsid w:val="00990894"/>
    <w:rsid w:val="00990B27"/>
    <w:rsid w:val="00990B6E"/>
    <w:rsid w:val="00991506"/>
    <w:rsid w:val="00991B6A"/>
    <w:rsid w:val="00991BF2"/>
    <w:rsid w:val="00992403"/>
    <w:rsid w:val="00993A65"/>
    <w:rsid w:val="00993AA8"/>
    <w:rsid w:val="00993EA0"/>
    <w:rsid w:val="00994AD6"/>
    <w:rsid w:val="00994ECD"/>
    <w:rsid w:val="00995A4B"/>
    <w:rsid w:val="00995EBA"/>
    <w:rsid w:val="009973E1"/>
    <w:rsid w:val="00997815"/>
    <w:rsid w:val="009A056A"/>
    <w:rsid w:val="009A0E3B"/>
    <w:rsid w:val="009A1248"/>
    <w:rsid w:val="009A43FB"/>
    <w:rsid w:val="009A4AD8"/>
    <w:rsid w:val="009A4AF5"/>
    <w:rsid w:val="009A5ACE"/>
    <w:rsid w:val="009A5E63"/>
    <w:rsid w:val="009A5E77"/>
    <w:rsid w:val="009A6351"/>
    <w:rsid w:val="009A692C"/>
    <w:rsid w:val="009A6B56"/>
    <w:rsid w:val="009A7BC2"/>
    <w:rsid w:val="009B0E0E"/>
    <w:rsid w:val="009B2A89"/>
    <w:rsid w:val="009B3FF9"/>
    <w:rsid w:val="009B42DE"/>
    <w:rsid w:val="009B4F97"/>
    <w:rsid w:val="009B6350"/>
    <w:rsid w:val="009B76D0"/>
    <w:rsid w:val="009C0C71"/>
    <w:rsid w:val="009C1419"/>
    <w:rsid w:val="009C1D91"/>
    <w:rsid w:val="009C22AF"/>
    <w:rsid w:val="009C27F6"/>
    <w:rsid w:val="009C2B96"/>
    <w:rsid w:val="009C2F89"/>
    <w:rsid w:val="009C332F"/>
    <w:rsid w:val="009C341A"/>
    <w:rsid w:val="009C3EC8"/>
    <w:rsid w:val="009C577F"/>
    <w:rsid w:val="009C5F1C"/>
    <w:rsid w:val="009D0038"/>
    <w:rsid w:val="009D1622"/>
    <w:rsid w:val="009D1D80"/>
    <w:rsid w:val="009D2A47"/>
    <w:rsid w:val="009D3159"/>
    <w:rsid w:val="009D4144"/>
    <w:rsid w:val="009D50A6"/>
    <w:rsid w:val="009D605B"/>
    <w:rsid w:val="009D666A"/>
    <w:rsid w:val="009E07BC"/>
    <w:rsid w:val="009E0F0C"/>
    <w:rsid w:val="009E272D"/>
    <w:rsid w:val="009E29AB"/>
    <w:rsid w:val="009E56FD"/>
    <w:rsid w:val="009E71B5"/>
    <w:rsid w:val="009E7834"/>
    <w:rsid w:val="009E7C16"/>
    <w:rsid w:val="009F0B12"/>
    <w:rsid w:val="009F1CED"/>
    <w:rsid w:val="009F20BB"/>
    <w:rsid w:val="009F2F30"/>
    <w:rsid w:val="009F49E8"/>
    <w:rsid w:val="009F699C"/>
    <w:rsid w:val="009F7464"/>
    <w:rsid w:val="009F748F"/>
    <w:rsid w:val="00A000FA"/>
    <w:rsid w:val="00A01078"/>
    <w:rsid w:val="00A02526"/>
    <w:rsid w:val="00A02C8B"/>
    <w:rsid w:val="00A03117"/>
    <w:rsid w:val="00A04AD7"/>
    <w:rsid w:val="00A0575E"/>
    <w:rsid w:val="00A05B36"/>
    <w:rsid w:val="00A0647F"/>
    <w:rsid w:val="00A10D0D"/>
    <w:rsid w:val="00A11A3B"/>
    <w:rsid w:val="00A11A4B"/>
    <w:rsid w:val="00A12041"/>
    <w:rsid w:val="00A1321D"/>
    <w:rsid w:val="00A135DF"/>
    <w:rsid w:val="00A15FA8"/>
    <w:rsid w:val="00A161C2"/>
    <w:rsid w:val="00A16ED0"/>
    <w:rsid w:val="00A17031"/>
    <w:rsid w:val="00A178EF"/>
    <w:rsid w:val="00A17DC8"/>
    <w:rsid w:val="00A20E85"/>
    <w:rsid w:val="00A213FA"/>
    <w:rsid w:val="00A2297F"/>
    <w:rsid w:val="00A231BA"/>
    <w:rsid w:val="00A2370F"/>
    <w:rsid w:val="00A23B75"/>
    <w:rsid w:val="00A23E83"/>
    <w:rsid w:val="00A24CF9"/>
    <w:rsid w:val="00A253D1"/>
    <w:rsid w:val="00A25A24"/>
    <w:rsid w:val="00A2606C"/>
    <w:rsid w:val="00A27D43"/>
    <w:rsid w:val="00A30128"/>
    <w:rsid w:val="00A301DA"/>
    <w:rsid w:val="00A31716"/>
    <w:rsid w:val="00A32375"/>
    <w:rsid w:val="00A329F3"/>
    <w:rsid w:val="00A32CE8"/>
    <w:rsid w:val="00A32E62"/>
    <w:rsid w:val="00A33D05"/>
    <w:rsid w:val="00A348A0"/>
    <w:rsid w:val="00A35AD2"/>
    <w:rsid w:val="00A35FAD"/>
    <w:rsid w:val="00A36A3B"/>
    <w:rsid w:val="00A36D31"/>
    <w:rsid w:val="00A4048B"/>
    <w:rsid w:val="00A4104F"/>
    <w:rsid w:val="00A417E0"/>
    <w:rsid w:val="00A41E48"/>
    <w:rsid w:val="00A43438"/>
    <w:rsid w:val="00A448A9"/>
    <w:rsid w:val="00A449AA"/>
    <w:rsid w:val="00A50479"/>
    <w:rsid w:val="00A504EF"/>
    <w:rsid w:val="00A552F7"/>
    <w:rsid w:val="00A5536F"/>
    <w:rsid w:val="00A55BE2"/>
    <w:rsid w:val="00A569E8"/>
    <w:rsid w:val="00A602B5"/>
    <w:rsid w:val="00A61441"/>
    <w:rsid w:val="00A62080"/>
    <w:rsid w:val="00A623F2"/>
    <w:rsid w:val="00A626D4"/>
    <w:rsid w:val="00A62BED"/>
    <w:rsid w:val="00A634DB"/>
    <w:rsid w:val="00A63720"/>
    <w:rsid w:val="00A64533"/>
    <w:rsid w:val="00A64917"/>
    <w:rsid w:val="00A65101"/>
    <w:rsid w:val="00A659DA"/>
    <w:rsid w:val="00A6629F"/>
    <w:rsid w:val="00A67F68"/>
    <w:rsid w:val="00A707E0"/>
    <w:rsid w:val="00A70A80"/>
    <w:rsid w:val="00A71240"/>
    <w:rsid w:val="00A71B36"/>
    <w:rsid w:val="00A71EE4"/>
    <w:rsid w:val="00A751AE"/>
    <w:rsid w:val="00A751C3"/>
    <w:rsid w:val="00A76170"/>
    <w:rsid w:val="00A76998"/>
    <w:rsid w:val="00A77A87"/>
    <w:rsid w:val="00A8087A"/>
    <w:rsid w:val="00A81542"/>
    <w:rsid w:val="00A81EA2"/>
    <w:rsid w:val="00A820E8"/>
    <w:rsid w:val="00A844C2"/>
    <w:rsid w:val="00A84967"/>
    <w:rsid w:val="00A850A2"/>
    <w:rsid w:val="00A85245"/>
    <w:rsid w:val="00A853F0"/>
    <w:rsid w:val="00A867DC"/>
    <w:rsid w:val="00A873FB"/>
    <w:rsid w:val="00A8781E"/>
    <w:rsid w:val="00A906A5"/>
    <w:rsid w:val="00A90C6D"/>
    <w:rsid w:val="00A91086"/>
    <w:rsid w:val="00A91DEC"/>
    <w:rsid w:val="00A92310"/>
    <w:rsid w:val="00A92CD0"/>
    <w:rsid w:val="00A93591"/>
    <w:rsid w:val="00A945FB"/>
    <w:rsid w:val="00A94934"/>
    <w:rsid w:val="00A95578"/>
    <w:rsid w:val="00A963E2"/>
    <w:rsid w:val="00A96E56"/>
    <w:rsid w:val="00A973FA"/>
    <w:rsid w:val="00A97DFD"/>
    <w:rsid w:val="00A97F9A"/>
    <w:rsid w:val="00AA0D18"/>
    <w:rsid w:val="00AA25FE"/>
    <w:rsid w:val="00AA4148"/>
    <w:rsid w:val="00AA44CF"/>
    <w:rsid w:val="00AA4CC4"/>
    <w:rsid w:val="00AA5977"/>
    <w:rsid w:val="00AA6CD1"/>
    <w:rsid w:val="00AA6F3E"/>
    <w:rsid w:val="00AA7518"/>
    <w:rsid w:val="00AA7FBB"/>
    <w:rsid w:val="00AB0053"/>
    <w:rsid w:val="00AB0786"/>
    <w:rsid w:val="00AB15DA"/>
    <w:rsid w:val="00AB366F"/>
    <w:rsid w:val="00AB6203"/>
    <w:rsid w:val="00AB7DAD"/>
    <w:rsid w:val="00AC0730"/>
    <w:rsid w:val="00AC07A7"/>
    <w:rsid w:val="00AC1D06"/>
    <w:rsid w:val="00AC1EE1"/>
    <w:rsid w:val="00AC244C"/>
    <w:rsid w:val="00AC318F"/>
    <w:rsid w:val="00AC3190"/>
    <w:rsid w:val="00AC32B1"/>
    <w:rsid w:val="00AC47F7"/>
    <w:rsid w:val="00AC4D3D"/>
    <w:rsid w:val="00AC55A9"/>
    <w:rsid w:val="00AC5835"/>
    <w:rsid w:val="00AC6F46"/>
    <w:rsid w:val="00AC72FA"/>
    <w:rsid w:val="00AD0813"/>
    <w:rsid w:val="00AD206C"/>
    <w:rsid w:val="00AD2A6B"/>
    <w:rsid w:val="00AD38A9"/>
    <w:rsid w:val="00AD45D8"/>
    <w:rsid w:val="00AD70ED"/>
    <w:rsid w:val="00AD7693"/>
    <w:rsid w:val="00AD7EB9"/>
    <w:rsid w:val="00AE04C2"/>
    <w:rsid w:val="00AE0506"/>
    <w:rsid w:val="00AE2AC5"/>
    <w:rsid w:val="00AE48DB"/>
    <w:rsid w:val="00AE5D13"/>
    <w:rsid w:val="00AE6947"/>
    <w:rsid w:val="00AE6E23"/>
    <w:rsid w:val="00AE7CE6"/>
    <w:rsid w:val="00AF123D"/>
    <w:rsid w:val="00AF175C"/>
    <w:rsid w:val="00AF1D07"/>
    <w:rsid w:val="00AF21A9"/>
    <w:rsid w:val="00AF22DD"/>
    <w:rsid w:val="00AF2655"/>
    <w:rsid w:val="00AF290D"/>
    <w:rsid w:val="00AF4073"/>
    <w:rsid w:val="00AF4790"/>
    <w:rsid w:val="00AF4BD7"/>
    <w:rsid w:val="00AF4F38"/>
    <w:rsid w:val="00AF5A73"/>
    <w:rsid w:val="00AF625A"/>
    <w:rsid w:val="00AF62F8"/>
    <w:rsid w:val="00AF6305"/>
    <w:rsid w:val="00AF6F73"/>
    <w:rsid w:val="00AF7A97"/>
    <w:rsid w:val="00B0084D"/>
    <w:rsid w:val="00B04E8D"/>
    <w:rsid w:val="00B04FF4"/>
    <w:rsid w:val="00B055C2"/>
    <w:rsid w:val="00B073B9"/>
    <w:rsid w:val="00B10706"/>
    <w:rsid w:val="00B10A93"/>
    <w:rsid w:val="00B111FB"/>
    <w:rsid w:val="00B11939"/>
    <w:rsid w:val="00B1217E"/>
    <w:rsid w:val="00B12799"/>
    <w:rsid w:val="00B15839"/>
    <w:rsid w:val="00B1585F"/>
    <w:rsid w:val="00B15864"/>
    <w:rsid w:val="00B15B5C"/>
    <w:rsid w:val="00B16FC9"/>
    <w:rsid w:val="00B17D8B"/>
    <w:rsid w:val="00B20037"/>
    <w:rsid w:val="00B205D4"/>
    <w:rsid w:val="00B208C9"/>
    <w:rsid w:val="00B20D70"/>
    <w:rsid w:val="00B2108D"/>
    <w:rsid w:val="00B21448"/>
    <w:rsid w:val="00B21C8A"/>
    <w:rsid w:val="00B221E5"/>
    <w:rsid w:val="00B22326"/>
    <w:rsid w:val="00B25061"/>
    <w:rsid w:val="00B258E0"/>
    <w:rsid w:val="00B26017"/>
    <w:rsid w:val="00B260AA"/>
    <w:rsid w:val="00B260E1"/>
    <w:rsid w:val="00B30799"/>
    <w:rsid w:val="00B307D2"/>
    <w:rsid w:val="00B3111F"/>
    <w:rsid w:val="00B31E44"/>
    <w:rsid w:val="00B32867"/>
    <w:rsid w:val="00B33F9E"/>
    <w:rsid w:val="00B344E9"/>
    <w:rsid w:val="00B344F2"/>
    <w:rsid w:val="00B35DB8"/>
    <w:rsid w:val="00B3688F"/>
    <w:rsid w:val="00B37194"/>
    <w:rsid w:val="00B40739"/>
    <w:rsid w:val="00B414D9"/>
    <w:rsid w:val="00B4350E"/>
    <w:rsid w:val="00B447F7"/>
    <w:rsid w:val="00B44CF7"/>
    <w:rsid w:val="00B46E58"/>
    <w:rsid w:val="00B52015"/>
    <w:rsid w:val="00B52AD6"/>
    <w:rsid w:val="00B54C07"/>
    <w:rsid w:val="00B558F7"/>
    <w:rsid w:val="00B55B04"/>
    <w:rsid w:val="00B55FCB"/>
    <w:rsid w:val="00B56BB8"/>
    <w:rsid w:val="00B57A41"/>
    <w:rsid w:val="00B61AEC"/>
    <w:rsid w:val="00B6231C"/>
    <w:rsid w:val="00B62FC0"/>
    <w:rsid w:val="00B63BD2"/>
    <w:rsid w:val="00B647A1"/>
    <w:rsid w:val="00B657AD"/>
    <w:rsid w:val="00B70281"/>
    <w:rsid w:val="00B703F4"/>
    <w:rsid w:val="00B705B8"/>
    <w:rsid w:val="00B71A60"/>
    <w:rsid w:val="00B7445A"/>
    <w:rsid w:val="00B748DA"/>
    <w:rsid w:val="00B74A95"/>
    <w:rsid w:val="00B75802"/>
    <w:rsid w:val="00B75816"/>
    <w:rsid w:val="00B75B19"/>
    <w:rsid w:val="00B75DD2"/>
    <w:rsid w:val="00B76C59"/>
    <w:rsid w:val="00B808E7"/>
    <w:rsid w:val="00B80DFB"/>
    <w:rsid w:val="00B81BE6"/>
    <w:rsid w:val="00B81BF0"/>
    <w:rsid w:val="00B822F3"/>
    <w:rsid w:val="00B836E3"/>
    <w:rsid w:val="00B838E9"/>
    <w:rsid w:val="00B84925"/>
    <w:rsid w:val="00B8496F"/>
    <w:rsid w:val="00B84C42"/>
    <w:rsid w:val="00B92B3C"/>
    <w:rsid w:val="00B92F0C"/>
    <w:rsid w:val="00B94E4B"/>
    <w:rsid w:val="00B95560"/>
    <w:rsid w:val="00B96876"/>
    <w:rsid w:val="00B96899"/>
    <w:rsid w:val="00B97CBD"/>
    <w:rsid w:val="00BA03BA"/>
    <w:rsid w:val="00BA05FC"/>
    <w:rsid w:val="00BA1209"/>
    <w:rsid w:val="00BA17EF"/>
    <w:rsid w:val="00BA18CD"/>
    <w:rsid w:val="00BA1DC7"/>
    <w:rsid w:val="00BA21C4"/>
    <w:rsid w:val="00BA2666"/>
    <w:rsid w:val="00BA35A2"/>
    <w:rsid w:val="00BA39A9"/>
    <w:rsid w:val="00BA3EB8"/>
    <w:rsid w:val="00BA4272"/>
    <w:rsid w:val="00BA49D9"/>
    <w:rsid w:val="00BA5DC1"/>
    <w:rsid w:val="00BA730B"/>
    <w:rsid w:val="00BB0114"/>
    <w:rsid w:val="00BB2467"/>
    <w:rsid w:val="00BB28C7"/>
    <w:rsid w:val="00BB57FF"/>
    <w:rsid w:val="00BB5C80"/>
    <w:rsid w:val="00BB60EB"/>
    <w:rsid w:val="00BB6C29"/>
    <w:rsid w:val="00BB761A"/>
    <w:rsid w:val="00BC097E"/>
    <w:rsid w:val="00BC0B7D"/>
    <w:rsid w:val="00BC37FD"/>
    <w:rsid w:val="00BC3A68"/>
    <w:rsid w:val="00BC3BB0"/>
    <w:rsid w:val="00BC423D"/>
    <w:rsid w:val="00BC425B"/>
    <w:rsid w:val="00BC4285"/>
    <w:rsid w:val="00BC6350"/>
    <w:rsid w:val="00BC7BE5"/>
    <w:rsid w:val="00BD0349"/>
    <w:rsid w:val="00BD4B06"/>
    <w:rsid w:val="00BD5203"/>
    <w:rsid w:val="00BD605B"/>
    <w:rsid w:val="00BD7000"/>
    <w:rsid w:val="00BE000C"/>
    <w:rsid w:val="00BE0411"/>
    <w:rsid w:val="00BE1605"/>
    <w:rsid w:val="00BE26F7"/>
    <w:rsid w:val="00BE27B3"/>
    <w:rsid w:val="00BE28D2"/>
    <w:rsid w:val="00BE572D"/>
    <w:rsid w:val="00BE5F7D"/>
    <w:rsid w:val="00BE627E"/>
    <w:rsid w:val="00BE6E46"/>
    <w:rsid w:val="00BE7AAC"/>
    <w:rsid w:val="00BF0BF3"/>
    <w:rsid w:val="00BF1031"/>
    <w:rsid w:val="00BF293D"/>
    <w:rsid w:val="00BF2B95"/>
    <w:rsid w:val="00BF3E54"/>
    <w:rsid w:val="00BF4D4E"/>
    <w:rsid w:val="00C00559"/>
    <w:rsid w:val="00C02A15"/>
    <w:rsid w:val="00C03020"/>
    <w:rsid w:val="00C03B9F"/>
    <w:rsid w:val="00C04FBA"/>
    <w:rsid w:val="00C052D1"/>
    <w:rsid w:val="00C05304"/>
    <w:rsid w:val="00C05D17"/>
    <w:rsid w:val="00C067D8"/>
    <w:rsid w:val="00C07DF3"/>
    <w:rsid w:val="00C07FB2"/>
    <w:rsid w:val="00C11220"/>
    <w:rsid w:val="00C12117"/>
    <w:rsid w:val="00C12372"/>
    <w:rsid w:val="00C129D7"/>
    <w:rsid w:val="00C12FD2"/>
    <w:rsid w:val="00C15272"/>
    <w:rsid w:val="00C15362"/>
    <w:rsid w:val="00C1567A"/>
    <w:rsid w:val="00C158AB"/>
    <w:rsid w:val="00C17C12"/>
    <w:rsid w:val="00C2354B"/>
    <w:rsid w:val="00C2432F"/>
    <w:rsid w:val="00C252E6"/>
    <w:rsid w:val="00C26892"/>
    <w:rsid w:val="00C26B5F"/>
    <w:rsid w:val="00C26D44"/>
    <w:rsid w:val="00C27291"/>
    <w:rsid w:val="00C2750D"/>
    <w:rsid w:val="00C27C34"/>
    <w:rsid w:val="00C3002B"/>
    <w:rsid w:val="00C30276"/>
    <w:rsid w:val="00C308E7"/>
    <w:rsid w:val="00C30C12"/>
    <w:rsid w:val="00C317C5"/>
    <w:rsid w:val="00C31EE3"/>
    <w:rsid w:val="00C32200"/>
    <w:rsid w:val="00C338C5"/>
    <w:rsid w:val="00C3511E"/>
    <w:rsid w:val="00C3593C"/>
    <w:rsid w:val="00C377B8"/>
    <w:rsid w:val="00C4021F"/>
    <w:rsid w:val="00C4036F"/>
    <w:rsid w:val="00C405C7"/>
    <w:rsid w:val="00C410C5"/>
    <w:rsid w:val="00C420DA"/>
    <w:rsid w:val="00C424EB"/>
    <w:rsid w:val="00C44714"/>
    <w:rsid w:val="00C44AB0"/>
    <w:rsid w:val="00C46A22"/>
    <w:rsid w:val="00C4740D"/>
    <w:rsid w:val="00C502F0"/>
    <w:rsid w:val="00C507D9"/>
    <w:rsid w:val="00C50F6E"/>
    <w:rsid w:val="00C54794"/>
    <w:rsid w:val="00C55612"/>
    <w:rsid w:val="00C558B2"/>
    <w:rsid w:val="00C55953"/>
    <w:rsid w:val="00C559FA"/>
    <w:rsid w:val="00C55C23"/>
    <w:rsid w:val="00C55FA3"/>
    <w:rsid w:val="00C56B78"/>
    <w:rsid w:val="00C57D69"/>
    <w:rsid w:val="00C57ED5"/>
    <w:rsid w:val="00C624BD"/>
    <w:rsid w:val="00C63E72"/>
    <w:rsid w:val="00C66004"/>
    <w:rsid w:val="00C66C4C"/>
    <w:rsid w:val="00C702D0"/>
    <w:rsid w:val="00C71940"/>
    <w:rsid w:val="00C73A21"/>
    <w:rsid w:val="00C74553"/>
    <w:rsid w:val="00C756A3"/>
    <w:rsid w:val="00C7594A"/>
    <w:rsid w:val="00C766FE"/>
    <w:rsid w:val="00C810F0"/>
    <w:rsid w:val="00C813BB"/>
    <w:rsid w:val="00C81DA9"/>
    <w:rsid w:val="00C81F32"/>
    <w:rsid w:val="00C824F4"/>
    <w:rsid w:val="00C84FBF"/>
    <w:rsid w:val="00C8531A"/>
    <w:rsid w:val="00C858CB"/>
    <w:rsid w:val="00C8592D"/>
    <w:rsid w:val="00C8759A"/>
    <w:rsid w:val="00C8793A"/>
    <w:rsid w:val="00C87A7B"/>
    <w:rsid w:val="00C9094D"/>
    <w:rsid w:val="00C92FF0"/>
    <w:rsid w:val="00C96912"/>
    <w:rsid w:val="00C969DE"/>
    <w:rsid w:val="00C972E2"/>
    <w:rsid w:val="00C9793E"/>
    <w:rsid w:val="00C97C89"/>
    <w:rsid w:val="00C97EBE"/>
    <w:rsid w:val="00CA151B"/>
    <w:rsid w:val="00CA195D"/>
    <w:rsid w:val="00CA2BF0"/>
    <w:rsid w:val="00CA47FB"/>
    <w:rsid w:val="00CA5989"/>
    <w:rsid w:val="00CB03EC"/>
    <w:rsid w:val="00CB07ED"/>
    <w:rsid w:val="00CB0FE2"/>
    <w:rsid w:val="00CB29DC"/>
    <w:rsid w:val="00CB39DC"/>
    <w:rsid w:val="00CB3BEF"/>
    <w:rsid w:val="00CB3DAF"/>
    <w:rsid w:val="00CB549A"/>
    <w:rsid w:val="00CB74B3"/>
    <w:rsid w:val="00CC04F0"/>
    <w:rsid w:val="00CC0CD2"/>
    <w:rsid w:val="00CC3361"/>
    <w:rsid w:val="00CC3405"/>
    <w:rsid w:val="00CD3EF8"/>
    <w:rsid w:val="00CD4090"/>
    <w:rsid w:val="00CD653D"/>
    <w:rsid w:val="00CD6C47"/>
    <w:rsid w:val="00CD6C87"/>
    <w:rsid w:val="00CD6CC7"/>
    <w:rsid w:val="00CD70B0"/>
    <w:rsid w:val="00CE073F"/>
    <w:rsid w:val="00CE1E63"/>
    <w:rsid w:val="00CE2FF3"/>
    <w:rsid w:val="00CE6018"/>
    <w:rsid w:val="00CE626D"/>
    <w:rsid w:val="00CE6AD3"/>
    <w:rsid w:val="00CE7187"/>
    <w:rsid w:val="00CE7F3C"/>
    <w:rsid w:val="00CF141C"/>
    <w:rsid w:val="00CF2E6E"/>
    <w:rsid w:val="00CF40DA"/>
    <w:rsid w:val="00CF5368"/>
    <w:rsid w:val="00CF537E"/>
    <w:rsid w:val="00CF5596"/>
    <w:rsid w:val="00CF5597"/>
    <w:rsid w:val="00CF5D6F"/>
    <w:rsid w:val="00CF618E"/>
    <w:rsid w:val="00D0049C"/>
    <w:rsid w:val="00D02ECC"/>
    <w:rsid w:val="00D0499F"/>
    <w:rsid w:val="00D05BC9"/>
    <w:rsid w:val="00D05EA8"/>
    <w:rsid w:val="00D05F9C"/>
    <w:rsid w:val="00D06FC3"/>
    <w:rsid w:val="00D073F9"/>
    <w:rsid w:val="00D10689"/>
    <w:rsid w:val="00D111C1"/>
    <w:rsid w:val="00D11768"/>
    <w:rsid w:val="00D11A88"/>
    <w:rsid w:val="00D12947"/>
    <w:rsid w:val="00D1298F"/>
    <w:rsid w:val="00D13B7D"/>
    <w:rsid w:val="00D142AD"/>
    <w:rsid w:val="00D144CA"/>
    <w:rsid w:val="00D14D30"/>
    <w:rsid w:val="00D15460"/>
    <w:rsid w:val="00D15761"/>
    <w:rsid w:val="00D157D6"/>
    <w:rsid w:val="00D169F3"/>
    <w:rsid w:val="00D17267"/>
    <w:rsid w:val="00D2021C"/>
    <w:rsid w:val="00D206C7"/>
    <w:rsid w:val="00D206F7"/>
    <w:rsid w:val="00D22D10"/>
    <w:rsid w:val="00D23309"/>
    <w:rsid w:val="00D23518"/>
    <w:rsid w:val="00D241FF"/>
    <w:rsid w:val="00D24B8F"/>
    <w:rsid w:val="00D24DDB"/>
    <w:rsid w:val="00D259D3"/>
    <w:rsid w:val="00D26DE3"/>
    <w:rsid w:val="00D27432"/>
    <w:rsid w:val="00D2747C"/>
    <w:rsid w:val="00D27998"/>
    <w:rsid w:val="00D306AC"/>
    <w:rsid w:val="00D3194F"/>
    <w:rsid w:val="00D329BA"/>
    <w:rsid w:val="00D33904"/>
    <w:rsid w:val="00D33A17"/>
    <w:rsid w:val="00D3403C"/>
    <w:rsid w:val="00D35765"/>
    <w:rsid w:val="00D35D65"/>
    <w:rsid w:val="00D369A5"/>
    <w:rsid w:val="00D37906"/>
    <w:rsid w:val="00D40150"/>
    <w:rsid w:val="00D40AD0"/>
    <w:rsid w:val="00D43A35"/>
    <w:rsid w:val="00D44A9D"/>
    <w:rsid w:val="00D44C9E"/>
    <w:rsid w:val="00D454CD"/>
    <w:rsid w:val="00D45A30"/>
    <w:rsid w:val="00D45AA2"/>
    <w:rsid w:val="00D46C1C"/>
    <w:rsid w:val="00D50010"/>
    <w:rsid w:val="00D5019F"/>
    <w:rsid w:val="00D50981"/>
    <w:rsid w:val="00D5111C"/>
    <w:rsid w:val="00D51BBA"/>
    <w:rsid w:val="00D52289"/>
    <w:rsid w:val="00D53B70"/>
    <w:rsid w:val="00D53DD8"/>
    <w:rsid w:val="00D5437C"/>
    <w:rsid w:val="00D55AD1"/>
    <w:rsid w:val="00D62287"/>
    <w:rsid w:val="00D6345D"/>
    <w:rsid w:val="00D637A9"/>
    <w:rsid w:val="00D66EDB"/>
    <w:rsid w:val="00D6764E"/>
    <w:rsid w:val="00D70142"/>
    <w:rsid w:val="00D70334"/>
    <w:rsid w:val="00D704A0"/>
    <w:rsid w:val="00D705CE"/>
    <w:rsid w:val="00D71960"/>
    <w:rsid w:val="00D72207"/>
    <w:rsid w:val="00D72EDF"/>
    <w:rsid w:val="00D739AA"/>
    <w:rsid w:val="00D739F4"/>
    <w:rsid w:val="00D73BA0"/>
    <w:rsid w:val="00D756D8"/>
    <w:rsid w:val="00D75932"/>
    <w:rsid w:val="00D76136"/>
    <w:rsid w:val="00D76950"/>
    <w:rsid w:val="00D76A67"/>
    <w:rsid w:val="00D77F2E"/>
    <w:rsid w:val="00D80032"/>
    <w:rsid w:val="00D80CBF"/>
    <w:rsid w:val="00D816F1"/>
    <w:rsid w:val="00D82EB5"/>
    <w:rsid w:val="00D83BC6"/>
    <w:rsid w:val="00D84210"/>
    <w:rsid w:val="00D845B6"/>
    <w:rsid w:val="00D868C9"/>
    <w:rsid w:val="00D9058F"/>
    <w:rsid w:val="00D915A1"/>
    <w:rsid w:val="00D92215"/>
    <w:rsid w:val="00D9226E"/>
    <w:rsid w:val="00D92834"/>
    <w:rsid w:val="00D937FA"/>
    <w:rsid w:val="00D93CE5"/>
    <w:rsid w:val="00D94314"/>
    <w:rsid w:val="00D9510A"/>
    <w:rsid w:val="00D953BD"/>
    <w:rsid w:val="00D9675C"/>
    <w:rsid w:val="00D971E7"/>
    <w:rsid w:val="00D97A19"/>
    <w:rsid w:val="00D97CA4"/>
    <w:rsid w:val="00DA1BFE"/>
    <w:rsid w:val="00DA2557"/>
    <w:rsid w:val="00DA377E"/>
    <w:rsid w:val="00DA37DE"/>
    <w:rsid w:val="00DA48B0"/>
    <w:rsid w:val="00DA561E"/>
    <w:rsid w:val="00DA590C"/>
    <w:rsid w:val="00DA69B5"/>
    <w:rsid w:val="00DA7B05"/>
    <w:rsid w:val="00DB0356"/>
    <w:rsid w:val="00DB0764"/>
    <w:rsid w:val="00DB0894"/>
    <w:rsid w:val="00DB0E83"/>
    <w:rsid w:val="00DB1744"/>
    <w:rsid w:val="00DB2E3E"/>
    <w:rsid w:val="00DB38A6"/>
    <w:rsid w:val="00DB5240"/>
    <w:rsid w:val="00DB6428"/>
    <w:rsid w:val="00DB67D2"/>
    <w:rsid w:val="00DB6FB6"/>
    <w:rsid w:val="00DB736D"/>
    <w:rsid w:val="00DB79E7"/>
    <w:rsid w:val="00DB7E8B"/>
    <w:rsid w:val="00DC25AA"/>
    <w:rsid w:val="00DC358D"/>
    <w:rsid w:val="00DC3AD7"/>
    <w:rsid w:val="00DC4C43"/>
    <w:rsid w:val="00DC4ECE"/>
    <w:rsid w:val="00DC513A"/>
    <w:rsid w:val="00DC531A"/>
    <w:rsid w:val="00DC5A98"/>
    <w:rsid w:val="00DC6067"/>
    <w:rsid w:val="00DC649F"/>
    <w:rsid w:val="00DC7174"/>
    <w:rsid w:val="00DD030C"/>
    <w:rsid w:val="00DD0465"/>
    <w:rsid w:val="00DD1E44"/>
    <w:rsid w:val="00DD4B02"/>
    <w:rsid w:val="00DD5549"/>
    <w:rsid w:val="00DE0AAB"/>
    <w:rsid w:val="00DE189E"/>
    <w:rsid w:val="00DE33EE"/>
    <w:rsid w:val="00DE51F3"/>
    <w:rsid w:val="00DE5702"/>
    <w:rsid w:val="00DE58BF"/>
    <w:rsid w:val="00DE5F5C"/>
    <w:rsid w:val="00DE790A"/>
    <w:rsid w:val="00DF14BB"/>
    <w:rsid w:val="00DF2098"/>
    <w:rsid w:val="00DF2862"/>
    <w:rsid w:val="00DF2CBC"/>
    <w:rsid w:val="00DF2DFD"/>
    <w:rsid w:val="00DF3150"/>
    <w:rsid w:val="00DF351E"/>
    <w:rsid w:val="00DF4045"/>
    <w:rsid w:val="00DF428A"/>
    <w:rsid w:val="00DF4D00"/>
    <w:rsid w:val="00DF5A3E"/>
    <w:rsid w:val="00DF693E"/>
    <w:rsid w:val="00DF751B"/>
    <w:rsid w:val="00E00E68"/>
    <w:rsid w:val="00E01E92"/>
    <w:rsid w:val="00E02C48"/>
    <w:rsid w:val="00E02F7E"/>
    <w:rsid w:val="00E0351B"/>
    <w:rsid w:val="00E04272"/>
    <w:rsid w:val="00E04DCE"/>
    <w:rsid w:val="00E10008"/>
    <w:rsid w:val="00E1027E"/>
    <w:rsid w:val="00E11860"/>
    <w:rsid w:val="00E12174"/>
    <w:rsid w:val="00E12822"/>
    <w:rsid w:val="00E13857"/>
    <w:rsid w:val="00E14D0C"/>
    <w:rsid w:val="00E164B1"/>
    <w:rsid w:val="00E16741"/>
    <w:rsid w:val="00E2064D"/>
    <w:rsid w:val="00E2215B"/>
    <w:rsid w:val="00E2336B"/>
    <w:rsid w:val="00E239A5"/>
    <w:rsid w:val="00E25D4D"/>
    <w:rsid w:val="00E25E41"/>
    <w:rsid w:val="00E2648E"/>
    <w:rsid w:val="00E26BB7"/>
    <w:rsid w:val="00E26C83"/>
    <w:rsid w:val="00E27400"/>
    <w:rsid w:val="00E2772A"/>
    <w:rsid w:val="00E314B1"/>
    <w:rsid w:val="00E31555"/>
    <w:rsid w:val="00E31972"/>
    <w:rsid w:val="00E3316D"/>
    <w:rsid w:val="00E339FF"/>
    <w:rsid w:val="00E33AC9"/>
    <w:rsid w:val="00E34E27"/>
    <w:rsid w:val="00E35DB0"/>
    <w:rsid w:val="00E361E9"/>
    <w:rsid w:val="00E37942"/>
    <w:rsid w:val="00E37D83"/>
    <w:rsid w:val="00E37FE0"/>
    <w:rsid w:val="00E42E92"/>
    <w:rsid w:val="00E4328E"/>
    <w:rsid w:val="00E43A72"/>
    <w:rsid w:val="00E4495A"/>
    <w:rsid w:val="00E45459"/>
    <w:rsid w:val="00E454C3"/>
    <w:rsid w:val="00E46FF7"/>
    <w:rsid w:val="00E4759A"/>
    <w:rsid w:val="00E527AA"/>
    <w:rsid w:val="00E52C5B"/>
    <w:rsid w:val="00E53B77"/>
    <w:rsid w:val="00E53FFD"/>
    <w:rsid w:val="00E551D7"/>
    <w:rsid w:val="00E5539B"/>
    <w:rsid w:val="00E57062"/>
    <w:rsid w:val="00E60782"/>
    <w:rsid w:val="00E6086D"/>
    <w:rsid w:val="00E60CA9"/>
    <w:rsid w:val="00E60E26"/>
    <w:rsid w:val="00E62354"/>
    <w:rsid w:val="00E638B7"/>
    <w:rsid w:val="00E63CC2"/>
    <w:rsid w:val="00E63DC9"/>
    <w:rsid w:val="00E64322"/>
    <w:rsid w:val="00E64C9D"/>
    <w:rsid w:val="00E65F62"/>
    <w:rsid w:val="00E7127E"/>
    <w:rsid w:val="00E71C4E"/>
    <w:rsid w:val="00E71F7E"/>
    <w:rsid w:val="00E72315"/>
    <w:rsid w:val="00E73026"/>
    <w:rsid w:val="00E7376C"/>
    <w:rsid w:val="00E73FEE"/>
    <w:rsid w:val="00E7488D"/>
    <w:rsid w:val="00E74944"/>
    <w:rsid w:val="00E75F3D"/>
    <w:rsid w:val="00E7666F"/>
    <w:rsid w:val="00E77F50"/>
    <w:rsid w:val="00E80193"/>
    <w:rsid w:val="00E80AB5"/>
    <w:rsid w:val="00E80D38"/>
    <w:rsid w:val="00E81D8D"/>
    <w:rsid w:val="00E8456D"/>
    <w:rsid w:val="00E853AA"/>
    <w:rsid w:val="00E8562A"/>
    <w:rsid w:val="00E916E7"/>
    <w:rsid w:val="00E9271C"/>
    <w:rsid w:val="00E92BFB"/>
    <w:rsid w:val="00E94014"/>
    <w:rsid w:val="00E94055"/>
    <w:rsid w:val="00E94C57"/>
    <w:rsid w:val="00E9742E"/>
    <w:rsid w:val="00EA0302"/>
    <w:rsid w:val="00EA13F9"/>
    <w:rsid w:val="00EA1AE4"/>
    <w:rsid w:val="00EA203D"/>
    <w:rsid w:val="00EA29B1"/>
    <w:rsid w:val="00EA48A6"/>
    <w:rsid w:val="00EA58E9"/>
    <w:rsid w:val="00EA5A30"/>
    <w:rsid w:val="00EA65E2"/>
    <w:rsid w:val="00EA6BB1"/>
    <w:rsid w:val="00EB0575"/>
    <w:rsid w:val="00EB320D"/>
    <w:rsid w:val="00EB32DA"/>
    <w:rsid w:val="00EB5B29"/>
    <w:rsid w:val="00EB60CC"/>
    <w:rsid w:val="00EB6D88"/>
    <w:rsid w:val="00EB7011"/>
    <w:rsid w:val="00EC0DD8"/>
    <w:rsid w:val="00EC0FDA"/>
    <w:rsid w:val="00EC23A3"/>
    <w:rsid w:val="00EC303A"/>
    <w:rsid w:val="00EC4875"/>
    <w:rsid w:val="00ED0DD0"/>
    <w:rsid w:val="00ED159B"/>
    <w:rsid w:val="00ED15CE"/>
    <w:rsid w:val="00ED1E45"/>
    <w:rsid w:val="00ED5651"/>
    <w:rsid w:val="00ED7EDB"/>
    <w:rsid w:val="00EE1827"/>
    <w:rsid w:val="00EE1E2F"/>
    <w:rsid w:val="00EE2E42"/>
    <w:rsid w:val="00EE338A"/>
    <w:rsid w:val="00EE45BB"/>
    <w:rsid w:val="00EE5A85"/>
    <w:rsid w:val="00EE5C3A"/>
    <w:rsid w:val="00EE6305"/>
    <w:rsid w:val="00EF0158"/>
    <w:rsid w:val="00EF090F"/>
    <w:rsid w:val="00EF27D9"/>
    <w:rsid w:val="00EF2BE8"/>
    <w:rsid w:val="00EF2E4F"/>
    <w:rsid w:val="00EF43F8"/>
    <w:rsid w:val="00EF6939"/>
    <w:rsid w:val="00EF6BA8"/>
    <w:rsid w:val="00EF775B"/>
    <w:rsid w:val="00EF7871"/>
    <w:rsid w:val="00F00D78"/>
    <w:rsid w:val="00F01C73"/>
    <w:rsid w:val="00F01F52"/>
    <w:rsid w:val="00F04464"/>
    <w:rsid w:val="00F0506F"/>
    <w:rsid w:val="00F0591C"/>
    <w:rsid w:val="00F06DB9"/>
    <w:rsid w:val="00F0740E"/>
    <w:rsid w:val="00F10908"/>
    <w:rsid w:val="00F10FAB"/>
    <w:rsid w:val="00F111C0"/>
    <w:rsid w:val="00F113FD"/>
    <w:rsid w:val="00F13253"/>
    <w:rsid w:val="00F13F99"/>
    <w:rsid w:val="00F15418"/>
    <w:rsid w:val="00F15BB7"/>
    <w:rsid w:val="00F1605E"/>
    <w:rsid w:val="00F17337"/>
    <w:rsid w:val="00F175A9"/>
    <w:rsid w:val="00F20387"/>
    <w:rsid w:val="00F20527"/>
    <w:rsid w:val="00F2055E"/>
    <w:rsid w:val="00F20789"/>
    <w:rsid w:val="00F20892"/>
    <w:rsid w:val="00F20AA6"/>
    <w:rsid w:val="00F22886"/>
    <w:rsid w:val="00F22907"/>
    <w:rsid w:val="00F22ACC"/>
    <w:rsid w:val="00F231FE"/>
    <w:rsid w:val="00F239EC"/>
    <w:rsid w:val="00F24512"/>
    <w:rsid w:val="00F267AB"/>
    <w:rsid w:val="00F302A2"/>
    <w:rsid w:val="00F30F1D"/>
    <w:rsid w:val="00F30FEB"/>
    <w:rsid w:val="00F31706"/>
    <w:rsid w:val="00F31ADC"/>
    <w:rsid w:val="00F338F8"/>
    <w:rsid w:val="00F33D6F"/>
    <w:rsid w:val="00F347CD"/>
    <w:rsid w:val="00F34988"/>
    <w:rsid w:val="00F3564E"/>
    <w:rsid w:val="00F35E5C"/>
    <w:rsid w:val="00F37348"/>
    <w:rsid w:val="00F40184"/>
    <w:rsid w:val="00F4093F"/>
    <w:rsid w:val="00F410B2"/>
    <w:rsid w:val="00F410FB"/>
    <w:rsid w:val="00F41AB3"/>
    <w:rsid w:val="00F42263"/>
    <w:rsid w:val="00F42440"/>
    <w:rsid w:val="00F42AAD"/>
    <w:rsid w:val="00F431DA"/>
    <w:rsid w:val="00F435D9"/>
    <w:rsid w:val="00F4511C"/>
    <w:rsid w:val="00F46B8E"/>
    <w:rsid w:val="00F46D94"/>
    <w:rsid w:val="00F50CEF"/>
    <w:rsid w:val="00F53070"/>
    <w:rsid w:val="00F531D0"/>
    <w:rsid w:val="00F532B2"/>
    <w:rsid w:val="00F54760"/>
    <w:rsid w:val="00F549BE"/>
    <w:rsid w:val="00F55E64"/>
    <w:rsid w:val="00F56426"/>
    <w:rsid w:val="00F56928"/>
    <w:rsid w:val="00F5760A"/>
    <w:rsid w:val="00F622F7"/>
    <w:rsid w:val="00F6281A"/>
    <w:rsid w:val="00F628F5"/>
    <w:rsid w:val="00F6309E"/>
    <w:rsid w:val="00F641CC"/>
    <w:rsid w:val="00F642C6"/>
    <w:rsid w:val="00F64C05"/>
    <w:rsid w:val="00F65AF2"/>
    <w:rsid w:val="00F67602"/>
    <w:rsid w:val="00F73BE2"/>
    <w:rsid w:val="00F74292"/>
    <w:rsid w:val="00F742D4"/>
    <w:rsid w:val="00F75231"/>
    <w:rsid w:val="00F7611D"/>
    <w:rsid w:val="00F77C4C"/>
    <w:rsid w:val="00F77D75"/>
    <w:rsid w:val="00F8092F"/>
    <w:rsid w:val="00F80C05"/>
    <w:rsid w:val="00F811D5"/>
    <w:rsid w:val="00F8156A"/>
    <w:rsid w:val="00F8234A"/>
    <w:rsid w:val="00F82356"/>
    <w:rsid w:val="00F823DB"/>
    <w:rsid w:val="00F83CC8"/>
    <w:rsid w:val="00F840EA"/>
    <w:rsid w:val="00F84E9E"/>
    <w:rsid w:val="00F85CE6"/>
    <w:rsid w:val="00F876C4"/>
    <w:rsid w:val="00F90ABB"/>
    <w:rsid w:val="00F91EF9"/>
    <w:rsid w:val="00F9241B"/>
    <w:rsid w:val="00F92CC4"/>
    <w:rsid w:val="00F932F7"/>
    <w:rsid w:val="00F936DF"/>
    <w:rsid w:val="00F94F1D"/>
    <w:rsid w:val="00F95389"/>
    <w:rsid w:val="00FA0576"/>
    <w:rsid w:val="00FA294C"/>
    <w:rsid w:val="00FA308A"/>
    <w:rsid w:val="00FA366A"/>
    <w:rsid w:val="00FA4385"/>
    <w:rsid w:val="00FA5692"/>
    <w:rsid w:val="00FA71E0"/>
    <w:rsid w:val="00FB03C2"/>
    <w:rsid w:val="00FB3C4A"/>
    <w:rsid w:val="00FB437C"/>
    <w:rsid w:val="00FB471D"/>
    <w:rsid w:val="00FB55EF"/>
    <w:rsid w:val="00FB5E8E"/>
    <w:rsid w:val="00FB6168"/>
    <w:rsid w:val="00FB72B6"/>
    <w:rsid w:val="00FB77C5"/>
    <w:rsid w:val="00FC0060"/>
    <w:rsid w:val="00FC250E"/>
    <w:rsid w:val="00FC25DB"/>
    <w:rsid w:val="00FC4C84"/>
    <w:rsid w:val="00FC4D3A"/>
    <w:rsid w:val="00FC54AA"/>
    <w:rsid w:val="00FC5B2F"/>
    <w:rsid w:val="00FC5C6D"/>
    <w:rsid w:val="00FC6A3C"/>
    <w:rsid w:val="00FC7C25"/>
    <w:rsid w:val="00FD041C"/>
    <w:rsid w:val="00FD0A47"/>
    <w:rsid w:val="00FD1213"/>
    <w:rsid w:val="00FD14EC"/>
    <w:rsid w:val="00FD25E6"/>
    <w:rsid w:val="00FD332A"/>
    <w:rsid w:val="00FD36B2"/>
    <w:rsid w:val="00FD494A"/>
    <w:rsid w:val="00FD7828"/>
    <w:rsid w:val="00FD7A1B"/>
    <w:rsid w:val="00FD7ED1"/>
    <w:rsid w:val="00FE0032"/>
    <w:rsid w:val="00FE0147"/>
    <w:rsid w:val="00FE01CB"/>
    <w:rsid w:val="00FE0E47"/>
    <w:rsid w:val="00FE1D9C"/>
    <w:rsid w:val="00FE1EAB"/>
    <w:rsid w:val="00FE27AD"/>
    <w:rsid w:val="00FE43D8"/>
    <w:rsid w:val="00FE5FDF"/>
    <w:rsid w:val="00FE7FC5"/>
    <w:rsid w:val="00FF0B2D"/>
    <w:rsid w:val="00FF10C6"/>
    <w:rsid w:val="00FF4EB1"/>
    <w:rsid w:val="00FF52AF"/>
    <w:rsid w:val="00FF52E9"/>
    <w:rsid w:val="00FF56FD"/>
    <w:rsid w:val="00FF6509"/>
    <w:rsid w:val="00FF68A1"/>
    <w:rsid w:val="00FF6B88"/>
    <w:rsid w:val="00FF6BF7"/>
    <w:rsid w:val="00FF7521"/>
    <w:rsid w:val="00FF78D4"/>
    <w:rsid w:val="00FF7FE8"/>
    <w:rsid w:val="029608A6"/>
    <w:rsid w:val="0338F2A4"/>
    <w:rsid w:val="11A3CFB4"/>
    <w:rsid w:val="141B1570"/>
    <w:rsid w:val="1DE5C9EE"/>
    <w:rsid w:val="2F20AF33"/>
    <w:rsid w:val="395B7ED4"/>
    <w:rsid w:val="3ACE239B"/>
    <w:rsid w:val="3E935755"/>
    <w:rsid w:val="56A7DB8D"/>
    <w:rsid w:val="5D9A79CF"/>
    <w:rsid w:val="5F364A30"/>
    <w:rsid w:val="61C8A00B"/>
    <w:rsid w:val="656DCFBF"/>
    <w:rsid w:val="669AE7E2"/>
    <w:rsid w:val="6FFC4714"/>
    <w:rsid w:val="7402BBAC"/>
    <w:rsid w:val="74295669"/>
    <w:rsid w:val="787714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1C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BB"/>
    <w:pPr>
      <w:ind w:firstLine="720"/>
    </w:pPr>
  </w:style>
  <w:style w:type="paragraph" w:styleId="Heading1">
    <w:name w:val="heading 1"/>
    <w:basedOn w:val="Normal"/>
    <w:next w:val="Normal"/>
    <w:link w:val="Heading1Char"/>
    <w:uiPriority w:val="1"/>
    <w:qFormat/>
    <w:rsid w:val="00D92215"/>
    <w:pPr>
      <w:keepNext/>
      <w:numPr>
        <w:numId w:val="17"/>
      </w:numPr>
      <w:jc w:val="center"/>
      <w:outlineLvl w:val="0"/>
    </w:pPr>
    <w:rPr>
      <w:rFonts w:cs="Times New Roman"/>
      <w:b/>
      <w:bCs/>
      <w:caps/>
    </w:rPr>
  </w:style>
  <w:style w:type="paragraph" w:styleId="Heading2">
    <w:name w:val="heading 2"/>
    <w:basedOn w:val="ListParagraph"/>
    <w:next w:val="Normal"/>
    <w:link w:val="Heading2Char"/>
    <w:uiPriority w:val="2"/>
    <w:qFormat/>
    <w:rsid w:val="007B005C"/>
    <w:pPr>
      <w:keepNext/>
      <w:numPr>
        <w:numId w:val="2"/>
      </w:numPr>
      <w:tabs>
        <w:tab w:val="left" w:pos="360"/>
      </w:tabs>
      <w:spacing w:after="120" w:line="240" w:lineRule="auto"/>
      <w:outlineLvl w:val="1"/>
    </w:pPr>
    <w:rPr>
      <w:rFonts w:cs="Times New Roman"/>
      <w:b/>
      <w:i/>
    </w:rPr>
  </w:style>
  <w:style w:type="paragraph" w:styleId="Heading3">
    <w:name w:val="heading 3"/>
    <w:basedOn w:val="ListParagraph"/>
    <w:next w:val="Normal"/>
    <w:link w:val="Heading3Char"/>
    <w:uiPriority w:val="3"/>
    <w:qFormat/>
    <w:rsid w:val="000775C3"/>
    <w:pPr>
      <w:keepNext/>
      <w:numPr>
        <w:numId w:val="3"/>
      </w:numPr>
      <w:spacing w:after="120" w:line="240" w:lineRule="auto"/>
      <w:outlineLvl w:val="2"/>
    </w:pPr>
    <w:rPr>
      <w:rFonts w:cs="Times New Roman"/>
      <w:b/>
    </w:rPr>
  </w:style>
  <w:style w:type="paragraph" w:styleId="Heading4">
    <w:name w:val="heading 4"/>
    <w:basedOn w:val="ListParagraph"/>
    <w:next w:val="Normal"/>
    <w:link w:val="Heading4Char"/>
    <w:uiPriority w:val="4"/>
    <w:qFormat/>
    <w:rsid w:val="000775C3"/>
    <w:pPr>
      <w:keepNext/>
      <w:numPr>
        <w:numId w:val="4"/>
      </w:numPr>
      <w:spacing w:after="120" w:line="240" w:lineRule="auto"/>
      <w:outlineLvl w:val="3"/>
    </w:pPr>
    <w:rPr>
      <w:rFonts w:cs="Times New Roman"/>
      <w:i/>
      <w:iCs/>
    </w:rPr>
  </w:style>
  <w:style w:type="paragraph" w:styleId="Heading5">
    <w:name w:val="heading 5"/>
    <w:basedOn w:val="Normal"/>
    <w:next w:val="Normal"/>
    <w:link w:val="Heading5Char"/>
    <w:uiPriority w:val="9"/>
    <w:unhideWhenUsed/>
    <w:rsid w:val="000775C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2215"/>
    <w:rPr>
      <w:rFonts w:cs="Times New Roman"/>
      <w:b/>
      <w:bCs/>
      <w:caps/>
    </w:rPr>
  </w:style>
  <w:style w:type="paragraph" w:styleId="Header">
    <w:name w:val="header"/>
    <w:basedOn w:val="Normal"/>
    <w:link w:val="HeaderChar"/>
    <w:uiPriority w:val="99"/>
    <w:unhideWhenUsed/>
    <w:rsid w:val="00737B68"/>
    <w:pPr>
      <w:tabs>
        <w:tab w:val="left" w:pos="720"/>
        <w:tab w:val="center" w:pos="4680"/>
        <w:tab w:val="right" w:pos="9360"/>
      </w:tabs>
      <w:spacing w:line="240" w:lineRule="auto"/>
    </w:pPr>
    <w:rPr>
      <w:rFonts w:cs="Times New Roman"/>
    </w:rPr>
  </w:style>
  <w:style w:type="character" w:customStyle="1" w:styleId="HeaderChar">
    <w:name w:val="Header Char"/>
    <w:basedOn w:val="DefaultParagraphFont"/>
    <w:link w:val="Header"/>
    <w:uiPriority w:val="99"/>
    <w:rsid w:val="00737B68"/>
    <w:rPr>
      <w:rFonts w:cs="Times New Roman"/>
    </w:rPr>
  </w:style>
  <w:style w:type="paragraph" w:styleId="Footer">
    <w:name w:val="footer"/>
    <w:basedOn w:val="Normal"/>
    <w:link w:val="FooterChar"/>
    <w:uiPriority w:val="99"/>
    <w:unhideWhenUsed/>
    <w:rsid w:val="00737B68"/>
    <w:pPr>
      <w:tabs>
        <w:tab w:val="left" w:pos="720"/>
        <w:tab w:val="center" w:pos="4680"/>
        <w:tab w:val="right" w:pos="9360"/>
      </w:tabs>
      <w:spacing w:line="240" w:lineRule="auto"/>
    </w:pPr>
    <w:rPr>
      <w:rFonts w:cs="Times New Roman"/>
    </w:rPr>
  </w:style>
  <w:style w:type="character" w:customStyle="1" w:styleId="FooterChar">
    <w:name w:val="Footer Char"/>
    <w:basedOn w:val="DefaultParagraphFont"/>
    <w:link w:val="Footer"/>
    <w:uiPriority w:val="99"/>
    <w:rsid w:val="00737B68"/>
    <w:rPr>
      <w:rFonts w:cs="Times New Roman"/>
    </w:rPr>
  </w:style>
  <w:style w:type="character" w:customStyle="1" w:styleId="Heading2Char">
    <w:name w:val="Heading 2 Char"/>
    <w:basedOn w:val="DefaultParagraphFont"/>
    <w:link w:val="Heading2"/>
    <w:uiPriority w:val="2"/>
    <w:rsid w:val="007B005C"/>
    <w:rPr>
      <w:rFonts w:cs="Times New Roman"/>
      <w:b/>
      <w:i/>
    </w:rPr>
  </w:style>
  <w:style w:type="character" w:customStyle="1" w:styleId="Heading3Char">
    <w:name w:val="Heading 3 Char"/>
    <w:basedOn w:val="DefaultParagraphFont"/>
    <w:link w:val="Heading3"/>
    <w:uiPriority w:val="3"/>
    <w:rsid w:val="00944C2C"/>
    <w:rPr>
      <w:rFonts w:cs="Times New Roman"/>
      <w:b/>
    </w:rPr>
  </w:style>
  <w:style w:type="character" w:customStyle="1" w:styleId="Heading4Char">
    <w:name w:val="Heading 4 Char"/>
    <w:basedOn w:val="DefaultParagraphFont"/>
    <w:link w:val="Heading4"/>
    <w:uiPriority w:val="4"/>
    <w:rsid w:val="00944C2C"/>
    <w:rPr>
      <w:rFonts w:cs="Times New Roman"/>
      <w:i/>
      <w:iCs/>
    </w:rPr>
  </w:style>
  <w:style w:type="paragraph" w:styleId="FootnoteText">
    <w:name w:val="footnote text"/>
    <w:basedOn w:val="Normal"/>
    <w:link w:val="FootnoteTextChar"/>
    <w:uiPriority w:val="99"/>
    <w:unhideWhenUsed/>
    <w:rsid w:val="00DB0E83"/>
    <w:pPr>
      <w:spacing w:after="120" w:line="240" w:lineRule="auto"/>
    </w:pPr>
    <w:rPr>
      <w:szCs w:val="20"/>
    </w:rPr>
  </w:style>
  <w:style w:type="character" w:customStyle="1" w:styleId="FootnoteTextChar">
    <w:name w:val="Footnote Text Char"/>
    <w:basedOn w:val="DefaultParagraphFont"/>
    <w:link w:val="FootnoteText"/>
    <w:uiPriority w:val="99"/>
    <w:rsid w:val="00DB0E83"/>
    <w:rPr>
      <w:szCs w:val="20"/>
    </w:rPr>
  </w:style>
  <w:style w:type="character" w:styleId="FootnoteReference">
    <w:name w:val="footnote reference"/>
    <w:basedOn w:val="DefaultParagraphFont"/>
    <w:uiPriority w:val="99"/>
    <w:semiHidden/>
    <w:unhideWhenUsed/>
    <w:rsid w:val="00737B68"/>
    <w:rPr>
      <w:vertAlign w:val="superscript"/>
    </w:rPr>
  </w:style>
  <w:style w:type="paragraph" w:styleId="ListParagraph">
    <w:name w:val="List Paragraph"/>
    <w:basedOn w:val="Normal"/>
    <w:uiPriority w:val="34"/>
    <w:rsid w:val="000775C3"/>
    <w:pPr>
      <w:ind w:left="720"/>
      <w:contextualSpacing/>
    </w:pPr>
  </w:style>
  <w:style w:type="paragraph" w:customStyle="1" w:styleId="Footnote">
    <w:name w:val="Footnote"/>
    <w:basedOn w:val="FootnoteText"/>
    <w:link w:val="FootnoteChar"/>
    <w:uiPriority w:val="9"/>
    <w:qFormat/>
    <w:rsid w:val="00750DF6"/>
    <w:rPr>
      <w:szCs w:val="26"/>
    </w:rPr>
  </w:style>
  <w:style w:type="character" w:customStyle="1" w:styleId="Heading5Char">
    <w:name w:val="Heading 5 Char"/>
    <w:basedOn w:val="DefaultParagraphFont"/>
    <w:link w:val="Heading5"/>
    <w:uiPriority w:val="9"/>
    <w:rsid w:val="000775C3"/>
    <w:rPr>
      <w:rFonts w:asciiTheme="majorHAnsi" w:eastAsiaTheme="majorEastAsia" w:hAnsiTheme="majorHAnsi" w:cstheme="majorBidi"/>
      <w:color w:val="2F5496" w:themeColor="accent1" w:themeShade="BF"/>
    </w:rPr>
  </w:style>
  <w:style w:type="character" w:customStyle="1" w:styleId="FootnoteChar">
    <w:name w:val="Footnote Char"/>
    <w:basedOn w:val="FootnoteTextChar"/>
    <w:link w:val="Footnote"/>
    <w:uiPriority w:val="9"/>
    <w:rsid w:val="00750DF6"/>
    <w:rPr>
      <w:szCs w:val="20"/>
    </w:rPr>
  </w:style>
  <w:style w:type="paragraph" w:customStyle="1" w:styleId="FootnoteText0">
    <w:name w:val="FootnoteText"/>
    <w:basedOn w:val="ListParagraph"/>
    <w:uiPriority w:val="99"/>
    <w:semiHidden/>
    <w:rsid w:val="00146202"/>
  </w:style>
  <w:style w:type="character" w:styleId="Hyperlink">
    <w:name w:val="Hyperlink"/>
    <w:basedOn w:val="DefaultParagraphFont"/>
    <w:uiPriority w:val="99"/>
    <w:semiHidden/>
    <w:unhideWhenUsed/>
    <w:rsid w:val="00335EA4"/>
    <w:rPr>
      <w:color w:val="0000FF"/>
      <w:u w:val="single"/>
    </w:rPr>
  </w:style>
  <w:style w:type="character" w:customStyle="1" w:styleId="ssit">
    <w:name w:val="ss_it"/>
    <w:basedOn w:val="DefaultParagraphFont"/>
    <w:rsid w:val="00AC244C"/>
  </w:style>
  <w:style w:type="character" w:customStyle="1" w:styleId="sssh">
    <w:name w:val="ss_sh"/>
    <w:basedOn w:val="DefaultParagraphFont"/>
    <w:rsid w:val="00AC244C"/>
  </w:style>
  <w:style w:type="character" w:customStyle="1" w:styleId="ssrfcpassagedeactivated">
    <w:name w:val="ss_rfcpassage_deactivated"/>
    <w:basedOn w:val="DefaultParagraphFont"/>
    <w:rsid w:val="00AC244C"/>
  </w:style>
  <w:style w:type="character" w:customStyle="1" w:styleId="ssrfcsection">
    <w:name w:val="ss_rfcsection"/>
    <w:basedOn w:val="DefaultParagraphFont"/>
    <w:rsid w:val="00AC244C"/>
  </w:style>
  <w:style w:type="paragraph" w:styleId="NormalWeb">
    <w:name w:val="Normal (Web)"/>
    <w:basedOn w:val="Normal"/>
    <w:uiPriority w:val="99"/>
    <w:semiHidden/>
    <w:unhideWhenUsed/>
    <w:rsid w:val="00FF0B2D"/>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ssheadnotelink">
    <w:name w:val="ss_headnotelink"/>
    <w:basedOn w:val="DefaultParagraphFont"/>
    <w:rsid w:val="00FF0B2D"/>
  </w:style>
  <w:style w:type="character" w:customStyle="1" w:styleId="ssbf">
    <w:name w:val="ss_bf"/>
    <w:basedOn w:val="DefaultParagraphFont"/>
    <w:rsid w:val="00FF0B2D"/>
  </w:style>
  <w:style w:type="character" w:styleId="Emphasis">
    <w:name w:val="Emphasis"/>
    <w:basedOn w:val="DefaultParagraphFont"/>
    <w:uiPriority w:val="20"/>
    <w:qFormat/>
    <w:rsid w:val="00694EFB"/>
    <w:rPr>
      <w:i/>
      <w:iCs/>
    </w:rPr>
  </w:style>
  <w:style w:type="paragraph" w:styleId="Revision">
    <w:name w:val="Revision"/>
    <w:hidden/>
    <w:uiPriority w:val="99"/>
    <w:semiHidden/>
    <w:rsid w:val="00944784"/>
    <w:pPr>
      <w:spacing w:line="240" w:lineRule="auto"/>
    </w:pPr>
  </w:style>
  <w:style w:type="character" w:styleId="CommentReference">
    <w:name w:val="annotation reference"/>
    <w:basedOn w:val="DefaultParagraphFont"/>
    <w:uiPriority w:val="99"/>
    <w:semiHidden/>
    <w:unhideWhenUsed/>
    <w:rsid w:val="00AD0813"/>
    <w:rPr>
      <w:sz w:val="16"/>
      <w:szCs w:val="16"/>
    </w:rPr>
  </w:style>
  <w:style w:type="paragraph" w:styleId="CommentText">
    <w:name w:val="annotation text"/>
    <w:basedOn w:val="Normal"/>
    <w:link w:val="CommentTextChar"/>
    <w:uiPriority w:val="99"/>
    <w:unhideWhenUsed/>
    <w:rsid w:val="00AD0813"/>
    <w:pPr>
      <w:spacing w:line="240" w:lineRule="auto"/>
    </w:pPr>
    <w:rPr>
      <w:sz w:val="20"/>
      <w:szCs w:val="20"/>
    </w:rPr>
  </w:style>
  <w:style w:type="character" w:customStyle="1" w:styleId="CommentTextChar">
    <w:name w:val="Comment Text Char"/>
    <w:basedOn w:val="DefaultParagraphFont"/>
    <w:link w:val="CommentText"/>
    <w:uiPriority w:val="99"/>
    <w:rsid w:val="00AD0813"/>
    <w:rPr>
      <w:sz w:val="20"/>
      <w:szCs w:val="20"/>
    </w:rPr>
  </w:style>
  <w:style w:type="paragraph" w:styleId="CommentSubject">
    <w:name w:val="annotation subject"/>
    <w:basedOn w:val="CommentText"/>
    <w:next w:val="CommentText"/>
    <w:link w:val="CommentSubjectChar"/>
    <w:uiPriority w:val="99"/>
    <w:semiHidden/>
    <w:unhideWhenUsed/>
    <w:rsid w:val="00AD0813"/>
    <w:rPr>
      <w:b/>
      <w:bCs/>
    </w:rPr>
  </w:style>
  <w:style w:type="character" w:customStyle="1" w:styleId="CommentSubjectChar">
    <w:name w:val="Comment Subject Char"/>
    <w:basedOn w:val="CommentTextChar"/>
    <w:link w:val="CommentSubject"/>
    <w:uiPriority w:val="99"/>
    <w:semiHidden/>
    <w:rsid w:val="00AD08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A40C2-5A71-4F01-929F-F2E9BA07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5516</Words>
  <Characters>27280</Characters>
  <Application>Microsoft Office Word</Application>
  <DocSecurity>0</DocSecurity>
  <Lines>501</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2023-12-23T00:23:00Z</dcterms:created>
  <dcterms:modified xsi:type="dcterms:W3CDTF">2023-12-23T00:23:00Z</dcterms:modified>
  <cp:category/>
</cp:coreProperties>
</file>