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65BE3" w:rsidP="00C65BE3" w14:paraId="460042B1" w14:textId="11A9467D">
      <w:pPr>
        <w:spacing w:line="240" w:lineRule="auto"/>
        <w:rPr>
          <w:sz w:val="20"/>
        </w:rPr>
      </w:pPr>
      <w:r>
        <w:rPr>
          <w:sz w:val="20"/>
        </w:rPr>
        <w:t xml:space="preserve">Filed </w:t>
      </w:r>
      <w:r w:rsidR="00FC57BF">
        <w:rPr>
          <w:sz w:val="20"/>
        </w:rPr>
        <w:t>8/4/23</w:t>
      </w:r>
    </w:p>
    <w:p w:rsidR="00C65BE3" w:rsidP="00C65BE3" w14:paraId="7A6F7F88" w14:textId="77777777">
      <w:pPr>
        <w:spacing w:line="240" w:lineRule="auto"/>
        <w:jc w:val="center"/>
        <w:rPr>
          <w:b/>
        </w:rPr>
      </w:pPr>
      <w:r>
        <w:rPr>
          <w:b/>
        </w:rPr>
        <w:t>CERTIFIED FOR PUBLICATION</w:t>
      </w:r>
    </w:p>
    <w:p w:rsidR="00C65BE3" w:rsidP="00C65BE3" w14:paraId="1F84D493" w14:textId="77777777">
      <w:pPr>
        <w:spacing w:line="240" w:lineRule="auto"/>
        <w:jc w:val="center"/>
      </w:pPr>
    </w:p>
    <w:p w:rsidR="008C69C3" w:rsidP="00C65BE3" w14:paraId="2EFD4CBE" w14:textId="227C8EF3">
      <w:pPr>
        <w:spacing w:line="240" w:lineRule="auto"/>
        <w:jc w:val="center"/>
      </w:pPr>
      <w:r>
        <w:t>IN THE COURT OF APPEAL OF THE STATE OF CALIFORNIA</w:t>
      </w:r>
    </w:p>
    <w:p w:rsidR="007D0110" w:rsidP="007D0110" w14:paraId="395EE179" w14:textId="77777777">
      <w:pPr>
        <w:spacing w:line="240" w:lineRule="auto"/>
        <w:jc w:val="center"/>
      </w:pPr>
    </w:p>
    <w:p w:rsidR="007D0110" w:rsidP="007D0110" w14:paraId="04FC9F47" w14:textId="6A7715FF">
      <w:pPr>
        <w:spacing w:line="240" w:lineRule="auto"/>
        <w:jc w:val="center"/>
      </w:pPr>
      <w:r>
        <w:t>FIRST APPELLATE DISTRICT</w:t>
      </w:r>
    </w:p>
    <w:p w:rsidR="007D0110" w:rsidP="007D0110" w14:paraId="408A8A48" w14:textId="77777777">
      <w:pPr>
        <w:spacing w:line="240" w:lineRule="auto"/>
        <w:jc w:val="center"/>
      </w:pPr>
    </w:p>
    <w:p w:rsidR="007D0110" w:rsidP="007D0110" w14:paraId="60728FFF" w14:textId="260B0D38">
      <w:pPr>
        <w:spacing w:line="240" w:lineRule="auto"/>
        <w:jc w:val="center"/>
      </w:pPr>
      <w:r>
        <w:t>DIVISION ONE</w:t>
      </w:r>
    </w:p>
    <w:p w:rsidR="007D0110" w:rsidP="007D0110" w14:paraId="4FD31F73" w14:textId="77777777">
      <w:pPr>
        <w:spacing w:line="240" w:lineRule="auto"/>
        <w:jc w:val="center"/>
      </w:pPr>
    </w:p>
    <w:p w:rsidR="007D0110" w:rsidP="007D0110" w14:paraId="17A59946" w14:textId="77777777">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680"/>
        <w:gridCol w:w="4680"/>
      </w:tblGrid>
      <w:tr w14:paraId="4A894D62" w14:textId="77777777" w:rsidTr="007D0110">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7D0110" w:rsidP="007D0110" w14:paraId="2DE4A245" w14:textId="77777777">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THE PEOPLE,</w:t>
            </w:r>
          </w:p>
          <w:p w:rsidR="007D0110" w:rsidP="007D0110" w14:paraId="7AC27C55" w14:textId="77777777">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ab/>
              <w:t>Plaintiff and Respondent,</w:t>
            </w:r>
          </w:p>
          <w:p w:rsidR="007D0110" w:rsidP="007D0110" w14:paraId="7075D6E2" w14:textId="77777777">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v.</w:t>
            </w:r>
          </w:p>
          <w:p w:rsidR="007D0110" w:rsidP="007D0110" w14:paraId="6D949494" w14:textId="77777777">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JOHN VAESAU,</w:t>
            </w:r>
          </w:p>
          <w:p w:rsidR="007D0110" w:rsidP="007D0110" w14:paraId="738C246A" w14:textId="7814DF28">
            <w:pPr>
              <w:tabs>
                <w:tab w:val="left" w:pos="720"/>
              </w:tabs>
              <w:spacing w:after="120"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ab/>
              <w:t>Defendant and Appellant.</w:t>
            </w:r>
          </w:p>
        </w:tc>
        <w:tc>
          <w:tcPr>
            <w:tcW w:w="4680" w:type="dxa"/>
            <w:tcBorders>
              <w:left w:val="single" w:sz="4" w:space="0" w:color="auto"/>
            </w:tcBorders>
            <w:shd w:val="clear" w:color="auto" w:fill="auto"/>
          </w:tcPr>
          <w:p w:rsidR="007D0110" w:rsidP="007D0110" w14:paraId="55E8CE1C" w14:textId="77777777">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p w:rsidR="007D0110" w:rsidP="007D0110" w14:paraId="005BE272" w14:textId="77777777">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p w:rsidR="007D0110" w:rsidP="007D0110" w14:paraId="0E5B5459" w14:textId="77777777">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 xml:space="preserve">      A165925</w:t>
            </w:r>
          </w:p>
          <w:p w:rsidR="007D0110" w:rsidP="007D0110" w14:paraId="2F095760" w14:textId="77777777">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p w:rsidR="009008E4" w:rsidP="007D0110" w14:paraId="673DF46A" w14:textId="77777777">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 xml:space="preserve">      (</w:t>
            </w:r>
            <w:r w:rsidR="001A230C">
              <w:rPr>
                <w:rFonts w:ascii="Century Schoolbook" w:hAnsi="Century Schoolbook" w:eastAsiaTheme="minorHAnsi" w:cstheme="minorBidi"/>
                <w:kern w:val="2"/>
                <w:sz w:val="26"/>
                <w:szCs w:val="26"/>
                <w:lang w:val="en-US" w:eastAsia="en-US" w:bidi="ar-SA"/>
                <w14:ligatures w14:val="standardContextual"/>
              </w:rPr>
              <w:t xml:space="preserve">City and County of </w:t>
            </w:r>
            <w:r>
              <w:rPr>
                <w:rFonts w:ascii="Century Schoolbook" w:hAnsi="Century Schoolbook" w:eastAsiaTheme="minorHAnsi" w:cstheme="minorBidi"/>
                <w:kern w:val="2"/>
                <w:sz w:val="26"/>
                <w:szCs w:val="26"/>
                <w:lang w:val="en-US" w:eastAsia="en-US" w:bidi="ar-SA"/>
                <w14:ligatures w14:val="standardContextual"/>
              </w:rPr>
              <w:t xml:space="preserve">San </w:t>
            </w:r>
          </w:p>
          <w:p w:rsidR="004C0135" w:rsidP="007D0110" w14:paraId="306AAF33" w14:textId="3A5BE290">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 xml:space="preserve">       </w:t>
            </w:r>
            <w:r w:rsidR="007D0110">
              <w:rPr>
                <w:rFonts w:ascii="Century Schoolbook" w:hAnsi="Century Schoolbook" w:eastAsiaTheme="minorHAnsi" w:cstheme="minorBidi"/>
                <w:kern w:val="2"/>
                <w:sz w:val="26"/>
                <w:szCs w:val="26"/>
                <w:lang w:val="en-US" w:eastAsia="en-US" w:bidi="ar-SA"/>
                <w14:ligatures w14:val="standardContextual"/>
              </w:rPr>
              <w:t>Francisco</w:t>
            </w:r>
            <w:r>
              <w:rPr>
                <w:rFonts w:ascii="Century Schoolbook" w:hAnsi="Century Schoolbook" w:eastAsiaTheme="minorHAnsi" w:cstheme="minorBidi"/>
                <w:kern w:val="2"/>
                <w:sz w:val="26"/>
                <w:szCs w:val="26"/>
                <w:lang w:val="en-US" w:eastAsia="en-US" w:bidi="ar-SA"/>
                <w14:ligatures w14:val="standardContextual"/>
              </w:rPr>
              <w:t xml:space="preserve"> </w:t>
            </w:r>
            <w:r w:rsidR="007D0110">
              <w:rPr>
                <w:rFonts w:ascii="Century Schoolbook" w:hAnsi="Century Schoolbook" w:eastAsiaTheme="minorHAnsi" w:cstheme="minorBidi"/>
                <w:kern w:val="2"/>
                <w:sz w:val="26"/>
                <w:szCs w:val="26"/>
                <w:lang w:val="en-US" w:eastAsia="en-US" w:bidi="ar-SA"/>
                <w14:ligatures w14:val="standardContextual"/>
              </w:rPr>
              <w:t xml:space="preserve">Super. Ct. No. </w:t>
            </w:r>
          </w:p>
          <w:p w:rsidR="007D0110" w:rsidP="007D0110" w14:paraId="735C82D8" w14:textId="3523D2D4">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 xml:space="preserve">       SCN</w:t>
            </w:r>
            <w:r w:rsidR="00D20507">
              <w:rPr>
                <w:rFonts w:ascii="Century Schoolbook" w:hAnsi="Century Schoolbook" w:eastAsiaTheme="minorHAnsi" w:cstheme="minorBidi"/>
                <w:kern w:val="2"/>
                <w:sz w:val="26"/>
                <w:szCs w:val="26"/>
                <w:lang w:val="en-US" w:eastAsia="en-US" w:bidi="ar-SA"/>
                <w14:ligatures w14:val="standardContextual"/>
              </w:rPr>
              <w:t xml:space="preserve"> </w:t>
            </w:r>
            <w:r>
              <w:rPr>
                <w:rFonts w:ascii="Century Schoolbook" w:hAnsi="Century Schoolbook" w:eastAsiaTheme="minorHAnsi" w:cstheme="minorBidi"/>
                <w:kern w:val="2"/>
                <w:sz w:val="26"/>
                <w:szCs w:val="26"/>
                <w:lang w:val="en-US" w:eastAsia="en-US" w:bidi="ar-SA"/>
                <w14:ligatures w14:val="standardContextual"/>
              </w:rPr>
              <w:t>143984)</w:t>
            </w:r>
          </w:p>
          <w:p w:rsidR="007D0110" w:rsidP="007D0110" w14:paraId="625DFB94" w14:textId="255D1912">
            <w:pPr>
              <w:tabs>
                <w:tab w:val="left" w:pos="720"/>
              </w:tabs>
              <w:spacing w:line="240" w:lineRule="auto"/>
              <w:rPr>
                <w:rStyle w:val="DefaultParagraphFont"/>
                <w:rFonts w:ascii="Century Schoolbook" w:hAnsi="Century Schoolbook" w:eastAsiaTheme="minorHAnsi" w:cstheme="minorBidi"/>
                <w:kern w:val="2"/>
                <w:sz w:val="26"/>
                <w:szCs w:val="26"/>
                <w:lang w:val="en-US" w:eastAsia="en-US" w:bidi="ar-SA"/>
                <w14:ligatures w14:val="standardContextual"/>
              </w:rPr>
            </w:pPr>
          </w:p>
        </w:tc>
      </w:tr>
    </w:tbl>
    <w:p w:rsidR="007D0110" w:rsidP="007D0110" w14:paraId="5CA7F31C" w14:textId="77777777">
      <w:pPr>
        <w:spacing w:line="360" w:lineRule="auto"/>
      </w:pPr>
    </w:p>
    <w:p w:rsidR="00A6183C" w:rsidP="00CD6267" w14:paraId="738E0272" w14:textId="684A4BE3">
      <w:pPr>
        <w:spacing w:line="360" w:lineRule="auto"/>
      </w:pPr>
      <w:r>
        <w:tab/>
      </w:r>
      <w:r w:rsidR="001E3A2C">
        <w:t>In 1992, a jury convicted d</w:t>
      </w:r>
      <w:r w:rsidR="00D640B7">
        <w:t xml:space="preserve">efendant John Vaesau </w:t>
      </w:r>
      <w:r w:rsidR="001E3A2C">
        <w:t xml:space="preserve">of three counts of attempted murder and other crimes committed when he was </w:t>
      </w:r>
      <w:r w:rsidR="006F49EE">
        <w:t>a minor</w:t>
      </w:r>
      <w:r w:rsidR="001E3A2C">
        <w:t xml:space="preserve">. </w:t>
      </w:r>
      <w:r w:rsidR="00FF7BAC">
        <w:t xml:space="preserve"> Th</w:t>
      </w:r>
      <w:r w:rsidR="00CC35BC">
        <w:t>e trial court sentenced him to two consecutive life terms, plus</w:t>
      </w:r>
      <w:r w:rsidR="00002698">
        <w:t xml:space="preserve"> </w:t>
      </w:r>
      <w:r w:rsidR="00CC35BC">
        <w:t xml:space="preserve">14 years. </w:t>
      </w:r>
      <w:r>
        <w:t xml:space="preserve"> </w:t>
      </w:r>
      <w:r w:rsidR="00B30B58">
        <w:t xml:space="preserve">Thirty years later, </w:t>
      </w:r>
      <w:r w:rsidR="00903E65">
        <w:t xml:space="preserve">San Francisco’s then-District Attorney, Chesa Boudin, filed a </w:t>
      </w:r>
      <w:r w:rsidR="00035B1F">
        <w:t>request</w:t>
      </w:r>
      <w:r w:rsidR="00903E65">
        <w:t xml:space="preserve"> to </w:t>
      </w:r>
      <w:r w:rsidR="00923C47">
        <w:t xml:space="preserve">resentence Vaesau under </w:t>
      </w:r>
      <w:r w:rsidR="00E7552E">
        <w:t>former Penal Code</w:t>
      </w:r>
      <w:r>
        <w:rPr>
          <w:rStyle w:val="FootnoteReference"/>
        </w:rPr>
        <w:footnoteReference w:id="2"/>
      </w:r>
      <w:r w:rsidR="00F14F16">
        <w:t xml:space="preserve"> </w:t>
      </w:r>
      <w:r w:rsidR="00E7552E">
        <w:t>section</w:t>
      </w:r>
      <w:r w:rsidR="001C5A66">
        <w:t> </w:t>
      </w:r>
      <w:r w:rsidR="00E7552E">
        <w:t>1170.03, now section</w:t>
      </w:r>
      <w:r>
        <w:t> </w:t>
      </w:r>
      <w:r w:rsidR="00E7552E">
        <w:t>1172.1</w:t>
      </w:r>
      <w:r w:rsidR="00923C47">
        <w:t xml:space="preserve">. </w:t>
      </w:r>
      <w:r w:rsidR="00903E65">
        <w:t xml:space="preserve"> </w:t>
      </w:r>
      <w:r w:rsidR="001C5A66">
        <w:t xml:space="preserve">That statute authorizes a trial court, “at any time upon the recommendation of </w:t>
      </w:r>
      <w:r w:rsidR="00741473">
        <w:t>. . .</w:t>
      </w:r>
      <w:r w:rsidR="001C5A66">
        <w:t xml:space="preserve"> the district attorney of the county in which the defendant was sentenced,</w:t>
      </w:r>
      <w:r w:rsidR="00AF1202">
        <w:t xml:space="preserve">” to </w:t>
      </w:r>
      <w:r w:rsidR="00BB4779">
        <w:t xml:space="preserve">recall the sentence and resentence a </w:t>
      </w:r>
      <w:r w:rsidR="00570106">
        <w:t>defendant</w:t>
      </w:r>
      <w:r w:rsidR="00BB4779">
        <w:t xml:space="preserve"> convicted of a felony.  (§ 1172.1, subd. (a)(1).)</w:t>
      </w:r>
    </w:p>
    <w:p w:rsidR="008D222F" w:rsidP="00CD6267" w14:paraId="0F29289F" w14:textId="3A6A0B5E">
      <w:pPr>
        <w:spacing w:line="360" w:lineRule="auto"/>
      </w:pPr>
      <w:r>
        <w:tab/>
      </w:r>
      <w:r w:rsidR="00035B1F">
        <w:t xml:space="preserve">Within weeks of filing the resentencing request, </w:t>
      </w:r>
      <w:r w:rsidR="001646CF">
        <w:t>Boudin was</w:t>
      </w:r>
      <w:r w:rsidR="00035B1F">
        <w:t xml:space="preserve"> </w:t>
      </w:r>
      <w:r w:rsidR="001646CF">
        <w:t>recalled</w:t>
      </w:r>
      <w:r w:rsidR="0023179E">
        <w:t>,</w:t>
      </w:r>
      <w:r w:rsidR="0056082D">
        <w:t xml:space="preserve"> and the new </w:t>
      </w:r>
      <w:r w:rsidR="000F75F8">
        <w:t>D</w:t>
      </w:r>
      <w:r w:rsidR="0056082D">
        <w:t xml:space="preserve">istrict </w:t>
      </w:r>
      <w:r w:rsidR="000F75F8">
        <w:t>A</w:t>
      </w:r>
      <w:r w:rsidR="0056082D">
        <w:t xml:space="preserve">ttorney, Brooke Jenkins, moved to withdraw the </w:t>
      </w:r>
      <w:r w:rsidR="00F14F16">
        <w:t>request</w:t>
      </w:r>
      <w:r w:rsidR="00967071">
        <w:t xml:space="preserve"> without offering a </w:t>
      </w:r>
      <w:r w:rsidR="000933C6">
        <w:t xml:space="preserve">substantive </w:t>
      </w:r>
      <w:r w:rsidR="00967071">
        <w:t>reason for doing so</w:t>
      </w:r>
      <w:r w:rsidR="0056082D">
        <w:t xml:space="preserve">. </w:t>
      </w:r>
      <w:r w:rsidR="003E0870">
        <w:t xml:space="preserve"> After </w:t>
      </w:r>
      <w:r w:rsidR="00936256">
        <w:t xml:space="preserve">briefing and </w:t>
      </w:r>
      <w:r w:rsidR="00936256">
        <w:t>a hearing,</w:t>
      </w:r>
      <w:r w:rsidR="00734D19">
        <w:t xml:space="preserve"> </w:t>
      </w:r>
      <w:r w:rsidR="00C442F7">
        <w:t>the trial court granted the motion</w:t>
      </w:r>
      <w:r w:rsidR="00385F87">
        <w:t>,</w:t>
      </w:r>
      <w:r w:rsidR="0089422C">
        <w:t xml:space="preserve"> thereby terminating the section 1172.1 proceeding.  T</w:t>
      </w:r>
      <w:r>
        <w:t>he co</w:t>
      </w:r>
      <w:r w:rsidR="00DB7FB9">
        <w:t xml:space="preserve">urt </w:t>
      </w:r>
      <w:r w:rsidR="004662F6">
        <w:t xml:space="preserve">emphasized it was </w:t>
      </w:r>
      <w:r w:rsidR="00DB7FB9">
        <w:t xml:space="preserve">not </w:t>
      </w:r>
      <w:r w:rsidR="00A6408C">
        <w:t>ruling on the</w:t>
      </w:r>
      <w:r w:rsidR="00DB7FB9">
        <w:t xml:space="preserve"> merits of whether </w:t>
      </w:r>
      <w:r w:rsidR="00734D19">
        <w:t xml:space="preserve">resentencing </w:t>
      </w:r>
      <w:r w:rsidR="00DB7FB9">
        <w:t xml:space="preserve">was appropriate. </w:t>
      </w:r>
      <w:r>
        <w:t xml:space="preserve"> </w:t>
      </w:r>
    </w:p>
    <w:p w:rsidR="005114FC" w:rsidRPr="008E4889" w:rsidP="00CD6267" w14:paraId="626AC542" w14:textId="4F0761E2">
      <w:pPr>
        <w:spacing w:line="360" w:lineRule="auto"/>
      </w:pPr>
      <w:r>
        <w:tab/>
        <w:t>On appeal, Vaesau</w:t>
      </w:r>
      <w:r w:rsidR="00443034">
        <w:t xml:space="preserve"> claims the </w:t>
      </w:r>
      <w:r w:rsidR="002975E7">
        <w:t>district attorney</w:t>
      </w:r>
      <w:r w:rsidR="00200B4C">
        <w:t xml:space="preserve"> lacked authority to rescind the </w:t>
      </w:r>
      <w:r w:rsidR="000933C6">
        <w:t xml:space="preserve">resentencing </w:t>
      </w:r>
      <w:r w:rsidR="00200B4C">
        <w:t xml:space="preserve">request </w:t>
      </w:r>
      <w:r w:rsidR="00E2147A">
        <w:t xml:space="preserve">and the </w:t>
      </w:r>
      <w:r w:rsidR="001D07A4">
        <w:t xml:space="preserve">trial </w:t>
      </w:r>
      <w:r w:rsidR="00E2147A">
        <w:t>court violated section</w:t>
      </w:r>
      <w:r w:rsidR="00E738FB">
        <w:t> </w:t>
      </w:r>
      <w:r w:rsidR="00E2147A">
        <w:t xml:space="preserve">1172.1 and his due process rights by failing </w:t>
      </w:r>
      <w:r w:rsidR="00744B10">
        <w:t xml:space="preserve">to reach the merits of </w:t>
      </w:r>
      <w:r w:rsidR="00411F01">
        <w:t>resentencing</w:t>
      </w:r>
      <w:r w:rsidR="00006CA7">
        <w:t xml:space="preserve">. </w:t>
      </w:r>
      <w:r w:rsidR="00AA3D47">
        <w:t xml:space="preserve"> </w:t>
      </w:r>
      <w:r w:rsidR="00BF0710">
        <w:t>We</w:t>
      </w:r>
      <w:r w:rsidR="00746186">
        <w:t xml:space="preserve"> hold that a trial court </w:t>
      </w:r>
      <w:r w:rsidR="00791145">
        <w:t xml:space="preserve">has discretion, but </w:t>
      </w:r>
      <w:r w:rsidR="00746186">
        <w:t>is not required</w:t>
      </w:r>
      <w:r w:rsidR="00791145">
        <w:t>,</w:t>
      </w:r>
      <w:r w:rsidR="00746186">
        <w:t xml:space="preserve"> to terminate a section</w:t>
      </w:r>
      <w:r w:rsidR="00E3096A">
        <w:t> </w:t>
      </w:r>
      <w:r w:rsidR="00746186">
        <w:t xml:space="preserve">1172.1 proceeding </w:t>
      </w:r>
      <w:r w:rsidR="00356C9E">
        <w:t xml:space="preserve">when </w:t>
      </w:r>
      <w:r w:rsidR="002B3973">
        <w:t>a district attorney</w:t>
      </w:r>
      <w:r w:rsidR="00E738FB">
        <w:t xml:space="preserve"> identifies a </w:t>
      </w:r>
      <w:r w:rsidR="000933C6">
        <w:t xml:space="preserve">legitimate </w:t>
      </w:r>
      <w:r w:rsidR="00E738FB">
        <w:t xml:space="preserve">basis for withdrawing the resentencing request and moves to withdraw </w:t>
      </w:r>
      <w:r w:rsidR="008137C8">
        <w:t>before</w:t>
      </w:r>
      <w:r w:rsidR="00791145">
        <w:t xml:space="preserve"> the court rules on the merits.  </w:t>
      </w:r>
      <w:r w:rsidR="004662F6">
        <w:t xml:space="preserve">Because </w:t>
      </w:r>
      <w:r w:rsidR="00EA04AF">
        <w:t xml:space="preserve">the district attorney here </w:t>
      </w:r>
      <w:r w:rsidR="00F02376">
        <w:t xml:space="preserve">did not offer any </w:t>
      </w:r>
      <w:r w:rsidR="000933C6">
        <w:t xml:space="preserve">such </w:t>
      </w:r>
      <w:r w:rsidR="00F02376">
        <w:t>reason</w:t>
      </w:r>
      <w:r w:rsidR="001211A5">
        <w:t xml:space="preserve">, </w:t>
      </w:r>
      <w:r w:rsidR="00531897">
        <w:t xml:space="preserve">we </w:t>
      </w:r>
      <w:r w:rsidR="00F6633E">
        <w:t xml:space="preserve">vacate </w:t>
      </w:r>
      <w:r w:rsidR="00531897">
        <w:t xml:space="preserve">the </w:t>
      </w:r>
      <w:r w:rsidR="0024741F">
        <w:t xml:space="preserve">order </w:t>
      </w:r>
      <w:r w:rsidR="00E36005">
        <w:t xml:space="preserve">at issue and remand for </w:t>
      </w:r>
      <w:r w:rsidR="00C62371">
        <w:t>reconsideration.</w:t>
      </w:r>
    </w:p>
    <w:p w:rsidR="00CD6267" w:rsidRPr="008E4889" w:rsidP="00CD6267" w14:paraId="3841B512" w14:textId="77777777">
      <w:pPr>
        <w:spacing w:line="240" w:lineRule="auto"/>
        <w:jc w:val="center"/>
      </w:pPr>
      <w:r w:rsidRPr="008E4889">
        <w:t>I.</w:t>
      </w:r>
      <w:r w:rsidRPr="008E4889">
        <w:br/>
      </w:r>
      <w:r w:rsidRPr="008E4889">
        <w:rPr>
          <w:smallCaps/>
        </w:rPr>
        <w:t>Factual and Procedural</w:t>
      </w:r>
      <w:r w:rsidRPr="008E4889">
        <w:rPr>
          <w:smallCaps/>
        </w:rPr>
        <w:br/>
        <w:t>Background</w:t>
      </w:r>
    </w:p>
    <w:p w:rsidR="00CD6267" w:rsidRPr="008E4889" w:rsidP="00CD6267" w14:paraId="4BCC4D4E" w14:textId="1850B0DD">
      <w:pPr>
        <w:spacing w:before="180" w:line="360" w:lineRule="auto"/>
      </w:pPr>
      <w:r>
        <w:tab/>
        <w:t xml:space="preserve">The </w:t>
      </w:r>
      <w:r w:rsidR="001D07A4">
        <w:t xml:space="preserve">facts giving rise to Vaesau’s convictions </w:t>
      </w:r>
      <w:r>
        <w:t xml:space="preserve">are not relevant to the appeal.  </w:t>
      </w:r>
      <w:r w:rsidR="007056C8">
        <w:t xml:space="preserve">Based on </w:t>
      </w:r>
      <w:r w:rsidR="0014139A">
        <w:t xml:space="preserve">events </w:t>
      </w:r>
      <w:r w:rsidR="007056C8">
        <w:t>that occurred in March 1991,</w:t>
      </w:r>
      <w:r w:rsidR="00261BCF">
        <w:t xml:space="preserve"> </w:t>
      </w:r>
      <w:r w:rsidR="00D84F50">
        <w:t xml:space="preserve">Vaesau was charged with three counts of attempted </w:t>
      </w:r>
      <w:r w:rsidR="00730C23">
        <w:t xml:space="preserve">premeditated </w:t>
      </w:r>
      <w:r w:rsidR="00D84F50">
        <w:t>murder</w:t>
      </w:r>
      <w:r w:rsidR="00ED1AAF">
        <w:t xml:space="preserve"> and three counts of assault with a firearm</w:t>
      </w:r>
      <w:r w:rsidR="00FD107E">
        <w:t xml:space="preserve">, </w:t>
      </w:r>
      <w:r w:rsidR="00A84927">
        <w:t>all six of which were</w:t>
      </w:r>
      <w:r w:rsidR="00FD107E">
        <w:t xml:space="preserve"> accompanied</w:t>
      </w:r>
      <w:r w:rsidR="003256E0">
        <w:t xml:space="preserve"> by allegations of personal u</w:t>
      </w:r>
      <w:r w:rsidR="00D30FE6">
        <w:t>se of a firearm</w:t>
      </w:r>
      <w:r w:rsidR="003256E0">
        <w:t xml:space="preserve"> and </w:t>
      </w:r>
      <w:r w:rsidR="0014139A">
        <w:t xml:space="preserve">personal infliction of </w:t>
      </w:r>
      <w:r w:rsidR="003256E0">
        <w:t>great bodily injury</w:t>
      </w:r>
      <w:r w:rsidR="00D80506">
        <w:t>.</w:t>
      </w:r>
      <w:r>
        <w:rPr>
          <w:rStyle w:val="FootnoteReference"/>
        </w:rPr>
        <w:footnoteReference w:id="3"/>
      </w:r>
      <w:r w:rsidR="00D80506">
        <w:t xml:space="preserve">  </w:t>
      </w:r>
      <w:r w:rsidR="001D07A4">
        <w:t>Based on a May 1991 incident, he</w:t>
      </w:r>
      <w:r w:rsidR="00D80506">
        <w:t xml:space="preserve"> was also charged with one count of assault with a deadly weapon</w:t>
      </w:r>
      <w:r w:rsidR="001D07A4">
        <w:t xml:space="preserve">, </w:t>
      </w:r>
      <w:r w:rsidR="00D80506">
        <w:t xml:space="preserve">and </w:t>
      </w:r>
      <w:r w:rsidR="001D07A4">
        <w:t xml:space="preserve">based on a December 1990 incident, he was charged with </w:t>
      </w:r>
      <w:r w:rsidR="00D80506">
        <w:t>a misdemeanor count of escape from a juvenile facility</w:t>
      </w:r>
      <w:r w:rsidR="00B2777D">
        <w:t>.</w:t>
      </w:r>
      <w:r>
        <w:rPr>
          <w:rStyle w:val="FootnoteReference"/>
        </w:rPr>
        <w:footnoteReference w:id="4"/>
      </w:r>
      <w:r w:rsidR="00B2777D">
        <w:t xml:space="preserve"> </w:t>
      </w:r>
      <w:r w:rsidR="0014139A">
        <w:t xml:space="preserve"> </w:t>
      </w:r>
    </w:p>
    <w:p w:rsidR="00CD6267" w:rsidP="00CD6267" w14:paraId="77BE7409" w14:textId="3E3D85B4">
      <w:pPr>
        <w:spacing w:line="360" w:lineRule="auto"/>
      </w:pPr>
      <w:r>
        <w:tab/>
        <w:t xml:space="preserve">Vaesau, who was </w:t>
      </w:r>
      <w:r w:rsidRPr="00E738FB">
        <w:t>16 years old</w:t>
      </w:r>
      <w:r>
        <w:t xml:space="preserve"> </w:t>
      </w:r>
      <w:r w:rsidR="00FF2FD3">
        <w:t>at the time of</w:t>
      </w:r>
      <w:r w:rsidR="005E27FA">
        <w:t xml:space="preserve"> the crimes, was tried as an adult. </w:t>
      </w:r>
      <w:r w:rsidR="006F49EE">
        <w:t xml:space="preserve"> The jury found him guilty of all the charges and enhancements, except for the great-bodily-injury enhancements alleged </w:t>
      </w:r>
      <w:r w:rsidR="002E21C9">
        <w:t>in connection with two of the attempted-murder counts.  In December</w:t>
      </w:r>
      <w:r w:rsidR="00FF2FD3">
        <w:t> </w:t>
      </w:r>
      <w:r w:rsidR="002E21C9">
        <w:t xml:space="preserve">1992, the trial court sentenced him </w:t>
      </w:r>
      <w:r w:rsidR="001F0409">
        <w:t xml:space="preserve">to two </w:t>
      </w:r>
      <w:r w:rsidR="00373F7F">
        <w:t xml:space="preserve">terms of life with the possibility of parole </w:t>
      </w:r>
      <w:r w:rsidR="001F0409">
        <w:t>and a determinate term of 14 years in prison</w:t>
      </w:r>
      <w:r w:rsidR="00FA02A0">
        <w:t xml:space="preserve">. </w:t>
      </w:r>
      <w:r w:rsidR="003C7F8C">
        <w:t xml:space="preserve"> He appealed, and this division affirmed</w:t>
      </w:r>
      <w:r w:rsidR="00490167">
        <w:t xml:space="preserve"> the judgment, except it remanded f</w:t>
      </w:r>
      <w:r w:rsidR="00BF279F">
        <w:t xml:space="preserve">or resentencing based on the trial court’s failure to </w:t>
      </w:r>
      <w:r w:rsidR="00B95DFE">
        <w:t>state its reasons for</w:t>
      </w:r>
      <w:r w:rsidR="00796252">
        <w:t xml:space="preserve"> one of its </w:t>
      </w:r>
      <w:r w:rsidR="00B95DFE">
        <w:t>sentencing choice</w:t>
      </w:r>
      <w:r w:rsidR="00796252">
        <w:t>s</w:t>
      </w:r>
      <w:r w:rsidR="00B95DFE">
        <w:t>.  (</w:t>
      </w:r>
      <w:r w:rsidR="00B95DFE">
        <w:rPr>
          <w:i/>
          <w:iCs/>
        </w:rPr>
        <w:t>People v. Vaesau</w:t>
      </w:r>
      <w:r w:rsidR="00B95DFE">
        <w:t xml:space="preserve"> (A060555, July 25, 1994) [nonpub. opn.]</w:t>
      </w:r>
      <w:r w:rsidR="00992B6A">
        <w:t>.)  On remand, the trial court imposed the same sentence.</w:t>
      </w:r>
      <w:r w:rsidR="00503B38">
        <w:t xml:space="preserve"> </w:t>
      </w:r>
      <w:r w:rsidR="00B95DFE">
        <w:t xml:space="preserve"> </w:t>
      </w:r>
    </w:p>
    <w:p w:rsidR="00796252" w:rsidP="00CD6267" w14:paraId="6182A129" w14:textId="71016784">
      <w:pPr>
        <w:spacing w:line="360" w:lineRule="auto"/>
      </w:pPr>
      <w:r>
        <w:tab/>
      </w:r>
      <w:r w:rsidR="0036698F">
        <w:t>On April 29,</w:t>
      </w:r>
      <w:r>
        <w:t xml:space="preserve"> 2022, </w:t>
      </w:r>
      <w:r w:rsidR="008D1424">
        <w:t xml:space="preserve">Boudin filed </w:t>
      </w:r>
      <w:r w:rsidR="00595FF4">
        <w:t>a</w:t>
      </w:r>
      <w:r w:rsidR="005276D6">
        <w:t xml:space="preserve"> “motion to resentence” Vaesau under former section 1170.03, “recommend[ing]</w:t>
      </w:r>
      <w:r w:rsidR="005714C3">
        <w:t xml:space="preserve"> that [the trial court] recall the sentence of life with possibility of parole.” </w:t>
      </w:r>
      <w:r w:rsidR="00A37F28">
        <w:t xml:space="preserve"> </w:t>
      </w:r>
      <w:r w:rsidR="00F66508">
        <w:t xml:space="preserve">The trial court appointed a </w:t>
      </w:r>
      <w:r w:rsidR="00A37F28">
        <w:t>public defender to represent Vaesau,</w:t>
      </w:r>
      <w:r w:rsidR="009E6F3A">
        <w:t xml:space="preserve"> and the matter was </w:t>
      </w:r>
      <w:r w:rsidR="001D07A4">
        <w:t>set</w:t>
      </w:r>
      <w:r w:rsidR="009E6F3A">
        <w:t xml:space="preserve"> </w:t>
      </w:r>
      <w:r w:rsidR="00E738FB">
        <w:t xml:space="preserve">for </w:t>
      </w:r>
      <w:r w:rsidR="009E6F3A">
        <w:t xml:space="preserve">hearing on July 15. </w:t>
      </w:r>
    </w:p>
    <w:p w:rsidR="007B14D9" w:rsidP="00CD6267" w14:paraId="438DE16F" w14:textId="04C22760">
      <w:pPr>
        <w:spacing w:line="360" w:lineRule="auto"/>
      </w:pPr>
      <w:r>
        <w:tab/>
      </w:r>
      <w:r w:rsidR="001D07A4">
        <w:t xml:space="preserve">In June 2022, before the hearing took place, </w:t>
      </w:r>
      <w:r w:rsidR="00C02887">
        <w:t>Boudin</w:t>
      </w:r>
      <w:r w:rsidR="00643034">
        <w:t xml:space="preserve"> was recalled by San Francisco voters</w:t>
      </w:r>
      <w:r w:rsidR="00F93645">
        <w:t>, and</w:t>
      </w:r>
      <w:r w:rsidR="004A0E3D">
        <w:t xml:space="preserve"> </w:t>
      </w:r>
      <w:r w:rsidR="00F93645">
        <w:t>on July 8</w:t>
      </w:r>
      <w:r w:rsidR="00643034">
        <w:t xml:space="preserve">, Jenkins </w:t>
      </w:r>
      <w:r w:rsidR="00F93645">
        <w:t>was sworn in as the</w:t>
      </w:r>
      <w:r w:rsidR="00643034">
        <w:t xml:space="preserve"> new </w:t>
      </w:r>
      <w:r w:rsidR="006742F5">
        <w:t>D</w:t>
      </w:r>
      <w:r w:rsidR="00643034">
        <w:t xml:space="preserve">istrict </w:t>
      </w:r>
      <w:r w:rsidR="008C5DC9">
        <w:t>A</w:t>
      </w:r>
      <w:r w:rsidR="00643034">
        <w:t>ttorney</w:t>
      </w:r>
      <w:r w:rsidR="00BF4A1A">
        <w:t>.</w:t>
      </w:r>
      <w:r>
        <w:rPr>
          <w:rStyle w:val="FootnoteReference"/>
        </w:rPr>
        <w:footnoteReference w:id="5"/>
      </w:r>
      <w:r w:rsidR="00BF4A1A">
        <w:t xml:space="preserve"> </w:t>
      </w:r>
      <w:r w:rsidR="005A72F8">
        <w:t xml:space="preserve"> </w:t>
      </w:r>
      <w:r w:rsidR="001502A8">
        <w:t>(</w:t>
      </w:r>
      <w:r w:rsidR="00A35A90">
        <w:t xml:space="preserve">Smith, </w:t>
      </w:r>
      <w:r w:rsidR="00A35A90">
        <w:rPr>
          <w:i/>
          <w:iCs/>
        </w:rPr>
        <w:t>Brooke Jenkins Sworn In As New DA After Recall of Chesa Boudin</w:t>
      </w:r>
      <w:r w:rsidR="0001097B">
        <w:t xml:space="preserve">, </w:t>
      </w:r>
      <w:r w:rsidR="009644D3">
        <w:t>Bay City News</w:t>
      </w:r>
      <w:r w:rsidR="004F30A1">
        <w:t>, Inc.</w:t>
      </w:r>
      <w:r w:rsidR="009644D3">
        <w:t xml:space="preserve"> </w:t>
      </w:r>
      <w:r w:rsidR="007459BC">
        <w:t>(Jul</w:t>
      </w:r>
      <w:r w:rsidR="004C0135">
        <w:t>y</w:t>
      </w:r>
      <w:r w:rsidR="007459BC">
        <w:t xml:space="preserve"> 8, </w:t>
      </w:r>
      <w:r w:rsidR="0088391B">
        <w:t>2022) available online at &lt;h</w:t>
      </w:r>
      <w:r w:rsidRPr="0088391B" w:rsidR="0088391B">
        <w:t>ttps://www.sfgate.com/news/bayarea/article/Brooke-Jenkins-Sworn-In-As-New-Da-After-Recall-Of-17293648.php</w:t>
      </w:r>
      <w:r w:rsidR="00D33D3B">
        <w:t xml:space="preserve">&gt; </w:t>
      </w:r>
      <w:r w:rsidR="00243EDB">
        <w:t>[</w:t>
      </w:r>
      <w:r w:rsidR="00D33D3B">
        <w:t xml:space="preserve">as of </w:t>
      </w:r>
      <w:r w:rsidRPr="004C0135" w:rsidR="0050113C">
        <w:t>Aug</w:t>
      </w:r>
      <w:r w:rsidR="004C0135">
        <w:t>.</w:t>
      </w:r>
      <w:r w:rsidRPr="004C0135" w:rsidR="0050113C">
        <w:t xml:space="preserve"> </w:t>
      </w:r>
      <w:r w:rsidR="00747314">
        <w:t>4</w:t>
      </w:r>
      <w:r w:rsidR="00D33D3B">
        <w:t>, 2023</w:t>
      </w:r>
      <w:r w:rsidR="00243EDB">
        <w:t>]</w:t>
      </w:r>
      <w:r w:rsidR="00D33D3B">
        <w:t xml:space="preserve">.)  </w:t>
      </w:r>
      <w:r w:rsidR="00BF4A1A">
        <w:t xml:space="preserve">At </w:t>
      </w:r>
      <w:r w:rsidR="00580B17">
        <w:t xml:space="preserve">the </w:t>
      </w:r>
      <w:r w:rsidR="00F93645">
        <w:t xml:space="preserve">July 15 </w:t>
      </w:r>
      <w:r w:rsidR="00580B17">
        <w:t xml:space="preserve">hearing, the </w:t>
      </w:r>
      <w:r w:rsidR="009F2F34">
        <w:t xml:space="preserve">appearing </w:t>
      </w:r>
      <w:r w:rsidR="00580B17">
        <w:t>prosecutor</w:t>
      </w:r>
      <w:r>
        <w:t xml:space="preserve"> </w:t>
      </w:r>
      <w:r w:rsidR="0097444C">
        <w:t>sought to withdraw the request for resentencing</w:t>
      </w:r>
      <w:r w:rsidR="00056468">
        <w:t xml:space="preserve">, </w:t>
      </w:r>
      <w:r w:rsidR="009F2F34">
        <w:t>but she did not explain</w:t>
      </w:r>
      <w:r w:rsidR="00056468">
        <w:t xml:space="preserve"> </w:t>
      </w:r>
      <w:r w:rsidR="00031E92">
        <w:t>why</w:t>
      </w:r>
      <w:r w:rsidR="0097444C">
        <w:t>.</w:t>
      </w:r>
      <w:r>
        <w:rPr>
          <w:rStyle w:val="FootnoteReference"/>
        </w:rPr>
        <w:footnoteReference w:id="6"/>
      </w:r>
      <w:r w:rsidR="0097444C">
        <w:t xml:space="preserve"> </w:t>
      </w:r>
      <w:r w:rsidR="00163F7D">
        <w:t xml:space="preserve"> The trial court </w:t>
      </w:r>
      <w:r w:rsidR="00031E92">
        <w:t>said</w:t>
      </w:r>
      <w:r w:rsidR="00E66427">
        <w:t xml:space="preserve"> it</w:t>
      </w:r>
      <w:r w:rsidR="001119AA">
        <w:t xml:space="preserve">s “natural inclination” was </w:t>
      </w:r>
      <w:r w:rsidR="00031E92">
        <w:t>that the</w:t>
      </w:r>
      <w:r w:rsidR="001119AA">
        <w:t xml:space="preserve"> </w:t>
      </w:r>
      <w:r w:rsidR="004A0E3D">
        <w:t>district attorney</w:t>
      </w:r>
      <w:r w:rsidR="001119AA">
        <w:t xml:space="preserve"> could withdraw the request</w:t>
      </w:r>
      <w:r w:rsidR="00423FDA">
        <w:t>,</w:t>
      </w:r>
      <w:r w:rsidR="001119AA">
        <w:t xml:space="preserve"> since the court had not yet ruled upon it</w:t>
      </w:r>
      <w:r w:rsidR="00A94F20">
        <w:t xml:space="preserve">.  Nonetheless, </w:t>
      </w:r>
      <w:r w:rsidR="00423FDA">
        <w:t xml:space="preserve">the court </w:t>
      </w:r>
      <w:r w:rsidR="00DB1829">
        <w:t xml:space="preserve">set another hearing and </w:t>
      </w:r>
      <w:r w:rsidR="00031E92">
        <w:t>allowed Vaesau</w:t>
      </w:r>
      <w:r w:rsidR="004B21B5">
        <w:t xml:space="preserve"> to </w:t>
      </w:r>
      <w:r w:rsidR="00A94F20">
        <w:t>brief the issue</w:t>
      </w:r>
      <w:r w:rsidR="00423FDA">
        <w:t xml:space="preserve">. </w:t>
      </w:r>
    </w:p>
    <w:p w:rsidR="009336A4" w:rsidP="00CD6267" w14:paraId="264A6CE6" w14:textId="6DC89CF6">
      <w:pPr>
        <w:spacing w:line="360" w:lineRule="auto"/>
      </w:pPr>
      <w:r>
        <w:tab/>
      </w:r>
      <w:r w:rsidR="00366ED4">
        <w:t xml:space="preserve">Vaesau submitted briefing </w:t>
      </w:r>
      <w:r w:rsidR="001513C0">
        <w:t xml:space="preserve">in which he maintained </w:t>
      </w:r>
      <w:r w:rsidR="00854896">
        <w:t xml:space="preserve">that once the </w:t>
      </w:r>
      <w:r w:rsidR="004A0E3D">
        <w:t xml:space="preserve">district attorney </w:t>
      </w:r>
      <w:r w:rsidR="00854896">
        <w:t xml:space="preserve">recommended resentencing, the trial court had jurisdiction </w:t>
      </w:r>
      <w:r w:rsidR="000E47EC">
        <w:t xml:space="preserve">and was required to follow </w:t>
      </w:r>
      <w:r w:rsidR="002F14B4">
        <w:t>section 1172.1’s procedures</w:t>
      </w:r>
      <w:r w:rsidR="00BD79A0">
        <w:t xml:space="preserve">, including </w:t>
      </w:r>
      <w:r w:rsidR="006D6DEB">
        <w:t>giving him a</w:t>
      </w:r>
      <w:r w:rsidR="00BD79A0">
        <w:t xml:space="preserve"> hearing on</w:t>
      </w:r>
      <w:r w:rsidR="006D6DEB">
        <w:t xml:space="preserve"> the merits of resentencing</w:t>
      </w:r>
      <w:r w:rsidR="002F14B4">
        <w:t xml:space="preserve">.  </w:t>
      </w:r>
      <w:r w:rsidR="007B2C53">
        <w:t xml:space="preserve">He </w:t>
      </w:r>
      <w:r w:rsidR="0050625B">
        <w:t xml:space="preserve">argued </w:t>
      </w:r>
      <w:r w:rsidR="007B2C53">
        <w:t xml:space="preserve">that </w:t>
      </w:r>
      <w:r w:rsidR="006D6DEB">
        <w:t xml:space="preserve">failing to </w:t>
      </w:r>
      <w:r w:rsidR="001513C0">
        <w:t xml:space="preserve">provide the hearing </w:t>
      </w:r>
      <w:r w:rsidR="007B2C53">
        <w:t>would violate both section 1172.1 and due process.</w:t>
      </w:r>
    </w:p>
    <w:p w:rsidR="001A3ECA" w:rsidP="00CD6267" w14:paraId="7FB65FF5" w14:textId="6846225D">
      <w:pPr>
        <w:spacing w:line="360" w:lineRule="auto"/>
      </w:pPr>
      <w:r>
        <w:tab/>
        <w:t>Vaesau</w:t>
      </w:r>
      <w:r w:rsidR="002F14B4">
        <w:t xml:space="preserve"> </w:t>
      </w:r>
      <w:r w:rsidR="00E738FB">
        <w:t xml:space="preserve">also </w:t>
      </w:r>
      <w:r w:rsidR="00396EEA">
        <w:t xml:space="preserve">took the position </w:t>
      </w:r>
      <w:r w:rsidR="002F14B4">
        <w:t xml:space="preserve">that </w:t>
      </w:r>
      <w:r w:rsidR="00BD79A0">
        <w:t xml:space="preserve">the </w:t>
      </w:r>
      <w:r w:rsidR="002D6EB7">
        <w:t>district attorney</w:t>
      </w:r>
      <w:r w:rsidR="001E1FD6">
        <w:t xml:space="preserve"> w</w:t>
      </w:r>
      <w:r w:rsidR="002D6EB7">
        <w:t>as</w:t>
      </w:r>
      <w:r w:rsidR="001E1FD6">
        <w:t xml:space="preserve"> not</w:t>
      </w:r>
      <w:r w:rsidR="00BD79A0">
        <w:t xml:space="preserve"> authorized</w:t>
      </w:r>
      <w:r w:rsidR="0051128C">
        <w:t xml:space="preserve"> to withdraw </w:t>
      </w:r>
      <w:r w:rsidR="001E1FD6">
        <w:t>the</w:t>
      </w:r>
      <w:r w:rsidR="0051128C">
        <w:t xml:space="preserve"> recommendation</w:t>
      </w:r>
      <w:r w:rsidR="00E06FDC">
        <w:t>, particularly without identifying “any rational basis</w:t>
      </w:r>
      <w:r w:rsidR="00BD79A0">
        <w:t xml:space="preserve">” for doing so. </w:t>
      </w:r>
      <w:r w:rsidR="007B2C53">
        <w:t xml:space="preserve"> He noted that “[t]he prosecution had ample reason to recommend release,”</w:t>
      </w:r>
      <w:r w:rsidR="001E1FD6">
        <w:t xml:space="preserve"> pointing to the </w:t>
      </w:r>
      <w:r w:rsidR="009F2F34">
        <w:t xml:space="preserve">same </w:t>
      </w:r>
      <w:r w:rsidR="00762330">
        <w:t xml:space="preserve">prosecutor’s </w:t>
      </w:r>
      <w:r w:rsidR="002D1FE3">
        <w:t>arguments</w:t>
      </w:r>
      <w:r>
        <w:t xml:space="preserve"> </w:t>
      </w:r>
      <w:r w:rsidR="002D6EB7">
        <w:t xml:space="preserve">in favor of release </w:t>
      </w:r>
      <w:r>
        <w:t>at his January 2022 parole hearing</w:t>
      </w:r>
      <w:r w:rsidR="00762330">
        <w:t>.</w:t>
      </w:r>
      <w:r w:rsidR="00782FC2">
        <w:t xml:space="preserve"> </w:t>
      </w:r>
      <w:r w:rsidR="002D1FE3">
        <w:t xml:space="preserve"> </w:t>
      </w:r>
      <w:r w:rsidR="00AD227D">
        <w:t>(Boldface omitted.)</w:t>
      </w:r>
      <w:r w:rsidR="00782FC2">
        <w:t xml:space="preserve"> </w:t>
      </w:r>
      <w:r w:rsidR="00F51781">
        <w:t xml:space="preserve"> </w:t>
      </w:r>
      <w:r w:rsidR="002D6EB7">
        <w:t>A transcript of that</w:t>
      </w:r>
      <w:r w:rsidR="00AE1202">
        <w:t xml:space="preserve"> hearing </w:t>
      </w:r>
      <w:r w:rsidR="002D6EB7">
        <w:t>shows</w:t>
      </w:r>
      <w:r w:rsidR="00AE1202">
        <w:t xml:space="preserve"> the prosecutor </w:t>
      </w:r>
      <w:r w:rsidR="00DA39EE">
        <w:t xml:space="preserve">appeared and </w:t>
      </w:r>
      <w:r w:rsidR="00AE1202">
        <w:t>argued there were several mitigating factors</w:t>
      </w:r>
      <w:r w:rsidR="004E1D6D">
        <w:t xml:space="preserve"> supporting release</w:t>
      </w:r>
      <w:r w:rsidR="00AE1202">
        <w:t xml:space="preserve">, including </w:t>
      </w:r>
      <w:r w:rsidR="004E1D6D">
        <w:t>Vaesau’s</w:t>
      </w:r>
      <w:r w:rsidR="00AE1202">
        <w:t xml:space="preserve"> </w:t>
      </w:r>
      <w:r w:rsidR="00920839">
        <w:t>age and intoxication at the time of the crimes and his lack of family support.</w:t>
      </w:r>
      <w:r w:rsidR="00AE1202">
        <w:t xml:space="preserve"> </w:t>
      </w:r>
      <w:r w:rsidR="00920839">
        <w:t xml:space="preserve"> She also</w:t>
      </w:r>
      <w:r w:rsidR="004E1D6D">
        <w:t xml:space="preserve"> noted</w:t>
      </w:r>
      <w:r w:rsidR="00920839">
        <w:t xml:space="preserve"> </w:t>
      </w:r>
      <w:r w:rsidR="0059464A">
        <w:t>his personal</w:t>
      </w:r>
      <w:r w:rsidR="00184486">
        <w:t xml:space="preserve"> evolution, remorse for the crimes, and</w:t>
      </w:r>
      <w:r w:rsidR="007B13DA">
        <w:t xml:space="preserve"> lack of rule violations since 2016</w:t>
      </w:r>
      <w:r>
        <w:t xml:space="preserve">. </w:t>
      </w:r>
    </w:p>
    <w:p w:rsidR="005B4199" w:rsidP="00CD6267" w14:paraId="2B1ABA3D" w14:textId="48372163">
      <w:pPr>
        <w:spacing w:line="360" w:lineRule="auto"/>
      </w:pPr>
      <w:r>
        <w:tab/>
        <w:t xml:space="preserve"> </w:t>
      </w:r>
      <w:r w:rsidR="006606C0">
        <w:t xml:space="preserve">At the next hearing on July 21, 2022, </w:t>
      </w:r>
      <w:r w:rsidR="0079198D">
        <w:t xml:space="preserve">it was revealed that the </w:t>
      </w:r>
      <w:r w:rsidR="004E1D6D">
        <w:t xml:space="preserve">District Attorney’s office had fired the </w:t>
      </w:r>
      <w:r w:rsidR="0079198D">
        <w:t xml:space="preserve">prosecutor. </w:t>
      </w:r>
      <w:r w:rsidR="00D02B83">
        <w:t xml:space="preserve"> The hearing was continued until August 11</w:t>
      </w:r>
      <w:r w:rsidR="008B368E">
        <w:t xml:space="preserve">, at which time a new prosecutor appeared. </w:t>
      </w:r>
      <w:r w:rsidR="00BF19AE">
        <w:t xml:space="preserve"> </w:t>
      </w:r>
      <w:r w:rsidR="008B368E">
        <w:t xml:space="preserve">That prosecutor </w:t>
      </w:r>
      <w:r w:rsidR="00023563">
        <w:t xml:space="preserve">reiterated the district attorney’s desire to withdraw the resentencing request.  She provided no substantive reason for the requested withdrawal, </w:t>
      </w:r>
      <w:r w:rsidR="00415E12">
        <w:t>saying</w:t>
      </w:r>
      <w:r w:rsidR="00023563">
        <w:t xml:space="preserve"> </w:t>
      </w:r>
      <w:r w:rsidR="00415E12">
        <w:t xml:space="preserve">only </w:t>
      </w:r>
      <w:r w:rsidR="00023563">
        <w:t>that</w:t>
      </w:r>
      <w:r w:rsidR="00415E12">
        <w:t xml:space="preserve"> </w:t>
      </w:r>
      <w:r w:rsidR="00FC3FB8">
        <w:t xml:space="preserve">having “reviewed just the papers,” she believed </w:t>
      </w:r>
      <w:r w:rsidR="00023563">
        <w:t xml:space="preserve">the request </w:t>
      </w:r>
      <w:r w:rsidR="00980CD2">
        <w:t xml:space="preserve">was </w:t>
      </w:r>
      <w:r w:rsidR="00FC442F">
        <w:t>“very thin on the recor</w:t>
      </w:r>
      <w:r w:rsidR="00497203">
        <w:t xml:space="preserve">d even </w:t>
      </w:r>
      <w:r w:rsidR="00980CD2">
        <w:t xml:space="preserve">to </w:t>
      </w:r>
      <w:r w:rsidR="00497203">
        <w:t>provide to the Court</w:t>
      </w:r>
      <w:r w:rsidR="00023563">
        <w:t>.</w:t>
      </w:r>
      <w:r w:rsidR="00497203">
        <w:t xml:space="preserve">” </w:t>
      </w:r>
    </w:p>
    <w:p w:rsidR="00215297" w:rsidP="00CD6267" w14:paraId="34C692CD" w14:textId="7F5B154F">
      <w:pPr>
        <w:spacing w:line="360" w:lineRule="auto"/>
      </w:pPr>
      <w:r>
        <w:tab/>
        <w:t xml:space="preserve">The trial court </w:t>
      </w:r>
      <w:r w:rsidR="00B1449A">
        <w:t>stated it was</w:t>
      </w:r>
      <w:r w:rsidR="00D25DCB">
        <w:t xml:space="preserve"> “convinced that </w:t>
      </w:r>
      <w:r w:rsidR="00B20CD0">
        <w:t>[it was]</w:t>
      </w:r>
      <w:r w:rsidR="00D25DCB">
        <w:t xml:space="preserve"> within the ambit of </w:t>
      </w:r>
      <w:r w:rsidR="00B1449A">
        <w:t>[the</w:t>
      </w:r>
      <w:r w:rsidR="00980CD2">
        <w:t xml:space="preserve"> district attorney’s</w:t>
      </w:r>
      <w:r w:rsidR="00B1449A">
        <w:t>] discretion to withdraw the petition” for</w:t>
      </w:r>
      <w:r w:rsidR="004C0135">
        <w:t xml:space="preserve"> </w:t>
      </w:r>
      <w:r w:rsidR="00B1449A">
        <w:t xml:space="preserve">resentencing. </w:t>
      </w:r>
      <w:r w:rsidR="00481C7C">
        <w:t xml:space="preserve"> </w:t>
      </w:r>
      <w:r w:rsidR="00B20CD0">
        <w:t>Though a</w:t>
      </w:r>
      <w:r w:rsidR="00481C7C">
        <w:t xml:space="preserve">cknowledging it was </w:t>
      </w:r>
      <w:r w:rsidR="006F6627">
        <w:t xml:space="preserve">“a novel question,” the court </w:t>
      </w:r>
      <w:r w:rsidR="00B20CD0">
        <w:t xml:space="preserve">was not persuaded by Vaesau’s position that “once you start the mechanism [under section 1172.1], you can’t stop it.”  </w:t>
      </w:r>
    </w:p>
    <w:p w:rsidR="001915BA" w:rsidP="00CD6267" w14:paraId="5060F41D" w14:textId="15F23AEB">
      <w:pPr>
        <w:spacing w:line="360" w:lineRule="auto"/>
      </w:pPr>
      <w:r>
        <w:tab/>
      </w:r>
      <w:r w:rsidR="00B20CD0">
        <w:t xml:space="preserve">The </w:t>
      </w:r>
      <w:r>
        <w:t xml:space="preserve">trial </w:t>
      </w:r>
      <w:r w:rsidR="00B20CD0">
        <w:t>court also</w:t>
      </w:r>
      <w:r w:rsidR="003134EA">
        <w:t xml:space="preserve"> distinguished</w:t>
      </w:r>
      <w:r w:rsidR="00B20CD0">
        <w:t xml:space="preserve"> </w:t>
      </w:r>
      <w:r w:rsidR="00DA0725">
        <w:t>anothe</w:t>
      </w:r>
      <w:r w:rsidR="00972A9F">
        <w:t xml:space="preserve">r </w:t>
      </w:r>
      <w:r w:rsidR="009C0B2B">
        <w:t xml:space="preserve">recent case in which it was involved. </w:t>
      </w:r>
      <w:r w:rsidR="00B10470">
        <w:t xml:space="preserve"> </w:t>
      </w:r>
      <w:r w:rsidR="009C0B2B">
        <w:t>There, the District Attorney’s office</w:t>
      </w:r>
      <w:r w:rsidR="00365E15">
        <w:t xml:space="preserve"> </w:t>
      </w:r>
      <w:r w:rsidR="009C0B2B">
        <w:t>sought resentencing, and the court recalled the sentence and transferred the matter to juvenile court to determine whether</w:t>
      </w:r>
      <w:r w:rsidR="00046AAD">
        <w:t xml:space="preserve"> the defendant was fit for that court’s jurisdiction</w:t>
      </w:r>
      <w:r w:rsidR="009C0B2B">
        <w:t xml:space="preserve">. </w:t>
      </w:r>
      <w:r w:rsidR="00046AAD">
        <w:t xml:space="preserve"> The day before the recall election, the </w:t>
      </w:r>
      <w:r w:rsidR="00024730">
        <w:t>district attorney</w:t>
      </w:r>
      <w:r w:rsidR="00046AAD">
        <w:t xml:space="preserve"> sought to withdraw </w:t>
      </w:r>
      <w:r w:rsidR="00024730">
        <w:t xml:space="preserve">the resentencing </w:t>
      </w:r>
      <w:r w:rsidR="00046AAD">
        <w:t>request, and the juvenile court</w:t>
      </w:r>
      <w:r w:rsidR="00DA2161">
        <w:t xml:space="preserve"> refused to allow </w:t>
      </w:r>
      <w:r w:rsidR="004C0135">
        <w:t>the district attorney</w:t>
      </w:r>
      <w:r w:rsidR="00DA2161">
        <w:t xml:space="preserve"> to do so.  </w:t>
      </w:r>
      <w:r w:rsidR="00E40E55">
        <w:t>Vaesau’s case, in contrast, was “at a much earlier stage” of the process</w:t>
      </w:r>
      <w:r w:rsidR="00D21767">
        <w:t xml:space="preserve">, and the court decided it was appropriate to allow the </w:t>
      </w:r>
      <w:r w:rsidR="00024730">
        <w:t>district attorney</w:t>
      </w:r>
      <w:r w:rsidR="00D21767">
        <w:t xml:space="preserve"> to withdraw </w:t>
      </w:r>
      <w:r w:rsidR="00024730">
        <w:t>the</w:t>
      </w:r>
      <w:r w:rsidR="00D21767">
        <w:t xml:space="preserve"> re</w:t>
      </w:r>
      <w:r w:rsidR="00055225">
        <w:t>quest</w:t>
      </w:r>
      <w:r w:rsidR="00D21767">
        <w:t xml:space="preserve">.  </w:t>
      </w:r>
      <w:r w:rsidR="00DB7FB9">
        <w:t>T</w:t>
      </w:r>
      <w:r w:rsidR="007F4746">
        <w:t xml:space="preserve">he court </w:t>
      </w:r>
      <w:r w:rsidR="0057771D">
        <w:t>emphasized that its ruling had “nothing to do with the merits of whether the sentence should or shouldn’t be recalled</w:t>
      </w:r>
      <w:r w:rsidR="004528AE">
        <w:t>”</w:t>
      </w:r>
      <w:r w:rsidR="00E738FB">
        <w:t xml:space="preserve"> and stated it had not “</w:t>
      </w:r>
      <w:r w:rsidR="00DB7FB9">
        <w:t xml:space="preserve">made any decision on that.” </w:t>
      </w:r>
    </w:p>
    <w:p w:rsidR="00CD6267" w:rsidRPr="008E4889" w:rsidP="008C5DC9" w14:paraId="60768124" w14:textId="77777777">
      <w:pPr>
        <w:keepNext/>
        <w:spacing w:line="240" w:lineRule="auto"/>
        <w:jc w:val="center"/>
      </w:pPr>
      <w:r w:rsidRPr="008E4889">
        <w:t>II.</w:t>
      </w:r>
      <w:r w:rsidRPr="008E4889">
        <w:br/>
      </w:r>
      <w:r w:rsidRPr="008E4889">
        <w:rPr>
          <w:smallCaps/>
        </w:rPr>
        <w:t>Discussion</w:t>
      </w:r>
    </w:p>
    <w:p w:rsidR="00CD6267" w:rsidRPr="002F6D1F" w:rsidP="00CD6267" w14:paraId="3D45364B" w14:textId="3E4EBFF5">
      <w:pPr>
        <w:spacing w:before="180" w:line="360" w:lineRule="auto"/>
        <w:rPr>
          <w:i/>
          <w:iCs/>
        </w:rPr>
      </w:pPr>
      <w:r>
        <w:tab/>
      </w:r>
      <w:r w:rsidR="002F6D1F">
        <w:rPr>
          <w:i/>
          <w:iCs/>
        </w:rPr>
        <w:t>A.</w:t>
      </w:r>
      <w:r w:rsidR="002F6D1F">
        <w:rPr>
          <w:i/>
          <w:iCs/>
        </w:rPr>
        <w:tab/>
      </w:r>
      <w:r w:rsidR="004A4E42">
        <w:rPr>
          <w:i/>
          <w:iCs/>
        </w:rPr>
        <w:t>Recall and Resentencing Under Section 1172.1</w:t>
      </w:r>
    </w:p>
    <w:p w:rsidR="00927F59" w:rsidP="00CD6267" w14:paraId="02B685FE" w14:textId="26B23EB6">
      <w:pPr>
        <w:spacing w:line="360" w:lineRule="auto"/>
      </w:pPr>
      <w:r>
        <w:tab/>
      </w:r>
      <w:r w:rsidR="0029062E">
        <w:t>S</w:t>
      </w:r>
      <w:r w:rsidR="00D14753">
        <w:t>ection 1172.1</w:t>
      </w:r>
      <w:r w:rsidR="0029062E">
        <w:t xml:space="preserve"> provides that</w:t>
      </w:r>
      <w:r w:rsidR="00D14753">
        <w:t xml:space="preserve"> “[w]hen a defendant, upon conviction of a felony offense, has been committed to the custody of the Secretary of the Department of Corrections and Rehabilitation </w:t>
      </w:r>
      <w:r w:rsidR="0030262D">
        <w:t>or to the custody of the county correctional administrator pursuant to subdivision (h) of Section</w:t>
      </w:r>
      <w:r w:rsidR="009C6284">
        <w:t> </w:t>
      </w:r>
      <w:r w:rsidR="0030262D">
        <w:t>1170</w:t>
      </w:r>
      <w:r w:rsidR="00062638">
        <w:t>, the [trial] court may, within 120 days of the date of commitment on its own motion, at any time upon the rec</w:t>
      </w:r>
      <w:r w:rsidR="00FF4C74">
        <w:t xml:space="preserve">ommendation of </w:t>
      </w:r>
      <w:r w:rsidR="00110DA4">
        <w:t xml:space="preserve">the </w:t>
      </w:r>
      <w:r w:rsidR="00FF4C74">
        <w:t xml:space="preserve">secretary or the Board of Parole Hearings </w:t>
      </w:r>
      <w:r w:rsidR="0030262D">
        <w:t>in the case of a defendant incarcerated in state prison</w:t>
      </w:r>
      <w:r w:rsidR="00FF4C74">
        <w:t>,</w:t>
      </w:r>
      <w:r w:rsidR="003606AD">
        <w:t xml:space="preserve"> </w:t>
      </w:r>
      <w:r w:rsidR="0030262D">
        <w:t xml:space="preserve">the county correctional administrator in the case of a defendant incarcerated in county jail, </w:t>
      </w:r>
      <w:r w:rsidR="003606AD">
        <w:t xml:space="preserve">the district attorney of the county in which the defendant was sentenced, </w:t>
      </w:r>
      <w:r w:rsidR="001D4377">
        <w:t xml:space="preserve">or the Attorney General if the Department of Justice originally prosecuted the case, </w:t>
      </w:r>
      <w:r w:rsidR="008320EB">
        <w:t xml:space="preserve">recall the sentence and commitment previously ordered and resentence the defendant in the same manner as if they had not previously been sentenced, whether or not the defendant is still in custody, and provided the new sentence, if any, is no greater than </w:t>
      </w:r>
      <w:r w:rsidR="00A54284">
        <w:t>the initial sentence.”  (§ 1172.1, subd.</w:t>
      </w:r>
      <w:r w:rsidR="00044C6B">
        <w:t> </w:t>
      </w:r>
      <w:r w:rsidR="00A54284">
        <w:t>(a)(1).)</w:t>
      </w:r>
    </w:p>
    <w:p w:rsidR="009A0EA6" w:rsidP="00FE1450" w14:paraId="12A7794A" w14:textId="092A2056">
      <w:pPr>
        <w:spacing w:line="360" w:lineRule="auto"/>
      </w:pPr>
      <w:r>
        <w:tab/>
      </w:r>
      <w:r w:rsidR="00E8568D">
        <w:t xml:space="preserve">A similar provision </w:t>
      </w:r>
      <w:r w:rsidR="0093725E">
        <w:t>originally appeared</w:t>
      </w:r>
      <w:r w:rsidR="007F230D">
        <w:t xml:space="preserve"> in </w:t>
      </w:r>
      <w:r w:rsidR="00F72A66">
        <w:t>section</w:t>
      </w:r>
      <w:r w:rsidR="00E8568D">
        <w:t> </w:t>
      </w:r>
      <w:r w:rsidR="00F72A66">
        <w:t xml:space="preserve">1170, </w:t>
      </w:r>
      <w:r w:rsidR="009E1FE5">
        <w:t xml:space="preserve">former </w:t>
      </w:r>
      <w:r w:rsidR="00F72A66">
        <w:t>subdivision (d) (former section 1170(d))</w:t>
      </w:r>
      <w:r w:rsidR="00F17DA2">
        <w:t xml:space="preserve">.  </w:t>
      </w:r>
      <w:r w:rsidR="00A26C67">
        <w:t>“Former section</w:t>
      </w:r>
      <w:r w:rsidR="009C6284">
        <w:t> </w:t>
      </w:r>
      <w:r w:rsidR="00A26C67">
        <w:t>1170(d) provided ‘an exception to the common law rule that the [trial] court loses resentencing</w:t>
      </w:r>
      <w:r w:rsidR="00D16E81">
        <w:t xml:space="preserve"> jurisdiction once execution of sentence has begun.’ ”  (</w:t>
      </w:r>
      <w:r w:rsidR="00D16E81">
        <w:rPr>
          <w:i/>
          <w:iCs/>
        </w:rPr>
        <w:t>People</w:t>
      </w:r>
      <w:r w:rsidR="009C6284">
        <w:rPr>
          <w:i/>
          <w:iCs/>
        </w:rPr>
        <w:t> </w:t>
      </w:r>
      <w:r w:rsidR="00D16E81">
        <w:rPr>
          <w:i/>
          <w:iCs/>
        </w:rPr>
        <w:t>v. E.M.</w:t>
      </w:r>
      <w:r w:rsidR="00D16E81">
        <w:t xml:space="preserve"> (2022) 85 Cal.App.5th 1075, 1082 (</w:t>
      </w:r>
      <w:r w:rsidR="00D16E81">
        <w:rPr>
          <w:i/>
          <w:iCs/>
        </w:rPr>
        <w:t>E.M.</w:t>
      </w:r>
      <w:r w:rsidR="00D16E81">
        <w:t>)</w:t>
      </w:r>
      <w:r w:rsidR="00273D1E">
        <w:t xml:space="preserve">, quoting </w:t>
      </w:r>
      <w:r w:rsidR="00273D1E">
        <w:rPr>
          <w:i/>
          <w:iCs/>
        </w:rPr>
        <w:t>Dix</w:t>
      </w:r>
      <w:r w:rsidR="009C6284">
        <w:rPr>
          <w:i/>
          <w:iCs/>
        </w:rPr>
        <w:t> </w:t>
      </w:r>
      <w:r w:rsidR="00273D1E">
        <w:rPr>
          <w:i/>
          <w:iCs/>
        </w:rPr>
        <w:t>v. Superior Court</w:t>
      </w:r>
      <w:r w:rsidR="00273D1E">
        <w:t xml:space="preserve"> (</w:t>
      </w:r>
      <w:r w:rsidR="00503C05">
        <w:t>1991) 53 Cal.3d 442, 455</w:t>
      </w:r>
      <w:r w:rsidR="002A31C1">
        <w:t xml:space="preserve"> (</w:t>
      </w:r>
      <w:r w:rsidR="002A31C1">
        <w:rPr>
          <w:i/>
          <w:iCs/>
        </w:rPr>
        <w:t>Dix</w:t>
      </w:r>
      <w:r w:rsidR="002A31C1">
        <w:t>)</w:t>
      </w:r>
      <w:r w:rsidR="00D16E81">
        <w:t>.)</w:t>
      </w:r>
      <w:r w:rsidR="009C3C9F">
        <w:t xml:space="preserve">  </w:t>
      </w:r>
      <w:r w:rsidR="00776026">
        <w:t>A request for resentencing under former section</w:t>
      </w:r>
      <w:r w:rsidR="002A31C1">
        <w:t> </w:t>
      </w:r>
      <w:r w:rsidR="00776026">
        <w:t xml:space="preserve">1170(d) </w:t>
      </w:r>
      <w:r w:rsidR="00513687">
        <w:t xml:space="preserve">functioned as </w:t>
      </w:r>
      <w:r w:rsidR="006579AF">
        <w:t>“</w:t>
      </w:r>
      <w:r w:rsidR="00500E4B">
        <w:t> </w:t>
      </w:r>
      <w:r w:rsidR="006579AF">
        <w:t>‘</w:t>
      </w:r>
      <w:r w:rsidR="00500E4B">
        <w:t> </w:t>
      </w:r>
      <w:r w:rsidR="006579AF">
        <w:t xml:space="preserve">“an invitation to the [trial] court to exercise its equitable jurisdiction,” which “furnishe[d] the court with the </w:t>
      </w:r>
      <w:r w:rsidR="00102011">
        <w:t>jurisdiction it would not otherwise possess to recall or resentence.”</w:t>
      </w:r>
      <w:r w:rsidR="00500E4B">
        <w:t> </w:t>
      </w:r>
      <w:r w:rsidR="00102011">
        <w:t>’</w:t>
      </w:r>
      <w:r w:rsidR="00500E4B">
        <w:t> </w:t>
      </w:r>
      <w:r w:rsidR="00102011">
        <w:t>”</w:t>
      </w:r>
      <w:r>
        <w:rPr>
          <w:rStyle w:val="FootnoteReference"/>
        </w:rPr>
        <w:footnoteReference w:id="7"/>
      </w:r>
      <w:r w:rsidR="00102011">
        <w:t xml:space="preserve">  (</w:t>
      </w:r>
      <w:r w:rsidR="00102011">
        <w:rPr>
          <w:i/>
          <w:iCs/>
        </w:rPr>
        <w:t>E.M.</w:t>
      </w:r>
      <w:r w:rsidR="00102011">
        <w:t>, at p.</w:t>
      </w:r>
      <w:r w:rsidR="00500E4B">
        <w:t> </w:t>
      </w:r>
      <w:r w:rsidR="00102011">
        <w:t>1082.)</w:t>
      </w:r>
      <w:r w:rsidR="001E5A97">
        <w:t xml:space="preserve">  On receiving such a request, the court “</w:t>
      </w:r>
      <w:r w:rsidR="00500E4B">
        <w:t> </w:t>
      </w:r>
      <w:r w:rsidR="001E5A97">
        <w:t>‘ha[d] broad discretion whether to recall the existing sentence and resentence the incarcerated individual,</w:t>
      </w:r>
      <w:r w:rsidR="00BD663C">
        <w:t>’</w:t>
      </w:r>
      <w:r w:rsidR="00500E4B">
        <w:t> </w:t>
      </w:r>
      <w:r w:rsidR="00BD663C">
        <w:t>”</w:t>
      </w:r>
      <w:r w:rsidR="00625513">
        <w:t xml:space="preserve"> and </w:t>
      </w:r>
      <w:r w:rsidR="00E536C8">
        <w:t>if it chose t</w:t>
      </w:r>
      <w:r w:rsidR="0052321B">
        <w:t>o do so, it</w:t>
      </w:r>
      <w:r>
        <w:t xml:space="preserve"> could perform a full resentencing, except that it could not impose a greater sentence than </w:t>
      </w:r>
      <w:r w:rsidR="00422149">
        <w:t>the original one</w:t>
      </w:r>
      <w:r>
        <w:t>.  (</w:t>
      </w:r>
      <w:r>
        <w:rPr>
          <w:i/>
          <w:iCs/>
        </w:rPr>
        <w:t>Ibid.</w:t>
      </w:r>
      <w:r>
        <w:t>)</w:t>
      </w:r>
    </w:p>
    <w:p w:rsidR="00736595" w:rsidP="00CD6267" w14:paraId="771C59F8" w14:textId="12916F35">
      <w:pPr>
        <w:spacing w:line="360" w:lineRule="auto"/>
      </w:pPr>
      <w:r>
        <w:tab/>
      </w:r>
      <w:r w:rsidR="00920B5F">
        <w:t>Effective January 1, 2022, Assembly Bill No.</w:t>
      </w:r>
      <w:r w:rsidR="00B37F4F">
        <w:t> </w:t>
      </w:r>
      <w:r w:rsidR="00920B5F">
        <w:t>1540 (2021–2022 Reg. Sess.)</w:t>
      </w:r>
      <w:r w:rsidR="00F90291">
        <w:t xml:space="preserve"> (Assembly Bill No. 1540)</w:t>
      </w:r>
      <w:r w:rsidR="00920B5F">
        <w:t xml:space="preserve"> </w:t>
      </w:r>
      <w:r w:rsidR="009F2BEC">
        <w:t>“moved the recall and resentencing provisions of former section</w:t>
      </w:r>
      <w:r w:rsidR="00B37F4F">
        <w:t> </w:t>
      </w:r>
      <w:r w:rsidR="009F2BEC">
        <w:t>1170(d)(1) to new section</w:t>
      </w:r>
      <w:r w:rsidR="00B37F4F">
        <w:t> </w:t>
      </w:r>
      <w:r w:rsidR="009F2BEC">
        <w:t>1170.03</w:t>
      </w:r>
      <w:r w:rsidR="00783774">
        <w:t>.</w:t>
      </w:r>
      <w:r w:rsidR="006F5E97">
        <w:t>”</w:t>
      </w:r>
      <w:r w:rsidR="00783774">
        <w:t xml:space="preserve">  (</w:t>
      </w:r>
      <w:r w:rsidR="00783774">
        <w:rPr>
          <w:i/>
          <w:iCs/>
        </w:rPr>
        <w:t>People</w:t>
      </w:r>
      <w:r w:rsidR="00B37F4F">
        <w:rPr>
          <w:i/>
          <w:iCs/>
        </w:rPr>
        <w:t> </w:t>
      </w:r>
      <w:r w:rsidR="00783774">
        <w:rPr>
          <w:i/>
          <w:iCs/>
        </w:rPr>
        <w:t>v. McMurray</w:t>
      </w:r>
      <w:r w:rsidR="00783774">
        <w:t xml:space="preserve"> (2022) 76</w:t>
      </w:r>
      <w:r w:rsidR="00B37F4F">
        <w:t> </w:t>
      </w:r>
      <w:r w:rsidR="00783774">
        <w:t>Cal.App.5th 1035, 1038</w:t>
      </w:r>
      <w:r w:rsidR="002B07F7">
        <w:t>; Stats. 2021, ch.</w:t>
      </w:r>
      <w:r w:rsidR="00B37F4F">
        <w:t> </w:t>
      </w:r>
      <w:r w:rsidR="002B07F7">
        <w:t>719, § </w:t>
      </w:r>
      <w:r>
        <w:t>3</w:t>
      </w:r>
      <w:r w:rsidR="00783774">
        <w:t xml:space="preserve">.)  </w:t>
      </w:r>
      <w:r w:rsidR="00FE1450">
        <w:t>Section 1170.03 was later recodified without substantive change a</w:t>
      </w:r>
      <w:r w:rsidR="00A65A79">
        <w:t>s</w:t>
      </w:r>
      <w:r w:rsidR="00FE1450">
        <w:t xml:space="preserve"> section</w:t>
      </w:r>
      <w:r>
        <w:t> </w:t>
      </w:r>
      <w:r w:rsidR="00FE1450">
        <w:t>1172.1.  (Stats. 2022, ch. 58, § 9</w:t>
      </w:r>
      <w:r w:rsidR="003F73C8">
        <w:t xml:space="preserve">; </w:t>
      </w:r>
      <w:r w:rsidR="003F73C8">
        <w:rPr>
          <w:i/>
          <w:iCs/>
        </w:rPr>
        <w:t>People v. Braggs</w:t>
      </w:r>
      <w:r w:rsidR="003F73C8">
        <w:t xml:space="preserve"> (2022) 85</w:t>
      </w:r>
      <w:r w:rsidR="00762B25">
        <w:t> </w:t>
      </w:r>
      <w:r w:rsidR="003F73C8">
        <w:t>Cal.App.5th 809, 818</w:t>
      </w:r>
      <w:r w:rsidR="00FE1450">
        <w:t>.)</w:t>
      </w:r>
      <w:r>
        <w:t xml:space="preserve">  </w:t>
      </w:r>
      <w:r w:rsidR="00F90291">
        <w:t>Assembly Bill No. 1540</w:t>
      </w:r>
      <w:r>
        <w:t xml:space="preserve"> </w:t>
      </w:r>
      <w:r w:rsidR="00F90291">
        <w:t>“also clarified the Legislature’s intent regarding procedural requirements</w:t>
      </w:r>
      <w:r w:rsidR="002A574D">
        <w:t xml:space="preserve">” </w:t>
      </w:r>
      <w:r w:rsidR="0029062E">
        <w:t xml:space="preserve">and “added a presumption in favor of recall and resentencing” when a </w:t>
      </w:r>
      <w:r w:rsidR="00266A6A">
        <w:t xml:space="preserve">request for </w:t>
      </w:r>
      <w:r w:rsidR="0029062E">
        <w:t xml:space="preserve">resentencing </w:t>
      </w:r>
      <w:r w:rsidR="00022210">
        <w:t>is submitted</w:t>
      </w:r>
      <w:r w:rsidR="00E65EBD">
        <w:t xml:space="preserve">.  </w:t>
      </w:r>
      <w:r w:rsidR="00F90291">
        <w:t>(</w:t>
      </w:r>
      <w:r w:rsidR="00F90291">
        <w:rPr>
          <w:i/>
          <w:iCs/>
        </w:rPr>
        <w:t>McMurray</w:t>
      </w:r>
      <w:r w:rsidR="00F90291">
        <w:t>, at p.</w:t>
      </w:r>
      <w:r w:rsidR="00762B25">
        <w:t> </w:t>
      </w:r>
      <w:r w:rsidR="00F90291">
        <w:t>1038.)</w:t>
      </w:r>
      <w:r w:rsidR="00BD611F">
        <w:t xml:space="preserve">  </w:t>
      </w:r>
    </w:p>
    <w:p w:rsidR="009A23BD" w:rsidRPr="005453F3" w:rsidP="00CD6267" w14:paraId="791DA11E" w14:textId="6D9C7E9F">
      <w:pPr>
        <w:spacing w:line="360" w:lineRule="auto"/>
      </w:pPr>
      <w:r>
        <w:tab/>
        <w:t>Thus</w:t>
      </w:r>
      <w:r w:rsidR="00A646BA">
        <w:t>, s</w:t>
      </w:r>
      <w:r w:rsidR="00BD611F">
        <w:t xml:space="preserve">ection 1172.1 </w:t>
      </w:r>
      <w:r>
        <w:t xml:space="preserve">now </w:t>
      </w:r>
      <w:r w:rsidR="0088752C">
        <w:t xml:space="preserve">requires a trial court to “state on the record the reasons for its decision to grant or deny recall and resentencing” </w:t>
      </w:r>
      <w:r w:rsidR="007261C9">
        <w:t>and provides that “[r]esentencing shall not be denied .</w:t>
      </w:r>
      <w:r w:rsidR="00762B25">
        <w:t> </w:t>
      </w:r>
      <w:r w:rsidR="007261C9">
        <w:t>.</w:t>
      </w:r>
      <w:r w:rsidR="00AE64E9">
        <w:t> .</w:t>
      </w:r>
      <w:r w:rsidR="007261C9">
        <w:t xml:space="preserve">  without a hearing </w:t>
      </w:r>
      <w:r w:rsidR="00A646BA">
        <w:t xml:space="preserve">where the parties have an opportunity to address the basis for the intended denial or rejection.”  (§ 1172.1, subd. (a)(6), (8).)  </w:t>
      </w:r>
      <w:r w:rsidR="00093615">
        <w:t>In addition, where, as here</w:t>
      </w:r>
      <w:r w:rsidR="0014677A">
        <w:t>,</w:t>
      </w:r>
      <w:r w:rsidR="00093615">
        <w:t xml:space="preserve"> “a resentencing request</w:t>
      </w:r>
      <w:r w:rsidR="0014677A">
        <w:t xml:space="preserve"> pursuant to subdivision (a) </w:t>
      </w:r>
      <w:r w:rsidRPr="00094FEE" w:rsidR="0014677A">
        <w:t>is from the Secretary</w:t>
      </w:r>
      <w:r w:rsidR="00044C6B">
        <w:t xml:space="preserve"> </w:t>
      </w:r>
      <w:r w:rsidR="00AE64E9">
        <w:t>. . .</w:t>
      </w:r>
      <w:r w:rsidR="00193995">
        <w:t xml:space="preserve"> </w:t>
      </w:r>
      <w:r w:rsidRPr="00094FEE" w:rsidR="0014677A">
        <w:t xml:space="preserve">, the Board of Parole Hearings, </w:t>
      </w:r>
      <w:r w:rsidR="0030262D">
        <w:t>a county correctional administrator,</w:t>
      </w:r>
      <w:r w:rsidRPr="00094FEE" w:rsidR="0014677A">
        <w:t xml:space="preserve"> a district attorney, or the Attorney General</w:t>
      </w:r>
      <w:r w:rsidR="0030262D">
        <w:t>[</w:t>
      </w:r>
      <w:r>
        <w:rPr>
          <w:rStyle w:val="FootnoteReference"/>
        </w:rPr>
        <w:footnoteReference w:id="8"/>
      </w:r>
      <w:r w:rsidR="0030262D">
        <w:t>]</w:t>
      </w:r>
      <w:r w:rsidRPr="00094FEE" w:rsidR="0014677A">
        <w:t>,</w:t>
      </w:r>
      <w:r w:rsidRPr="00BF1CC3" w:rsidR="00BF1CC3">
        <w:t xml:space="preserve"> </w:t>
      </w:r>
      <w:r w:rsidRPr="00094FEE" w:rsidR="0014677A">
        <w:t>all of the following</w:t>
      </w:r>
      <w:r w:rsidR="0014677A">
        <w:t xml:space="preserve"> </w:t>
      </w:r>
      <w:r w:rsidR="001D0FAA">
        <w:t>shall apply: [¶]</w:t>
      </w:r>
      <w:r w:rsidR="00193995">
        <w:t xml:space="preserve"> </w:t>
      </w:r>
      <w:r w:rsidR="001D0FAA">
        <w:t>(1)</w:t>
      </w:r>
      <w:r w:rsidR="0030262D">
        <w:t> </w:t>
      </w:r>
      <w:r w:rsidR="001D0FAA">
        <w:t xml:space="preserve">The court shall provide notice to the defendant and set a status conference within 30 days after the date that the court received the request.  The court’s order setting the conference shall also appoint counsel to represent the defendant. [¶] </w:t>
      </w:r>
      <w:r w:rsidR="00695C2D">
        <w:t>(2) There shall be a presumption favoring recall and resentencing of the defendant, which may only be overcome if a court finds the defendant is an unreasonable risk of danger to public safety, as defined in subdivision (c) of Section 1170.18.”</w:t>
      </w:r>
      <w:r w:rsidR="00634EDE">
        <w:t xml:space="preserve">  (§ 1172.1, subd. (b).)</w:t>
      </w:r>
      <w:r w:rsidR="005453F3">
        <w:t xml:space="preserve"> </w:t>
      </w:r>
    </w:p>
    <w:p w:rsidR="00415E12" w:rsidP="002679A4" w14:paraId="4DD4DA3E" w14:textId="77777777">
      <w:pPr>
        <w:keepNext/>
        <w:spacing w:line="240" w:lineRule="auto"/>
        <w:rPr>
          <w:i/>
          <w:iCs/>
        </w:rPr>
      </w:pPr>
      <w:r>
        <w:tab/>
      </w:r>
      <w:r>
        <w:rPr>
          <w:i/>
          <w:iCs/>
        </w:rPr>
        <w:t>B.</w:t>
      </w:r>
      <w:r>
        <w:rPr>
          <w:i/>
          <w:iCs/>
        </w:rPr>
        <w:tab/>
      </w:r>
      <w:r w:rsidR="00083C42">
        <w:rPr>
          <w:i/>
          <w:iCs/>
        </w:rPr>
        <w:t>The Order</w:t>
      </w:r>
      <w:r w:rsidR="00A65A79">
        <w:rPr>
          <w:i/>
          <w:iCs/>
        </w:rPr>
        <w:t xml:space="preserve"> </w:t>
      </w:r>
      <w:r w:rsidR="002679A4">
        <w:rPr>
          <w:i/>
          <w:iCs/>
        </w:rPr>
        <w:t xml:space="preserve">Granting the Motion to Withdraw the </w:t>
      </w:r>
      <w:r>
        <w:rPr>
          <w:i/>
          <w:iCs/>
        </w:rPr>
        <w:t>Res</w:t>
      </w:r>
      <w:r w:rsidR="002679A4">
        <w:rPr>
          <w:i/>
          <w:iCs/>
        </w:rPr>
        <w:t xml:space="preserve">entencing </w:t>
      </w:r>
    </w:p>
    <w:p w:rsidR="00887292" w:rsidP="002679A4" w14:paraId="07746B34" w14:textId="23CB313C">
      <w:pPr>
        <w:keepNext/>
        <w:spacing w:line="240" w:lineRule="auto"/>
        <w:rPr>
          <w:i/>
          <w:iCs/>
        </w:rPr>
      </w:pPr>
      <w:r>
        <w:rPr>
          <w:i/>
          <w:iCs/>
        </w:rPr>
        <w:tab/>
      </w:r>
      <w:r>
        <w:rPr>
          <w:i/>
          <w:iCs/>
        </w:rPr>
        <w:tab/>
      </w:r>
      <w:r w:rsidR="002679A4">
        <w:rPr>
          <w:i/>
          <w:iCs/>
        </w:rPr>
        <w:t xml:space="preserve">Request </w:t>
      </w:r>
      <w:r w:rsidR="00083C42">
        <w:rPr>
          <w:i/>
          <w:iCs/>
        </w:rPr>
        <w:t>Is Appealable</w:t>
      </w:r>
      <w:r w:rsidR="00A65A79">
        <w:rPr>
          <w:i/>
          <w:iCs/>
        </w:rPr>
        <w:t>.</w:t>
      </w:r>
    </w:p>
    <w:p w:rsidR="00887292" w:rsidRPr="004A4E42" w:rsidP="002679A4" w14:paraId="215991C9" w14:textId="65F12B54">
      <w:pPr>
        <w:spacing w:before="240" w:line="360" w:lineRule="auto"/>
      </w:pPr>
      <w:r>
        <w:tab/>
      </w:r>
      <w:r w:rsidR="004E09C9">
        <w:t>Initially, t</w:t>
      </w:r>
      <w:r w:rsidR="004A4E42">
        <w:t xml:space="preserve">he Attorney General claims the </w:t>
      </w:r>
      <w:r w:rsidR="009274B2">
        <w:t xml:space="preserve">order </w:t>
      </w:r>
      <w:r w:rsidR="00A65A79">
        <w:t>granting the district attorney’s motion to withdraw the resentencing request</w:t>
      </w:r>
      <w:r w:rsidR="00240CC6">
        <w:t xml:space="preserve"> </w:t>
      </w:r>
      <w:r w:rsidR="009274B2">
        <w:t xml:space="preserve">was not appealable because </w:t>
      </w:r>
      <w:r w:rsidR="00240CC6">
        <w:t>“in the absence of a resentencing petition, [the trial court] no longer had jurisdiction</w:t>
      </w:r>
      <w:r w:rsidR="00F5218C">
        <w:t xml:space="preserve">” to resentence Vaesau.  We </w:t>
      </w:r>
      <w:r w:rsidR="000F48B2">
        <w:t>are not persuaded</w:t>
      </w:r>
      <w:r w:rsidR="00F5218C">
        <w:t>.</w:t>
      </w:r>
    </w:p>
    <w:p w:rsidR="004E2604" w:rsidP="00CD6267" w14:paraId="5A9517EB" w14:textId="60D1AC64">
      <w:pPr>
        <w:spacing w:line="360" w:lineRule="auto"/>
      </w:pPr>
      <w:r>
        <w:tab/>
        <w:t>“The right to appeal is statutory only, and a party may not appeal a trial court’s judgment, order[,] or ruling unless such is expressly made appealable by statute.”  (</w:t>
      </w:r>
      <w:r>
        <w:rPr>
          <w:i/>
          <w:iCs/>
        </w:rPr>
        <w:t>People</w:t>
      </w:r>
      <w:r w:rsidR="001A698C">
        <w:rPr>
          <w:i/>
          <w:iCs/>
        </w:rPr>
        <w:t> </w:t>
      </w:r>
      <w:r>
        <w:rPr>
          <w:i/>
          <w:iCs/>
        </w:rPr>
        <w:t>v. Loper</w:t>
      </w:r>
      <w:r>
        <w:t xml:space="preserve"> (2015) 60</w:t>
      </w:r>
      <w:r w:rsidR="001A698C">
        <w:t> </w:t>
      </w:r>
      <w:r>
        <w:t>Cal.4th 1155, 1159</w:t>
      </w:r>
      <w:r w:rsidR="00AB705B">
        <w:t xml:space="preserve"> (</w:t>
      </w:r>
      <w:r w:rsidR="00AB705B">
        <w:rPr>
          <w:i/>
          <w:iCs/>
        </w:rPr>
        <w:t>Loper</w:t>
      </w:r>
      <w:r w:rsidR="00AB705B">
        <w:t>)</w:t>
      </w:r>
      <w:r>
        <w:t>.)</w:t>
      </w:r>
      <w:r w:rsidR="00123195">
        <w:t xml:space="preserve">  </w:t>
      </w:r>
      <w:r w:rsidR="00FF606D">
        <w:t>Absent</w:t>
      </w:r>
      <w:r w:rsidR="00FE72AF">
        <w:t xml:space="preserve"> an appealable order, an appellate court lacks jurisdiction to consider an appeal.  (</w:t>
      </w:r>
      <w:r w:rsidR="00FE72AF">
        <w:rPr>
          <w:i/>
          <w:iCs/>
        </w:rPr>
        <w:t>People</w:t>
      </w:r>
      <w:r w:rsidR="001A698C">
        <w:rPr>
          <w:i/>
          <w:iCs/>
        </w:rPr>
        <w:t> </w:t>
      </w:r>
      <w:r w:rsidR="00FE72AF">
        <w:rPr>
          <w:i/>
          <w:iCs/>
        </w:rPr>
        <w:t>v. Montellano</w:t>
      </w:r>
      <w:r w:rsidR="00FE72AF">
        <w:t xml:space="preserve"> (2019) 39</w:t>
      </w:r>
      <w:r w:rsidR="00AB705B">
        <w:t> </w:t>
      </w:r>
      <w:r w:rsidR="00FE72AF">
        <w:t>Cal.App.5th 148, 153.)</w:t>
      </w:r>
      <w:r w:rsidR="00AB705B">
        <w:t xml:space="preserve">  </w:t>
      </w:r>
      <w:r w:rsidR="00C009B1">
        <w:t xml:space="preserve">The question here is whether </w:t>
      </w:r>
      <w:r w:rsidR="00F43D81">
        <w:t xml:space="preserve">the </w:t>
      </w:r>
      <w:r w:rsidR="00C009B1">
        <w:t xml:space="preserve">appeal is </w:t>
      </w:r>
      <w:r w:rsidR="004E5F85">
        <w:t>permissible</w:t>
      </w:r>
      <w:r w:rsidR="00C009B1">
        <w:t xml:space="preserve"> under section</w:t>
      </w:r>
      <w:r w:rsidR="001A698C">
        <w:t> </w:t>
      </w:r>
      <w:r w:rsidR="00C009B1">
        <w:t xml:space="preserve">1237, subdivision (b), which </w:t>
      </w:r>
      <w:r w:rsidR="00F43D81">
        <w:t xml:space="preserve">authorizes a criminal defendant to appeal “[f]rom any order made after judgment, </w:t>
      </w:r>
      <w:r w:rsidR="00B134C9">
        <w:t>affecting the substantial rights of the party.</w:t>
      </w:r>
      <w:r w:rsidR="009E1655">
        <w:t>”</w:t>
      </w:r>
      <w:r w:rsidR="006D7DD1">
        <w:t xml:space="preserve">  </w:t>
      </w:r>
      <w:r w:rsidR="009862C7">
        <w:t>We review this issue de novo</w:t>
      </w:r>
      <w:r w:rsidR="007F3102">
        <w:t xml:space="preserve">.  </w:t>
      </w:r>
      <w:r w:rsidR="00316D04">
        <w:t>(</w:t>
      </w:r>
      <w:r w:rsidR="00316D04">
        <w:rPr>
          <w:i/>
          <w:iCs/>
        </w:rPr>
        <w:t>Kirk</w:t>
      </w:r>
      <w:r w:rsidR="001A698C">
        <w:rPr>
          <w:i/>
          <w:iCs/>
        </w:rPr>
        <w:t> </w:t>
      </w:r>
      <w:r w:rsidR="00316D04">
        <w:rPr>
          <w:i/>
          <w:iCs/>
        </w:rPr>
        <w:t>v. Ratner</w:t>
      </w:r>
      <w:r w:rsidR="00316D04">
        <w:t xml:space="preserve"> (2022) 74</w:t>
      </w:r>
      <w:r w:rsidR="001A698C">
        <w:t> </w:t>
      </w:r>
      <w:r w:rsidR="00316D04">
        <w:t xml:space="preserve">Cal.App.5th 1052, </w:t>
      </w:r>
      <w:r w:rsidR="009C02AE">
        <w:t>1060.)</w:t>
      </w:r>
      <w:r w:rsidR="00104A30">
        <w:t xml:space="preserve"> </w:t>
      </w:r>
      <w:r w:rsidR="00F5218C">
        <w:t xml:space="preserve"> </w:t>
      </w:r>
    </w:p>
    <w:p w:rsidR="003A70F3" w:rsidP="003A70F3" w14:paraId="7C1AF0AF" w14:textId="67952647">
      <w:pPr>
        <w:spacing w:line="360" w:lineRule="auto"/>
      </w:pPr>
      <w:r>
        <w:tab/>
      </w:r>
      <w:r w:rsidR="00510450">
        <w:t>“</w:t>
      </w:r>
      <w:r w:rsidR="009C7164">
        <w:t> </w:t>
      </w:r>
      <w:r w:rsidR="00510450">
        <w:t>‘A trial court order denying relief that the court has no jurisdiction to grant does not affect a defendant’s substantial rights and is therefore not appealable under section 1237, subdivision (b).’</w:t>
      </w:r>
      <w:r w:rsidR="00936E30">
        <w:t> </w:t>
      </w:r>
      <w:r w:rsidR="00510450">
        <w:t>”  (</w:t>
      </w:r>
      <w:r w:rsidR="002403B1">
        <w:rPr>
          <w:i/>
          <w:iCs/>
        </w:rPr>
        <w:t>E.M.</w:t>
      </w:r>
      <w:r w:rsidR="002403B1">
        <w:t xml:space="preserve">, </w:t>
      </w:r>
      <w:r w:rsidR="002403B1">
        <w:rPr>
          <w:i/>
          <w:iCs/>
        </w:rPr>
        <w:t>supra</w:t>
      </w:r>
      <w:r w:rsidR="002403B1">
        <w:t>,</w:t>
      </w:r>
      <w:r w:rsidR="00193995">
        <w:t xml:space="preserve"> </w:t>
      </w:r>
      <w:r w:rsidR="00510450">
        <w:t xml:space="preserve">85 Cal.App.5th </w:t>
      </w:r>
      <w:r w:rsidR="002403B1">
        <w:t>at p.</w:t>
      </w:r>
      <w:r w:rsidR="00936E30">
        <w:t> </w:t>
      </w:r>
      <w:r w:rsidR="00510450">
        <w:t>1085.)  Relying on this principle, t</w:t>
      </w:r>
      <w:r>
        <w:t xml:space="preserve">he Attorney General claims that </w:t>
      </w:r>
      <w:r w:rsidR="004A00B4">
        <w:t xml:space="preserve">once the trial court </w:t>
      </w:r>
      <w:r w:rsidR="00B1275F">
        <w:t xml:space="preserve">allowed </w:t>
      </w:r>
      <w:r w:rsidR="004A00B4">
        <w:t>the</w:t>
      </w:r>
      <w:r>
        <w:t xml:space="preserve"> district attorney to withdraw</w:t>
      </w:r>
      <w:r w:rsidR="004A00B4">
        <w:t xml:space="preserve"> </w:t>
      </w:r>
      <w:r w:rsidR="002403B1">
        <w:t xml:space="preserve">the </w:t>
      </w:r>
      <w:r w:rsidR="004A00B4">
        <w:t>resentencing request</w:t>
      </w:r>
      <w:r>
        <w:t xml:space="preserve">, the court “had no further jurisdiction </w:t>
      </w:r>
      <w:r w:rsidR="00FE5AD6">
        <w:t>to . . .</w:t>
      </w:r>
      <w:r>
        <w:t xml:space="preserve"> consider on the merits whether [Vaesau] should be resentenced,” and </w:t>
      </w:r>
      <w:r w:rsidR="00B1275F">
        <w:t>its order therefore did</w:t>
      </w:r>
      <w:r>
        <w:t xml:space="preserve"> not affect Vaesau’s substantial rights. </w:t>
      </w:r>
      <w:r w:rsidR="00B1275F">
        <w:t xml:space="preserve"> Vaesau, on the other hand, </w:t>
      </w:r>
      <w:r w:rsidR="0025742F">
        <w:t xml:space="preserve">claims the court “exercised its jurisdiction when it granted the </w:t>
      </w:r>
      <w:r w:rsidR="00FE5AD6">
        <w:t>. . .</w:t>
      </w:r>
      <w:r w:rsidR="0025742F">
        <w:t xml:space="preserve"> request to withdraw,” </w:t>
      </w:r>
      <w:r w:rsidR="009374F7">
        <w:t>and its “ruling was in essence a denial of an authorized resentencing petition” that</w:t>
      </w:r>
      <w:r w:rsidR="0084021A">
        <w:t xml:space="preserve"> did affect his substantial rights. </w:t>
      </w:r>
    </w:p>
    <w:p w:rsidR="00510450" w:rsidP="003A70F3" w14:paraId="3BFDBD55" w14:textId="5490573B">
      <w:pPr>
        <w:spacing w:line="360" w:lineRule="auto"/>
      </w:pPr>
      <w:r>
        <w:tab/>
      </w:r>
      <w:r w:rsidR="006365E5">
        <w:t xml:space="preserve">We take a somewhat different view than </w:t>
      </w:r>
      <w:r w:rsidR="003039D0">
        <w:t>that of either party</w:t>
      </w:r>
      <w:r w:rsidR="006365E5">
        <w:t xml:space="preserve">.  </w:t>
      </w:r>
      <w:r w:rsidR="00BB6B1C">
        <w:t xml:space="preserve">To begin with, we agree with Vaesau that the trial court had jurisdiction to rule on the district attorney’s motion to withdraw the resentencing request.  Upon receiving </w:t>
      </w:r>
      <w:r w:rsidR="009D60AD">
        <w:t xml:space="preserve">a </w:t>
      </w:r>
      <w:r w:rsidR="003E3C01">
        <w:t>request</w:t>
      </w:r>
      <w:r w:rsidR="009D60AD">
        <w:t xml:space="preserve"> from a proper party</w:t>
      </w:r>
      <w:r w:rsidR="003E3C01">
        <w:t xml:space="preserve">, </w:t>
      </w:r>
      <w:r w:rsidR="000A4FF1">
        <w:t>the court</w:t>
      </w:r>
      <w:r w:rsidR="008D46C9">
        <w:t xml:space="preserve"> had jurisdiction to resentence </w:t>
      </w:r>
      <w:r w:rsidR="00C330B5">
        <w:t>him</w:t>
      </w:r>
      <w:r w:rsidR="006904EA">
        <w:t>.</w:t>
      </w:r>
      <w:r w:rsidR="000A4FF1">
        <w:t xml:space="preserve"> </w:t>
      </w:r>
      <w:r w:rsidR="00A30671">
        <w:t xml:space="preserve"> </w:t>
      </w:r>
      <w:r w:rsidR="006904EA">
        <w:t xml:space="preserve">(See </w:t>
      </w:r>
      <w:r w:rsidR="006904EA">
        <w:rPr>
          <w:i/>
          <w:iCs/>
        </w:rPr>
        <w:t>E.M.</w:t>
      </w:r>
      <w:r w:rsidR="006904EA">
        <w:t xml:space="preserve">, </w:t>
      </w:r>
      <w:r w:rsidR="006904EA">
        <w:rPr>
          <w:i/>
          <w:iCs/>
        </w:rPr>
        <w:t>supra</w:t>
      </w:r>
      <w:r w:rsidR="006904EA">
        <w:t>, 85 Cal.App.5th at p.</w:t>
      </w:r>
      <w:r w:rsidR="00D633E4">
        <w:t> </w:t>
      </w:r>
      <w:r w:rsidR="000A4FF1">
        <w:t>1082</w:t>
      </w:r>
      <w:r w:rsidR="009D60AD">
        <w:t>; § 1172.1, subd.</w:t>
      </w:r>
      <w:r w:rsidR="00193995">
        <w:t> </w:t>
      </w:r>
      <w:r w:rsidR="00307C7A">
        <w:t>(a)(1)</w:t>
      </w:r>
      <w:r w:rsidR="000A4FF1">
        <w:t>.)</w:t>
      </w:r>
      <w:r w:rsidR="00307C7A">
        <w:t xml:space="preserve">  </w:t>
      </w:r>
      <w:r w:rsidR="0012120A">
        <w:t xml:space="preserve">Indeed, there is no dispute that, had the district attorney not withdrawn the </w:t>
      </w:r>
      <w:r w:rsidR="008D46C9">
        <w:t>resentencing request</w:t>
      </w:r>
      <w:r w:rsidR="0012120A">
        <w:t xml:space="preserve"> and the court had thereafter denied </w:t>
      </w:r>
      <w:r w:rsidR="00132ADC">
        <w:t>resentencing</w:t>
      </w:r>
      <w:r w:rsidR="0012120A">
        <w:t xml:space="preserve">, </w:t>
      </w:r>
      <w:r w:rsidR="004A53E0">
        <w:t>th</w:t>
      </w:r>
      <w:r w:rsidR="006761E2">
        <w:t xml:space="preserve">at order </w:t>
      </w:r>
      <w:r w:rsidR="004A53E0">
        <w:t>would be appealable.  (See</w:t>
      </w:r>
      <w:r w:rsidR="00B67D31">
        <w:t xml:space="preserve"> </w:t>
      </w:r>
      <w:r w:rsidR="00B67D31">
        <w:rPr>
          <w:i/>
          <w:iCs/>
        </w:rPr>
        <w:t>E.M.</w:t>
      </w:r>
      <w:r w:rsidR="00B67D31">
        <w:t>, at p</w:t>
      </w:r>
      <w:r w:rsidR="00BD7A5E">
        <w:t>p.</w:t>
      </w:r>
      <w:r w:rsidR="00D633E4">
        <w:t> </w:t>
      </w:r>
      <w:r w:rsidR="00BD7A5E">
        <w:t>1084–1085 [order denying reque</w:t>
      </w:r>
      <w:r w:rsidR="00D81452">
        <w:t>s</w:t>
      </w:r>
      <w:r w:rsidR="00BD7A5E">
        <w:t>t for r</w:t>
      </w:r>
      <w:r w:rsidR="005155DD">
        <w:t xml:space="preserve">esentencing was appealable even though Secretary subsequently withdrew request]; </w:t>
      </w:r>
      <w:r w:rsidR="00613FD2">
        <w:t xml:space="preserve">see also </w:t>
      </w:r>
      <w:r w:rsidR="004A53E0">
        <w:rPr>
          <w:i/>
          <w:iCs/>
        </w:rPr>
        <w:t>Loper</w:t>
      </w:r>
      <w:r w:rsidR="004A53E0">
        <w:t xml:space="preserve">, </w:t>
      </w:r>
      <w:r w:rsidR="004A53E0">
        <w:rPr>
          <w:i/>
          <w:iCs/>
        </w:rPr>
        <w:t>supra</w:t>
      </w:r>
      <w:r w:rsidR="004A53E0">
        <w:t>, 60</w:t>
      </w:r>
      <w:r w:rsidR="00D633E4">
        <w:t> </w:t>
      </w:r>
      <w:r w:rsidR="004A53E0">
        <w:t>Cal.4th at p</w:t>
      </w:r>
      <w:r w:rsidR="00A905FC">
        <w:t>.</w:t>
      </w:r>
      <w:r w:rsidR="008D46C9">
        <w:t> </w:t>
      </w:r>
      <w:r w:rsidR="00A905FC">
        <w:t>1158 [order</w:t>
      </w:r>
      <w:r w:rsidR="00E13CD6">
        <w:t>s</w:t>
      </w:r>
      <w:r w:rsidR="00A905FC">
        <w:t xml:space="preserve"> denying compassionate release under </w:t>
      </w:r>
      <w:r w:rsidR="00912426">
        <w:t>§ </w:t>
      </w:r>
      <w:r w:rsidR="000A5433">
        <w:t>1170, former subd</w:t>
      </w:r>
      <w:r w:rsidR="00912426">
        <w:t>.</w:t>
      </w:r>
      <w:r w:rsidR="000A5433">
        <w:t xml:space="preserve"> (e), </w:t>
      </w:r>
      <w:r w:rsidR="00F9314D">
        <w:t xml:space="preserve">are </w:t>
      </w:r>
      <w:r w:rsidR="000A5433">
        <w:t>appealable</w:t>
      </w:r>
      <w:r w:rsidR="00396896">
        <w:t xml:space="preserve"> even though prisoner</w:t>
      </w:r>
      <w:r w:rsidR="00E13CD6">
        <w:t xml:space="preserve">s </w:t>
      </w:r>
      <w:r w:rsidR="00F9314D">
        <w:t>lack standing</w:t>
      </w:r>
      <w:r w:rsidR="00E13CD6">
        <w:t xml:space="preserve"> to </w:t>
      </w:r>
      <w:r w:rsidR="00F9314D">
        <w:t>request such relief</w:t>
      </w:r>
      <w:r w:rsidR="006761E2">
        <w:t xml:space="preserve"> </w:t>
      </w:r>
      <w:r w:rsidR="008D46C9">
        <w:t>themselves</w:t>
      </w:r>
      <w:r w:rsidR="00F9314D">
        <w:t>].)</w:t>
      </w:r>
      <w:r w:rsidR="006761E2">
        <w:t xml:space="preserve">  </w:t>
      </w:r>
      <w:r w:rsidR="00307C7A">
        <w:t>Thus,</w:t>
      </w:r>
      <w:r w:rsidR="00E917EC">
        <w:t xml:space="preserve"> decisions cited by the Attorney General in which </w:t>
      </w:r>
      <w:r w:rsidR="0095584D">
        <w:t xml:space="preserve">the trial court did not have jurisdiction to </w:t>
      </w:r>
      <w:r w:rsidR="00B072C0">
        <w:t>consider a defective request for resentencing are inapposite.</w:t>
      </w:r>
      <w:r w:rsidR="00EA067B">
        <w:t xml:space="preserve">  (See, e.g., </w:t>
      </w:r>
      <w:r w:rsidR="00EA067B">
        <w:rPr>
          <w:i/>
          <w:iCs/>
        </w:rPr>
        <w:t>People v. Hernandez</w:t>
      </w:r>
      <w:r w:rsidR="00EA067B">
        <w:t xml:space="preserve"> (2019) 34</w:t>
      </w:r>
      <w:r w:rsidR="00D633E4">
        <w:t> </w:t>
      </w:r>
      <w:r w:rsidR="00EA067B">
        <w:t>Cal.App.5th 323</w:t>
      </w:r>
      <w:r w:rsidR="002F5535">
        <w:t>, 326</w:t>
      </w:r>
      <w:r w:rsidR="00EA067B">
        <w:t xml:space="preserve"> [</w:t>
      </w:r>
      <w:r w:rsidR="002F5535">
        <w:t xml:space="preserve">defendant could not appeal from denial of his own request for resentencing </w:t>
      </w:r>
      <w:r w:rsidR="006761E2">
        <w:t xml:space="preserve">under former </w:t>
      </w:r>
      <w:r w:rsidR="00912426">
        <w:t>§ </w:t>
      </w:r>
      <w:r w:rsidR="006761E2">
        <w:t xml:space="preserve">1170(d) </w:t>
      </w:r>
      <w:r w:rsidR="002F5535">
        <w:t xml:space="preserve">made after judgment was final]; </w:t>
      </w:r>
      <w:r w:rsidR="000407AC">
        <w:rPr>
          <w:i/>
          <w:iCs/>
        </w:rPr>
        <w:t>People v. Chlad</w:t>
      </w:r>
      <w:r w:rsidR="000407AC">
        <w:t xml:space="preserve"> (1992) 6</w:t>
      </w:r>
      <w:r w:rsidR="006761E2">
        <w:t> </w:t>
      </w:r>
      <w:r w:rsidR="000407AC">
        <w:t>Cal.App.4th 1719, 1725 [same]</w:t>
      </w:r>
      <w:r w:rsidR="00AB705B">
        <w:t xml:space="preserve">; see also </w:t>
      </w:r>
      <w:r w:rsidR="00AB705B">
        <w:rPr>
          <w:i/>
          <w:iCs/>
        </w:rPr>
        <w:t>Loper</w:t>
      </w:r>
      <w:r w:rsidR="00AB705B">
        <w:t xml:space="preserve">, </w:t>
      </w:r>
      <w:r w:rsidR="006761E2">
        <w:t xml:space="preserve">at </w:t>
      </w:r>
      <w:r w:rsidR="00C36EE7">
        <w:t>pp.</w:t>
      </w:r>
      <w:r w:rsidR="0025345D">
        <w:t> </w:t>
      </w:r>
      <w:r w:rsidR="00C36EE7">
        <w:t>1165–1166</w:t>
      </w:r>
      <w:r w:rsidR="000407AC">
        <w:t>.)</w:t>
      </w:r>
    </w:p>
    <w:p w:rsidR="00E523E7" w:rsidP="003A70F3" w14:paraId="725013FA" w14:textId="16E4843B">
      <w:pPr>
        <w:spacing w:line="360" w:lineRule="auto"/>
      </w:pPr>
      <w:r>
        <w:tab/>
      </w:r>
      <w:r w:rsidR="003E3188">
        <w:t>Although t</w:t>
      </w:r>
      <w:r w:rsidR="0093736F">
        <w:t xml:space="preserve">he </w:t>
      </w:r>
      <w:r w:rsidR="00A13988">
        <w:t>trial court</w:t>
      </w:r>
      <w:r w:rsidR="003E3188">
        <w:t xml:space="preserve"> had</w:t>
      </w:r>
      <w:r w:rsidR="00A13988">
        <w:t xml:space="preserve"> jurisdiction to rule</w:t>
      </w:r>
      <w:r w:rsidR="0093736F">
        <w:t xml:space="preserve"> on the district</w:t>
      </w:r>
      <w:r w:rsidR="00193995">
        <w:t xml:space="preserve"> </w:t>
      </w:r>
      <w:r w:rsidR="0093736F">
        <w:t xml:space="preserve">attorney’s motion to withdraw the resentencing </w:t>
      </w:r>
      <w:r w:rsidR="003E3188">
        <w:t>request, the question</w:t>
      </w:r>
      <w:r w:rsidR="00193995">
        <w:t xml:space="preserve"> </w:t>
      </w:r>
      <w:r w:rsidR="00E54480">
        <w:t xml:space="preserve">remains </w:t>
      </w:r>
      <w:r w:rsidR="009F4973">
        <w:t>whether</w:t>
      </w:r>
      <w:r w:rsidR="0093736F">
        <w:t xml:space="preserve"> </w:t>
      </w:r>
      <w:r w:rsidR="00E54480">
        <w:t xml:space="preserve">granting </w:t>
      </w:r>
      <w:r w:rsidR="0093736F">
        <w:t>the motion</w:t>
      </w:r>
      <w:r w:rsidR="00E54480">
        <w:t xml:space="preserve"> and th</w:t>
      </w:r>
      <w:r w:rsidR="00912426">
        <w:t>ereby</w:t>
      </w:r>
      <w:r w:rsidR="00E54480">
        <w:t xml:space="preserve"> </w:t>
      </w:r>
      <w:r w:rsidR="00714881">
        <w:t>terminat</w:t>
      </w:r>
      <w:r w:rsidR="00E54480">
        <w:t xml:space="preserve">ing </w:t>
      </w:r>
      <w:r w:rsidR="00132ADC">
        <w:t>the section</w:t>
      </w:r>
      <w:r w:rsidR="00714881">
        <w:t> </w:t>
      </w:r>
      <w:r w:rsidR="00132ADC">
        <w:t>1172.1 proceeding</w:t>
      </w:r>
      <w:r w:rsidR="00E54480">
        <w:t xml:space="preserve"> </w:t>
      </w:r>
      <w:r w:rsidR="00E74613">
        <w:t>affected Vaesau’s substantial rights</w:t>
      </w:r>
      <w:r w:rsidR="00132ADC">
        <w:t xml:space="preserve">.  </w:t>
      </w:r>
      <w:r w:rsidR="009F4973">
        <w:t>The answer is yes</w:t>
      </w:r>
      <w:r w:rsidR="0055781B">
        <w:t xml:space="preserve"> if</w:t>
      </w:r>
      <w:r w:rsidR="008A1396">
        <w:t xml:space="preserve"> the court </w:t>
      </w:r>
      <w:r w:rsidR="00602B68">
        <w:t xml:space="preserve">had the </w:t>
      </w:r>
      <w:r w:rsidR="00BB052E">
        <w:t xml:space="preserve">ability </w:t>
      </w:r>
      <w:r w:rsidR="00602B68">
        <w:t>to deny</w:t>
      </w:r>
      <w:r w:rsidR="00AF0EE7">
        <w:t xml:space="preserve"> the motion</w:t>
      </w:r>
      <w:r w:rsidR="00602B68">
        <w:t xml:space="preserve"> and instead</w:t>
      </w:r>
      <w:r w:rsidR="00AF0EE7">
        <w:t xml:space="preserve"> proceed with resentencing</w:t>
      </w:r>
      <w:r w:rsidR="009F4973">
        <w:t xml:space="preserve">.  </w:t>
      </w:r>
      <w:r w:rsidR="00A07CB1">
        <w:t xml:space="preserve">As </w:t>
      </w:r>
      <w:r w:rsidR="00BB052E">
        <w:t xml:space="preserve">we </w:t>
      </w:r>
      <w:r>
        <w:t>explain</w:t>
      </w:r>
      <w:r w:rsidR="00E560FB">
        <w:t xml:space="preserve"> in more detail</w:t>
      </w:r>
      <w:r>
        <w:t xml:space="preserve"> below</w:t>
      </w:r>
      <w:r w:rsidR="00A07CB1">
        <w:t>,</w:t>
      </w:r>
      <w:r w:rsidR="00492456">
        <w:t xml:space="preserve"> the</w:t>
      </w:r>
      <w:r w:rsidR="00EE18AA">
        <w:t xml:space="preserve"> court </w:t>
      </w:r>
      <w:r w:rsidR="00ED4CF4">
        <w:t>had</w:t>
      </w:r>
      <w:r w:rsidR="00EE18AA">
        <w:t xml:space="preserve"> </w:t>
      </w:r>
      <w:r w:rsidR="00BB052E">
        <w:t>that ability.  T</w:t>
      </w:r>
      <w:r w:rsidR="00FA76F5">
        <w:t xml:space="preserve">he </w:t>
      </w:r>
      <w:r>
        <w:t xml:space="preserve">order is therefore appealable. </w:t>
      </w:r>
      <w:r w:rsidR="008E1491">
        <w:t xml:space="preserve"> </w:t>
      </w:r>
    </w:p>
    <w:p w:rsidR="001B70D8" w:rsidP="00942759" w14:paraId="0C6C74B8" w14:textId="3EA2252A">
      <w:pPr>
        <w:keepNext/>
        <w:spacing w:line="240" w:lineRule="auto"/>
        <w:rPr>
          <w:i/>
          <w:iCs/>
        </w:rPr>
      </w:pPr>
      <w:r>
        <w:tab/>
      </w:r>
      <w:r>
        <w:rPr>
          <w:i/>
          <w:iCs/>
        </w:rPr>
        <w:t>C.</w:t>
      </w:r>
      <w:r>
        <w:rPr>
          <w:i/>
          <w:iCs/>
        </w:rPr>
        <w:tab/>
      </w:r>
      <w:r w:rsidR="009D6CD4">
        <w:rPr>
          <w:i/>
          <w:iCs/>
        </w:rPr>
        <w:t xml:space="preserve">Trial Courts Have Discretion </w:t>
      </w:r>
      <w:r w:rsidR="007F6E09">
        <w:rPr>
          <w:i/>
          <w:iCs/>
        </w:rPr>
        <w:t>to</w:t>
      </w:r>
      <w:r w:rsidR="00B66F18">
        <w:rPr>
          <w:i/>
          <w:iCs/>
        </w:rPr>
        <w:t xml:space="preserve"> Allow a</w:t>
      </w:r>
      <w:r w:rsidR="009D6CD4">
        <w:rPr>
          <w:i/>
          <w:iCs/>
        </w:rPr>
        <w:t xml:space="preserve"> </w:t>
      </w:r>
      <w:r w:rsidR="00E738FB">
        <w:rPr>
          <w:i/>
          <w:iCs/>
        </w:rPr>
        <w:t xml:space="preserve">District Attorney </w:t>
      </w:r>
      <w:r w:rsidR="00B66F18">
        <w:rPr>
          <w:i/>
          <w:iCs/>
        </w:rPr>
        <w:t xml:space="preserve">to </w:t>
      </w:r>
    </w:p>
    <w:p w:rsidR="00787389" w:rsidP="00942759" w14:paraId="1A61A691" w14:textId="77777777">
      <w:pPr>
        <w:keepNext/>
        <w:spacing w:line="240" w:lineRule="auto"/>
        <w:rPr>
          <w:i/>
          <w:iCs/>
        </w:rPr>
      </w:pPr>
      <w:r>
        <w:rPr>
          <w:i/>
          <w:iCs/>
        </w:rPr>
        <w:tab/>
      </w:r>
      <w:r>
        <w:rPr>
          <w:i/>
          <w:iCs/>
        </w:rPr>
        <w:tab/>
      </w:r>
      <w:r w:rsidR="00B66F18">
        <w:rPr>
          <w:i/>
          <w:iCs/>
        </w:rPr>
        <w:t xml:space="preserve">Withdraw a </w:t>
      </w:r>
      <w:r>
        <w:rPr>
          <w:i/>
          <w:iCs/>
        </w:rPr>
        <w:t xml:space="preserve">Section 1172.1 </w:t>
      </w:r>
      <w:r w:rsidR="00B66F18">
        <w:rPr>
          <w:i/>
          <w:iCs/>
        </w:rPr>
        <w:t>Request</w:t>
      </w:r>
      <w:r w:rsidR="00D91506">
        <w:rPr>
          <w:i/>
          <w:iCs/>
        </w:rPr>
        <w:t xml:space="preserve"> </w:t>
      </w:r>
      <w:r>
        <w:rPr>
          <w:i/>
          <w:iCs/>
        </w:rPr>
        <w:t xml:space="preserve">Before Reaching the Merits of </w:t>
      </w:r>
    </w:p>
    <w:p w:rsidR="00AE152A" w:rsidRPr="00793385" w:rsidP="00942759" w14:paraId="43D29441" w14:textId="3E2FD2AA">
      <w:pPr>
        <w:keepNext/>
        <w:spacing w:line="240" w:lineRule="auto"/>
        <w:rPr>
          <w:i/>
          <w:iCs/>
        </w:rPr>
      </w:pPr>
      <w:r>
        <w:rPr>
          <w:i/>
          <w:iCs/>
        </w:rPr>
        <w:tab/>
      </w:r>
      <w:r>
        <w:rPr>
          <w:i/>
          <w:iCs/>
        </w:rPr>
        <w:tab/>
        <w:t>Whether Resentencing Is Warranted.</w:t>
      </w:r>
    </w:p>
    <w:p w:rsidR="00D23100" w:rsidP="00942759" w14:paraId="22E56079" w14:textId="02CC67D2">
      <w:pPr>
        <w:keepNext/>
        <w:spacing w:before="180" w:line="360" w:lineRule="auto"/>
      </w:pPr>
      <w:r>
        <w:tab/>
        <w:t xml:space="preserve">We now turn </w:t>
      </w:r>
      <w:r w:rsidR="004908B5">
        <w:t xml:space="preserve">to the central issue on appeal, </w:t>
      </w:r>
      <w:r w:rsidR="00AE6D6D">
        <w:t xml:space="preserve">the effect of the district attorney’s withdrawal of the resentencing request.  According to the Attorney General, the district attorney had the inherent power to rescind the request, at which point the trial court </w:t>
      </w:r>
      <w:r w:rsidR="00DF1C39">
        <w:t>had to terminate the section 1172.1 proceeding</w:t>
      </w:r>
      <w:r w:rsidR="00AE6D6D">
        <w:t>.  But according to Vaesau, the court was statutorily and constitutionally required to determine whether resentencing was appropriate even though the district attorney no longer supported resentencing.  In other words, the Attorney General claims the court had no choice but to grant the withdrawal motion, and Vaesau claims the court had no choice but to deny it.</w:t>
      </w:r>
      <w:r w:rsidR="001E03B9">
        <w:t xml:space="preserve">  T</w:t>
      </w:r>
      <w:r w:rsidR="00AE6D6D">
        <w:t xml:space="preserve">he correct answer lies between these two extremes.  </w:t>
      </w:r>
    </w:p>
    <w:p w:rsidR="005A7049" w:rsidP="00CA73AC" w14:paraId="22750544" w14:textId="21A11940">
      <w:pPr>
        <w:spacing w:line="360" w:lineRule="auto"/>
      </w:pPr>
      <w:r>
        <w:tab/>
        <w:t>“</w:t>
      </w:r>
      <w:r w:rsidR="00F22718">
        <w:t> </w:t>
      </w:r>
      <w:r>
        <w:t>‘</w:t>
      </w:r>
      <w:r w:rsidR="00821900">
        <w:t> </w:t>
      </w:r>
      <w:r>
        <w:t>“</w:t>
      </w:r>
      <w:r w:rsidR="00821900">
        <w:t> </w:t>
      </w:r>
      <w:r>
        <w:t>‘</w:t>
      </w:r>
      <w:r w:rsidR="00821900">
        <w:t> </w:t>
      </w:r>
      <w:r>
        <w:t>“As in any case involving statutory interpretation, our fundamental task here is to determine the Legislature’s intent so as to effectuate the law’s purpose.  [Citation.]  We begin by examining the statute’s words, giving them a plain and commonsense meaning.”</w:t>
      </w:r>
      <w:r w:rsidR="00821900">
        <w:t> </w:t>
      </w:r>
      <w:r>
        <w:t>’</w:t>
      </w:r>
      <w:r w:rsidR="00821900">
        <w:t> </w:t>
      </w:r>
      <w:r>
        <w:t>”</w:t>
      </w:r>
      <w:r w:rsidR="00821900">
        <w:t> </w:t>
      </w:r>
      <w:r>
        <w:t>’  [Citation.]  ‘ “[W]e look to ‘the entire substance of the statute . .</w:t>
      </w:r>
      <w:r w:rsidR="00CB6235">
        <w:t> </w:t>
      </w:r>
      <w:r>
        <w:t xml:space="preserve">. in order to determine the scope and purpose of the provision </w:t>
      </w:r>
      <w:r w:rsidR="00CB6235">
        <w:t>. . . .</w:t>
      </w:r>
      <w:r>
        <w:t xml:space="preserve">  [Citation.]’  [Citation.]  That is, we construe the words in question ‘</w:t>
      </w:r>
      <w:r w:rsidR="00821900">
        <w:t> </w:t>
      </w:r>
      <w:r>
        <w:t>“in context, keeping in mind the nature and obvious purpose of the statute.”</w:t>
      </w:r>
      <w:r w:rsidR="00821900">
        <w:t> </w:t>
      </w:r>
      <w:r>
        <w:t>’</w:t>
      </w:r>
      <w:r w:rsidR="00821900">
        <w:t> </w:t>
      </w:r>
      <w:r>
        <w:t>”</w:t>
      </w:r>
      <w:r w:rsidR="00821900">
        <w:t> </w:t>
      </w:r>
      <w:r>
        <w:t>’</w:t>
      </w:r>
      <w:r w:rsidR="00821900">
        <w:t> </w:t>
      </w:r>
      <w:r>
        <w:t>”  (</w:t>
      </w:r>
      <w:r>
        <w:rPr>
          <w:i/>
          <w:iCs/>
        </w:rPr>
        <w:t>People v. Lewis</w:t>
      </w:r>
      <w:r>
        <w:t xml:space="preserve"> (2021) 11</w:t>
      </w:r>
      <w:r w:rsidR="00821900">
        <w:t> </w:t>
      </w:r>
      <w:r>
        <w:t>Cal.5th 952, 961.)  “Where the statutory texts admits of more than one reasonable interpretation, we may also consider various extrinsic aids—including the legislative history—to the extent they are helpful in advancing the Legislature’s purpose.”  (</w:t>
      </w:r>
      <w:r>
        <w:rPr>
          <w:i/>
          <w:iCs/>
        </w:rPr>
        <w:t>People</w:t>
      </w:r>
      <w:r w:rsidR="0025345D">
        <w:rPr>
          <w:i/>
          <w:iCs/>
        </w:rPr>
        <w:t> </w:t>
      </w:r>
      <w:r>
        <w:rPr>
          <w:i/>
          <w:iCs/>
        </w:rPr>
        <w:t>v. Rodriguez</w:t>
      </w:r>
      <w:r>
        <w:t xml:space="preserve"> (2016) 1</w:t>
      </w:r>
      <w:r w:rsidR="0025345D">
        <w:t> </w:t>
      </w:r>
      <w:r>
        <w:t>Cal.5th 676, 686.)</w:t>
      </w:r>
      <w:r w:rsidR="006E3A99">
        <w:t xml:space="preserve">  </w:t>
      </w:r>
      <w:r w:rsidR="00123F79">
        <w:t>If possible, we construe statutes “in a manner that avoids serious constitutional questions.”</w:t>
      </w:r>
      <w:r w:rsidR="00600A5B">
        <w:t xml:space="preserve">  (</w:t>
      </w:r>
      <w:r w:rsidR="00600A5B">
        <w:rPr>
          <w:i/>
          <w:iCs/>
        </w:rPr>
        <w:t>People</w:t>
      </w:r>
      <w:r w:rsidR="0025345D">
        <w:rPr>
          <w:i/>
          <w:iCs/>
        </w:rPr>
        <w:t> </w:t>
      </w:r>
      <w:r w:rsidR="00600A5B">
        <w:rPr>
          <w:i/>
          <w:iCs/>
        </w:rPr>
        <w:t>v. Gutierrez</w:t>
      </w:r>
      <w:r w:rsidR="00600A5B">
        <w:t xml:space="preserve"> (2014) 58</w:t>
      </w:r>
      <w:r w:rsidR="0025345D">
        <w:t> </w:t>
      </w:r>
      <w:r w:rsidR="00600A5B">
        <w:t xml:space="preserve">Cal.4th 1354, </w:t>
      </w:r>
      <w:r w:rsidR="00472C3D">
        <w:t xml:space="preserve">1373.)  </w:t>
      </w:r>
      <w:r>
        <w:t xml:space="preserve">Finally, “[w]e must </w:t>
      </w:r>
      <w:r w:rsidR="00821900">
        <w:t>. . .</w:t>
      </w:r>
      <w:r>
        <w:t xml:space="preserve"> avoid a construction that would produce absurd consequences, which we presume the Legislature did not intend.”  (</w:t>
      </w:r>
      <w:r>
        <w:rPr>
          <w:i/>
          <w:iCs/>
        </w:rPr>
        <w:t>People v. Mendoza</w:t>
      </w:r>
      <w:r>
        <w:t xml:space="preserve"> (2000) 23 Cal.4th 896, 908.) </w:t>
      </w:r>
    </w:p>
    <w:p w:rsidR="009E5FCD" w:rsidP="00CD6267" w14:paraId="57611021" w14:textId="03D1FAAA">
      <w:pPr>
        <w:spacing w:line="360" w:lineRule="auto"/>
      </w:pPr>
      <w:r>
        <w:tab/>
      </w:r>
      <w:r>
        <w:tab/>
        <w:t>1.</w:t>
      </w:r>
      <w:r>
        <w:tab/>
      </w:r>
      <w:r>
        <w:rPr>
          <w:i/>
          <w:iCs/>
        </w:rPr>
        <w:t>E.M.</w:t>
      </w:r>
      <w:r>
        <w:tab/>
      </w:r>
      <w:r w:rsidR="00830D46">
        <w:t xml:space="preserve"> </w:t>
      </w:r>
    </w:p>
    <w:p w:rsidR="00D3610D" w:rsidP="00CD6267" w14:paraId="4A3531FD" w14:textId="6046CF8F">
      <w:pPr>
        <w:spacing w:line="360" w:lineRule="auto"/>
      </w:pPr>
      <w:r>
        <w:tab/>
      </w:r>
      <w:r w:rsidR="00AF3C99">
        <w:t xml:space="preserve">We begin with </w:t>
      </w:r>
      <w:r w:rsidR="00AF3C99">
        <w:rPr>
          <w:i/>
          <w:iCs/>
        </w:rPr>
        <w:t>E.M.</w:t>
      </w:r>
      <w:r w:rsidR="00AF3C99">
        <w:t xml:space="preserve">, in which the Sixth District Court of Appeal </w:t>
      </w:r>
      <w:r w:rsidR="003F7EC2">
        <w:t>addressed the</w:t>
      </w:r>
      <w:r w:rsidR="00FB7960">
        <w:t xml:space="preserve"> effec</w:t>
      </w:r>
      <w:r w:rsidR="003728C9">
        <w:t xml:space="preserve">t of the Secretary’s withdrawal of </w:t>
      </w:r>
      <w:r w:rsidR="007B72CF">
        <w:t xml:space="preserve">a resentencing </w:t>
      </w:r>
      <w:r w:rsidR="008A232C">
        <w:t>re</w:t>
      </w:r>
      <w:r w:rsidR="004F3895">
        <w:t>quest</w:t>
      </w:r>
      <w:r w:rsidR="001A29BD">
        <w:t>.  (</w:t>
      </w:r>
      <w:r w:rsidR="001A29BD">
        <w:rPr>
          <w:i/>
          <w:iCs/>
        </w:rPr>
        <w:t>E.M.</w:t>
      </w:r>
      <w:r w:rsidR="001A29BD">
        <w:t xml:space="preserve">, </w:t>
      </w:r>
      <w:r w:rsidR="001A29BD">
        <w:rPr>
          <w:i/>
          <w:iCs/>
        </w:rPr>
        <w:t>supra</w:t>
      </w:r>
      <w:r w:rsidR="001A29BD">
        <w:t>, 85 Cal.App.5th at p.</w:t>
      </w:r>
      <w:r w:rsidR="0025345D">
        <w:t> </w:t>
      </w:r>
      <w:r w:rsidR="001A29BD">
        <w:t>1083.)</w:t>
      </w:r>
      <w:r w:rsidR="002247A8">
        <w:t xml:space="preserve">  </w:t>
      </w:r>
      <w:r w:rsidR="00E169B5">
        <w:t>There</w:t>
      </w:r>
      <w:r w:rsidR="00597E4B">
        <w:t xml:space="preserve">, the Secretary </w:t>
      </w:r>
      <w:r w:rsidR="003C5E93">
        <w:t xml:space="preserve">originally </w:t>
      </w:r>
      <w:r w:rsidR="00597E4B">
        <w:t>recommended resentencing under former section</w:t>
      </w:r>
      <w:r w:rsidR="003C5E93">
        <w:t> </w:t>
      </w:r>
      <w:r w:rsidR="00597E4B">
        <w:t>1170(d)</w:t>
      </w:r>
      <w:r w:rsidR="00380620">
        <w:t xml:space="preserve">, “cit[ing] a recent legislative change to section 1385 that granted trial courts </w:t>
      </w:r>
      <w:r w:rsidR="00D01E6F">
        <w:t>the discretion to dismiss a prior serious felony enhancement in furtherance of justice.”  (</w:t>
      </w:r>
      <w:r w:rsidR="00D01E6F">
        <w:rPr>
          <w:i/>
          <w:iCs/>
        </w:rPr>
        <w:t>E.M.</w:t>
      </w:r>
      <w:r w:rsidR="00D01E6F">
        <w:t>,</w:t>
      </w:r>
      <w:r w:rsidR="004F3895">
        <w:t xml:space="preserve"> a</w:t>
      </w:r>
      <w:r w:rsidR="00D01E6F">
        <w:t>t p.</w:t>
      </w:r>
      <w:r w:rsidR="003C5E93">
        <w:t> </w:t>
      </w:r>
      <w:r w:rsidR="00D01E6F">
        <w:t>1080.)  The trial court d</w:t>
      </w:r>
      <w:r w:rsidR="00AF0F00">
        <w:t xml:space="preserve">eclined to recall the sentence, based on the erroneous view that </w:t>
      </w:r>
      <w:r w:rsidR="006873A0">
        <w:t xml:space="preserve">the ameliorative legislation did not </w:t>
      </w:r>
      <w:r w:rsidR="0046433C">
        <w:t>apply to the defendant because his sentence was final.  (</w:t>
      </w:r>
      <w:r w:rsidR="0046433C">
        <w:rPr>
          <w:i/>
          <w:iCs/>
        </w:rPr>
        <w:t>Id.</w:t>
      </w:r>
      <w:r w:rsidR="0046433C">
        <w:t xml:space="preserve"> at p</w:t>
      </w:r>
      <w:r w:rsidR="00E92065">
        <w:t>p</w:t>
      </w:r>
      <w:r w:rsidR="0046433C">
        <w:t>.</w:t>
      </w:r>
      <w:r w:rsidR="0025345D">
        <w:t> </w:t>
      </w:r>
      <w:r w:rsidR="00E92065">
        <w:t xml:space="preserve">1082, 1090.)  While the defendant’s appeal from the order denying </w:t>
      </w:r>
      <w:r w:rsidR="00A81C8F">
        <w:t>resentencing</w:t>
      </w:r>
      <w:r w:rsidR="00E92065">
        <w:t xml:space="preserve"> </w:t>
      </w:r>
      <w:r w:rsidR="005447D4">
        <w:t xml:space="preserve">was pending, </w:t>
      </w:r>
      <w:r w:rsidR="00B76682">
        <w:t>and after the parties</w:t>
      </w:r>
      <w:r w:rsidR="00710274">
        <w:t xml:space="preserve"> briefed the merits</w:t>
      </w:r>
      <w:r w:rsidR="00B76682">
        <w:t xml:space="preserve">, </w:t>
      </w:r>
      <w:r w:rsidR="005447D4">
        <w:t xml:space="preserve">the Secretary rescinded </w:t>
      </w:r>
      <w:r w:rsidR="00334A51">
        <w:t>the</w:t>
      </w:r>
      <w:r w:rsidR="00B76682">
        <w:t xml:space="preserve"> recommendation.  (</w:t>
      </w:r>
      <w:r w:rsidR="00B76682">
        <w:rPr>
          <w:i/>
          <w:iCs/>
        </w:rPr>
        <w:t>Id.</w:t>
      </w:r>
      <w:r w:rsidR="00B76682">
        <w:t xml:space="preserve"> at p. 1083.)</w:t>
      </w:r>
      <w:r w:rsidR="00EC1F68">
        <w:t xml:space="preserve">  </w:t>
      </w:r>
    </w:p>
    <w:p w:rsidR="00EC2469" w:rsidP="00CD6267" w14:paraId="4479F636" w14:textId="198FE3B6">
      <w:pPr>
        <w:spacing w:line="360" w:lineRule="auto"/>
      </w:pPr>
      <w:r>
        <w:tab/>
      </w:r>
      <w:r w:rsidR="007C1C8E">
        <w:rPr>
          <w:i/>
          <w:iCs/>
        </w:rPr>
        <w:t>E.M.</w:t>
      </w:r>
      <w:r w:rsidR="00EC1F68">
        <w:t xml:space="preserve"> held that </w:t>
      </w:r>
      <w:r w:rsidR="00BD75A9">
        <w:t xml:space="preserve">“the Secretary’s rescission </w:t>
      </w:r>
      <w:r w:rsidR="00821900">
        <w:t>. . .</w:t>
      </w:r>
      <w:r w:rsidR="00BD75A9">
        <w:t xml:space="preserve"> [did] not eliminate the trial court’s </w:t>
      </w:r>
      <w:r w:rsidR="00E41361">
        <w:t>jurisdiction to recall and resentence [the defendant] under section 1172.1 at this stage in the proceedings</w:t>
      </w:r>
      <w:r w:rsidR="00430700">
        <w:t>,</w:t>
      </w:r>
      <w:r w:rsidR="00B1751A">
        <w:t>”</w:t>
      </w:r>
      <w:r w:rsidR="00430700">
        <w:t xml:space="preserve"> meaning the appeal was not moot.</w:t>
      </w:r>
      <w:r w:rsidR="00770C9B">
        <w:t xml:space="preserve">  (</w:t>
      </w:r>
      <w:r>
        <w:rPr>
          <w:i/>
          <w:iCs/>
        </w:rPr>
        <w:t>E.M.</w:t>
      </w:r>
      <w:r>
        <w:t xml:space="preserve">, </w:t>
      </w:r>
      <w:r>
        <w:rPr>
          <w:i/>
          <w:iCs/>
        </w:rPr>
        <w:t>supra</w:t>
      </w:r>
      <w:r>
        <w:t>, 85 Cal.App.5th</w:t>
      </w:r>
      <w:r w:rsidR="00770C9B">
        <w:t xml:space="preserve"> at p.</w:t>
      </w:r>
      <w:r w:rsidR="000F7769">
        <w:t> </w:t>
      </w:r>
      <w:r w:rsidR="00770C9B">
        <w:t>1087.)</w:t>
      </w:r>
      <w:r w:rsidR="007C1C8E">
        <w:t xml:space="preserve">  After noting that section</w:t>
      </w:r>
      <w:r w:rsidR="00430700">
        <w:t> </w:t>
      </w:r>
      <w:r w:rsidR="007C1C8E">
        <w:t>1172.1’s plain language did not address the Secretary’s power to rescind a recommendation, the Sixth District determined that “the language of the statute is amenable to more than one reasonable interpretation.”  (</w:t>
      </w:r>
      <w:r w:rsidR="007C1C8E">
        <w:rPr>
          <w:i/>
          <w:iCs/>
        </w:rPr>
        <w:t>E.M.</w:t>
      </w:r>
      <w:r w:rsidR="007C1C8E">
        <w:t>, at p.</w:t>
      </w:r>
      <w:r w:rsidR="0025345D">
        <w:t> </w:t>
      </w:r>
      <w:r w:rsidR="00A602E1">
        <w:t xml:space="preserve">1083.)  </w:t>
      </w:r>
      <w:r w:rsidR="00B07646">
        <w:t>But the court found nothing in the legislative history</w:t>
      </w:r>
      <w:r w:rsidR="00A337AB">
        <w:t xml:space="preserve"> shedding light on the issue, and it rejected the Attorney General’s arguments </w:t>
      </w:r>
      <w:r w:rsidR="007F507D">
        <w:t>that the</w:t>
      </w:r>
      <w:r w:rsidR="00185AC6">
        <w:t xml:space="preserve"> Secretary</w:t>
      </w:r>
      <w:r w:rsidR="007F507D">
        <w:t xml:space="preserve"> </w:t>
      </w:r>
      <w:r w:rsidR="006B54E9">
        <w:t>has the</w:t>
      </w:r>
      <w:r w:rsidR="00185AC6">
        <w:t xml:space="preserve"> </w:t>
      </w:r>
      <w:r w:rsidR="0063177C">
        <w:t>“inherent[]” power to rescind a resentencing recommendation</w:t>
      </w:r>
      <w:r w:rsidR="006B54E9">
        <w:t xml:space="preserve"> or that “the trial court does not have jurisdiction until it actually recalls the sentence</w:t>
      </w:r>
      <w:r w:rsidR="00A337AB">
        <w:t>.</w:t>
      </w:r>
      <w:r w:rsidR="006B54E9">
        <w:t>”</w:t>
      </w:r>
      <w:r w:rsidR="00A337AB">
        <w:t xml:space="preserve">  (</w:t>
      </w:r>
      <w:r w:rsidR="00A337AB">
        <w:rPr>
          <w:i/>
          <w:iCs/>
        </w:rPr>
        <w:t>Id.</w:t>
      </w:r>
      <w:r w:rsidR="00A337AB">
        <w:t xml:space="preserve"> at pp.</w:t>
      </w:r>
      <w:r w:rsidR="00FF131C">
        <w:t> </w:t>
      </w:r>
      <w:r w:rsidR="00A337AB">
        <w:t>1083–1084.)</w:t>
      </w:r>
      <w:r w:rsidR="006B6646">
        <w:t xml:space="preserve">  </w:t>
      </w:r>
      <w:r w:rsidR="006B6646">
        <w:rPr>
          <w:i/>
          <w:iCs/>
        </w:rPr>
        <w:t>E.M.</w:t>
      </w:r>
      <w:r w:rsidR="006B6646">
        <w:t xml:space="preserve"> emphasized that</w:t>
      </w:r>
      <w:r w:rsidR="005D26B2">
        <w:t xml:space="preserve"> by enacting former section 1170(d), </w:t>
      </w:r>
      <w:r w:rsidR="004A348B">
        <w:t>“</w:t>
      </w:r>
      <w:r w:rsidR="00FF131C">
        <w:t> </w:t>
      </w:r>
      <w:r w:rsidR="004A348B">
        <w:t xml:space="preserve">‘the Legislature intended to retain, within the limits of determinate sentencing, the preexisting </w:t>
      </w:r>
      <w:r w:rsidR="004A348B">
        <w:rPr>
          <w:i/>
          <w:iCs/>
        </w:rPr>
        <w:t>judicial power</w:t>
      </w:r>
      <w:r w:rsidR="004A348B">
        <w:t xml:space="preserve"> to recall and re</w:t>
      </w:r>
      <w:r w:rsidR="00E95932">
        <w:t>consider a sentence on individual grounds.’</w:t>
      </w:r>
      <w:r w:rsidR="00FF131C">
        <w:t> </w:t>
      </w:r>
      <w:r w:rsidR="00E95932">
        <w:t>”  (</w:t>
      </w:r>
      <w:r w:rsidR="00E95932">
        <w:rPr>
          <w:i/>
          <w:iCs/>
        </w:rPr>
        <w:t>E.M.</w:t>
      </w:r>
      <w:r w:rsidR="00E95932">
        <w:t>, at p.</w:t>
      </w:r>
      <w:r w:rsidR="001C56F2">
        <w:t> </w:t>
      </w:r>
      <w:r w:rsidR="00314E6A">
        <w:t xml:space="preserve">1084, quoting </w:t>
      </w:r>
      <w:r w:rsidR="00314E6A">
        <w:rPr>
          <w:i/>
          <w:iCs/>
        </w:rPr>
        <w:t>Dix</w:t>
      </w:r>
      <w:r w:rsidR="00314E6A">
        <w:t xml:space="preserve">, </w:t>
      </w:r>
      <w:r w:rsidR="00314E6A">
        <w:rPr>
          <w:i/>
          <w:iCs/>
        </w:rPr>
        <w:t>supra</w:t>
      </w:r>
      <w:r w:rsidR="00314E6A">
        <w:t>, 53 Cal.3d at p.</w:t>
      </w:r>
      <w:r w:rsidR="00443771">
        <w:t> </w:t>
      </w:r>
      <w:r w:rsidR="00314E6A">
        <w:t xml:space="preserve">458.)  </w:t>
      </w:r>
    </w:p>
    <w:p w:rsidR="00165FB0" w:rsidRPr="00ED3E5A" w:rsidP="00CD6267" w14:paraId="5F74704A" w14:textId="60B5A00F">
      <w:pPr>
        <w:spacing w:line="360" w:lineRule="auto"/>
      </w:pPr>
      <w:r>
        <w:tab/>
      </w:r>
      <w:r w:rsidR="00EE4ADF">
        <w:t xml:space="preserve">Finally, </w:t>
      </w:r>
      <w:r w:rsidR="00EE4ADF">
        <w:rPr>
          <w:i/>
          <w:iCs/>
        </w:rPr>
        <w:t>E.M.</w:t>
      </w:r>
      <w:r w:rsidR="00EE4ADF">
        <w:t xml:space="preserve"> concluded that public policy and separation-of-powers concerns did not</w:t>
      </w:r>
      <w:r w:rsidR="00724554">
        <w:t xml:space="preserve"> </w:t>
      </w:r>
      <w:r w:rsidR="007C10DF">
        <w:t xml:space="preserve">justify permitting the Secretary to </w:t>
      </w:r>
      <w:r w:rsidR="00864F32">
        <w:t>withdraw</w:t>
      </w:r>
      <w:r w:rsidR="007C10DF">
        <w:t xml:space="preserve"> the</w:t>
      </w:r>
      <w:r w:rsidR="008E24C4">
        <w:t xml:space="preserve"> resentencing request </w:t>
      </w:r>
      <w:r w:rsidR="00724554">
        <w:t>at such a late stage</w:t>
      </w:r>
      <w:r w:rsidR="007C10DF">
        <w:t>.  (</w:t>
      </w:r>
      <w:r w:rsidR="007C10DF">
        <w:rPr>
          <w:i/>
          <w:iCs/>
        </w:rPr>
        <w:t>E.M.</w:t>
      </w:r>
      <w:r w:rsidR="007C10DF">
        <w:t xml:space="preserve">, </w:t>
      </w:r>
      <w:r w:rsidR="007C10DF">
        <w:rPr>
          <w:i/>
          <w:iCs/>
        </w:rPr>
        <w:t>supra</w:t>
      </w:r>
      <w:r w:rsidR="007C10DF">
        <w:t>, 85 Cal.App.5th at pp.</w:t>
      </w:r>
      <w:r w:rsidR="00FC7B8A">
        <w:t> </w:t>
      </w:r>
      <w:r w:rsidR="00311239">
        <w:t>1085–</w:t>
      </w:r>
      <w:r w:rsidR="00724554">
        <w:t>1086.)</w:t>
      </w:r>
      <w:r w:rsidR="00740C3C">
        <w:t xml:space="preserve">  The Attorney General asserted that “it would lead to absurd consequences” if the Secretary could not withdraw “</w:t>
      </w:r>
      <w:r w:rsidR="00443771">
        <w:t> </w:t>
      </w:r>
      <w:r w:rsidR="00740C3C">
        <w:t>‘mistaken[]’</w:t>
      </w:r>
      <w:r w:rsidR="00443771">
        <w:t> </w:t>
      </w:r>
      <w:r w:rsidR="00740C3C">
        <w:t>” recommendations, but</w:t>
      </w:r>
      <w:r w:rsidR="007B0D6B">
        <w:t xml:space="preserve"> the rescission letter at issue “did not assert any </w:t>
      </w:r>
      <w:r w:rsidR="006612F8">
        <w:t>administrative mistake or improvidence</w:t>
      </w:r>
      <w:r>
        <w:t>[,] .</w:t>
      </w:r>
      <w:r w:rsidR="0098130C">
        <w:t> </w:t>
      </w:r>
      <w:r>
        <w:t>.</w:t>
      </w:r>
      <w:r w:rsidR="002E6C2C">
        <w:t> </w:t>
      </w:r>
      <w:r>
        <w:t xml:space="preserve">. </w:t>
      </w:r>
      <w:r w:rsidR="00ED5562">
        <w:t xml:space="preserve">cite </w:t>
      </w:r>
      <w:r>
        <w:t>any change in the circumstances of [the defendant’s] incarceration</w:t>
      </w:r>
      <w:r w:rsidR="00ED5562">
        <w:t>[,] or offer any other objective explanation for why he would be less deserving of resentencing now.”  (</w:t>
      </w:r>
      <w:r w:rsidR="00ED5562">
        <w:rPr>
          <w:i/>
          <w:iCs/>
        </w:rPr>
        <w:t>Id.</w:t>
      </w:r>
      <w:r w:rsidR="00ED5562">
        <w:t xml:space="preserve"> at p</w:t>
      </w:r>
      <w:r w:rsidR="00AC3F1B">
        <w:t>.</w:t>
      </w:r>
      <w:r w:rsidR="002E6C2C">
        <w:t> </w:t>
      </w:r>
      <w:r w:rsidR="00AC3F1B">
        <w:t xml:space="preserve">1085.)  </w:t>
      </w:r>
      <w:r w:rsidR="00B016BD">
        <w:t>Moreover, s</w:t>
      </w:r>
      <w:r w:rsidR="001B69D9">
        <w:t>ection</w:t>
      </w:r>
      <w:r w:rsidR="00101791">
        <w:t> </w:t>
      </w:r>
      <w:r w:rsidR="001B69D9">
        <w:t>1172.1 “expressly gave trial courts jurisdiction to resentence prisoners</w:t>
      </w:r>
      <w:r w:rsidR="00441BE1">
        <w:t xml:space="preserve">,” and </w:t>
      </w:r>
      <w:r w:rsidR="00B016BD">
        <w:t xml:space="preserve">if anything, the separation of powers weighed against </w:t>
      </w:r>
      <w:r w:rsidR="00441BE1">
        <w:t>permitting</w:t>
      </w:r>
      <w:r w:rsidR="009D52A2">
        <w:t xml:space="preserve"> the Secretary to withdraw the re</w:t>
      </w:r>
      <w:r w:rsidR="004365CA">
        <w:t>quest</w:t>
      </w:r>
      <w:r w:rsidR="009D52A2">
        <w:t xml:space="preserve"> after </w:t>
      </w:r>
      <w:r w:rsidR="00890E5D">
        <w:t xml:space="preserve">“the trial court had expressly ruled on it,” the </w:t>
      </w:r>
      <w:r w:rsidR="00A93A1B">
        <w:t>merits were fully briefed on appeal, and the appellate court was prepared to grant relief to the defendant.  (</w:t>
      </w:r>
      <w:r w:rsidR="00A93A1B">
        <w:rPr>
          <w:i/>
          <w:iCs/>
        </w:rPr>
        <w:t>E.M.</w:t>
      </w:r>
      <w:r w:rsidR="00A93A1B">
        <w:t>, at p</w:t>
      </w:r>
      <w:r w:rsidR="00B56F92">
        <w:t>p.</w:t>
      </w:r>
      <w:r w:rsidR="004365CA">
        <w:t> </w:t>
      </w:r>
      <w:r w:rsidR="00B56F92">
        <w:t>1086–1087.)</w:t>
      </w:r>
      <w:r w:rsidR="00EC6526">
        <w:t xml:space="preserve">  Although </w:t>
      </w:r>
      <w:r w:rsidR="005E6790">
        <w:t xml:space="preserve">on remand the trial court could consider the rescission “as one factor in [its] analysis,” </w:t>
      </w:r>
      <w:r w:rsidR="00ED3E5A">
        <w:t>the Secretary could not unilaterally halt the proceedings under section 1172.1.  (</w:t>
      </w:r>
      <w:r w:rsidR="00864F32">
        <w:rPr>
          <w:i/>
          <w:iCs/>
        </w:rPr>
        <w:t>E.M.</w:t>
      </w:r>
      <w:r w:rsidR="00864F32">
        <w:t>,</w:t>
      </w:r>
      <w:r w:rsidR="00ED3E5A">
        <w:t xml:space="preserve"> at p.</w:t>
      </w:r>
      <w:r w:rsidR="002E6C2C">
        <w:t> </w:t>
      </w:r>
      <w:r w:rsidR="00ED3E5A">
        <w:t>1087.)</w:t>
      </w:r>
    </w:p>
    <w:p w:rsidR="00B261F5" w:rsidP="00CD6267" w14:paraId="4844D598" w14:textId="50E88C6B">
      <w:pPr>
        <w:spacing w:line="360" w:lineRule="auto"/>
      </w:pPr>
      <w:r>
        <w:tab/>
      </w:r>
      <w:r w:rsidR="00476454">
        <w:rPr>
          <w:i/>
          <w:iCs/>
        </w:rPr>
        <w:t>E.M.</w:t>
      </w:r>
      <w:r w:rsidR="00476454">
        <w:t xml:space="preserve"> left open the question of when, if ever, </w:t>
      </w:r>
      <w:r w:rsidR="00E6133B">
        <w:t xml:space="preserve">a </w:t>
      </w:r>
      <w:r w:rsidR="004E3868">
        <w:t xml:space="preserve">resentencing request </w:t>
      </w:r>
      <w:r w:rsidR="00E6133B">
        <w:t xml:space="preserve">under section 1172.1 may be </w:t>
      </w:r>
      <w:r w:rsidR="00D14E89">
        <w:t>unilaterally withdrawn</w:t>
      </w:r>
      <w:r w:rsidR="00E6133B">
        <w:t>.  The Sixth District expressly declined to “decide whether the Secretary has the power to rescind a recommendation soon after issu</w:t>
      </w:r>
      <w:r w:rsidR="00DF64C2">
        <w:t>ing</w:t>
      </w:r>
      <w:r w:rsidR="00E6133B">
        <w:t xml:space="preserve"> it and where the trial court has not yet acted on it; where a subsequent change in the prisoner’s circumstances may support rescission; or where the initial recommendation was erroneously issued due to administrative improvidence.”  (</w:t>
      </w:r>
      <w:r w:rsidR="00E6133B">
        <w:rPr>
          <w:i/>
          <w:iCs/>
        </w:rPr>
        <w:t>E.M.</w:t>
      </w:r>
      <w:r w:rsidR="00E6133B">
        <w:t xml:space="preserve">, </w:t>
      </w:r>
      <w:r w:rsidR="00E6133B">
        <w:rPr>
          <w:i/>
          <w:iCs/>
        </w:rPr>
        <w:t>supra</w:t>
      </w:r>
      <w:r w:rsidR="00E6133B">
        <w:t xml:space="preserve">, </w:t>
      </w:r>
      <w:r w:rsidR="00417FD6">
        <w:t>85 Cal.App.5th at pp.</w:t>
      </w:r>
      <w:r w:rsidR="004D42A5">
        <w:t> </w:t>
      </w:r>
      <w:r w:rsidR="00417FD6">
        <w:t>1085–1086.</w:t>
      </w:r>
      <w:r w:rsidR="00FA7507">
        <w:t>)</w:t>
      </w:r>
      <w:r w:rsidR="00AC7959">
        <w:t xml:space="preserve">  </w:t>
      </w:r>
    </w:p>
    <w:p w:rsidR="006E67BB" w:rsidP="006E67BB" w14:paraId="0CCBE878" w14:textId="6C1BE78E">
      <w:pPr>
        <w:spacing w:line="240" w:lineRule="auto"/>
      </w:pPr>
      <w:r>
        <w:tab/>
      </w:r>
      <w:r>
        <w:tab/>
      </w:r>
      <w:r w:rsidR="006246D4">
        <w:t>2.</w:t>
      </w:r>
      <w:r w:rsidR="006246D4">
        <w:tab/>
        <w:t xml:space="preserve">A </w:t>
      </w:r>
      <w:r w:rsidR="00E738FB">
        <w:t>district attorney</w:t>
      </w:r>
      <w:r>
        <w:t xml:space="preserve"> does not have an inherent power to </w:t>
      </w:r>
    </w:p>
    <w:p w:rsidR="006E67BB" w:rsidP="006E67BB" w14:paraId="072A7BF9" w14:textId="6106C7DA">
      <w:pPr>
        <w:spacing w:line="240" w:lineRule="auto"/>
      </w:pPr>
      <w:r>
        <w:tab/>
      </w:r>
      <w:r>
        <w:tab/>
      </w:r>
      <w:r>
        <w:tab/>
        <w:t xml:space="preserve">withdraw </w:t>
      </w:r>
      <w:r w:rsidR="00E738FB">
        <w:t>a</w:t>
      </w:r>
      <w:r>
        <w:t xml:space="preserve"> resentencing request before the trial court </w:t>
      </w:r>
    </w:p>
    <w:p w:rsidR="00B261F5" w:rsidP="006E67BB" w14:paraId="3BEAC2D8" w14:textId="062F356E">
      <w:pPr>
        <w:spacing w:line="240" w:lineRule="auto"/>
      </w:pPr>
      <w:r>
        <w:tab/>
      </w:r>
      <w:r>
        <w:tab/>
      </w:r>
      <w:r>
        <w:tab/>
        <w:t>rules on the merits.</w:t>
      </w:r>
    </w:p>
    <w:p w:rsidR="004B6C07" w:rsidP="007F619C" w14:paraId="5531476F" w14:textId="12190399">
      <w:pPr>
        <w:spacing w:before="180" w:line="360" w:lineRule="auto"/>
      </w:pPr>
      <w:r>
        <w:tab/>
      </w:r>
      <w:r w:rsidR="00852C75">
        <w:t xml:space="preserve">As </w:t>
      </w:r>
      <w:r w:rsidR="004D2595">
        <w:rPr>
          <w:i/>
          <w:iCs/>
        </w:rPr>
        <w:t>E.M.</w:t>
      </w:r>
      <w:r w:rsidR="004D2595">
        <w:t xml:space="preserve"> observed,</w:t>
      </w:r>
      <w:r w:rsidR="00852C75">
        <w:t xml:space="preserve"> section 1172.1</w:t>
      </w:r>
      <w:r w:rsidR="00267324">
        <w:t xml:space="preserve"> does not explicitly </w:t>
      </w:r>
      <w:r w:rsidR="00852C75">
        <w:t xml:space="preserve">address </w:t>
      </w:r>
      <w:r w:rsidR="009C6BED">
        <w:t xml:space="preserve">a recommending party’s ability to withdraw its </w:t>
      </w:r>
      <w:r w:rsidR="00A20FAD">
        <w:t>request for resentencing</w:t>
      </w:r>
      <w:r w:rsidR="00852C75">
        <w:t>.</w:t>
      </w:r>
      <w:r w:rsidR="00F932D7">
        <w:t xml:space="preserve">  (</w:t>
      </w:r>
      <w:r w:rsidR="00F932D7">
        <w:rPr>
          <w:i/>
          <w:iCs/>
        </w:rPr>
        <w:t>E.M.</w:t>
      </w:r>
      <w:r w:rsidR="00F932D7">
        <w:t xml:space="preserve">, </w:t>
      </w:r>
      <w:r w:rsidR="00F932D7">
        <w:rPr>
          <w:i/>
          <w:iCs/>
        </w:rPr>
        <w:t>supra</w:t>
      </w:r>
      <w:r w:rsidR="00F932D7">
        <w:t>,</w:t>
      </w:r>
      <w:r w:rsidR="004D2595">
        <w:t xml:space="preserve"> </w:t>
      </w:r>
      <w:r w:rsidR="00424C4B">
        <w:t>85 Cal.App.5th at p.</w:t>
      </w:r>
      <w:r w:rsidR="004D42A5">
        <w:t> </w:t>
      </w:r>
      <w:r w:rsidR="00424C4B">
        <w:t xml:space="preserve">1083.)  </w:t>
      </w:r>
      <w:r w:rsidR="000D4E68">
        <w:t xml:space="preserve">Relying on </w:t>
      </w:r>
      <w:r w:rsidR="00CB62CE">
        <w:rPr>
          <w:i/>
          <w:iCs/>
        </w:rPr>
        <w:t>In re Fain</w:t>
      </w:r>
      <w:r w:rsidR="00620120">
        <w:t xml:space="preserve"> (1976) 65 Cal.App.3d 376</w:t>
      </w:r>
      <w:r w:rsidR="00CB62CE">
        <w:t xml:space="preserve">, the Attorney General argues that </w:t>
      </w:r>
      <w:r w:rsidR="006E3BE7">
        <w:t>“[t]he power to take an action includes the inherent power to reconsider that action</w:t>
      </w:r>
      <w:r w:rsidR="00F254D8">
        <w:t xml:space="preserve">,” </w:t>
      </w:r>
      <w:r w:rsidR="003873ED">
        <w:t>meaning the</w:t>
      </w:r>
      <w:r w:rsidR="00F254D8">
        <w:t xml:space="preserve"> district attorney’s power to re</w:t>
      </w:r>
      <w:r w:rsidR="003873ED">
        <w:t>quest</w:t>
      </w:r>
      <w:r w:rsidR="00F254D8">
        <w:t xml:space="preserve"> resentencing includes the </w:t>
      </w:r>
      <w:r w:rsidR="00922440">
        <w:t xml:space="preserve">absolute </w:t>
      </w:r>
      <w:r w:rsidR="00F254D8">
        <w:t xml:space="preserve">power to rescind the </w:t>
      </w:r>
      <w:r w:rsidR="003873ED">
        <w:t>request</w:t>
      </w:r>
      <w:r w:rsidR="00F254D8">
        <w:t xml:space="preserve">.  </w:t>
      </w:r>
      <w:r w:rsidR="00966557">
        <w:rPr>
          <w:i/>
          <w:iCs/>
        </w:rPr>
        <w:t>E.M.</w:t>
      </w:r>
      <w:r w:rsidR="00966557">
        <w:t xml:space="preserve"> rejected the same argument, concluding that </w:t>
      </w:r>
      <w:r w:rsidR="006D7C4E">
        <w:t>“</w:t>
      </w:r>
      <w:r w:rsidR="006D7C4E">
        <w:rPr>
          <w:i/>
          <w:iCs/>
        </w:rPr>
        <w:t xml:space="preserve">Fain </w:t>
      </w:r>
      <w:r w:rsidR="006D7C4E">
        <w:t xml:space="preserve">is inapposite” because </w:t>
      </w:r>
      <w:r w:rsidR="001816FB">
        <w:t xml:space="preserve">that </w:t>
      </w:r>
      <w:r w:rsidR="00864F32">
        <w:t>case</w:t>
      </w:r>
      <w:r w:rsidR="001816FB">
        <w:t xml:space="preserve"> </w:t>
      </w:r>
      <w:r w:rsidR="006D7C4E">
        <w:t>addressed “</w:t>
      </w:r>
      <w:r w:rsidR="004D42A5">
        <w:t> </w:t>
      </w:r>
      <w:r w:rsidR="006D7C4E">
        <w:t>‘purely</w:t>
      </w:r>
      <w:r w:rsidR="00864F32">
        <w:t xml:space="preserve"> </w:t>
      </w:r>
      <w:r w:rsidR="006D7C4E">
        <w:t>administrative’</w:t>
      </w:r>
      <w:r w:rsidR="004D42A5">
        <w:t> </w:t>
      </w:r>
      <w:r w:rsidR="006D7C4E">
        <w:t>” actions</w:t>
      </w:r>
      <w:r w:rsidR="00FB4665">
        <w:t>, which sentencing is not</w:t>
      </w:r>
      <w:r w:rsidR="001816FB">
        <w:t>.  (</w:t>
      </w:r>
      <w:r w:rsidR="001816FB">
        <w:rPr>
          <w:i/>
          <w:iCs/>
        </w:rPr>
        <w:t>E.M.</w:t>
      </w:r>
      <w:r w:rsidR="001816FB">
        <w:t>, at p.</w:t>
      </w:r>
      <w:r w:rsidR="00A62C04">
        <w:t> </w:t>
      </w:r>
      <w:r w:rsidR="001816FB">
        <w:t>1084.)</w:t>
      </w:r>
      <w:r w:rsidR="00FB4665">
        <w:t xml:space="preserve">  The Attorney General does not explain why </w:t>
      </w:r>
      <w:r w:rsidR="005A6185">
        <w:rPr>
          <w:i/>
          <w:iCs/>
        </w:rPr>
        <w:t xml:space="preserve">E.M. </w:t>
      </w:r>
      <w:r w:rsidR="005A6185">
        <w:t xml:space="preserve">was incorrect or why </w:t>
      </w:r>
      <w:r w:rsidR="00FB4665">
        <w:t xml:space="preserve">we should nonetheless apply </w:t>
      </w:r>
      <w:r w:rsidR="00FB4665">
        <w:rPr>
          <w:i/>
          <w:iCs/>
        </w:rPr>
        <w:t>Fain</w:t>
      </w:r>
      <w:r w:rsidR="00FB4665">
        <w:t xml:space="preserve"> here.</w:t>
      </w:r>
      <w:r w:rsidR="00412E26">
        <w:t xml:space="preserve">  </w:t>
      </w:r>
    </w:p>
    <w:p w:rsidR="00114E89" w:rsidRPr="00E07662" w:rsidP="00977BF5" w14:paraId="56D88831" w14:textId="2454515A">
      <w:pPr>
        <w:spacing w:line="360" w:lineRule="auto"/>
      </w:pPr>
      <w:r>
        <w:tab/>
      </w:r>
      <w:r w:rsidR="00B418D7">
        <w:t>Nor</w:t>
      </w:r>
      <w:r>
        <w:t xml:space="preserve"> are </w:t>
      </w:r>
      <w:r w:rsidR="00B418D7">
        <w:t>we</w:t>
      </w:r>
      <w:r>
        <w:t xml:space="preserve"> persuaded by the Attorney General’s claim that </w:t>
      </w:r>
      <w:r w:rsidR="00AA020A">
        <w:t xml:space="preserve">“the district attorney possesses the ordinary powers of a litigant in other actions,” </w:t>
      </w:r>
      <w:r w:rsidR="008A64CB">
        <w:t>such as a civil plaintiff’s right to volunta</w:t>
      </w:r>
      <w:r w:rsidR="005A6185">
        <w:t>rily dismiss</w:t>
      </w:r>
      <w:r w:rsidR="008A64CB">
        <w:t xml:space="preserve"> a case. </w:t>
      </w:r>
      <w:r w:rsidR="00811C0F">
        <w:t xml:space="preserve"> </w:t>
      </w:r>
      <w:r w:rsidR="008A54D2">
        <w:t>The analogy fails, because s</w:t>
      </w:r>
      <w:r w:rsidR="00351607">
        <w:t>ection 1172.1 proceedings are not adversarial</w:t>
      </w:r>
      <w:r w:rsidR="00CC3D6C">
        <w:t xml:space="preserve">.  </w:t>
      </w:r>
      <w:r w:rsidR="0017518C">
        <w:t xml:space="preserve">A </w:t>
      </w:r>
      <w:r w:rsidR="00D63B75">
        <w:t>resentencing request does not initiate an action “against” the defendant</w:t>
      </w:r>
      <w:r w:rsidR="0017518C">
        <w:t>, and</w:t>
      </w:r>
      <w:r w:rsidR="006F2991">
        <w:t xml:space="preserve"> </w:t>
      </w:r>
      <w:r w:rsidR="0017518C">
        <w:t xml:space="preserve">dismissal of </w:t>
      </w:r>
      <w:r w:rsidR="00984474">
        <w:t>the request does not benefit the defendant.</w:t>
      </w:r>
      <w:r w:rsidR="0080054C">
        <w:t xml:space="preserve">  </w:t>
      </w:r>
      <w:r w:rsidR="001C0A80">
        <w:t xml:space="preserve">Similarly, </w:t>
      </w:r>
      <w:r w:rsidR="0040204F">
        <w:t>a resentencing request is not akin to</w:t>
      </w:r>
      <w:r w:rsidR="004B0BE3">
        <w:t xml:space="preserve"> a </w:t>
      </w:r>
      <w:r w:rsidR="0040204F">
        <w:t>motion</w:t>
      </w:r>
      <w:r w:rsidR="005066F7">
        <w:t xml:space="preserve">, which the moving party is generally entitled to </w:t>
      </w:r>
      <w:r w:rsidR="00B834AC">
        <w:t>abandon</w:t>
      </w:r>
      <w:r w:rsidR="00564DF8">
        <w:t>.</w:t>
      </w:r>
      <w:r w:rsidR="00F65B65">
        <w:t xml:space="preserve">  Rather, a request functions to renew the trial court’s sentencing </w:t>
      </w:r>
      <w:r w:rsidR="00CE5E11">
        <w:t>jurisdiction</w:t>
      </w:r>
      <w:r w:rsidR="00F65B65">
        <w:t>,</w:t>
      </w:r>
      <w:r w:rsidR="007660A1">
        <w:t xml:space="preserve"> and</w:t>
      </w:r>
      <w:r w:rsidR="006A026D">
        <w:t xml:space="preserve"> </w:t>
      </w:r>
      <w:r w:rsidR="007660A1">
        <w:t>permitting</w:t>
      </w:r>
      <w:r w:rsidR="004E2671">
        <w:t xml:space="preserve"> the executive branch to </w:t>
      </w:r>
      <w:r w:rsidR="008D5EA0">
        <w:t xml:space="preserve">unilaterally terminate section 1172.1 proceedings </w:t>
      </w:r>
      <w:r w:rsidR="0005502C">
        <w:t xml:space="preserve">would </w:t>
      </w:r>
      <w:r w:rsidR="000B0002">
        <w:t>“intrude</w:t>
      </w:r>
      <w:r w:rsidR="006A026D">
        <w:t xml:space="preserve">” into that </w:t>
      </w:r>
      <w:r w:rsidR="00DF16EA">
        <w:t>jurisdiction</w:t>
      </w:r>
      <w:r w:rsidR="00C24932">
        <w:t>, raising separation-</w:t>
      </w:r>
      <w:r w:rsidR="004E2671">
        <w:t>of-powers concerns</w:t>
      </w:r>
      <w:r w:rsidR="00DF16EA">
        <w:t>.</w:t>
      </w:r>
      <w:r>
        <w:rPr>
          <w:rStyle w:val="FootnoteReference"/>
        </w:rPr>
        <w:footnoteReference w:id="9"/>
      </w:r>
      <w:r w:rsidR="008D5EA0">
        <w:t xml:space="preserve">  </w:t>
      </w:r>
      <w:r w:rsidR="00DF16EA">
        <w:t>(</w:t>
      </w:r>
      <w:r w:rsidR="00DF16EA">
        <w:rPr>
          <w:i/>
          <w:iCs/>
        </w:rPr>
        <w:t>E.M.</w:t>
      </w:r>
      <w:r w:rsidR="00DF16EA">
        <w:t xml:space="preserve">, </w:t>
      </w:r>
      <w:r w:rsidR="00DF16EA">
        <w:rPr>
          <w:i/>
          <w:iCs/>
        </w:rPr>
        <w:t>supra</w:t>
      </w:r>
      <w:r w:rsidR="00DF16EA">
        <w:t>, 85</w:t>
      </w:r>
      <w:r w:rsidR="008D5EA0">
        <w:t> </w:t>
      </w:r>
      <w:r w:rsidR="00DF16EA">
        <w:t>Cal.App.5th at p.</w:t>
      </w:r>
      <w:r w:rsidR="00A62C04">
        <w:t> </w:t>
      </w:r>
      <w:r w:rsidR="00DF16EA">
        <w:t>1085.)</w:t>
      </w:r>
      <w:r w:rsidR="009B4F78">
        <w:t xml:space="preserve">  </w:t>
      </w:r>
    </w:p>
    <w:p w:rsidR="006F65ED" w:rsidP="00CD6267" w14:paraId="124EC0B9" w14:textId="52C571F8">
      <w:pPr>
        <w:spacing w:line="360" w:lineRule="auto"/>
      </w:pPr>
      <w:r>
        <w:tab/>
      </w:r>
      <w:r w:rsidR="00C2069D">
        <w:t>The</w:t>
      </w:r>
      <w:r w:rsidR="00647AB0">
        <w:t xml:space="preserve"> Attorney General</w:t>
      </w:r>
      <w:r w:rsidR="00C2069D">
        <w:t xml:space="preserve"> also argues </w:t>
      </w:r>
      <w:r w:rsidR="00647AB0">
        <w:t xml:space="preserve">that </w:t>
      </w:r>
      <w:r w:rsidR="00266EEE">
        <w:t>district attorney</w:t>
      </w:r>
      <w:r w:rsidR="00C2069D">
        <w:t>s</w:t>
      </w:r>
      <w:r w:rsidR="00311C5E">
        <w:t xml:space="preserve"> ha</w:t>
      </w:r>
      <w:r w:rsidR="00C2069D">
        <w:t>ve</w:t>
      </w:r>
      <w:r w:rsidR="00311C5E">
        <w:t xml:space="preserve"> </w:t>
      </w:r>
      <w:r w:rsidR="00025429">
        <w:t>the “</w:t>
      </w:r>
      <w:r w:rsidR="00C2069D">
        <w:t> </w:t>
      </w:r>
      <w:r w:rsidR="00025429">
        <w:t>‘</w:t>
      </w:r>
      <w:r w:rsidRPr="007D17C0" w:rsidR="00025429">
        <w:rPr>
          <w:i/>
          <w:iCs/>
        </w:rPr>
        <w:t>right and duty</w:t>
      </w:r>
      <w:r w:rsidR="00025429">
        <w:t xml:space="preserve"> to examine and reexamine facts, existing or newly discovered,’ which can, at times, result in a discretionary change of position.” </w:t>
      </w:r>
      <w:r w:rsidR="007D17C0">
        <w:t xml:space="preserve"> (Quoting </w:t>
      </w:r>
      <w:r w:rsidR="007D17C0">
        <w:rPr>
          <w:i/>
          <w:iCs/>
        </w:rPr>
        <w:t>Leo</w:t>
      </w:r>
      <w:r w:rsidR="00EE1C41">
        <w:rPr>
          <w:i/>
          <w:iCs/>
        </w:rPr>
        <w:t> </w:t>
      </w:r>
      <w:r w:rsidR="007D17C0">
        <w:rPr>
          <w:i/>
          <w:iCs/>
        </w:rPr>
        <w:t>v. Superior Court</w:t>
      </w:r>
      <w:r w:rsidR="007D17C0">
        <w:t xml:space="preserve"> (1986) 179 Cal.App.3d 274, 289.)  </w:t>
      </w:r>
      <w:r w:rsidR="001E789A">
        <w:t xml:space="preserve">This may be </w:t>
      </w:r>
      <w:r w:rsidR="00F3126D">
        <w:t xml:space="preserve">true </w:t>
      </w:r>
      <w:r w:rsidR="000339CD">
        <w:t>in the exercise of the</w:t>
      </w:r>
      <w:r w:rsidR="00F3126D">
        <w:t xml:space="preserve"> “prosecutorial function</w:t>
      </w:r>
      <w:r w:rsidR="00BE79C5">
        <w:t>,</w:t>
      </w:r>
      <w:r w:rsidR="00FA7244">
        <w:t>”</w:t>
      </w:r>
      <w:r w:rsidR="00C40979">
        <w:t xml:space="preserve"> </w:t>
      </w:r>
      <w:r w:rsidR="000339CD">
        <w:t>such as</w:t>
      </w:r>
      <w:r w:rsidR="00C40979">
        <w:t xml:space="preserve"> </w:t>
      </w:r>
      <w:r w:rsidR="00305BE2">
        <w:t>that at issue in</w:t>
      </w:r>
      <w:r w:rsidR="00C40979">
        <w:t xml:space="preserve"> </w:t>
      </w:r>
      <w:r w:rsidR="00C40979">
        <w:rPr>
          <w:i/>
          <w:iCs/>
        </w:rPr>
        <w:t>Leo</w:t>
      </w:r>
      <w:r w:rsidR="00C40979">
        <w:t>, where</w:t>
      </w:r>
      <w:r w:rsidR="00FA7244">
        <w:t xml:space="preserve"> </w:t>
      </w:r>
      <w:r w:rsidR="00FC1D1D">
        <w:t xml:space="preserve">the defendant challenged </w:t>
      </w:r>
      <w:r w:rsidR="00C40979">
        <w:t>an</w:t>
      </w:r>
      <w:r w:rsidR="00A443CB">
        <w:t xml:space="preserve"> order permitting the prosecution “to revise its initial decision </w:t>
      </w:r>
      <w:r w:rsidR="009F57C1">
        <w:t xml:space="preserve">not to seek the </w:t>
      </w:r>
      <w:r w:rsidR="00E810D1">
        <w:t>death penalty and to instead pursue the death penalty against [him].”  (</w:t>
      </w:r>
      <w:r w:rsidR="00E810D1">
        <w:rPr>
          <w:i/>
          <w:iCs/>
        </w:rPr>
        <w:t>Id.</w:t>
      </w:r>
      <w:r w:rsidR="00E810D1">
        <w:t xml:space="preserve"> at pp.</w:t>
      </w:r>
      <w:r w:rsidR="00EE1C41">
        <w:t> </w:t>
      </w:r>
      <w:r w:rsidR="00E810D1">
        <w:t>277, 289</w:t>
      </w:r>
      <w:r w:rsidR="003F7643">
        <w:t xml:space="preserve">; see </w:t>
      </w:r>
      <w:r w:rsidR="003F7643">
        <w:rPr>
          <w:i/>
          <w:iCs/>
        </w:rPr>
        <w:t>Dix</w:t>
      </w:r>
      <w:r w:rsidR="002A31C1">
        <w:t xml:space="preserve">, </w:t>
      </w:r>
      <w:r w:rsidR="002A31C1">
        <w:rPr>
          <w:i/>
          <w:iCs/>
        </w:rPr>
        <w:t>supra</w:t>
      </w:r>
      <w:r w:rsidR="002A31C1">
        <w:t>, 53</w:t>
      </w:r>
      <w:r w:rsidR="00EE1C41">
        <w:t> </w:t>
      </w:r>
      <w:r w:rsidR="002A31C1">
        <w:t>Cal.3d at p.</w:t>
      </w:r>
      <w:r w:rsidR="00EE1C41">
        <w:t> </w:t>
      </w:r>
      <w:r w:rsidR="002A31C1">
        <w:t>451 [</w:t>
      </w:r>
      <w:r w:rsidR="002665DD">
        <w:t xml:space="preserve">noting </w:t>
      </w:r>
      <w:r w:rsidR="002A31C1">
        <w:t>prosecution</w:t>
      </w:r>
      <w:r w:rsidR="002665DD">
        <w:t>’s “sole discretion” to determine what punishment to seek]</w:t>
      </w:r>
      <w:r w:rsidR="00E810D1">
        <w:t>.)</w:t>
      </w:r>
      <w:r w:rsidR="00A16D89">
        <w:t xml:space="preserve">  </w:t>
      </w:r>
      <w:r w:rsidR="00B53E71">
        <w:t xml:space="preserve">Here, however, </w:t>
      </w:r>
      <w:r w:rsidR="00795A43">
        <w:t>the decision to recommend resentencing is not a core prosecutorial function</w:t>
      </w:r>
      <w:r w:rsidR="0027005B">
        <w:t>.</w:t>
      </w:r>
      <w:r w:rsidR="0059559E">
        <w:t xml:space="preserve">  </w:t>
      </w:r>
      <w:r w:rsidR="00117BE5">
        <w:t>To the contrary</w:t>
      </w:r>
      <w:r w:rsidR="0059559E">
        <w:t>, it is one</w:t>
      </w:r>
      <w:r w:rsidR="00F8561D">
        <w:t xml:space="preserve"> </w:t>
      </w:r>
      <w:r w:rsidR="0059559E">
        <w:t xml:space="preserve">that </w:t>
      </w:r>
      <w:r w:rsidR="00B934BF">
        <w:t>correctional authorities may exercise as well</w:t>
      </w:r>
      <w:r w:rsidR="0051499E">
        <w:t xml:space="preserve">, and one they </w:t>
      </w:r>
      <w:r w:rsidR="0068692D">
        <w:t xml:space="preserve">were empowered to exercise well before </w:t>
      </w:r>
      <w:r w:rsidR="00FD18ED">
        <w:t xml:space="preserve">the statute was amended to </w:t>
      </w:r>
      <w:r w:rsidR="00F8561D">
        <w:t>include district attorneys</w:t>
      </w:r>
      <w:r w:rsidR="000A2369">
        <w:t>.</w:t>
      </w:r>
      <w:r w:rsidR="00FD18ED">
        <w:t xml:space="preserve">  </w:t>
      </w:r>
      <w:r w:rsidR="00AA5450">
        <w:t xml:space="preserve">Indeed, </w:t>
      </w:r>
      <w:r w:rsidR="002B5BE1">
        <w:t>section 1172.1 does not differentiate</w:t>
      </w:r>
      <w:r w:rsidR="00F805FA">
        <w:t xml:space="preserve"> </w:t>
      </w:r>
      <w:r w:rsidR="002B5BE1">
        <w:t xml:space="preserve">between recommending parties </w:t>
      </w:r>
      <w:r w:rsidR="00117BE5">
        <w:t>in addressing the required procedures.</w:t>
      </w:r>
      <w:r w:rsidR="00AA5450">
        <w:t xml:space="preserve">  </w:t>
      </w:r>
      <w:r w:rsidR="00582459">
        <w:t>In all cases</w:t>
      </w:r>
      <w:r w:rsidR="00F805FA">
        <w:t>,</w:t>
      </w:r>
      <w:r w:rsidR="00FC11AD">
        <w:t xml:space="preserve"> t</w:t>
      </w:r>
      <w:r w:rsidR="00F61155">
        <w:t>he</w:t>
      </w:r>
      <w:r w:rsidR="00E3728F">
        <w:t xml:space="preserve"> primary </w:t>
      </w:r>
      <w:r w:rsidR="00F61155">
        <w:t xml:space="preserve">discretionary power </w:t>
      </w:r>
      <w:r w:rsidR="00B16FAB">
        <w:t xml:space="preserve">exercised under </w:t>
      </w:r>
      <w:r w:rsidR="00AE5844">
        <w:t>the statute</w:t>
      </w:r>
      <w:r w:rsidR="00B16FAB">
        <w:t xml:space="preserve"> is the trial court’s</w:t>
      </w:r>
      <w:r w:rsidR="00582459">
        <w:t>, not the recommending party’s.</w:t>
      </w:r>
      <w:r>
        <w:t xml:space="preserve"> </w:t>
      </w:r>
    </w:p>
    <w:p w:rsidR="00086B7C" w:rsidP="00CD6267" w14:paraId="1BFAE7CA" w14:textId="639C606B">
      <w:pPr>
        <w:spacing w:line="360" w:lineRule="auto"/>
      </w:pPr>
      <w:r>
        <w:tab/>
      </w:r>
      <w:r w:rsidR="004041F9">
        <w:t xml:space="preserve">In short, </w:t>
      </w:r>
      <w:r>
        <w:t>a district attorney</w:t>
      </w:r>
      <w:r w:rsidR="00F362C5">
        <w:t xml:space="preserve">’s </w:t>
      </w:r>
      <w:r w:rsidR="003B5DFE">
        <w:t>ability</w:t>
      </w:r>
      <w:r w:rsidR="00F362C5">
        <w:t xml:space="preserve"> to re</w:t>
      </w:r>
      <w:r w:rsidR="00BE47DB">
        <w:t>quest</w:t>
      </w:r>
      <w:r w:rsidR="00F362C5">
        <w:t xml:space="preserve"> resentencing </w:t>
      </w:r>
      <w:r w:rsidR="00B454FA">
        <w:t>does not imply</w:t>
      </w:r>
      <w:r w:rsidR="00F362C5">
        <w:t xml:space="preserve"> an </w:t>
      </w:r>
      <w:r w:rsidR="00B72302">
        <w:t>unfettered</w:t>
      </w:r>
      <w:r w:rsidR="00F362C5">
        <w:t xml:space="preserve"> </w:t>
      </w:r>
      <w:r w:rsidR="002F7B61">
        <w:t>authority to withdraw the re</w:t>
      </w:r>
      <w:r w:rsidR="00BE47DB">
        <w:t>quest</w:t>
      </w:r>
      <w:r w:rsidR="002F7B61">
        <w:t>.</w:t>
      </w:r>
      <w:r w:rsidR="00DC10DC">
        <w:t xml:space="preserve">  Accordingly, </w:t>
      </w:r>
      <w:r w:rsidR="00E630EA">
        <w:t xml:space="preserve">and consistent with </w:t>
      </w:r>
      <w:r w:rsidR="00E630EA">
        <w:rPr>
          <w:i/>
          <w:iCs/>
        </w:rPr>
        <w:t>E.M.</w:t>
      </w:r>
      <w:r w:rsidR="00E630EA">
        <w:t>,</w:t>
      </w:r>
      <w:r w:rsidR="00E630EA">
        <w:rPr>
          <w:i/>
          <w:iCs/>
        </w:rPr>
        <w:t xml:space="preserve"> </w:t>
      </w:r>
      <w:r w:rsidR="00690107">
        <w:t xml:space="preserve">we </w:t>
      </w:r>
      <w:r w:rsidR="00531C15">
        <w:t xml:space="preserve">conclude </w:t>
      </w:r>
      <w:r w:rsidR="00690107">
        <w:t>that</w:t>
      </w:r>
      <w:r w:rsidR="00234742">
        <w:t xml:space="preserve"> </w:t>
      </w:r>
      <w:r w:rsidR="00EF3E07">
        <w:t>termination of a section</w:t>
      </w:r>
      <w:r w:rsidR="00901A72">
        <w:t> </w:t>
      </w:r>
      <w:r w:rsidR="00EF3E07">
        <w:t>1172.1 proceeding is not</w:t>
      </w:r>
      <w:r w:rsidR="00234742">
        <w:t xml:space="preserve"> </w:t>
      </w:r>
      <w:r w:rsidR="00234742">
        <w:rPr>
          <w:i/>
          <w:iCs/>
        </w:rPr>
        <w:t>mandatory</w:t>
      </w:r>
      <w:r w:rsidR="00234742">
        <w:t xml:space="preserve"> if </w:t>
      </w:r>
      <w:r w:rsidR="00AE6626">
        <w:t xml:space="preserve">the </w:t>
      </w:r>
      <w:r w:rsidR="00F844F8">
        <w:t>district attorney</w:t>
      </w:r>
      <w:r w:rsidR="00AE6626">
        <w:t xml:space="preserve"> </w:t>
      </w:r>
      <w:r w:rsidR="00BD0C8E">
        <w:t xml:space="preserve">no longer supports resentencing.  </w:t>
      </w:r>
      <w:r w:rsidR="00AE6626">
        <w:t xml:space="preserve">In other words, the mere fact that </w:t>
      </w:r>
      <w:r w:rsidR="00F844F8">
        <w:t>the district attorney</w:t>
      </w:r>
      <w:r w:rsidR="00AE6626">
        <w:t xml:space="preserve"> </w:t>
      </w:r>
      <w:r w:rsidR="00BD0C8E">
        <w:t xml:space="preserve">withdraws </w:t>
      </w:r>
      <w:r w:rsidR="00F844F8">
        <w:t>a</w:t>
      </w:r>
      <w:r w:rsidR="00BD0C8E">
        <w:t xml:space="preserve"> re</w:t>
      </w:r>
      <w:r w:rsidR="0059364F">
        <w:t>quest</w:t>
      </w:r>
      <w:r w:rsidR="00BD0C8E">
        <w:t xml:space="preserve"> </w:t>
      </w:r>
      <w:r w:rsidR="00AE6626">
        <w:t xml:space="preserve">does not preclude </w:t>
      </w:r>
      <w:r w:rsidR="002F730E">
        <w:t>a trial court</w:t>
      </w:r>
      <w:r w:rsidR="00AE6626">
        <w:t xml:space="preserve"> from</w:t>
      </w:r>
      <w:r w:rsidR="00997F25">
        <w:t xml:space="preserve"> </w:t>
      </w:r>
      <w:r w:rsidR="001574D7">
        <w:t>concluding</w:t>
      </w:r>
      <w:r w:rsidR="00AE6626">
        <w:t xml:space="preserve"> </w:t>
      </w:r>
      <w:r w:rsidR="00997F25">
        <w:t>that recall and resentencing is nonetheless appropriate.</w:t>
      </w:r>
      <w:r w:rsidR="00982332">
        <w:t xml:space="preserve">  Rather, once a re</w:t>
      </w:r>
      <w:r w:rsidR="0059364F">
        <w:t>quest</w:t>
      </w:r>
      <w:r w:rsidR="00982332">
        <w:t xml:space="preserve"> is made</w:t>
      </w:r>
      <w:r w:rsidR="009D7609">
        <w:t xml:space="preserve">, the court has jurisdiction to </w:t>
      </w:r>
      <w:r w:rsidR="0084378B">
        <w:t>resentence the</w:t>
      </w:r>
      <w:r w:rsidR="00EF3E07">
        <w:t xml:space="preserve"> defendant if it chooses to do so.  </w:t>
      </w:r>
      <w:r w:rsidR="00637AFA">
        <w:t xml:space="preserve">(See </w:t>
      </w:r>
      <w:r w:rsidR="00637AFA">
        <w:rPr>
          <w:i/>
          <w:iCs/>
        </w:rPr>
        <w:t>E.M.</w:t>
      </w:r>
      <w:r w:rsidR="00637AFA">
        <w:t xml:space="preserve">, </w:t>
      </w:r>
      <w:r w:rsidR="00637AFA">
        <w:rPr>
          <w:i/>
          <w:iCs/>
        </w:rPr>
        <w:t>supra</w:t>
      </w:r>
      <w:r w:rsidR="00637AFA">
        <w:t>,</w:t>
      </w:r>
      <w:r w:rsidR="00637AFA">
        <w:rPr>
          <w:i/>
          <w:iCs/>
        </w:rPr>
        <w:t xml:space="preserve"> </w:t>
      </w:r>
      <w:r w:rsidR="009D7609">
        <w:t xml:space="preserve">85 Cal.App.5th </w:t>
      </w:r>
      <w:r w:rsidR="00637AFA">
        <w:t>at p.</w:t>
      </w:r>
      <w:r w:rsidR="00901A72">
        <w:t> </w:t>
      </w:r>
      <w:r w:rsidR="009D7609">
        <w:t>1082</w:t>
      </w:r>
      <w:r w:rsidR="00637AFA">
        <w:t>.)</w:t>
      </w:r>
    </w:p>
    <w:p w:rsidR="00DD489F" w:rsidP="00901A72" w14:paraId="27FE34B5" w14:textId="77777777">
      <w:pPr>
        <w:keepNext/>
        <w:spacing w:line="240" w:lineRule="auto"/>
      </w:pPr>
      <w:r>
        <w:tab/>
      </w:r>
      <w:r>
        <w:tab/>
        <w:t>3.</w:t>
      </w:r>
      <w:r>
        <w:tab/>
        <w:t xml:space="preserve">A trial court is not required to reach the merits </w:t>
      </w:r>
      <w:r w:rsidR="00FF1F23">
        <w:t xml:space="preserve">every time </w:t>
      </w:r>
    </w:p>
    <w:p w:rsidR="0046310F" w:rsidP="00901A72" w14:paraId="22663B02" w14:textId="30E2EC60">
      <w:pPr>
        <w:keepNext/>
        <w:spacing w:line="240" w:lineRule="auto"/>
      </w:pPr>
      <w:r>
        <w:tab/>
      </w:r>
      <w:r>
        <w:tab/>
      </w:r>
      <w:r>
        <w:tab/>
      </w:r>
      <w:r w:rsidR="00FF1F23">
        <w:t>a resentencing request is made.</w:t>
      </w:r>
      <w:r w:rsidR="00637AFA">
        <w:t xml:space="preserve"> </w:t>
      </w:r>
    </w:p>
    <w:p w:rsidR="004920D9" w:rsidP="00901A72" w14:paraId="3859C380" w14:textId="26F9B0A5">
      <w:pPr>
        <w:keepNext/>
        <w:spacing w:before="180" w:line="360" w:lineRule="auto"/>
      </w:pPr>
      <w:r>
        <w:tab/>
      </w:r>
      <w:r w:rsidR="00862265">
        <w:t>Having rejected the Attorney General’s position, we turn to Vaesau’s.</w:t>
      </w:r>
      <w:r w:rsidR="00E8376B">
        <w:t xml:space="preserve">  Vaesau </w:t>
      </w:r>
      <w:r w:rsidR="006E07DD">
        <w:t xml:space="preserve">claims that by permitting the district attorney to withdraw the resentencing request, the trial court violated two aspects of </w:t>
      </w:r>
      <w:r w:rsidR="00E30BC3">
        <w:t>section</w:t>
      </w:r>
      <w:r w:rsidR="00901A72">
        <w:t> </w:t>
      </w:r>
      <w:r w:rsidR="00E30BC3">
        <w:t>1172.1</w:t>
      </w:r>
      <w:r w:rsidR="005723FD">
        <w:t>:  the presumption in favor of resentencing when an outside party requests it, and the statute’s hearing requirements.</w:t>
      </w:r>
      <w:r w:rsidR="003934DD">
        <w:t xml:space="preserve">  </w:t>
      </w:r>
      <w:r w:rsidR="00A030B1">
        <w:t xml:space="preserve">According to him, </w:t>
      </w:r>
      <w:r w:rsidR="00AA0AB3">
        <w:t xml:space="preserve">these </w:t>
      </w:r>
      <w:r w:rsidR="00C0440F">
        <w:t>provisions require a trial court to reach the merits of resentencing once a request is made</w:t>
      </w:r>
      <w:r w:rsidR="00725F88">
        <w:t>.</w:t>
      </w:r>
      <w:r>
        <w:t xml:space="preserve">  </w:t>
      </w:r>
      <w:r>
        <w:rPr>
          <w:i/>
          <w:iCs/>
        </w:rPr>
        <w:t xml:space="preserve">E.M. </w:t>
      </w:r>
      <w:r>
        <w:t xml:space="preserve">did not have occasion to address this issue, since in that case the Secretary rescinded the request only after the trial court had denied it on the merits.  (See </w:t>
      </w:r>
      <w:r>
        <w:rPr>
          <w:i/>
          <w:iCs/>
        </w:rPr>
        <w:t>E.M.</w:t>
      </w:r>
      <w:r>
        <w:t xml:space="preserve">, </w:t>
      </w:r>
      <w:r>
        <w:rPr>
          <w:i/>
          <w:iCs/>
        </w:rPr>
        <w:t>supra</w:t>
      </w:r>
      <w:r>
        <w:t>, 85</w:t>
      </w:r>
      <w:r w:rsidR="00901A72">
        <w:t> </w:t>
      </w:r>
      <w:r>
        <w:t>Cal.App.5th at p.</w:t>
      </w:r>
      <w:r w:rsidR="00901A72">
        <w:t> </w:t>
      </w:r>
      <w:r>
        <w:t xml:space="preserve">1081.)  We conclude that </w:t>
      </w:r>
      <w:r w:rsidR="00915FC7">
        <w:t>courts are not required to reach the merits of every resentencing request.</w:t>
      </w:r>
    </w:p>
    <w:p w:rsidR="006C5EDA" w:rsidP="006C5EDA" w14:paraId="176294F7" w14:textId="2B9A7B5F">
      <w:pPr>
        <w:spacing w:line="360" w:lineRule="auto"/>
      </w:pPr>
      <w:r>
        <w:tab/>
      </w:r>
      <w:r w:rsidR="00656369">
        <w:t>V</w:t>
      </w:r>
      <w:r w:rsidR="007118DF">
        <w:t xml:space="preserve">aesau first claims that permitting the district attorney to </w:t>
      </w:r>
      <w:r w:rsidR="00BA5233">
        <w:t>withdraw</w:t>
      </w:r>
      <w:r w:rsidR="007118DF">
        <w:t xml:space="preserve"> the resentencing re</w:t>
      </w:r>
      <w:r w:rsidR="00BA5233">
        <w:t>quest</w:t>
      </w:r>
      <w:r w:rsidR="007118DF">
        <w:t xml:space="preserve"> violated </w:t>
      </w:r>
      <w:r>
        <w:t>the provision that if resentencing is requested by an outside party, “</w:t>
      </w:r>
      <w:r w:rsidR="002D25DE">
        <w:t>[t]</w:t>
      </w:r>
      <w:r>
        <w:t xml:space="preserve">here shall be a presumption favoring recall and resentencing of the defendant, which may only be overcome if a court finds the defendant is an unreasonable risk of danger to public safety.”  (§ 1172.1, subd. (b)(2).)  </w:t>
      </w:r>
      <w:r w:rsidR="00C76415">
        <w:t xml:space="preserve">He argues that </w:t>
      </w:r>
      <w:r w:rsidR="00FA1F8A">
        <w:t xml:space="preserve">this provision establishes </w:t>
      </w:r>
      <w:r>
        <w:t>“</w:t>
      </w:r>
      <w:r w:rsidR="00FA1F8A">
        <w:t xml:space="preserve">that </w:t>
      </w:r>
      <w:r>
        <w:t xml:space="preserve">once [a] district attorney files a recommendation for </w:t>
      </w:r>
      <w:r w:rsidR="003D248E">
        <w:t xml:space="preserve">recall and </w:t>
      </w:r>
      <w:r>
        <w:t xml:space="preserve">resentencing,” the trial court </w:t>
      </w:r>
      <w:r w:rsidRPr="00DC6A82">
        <w:rPr>
          <w:i/>
          <w:iCs/>
        </w:rPr>
        <w:t xml:space="preserve">must </w:t>
      </w:r>
      <w:r>
        <w:t xml:space="preserve">resentence the defendant unless it finds that the defendant poses </w:t>
      </w:r>
      <w:r w:rsidR="002D25DE">
        <w:t>the requisite risk</w:t>
      </w:r>
      <w:r>
        <w:t xml:space="preserve">.  </w:t>
      </w:r>
    </w:p>
    <w:p w:rsidR="000B2C7F" w:rsidP="000B2C7F" w14:paraId="7AC60DCA" w14:textId="2FBFD8AA">
      <w:pPr>
        <w:spacing w:line="360" w:lineRule="auto"/>
      </w:pPr>
      <w:r>
        <w:tab/>
        <w:t>We are not persuaded by this reading of section</w:t>
      </w:r>
      <w:r w:rsidR="00333F85">
        <w:t> </w:t>
      </w:r>
      <w:r>
        <w:t xml:space="preserve">1172.1, because it would preclude a trial court from denying a resentencing request without prejudice.  In its normal legal sense, a presumption is an “inference or assumption that a fact exists because of the known or proven existence of some other fact,” and “[m]ost presumptions are rules of evidence calling for a certain result in a given case unless </w:t>
      </w:r>
      <w:r w:rsidR="003D248E">
        <w:t>. . .</w:t>
      </w:r>
      <w:r>
        <w:t xml:space="preserve"> [they are] overcome[] </w:t>
      </w:r>
      <w:r w:rsidR="003D248E">
        <w:t>. . .</w:t>
      </w:r>
      <w:r>
        <w:t xml:space="preserve"> with other evidence.”  (Black’s Law Dict. (11th ed. 2019) p. 1435.)  Section</w:t>
      </w:r>
      <w:r w:rsidR="00333F85">
        <w:t> </w:t>
      </w:r>
      <w:r>
        <w:t xml:space="preserve">1172.1’s presumption functions as such, dictating that if an outside party requests resentencing, recall and resentencing shall occur unless that result is overcome by proof that the defendant poses an unreasonable risk </w:t>
      </w:r>
      <w:r w:rsidR="00354AAD">
        <w:t xml:space="preserve">of danger </w:t>
      </w:r>
      <w:r>
        <w:t>to public safety.  (§ 1172.1, subd. (b)(2).)  In other words, the presumption affects the ultimate issue of whether resentencing is appropriate.</w:t>
      </w:r>
    </w:p>
    <w:p w:rsidR="000B2C7F" w:rsidP="000B2C7F" w14:paraId="1B0BE7BC" w14:textId="6DC89D4A">
      <w:pPr>
        <w:spacing w:line="360" w:lineRule="auto"/>
      </w:pPr>
      <w:r>
        <w:tab/>
        <w:t>But there could be procedural reasons for a trial court to deny or dismiss a resentencing request before reaching the merits</w:t>
      </w:r>
      <w:r w:rsidR="007E2F5A">
        <w:t>, such as if the request was submitted for the wrong defendant</w:t>
      </w:r>
      <w:r>
        <w:t>.  In such situations, requiring a court to nonetheless determine whether the defendant pose</w:t>
      </w:r>
      <w:r w:rsidR="008A143B">
        <w:t>d</w:t>
      </w:r>
      <w:r>
        <w:t xml:space="preserve"> an unreasonable risk </w:t>
      </w:r>
      <w:r w:rsidR="008A143B">
        <w:t xml:space="preserve">of danger </w:t>
      </w:r>
      <w:r>
        <w:t xml:space="preserve">to public safety would be a pointless exercise.  Indeed, a risk determination requires significant evidence, such as the defendant’s prison record, yet a court would have to make the determination even if it lacked sufficient evidence to do so.  The Legislature could not have intended </w:t>
      </w:r>
      <w:r w:rsidR="00A50E11">
        <w:t>such a</w:t>
      </w:r>
      <w:r>
        <w:t xml:space="preserve"> result.  (See </w:t>
      </w:r>
      <w:r>
        <w:rPr>
          <w:i/>
          <w:iCs/>
        </w:rPr>
        <w:t>People v. Mendoza</w:t>
      </w:r>
      <w:r>
        <w:t xml:space="preserve">, </w:t>
      </w:r>
      <w:r>
        <w:rPr>
          <w:i/>
          <w:iCs/>
        </w:rPr>
        <w:t>supra</w:t>
      </w:r>
      <w:r>
        <w:t>,</w:t>
      </w:r>
      <w:r>
        <w:rPr>
          <w:i/>
          <w:iCs/>
        </w:rPr>
        <w:t xml:space="preserve"> </w:t>
      </w:r>
      <w:r>
        <w:t>23 Cal.4th at p.</w:t>
      </w:r>
      <w:r w:rsidR="00333F85">
        <w:t> </w:t>
      </w:r>
      <w:r>
        <w:t>908.)</w:t>
      </w:r>
    </w:p>
    <w:p w:rsidR="0019306C" w:rsidRPr="00C00C79" w:rsidP="0019306C" w14:paraId="373DE334" w14:textId="30432AB7">
      <w:pPr>
        <w:spacing w:line="360" w:lineRule="auto"/>
      </w:pPr>
      <w:r>
        <w:tab/>
        <w:t>Our conclusion is consistent with</w:t>
      </w:r>
      <w:r w:rsidR="00F76308">
        <w:t xml:space="preserve"> other</w:t>
      </w:r>
      <w:r>
        <w:t xml:space="preserve"> </w:t>
      </w:r>
      <w:r w:rsidR="004072C0">
        <w:t xml:space="preserve">indicators of </w:t>
      </w:r>
      <w:r w:rsidR="000405EB">
        <w:t>legislative intent</w:t>
      </w:r>
      <w:r w:rsidR="0036545F">
        <w:t xml:space="preserve">.  </w:t>
      </w:r>
      <w:r w:rsidR="004072C0">
        <w:t xml:space="preserve">In passing Assembly Bill No. 1540, the Legislature found that </w:t>
      </w:r>
      <w:r w:rsidR="00841D79">
        <w:t>t</w:t>
      </w:r>
      <w:r w:rsidR="00F84593">
        <w:t xml:space="preserve">he </w:t>
      </w:r>
      <w:r>
        <w:t xml:space="preserve">“law enforcement agencies [that can submit resentencing requests] devote significant time, analysis, and scrutiny to each referral that they make.”  (Stats. 2021, ch. 719, § 1, subd. (g).)  </w:t>
      </w:r>
      <w:r w:rsidR="00CB16DA">
        <w:t xml:space="preserve">The Legislature also expressed its </w:t>
      </w:r>
      <w:r>
        <w:t xml:space="preserve">“intent </w:t>
      </w:r>
      <w:r w:rsidR="00CB16DA">
        <w:t>.</w:t>
      </w:r>
      <w:r w:rsidR="001B388C">
        <w:t> </w:t>
      </w:r>
      <w:r w:rsidR="00CB16DA">
        <w:t>.</w:t>
      </w:r>
      <w:r w:rsidR="001B388C">
        <w:t> </w:t>
      </w:r>
      <w:r w:rsidR="00CB16DA">
        <w:t xml:space="preserve">. </w:t>
      </w:r>
      <w:r>
        <w:t>for judges to recognize the scrutiny that has already been brought to these referrals by the referring entity, and to ensure that each referral be granted the court’s consideration by setting an initial status</w:t>
      </w:r>
      <w:r w:rsidR="007A4FFF">
        <w:t xml:space="preserve"> </w:t>
      </w:r>
      <w:r>
        <w:t>conference, recalling the sentence, and providing the opportunity for resentencing for every felony conviction referred by one of these entities.”  (</w:t>
      </w:r>
      <w:r>
        <w:rPr>
          <w:i/>
          <w:iCs/>
        </w:rPr>
        <w:t>Id.</w:t>
      </w:r>
      <w:r>
        <w:t>, § 1, subd. (h)</w:t>
      </w:r>
      <w:r w:rsidR="00CB16DA">
        <w:t>; see, e.g.,</w:t>
      </w:r>
      <w:r w:rsidR="00F82202">
        <w:t xml:space="preserve"> </w:t>
      </w:r>
      <w:r w:rsidR="00E9039A">
        <w:t>Off. Of Sen. Floor Analyses, 3</w:t>
      </w:r>
      <w:r w:rsidR="00D60120">
        <w:t>d reading analysis of Assem. Bill No.</w:t>
      </w:r>
      <w:r w:rsidR="00F76308">
        <w:t> </w:t>
      </w:r>
      <w:r w:rsidR="00D60120">
        <w:t xml:space="preserve">1540, </w:t>
      </w:r>
      <w:r w:rsidR="000278F2">
        <w:t>Sept. 3, 2021,</w:t>
      </w:r>
      <w:r w:rsidR="00D60120">
        <w:t xml:space="preserve"> p.</w:t>
      </w:r>
      <w:r w:rsidR="007F0230">
        <w:t xml:space="preserve"> 3 [bill will “honor the significant time, thought, and effort that law enforcement agencies put into referrals</w:t>
      </w:r>
      <w:r w:rsidR="00E93816">
        <w:t>”</w:t>
      </w:r>
      <w:r w:rsidR="007F0230">
        <w:t>]</w:t>
      </w:r>
      <w:r w:rsidR="002E018C">
        <w:t xml:space="preserve">; Assem. </w:t>
      </w:r>
      <w:r w:rsidR="00E41E8B">
        <w:t xml:space="preserve">Com. on </w:t>
      </w:r>
      <w:r w:rsidR="00A02C1C">
        <w:t xml:space="preserve">Public Safety, </w:t>
      </w:r>
      <w:r w:rsidR="002F4B23">
        <w:t xml:space="preserve">Rep. on </w:t>
      </w:r>
      <w:r w:rsidR="00CC423E">
        <w:t>Assem. Bill No.</w:t>
      </w:r>
      <w:r w:rsidR="001B388C">
        <w:t> </w:t>
      </w:r>
      <w:r w:rsidR="00CC423E">
        <w:t xml:space="preserve">1540, </w:t>
      </w:r>
      <w:r w:rsidR="00B84272">
        <w:t>as amended Apr. 22, 2021, p.</w:t>
      </w:r>
      <w:r w:rsidR="001B388C">
        <w:t> </w:t>
      </w:r>
      <w:r w:rsidR="00690C63">
        <w:t>6 [</w:t>
      </w:r>
      <w:r w:rsidR="00F76308">
        <w:t xml:space="preserve">presumption creates </w:t>
      </w:r>
      <w:r w:rsidR="00690C63">
        <w:t xml:space="preserve">“fairly high bar” for denying resentencing </w:t>
      </w:r>
      <w:r w:rsidR="00F76308">
        <w:t>because</w:t>
      </w:r>
      <w:r w:rsidR="00690C63">
        <w:t xml:space="preserve"> “these are cases which have </w:t>
      </w:r>
      <w:r w:rsidR="00D15D63">
        <w:t xml:space="preserve">already been vetted as being appropriate for recall and resentencing by </w:t>
      </w:r>
      <w:r w:rsidR="00D72492">
        <w:t>. . .</w:t>
      </w:r>
      <w:r w:rsidR="00D15D63">
        <w:t xml:space="preserve"> law enforcement agencies</w:t>
      </w:r>
      <w:r w:rsidR="00AF6835">
        <w:t>”]</w:t>
      </w:r>
      <w:r>
        <w:t>.)</w:t>
      </w:r>
    </w:p>
    <w:p w:rsidR="00F27950" w:rsidP="00BC7EE4" w14:paraId="6FD00174" w14:textId="6E3A85B6">
      <w:pPr>
        <w:spacing w:line="360" w:lineRule="auto"/>
      </w:pPr>
      <w:r>
        <w:tab/>
      </w:r>
      <w:r w:rsidR="00F6078F">
        <w:t>Contrary to Vaesau’s claim otherwise, permitting a resentencing re</w:t>
      </w:r>
      <w:r w:rsidR="00F02EEC">
        <w:t>quest</w:t>
      </w:r>
      <w:r w:rsidR="00F6078F">
        <w:t xml:space="preserve"> to be withdrawn before </w:t>
      </w:r>
      <w:r w:rsidR="00B84313">
        <w:t xml:space="preserve">the trial </w:t>
      </w:r>
      <w:r w:rsidR="003F19DE">
        <w:t xml:space="preserve">court reaches </w:t>
      </w:r>
      <w:r w:rsidR="00F6078F">
        <w:t xml:space="preserve">the merits is not </w:t>
      </w:r>
      <w:r w:rsidR="00376132">
        <w:t xml:space="preserve">“antithetical” to the legislative goal of </w:t>
      </w:r>
      <w:r w:rsidR="00870F68">
        <w:t>giv</w:t>
      </w:r>
      <w:r w:rsidR="00FC672B">
        <w:t>ing</w:t>
      </w:r>
      <w:r w:rsidR="00057C06">
        <w:t xml:space="preserve"> the</w:t>
      </w:r>
      <w:r w:rsidR="003F19DE">
        <w:t xml:space="preserve"> </w:t>
      </w:r>
      <w:r w:rsidR="00FC672B">
        <w:t>recommendation</w:t>
      </w:r>
      <w:r w:rsidR="00057C06">
        <w:t xml:space="preserve"> weight</w:t>
      </w:r>
      <w:r w:rsidR="00FC672B">
        <w:t xml:space="preserve">. </w:t>
      </w:r>
      <w:r w:rsidR="00EE730F">
        <w:t xml:space="preserve"> </w:t>
      </w:r>
      <w:r w:rsidR="00B84254">
        <w:t>As explained above, the statutory presumption affects the merits</w:t>
      </w:r>
      <w:r w:rsidR="007B4A81">
        <w:t xml:space="preserve"> of resentencing</w:t>
      </w:r>
      <w:r w:rsidR="00B943B3">
        <w:t xml:space="preserve">, </w:t>
      </w:r>
      <w:r w:rsidR="00712D3C">
        <w:t xml:space="preserve">and it does not derogate </w:t>
      </w:r>
      <w:r w:rsidR="00906CBA">
        <w:t xml:space="preserve">from the recommending party’s </w:t>
      </w:r>
      <w:r w:rsidR="00A81F26">
        <w:t>a</w:t>
      </w:r>
      <w:r w:rsidR="00771137">
        <w:t>ppraisal</w:t>
      </w:r>
      <w:r w:rsidR="002E2C44">
        <w:t xml:space="preserve"> of the issue</w:t>
      </w:r>
      <w:r w:rsidR="00A81F26">
        <w:t xml:space="preserve"> to </w:t>
      </w:r>
      <w:r w:rsidR="007B4A81">
        <w:t>terminate a section 1172.1 proceeding without prejudice.</w:t>
      </w:r>
      <w:r w:rsidR="00D97FCE">
        <w:t xml:space="preserve">  </w:t>
      </w:r>
      <w:r w:rsidR="00B56CBD">
        <w:t xml:space="preserve">Indeed, where </w:t>
      </w:r>
      <w:r w:rsidR="004F69C5">
        <w:t xml:space="preserve">the resentencing request was erroneously made, </w:t>
      </w:r>
      <w:r w:rsidR="00A01C80">
        <w:t>permi</w:t>
      </w:r>
      <w:r w:rsidR="00427668">
        <w:t xml:space="preserve">tting the recommending party to withdraw it </w:t>
      </w:r>
      <w:r w:rsidR="00DD2082">
        <w:t>respects th</w:t>
      </w:r>
      <w:r w:rsidR="008B1400">
        <w:t>at party’s</w:t>
      </w:r>
      <w:r w:rsidR="00192570">
        <w:t xml:space="preserve"> most up-to-date</w:t>
      </w:r>
      <w:r w:rsidR="002E2C44">
        <w:t xml:space="preserve"> assessment.</w:t>
      </w:r>
      <w:r w:rsidR="00127DD2">
        <w:t xml:space="preserve">  We tend to agree with the Attorney General </w:t>
      </w:r>
      <w:r w:rsidR="003D0B06">
        <w:t>that if</w:t>
      </w:r>
      <w:r w:rsidR="00B83756">
        <w:t xml:space="preserve"> resentencing request</w:t>
      </w:r>
      <w:r w:rsidR="00AE013F">
        <w:t>s</w:t>
      </w:r>
      <w:r w:rsidR="00B83756">
        <w:t xml:space="preserve"> w</w:t>
      </w:r>
      <w:r w:rsidR="00AE013F">
        <w:t>ere</w:t>
      </w:r>
      <w:r w:rsidR="00B83756">
        <w:t xml:space="preserve"> “irrevocable,” it could discourage district attorneys and others from making such requests</w:t>
      </w:r>
      <w:r w:rsidR="00F00A04">
        <w:t xml:space="preserve"> in the first place</w:t>
      </w:r>
      <w:r w:rsidR="0028589A">
        <w:t xml:space="preserve">, which would thwart section 1172.1’s </w:t>
      </w:r>
      <w:r w:rsidR="00E57175">
        <w:t>overall purpose of</w:t>
      </w:r>
      <w:r w:rsidR="00FD2AFA">
        <w:t xml:space="preserve"> reducing incarceration</w:t>
      </w:r>
      <w:r w:rsidR="00535754">
        <w:t xml:space="preserve"> levels.  (See</w:t>
      </w:r>
      <w:r w:rsidR="00E57175">
        <w:t xml:space="preserve"> </w:t>
      </w:r>
      <w:r w:rsidR="00FF5F0D">
        <w:t>Stats. 2021, ch.</w:t>
      </w:r>
      <w:r w:rsidR="005D6A7E">
        <w:t> </w:t>
      </w:r>
      <w:r w:rsidR="00FF5F0D">
        <w:t>719, § 1, subd</w:t>
      </w:r>
      <w:r w:rsidR="00535754">
        <w:t>s</w:t>
      </w:r>
      <w:r w:rsidR="00FF5F0D">
        <w:t>. (</w:t>
      </w:r>
      <w:r w:rsidR="00535754">
        <w:t>a</w:t>
      </w:r>
      <w:r w:rsidR="00FF5F0D">
        <w:t>)</w:t>
      </w:r>
      <w:r w:rsidR="00535754">
        <w:t>–(e)</w:t>
      </w:r>
      <w:r w:rsidR="00FF5F0D">
        <w:t>.)</w:t>
      </w:r>
      <w:r w:rsidR="00CD3A83">
        <w:t xml:space="preserve"> </w:t>
      </w:r>
    </w:p>
    <w:p w:rsidR="00BC7EE4" w:rsidP="00BC7EE4" w14:paraId="5DD40C8D" w14:textId="4807E4D6">
      <w:pPr>
        <w:spacing w:line="360" w:lineRule="auto"/>
      </w:pPr>
      <w:r>
        <w:tab/>
      </w:r>
      <w:r w:rsidR="00750410">
        <w:t>Vaesau also argues</w:t>
      </w:r>
      <w:r>
        <w:t xml:space="preserve"> that </w:t>
      </w:r>
      <w:r w:rsidR="006469A0">
        <w:t>allowing</w:t>
      </w:r>
      <w:r>
        <w:t xml:space="preserve"> the district attorney to withdraw the resentencing request violated section 1172.1’s hearing requirements.  Under subdivision (a)(8) of the statute, “[r]esentencing shall not be denied, nor a stipulation [to resentencing without a hearing] rejected, without a hearing where the parties have an opportunity to address the basis for the intended denial or rejection.”  In addition, when a resentencing proceeding is initiated at an outside party’s request, “[t]he [trial] court shall provide notice to the defendant and set a status conference within 30 days after the date that the court received the request.”  (§ 1172.1, subd. (b)(1).)  </w:t>
      </w:r>
    </w:p>
    <w:p w:rsidR="00130900" w:rsidP="000D00BD" w14:paraId="3039A3C2" w14:textId="2A6D161C">
      <w:pPr>
        <w:spacing w:line="360" w:lineRule="auto"/>
      </w:pPr>
      <w:r>
        <w:tab/>
        <w:t xml:space="preserve">We agree with the Attorney General that the trial court did not contravene these </w:t>
      </w:r>
      <w:r w:rsidR="000854DB">
        <w:t xml:space="preserve">statutory </w:t>
      </w:r>
      <w:r>
        <w:t xml:space="preserve">requirements.  </w:t>
      </w:r>
      <w:r w:rsidR="005256BE">
        <w:t>Assuming</w:t>
      </w:r>
      <w:r w:rsidR="00133BFA">
        <w:t xml:space="preserve"> </w:t>
      </w:r>
      <w:r>
        <w:t xml:space="preserve">the court could </w:t>
      </w:r>
      <w:r w:rsidR="00515379">
        <w:t xml:space="preserve">even </w:t>
      </w:r>
      <w:r>
        <w:t>be said to have “denied” resentencing, the ruling was clearly without prejudice, and the court held a hearing at which the parties</w:t>
      </w:r>
      <w:r w:rsidR="005315A9">
        <w:t xml:space="preserve"> were able</w:t>
      </w:r>
      <w:r>
        <w:t xml:space="preserve"> to address its basis for allowing the district attorney to withdraw the resentencing request.  Furthermore, Vaesau received notice of the resentencing proceeding, and the court proceeded promptly in calendaring the matter.</w:t>
      </w:r>
      <w:r w:rsidR="009F1C23">
        <w:t xml:space="preserve">  To </w:t>
      </w:r>
      <w:r w:rsidR="005256BE">
        <w:t xml:space="preserve">the extent </w:t>
      </w:r>
      <w:r w:rsidR="00750410">
        <w:t>he</w:t>
      </w:r>
      <w:r w:rsidR="005256BE">
        <w:t xml:space="preserve"> suggests</w:t>
      </w:r>
      <w:r w:rsidR="00DC381B">
        <w:t xml:space="preserve"> that</w:t>
      </w:r>
      <w:r w:rsidR="005256BE">
        <w:t xml:space="preserve"> </w:t>
      </w:r>
      <w:r w:rsidR="00A15FE8">
        <w:t>section</w:t>
      </w:r>
      <w:r w:rsidR="005D6A7E">
        <w:t> </w:t>
      </w:r>
      <w:r w:rsidR="00A15FE8">
        <w:t>1172.1’s hearing provisions</w:t>
      </w:r>
      <w:r w:rsidR="005256BE">
        <w:t xml:space="preserve"> require</w:t>
      </w:r>
      <w:r w:rsidR="00A15FE8">
        <w:t xml:space="preserve"> </w:t>
      </w:r>
      <w:r w:rsidR="005256BE">
        <w:t xml:space="preserve">a hearing </w:t>
      </w:r>
      <w:r w:rsidR="005256BE">
        <w:rPr>
          <w:i/>
          <w:iCs/>
        </w:rPr>
        <w:t>on the merits</w:t>
      </w:r>
      <w:r w:rsidR="00A15FE8">
        <w:t xml:space="preserve"> once a resentencing request is made,</w:t>
      </w:r>
      <w:r w:rsidR="00EC604F">
        <w:t xml:space="preserve"> we reject the </w:t>
      </w:r>
      <w:r w:rsidR="00B119AB">
        <w:t>argument</w:t>
      </w:r>
      <w:r w:rsidR="00750410">
        <w:t xml:space="preserve"> for the reasons </w:t>
      </w:r>
      <w:r w:rsidR="00E12931">
        <w:t xml:space="preserve">we have discussed </w:t>
      </w:r>
      <w:r w:rsidR="00750410">
        <w:t>above</w:t>
      </w:r>
      <w:r w:rsidR="00A721BF">
        <w:t>.</w:t>
      </w:r>
      <w:r w:rsidR="00726866">
        <w:t xml:space="preserve"> </w:t>
      </w:r>
      <w:r w:rsidR="00144859">
        <w:t xml:space="preserve"> </w:t>
      </w:r>
    </w:p>
    <w:p w:rsidR="00762A8E" w:rsidRPr="00715B00" w:rsidP="000D00BD" w14:paraId="35839821" w14:textId="67B60DB1">
      <w:pPr>
        <w:spacing w:line="360" w:lineRule="auto"/>
      </w:pPr>
      <w:r>
        <w:tab/>
        <w:t xml:space="preserve">Vaesau also argues that </w:t>
      </w:r>
      <w:r w:rsidR="00C473A9">
        <w:t xml:space="preserve">“[u]nder the rule of </w:t>
      </w:r>
      <w:r w:rsidR="00C473A9">
        <w:rPr>
          <w:i/>
          <w:iCs/>
        </w:rPr>
        <w:t>casus</w:t>
      </w:r>
      <w:r w:rsidR="00C473A9">
        <w:t xml:space="preserve"> </w:t>
      </w:r>
      <w:r w:rsidR="00C473A9">
        <w:rPr>
          <w:i/>
          <w:iCs/>
        </w:rPr>
        <w:t>omissus</w:t>
      </w:r>
      <w:r w:rsidR="00C473A9">
        <w:t xml:space="preserve">, a matter that is not covered by a statute must be treated as not covered.”  </w:t>
      </w:r>
      <w:r w:rsidR="00254B9A">
        <w:t>This canon of statutory interpretation, also known as the omitted-case canon,</w:t>
      </w:r>
      <w:r w:rsidR="007B4EF2">
        <w:t xml:space="preserve"> provid</w:t>
      </w:r>
      <w:r w:rsidR="000C68A7">
        <w:t>es that “[n]othing is to be added to what the text states or reasonably implies.”  (</w:t>
      </w:r>
      <w:r w:rsidR="004A2DBD">
        <w:t>Scalia &amp; Garner, Reading Law:  The Interpretation of Legal Texts (2012) p.</w:t>
      </w:r>
      <w:r w:rsidR="005D6A7E">
        <w:t> </w:t>
      </w:r>
      <w:r w:rsidR="006623FC">
        <w:t xml:space="preserve">93, boldface omitted.)  </w:t>
      </w:r>
      <w:r w:rsidR="00283332">
        <w:t xml:space="preserve">It is based on the principle </w:t>
      </w:r>
      <w:r w:rsidR="00715B00">
        <w:t>“that it is not the proper function of the courts to supply legislative omissions from a statute in an attempt to make it conform to a presumed intention of the Legislature not expressed in the statutory language.”  (</w:t>
      </w:r>
      <w:r w:rsidR="00715B00">
        <w:rPr>
          <w:i/>
          <w:iCs/>
        </w:rPr>
        <w:t>Cemetery Board</w:t>
      </w:r>
      <w:r w:rsidR="005D6A7E">
        <w:rPr>
          <w:i/>
          <w:iCs/>
        </w:rPr>
        <w:t> </w:t>
      </w:r>
      <w:r w:rsidR="00715B00">
        <w:rPr>
          <w:i/>
          <w:iCs/>
        </w:rPr>
        <w:t>v. Telophase Society of America</w:t>
      </w:r>
      <w:r w:rsidR="00715B00">
        <w:t xml:space="preserve"> (1978) 87</w:t>
      </w:r>
      <w:r w:rsidR="005D6A7E">
        <w:t> </w:t>
      </w:r>
      <w:r w:rsidR="00715B00">
        <w:t>Cal.App.3d 847, 858.)</w:t>
      </w:r>
    </w:p>
    <w:p w:rsidR="00AD405C" w:rsidP="000D00BD" w14:paraId="582F0F0B" w14:textId="1DF86F39">
      <w:pPr>
        <w:spacing w:line="360" w:lineRule="auto"/>
      </w:pPr>
      <w:r>
        <w:tab/>
      </w:r>
      <w:r w:rsidR="00665509">
        <w:t xml:space="preserve">The omitted-case canon </w:t>
      </w:r>
      <w:r w:rsidR="00797CF8">
        <w:t>does not</w:t>
      </w:r>
      <w:r w:rsidR="00D4614A">
        <w:t xml:space="preserve"> </w:t>
      </w:r>
      <w:r w:rsidR="00A84B9E">
        <w:t xml:space="preserve">mandate the conclusion </w:t>
      </w:r>
      <w:r w:rsidR="006A3B38">
        <w:t xml:space="preserve">that </w:t>
      </w:r>
      <w:r w:rsidR="005C2910">
        <w:t xml:space="preserve">trial courts lack authority to deny or dismiss resentencing requests without prejudice.  </w:t>
      </w:r>
      <w:r w:rsidR="00174EEE">
        <w:t>“</w:t>
      </w:r>
      <w:r w:rsidR="00197F13">
        <w:t>T</w:t>
      </w:r>
      <w:r w:rsidR="00584FE4">
        <w:t>rial courts .</w:t>
      </w:r>
      <w:r w:rsidR="005D6A7E">
        <w:t> </w:t>
      </w:r>
      <w:r w:rsidR="00584FE4">
        <w:t>.</w:t>
      </w:r>
      <w:r w:rsidR="005D6A7E">
        <w:t> </w:t>
      </w:r>
      <w:r w:rsidR="00584FE4">
        <w:t xml:space="preserve">. possess a constitutionally conferred, </w:t>
      </w:r>
      <w:r w:rsidR="00D04FD4">
        <w:t>inherent authority to ‘create new forms of procedure’ in the gaps left unaddressed by statutes and the rules of court.’</w:t>
      </w:r>
      <w:r w:rsidR="00215AD1">
        <w:t> </w:t>
      </w:r>
      <w:r w:rsidR="00D04FD4">
        <w:t>”  (</w:t>
      </w:r>
      <w:r w:rsidR="00D04FD4">
        <w:rPr>
          <w:i/>
          <w:iCs/>
        </w:rPr>
        <w:t>People</w:t>
      </w:r>
      <w:r w:rsidR="00215AD1">
        <w:rPr>
          <w:i/>
          <w:iCs/>
        </w:rPr>
        <w:t> </w:t>
      </w:r>
      <w:r w:rsidR="00D04FD4">
        <w:rPr>
          <w:i/>
          <w:iCs/>
        </w:rPr>
        <w:t xml:space="preserve">v. </w:t>
      </w:r>
      <w:r w:rsidR="0001207A">
        <w:rPr>
          <w:i/>
          <w:iCs/>
        </w:rPr>
        <w:t>Lujan</w:t>
      </w:r>
      <w:r w:rsidR="0001207A">
        <w:t xml:space="preserve"> (2012) 211</w:t>
      </w:r>
      <w:r w:rsidR="006636CD">
        <w:t> </w:t>
      </w:r>
      <w:r w:rsidR="0001207A">
        <w:t>Cal.App.4th 1499, 1507</w:t>
      </w:r>
      <w:r w:rsidR="002B365A">
        <w:t xml:space="preserve">; </w:t>
      </w:r>
      <w:r w:rsidR="00136937">
        <w:rPr>
          <w:i/>
          <w:iCs/>
        </w:rPr>
        <w:t>Weiss</w:t>
      </w:r>
      <w:r w:rsidR="00215AD1">
        <w:rPr>
          <w:i/>
          <w:iCs/>
        </w:rPr>
        <w:t> </w:t>
      </w:r>
      <w:r w:rsidR="009E232C">
        <w:rPr>
          <w:i/>
          <w:iCs/>
        </w:rPr>
        <w:t xml:space="preserve">v. People ex rel. Dept. of Transportation </w:t>
      </w:r>
      <w:r w:rsidR="009E232C">
        <w:t>(2020) 9</w:t>
      </w:r>
      <w:r w:rsidR="00215AD1">
        <w:t> </w:t>
      </w:r>
      <w:r w:rsidR="009E232C">
        <w:t>Cal.5th 840, 857;</w:t>
      </w:r>
      <w:r w:rsidR="00136937">
        <w:rPr>
          <w:i/>
          <w:iCs/>
        </w:rPr>
        <w:t xml:space="preserve"> </w:t>
      </w:r>
      <w:r w:rsidR="002B365A">
        <w:t>see Code Civ. Proc., § 187</w:t>
      </w:r>
      <w:r w:rsidR="0001207A">
        <w:t>.)</w:t>
      </w:r>
      <w:r w:rsidR="00A00385">
        <w:t xml:space="preserve">  Of course, as Vaesau notes, section</w:t>
      </w:r>
      <w:r w:rsidR="00CF320D">
        <w:t> </w:t>
      </w:r>
      <w:r w:rsidR="00A00385">
        <w:t xml:space="preserve">1172.1 does </w:t>
      </w:r>
      <w:r w:rsidR="008F79B2">
        <w:t>specify procedures</w:t>
      </w:r>
      <w:r w:rsidR="00A00385">
        <w:t xml:space="preserve"> to be followed when a trial court considers </w:t>
      </w:r>
      <w:r w:rsidR="009500D0">
        <w:t xml:space="preserve">a resentencing request.  </w:t>
      </w:r>
      <w:r w:rsidR="003047B2">
        <w:t xml:space="preserve">But </w:t>
      </w:r>
      <w:r w:rsidR="00716823">
        <w:t>those procedures are not exhaustive,</w:t>
      </w:r>
      <w:r w:rsidR="00E732E8">
        <w:t xml:space="preserve"> and </w:t>
      </w:r>
      <w:r w:rsidR="00207029">
        <w:t xml:space="preserve">the statute’s failure to spell out </w:t>
      </w:r>
      <w:r w:rsidR="00184BD0">
        <w:t>every s</w:t>
      </w:r>
      <w:r w:rsidR="00B64C7D">
        <w:t xml:space="preserve">ituation in which a </w:t>
      </w:r>
      <w:r w:rsidR="003E325B">
        <w:t xml:space="preserve">court might validly </w:t>
      </w:r>
      <w:r w:rsidR="001125CA">
        <w:t xml:space="preserve">terminate a proceeding without prejudice </w:t>
      </w:r>
      <w:r w:rsidR="00A67A7F">
        <w:t>hardly</w:t>
      </w:r>
      <w:r w:rsidR="00D66943">
        <w:t xml:space="preserve"> suggests </w:t>
      </w:r>
      <w:r w:rsidR="00EF5E44">
        <w:t xml:space="preserve">that </w:t>
      </w:r>
      <w:r w:rsidR="00383F19">
        <w:t xml:space="preserve">courts are compelled </w:t>
      </w:r>
      <w:r w:rsidR="00653AB9">
        <w:t>to decide every single request on the merits.</w:t>
      </w:r>
      <w:r w:rsidR="00BE0BD3">
        <w:t xml:space="preserve"> </w:t>
      </w:r>
      <w:r w:rsidR="000D00BD">
        <w:t xml:space="preserve"> </w:t>
      </w:r>
    </w:p>
    <w:p w:rsidR="001125CA" w:rsidP="000D00BD" w14:paraId="30589EE7" w14:textId="1C89D48C">
      <w:pPr>
        <w:spacing w:line="360" w:lineRule="auto"/>
      </w:pPr>
      <w:r>
        <w:tab/>
      </w:r>
      <w:r w:rsidR="000D00BD">
        <w:t>To be sure, “courts must tread carefully when exercising their inherent authority to fashion new procedures.  We may not sanction procedures of dubious constitutional validity.  [Citation.]  Nor may we bless procedural innovations inconsistent with the will of the Legislature or that usurp the Legislature’s role by fundamentally altering criminal procedures.”  (</w:t>
      </w:r>
      <w:r>
        <w:rPr>
          <w:i/>
          <w:iCs/>
        </w:rPr>
        <w:t>People</w:t>
      </w:r>
      <w:r w:rsidR="00215AD1">
        <w:rPr>
          <w:i/>
          <w:iCs/>
        </w:rPr>
        <w:t> </w:t>
      </w:r>
      <w:r>
        <w:rPr>
          <w:i/>
          <w:iCs/>
        </w:rPr>
        <w:t>v. Luj</w:t>
      </w:r>
      <w:r w:rsidR="00BD294D">
        <w:rPr>
          <w:i/>
          <w:iCs/>
        </w:rPr>
        <w:t>an</w:t>
      </w:r>
      <w:r w:rsidR="00BD294D">
        <w:t xml:space="preserve">, </w:t>
      </w:r>
      <w:r w:rsidR="00BD294D">
        <w:rPr>
          <w:i/>
          <w:iCs/>
        </w:rPr>
        <w:t>supra</w:t>
      </w:r>
      <w:r w:rsidR="00BD294D">
        <w:t>, 211</w:t>
      </w:r>
      <w:r w:rsidR="00215AD1">
        <w:t> </w:t>
      </w:r>
      <w:r w:rsidR="00BD294D">
        <w:t>Cal.App.4th at p.</w:t>
      </w:r>
      <w:r w:rsidR="00953527">
        <w:t> </w:t>
      </w:r>
      <w:r w:rsidR="00BD294D">
        <w:t>1507</w:t>
      </w:r>
      <w:r w:rsidR="002E7464">
        <w:t xml:space="preserve">; see </w:t>
      </w:r>
      <w:r w:rsidR="002E7464">
        <w:rPr>
          <w:i/>
          <w:iCs/>
        </w:rPr>
        <w:t>Weiss</w:t>
      </w:r>
      <w:r w:rsidR="00953527">
        <w:rPr>
          <w:i/>
          <w:iCs/>
        </w:rPr>
        <w:t> </w:t>
      </w:r>
      <w:r w:rsidR="002E7464">
        <w:rPr>
          <w:i/>
          <w:iCs/>
        </w:rPr>
        <w:t>v. People ex rel. Dept. of Transportation</w:t>
      </w:r>
      <w:r w:rsidR="002E7464">
        <w:t xml:space="preserve">, </w:t>
      </w:r>
      <w:r w:rsidR="002E7464">
        <w:rPr>
          <w:i/>
          <w:iCs/>
        </w:rPr>
        <w:t>supra</w:t>
      </w:r>
      <w:r w:rsidR="002E7464">
        <w:t>,</w:t>
      </w:r>
      <w:r w:rsidR="002E7464">
        <w:rPr>
          <w:i/>
          <w:iCs/>
        </w:rPr>
        <w:t xml:space="preserve"> </w:t>
      </w:r>
      <w:r w:rsidR="002E7464">
        <w:t>9</w:t>
      </w:r>
      <w:r w:rsidR="00953527">
        <w:t> </w:t>
      </w:r>
      <w:r w:rsidR="002E7464">
        <w:t>Cal.5th at p.</w:t>
      </w:r>
      <w:r w:rsidR="00953527">
        <w:t> </w:t>
      </w:r>
      <w:r w:rsidR="002E7464">
        <w:t>857.)</w:t>
      </w:r>
      <w:r w:rsidR="00515557">
        <w:t xml:space="preserve">  </w:t>
      </w:r>
      <w:r w:rsidR="00131529">
        <w:t>The</w:t>
      </w:r>
      <w:r w:rsidR="009D53B4">
        <w:t xml:space="preserve">se limits do not prevent a trial court from </w:t>
      </w:r>
      <w:r w:rsidR="00F21A4D">
        <w:t>dismis</w:t>
      </w:r>
      <w:r w:rsidR="009D53B4">
        <w:t>sing</w:t>
      </w:r>
      <w:r w:rsidR="00F21A4D">
        <w:t xml:space="preserve"> a</w:t>
      </w:r>
      <w:r w:rsidR="007420F8">
        <w:t xml:space="preserve"> resentencing request</w:t>
      </w:r>
      <w:r w:rsidR="004D2C5B">
        <w:t xml:space="preserve"> without prejudice</w:t>
      </w:r>
      <w:r w:rsidR="009D53B4">
        <w:t xml:space="preserve">, but they do </w:t>
      </w:r>
      <w:r w:rsidRPr="009D53B4" w:rsidR="00313D93">
        <w:t>restrict</w:t>
      </w:r>
      <w:r w:rsidRPr="009D53B4" w:rsidR="006C6060">
        <w:t xml:space="preserve"> the circumstances under which </w:t>
      </w:r>
      <w:r w:rsidR="009D53B4">
        <w:t>the</w:t>
      </w:r>
      <w:r w:rsidRPr="009D53B4" w:rsidR="006C6060">
        <w:t xml:space="preserve"> court may permit a </w:t>
      </w:r>
      <w:r w:rsidRPr="009D53B4" w:rsidR="00F844F8">
        <w:t>district attorney</w:t>
      </w:r>
      <w:r w:rsidRPr="009D53B4" w:rsidR="006C6060">
        <w:t xml:space="preserve"> to withdraw </w:t>
      </w:r>
      <w:r w:rsidR="009D53B4">
        <w:t xml:space="preserve">such a </w:t>
      </w:r>
      <w:r w:rsidRPr="009D53B4" w:rsidR="006C6060">
        <w:t>request.</w:t>
      </w:r>
    </w:p>
    <w:p w:rsidR="00AE013F" w:rsidP="0061408F" w14:paraId="4427939F" w14:textId="77777777">
      <w:pPr>
        <w:keepNext/>
        <w:spacing w:line="240" w:lineRule="auto"/>
      </w:pPr>
      <w:r>
        <w:tab/>
      </w:r>
      <w:r>
        <w:tab/>
        <w:t>4.</w:t>
      </w:r>
      <w:r>
        <w:tab/>
      </w:r>
      <w:r w:rsidR="0061408F">
        <w:t xml:space="preserve">A </w:t>
      </w:r>
      <w:r w:rsidR="00F844F8">
        <w:t>district attorney</w:t>
      </w:r>
      <w:r w:rsidR="0061408F">
        <w:t xml:space="preserve"> m</w:t>
      </w:r>
      <w:r>
        <w:t>ust have a legitimate basis for</w:t>
      </w:r>
      <w:r w:rsidR="0061408F">
        <w:t xml:space="preserve"> </w:t>
      </w:r>
    </w:p>
    <w:p w:rsidR="006C6060" w:rsidP="0061408F" w14:paraId="258C8C03" w14:textId="278F7618">
      <w:pPr>
        <w:keepNext/>
        <w:spacing w:line="240" w:lineRule="auto"/>
      </w:pPr>
      <w:r>
        <w:tab/>
      </w:r>
      <w:r>
        <w:tab/>
      </w:r>
      <w:r>
        <w:tab/>
      </w:r>
      <w:r w:rsidR="0061408F">
        <w:t>withdraw</w:t>
      </w:r>
      <w:r>
        <w:t>ing</w:t>
      </w:r>
      <w:r w:rsidR="0061408F">
        <w:t xml:space="preserve"> </w:t>
      </w:r>
      <w:r>
        <w:t xml:space="preserve">a </w:t>
      </w:r>
      <w:r w:rsidR="0061408F">
        <w:t>resentencing request</w:t>
      </w:r>
      <w:r>
        <w:t>.</w:t>
      </w:r>
      <w:r w:rsidR="0061408F">
        <w:t xml:space="preserve"> </w:t>
      </w:r>
    </w:p>
    <w:p w:rsidR="006D2636" w:rsidP="0061408F" w14:paraId="745B31C0" w14:textId="63EBF994">
      <w:pPr>
        <w:keepNext/>
        <w:spacing w:before="180" w:line="360" w:lineRule="auto"/>
      </w:pPr>
      <w:r>
        <w:tab/>
        <w:t>To summarize, a trial court</w:t>
      </w:r>
      <w:r w:rsidR="00647DDB">
        <w:t xml:space="preserve"> </w:t>
      </w:r>
      <w:r w:rsidR="002C09C2">
        <w:t>may, but is not required</w:t>
      </w:r>
      <w:r w:rsidR="00E738FB">
        <w:t xml:space="preserve"> to</w:t>
      </w:r>
      <w:r w:rsidR="002C09C2">
        <w:t>,</w:t>
      </w:r>
      <w:r w:rsidR="00647DDB">
        <w:t xml:space="preserve"> </w:t>
      </w:r>
      <w:r w:rsidR="000E7B29">
        <w:t>allow</w:t>
      </w:r>
      <w:r w:rsidR="00556897">
        <w:t xml:space="preserve"> a </w:t>
      </w:r>
      <w:r w:rsidR="00E12931">
        <w:t xml:space="preserve">district attorney </w:t>
      </w:r>
      <w:r w:rsidR="00556897">
        <w:t xml:space="preserve">to withdraw </w:t>
      </w:r>
      <w:r w:rsidR="00AE013F">
        <w:t>a</w:t>
      </w:r>
      <w:r w:rsidR="00556897">
        <w:t xml:space="preserve"> resentencing request</w:t>
      </w:r>
      <w:r w:rsidR="00083200">
        <w:t xml:space="preserve"> before the court reaches the merits</w:t>
      </w:r>
      <w:r w:rsidR="00AC013F">
        <w:t xml:space="preserve">, </w:t>
      </w:r>
      <w:r w:rsidR="005E561A">
        <w:t xml:space="preserve">thereby </w:t>
      </w:r>
      <w:r w:rsidR="008D2EAD">
        <w:t>terminating a section</w:t>
      </w:r>
      <w:r w:rsidR="00953527">
        <w:t> </w:t>
      </w:r>
      <w:r w:rsidR="008D2EAD">
        <w:t>1172.1 proceeding without prejudice.</w:t>
      </w:r>
      <w:r w:rsidR="00AB51A6">
        <w:t xml:space="preserve">  Although </w:t>
      </w:r>
      <w:r w:rsidR="000E37DC">
        <w:t xml:space="preserve">this is a discretionary choice, </w:t>
      </w:r>
      <w:r w:rsidR="00DF399C">
        <w:t>it</w:t>
      </w:r>
      <w:r w:rsidR="00B13CA7">
        <w:t xml:space="preserve"> must be guided by</w:t>
      </w:r>
      <w:r w:rsidR="00A45EDE">
        <w:t xml:space="preserve"> section 1172.1’s objectives and the defendant’s </w:t>
      </w:r>
      <w:r w:rsidR="0047581A">
        <w:t>due process rights.</w:t>
      </w:r>
      <w:r w:rsidR="00282E54">
        <w:t xml:space="preserve">  In particular, </w:t>
      </w:r>
      <w:r w:rsidR="00E12931">
        <w:t xml:space="preserve">the motion to withdraw the request must be based on </w:t>
      </w:r>
      <w:r w:rsidR="00E738FB">
        <w:t xml:space="preserve">a </w:t>
      </w:r>
      <w:r w:rsidR="00E12931">
        <w:t xml:space="preserve">legitimate reason.  </w:t>
      </w:r>
      <w:r w:rsidR="0047581A">
        <w:t xml:space="preserve">Here, </w:t>
      </w:r>
      <w:r w:rsidR="00167555">
        <w:t>a</w:t>
      </w:r>
      <w:r w:rsidR="004C4110">
        <w:t xml:space="preserve"> remand for reconsideration </w:t>
      </w:r>
      <w:r w:rsidR="008C787C">
        <w:t xml:space="preserve">is warranted, because </w:t>
      </w:r>
      <w:r w:rsidR="0047581A">
        <w:t>it is un</w:t>
      </w:r>
      <w:r w:rsidR="005F7C8C">
        <w:t xml:space="preserve">clear </w:t>
      </w:r>
      <w:r w:rsidR="00AD136A">
        <w:t>whether</w:t>
      </w:r>
      <w:r w:rsidR="005F7C8C">
        <w:t xml:space="preserve"> the </w:t>
      </w:r>
      <w:r w:rsidR="007C296E">
        <w:t xml:space="preserve">trial court appreciated the full scope of its discretion </w:t>
      </w:r>
      <w:r w:rsidR="00BF0BE9">
        <w:t>to deny the district attorney’s motion to withdraw</w:t>
      </w:r>
      <w:r w:rsidR="00500561">
        <w:t>—</w:t>
      </w:r>
      <w:r w:rsidR="00DF399C">
        <w:t xml:space="preserve">particularly given the </w:t>
      </w:r>
      <w:r w:rsidR="00745DEE">
        <w:t>district attorney’s failure to</w:t>
      </w:r>
      <w:r w:rsidR="00F17962">
        <w:t xml:space="preserve"> explain</w:t>
      </w:r>
      <w:r w:rsidR="0084289D">
        <w:t xml:space="preserve"> </w:t>
      </w:r>
      <w:r w:rsidR="00366690">
        <w:t>the change in course</w:t>
      </w:r>
      <w:r w:rsidR="00DF399C">
        <w:t>.</w:t>
      </w:r>
      <w:r>
        <w:rPr>
          <w:rStyle w:val="FootnoteReference"/>
        </w:rPr>
        <w:footnoteReference w:id="10"/>
      </w:r>
    </w:p>
    <w:p w:rsidR="00A60512" w:rsidP="000D00BD" w14:paraId="4C949B38" w14:textId="4AB4A8B5">
      <w:pPr>
        <w:spacing w:line="360" w:lineRule="auto"/>
      </w:pPr>
      <w:r>
        <w:tab/>
      </w:r>
      <w:r w:rsidR="00E022A8">
        <w:t>T</w:t>
      </w:r>
      <w:r w:rsidR="005540D8">
        <w:t xml:space="preserve">he district attorney </w:t>
      </w:r>
      <w:r w:rsidR="003C3599">
        <w:t xml:space="preserve">offered almost no </w:t>
      </w:r>
      <w:r w:rsidR="00F17962">
        <w:t xml:space="preserve">justification for </w:t>
      </w:r>
      <w:r w:rsidR="00E022A8">
        <w:t>withdrawing the resentencing request</w:t>
      </w:r>
      <w:r w:rsidR="00AF331E">
        <w:t xml:space="preserve">.  </w:t>
      </w:r>
      <w:r w:rsidR="00D1510F">
        <w:t>The only point mentioned, other than the mere desire to do so, was th</w:t>
      </w:r>
      <w:r w:rsidR="00F53AF5">
        <w:t>e new prosecutor’s statement th</w:t>
      </w:r>
      <w:r w:rsidR="00D1510F">
        <w:t xml:space="preserve">at the resentencing request </w:t>
      </w:r>
      <w:r w:rsidR="00212EE2">
        <w:t>was “very thin on the record even to provide to the Court.”</w:t>
      </w:r>
      <w:r w:rsidR="00290814">
        <w:t xml:space="preserve"> </w:t>
      </w:r>
      <w:r w:rsidR="00ED111C">
        <w:t xml:space="preserve"> It is not clear whether this statement referred to the</w:t>
      </w:r>
      <w:r w:rsidR="00DC0CED">
        <w:t xml:space="preserve"> </w:t>
      </w:r>
      <w:r w:rsidR="00ED111C">
        <w:t xml:space="preserve">request itself, which </w:t>
      </w:r>
      <w:r w:rsidR="00EF6350">
        <w:t>did not</w:t>
      </w:r>
      <w:r w:rsidR="00DC0CED">
        <w:t xml:space="preserve"> </w:t>
      </w:r>
      <w:r w:rsidR="00636DA2">
        <w:t>address why the district attorney recommended resente</w:t>
      </w:r>
      <w:r w:rsidR="00F70D6A">
        <w:t>ncing or</w:t>
      </w:r>
      <w:r w:rsidR="001554A6">
        <w:t xml:space="preserve"> </w:t>
      </w:r>
      <w:r w:rsidR="00260442">
        <w:t>include any supporting documentation, or to a</w:t>
      </w:r>
      <w:r w:rsidR="00BF5E12">
        <w:t xml:space="preserve"> general dearth </w:t>
      </w:r>
      <w:r w:rsidR="008C787C">
        <w:t xml:space="preserve">of </w:t>
      </w:r>
      <w:r w:rsidR="00BF5E12">
        <w:t>available information.</w:t>
      </w:r>
      <w:r w:rsidR="00E80C4E">
        <w:t xml:space="preserve">  But </w:t>
      </w:r>
      <w:r w:rsidR="005A6007">
        <w:t>the request</w:t>
      </w:r>
      <w:r w:rsidR="00BA0C05">
        <w:t xml:space="preserve"> appears to have been </w:t>
      </w:r>
      <w:r w:rsidR="001F3277">
        <w:t xml:space="preserve">based on a </w:t>
      </w:r>
      <w:r w:rsidR="0081378E">
        <w:t>thorough</w:t>
      </w:r>
      <w:r w:rsidR="00581C06">
        <w:t xml:space="preserve"> </w:t>
      </w:r>
      <w:r w:rsidR="001F3277">
        <w:t xml:space="preserve">evaluation of Vaesau’s </w:t>
      </w:r>
      <w:r w:rsidR="000A6BA0">
        <w:t>suitability for resentencing</w:t>
      </w:r>
      <w:r w:rsidR="0081378E">
        <w:t>.  A</w:t>
      </w:r>
      <w:r w:rsidR="007C6B26">
        <w:t>s t</w:t>
      </w:r>
      <w:r w:rsidR="00E022A8">
        <w:t>he parole-hearing transcript demonstrated</w:t>
      </w:r>
      <w:r w:rsidR="0081378E">
        <w:t>, t</w:t>
      </w:r>
      <w:r w:rsidR="00E80C4E">
        <w:t>he original prosecutor was familiar with</w:t>
      </w:r>
      <w:r w:rsidR="00F9057C">
        <w:t xml:space="preserve"> </w:t>
      </w:r>
      <w:r w:rsidR="0081378E">
        <w:t xml:space="preserve">Vaesau’s </w:t>
      </w:r>
      <w:r w:rsidR="00393F9C">
        <w:t>c</w:t>
      </w:r>
      <w:r w:rsidR="000A6BA0">
        <w:t>ase</w:t>
      </w:r>
      <w:r w:rsidR="00CA43B7">
        <w:t>, and she identified several reasons supporting his release.</w:t>
      </w:r>
      <w:r w:rsidR="00692008">
        <w:t xml:space="preserve">  </w:t>
      </w:r>
      <w:r w:rsidR="000A6BA0">
        <w:t>Jenkins, the</w:t>
      </w:r>
      <w:r w:rsidR="00E022A8">
        <w:t xml:space="preserve"> new </w:t>
      </w:r>
      <w:r w:rsidR="000A6BA0">
        <w:t>D</w:t>
      </w:r>
      <w:r w:rsidR="00E022A8">
        <w:t xml:space="preserve">istrict </w:t>
      </w:r>
      <w:r w:rsidR="000A6BA0">
        <w:t>A</w:t>
      </w:r>
      <w:r w:rsidR="00E022A8">
        <w:t>ttorney</w:t>
      </w:r>
      <w:r w:rsidR="000A6BA0">
        <w:t>,</w:t>
      </w:r>
      <w:r w:rsidR="001B4DD1">
        <w:t xml:space="preserve"> was entitled to re</w:t>
      </w:r>
      <w:r w:rsidR="00E022A8">
        <w:t>consider</w:t>
      </w:r>
      <w:r w:rsidR="001B4DD1">
        <w:t xml:space="preserve"> th</w:t>
      </w:r>
      <w:r w:rsidR="00180EAC">
        <w:t>e</w:t>
      </w:r>
      <w:r w:rsidR="001B4DD1">
        <w:t xml:space="preserve"> recommendation</w:t>
      </w:r>
      <w:r w:rsidR="00BD5094">
        <w:t xml:space="preserve">, </w:t>
      </w:r>
      <w:r w:rsidR="00B973E4">
        <w:t xml:space="preserve">but </w:t>
      </w:r>
      <w:r w:rsidR="00E022A8">
        <w:t xml:space="preserve">there is no evidence that any substantive reevaluation occurred.  </w:t>
      </w:r>
      <w:r w:rsidR="00180EAC">
        <w:t xml:space="preserve">Indeed, </w:t>
      </w:r>
      <w:r w:rsidR="007C6B26">
        <w:t>she</w:t>
      </w:r>
      <w:r w:rsidR="00180EAC">
        <w:t xml:space="preserve"> moved to withdraw the recommendation </w:t>
      </w:r>
      <w:r w:rsidR="00855821">
        <w:t>only a week after taking office.</w:t>
      </w:r>
    </w:p>
    <w:p w:rsidR="007F66E7" w:rsidP="000D00BD" w14:paraId="68B03C20" w14:textId="0F1AA2CF">
      <w:pPr>
        <w:spacing w:line="360" w:lineRule="auto"/>
      </w:pPr>
      <w:r>
        <w:tab/>
      </w:r>
      <w:r w:rsidR="00803D54">
        <w:t xml:space="preserve">Vaesau argues that permitting a </w:t>
      </w:r>
      <w:r w:rsidR="00E12931">
        <w:t xml:space="preserve">district attorney </w:t>
      </w:r>
      <w:r w:rsidR="00803D54">
        <w:t>“to withdraw its recommendation on a whim, or due to a change in the political winds, is not consistent with [Assembly Bill No.</w:t>
      </w:r>
      <w:r w:rsidR="00953527">
        <w:t> </w:t>
      </w:r>
      <w:r w:rsidR="00803D54">
        <w:t xml:space="preserve">1540’s] purpose.” </w:t>
      </w:r>
      <w:r w:rsidR="008C50FC">
        <w:t xml:space="preserve"> We agree.</w:t>
      </w:r>
      <w:r w:rsidR="005A64DA">
        <w:t xml:space="preserve">  </w:t>
      </w:r>
      <w:r w:rsidR="002434C0">
        <w:t>T</w:t>
      </w:r>
      <w:r w:rsidR="005A64DA">
        <w:t xml:space="preserve">he </w:t>
      </w:r>
      <w:r w:rsidR="008930A8">
        <w:t xml:space="preserve">intent behind the </w:t>
      </w:r>
      <w:r w:rsidR="005A64DA">
        <w:t>presumption in favor of resentencing</w:t>
      </w:r>
      <w:r w:rsidR="008930A8">
        <w:t xml:space="preserve">, to recognize </w:t>
      </w:r>
      <w:r w:rsidR="009947A4">
        <w:t>“</w:t>
      </w:r>
      <w:r w:rsidR="008930A8">
        <w:t>the</w:t>
      </w:r>
      <w:r w:rsidR="009947A4">
        <w:t xml:space="preserve"> significant</w:t>
      </w:r>
      <w:r w:rsidR="008930A8">
        <w:t xml:space="preserve"> </w:t>
      </w:r>
      <w:r w:rsidR="00307A6C">
        <w:t>time, analysis, and scrutiny”</w:t>
      </w:r>
      <w:r w:rsidR="009947A4">
        <w:t xml:space="preserve"> </w:t>
      </w:r>
      <w:r w:rsidR="000D0D75">
        <w:t xml:space="preserve">behind resentencing requests </w:t>
      </w:r>
      <w:r w:rsidR="00307A6C">
        <w:t>(Stats. 2021, ch.</w:t>
      </w:r>
      <w:r w:rsidR="00E64120">
        <w:t> </w:t>
      </w:r>
      <w:r w:rsidR="00307A6C">
        <w:t>719, § 1, subd. (g))</w:t>
      </w:r>
      <w:r w:rsidR="000D0D75">
        <w:t xml:space="preserve">, </w:t>
      </w:r>
      <w:r w:rsidR="004E4B6C">
        <w:t xml:space="preserve">is thwarted if a </w:t>
      </w:r>
      <w:r w:rsidR="00F844F8">
        <w:t>district attorney</w:t>
      </w:r>
      <w:r w:rsidR="004E4B6C">
        <w:t xml:space="preserve"> is allowed to withdraw a request without justification.</w:t>
      </w:r>
      <w:r w:rsidR="003509F6">
        <w:t xml:space="preserve">  </w:t>
      </w:r>
      <w:r>
        <w:t>T</w:t>
      </w:r>
      <w:r w:rsidR="00B8277A">
        <w:t>his legislative goal does not require a trial court to reach the merits of every resentencing request,</w:t>
      </w:r>
      <w:r w:rsidR="00832A8E">
        <w:t xml:space="preserve"> </w:t>
      </w:r>
      <w:r>
        <w:t xml:space="preserve">but it does require a court to </w:t>
      </w:r>
      <w:r w:rsidR="00BE0A58">
        <w:t xml:space="preserve">consider </w:t>
      </w:r>
      <w:r w:rsidR="00F844F8">
        <w:t>the basis for a motion to withdraw</w:t>
      </w:r>
      <w:r>
        <w:t xml:space="preserve">.  </w:t>
      </w:r>
      <w:r w:rsidR="00075250">
        <w:t xml:space="preserve">As </w:t>
      </w:r>
      <w:r w:rsidR="00075250">
        <w:rPr>
          <w:i/>
          <w:iCs/>
        </w:rPr>
        <w:t>E.M.</w:t>
      </w:r>
      <w:r w:rsidR="00075250">
        <w:t xml:space="preserve"> suggests, the</w:t>
      </w:r>
      <w:r w:rsidR="00A71BBB">
        <w:t xml:space="preserve">re could be </w:t>
      </w:r>
      <w:r w:rsidR="00FC2E9C">
        <w:t xml:space="preserve">a range of </w:t>
      </w:r>
      <w:r w:rsidR="00A71BBB">
        <w:t xml:space="preserve">valid reasons </w:t>
      </w:r>
      <w:r w:rsidR="00210C6C">
        <w:t xml:space="preserve">to </w:t>
      </w:r>
      <w:r w:rsidR="00F844F8">
        <w:t>withdraw a request</w:t>
      </w:r>
      <w:r w:rsidR="00A71BBB">
        <w:t>, such as</w:t>
      </w:r>
      <w:r w:rsidR="00FC2E9C">
        <w:t xml:space="preserve"> “administrative mistake or improvidence,</w:t>
      </w:r>
      <w:r w:rsidR="009733C7">
        <w:t>”</w:t>
      </w:r>
      <w:r w:rsidR="00A71BBB">
        <w:t xml:space="preserve"> a change in the law,</w:t>
      </w:r>
      <w:r w:rsidR="009733C7">
        <w:t xml:space="preserve"> or a “change in the prisoner’s circumstances” </w:t>
      </w:r>
      <w:r w:rsidR="00210C6C">
        <w:t>making</w:t>
      </w:r>
      <w:r w:rsidR="009733C7">
        <w:t xml:space="preserve"> the prisoner “less deserving</w:t>
      </w:r>
      <w:r w:rsidR="00210C6C">
        <w:t xml:space="preserve"> of resentencing.”  (</w:t>
      </w:r>
      <w:r w:rsidR="00210C6C">
        <w:rPr>
          <w:i/>
          <w:iCs/>
        </w:rPr>
        <w:t>E.M.</w:t>
      </w:r>
      <w:r w:rsidR="00210C6C">
        <w:t xml:space="preserve">, </w:t>
      </w:r>
      <w:r w:rsidR="00210C6C">
        <w:rPr>
          <w:i/>
          <w:iCs/>
        </w:rPr>
        <w:t>supra</w:t>
      </w:r>
      <w:r w:rsidR="00210C6C">
        <w:t>, 85 Cal.App.5th at p</w:t>
      </w:r>
      <w:r w:rsidR="00D72492">
        <w:t>p</w:t>
      </w:r>
      <w:r w:rsidR="00210C6C">
        <w:t>.</w:t>
      </w:r>
      <w:r w:rsidR="00E64120">
        <w:t> </w:t>
      </w:r>
      <w:r w:rsidR="00210C6C">
        <w:t>1085</w:t>
      </w:r>
      <w:r w:rsidR="00D72492">
        <w:t>–</w:t>
      </w:r>
      <w:r w:rsidR="00190078">
        <w:t>1086</w:t>
      </w:r>
      <w:r w:rsidR="00210C6C">
        <w:t>.)</w:t>
      </w:r>
      <w:r w:rsidR="00C144D6">
        <w:t xml:space="preserve">  </w:t>
      </w:r>
      <w:r w:rsidR="00AD40EA">
        <w:t xml:space="preserve">But the legitimacy of the proffered reason must be considered on a case-by-case basis, and standing alone, </w:t>
      </w:r>
      <w:r w:rsidR="00B573F6">
        <w:t xml:space="preserve">it is insufficient that </w:t>
      </w:r>
      <w:r w:rsidR="00F844F8">
        <w:t>the district attorney</w:t>
      </w:r>
      <w:r>
        <w:t xml:space="preserve"> no longer </w:t>
      </w:r>
      <w:r w:rsidR="00B573F6">
        <w:t xml:space="preserve">backs </w:t>
      </w:r>
      <w:r>
        <w:t xml:space="preserve">resentencing. </w:t>
      </w:r>
    </w:p>
    <w:p w:rsidR="00C62FCA" w:rsidRPr="00431530" w:rsidP="000D00BD" w14:paraId="2A71EF35" w14:textId="441AF26D">
      <w:pPr>
        <w:spacing w:line="360" w:lineRule="auto"/>
      </w:pPr>
      <w:r>
        <w:tab/>
        <w:t xml:space="preserve">Due process concerns also support requiring a </w:t>
      </w:r>
      <w:r w:rsidR="00F844F8">
        <w:t>district attorney</w:t>
      </w:r>
      <w:r>
        <w:t xml:space="preserve"> to </w:t>
      </w:r>
      <w:r w:rsidR="003D6055">
        <w:t xml:space="preserve">offer a valid reason for </w:t>
      </w:r>
      <w:r w:rsidR="00AE013F">
        <w:t>deciding</w:t>
      </w:r>
      <w:r>
        <w:t xml:space="preserve"> to withdraw a resentencing request.</w:t>
      </w:r>
      <w:r w:rsidR="00910C13">
        <w:t xml:space="preserve">  In </w:t>
      </w:r>
      <w:r w:rsidR="00910C13">
        <w:rPr>
          <w:i/>
          <w:iCs/>
        </w:rPr>
        <w:t>People</w:t>
      </w:r>
      <w:r w:rsidR="00E64120">
        <w:rPr>
          <w:i/>
          <w:iCs/>
        </w:rPr>
        <w:t> </w:t>
      </w:r>
      <w:r w:rsidR="00910C13">
        <w:rPr>
          <w:i/>
          <w:iCs/>
        </w:rPr>
        <w:t xml:space="preserve">v. Pillsbury </w:t>
      </w:r>
      <w:r w:rsidR="00910C13">
        <w:t>(2021) 69</w:t>
      </w:r>
      <w:r w:rsidR="00E64120">
        <w:t> </w:t>
      </w:r>
      <w:r w:rsidR="00910C13">
        <w:t xml:space="preserve">Cal.App.5th 776, the </w:t>
      </w:r>
      <w:r w:rsidR="000565D4">
        <w:t>Third District Court of Appeal held that defendants recommended for resentencing under former section 1170(d), like defendants recommended for compassionate release, have a “</w:t>
      </w:r>
      <w:r w:rsidR="00E64120">
        <w:t> </w:t>
      </w:r>
      <w:r w:rsidR="000565D4">
        <w:t>‘substantial interest in personal liberty’</w:t>
      </w:r>
      <w:r w:rsidR="00E64120">
        <w:t> </w:t>
      </w:r>
      <w:r w:rsidR="000565D4">
        <w:t>” that entitles them to due process in proceedings under the statute.  (</w:t>
      </w:r>
      <w:r w:rsidR="000565D4">
        <w:rPr>
          <w:i/>
          <w:iCs/>
        </w:rPr>
        <w:t>Pillsbury</w:t>
      </w:r>
      <w:r w:rsidR="000565D4">
        <w:t>, at p.</w:t>
      </w:r>
      <w:r w:rsidR="00E64120">
        <w:t> </w:t>
      </w:r>
      <w:r w:rsidR="000565D4">
        <w:t xml:space="preserve">790, quoting </w:t>
      </w:r>
      <w:r w:rsidR="000565D4">
        <w:rPr>
          <w:i/>
          <w:iCs/>
        </w:rPr>
        <w:t>Loper</w:t>
      </w:r>
      <w:r w:rsidR="000565D4">
        <w:t xml:space="preserve">, </w:t>
      </w:r>
      <w:r w:rsidR="000565D4">
        <w:rPr>
          <w:i/>
          <w:iCs/>
        </w:rPr>
        <w:t>supra</w:t>
      </w:r>
      <w:r w:rsidR="000565D4">
        <w:t>, 60 Cal.4th at p. 1161, fn.</w:t>
      </w:r>
      <w:r w:rsidR="00E64120">
        <w:t> </w:t>
      </w:r>
      <w:r w:rsidR="000565D4">
        <w:t>3.)</w:t>
      </w:r>
      <w:r w:rsidR="00977FE4">
        <w:t xml:space="preserve">  Although </w:t>
      </w:r>
      <w:r w:rsidR="00977FE4">
        <w:rPr>
          <w:i/>
          <w:iCs/>
        </w:rPr>
        <w:t>Pillsbury</w:t>
      </w:r>
      <w:r w:rsidR="00977FE4">
        <w:t>’s holding focused on the attendant procedural protections</w:t>
      </w:r>
      <w:r w:rsidR="00E60D18">
        <w:t xml:space="preserve">, </w:t>
      </w:r>
      <w:r w:rsidR="00977FE4">
        <w:t xml:space="preserve">which Assembly Bill No. 1540 later codified, </w:t>
      </w:r>
      <w:r w:rsidR="00E60D18">
        <w:t xml:space="preserve">due process generally </w:t>
      </w:r>
      <w:r w:rsidR="00977FE4">
        <w:t>“</w:t>
      </w:r>
      <w:r w:rsidR="004F70D6">
        <w:t>protects individuals from the arbitrary action of government.”  (</w:t>
      </w:r>
      <w:r w:rsidR="00977FE4">
        <w:rPr>
          <w:i/>
          <w:iCs/>
        </w:rPr>
        <w:t>Pillsbury</w:t>
      </w:r>
      <w:r w:rsidR="00977FE4">
        <w:t>, at p.</w:t>
      </w:r>
      <w:r w:rsidR="00E64120">
        <w:t> </w:t>
      </w:r>
      <w:r w:rsidR="00977FE4">
        <w:t>789</w:t>
      </w:r>
      <w:r w:rsidR="00AE013F">
        <w:t>,</w:t>
      </w:r>
      <w:r w:rsidR="00977FE4">
        <w:t xml:space="preserve"> </w:t>
      </w:r>
      <w:r w:rsidR="001731B1">
        <w:t xml:space="preserve">citing </w:t>
      </w:r>
      <w:r w:rsidR="001731B1">
        <w:rPr>
          <w:i/>
          <w:iCs/>
        </w:rPr>
        <w:t xml:space="preserve">Kentucky </w:t>
      </w:r>
      <w:r w:rsidR="002A0171">
        <w:rPr>
          <w:i/>
          <w:iCs/>
        </w:rPr>
        <w:t>Dept. of Corrections</w:t>
      </w:r>
      <w:r w:rsidR="00322959">
        <w:rPr>
          <w:i/>
          <w:iCs/>
        </w:rPr>
        <w:t> </w:t>
      </w:r>
      <w:r w:rsidR="002A0171">
        <w:rPr>
          <w:i/>
          <w:iCs/>
        </w:rPr>
        <w:t xml:space="preserve">v. Thompson </w:t>
      </w:r>
      <w:r w:rsidR="002A0171">
        <w:t>(1989) 490 U.S. 454, 460.</w:t>
      </w:r>
      <w:r w:rsidR="004F70D6">
        <w:t>)</w:t>
      </w:r>
      <w:r w:rsidR="00E66328">
        <w:t xml:space="preserve">  </w:t>
      </w:r>
      <w:r w:rsidR="00E60D18">
        <w:t xml:space="preserve">Moreover, </w:t>
      </w:r>
      <w:r w:rsidR="00605A86">
        <w:t xml:space="preserve">the </w:t>
      </w:r>
      <w:r w:rsidR="003D6055">
        <w:t>California C</w:t>
      </w:r>
      <w:r w:rsidR="00605A86">
        <w:t>onstitutio</w:t>
      </w:r>
      <w:r w:rsidR="00E60D18">
        <w:t xml:space="preserve">n </w:t>
      </w:r>
      <w:r w:rsidR="007A797D">
        <w:t>requires</w:t>
      </w:r>
      <w:r w:rsidR="00E60D18">
        <w:t xml:space="preserve"> </w:t>
      </w:r>
      <w:r w:rsidR="00F30A84">
        <w:t>“</w:t>
      </w:r>
      <w:r w:rsidR="007A797D">
        <w:t>the appearance of fairness</w:t>
      </w:r>
      <w:r w:rsidR="00F30A84">
        <w:t xml:space="preserve"> to those involved” in a proceeding.</w:t>
      </w:r>
      <w:r w:rsidR="004A0E8F">
        <w:t xml:space="preserve">  (</w:t>
      </w:r>
      <w:r w:rsidR="00431530">
        <w:rPr>
          <w:i/>
          <w:iCs/>
        </w:rPr>
        <w:t>People</w:t>
      </w:r>
      <w:r w:rsidR="00322959">
        <w:rPr>
          <w:i/>
          <w:iCs/>
        </w:rPr>
        <w:t> </w:t>
      </w:r>
      <w:r w:rsidR="00431530">
        <w:rPr>
          <w:i/>
          <w:iCs/>
        </w:rPr>
        <w:t>v. Sanchez</w:t>
      </w:r>
      <w:r w:rsidR="00431530">
        <w:t xml:space="preserve"> (</w:t>
      </w:r>
      <w:r w:rsidR="00521B27">
        <w:t>2017) 18</w:t>
      </w:r>
      <w:r w:rsidR="00322959">
        <w:t> </w:t>
      </w:r>
      <w:r w:rsidR="00521B27">
        <w:t xml:space="preserve">Cal.App.5th </w:t>
      </w:r>
      <w:r w:rsidR="00E61761">
        <w:t>727, 756</w:t>
      </w:r>
      <w:r w:rsidR="00F30A84">
        <w:t>.)</w:t>
      </w:r>
      <w:r w:rsidR="00C01625">
        <w:t xml:space="preserve">  </w:t>
      </w:r>
      <w:r w:rsidR="00CE211D">
        <w:t>Allowing</w:t>
      </w:r>
      <w:r w:rsidR="00C01625">
        <w:t xml:space="preserve"> a </w:t>
      </w:r>
      <w:r w:rsidR="00F844F8">
        <w:t>district attorney</w:t>
      </w:r>
      <w:r w:rsidR="00C01625">
        <w:t xml:space="preserve"> to withdraw a resentencing request without explanation</w:t>
      </w:r>
      <w:r w:rsidR="00CE211D">
        <w:t xml:space="preserve">, </w:t>
      </w:r>
      <w:r w:rsidR="006101FE">
        <w:t>especially</w:t>
      </w:r>
      <w:r w:rsidR="00CE211D">
        <w:t xml:space="preserve"> under the political circumstances here,</w:t>
      </w:r>
      <w:r w:rsidR="00186FEF">
        <w:t xml:space="preserve"> </w:t>
      </w:r>
      <w:r w:rsidR="006101FE">
        <w:t xml:space="preserve">raises the specter of arbitrary action and </w:t>
      </w:r>
      <w:r w:rsidR="00C01625">
        <w:t>does not carry the appearance of fairnes</w:t>
      </w:r>
      <w:r w:rsidR="00186FEF">
        <w:t>s</w:t>
      </w:r>
      <w:r w:rsidR="00C01625">
        <w:t>.</w:t>
      </w:r>
    </w:p>
    <w:p w:rsidR="00242F0E" w:rsidP="00CD6267" w14:paraId="40B3B50E" w14:textId="41057507">
      <w:pPr>
        <w:spacing w:line="360" w:lineRule="auto"/>
      </w:pPr>
      <w:r>
        <w:tab/>
      </w:r>
      <w:r w:rsidR="0062356B">
        <w:t>T</w:t>
      </w:r>
      <w:r>
        <w:t xml:space="preserve">he trial court </w:t>
      </w:r>
      <w:r w:rsidR="007E5654">
        <w:t xml:space="preserve">correctly </w:t>
      </w:r>
      <w:r w:rsidR="007926D9">
        <w:t xml:space="preserve">determined </w:t>
      </w:r>
      <w:r w:rsidR="00310888">
        <w:t xml:space="preserve">that </w:t>
      </w:r>
      <w:r w:rsidR="009D21B1">
        <w:t>it was</w:t>
      </w:r>
      <w:r w:rsidR="00F447DF">
        <w:t xml:space="preserve"> not</w:t>
      </w:r>
      <w:r w:rsidR="00D40175">
        <w:t xml:space="preserve"> necessarily</w:t>
      </w:r>
      <w:r w:rsidR="009D21B1">
        <w:t xml:space="preserve"> required to reach the merits of the resentencing request</w:t>
      </w:r>
      <w:r w:rsidR="00E12931">
        <w:t xml:space="preserve"> and it correctly made no determination that the </w:t>
      </w:r>
      <w:r w:rsidR="00F447DF">
        <w:t>district attorney had an absolute right to withdraw the request.</w:t>
      </w:r>
      <w:r w:rsidR="00D40175">
        <w:t xml:space="preserve">  </w:t>
      </w:r>
      <w:r w:rsidR="000459AA">
        <w:t xml:space="preserve">Nonetheless, </w:t>
      </w:r>
      <w:r w:rsidR="000F5209">
        <w:t xml:space="preserve">the </w:t>
      </w:r>
      <w:r w:rsidR="0049590F">
        <w:t xml:space="preserve">court </w:t>
      </w:r>
      <w:r w:rsidR="0044031E">
        <w:t>concluded that it was</w:t>
      </w:r>
      <w:r w:rsidR="007926D9">
        <w:t xml:space="preserve"> “</w:t>
      </w:r>
      <w:r w:rsidR="00420622">
        <w:t>within the ambit of [the district attorney’s] discretio</w:t>
      </w:r>
      <w:r w:rsidR="007926D9">
        <w:t xml:space="preserve">n” to </w:t>
      </w:r>
      <w:r w:rsidR="00E738FB">
        <w:t>do so</w:t>
      </w:r>
      <w:r w:rsidR="007926D9">
        <w:t xml:space="preserve">, </w:t>
      </w:r>
      <w:r w:rsidR="00E443CC">
        <w:t xml:space="preserve">even though the district attorney </w:t>
      </w:r>
      <w:r w:rsidR="00E828C3">
        <w:t xml:space="preserve">failed to </w:t>
      </w:r>
      <w:r w:rsidR="00F844F8">
        <w:t xml:space="preserve">explain why the motion to withdraw was justified.  </w:t>
      </w:r>
      <w:r w:rsidR="009D3419">
        <w:t>It</w:t>
      </w:r>
      <w:r w:rsidR="00E738FB">
        <w:t xml:space="preserve"> </w:t>
      </w:r>
      <w:r w:rsidR="009F788F">
        <w:t xml:space="preserve">may well be that </w:t>
      </w:r>
      <w:r w:rsidR="0048028E">
        <w:t xml:space="preserve">on remand, </w:t>
      </w:r>
      <w:r w:rsidR="009F788F">
        <w:t xml:space="preserve">the district attorney </w:t>
      </w:r>
      <w:r w:rsidR="00E54AB4">
        <w:t>can offer a</w:t>
      </w:r>
      <w:r w:rsidR="002B41A1">
        <w:t xml:space="preserve"> legitimate reason </w:t>
      </w:r>
      <w:r w:rsidR="00E54AB4">
        <w:t>for the change in position</w:t>
      </w:r>
      <w:r w:rsidR="002B41A1">
        <w:t xml:space="preserve">, but </w:t>
      </w:r>
      <w:r w:rsidR="00F307B7">
        <w:t>no such reason is apparent from the record</w:t>
      </w:r>
      <w:r w:rsidR="00391781">
        <w:t xml:space="preserve"> before us</w:t>
      </w:r>
      <w:r w:rsidR="00F307B7">
        <w:t>.</w:t>
      </w:r>
      <w:r w:rsidR="00EC5460">
        <w:t xml:space="preserve">  </w:t>
      </w:r>
      <w:r w:rsidR="00F307B7">
        <w:t>Th</w:t>
      </w:r>
      <w:r w:rsidR="000F4999">
        <w:t>us</w:t>
      </w:r>
      <w:r w:rsidR="00F307B7">
        <w:t>,</w:t>
      </w:r>
      <w:r w:rsidR="00DC1328">
        <w:t xml:space="preserve"> we conclude that the court </w:t>
      </w:r>
      <w:r w:rsidR="00391781">
        <w:t xml:space="preserve">must revisit </w:t>
      </w:r>
      <w:r w:rsidR="005D0BF2">
        <w:t xml:space="preserve">its </w:t>
      </w:r>
      <w:r w:rsidR="005D44ED">
        <w:t xml:space="preserve">discretionary </w:t>
      </w:r>
      <w:r w:rsidR="005D0BF2">
        <w:t xml:space="preserve">decision to terminate the section 1172.1 proceeding. </w:t>
      </w:r>
    </w:p>
    <w:p w:rsidR="00CD6267" w:rsidRPr="008E4889" w:rsidP="00BD6481" w14:paraId="02DA90E7" w14:textId="77777777">
      <w:pPr>
        <w:keepNext/>
        <w:spacing w:line="240" w:lineRule="auto"/>
        <w:jc w:val="center"/>
      </w:pPr>
      <w:r w:rsidRPr="008E4889">
        <w:t>III.</w:t>
      </w:r>
      <w:r w:rsidRPr="008E4889">
        <w:br/>
      </w:r>
      <w:r w:rsidRPr="008E4889">
        <w:rPr>
          <w:smallCaps/>
        </w:rPr>
        <w:t>Disposition</w:t>
      </w:r>
    </w:p>
    <w:p w:rsidR="00A01A8E" w:rsidP="00B573F6" w14:paraId="1237E6FF" w14:textId="50EFD415">
      <w:pPr>
        <w:spacing w:before="180" w:line="360" w:lineRule="auto"/>
      </w:pPr>
      <w:r>
        <w:tab/>
        <w:t xml:space="preserve">The August 11, 2022 order granting the </w:t>
      </w:r>
      <w:r w:rsidR="00C84026">
        <w:t xml:space="preserve">district attorney’s motion to withdraw the resentencing </w:t>
      </w:r>
      <w:r w:rsidR="00BD6481">
        <w:t xml:space="preserve">request </w:t>
      </w:r>
      <w:r w:rsidR="00C84026">
        <w:t xml:space="preserve">is </w:t>
      </w:r>
      <w:r w:rsidR="00F6633E">
        <w:t>vacated</w:t>
      </w:r>
      <w:r w:rsidR="00C84026">
        <w:t xml:space="preserve">.  The matter is remanded for the trial court to </w:t>
      </w:r>
      <w:r w:rsidR="00BD6481">
        <w:t>reconsider whether to permit the district attorney to withdraw the request.</w:t>
      </w:r>
      <w:r w:rsidR="00C84026">
        <w:t xml:space="preserve"> </w:t>
      </w:r>
      <w:r w:rsidRPr="008E4889" w:rsidR="00CD6267">
        <w:tab/>
      </w:r>
    </w:p>
    <w:p w:rsidR="00A01A8E" w14:paraId="7F76AB90" w14:textId="77777777">
      <w:pPr>
        <w:tabs>
          <w:tab w:val="clear" w:pos="720"/>
        </w:tabs>
        <w:spacing w:line="360" w:lineRule="auto"/>
      </w:pPr>
      <w:r>
        <w:br w:type="page"/>
      </w:r>
    </w:p>
    <w:p w:rsidR="007D0110" w:rsidP="00A01A8E" w14:paraId="2D2C6F9F" w14:textId="77777777">
      <w:pPr>
        <w:spacing w:before="180" w:line="240" w:lineRule="auto"/>
      </w:pPr>
    </w:p>
    <w:p w:rsidR="00A01A8E" w:rsidP="00A01A8E" w14:paraId="5DAC255B" w14:textId="3021EF53">
      <w:pPr>
        <w:spacing w:before="180" w:line="240" w:lineRule="auto"/>
      </w:pPr>
      <w:r>
        <w:tab/>
      </w:r>
      <w:r>
        <w:tab/>
      </w:r>
      <w:r>
        <w:tab/>
      </w:r>
      <w:r>
        <w:tab/>
      </w:r>
      <w:r>
        <w:tab/>
      </w:r>
      <w:r>
        <w:tab/>
      </w:r>
      <w:r>
        <w:tab/>
        <w:t>_________________________</w:t>
      </w:r>
    </w:p>
    <w:p w:rsidR="00A01A8E" w:rsidP="00A01A8E" w14:paraId="58EF0062" w14:textId="4F651228">
      <w:pPr>
        <w:spacing w:before="180" w:line="240" w:lineRule="auto"/>
      </w:pPr>
      <w:r>
        <w:tab/>
      </w:r>
      <w:r>
        <w:tab/>
      </w:r>
      <w:r>
        <w:tab/>
      </w:r>
      <w:r>
        <w:tab/>
      </w:r>
      <w:r>
        <w:tab/>
      </w:r>
      <w:r>
        <w:tab/>
      </w:r>
      <w:r>
        <w:tab/>
        <w:t>Humes, P.J.</w:t>
      </w:r>
    </w:p>
    <w:p w:rsidR="00A01A8E" w:rsidP="00A01A8E" w14:paraId="204C80D0" w14:textId="77777777">
      <w:pPr>
        <w:spacing w:before="180" w:line="240" w:lineRule="auto"/>
      </w:pPr>
    </w:p>
    <w:p w:rsidR="00A01A8E" w:rsidP="00A01A8E" w14:paraId="58A51AE2" w14:textId="77777777">
      <w:pPr>
        <w:spacing w:before="180" w:line="240" w:lineRule="auto"/>
      </w:pPr>
    </w:p>
    <w:p w:rsidR="00A01A8E" w:rsidP="00A01A8E" w14:paraId="4FD600D3" w14:textId="5FEA73B2">
      <w:pPr>
        <w:spacing w:before="180" w:line="240" w:lineRule="auto"/>
      </w:pPr>
      <w:r>
        <w:t>WE CONCUR:</w:t>
      </w:r>
    </w:p>
    <w:p w:rsidR="00A01A8E" w:rsidP="00A01A8E" w14:paraId="0A49B4CE" w14:textId="77777777">
      <w:pPr>
        <w:spacing w:before="180" w:line="240" w:lineRule="auto"/>
      </w:pPr>
    </w:p>
    <w:p w:rsidR="00A01A8E" w:rsidP="00A01A8E" w14:paraId="3BC587F3" w14:textId="77777777">
      <w:pPr>
        <w:spacing w:before="180" w:line="240" w:lineRule="auto"/>
      </w:pPr>
    </w:p>
    <w:p w:rsidR="00A01A8E" w:rsidP="00A01A8E" w14:paraId="47E522AA" w14:textId="3C6FB6AA">
      <w:pPr>
        <w:spacing w:before="180" w:line="240" w:lineRule="auto"/>
      </w:pPr>
      <w:r>
        <w:t>_________________________</w:t>
      </w:r>
    </w:p>
    <w:p w:rsidR="00A01A8E" w:rsidP="00A01A8E" w14:paraId="5E1CDBC5" w14:textId="638FA754">
      <w:pPr>
        <w:spacing w:before="180" w:line="240" w:lineRule="auto"/>
      </w:pPr>
      <w:r>
        <w:t>Banke, J.</w:t>
      </w:r>
    </w:p>
    <w:p w:rsidR="00A01A8E" w:rsidP="00A01A8E" w14:paraId="0D945DA8" w14:textId="77777777">
      <w:pPr>
        <w:spacing w:before="180" w:line="240" w:lineRule="auto"/>
      </w:pPr>
    </w:p>
    <w:p w:rsidR="00A01A8E" w:rsidP="00A01A8E" w14:paraId="2BEF95E9" w14:textId="77777777">
      <w:pPr>
        <w:spacing w:before="180" w:line="240" w:lineRule="auto"/>
      </w:pPr>
    </w:p>
    <w:p w:rsidR="00A01A8E" w:rsidP="00A01A8E" w14:paraId="19C364DB" w14:textId="7800EB63">
      <w:pPr>
        <w:spacing w:before="180" w:line="240" w:lineRule="auto"/>
      </w:pPr>
      <w:r>
        <w:t>_________________________</w:t>
      </w:r>
    </w:p>
    <w:p w:rsidR="00A01A8E" w:rsidP="00A01A8E" w14:paraId="52D4F13A" w14:textId="2FCFD69E">
      <w:pPr>
        <w:spacing w:before="180" w:line="240" w:lineRule="auto"/>
      </w:pPr>
      <w:r>
        <w:t>Bowen, J.*</w:t>
      </w:r>
    </w:p>
    <w:p w:rsidR="00A01A8E" w:rsidP="00A01A8E" w14:paraId="08E28337" w14:textId="77777777">
      <w:pPr>
        <w:spacing w:before="180" w:line="240" w:lineRule="auto"/>
      </w:pPr>
    </w:p>
    <w:p w:rsidR="00A01A8E" w:rsidP="00A01A8E" w14:paraId="7EF30377" w14:textId="77777777">
      <w:pPr>
        <w:spacing w:before="180" w:line="240" w:lineRule="auto"/>
      </w:pPr>
    </w:p>
    <w:p w:rsidR="00A01A8E" w:rsidP="00A01A8E" w14:paraId="5C4F2BEE" w14:textId="77777777">
      <w:pPr>
        <w:spacing w:before="180" w:line="240" w:lineRule="auto"/>
      </w:pPr>
    </w:p>
    <w:p w:rsidR="00A01A8E" w:rsidP="00A01A8E" w14:paraId="356E0226" w14:textId="77777777">
      <w:pPr>
        <w:spacing w:before="180" w:line="240" w:lineRule="auto"/>
      </w:pPr>
    </w:p>
    <w:p w:rsidR="00A01A8E" w:rsidP="00A01A8E" w14:paraId="58AB9024" w14:textId="77777777">
      <w:pPr>
        <w:spacing w:before="180" w:line="240" w:lineRule="auto"/>
      </w:pPr>
    </w:p>
    <w:p w:rsidR="00A01A8E" w:rsidP="00A01A8E" w14:paraId="5F3C3134" w14:textId="77777777">
      <w:pPr>
        <w:spacing w:before="180" w:line="240" w:lineRule="auto"/>
      </w:pPr>
    </w:p>
    <w:p w:rsidR="00A01A8E" w:rsidP="00A01A8E" w14:paraId="4A4723E3" w14:textId="77777777">
      <w:pPr>
        <w:spacing w:before="180" w:line="240" w:lineRule="auto"/>
      </w:pPr>
    </w:p>
    <w:p w:rsidR="00A01A8E" w:rsidP="00A01A8E" w14:paraId="62ADCF8D" w14:textId="77777777">
      <w:pPr>
        <w:spacing w:before="180" w:line="240" w:lineRule="auto"/>
      </w:pPr>
    </w:p>
    <w:p w:rsidR="00A01A8E" w:rsidRPr="00744058" w:rsidP="00A01A8E" w14:paraId="3666FA96" w14:textId="77777777">
      <w:pPr>
        <w:spacing w:line="240" w:lineRule="auto"/>
        <w:ind w:firstLine="720"/>
      </w:pPr>
      <w:r w:rsidRPr="00744058">
        <w:t>*Judge of the Superior Court of the County of Contra Costa, assigned by the Chief Justice pursuant to article VI, section 6 of the California Constitution.</w:t>
      </w:r>
    </w:p>
    <w:p w:rsidR="00A01A8E" w:rsidP="00A01A8E" w14:paraId="414CB275" w14:textId="77777777">
      <w:pPr>
        <w:spacing w:before="180" w:line="240" w:lineRule="auto"/>
      </w:pPr>
    </w:p>
    <w:p w:rsidR="003C4D75" w:rsidP="00A01A8E" w14:paraId="5485682A" w14:textId="498E5B08">
      <w:pPr>
        <w:spacing w:before="180" w:line="240" w:lineRule="auto"/>
      </w:pPr>
      <w:r w:rsidRPr="009654DB">
        <w:rPr>
          <w:i/>
          <w:iCs/>
        </w:rPr>
        <w:t>People v. Vaesau</w:t>
      </w:r>
      <w:r>
        <w:t xml:space="preserve">  A165925</w:t>
      </w:r>
    </w:p>
    <w:p w:rsidR="003C4D75" w14:paraId="75471693" w14:textId="77777777">
      <w:pPr>
        <w:tabs>
          <w:tab w:val="clear" w:pos="720"/>
        </w:tabs>
        <w:spacing w:line="360" w:lineRule="auto"/>
      </w:pPr>
      <w:r>
        <w:br w:type="page"/>
      </w:r>
    </w:p>
    <w:p w:rsidR="00AD624E" w:rsidRPr="00801B4D" w:rsidP="00AD624E" w14:paraId="4BE9379B" w14:textId="1C9F0664">
      <w:pPr>
        <w:spacing w:line="240" w:lineRule="auto"/>
      </w:pPr>
      <w:r w:rsidRPr="00801B4D">
        <w:t>Trial Court:</w:t>
      </w:r>
      <w:r w:rsidRPr="00801B4D">
        <w:tab/>
        <w:t xml:space="preserve"> </w:t>
      </w:r>
      <w:r w:rsidR="00C328B5">
        <w:t>City and County of San Francisco Superior Court</w:t>
      </w:r>
    </w:p>
    <w:p w:rsidR="00AD624E" w:rsidRPr="00801B4D" w:rsidP="00AD624E" w14:paraId="4D07131E" w14:textId="77777777">
      <w:pPr>
        <w:spacing w:line="240" w:lineRule="auto"/>
      </w:pPr>
    </w:p>
    <w:p w:rsidR="00AD624E" w:rsidRPr="00801B4D" w:rsidP="00AD624E" w14:paraId="23754FA0" w14:textId="2AA636B3">
      <w:pPr>
        <w:spacing w:line="240" w:lineRule="auto"/>
      </w:pPr>
      <w:r w:rsidRPr="00801B4D">
        <w:t xml:space="preserve">Trial Judge: </w:t>
      </w:r>
      <w:r w:rsidR="00076F28">
        <w:t>Bruce E. Chan</w:t>
      </w:r>
    </w:p>
    <w:p w:rsidR="00AD624E" w:rsidRPr="00801B4D" w:rsidP="00AD624E" w14:paraId="667C6BEA" w14:textId="77777777">
      <w:pPr>
        <w:spacing w:line="240" w:lineRule="auto"/>
      </w:pPr>
    </w:p>
    <w:p w:rsidR="00AD624E" w:rsidRPr="00801B4D" w:rsidP="00AD624E" w14:paraId="4E44D217" w14:textId="77777777">
      <w:pPr>
        <w:spacing w:line="240" w:lineRule="auto"/>
      </w:pPr>
      <w:r w:rsidRPr="00801B4D">
        <w:t xml:space="preserve">Counsel:  </w:t>
      </w:r>
    </w:p>
    <w:p w:rsidR="00AD624E" w:rsidRPr="00801B4D" w:rsidP="00AD624E" w14:paraId="413C8D47" w14:textId="77777777">
      <w:pPr>
        <w:spacing w:line="240" w:lineRule="auto"/>
      </w:pPr>
    </w:p>
    <w:p w:rsidR="00AD624E" w:rsidRPr="00801B4D" w:rsidP="00AD624E" w14:paraId="4B04BD3A" w14:textId="4D6E53F9">
      <w:pPr>
        <w:spacing w:line="240" w:lineRule="auto"/>
      </w:pPr>
      <w:r>
        <w:t>Joy A. Maulitz</w:t>
      </w:r>
      <w:r w:rsidRPr="00801B4D" w:rsidR="00CB7C41">
        <w:t xml:space="preserve">, under appointment by the Court of Appeal, for </w:t>
      </w:r>
      <w:r w:rsidR="00226F3C">
        <w:t>Defendant</w:t>
      </w:r>
      <w:r w:rsidRPr="00801B4D" w:rsidR="00CB7C41">
        <w:t xml:space="preserve"> and Appellant.</w:t>
      </w:r>
    </w:p>
    <w:p w:rsidR="00AD624E" w:rsidRPr="00801B4D" w:rsidP="00AD624E" w14:paraId="0FDC2B25" w14:textId="77777777">
      <w:pPr>
        <w:spacing w:line="240" w:lineRule="auto"/>
      </w:pPr>
    </w:p>
    <w:p w:rsidR="00AD624E" w:rsidRPr="00801B4D" w:rsidP="00AD624E" w14:paraId="1CF88BA9" w14:textId="19E34C79">
      <w:pPr>
        <w:spacing w:line="240" w:lineRule="auto"/>
      </w:pPr>
      <w:r>
        <w:t>Rob Bonta</w:t>
      </w:r>
      <w:r w:rsidRPr="00801B4D">
        <w:t xml:space="preserve">, Attorney General, </w:t>
      </w:r>
      <w:r>
        <w:t>Lance E. W</w:t>
      </w:r>
      <w:r w:rsidR="0037006E">
        <w:t>inters</w:t>
      </w:r>
      <w:r w:rsidRPr="00801B4D">
        <w:t>, Chief Assistant Attorney General, Jeffrey M. Laurence, Assistant Attorney General, Eric D. Share</w:t>
      </w:r>
      <w:r>
        <w:t xml:space="preserve"> and</w:t>
      </w:r>
      <w:r w:rsidR="00414063">
        <w:t xml:space="preserve"> Katie L. Stowe, Deputy Attorney</w:t>
      </w:r>
      <w:r>
        <w:t>s</w:t>
      </w:r>
      <w:r w:rsidR="00414063">
        <w:t xml:space="preserve"> General,</w:t>
      </w:r>
      <w:r w:rsidRPr="00801B4D">
        <w:t xml:space="preserve"> for Plaintiff and Respondent.</w:t>
      </w:r>
    </w:p>
    <w:p w:rsidR="00A01A8E" w:rsidP="00A01A8E" w14:paraId="3C16963C" w14:textId="77777777">
      <w:pPr>
        <w:spacing w:before="180" w:line="240" w:lineRule="auto"/>
      </w:pPr>
    </w:p>
    <w:p w:rsidR="001F4AAE" w:rsidP="00A01A8E" w14:paraId="39DDCCFD" w14:textId="77777777">
      <w:pPr>
        <w:spacing w:before="180" w:line="240" w:lineRule="auto"/>
      </w:pPr>
    </w:p>
    <w:p w:rsidR="001F4AAE" w:rsidP="00A01A8E" w14:paraId="694D6EE9" w14:textId="77777777">
      <w:pPr>
        <w:spacing w:before="180" w:line="240" w:lineRule="auto"/>
      </w:pPr>
    </w:p>
    <w:p w:rsidR="001F4AAE" w:rsidP="00A01A8E" w14:paraId="7F087C65" w14:textId="77777777">
      <w:pPr>
        <w:spacing w:before="180" w:line="240" w:lineRule="auto"/>
      </w:pPr>
    </w:p>
    <w:p w:rsidR="001F4AAE" w:rsidP="00A01A8E" w14:paraId="23925C6E" w14:textId="77777777">
      <w:pPr>
        <w:spacing w:before="180" w:line="240" w:lineRule="auto"/>
      </w:pPr>
    </w:p>
    <w:p w:rsidR="001F4AAE" w:rsidP="00A01A8E" w14:paraId="6C92E64F" w14:textId="77777777">
      <w:pPr>
        <w:spacing w:before="180" w:line="240" w:lineRule="auto"/>
      </w:pPr>
    </w:p>
    <w:p w:rsidR="001F4AAE" w:rsidP="00A01A8E" w14:paraId="6F68ABBC" w14:textId="77777777">
      <w:pPr>
        <w:spacing w:before="180" w:line="240" w:lineRule="auto"/>
      </w:pPr>
    </w:p>
    <w:p w:rsidR="001F4AAE" w:rsidP="00A01A8E" w14:paraId="68A2EF7C" w14:textId="77777777">
      <w:pPr>
        <w:spacing w:before="180" w:line="240" w:lineRule="auto"/>
      </w:pPr>
    </w:p>
    <w:p w:rsidR="001F4AAE" w:rsidP="00A01A8E" w14:paraId="67C95F89" w14:textId="77777777">
      <w:pPr>
        <w:spacing w:before="180" w:line="240" w:lineRule="auto"/>
      </w:pPr>
    </w:p>
    <w:p w:rsidR="001F4AAE" w:rsidP="00A01A8E" w14:paraId="74A3DDEF" w14:textId="77777777">
      <w:pPr>
        <w:spacing w:before="180" w:line="240" w:lineRule="auto"/>
      </w:pPr>
    </w:p>
    <w:p w:rsidR="001F4AAE" w:rsidP="00A01A8E" w14:paraId="2CA9EFFA" w14:textId="77777777">
      <w:pPr>
        <w:spacing w:before="180" w:line="240" w:lineRule="auto"/>
      </w:pPr>
    </w:p>
    <w:p w:rsidR="001F4AAE" w:rsidP="00A01A8E" w14:paraId="4C57FA20" w14:textId="77777777">
      <w:pPr>
        <w:spacing w:before="180" w:line="240" w:lineRule="auto"/>
      </w:pPr>
    </w:p>
    <w:p w:rsidR="001F4AAE" w:rsidP="00A01A8E" w14:paraId="7BD5A8F0" w14:textId="77777777">
      <w:pPr>
        <w:spacing w:before="180" w:line="240" w:lineRule="auto"/>
      </w:pPr>
    </w:p>
    <w:p w:rsidR="001F4AAE" w:rsidP="00A01A8E" w14:paraId="11D10036" w14:textId="77777777">
      <w:pPr>
        <w:spacing w:before="180" w:line="240" w:lineRule="auto"/>
      </w:pPr>
    </w:p>
    <w:p w:rsidR="001F4AAE" w:rsidP="00A01A8E" w14:paraId="537436E5" w14:textId="77777777">
      <w:pPr>
        <w:spacing w:before="180" w:line="240" w:lineRule="auto"/>
      </w:pPr>
    </w:p>
    <w:p w:rsidR="001F4AAE" w:rsidP="00A01A8E" w14:paraId="1B49C011" w14:textId="77777777">
      <w:pPr>
        <w:spacing w:before="180" w:line="240" w:lineRule="auto"/>
      </w:pPr>
    </w:p>
    <w:p w:rsidR="001F4AAE" w:rsidP="00A01A8E" w14:paraId="5599F9D8" w14:textId="77777777">
      <w:pPr>
        <w:spacing w:before="180" w:line="240" w:lineRule="auto"/>
      </w:pPr>
    </w:p>
    <w:p w:rsidR="001F4AAE" w:rsidP="00A01A8E" w14:paraId="60B04794" w14:textId="319F8D23">
      <w:pPr>
        <w:spacing w:before="180" w:line="240" w:lineRule="auto"/>
      </w:pPr>
      <w:r w:rsidRPr="009654DB">
        <w:rPr>
          <w:i/>
          <w:iCs/>
        </w:rPr>
        <w:t>People v. Vaesau</w:t>
      </w:r>
      <w:r>
        <w:t xml:space="preserve">  A165925</w:t>
      </w:r>
    </w:p>
    <w:sectPr w:rsidSect="00094F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110" w:rsidP="00B51DF6" w14:paraId="037752CA" w14:textId="59B939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D0110" w:rsidP="00B51DF6" w14:paraId="78E23566" w14:textId="7C04FA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D0110" w14:paraId="124378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110" w:rsidP="007D0110" w14:paraId="192770A2" w14:textId="66223D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D0110" w14:paraId="0D0C862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F67" w14:paraId="78916C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C20FB" w:rsidP="007D0110" w14:paraId="70522742" w14:textId="77777777">
      <w:pPr>
        <w:spacing w:line="240" w:lineRule="auto"/>
      </w:pPr>
      <w:r>
        <w:separator/>
      </w:r>
    </w:p>
  </w:footnote>
  <w:footnote w:type="continuationSeparator" w:id="1">
    <w:p w:rsidR="00CC20FB" w:rsidP="007D0110" w14:paraId="45B989CA" w14:textId="77777777">
      <w:pPr>
        <w:spacing w:line="240" w:lineRule="auto"/>
      </w:pPr>
      <w:r>
        <w:continuationSeparator/>
      </w:r>
    </w:p>
  </w:footnote>
  <w:footnote w:id="2">
    <w:p w:rsidR="00F14F16" w:rsidP="00F14F16" w14:paraId="5F65EDB6" w14:textId="77777777">
      <w:pPr>
        <w:pStyle w:val="FootnoteText"/>
        <w:ind w:firstLine="720"/>
      </w:pPr>
      <w:r>
        <w:rPr>
          <w:rStyle w:val="FootnoteReference"/>
        </w:rPr>
        <w:footnoteRef/>
      </w:r>
      <w:r>
        <w:t xml:space="preserve"> All further statutory references are to the Penal Code unless otherwise noted.</w:t>
      </w:r>
    </w:p>
  </w:footnote>
  <w:footnote w:id="3">
    <w:p w:rsidR="00B2777D" w:rsidP="00B2777D" w14:paraId="7D909ED3" w14:textId="5CBFB52E">
      <w:pPr>
        <w:pStyle w:val="FootnoteText"/>
        <w:ind w:firstLine="720"/>
      </w:pPr>
      <w:r>
        <w:rPr>
          <w:rStyle w:val="FootnoteReference"/>
        </w:rPr>
        <w:footnoteRef/>
      </w:r>
      <w:r>
        <w:t xml:space="preserve"> </w:t>
      </w:r>
      <w:r w:rsidR="00865900">
        <w:t>These charges were brought under sections 187 and 664 (attempted murder) and section 245, subdivision (a)(2)</w:t>
      </w:r>
      <w:r w:rsidR="00BF2A5B">
        <w:t xml:space="preserve"> (assault with firearm). </w:t>
      </w:r>
      <w:r w:rsidR="003256E0">
        <w:t xml:space="preserve"> The accompanying allegations were made under sections 12022.5</w:t>
      </w:r>
      <w:r w:rsidR="00AB3848">
        <w:t>, subdivision</w:t>
      </w:r>
      <w:r w:rsidR="0014139A">
        <w:t> </w:t>
      </w:r>
      <w:r w:rsidR="00AB3848">
        <w:t>(a)</w:t>
      </w:r>
      <w:r w:rsidR="0014139A">
        <w:t xml:space="preserve"> (firearm use)</w:t>
      </w:r>
      <w:r w:rsidR="00AB3848">
        <w:t>, and 12022.7</w:t>
      </w:r>
      <w:r w:rsidR="0014139A">
        <w:t xml:space="preserve"> (infliction of great bodily injury)</w:t>
      </w:r>
      <w:r w:rsidR="00AB3848">
        <w:t xml:space="preserve">. </w:t>
      </w:r>
    </w:p>
  </w:footnote>
  <w:footnote w:id="4">
    <w:p w:rsidR="002C4590" w:rsidP="00B34086" w14:paraId="7616F226" w14:textId="66EF0CB8">
      <w:pPr>
        <w:pStyle w:val="FootnoteText"/>
        <w:ind w:firstLine="720"/>
      </w:pPr>
      <w:r>
        <w:rPr>
          <w:rStyle w:val="FootnoteReference"/>
        </w:rPr>
        <w:footnoteRef/>
      </w:r>
      <w:r>
        <w:t xml:space="preserve"> These charges were brought under section 245, subdivision (a)(1)</w:t>
      </w:r>
      <w:r w:rsidR="00B34086">
        <w:t xml:space="preserve"> </w:t>
      </w:r>
      <w:r>
        <w:t>(assault with deadly weapon)</w:t>
      </w:r>
      <w:r w:rsidR="004B3BDB">
        <w:t>,</w:t>
      </w:r>
      <w:r>
        <w:t xml:space="preserve"> and </w:t>
      </w:r>
      <w:r w:rsidR="00A078DF">
        <w:t xml:space="preserve">Welfare and Institutions Code section 871 (escape from juvenile facility). </w:t>
      </w:r>
    </w:p>
  </w:footnote>
  <w:footnote w:id="5">
    <w:p w:rsidR="00467FCD" w:rsidRPr="009B0C78" w:rsidP="00467FCD" w14:paraId="288C7095" w14:textId="5BA78185">
      <w:pPr>
        <w:pStyle w:val="FootnoteText"/>
        <w:spacing w:before="90"/>
        <w:ind w:firstLine="720"/>
      </w:pPr>
      <w:r>
        <w:rPr>
          <w:rStyle w:val="FootnoteReference"/>
        </w:rPr>
        <w:footnoteRef/>
      </w:r>
      <w:r>
        <w:t xml:space="preserve"> On our own motion, we take judicial notice of this election result</w:t>
      </w:r>
      <w:r w:rsidR="00F93645">
        <w:t xml:space="preserve"> and the date Jenkins took office</w:t>
      </w:r>
      <w:r>
        <w:t xml:space="preserve">.  (Evid. Code, </w:t>
      </w:r>
      <w:r w:rsidR="00345498">
        <w:t xml:space="preserve">§ 452, subd. (h); see </w:t>
      </w:r>
      <w:r w:rsidR="00345498">
        <w:rPr>
          <w:i/>
          <w:iCs/>
        </w:rPr>
        <w:t>Edelstein</w:t>
      </w:r>
      <w:r w:rsidR="00E3096A">
        <w:rPr>
          <w:i/>
          <w:iCs/>
        </w:rPr>
        <w:t> </w:t>
      </w:r>
      <w:r w:rsidR="00345498">
        <w:rPr>
          <w:i/>
          <w:iCs/>
        </w:rPr>
        <w:t>v. City and County of San Francisco</w:t>
      </w:r>
      <w:r w:rsidR="00345498">
        <w:t xml:space="preserve"> (2002) 29 Cal.4th 164, 171, fn. 3 [taking judicial notice of election results].)</w:t>
      </w:r>
    </w:p>
  </w:footnote>
  <w:footnote w:id="6">
    <w:p w:rsidR="000D229A" w:rsidP="000D229A" w14:paraId="5F7971DF" w14:textId="48BEA955">
      <w:pPr>
        <w:pStyle w:val="FootnoteText"/>
        <w:ind w:firstLine="720"/>
      </w:pPr>
      <w:r>
        <w:rPr>
          <w:rStyle w:val="FootnoteReference"/>
        </w:rPr>
        <w:footnoteRef/>
      </w:r>
      <w:r>
        <w:t xml:space="preserve"> </w:t>
      </w:r>
      <w:r w:rsidR="00C32CB3">
        <w:t xml:space="preserve">The hearing’s minute order </w:t>
      </w:r>
      <w:r w:rsidR="00023A80">
        <w:t xml:space="preserve">states, “Due to recent changes in the law, the People move to withdraw the petition.”  </w:t>
      </w:r>
      <w:r w:rsidR="00B50023">
        <w:t xml:space="preserve">Although the trial court noted that </w:t>
      </w:r>
      <w:r w:rsidR="003B606D">
        <w:t xml:space="preserve">the resentencing request involved “a new area of the law,” the prosecutor never </w:t>
      </w:r>
      <w:r w:rsidR="00A809D7">
        <w:t xml:space="preserve">identified </w:t>
      </w:r>
      <w:r w:rsidR="00B45D9F">
        <w:t>any change in the law as a reason to withdraw the request.</w:t>
      </w:r>
    </w:p>
  </w:footnote>
  <w:footnote w:id="7">
    <w:p w:rsidR="009A0EA6" w:rsidP="009A0EA6" w14:paraId="76AFF37A" w14:textId="294C772E">
      <w:pPr>
        <w:pStyle w:val="FootnoteText"/>
        <w:ind w:firstLine="720"/>
      </w:pPr>
      <w:r>
        <w:rPr>
          <w:rStyle w:val="FootnoteReference"/>
        </w:rPr>
        <w:footnoteRef/>
      </w:r>
      <w:r>
        <w:t xml:space="preserve"> Former section 1170(d)</w:t>
      </w:r>
      <w:r w:rsidR="009D05B3">
        <w:t xml:space="preserve"> originally authorized only the </w:t>
      </w:r>
      <w:r w:rsidR="00811762">
        <w:t>S</w:t>
      </w:r>
      <w:r w:rsidR="009D05B3">
        <w:t>ecretary</w:t>
      </w:r>
      <w:r w:rsidR="00811762">
        <w:t xml:space="preserve"> of the </w:t>
      </w:r>
      <w:r w:rsidR="00044C6B">
        <w:t>Department of Corrections and Rehabilitation</w:t>
      </w:r>
      <w:r w:rsidR="00811762">
        <w:t xml:space="preserve"> (Secretary)</w:t>
      </w:r>
      <w:r w:rsidR="009D05B3">
        <w:t xml:space="preserve"> or Board of Parole Hearings to </w:t>
      </w:r>
      <w:r w:rsidR="00244330">
        <w:t>request resentencing</w:t>
      </w:r>
      <w:r w:rsidR="009D05B3">
        <w:t>.</w:t>
      </w:r>
      <w:r>
        <w:t xml:space="preserve">  </w:t>
      </w:r>
      <w:r w:rsidR="009D05B3">
        <w:t>D</w:t>
      </w:r>
      <w:r>
        <w:t xml:space="preserve">istrict attorneys </w:t>
      </w:r>
      <w:r w:rsidR="009D05B3">
        <w:t xml:space="preserve">were </w:t>
      </w:r>
      <w:r>
        <w:t>added as potential recommending parties in 2019.  (</w:t>
      </w:r>
      <w:r w:rsidR="00E06FD8">
        <w:t>Assembly Bill No.</w:t>
      </w:r>
      <w:r w:rsidR="00252A81">
        <w:t> </w:t>
      </w:r>
      <w:r w:rsidR="00E06FD8">
        <w:t>2942 (</w:t>
      </w:r>
      <w:r w:rsidR="00BE2BCC">
        <w:t>2017</w:t>
      </w:r>
      <w:r w:rsidR="007E1959">
        <w:t xml:space="preserve">–2018 Reg. Sess.), </w:t>
      </w:r>
      <w:r>
        <w:t xml:space="preserve">Stats. 2018, ch. 1001, § 1.)  </w:t>
      </w:r>
    </w:p>
  </w:footnote>
  <w:footnote w:id="8">
    <w:p w:rsidR="0030262D" w:rsidP="00193995" w14:paraId="24DDCC87" w14:textId="39348520">
      <w:pPr>
        <w:pStyle w:val="FootnoteText"/>
        <w:ind w:firstLine="720"/>
      </w:pPr>
      <w:r>
        <w:rPr>
          <w:rStyle w:val="FootnoteReference"/>
        </w:rPr>
        <w:footnoteRef/>
      </w:r>
      <w:r>
        <w:t xml:space="preserve"> The five parties listed are the only parties that can recommend resentencing under section 1172.1, subdivision (a)(1).  In other words, section 1172.1, subdivision (b), applies when proceedings under the statute are initiated by an outside recommendation, as opposed to when the trial court re</w:t>
      </w:r>
      <w:r w:rsidR="00193995">
        <w:t>calls the sentence</w:t>
      </w:r>
      <w:r>
        <w:t xml:space="preserve"> on its own motion within 120 days of the commitment.  </w:t>
      </w:r>
    </w:p>
  </w:footnote>
  <w:footnote w:id="9">
    <w:p w:rsidR="00967C21" w:rsidP="00F11707" w14:paraId="61DC958F" w14:textId="36A599E5">
      <w:pPr>
        <w:pStyle w:val="FootnoteText"/>
        <w:ind w:firstLine="720"/>
      </w:pPr>
      <w:r>
        <w:rPr>
          <w:rStyle w:val="FootnoteReference"/>
        </w:rPr>
        <w:footnoteRef/>
      </w:r>
      <w:r>
        <w:t xml:space="preserve"> </w:t>
      </w:r>
      <w:r w:rsidR="00CC0E4F">
        <w:t>For his part, Vaesau draws an analogy to criminal proceedings,</w:t>
      </w:r>
      <w:r w:rsidR="006537EC">
        <w:t xml:space="preserve"> </w:t>
      </w:r>
      <w:r w:rsidR="006161DB">
        <w:t xml:space="preserve">in which the district attorney lacks </w:t>
      </w:r>
      <w:r w:rsidR="00E9798F">
        <w:t>the inherent authority to dismiss charges</w:t>
      </w:r>
      <w:r w:rsidR="006161DB">
        <w:t>.</w:t>
      </w:r>
      <w:r w:rsidR="00E9798F">
        <w:t xml:space="preserve"> </w:t>
      </w:r>
      <w:r w:rsidR="00BB4F02">
        <w:t>Under sections 1385 and 138</w:t>
      </w:r>
      <w:r w:rsidR="009E449B">
        <w:t>6</w:t>
      </w:r>
      <w:r w:rsidR="00BB4F02">
        <w:t>, “</w:t>
      </w:r>
      <w:r w:rsidR="0007586E">
        <w:t> </w:t>
      </w:r>
      <w:r w:rsidR="00BB4F02">
        <w:t>‘the prosecutor may not unilaterally abandon a prosecution’ ”</w:t>
      </w:r>
      <w:r w:rsidR="00513153">
        <w:t xml:space="preserve"> and “</w:t>
      </w:r>
      <w:r w:rsidR="0007586E">
        <w:t> </w:t>
      </w:r>
      <w:r w:rsidR="00513153">
        <w:t>‘</w:t>
      </w:r>
      <w:r w:rsidR="0007586E">
        <w:t> </w:t>
      </w:r>
      <w:r w:rsidR="00513153">
        <w:t>“can only recommend dismissal to the court.  Dismissal is within the latter’s exclusive discretion.”</w:t>
      </w:r>
      <w:r w:rsidR="0007586E">
        <w:t> </w:t>
      </w:r>
      <w:r w:rsidR="00513153">
        <w:t>’</w:t>
      </w:r>
      <w:r w:rsidR="0007586E">
        <w:t> </w:t>
      </w:r>
      <w:r w:rsidR="00513153">
        <w:t>”</w:t>
      </w:r>
      <w:r w:rsidR="00F11707">
        <w:t xml:space="preserve"> </w:t>
      </w:r>
      <w:r w:rsidR="006161DB">
        <w:t xml:space="preserve"> (</w:t>
      </w:r>
      <w:r w:rsidR="006161DB">
        <w:rPr>
          <w:i/>
          <w:iCs/>
        </w:rPr>
        <w:t>Nazir</w:t>
      </w:r>
      <w:r w:rsidR="005B43BE">
        <w:rPr>
          <w:i/>
          <w:iCs/>
        </w:rPr>
        <w:t> </w:t>
      </w:r>
      <w:r w:rsidR="006161DB">
        <w:rPr>
          <w:i/>
          <w:iCs/>
        </w:rPr>
        <w:t>v. Superior Court</w:t>
      </w:r>
      <w:r w:rsidR="006161DB">
        <w:t xml:space="preserve"> (2022) 79</w:t>
      </w:r>
      <w:r w:rsidR="005B43BE">
        <w:t> </w:t>
      </w:r>
      <w:r w:rsidR="006161DB">
        <w:t>Cal.App.5th 478,</w:t>
      </w:r>
      <w:r w:rsidR="00513153">
        <w:t xml:space="preserve"> </w:t>
      </w:r>
      <w:r w:rsidR="00E36B88">
        <w:t>491.)</w:t>
      </w:r>
      <w:r w:rsidR="001844BC">
        <w:t xml:space="preserve">  </w:t>
      </w:r>
      <w:r w:rsidR="003F7B63">
        <w:t xml:space="preserve">We </w:t>
      </w:r>
      <w:r w:rsidR="00460CD5">
        <w:t xml:space="preserve">need not address whether this </w:t>
      </w:r>
      <w:r w:rsidR="005027C1">
        <w:t>comparison</w:t>
      </w:r>
      <w:r w:rsidR="00460CD5">
        <w:t xml:space="preserve"> is sound, because </w:t>
      </w:r>
      <w:r w:rsidR="00542758">
        <w:t xml:space="preserve">we conclude </w:t>
      </w:r>
      <w:r w:rsidR="008C5694">
        <w:t xml:space="preserve">for other reasons that </w:t>
      </w:r>
      <w:r w:rsidR="00BD13CA">
        <w:t xml:space="preserve">a </w:t>
      </w:r>
      <w:r w:rsidR="00E738FB">
        <w:t>district attorney</w:t>
      </w:r>
      <w:r w:rsidR="00BD13CA">
        <w:t xml:space="preserve"> cannot unilaterally withdraw a resentencing request.</w:t>
      </w:r>
    </w:p>
  </w:footnote>
  <w:footnote w:id="10">
    <w:p w:rsidR="00CF3818" w:rsidP="00CF3818" w14:paraId="6053C4E7" w14:textId="52EDBC18">
      <w:pPr>
        <w:pStyle w:val="FootnoteText"/>
        <w:ind w:firstLine="720"/>
      </w:pPr>
      <w:r>
        <w:rPr>
          <w:rStyle w:val="FootnoteReference"/>
        </w:rPr>
        <w:footnoteRef/>
      </w:r>
      <w:r>
        <w:t xml:space="preserve"> </w:t>
      </w:r>
      <w:r w:rsidR="00167555">
        <w:t>As a result of this conclusion</w:t>
      </w:r>
      <w:r w:rsidR="002254B3">
        <w:t xml:space="preserve">, we need not </w:t>
      </w:r>
      <w:r w:rsidR="00D3113D">
        <w:t xml:space="preserve">address Vaesau’s argument that </w:t>
      </w:r>
      <w:r w:rsidR="00167555">
        <w:t xml:space="preserve">reversal is required because the district attorney </w:t>
      </w:r>
      <w:r w:rsidR="00B573F6">
        <w:t xml:space="preserve">violated principles of prosecutorial ethics.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F67" w14:paraId="1F9120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F67" w14:paraId="0E5D91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F67" w14:paraId="5468DF8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10"/>
    <w:rsid w:val="000025A5"/>
    <w:rsid w:val="00002698"/>
    <w:rsid w:val="0000650D"/>
    <w:rsid w:val="00006CA7"/>
    <w:rsid w:val="0000742F"/>
    <w:rsid w:val="000075A5"/>
    <w:rsid w:val="0001097B"/>
    <w:rsid w:val="0001207A"/>
    <w:rsid w:val="00012C10"/>
    <w:rsid w:val="0001591D"/>
    <w:rsid w:val="00022210"/>
    <w:rsid w:val="000229EE"/>
    <w:rsid w:val="00023563"/>
    <w:rsid w:val="00023A80"/>
    <w:rsid w:val="00024730"/>
    <w:rsid w:val="0002486D"/>
    <w:rsid w:val="00025429"/>
    <w:rsid w:val="00026757"/>
    <w:rsid w:val="00026969"/>
    <w:rsid w:val="00026DF4"/>
    <w:rsid w:val="0002726D"/>
    <w:rsid w:val="000278F2"/>
    <w:rsid w:val="00027ED0"/>
    <w:rsid w:val="00031E92"/>
    <w:rsid w:val="000327D6"/>
    <w:rsid w:val="00032CB2"/>
    <w:rsid w:val="000339CD"/>
    <w:rsid w:val="00034713"/>
    <w:rsid w:val="00035B1F"/>
    <w:rsid w:val="00036D1E"/>
    <w:rsid w:val="000405EB"/>
    <w:rsid w:val="000407AC"/>
    <w:rsid w:val="00041A7F"/>
    <w:rsid w:val="00043408"/>
    <w:rsid w:val="00044C6B"/>
    <w:rsid w:val="000459AA"/>
    <w:rsid w:val="00046868"/>
    <w:rsid w:val="00046AAD"/>
    <w:rsid w:val="00047EE4"/>
    <w:rsid w:val="00053263"/>
    <w:rsid w:val="0005502C"/>
    <w:rsid w:val="00055225"/>
    <w:rsid w:val="00056468"/>
    <w:rsid w:val="000565D4"/>
    <w:rsid w:val="00057BC6"/>
    <w:rsid w:val="00057C06"/>
    <w:rsid w:val="00060FBE"/>
    <w:rsid w:val="000621A2"/>
    <w:rsid w:val="00062638"/>
    <w:rsid w:val="000712E3"/>
    <w:rsid w:val="00075250"/>
    <w:rsid w:val="0007586E"/>
    <w:rsid w:val="00076F28"/>
    <w:rsid w:val="00077AC3"/>
    <w:rsid w:val="00077C7E"/>
    <w:rsid w:val="00080902"/>
    <w:rsid w:val="00082ACD"/>
    <w:rsid w:val="00083200"/>
    <w:rsid w:val="00083C42"/>
    <w:rsid w:val="000854DB"/>
    <w:rsid w:val="00086B7C"/>
    <w:rsid w:val="00087BD3"/>
    <w:rsid w:val="0009038C"/>
    <w:rsid w:val="000933C6"/>
    <w:rsid w:val="00093615"/>
    <w:rsid w:val="00094FEE"/>
    <w:rsid w:val="000960AE"/>
    <w:rsid w:val="00097062"/>
    <w:rsid w:val="000977E0"/>
    <w:rsid w:val="000A1857"/>
    <w:rsid w:val="000A1AA1"/>
    <w:rsid w:val="000A2369"/>
    <w:rsid w:val="000A2B9F"/>
    <w:rsid w:val="000A367B"/>
    <w:rsid w:val="000A4C89"/>
    <w:rsid w:val="000A4FF1"/>
    <w:rsid w:val="000A5433"/>
    <w:rsid w:val="000A5E23"/>
    <w:rsid w:val="000A6BA0"/>
    <w:rsid w:val="000A6D0E"/>
    <w:rsid w:val="000A6DD8"/>
    <w:rsid w:val="000A783F"/>
    <w:rsid w:val="000A7911"/>
    <w:rsid w:val="000B0002"/>
    <w:rsid w:val="000B0740"/>
    <w:rsid w:val="000B2C7F"/>
    <w:rsid w:val="000B67E0"/>
    <w:rsid w:val="000B7337"/>
    <w:rsid w:val="000B7702"/>
    <w:rsid w:val="000C06DA"/>
    <w:rsid w:val="000C18D1"/>
    <w:rsid w:val="000C24B8"/>
    <w:rsid w:val="000C527C"/>
    <w:rsid w:val="000C5645"/>
    <w:rsid w:val="000C68A7"/>
    <w:rsid w:val="000D00BD"/>
    <w:rsid w:val="000D0D75"/>
    <w:rsid w:val="000D14F2"/>
    <w:rsid w:val="000D1E00"/>
    <w:rsid w:val="000D229A"/>
    <w:rsid w:val="000D4E68"/>
    <w:rsid w:val="000D4EFB"/>
    <w:rsid w:val="000D748E"/>
    <w:rsid w:val="000E2A07"/>
    <w:rsid w:val="000E37DC"/>
    <w:rsid w:val="000E47EC"/>
    <w:rsid w:val="000E57A4"/>
    <w:rsid w:val="000E5A92"/>
    <w:rsid w:val="000E7B29"/>
    <w:rsid w:val="000F10FE"/>
    <w:rsid w:val="000F1FC8"/>
    <w:rsid w:val="000F48B2"/>
    <w:rsid w:val="000F4999"/>
    <w:rsid w:val="000F5209"/>
    <w:rsid w:val="000F75F8"/>
    <w:rsid w:val="000F7769"/>
    <w:rsid w:val="00101791"/>
    <w:rsid w:val="00101C7D"/>
    <w:rsid w:val="00102011"/>
    <w:rsid w:val="00104A30"/>
    <w:rsid w:val="001079D2"/>
    <w:rsid w:val="00110DA4"/>
    <w:rsid w:val="001119AA"/>
    <w:rsid w:val="001125CA"/>
    <w:rsid w:val="001129B0"/>
    <w:rsid w:val="00114E89"/>
    <w:rsid w:val="001163F2"/>
    <w:rsid w:val="00116B7E"/>
    <w:rsid w:val="00117BE5"/>
    <w:rsid w:val="0012075E"/>
    <w:rsid w:val="001211A5"/>
    <w:rsid w:val="0012120A"/>
    <w:rsid w:val="0012227B"/>
    <w:rsid w:val="00122BB5"/>
    <w:rsid w:val="00123195"/>
    <w:rsid w:val="0012326E"/>
    <w:rsid w:val="00123F79"/>
    <w:rsid w:val="0012594C"/>
    <w:rsid w:val="001261CE"/>
    <w:rsid w:val="00127DD2"/>
    <w:rsid w:val="00130447"/>
    <w:rsid w:val="00130900"/>
    <w:rsid w:val="00131529"/>
    <w:rsid w:val="00132ADC"/>
    <w:rsid w:val="00132FDB"/>
    <w:rsid w:val="00133820"/>
    <w:rsid w:val="00133BFA"/>
    <w:rsid w:val="0013619B"/>
    <w:rsid w:val="00136937"/>
    <w:rsid w:val="0014046A"/>
    <w:rsid w:val="00140BFA"/>
    <w:rsid w:val="0014139A"/>
    <w:rsid w:val="00144859"/>
    <w:rsid w:val="0014677A"/>
    <w:rsid w:val="00147B52"/>
    <w:rsid w:val="001502A8"/>
    <w:rsid w:val="001513C0"/>
    <w:rsid w:val="0015224E"/>
    <w:rsid w:val="00153B65"/>
    <w:rsid w:val="001554A6"/>
    <w:rsid w:val="00156C31"/>
    <w:rsid w:val="00156EE5"/>
    <w:rsid w:val="001574D7"/>
    <w:rsid w:val="00157859"/>
    <w:rsid w:val="00163B83"/>
    <w:rsid w:val="00163F7D"/>
    <w:rsid w:val="001646CF"/>
    <w:rsid w:val="00165FB0"/>
    <w:rsid w:val="00167555"/>
    <w:rsid w:val="00170026"/>
    <w:rsid w:val="0017178C"/>
    <w:rsid w:val="0017242A"/>
    <w:rsid w:val="001731B1"/>
    <w:rsid w:val="00174EEE"/>
    <w:rsid w:val="0017518C"/>
    <w:rsid w:val="00175B00"/>
    <w:rsid w:val="00176F7A"/>
    <w:rsid w:val="00177592"/>
    <w:rsid w:val="001804E1"/>
    <w:rsid w:val="001808CA"/>
    <w:rsid w:val="00180EAC"/>
    <w:rsid w:val="001816FB"/>
    <w:rsid w:val="00183082"/>
    <w:rsid w:val="00183648"/>
    <w:rsid w:val="0018416E"/>
    <w:rsid w:val="00184486"/>
    <w:rsid w:val="001844BC"/>
    <w:rsid w:val="00184BD0"/>
    <w:rsid w:val="00185AC6"/>
    <w:rsid w:val="00186FEF"/>
    <w:rsid w:val="00187C17"/>
    <w:rsid w:val="00190078"/>
    <w:rsid w:val="001915BA"/>
    <w:rsid w:val="0019200B"/>
    <w:rsid w:val="00192570"/>
    <w:rsid w:val="0019306C"/>
    <w:rsid w:val="00193995"/>
    <w:rsid w:val="00194D57"/>
    <w:rsid w:val="00197F13"/>
    <w:rsid w:val="001A080E"/>
    <w:rsid w:val="001A1491"/>
    <w:rsid w:val="001A230C"/>
    <w:rsid w:val="001A29BD"/>
    <w:rsid w:val="001A31EE"/>
    <w:rsid w:val="001A3526"/>
    <w:rsid w:val="001A3C49"/>
    <w:rsid w:val="001A3ECA"/>
    <w:rsid w:val="001A698C"/>
    <w:rsid w:val="001B2187"/>
    <w:rsid w:val="001B2425"/>
    <w:rsid w:val="001B388C"/>
    <w:rsid w:val="001B3C1A"/>
    <w:rsid w:val="001B4582"/>
    <w:rsid w:val="001B4CF9"/>
    <w:rsid w:val="001B4DD1"/>
    <w:rsid w:val="001B69D9"/>
    <w:rsid w:val="001B6BC7"/>
    <w:rsid w:val="001B70D8"/>
    <w:rsid w:val="001B7A71"/>
    <w:rsid w:val="001C0A80"/>
    <w:rsid w:val="001C1DBE"/>
    <w:rsid w:val="001C2349"/>
    <w:rsid w:val="001C3F66"/>
    <w:rsid w:val="001C5376"/>
    <w:rsid w:val="001C54D0"/>
    <w:rsid w:val="001C56F2"/>
    <w:rsid w:val="001C5A66"/>
    <w:rsid w:val="001C72CE"/>
    <w:rsid w:val="001C7F30"/>
    <w:rsid w:val="001D07A4"/>
    <w:rsid w:val="001D0FAA"/>
    <w:rsid w:val="001D1A9F"/>
    <w:rsid w:val="001D31B5"/>
    <w:rsid w:val="001D4377"/>
    <w:rsid w:val="001D6C69"/>
    <w:rsid w:val="001D74FC"/>
    <w:rsid w:val="001E03B9"/>
    <w:rsid w:val="001E1FD6"/>
    <w:rsid w:val="001E2904"/>
    <w:rsid w:val="001E3A2C"/>
    <w:rsid w:val="001E4604"/>
    <w:rsid w:val="001E5085"/>
    <w:rsid w:val="001E5A97"/>
    <w:rsid w:val="001E5D7D"/>
    <w:rsid w:val="001E649B"/>
    <w:rsid w:val="001E7823"/>
    <w:rsid w:val="001E789A"/>
    <w:rsid w:val="001F0409"/>
    <w:rsid w:val="001F0C6D"/>
    <w:rsid w:val="001F3277"/>
    <w:rsid w:val="001F3BC2"/>
    <w:rsid w:val="001F4AAE"/>
    <w:rsid w:val="001F5F78"/>
    <w:rsid w:val="001F6746"/>
    <w:rsid w:val="001F7859"/>
    <w:rsid w:val="00200B4C"/>
    <w:rsid w:val="002013F7"/>
    <w:rsid w:val="00201C6A"/>
    <w:rsid w:val="00201F4E"/>
    <w:rsid w:val="0020343B"/>
    <w:rsid w:val="002043D5"/>
    <w:rsid w:val="0020459F"/>
    <w:rsid w:val="00205799"/>
    <w:rsid w:val="002065DE"/>
    <w:rsid w:val="00207029"/>
    <w:rsid w:val="002077B1"/>
    <w:rsid w:val="00210C6C"/>
    <w:rsid w:val="0021177B"/>
    <w:rsid w:val="002129CF"/>
    <w:rsid w:val="00212EE2"/>
    <w:rsid w:val="00215297"/>
    <w:rsid w:val="00215AD1"/>
    <w:rsid w:val="0021783A"/>
    <w:rsid w:val="0021783F"/>
    <w:rsid w:val="002223CA"/>
    <w:rsid w:val="00222492"/>
    <w:rsid w:val="002247A8"/>
    <w:rsid w:val="00224F08"/>
    <w:rsid w:val="002254B3"/>
    <w:rsid w:val="00226A6A"/>
    <w:rsid w:val="00226F3C"/>
    <w:rsid w:val="0023179E"/>
    <w:rsid w:val="0023215B"/>
    <w:rsid w:val="00234742"/>
    <w:rsid w:val="00235EFD"/>
    <w:rsid w:val="0023763E"/>
    <w:rsid w:val="002403B1"/>
    <w:rsid w:val="00240889"/>
    <w:rsid w:val="00240CC6"/>
    <w:rsid w:val="00241F79"/>
    <w:rsid w:val="00242F0E"/>
    <w:rsid w:val="002434C0"/>
    <w:rsid w:val="00243EDB"/>
    <w:rsid w:val="00244330"/>
    <w:rsid w:val="0024508A"/>
    <w:rsid w:val="00245A8A"/>
    <w:rsid w:val="00245EFE"/>
    <w:rsid w:val="00246A8F"/>
    <w:rsid w:val="0024741F"/>
    <w:rsid w:val="00247C81"/>
    <w:rsid w:val="002514F9"/>
    <w:rsid w:val="00252A81"/>
    <w:rsid w:val="0025345D"/>
    <w:rsid w:val="00254B9A"/>
    <w:rsid w:val="002569D2"/>
    <w:rsid w:val="00256F2E"/>
    <w:rsid w:val="0025742F"/>
    <w:rsid w:val="00260442"/>
    <w:rsid w:val="00261BCF"/>
    <w:rsid w:val="0026372D"/>
    <w:rsid w:val="0026466F"/>
    <w:rsid w:val="00265CD8"/>
    <w:rsid w:val="002665DD"/>
    <w:rsid w:val="00266A6A"/>
    <w:rsid w:val="00266DA1"/>
    <w:rsid w:val="00266EEE"/>
    <w:rsid w:val="00267293"/>
    <w:rsid w:val="00267324"/>
    <w:rsid w:val="002679A4"/>
    <w:rsid w:val="0027005B"/>
    <w:rsid w:val="00271313"/>
    <w:rsid w:val="00271D54"/>
    <w:rsid w:val="00273644"/>
    <w:rsid w:val="00273D1E"/>
    <w:rsid w:val="00276CFA"/>
    <w:rsid w:val="00277420"/>
    <w:rsid w:val="00277CDE"/>
    <w:rsid w:val="00282E54"/>
    <w:rsid w:val="00283332"/>
    <w:rsid w:val="002842CE"/>
    <w:rsid w:val="0028589A"/>
    <w:rsid w:val="002871D9"/>
    <w:rsid w:val="0028774D"/>
    <w:rsid w:val="0029062E"/>
    <w:rsid w:val="00290814"/>
    <w:rsid w:val="00290F57"/>
    <w:rsid w:val="0029636D"/>
    <w:rsid w:val="0029686C"/>
    <w:rsid w:val="002975E7"/>
    <w:rsid w:val="002A0171"/>
    <w:rsid w:val="002A31C1"/>
    <w:rsid w:val="002A40CB"/>
    <w:rsid w:val="002A4161"/>
    <w:rsid w:val="002A4C70"/>
    <w:rsid w:val="002A574D"/>
    <w:rsid w:val="002A5B4F"/>
    <w:rsid w:val="002B07F7"/>
    <w:rsid w:val="002B365A"/>
    <w:rsid w:val="002B3973"/>
    <w:rsid w:val="002B3FA9"/>
    <w:rsid w:val="002B41A1"/>
    <w:rsid w:val="002B4438"/>
    <w:rsid w:val="002B5BE1"/>
    <w:rsid w:val="002B67A1"/>
    <w:rsid w:val="002B67E3"/>
    <w:rsid w:val="002C09C2"/>
    <w:rsid w:val="002C1D59"/>
    <w:rsid w:val="002C4590"/>
    <w:rsid w:val="002D0AE1"/>
    <w:rsid w:val="002D105B"/>
    <w:rsid w:val="002D1FE3"/>
    <w:rsid w:val="002D25DE"/>
    <w:rsid w:val="002D27D8"/>
    <w:rsid w:val="002D6EB7"/>
    <w:rsid w:val="002E018C"/>
    <w:rsid w:val="002E2177"/>
    <w:rsid w:val="002E21C9"/>
    <w:rsid w:val="002E2C44"/>
    <w:rsid w:val="002E4EA0"/>
    <w:rsid w:val="002E5759"/>
    <w:rsid w:val="002E6C2C"/>
    <w:rsid w:val="002E7464"/>
    <w:rsid w:val="002F14B4"/>
    <w:rsid w:val="002F2911"/>
    <w:rsid w:val="002F44BD"/>
    <w:rsid w:val="002F4B23"/>
    <w:rsid w:val="002F5535"/>
    <w:rsid w:val="002F61CE"/>
    <w:rsid w:val="002F6D1F"/>
    <w:rsid w:val="002F730E"/>
    <w:rsid w:val="002F7B61"/>
    <w:rsid w:val="0030262D"/>
    <w:rsid w:val="00302DA7"/>
    <w:rsid w:val="003039D0"/>
    <w:rsid w:val="003047B2"/>
    <w:rsid w:val="00305BE2"/>
    <w:rsid w:val="00307A6C"/>
    <w:rsid w:val="00307C7A"/>
    <w:rsid w:val="00310514"/>
    <w:rsid w:val="00310888"/>
    <w:rsid w:val="00311239"/>
    <w:rsid w:val="00311BF4"/>
    <w:rsid w:val="00311C5E"/>
    <w:rsid w:val="00312CC2"/>
    <w:rsid w:val="003134EA"/>
    <w:rsid w:val="00313D93"/>
    <w:rsid w:val="0031425A"/>
    <w:rsid w:val="00314431"/>
    <w:rsid w:val="00314E6A"/>
    <w:rsid w:val="00316D04"/>
    <w:rsid w:val="0031799B"/>
    <w:rsid w:val="00320408"/>
    <w:rsid w:val="00321EEA"/>
    <w:rsid w:val="003220CD"/>
    <w:rsid w:val="00322959"/>
    <w:rsid w:val="00324801"/>
    <w:rsid w:val="00325558"/>
    <w:rsid w:val="003256E0"/>
    <w:rsid w:val="00333F85"/>
    <w:rsid w:val="00334A51"/>
    <w:rsid w:val="003359E7"/>
    <w:rsid w:val="00335CE5"/>
    <w:rsid w:val="003374B7"/>
    <w:rsid w:val="00337FE4"/>
    <w:rsid w:val="003421FC"/>
    <w:rsid w:val="003443FF"/>
    <w:rsid w:val="00345498"/>
    <w:rsid w:val="00347978"/>
    <w:rsid w:val="0035048C"/>
    <w:rsid w:val="003507B6"/>
    <w:rsid w:val="003509F6"/>
    <w:rsid w:val="00351607"/>
    <w:rsid w:val="003534A7"/>
    <w:rsid w:val="00354AAD"/>
    <w:rsid w:val="00355BBD"/>
    <w:rsid w:val="00356C9E"/>
    <w:rsid w:val="00357B7D"/>
    <w:rsid w:val="003606AD"/>
    <w:rsid w:val="003615E5"/>
    <w:rsid w:val="00362075"/>
    <w:rsid w:val="003643E4"/>
    <w:rsid w:val="0036545F"/>
    <w:rsid w:val="00365E15"/>
    <w:rsid w:val="003662BD"/>
    <w:rsid w:val="00366690"/>
    <w:rsid w:val="0036698F"/>
    <w:rsid w:val="00366ED4"/>
    <w:rsid w:val="0037006E"/>
    <w:rsid w:val="00371FA8"/>
    <w:rsid w:val="003728C9"/>
    <w:rsid w:val="00373F7F"/>
    <w:rsid w:val="00374527"/>
    <w:rsid w:val="003746FF"/>
    <w:rsid w:val="00374CAA"/>
    <w:rsid w:val="00376132"/>
    <w:rsid w:val="00380620"/>
    <w:rsid w:val="00383F19"/>
    <w:rsid w:val="00385F87"/>
    <w:rsid w:val="003865C5"/>
    <w:rsid w:val="0038691D"/>
    <w:rsid w:val="003873ED"/>
    <w:rsid w:val="00391781"/>
    <w:rsid w:val="00391AAF"/>
    <w:rsid w:val="00391CC3"/>
    <w:rsid w:val="003923BA"/>
    <w:rsid w:val="003934DD"/>
    <w:rsid w:val="00393F9C"/>
    <w:rsid w:val="00395160"/>
    <w:rsid w:val="00396896"/>
    <w:rsid w:val="00396EEA"/>
    <w:rsid w:val="00397F0D"/>
    <w:rsid w:val="003A38F8"/>
    <w:rsid w:val="003A70F3"/>
    <w:rsid w:val="003B026B"/>
    <w:rsid w:val="003B136F"/>
    <w:rsid w:val="003B199D"/>
    <w:rsid w:val="003B44C9"/>
    <w:rsid w:val="003B5DFE"/>
    <w:rsid w:val="003B606D"/>
    <w:rsid w:val="003B62B6"/>
    <w:rsid w:val="003C3599"/>
    <w:rsid w:val="003C378D"/>
    <w:rsid w:val="003C4D75"/>
    <w:rsid w:val="003C52D7"/>
    <w:rsid w:val="003C5E93"/>
    <w:rsid w:val="003C7F8C"/>
    <w:rsid w:val="003D0126"/>
    <w:rsid w:val="003D0B06"/>
    <w:rsid w:val="003D248E"/>
    <w:rsid w:val="003D3511"/>
    <w:rsid w:val="003D475C"/>
    <w:rsid w:val="003D6055"/>
    <w:rsid w:val="003E0870"/>
    <w:rsid w:val="003E0A8A"/>
    <w:rsid w:val="003E2173"/>
    <w:rsid w:val="003E269A"/>
    <w:rsid w:val="003E3188"/>
    <w:rsid w:val="003E325B"/>
    <w:rsid w:val="003E3C01"/>
    <w:rsid w:val="003F0FAC"/>
    <w:rsid w:val="003F1425"/>
    <w:rsid w:val="003F1862"/>
    <w:rsid w:val="003F19DE"/>
    <w:rsid w:val="003F599E"/>
    <w:rsid w:val="003F5A87"/>
    <w:rsid w:val="003F6884"/>
    <w:rsid w:val="003F73C8"/>
    <w:rsid w:val="003F7643"/>
    <w:rsid w:val="003F7B63"/>
    <w:rsid w:val="003F7EC2"/>
    <w:rsid w:val="0040204F"/>
    <w:rsid w:val="004041F9"/>
    <w:rsid w:val="004047AD"/>
    <w:rsid w:val="00406CDD"/>
    <w:rsid w:val="004072C0"/>
    <w:rsid w:val="00410880"/>
    <w:rsid w:val="00411F01"/>
    <w:rsid w:val="00412E26"/>
    <w:rsid w:val="00412E42"/>
    <w:rsid w:val="00414063"/>
    <w:rsid w:val="00415E12"/>
    <w:rsid w:val="00417FD6"/>
    <w:rsid w:val="004202D2"/>
    <w:rsid w:val="00420622"/>
    <w:rsid w:val="00422149"/>
    <w:rsid w:val="00422A97"/>
    <w:rsid w:val="00423FDA"/>
    <w:rsid w:val="00424179"/>
    <w:rsid w:val="00424C4B"/>
    <w:rsid w:val="004264A8"/>
    <w:rsid w:val="00427668"/>
    <w:rsid w:val="00427692"/>
    <w:rsid w:val="00430700"/>
    <w:rsid w:val="004307F3"/>
    <w:rsid w:val="00430C59"/>
    <w:rsid w:val="00431530"/>
    <w:rsid w:val="00435D51"/>
    <w:rsid w:val="004365CA"/>
    <w:rsid w:val="004368D4"/>
    <w:rsid w:val="0044031E"/>
    <w:rsid w:val="00441BE1"/>
    <w:rsid w:val="00443034"/>
    <w:rsid w:val="00443076"/>
    <w:rsid w:val="00443771"/>
    <w:rsid w:val="0044434F"/>
    <w:rsid w:val="004514A9"/>
    <w:rsid w:val="00451809"/>
    <w:rsid w:val="004528AE"/>
    <w:rsid w:val="00457383"/>
    <w:rsid w:val="00460484"/>
    <w:rsid w:val="00460CD5"/>
    <w:rsid w:val="0046310F"/>
    <w:rsid w:val="0046433C"/>
    <w:rsid w:val="004662F6"/>
    <w:rsid w:val="00467CE5"/>
    <w:rsid w:val="00467FCD"/>
    <w:rsid w:val="004721A0"/>
    <w:rsid w:val="00472C3D"/>
    <w:rsid w:val="00474318"/>
    <w:rsid w:val="0047581A"/>
    <w:rsid w:val="00476454"/>
    <w:rsid w:val="0048028E"/>
    <w:rsid w:val="004819F7"/>
    <w:rsid w:val="00481C7C"/>
    <w:rsid w:val="00490167"/>
    <w:rsid w:val="004908B5"/>
    <w:rsid w:val="004917AF"/>
    <w:rsid w:val="004920D9"/>
    <w:rsid w:val="00492456"/>
    <w:rsid w:val="00492C2B"/>
    <w:rsid w:val="00493742"/>
    <w:rsid w:val="00493E72"/>
    <w:rsid w:val="00494813"/>
    <w:rsid w:val="0049590F"/>
    <w:rsid w:val="00495F0C"/>
    <w:rsid w:val="0049618F"/>
    <w:rsid w:val="00496797"/>
    <w:rsid w:val="00497203"/>
    <w:rsid w:val="00497BB5"/>
    <w:rsid w:val="004A00B4"/>
    <w:rsid w:val="004A0E3D"/>
    <w:rsid w:val="004A0E8F"/>
    <w:rsid w:val="004A1793"/>
    <w:rsid w:val="004A243F"/>
    <w:rsid w:val="004A2DBD"/>
    <w:rsid w:val="004A348B"/>
    <w:rsid w:val="004A4021"/>
    <w:rsid w:val="004A4E42"/>
    <w:rsid w:val="004A53E0"/>
    <w:rsid w:val="004A788F"/>
    <w:rsid w:val="004B0BE3"/>
    <w:rsid w:val="004B21B5"/>
    <w:rsid w:val="004B3BDB"/>
    <w:rsid w:val="004B6C07"/>
    <w:rsid w:val="004C0135"/>
    <w:rsid w:val="004C0173"/>
    <w:rsid w:val="004C270F"/>
    <w:rsid w:val="004C4110"/>
    <w:rsid w:val="004C4334"/>
    <w:rsid w:val="004C4C44"/>
    <w:rsid w:val="004C7243"/>
    <w:rsid w:val="004D048F"/>
    <w:rsid w:val="004D1033"/>
    <w:rsid w:val="004D18B3"/>
    <w:rsid w:val="004D1C07"/>
    <w:rsid w:val="004D2595"/>
    <w:rsid w:val="004D2C5B"/>
    <w:rsid w:val="004D2DE4"/>
    <w:rsid w:val="004D42A5"/>
    <w:rsid w:val="004D4557"/>
    <w:rsid w:val="004D547C"/>
    <w:rsid w:val="004D5719"/>
    <w:rsid w:val="004D6BA8"/>
    <w:rsid w:val="004E09C9"/>
    <w:rsid w:val="004E0C5E"/>
    <w:rsid w:val="004E1D6D"/>
    <w:rsid w:val="004E2604"/>
    <w:rsid w:val="004E2671"/>
    <w:rsid w:val="004E29D6"/>
    <w:rsid w:val="004E3868"/>
    <w:rsid w:val="004E3C32"/>
    <w:rsid w:val="004E3D4F"/>
    <w:rsid w:val="004E3DB8"/>
    <w:rsid w:val="004E4B6C"/>
    <w:rsid w:val="004E4D0D"/>
    <w:rsid w:val="004E5D70"/>
    <w:rsid w:val="004E5F85"/>
    <w:rsid w:val="004F30A1"/>
    <w:rsid w:val="004F3895"/>
    <w:rsid w:val="004F42EC"/>
    <w:rsid w:val="004F42FD"/>
    <w:rsid w:val="004F69C5"/>
    <w:rsid w:val="004F6FBD"/>
    <w:rsid w:val="004F70D6"/>
    <w:rsid w:val="00500561"/>
    <w:rsid w:val="00500E4B"/>
    <w:rsid w:val="0050113C"/>
    <w:rsid w:val="005027C1"/>
    <w:rsid w:val="00502E3F"/>
    <w:rsid w:val="00503B38"/>
    <w:rsid w:val="00503C05"/>
    <w:rsid w:val="00503FA8"/>
    <w:rsid w:val="0050443E"/>
    <w:rsid w:val="005044D6"/>
    <w:rsid w:val="0050625B"/>
    <w:rsid w:val="005066F7"/>
    <w:rsid w:val="0051005F"/>
    <w:rsid w:val="00510450"/>
    <w:rsid w:val="005104D5"/>
    <w:rsid w:val="0051128C"/>
    <w:rsid w:val="005114FC"/>
    <w:rsid w:val="005122C2"/>
    <w:rsid w:val="0051294F"/>
    <w:rsid w:val="00513153"/>
    <w:rsid w:val="005134B2"/>
    <w:rsid w:val="00513687"/>
    <w:rsid w:val="00513942"/>
    <w:rsid w:val="00513FB4"/>
    <w:rsid w:val="0051499E"/>
    <w:rsid w:val="00515379"/>
    <w:rsid w:val="00515557"/>
    <w:rsid w:val="005155DD"/>
    <w:rsid w:val="005163C5"/>
    <w:rsid w:val="00516AE7"/>
    <w:rsid w:val="00520EED"/>
    <w:rsid w:val="00521B27"/>
    <w:rsid w:val="00522213"/>
    <w:rsid w:val="0052321B"/>
    <w:rsid w:val="00523AE9"/>
    <w:rsid w:val="005256BE"/>
    <w:rsid w:val="0052664D"/>
    <w:rsid w:val="00526C27"/>
    <w:rsid w:val="005276D6"/>
    <w:rsid w:val="00527C3B"/>
    <w:rsid w:val="00527CCD"/>
    <w:rsid w:val="005315A9"/>
    <w:rsid w:val="00531897"/>
    <w:rsid w:val="00531C15"/>
    <w:rsid w:val="00534666"/>
    <w:rsid w:val="005349F6"/>
    <w:rsid w:val="00535754"/>
    <w:rsid w:val="00542758"/>
    <w:rsid w:val="00543193"/>
    <w:rsid w:val="005433D1"/>
    <w:rsid w:val="0054355B"/>
    <w:rsid w:val="005447D4"/>
    <w:rsid w:val="005453F3"/>
    <w:rsid w:val="0055054B"/>
    <w:rsid w:val="00553D0A"/>
    <w:rsid w:val="005540D8"/>
    <w:rsid w:val="00556897"/>
    <w:rsid w:val="0055781B"/>
    <w:rsid w:val="00557B96"/>
    <w:rsid w:val="0056082D"/>
    <w:rsid w:val="00561B60"/>
    <w:rsid w:val="00564DF8"/>
    <w:rsid w:val="00565B60"/>
    <w:rsid w:val="00570106"/>
    <w:rsid w:val="005714C3"/>
    <w:rsid w:val="005723FD"/>
    <w:rsid w:val="00573D8C"/>
    <w:rsid w:val="00575852"/>
    <w:rsid w:val="0057771D"/>
    <w:rsid w:val="00580B17"/>
    <w:rsid w:val="00581C06"/>
    <w:rsid w:val="00582459"/>
    <w:rsid w:val="00583571"/>
    <w:rsid w:val="00584F96"/>
    <w:rsid w:val="00584FE4"/>
    <w:rsid w:val="00585961"/>
    <w:rsid w:val="00591AA7"/>
    <w:rsid w:val="0059364F"/>
    <w:rsid w:val="0059464A"/>
    <w:rsid w:val="0059495D"/>
    <w:rsid w:val="00595390"/>
    <w:rsid w:val="0059559E"/>
    <w:rsid w:val="00595B53"/>
    <w:rsid w:val="00595FF4"/>
    <w:rsid w:val="00597E4B"/>
    <w:rsid w:val="005A4578"/>
    <w:rsid w:val="005A6007"/>
    <w:rsid w:val="005A6185"/>
    <w:rsid w:val="005A64DA"/>
    <w:rsid w:val="005A7049"/>
    <w:rsid w:val="005A72F8"/>
    <w:rsid w:val="005B2436"/>
    <w:rsid w:val="005B4199"/>
    <w:rsid w:val="005B43BE"/>
    <w:rsid w:val="005C07BE"/>
    <w:rsid w:val="005C0E6D"/>
    <w:rsid w:val="005C2910"/>
    <w:rsid w:val="005C298F"/>
    <w:rsid w:val="005C725A"/>
    <w:rsid w:val="005C7B2B"/>
    <w:rsid w:val="005D0BF2"/>
    <w:rsid w:val="005D26B2"/>
    <w:rsid w:val="005D3D8E"/>
    <w:rsid w:val="005D44ED"/>
    <w:rsid w:val="005D6A7E"/>
    <w:rsid w:val="005D7530"/>
    <w:rsid w:val="005E0A8C"/>
    <w:rsid w:val="005E10C8"/>
    <w:rsid w:val="005E13FB"/>
    <w:rsid w:val="005E27FA"/>
    <w:rsid w:val="005E561A"/>
    <w:rsid w:val="005E57BC"/>
    <w:rsid w:val="005E6790"/>
    <w:rsid w:val="005F158F"/>
    <w:rsid w:val="005F1EF4"/>
    <w:rsid w:val="005F36F4"/>
    <w:rsid w:val="005F3AE3"/>
    <w:rsid w:val="005F5B3A"/>
    <w:rsid w:val="005F7C8C"/>
    <w:rsid w:val="00600A5B"/>
    <w:rsid w:val="00601FA9"/>
    <w:rsid w:val="00602B68"/>
    <w:rsid w:val="00603F0A"/>
    <w:rsid w:val="00605A86"/>
    <w:rsid w:val="006073C6"/>
    <w:rsid w:val="006101FE"/>
    <w:rsid w:val="00611E38"/>
    <w:rsid w:val="00612C20"/>
    <w:rsid w:val="00613FD2"/>
    <w:rsid w:val="0061408F"/>
    <w:rsid w:val="006161DB"/>
    <w:rsid w:val="00620120"/>
    <w:rsid w:val="00622B1B"/>
    <w:rsid w:val="0062356B"/>
    <w:rsid w:val="006246D4"/>
    <w:rsid w:val="00625513"/>
    <w:rsid w:val="0063177C"/>
    <w:rsid w:val="00633177"/>
    <w:rsid w:val="00634EDE"/>
    <w:rsid w:val="006365E5"/>
    <w:rsid w:val="00636DA2"/>
    <w:rsid w:val="00637AFA"/>
    <w:rsid w:val="00641B14"/>
    <w:rsid w:val="00641BAC"/>
    <w:rsid w:val="00643034"/>
    <w:rsid w:val="006469A0"/>
    <w:rsid w:val="00646C48"/>
    <w:rsid w:val="00647AB0"/>
    <w:rsid w:val="00647DDB"/>
    <w:rsid w:val="00647F6F"/>
    <w:rsid w:val="00651BF3"/>
    <w:rsid w:val="006530E2"/>
    <w:rsid w:val="006537EC"/>
    <w:rsid w:val="00653AB9"/>
    <w:rsid w:val="00655383"/>
    <w:rsid w:val="00655ADC"/>
    <w:rsid w:val="00656369"/>
    <w:rsid w:val="006579AF"/>
    <w:rsid w:val="00657BB8"/>
    <w:rsid w:val="006605FD"/>
    <w:rsid w:val="006606C0"/>
    <w:rsid w:val="006612F8"/>
    <w:rsid w:val="00661674"/>
    <w:rsid w:val="006623FC"/>
    <w:rsid w:val="00662DCB"/>
    <w:rsid w:val="006636CD"/>
    <w:rsid w:val="00665509"/>
    <w:rsid w:val="00665B8F"/>
    <w:rsid w:val="006703F6"/>
    <w:rsid w:val="00673076"/>
    <w:rsid w:val="006742F5"/>
    <w:rsid w:val="0067514E"/>
    <w:rsid w:val="006756EF"/>
    <w:rsid w:val="006761E2"/>
    <w:rsid w:val="00682215"/>
    <w:rsid w:val="006824D8"/>
    <w:rsid w:val="00683FE0"/>
    <w:rsid w:val="0068692D"/>
    <w:rsid w:val="006873A0"/>
    <w:rsid w:val="0068782E"/>
    <w:rsid w:val="00690107"/>
    <w:rsid w:val="006904EA"/>
    <w:rsid w:val="00690C63"/>
    <w:rsid w:val="00692008"/>
    <w:rsid w:val="00692B1A"/>
    <w:rsid w:val="00695537"/>
    <w:rsid w:val="00695C2D"/>
    <w:rsid w:val="006970F4"/>
    <w:rsid w:val="0069716A"/>
    <w:rsid w:val="006977DE"/>
    <w:rsid w:val="006A026D"/>
    <w:rsid w:val="006A1916"/>
    <w:rsid w:val="006A3B38"/>
    <w:rsid w:val="006A5E48"/>
    <w:rsid w:val="006B0600"/>
    <w:rsid w:val="006B36C3"/>
    <w:rsid w:val="006B54E9"/>
    <w:rsid w:val="006B5B81"/>
    <w:rsid w:val="006B6646"/>
    <w:rsid w:val="006C3E97"/>
    <w:rsid w:val="006C5EDA"/>
    <w:rsid w:val="006C5F8F"/>
    <w:rsid w:val="006C5FA4"/>
    <w:rsid w:val="006C6060"/>
    <w:rsid w:val="006D2636"/>
    <w:rsid w:val="006D2C6E"/>
    <w:rsid w:val="006D34DD"/>
    <w:rsid w:val="006D6DEB"/>
    <w:rsid w:val="006D7C4E"/>
    <w:rsid w:val="006D7DD1"/>
    <w:rsid w:val="006E07DD"/>
    <w:rsid w:val="006E0D75"/>
    <w:rsid w:val="006E3623"/>
    <w:rsid w:val="006E3644"/>
    <w:rsid w:val="006E3A99"/>
    <w:rsid w:val="006E3BE7"/>
    <w:rsid w:val="006E67BB"/>
    <w:rsid w:val="006E77D3"/>
    <w:rsid w:val="006F2991"/>
    <w:rsid w:val="006F38D9"/>
    <w:rsid w:val="006F49EE"/>
    <w:rsid w:val="006F5049"/>
    <w:rsid w:val="006F5E97"/>
    <w:rsid w:val="006F65ED"/>
    <w:rsid w:val="006F6627"/>
    <w:rsid w:val="007056C8"/>
    <w:rsid w:val="007101D6"/>
    <w:rsid w:val="00710274"/>
    <w:rsid w:val="007118DF"/>
    <w:rsid w:val="00712D3C"/>
    <w:rsid w:val="00714881"/>
    <w:rsid w:val="00715B00"/>
    <w:rsid w:val="0071626B"/>
    <w:rsid w:val="007162FD"/>
    <w:rsid w:val="00716823"/>
    <w:rsid w:val="00717D40"/>
    <w:rsid w:val="00723DCF"/>
    <w:rsid w:val="0072414A"/>
    <w:rsid w:val="00724554"/>
    <w:rsid w:val="00725F88"/>
    <w:rsid w:val="007260D6"/>
    <w:rsid w:val="007261C9"/>
    <w:rsid w:val="00726866"/>
    <w:rsid w:val="00730C23"/>
    <w:rsid w:val="00731F86"/>
    <w:rsid w:val="00731FD3"/>
    <w:rsid w:val="00732518"/>
    <w:rsid w:val="00734D19"/>
    <w:rsid w:val="00736595"/>
    <w:rsid w:val="00736D6F"/>
    <w:rsid w:val="00737819"/>
    <w:rsid w:val="00740C3C"/>
    <w:rsid w:val="00741473"/>
    <w:rsid w:val="007420F8"/>
    <w:rsid w:val="00743159"/>
    <w:rsid w:val="00744058"/>
    <w:rsid w:val="00744B10"/>
    <w:rsid w:val="00745916"/>
    <w:rsid w:val="007459BC"/>
    <w:rsid w:val="00745DEE"/>
    <w:rsid w:val="00746186"/>
    <w:rsid w:val="00747314"/>
    <w:rsid w:val="00747B95"/>
    <w:rsid w:val="00750410"/>
    <w:rsid w:val="007507A3"/>
    <w:rsid w:val="00756BEB"/>
    <w:rsid w:val="00762330"/>
    <w:rsid w:val="00762A8E"/>
    <w:rsid w:val="00762B25"/>
    <w:rsid w:val="00764B22"/>
    <w:rsid w:val="00765BFC"/>
    <w:rsid w:val="007660A1"/>
    <w:rsid w:val="007678A8"/>
    <w:rsid w:val="007678C8"/>
    <w:rsid w:val="00770C9B"/>
    <w:rsid w:val="00771137"/>
    <w:rsid w:val="0077214D"/>
    <w:rsid w:val="007724A5"/>
    <w:rsid w:val="00772BA6"/>
    <w:rsid w:val="00774805"/>
    <w:rsid w:val="00776026"/>
    <w:rsid w:val="007765FC"/>
    <w:rsid w:val="00780A18"/>
    <w:rsid w:val="00781139"/>
    <w:rsid w:val="0078177D"/>
    <w:rsid w:val="00782FC2"/>
    <w:rsid w:val="0078301E"/>
    <w:rsid w:val="00783774"/>
    <w:rsid w:val="007837AE"/>
    <w:rsid w:val="00784E0F"/>
    <w:rsid w:val="00787389"/>
    <w:rsid w:val="007873D6"/>
    <w:rsid w:val="00791145"/>
    <w:rsid w:val="0079198D"/>
    <w:rsid w:val="007926D9"/>
    <w:rsid w:val="00793147"/>
    <w:rsid w:val="00793385"/>
    <w:rsid w:val="0079416D"/>
    <w:rsid w:val="00794682"/>
    <w:rsid w:val="00795A43"/>
    <w:rsid w:val="00795FB0"/>
    <w:rsid w:val="00796252"/>
    <w:rsid w:val="00797CF8"/>
    <w:rsid w:val="00797E6F"/>
    <w:rsid w:val="007A4FFF"/>
    <w:rsid w:val="007A797D"/>
    <w:rsid w:val="007B0D6B"/>
    <w:rsid w:val="007B13DA"/>
    <w:rsid w:val="007B14D9"/>
    <w:rsid w:val="007B2C53"/>
    <w:rsid w:val="007B4A81"/>
    <w:rsid w:val="007B4EF2"/>
    <w:rsid w:val="007B54B6"/>
    <w:rsid w:val="007B72CF"/>
    <w:rsid w:val="007C09E9"/>
    <w:rsid w:val="007C0AC3"/>
    <w:rsid w:val="007C10DF"/>
    <w:rsid w:val="007C119B"/>
    <w:rsid w:val="007C192F"/>
    <w:rsid w:val="007C1C8E"/>
    <w:rsid w:val="007C296E"/>
    <w:rsid w:val="007C3552"/>
    <w:rsid w:val="007C6B26"/>
    <w:rsid w:val="007C7DEF"/>
    <w:rsid w:val="007D0110"/>
    <w:rsid w:val="007D17C0"/>
    <w:rsid w:val="007D37AC"/>
    <w:rsid w:val="007D3B7D"/>
    <w:rsid w:val="007D44FF"/>
    <w:rsid w:val="007E1959"/>
    <w:rsid w:val="007E2F5A"/>
    <w:rsid w:val="007E5654"/>
    <w:rsid w:val="007E6BEB"/>
    <w:rsid w:val="007F0230"/>
    <w:rsid w:val="007F0E41"/>
    <w:rsid w:val="007F230D"/>
    <w:rsid w:val="007F3102"/>
    <w:rsid w:val="007F4746"/>
    <w:rsid w:val="007F507D"/>
    <w:rsid w:val="007F6076"/>
    <w:rsid w:val="007F619C"/>
    <w:rsid w:val="007F66E7"/>
    <w:rsid w:val="007F6E09"/>
    <w:rsid w:val="0080054C"/>
    <w:rsid w:val="00801B4D"/>
    <w:rsid w:val="00803D54"/>
    <w:rsid w:val="00804B46"/>
    <w:rsid w:val="00804D93"/>
    <w:rsid w:val="00804F58"/>
    <w:rsid w:val="00806183"/>
    <w:rsid w:val="00811762"/>
    <w:rsid w:val="00811C0F"/>
    <w:rsid w:val="00812956"/>
    <w:rsid w:val="008133D7"/>
    <w:rsid w:val="0081378E"/>
    <w:rsid w:val="008137C8"/>
    <w:rsid w:val="00817E86"/>
    <w:rsid w:val="00821900"/>
    <w:rsid w:val="008303D3"/>
    <w:rsid w:val="00830D46"/>
    <w:rsid w:val="008320EB"/>
    <w:rsid w:val="00832A8E"/>
    <w:rsid w:val="00833857"/>
    <w:rsid w:val="00836FD7"/>
    <w:rsid w:val="0084021A"/>
    <w:rsid w:val="00841192"/>
    <w:rsid w:val="00841D79"/>
    <w:rsid w:val="0084289D"/>
    <w:rsid w:val="00842F99"/>
    <w:rsid w:val="0084378B"/>
    <w:rsid w:val="0084628D"/>
    <w:rsid w:val="00846AD8"/>
    <w:rsid w:val="00851F89"/>
    <w:rsid w:val="00852C75"/>
    <w:rsid w:val="00854896"/>
    <w:rsid w:val="00855821"/>
    <w:rsid w:val="00856877"/>
    <w:rsid w:val="00862265"/>
    <w:rsid w:val="00864F32"/>
    <w:rsid w:val="00865900"/>
    <w:rsid w:val="00866797"/>
    <w:rsid w:val="00867C2D"/>
    <w:rsid w:val="00870F68"/>
    <w:rsid w:val="00880A98"/>
    <w:rsid w:val="00881C4D"/>
    <w:rsid w:val="0088391B"/>
    <w:rsid w:val="00885FF1"/>
    <w:rsid w:val="00887292"/>
    <w:rsid w:val="008874FE"/>
    <w:rsid w:val="0088752C"/>
    <w:rsid w:val="00890E5D"/>
    <w:rsid w:val="008930A8"/>
    <w:rsid w:val="00893575"/>
    <w:rsid w:val="0089422C"/>
    <w:rsid w:val="00896BEA"/>
    <w:rsid w:val="008974C1"/>
    <w:rsid w:val="008A1396"/>
    <w:rsid w:val="008A143B"/>
    <w:rsid w:val="008A22D4"/>
    <w:rsid w:val="008A232C"/>
    <w:rsid w:val="008A453D"/>
    <w:rsid w:val="008A4A96"/>
    <w:rsid w:val="008A54D2"/>
    <w:rsid w:val="008A56FD"/>
    <w:rsid w:val="008A5BFB"/>
    <w:rsid w:val="008A64CB"/>
    <w:rsid w:val="008B0C77"/>
    <w:rsid w:val="008B1400"/>
    <w:rsid w:val="008B159A"/>
    <w:rsid w:val="008B2A5C"/>
    <w:rsid w:val="008B2D91"/>
    <w:rsid w:val="008B368E"/>
    <w:rsid w:val="008C2408"/>
    <w:rsid w:val="008C50FC"/>
    <w:rsid w:val="008C5694"/>
    <w:rsid w:val="008C5AF3"/>
    <w:rsid w:val="008C5DC9"/>
    <w:rsid w:val="008C69C3"/>
    <w:rsid w:val="008C787C"/>
    <w:rsid w:val="008D0CEC"/>
    <w:rsid w:val="008D1424"/>
    <w:rsid w:val="008D1CC7"/>
    <w:rsid w:val="008D222F"/>
    <w:rsid w:val="008D2E9F"/>
    <w:rsid w:val="008D2EAD"/>
    <w:rsid w:val="008D46C9"/>
    <w:rsid w:val="008D52CC"/>
    <w:rsid w:val="008D5452"/>
    <w:rsid w:val="008D55B4"/>
    <w:rsid w:val="008D5EA0"/>
    <w:rsid w:val="008D65E9"/>
    <w:rsid w:val="008D729F"/>
    <w:rsid w:val="008D7BC2"/>
    <w:rsid w:val="008E1491"/>
    <w:rsid w:val="008E24C4"/>
    <w:rsid w:val="008E3768"/>
    <w:rsid w:val="008E4889"/>
    <w:rsid w:val="008E5289"/>
    <w:rsid w:val="008E6A6C"/>
    <w:rsid w:val="008F1979"/>
    <w:rsid w:val="008F1DF9"/>
    <w:rsid w:val="008F2610"/>
    <w:rsid w:val="008F2A46"/>
    <w:rsid w:val="008F79B2"/>
    <w:rsid w:val="009008E4"/>
    <w:rsid w:val="00901A72"/>
    <w:rsid w:val="00902CC6"/>
    <w:rsid w:val="00902E9A"/>
    <w:rsid w:val="00903D84"/>
    <w:rsid w:val="00903E65"/>
    <w:rsid w:val="00906B76"/>
    <w:rsid w:val="00906CBA"/>
    <w:rsid w:val="009073B1"/>
    <w:rsid w:val="00910C13"/>
    <w:rsid w:val="00910F14"/>
    <w:rsid w:val="009121C1"/>
    <w:rsid w:val="00912426"/>
    <w:rsid w:val="00912D79"/>
    <w:rsid w:val="00913CB6"/>
    <w:rsid w:val="00914F9E"/>
    <w:rsid w:val="009154A3"/>
    <w:rsid w:val="00915FC7"/>
    <w:rsid w:val="009169BD"/>
    <w:rsid w:val="00917732"/>
    <w:rsid w:val="00920839"/>
    <w:rsid w:val="00920B5F"/>
    <w:rsid w:val="009210D9"/>
    <w:rsid w:val="00922440"/>
    <w:rsid w:val="00922FF8"/>
    <w:rsid w:val="00923C47"/>
    <w:rsid w:val="00925FF2"/>
    <w:rsid w:val="00926E5F"/>
    <w:rsid w:val="009274B2"/>
    <w:rsid w:val="00927F59"/>
    <w:rsid w:val="00932455"/>
    <w:rsid w:val="00933426"/>
    <w:rsid w:val="009336A4"/>
    <w:rsid w:val="009336EE"/>
    <w:rsid w:val="00933DD2"/>
    <w:rsid w:val="009354DE"/>
    <w:rsid w:val="00936256"/>
    <w:rsid w:val="00936E30"/>
    <w:rsid w:val="00936EE7"/>
    <w:rsid w:val="0093725E"/>
    <w:rsid w:val="0093736F"/>
    <w:rsid w:val="009374F7"/>
    <w:rsid w:val="00942759"/>
    <w:rsid w:val="00947595"/>
    <w:rsid w:val="009476D0"/>
    <w:rsid w:val="009500D0"/>
    <w:rsid w:val="00953527"/>
    <w:rsid w:val="0095584D"/>
    <w:rsid w:val="00956737"/>
    <w:rsid w:val="00956E9A"/>
    <w:rsid w:val="00956EE6"/>
    <w:rsid w:val="0096227F"/>
    <w:rsid w:val="00963953"/>
    <w:rsid w:val="009644D3"/>
    <w:rsid w:val="009654DB"/>
    <w:rsid w:val="00966557"/>
    <w:rsid w:val="00966A0D"/>
    <w:rsid w:val="00967071"/>
    <w:rsid w:val="00967C21"/>
    <w:rsid w:val="00970735"/>
    <w:rsid w:val="00972A9F"/>
    <w:rsid w:val="009733C7"/>
    <w:rsid w:val="0097444C"/>
    <w:rsid w:val="00974EB3"/>
    <w:rsid w:val="00977BF5"/>
    <w:rsid w:val="00977FE4"/>
    <w:rsid w:val="00980CD2"/>
    <w:rsid w:val="0098130C"/>
    <w:rsid w:val="00982332"/>
    <w:rsid w:val="0098279B"/>
    <w:rsid w:val="00983A36"/>
    <w:rsid w:val="00984474"/>
    <w:rsid w:val="00984678"/>
    <w:rsid w:val="009847A7"/>
    <w:rsid w:val="009862C7"/>
    <w:rsid w:val="00991D15"/>
    <w:rsid w:val="00991E9B"/>
    <w:rsid w:val="00992B6A"/>
    <w:rsid w:val="00993B42"/>
    <w:rsid w:val="009947A4"/>
    <w:rsid w:val="00994E70"/>
    <w:rsid w:val="009975D2"/>
    <w:rsid w:val="00997F25"/>
    <w:rsid w:val="009A0264"/>
    <w:rsid w:val="009A0EA6"/>
    <w:rsid w:val="009A23BD"/>
    <w:rsid w:val="009A323D"/>
    <w:rsid w:val="009A5167"/>
    <w:rsid w:val="009A6417"/>
    <w:rsid w:val="009A6A23"/>
    <w:rsid w:val="009B0C78"/>
    <w:rsid w:val="009B1E54"/>
    <w:rsid w:val="009B360E"/>
    <w:rsid w:val="009B43ED"/>
    <w:rsid w:val="009B4F78"/>
    <w:rsid w:val="009B58B5"/>
    <w:rsid w:val="009B7B0C"/>
    <w:rsid w:val="009C02AE"/>
    <w:rsid w:val="009C0B2B"/>
    <w:rsid w:val="009C0E7E"/>
    <w:rsid w:val="009C3BDD"/>
    <w:rsid w:val="009C3C9F"/>
    <w:rsid w:val="009C4554"/>
    <w:rsid w:val="009C475F"/>
    <w:rsid w:val="009C55D1"/>
    <w:rsid w:val="009C6284"/>
    <w:rsid w:val="009C6BED"/>
    <w:rsid w:val="009C7164"/>
    <w:rsid w:val="009D05B3"/>
    <w:rsid w:val="009D21B1"/>
    <w:rsid w:val="009D3419"/>
    <w:rsid w:val="009D50F3"/>
    <w:rsid w:val="009D52A2"/>
    <w:rsid w:val="009D53B4"/>
    <w:rsid w:val="009D60AD"/>
    <w:rsid w:val="009D6CD4"/>
    <w:rsid w:val="009D7609"/>
    <w:rsid w:val="009E0C66"/>
    <w:rsid w:val="009E1655"/>
    <w:rsid w:val="009E1FE5"/>
    <w:rsid w:val="009E232C"/>
    <w:rsid w:val="009E2725"/>
    <w:rsid w:val="009E449B"/>
    <w:rsid w:val="009E5FCD"/>
    <w:rsid w:val="009E6F3A"/>
    <w:rsid w:val="009E743E"/>
    <w:rsid w:val="009E76C9"/>
    <w:rsid w:val="009F1C23"/>
    <w:rsid w:val="009F20AA"/>
    <w:rsid w:val="009F2BEC"/>
    <w:rsid w:val="009F2F34"/>
    <w:rsid w:val="009F4973"/>
    <w:rsid w:val="009F57C1"/>
    <w:rsid w:val="009F788F"/>
    <w:rsid w:val="00A00385"/>
    <w:rsid w:val="00A01665"/>
    <w:rsid w:val="00A01A8E"/>
    <w:rsid w:val="00A01C80"/>
    <w:rsid w:val="00A02C1C"/>
    <w:rsid w:val="00A030B1"/>
    <w:rsid w:val="00A035C3"/>
    <w:rsid w:val="00A06CC3"/>
    <w:rsid w:val="00A0772F"/>
    <w:rsid w:val="00A078DF"/>
    <w:rsid w:val="00A07CB1"/>
    <w:rsid w:val="00A10982"/>
    <w:rsid w:val="00A12992"/>
    <w:rsid w:val="00A1361F"/>
    <w:rsid w:val="00A13988"/>
    <w:rsid w:val="00A14C20"/>
    <w:rsid w:val="00A15FE8"/>
    <w:rsid w:val="00A16D89"/>
    <w:rsid w:val="00A20FAD"/>
    <w:rsid w:val="00A21FC8"/>
    <w:rsid w:val="00A26C67"/>
    <w:rsid w:val="00A27001"/>
    <w:rsid w:val="00A30671"/>
    <w:rsid w:val="00A337AB"/>
    <w:rsid w:val="00A3485F"/>
    <w:rsid w:val="00A35A90"/>
    <w:rsid w:val="00A376CE"/>
    <w:rsid w:val="00A37766"/>
    <w:rsid w:val="00A37F28"/>
    <w:rsid w:val="00A43889"/>
    <w:rsid w:val="00A43ACC"/>
    <w:rsid w:val="00A443CB"/>
    <w:rsid w:val="00A45662"/>
    <w:rsid w:val="00A459EE"/>
    <w:rsid w:val="00A45EDE"/>
    <w:rsid w:val="00A46062"/>
    <w:rsid w:val="00A46BD5"/>
    <w:rsid w:val="00A478DD"/>
    <w:rsid w:val="00A50AAB"/>
    <w:rsid w:val="00A50E11"/>
    <w:rsid w:val="00A53BA1"/>
    <w:rsid w:val="00A54284"/>
    <w:rsid w:val="00A54949"/>
    <w:rsid w:val="00A55153"/>
    <w:rsid w:val="00A55B6F"/>
    <w:rsid w:val="00A56F1C"/>
    <w:rsid w:val="00A602E1"/>
    <w:rsid w:val="00A60512"/>
    <w:rsid w:val="00A6183C"/>
    <w:rsid w:val="00A62A85"/>
    <w:rsid w:val="00A62C04"/>
    <w:rsid w:val="00A6408C"/>
    <w:rsid w:val="00A64453"/>
    <w:rsid w:val="00A646BA"/>
    <w:rsid w:val="00A64EAB"/>
    <w:rsid w:val="00A6520E"/>
    <w:rsid w:val="00A65A79"/>
    <w:rsid w:val="00A67A7F"/>
    <w:rsid w:val="00A705F6"/>
    <w:rsid w:val="00A71BBB"/>
    <w:rsid w:val="00A721BF"/>
    <w:rsid w:val="00A72EB7"/>
    <w:rsid w:val="00A7667E"/>
    <w:rsid w:val="00A809D7"/>
    <w:rsid w:val="00A81703"/>
    <w:rsid w:val="00A81C8F"/>
    <w:rsid w:val="00A81F26"/>
    <w:rsid w:val="00A82836"/>
    <w:rsid w:val="00A84927"/>
    <w:rsid w:val="00A84B9E"/>
    <w:rsid w:val="00A85017"/>
    <w:rsid w:val="00A9019B"/>
    <w:rsid w:val="00A905FC"/>
    <w:rsid w:val="00A90AFD"/>
    <w:rsid w:val="00A921E9"/>
    <w:rsid w:val="00A931AD"/>
    <w:rsid w:val="00A93A1B"/>
    <w:rsid w:val="00A94F20"/>
    <w:rsid w:val="00A96213"/>
    <w:rsid w:val="00AA020A"/>
    <w:rsid w:val="00AA0AB3"/>
    <w:rsid w:val="00AA13AF"/>
    <w:rsid w:val="00AA252F"/>
    <w:rsid w:val="00AA3D47"/>
    <w:rsid w:val="00AA5450"/>
    <w:rsid w:val="00AB0479"/>
    <w:rsid w:val="00AB0557"/>
    <w:rsid w:val="00AB2DDB"/>
    <w:rsid w:val="00AB3848"/>
    <w:rsid w:val="00AB4BCB"/>
    <w:rsid w:val="00AB51A6"/>
    <w:rsid w:val="00AB5C9A"/>
    <w:rsid w:val="00AB705B"/>
    <w:rsid w:val="00AB75A9"/>
    <w:rsid w:val="00AC013F"/>
    <w:rsid w:val="00AC0504"/>
    <w:rsid w:val="00AC072E"/>
    <w:rsid w:val="00AC3F1B"/>
    <w:rsid w:val="00AC7959"/>
    <w:rsid w:val="00AD136A"/>
    <w:rsid w:val="00AD227D"/>
    <w:rsid w:val="00AD2C2A"/>
    <w:rsid w:val="00AD405C"/>
    <w:rsid w:val="00AD40EA"/>
    <w:rsid w:val="00AD624E"/>
    <w:rsid w:val="00AD721A"/>
    <w:rsid w:val="00AD7CC0"/>
    <w:rsid w:val="00AE013F"/>
    <w:rsid w:val="00AE1202"/>
    <w:rsid w:val="00AE152A"/>
    <w:rsid w:val="00AE254F"/>
    <w:rsid w:val="00AE2BCE"/>
    <w:rsid w:val="00AE5844"/>
    <w:rsid w:val="00AE64E9"/>
    <w:rsid w:val="00AE65E6"/>
    <w:rsid w:val="00AE6626"/>
    <w:rsid w:val="00AE6D6D"/>
    <w:rsid w:val="00AE7C52"/>
    <w:rsid w:val="00AF0EE7"/>
    <w:rsid w:val="00AF0F00"/>
    <w:rsid w:val="00AF1202"/>
    <w:rsid w:val="00AF331A"/>
    <w:rsid w:val="00AF331E"/>
    <w:rsid w:val="00AF3C99"/>
    <w:rsid w:val="00AF6835"/>
    <w:rsid w:val="00B016BD"/>
    <w:rsid w:val="00B02813"/>
    <w:rsid w:val="00B05A63"/>
    <w:rsid w:val="00B072C0"/>
    <w:rsid w:val="00B07646"/>
    <w:rsid w:val="00B07DED"/>
    <w:rsid w:val="00B10470"/>
    <w:rsid w:val="00B1086D"/>
    <w:rsid w:val="00B11916"/>
    <w:rsid w:val="00B119AB"/>
    <w:rsid w:val="00B1275F"/>
    <w:rsid w:val="00B12C4E"/>
    <w:rsid w:val="00B134C9"/>
    <w:rsid w:val="00B13CA7"/>
    <w:rsid w:val="00B1449A"/>
    <w:rsid w:val="00B16FAB"/>
    <w:rsid w:val="00B1751A"/>
    <w:rsid w:val="00B20AE7"/>
    <w:rsid w:val="00B20CD0"/>
    <w:rsid w:val="00B24589"/>
    <w:rsid w:val="00B261F5"/>
    <w:rsid w:val="00B267C5"/>
    <w:rsid w:val="00B2777D"/>
    <w:rsid w:val="00B27897"/>
    <w:rsid w:val="00B27A52"/>
    <w:rsid w:val="00B30B58"/>
    <w:rsid w:val="00B30FA7"/>
    <w:rsid w:val="00B32C62"/>
    <w:rsid w:val="00B34086"/>
    <w:rsid w:val="00B3561B"/>
    <w:rsid w:val="00B37F4F"/>
    <w:rsid w:val="00B41538"/>
    <w:rsid w:val="00B418D7"/>
    <w:rsid w:val="00B41CA4"/>
    <w:rsid w:val="00B454FA"/>
    <w:rsid w:val="00B45D9F"/>
    <w:rsid w:val="00B46FF3"/>
    <w:rsid w:val="00B477CA"/>
    <w:rsid w:val="00B50023"/>
    <w:rsid w:val="00B50773"/>
    <w:rsid w:val="00B50E1B"/>
    <w:rsid w:val="00B50FC3"/>
    <w:rsid w:val="00B51DF6"/>
    <w:rsid w:val="00B53E71"/>
    <w:rsid w:val="00B54BD1"/>
    <w:rsid w:val="00B56CBD"/>
    <w:rsid w:val="00B56F92"/>
    <w:rsid w:val="00B573F6"/>
    <w:rsid w:val="00B574EE"/>
    <w:rsid w:val="00B57A76"/>
    <w:rsid w:val="00B601CE"/>
    <w:rsid w:val="00B631AC"/>
    <w:rsid w:val="00B63C30"/>
    <w:rsid w:val="00B64C7D"/>
    <w:rsid w:val="00B669EE"/>
    <w:rsid w:val="00B66F18"/>
    <w:rsid w:val="00B67D31"/>
    <w:rsid w:val="00B703E3"/>
    <w:rsid w:val="00B704ED"/>
    <w:rsid w:val="00B721BA"/>
    <w:rsid w:val="00B72302"/>
    <w:rsid w:val="00B73A26"/>
    <w:rsid w:val="00B73D34"/>
    <w:rsid w:val="00B76682"/>
    <w:rsid w:val="00B8066B"/>
    <w:rsid w:val="00B80F0C"/>
    <w:rsid w:val="00B81961"/>
    <w:rsid w:val="00B8277A"/>
    <w:rsid w:val="00B82EC8"/>
    <w:rsid w:val="00B83219"/>
    <w:rsid w:val="00B834AC"/>
    <w:rsid w:val="00B83756"/>
    <w:rsid w:val="00B84254"/>
    <w:rsid w:val="00B84272"/>
    <w:rsid w:val="00B84313"/>
    <w:rsid w:val="00B87637"/>
    <w:rsid w:val="00B902D9"/>
    <w:rsid w:val="00B9078F"/>
    <w:rsid w:val="00B90EA7"/>
    <w:rsid w:val="00B91E5C"/>
    <w:rsid w:val="00B934BF"/>
    <w:rsid w:val="00B93971"/>
    <w:rsid w:val="00B943B3"/>
    <w:rsid w:val="00B94886"/>
    <w:rsid w:val="00B95DFE"/>
    <w:rsid w:val="00B973E4"/>
    <w:rsid w:val="00B978C1"/>
    <w:rsid w:val="00BA0C05"/>
    <w:rsid w:val="00BA1142"/>
    <w:rsid w:val="00BA19D0"/>
    <w:rsid w:val="00BA4836"/>
    <w:rsid w:val="00BA5233"/>
    <w:rsid w:val="00BA6957"/>
    <w:rsid w:val="00BB052E"/>
    <w:rsid w:val="00BB0948"/>
    <w:rsid w:val="00BB14D9"/>
    <w:rsid w:val="00BB4779"/>
    <w:rsid w:val="00BB4F02"/>
    <w:rsid w:val="00BB56E2"/>
    <w:rsid w:val="00BB6B1C"/>
    <w:rsid w:val="00BC1350"/>
    <w:rsid w:val="00BC43E8"/>
    <w:rsid w:val="00BC5A2A"/>
    <w:rsid w:val="00BC5C05"/>
    <w:rsid w:val="00BC7EE4"/>
    <w:rsid w:val="00BD0C8E"/>
    <w:rsid w:val="00BD13CA"/>
    <w:rsid w:val="00BD2412"/>
    <w:rsid w:val="00BD294D"/>
    <w:rsid w:val="00BD2D60"/>
    <w:rsid w:val="00BD3892"/>
    <w:rsid w:val="00BD3C74"/>
    <w:rsid w:val="00BD3DD6"/>
    <w:rsid w:val="00BD3E6D"/>
    <w:rsid w:val="00BD4BB4"/>
    <w:rsid w:val="00BD5094"/>
    <w:rsid w:val="00BD611F"/>
    <w:rsid w:val="00BD635D"/>
    <w:rsid w:val="00BD6481"/>
    <w:rsid w:val="00BD663C"/>
    <w:rsid w:val="00BD6CB5"/>
    <w:rsid w:val="00BD6DBF"/>
    <w:rsid w:val="00BD75A9"/>
    <w:rsid w:val="00BD79A0"/>
    <w:rsid w:val="00BD7A5E"/>
    <w:rsid w:val="00BE0A58"/>
    <w:rsid w:val="00BE0BD3"/>
    <w:rsid w:val="00BE2BCC"/>
    <w:rsid w:val="00BE47DB"/>
    <w:rsid w:val="00BE7612"/>
    <w:rsid w:val="00BE79C5"/>
    <w:rsid w:val="00BF0710"/>
    <w:rsid w:val="00BF090D"/>
    <w:rsid w:val="00BF0BE9"/>
    <w:rsid w:val="00BF143B"/>
    <w:rsid w:val="00BF19AE"/>
    <w:rsid w:val="00BF19EF"/>
    <w:rsid w:val="00BF1CC3"/>
    <w:rsid w:val="00BF234E"/>
    <w:rsid w:val="00BF279F"/>
    <w:rsid w:val="00BF2A5B"/>
    <w:rsid w:val="00BF2CD5"/>
    <w:rsid w:val="00BF4A1A"/>
    <w:rsid w:val="00BF5A5D"/>
    <w:rsid w:val="00BF5E12"/>
    <w:rsid w:val="00BF76D3"/>
    <w:rsid w:val="00C009B1"/>
    <w:rsid w:val="00C00C78"/>
    <w:rsid w:val="00C00C79"/>
    <w:rsid w:val="00C01625"/>
    <w:rsid w:val="00C02887"/>
    <w:rsid w:val="00C0440F"/>
    <w:rsid w:val="00C051B3"/>
    <w:rsid w:val="00C06B04"/>
    <w:rsid w:val="00C112BD"/>
    <w:rsid w:val="00C127C6"/>
    <w:rsid w:val="00C135A0"/>
    <w:rsid w:val="00C144D6"/>
    <w:rsid w:val="00C159A0"/>
    <w:rsid w:val="00C16EC3"/>
    <w:rsid w:val="00C2069D"/>
    <w:rsid w:val="00C21011"/>
    <w:rsid w:val="00C221D8"/>
    <w:rsid w:val="00C244A9"/>
    <w:rsid w:val="00C24932"/>
    <w:rsid w:val="00C2671B"/>
    <w:rsid w:val="00C26B0C"/>
    <w:rsid w:val="00C3037C"/>
    <w:rsid w:val="00C328B5"/>
    <w:rsid w:val="00C328C5"/>
    <w:rsid w:val="00C32CB3"/>
    <w:rsid w:val="00C330B5"/>
    <w:rsid w:val="00C36EE7"/>
    <w:rsid w:val="00C36F67"/>
    <w:rsid w:val="00C40979"/>
    <w:rsid w:val="00C41D02"/>
    <w:rsid w:val="00C442F7"/>
    <w:rsid w:val="00C450E9"/>
    <w:rsid w:val="00C46D6B"/>
    <w:rsid w:val="00C473A9"/>
    <w:rsid w:val="00C5268A"/>
    <w:rsid w:val="00C56CC4"/>
    <w:rsid w:val="00C57C79"/>
    <w:rsid w:val="00C60B24"/>
    <w:rsid w:val="00C62371"/>
    <w:rsid w:val="00C62FCA"/>
    <w:rsid w:val="00C63B0D"/>
    <w:rsid w:val="00C63D8A"/>
    <w:rsid w:val="00C6511C"/>
    <w:rsid w:val="00C65BE3"/>
    <w:rsid w:val="00C667C7"/>
    <w:rsid w:val="00C66E56"/>
    <w:rsid w:val="00C67BED"/>
    <w:rsid w:val="00C71A15"/>
    <w:rsid w:val="00C76415"/>
    <w:rsid w:val="00C77388"/>
    <w:rsid w:val="00C8000C"/>
    <w:rsid w:val="00C82ED6"/>
    <w:rsid w:val="00C84026"/>
    <w:rsid w:val="00C84C77"/>
    <w:rsid w:val="00C8651F"/>
    <w:rsid w:val="00C917A7"/>
    <w:rsid w:val="00C93817"/>
    <w:rsid w:val="00C939C7"/>
    <w:rsid w:val="00C93F5D"/>
    <w:rsid w:val="00C96164"/>
    <w:rsid w:val="00CA182F"/>
    <w:rsid w:val="00CA2198"/>
    <w:rsid w:val="00CA43B7"/>
    <w:rsid w:val="00CA4C51"/>
    <w:rsid w:val="00CA73AC"/>
    <w:rsid w:val="00CB16DA"/>
    <w:rsid w:val="00CB4D88"/>
    <w:rsid w:val="00CB52FE"/>
    <w:rsid w:val="00CB5C40"/>
    <w:rsid w:val="00CB6235"/>
    <w:rsid w:val="00CB62CE"/>
    <w:rsid w:val="00CB7C41"/>
    <w:rsid w:val="00CC0E4F"/>
    <w:rsid w:val="00CC1974"/>
    <w:rsid w:val="00CC20FB"/>
    <w:rsid w:val="00CC35BC"/>
    <w:rsid w:val="00CC3D6C"/>
    <w:rsid w:val="00CC423E"/>
    <w:rsid w:val="00CC4664"/>
    <w:rsid w:val="00CD1452"/>
    <w:rsid w:val="00CD3647"/>
    <w:rsid w:val="00CD3A83"/>
    <w:rsid w:val="00CD6267"/>
    <w:rsid w:val="00CD62B2"/>
    <w:rsid w:val="00CE10C8"/>
    <w:rsid w:val="00CE1F93"/>
    <w:rsid w:val="00CE211D"/>
    <w:rsid w:val="00CE5E11"/>
    <w:rsid w:val="00CF320D"/>
    <w:rsid w:val="00CF3523"/>
    <w:rsid w:val="00CF3818"/>
    <w:rsid w:val="00CF4445"/>
    <w:rsid w:val="00CF4A40"/>
    <w:rsid w:val="00CF5A31"/>
    <w:rsid w:val="00D01398"/>
    <w:rsid w:val="00D01E6F"/>
    <w:rsid w:val="00D02B83"/>
    <w:rsid w:val="00D037A8"/>
    <w:rsid w:val="00D03AA8"/>
    <w:rsid w:val="00D03B2A"/>
    <w:rsid w:val="00D047ED"/>
    <w:rsid w:val="00D04E6C"/>
    <w:rsid w:val="00D04FD4"/>
    <w:rsid w:val="00D06A41"/>
    <w:rsid w:val="00D13576"/>
    <w:rsid w:val="00D14753"/>
    <w:rsid w:val="00D14E89"/>
    <w:rsid w:val="00D1510F"/>
    <w:rsid w:val="00D15D63"/>
    <w:rsid w:val="00D16AEB"/>
    <w:rsid w:val="00D16E81"/>
    <w:rsid w:val="00D17A85"/>
    <w:rsid w:val="00D20394"/>
    <w:rsid w:val="00D20507"/>
    <w:rsid w:val="00D20C19"/>
    <w:rsid w:val="00D211ED"/>
    <w:rsid w:val="00D21767"/>
    <w:rsid w:val="00D228E1"/>
    <w:rsid w:val="00D23100"/>
    <w:rsid w:val="00D2501F"/>
    <w:rsid w:val="00D25DCB"/>
    <w:rsid w:val="00D30FE6"/>
    <w:rsid w:val="00D3113D"/>
    <w:rsid w:val="00D3352E"/>
    <w:rsid w:val="00D33D3B"/>
    <w:rsid w:val="00D35947"/>
    <w:rsid w:val="00D3610D"/>
    <w:rsid w:val="00D40175"/>
    <w:rsid w:val="00D45E71"/>
    <w:rsid w:val="00D4614A"/>
    <w:rsid w:val="00D5269B"/>
    <w:rsid w:val="00D53D0E"/>
    <w:rsid w:val="00D5417B"/>
    <w:rsid w:val="00D55C48"/>
    <w:rsid w:val="00D60120"/>
    <w:rsid w:val="00D607A3"/>
    <w:rsid w:val="00D6107C"/>
    <w:rsid w:val="00D620B1"/>
    <w:rsid w:val="00D633E4"/>
    <w:rsid w:val="00D63B75"/>
    <w:rsid w:val="00D640B7"/>
    <w:rsid w:val="00D6640D"/>
    <w:rsid w:val="00D66943"/>
    <w:rsid w:val="00D67071"/>
    <w:rsid w:val="00D72492"/>
    <w:rsid w:val="00D80506"/>
    <w:rsid w:val="00D81452"/>
    <w:rsid w:val="00D82BEF"/>
    <w:rsid w:val="00D84F50"/>
    <w:rsid w:val="00D85BE2"/>
    <w:rsid w:val="00D86328"/>
    <w:rsid w:val="00D871BD"/>
    <w:rsid w:val="00D902B7"/>
    <w:rsid w:val="00D91506"/>
    <w:rsid w:val="00D92231"/>
    <w:rsid w:val="00D92607"/>
    <w:rsid w:val="00D93200"/>
    <w:rsid w:val="00D953BB"/>
    <w:rsid w:val="00D97FCE"/>
    <w:rsid w:val="00DA0725"/>
    <w:rsid w:val="00DA2161"/>
    <w:rsid w:val="00DA2321"/>
    <w:rsid w:val="00DA39EE"/>
    <w:rsid w:val="00DA4E60"/>
    <w:rsid w:val="00DA75DF"/>
    <w:rsid w:val="00DB1829"/>
    <w:rsid w:val="00DB19B6"/>
    <w:rsid w:val="00DB7FB9"/>
    <w:rsid w:val="00DC0CED"/>
    <w:rsid w:val="00DC10DC"/>
    <w:rsid w:val="00DC1328"/>
    <w:rsid w:val="00DC1D0E"/>
    <w:rsid w:val="00DC381B"/>
    <w:rsid w:val="00DC3D99"/>
    <w:rsid w:val="00DC4419"/>
    <w:rsid w:val="00DC469C"/>
    <w:rsid w:val="00DC6A82"/>
    <w:rsid w:val="00DD2082"/>
    <w:rsid w:val="00DD3B68"/>
    <w:rsid w:val="00DD4012"/>
    <w:rsid w:val="00DD489F"/>
    <w:rsid w:val="00DE064E"/>
    <w:rsid w:val="00DE0939"/>
    <w:rsid w:val="00DE0AF8"/>
    <w:rsid w:val="00DE193C"/>
    <w:rsid w:val="00DF16EA"/>
    <w:rsid w:val="00DF17C8"/>
    <w:rsid w:val="00DF1C39"/>
    <w:rsid w:val="00DF2A7A"/>
    <w:rsid w:val="00DF3748"/>
    <w:rsid w:val="00DF399C"/>
    <w:rsid w:val="00DF5E0B"/>
    <w:rsid w:val="00DF64C2"/>
    <w:rsid w:val="00DF75EB"/>
    <w:rsid w:val="00E022A8"/>
    <w:rsid w:val="00E0414D"/>
    <w:rsid w:val="00E064D1"/>
    <w:rsid w:val="00E06FD8"/>
    <w:rsid w:val="00E06FDC"/>
    <w:rsid w:val="00E07662"/>
    <w:rsid w:val="00E12931"/>
    <w:rsid w:val="00E133BB"/>
    <w:rsid w:val="00E13CD6"/>
    <w:rsid w:val="00E169B5"/>
    <w:rsid w:val="00E2147A"/>
    <w:rsid w:val="00E21CB7"/>
    <w:rsid w:val="00E2301F"/>
    <w:rsid w:val="00E23478"/>
    <w:rsid w:val="00E24F68"/>
    <w:rsid w:val="00E27E19"/>
    <w:rsid w:val="00E30701"/>
    <w:rsid w:val="00E3096A"/>
    <w:rsid w:val="00E30BC3"/>
    <w:rsid w:val="00E30F52"/>
    <w:rsid w:val="00E31084"/>
    <w:rsid w:val="00E3163B"/>
    <w:rsid w:val="00E36005"/>
    <w:rsid w:val="00E36B88"/>
    <w:rsid w:val="00E3728F"/>
    <w:rsid w:val="00E40E55"/>
    <w:rsid w:val="00E41361"/>
    <w:rsid w:val="00E41E8B"/>
    <w:rsid w:val="00E443CC"/>
    <w:rsid w:val="00E5016A"/>
    <w:rsid w:val="00E523E7"/>
    <w:rsid w:val="00E530E7"/>
    <w:rsid w:val="00E536C8"/>
    <w:rsid w:val="00E53771"/>
    <w:rsid w:val="00E53DFF"/>
    <w:rsid w:val="00E53F09"/>
    <w:rsid w:val="00E54480"/>
    <w:rsid w:val="00E54AB4"/>
    <w:rsid w:val="00E560FB"/>
    <w:rsid w:val="00E57175"/>
    <w:rsid w:val="00E60D18"/>
    <w:rsid w:val="00E6133B"/>
    <w:rsid w:val="00E61761"/>
    <w:rsid w:val="00E630EA"/>
    <w:rsid w:val="00E64120"/>
    <w:rsid w:val="00E65EBD"/>
    <w:rsid w:val="00E66328"/>
    <w:rsid w:val="00E66427"/>
    <w:rsid w:val="00E66E97"/>
    <w:rsid w:val="00E732E8"/>
    <w:rsid w:val="00E738FB"/>
    <w:rsid w:val="00E74613"/>
    <w:rsid w:val="00E7552E"/>
    <w:rsid w:val="00E80C4E"/>
    <w:rsid w:val="00E810D1"/>
    <w:rsid w:val="00E828C3"/>
    <w:rsid w:val="00E8376B"/>
    <w:rsid w:val="00E8568D"/>
    <w:rsid w:val="00E9039A"/>
    <w:rsid w:val="00E908EA"/>
    <w:rsid w:val="00E91495"/>
    <w:rsid w:val="00E917EC"/>
    <w:rsid w:val="00E92065"/>
    <w:rsid w:val="00E924A0"/>
    <w:rsid w:val="00E93816"/>
    <w:rsid w:val="00E94C1F"/>
    <w:rsid w:val="00E94F28"/>
    <w:rsid w:val="00E95932"/>
    <w:rsid w:val="00E9798F"/>
    <w:rsid w:val="00EA0277"/>
    <w:rsid w:val="00EA04AF"/>
    <w:rsid w:val="00EA067B"/>
    <w:rsid w:val="00EA1F0B"/>
    <w:rsid w:val="00EA4FDD"/>
    <w:rsid w:val="00EA5EE6"/>
    <w:rsid w:val="00EA723E"/>
    <w:rsid w:val="00EB0110"/>
    <w:rsid w:val="00EB0955"/>
    <w:rsid w:val="00EB24B5"/>
    <w:rsid w:val="00EB56A8"/>
    <w:rsid w:val="00EC020C"/>
    <w:rsid w:val="00EC1F68"/>
    <w:rsid w:val="00EC2469"/>
    <w:rsid w:val="00EC37F4"/>
    <w:rsid w:val="00EC3940"/>
    <w:rsid w:val="00EC53B3"/>
    <w:rsid w:val="00EC5460"/>
    <w:rsid w:val="00EC591C"/>
    <w:rsid w:val="00EC604F"/>
    <w:rsid w:val="00EC6526"/>
    <w:rsid w:val="00ED05E3"/>
    <w:rsid w:val="00ED111C"/>
    <w:rsid w:val="00ED1AAF"/>
    <w:rsid w:val="00ED2A58"/>
    <w:rsid w:val="00ED351E"/>
    <w:rsid w:val="00ED3E5A"/>
    <w:rsid w:val="00ED4CF4"/>
    <w:rsid w:val="00ED516F"/>
    <w:rsid w:val="00ED5562"/>
    <w:rsid w:val="00EE18AA"/>
    <w:rsid w:val="00EE1C41"/>
    <w:rsid w:val="00EE33F1"/>
    <w:rsid w:val="00EE3CE7"/>
    <w:rsid w:val="00EE4ADF"/>
    <w:rsid w:val="00EE730F"/>
    <w:rsid w:val="00EE7AC6"/>
    <w:rsid w:val="00EF3E07"/>
    <w:rsid w:val="00EF50BB"/>
    <w:rsid w:val="00EF5BBD"/>
    <w:rsid w:val="00EF5E44"/>
    <w:rsid w:val="00EF5F29"/>
    <w:rsid w:val="00EF6350"/>
    <w:rsid w:val="00EF7F2E"/>
    <w:rsid w:val="00F00A04"/>
    <w:rsid w:val="00F02376"/>
    <w:rsid w:val="00F02EEC"/>
    <w:rsid w:val="00F03787"/>
    <w:rsid w:val="00F05956"/>
    <w:rsid w:val="00F11707"/>
    <w:rsid w:val="00F123DA"/>
    <w:rsid w:val="00F124EF"/>
    <w:rsid w:val="00F12F0E"/>
    <w:rsid w:val="00F13A2B"/>
    <w:rsid w:val="00F14F16"/>
    <w:rsid w:val="00F17962"/>
    <w:rsid w:val="00F17DA2"/>
    <w:rsid w:val="00F21A4D"/>
    <w:rsid w:val="00F22718"/>
    <w:rsid w:val="00F2329E"/>
    <w:rsid w:val="00F244CC"/>
    <w:rsid w:val="00F254D8"/>
    <w:rsid w:val="00F27950"/>
    <w:rsid w:val="00F307B7"/>
    <w:rsid w:val="00F309BD"/>
    <w:rsid w:val="00F30A84"/>
    <w:rsid w:val="00F3126D"/>
    <w:rsid w:val="00F362C5"/>
    <w:rsid w:val="00F37CE4"/>
    <w:rsid w:val="00F41F97"/>
    <w:rsid w:val="00F4208D"/>
    <w:rsid w:val="00F43D81"/>
    <w:rsid w:val="00F447DF"/>
    <w:rsid w:val="00F44D80"/>
    <w:rsid w:val="00F51781"/>
    <w:rsid w:val="00F51BC1"/>
    <w:rsid w:val="00F5218C"/>
    <w:rsid w:val="00F53AF5"/>
    <w:rsid w:val="00F54D0D"/>
    <w:rsid w:val="00F5509B"/>
    <w:rsid w:val="00F552B2"/>
    <w:rsid w:val="00F558B5"/>
    <w:rsid w:val="00F56121"/>
    <w:rsid w:val="00F56FC3"/>
    <w:rsid w:val="00F6078F"/>
    <w:rsid w:val="00F61155"/>
    <w:rsid w:val="00F61BAA"/>
    <w:rsid w:val="00F6450F"/>
    <w:rsid w:val="00F65B65"/>
    <w:rsid w:val="00F6633E"/>
    <w:rsid w:val="00F66508"/>
    <w:rsid w:val="00F666EB"/>
    <w:rsid w:val="00F70D6A"/>
    <w:rsid w:val="00F7264D"/>
    <w:rsid w:val="00F72A66"/>
    <w:rsid w:val="00F74945"/>
    <w:rsid w:val="00F76308"/>
    <w:rsid w:val="00F80207"/>
    <w:rsid w:val="00F805FA"/>
    <w:rsid w:val="00F807A4"/>
    <w:rsid w:val="00F82202"/>
    <w:rsid w:val="00F82A46"/>
    <w:rsid w:val="00F842CD"/>
    <w:rsid w:val="00F844F8"/>
    <w:rsid w:val="00F84593"/>
    <w:rsid w:val="00F8561D"/>
    <w:rsid w:val="00F85621"/>
    <w:rsid w:val="00F875DC"/>
    <w:rsid w:val="00F90291"/>
    <w:rsid w:val="00F9057C"/>
    <w:rsid w:val="00F91660"/>
    <w:rsid w:val="00F9314D"/>
    <w:rsid w:val="00F932D7"/>
    <w:rsid w:val="00F93645"/>
    <w:rsid w:val="00F94822"/>
    <w:rsid w:val="00FA02A0"/>
    <w:rsid w:val="00FA15E3"/>
    <w:rsid w:val="00FA1F8A"/>
    <w:rsid w:val="00FA61E6"/>
    <w:rsid w:val="00FA7244"/>
    <w:rsid w:val="00FA7507"/>
    <w:rsid w:val="00FA76F5"/>
    <w:rsid w:val="00FA7A0F"/>
    <w:rsid w:val="00FB0C87"/>
    <w:rsid w:val="00FB458C"/>
    <w:rsid w:val="00FB4665"/>
    <w:rsid w:val="00FB56BF"/>
    <w:rsid w:val="00FB5DCA"/>
    <w:rsid w:val="00FB7960"/>
    <w:rsid w:val="00FC11AD"/>
    <w:rsid w:val="00FC1D1D"/>
    <w:rsid w:val="00FC2E9C"/>
    <w:rsid w:val="00FC3804"/>
    <w:rsid w:val="00FC3FB8"/>
    <w:rsid w:val="00FC442F"/>
    <w:rsid w:val="00FC57BF"/>
    <w:rsid w:val="00FC672B"/>
    <w:rsid w:val="00FC76C8"/>
    <w:rsid w:val="00FC7B8A"/>
    <w:rsid w:val="00FD107E"/>
    <w:rsid w:val="00FD18ED"/>
    <w:rsid w:val="00FD2AFA"/>
    <w:rsid w:val="00FE1450"/>
    <w:rsid w:val="00FE22AC"/>
    <w:rsid w:val="00FE26B7"/>
    <w:rsid w:val="00FE26BC"/>
    <w:rsid w:val="00FE29BE"/>
    <w:rsid w:val="00FE41D1"/>
    <w:rsid w:val="00FE5AD6"/>
    <w:rsid w:val="00FE72AF"/>
    <w:rsid w:val="00FF131C"/>
    <w:rsid w:val="00FF1F23"/>
    <w:rsid w:val="00FF2FD3"/>
    <w:rsid w:val="00FF4C74"/>
    <w:rsid w:val="00FF4F71"/>
    <w:rsid w:val="00FF5F0D"/>
    <w:rsid w:val="00FF606D"/>
    <w:rsid w:val="00FF7B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kern w:val="2"/>
        <w:sz w:val="26"/>
        <w:szCs w:val="26"/>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110"/>
    <w:pPr>
      <w:tabs>
        <w:tab w:val="center" w:pos="4680"/>
        <w:tab w:val="right" w:pos="9360"/>
      </w:tabs>
      <w:spacing w:line="240" w:lineRule="auto"/>
    </w:pPr>
  </w:style>
  <w:style w:type="character" w:customStyle="1" w:styleId="HeaderChar">
    <w:name w:val="Header Char"/>
    <w:basedOn w:val="DefaultParagraphFont"/>
    <w:link w:val="Header"/>
    <w:uiPriority w:val="99"/>
    <w:rsid w:val="007D0110"/>
  </w:style>
  <w:style w:type="paragraph" w:styleId="Footer">
    <w:name w:val="footer"/>
    <w:basedOn w:val="Normal"/>
    <w:link w:val="FooterChar"/>
    <w:uiPriority w:val="99"/>
    <w:unhideWhenUsed/>
    <w:rsid w:val="007D0110"/>
    <w:pPr>
      <w:tabs>
        <w:tab w:val="center" w:pos="4680"/>
        <w:tab w:val="right" w:pos="9360"/>
      </w:tabs>
      <w:spacing w:line="240" w:lineRule="auto"/>
    </w:pPr>
  </w:style>
  <w:style w:type="character" w:customStyle="1" w:styleId="FooterChar">
    <w:name w:val="Footer Char"/>
    <w:basedOn w:val="DefaultParagraphFont"/>
    <w:link w:val="Footer"/>
    <w:uiPriority w:val="99"/>
    <w:rsid w:val="007D0110"/>
  </w:style>
  <w:style w:type="character" w:styleId="PageNumber">
    <w:name w:val="page number"/>
    <w:basedOn w:val="DefaultParagraphFont"/>
    <w:uiPriority w:val="99"/>
    <w:semiHidden/>
    <w:unhideWhenUsed/>
    <w:rsid w:val="007D0110"/>
  </w:style>
  <w:style w:type="paragraph" w:styleId="FootnoteText">
    <w:name w:val="footnote text"/>
    <w:link w:val="FootnoteTextChar"/>
    <w:uiPriority w:val="99"/>
    <w:unhideWhenUsed/>
    <w:rsid w:val="007D0110"/>
    <w:pPr>
      <w:spacing w:line="240" w:lineRule="auto"/>
    </w:pPr>
    <w:rPr>
      <w:szCs w:val="20"/>
    </w:rPr>
  </w:style>
  <w:style w:type="character" w:customStyle="1" w:styleId="FootnoteTextChar">
    <w:name w:val="Footnote Text Char"/>
    <w:basedOn w:val="DefaultParagraphFont"/>
    <w:link w:val="FootnoteText"/>
    <w:uiPriority w:val="99"/>
    <w:rsid w:val="007D0110"/>
    <w:rPr>
      <w:szCs w:val="20"/>
    </w:rPr>
  </w:style>
  <w:style w:type="character" w:styleId="FootnoteReference">
    <w:name w:val="footnote reference"/>
    <w:basedOn w:val="DefaultParagraphFont"/>
    <w:uiPriority w:val="99"/>
    <w:semiHidden/>
    <w:unhideWhenUsed/>
    <w:rsid w:val="00E7552E"/>
    <w:rPr>
      <w:vertAlign w:val="superscript"/>
    </w:rPr>
  </w:style>
  <w:style w:type="character" w:styleId="Hyperlink">
    <w:name w:val="Hyperlink"/>
    <w:basedOn w:val="DefaultParagraphFont"/>
    <w:uiPriority w:val="99"/>
    <w:unhideWhenUsed/>
    <w:rsid w:val="00D33D3B"/>
    <w:rPr>
      <w:color w:val="0563C1" w:themeColor="hyperlink"/>
      <w:u w:val="single"/>
    </w:rPr>
  </w:style>
  <w:style w:type="character" w:customStyle="1" w:styleId="UnresolvedMention1">
    <w:name w:val="Unresolved Mention1"/>
    <w:basedOn w:val="DefaultParagraphFont"/>
    <w:uiPriority w:val="99"/>
    <w:semiHidden/>
    <w:unhideWhenUsed/>
    <w:rsid w:val="00D33D3B"/>
    <w:rPr>
      <w:color w:val="605E5C"/>
      <w:shd w:val="clear" w:color="auto" w:fill="E1DFDD"/>
    </w:rPr>
  </w:style>
  <w:style w:type="paragraph" w:styleId="Revision">
    <w:name w:val="Revision"/>
    <w:hidden/>
    <w:uiPriority w:val="99"/>
    <w:semiHidden/>
    <w:rsid w:val="004D455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2FC2-D332-484A-958F-6AC774BF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5872</Words>
  <Characters>33476</Characters>
  <Application>Microsoft Office Word</Application>
  <DocSecurity>0</DocSecurity>
  <Lines>278</Lines>
  <Paragraphs>78</Paragraphs>
  <ScaleCrop>false</ScaleCrop>
  <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2023-08-04T15:28:58Z</dcterms:created>
  <dcterms:modified xsi:type="dcterms:W3CDTF">2023-08-04T15:28:58Z</dcterms:modified>
</cp:coreProperties>
</file>