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050C8" w:rsidP="00DA210F" w14:paraId="1667D642" w14:textId="07497C2C">
      <w:pPr>
        <w:spacing w:line="240" w:lineRule="auto"/>
        <w:rPr>
          <w:rFonts w:ascii="Century Schoolbook" w:hAnsi="Century Schoolbook"/>
          <w:sz w:val="20"/>
        </w:rPr>
      </w:pPr>
      <w:r>
        <w:rPr>
          <w:rFonts w:ascii="Century Schoolbook" w:hAnsi="Century Schoolbook"/>
          <w:sz w:val="20"/>
        </w:rPr>
        <w:t>Filed 1/30/23</w:t>
      </w:r>
    </w:p>
    <w:p w:rsidR="00DA210F" w:rsidP="00DA210F" w14:paraId="28E9B43A" w14:textId="77777777">
      <w:pPr>
        <w:spacing w:line="240" w:lineRule="auto"/>
        <w:jc w:val="center"/>
        <w:rPr>
          <w:rFonts w:ascii="Century Schoolbook" w:hAnsi="Century Schoolbook"/>
          <w:b/>
        </w:rPr>
      </w:pPr>
      <w:r>
        <w:rPr>
          <w:rFonts w:ascii="Century Schoolbook" w:hAnsi="Century Schoolbook"/>
          <w:b/>
        </w:rPr>
        <w:t>CERTIFIED FOR PUBLICATION</w:t>
      </w:r>
    </w:p>
    <w:p w:rsidR="00DA210F" w:rsidP="00DA210F" w14:paraId="16211D84" w14:textId="77777777">
      <w:pPr>
        <w:spacing w:line="240" w:lineRule="auto"/>
        <w:jc w:val="center"/>
        <w:rPr>
          <w:rFonts w:ascii="Century Schoolbook" w:hAnsi="Century Schoolbook"/>
        </w:rPr>
      </w:pPr>
    </w:p>
    <w:p w:rsidR="00781863" w:rsidRPr="00475519" w:rsidP="00DA210F" w14:paraId="7FF23957" w14:textId="28B3D5E3">
      <w:pPr>
        <w:spacing w:line="240" w:lineRule="auto"/>
        <w:jc w:val="center"/>
        <w:rPr>
          <w:rFonts w:ascii="Century Schoolbook" w:hAnsi="Century Schoolbook"/>
        </w:rPr>
      </w:pPr>
      <w:r w:rsidRPr="00475519">
        <w:rPr>
          <w:rFonts w:ascii="Century Schoolbook" w:hAnsi="Century Schoolbook"/>
        </w:rPr>
        <w:t>IN THE COURT OF APPEAL OF THE STATE OF CALIFORNIA</w:t>
      </w:r>
    </w:p>
    <w:p w:rsidR="00781863" w:rsidRPr="00475519" w:rsidP="00781863" w14:paraId="0A8EC9AD" w14:textId="77777777">
      <w:pPr>
        <w:spacing w:line="240" w:lineRule="auto"/>
        <w:jc w:val="center"/>
        <w:rPr>
          <w:rFonts w:ascii="Century Schoolbook" w:hAnsi="Century Schoolbook"/>
        </w:rPr>
      </w:pPr>
    </w:p>
    <w:p w:rsidR="00781863" w:rsidRPr="00475519" w:rsidP="00781863" w14:paraId="22DBAA1F" w14:textId="77777777">
      <w:pPr>
        <w:spacing w:line="240" w:lineRule="auto"/>
        <w:jc w:val="center"/>
        <w:rPr>
          <w:rFonts w:ascii="Century Schoolbook" w:hAnsi="Century Schoolbook"/>
        </w:rPr>
      </w:pPr>
      <w:r w:rsidRPr="00475519">
        <w:rPr>
          <w:rFonts w:ascii="Century Schoolbook" w:hAnsi="Century Schoolbook"/>
        </w:rPr>
        <w:t>FIRST APPELLATE DISTRICT</w:t>
      </w:r>
    </w:p>
    <w:p w:rsidR="00781863" w:rsidRPr="00475519" w:rsidP="00781863" w14:paraId="601A2A8C" w14:textId="77777777">
      <w:pPr>
        <w:spacing w:line="240" w:lineRule="auto"/>
        <w:jc w:val="center"/>
        <w:rPr>
          <w:rFonts w:ascii="Century Schoolbook" w:hAnsi="Century Schoolbook"/>
        </w:rPr>
      </w:pPr>
    </w:p>
    <w:p w:rsidR="00781863" w:rsidRPr="00475519" w:rsidP="00781863" w14:paraId="66DF1B0B" w14:textId="77777777">
      <w:pPr>
        <w:spacing w:line="240" w:lineRule="auto"/>
        <w:jc w:val="center"/>
        <w:rPr>
          <w:rFonts w:ascii="Century Schoolbook" w:hAnsi="Century Schoolbook"/>
        </w:rPr>
      </w:pPr>
      <w:r w:rsidRPr="00475519">
        <w:rPr>
          <w:rFonts w:ascii="Century Schoolbook" w:hAnsi="Century Schoolbook"/>
        </w:rPr>
        <w:t>DIVISION THREE</w:t>
      </w:r>
    </w:p>
    <w:p w:rsidR="00FF1110" w:rsidRPr="00475519" w:rsidP="00781863" w14:paraId="181D5B33" w14:textId="77777777">
      <w:pPr>
        <w:spacing w:line="240" w:lineRule="auto"/>
        <w:jc w:val="center"/>
        <w:rPr>
          <w:rFonts w:ascii="Century Schoolbook" w:hAnsi="Century Schoolbook"/>
        </w:rPr>
      </w:pPr>
    </w:p>
    <w:p w:rsidR="004F3944" w:rsidRPr="00475519" w:rsidP="00781863" w14:paraId="39408413" w14:textId="77777777">
      <w:pPr>
        <w:spacing w:line="240" w:lineRule="auto"/>
        <w:jc w:val="center"/>
        <w:rPr>
          <w:rFonts w:ascii="Century Schoolbook" w:hAnsi="Century Schoolbook"/>
        </w:rPr>
      </w:pPr>
    </w:p>
    <w:tbl>
      <w:tblPr>
        <w:tblW w:w="0" w:type="auto"/>
        <w:tblLayout w:type="fixed"/>
        <w:tblLook w:val="0000"/>
      </w:tblPr>
      <w:tblGrid>
        <w:gridCol w:w="4968"/>
        <w:gridCol w:w="4608"/>
      </w:tblGrid>
      <w:tr w14:paraId="3664955E" w14:textId="77777777" w:rsidTr="00052760">
        <w:tblPrEx>
          <w:tblW w:w="0" w:type="auto"/>
          <w:tblLayout w:type="fixed"/>
          <w:tblLook w:val="0000"/>
        </w:tblPrEx>
        <w:tc>
          <w:tcPr>
            <w:tcW w:w="4968" w:type="dxa"/>
            <w:tcBorders>
              <w:bottom w:val="single" w:sz="4" w:space="0" w:color="auto"/>
              <w:right w:val="single" w:sz="4" w:space="0" w:color="auto"/>
            </w:tcBorders>
            <w:shd w:val="clear" w:color="auto" w:fill="auto"/>
          </w:tcPr>
          <w:p w:rsidR="00FF1110" w:rsidRPr="00475519" w:rsidP="00FF1110" w14:paraId="7B17B0DA" w14:textId="251E086E">
            <w:pPr>
              <w:spacing w:before="120" w:after="120" w:line="240" w:lineRule="auto"/>
              <w:rPr>
                <w:rFonts w:ascii="Century Schoolbook" w:hAnsi="Century Schoolbook"/>
                <w:szCs w:val="24"/>
              </w:rPr>
            </w:pPr>
            <w:r w:rsidRPr="00475519">
              <w:rPr>
                <w:rFonts w:ascii="Century Schoolbook" w:hAnsi="Century Schoolbook"/>
                <w:szCs w:val="24"/>
              </w:rPr>
              <w:t>E</w:t>
            </w:r>
            <w:r w:rsidRPr="00475519" w:rsidR="000A1F41">
              <w:rPr>
                <w:rFonts w:ascii="Century Schoolbook" w:hAnsi="Century Schoolbook"/>
                <w:szCs w:val="24"/>
              </w:rPr>
              <w:t xml:space="preserve">STATE OF RAUL </w:t>
            </w:r>
            <w:r w:rsidRPr="00475519" w:rsidR="00CE3343">
              <w:rPr>
                <w:rFonts w:ascii="Century Schoolbook" w:hAnsi="Century Schoolbook"/>
                <w:szCs w:val="24"/>
              </w:rPr>
              <w:t>SA</w:t>
            </w:r>
            <w:r w:rsidRPr="00475519" w:rsidR="00052760">
              <w:rPr>
                <w:rFonts w:ascii="Century Schoolbook" w:hAnsi="Century Schoolbook"/>
                <w:szCs w:val="24"/>
              </w:rPr>
              <w:t xml:space="preserve">USEDO </w:t>
            </w:r>
            <w:r w:rsidRPr="00475519" w:rsidR="000A1F41">
              <w:rPr>
                <w:rFonts w:ascii="Century Schoolbook" w:hAnsi="Century Schoolbook"/>
                <w:szCs w:val="24"/>
              </w:rPr>
              <w:t xml:space="preserve">FRANCO, DECEASED. </w:t>
            </w:r>
          </w:p>
        </w:tc>
        <w:tc>
          <w:tcPr>
            <w:tcW w:w="4608" w:type="dxa"/>
            <w:tcBorders>
              <w:left w:val="single" w:sz="4" w:space="0" w:color="auto"/>
            </w:tcBorders>
            <w:shd w:val="clear" w:color="auto" w:fill="auto"/>
          </w:tcPr>
          <w:p w:rsidR="00FF1110" w:rsidRPr="00475519" w:rsidP="00781863" w14:paraId="56E8A73C" w14:textId="77777777">
            <w:pPr>
              <w:spacing w:line="240" w:lineRule="auto"/>
              <w:rPr>
                <w:rFonts w:ascii="Century Schoolbook" w:hAnsi="Century Schoolbook"/>
              </w:rPr>
            </w:pPr>
          </w:p>
        </w:tc>
      </w:tr>
      <w:tr w14:paraId="205AD6F3" w14:textId="77777777" w:rsidTr="00052760">
        <w:tblPrEx>
          <w:tblW w:w="0" w:type="auto"/>
          <w:tblLayout w:type="fixed"/>
          <w:tblLook w:val="0000"/>
        </w:tblPrEx>
        <w:tc>
          <w:tcPr>
            <w:tcW w:w="4968" w:type="dxa"/>
            <w:tcBorders>
              <w:bottom w:val="single" w:sz="4" w:space="0" w:color="auto"/>
              <w:right w:val="single" w:sz="4" w:space="0" w:color="auto"/>
            </w:tcBorders>
            <w:shd w:val="clear" w:color="auto" w:fill="auto"/>
          </w:tcPr>
          <w:p w:rsidR="00FF1110" w:rsidRPr="00475519" w:rsidP="00FF1110" w14:paraId="4BC3188E" w14:textId="6E83478B">
            <w:pPr>
              <w:spacing w:before="150" w:after="120" w:line="240" w:lineRule="auto"/>
              <w:rPr>
                <w:rFonts w:ascii="Century Schoolbook" w:hAnsi="Century Schoolbook"/>
                <w:szCs w:val="24"/>
              </w:rPr>
            </w:pPr>
            <w:r w:rsidRPr="00475519">
              <w:rPr>
                <w:rFonts w:ascii="Century Schoolbook" w:hAnsi="Century Schoolbook"/>
                <w:szCs w:val="24"/>
              </w:rPr>
              <w:t xml:space="preserve">ROBERTA MORENO, </w:t>
            </w:r>
            <w:r w:rsidRPr="00475519" w:rsidR="004B2FB6">
              <w:rPr>
                <w:rFonts w:ascii="Century Schoolbook" w:hAnsi="Century Schoolbook"/>
                <w:szCs w:val="24"/>
              </w:rPr>
              <w:t>et al.</w:t>
            </w:r>
            <w:r w:rsidRPr="00475519" w:rsidR="00831807">
              <w:rPr>
                <w:rFonts w:ascii="Century Schoolbook" w:hAnsi="Century Schoolbook"/>
                <w:szCs w:val="24"/>
              </w:rPr>
              <w:t>,</w:t>
            </w:r>
          </w:p>
          <w:p w:rsidR="00FF1110" w:rsidRPr="00475519" w:rsidP="00FF1110" w14:paraId="1691DE86" w14:textId="7C21D5C4">
            <w:pPr>
              <w:spacing w:before="120" w:after="120" w:line="240" w:lineRule="auto"/>
              <w:rPr>
                <w:rFonts w:ascii="Century Schoolbook" w:hAnsi="Century Schoolbook"/>
                <w:szCs w:val="24"/>
              </w:rPr>
            </w:pPr>
            <w:r w:rsidRPr="00475519">
              <w:rPr>
                <w:rFonts w:ascii="Century Schoolbook" w:hAnsi="Century Schoolbook"/>
                <w:szCs w:val="24"/>
              </w:rPr>
              <w:tab/>
              <w:t>Petitioner</w:t>
            </w:r>
            <w:r w:rsidRPr="00475519" w:rsidR="004B2FB6">
              <w:rPr>
                <w:rFonts w:ascii="Century Schoolbook" w:hAnsi="Century Schoolbook"/>
                <w:szCs w:val="24"/>
              </w:rPr>
              <w:t>s</w:t>
            </w:r>
            <w:r w:rsidRPr="00475519">
              <w:rPr>
                <w:rFonts w:ascii="Century Schoolbook" w:hAnsi="Century Schoolbook"/>
                <w:szCs w:val="24"/>
              </w:rPr>
              <w:t xml:space="preserve"> and Respondent</w:t>
            </w:r>
            <w:r w:rsidRPr="00475519" w:rsidR="004B2FB6">
              <w:rPr>
                <w:rFonts w:ascii="Century Schoolbook" w:hAnsi="Century Schoolbook"/>
                <w:szCs w:val="24"/>
              </w:rPr>
              <w:t>s</w:t>
            </w:r>
            <w:r w:rsidRPr="00475519">
              <w:rPr>
                <w:rFonts w:ascii="Century Schoolbook" w:hAnsi="Century Schoolbook"/>
                <w:szCs w:val="24"/>
              </w:rPr>
              <w:t>,</w:t>
            </w:r>
          </w:p>
          <w:p w:rsidR="00FF1110" w:rsidRPr="00475519" w:rsidP="00FF1110" w14:paraId="75127379" w14:textId="77777777">
            <w:pPr>
              <w:spacing w:before="120" w:after="120" w:line="240" w:lineRule="auto"/>
              <w:rPr>
                <w:rFonts w:ascii="Century Schoolbook" w:hAnsi="Century Schoolbook"/>
                <w:szCs w:val="24"/>
              </w:rPr>
            </w:pPr>
            <w:r w:rsidRPr="00475519">
              <w:rPr>
                <w:rFonts w:ascii="Century Schoolbook" w:hAnsi="Century Schoolbook"/>
                <w:szCs w:val="24"/>
              </w:rPr>
              <w:t>v.</w:t>
            </w:r>
          </w:p>
          <w:p w:rsidR="00FF1110" w:rsidRPr="00475519" w:rsidP="00FF1110" w14:paraId="5FE4DD05" w14:textId="788EDB9C">
            <w:pPr>
              <w:spacing w:before="120" w:after="120" w:line="240" w:lineRule="auto"/>
              <w:rPr>
                <w:rFonts w:ascii="Century Schoolbook" w:hAnsi="Century Schoolbook"/>
                <w:szCs w:val="24"/>
              </w:rPr>
            </w:pPr>
            <w:r w:rsidRPr="00475519">
              <w:rPr>
                <w:rFonts w:ascii="Century Schoolbook" w:hAnsi="Century Schoolbook"/>
                <w:szCs w:val="24"/>
              </w:rPr>
              <w:t xml:space="preserve">TAMARA L. </w:t>
            </w:r>
            <w:r w:rsidRPr="00475519" w:rsidR="004B2FB6">
              <w:rPr>
                <w:rFonts w:ascii="Century Schoolbook" w:hAnsi="Century Schoolbook"/>
                <w:szCs w:val="24"/>
              </w:rPr>
              <w:t>B</w:t>
            </w:r>
            <w:r w:rsidRPr="00475519">
              <w:rPr>
                <w:rFonts w:ascii="Century Schoolbook" w:hAnsi="Century Schoolbook"/>
                <w:szCs w:val="24"/>
              </w:rPr>
              <w:t xml:space="preserve">ERTUCCIO, </w:t>
            </w:r>
            <w:r w:rsidRPr="00475519" w:rsidR="004B2FB6">
              <w:rPr>
                <w:rFonts w:ascii="Century Schoolbook" w:hAnsi="Century Schoolbook"/>
                <w:szCs w:val="24"/>
              </w:rPr>
              <w:t>as Special Administrator,</w:t>
            </w:r>
          </w:p>
          <w:p w:rsidR="00781863" w:rsidRPr="00475519" w:rsidP="00FF1110" w14:paraId="69FFF097" w14:textId="4481DF45">
            <w:pPr>
              <w:spacing w:before="120" w:after="120" w:line="240" w:lineRule="auto"/>
              <w:rPr>
                <w:rFonts w:ascii="Century Schoolbook" w:hAnsi="Century Schoolbook"/>
              </w:rPr>
            </w:pPr>
            <w:r w:rsidRPr="00475519">
              <w:rPr>
                <w:rFonts w:ascii="Century Schoolbook" w:hAnsi="Century Schoolbook"/>
                <w:szCs w:val="24"/>
              </w:rPr>
              <w:tab/>
              <w:t>Objecto</w:t>
            </w:r>
            <w:r w:rsidRPr="00475519" w:rsidR="004B2FB6">
              <w:rPr>
                <w:rFonts w:ascii="Century Schoolbook" w:hAnsi="Century Schoolbook"/>
                <w:szCs w:val="24"/>
              </w:rPr>
              <w:t>r</w:t>
            </w:r>
            <w:r w:rsidRPr="00475519">
              <w:rPr>
                <w:rFonts w:ascii="Century Schoolbook" w:hAnsi="Century Schoolbook"/>
                <w:szCs w:val="24"/>
              </w:rPr>
              <w:t xml:space="preserve"> and Appellant.</w:t>
            </w:r>
          </w:p>
        </w:tc>
        <w:tc>
          <w:tcPr>
            <w:tcW w:w="4608" w:type="dxa"/>
            <w:tcBorders>
              <w:left w:val="single" w:sz="4" w:space="0" w:color="auto"/>
            </w:tcBorders>
            <w:shd w:val="clear" w:color="auto" w:fill="auto"/>
          </w:tcPr>
          <w:p w:rsidR="00781863" w:rsidRPr="00475519" w:rsidP="00781863" w14:paraId="1ABDC0A7" w14:textId="77777777">
            <w:pPr>
              <w:spacing w:line="240" w:lineRule="auto"/>
              <w:rPr>
                <w:rFonts w:ascii="Century Schoolbook" w:hAnsi="Century Schoolbook"/>
              </w:rPr>
            </w:pPr>
          </w:p>
          <w:p w:rsidR="00781863" w:rsidRPr="00475519" w:rsidP="00781863" w14:paraId="7C947A71" w14:textId="77777777">
            <w:pPr>
              <w:spacing w:line="240" w:lineRule="auto"/>
              <w:rPr>
                <w:rFonts w:ascii="Century Schoolbook" w:hAnsi="Century Schoolbook"/>
              </w:rPr>
            </w:pPr>
          </w:p>
          <w:p w:rsidR="00FF1110" w:rsidRPr="00475519" w:rsidP="00781863" w14:paraId="672A2E98" w14:textId="77777777">
            <w:pPr>
              <w:spacing w:line="240" w:lineRule="auto"/>
              <w:rPr>
                <w:rFonts w:ascii="Century Schoolbook" w:hAnsi="Century Schoolbook"/>
              </w:rPr>
            </w:pPr>
          </w:p>
          <w:p w:rsidR="00781863" w:rsidRPr="00475519" w:rsidP="00781863" w14:paraId="584A6CA3" w14:textId="0AA6303C">
            <w:pPr>
              <w:spacing w:line="240" w:lineRule="auto"/>
              <w:rPr>
                <w:rFonts w:ascii="Century Schoolbook" w:hAnsi="Century Schoolbook"/>
              </w:rPr>
            </w:pPr>
            <w:r w:rsidRPr="00475519">
              <w:rPr>
                <w:rFonts w:ascii="Century Schoolbook" w:hAnsi="Century Schoolbook"/>
              </w:rPr>
              <w:tab/>
              <w:t>A</w:t>
            </w:r>
            <w:r w:rsidRPr="00475519" w:rsidR="004B2FB6">
              <w:rPr>
                <w:rFonts w:ascii="Century Schoolbook" w:hAnsi="Century Schoolbook"/>
              </w:rPr>
              <w:t>165840</w:t>
            </w:r>
          </w:p>
          <w:p w:rsidR="00781863" w:rsidRPr="00475519" w:rsidP="00781863" w14:paraId="3A3686E0" w14:textId="77777777">
            <w:pPr>
              <w:spacing w:line="240" w:lineRule="auto"/>
              <w:rPr>
                <w:rFonts w:ascii="Century Schoolbook" w:hAnsi="Century Schoolbook"/>
              </w:rPr>
            </w:pPr>
          </w:p>
          <w:p w:rsidR="00781863" w:rsidRPr="00475519" w:rsidP="00781863" w14:paraId="58E11B29" w14:textId="24322378">
            <w:pPr>
              <w:spacing w:line="240" w:lineRule="auto"/>
              <w:rPr>
                <w:rFonts w:ascii="Century Schoolbook" w:hAnsi="Century Schoolbook"/>
              </w:rPr>
            </w:pPr>
            <w:r w:rsidRPr="00475519">
              <w:rPr>
                <w:rFonts w:ascii="Century Schoolbook" w:hAnsi="Century Schoolbook"/>
              </w:rPr>
              <w:tab/>
              <w:t>(</w:t>
            </w:r>
            <w:r w:rsidRPr="00475519" w:rsidR="004B2FB6">
              <w:rPr>
                <w:rFonts w:ascii="Century Schoolbook" w:hAnsi="Century Schoolbook"/>
              </w:rPr>
              <w:t xml:space="preserve">Santa Clara </w:t>
            </w:r>
            <w:r w:rsidRPr="00475519">
              <w:rPr>
                <w:rFonts w:ascii="Century Schoolbook" w:hAnsi="Century Schoolbook"/>
              </w:rPr>
              <w:t>County</w:t>
            </w:r>
          </w:p>
          <w:p w:rsidR="00781863" w:rsidRPr="00475519" w:rsidP="00781863" w14:paraId="4EDBE14A" w14:textId="43AD2959">
            <w:pPr>
              <w:spacing w:line="240" w:lineRule="auto"/>
              <w:rPr>
                <w:rFonts w:ascii="Century Schoolbook" w:hAnsi="Century Schoolbook"/>
              </w:rPr>
            </w:pPr>
            <w:r w:rsidRPr="00475519">
              <w:rPr>
                <w:rFonts w:ascii="Century Schoolbook" w:hAnsi="Century Schoolbook"/>
              </w:rPr>
              <w:tab/>
              <w:t xml:space="preserve"> Super. Ct. No. </w:t>
            </w:r>
            <w:r w:rsidRPr="00475519" w:rsidR="004B2FB6">
              <w:rPr>
                <w:rFonts w:ascii="Century Schoolbook" w:hAnsi="Century Schoolbook"/>
              </w:rPr>
              <w:t>18PR182626</w:t>
            </w:r>
            <w:r w:rsidRPr="00475519">
              <w:rPr>
                <w:rFonts w:ascii="Century Schoolbook" w:hAnsi="Century Schoolbook"/>
              </w:rPr>
              <w:t>)</w:t>
            </w:r>
          </w:p>
          <w:p w:rsidR="00781863" w:rsidRPr="00475519" w:rsidP="00781863" w14:paraId="645EB536" w14:textId="77777777">
            <w:pPr>
              <w:spacing w:line="240" w:lineRule="auto"/>
              <w:rPr>
                <w:rFonts w:ascii="Century Schoolbook" w:hAnsi="Century Schoolbook"/>
              </w:rPr>
            </w:pPr>
          </w:p>
        </w:tc>
      </w:tr>
    </w:tbl>
    <w:p w:rsidR="00781863" w:rsidRPr="00475519" w:rsidP="00A61880" w14:paraId="57F4E531" w14:textId="77777777">
      <w:pPr>
        <w:spacing w:line="360" w:lineRule="auto"/>
        <w:rPr>
          <w:rFonts w:ascii="Century Schoolbook" w:hAnsi="Century Schoolbook"/>
        </w:rPr>
      </w:pPr>
    </w:p>
    <w:p w:rsidR="00210706" w:rsidRPr="00475519" w:rsidP="00210706" w14:paraId="6DD0E992" w14:textId="64935C4C">
      <w:pPr>
        <w:spacing w:line="360" w:lineRule="auto"/>
        <w:rPr>
          <w:rFonts w:ascii="Century Schoolbook" w:hAnsi="Century Schoolbook"/>
        </w:rPr>
      </w:pPr>
      <w:r w:rsidRPr="00475519">
        <w:rPr>
          <w:rFonts w:ascii="Century Schoolbook" w:hAnsi="Century Schoolbook"/>
        </w:rPr>
        <w:tab/>
      </w:r>
      <w:r w:rsidRPr="00475519" w:rsidR="00A870B4">
        <w:rPr>
          <w:rFonts w:ascii="Century Schoolbook" w:hAnsi="Century Schoolbook"/>
        </w:rPr>
        <w:t xml:space="preserve">In this probate proceeding, </w:t>
      </w:r>
      <w:r w:rsidRPr="00475519" w:rsidR="00150953">
        <w:rPr>
          <w:rFonts w:ascii="Century Schoolbook" w:hAnsi="Century Schoolbook"/>
        </w:rPr>
        <w:t>petitioners and respondents Roberta Moreno and Cynthia Moreno (</w:t>
      </w:r>
      <w:r w:rsidRPr="00475519" w:rsidR="006123F3">
        <w:rPr>
          <w:rFonts w:ascii="Century Schoolbook" w:hAnsi="Century Schoolbook"/>
        </w:rPr>
        <w:t>“</w:t>
      </w:r>
      <w:r w:rsidRPr="00475519" w:rsidR="00150953">
        <w:rPr>
          <w:rFonts w:ascii="Century Schoolbook" w:hAnsi="Century Schoolbook"/>
        </w:rPr>
        <w:t>the Morenos</w:t>
      </w:r>
      <w:r w:rsidRPr="00475519" w:rsidR="006123F3">
        <w:rPr>
          <w:rFonts w:ascii="Century Schoolbook" w:hAnsi="Century Schoolbook"/>
        </w:rPr>
        <w:t>”</w:t>
      </w:r>
      <w:r w:rsidRPr="00475519" w:rsidR="00150953">
        <w:rPr>
          <w:rFonts w:ascii="Century Schoolbook" w:hAnsi="Century Schoolbook"/>
        </w:rPr>
        <w:t xml:space="preserve">) </w:t>
      </w:r>
      <w:r w:rsidRPr="00475519" w:rsidR="000342DE">
        <w:rPr>
          <w:rFonts w:ascii="Century Schoolbook" w:hAnsi="Century Schoolbook"/>
        </w:rPr>
        <w:t xml:space="preserve">filed </w:t>
      </w:r>
      <w:r w:rsidRPr="00475519" w:rsidR="00773BE9">
        <w:rPr>
          <w:rFonts w:ascii="Century Schoolbook" w:hAnsi="Century Schoolbook"/>
        </w:rPr>
        <w:t xml:space="preserve">a </w:t>
      </w:r>
      <w:r w:rsidRPr="00475519" w:rsidR="000342DE">
        <w:rPr>
          <w:rFonts w:ascii="Century Schoolbook" w:hAnsi="Century Schoolbook"/>
        </w:rPr>
        <w:t xml:space="preserve">joint motion for summary judgment seeking </w:t>
      </w:r>
      <w:r w:rsidRPr="00475519" w:rsidR="00150953">
        <w:rPr>
          <w:rFonts w:ascii="Century Schoolbook" w:hAnsi="Century Schoolbook"/>
        </w:rPr>
        <w:t>a determination that Frank G. Bertucci</w:t>
      </w:r>
      <w:r w:rsidRPr="00475519" w:rsidR="006C1376">
        <w:rPr>
          <w:rFonts w:ascii="Century Schoolbook" w:hAnsi="Century Schoolbook"/>
        </w:rPr>
        <w:t>o</w:t>
      </w:r>
      <w:r w:rsidRPr="00475519" w:rsidR="00150953">
        <w:rPr>
          <w:rFonts w:ascii="Century Schoolbook" w:hAnsi="Century Schoolbook"/>
        </w:rPr>
        <w:t xml:space="preserve"> (</w:t>
      </w:r>
      <w:r w:rsidRPr="00475519" w:rsidR="006123F3">
        <w:rPr>
          <w:rFonts w:ascii="Century Schoolbook" w:hAnsi="Century Schoolbook"/>
        </w:rPr>
        <w:t>“</w:t>
      </w:r>
      <w:r w:rsidRPr="00475519" w:rsidR="00150953">
        <w:rPr>
          <w:rFonts w:ascii="Century Schoolbook" w:hAnsi="Century Schoolbook"/>
        </w:rPr>
        <w:t>Bertucci</w:t>
      </w:r>
      <w:r w:rsidRPr="00475519" w:rsidR="006C1376">
        <w:rPr>
          <w:rFonts w:ascii="Century Schoolbook" w:hAnsi="Century Schoolbook"/>
        </w:rPr>
        <w:t>o</w:t>
      </w:r>
      <w:r w:rsidRPr="00475519" w:rsidR="006123F3">
        <w:rPr>
          <w:rFonts w:ascii="Century Schoolbook" w:hAnsi="Century Schoolbook"/>
        </w:rPr>
        <w:t>”</w:t>
      </w:r>
      <w:r w:rsidRPr="00475519" w:rsidR="00150953">
        <w:rPr>
          <w:rFonts w:ascii="Century Schoolbook" w:hAnsi="Century Schoolbook"/>
        </w:rPr>
        <w:t>)</w:t>
      </w:r>
      <w:r>
        <w:rPr>
          <w:rStyle w:val="FootnoteReference"/>
          <w:rFonts w:ascii="Century Schoolbook" w:hAnsi="Century Schoolbook"/>
        </w:rPr>
        <w:footnoteReference w:id="2"/>
      </w:r>
      <w:r w:rsidRPr="00475519" w:rsidR="00150953">
        <w:rPr>
          <w:rFonts w:ascii="Century Schoolbook" w:hAnsi="Century Schoolbook"/>
        </w:rPr>
        <w:t xml:space="preserve"> was not </w:t>
      </w:r>
      <w:r w:rsidRPr="00475519" w:rsidR="00166559">
        <w:rPr>
          <w:rFonts w:ascii="Century Schoolbook" w:hAnsi="Century Schoolbook"/>
        </w:rPr>
        <w:t>an</w:t>
      </w:r>
      <w:r w:rsidRPr="00475519" w:rsidR="00150953">
        <w:rPr>
          <w:rFonts w:ascii="Century Schoolbook" w:hAnsi="Century Schoolbook"/>
        </w:rPr>
        <w:t xml:space="preserve"> heir entitled to an intestate share of the Estate of Raul Sausedo Franco, also known as Roy Raul Hector Franco (</w:t>
      </w:r>
      <w:r w:rsidRPr="00475519" w:rsidR="006123F3">
        <w:rPr>
          <w:rFonts w:ascii="Century Schoolbook" w:hAnsi="Century Schoolbook"/>
        </w:rPr>
        <w:t>“</w:t>
      </w:r>
      <w:r w:rsidRPr="00475519" w:rsidR="00150953">
        <w:rPr>
          <w:rFonts w:ascii="Century Schoolbook" w:hAnsi="Century Schoolbook"/>
        </w:rPr>
        <w:t xml:space="preserve">Franco”). </w:t>
      </w:r>
    </w:p>
    <w:p w:rsidR="00773BE9" w:rsidRPr="00475519" w:rsidP="004F282E" w14:paraId="36465D7A" w14:textId="1AE3D39D">
      <w:pPr>
        <w:spacing w:line="360" w:lineRule="auto"/>
        <w:rPr>
          <w:rFonts w:ascii="Century Schoolbook" w:hAnsi="Century Schoolbook"/>
        </w:rPr>
      </w:pPr>
      <w:r w:rsidRPr="00475519">
        <w:rPr>
          <w:rFonts w:ascii="Century Schoolbook" w:hAnsi="Century Schoolbook"/>
        </w:rPr>
        <w:tab/>
      </w:r>
      <w:r w:rsidRPr="00475519" w:rsidR="00150953">
        <w:rPr>
          <w:rFonts w:ascii="Century Schoolbook" w:hAnsi="Century Schoolbook"/>
        </w:rPr>
        <w:t>T</w:t>
      </w:r>
      <w:r w:rsidRPr="00475519" w:rsidR="000A1F41">
        <w:rPr>
          <w:rFonts w:ascii="Century Schoolbook" w:hAnsi="Century Schoolbook"/>
        </w:rPr>
        <w:t xml:space="preserve">he </w:t>
      </w:r>
      <w:r w:rsidRPr="00475519" w:rsidR="00583D70">
        <w:rPr>
          <w:rFonts w:ascii="Century Schoolbook" w:hAnsi="Century Schoolbook"/>
        </w:rPr>
        <w:t xml:space="preserve">probate </w:t>
      </w:r>
      <w:r w:rsidRPr="00475519" w:rsidR="000A1F41">
        <w:rPr>
          <w:rFonts w:ascii="Century Schoolbook" w:hAnsi="Century Schoolbook"/>
        </w:rPr>
        <w:t>court</w:t>
      </w:r>
      <w:r w:rsidRPr="00475519" w:rsidR="00487610">
        <w:rPr>
          <w:rFonts w:ascii="Century Schoolbook" w:hAnsi="Century Schoolbook"/>
        </w:rPr>
        <w:t xml:space="preserve"> </w:t>
      </w:r>
      <w:r w:rsidRPr="00475519">
        <w:rPr>
          <w:rFonts w:ascii="Century Schoolbook" w:hAnsi="Century Schoolbook"/>
        </w:rPr>
        <w:t>granted the motion for summary judgment.  The court found</w:t>
      </w:r>
      <w:r w:rsidRPr="00475519" w:rsidR="00AE0EBB">
        <w:rPr>
          <w:rFonts w:ascii="Century Schoolbook" w:hAnsi="Century Schoolbook"/>
        </w:rPr>
        <w:t xml:space="preserve"> Bertuccio </w:t>
      </w:r>
      <w:r w:rsidRPr="00475519">
        <w:rPr>
          <w:rFonts w:ascii="Century Schoolbook" w:hAnsi="Century Schoolbook"/>
        </w:rPr>
        <w:t>to be</w:t>
      </w:r>
      <w:r w:rsidRPr="00475519" w:rsidR="00AE0EBB">
        <w:rPr>
          <w:rFonts w:ascii="Century Schoolbook" w:hAnsi="Century Schoolbook"/>
        </w:rPr>
        <w:t xml:space="preserve"> the child of a marriage between his mother </w:t>
      </w:r>
      <w:r w:rsidRPr="00475519" w:rsidR="00AE0EBB">
        <w:rPr>
          <w:rFonts w:ascii="Century Schoolbook" w:hAnsi="Century Schoolbook"/>
        </w:rPr>
        <w:t xml:space="preserve">Marilyn and Frank </w:t>
      </w:r>
      <w:r w:rsidRPr="00475519" w:rsidR="00993C5F">
        <w:rPr>
          <w:rFonts w:ascii="Century Schoolbook" w:hAnsi="Century Schoolbook"/>
        </w:rPr>
        <w:t xml:space="preserve">C. </w:t>
      </w:r>
      <w:r w:rsidRPr="00475519" w:rsidR="00AE0EBB">
        <w:rPr>
          <w:rFonts w:ascii="Century Schoolbook" w:hAnsi="Century Schoolbook"/>
        </w:rPr>
        <w:t>Bertuccio, Senior (</w:t>
      </w:r>
      <w:r w:rsidRPr="00475519" w:rsidR="006123F3">
        <w:rPr>
          <w:rFonts w:ascii="Century Schoolbook" w:hAnsi="Century Schoolbook"/>
        </w:rPr>
        <w:t>“</w:t>
      </w:r>
      <w:r w:rsidRPr="00475519" w:rsidR="00AE0EBB">
        <w:rPr>
          <w:rFonts w:ascii="Century Schoolbook" w:hAnsi="Century Schoolbook"/>
        </w:rPr>
        <w:t>Frank</w:t>
      </w:r>
      <w:r w:rsidRPr="00475519" w:rsidR="00BC4028">
        <w:rPr>
          <w:rFonts w:ascii="Century Schoolbook" w:hAnsi="Century Schoolbook"/>
        </w:rPr>
        <w:t>,</w:t>
      </w:r>
      <w:r w:rsidRPr="00475519" w:rsidR="00AE0EBB">
        <w:rPr>
          <w:rFonts w:ascii="Century Schoolbook" w:hAnsi="Century Schoolbook"/>
        </w:rPr>
        <w:t xml:space="preserve"> Sr.</w:t>
      </w:r>
      <w:r w:rsidRPr="00475519" w:rsidR="006123F3">
        <w:rPr>
          <w:rFonts w:ascii="Century Schoolbook" w:hAnsi="Century Schoolbook"/>
        </w:rPr>
        <w:t>”</w:t>
      </w:r>
      <w:r w:rsidRPr="00475519" w:rsidR="00AE0EBB">
        <w:rPr>
          <w:rFonts w:ascii="Century Schoolbook" w:hAnsi="Century Schoolbook"/>
        </w:rPr>
        <w:t>)</w:t>
      </w:r>
      <w:r w:rsidRPr="00475519" w:rsidR="00345CFE">
        <w:rPr>
          <w:rFonts w:ascii="Century Schoolbook" w:hAnsi="Century Schoolbook"/>
        </w:rPr>
        <w:t xml:space="preserve"> under the </w:t>
      </w:r>
      <w:r w:rsidRPr="00475519">
        <w:rPr>
          <w:rFonts w:ascii="Century Schoolbook" w:hAnsi="Century Schoolbook"/>
        </w:rPr>
        <w:t xml:space="preserve">marital presumption set forth in </w:t>
      </w:r>
      <w:r w:rsidRPr="00475519" w:rsidR="00345CFE">
        <w:rPr>
          <w:rFonts w:ascii="Century Schoolbook" w:hAnsi="Century Schoolbook"/>
        </w:rPr>
        <w:t>Family Code section 7540</w:t>
      </w:r>
      <w:r w:rsidRPr="00475519" w:rsidR="00CB4EE9">
        <w:rPr>
          <w:rFonts w:ascii="Century Schoolbook" w:hAnsi="Century Schoolbook"/>
        </w:rPr>
        <w:t xml:space="preserve">, subdivision </w:t>
      </w:r>
      <w:r w:rsidRPr="00475519">
        <w:rPr>
          <w:rFonts w:ascii="Century Schoolbook" w:hAnsi="Century Schoolbook"/>
        </w:rPr>
        <w:t xml:space="preserve">(a), which provides, in pertinent part, that “the child of spouses who cohabited at the time of conception and birth is conclusively presumed to be a child of the marriage.”  </w:t>
      </w:r>
      <w:r w:rsidR="004E5414">
        <w:rPr>
          <w:rFonts w:ascii="Century Schoolbook" w:hAnsi="Century Schoolbook"/>
        </w:rPr>
        <w:t>Based on that finding, t</w:t>
      </w:r>
      <w:r w:rsidRPr="00475519">
        <w:rPr>
          <w:rFonts w:ascii="Century Schoolbook" w:hAnsi="Century Schoolbook"/>
        </w:rPr>
        <w:t xml:space="preserve">he court </w:t>
      </w:r>
      <w:r w:rsidRPr="00475519" w:rsidR="00993C5F">
        <w:rPr>
          <w:rFonts w:ascii="Century Schoolbook" w:hAnsi="Century Schoolbook"/>
        </w:rPr>
        <w:t xml:space="preserve">then </w:t>
      </w:r>
      <w:r w:rsidRPr="00475519">
        <w:rPr>
          <w:rFonts w:ascii="Century Schoolbook" w:hAnsi="Century Schoolbook"/>
        </w:rPr>
        <w:t xml:space="preserve">held </w:t>
      </w:r>
      <w:r w:rsidRPr="00475519" w:rsidR="00993C5F">
        <w:rPr>
          <w:rFonts w:ascii="Century Schoolbook" w:hAnsi="Century Schoolbook"/>
        </w:rPr>
        <w:t xml:space="preserve">Bertuccio, as the child of the marriage of Marilyn and Frank, Sr., </w:t>
      </w:r>
      <w:r w:rsidRPr="00475519" w:rsidR="00AE0EBB">
        <w:rPr>
          <w:rFonts w:ascii="Century Schoolbook" w:hAnsi="Century Schoolbook"/>
        </w:rPr>
        <w:t>was not entitled to prove Franco was his natural parent from whom he could inherit in intestate succession under Probate Code section 6</w:t>
      </w:r>
      <w:r w:rsidRPr="00475519" w:rsidR="00366BAC">
        <w:rPr>
          <w:rFonts w:ascii="Century Schoolbook" w:hAnsi="Century Schoolbook"/>
        </w:rPr>
        <w:t>453</w:t>
      </w:r>
      <w:r w:rsidRPr="00475519" w:rsidR="00AE0EBB">
        <w:rPr>
          <w:rFonts w:ascii="Century Schoolbook" w:hAnsi="Century Schoolbook"/>
        </w:rPr>
        <w:t>, subdivision (b)(2)</w:t>
      </w:r>
      <w:r w:rsidRPr="00475519" w:rsidR="00993C5F">
        <w:rPr>
          <w:rFonts w:ascii="Century Schoolbook" w:hAnsi="Century Schoolbook"/>
        </w:rPr>
        <w:t>.</w:t>
      </w:r>
      <w:r>
        <w:rPr>
          <w:rStyle w:val="FootnoteReference"/>
          <w:rFonts w:ascii="Century Schoolbook" w:hAnsi="Century Schoolbook"/>
        </w:rPr>
        <w:footnoteReference w:id="3"/>
      </w:r>
      <w:r w:rsidRPr="00475519" w:rsidR="00AE0EBB">
        <w:rPr>
          <w:rFonts w:ascii="Century Schoolbook" w:hAnsi="Century Schoolbook"/>
        </w:rPr>
        <w:t xml:space="preserve">  </w:t>
      </w:r>
    </w:p>
    <w:p w:rsidR="001E0695" w:rsidRPr="00475519" w:rsidP="004F282E" w14:paraId="7DFB9AEC" w14:textId="719A3A92">
      <w:pPr>
        <w:spacing w:line="360" w:lineRule="auto"/>
        <w:rPr>
          <w:rFonts w:ascii="Century Schoolbook" w:hAnsi="Century Schoolbook"/>
        </w:rPr>
      </w:pPr>
      <w:r w:rsidRPr="00475519">
        <w:rPr>
          <w:rFonts w:ascii="Century Schoolbook" w:hAnsi="Century Schoolbook"/>
        </w:rPr>
        <w:tab/>
      </w:r>
      <w:r w:rsidRPr="00475519" w:rsidR="00166559">
        <w:rPr>
          <w:rFonts w:ascii="Century Schoolbook" w:hAnsi="Century Schoolbook"/>
        </w:rPr>
        <w:t>As a preliminary matter, w</w:t>
      </w:r>
      <w:r w:rsidRPr="00475519">
        <w:rPr>
          <w:rFonts w:ascii="Century Schoolbook" w:hAnsi="Century Schoolbook"/>
        </w:rPr>
        <w:t xml:space="preserve">e </w:t>
      </w:r>
      <w:r w:rsidRPr="00475519" w:rsidR="00166559">
        <w:rPr>
          <w:rFonts w:ascii="Century Schoolbook" w:hAnsi="Century Schoolbook"/>
        </w:rPr>
        <w:t>agree with</w:t>
      </w:r>
      <w:r w:rsidRPr="00475519" w:rsidR="006123F3">
        <w:rPr>
          <w:rFonts w:ascii="Century Schoolbook" w:hAnsi="Century Schoolbook"/>
        </w:rPr>
        <w:t xml:space="preserve"> the probate court that our Supreme Court’s decision in </w:t>
      </w:r>
      <w:r w:rsidRPr="00410D1F" w:rsidR="000A297F">
        <w:rPr>
          <w:rFonts w:ascii="Century Schoolbook" w:hAnsi="Century Schoolbook"/>
          <w:i/>
          <w:iCs/>
        </w:rPr>
        <w:t>Estate of</w:t>
      </w:r>
      <w:r w:rsidR="000A297F">
        <w:rPr>
          <w:rFonts w:ascii="Century Schoolbook" w:hAnsi="Century Schoolbook"/>
        </w:rPr>
        <w:t xml:space="preserve"> </w:t>
      </w:r>
      <w:r w:rsidRPr="00475519" w:rsidR="006123F3">
        <w:rPr>
          <w:rFonts w:ascii="Century Schoolbook" w:hAnsi="Century Schoolbook"/>
          <w:i/>
          <w:iCs/>
        </w:rPr>
        <w:t>Cornelious</w:t>
      </w:r>
      <w:r w:rsidR="000A297F">
        <w:rPr>
          <w:rFonts w:ascii="Century Schoolbook" w:hAnsi="Century Schoolbook"/>
        </w:rPr>
        <w:t xml:space="preserve"> (1984) </w:t>
      </w:r>
      <w:r w:rsidRPr="00475519" w:rsidR="006123F3">
        <w:rPr>
          <w:rFonts w:ascii="Century Schoolbook" w:hAnsi="Century Schoolbook"/>
        </w:rPr>
        <w:t xml:space="preserve">35 Cal.3d 461 </w:t>
      </w:r>
      <w:r w:rsidR="000A297F">
        <w:rPr>
          <w:rFonts w:ascii="Century Schoolbook" w:hAnsi="Century Schoolbook"/>
        </w:rPr>
        <w:t>(</w:t>
      </w:r>
      <w:r w:rsidRPr="00410D1F" w:rsidR="000A297F">
        <w:rPr>
          <w:rFonts w:ascii="Century Schoolbook" w:hAnsi="Century Schoolbook"/>
          <w:i/>
          <w:iCs/>
        </w:rPr>
        <w:t>Cornelious</w:t>
      </w:r>
      <w:r w:rsidR="000A297F">
        <w:rPr>
          <w:rFonts w:ascii="Century Schoolbook" w:hAnsi="Century Schoolbook"/>
        </w:rPr>
        <w:t xml:space="preserve">) </w:t>
      </w:r>
      <w:r w:rsidRPr="00475519" w:rsidR="00166559">
        <w:rPr>
          <w:rFonts w:ascii="Century Schoolbook" w:hAnsi="Century Schoolbook"/>
        </w:rPr>
        <w:t>remains</w:t>
      </w:r>
      <w:r w:rsidRPr="00475519" w:rsidR="006123F3">
        <w:rPr>
          <w:rFonts w:ascii="Century Schoolbook" w:hAnsi="Century Schoolbook"/>
        </w:rPr>
        <w:t xml:space="preserve"> good law.  Hence, </w:t>
      </w:r>
      <w:r w:rsidRPr="00475519">
        <w:rPr>
          <w:rFonts w:ascii="Century Schoolbook" w:hAnsi="Century Schoolbook"/>
        </w:rPr>
        <w:t>if Bertuccio</w:t>
      </w:r>
      <w:r w:rsidRPr="00475519" w:rsidR="00166559">
        <w:rPr>
          <w:rFonts w:ascii="Century Schoolbook" w:hAnsi="Century Schoolbook"/>
        </w:rPr>
        <w:t xml:space="preserve"> were</w:t>
      </w:r>
      <w:r w:rsidRPr="00475519" w:rsidR="007E58B2">
        <w:rPr>
          <w:rFonts w:ascii="Century Schoolbook" w:hAnsi="Century Schoolbook"/>
        </w:rPr>
        <w:t xml:space="preserve"> found to be </w:t>
      </w:r>
      <w:r w:rsidRPr="00475519" w:rsidR="00F02692">
        <w:rPr>
          <w:rFonts w:ascii="Century Schoolbook" w:hAnsi="Century Schoolbook"/>
        </w:rPr>
        <w:t>a child of the marriage of Marilyn and Frank</w:t>
      </w:r>
      <w:r w:rsidRPr="00475519" w:rsidR="00BC4028">
        <w:rPr>
          <w:rFonts w:ascii="Century Schoolbook" w:hAnsi="Century Schoolbook"/>
        </w:rPr>
        <w:t>,</w:t>
      </w:r>
      <w:r w:rsidRPr="00475519" w:rsidR="00F02692">
        <w:rPr>
          <w:rFonts w:ascii="Century Schoolbook" w:hAnsi="Century Schoolbook"/>
        </w:rPr>
        <w:t xml:space="preserve"> Sr. pursuant to the Family Code section 7540 marital presumption, </w:t>
      </w:r>
      <w:r w:rsidRPr="00475519" w:rsidR="00166559">
        <w:rPr>
          <w:rFonts w:ascii="Century Schoolbook" w:hAnsi="Century Schoolbook"/>
        </w:rPr>
        <w:t>he would not be</w:t>
      </w:r>
      <w:r w:rsidRPr="00475519">
        <w:rPr>
          <w:rFonts w:ascii="Century Schoolbook" w:hAnsi="Century Schoolbook"/>
        </w:rPr>
        <w:t xml:space="preserve"> entitled to prove Franco was his natural parent under Probate Code section 6</w:t>
      </w:r>
      <w:r w:rsidRPr="00475519" w:rsidR="00366BAC">
        <w:rPr>
          <w:rFonts w:ascii="Century Schoolbook" w:hAnsi="Century Schoolbook"/>
        </w:rPr>
        <w:t>453</w:t>
      </w:r>
      <w:r w:rsidRPr="00475519">
        <w:rPr>
          <w:rFonts w:ascii="Century Schoolbook" w:hAnsi="Century Schoolbook"/>
        </w:rPr>
        <w:t>, subdivision (</w:t>
      </w:r>
      <w:r w:rsidRPr="00475519" w:rsidR="007E58B2">
        <w:rPr>
          <w:rFonts w:ascii="Century Schoolbook" w:hAnsi="Century Schoolbook"/>
        </w:rPr>
        <w:t>b</w:t>
      </w:r>
      <w:r w:rsidRPr="00475519">
        <w:rPr>
          <w:rFonts w:ascii="Century Schoolbook" w:hAnsi="Century Schoolbook"/>
        </w:rPr>
        <w:t xml:space="preserve">)(2).  </w:t>
      </w:r>
    </w:p>
    <w:p w:rsidR="00753D73" w:rsidRPr="00475519" w:rsidP="004F282E" w14:paraId="123EDD2A" w14:textId="37F1B7C5">
      <w:pPr>
        <w:spacing w:line="360" w:lineRule="auto"/>
        <w:rPr>
          <w:rFonts w:ascii="Century Schoolbook" w:hAnsi="Century Schoolbook"/>
        </w:rPr>
      </w:pPr>
      <w:r w:rsidRPr="00475519">
        <w:rPr>
          <w:rFonts w:ascii="Century Schoolbook" w:hAnsi="Century Schoolbook"/>
        </w:rPr>
        <w:tab/>
      </w:r>
      <w:r w:rsidRPr="00475519" w:rsidR="00773BE9">
        <w:rPr>
          <w:rFonts w:ascii="Century Schoolbook" w:hAnsi="Century Schoolbook"/>
        </w:rPr>
        <w:t>Howe</w:t>
      </w:r>
      <w:r w:rsidRPr="00475519" w:rsidR="00A8744C">
        <w:rPr>
          <w:rFonts w:ascii="Century Schoolbook" w:hAnsi="Century Schoolbook"/>
        </w:rPr>
        <w:t xml:space="preserve">ver, </w:t>
      </w:r>
      <w:r w:rsidRPr="00475519" w:rsidR="00166559">
        <w:rPr>
          <w:rFonts w:ascii="Century Schoolbook" w:hAnsi="Century Schoolbook"/>
        </w:rPr>
        <w:t xml:space="preserve">we find </w:t>
      </w:r>
      <w:r w:rsidRPr="00475519" w:rsidR="00487610">
        <w:rPr>
          <w:rFonts w:ascii="Century Schoolbook" w:hAnsi="Century Schoolbook"/>
        </w:rPr>
        <w:t xml:space="preserve">the </w:t>
      </w:r>
      <w:r w:rsidRPr="00475519" w:rsidR="00152476">
        <w:rPr>
          <w:rFonts w:ascii="Century Schoolbook" w:hAnsi="Century Schoolbook"/>
        </w:rPr>
        <w:t xml:space="preserve">probate </w:t>
      </w:r>
      <w:r w:rsidRPr="00475519" w:rsidR="00773BE9">
        <w:rPr>
          <w:rFonts w:ascii="Century Schoolbook" w:hAnsi="Century Schoolbook"/>
        </w:rPr>
        <w:t>c</w:t>
      </w:r>
      <w:r w:rsidRPr="00475519" w:rsidR="00487610">
        <w:rPr>
          <w:rFonts w:ascii="Century Schoolbook" w:hAnsi="Century Schoolbook"/>
        </w:rPr>
        <w:t xml:space="preserve">ourt erred in applying the </w:t>
      </w:r>
      <w:r w:rsidRPr="00475519" w:rsidR="00152476">
        <w:rPr>
          <w:rFonts w:ascii="Century Schoolbook" w:hAnsi="Century Schoolbook"/>
        </w:rPr>
        <w:t xml:space="preserve">Family Code section 7540 </w:t>
      </w:r>
      <w:r w:rsidRPr="00475519" w:rsidR="00BF6C23">
        <w:rPr>
          <w:rFonts w:ascii="Century Schoolbook" w:hAnsi="Century Schoolbook"/>
        </w:rPr>
        <w:t xml:space="preserve">marital presumption </w:t>
      </w:r>
      <w:r w:rsidRPr="00475519" w:rsidR="00A8744C">
        <w:rPr>
          <w:rFonts w:ascii="Century Schoolbook" w:hAnsi="Century Schoolbook"/>
        </w:rPr>
        <w:t xml:space="preserve">without </w:t>
      </w:r>
      <w:r w:rsidR="004E5414">
        <w:rPr>
          <w:rFonts w:ascii="Century Schoolbook" w:hAnsi="Century Schoolbook"/>
        </w:rPr>
        <w:t xml:space="preserve">first </w:t>
      </w:r>
      <w:r w:rsidRPr="00475519" w:rsidR="00BF6C23">
        <w:rPr>
          <w:rFonts w:ascii="Century Schoolbook" w:hAnsi="Century Schoolbook"/>
        </w:rPr>
        <w:t>making</w:t>
      </w:r>
      <w:r w:rsidRPr="00475519" w:rsidR="00EF4203">
        <w:rPr>
          <w:rFonts w:ascii="Century Schoolbook" w:hAnsi="Century Schoolbook"/>
        </w:rPr>
        <w:t xml:space="preserve"> </w:t>
      </w:r>
      <w:r w:rsidRPr="00475519">
        <w:rPr>
          <w:rFonts w:ascii="Century Schoolbook" w:hAnsi="Century Schoolbook"/>
        </w:rPr>
        <w:t xml:space="preserve">the </w:t>
      </w:r>
      <w:r w:rsidRPr="00475519" w:rsidR="00166559">
        <w:rPr>
          <w:rFonts w:ascii="Century Schoolbook" w:hAnsi="Century Schoolbook"/>
        </w:rPr>
        <w:t>requisite</w:t>
      </w:r>
      <w:r w:rsidRPr="00475519" w:rsidR="00EF4203">
        <w:rPr>
          <w:rFonts w:ascii="Century Schoolbook" w:hAnsi="Century Schoolbook"/>
        </w:rPr>
        <w:t xml:space="preserve"> </w:t>
      </w:r>
      <w:r w:rsidRPr="00475519" w:rsidR="00BF6C23">
        <w:rPr>
          <w:rFonts w:ascii="Century Schoolbook" w:hAnsi="Century Schoolbook"/>
        </w:rPr>
        <w:t xml:space="preserve">finding </w:t>
      </w:r>
      <w:r w:rsidRPr="00475519" w:rsidR="00EF4203">
        <w:rPr>
          <w:rFonts w:ascii="Century Schoolbook" w:hAnsi="Century Schoolbook"/>
        </w:rPr>
        <w:t>that Marilyn and Frank</w:t>
      </w:r>
      <w:r w:rsidRPr="00475519" w:rsidR="00BC4028">
        <w:rPr>
          <w:rFonts w:ascii="Century Schoolbook" w:hAnsi="Century Schoolbook"/>
        </w:rPr>
        <w:t>,</w:t>
      </w:r>
      <w:r w:rsidRPr="00475519" w:rsidR="00EF4203">
        <w:rPr>
          <w:rFonts w:ascii="Century Schoolbook" w:hAnsi="Century Schoolbook"/>
        </w:rPr>
        <w:t xml:space="preserve"> Sr. </w:t>
      </w:r>
      <w:r w:rsidRPr="00475519" w:rsidR="007E58B2">
        <w:rPr>
          <w:rFonts w:ascii="Century Schoolbook" w:hAnsi="Century Schoolbook"/>
        </w:rPr>
        <w:t xml:space="preserve">were </w:t>
      </w:r>
      <w:r w:rsidRPr="00475519" w:rsidR="00773BE9">
        <w:rPr>
          <w:rFonts w:ascii="Century Schoolbook" w:hAnsi="Century Schoolbook"/>
        </w:rPr>
        <w:t xml:space="preserve">cohabiting at the time of Bertuccio’s conception and birth. </w:t>
      </w:r>
      <w:r w:rsidRPr="00475519" w:rsidR="00753F2E">
        <w:rPr>
          <w:rFonts w:ascii="Century Schoolbook" w:hAnsi="Century Schoolbook"/>
        </w:rPr>
        <w:t xml:space="preserve"> </w:t>
      </w:r>
      <w:r w:rsidRPr="00475519" w:rsidR="00166559">
        <w:rPr>
          <w:rFonts w:ascii="Century Schoolbook" w:hAnsi="Century Schoolbook"/>
        </w:rPr>
        <w:t>We</w:t>
      </w:r>
      <w:r w:rsidRPr="00475519" w:rsidR="00BF6C23">
        <w:rPr>
          <w:rFonts w:ascii="Century Schoolbook" w:hAnsi="Century Schoolbook"/>
        </w:rPr>
        <w:t xml:space="preserve"> shall </w:t>
      </w:r>
      <w:r w:rsidRPr="00475519" w:rsidR="00166559">
        <w:rPr>
          <w:rFonts w:ascii="Century Schoolbook" w:hAnsi="Century Schoolbook"/>
        </w:rPr>
        <w:t xml:space="preserve">therefore </w:t>
      </w:r>
      <w:r w:rsidRPr="00475519" w:rsidR="00BF6C23">
        <w:rPr>
          <w:rFonts w:ascii="Century Schoolbook" w:hAnsi="Century Schoolbook"/>
        </w:rPr>
        <w:t xml:space="preserve">reverse the order granting summary judgment and remand the matter for further proceedings consistent with this opinion. </w:t>
      </w:r>
      <w:r w:rsidRPr="00475519" w:rsidR="000342DE">
        <w:rPr>
          <w:rFonts w:ascii="Century Schoolbook" w:hAnsi="Century Schoolbook"/>
        </w:rPr>
        <w:t xml:space="preserve"> </w:t>
      </w:r>
    </w:p>
    <w:p w:rsidR="00485FE0" w:rsidRPr="00475519" w:rsidP="00410D1F" w14:paraId="2BF9B2A2" w14:textId="17839D72">
      <w:pPr>
        <w:keepNext/>
        <w:spacing w:line="360" w:lineRule="auto"/>
        <w:jc w:val="center"/>
        <w:rPr>
          <w:rFonts w:ascii="Century Schoolbook" w:hAnsi="Century Schoolbook"/>
          <w:b/>
        </w:rPr>
      </w:pPr>
      <w:r w:rsidRPr="00475519">
        <w:rPr>
          <w:rFonts w:ascii="Century Schoolbook" w:hAnsi="Century Schoolbook"/>
          <w:b/>
          <w:smallCaps/>
        </w:rPr>
        <w:t>Factual and Procedural Background</w:t>
      </w:r>
      <w:r>
        <w:rPr>
          <w:rStyle w:val="FootnoteReference"/>
          <w:rFonts w:ascii="Century Schoolbook" w:hAnsi="Century Schoolbook"/>
          <w:b/>
        </w:rPr>
        <w:footnoteReference w:id="4"/>
      </w:r>
    </w:p>
    <w:p w:rsidR="008D6ED4" w:rsidRPr="00475519" w:rsidP="00A61880" w14:paraId="18D09D22" w14:textId="6F9AC23B">
      <w:pPr>
        <w:spacing w:line="360" w:lineRule="auto"/>
        <w:rPr>
          <w:rFonts w:ascii="Century Schoolbook" w:hAnsi="Century Schoolbook"/>
          <w:bCs/>
        </w:rPr>
      </w:pPr>
      <w:r w:rsidRPr="00475519">
        <w:rPr>
          <w:rFonts w:ascii="Century Schoolbook" w:hAnsi="Century Schoolbook"/>
          <w:b/>
          <w:i/>
          <w:iCs/>
        </w:rPr>
        <w:tab/>
      </w:r>
      <w:r w:rsidRPr="00475519">
        <w:rPr>
          <w:rFonts w:ascii="Century Schoolbook" w:hAnsi="Century Schoolbook"/>
          <w:bCs/>
        </w:rPr>
        <w:t xml:space="preserve">In </w:t>
      </w:r>
      <w:r w:rsidRPr="00475519" w:rsidR="00C8389A">
        <w:rPr>
          <w:rFonts w:ascii="Century Schoolbook" w:hAnsi="Century Schoolbook"/>
          <w:bCs/>
        </w:rPr>
        <w:t>December 1957</w:t>
      </w:r>
      <w:r w:rsidRPr="00475519">
        <w:rPr>
          <w:rFonts w:ascii="Century Schoolbook" w:hAnsi="Century Schoolbook"/>
          <w:bCs/>
        </w:rPr>
        <w:t xml:space="preserve">, Marilyn </w:t>
      </w:r>
      <w:r w:rsidRPr="00475519" w:rsidR="00352039">
        <w:rPr>
          <w:rFonts w:ascii="Century Schoolbook" w:hAnsi="Century Schoolbook"/>
          <w:bCs/>
        </w:rPr>
        <w:t xml:space="preserve">and </w:t>
      </w:r>
      <w:r w:rsidRPr="00475519">
        <w:rPr>
          <w:rFonts w:ascii="Century Schoolbook" w:hAnsi="Century Schoolbook"/>
          <w:bCs/>
        </w:rPr>
        <w:t>Frank</w:t>
      </w:r>
      <w:r w:rsidRPr="00475519" w:rsidR="00BC4028">
        <w:rPr>
          <w:rFonts w:ascii="Century Schoolbook" w:hAnsi="Century Schoolbook"/>
          <w:bCs/>
        </w:rPr>
        <w:t>,</w:t>
      </w:r>
      <w:r w:rsidRPr="00475519">
        <w:rPr>
          <w:rFonts w:ascii="Century Schoolbook" w:hAnsi="Century Schoolbook"/>
          <w:bCs/>
        </w:rPr>
        <w:t xml:space="preserve"> Sr.</w:t>
      </w:r>
      <w:r w:rsidRPr="00475519" w:rsidR="00352039">
        <w:rPr>
          <w:rFonts w:ascii="Century Schoolbook" w:hAnsi="Century Schoolbook"/>
          <w:bCs/>
        </w:rPr>
        <w:t xml:space="preserve"> </w:t>
      </w:r>
      <w:r w:rsidRPr="00475519">
        <w:rPr>
          <w:rFonts w:ascii="Century Schoolbook" w:hAnsi="Century Schoolbook"/>
          <w:bCs/>
        </w:rPr>
        <w:t>were married.</w:t>
      </w:r>
      <w:r w:rsidR="00475519">
        <w:rPr>
          <w:rFonts w:ascii="Century Schoolbook" w:hAnsi="Century Schoolbook"/>
          <w:bCs/>
        </w:rPr>
        <w:t xml:space="preserve"> </w:t>
      </w:r>
      <w:r w:rsidRPr="00475519">
        <w:rPr>
          <w:rFonts w:ascii="Century Schoolbook" w:hAnsi="Century Schoolbook"/>
          <w:bCs/>
        </w:rPr>
        <w:t xml:space="preserve"> Frank</w:t>
      </w:r>
      <w:r w:rsidRPr="00475519" w:rsidR="00BC4028">
        <w:rPr>
          <w:rFonts w:ascii="Century Schoolbook" w:hAnsi="Century Schoolbook"/>
          <w:bCs/>
        </w:rPr>
        <w:t>,</w:t>
      </w:r>
      <w:r w:rsidRPr="00475519">
        <w:rPr>
          <w:rFonts w:ascii="Century Schoolbook" w:hAnsi="Century Schoolbook"/>
          <w:bCs/>
        </w:rPr>
        <w:t xml:space="preserve"> Sr. was listed on </w:t>
      </w:r>
      <w:r w:rsidRPr="00475519" w:rsidR="00501542">
        <w:rPr>
          <w:rFonts w:ascii="Century Schoolbook" w:hAnsi="Century Schoolbook"/>
          <w:bCs/>
        </w:rPr>
        <w:t xml:space="preserve">Bertuccio’s </w:t>
      </w:r>
      <w:r w:rsidRPr="00475519">
        <w:rPr>
          <w:rFonts w:ascii="Century Schoolbook" w:hAnsi="Century Schoolbook"/>
          <w:bCs/>
        </w:rPr>
        <w:t xml:space="preserve">birth certificate as </w:t>
      </w:r>
      <w:r w:rsidRPr="00475519" w:rsidR="001D79F4">
        <w:rPr>
          <w:rFonts w:ascii="Century Schoolbook" w:hAnsi="Century Schoolbook"/>
          <w:bCs/>
        </w:rPr>
        <w:t xml:space="preserve">the </w:t>
      </w:r>
      <w:r w:rsidRPr="00475519">
        <w:rPr>
          <w:rFonts w:ascii="Century Schoolbook" w:hAnsi="Century Schoolbook"/>
          <w:bCs/>
        </w:rPr>
        <w:t>father</w:t>
      </w:r>
      <w:r w:rsidRPr="00475519" w:rsidR="00E61396">
        <w:rPr>
          <w:rFonts w:ascii="Century Schoolbook" w:hAnsi="Century Schoolbook"/>
          <w:bCs/>
        </w:rPr>
        <w:t xml:space="preserve">, accepted </w:t>
      </w:r>
      <w:r w:rsidRPr="00475519" w:rsidR="00501542">
        <w:rPr>
          <w:rFonts w:ascii="Century Schoolbook" w:hAnsi="Century Schoolbook"/>
          <w:bCs/>
        </w:rPr>
        <w:t xml:space="preserve">Bertuccio </w:t>
      </w:r>
      <w:r w:rsidRPr="00475519" w:rsidR="00E61396">
        <w:rPr>
          <w:rFonts w:ascii="Century Schoolbook" w:hAnsi="Century Schoolbook"/>
          <w:bCs/>
        </w:rPr>
        <w:t>into his home</w:t>
      </w:r>
      <w:r w:rsidRPr="00475519" w:rsidR="00AE0EBB">
        <w:rPr>
          <w:rFonts w:ascii="Century Schoolbook" w:hAnsi="Century Schoolbook"/>
          <w:bCs/>
        </w:rPr>
        <w:t>,</w:t>
      </w:r>
      <w:r w:rsidRPr="00475519" w:rsidR="00E61396">
        <w:rPr>
          <w:rFonts w:ascii="Century Schoolbook" w:hAnsi="Century Schoolbook"/>
          <w:bCs/>
        </w:rPr>
        <w:t xml:space="preserve"> and </w:t>
      </w:r>
      <w:r w:rsidRPr="00475519">
        <w:rPr>
          <w:rFonts w:ascii="Century Schoolbook" w:hAnsi="Century Schoolbook"/>
          <w:bCs/>
        </w:rPr>
        <w:t xml:space="preserve">held </w:t>
      </w:r>
      <w:r w:rsidRPr="00475519" w:rsidR="00501542">
        <w:rPr>
          <w:rFonts w:ascii="Century Schoolbook" w:hAnsi="Century Schoolbook"/>
          <w:bCs/>
        </w:rPr>
        <w:t xml:space="preserve">Bertuccio </w:t>
      </w:r>
      <w:r w:rsidRPr="00475519">
        <w:rPr>
          <w:rFonts w:ascii="Century Schoolbook" w:hAnsi="Century Schoolbook"/>
          <w:bCs/>
        </w:rPr>
        <w:t>out as his own</w:t>
      </w:r>
      <w:r w:rsidRPr="00475519" w:rsidR="008831CD">
        <w:rPr>
          <w:rFonts w:ascii="Century Schoolbook" w:hAnsi="Century Schoolbook"/>
          <w:bCs/>
        </w:rPr>
        <w:t>.</w:t>
      </w:r>
      <w:r w:rsidRPr="00475519">
        <w:rPr>
          <w:rFonts w:ascii="Century Schoolbook" w:hAnsi="Century Schoolbook"/>
          <w:bCs/>
        </w:rPr>
        <w:t xml:space="preserve"> </w:t>
      </w:r>
      <w:r w:rsidR="00475519">
        <w:rPr>
          <w:rFonts w:ascii="Century Schoolbook" w:hAnsi="Century Schoolbook"/>
          <w:bCs/>
        </w:rPr>
        <w:t xml:space="preserve"> </w:t>
      </w:r>
      <w:r w:rsidRPr="00475519">
        <w:rPr>
          <w:rFonts w:ascii="Century Schoolbook" w:hAnsi="Century Schoolbook"/>
          <w:bCs/>
        </w:rPr>
        <w:t>Marilyn and Frank</w:t>
      </w:r>
      <w:r w:rsidRPr="00475519" w:rsidR="00BC4028">
        <w:rPr>
          <w:rFonts w:ascii="Century Schoolbook" w:hAnsi="Century Schoolbook"/>
          <w:bCs/>
        </w:rPr>
        <w:t>,</w:t>
      </w:r>
      <w:r w:rsidRPr="00475519">
        <w:rPr>
          <w:rFonts w:ascii="Century Schoolbook" w:hAnsi="Century Schoolbook"/>
          <w:bCs/>
        </w:rPr>
        <w:t xml:space="preserve"> Sr. </w:t>
      </w:r>
      <w:r w:rsidRPr="00475519" w:rsidR="00C8389A">
        <w:rPr>
          <w:rFonts w:ascii="Century Schoolbook" w:hAnsi="Century Schoolbook"/>
          <w:bCs/>
        </w:rPr>
        <w:t xml:space="preserve">separated </w:t>
      </w:r>
      <w:r w:rsidRPr="00475519" w:rsidR="00501542">
        <w:rPr>
          <w:rFonts w:ascii="Century Schoolbook" w:hAnsi="Century Schoolbook"/>
          <w:bCs/>
        </w:rPr>
        <w:t>in</w:t>
      </w:r>
      <w:r w:rsidRPr="00475519" w:rsidR="00C8389A">
        <w:rPr>
          <w:rFonts w:ascii="Century Schoolbook" w:hAnsi="Century Schoolbook"/>
          <w:bCs/>
        </w:rPr>
        <w:t xml:space="preserve"> September 1966</w:t>
      </w:r>
      <w:r w:rsidR="0049095C">
        <w:rPr>
          <w:rFonts w:ascii="Century Schoolbook" w:hAnsi="Century Schoolbook"/>
          <w:bCs/>
        </w:rPr>
        <w:t xml:space="preserve"> and</w:t>
      </w:r>
      <w:r w:rsidRPr="00475519" w:rsidR="001D79F4">
        <w:rPr>
          <w:rFonts w:ascii="Century Schoolbook" w:hAnsi="Century Schoolbook"/>
          <w:bCs/>
        </w:rPr>
        <w:t xml:space="preserve"> were</w:t>
      </w:r>
      <w:r w:rsidRPr="00475519" w:rsidR="00C8389A">
        <w:rPr>
          <w:rFonts w:ascii="Century Schoolbook" w:hAnsi="Century Schoolbook"/>
          <w:bCs/>
        </w:rPr>
        <w:t xml:space="preserve"> granted an interlocutory judgment of divorce in March 1967</w:t>
      </w:r>
      <w:r w:rsidR="0049095C">
        <w:rPr>
          <w:rFonts w:ascii="Century Schoolbook" w:hAnsi="Century Schoolbook"/>
          <w:bCs/>
        </w:rPr>
        <w:t xml:space="preserve">.  A </w:t>
      </w:r>
      <w:r w:rsidRPr="00475519" w:rsidR="00C8389A">
        <w:rPr>
          <w:rFonts w:ascii="Century Schoolbook" w:hAnsi="Century Schoolbook"/>
          <w:bCs/>
        </w:rPr>
        <w:t>final judgment of divorce</w:t>
      </w:r>
      <w:r w:rsidRPr="00475519" w:rsidR="001D79F4">
        <w:rPr>
          <w:rFonts w:ascii="Century Schoolbook" w:hAnsi="Century Schoolbook"/>
          <w:bCs/>
        </w:rPr>
        <w:t xml:space="preserve"> was </w:t>
      </w:r>
      <w:r w:rsidRPr="00475519" w:rsidR="0083594C">
        <w:rPr>
          <w:rFonts w:ascii="Century Schoolbook" w:hAnsi="Century Schoolbook"/>
          <w:bCs/>
        </w:rPr>
        <w:t xml:space="preserve">filed </w:t>
      </w:r>
      <w:r w:rsidRPr="00475519" w:rsidR="00C8389A">
        <w:rPr>
          <w:rFonts w:ascii="Century Schoolbook" w:hAnsi="Century Schoolbook"/>
          <w:bCs/>
        </w:rPr>
        <w:t xml:space="preserve">in November </w:t>
      </w:r>
      <w:r w:rsidRPr="00475519">
        <w:rPr>
          <w:rFonts w:ascii="Century Schoolbook" w:hAnsi="Century Schoolbook"/>
          <w:bCs/>
        </w:rPr>
        <w:t xml:space="preserve">1967. </w:t>
      </w:r>
      <w:r w:rsidR="00475519">
        <w:rPr>
          <w:rFonts w:ascii="Century Schoolbook" w:hAnsi="Century Schoolbook"/>
          <w:bCs/>
        </w:rPr>
        <w:t xml:space="preserve"> </w:t>
      </w:r>
      <w:r w:rsidRPr="00475519">
        <w:rPr>
          <w:rFonts w:ascii="Century Schoolbook" w:hAnsi="Century Schoolbook"/>
          <w:bCs/>
        </w:rPr>
        <w:t xml:space="preserve">As part of the </w:t>
      </w:r>
      <w:r w:rsidRPr="00475519" w:rsidR="00C8389A">
        <w:rPr>
          <w:rFonts w:ascii="Century Schoolbook" w:hAnsi="Century Schoolbook"/>
          <w:bCs/>
        </w:rPr>
        <w:t xml:space="preserve">interlocutory judgment of divorce incorporated in the final judgment of divorce, </w:t>
      </w:r>
      <w:r w:rsidRPr="00475519">
        <w:rPr>
          <w:rFonts w:ascii="Century Schoolbook" w:hAnsi="Century Schoolbook"/>
          <w:bCs/>
        </w:rPr>
        <w:t xml:space="preserve">Bertuccio was identified as </w:t>
      </w:r>
      <w:r w:rsidR="0049095C">
        <w:rPr>
          <w:rFonts w:ascii="Century Schoolbook" w:hAnsi="Century Schoolbook"/>
          <w:bCs/>
        </w:rPr>
        <w:t>their</w:t>
      </w:r>
      <w:r w:rsidRPr="00475519" w:rsidR="00286BC6">
        <w:rPr>
          <w:rFonts w:ascii="Century Schoolbook" w:hAnsi="Century Schoolbook"/>
          <w:bCs/>
        </w:rPr>
        <w:t xml:space="preserve"> minor child and </w:t>
      </w:r>
      <w:r w:rsidRPr="00475519">
        <w:rPr>
          <w:rFonts w:ascii="Century Schoolbook" w:hAnsi="Century Schoolbook"/>
          <w:bCs/>
        </w:rPr>
        <w:t>Frank</w:t>
      </w:r>
      <w:r w:rsidRPr="00475519" w:rsidR="00BC4028">
        <w:rPr>
          <w:rFonts w:ascii="Century Schoolbook" w:hAnsi="Century Schoolbook"/>
          <w:bCs/>
        </w:rPr>
        <w:t>,</w:t>
      </w:r>
      <w:r w:rsidRPr="00475519">
        <w:rPr>
          <w:rFonts w:ascii="Century Schoolbook" w:hAnsi="Century Schoolbook"/>
          <w:bCs/>
        </w:rPr>
        <w:t xml:space="preserve"> Sr. was </w:t>
      </w:r>
      <w:r w:rsidRPr="00475519" w:rsidR="00732A7E">
        <w:rPr>
          <w:rFonts w:ascii="Century Schoolbook" w:hAnsi="Century Schoolbook"/>
          <w:bCs/>
        </w:rPr>
        <w:t xml:space="preserve">directed </w:t>
      </w:r>
      <w:r w:rsidRPr="00475519">
        <w:rPr>
          <w:rFonts w:ascii="Century Schoolbook" w:hAnsi="Century Schoolbook"/>
          <w:bCs/>
        </w:rPr>
        <w:t>to pa</w:t>
      </w:r>
      <w:r w:rsidRPr="00475519" w:rsidR="00DD1CE3">
        <w:rPr>
          <w:rFonts w:ascii="Century Schoolbook" w:hAnsi="Century Schoolbook"/>
          <w:bCs/>
        </w:rPr>
        <w:t>y</w:t>
      </w:r>
      <w:r w:rsidRPr="00475519">
        <w:rPr>
          <w:rFonts w:ascii="Century Schoolbook" w:hAnsi="Century Schoolbook"/>
          <w:bCs/>
        </w:rPr>
        <w:t xml:space="preserve"> child support.</w:t>
      </w:r>
      <w:r w:rsidR="00475519">
        <w:rPr>
          <w:rFonts w:ascii="Century Schoolbook" w:hAnsi="Century Schoolbook"/>
          <w:bCs/>
        </w:rPr>
        <w:t xml:space="preserve">  </w:t>
      </w:r>
      <w:r w:rsidRPr="00475519" w:rsidR="008831CD">
        <w:rPr>
          <w:rFonts w:ascii="Century Schoolbook" w:hAnsi="Century Schoolbook"/>
          <w:bCs/>
        </w:rPr>
        <w:t xml:space="preserve">Marilyn </w:t>
      </w:r>
      <w:r w:rsidRPr="00475519" w:rsidR="00501542">
        <w:rPr>
          <w:rFonts w:ascii="Century Schoolbook" w:hAnsi="Century Schoolbook"/>
          <w:bCs/>
        </w:rPr>
        <w:t xml:space="preserve">subsequently </w:t>
      </w:r>
      <w:r w:rsidRPr="00475519" w:rsidR="008831CD">
        <w:rPr>
          <w:rFonts w:ascii="Century Schoolbook" w:hAnsi="Century Schoolbook"/>
          <w:bCs/>
        </w:rPr>
        <w:t>secured an order increas</w:t>
      </w:r>
      <w:r w:rsidRPr="00475519" w:rsidR="00E00E96">
        <w:rPr>
          <w:rFonts w:ascii="Century Schoolbook" w:hAnsi="Century Schoolbook"/>
          <w:bCs/>
        </w:rPr>
        <w:t>ing</w:t>
      </w:r>
      <w:r w:rsidRPr="00475519" w:rsidR="008831CD">
        <w:rPr>
          <w:rFonts w:ascii="Century Schoolbook" w:hAnsi="Century Schoolbook"/>
          <w:bCs/>
        </w:rPr>
        <w:t xml:space="preserve"> the child support to be paid by Frank</w:t>
      </w:r>
      <w:r w:rsidRPr="00475519" w:rsidR="00BC4028">
        <w:rPr>
          <w:rFonts w:ascii="Century Schoolbook" w:hAnsi="Century Schoolbook"/>
          <w:bCs/>
        </w:rPr>
        <w:t>,</w:t>
      </w:r>
      <w:r w:rsidRPr="00475519" w:rsidR="008831CD">
        <w:rPr>
          <w:rFonts w:ascii="Century Schoolbook" w:hAnsi="Century Schoolbook"/>
          <w:bCs/>
        </w:rPr>
        <w:t xml:space="preserve"> Sr. </w:t>
      </w:r>
    </w:p>
    <w:p w:rsidR="00657C4C" w:rsidRPr="00475519" w:rsidP="00A61880" w14:paraId="4B109952" w14:textId="2B75FF5F">
      <w:pPr>
        <w:spacing w:line="360" w:lineRule="auto"/>
        <w:rPr>
          <w:rFonts w:ascii="Century Schoolbook" w:hAnsi="Century Schoolbook"/>
          <w:bCs/>
        </w:rPr>
      </w:pPr>
      <w:r w:rsidRPr="00475519">
        <w:rPr>
          <w:rFonts w:ascii="Century Schoolbook" w:hAnsi="Century Schoolbook"/>
          <w:bCs/>
        </w:rPr>
        <w:tab/>
      </w:r>
      <w:r w:rsidRPr="00475519" w:rsidR="00100860">
        <w:rPr>
          <w:rFonts w:ascii="Century Schoolbook" w:hAnsi="Century Schoolbook"/>
          <w:bCs/>
        </w:rPr>
        <w:t>In</w:t>
      </w:r>
      <w:r w:rsidRPr="00475519" w:rsidR="00753F2E">
        <w:rPr>
          <w:rFonts w:ascii="Century Schoolbook" w:hAnsi="Century Schoolbook"/>
          <w:bCs/>
        </w:rPr>
        <w:t xml:space="preserve"> the mid-1980’s, when Bertuccio</w:t>
      </w:r>
      <w:r w:rsidRPr="00475519" w:rsidR="00ED26EB">
        <w:rPr>
          <w:rFonts w:ascii="Century Schoolbook" w:hAnsi="Century Schoolbook"/>
          <w:bCs/>
        </w:rPr>
        <w:t xml:space="preserve"> was an </w:t>
      </w:r>
      <w:r w:rsidRPr="00475519" w:rsidR="00753F2E">
        <w:rPr>
          <w:rFonts w:ascii="Century Schoolbook" w:hAnsi="Century Schoolbook"/>
          <w:bCs/>
        </w:rPr>
        <w:t xml:space="preserve">adult, he confronted his mother about his parentage.  </w:t>
      </w:r>
      <w:r w:rsidRPr="00475519" w:rsidR="007B7621">
        <w:rPr>
          <w:rFonts w:ascii="Century Schoolbook" w:hAnsi="Century Schoolbook"/>
          <w:bCs/>
        </w:rPr>
        <w:t>Marilyn alleged</w:t>
      </w:r>
      <w:r w:rsidRPr="00475519" w:rsidR="00286BC6">
        <w:rPr>
          <w:rFonts w:ascii="Century Schoolbook" w:hAnsi="Century Schoolbook"/>
          <w:bCs/>
        </w:rPr>
        <w:t>ly</w:t>
      </w:r>
      <w:r w:rsidRPr="00475519" w:rsidR="00BF6C23">
        <w:rPr>
          <w:rFonts w:ascii="Century Schoolbook" w:hAnsi="Century Schoolbook"/>
          <w:bCs/>
        </w:rPr>
        <w:t xml:space="preserve"> told him that </w:t>
      </w:r>
      <w:r w:rsidRPr="00475519">
        <w:rPr>
          <w:rFonts w:ascii="Century Schoolbook" w:hAnsi="Century Schoolbook"/>
          <w:bCs/>
        </w:rPr>
        <w:t xml:space="preserve">Franco was his biological father. </w:t>
      </w:r>
      <w:r w:rsidR="00475519">
        <w:rPr>
          <w:rFonts w:ascii="Century Schoolbook" w:hAnsi="Century Schoolbook"/>
          <w:bCs/>
        </w:rPr>
        <w:t xml:space="preserve"> </w:t>
      </w:r>
      <w:r w:rsidRPr="00475519">
        <w:rPr>
          <w:rFonts w:ascii="Century Schoolbook" w:hAnsi="Century Schoolbook"/>
          <w:bCs/>
        </w:rPr>
        <w:t xml:space="preserve">Marilyn stated that </w:t>
      </w:r>
      <w:r w:rsidRPr="00475519" w:rsidR="00ED013F">
        <w:rPr>
          <w:rFonts w:ascii="Century Schoolbook" w:hAnsi="Century Schoolbook"/>
          <w:bCs/>
        </w:rPr>
        <w:t>during the marriage she and Frank</w:t>
      </w:r>
      <w:r w:rsidRPr="00475519" w:rsidR="00BC4028">
        <w:rPr>
          <w:rFonts w:ascii="Century Schoolbook" w:hAnsi="Century Schoolbook"/>
          <w:bCs/>
        </w:rPr>
        <w:t>,</w:t>
      </w:r>
      <w:r w:rsidRPr="00475519" w:rsidR="00ED013F">
        <w:rPr>
          <w:rFonts w:ascii="Century Schoolbook" w:hAnsi="Century Schoolbook"/>
          <w:bCs/>
        </w:rPr>
        <w:t xml:space="preserve"> Sr.</w:t>
      </w:r>
      <w:r w:rsidRPr="00475519" w:rsidR="001D79F4">
        <w:rPr>
          <w:rFonts w:ascii="Century Schoolbook" w:hAnsi="Century Schoolbook"/>
          <w:bCs/>
        </w:rPr>
        <w:t xml:space="preserve"> had a “falling out </w:t>
      </w:r>
      <w:r w:rsidRPr="00475519" w:rsidR="004672FE">
        <w:rPr>
          <w:rFonts w:ascii="Century Schoolbook" w:hAnsi="Century Schoolbook"/>
          <w:bCs/>
        </w:rPr>
        <w:t>[</w:t>
      </w:r>
      <w:r w:rsidRPr="00475519" w:rsidR="001D79F4">
        <w:rPr>
          <w:rFonts w:ascii="Century Schoolbook" w:hAnsi="Century Schoolbook"/>
          <w:bCs/>
        </w:rPr>
        <w:t>and</w:t>
      </w:r>
      <w:r w:rsidRPr="00475519" w:rsidR="004672FE">
        <w:rPr>
          <w:rFonts w:ascii="Century Schoolbook" w:hAnsi="Century Schoolbook"/>
          <w:bCs/>
        </w:rPr>
        <w:t>]</w:t>
      </w:r>
      <w:r w:rsidRPr="00475519" w:rsidR="001D79F4">
        <w:rPr>
          <w:rFonts w:ascii="Century Schoolbook" w:hAnsi="Century Schoolbook"/>
          <w:bCs/>
        </w:rPr>
        <w:t xml:space="preserve"> separated” and Marilyn subsequently dated Franc</w:t>
      </w:r>
      <w:r w:rsidRPr="00475519" w:rsidR="00847200">
        <w:rPr>
          <w:rFonts w:ascii="Century Schoolbook" w:hAnsi="Century Schoolbook"/>
          <w:bCs/>
        </w:rPr>
        <w:t>o</w:t>
      </w:r>
      <w:r w:rsidRPr="00475519" w:rsidR="001D79F4">
        <w:rPr>
          <w:rFonts w:ascii="Century Schoolbook" w:hAnsi="Century Schoolbook"/>
          <w:bCs/>
        </w:rPr>
        <w:t>.</w:t>
      </w:r>
      <w:r w:rsidR="00475519">
        <w:rPr>
          <w:rFonts w:ascii="Century Schoolbook" w:hAnsi="Century Schoolbook"/>
          <w:bCs/>
        </w:rPr>
        <w:t xml:space="preserve">  </w:t>
      </w:r>
      <w:r w:rsidRPr="00475519" w:rsidR="00822718">
        <w:rPr>
          <w:rFonts w:ascii="Century Schoolbook" w:hAnsi="Century Schoolbook"/>
          <w:bCs/>
        </w:rPr>
        <w:t>During</w:t>
      </w:r>
      <w:r w:rsidRPr="00475519">
        <w:rPr>
          <w:rFonts w:ascii="Century Schoolbook" w:hAnsi="Century Schoolbook"/>
          <w:bCs/>
        </w:rPr>
        <w:t xml:space="preserve"> </w:t>
      </w:r>
      <w:r w:rsidRPr="00475519" w:rsidR="00822718">
        <w:rPr>
          <w:rFonts w:ascii="Century Schoolbook" w:hAnsi="Century Schoolbook"/>
          <w:bCs/>
        </w:rPr>
        <w:t>her</w:t>
      </w:r>
      <w:r w:rsidRPr="00475519">
        <w:rPr>
          <w:rFonts w:ascii="Century Schoolbook" w:hAnsi="Century Schoolbook"/>
          <w:bCs/>
        </w:rPr>
        <w:t xml:space="preserve"> pregnancy </w:t>
      </w:r>
      <w:r w:rsidRPr="00475519" w:rsidR="00822718">
        <w:rPr>
          <w:rFonts w:ascii="Century Schoolbook" w:hAnsi="Century Schoolbook"/>
          <w:bCs/>
        </w:rPr>
        <w:t xml:space="preserve">with Bertuccio, </w:t>
      </w:r>
      <w:r w:rsidRPr="00475519">
        <w:rPr>
          <w:rFonts w:ascii="Century Schoolbook" w:hAnsi="Century Schoolbook"/>
          <w:bCs/>
        </w:rPr>
        <w:t>Marilyn re</w:t>
      </w:r>
      <w:r w:rsidRPr="00475519" w:rsidR="001D79F4">
        <w:rPr>
          <w:rFonts w:ascii="Century Schoolbook" w:hAnsi="Century Schoolbook"/>
          <w:bCs/>
        </w:rPr>
        <w:t xml:space="preserve">united with </w:t>
      </w:r>
      <w:r w:rsidRPr="00475519">
        <w:rPr>
          <w:rFonts w:ascii="Century Schoolbook" w:hAnsi="Century Schoolbook"/>
          <w:bCs/>
        </w:rPr>
        <w:t>Frank</w:t>
      </w:r>
      <w:r w:rsidRPr="00475519" w:rsidR="00BC4028">
        <w:rPr>
          <w:rFonts w:ascii="Century Schoolbook" w:hAnsi="Century Schoolbook"/>
          <w:bCs/>
        </w:rPr>
        <w:t>,</w:t>
      </w:r>
      <w:r w:rsidRPr="00475519">
        <w:rPr>
          <w:rFonts w:ascii="Century Schoolbook" w:hAnsi="Century Schoolbook"/>
          <w:bCs/>
        </w:rPr>
        <w:t xml:space="preserve"> Sr.</w:t>
      </w:r>
      <w:r w:rsidR="00475519">
        <w:rPr>
          <w:rFonts w:ascii="Century Schoolbook" w:hAnsi="Century Schoolbook"/>
          <w:bCs/>
        </w:rPr>
        <w:t xml:space="preserve">  </w:t>
      </w:r>
      <w:r w:rsidRPr="00475519" w:rsidR="0083594C">
        <w:rPr>
          <w:rFonts w:ascii="Century Schoolbook" w:hAnsi="Century Schoolbook"/>
          <w:bCs/>
        </w:rPr>
        <w:t>A</w:t>
      </w:r>
      <w:r w:rsidRPr="00475519" w:rsidR="001D79F4">
        <w:rPr>
          <w:rFonts w:ascii="Century Schoolbook" w:hAnsi="Century Schoolbook"/>
          <w:bCs/>
        </w:rPr>
        <w:t>ccording to Marilyn, she, Frank</w:t>
      </w:r>
      <w:r w:rsidRPr="00475519" w:rsidR="00BC4028">
        <w:rPr>
          <w:rFonts w:ascii="Century Schoolbook" w:hAnsi="Century Schoolbook"/>
          <w:bCs/>
        </w:rPr>
        <w:t>,</w:t>
      </w:r>
      <w:r w:rsidRPr="00475519" w:rsidR="001D79F4">
        <w:rPr>
          <w:rFonts w:ascii="Century Schoolbook" w:hAnsi="Century Schoolbook"/>
          <w:bCs/>
        </w:rPr>
        <w:t xml:space="preserve"> Sr., and Franco, all agreed that Frank</w:t>
      </w:r>
      <w:r w:rsidRPr="00475519" w:rsidR="00BC4028">
        <w:rPr>
          <w:rFonts w:ascii="Century Schoolbook" w:hAnsi="Century Schoolbook"/>
          <w:bCs/>
        </w:rPr>
        <w:t>,</w:t>
      </w:r>
      <w:r w:rsidRPr="00475519" w:rsidR="001D79F4">
        <w:rPr>
          <w:rFonts w:ascii="Century Schoolbook" w:hAnsi="Century Schoolbook"/>
          <w:bCs/>
        </w:rPr>
        <w:t xml:space="preserve"> Sr. and Marilyn would raise </w:t>
      </w:r>
      <w:r w:rsidRPr="00475519" w:rsidR="004B1A4F">
        <w:rPr>
          <w:rFonts w:ascii="Century Schoolbook" w:hAnsi="Century Schoolbook"/>
          <w:bCs/>
        </w:rPr>
        <w:t>Bertuccio as</w:t>
      </w:r>
      <w:r w:rsidRPr="00475519" w:rsidR="001D79F4">
        <w:rPr>
          <w:rFonts w:ascii="Century Schoolbook" w:hAnsi="Century Schoolbook"/>
          <w:bCs/>
        </w:rPr>
        <w:t xml:space="preserve"> their own. </w:t>
      </w:r>
      <w:r w:rsidR="00475519">
        <w:rPr>
          <w:rFonts w:ascii="Century Schoolbook" w:hAnsi="Century Schoolbook"/>
          <w:bCs/>
        </w:rPr>
        <w:t xml:space="preserve"> </w:t>
      </w:r>
      <w:r w:rsidRPr="00475519" w:rsidR="001D79F4">
        <w:rPr>
          <w:rFonts w:ascii="Century Schoolbook" w:hAnsi="Century Schoolbook"/>
          <w:bCs/>
        </w:rPr>
        <w:t xml:space="preserve">After learning that Franco was his biological father, Bertuccio </w:t>
      </w:r>
      <w:r w:rsidRPr="00475519" w:rsidR="00732A7E">
        <w:rPr>
          <w:rFonts w:ascii="Century Schoolbook" w:hAnsi="Century Schoolbook"/>
          <w:bCs/>
        </w:rPr>
        <w:t>connected with Franco</w:t>
      </w:r>
      <w:r w:rsidR="0049095C">
        <w:rPr>
          <w:rFonts w:ascii="Century Schoolbook" w:hAnsi="Century Schoolbook"/>
          <w:bCs/>
        </w:rPr>
        <w:t>.  They</w:t>
      </w:r>
      <w:r w:rsidRPr="00475519" w:rsidR="00732A7E">
        <w:rPr>
          <w:rFonts w:ascii="Century Schoolbook" w:hAnsi="Century Schoolbook"/>
          <w:bCs/>
        </w:rPr>
        <w:t xml:space="preserve"> became involved in each other’s lives, and </w:t>
      </w:r>
      <w:r w:rsidRPr="00475519">
        <w:rPr>
          <w:rFonts w:ascii="Century Schoolbook" w:hAnsi="Century Schoolbook"/>
          <w:bCs/>
        </w:rPr>
        <w:t xml:space="preserve">Franco </w:t>
      </w:r>
      <w:r w:rsidRPr="00475519" w:rsidR="00732A7E">
        <w:rPr>
          <w:rFonts w:ascii="Century Schoolbook" w:hAnsi="Century Schoolbook"/>
          <w:bCs/>
        </w:rPr>
        <w:t>to</w:t>
      </w:r>
      <w:r w:rsidRPr="00475519">
        <w:rPr>
          <w:rFonts w:ascii="Century Schoolbook" w:hAnsi="Century Schoolbook"/>
          <w:bCs/>
        </w:rPr>
        <w:t xml:space="preserve">ld </w:t>
      </w:r>
      <w:r w:rsidRPr="00475519" w:rsidR="00852000">
        <w:rPr>
          <w:rFonts w:ascii="Century Schoolbook" w:hAnsi="Century Schoolbook"/>
          <w:bCs/>
        </w:rPr>
        <w:t>his girlfriend and his neighbo</w:t>
      </w:r>
      <w:r w:rsidRPr="00475519" w:rsidR="00CA1CCA">
        <w:rPr>
          <w:rFonts w:ascii="Century Schoolbook" w:hAnsi="Century Schoolbook"/>
          <w:bCs/>
        </w:rPr>
        <w:t>r</w:t>
      </w:r>
      <w:r w:rsidRPr="00475519" w:rsidR="00852000">
        <w:rPr>
          <w:rFonts w:ascii="Century Schoolbook" w:hAnsi="Century Schoolbook"/>
          <w:bCs/>
        </w:rPr>
        <w:t xml:space="preserve"> </w:t>
      </w:r>
      <w:r w:rsidRPr="00475519">
        <w:rPr>
          <w:rFonts w:ascii="Century Schoolbook" w:hAnsi="Century Schoolbook"/>
          <w:bCs/>
        </w:rPr>
        <w:t xml:space="preserve">that Bertuccio was his son.  </w:t>
      </w:r>
    </w:p>
    <w:p w:rsidR="004554FA" w:rsidRPr="00475519" w:rsidP="00A61880" w14:paraId="4D8A15FA" w14:textId="68D2B501">
      <w:pPr>
        <w:spacing w:line="360" w:lineRule="auto"/>
        <w:rPr>
          <w:rFonts w:ascii="Century Schoolbook" w:hAnsi="Century Schoolbook"/>
        </w:rPr>
      </w:pPr>
      <w:r w:rsidRPr="00475519">
        <w:rPr>
          <w:rFonts w:ascii="Century Schoolbook" w:hAnsi="Century Schoolbook"/>
          <w:bCs/>
        </w:rPr>
        <w:tab/>
        <w:t xml:space="preserve">On </w:t>
      </w:r>
      <w:r w:rsidRPr="00475519">
        <w:rPr>
          <w:rFonts w:ascii="Century Schoolbook" w:hAnsi="Century Schoolbook"/>
        </w:rPr>
        <w:t xml:space="preserve">December 18, 2017, Franco died intestate. </w:t>
      </w:r>
      <w:r w:rsidR="00475519">
        <w:rPr>
          <w:rFonts w:ascii="Century Schoolbook" w:hAnsi="Century Schoolbook"/>
        </w:rPr>
        <w:t xml:space="preserve"> </w:t>
      </w:r>
      <w:r w:rsidRPr="00475519">
        <w:rPr>
          <w:rFonts w:ascii="Century Schoolbook" w:hAnsi="Century Schoolbook"/>
        </w:rPr>
        <w:t>Marilyn and Frank</w:t>
      </w:r>
      <w:r w:rsidRPr="00475519" w:rsidR="00BC4028">
        <w:rPr>
          <w:rFonts w:ascii="Century Schoolbook" w:hAnsi="Century Schoolbook"/>
        </w:rPr>
        <w:t>,</w:t>
      </w:r>
      <w:r w:rsidRPr="00475519">
        <w:rPr>
          <w:rFonts w:ascii="Century Schoolbook" w:hAnsi="Century Schoolbook"/>
        </w:rPr>
        <w:t xml:space="preserve"> Sr. </w:t>
      </w:r>
      <w:r w:rsidRPr="00475519" w:rsidR="00847200">
        <w:rPr>
          <w:rFonts w:ascii="Century Schoolbook" w:hAnsi="Century Schoolbook"/>
        </w:rPr>
        <w:t>predeceased Franco</w:t>
      </w:r>
      <w:r w:rsidRPr="00475519">
        <w:rPr>
          <w:rFonts w:ascii="Century Schoolbook" w:hAnsi="Century Schoolbook"/>
        </w:rPr>
        <w:t xml:space="preserve">. </w:t>
      </w:r>
      <w:r w:rsidR="00475519">
        <w:rPr>
          <w:rFonts w:ascii="Century Schoolbook" w:hAnsi="Century Schoolbook"/>
        </w:rPr>
        <w:t xml:space="preserve"> </w:t>
      </w:r>
      <w:r w:rsidRPr="00475519">
        <w:rPr>
          <w:rFonts w:ascii="Century Schoolbook" w:hAnsi="Century Schoolbook"/>
        </w:rPr>
        <w:t>Franco was survived by his sister Roberta Moren</w:t>
      </w:r>
      <w:r w:rsidRPr="00475519" w:rsidR="00F241AE">
        <w:rPr>
          <w:rFonts w:ascii="Century Schoolbook" w:hAnsi="Century Schoolbook"/>
        </w:rPr>
        <w:t>o</w:t>
      </w:r>
      <w:r w:rsidRPr="00475519">
        <w:rPr>
          <w:rFonts w:ascii="Century Schoolbook" w:hAnsi="Century Schoolbook"/>
        </w:rPr>
        <w:t>, a niece Cynthia Moren</w:t>
      </w:r>
      <w:r w:rsidRPr="00475519" w:rsidR="00F241AE">
        <w:rPr>
          <w:rFonts w:ascii="Century Schoolbook" w:hAnsi="Century Schoolbook"/>
        </w:rPr>
        <w:t>o</w:t>
      </w:r>
      <w:r w:rsidRPr="00475519">
        <w:rPr>
          <w:rFonts w:ascii="Century Schoolbook" w:hAnsi="Century Schoolbook"/>
        </w:rPr>
        <w:t xml:space="preserve">, and </w:t>
      </w:r>
      <w:r w:rsidRPr="00475519" w:rsidR="00DD1CE3">
        <w:rPr>
          <w:rFonts w:ascii="Century Schoolbook" w:hAnsi="Century Schoolbook"/>
        </w:rPr>
        <w:t xml:space="preserve">Franco’s </w:t>
      </w:r>
      <w:r w:rsidRPr="00475519">
        <w:rPr>
          <w:rFonts w:ascii="Century Schoolbook" w:hAnsi="Century Schoolbook"/>
        </w:rPr>
        <w:t xml:space="preserve">two half-brothers. </w:t>
      </w:r>
    </w:p>
    <w:p w:rsidR="004554FA" w:rsidRPr="00475519" w:rsidP="00A61880" w14:paraId="7F6EF658" w14:textId="6A50472B">
      <w:pPr>
        <w:spacing w:line="360" w:lineRule="auto"/>
        <w:rPr>
          <w:rFonts w:ascii="Century Schoolbook" w:hAnsi="Century Schoolbook"/>
        </w:rPr>
      </w:pPr>
      <w:r w:rsidRPr="00475519">
        <w:rPr>
          <w:rFonts w:ascii="Century Schoolbook" w:hAnsi="Century Schoolbook"/>
        </w:rPr>
        <w:tab/>
      </w:r>
      <w:r w:rsidRPr="00475519" w:rsidR="00F241AE">
        <w:rPr>
          <w:rFonts w:ascii="Century Schoolbook" w:hAnsi="Century Schoolbook"/>
        </w:rPr>
        <w:t>On January 11, 2018,</w:t>
      </w:r>
      <w:r w:rsidRPr="00475519" w:rsidR="004B1A4F">
        <w:rPr>
          <w:rFonts w:ascii="Century Schoolbook" w:hAnsi="Century Schoolbook"/>
        </w:rPr>
        <w:t xml:space="preserve"> </w:t>
      </w:r>
      <w:r w:rsidRPr="00475519">
        <w:rPr>
          <w:rFonts w:ascii="Century Schoolbook" w:hAnsi="Century Schoolbook"/>
        </w:rPr>
        <w:t>Bertucci</w:t>
      </w:r>
      <w:r w:rsidRPr="00475519" w:rsidR="00863244">
        <w:rPr>
          <w:rFonts w:ascii="Century Schoolbook" w:hAnsi="Century Schoolbook"/>
        </w:rPr>
        <w:t>o</w:t>
      </w:r>
      <w:r w:rsidRPr="00475519">
        <w:rPr>
          <w:rFonts w:ascii="Century Schoolbook" w:hAnsi="Century Schoolbook"/>
        </w:rPr>
        <w:t xml:space="preserve"> filed a petition </w:t>
      </w:r>
      <w:r w:rsidRPr="00475519" w:rsidR="00753F2E">
        <w:rPr>
          <w:rFonts w:ascii="Century Schoolbook" w:hAnsi="Century Schoolbook"/>
        </w:rPr>
        <w:t xml:space="preserve">to administer </w:t>
      </w:r>
      <w:r w:rsidRPr="00475519" w:rsidR="00F241AE">
        <w:rPr>
          <w:rFonts w:ascii="Century Schoolbook" w:hAnsi="Century Schoolbook"/>
        </w:rPr>
        <w:t xml:space="preserve">Franco’s estate, </w:t>
      </w:r>
      <w:r w:rsidRPr="00475519" w:rsidR="00753F2E">
        <w:rPr>
          <w:rFonts w:ascii="Century Schoolbook" w:hAnsi="Century Schoolbook"/>
        </w:rPr>
        <w:t>and letters of administration were issued to him o</w:t>
      </w:r>
      <w:r w:rsidRPr="00475519" w:rsidR="00F241AE">
        <w:rPr>
          <w:rFonts w:ascii="Century Schoolbook" w:hAnsi="Century Schoolbook"/>
        </w:rPr>
        <w:t>n April 24, 2018.</w:t>
      </w:r>
      <w:r w:rsidR="00475519">
        <w:rPr>
          <w:rFonts w:ascii="Century Schoolbook" w:hAnsi="Century Schoolbook"/>
        </w:rPr>
        <w:t xml:space="preserve">  </w:t>
      </w:r>
      <w:r w:rsidRPr="00475519" w:rsidR="00F241AE">
        <w:rPr>
          <w:rFonts w:ascii="Century Schoolbook" w:hAnsi="Century Schoolbook"/>
        </w:rPr>
        <w:t>Franco’s sister Roberta Moreno</w:t>
      </w:r>
      <w:r w:rsidRPr="00475519" w:rsidR="00677273">
        <w:rPr>
          <w:rFonts w:ascii="Century Schoolbook" w:hAnsi="Century Schoolbook"/>
        </w:rPr>
        <w:t xml:space="preserve"> and niece Cynthia Moren</w:t>
      </w:r>
      <w:r w:rsidRPr="00475519" w:rsidR="004709F8">
        <w:rPr>
          <w:rFonts w:ascii="Century Schoolbook" w:hAnsi="Century Schoolbook"/>
        </w:rPr>
        <w:t>o</w:t>
      </w:r>
      <w:r w:rsidRPr="00475519" w:rsidR="00677273">
        <w:rPr>
          <w:rFonts w:ascii="Century Schoolbook" w:hAnsi="Century Schoolbook"/>
        </w:rPr>
        <w:t xml:space="preserve"> filed separate petitions, both seeking to remove Bertucci</w:t>
      </w:r>
      <w:r w:rsidRPr="00475519" w:rsidR="00863244">
        <w:rPr>
          <w:rFonts w:ascii="Century Schoolbook" w:hAnsi="Century Schoolbook"/>
        </w:rPr>
        <w:t>o</w:t>
      </w:r>
      <w:r w:rsidRPr="00475519" w:rsidR="00677273">
        <w:rPr>
          <w:rFonts w:ascii="Century Schoolbook" w:hAnsi="Century Schoolbook"/>
        </w:rPr>
        <w:t xml:space="preserve"> as administrator of Franco’s estate. </w:t>
      </w:r>
      <w:r w:rsidR="00475519">
        <w:rPr>
          <w:rFonts w:ascii="Century Schoolbook" w:hAnsi="Century Schoolbook"/>
        </w:rPr>
        <w:t xml:space="preserve"> </w:t>
      </w:r>
      <w:r w:rsidRPr="00475519" w:rsidR="00677273">
        <w:rPr>
          <w:rFonts w:ascii="Century Schoolbook" w:hAnsi="Century Schoolbook"/>
        </w:rPr>
        <w:t>After Bertucci</w:t>
      </w:r>
      <w:r w:rsidRPr="00475519" w:rsidR="00863244">
        <w:rPr>
          <w:rFonts w:ascii="Century Schoolbook" w:hAnsi="Century Schoolbook"/>
        </w:rPr>
        <w:t>o</w:t>
      </w:r>
      <w:r w:rsidRPr="00475519" w:rsidR="00677273">
        <w:rPr>
          <w:rFonts w:ascii="Century Schoolbook" w:hAnsi="Century Schoolbook"/>
        </w:rPr>
        <w:t xml:space="preserve"> died on May 29, 2020, his half-sister</w:t>
      </w:r>
      <w:r w:rsidRPr="00475519" w:rsidR="004709F8">
        <w:rPr>
          <w:rFonts w:ascii="Century Schoolbook" w:hAnsi="Century Schoolbook"/>
        </w:rPr>
        <w:t xml:space="preserve"> was granted letters of special administration and </w:t>
      </w:r>
      <w:r w:rsidRPr="00475519" w:rsidR="00753F2E">
        <w:rPr>
          <w:rFonts w:ascii="Century Schoolbook" w:hAnsi="Century Schoolbook"/>
        </w:rPr>
        <w:t xml:space="preserve">she </w:t>
      </w:r>
      <w:r w:rsidRPr="00475519" w:rsidR="004709F8">
        <w:rPr>
          <w:rFonts w:ascii="Century Schoolbook" w:hAnsi="Century Schoolbook"/>
        </w:rPr>
        <w:t xml:space="preserve">substituted into the probate proceeding </w:t>
      </w:r>
      <w:r w:rsidRPr="00475519" w:rsidR="00ED013F">
        <w:rPr>
          <w:rFonts w:ascii="Century Schoolbook" w:hAnsi="Century Schoolbook"/>
        </w:rPr>
        <w:t>to represent Bertucci</w:t>
      </w:r>
      <w:r w:rsidRPr="00475519" w:rsidR="006C1376">
        <w:rPr>
          <w:rFonts w:ascii="Century Schoolbook" w:hAnsi="Century Schoolbook"/>
        </w:rPr>
        <w:t>o</w:t>
      </w:r>
      <w:r w:rsidRPr="00475519" w:rsidR="00ED013F">
        <w:rPr>
          <w:rFonts w:ascii="Century Schoolbook" w:hAnsi="Century Schoolbook"/>
        </w:rPr>
        <w:t>’s estate.</w:t>
      </w:r>
      <w:r w:rsidRPr="00475519" w:rsidR="004709F8">
        <w:rPr>
          <w:rFonts w:ascii="Century Schoolbook" w:hAnsi="Century Schoolbook"/>
        </w:rPr>
        <w:t xml:space="preserve"> </w:t>
      </w:r>
    </w:p>
    <w:p w:rsidR="0034261B" w:rsidRPr="00475519" w:rsidP="00A61880" w14:paraId="3A08BAD4" w14:textId="6BAFB0B5">
      <w:pPr>
        <w:spacing w:line="360" w:lineRule="auto"/>
        <w:rPr>
          <w:rFonts w:ascii="Century Schoolbook" w:hAnsi="Century Schoolbook"/>
        </w:rPr>
      </w:pPr>
      <w:r w:rsidRPr="00475519">
        <w:rPr>
          <w:rFonts w:ascii="Century Schoolbook" w:hAnsi="Century Schoolbook"/>
        </w:rPr>
        <w:tab/>
        <w:t xml:space="preserve">At a contested </w:t>
      </w:r>
      <w:r w:rsidRPr="00475519" w:rsidR="00863244">
        <w:rPr>
          <w:rFonts w:ascii="Century Schoolbook" w:hAnsi="Century Schoolbook"/>
        </w:rPr>
        <w:t>hearing</w:t>
      </w:r>
      <w:r w:rsidRPr="00475519">
        <w:rPr>
          <w:rFonts w:ascii="Century Schoolbook" w:hAnsi="Century Schoolbook"/>
        </w:rPr>
        <w:t xml:space="preserve"> on June 2, 2021, the probate court considered the Morenos’ joint motion for summary judgment</w:t>
      </w:r>
      <w:r w:rsidRPr="00475519" w:rsidR="005B2C0F">
        <w:rPr>
          <w:rFonts w:ascii="Century Schoolbook" w:hAnsi="Century Schoolbook"/>
        </w:rPr>
        <w:t xml:space="preserve"> on their</w:t>
      </w:r>
      <w:r w:rsidRPr="00475519" w:rsidR="00863244">
        <w:rPr>
          <w:rFonts w:ascii="Century Schoolbook" w:hAnsi="Century Schoolbook"/>
        </w:rPr>
        <w:t xml:space="preserve"> removal</w:t>
      </w:r>
      <w:r w:rsidRPr="00475519" w:rsidR="005B2C0F">
        <w:rPr>
          <w:rFonts w:ascii="Century Schoolbook" w:hAnsi="Century Schoolbook"/>
        </w:rPr>
        <w:t xml:space="preserve"> petitions,</w:t>
      </w:r>
      <w:r w:rsidRPr="00475519">
        <w:rPr>
          <w:rFonts w:ascii="Century Schoolbook" w:hAnsi="Century Schoolbook"/>
        </w:rPr>
        <w:t xml:space="preserve"> </w:t>
      </w:r>
      <w:r w:rsidR="0049095C">
        <w:rPr>
          <w:rFonts w:ascii="Century Schoolbook" w:hAnsi="Century Schoolbook"/>
        </w:rPr>
        <w:t>by which the Morenos sought</w:t>
      </w:r>
      <w:r w:rsidRPr="00475519">
        <w:rPr>
          <w:rFonts w:ascii="Century Schoolbook" w:hAnsi="Century Schoolbook"/>
        </w:rPr>
        <w:t xml:space="preserve"> a declaration that Bertucci</w:t>
      </w:r>
      <w:r w:rsidRPr="00475519" w:rsidR="00863244">
        <w:rPr>
          <w:rFonts w:ascii="Century Schoolbook" w:hAnsi="Century Schoolbook"/>
        </w:rPr>
        <w:t>o</w:t>
      </w:r>
      <w:r w:rsidRPr="00475519">
        <w:rPr>
          <w:rFonts w:ascii="Century Schoolbook" w:hAnsi="Century Schoolbook"/>
        </w:rPr>
        <w:t xml:space="preserve"> was not an heir entitled to </w:t>
      </w:r>
      <w:r w:rsidRPr="00475519" w:rsidR="00753F2E">
        <w:rPr>
          <w:rFonts w:ascii="Century Schoolbook" w:hAnsi="Century Schoolbook"/>
        </w:rPr>
        <w:t xml:space="preserve">inherit </w:t>
      </w:r>
      <w:r w:rsidRPr="00475519" w:rsidR="00352039">
        <w:rPr>
          <w:rFonts w:ascii="Century Schoolbook" w:hAnsi="Century Schoolbook"/>
        </w:rPr>
        <w:t>from Fra</w:t>
      </w:r>
      <w:r w:rsidRPr="00475519">
        <w:rPr>
          <w:rFonts w:ascii="Century Schoolbook" w:hAnsi="Century Schoolbook"/>
        </w:rPr>
        <w:t>nco’s estate</w:t>
      </w:r>
      <w:r w:rsidRPr="00475519" w:rsidR="00ED26EB">
        <w:rPr>
          <w:rFonts w:ascii="Century Schoolbook" w:hAnsi="Century Schoolbook"/>
        </w:rPr>
        <w:t xml:space="preserve"> under intestate succession</w:t>
      </w:r>
      <w:r w:rsidRPr="00475519">
        <w:rPr>
          <w:rFonts w:ascii="Century Schoolbook" w:hAnsi="Century Schoolbook"/>
        </w:rPr>
        <w:t xml:space="preserve">. </w:t>
      </w:r>
      <w:r w:rsidR="00475519">
        <w:rPr>
          <w:rFonts w:ascii="Century Schoolbook" w:hAnsi="Century Schoolbook"/>
        </w:rPr>
        <w:t xml:space="preserve"> </w:t>
      </w:r>
      <w:r w:rsidRPr="00475519" w:rsidR="005B2C0F">
        <w:rPr>
          <w:rFonts w:ascii="Century Schoolbook" w:hAnsi="Century Schoolbook"/>
        </w:rPr>
        <w:t>The cour</w:t>
      </w:r>
      <w:r w:rsidRPr="00475519" w:rsidR="000F24C5">
        <w:rPr>
          <w:rFonts w:ascii="Century Schoolbook" w:hAnsi="Century Schoolbook"/>
        </w:rPr>
        <w:t>t</w:t>
      </w:r>
      <w:r w:rsidRPr="00475519" w:rsidR="005B2C0F">
        <w:rPr>
          <w:rFonts w:ascii="Century Schoolbook" w:hAnsi="Century Schoolbook"/>
        </w:rPr>
        <w:t xml:space="preserve"> granted the</w:t>
      </w:r>
      <w:r w:rsidRPr="00475519" w:rsidR="0014527B">
        <w:rPr>
          <w:rFonts w:ascii="Century Schoolbook" w:hAnsi="Century Schoolbook"/>
        </w:rPr>
        <w:t xml:space="preserve"> Morenos’</w:t>
      </w:r>
      <w:r w:rsidRPr="00475519" w:rsidR="005B2C0F">
        <w:rPr>
          <w:rFonts w:ascii="Century Schoolbook" w:hAnsi="Century Schoolbook"/>
        </w:rPr>
        <w:t xml:space="preserve"> motion</w:t>
      </w:r>
      <w:r w:rsidRPr="00475519" w:rsidR="00753F2E">
        <w:rPr>
          <w:rFonts w:ascii="Century Schoolbook" w:hAnsi="Century Schoolbook"/>
        </w:rPr>
        <w:t xml:space="preserve">, </w:t>
      </w:r>
      <w:r w:rsidRPr="00475519" w:rsidR="0014527B">
        <w:rPr>
          <w:rFonts w:ascii="Century Schoolbook" w:hAnsi="Century Schoolbook"/>
        </w:rPr>
        <w:t>holding that because Bertuccio was a child of the marriage of Marilyn and Frank</w:t>
      </w:r>
      <w:r w:rsidRPr="00475519" w:rsidR="00BC4028">
        <w:rPr>
          <w:rFonts w:ascii="Century Schoolbook" w:hAnsi="Century Schoolbook"/>
        </w:rPr>
        <w:t>,</w:t>
      </w:r>
      <w:r w:rsidRPr="00475519" w:rsidR="0014527B">
        <w:rPr>
          <w:rFonts w:ascii="Century Schoolbook" w:hAnsi="Century Schoolbook"/>
        </w:rPr>
        <w:t xml:space="preserve"> Sr. under the Family Code section 7540 marital presumption, the Supreme Court’s decision in </w:t>
      </w:r>
      <w:r w:rsidRPr="00475519" w:rsidR="0014527B">
        <w:rPr>
          <w:rFonts w:ascii="Century Schoolbook" w:hAnsi="Century Schoolbook"/>
          <w:i/>
          <w:iCs/>
        </w:rPr>
        <w:t>Cornelious</w:t>
      </w:r>
      <w:r w:rsidRPr="00475519" w:rsidR="00100860">
        <w:rPr>
          <w:rFonts w:ascii="Century Schoolbook" w:hAnsi="Century Schoolbook"/>
        </w:rPr>
        <w:t xml:space="preserve">, </w:t>
      </w:r>
      <w:r w:rsidRPr="00475519" w:rsidR="00100860">
        <w:rPr>
          <w:rFonts w:ascii="Century Schoolbook" w:hAnsi="Century Schoolbook"/>
          <w:i/>
          <w:iCs/>
        </w:rPr>
        <w:t>supra</w:t>
      </w:r>
      <w:r w:rsidRPr="00475519" w:rsidR="00100860">
        <w:rPr>
          <w:rFonts w:ascii="Century Schoolbook" w:hAnsi="Century Schoolbook"/>
        </w:rPr>
        <w:t xml:space="preserve">, </w:t>
      </w:r>
      <w:r w:rsidRPr="00475519" w:rsidR="0014527B">
        <w:rPr>
          <w:rFonts w:ascii="Century Schoolbook" w:hAnsi="Century Schoolbook"/>
        </w:rPr>
        <w:t>35 Cal.3d 461</w:t>
      </w:r>
      <w:r w:rsidRPr="00475519" w:rsidR="006337DE">
        <w:rPr>
          <w:rFonts w:ascii="Century Schoolbook" w:hAnsi="Century Schoolbook"/>
        </w:rPr>
        <w:t>,</w:t>
      </w:r>
      <w:r w:rsidRPr="00475519" w:rsidR="0014527B">
        <w:rPr>
          <w:rFonts w:ascii="Century Schoolbook" w:hAnsi="Century Schoolbook"/>
        </w:rPr>
        <w:t xml:space="preserve"> barred Bertuccio from proving </w:t>
      </w:r>
      <w:r w:rsidRPr="00475519" w:rsidR="00366BAC">
        <w:rPr>
          <w:rFonts w:ascii="Century Schoolbook" w:hAnsi="Century Schoolbook"/>
        </w:rPr>
        <w:t xml:space="preserve">Franco was his natural parent from whom he could inherit in intestate succession under </w:t>
      </w:r>
      <w:r w:rsidRPr="00475519" w:rsidR="006337DE">
        <w:rPr>
          <w:rFonts w:ascii="Century Schoolbook" w:hAnsi="Century Schoolbook"/>
        </w:rPr>
        <w:t>Probate Code section 6</w:t>
      </w:r>
      <w:r w:rsidRPr="00475519" w:rsidR="00366BAC">
        <w:rPr>
          <w:rFonts w:ascii="Century Schoolbook" w:hAnsi="Century Schoolbook"/>
        </w:rPr>
        <w:t xml:space="preserve">453, </w:t>
      </w:r>
      <w:r w:rsidRPr="00475519" w:rsidR="006337DE">
        <w:rPr>
          <w:rFonts w:ascii="Century Schoolbook" w:hAnsi="Century Schoolbook"/>
        </w:rPr>
        <w:t>subdivision (b)(2)</w:t>
      </w:r>
      <w:r w:rsidRPr="00475519" w:rsidR="0014527B">
        <w:rPr>
          <w:rFonts w:ascii="Century Schoolbook" w:hAnsi="Century Schoolbook"/>
        </w:rPr>
        <w:t>.</w:t>
      </w:r>
      <w:r w:rsidRPr="00475519" w:rsidR="00352039">
        <w:rPr>
          <w:rFonts w:ascii="Century Schoolbook" w:hAnsi="Century Schoolbook"/>
        </w:rPr>
        <w:t xml:space="preserve"> </w:t>
      </w:r>
    </w:p>
    <w:p w:rsidR="004F282E" w:rsidRPr="00475519" w:rsidP="00A61880" w14:paraId="2C13B749" w14:textId="5B186A3B">
      <w:pPr>
        <w:spacing w:line="360" w:lineRule="auto"/>
        <w:rPr>
          <w:rFonts w:ascii="Century Schoolbook" w:hAnsi="Century Schoolbook"/>
          <w:bCs/>
        </w:rPr>
      </w:pPr>
      <w:r w:rsidRPr="00475519">
        <w:rPr>
          <w:rFonts w:ascii="Century Schoolbook" w:hAnsi="Century Schoolbook"/>
        </w:rPr>
        <w:tab/>
      </w:r>
      <w:r w:rsidRPr="00475519" w:rsidR="00C139D0">
        <w:rPr>
          <w:rFonts w:ascii="Century Schoolbook" w:hAnsi="Century Schoolbook"/>
          <w:bCs/>
        </w:rPr>
        <w:t xml:space="preserve">This appeal ensued. </w:t>
      </w:r>
      <w:r w:rsidRPr="00475519" w:rsidR="0048765C">
        <w:rPr>
          <w:rFonts w:ascii="Century Schoolbook" w:hAnsi="Century Schoolbook"/>
          <w:bCs/>
        </w:rPr>
        <w:t xml:space="preserve"> (Prob. Code, § 1303, subd. (f) [</w:t>
      </w:r>
      <w:r w:rsidRPr="00475519" w:rsidR="004218AE">
        <w:rPr>
          <w:rFonts w:ascii="Century Schoolbook" w:hAnsi="Century Schoolbook"/>
          <w:bCs/>
        </w:rPr>
        <w:t>“</w:t>
      </w:r>
      <w:r w:rsidRPr="00475519" w:rsidR="0048765C">
        <w:rPr>
          <w:rFonts w:ascii="Century Schoolbook" w:hAnsi="Century Schoolbook"/>
          <w:bCs/>
        </w:rPr>
        <w:t>[w]ith respect to a decedent’s estate,” an appeal may be taken from the grant of an order “[d]etermining heirship, succession, entitlement</w:t>
      </w:r>
      <w:r w:rsidRPr="00475519" w:rsidR="00E23D54">
        <w:rPr>
          <w:rFonts w:ascii="Century Schoolbook" w:hAnsi="Century Schoolbook"/>
          <w:bCs/>
        </w:rPr>
        <w:t>,</w:t>
      </w:r>
      <w:r w:rsidRPr="00475519" w:rsidR="0048765C">
        <w:rPr>
          <w:rFonts w:ascii="Century Schoolbook" w:hAnsi="Century Schoolbook"/>
          <w:bCs/>
        </w:rPr>
        <w:t xml:space="preserve"> or the persons whom distribution should be made”]</w:t>
      </w:r>
      <w:r w:rsidRPr="00475519" w:rsidR="004B4501">
        <w:rPr>
          <w:rFonts w:ascii="Century Schoolbook" w:hAnsi="Century Schoolbook"/>
          <w:bCs/>
        </w:rPr>
        <w:t>;</w:t>
      </w:r>
      <w:r w:rsidRPr="00475519" w:rsidR="00CF30E0">
        <w:rPr>
          <w:rFonts w:ascii="Century Schoolbook" w:hAnsi="Century Schoolbook"/>
          <w:bCs/>
        </w:rPr>
        <w:t xml:space="preserve"> see</w:t>
      </w:r>
      <w:r w:rsidRPr="00475519" w:rsidR="004B4501">
        <w:rPr>
          <w:rFonts w:ascii="Century Schoolbook" w:hAnsi="Century Schoolbook"/>
          <w:bCs/>
        </w:rPr>
        <w:t xml:space="preserve"> </w:t>
      </w:r>
      <w:r w:rsidRPr="00475519" w:rsidR="004B4501">
        <w:rPr>
          <w:rFonts w:ascii="Century Schoolbook" w:hAnsi="Century Schoolbook"/>
          <w:bCs/>
          <w:i/>
          <w:iCs/>
        </w:rPr>
        <w:t>Estate of Miramontes-Najera</w:t>
      </w:r>
      <w:r w:rsidRPr="00475519" w:rsidR="004B4501">
        <w:rPr>
          <w:rFonts w:ascii="Century Schoolbook" w:hAnsi="Century Schoolbook"/>
          <w:bCs/>
        </w:rPr>
        <w:t xml:space="preserve"> (2004) 118 Cal.App.4th 750, 755 [“[a]n order is appealable, even if not mentioned in the Probate Code as appealable, if it has the same effect as an order the Probate Code expressly makes appealable”; “we may consider orders a final judgment for purposes of appeal when as here, they have all the earmarks of a final judgment”].)</w:t>
      </w:r>
      <w:r>
        <w:rPr>
          <w:rStyle w:val="FootnoteReference"/>
          <w:rFonts w:ascii="Century Schoolbook" w:hAnsi="Century Schoolbook"/>
        </w:rPr>
        <w:footnoteReference w:id="5"/>
      </w:r>
      <w:r w:rsidRPr="00475519" w:rsidR="00C851B2">
        <w:rPr>
          <w:rFonts w:ascii="Century Schoolbook" w:hAnsi="Century Schoolbook"/>
          <w:bCs/>
        </w:rPr>
        <w:t xml:space="preserve"> </w:t>
      </w:r>
      <w:r w:rsidRPr="00475519" w:rsidR="004B4501">
        <w:rPr>
          <w:rFonts w:ascii="Century Schoolbook" w:hAnsi="Century Schoolbook"/>
          <w:bCs/>
        </w:rPr>
        <w:t xml:space="preserve"> </w:t>
      </w:r>
    </w:p>
    <w:p w:rsidR="004F282E" w:rsidRPr="00475519" w:rsidP="00C139D0" w14:paraId="2C427840" w14:textId="5F4B94F4">
      <w:pPr>
        <w:spacing w:line="360" w:lineRule="auto"/>
        <w:jc w:val="center"/>
        <w:rPr>
          <w:rFonts w:ascii="Century Schoolbook" w:hAnsi="Century Schoolbook"/>
          <w:b/>
          <w:smallCaps/>
        </w:rPr>
      </w:pPr>
      <w:r w:rsidRPr="00475519">
        <w:rPr>
          <w:rFonts w:ascii="Century Schoolbook" w:hAnsi="Century Schoolbook"/>
          <w:b/>
          <w:smallCaps/>
        </w:rPr>
        <w:t>Discussion</w:t>
      </w:r>
    </w:p>
    <w:p w:rsidR="00E95796" w:rsidRPr="00475519" w:rsidP="00700467" w14:paraId="0951F90D" w14:textId="1EB9CED5">
      <w:pPr>
        <w:spacing w:line="360" w:lineRule="auto"/>
        <w:ind w:left="720" w:hanging="720"/>
        <w:rPr>
          <w:rFonts w:ascii="Century Schoolbook" w:hAnsi="Century Schoolbook"/>
          <w:b/>
        </w:rPr>
      </w:pPr>
      <w:r w:rsidRPr="00475519">
        <w:rPr>
          <w:rFonts w:ascii="Century Schoolbook" w:hAnsi="Century Schoolbook"/>
          <w:b/>
        </w:rPr>
        <w:t>A.</w:t>
      </w:r>
      <w:r w:rsidRPr="00475519">
        <w:rPr>
          <w:rFonts w:ascii="Century Schoolbook" w:hAnsi="Century Schoolbook"/>
          <w:b/>
        </w:rPr>
        <w:tab/>
        <w:t>Applicable Law</w:t>
      </w:r>
    </w:p>
    <w:p w:rsidR="00E95796" w:rsidRPr="00475519" w:rsidP="00E95796" w14:paraId="30C2DEF1" w14:textId="3271E03D">
      <w:pPr>
        <w:shd w:val="clear" w:color="auto" w:fill="FFFFFF"/>
        <w:tabs>
          <w:tab w:val="clear" w:pos="720"/>
        </w:tabs>
        <w:spacing w:line="360" w:lineRule="auto"/>
        <w:textAlignment w:val="baseline"/>
        <w:rPr>
          <w:rFonts w:ascii="Century Schoolbook" w:hAnsi="Century Schoolbook"/>
          <w:b/>
        </w:rPr>
      </w:pPr>
      <w:r w:rsidRPr="00475519">
        <w:rPr>
          <w:rFonts w:ascii="Century Schoolbook" w:hAnsi="Century Schoolbook"/>
          <w:b/>
        </w:rPr>
        <w:tab/>
      </w:r>
      <w:r w:rsidRPr="00475519">
        <w:rPr>
          <w:rFonts w:ascii="Century Schoolbook" w:hAnsi="Century Schoolbook"/>
          <w:bCs/>
        </w:rPr>
        <w:t xml:space="preserve">The general </w:t>
      </w:r>
      <w:r w:rsidRPr="00475519" w:rsidR="007649A4">
        <w:rPr>
          <w:rFonts w:ascii="Century Schoolbook" w:hAnsi="Century Schoolbook"/>
          <w:bCs/>
        </w:rPr>
        <w:t xml:space="preserve">rules </w:t>
      </w:r>
      <w:r w:rsidRPr="00475519">
        <w:rPr>
          <w:rFonts w:ascii="Century Schoolbook" w:hAnsi="Century Schoolbook"/>
          <w:bCs/>
        </w:rPr>
        <w:t>governing intestate succession provide</w:t>
      </w:r>
      <w:r w:rsidRPr="00475519" w:rsidR="003D6037">
        <w:rPr>
          <w:rFonts w:ascii="Century Schoolbook" w:hAnsi="Century Schoolbook"/>
          <w:bCs/>
        </w:rPr>
        <w:t xml:space="preserve"> </w:t>
      </w:r>
      <w:r w:rsidRPr="00475519">
        <w:rPr>
          <w:rFonts w:ascii="Century Schoolbook" w:hAnsi="Century Schoolbook"/>
          <w:bCs/>
        </w:rPr>
        <w:t xml:space="preserve">that </w:t>
      </w:r>
      <w:r w:rsidRPr="00475519" w:rsidR="003D6037">
        <w:rPr>
          <w:rFonts w:ascii="Century Schoolbook" w:hAnsi="Century Schoolbook"/>
          <w:bCs/>
        </w:rPr>
        <w:t xml:space="preserve">any part of </w:t>
      </w:r>
      <w:r w:rsidRPr="00475519" w:rsidR="00706F16">
        <w:rPr>
          <w:rFonts w:ascii="Century Schoolbook" w:hAnsi="Century Schoolbook"/>
          <w:bCs/>
        </w:rPr>
        <w:t xml:space="preserve">a decedent’s </w:t>
      </w:r>
      <w:r w:rsidRPr="00475519">
        <w:rPr>
          <w:rFonts w:ascii="Century Schoolbook" w:hAnsi="Century Schoolbook"/>
          <w:bCs/>
        </w:rPr>
        <w:t xml:space="preserve">estate not disposed of by will passes to the decedent’s heirs.  (Prob. Code, § 6400.) </w:t>
      </w:r>
      <w:r w:rsidRPr="00475519" w:rsidR="007649A4">
        <w:rPr>
          <w:rFonts w:ascii="Century Schoolbook" w:hAnsi="Century Schoolbook"/>
          <w:bCs/>
        </w:rPr>
        <w:t xml:space="preserve"> </w:t>
      </w:r>
      <w:r w:rsidRPr="00475519" w:rsidR="003D6037">
        <w:rPr>
          <w:rFonts w:ascii="Century Schoolbook" w:hAnsi="Century Schoolbook"/>
          <w:bCs/>
        </w:rPr>
        <w:t>An h</w:t>
      </w:r>
      <w:r w:rsidRPr="00475519" w:rsidR="007649A4">
        <w:rPr>
          <w:rFonts w:ascii="Century Schoolbook" w:hAnsi="Century Schoolbook"/>
          <w:bCs/>
        </w:rPr>
        <w:t>eir is defined as “any person .</w:t>
      </w:r>
      <w:r w:rsidRPr="00475519" w:rsidR="005D6617">
        <w:rPr>
          <w:rFonts w:ascii="Century Schoolbook" w:hAnsi="Century Schoolbook"/>
          <w:bCs/>
        </w:rPr>
        <w:t> </w:t>
      </w:r>
      <w:r w:rsidRPr="00475519" w:rsidR="007649A4">
        <w:rPr>
          <w:rFonts w:ascii="Century Schoolbook" w:hAnsi="Century Schoolbook"/>
          <w:bCs/>
        </w:rPr>
        <w:t>.</w:t>
      </w:r>
      <w:r w:rsidRPr="00475519" w:rsidR="005D6617">
        <w:rPr>
          <w:rFonts w:ascii="Century Schoolbook" w:hAnsi="Century Schoolbook"/>
          <w:bCs/>
        </w:rPr>
        <w:t> </w:t>
      </w:r>
      <w:r w:rsidRPr="00475519" w:rsidR="007649A4">
        <w:rPr>
          <w:rFonts w:ascii="Century Schoolbook" w:hAnsi="Century Schoolbook"/>
          <w:bCs/>
        </w:rPr>
        <w:t>. who is entitled to take property of decedent by intestate succession under this code.”  (</w:t>
      </w:r>
      <w:r w:rsidRPr="00475519" w:rsidR="00097F51">
        <w:rPr>
          <w:rFonts w:ascii="Century Schoolbook" w:hAnsi="Century Schoolbook"/>
          <w:bCs/>
          <w:i/>
          <w:iCs/>
        </w:rPr>
        <w:t>Id</w:t>
      </w:r>
      <w:r w:rsidRPr="00475519" w:rsidR="00097F51">
        <w:rPr>
          <w:rFonts w:ascii="Century Schoolbook" w:hAnsi="Century Schoolbook"/>
          <w:bCs/>
        </w:rPr>
        <w:t xml:space="preserve">., </w:t>
      </w:r>
      <w:r w:rsidRPr="00475519" w:rsidR="007649A4">
        <w:rPr>
          <w:rFonts w:ascii="Century Schoolbook" w:hAnsi="Century Schoolbook"/>
          <w:bCs/>
        </w:rPr>
        <w:t>§ 44.)</w:t>
      </w:r>
      <w:r w:rsidRPr="00475519" w:rsidR="00E91679">
        <w:rPr>
          <w:rFonts w:ascii="Century Schoolbook" w:hAnsi="Century Schoolbook"/>
          <w:bCs/>
        </w:rPr>
        <w:t xml:space="preserve">  </w:t>
      </w:r>
      <w:r w:rsidRPr="00475519" w:rsidR="003D6037">
        <w:rPr>
          <w:rFonts w:ascii="Century Schoolbook" w:hAnsi="Century Schoolbook"/>
          <w:bCs/>
        </w:rPr>
        <w:t>A c</w:t>
      </w:r>
      <w:r w:rsidRPr="00475519" w:rsidR="007174D7">
        <w:rPr>
          <w:rFonts w:ascii="Century Schoolbook" w:hAnsi="Century Schoolbook"/>
          <w:bCs/>
        </w:rPr>
        <w:t>hild is defined as “an</w:t>
      </w:r>
      <w:r w:rsidRPr="00475519" w:rsidR="004672FE">
        <w:rPr>
          <w:rFonts w:ascii="Century Schoolbook" w:hAnsi="Century Schoolbook"/>
          <w:bCs/>
        </w:rPr>
        <w:t>y</w:t>
      </w:r>
      <w:r w:rsidRPr="00475519" w:rsidR="007174D7">
        <w:rPr>
          <w:rFonts w:ascii="Century Schoolbook" w:hAnsi="Century Schoolbook"/>
          <w:bCs/>
        </w:rPr>
        <w:t xml:space="preserve"> individual entitled to take as a child</w:t>
      </w:r>
      <w:r w:rsidRPr="00475519" w:rsidR="004672FE">
        <w:rPr>
          <w:rFonts w:ascii="Century Schoolbook" w:hAnsi="Century Schoolbook"/>
          <w:bCs/>
        </w:rPr>
        <w:t xml:space="preserve"> . . .</w:t>
      </w:r>
      <w:r w:rsidRPr="00475519" w:rsidR="007174D7">
        <w:rPr>
          <w:rFonts w:ascii="Century Schoolbook" w:hAnsi="Century Schoolbook"/>
          <w:bCs/>
        </w:rPr>
        <w:t xml:space="preserve"> by intestate succession from the parent which relationship is involved.” </w:t>
      </w:r>
      <w:r w:rsidRPr="00475519" w:rsidR="005D6617">
        <w:rPr>
          <w:rFonts w:ascii="Century Schoolbook" w:hAnsi="Century Schoolbook"/>
          <w:bCs/>
        </w:rPr>
        <w:t xml:space="preserve"> </w:t>
      </w:r>
      <w:r w:rsidRPr="00475519" w:rsidR="004672FE">
        <w:rPr>
          <w:rFonts w:ascii="Century Schoolbook" w:hAnsi="Century Schoolbook"/>
          <w:bCs/>
        </w:rPr>
        <w:t>(</w:t>
      </w:r>
      <w:r w:rsidRPr="00475519" w:rsidR="00CB4EE9">
        <w:rPr>
          <w:rFonts w:ascii="Century Schoolbook" w:hAnsi="Century Schoolbook"/>
          <w:bCs/>
          <w:i/>
          <w:iCs/>
        </w:rPr>
        <w:t>Id.</w:t>
      </w:r>
      <w:r w:rsidRPr="00475519" w:rsidR="00CB4EE9">
        <w:rPr>
          <w:rFonts w:ascii="Century Schoolbook" w:hAnsi="Century Schoolbook"/>
          <w:bCs/>
        </w:rPr>
        <w:t>,</w:t>
      </w:r>
      <w:r w:rsidRPr="00475519" w:rsidR="004672FE">
        <w:rPr>
          <w:rFonts w:ascii="Century Schoolbook" w:hAnsi="Century Schoolbook"/>
          <w:bCs/>
        </w:rPr>
        <w:t xml:space="preserve"> §</w:t>
      </w:r>
      <w:r w:rsidRPr="00475519" w:rsidR="00800D16">
        <w:rPr>
          <w:rFonts w:ascii="Century Schoolbook" w:hAnsi="Century Schoolbook"/>
          <w:bCs/>
        </w:rPr>
        <w:t> </w:t>
      </w:r>
      <w:r w:rsidRPr="00475519" w:rsidR="004672FE">
        <w:rPr>
          <w:rFonts w:ascii="Century Schoolbook" w:hAnsi="Century Schoolbook"/>
          <w:bCs/>
        </w:rPr>
        <w:t>26</w:t>
      </w:r>
      <w:r w:rsidRPr="00475519" w:rsidR="00F841F7">
        <w:rPr>
          <w:rFonts w:ascii="Century Schoolbook" w:hAnsi="Century Schoolbook"/>
          <w:bCs/>
        </w:rPr>
        <w:t>.</w:t>
      </w:r>
      <w:r w:rsidRPr="00475519" w:rsidR="004672FE">
        <w:rPr>
          <w:rFonts w:ascii="Century Schoolbook" w:hAnsi="Century Schoolbook"/>
          <w:bCs/>
        </w:rPr>
        <w:t xml:space="preserve">)  </w:t>
      </w:r>
      <w:r w:rsidRPr="00475519" w:rsidR="003D6037">
        <w:rPr>
          <w:rFonts w:ascii="Century Schoolbook" w:hAnsi="Century Schoolbook"/>
          <w:bCs/>
        </w:rPr>
        <w:t>As</w:t>
      </w:r>
      <w:r w:rsidRPr="00475519" w:rsidR="00DD1CE3">
        <w:rPr>
          <w:rFonts w:ascii="Century Schoolbook" w:hAnsi="Century Schoolbook"/>
          <w:bCs/>
        </w:rPr>
        <w:t xml:space="preserve"> pertinent here, </w:t>
      </w:r>
      <w:r w:rsidRPr="00475519" w:rsidR="005D6617">
        <w:rPr>
          <w:rFonts w:ascii="Century Schoolbook" w:hAnsi="Century Schoolbook"/>
          <w:bCs/>
        </w:rPr>
        <w:t xml:space="preserve">since Franco died without a </w:t>
      </w:r>
      <w:r w:rsidRPr="00475519" w:rsidR="00E91679">
        <w:rPr>
          <w:rFonts w:ascii="Century Schoolbook" w:hAnsi="Century Schoolbook"/>
          <w:bCs/>
        </w:rPr>
        <w:t xml:space="preserve">surviving spouse or domestic partner, the entire intestate estate </w:t>
      </w:r>
      <w:r w:rsidRPr="00475519" w:rsidR="005D6617">
        <w:rPr>
          <w:rFonts w:ascii="Century Schoolbook" w:hAnsi="Century Schoolbook"/>
          <w:bCs/>
        </w:rPr>
        <w:t xml:space="preserve">would pass </w:t>
      </w:r>
      <w:r w:rsidRPr="00475519" w:rsidR="00E91679">
        <w:rPr>
          <w:rFonts w:ascii="Century Schoolbook" w:hAnsi="Century Schoolbook"/>
          <w:bCs/>
        </w:rPr>
        <w:t>“[t]o the issue of the decedent</w:t>
      </w:r>
      <w:r w:rsidRPr="00475519" w:rsidR="005D6617">
        <w:rPr>
          <w:rFonts w:ascii="Century Schoolbook" w:hAnsi="Century Schoolbook"/>
          <w:bCs/>
        </w:rPr>
        <w:t>” (Bertuccio</w:t>
      </w:r>
      <w:r w:rsidRPr="00475519" w:rsidR="00822718">
        <w:rPr>
          <w:rFonts w:ascii="Century Schoolbook" w:hAnsi="Century Schoolbook"/>
          <w:bCs/>
        </w:rPr>
        <w:t xml:space="preserve"> if determined to </w:t>
      </w:r>
      <w:r w:rsidRPr="00475519" w:rsidR="00DD1CE3">
        <w:rPr>
          <w:rFonts w:ascii="Century Schoolbook" w:hAnsi="Century Schoolbook"/>
          <w:bCs/>
        </w:rPr>
        <w:t>be an issue of Franco</w:t>
      </w:r>
      <w:r w:rsidRPr="00475519" w:rsidR="005D6617">
        <w:rPr>
          <w:rFonts w:ascii="Century Schoolbook" w:hAnsi="Century Schoolbook"/>
          <w:bCs/>
        </w:rPr>
        <w:t>) or</w:t>
      </w:r>
      <w:r w:rsidRPr="00475519" w:rsidR="003D6037">
        <w:rPr>
          <w:rFonts w:ascii="Century Schoolbook" w:hAnsi="Century Schoolbook"/>
          <w:bCs/>
        </w:rPr>
        <w:t>,</w:t>
      </w:r>
      <w:r w:rsidRPr="00475519" w:rsidR="005D6617">
        <w:rPr>
          <w:rFonts w:ascii="Century Schoolbook" w:hAnsi="Century Schoolbook"/>
          <w:bCs/>
        </w:rPr>
        <w:t xml:space="preserve"> if there is no issue, “to next of kin” (the Morenos).  </w:t>
      </w:r>
      <w:r w:rsidRPr="00475519" w:rsidR="00E91679">
        <w:rPr>
          <w:rFonts w:ascii="Century Schoolbook" w:hAnsi="Century Schoolbook"/>
          <w:bCs/>
        </w:rPr>
        <w:t>(</w:t>
      </w:r>
      <w:r w:rsidRPr="00475519" w:rsidR="00097F51">
        <w:rPr>
          <w:rFonts w:ascii="Century Schoolbook" w:hAnsi="Century Schoolbook"/>
          <w:bCs/>
          <w:i/>
          <w:iCs/>
        </w:rPr>
        <w:t>Id</w:t>
      </w:r>
      <w:r w:rsidRPr="00475519" w:rsidR="00097F51">
        <w:rPr>
          <w:rFonts w:ascii="Century Schoolbook" w:hAnsi="Century Schoolbook"/>
          <w:bCs/>
        </w:rPr>
        <w:t xml:space="preserve">., </w:t>
      </w:r>
      <w:r w:rsidRPr="00475519" w:rsidR="00E91679">
        <w:rPr>
          <w:rFonts w:ascii="Century Schoolbook" w:hAnsi="Century Schoolbook"/>
          <w:bCs/>
        </w:rPr>
        <w:t xml:space="preserve">§ 6402, subd. (a).) </w:t>
      </w:r>
      <w:r w:rsidRPr="00475519" w:rsidR="006C1376">
        <w:rPr>
          <w:rFonts w:ascii="Century Schoolbook" w:hAnsi="Century Schoolbook"/>
          <w:bCs/>
        </w:rPr>
        <w:t xml:space="preserve"> </w:t>
      </w:r>
    </w:p>
    <w:p w:rsidR="00024FF9" w:rsidP="00E95796" w14:paraId="152097E1" w14:textId="77777777">
      <w:pPr>
        <w:shd w:val="clear" w:color="auto" w:fill="FFFFFF"/>
        <w:tabs>
          <w:tab w:val="clear" w:pos="720"/>
        </w:tabs>
        <w:spacing w:line="360" w:lineRule="auto"/>
        <w:textAlignment w:val="baseline"/>
        <w:rPr>
          <w:rFonts w:ascii="Century Schoolbook" w:hAnsi="Century Schoolbook"/>
          <w:bCs/>
        </w:rPr>
      </w:pPr>
      <w:r w:rsidRPr="00475519">
        <w:rPr>
          <w:rFonts w:ascii="Century Schoolbook" w:hAnsi="Century Schoolbook"/>
          <w:b/>
        </w:rPr>
        <w:tab/>
      </w:r>
      <w:r w:rsidRPr="00475519">
        <w:rPr>
          <w:rFonts w:ascii="Century Schoolbook" w:hAnsi="Century Schoolbook"/>
          <w:bCs/>
        </w:rPr>
        <w:t>Probate Code section 6450 provides</w:t>
      </w:r>
      <w:r w:rsidRPr="00475519" w:rsidR="003D6037">
        <w:rPr>
          <w:rFonts w:ascii="Century Schoolbook" w:hAnsi="Century Schoolbook"/>
          <w:bCs/>
        </w:rPr>
        <w:t xml:space="preserve"> </w:t>
      </w:r>
      <w:r w:rsidRPr="00475519" w:rsidR="001C77E4">
        <w:rPr>
          <w:rFonts w:ascii="Century Schoolbook" w:hAnsi="Century Schoolbook"/>
          <w:bCs/>
        </w:rPr>
        <w:t>that “</w:t>
      </w:r>
      <w:r w:rsidRPr="00475519">
        <w:rPr>
          <w:rFonts w:ascii="Century Schoolbook" w:hAnsi="Century Schoolbook"/>
          <w:bCs/>
        </w:rPr>
        <w:t xml:space="preserve">a relationship of parent and child exists for the purpose of determining intestate succession by, through, or from a person in the following circumstances: [¶] (a) The relationship of </w:t>
      </w:r>
      <w:r w:rsidRPr="00024FF9">
        <w:rPr>
          <w:rFonts w:ascii="Century Schoolbook" w:hAnsi="Century Schoolbook"/>
          <w:bCs/>
        </w:rPr>
        <w:t xml:space="preserve">parent and child exists between a person and the person’s natural parents, regardless of the marital status of the natural parents.”  </w:t>
      </w:r>
    </w:p>
    <w:p w:rsidR="00024FF9" w:rsidRPr="005729A0" w:rsidP="00024FF9" w14:paraId="2687D68E" w14:textId="1DC93D1E">
      <w:pPr>
        <w:shd w:val="clear" w:color="auto" w:fill="FFFFFF"/>
        <w:tabs>
          <w:tab w:val="clear" w:pos="720"/>
        </w:tabs>
        <w:spacing w:line="360" w:lineRule="auto"/>
        <w:ind w:firstLine="720"/>
        <w:textAlignment w:val="baseline"/>
        <w:rPr>
          <w:rFonts w:ascii="Century Schoolbook" w:hAnsi="Century Schoolbook"/>
          <w:color w:val="000000"/>
          <w:szCs w:val="26"/>
        </w:rPr>
      </w:pPr>
      <w:r w:rsidRPr="00024FF9">
        <w:rPr>
          <w:rFonts w:ascii="Century Schoolbook" w:hAnsi="Century Schoolbook"/>
          <w:color w:val="000000"/>
          <w:szCs w:val="26"/>
        </w:rPr>
        <w:t>Probate Code section 6453 provides that a natural parent may be established under the provisions of</w:t>
      </w:r>
      <w:r>
        <w:rPr>
          <w:rFonts w:ascii="Century Schoolbook" w:hAnsi="Century Schoolbook"/>
          <w:color w:val="000000"/>
          <w:szCs w:val="26"/>
        </w:rPr>
        <w:t xml:space="preserve"> California’s version of the Uniform Parentage Act, set forth in Part 3 (commencing with Section 7600) of Division 12 of the Family Code, </w:t>
      </w:r>
      <w:r w:rsidRPr="00024FF9">
        <w:rPr>
          <w:rFonts w:ascii="Century Schoolbook" w:hAnsi="Century Schoolbook"/>
          <w:color w:val="000000"/>
          <w:szCs w:val="26"/>
        </w:rPr>
        <w:t>“except that the relationship may not be established by an action under subdivision (c) of Section 7630 of the Family Code</w:t>
      </w:r>
      <w:r w:rsidR="00DA210F">
        <w:rPr>
          <w:rFonts w:ascii="Century Schoolbook" w:hAnsi="Century Schoolbook"/>
          <w:color w:val="000000"/>
          <w:szCs w:val="26"/>
        </w:rPr>
        <w:t>”</w:t>
      </w:r>
      <w:r w:rsidRPr="00024FF9">
        <w:rPr>
          <w:rFonts w:ascii="Century Schoolbook" w:hAnsi="Century Schoolbook"/>
          <w:color w:val="000000"/>
          <w:szCs w:val="26"/>
        </w:rPr>
        <w:t xml:space="preserve"> (i.e., an action by a child or a child’s representative) unless</w:t>
      </w:r>
      <w:r>
        <w:rPr>
          <w:rFonts w:ascii="Century Schoolbook" w:hAnsi="Century Schoolbook"/>
          <w:color w:val="000000"/>
          <w:szCs w:val="26"/>
        </w:rPr>
        <w:t xml:space="preserve"> “[p]arentage is established by clear and convincing evidence that the parent has openly held out the </w:t>
      </w:r>
      <w:r w:rsidRPr="005729A0">
        <w:rPr>
          <w:rFonts w:ascii="Century Schoolbook" w:hAnsi="Century Schoolbook"/>
          <w:color w:val="000000"/>
          <w:szCs w:val="26"/>
        </w:rPr>
        <w:t>child as that parent’s own.”</w:t>
      </w:r>
      <w:r w:rsidRPr="005729A0" w:rsidR="008D2978">
        <w:rPr>
          <w:rFonts w:ascii="Century Schoolbook" w:hAnsi="Century Schoolbook"/>
          <w:color w:val="000000"/>
          <w:szCs w:val="26"/>
        </w:rPr>
        <w:t xml:space="preserve">  </w:t>
      </w:r>
      <w:r w:rsidRPr="005729A0">
        <w:rPr>
          <w:rFonts w:ascii="Century Schoolbook" w:hAnsi="Century Schoolbook"/>
          <w:color w:val="000000"/>
          <w:szCs w:val="26"/>
        </w:rPr>
        <w:t>(</w:t>
      </w:r>
      <w:r w:rsidRPr="005729A0" w:rsidR="00DA210F">
        <w:rPr>
          <w:rFonts w:ascii="Century Schoolbook" w:hAnsi="Century Schoolbook"/>
          <w:color w:val="000000"/>
          <w:szCs w:val="26"/>
        </w:rPr>
        <w:t>Prob. Code §</w:t>
      </w:r>
      <w:r w:rsidRPr="005729A0" w:rsidR="000A297F">
        <w:rPr>
          <w:rFonts w:ascii="Century Schoolbook" w:hAnsi="Century Schoolbook"/>
          <w:color w:val="000000"/>
          <w:szCs w:val="26"/>
        </w:rPr>
        <w:t> </w:t>
      </w:r>
      <w:r w:rsidRPr="005729A0" w:rsidR="00DA210F">
        <w:rPr>
          <w:rFonts w:ascii="Century Schoolbook" w:hAnsi="Century Schoolbook"/>
          <w:color w:val="000000"/>
          <w:szCs w:val="26"/>
        </w:rPr>
        <w:t>6453</w:t>
      </w:r>
      <w:r w:rsidRPr="005729A0">
        <w:rPr>
          <w:rFonts w:ascii="Century Schoolbook" w:hAnsi="Century Schoolbook"/>
          <w:color w:val="000000"/>
          <w:szCs w:val="26"/>
        </w:rPr>
        <w:t>, subd.</w:t>
      </w:r>
      <w:r w:rsidRPr="005729A0" w:rsidR="000A297F">
        <w:rPr>
          <w:rFonts w:ascii="Century Schoolbook" w:hAnsi="Century Schoolbook"/>
          <w:color w:val="000000"/>
          <w:szCs w:val="26"/>
        </w:rPr>
        <w:t> </w:t>
      </w:r>
      <w:r w:rsidRPr="005729A0">
        <w:rPr>
          <w:rFonts w:ascii="Century Schoolbook" w:hAnsi="Century Schoolbook"/>
          <w:color w:val="000000"/>
          <w:szCs w:val="26"/>
        </w:rPr>
        <w:t xml:space="preserve">(b)(2).)  </w:t>
      </w:r>
    </w:p>
    <w:p w:rsidR="00050A76" w:rsidRPr="00475519" w:rsidP="00F06387" w14:paraId="423BAADC" w14:textId="4A829264">
      <w:pPr>
        <w:shd w:val="clear" w:color="auto" w:fill="FFFFFF"/>
        <w:tabs>
          <w:tab w:val="clear" w:pos="720"/>
        </w:tabs>
        <w:spacing w:line="360" w:lineRule="auto"/>
        <w:textAlignment w:val="baseline"/>
        <w:rPr>
          <w:rFonts w:ascii="Century Schoolbook" w:hAnsi="Century Schoolbook"/>
          <w:bCs/>
        </w:rPr>
      </w:pPr>
      <w:r w:rsidRPr="005729A0">
        <w:rPr>
          <w:rFonts w:ascii="Century Schoolbook" w:hAnsi="Century Schoolbook"/>
          <w:bCs/>
        </w:rPr>
        <w:tab/>
      </w:r>
      <w:r w:rsidRPr="005729A0" w:rsidR="00024FF9">
        <w:rPr>
          <w:rFonts w:ascii="Century Schoolbook" w:hAnsi="Century Schoolbook"/>
          <w:bCs/>
        </w:rPr>
        <w:t>A</w:t>
      </w:r>
      <w:r w:rsidRPr="005729A0" w:rsidR="00FA2DA4">
        <w:rPr>
          <w:rFonts w:ascii="Century Schoolbook" w:hAnsi="Century Schoolbook"/>
          <w:bCs/>
        </w:rPr>
        <w:t xml:space="preserve"> man is “presumed” to be a child’s natural father</w:t>
      </w:r>
      <w:r w:rsidRPr="005729A0" w:rsidR="003855DE">
        <w:rPr>
          <w:rFonts w:ascii="Century Schoolbook" w:hAnsi="Century Schoolbook"/>
          <w:bCs/>
        </w:rPr>
        <w:t xml:space="preserve"> if he meets the conditions in Family Code section 7540.  </w:t>
      </w:r>
      <w:r w:rsidRPr="005729A0" w:rsidR="005D6617">
        <w:rPr>
          <w:rFonts w:ascii="Century Schoolbook" w:hAnsi="Century Schoolbook"/>
          <w:bCs/>
        </w:rPr>
        <w:t xml:space="preserve">(Fam. Code, § 7611, subd. (a).) </w:t>
      </w:r>
      <w:r w:rsidRPr="005729A0" w:rsidR="003855DE">
        <w:rPr>
          <w:rFonts w:ascii="Century Schoolbook" w:hAnsi="Century Schoolbook"/>
          <w:bCs/>
        </w:rPr>
        <w:t xml:space="preserve"> </w:t>
      </w:r>
      <w:r w:rsidRPr="005729A0" w:rsidR="0049095C">
        <w:rPr>
          <w:rFonts w:ascii="Century Schoolbook" w:hAnsi="Century Schoolbook"/>
          <w:bCs/>
        </w:rPr>
        <w:t xml:space="preserve">Section 7540 provides, in pertinent part, that </w:t>
      </w:r>
      <w:r w:rsidRPr="005729A0" w:rsidR="003855DE">
        <w:rPr>
          <w:rFonts w:ascii="Century Schoolbook" w:hAnsi="Century Schoolbook"/>
          <w:bCs/>
        </w:rPr>
        <w:t>“</w:t>
      </w:r>
      <w:r w:rsidRPr="005729A0">
        <w:rPr>
          <w:rFonts w:ascii="Century Schoolbook" w:hAnsi="Century Schoolbook"/>
          <w:bCs/>
        </w:rPr>
        <w:t>the child of spouses who cohabited at the time of conception and birth is conclusively presumed to be a child of the marriage</w:t>
      </w:r>
      <w:r w:rsidRPr="005729A0" w:rsidR="003D6037">
        <w:rPr>
          <w:rFonts w:ascii="Century Schoolbook" w:hAnsi="Century Schoolbook"/>
          <w:bCs/>
        </w:rPr>
        <w:t>,</w:t>
      </w:r>
      <w:r w:rsidRPr="005729A0" w:rsidR="003855DE">
        <w:rPr>
          <w:rFonts w:ascii="Century Schoolbook" w:hAnsi="Century Schoolbook"/>
          <w:bCs/>
        </w:rPr>
        <w:t>”</w:t>
      </w:r>
      <w:r w:rsidRPr="005729A0" w:rsidR="003D6037">
        <w:rPr>
          <w:rFonts w:ascii="Century Schoolbook" w:hAnsi="Century Schoolbook"/>
          <w:bCs/>
        </w:rPr>
        <w:t xml:space="preserve"> </w:t>
      </w:r>
      <w:r w:rsidRPr="005729A0" w:rsidR="00024FF9">
        <w:rPr>
          <w:rFonts w:ascii="Century Schoolbook" w:hAnsi="Century Schoolbook"/>
          <w:bCs/>
        </w:rPr>
        <w:t>commonly</w:t>
      </w:r>
      <w:r w:rsidRPr="005729A0" w:rsidR="003D6037">
        <w:rPr>
          <w:rFonts w:ascii="Century Schoolbook" w:hAnsi="Century Schoolbook"/>
          <w:bCs/>
        </w:rPr>
        <w:t xml:space="preserve"> referred to as the marital presumption.</w:t>
      </w:r>
      <w:r w:rsidRPr="005729A0" w:rsidR="003855DE">
        <w:rPr>
          <w:rFonts w:ascii="Century Schoolbook" w:hAnsi="Century Schoolbook"/>
          <w:bCs/>
        </w:rPr>
        <w:t xml:space="preserve">  (</w:t>
      </w:r>
      <w:r w:rsidRPr="005729A0" w:rsidR="005729A0">
        <w:rPr>
          <w:rFonts w:ascii="Century Schoolbook" w:hAnsi="Century Schoolbook"/>
          <w:bCs/>
          <w:i/>
          <w:iCs/>
        </w:rPr>
        <w:t>Id.</w:t>
      </w:r>
      <w:r w:rsidR="005729A0">
        <w:rPr>
          <w:rFonts w:ascii="Century Schoolbook" w:hAnsi="Century Schoolbook"/>
          <w:bCs/>
        </w:rPr>
        <w:t xml:space="preserve">, </w:t>
      </w:r>
      <w:r w:rsidRPr="005729A0" w:rsidR="0049095C">
        <w:rPr>
          <w:rFonts w:ascii="Century Schoolbook" w:hAnsi="Century Schoolbook"/>
          <w:bCs/>
        </w:rPr>
        <w:t>s</w:t>
      </w:r>
      <w:r w:rsidRPr="005729A0" w:rsidR="003855DE">
        <w:rPr>
          <w:rFonts w:ascii="Century Schoolbook" w:hAnsi="Century Schoolbook"/>
          <w:bCs/>
        </w:rPr>
        <w:t>ubd.</w:t>
      </w:r>
      <w:r w:rsidRPr="005729A0" w:rsidR="001C77E4">
        <w:rPr>
          <w:rFonts w:ascii="Century Schoolbook" w:hAnsi="Century Schoolbook"/>
          <w:bCs/>
        </w:rPr>
        <w:t> </w:t>
      </w:r>
      <w:r w:rsidRPr="005729A0" w:rsidR="003855DE">
        <w:rPr>
          <w:rFonts w:ascii="Century Schoolbook" w:hAnsi="Century Schoolbook"/>
          <w:bCs/>
        </w:rPr>
        <w:t>(a).)</w:t>
      </w:r>
    </w:p>
    <w:p w:rsidR="001A2435" w:rsidRPr="00475519" w:rsidP="00284424" w14:paraId="6E48C5C1" w14:textId="6DB33133">
      <w:pPr>
        <w:shd w:val="clear" w:color="auto" w:fill="FFFFFF"/>
        <w:tabs>
          <w:tab w:val="clear" w:pos="720"/>
        </w:tabs>
        <w:spacing w:line="360" w:lineRule="auto"/>
        <w:ind w:left="720" w:hanging="720"/>
        <w:textAlignment w:val="baseline"/>
        <w:rPr>
          <w:rFonts w:ascii="Century Schoolbook" w:hAnsi="Century Schoolbook"/>
          <w:b/>
        </w:rPr>
      </w:pPr>
      <w:r w:rsidRPr="00475519">
        <w:rPr>
          <w:rFonts w:ascii="Century Schoolbook" w:hAnsi="Century Schoolbook"/>
          <w:b/>
        </w:rPr>
        <w:t>B.</w:t>
      </w:r>
      <w:r w:rsidRPr="00475519">
        <w:rPr>
          <w:rFonts w:ascii="Century Schoolbook" w:hAnsi="Century Schoolbook"/>
          <w:b/>
        </w:rPr>
        <w:tab/>
        <w:t xml:space="preserve">A Child of </w:t>
      </w:r>
      <w:r w:rsidRPr="00475519" w:rsidR="00822718">
        <w:rPr>
          <w:rFonts w:ascii="Century Schoolbook" w:hAnsi="Century Schoolbook"/>
          <w:b/>
        </w:rPr>
        <w:t>a</w:t>
      </w:r>
      <w:r w:rsidRPr="00475519">
        <w:rPr>
          <w:rFonts w:ascii="Century Schoolbook" w:hAnsi="Century Schoolbook"/>
          <w:b/>
        </w:rPr>
        <w:t xml:space="preserve"> Marriage Under the Family Code Section 754</w:t>
      </w:r>
      <w:r w:rsidRPr="00475519" w:rsidR="00DD1CE3">
        <w:rPr>
          <w:rFonts w:ascii="Century Schoolbook" w:hAnsi="Century Schoolbook"/>
          <w:b/>
        </w:rPr>
        <w:t>0</w:t>
      </w:r>
      <w:r w:rsidRPr="00475519">
        <w:rPr>
          <w:rFonts w:ascii="Century Schoolbook" w:hAnsi="Century Schoolbook"/>
          <w:b/>
        </w:rPr>
        <w:t xml:space="preserve"> Marital Presumption is Barred </w:t>
      </w:r>
      <w:r w:rsidRPr="00475519" w:rsidR="00822718">
        <w:rPr>
          <w:rFonts w:ascii="Century Schoolbook" w:hAnsi="Century Schoolbook"/>
          <w:b/>
        </w:rPr>
        <w:t>from</w:t>
      </w:r>
      <w:r w:rsidRPr="00475519">
        <w:rPr>
          <w:rFonts w:ascii="Century Schoolbook" w:hAnsi="Century Schoolbook"/>
          <w:b/>
        </w:rPr>
        <w:t xml:space="preserve"> Proving a Parent-Child Relationship Existed with A Deceased Third Person for Purposes of In</w:t>
      </w:r>
      <w:r w:rsidRPr="00475519" w:rsidR="008D54C8">
        <w:rPr>
          <w:rFonts w:ascii="Century Schoolbook" w:hAnsi="Century Schoolbook"/>
          <w:b/>
        </w:rPr>
        <w:t>heritance Under In</w:t>
      </w:r>
      <w:r w:rsidRPr="00475519">
        <w:rPr>
          <w:rFonts w:ascii="Century Schoolbook" w:hAnsi="Century Schoolbook"/>
          <w:b/>
        </w:rPr>
        <w:t>testate Succession</w:t>
      </w:r>
    </w:p>
    <w:p w:rsidR="001E0695" w:rsidRPr="00475519" w:rsidP="001E0695" w14:paraId="7183E94D" w14:textId="56687343">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As</w:t>
      </w:r>
      <w:r w:rsidRPr="00475519" w:rsidR="00E821C8">
        <w:rPr>
          <w:rFonts w:ascii="Century Schoolbook" w:hAnsi="Century Schoolbook"/>
          <w:bCs/>
        </w:rPr>
        <w:t xml:space="preserve"> a </w:t>
      </w:r>
      <w:r w:rsidRPr="00475519" w:rsidR="0034261B">
        <w:rPr>
          <w:rFonts w:ascii="Century Schoolbook" w:hAnsi="Century Schoolbook"/>
          <w:bCs/>
        </w:rPr>
        <w:t>general rule</w:t>
      </w:r>
      <w:r w:rsidRPr="00475519">
        <w:rPr>
          <w:rFonts w:ascii="Century Schoolbook" w:hAnsi="Century Schoolbook"/>
          <w:bCs/>
        </w:rPr>
        <w:t>,</w:t>
      </w:r>
      <w:r w:rsidRPr="00475519" w:rsidR="00CB4EE9">
        <w:rPr>
          <w:rFonts w:ascii="Century Schoolbook" w:hAnsi="Century Schoolbook"/>
          <w:bCs/>
        </w:rPr>
        <w:t xml:space="preserve"> “[t]here is nothing inherently improper in conferring a right to inherit from two separate paternal stocks</w:t>
      </w:r>
      <w:r w:rsidRPr="00475519">
        <w:rPr>
          <w:rFonts w:ascii="Century Schoolbook" w:hAnsi="Century Schoolbook"/>
          <w:bCs/>
        </w:rPr>
        <w:t>.</w:t>
      </w:r>
      <w:r w:rsidRPr="00475519" w:rsidR="00CB4EE9">
        <w:rPr>
          <w:rFonts w:ascii="Century Schoolbook" w:hAnsi="Century Schoolbook"/>
          <w:bCs/>
        </w:rPr>
        <w:t>”</w:t>
      </w:r>
      <w:r w:rsidRPr="00475519">
        <w:rPr>
          <w:rFonts w:ascii="Century Schoolbook" w:hAnsi="Century Schoolbook"/>
          <w:bCs/>
        </w:rPr>
        <w:t xml:space="preserve">  (</w:t>
      </w:r>
      <w:r w:rsidRPr="00475519">
        <w:rPr>
          <w:rFonts w:ascii="Century Schoolbook" w:hAnsi="Century Schoolbook"/>
          <w:bCs/>
          <w:i/>
          <w:iCs/>
        </w:rPr>
        <w:t>Estate of Bassi</w:t>
      </w:r>
      <w:r w:rsidRPr="00475519">
        <w:rPr>
          <w:rFonts w:ascii="Century Schoolbook" w:hAnsi="Century Schoolbook"/>
          <w:bCs/>
        </w:rPr>
        <w:t xml:space="preserve"> (1965) 234 Cal.App.2d 529, 554.</w:t>
      </w:r>
      <w:r w:rsidRPr="00475519" w:rsidR="00E821C8">
        <w:rPr>
          <w:rFonts w:ascii="Century Schoolbook" w:hAnsi="Century Schoolbook"/>
          <w:bCs/>
        </w:rPr>
        <w:t>)</w:t>
      </w:r>
      <w:r w:rsidRPr="00475519">
        <w:rPr>
          <w:rFonts w:ascii="Century Schoolbook" w:hAnsi="Century Schoolbook"/>
          <w:bCs/>
        </w:rPr>
        <w:t xml:space="preserve">  However</w:t>
      </w:r>
      <w:r w:rsidRPr="00475519" w:rsidR="00E821C8">
        <w:rPr>
          <w:rFonts w:ascii="Century Schoolbook" w:hAnsi="Century Schoolbook"/>
          <w:bCs/>
        </w:rPr>
        <w:t xml:space="preserve">, our </w:t>
      </w:r>
      <w:r w:rsidRPr="00475519">
        <w:rPr>
          <w:rFonts w:ascii="Century Schoolbook" w:hAnsi="Century Schoolbook"/>
          <w:bCs/>
        </w:rPr>
        <w:t xml:space="preserve">Legislature’s statutory scheme for intestate succession, as interpreted by our Supreme Court, </w:t>
      </w:r>
      <w:r w:rsidRPr="00475519" w:rsidR="00366BAC">
        <w:rPr>
          <w:rFonts w:ascii="Century Schoolbook" w:hAnsi="Century Schoolbook"/>
          <w:bCs/>
        </w:rPr>
        <w:t>provides</w:t>
      </w:r>
      <w:r w:rsidRPr="00475519">
        <w:rPr>
          <w:rFonts w:ascii="Century Schoolbook" w:hAnsi="Century Schoolbook"/>
          <w:bCs/>
        </w:rPr>
        <w:t xml:space="preserve"> as a matter of policy </w:t>
      </w:r>
      <w:r w:rsidRPr="00475519" w:rsidR="00E821C8">
        <w:rPr>
          <w:rFonts w:ascii="Century Schoolbook" w:hAnsi="Century Schoolbook"/>
          <w:bCs/>
        </w:rPr>
        <w:t xml:space="preserve">that </w:t>
      </w:r>
      <w:r w:rsidRPr="00475519">
        <w:rPr>
          <w:rFonts w:ascii="Century Schoolbook" w:hAnsi="Century Schoolbook"/>
          <w:bCs/>
        </w:rPr>
        <w:t xml:space="preserve">a child of a marriage </w:t>
      </w:r>
      <w:r w:rsidRPr="00475519" w:rsidR="00E922E9">
        <w:rPr>
          <w:rFonts w:ascii="Century Schoolbook" w:hAnsi="Century Schoolbook"/>
          <w:bCs/>
        </w:rPr>
        <w:t xml:space="preserve">under </w:t>
      </w:r>
      <w:r w:rsidRPr="00475519">
        <w:rPr>
          <w:rFonts w:ascii="Century Schoolbook" w:hAnsi="Century Schoolbook"/>
          <w:bCs/>
        </w:rPr>
        <w:t>the Family Code section 7540 marital presumption</w:t>
      </w:r>
      <w:r w:rsidRPr="00475519" w:rsidR="00E821C8">
        <w:rPr>
          <w:rFonts w:ascii="Century Schoolbook" w:hAnsi="Century Schoolbook"/>
          <w:bCs/>
        </w:rPr>
        <w:t xml:space="preserve"> is barred </w:t>
      </w:r>
      <w:r w:rsidRPr="00475519">
        <w:rPr>
          <w:rFonts w:ascii="Century Schoolbook" w:hAnsi="Century Schoolbook"/>
          <w:bCs/>
        </w:rPr>
        <w:t xml:space="preserve">from </w:t>
      </w:r>
      <w:r w:rsidRPr="00475519" w:rsidR="00E922E9">
        <w:rPr>
          <w:rFonts w:ascii="Century Schoolbook" w:hAnsi="Century Schoolbook"/>
          <w:bCs/>
        </w:rPr>
        <w:t xml:space="preserve">proving a </w:t>
      </w:r>
      <w:r w:rsidRPr="00475519">
        <w:rPr>
          <w:rFonts w:ascii="Century Schoolbook" w:hAnsi="Century Schoolbook"/>
          <w:bCs/>
        </w:rPr>
        <w:t xml:space="preserve">parent-child relationship </w:t>
      </w:r>
      <w:r w:rsidRPr="00475519" w:rsidR="00E922E9">
        <w:rPr>
          <w:rFonts w:ascii="Century Schoolbook" w:hAnsi="Century Schoolbook"/>
          <w:bCs/>
        </w:rPr>
        <w:t xml:space="preserve">existed with a deceased third person </w:t>
      </w:r>
      <w:r w:rsidRPr="00475519">
        <w:rPr>
          <w:rFonts w:ascii="Century Schoolbook" w:hAnsi="Century Schoolbook"/>
          <w:bCs/>
        </w:rPr>
        <w:t>for</w:t>
      </w:r>
      <w:r w:rsidRPr="00475519" w:rsidR="00E922E9">
        <w:rPr>
          <w:rFonts w:ascii="Century Schoolbook" w:hAnsi="Century Schoolbook"/>
          <w:bCs/>
        </w:rPr>
        <w:t xml:space="preserve"> </w:t>
      </w:r>
      <w:r w:rsidRPr="00475519">
        <w:rPr>
          <w:rFonts w:ascii="Century Schoolbook" w:hAnsi="Century Schoolbook"/>
          <w:bCs/>
        </w:rPr>
        <w:t>purposes</w:t>
      </w:r>
      <w:r w:rsidRPr="00475519" w:rsidR="008D54C8">
        <w:rPr>
          <w:rFonts w:ascii="Century Schoolbook" w:hAnsi="Century Schoolbook"/>
          <w:bCs/>
        </w:rPr>
        <w:t xml:space="preserve"> of </w:t>
      </w:r>
      <w:r w:rsidRPr="00475519" w:rsidR="00822718">
        <w:rPr>
          <w:rFonts w:ascii="Century Schoolbook" w:hAnsi="Century Schoolbook"/>
          <w:bCs/>
        </w:rPr>
        <w:t xml:space="preserve">inheritance </w:t>
      </w:r>
      <w:r w:rsidRPr="00475519" w:rsidR="00B37539">
        <w:rPr>
          <w:rFonts w:ascii="Century Schoolbook" w:hAnsi="Century Schoolbook"/>
          <w:bCs/>
        </w:rPr>
        <w:t xml:space="preserve">under </w:t>
      </w:r>
      <w:r w:rsidRPr="00475519">
        <w:rPr>
          <w:rFonts w:ascii="Century Schoolbook" w:hAnsi="Century Schoolbook"/>
          <w:bCs/>
        </w:rPr>
        <w:t>intestate succession.  (</w:t>
      </w:r>
      <w:r w:rsidRPr="00475519">
        <w:rPr>
          <w:rFonts w:ascii="Century Schoolbook" w:hAnsi="Century Schoolbook"/>
          <w:bCs/>
          <w:i/>
          <w:iCs/>
        </w:rPr>
        <w:t>Cornelious</w:t>
      </w:r>
      <w:r w:rsidRPr="00475519" w:rsidR="005D6617">
        <w:rPr>
          <w:rFonts w:ascii="Century Schoolbook" w:hAnsi="Century Schoolbook"/>
          <w:bCs/>
        </w:rPr>
        <w:t xml:space="preserve">, </w:t>
      </w:r>
      <w:r w:rsidRPr="00475519" w:rsidR="005D6617">
        <w:rPr>
          <w:rFonts w:ascii="Century Schoolbook" w:hAnsi="Century Schoolbook"/>
          <w:bCs/>
          <w:i/>
          <w:iCs/>
        </w:rPr>
        <w:t>supra</w:t>
      </w:r>
      <w:r w:rsidRPr="00475519" w:rsidR="005D6617">
        <w:rPr>
          <w:rFonts w:ascii="Century Schoolbook" w:hAnsi="Century Schoolbook"/>
          <w:bCs/>
        </w:rPr>
        <w:t xml:space="preserve">, </w:t>
      </w:r>
      <w:r w:rsidRPr="00475519">
        <w:rPr>
          <w:rFonts w:ascii="Century Schoolbook" w:hAnsi="Century Schoolbook"/>
          <w:bCs/>
        </w:rPr>
        <w:t xml:space="preserve">35 Cal.3d </w:t>
      </w:r>
      <w:r w:rsidRPr="00475519" w:rsidR="005D6617">
        <w:rPr>
          <w:rFonts w:ascii="Century Schoolbook" w:hAnsi="Century Schoolbook"/>
          <w:bCs/>
        </w:rPr>
        <w:t>at pp. </w:t>
      </w:r>
      <w:r w:rsidRPr="00475519">
        <w:rPr>
          <w:rFonts w:ascii="Century Schoolbook" w:hAnsi="Century Schoolbook"/>
          <w:bCs/>
        </w:rPr>
        <w:t>463</w:t>
      </w:r>
      <w:r w:rsidRPr="00475519" w:rsidR="004672FE">
        <w:rPr>
          <w:rFonts w:ascii="Century Schoolbook" w:hAnsi="Century Schoolbook"/>
          <w:bCs/>
        </w:rPr>
        <w:t>–</w:t>
      </w:r>
      <w:r w:rsidRPr="00475519">
        <w:rPr>
          <w:rFonts w:ascii="Century Schoolbook" w:hAnsi="Century Schoolbook"/>
          <w:bCs/>
        </w:rPr>
        <w:t>464, 466</w:t>
      </w:r>
      <w:r w:rsidRPr="00475519" w:rsidR="004672FE">
        <w:rPr>
          <w:rFonts w:ascii="Century Schoolbook" w:hAnsi="Century Schoolbook"/>
          <w:bCs/>
        </w:rPr>
        <w:t>–</w:t>
      </w:r>
      <w:r w:rsidRPr="00475519">
        <w:rPr>
          <w:rFonts w:ascii="Century Schoolbook" w:hAnsi="Century Schoolbook"/>
          <w:bCs/>
        </w:rPr>
        <w:t>467</w:t>
      </w:r>
      <w:r w:rsidRPr="00475519" w:rsidR="005D6617">
        <w:rPr>
          <w:rFonts w:ascii="Century Schoolbook" w:hAnsi="Century Schoolbook"/>
          <w:bCs/>
        </w:rPr>
        <w:t xml:space="preserve">.)  </w:t>
      </w:r>
    </w:p>
    <w:p w:rsidR="00E922E9" w:rsidRPr="00475519" w:rsidP="001E0695" w14:paraId="5B61D745" w14:textId="2B9180AD">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In </w:t>
      </w:r>
      <w:r w:rsidRPr="00475519">
        <w:rPr>
          <w:rFonts w:ascii="Century Schoolbook" w:hAnsi="Century Schoolbook"/>
          <w:bCs/>
          <w:i/>
          <w:iCs/>
        </w:rPr>
        <w:t>Corneliou</w:t>
      </w:r>
      <w:r w:rsidRPr="00475519">
        <w:rPr>
          <w:rFonts w:ascii="Century Schoolbook" w:hAnsi="Century Schoolbook"/>
          <w:bCs/>
        </w:rPr>
        <w:t xml:space="preserve">s, </w:t>
      </w:r>
      <w:r w:rsidRPr="00475519" w:rsidR="00564114">
        <w:rPr>
          <w:rFonts w:ascii="Century Schoolbook" w:hAnsi="Century Schoolbook"/>
          <w:bCs/>
        </w:rPr>
        <w:t xml:space="preserve">our Supreme Court addressed </w:t>
      </w:r>
      <w:r w:rsidRPr="00475519" w:rsidR="00822718">
        <w:rPr>
          <w:rFonts w:ascii="Century Schoolbook" w:hAnsi="Century Schoolbook"/>
          <w:bCs/>
        </w:rPr>
        <w:t>this</w:t>
      </w:r>
      <w:r w:rsidRPr="00475519" w:rsidR="00564114">
        <w:rPr>
          <w:rFonts w:ascii="Century Schoolbook" w:hAnsi="Century Schoolbook"/>
          <w:bCs/>
        </w:rPr>
        <w:t xml:space="preserve"> issue </w:t>
      </w:r>
      <w:r w:rsidRPr="00475519" w:rsidR="005D6617">
        <w:rPr>
          <w:rFonts w:ascii="Century Schoolbook" w:hAnsi="Century Schoolbook"/>
          <w:bCs/>
        </w:rPr>
        <w:t xml:space="preserve">under </w:t>
      </w:r>
      <w:r w:rsidRPr="00475519" w:rsidR="00564114">
        <w:rPr>
          <w:rFonts w:ascii="Century Schoolbook" w:hAnsi="Century Schoolbook"/>
          <w:bCs/>
        </w:rPr>
        <w:t>Evidence Code former section 621, subdivision (a),</w:t>
      </w:r>
      <w:r>
        <w:rPr>
          <w:rStyle w:val="FootnoteReference"/>
          <w:rFonts w:ascii="Century Schoolbook" w:hAnsi="Century Schoolbook"/>
          <w:bCs/>
        </w:rPr>
        <w:footnoteReference w:id="6"/>
      </w:r>
      <w:r w:rsidRPr="00475519" w:rsidR="00564114">
        <w:rPr>
          <w:rFonts w:ascii="Century Schoolbook" w:hAnsi="Century Schoolbook"/>
          <w:bCs/>
        </w:rPr>
        <w:t xml:space="preserve"> the predecessor </w:t>
      </w:r>
      <w:r w:rsidRPr="00475519" w:rsidR="00945C35">
        <w:rPr>
          <w:rFonts w:ascii="Century Schoolbook" w:hAnsi="Century Schoolbook"/>
          <w:bCs/>
        </w:rPr>
        <w:t xml:space="preserve">statute </w:t>
      </w:r>
      <w:r w:rsidRPr="00475519" w:rsidR="00564114">
        <w:rPr>
          <w:rFonts w:ascii="Century Schoolbook" w:hAnsi="Century Schoolbook"/>
          <w:bCs/>
        </w:rPr>
        <w:t xml:space="preserve">to the current Family Code section 7540 marital presumption.  (35 Cal.3d at pp. 462–463.)  </w:t>
      </w:r>
      <w:r w:rsidRPr="00475519" w:rsidR="00822718">
        <w:rPr>
          <w:rFonts w:ascii="Century Schoolbook" w:hAnsi="Century Schoolbook"/>
          <w:bCs/>
        </w:rPr>
        <w:t xml:space="preserve">In that case, </w:t>
      </w:r>
      <w:r w:rsidRPr="00475519" w:rsidR="00302C83">
        <w:rPr>
          <w:rFonts w:ascii="Century Schoolbook" w:hAnsi="Century Schoolbook"/>
          <w:bCs/>
        </w:rPr>
        <w:t>Willis Cornelious died intestate, and his sisters nominated a person to administ</w:t>
      </w:r>
      <w:r w:rsidR="000A297F">
        <w:rPr>
          <w:rFonts w:ascii="Century Schoolbook" w:hAnsi="Century Schoolbook"/>
          <w:bCs/>
        </w:rPr>
        <w:t>er</w:t>
      </w:r>
      <w:r w:rsidRPr="00475519" w:rsidR="00302C83">
        <w:rPr>
          <w:rFonts w:ascii="Century Schoolbook" w:hAnsi="Century Schoolbook"/>
          <w:bCs/>
        </w:rPr>
        <w:t xml:space="preserve"> his estate.  (</w:t>
      </w:r>
      <w:r w:rsidRPr="00475519" w:rsidR="00302C83">
        <w:rPr>
          <w:rFonts w:ascii="Century Schoolbook" w:hAnsi="Century Schoolbook"/>
          <w:bCs/>
          <w:i/>
          <w:iCs/>
        </w:rPr>
        <w:t>Id</w:t>
      </w:r>
      <w:r w:rsidRPr="00475519" w:rsidR="00302C83">
        <w:rPr>
          <w:rFonts w:ascii="Century Schoolbook" w:hAnsi="Century Schoolbook"/>
          <w:bCs/>
        </w:rPr>
        <w:t>. at p.</w:t>
      </w:r>
      <w:r w:rsidRPr="00475519" w:rsidR="00945C35">
        <w:rPr>
          <w:rFonts w:ascii="Century Schoolbook" w:hAnsi="Century Schoolbook"/>
          <w:bCs/>
        </w:rPr>
        <w:t> </w:t>
      </w:r>
      <w:r w:rsidRPr="00475519" w:rsidR="00302C83">
        <w:rPr>
          <w:rFonts w:ascii="Century Schoolbook" w:hAnsi="Century Schoolbook"/>
          <w:bCs/>
        </w:rPr>
        <w:t>463.)  Appellant Trudy Hall applied for letters of administration on the basis that she was a child of Cornelious and had the right to administ</w:t>
      </w:r>
      <w:r w:rsidRPr="00475519" w:rsidR="00945C35">
        <w:rPr>
          <w:rFonts w:ascii="Century Schoolbook" w:hAnsi="Century Schoolbook"/>
          <w:bCs/>
        </w:rPr>
        <w:t>er his</w:t>
      </w:r>
      <w:r w:rsidRPr="00475519" w:rsidR="00302C83">
        <w:rPr>
          <w:rFonts w:ascii="Century Schoolbook" w:hAnsi="Century Schoolbook"/>
          <w:bCs/>
        </w:rPr>
        <w:t xml:space="preserve"> estate over Cornelious’ siblings or nominee.  (</w:t>
      </w:r>
      <w:r w:rsidRPr="00475519" w:rsidR="00302C83">
        <w:rPr>
          <w:rFonts w:ascii="Century Schoolbook" w:hAnsi="Century Schoolbook"/>
          <w:bCs/>
          <w:i/>
          <w:iCs/>
        </w:rPr>
        <w:t>Ibid.</w:t>
      </w:r>
      <w:r w:rsidRPr="00475519" w:rsidR="00302C83">
        <w:rPr>
          <w:rFonts w:ascii="Century Schoolbook" w:hAnsi="Century Schoolbook"/>
          <w:bCs/>
        </w:rPr>
        <w:t xml:space="preserve">)  After an evidentiary hearing, the trial court found the requisite parent-child relationship </w:t>
      </w:r>
      <w:r w:rsidRPr="00475519" w:rsidR="00945C35">
        <w:rPr>
          <w:rFonts w:ascii="Century Schoolbook" w:hAnsi="Century Schoolbook"/>
          <w:bCs/>
        </w:rPr>
        <w:t xml:space="preserve">between Hall and Cornelious </w:t>
      </w:r>
      <w:r w:rsidRPr="00475519" w:rsidR="00302C83">
        <w:rPr>
          <w:rFonts w:ascii="Century Schoolbook" w:hAnsi="Century Schoolbook"/>
          <w:bCs/>
        </w:rPr>
        <w:t>did not exist because Hall was conclusively presumed to be the daughter of David Fuller</w:t>
      </w:r>
      <w:r>
        <w:rPr>
          <w:rStyle w:val="FootnoteReference"/>
          <w:rFonts w:ascii="Century Schoolbook" w:hAnsi="Century Schoolbook"/>
          <w:bCs/>
        </w:rPr>
        <w:footnoteReference w:id="7"/>
      </w:r>
      <w:r w:rsidRPr="00475519" w:rsidR="00302C83">
        <w:rPr>
          <w:rFonts w:ascii="Century Schoolbook" w:hAnsi="Century Schoolbook"/>
          <w:bCs/>
        </w:rPr>
        <w:t xml:space="preserve"> and</w:t>
      </w:r>
      <w:r w:rsidRPr="00475519" w:rsidR="00822718">
        <w:rPr>
          <w:rFonts w:ascii="Century Schoolbook" w:hAnsi="Century Schoolbook"/>
          <w:bCs/>
        </w:rPr>
        <w:t xml:space="preserve"> </w:t>
      </w:r>
      <w:r w:rsidRPr="00475519" w:rsidR="00302C83">
        <w:rPr>
          <w:rFonts w:ascii="Century Schoolbook" w:hAnsi="Century Schoolbook"/>
          <w:bCs/>
        </w:rPr>
        <w:t>the court appointed the sisters’ nominee as administrator of Cornelious’ estate.  (</w:t>
      </w:r>
      <w:r w:rsidRPr="00475519" w:rsidR="00302C83">
        <w:rPr>
          <w:rFonts w:ascii="Century Schoolbook" w:hAnsi="Century Schoolbook"/>
          <w:bCs/>
          <w:i/>
          <w:iCs/>
        </w:rPr>
        <w:t>Ibid.</w:t>
      </w:r>
      <w:r w:rsidRPr="00475519" w:rsidR="00302C83">
        <w:rPr>
          <w:rFonts w:ascii="Century Schoolbook" w:hAnsi="Century Schoolbook"/>
          <w:bCs/>
        </w:rPr>
        <w:t xml:space="preserve">) </w:t>
      </w:r>
    </w:p>
    <w:p w:rsidR="002049E8" w:rsidRPr="00475519" w:rsidP="001E0695" w14:paraId="6CA5C826" w14:textId="4CF1CDA9">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In rejecting Hall’s “due process attack” on the application of </w:t>
      </w:r>
      <w:r w:rsidRPr="00475519" w:rsidR="00945C35">
        <w:rPr>
          <w:rFonts w:ascii="Century Schoolbook" w:hAnsi="Century Schoolbook"/>
          <w:bCs/>
        </w:rPr>
        <w:t xml:space="preserve">the </w:t>
      </w:r>
      <w:r w:rsidRPr="00475519">
        <w:rPr>
          <w:rFonts w:ascii="Century Schoolbook" w:hAnsi="Century Schoolbook"/>
          <w:bCs/>
        </w:rPr>
        <w:t xml:space="preserve">Family Code section 7540 marital presumption to bar her right to inherit from Cornelious, the Supreme Court explained: “The conclusive presumption of legitimacy </w:t>
      </w:r>
      <w:r w:rsidRPr="00475519" w:rsidR="004672FE">
        <w:rPr>
          <w:rFonts w:ascii="Century Schoolbook" w:hAnsi="Century Schoolbook"/>
          <w:bCs/>
        </w:rPr>
        <w:t xml:space="preserve">. . . </w:t>
      </w:r>
      <w:r w:rsidRPr="00475519">
        <w:rPr>
          <w:rFonts w:ascii="Century Schoolbook" w:hAnsi="Century Schoolbook"/>
          <w:bCs/>
        </w:rPr>
        <w:t xml:space="preserve">is, of course, a rule of substantive law.  [Citation.]  It codifies the principle that when husband and wife are living together as such, the integrity of the family should not be impugned.  ‘The husband is deemed responsible for his wife’s child if it is conceived while they are cohabiting; he is the </w:t>
      </w:r>
      <w:r w:rsidRPr="00475519">
        <w:rPr>
          <w:rFonts w:ascii="Century Schoolbook" w:hAnsi="Century Schoolbook"/>
          <w:bCs/>
          <w:i/>
          <w:iCs/>
        </w:rPr>
        <w:t>legal</w:t>
      </w:r>
      <w:r w:rsidRPr="00475519">
        <w:rPr>
          <w:rFonts w:ascii="Century Schoolbook" w:hAnsi="Century Schoolbook"/>
          <w:bCs/>
        </w:rPr>
        <w:t xml:space="preserve"> father and the issue of biological paternity is irrelevant.’  [Citation.]</w:t>
      </w:r>
      <w:r w:rsidRPr="00475519" w:rsidR="00822718">
        <w:rPr>
          <w:rFonts w:ascii="Century Schoolbook" w:hAnsi="Century Schoolbook"/>
          <w:bCs/>
        </w:rPr>
        <w:t xml:space="preserve">”  </w:t>
      </w:r>
      <w:r w:rsidRPr="00475519" w:rsidR="00CB4EE9">
        <w:rPr>
          <w:rFonts w:ascii="Century Schoolbook" w:hAnsi="Century Schoolbook"/>
          <w:bCs/>
        </w:rPr>
        <w:t>(</w:t>
      </w:r>
      <w:r w:rsidRPr="00475519" w:rsidR="00CB4EE9">
        <w:rPr>
          <w:rFonts w:ascii="Century Schoolbook" w:hAnsi="Century Schoolbook"/>
          <w:bCs/>
          <w:i/>
          <w:iCs/>
        </w:rPr>
        <w:t>Cornelious</w:t>
      </w:r>
      <w:r w:rsidRPr="00475519" w:rsidR="00CB4EE9">
        <w:rPr>
          <w:rFonts w:ascii="Century Schoolbook" w:hAnsi="Century Schoolbook"/>
          <w:bCs/>
        </w:rPr>
        <w:t xml:space="preserve">, </w:t>
      </w:r>
      <w:r w:rsidRPr="00475519" w:rsidR="00CB4EE9">
        <w:rPr>
          <w:rFonts w:ascii="Century Schoolbook" w:hAnsi="Century Schoolbook"/>
          <w:bCs/>
          <w:i/>
          <w:iCs/>
        </w:rPr>
        <w:t>supra</w:t>
      </w:r>
      <w:r w:rsidRPr="00475519" w:rsidR="00CB4EE9">
        <w:rPr>
          <w:rFonts w:ascii="Century Schoolbook" w:hAnsi="Century Schoolbook"/>
          <w:bCs/>
        </w:rPr>
        <w:t xml:space="preserve">, 35 Cal.3d at pp. 464–465.)  </w:t>
      </w:r>
      <w:r w:rsidRPr="00475519" w:rsidR="00822718">
        <w:rPr>
          <w:rFonts w:ascii="Century Schoolbook" w:hAnsi="Century Schoolbook"/>
          <w:bCs/>
        </w:rPr>
        <w:t xml:space="preserve">The Supreme Court noted </w:t>
      </w:r>
      <w:r w:rsidRPr="00475519">
        <w:rPr>
          <w:rFonts w:ascii="Century Schoolbook" w:hAnsi="Century Schoolbook"/>
          <w:bCs/>
        </w:rPr>
        <w:t>social policies</w:t>
      </w:r>
      <w:r w:rsidRPr="00475519" w:rsidR="00822718">
        <w:rPr>
          <w:rFonts w:ascii="Century Schoolbook" w:hAnsi="Century Schoolbook"/>
          <w:bCs/>
        </w:rPr>
        <w:t xml:space="preserve"> promoted by the presumption, including </w:t>
      </w:r>
      <w:r w:rsidRPr="00475519">
        <w:rPr>
          <w:rFonts w:ascii="Century Schoolbook" w:hAnsi="Century Schoolbook"/>
          <w:bCs/>
        </w:rPr>
        <w:t>the integrity of the family</w:t>
      </w:r>
      <w:r w:rsidRPr="00475519" w:rsidR="00822718">
        <w:rPr>
          <w:rFonts w:ascii="Century Schoolbook" w:hAnsi="Century Schoolbook"/>
          <w:bCs/>
        </w:rPr>
        <w:t xml:space="preserve"> and the stability of inheritance.  </w:t>
      </w:r>
      <w:r w:rsidRPr="00475519">
        <w:rPr>
          <w:rFonts w:ascii="Century Schoolbook" w:hAnsi="Century Schoolbook"/>
          <w:bCs/>
        </w:rPr>
        <w:t>(</w:t>
      </w:r>
      <w:r w:rsidRPr="00475519" w:rsidR="00CB4EE9">
        <w:rPr>
          <w:rFonts w:ascii="Century Schoolbook" w:hAnsi="Century Schoolbook"/>
          <w:bCs/>
          <w:i/>
          <w:iCs/>
        </w:rPr>
        <w:t>Ibid</w:t>
      </w:r>
      <w:r w:rsidRPr="00475519" w:rsidR="00CB4EE9">
        <w:rPr>
          <w:rFonts w:ascii="Century Schoolbook" w:hAnsi="Century Schoolbook"/>
          <w:bCs/>
        </w:rPr>
        <w:t>.)</w:t>
      </w:r>
    </w:p>
    <w:p w:rsidR="00302C83" w:rsidRPr="00475519" w:rsidP="001E0695" w14:paraId="171FBB46" w14:textId="0E737661">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In weighing Hall’s interest in proving Cornelious was her parent for the purpose of intestate succession against the state’s interest in preventing her from rebutting the Family Code section 7540 marital presumption, the Supreme Court </w:t>
      </w:r>
      <w:r w:rsidRPr="00475519" w:rsidR="00822718">
        <w:rPr>
          <w:rFonts w:ascii="Century Schoolbook" w:hAnsi="Century Schoolbook"/>
          <w:bCs/>
        </w:rPr>
        <w:t>explained as follow</w:t>
      </w:r>
      <w:r w:rsidRPr="00475519" w:rsidR="00DD1CE3">
        <w:rPr>
          <w:rFonts w:ascii="Century Schoolbook" w:hAnsi="Century Schoolbook"/>
          <w:bCs/>
        </w:rPr>
        <w:t>s</w:t>
      </w:r>
      <w:r w:rsidRPr="00475519" w:rsidR="0019766D">
        <w:rPr>
          <w:rFonts w:ascii="Century Schoolbook" w:hAnsi="Century Schoolbook"/>
          <w:bCs/>
        </w:rPr>
        <w:t xml:space="preserve">: </w:t>
      </w:r>
    </w:p>
    <w:p w:rsidR="0019766D" w:rsidRPr="00475519" w:rsidP="00423065" w14:paraId="2C6EBE9F" w14:textId="575C5018">
      <w:pPr>
        <w:shd w:val="clear" w:color="auto" w:fill="FFFFFF"/>
        <w:tabs>
          <w:tab w:val="clear" w:pos="720"/>
        </w:tabs>
        <w:spacing w:line="240" w:lineRule="auto"/>
        <w:ind w:left="720" w:firstLine="720"/>
        <w:textAlignment w:val="baseline"/>
        <w:rPr>
          <w:rFonts w:ascii="Century Schoolbook" w:hAnsi="Century Schoolbook"/>
          <w:bCs/>
        </w:rPr>
      </w:pPr>
      <w:r w:rsidRPr="00475519">
        <w:rPr>
          <w:rFonts w:ascii="Century Schoolbook" w:hAnsi="Century Schoolbook"/>
          <w:bCs/>
        </w:rPr>
        <w:t>“In the present case, [Hall’s] private interests are simply not as weighty as those of putative fathers .</w:t>
      </w:r>
      <w:r w:rsidRPr="00475519" w:rsidR="00343774">
        <w:rPr>
          <w:rFonts w:ascii="Century Schoolbook" w:hAnsi="Century Schoolbook"/>
          <w:bCs/>
        </w:rPr>
        <w:t> </w:t>
      </w:r>
      <w:r w:rsidRPr="00475519">
        <w:rPr>
          <w:rFonts w:ascii="Century Schoolbook" w:hAnsi="Century Schoolbook"/>
          <w:bCs/>
        </w:rPr>
        <w:t>.</w:t>
      </w:r>
      <w:r w:rsidRPr="00475519" w:rsidR="00343774">
        <w:rPr>
          <w:rFonts w:ascii="Century Schoolbook" w:hAnsi="Century Schoolbook"/>
          <w:bCs/>
        </w:rPr>
        <w:t> </w:t>
      </w:r>
      <w:r w:rsidRPr="00475519">
        <w:rPr>
          <w:rFonts w:ascii="Century Schoolbook" w:hAnsi="Century Schoolbook"/>
          <w:bCs/>
        </w:rPr>
        <w:t xml:space="preserve">. who [seek] to care for and nurture their own children.  Here, the alleged natural father is dead so </w:t>
      </w:r>
      <w:r w:rsidRPr="00475519" w:rsidR="004672FE">
        <w:rPr>
          <w:rFonts w:ascii="Century Schoolbook" w:hAnsi="Century Schoolbook"/>
          <w:bCs/>
        </w:rPr>
        <w:t xml:space="preserve">that </w:t>
      </w:r>
      <w:r w:rsidRPr="00475519">
        <w:rPr>
          <w:rFonts w:ascii="Century Schoolbook" w:hAnsi="Century Schoolbook"/>
          <w:bCs/>
        </w:rPr>
        <w:t>there is no possibility of an ongoing relationship.  All [Hall] can hope to gain is the right to inherit [Cornelious’] estate, an interest of a lower order which, of cour</w:t>
      </w:r>
      <w:r w:rsidRPr="00475519" w:rsidR="00945C35">
        <w:rPr>
          <w:rFonts w:ascii="Century Schoolbook" w:hAnsi="Century Schoolbook"/>
          <w:bCs/>
        </w:rPr>
        <w:t>se</w:t>
      </w:r>
      <w:r w:rsidRPr="00475519">
        <w:rPr>
          <w:rFonts w:ascii="Century Schoolbook" w:hAnsi="Century Schoolbook"/>
          <w:bCs/>
        </w:rPr>
        <w:t>, is pitted against the competing interests of [Cornelious’] sisters.  [</w:t>
      </w:r>
      <w:r w:rsidRPr="00475519" w:rsidR="00343774">
        <w:rPr>
          <w:rFonts w:ascii="Century Schoolbook" w:hAnsi="Century Schoolbook"/>
          <w:bCs/>
        </w:rPr>
        <w:t>¶</w:t>
      </w:r>
      <w:r w:rsidRPr="00475519">
        <w:rPr>
          <w:rFonts w:ascii="Century Schoolbook" w:hAnsi="Century Schoolbook"/>
          <w:bCs/>
        </w:rPr>
        <w:t>] The state’s interests, by contrast</w:t>
      </w:r>
      <w:r w:rsidRPr="00475519" w:rsidR="004672FE">
        <w:rPr>
          <w:rFonts w:ascii="Century Schoolbook" w:hAnsi="Century Schoolbook"/>
          <w:bCs/>
        </w:rPr>
        <w:t>,</w:t>
      </w:r>
      <w:r w:rsidRPr="00475519">
        <w:rPr>
          <w:rFonts w:ascii="Century Schoolbook" w:hAnsi="Century Schoolbook"/>
          <w:bCs/>
        </w:rPr>
        <w:t xml:space="preserve"> are substantial.  The policies promoted by the conclusive presumption of </w:t>
      </w:r>
      <w:r w:rsidR="000A297F">
        <w:rPr>
          <w:rFonts w:ascii="Century Schoolbook" w:hAnsi="Century Schoolbook"/>
          <w:bCs/>
        </w:rPr>
        <w:t>legitimacy</w:t>
      </w:r>
      <w:r w:rsidRPr="00475519">
        <w:rPr>
          <w:rFonts w:ascii="Century Schoolbook" w:hAnsi="Century Schoolbook"/>
          <w:bCs/>
        </w:rPr>
        <w:t xml:space="preserve"> are well-served by its application here.  The familial relationship </w:t>
      </w:r>
      <w:r w:rsidRPr="00475519" w:rsidR="00343774">
        <w:rPr>
          <w:rFonts w:ascii="Century Schoolbook" w:hAnsi="Century Schoolbook"/>
          <w:bCs/>
        </w:rPr>
        <w:t>[Hall] had with David Fuller was far more palpable than the biological relationship she had with Willis Cornelious.  [Hall] was reared and supported by</w:t>
      </w:r>
      <w:r w:rsidRPr="00475519" w:rsidR="0021563A">
        <w:rPr>
          <w:rFonts w:ascii="Century Schoolbook" w:hAnsi="Century Schoolbook"/>
          <w:bCs/>
        </w:rPr>
        <w:t xml:space="preserve"> David [</w:t>
      </w:r>
      <w:r w:rsidRPr="00475519" w:rsidR="00343774">
        <w:rPr>
          <w:rFonts w:ascii="Century Schoolbook" w:hAnsi="Century Schoolbook"/>
          <w:bCs/>
        </w:rPr>
        <w:t>Fuller], who was named as her father on her birth certificate.  He was never told of the present proceeding, and he died thinking he was [Hall’s] father.  Now, after 27 years as the daughter of David Fuller, [Hall] seeks to establish that another man was her father, and she does so not for filial piety but solely for financial considerations.  Her equities are simply not in the same</w:t>
      </w:r>
      <w:r w:rsidRPr="00475519" w:rsidR="00423065">
        <w:rPr>
          <w:rFonts w:ascii="Century Schoolbook" w:hAnsi="Century Schoolbook"/>
          <w:bCs/>
        </w:rPr>
        <w:t xml:space="preserve"> class</w:t>
      </w:r>
      <w:r w:rsidRPr="00475519" w:rsidR="00343774">
        <w:rPr>
          <w:rFonts w:ascii="Century Schoolbook" w:hAnsi="Century Schoolbook"/>
          <w:bCs/>
        </w:rPr>
        <w:t xml:space="preserve"> as those of [putative fathers who seek to care and nurture their own children].  The due process clause does not compel a holding equating the natural urge to look after one’s flesh and blood with the equally natural, but somewhat baser, impulse to take care of property one’s biological father has failed to dispose of by will.  In sum, [Hall] has failed to advance a reason why the Constitution demands that the legislative judgment concerning her parentage should be voided.”  (</w:t>
      </w:r>
      <w:r w:rsidRPr="00475519" w:rsidR="00343774">
        <w:rPr>
          <w:rFonts w:ascii="Century Schoolbook" w:hAnsi="Century Schoolbook"/>
          <w:bCs/>
          <w:i/>
          <w:iCs/>
        </w:rPr>
        <w:t>Cornelious</w:t>
      </w:r>
      <w:r w:rsidRPr="00475519" w:rsidR="00343774">
        <w:rPr>
          <w:rFonts w:ascii="Century Schoolbook" w:hAnsi="Century Schoolbook"/>
          <w:bCs/>
        </w:rPr>
        <w:t xml:space="preserve">, </w:t>
      </w:r>
      <w:r w:rsidRPr="00475519" w:rsidR="00343774">
        <w:rPr>
          <w:rFonts w:ascii="Century Schoolbook" w:hAnsi="Century Schoolbook"/>
          <w:bCs/>
          <w:i/>
          <w:iCs/>
        </w:rPr>
        <w:t>supra</w:t>
      </w:r>
      <w:r w:rsidRPr="00475519" w:rsidR="00343774">
        <w:rPr>
          <w:rFonts w:ascii="Century Schoolbook" w:hAnsi="Century Schoolbook"/>
          <w:bCs/>
        </w:rPr>
        <w:t xml:space="preserve">, </w:t>
      </w:r>
      <w:r w:rsidRPr="00475519" w:rsidR="00CB4EE9">
        <w:rPr>
          <w:rFonts w:ascii="Century Schoolbook" w:hAnsi="Century Schoolbook"/>
          <w:bCs/>
        </w:rPr>
        <w:t xml:space="preserve">35 Cal. 3d </w:t>
      </w:r>
      <w:r w:rsidRPr="00475519" w:rsidR="00343774">
        <w:rPr>
          <w:rFonts w:ascii="Century Schoolbook" w:hAnsi="Century Schoolbook"/>
          <w:bCs/>
        </w:rPr>
        <w:t xml:space="preserve">at p. 467.)  </w:t>
      </w:r>
    </w:p>
    <w:p w:rsidR="00423065" w:rsidRPr="00475519" w:rsidP="00423065" w14:paraId="6FA6A448" w14:textId="77777777">
      <w:pPr>
        <w:shd w:val="clear" w:color="auto" w:fill="FFFFFF"/>
        <w:tabs>
          <w:tab w:val="clear" w:pos="720"/>
        </w:tabs>
        <w:spacing w:line="240" w:lineRule="auto"/>
        <w:ind w:firstLine="720"/>
        <w:textAlignment w:val="baseline"/>
        <w:rPr>
          <w:rFonts w:ascii="Century Schoolbook" w:hAnsi="Century Schoolbook"/>
          <w:bCs/>
        </w:rPr>
      </w:pPr>
    </w:p>
    <w:p w:rsidR="00945C35" w:rsidRPr="00475519" w:rsidP="00423065" w14:paraId="2BA95B21" w14:textId="7C8E16E2">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W</w:t>
      </w:r>
      <w:r w:rsidRPr="00475519" w:rsidR="001E0695">
        <w:rPr>
          <w:rFonts w:ascii="Century Schoolbook" w:hAnsi="Century Schoolbook"/>
          <w:bCs/>
        </w:rPr>
        <w:t xml:space="preserve">e find unavailing Bertuccio’s arguments that </w:t>
      </w:r>
      <w:r w:rsidRPr="00475519" w:rsidR="001E0695">
        <w:rPr>
          <w:rFonts w:ascii="Century Schoolbook" w:hAnsi="Century Schoolbook"/>
          <w:bCs/>
          <w:i/>
          <w:iCs/>
        </w:rPr>
        <w:t>Cornelious</w:t>
      </w:r>
      <w:r w:rsidRPr="00475519" w:rsidR="001E0695">
        <w:rPr>
          <w:rFonts w:ascii="Century Schoolbook" w:hAnsi="Century Schoolbook"/>
          <w:bCs/>
        </w:rPr>
        <w:t xml:space="preserve"> should not be followed</w:t>
      </w:r>
      <w:r w:rsidRPr="00475519">
        <w:rPr>
          <w:rFonts w:ascii="Century Schoolbook" w:hAnsi="Century Schoolbook"/>
          <w:bCs/>
        </w:rPr>
        <w:t xml:space="preserve"> because </w:t>
      </w:r>
      <w:r w:rsidRPr="00475519" w:rsidR="00822718">
        <w:rPr>
          <w:rFonts w:ascii="Century Schoolbook" w:hAnsi="Century Schoolbook"/>
          <w:bCs/>
        </w:rPr>
        <w:t>of</w:t>
      </w:r>
      <w:r w:rsidRPr="00475519">
        <w:rPr>
          <w:rFonts w:ascii="Century Schoolbook" w:hAnsi="Century Schoolbook"/>
          <w:bCs/>
        </w:rPr>
        <w:t xml:space="preserve"> changes </w:t>
      </w:r>
      <w:r w:rsidRPr="00475519" w:rsidR="00822718">
        <w:rPr>
          <w:rFonts w:ascii="Century Schoolbook" w:hAnsi="Century Schoolbook"/>
          <w:bCs/>
        </w:rPr>
        <w:t>to</w:t>
      </w:r>
      <w:r w:rsidRPr="00475519">
        <w:rPr>
          <w:rFonts w:ascii="Century Schoolbook" w:hAnsi="Century Schoolbook"/>
          <w:bCs/>
        </w:rPr>
        <w:t xml:space="preserve"> the Probate Code and Family Code and </w:t>
      </w:r>
      <w:r w:rsidRPr="00475519" w:rsidR="00BC4028">
        <w:rPr>
          <w:rFonts w:ascii="Century Schoolbook" w:hAnsi="Century Schoolbook"/>
          <w:bCs/>
        </w:rPr>
        <w:t>because</w:t>
      </w:r>
      <w:r w:rsidRPr="00475519" w:rsidR="00822718">
        <w:rPr>
          <w:rFonts w:ascii="Century Schoolbook" w:hAnsi="Century Schoolbook"/>
          <w:bCs/>
        </w:rPr>
        <w:t xml:space="preserve"> </w:t>
      </w:r>
      <w:r w:rsidRPr="00475519">
        <w:rPr>
          <w:rFonts w:ascii="Century Schoolbook" w:hAnsi="Century Schoolbook"/>
          <w:bCs/>
        </w:rPr>
        <w:t xml:space="preserve">“the policy considerations in </w:t>
      </w:r>
      <w:r w:rsidRPr="00475519">
        <w:rPr>
          <w:rFonts w:ascii="Century Schoolbook" w:hAnsi="Century Schoolbook"/>
          <w:bCs/>
          <w:i/>
          <w:iCs/>
        </w:rPr>
        <w:t>Cornelious</w:t>
      </w:r>
      <w:r w:rsidRPr="00475519">
        <w:rPr>
          <w:rFonts w:ascii="Century Schoolbook" w:hAnsi="Century Schoolbook"/>
          <w:bCs/>
        </w:rPr>
        <w:t xml:space="preserve"> have become moot</w:t>
      </w:r>
      <w:r w:rsidRPr="00475519" w:rsidR="001E0695">
        <w:rPr>
          <w:rFonts w:ascii="Century Schoolbook" w:hAnsi="Century Schoolbook"/>
          <w:bCs/>
        </w:rPr>
        <w:t>.</w:t>
      </w:r>
      <w:r w:rsidRPr="00475519">
        <w:rPr>
          <w:rFonts w:ascii="Century Schoolbook" w:hAnsi="Century Schoolbook"/>
          <w:bCs/>
        </w:rPr>
        <w:t>”</w:t>
      </w:r>
      <w:r w:rsidRPr="00475519" w:rsidR="001E0695">
        <w:rPr>
          <w:rFonts w:ascii="Century Schoolbook" w:hAnsi="Century Schoolbook"/>
          <w:bCs/>
        </w:rPr>
        <w:t xml:space="preserve"> </w:t>
      </w:r>
    </w:p>
    <w:p w:rsidR="001E0695" w:rsidRPr="00475519" w:rsidP="00423065" w14:paraId="6C9A2EDF" w14:textId="4E5D777C">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We start with the well settled maxim that as an intermediate appellate court we are bound to follow the decisions of our Supreme Court.  (See </w:t>
      </w:r>
      <w:r w:rsidRPr="00475519">
        <w:rPr>
          <w:rFonts w:ascii="Century Schoolbook" w:hAnsi="Century Schoolbook"/>
          <w:bCs/>
          <w:i/>
          <w:iCs/>
        </w:rPr>
        <w:t>Auto Equity Sales, Inc. v. Superior Court</w:t>
      </w:r>
      <w:r w:rsidRPr="00475519">
        <w:rPr>
          <w:rFonts w:ascii="Century Schoolbook" w:hAnsi="Century Schoolbook"/>
          <w:bCs/>
        </w:rPr>
        <w:t xml:space="preserve"> (1962) 57 Cal.2d 450, 455 [California Supreme Court decisions “are binding upon and must be followed by all the state courts of California”].</w:t>
      </w:r>
      <w:r w:rsidRPr="00475519" w:rsidR="0026786C">
        <w:rPr>
          <w:rFonts w:ascii="Century Schoolbook" w:hAnsi="Century Schoolbook"/>
          <w:bCs/>
        </w:rPr>
        <w:t xml:space="preserve">) </w:t>
      </w:r>
      <w:r w:rsidR="000A297F">
        <w:rPr>
          <w:rFonts w:ascii="Century Schoolbook" w:hAnsi="Century Schoolbook"/>
          <w:bCs/>
        </w:rPr>
        <w:t xml:space="preserve"> A year </w:t>
      </w:r>
      <w:r w:rsidRPr="00475519" w:rsidR="007421E7">
        <w:rPr>
          <w:rFonts w:ascii="Century Schoolbook" w:hAnsi="Century Schoolbook"/>
          <w:bCs/>
        </w:rPr>
        <w:t xml:space="preserve">after </w:t>
      </w:r>
      <w:r w:rsidRPr="00475519" w:rsidR="007421E7">
        <w:rPr>
          <w:rFonts w:ascii="Century Schoolbook" w:hAnsi="Century Schoolbook"/>
          <w:bCs/>
          <w:i/>
          <w:iCs/>
        </w:rPr>
        <w:t>Cornelious</w:t>
      </w:r>
      <w:r w:rsidRPr="00475519" w:rsidR="007421E7">
        <w:rPr>
          <w:rFonts w:ascii="Century Schoolbook" w:hAnsi="Century Schoolbook"/>
          <w:bCs/>
        </w:rPr>
        <w:t xml:space="preserve"> was decided, the Legislature’s 1983 amendments to the Probate Code became effective January 1, 1985</w:t>
      </w:r>
      <w:r w:rsidRPr="00475519" w:rsidR="00650E6B">
        <w:rPr>
          <w:rFonts w:ascii="Century Schoolbook" w:hAnsi="Century Schoolbook"/>
          <w:bCs/>
        </w:rPr>
        <w:t xml:space="preserve"> (Stats.</w:t>
      </w:r>
      <w:r w:rsidRPr="00475519" w:rsidR="008C1AC4">
        <w:rPr>
          <w:rFonts w:ascii="Century Schoolbook" w:hAnsi="Century Schoolbook"/>
          <w:bCs/>
        </w:rPr>
        <w:t> </w:t>
      </w:r>
      <w:r w:rsidRPr="00475519" w:rsidR="00650E6B">
        <w:rPr>
          <w:rFonts w:ascii="Century Schoolbook" w:hAnsi="Century Schoolbook"/>
          <w:bCs/>
        </w:rPr>
        <w:t>1983, ch.</w:t>
      </w:r>
      <w:r w:rsidRPr="00475519" w:rsidR="008C1AC4">
        <w:rPr>
          <w:rFonts w:ascii="Century Schoolbook" w:hAnsi="Century Schoolbook"/>
          <w:bCs/>
        </w:rPr>
        <w:t> </w:t>
      </w:r>
      <w:r w:rsidRPr="00475519" w:rsidR="00650E6B">
        <w:rPr>
          <w:rFonts w:ascii="Century Schoolbook" w:hAnsi="Century Schoolbook"/>
          <w:bCs/>
        </w:rPr>
        <w:t>842, §</w:t>
      </w:r>
      <w:r w:rsidR="000A297F">
        <w:rPr>
          <w:rFonts w:ascii="Century Schoolbook" w:hAnsi="Century Schoolbook"/>
          <w:bCs/>
        </w:rPr>
        <w:t>§</w:t>
      </w:r>
      <w:r w:rsidRPr="00475519" w:rsidR="00650E6B">
        <w:rPr>
          <w:rFonts w:ascii="Century Schoolbook" w:hAnsi="Century Schoolbook"/>
          <w:bCs/>
        </w:rPr>
        <w:t> 55</w:t>
      </w:r>
      <w:r w:rsidR="000A297F">
        <w:rPr>
          <w:rFonts w:ascii="Century Schoolbook" w:hAnsi="Century Schoolbook"/>
          <w:bCs/>
        </w:rPr>
        <w:t>, 58</w:t>
      </w:r>
      <w:r w:rsidRPr="00475519" w:rsidR="00650E6B">
        <w:rPr>
          <w:rFonts w:ascii="Century Schoolbook" w:hAnsi="Century Schoolbook"/>
          <w:bCs/>
        </w:rPr>
        <w:t>)</w:t>
      </w:r>
      <w:r w:rsidRPr="00475519" w:rsidR="007421E7">
        <w:rPr>
          <w:rFonts w:ascii="Century Schoolbook" w:hAnsi="Century Schoolbook"/>
          <w:bCs/>
        </w:rPr>
        <w:t xml:space="preserve">, yet our high court </w:t>
      </w:r>
      <w:r w:rsidRPr="00475519" w:rsidR="00650E6B">
        <w:rPr>
          <w:rFonts w:ascii="Century Schoolbook" w:hAnsi="Century Schoolbook"/>
          <w:bCs/>
        </w:rPr>
        <w:t xml:space="preserve">later </w:t>
      </w:r>
      <w:r w:rsidRPr="00475519" w:rsidR="007421E7">
        <w:rPr>
          <w:rFonts w:ascii="Century Schoolbook" w:hAnsi="Century Schoolbook"/>
          <w:bCs/>
        </w:rPr>
        <w:t xml:space="preserve">cited </w:t>
      </w:r>
      <w:r w:rsidRPr="00475519" w:rsidR="007421E7">
        <w:rPr>
          <w:rFonts w:ascii="Century Schoolbook" w:hAnsi="Century Schoolbook"/>
          <w:bCs/>
          <w:i/>
          <w:iCs/>
        </w:rPr>
        <w:t>Corneliou</w:t>
      </w:r>
      <w:r w:rsidRPr="00475519" w:rsidR="00CE3CAC">
        <w:rPr>
          <w:rFonts w:ascii="Century Schoolbook" w:hAnsi="Century Schoolbook"/>
          <w:bCs/>
          <w:i/>
          <w:iCs/>
        </w:rPr>
        <w:t xml:space="preserve">s </w:t>
      </w:r>
      <w:r w:rsidRPr="00475519" w:rsidR="007421E7">
        <w:rPr>
          <w:rFonts w:ascii="Century Schoolbook" w:hAnsi="Century Schoolbook"/>
          <w:bCs/>
        </w:rPr>
        <w:t xml:space="preserve">with approval in </w:t>
      </w:r>
      <w:r w:rsidRPr="00475519" w:rsidR="007421E7">
        <w:rPr>
          <w:rFonts w:ascii="Century Schoolbook" w:hAnsi="Century Schoolbook"/>
          <w:bCs/>
          <w:i/>
          <w:iCs/>
        </w:rPr>
        <w:t>Michelle W. v. Ronald W</w:t>
      </w:r>
      <w:r w:rsidRPr="00475519" w:rsidR="007421E7">
        <w:rPr>
          <w:rFonts w:ascii="Century Schoolbook" w:hAnsi="Century Schoolbook"/>
          <w:bCs/>
        </w:rPr>
        <w:t>. (1985) 39 Cal.3d 354</w:t>
      </w:r>
      <w:r w:rsidRPr="00475519" w:rsidR="00650E6B">
        <w:rPr>
          <w:rFonts w:ascii="Century Schoolbook" w:hAnsi="Century Schoolbook"/>
          <w:bCs/>
        </w:rPr>
        <w:t xml:space="preserve"> (</w:t>
      </w:r>
      <w:r w:rsidRPr="00475519" w:rsidR="00650E6B">
        <w:rPr>
          <w:rFonts w:ascii="Century Schoolbook" w:hAnsi="Century Schoolbook"/>
          <w:bCs/>
          <w:i/>
          <w:iCs/>
        </w:rPr>
        <w:t>Michelle W</w:t>
      </w:r>
      <w:r w:rsidRPr="00475519" w:rsidR="00650E6B">
        <w:rPr>
          <w:rFonts w:ascii="Century Schoolbook" w:hAnsi="Century Schoolbook"/>
          <w:bCs/>
        </w:rPr>
        <w:t>.)</w:t>
      </w:r>
      <w:r w:rsidRPr="00475519" w:rsidR="007421E7">
        <w:rPr>
          <w:rFonts w:ascii="Century Schoolbook" w:hAnsi="Century Schoolbook"/>
          <w:bCs/>
        </w:rPr>
        <w:t xml:space="preserve">:  </w:t>
      </w:r>
      <w:r w:rsidRPr="00475519" w:rsidR="0026786C">
        <w:rPr>
          <w:rFonts w:ascii="Century Schoolbook" w:hAnsi="Century Schoolbook"/>
          <w:bCs/>
        </w:rPr>
        <w:t>“</w:t>
      </w:r>
      <w:r w:rsidRPr="00475519" w:rsidR="007421E7">
        <w:rPr>
          <w:rFonts w:ascii="Century Schoolbook" w:hAnsi="Century Schoolbook"/>
          <w:bCs/>
        </w:rPr>
        <w:t>In</w:t>
      </w:r>
      <w:r w:rsidRPr="00475519" w:rsidR="0026786C">
        <w:rPr>
          <w:rFonts w:ascii="Century Schoolbook" w:hAnsi="Century Schoolbook"/>
          <w:bCs/>
        </w:rPr>
        <w:t xml:space="preserve"> </w:t>
      </w:r>
      <w:r w:rsidRPr="00475519" w:rsidR="0026786C">
        <w:rPr>
          <w:rFonts w:ascii="Century Schoolbook" w:hAnsi="Century Schoolbook"/>
          <w:bCs/>
          <w:i/>
          <w:iCs/>
        </w:rPr>
        <w:t>Estate of Cornelious</w:t>
      </w:r>
      <w:r w:rsidRPr="00475519" w:rsidR="0026786C">
        <w:rPr>
          <w:rFonts w:ascii="Century Schoolbook" w:hAnsi="Century Schoolbook"/>
          <w:bCs/>
        </w:rPr>
        <w:t xml:space="preserve">, </w:t>
      </w:r>
      <w:r w:rsidRPr="00475519" w:rsidR="0026786C">
        <w:rPr>
          <w:rFonts w:ascii="Century Schoolbook" w:hAnsi="Century Schoolbook"/>
          <w:bCs/>
          <w:i/>
          <w:iCs/>
        </w:rPr>
        <w:t>supra</w:t>
      </w:r>
      <w:r w:rsidRPr="00475519" w:rsidR="0026786C">
        <w:rPr>
          <w:rFonts w:ascii="Century Schoolbook" w:hAnsi="Century Schoolbook"/>
          <w:bCs/>
        </w:rPr>
        <w:t>, 35 Cal.3d 461, we held that the guarantee of due process of law was not offended when a child was precluded from proving paternity by operation of [Evid. Code former] section 621 [now Fam. Code, § 7540, subd. (a)]</w:t>
      </w:r>
      <w:r w:rsidRPr="00475519" w:rsidR="00650E6B">
        <w:rPr>
          <w:rFonts w:ascii="Century Schoolbook" w:hAnsi="Century Schoolbook"/>
          <w:bCs/>
        </w:rPr>
        <w:t>.”  (</w:t>
      </w:r>
      <w:r w:rsidRPr="00475519" w:rsidR="00650E6B">
        <w:rPr>
          <w:rFonts w:ascii="Century Schoolbook" w:hAnsi="Century Schoolbook"/>
          <w:bCs/>
          <w:i/>
          <w:iCs/>
        </w:rPr>
        <w:t>Michelle W</w:t>
      </w:r>
      <w:r w:rsidRPr="00475519" w:rsidR="00650E6B">
        <w:rPr>
          <w:rFonts w:ascii="Century Schoolbook" w:hAnsi="Century Schoolbook"/>
          <w:bCs/>
        </w:rPr>
        <w:t xml:space="preserve">., </w:t>
      </w:r>
      <w:r w:rsidRPr="00475519" w:rsidR="00650E6B">
        <w:rPr>
          <w:rFonts w:ascii="Century Schoolbook" w:hAnsi="Century Schoolbook"/>
          <w:bCs/>
          <w:i/>
          <w:iCs/>
        </w:rPr>
        <w:t>supra</w:t>
      </w:r>
      <w:r w:rsidRPr="00475519" w:rsidR="00650E6B">
        <w:rPr>
          <w:rFonts w:ascii="Century Schoolbook" w:hAnsi="Century Schoolbook"/>
          <w:bCs/>
        </w:rPr>
        <w:t xml:space="preserve">, at p. 363.)  </w:t>
      </w:r>
      <w:r w:rsidRPr="00475519" w:rsidR="007421E7">
        <w:rPr>
          <w:rFonts w:ascii="Century Schoolbook" w:hAnsi="Century Schoolbook"/>
          <w:bCs/>
        </w:rPr>
        <w:t>And, over the years, intermediate appellate court</w:t>
      </w:r>
      <w:r w:rsidRPr="00475519" w:rsidR="00D03AA9">
        <w:rPr>
          <w:rFonts w:ascii="Century Schoolbook" w:hAnsi="Century Schoolbook"/>
          <w:bCs/>
        </w:rPr>
        <w:t>s</w:t>
      </w:r>
      <w:r w:rsidRPr="00475519" w:rsidR="007421E7">
        <w:rPr>
          <w:rFonts w:ascii="Century Schoolbook" w:hAnsi="Century Schoolbook"/>
          <w:bCs/>
        </w:rPr>
        <w:t xml:space="preserve"> ha</w:t>
      </w:r>
      <w:r w:rsidRPr="00475519" w:rsidR="00D03AA9">
        <w:rPr>
          <w:rFonts w:ascii="Century Schoolbook" w:hAnsi="Century Schoolbook"/>
          <w:bCs/>
        </w:rPr>
        <w:t>ve</w:t>
      </w:r>
      <w:r w:rsidRPr="00475519" w:rsidR="007421E7">
        <w:rPr>
          <w:rFonts w:ascii="Century Schoolbook" w:hAnsi="Century Schoolbook"/>
          <w:bCs/>
        </w:rPr>
        <w:t xml:space="preserve"> recognized the continued validity of </w:t>
      </w:r>
      <w:r w:rsidRPr="00475519" w:rsidR="007421E7">
        <w:rPr>
          <w:rFonts w:ascii="Century Schoolbook" w:hAnsi="Century Schoolbook"/>
          <w:bCs/>
          <w:i/>
          <w:iCs/>
        </w:rPr>
        <w:t>Cornelius</w:t>
      </w:r>
      <w:r w:rsidRPr="00475519" w:rsidR="007421E7">
        <w:rPr>
          <w:rFonts w:ascii="Century Schoolbook" w:hAnsi="Century Schoolbook"/>
          <w:bCs/>
        </w:rPr>
        <w:t xml:space="preserve">.  For example, in </w:t>
      </w:r>
      <w:r w:rsidRPr="00475519" w:rsidR="00BB5137">
        <w:rPr>
          <w:rFonts w:ascii="Century Schoolbook" w:hAnsi="Century Schoolbook"/>
          <w:bCs/>
          <w:i/>
          <w:iCs/>
        </w:rPr>
        <w:t>Estate of Carter</w:t>
      </w:r>
      <w:r w:rsidRPr="00475519" w:rsidR="00BB5137">
        <w:rPr>
          <w:rFonts w:ascii="Century Schoolbook" w:hAnsi="Century Schoolbook"/>
          <w:bCs/>
        </w:rPr>
        <w:t xml:space="preserve"> (2003) 111 Cal.App.4th 1139</w:t>
      </w:r>
      <w:r w:rsidRPr="00475519" w:rsidR="005E5548">
        <w:rPr>
          <w:rFonts w:ascii="Century Schoolbook" w:hAnsi="Century Schoolbook"/>
          <w:bCs/>
        </w:rPr>
        <w:t xml:space="preserve"> (</w:t>
      </w:r>
      <w:r w:rsidRPr="00475519" w:rsidR="005E5548">
        <w:rPr>
          <w:rFonts w:ascii="Century Schoolbook" w:hAnsi="Century Schoolbook"/>
          <w:bCs/>
          <w:i/>
          <w:iCs/>
        </w:rPr>
        <w:t>Carter</w:t>
      </w:r>
      <w:r w:rsidRPr="00475519" w:rsidR="005E5548">
        <w:rPr>
          <w:rFonts w:ascii="Century Schoolbook" w:hAnsi="Century Schoolbook"/>
          <w:bCs/>
        </w:rPr>
        <w:t>)</w:t>
      </w:r>
      <w:r w:rsidRPr="00475519" w:rsidR="007421E7">
        <w:rPr>
          <w:rFonts w:ascii="Century Schoolbook" w:hAnsi="Century Schoolbook"/>
          <w:bCs/>
        </w:rPr>
        <w:t xml:space="preserve">, in </w:t>
      </w:r>
      <w:r w:rsidRPr="00475519" w:rsidR="00744255">
        <w:rPr>
          <w:rFonts w:ascii="Century Schoolbook" w:hAnsi="Century Schoolbook"/>
          <w:bCs/>
        </w:rPr>
        <w:t xml:space="preserve">determining whether an </w:t>
      </w:r>
      <w:r w:rsidRPr="00475519" w:rsidR="005E5548">
        <w:rPr>
          <w:rFonts w:ascii="Century Schoolbook" w:hAnsi="Century Schoolbook"/>
          <w:bCs/>
        </w:rPr>
        <w:t xml:space="preserve">estate </w:t>
      </w:r>
      <w:r w:rsidRPr="00475519" w:rsidR="00744255">
        <w:rPr>
          <w:rFonts w:ascii="Century Schoolbook" w:hAnsi="Century Schoolbook"/>
          <w:bCs/>
        </w:rPr>
        <w:t xml:space="preserve">administrator </w:t>
      </w:r>
      <w:r w:rsidRPr="00475519" w:rsidR="005E5548">
        <w:rPr>
          <w:rFonts w:ascii="Century Schoolbook" w:hAnsi="Century Schoolbook"/>
          <w:bCs/>
        </w:rPr>
        <w:t xml:space="preserve">was </w:t>
      </w:r>
      <w:r w:rsidRPr="00475519" w:rsidR="00744255">
        <w:rPr>
          <w:rFonts w:ascii="Century Schoolbook" w:hAnsi="Century Schoolbook"/>
          <w:bCs/>
        </w:rPr>
        <w:t xml:space="preserve">required to give notice to potential heirs regarding intestate succession, </w:t>
      </w:r>
      <w:r w:rsidRPr="00475519" w:rsidR="007421E7">
        <w:rPr>
          <w:rFonts w:ascii="Century Schoolbook" w:hAnsi="Century Schoolbook"/>
          <w:bCs/>
        </w:rPr>
        <w:t xml:space="preserve">the appellate court cited </w:t>
      </w:r>
      <w:r w:rsidRPr="00475519" w:rsidR="007421E7">
        <w:rPr>
          <w:rFonts w:ascii="Century Schoolbook" w:hAnsi="Century Schoolbook"/>
          <w:bCs/>
          <w:i/>
          <w:iCs/>
        </w:rPr>
        <w:t>Cornelious</w:t>
      </w:r>
      <w:r w:rsidRPr="00475519" w:rsidR="007421E7">
        <w:rPr>
          <w:rFonts w:ascii="Century Schoolbook" w:hAnsi="Century Schoolbook"/>
          <w:bCs/>
        </w:rPr>
        <w:t xml:space="preserve"> for the proposition that there were situations in which notice was not required due to </w:t>
      </w:r>
      <w:r w:rsidRPr="00475519" w:rsidR="00744255">
        <w:rPr>
          <w:rFonts w:ascii="Century Schoolbook" w:hAnsi="Century Schoolbook"/>
          <w:bCs/>
        </w:rPr>
        <w:t>“bright lines which categorically rule</w:t>
      </w:r>
      <w:r w:rsidRPr="00475519" w:rsidR="007421E7">
        <w:rPr>
          <w:rFonts w:ascii="Century Schoolbook" w:hAnsi="Century Schoolbook"/>
          <w:bCs/>
        </w:rPr>
        <w:t>[d]</w:t>
      </w:r>
      <w:r w:rsidRPr="00475519" w:rsidR="00744255">
        <w:rPr>
          <w:rFonts w:ascii="Century Schoolbook" w:hAnsi="Century Schoolbook"/>
          <w:bCs/>
        </w:rPr>
        <w:t xml:space="preserve"> out</w:t>
      </w:r>
      <w:r w:rsidRPr="00475519" w:rsidR="004672FE">
        <w:rPr>
          <w:rFonts w:ascii="Century Schoolbook" w:hAnsi="Century Schoolbook"/>
          <w:bCs/>
        </w:rPr>
        <w:t>”</w:t>
      </w:r>
      <w:r w:rsidRPr="00475519" w:rsidR="00744255">
        <w:rPr>
          <w:rFonts w:ascii="Century Schoolbook" w:hAnsi="Century Schoolbook"/>
          <w:bCs/>
        </w:rPr>
        <w:t xml:space="preserve"> that a person is a heir, </w:t>
      </w:r>
      <w:r w:rsidRPr="00475519" w:rsidR="0021563A">
        <w:rPr>
          <w:rFonts w:ascii="Century Schoolbook" w:hAnsi="Century Schoolbook"/>
          <w:bCs/>
        </w:rPr>
        <w:t xml:space="preserve">such </w:t>
      </w:r>
      <w:r w:rsidRPr="00475519" w:rsidR="007421E7">
        <w:rPr>
          <w:rFonts w:ascii="Century Schoolbook" w:hAnsi="Century Schoolbook"/>
          <w:bCs/>
        </w:rPr>
        <w:t>as when a potential heir “mus</w:t>
      </w:r>
      <w:r w:rsidRPr="00475519" w:rsidR="00744255">
        <w:rPr>
          <w:rFonts w:ascii="Century Schoolbook" w:hAnsi="Century Schoolbook"/>
          <w:bCs/>
        </w:rPr>
        <w:t xml:space="preserve">t be conclusively presumed to be someone else’s child because [the child] was conceived by a wife at a time when she was </w:t>
      </w:r>
      <w:r w:rsidRPr="00475519" w:rsidR="008209C2">
        <w:rPr>
          <w:rFonts w:ascii="Century Schoolbook" w:hAnsi="Century Schoolbook"/>
          <w:bCs/>
        </w:rPr>
        <w:t xml:space="preserve">cohabiting </w:t>
      </w:r>
      <w:r w:rsidRPr="00475519" w:rsidR="00744255">
        <w:rPr>
          <w:rFonts w:ascii="Century Schoolbook" w:hAnsi="Century Schoolbook"/>
          <w:bCs/>
        </w:rPr>
        <w:t>with her husband</w:t>
      </w:r>
      <w:r w:rsidRPr="00475519" w:rsidR="007421E7">
        <w:rPr>
          <w:rFonts w:ascii="Century Schoolbook" w:hAnsi="Century Schoolbook"/>
          <w:bCs/>
        </w:rPr>
        <w:t>.</w:t>
      </w:r>
      <w:r w:rsidRPr="00475519" w:rsidR="0021563A">
        <w:rPr>
          <w:rFonts w:ascii="Century Schoolbook" w:hAnsi="Century Schoolbook"/>
          <w:bCs/>
        </w:rPr>
        <w:t>”</w:t>
      </w:r>
      <w:r w:rsidRPr="00475519" w:rsidR="007421E7">
        <w:rPr>
          <w:rFonts w:ascii="Century Schoolbook" w:hAnsi="Century Schoolbook"/>
          <w:bCs/>
        </w:rPr>
        <w:t xml:space="preserve">  (</w:t>
      </w:r>
      <w:r w:rsidRPr="00475519" w:rsidR="005E5548">
        <w:rPr>
          <w:rFonts w:ascii="Century Schoolbook" w:hAnsi="Century Schoolbook"/>
          <w:bCs/>
          <w:i/>
          <w:iCs/>
        </w:rPr>
        <w:t>Carter,</w:t>
      </w:r>
      <w:r w:rsidRPr="00475519" w:rsidR="005E5548">
        <w:rPr>
          <w:rFonts w:ascii="Century Schoolbook" w:hAnsi="Century Schoolbook"/>
          <w:bCs/>
        </w:rPr>
        <w:t xml:space="preserve"> </w:t>
      </w:r>
      <w:r w:rsidRPr="00475519" w:rsidR="005E5548">
        <w:rPr>
          <w:rFonts w:ascii="Century Schoolbook" w:hAnsi="Century Schoolbook"/>
          <w:bCs/>
          <w:i/>
          <w:iCs/>
        </w:rPr>
        <w:t>supra</w:t>
      </w:r>
      <w:r w:rsidRPr="00475519" w:rsidR="005E5548">
        <w:rPr>
          <w:rFonts w:ascii="Century Schoolbook" w:hAnsi="Century Schoolbook"/>
          <w:bCs/>
        </w:rPr>
        <w:t xml:space="preserve">, </w:t>
      </w:r>
      <w:r w:rsidRPr="00475519" w:rsidR="007421E7">
        <w:rPr>
          <w:rFonts w:ascii="Century Schoolbook" w:hAnsi="Century Schoolbook"/>
          <w:bCs/>
        </w:rPr>
        <w:t>at pp. 1146</w:t>
      </w:r>
      <w:r w:rsidRPr="00475519" w:rsidR="004672FE">
        <w:rPr>
          <w:rFonts w:ascii="Century Schoolbook" w:hAnsi="Century Schoolbook"/>
          <w:bCs/>
        </w:rPr>
        <w:t>–</w:t>
      </w:r>
      <w:r w:rsidRPr="00475519" w:rsidR="007421E7">
        <w:rPr>
          <w:rFonts w:ascii="Century Schoolbook" w:hAnsi="Century Schoolbook"/>
          <w:bCs/>
        </w:rPr>
        <w:t>1147</w:t>
      </w:r>
      <w:r w:rsidRPr="00475519">
        <w:rPr>
          <w:rFonts w:ascii="Century Schoolbook" w:hAnsi="Century Schoolbook"/>
          <w:bCs/>
        </w:rPr>
        <w:t xml:space="preserve">.)  </w:t>
      </w:r>
    </w:p>
    <w:p w:rsidR="005E5548" w:rsidRPr="00475519" w:rsidP="005E5548" w14:paraId="0577F1E8" w14:textId="24A49F0E">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szCs w:val="26"/>
        </w:rPr>
        <w:t>It is also “</w:t>
      </w:r>
      <w:r w:rsidRPr="00475519" w:rsidR="001E0695">
        <w:rPr>
          <w:rFonts w:ascii="Century Schoolbook" w:hAnsi="Century Schoolbook"/>
          <w:bCs/>
          <w:szCs w:val="26"/>
        </w:rPr>
        <w:t>a basic rule of statutory construction that the Legislature is aware of court opinions existing at the time it amends legislation.”  (</w:t>
      </w:r>
      <w:r w:rsidRPr="00475519" w:rsidR="001E0695">
        <w:rPr>
          <w:rFonts w:ascii="Century Schoolbook" w:hAnsi="Century Schoolbook"/>
          <w:bCs/>
          <w:i/>
          <w:iCs/>
          <w:szCs w:val="26"/>
        </w:rPr>
        <w:t>Estate of Burden</w:t>
      </w:r>
      <w:r w:rsidRPr="00475519" w:rsidR="001E0695">
        <w:rPr>
          <w:rFonts w:ascii="Century Schoolbook" w:hAnsi="Century Schoolbook"/>
          <w:bCs/>
          <w:szCs w:val="26"/>
        </w:rPr>
        <w:t xml:space="preserve"> (2007) 146 Cal.App.4th 1021, 10</w:t>
      </w:r>
      <w:r w:rsidRPr="00475519" w:rsidR="00A61D96">
        <w:rPr>
          <w:rFonts w:ascii="Century Schoolbook" w:hAnsi="Century Schoolbook"/>
          <w:bCs/>
          <w:szCs w:val="26"/>
        </w:rPr>
        <w:t>3</w:t>
      </w:r>
      <w:r w:rsidRPr="00475519" w:rsidR="001E0695">
        <w:rPr>
          <w:rFonts w:ascii="Century Schoolbook" w:hAnsi="Century Schoolbook"/>
          <w:bCs/>
          <w:szCs w:val="26"/>
        </w:rPr>
        <w:t>0</w:t>
      </w:r>
      <w:r w:rsidRPr="00475519" w:rsidR="00CA794F">
        <w:rPr>
          <w:rFonts w:ascii="Century Schoolbook" w:hAnsi="Century Schoolbook"/>
          <w:bCs/>
          <w:szCs w:val="26"/>
        </w:rPr>
        <w:t xml:space="preserve"> (</w:t>
      </w:r>
      <w:r w:rsidRPr="00475519" w:rsidR="00CA794F">
        <w:rPr>
          <w:rFonts w:ascii="Century Schoolbook" w:hAnsi="Century Schoolbook"/>
          <w:bCs/>
          <w:i/>
          <w:iCs/>
          <w:szCs w:val="26"/>
        </w:rPr>
        <w:t>Burden</w:t>
      </w:r>
      <w:r w:rsidRPr="00475519" w:rsidR="00CA794F">
        <w:rPr>
          <w:rFonts w:ascii="Century Schoolbook" w:hAnsi="Century Schoolbook"/>
          <w:bCs/>
          <w:szCs w:val="26"/>
        </w:rPr>
        <w:t>)</w:t>
      </w:r>
      <w:r w:rsidRPr="00475519" w:rsidR="001E0695">
        <w:rPr>
          <w:rFonts w:ascii="Century Schoolbook" w:hAnsi="Century Schoolbook"/>
          <w:bCs/>
          <w:szCs w:val="26"/>
        </w:rPr>
        <w:t xml:space="preserve">.)  Since </w:t>
      </w:r>
      <w:r w:rsidRPr="00475519" w:rsidR="001E0695">
        <w:rPr>
          <w:rFonts w:ascii="Century Schoolbook" w:hAnsi="Century Schoolbook"/>
          <w:bCs/>
          <w:i/>
          <w:iCs/>
          <w:szCs w:val="26"/>
        </w:rPr>
        <w:t>Cornelious</w:t>
      </w:r>
      <w:r w:rsidRPr="00475519" w:rsidR="001E0695">
        <w:rPr>
          <w:rFonts w:ascii="Century Schoolbook" w:hAnsi="Century Schoolbook"/>
          <w:bCs/>
          <w:szCs w:val="26"/>
        </w:rPr>
        <w:t xml:space="preserve"> has been decided, the Legislature has </w:t>
      </w:r>
      <w:r w:rsidRPr="00475519" w:rsidR="007421E7">
        <w:rPr>
          <w:rFonts w:ascii="Century Schoolbook" w:hAnsi="Century Schoolbook"/>
          <w:bCs/>
          <w:szCs w:val="26"/>
        </w:rPr>
        <w:t>not seen fit to</w:t>
      </w:r>
      <w:r w:rsidRPr="00475519" w:rsidR="00D21626">
        <w:rPr>
          <w:rFonts w:ascii="Century Schoolbook" w:hAnsi="Century Schoolbook"/>
          <w:bCs/>
          <w:szCs w:val="26"/>
        </w:rPr>
        <w:t xml:space="preserve"> either</w:t>
      </w:r>
      <w:r w:rsidRPr="00475519" w:rsidR="007421E7">
        <w:rPr>
          <w:rFonts w:ascii="Century Schoolbook" w:hAnsi="Century Schoolbook"/>
          <w:bCs/>
          <w:szCs w:val="26"/>
        </w:rPr>
        <w:t xml:space="preserve"> </w:t>
      </w:r>
      <w:r w:rsidRPr="00475519">
        <w:rPr>
          <w:rFonts w:ascii="Century Schoolbook" w:hAnsi="Century Schoolbook"/>
          <w:bCs/>
          <w:szCs w:val="26"/>
        </w:rPr>
        <w:t xml:space="preserve">explicitly </w:t>
      </w:r>
      <w:r w:rsidRPr="00475519" w:rsidR="007421E7">
        <w:rPr>
          <w:rFonts w:ascii="Century Schoolbook" w:hAnsi="Century Schoolbook"/>
          <w:bCs/>
          <w:szCs w:val="26"/>
        </w:rPr>
        <w:t xml:space="preserve">overrule </w:t>
      </w:r>
      <w:r w:rsidRPr="00475519" w:rsidR="007421E7">
        <w:rPr>
          <w:rFonts w:ascii="Century Schoolbook" w:hAnsi="Century Schoolbook"/>
          <w:bCs/>
          <w:i/>
          <w:iCs/>
          <w:szCs w:val="26"/>
        </w:rPr>
        <w:t>Cornelious</w:t>
      </w:r>
      <w:r w:rsidRPr="00475519" w:rsidR="007421E7">
        <w:rPr>
          <w:rFonts w:ascii="Century Schoolbook" w:hAnsi="Century Schoolbook"/>
          <w:bCs/>
          <w:szCs w:val="26"/>
        </w:rPr>
        <w:t xml:space="preserve"> or </w:t>
      </w:r>
      <w:r w:rsidRPr="00475519">
        <w:rPr>
          <w:rFonts w:ascii="Century Schoolbook" w:hAnsi="Century Schoolbook"/>
          <w:bCs/>
          <w:szCs w:val="26"/>
        </w:rPr>
        <w:t xml:space="preserve">to otherwise call into question its ruling.  Rather, when the Legislature </w:t>
      </w:r>
      <w:r w:rsidRPr="00475519" w:rsidR="0021563A">
        <w:rPr>
          <w:rFonts w:ascii="Century Schoolbook" w:hAnsi="Century Schoolbook"/>
          <w:bCs/>
          <w:szCs w:val="26"/>
        </w:rPr>
        <w:t xml:space="preserve">has </w:t>
      </w:r>
      <w:r w:rsidRPr="00475519" w:rsidR="00D21626">
        <w:rPr>
          <w:rFonts w:ascii="Century Schoolbook" w:hAnsi="Century Schoolbook"/>
          <w:bCs/>
          <w:szCs w:val="26"/>
        </w:rPr>
        <w:t xml:space="preserve">amended the </w:t>
      </w:r>
      <w:r w:rsidRPr="00475519" w:rsidR="001E0695">
        <w:rPr>
          <w:rFonts w:ascii="Century Schoolbook" w:hAnsi="Century Schoolbook"/>
          <w:bCs/>
          <w:szCs w:val="26"/>
        </w:rPr>
        <w:t>Probate Code provisions governing intestate succession</w:t>
      </w:r>
      <w:r w:rsidRPr="00475519">
        <w:rPr>
          <w:rFonts w:ascii="Century Schoolbook" w:hAnsi="Century Schoolbook"/>
          <w:bCs/>
          <w:szCs w:val="26"/>
        </w:rPr>
        <w:t xml:space="preserve"> and the incorporated Family Code provisions it made no substantive changes in the statutory language extant at the time </w:t>
      </w:r>
      <w:r w:rsidRPr="00475519">
        <w:rPr>
          <w:rFonts w:ascii="Century Schoolbook" w:hAnsi="Century Schoolbook"/>
          <w:bCs/>
          <w:i/>
          <w:iCs/>
          <w:szCs w:val="26"/>
        </w:rPr>
        <w:t>Cornelious</w:t>
      </w:r>
      <w:r w:rsidRPr="00475519">
        <w:rPr>
          <w:rFonts w:ascii="Century Schoolbook" w:hAnsi="Century Schoolbook"/>
          <w:bCs/>
          <w:szCs w:val="26"/>
        </w:rPr>
        <w:t xml:space="preserve"> was decided, </w:t>
      </w:r>
      <w:r w:rsidRPr="00475519" w:rsidR="00D21626">
        <w:rPr>
          <w:rFonts w:ascii="Century Schoolbook" w:hAnsi="Century Schoolbook"/>
          <w:bCs/>
          <w:szCs w:val="26"/>
        </w:rPr>
        <w:t xml:space="preserve">thereby </w:t>
      </w:r>
      <w:r w:rsidRPr="00475519" w:rsidR="001E0695">
        <w:rPr>
          <w:rFonts w:ascii="Century Schoolbook" w:hAnsi="Century Schoolbook"/>
          <w:bCs/>
          <w:szCs w:val="26"/>
        </w:rPr>
        <w:t>leaving intact</w:t>
      </w:r>
      <w:r w:rsidRPr="00475519" w:rsidR="0021563A">
        <w:rPr>
          <w:rFonts w:ascii="Century Schoolbook" w:hAnsi="Century Schoolbook"/>
          <w:bCs/>
          <w:szCs w:val="26"/>
        </w:rPr>
        <w:t xml:space="preserve"> the court’s </w:t>
      </w:r>
      <w:r w:rsidRPr="00475519">
        <w:rPr>
          <w:rFonts w:ascii="Century Schoolbook" w:hAnsi="Century Schoolbook"/>
          <w:bCs/>
          <w:szCs w:val="26"/>
        </w:rPr>
        <w:t xml:space="preserve">ruling that </w:t>
      </w:r>
      <w:r w:rsidRPr="00475519" w:rsidR="001E0695">
        <w:rPr>
          <w:rFonts w:ascii="Century Schoolbook" w:hAnsi="Century Schoolbook"/>
          <w:bCs/>
          <w:szCs w:val="26"/>
        </w:rPr>
        <w:t>a child of a marriage under the Family Code section 7540 marital presumption</w:t>
      </w:r>
      <w:r w:rsidRPr="00475519">
        <w:rPr>
          <w:rFonts w:ascii="Century Schoolbook" w:hAnsi="Century Schoolbook"/>
          <w:bCs/>
          <w:szCs w:val="26"/>
        </w:rPr>
        <w:t xml:space="preserve"> </w:t>
      </w:r>
      <w:r w:rsidRPr="00475519" w:rsidR="001E0695">
        <w:rPr>
          <w:rFonts w:ascii="Century Schoolbook" w:hAnsi="Century Schoolbook"/>
          <w:bCs/>
          <w:szCs w:val="26"/>
        </w:rPr>
        <w:t xml:space="preserve">is barred from </w:t>
      </w:r>
      <w:r w:rsidRPr="00475519">
        <w:rPr>
          <w:rFonts w:ascii="Century Schoolbook" w:hAnsi="Century Schoolbook"/>
          <w:bCs/>
          <w:szCs w:val="26"/>
        </w:rPr>
        <w:t xml:space="preserve">proving </w:t>
      </w:r>
      <w:r w:rsidRPr="00475519" w:rsidR="001E0695">
        <w:rPr>
          <w:rFonts w:ascii="Century Schoolbook" w:hAnsi="Century Schoolbook"/>
          <w:bCs/>
          <w:szCs w:val="26"/>
        </w:rPr>
        <w:t>a parent-child relationship with</w:t>
      </w:r>
      <w:r w:rsidRPr="00475519" w:rsidR="00CB4EE9">
        <w:rPr>
          <w:rFonts w:ascii="Century Schoolbook" w:hAnsi="Century Schoolbook"/>
          <w:bCs/>
          <w:szCs w:val="26"/>
        </w:rPr>
        <w:t xml:space="preserve"> a deceased third person</w:t>
      </w:r>
      <w:r w:rsidRPr="00475519" w:rsidR="00B37539">
        <w:rPr>
          <w:rFonts w:ascii="Century Schoolbook" w:hAnsi="Century Schoolbook"/>
          <w:bCs/>
          <w:szCs w:val="26"/>
        </w:rPr>
        <w:t xml:space="preserve"> </w:t>
      </w:r>
      <w:r w:rsidRPr="00475519">
        <w:rPr>
          <w:rFonts w:ascii="Century Schoolbook" w:hAnsi="Century Schoolbook"/>
          <w:bCs/>
          <w:szCs w:val="26"/>
        </w:rPr>
        <w:t>f</w:t>
      </w:r>
      <w:r w:rsidRPr="00475519" w:rsidR="001E0695">
        <w:rPr>
          <w:rFonts w:ascii="Century Schoolbook" w:hAnsi="Century Schoolbook"/>
          <w:bCs/>
          <w:szCs w:val="26"/>
        </w:rPr>
        <w:t xml:space="preserve">or </w:t>
      </w:r>
      <w:r w:rsidRPr="00475519" w:rsidR="007C7B34">
        <w:rPr>
          <w:rFonts w:ascii="Century Schoolbook" w:hAnsi="Century Schoolbook"/>
          <w:bCs/>
          <w:szCs w:val="26"/>
        </w:rPr>
        <w:t xml:space="preserve">purposes of </w:t>
      </w:r>
      <w:r w:rsidRPr="00475519" w:rsidR="00B37539">
        <w:rPr>
          <w:rFonts w:ascii="Century Schoolbook" w:hAnsi="Century Schoolbook"/>
          <w:bCs/>
          <w:szCs w:val="26"/>
        </w:rPr>
        <w:t>inheritance under</w:t>
      </w:r>
      <w:r w:rsidRPr="00475519" w:rsidR="001E0695">
        <w:rPr>
          <w:rFonts w:ascii="Century Schoolbook" w:hAnsi="Century Schoolbook"/>
          <w:bCs/>
          <w:szCs w:val="26"/>
        </w:rPr>
        <w:t xml:space="preserve"> intestate succession.  </w:t>
      </w:r>
      <w:r w:rsidRPr="00475519">
        <w:rPr>
          <w:rFonts w:ascii="Century Schoolbook" w:hAnsi="Century Schoolbook"/>
          <w:bCs/>
        </w:rPr>
        <w:t>“ ‘The failure of the Legislature to change the law in a particular respect when the subject is generally before it and changes in other respects are made is indicative of an intent to leave the law as it stands in the aspects not amended.’ ”  (</w:t>
      </w:r>
      <w:r w:rsidRPr="00475519">
        <w:rPr>
          <w:rFonts w:ascii="Century Schoolbook" w:hAnsi="Century Schoolbook"/>
          <w:bCs/>
          <w:i/>
          <w:iCs/>
        </w:rPr>
        <w:t>Estate of McDill</w:t>
      </w:r>
      <w:r w:rsidRPr="00475519">
        <w:rPr>
          <w:rFonts w:ascii="Century Schoolbook" w:hAnsi="Century Schoolbook"/>
          <w:bCs/>
        </w:rPr>
        <w:t xml:space="preserve"> (1975) 14 Cal.3d 831, 837</w:t>
      </w:r>
      <w:r w:rsidRPr="00475519" w:rsidR="004672FE">
        <w:rPr>
          <w:rFonts w:ascii="Century Schoolbook" w:hAnsi="Century Schoolbook"/>
          <w:bCs/>
        </w:rPr>
        <w:t>–</w:t>
      </w:r>
      <w:r w:rsidRPr="00475519">
        <w:rPr>
          <w:rFonts w:ascii="Century Schoolbook" w:hAnsi="Century Schoolbook"/>
          <w:bCs/>
        </w:rPr>
        <w:t>838.)  And, “the Legislature is deemed to be aware of . . . judicial decisions . . . and to have . . . amended statutes ‘ “in light of such decisions as have a direct bearing upon them.” ’ ”  (</w:t>
      </w:r>
      <w:r w:rsidRPr="00475519">
        <w:rPr>
          <w:rFonts w:ascii="Century Schoolbook" w:hAnsi="Century Schoolbook"/>
          <w:bCs/>
          <w:i/>
          <w:iCs/>
        </w:rPr>
        <w:t>People v. Overstreet</w:t>
      </w:r>
      <w:r w:rsidRPr="00475519">
        <w:rPr>
          <w:rFonts w:ascii="Century Schoolbook" w:hAnsi="Century Schoolbook"/>
          <w:bCs/>
        </w:rPr>
        <w:t xml:space="preserve"> (1986) 42 Cal.3d 891, 897.)  </w:t>
      </w:r>
    </w:p>
    <w:p w:rsidR="00E83EB1" w:rsidRPr="00475519" w:rsidP="00D277E0" w14:paraId="4F720B1F" w14:textId="0F805144">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Concededly, </w:t>
      </w:r>
      <w:r w:rsidRPr="00475519" w:rsidR="006D4940">
        <w:rPr>
          <w:rFonts w:ascii="Century Schoolbook" w:hAnsi="Century Schoolbook"/>
          <w:bCs/>
        </w:rPr>
        <w:t xml:space="preserve">some of </w:t>
      </w:r>
      <w:r w:rsidRPr="00475519">
        <w:rPr>
          <w:rFonts w:ascii="Century Schoolbook" w:hAnsi="Century Schoolbook"/>
          <w:bCs/>
        </w:rPr>
        <w:t xml:space="preserve">the social policies sought to be promoted by the </w:t>
      </w:r>
      <w:r w:rsidRPr="00475519">
        <w:rPr>
          <w:rFonts w:ascii="Century Schoolbook" w:hAnsi="Century Schoolbook"/>
          <w:bCs/>
          <w:i/>
          <w:iCs/>
        </w:rPr>
        <w:t>Cornelious</w:t>
      </w:r>
      <w:r w:rsidRPr="00475519">
        <w:rPr>
          <w:rFonts w:ascii="Century Schoolbook" w:hAnsi="Century Schoolbook"/>
          <w:bCs/>
        </w:rPr>
        <w:t xml:space="preserve"> court, i.e., “protection of the welfare of children by avoiding the stigma of illegitimacy” (</w:t>
      </w:r>
      <w:r w:rsidRPr="00475519">
        <w:rPr>
          <w:rFonts w:ascii="Century Schoolbook" w:hAnsi="Century Schoolbook"/>
          <w:bCs/>
          <w:i/>
          <w:iCs/>
        </w:rPr>
        <w:t>Cornelious</w:t>
      </w:r>
      <w:r w:rsidRPr="00475519">
        <w:rPr>
          <w:rFonts w:ascii="Century Schoolbook" w:hAnsi="Century Schoolbook"/>
          <w:bCs/>
        </w:rPr>
        <w:t xml:space="preserve">, </w:t>
      </w:r>
      <w:r w:rsidRPr="00475519">
        <w:rPr>
          <w:rFonts w:ascii="Century Schoolbook" w:hAnsi="Century Schoolbook"/>
          <w:bCs/>
          <w:i/>
          <w:iCs/>
        </w:rPr>
        <w:t>supra</w:t>
      </w:r>
      <w:r w:rsidRPr="00475519">
        <w:rPr>
          <w:rFonts w:ascii="Century Schoolbook" w:hAnsi="Century Schoolbook"/>
          <w:bCs/>
        </w:rPr>
        <w:t xml:space="preserve">, 35 Cal.3d at p. 465) have been addressed by the Legislature through the elimination, in significant ways, of the </w:t>
      </w:r>
      <w:r w:rsidRPr="00475519">
        <w:rPr>
          <w:rFonts w:ascii="Century Schoolbook" w:hAnsi="Century Schoolbook"/>
          <w:bCs/>
          <w:i/>
          <w:iCs/>
        </w:rPr>
        <w:t xml:space="preserve">legal </w:t>
      </w:r>
      <w:r w:rsidRPr="00475519">
        <w:rPr>
          <w:rFonts w:ascii="Century Schoolbook" w:hAnsi="Century Schoolbook"/>
          <w:bCs/>
        </w:rPr>
        <w:t xml:space="preserve">distinction between marital and nonmarital children. </w:t>
      </w:r>
      <w:r w:rsidRPr="00475519" w:rsidR="006D4940">
        <w:rPr>
          <w:rFonts w:ascii="Century Schoolbook" w:hAnsi="Century Schoolbook"/>
          <w:bCs/>
        </w:rPr>
        <w:t xml:space="preserve"> We also note that “[t]</w:t>
      </w:r>
      <w:r w:rsidRPr="00475519">
        <w:rPr>
          <w:rFonts w:ascii="Century Schoolbook" w:hAnsi="Century Schoolbook"/>
          <w:bCs/>
        </w:rPr>
        <w:t>he law concerning children born to married women when there is a dispute over paternity is a latter-day admixture of ancient common law presumptions and ideas, statutes, statutory interpretation and legislature acquiescence, common law accretion and constitutional imperatives, all in the face of [recent] . . . technological ability</w:t>
      </w:r>
      <w:r w:rsidRPr="00475519" w:rsidR="004672FE">
        <w:rPr>
          <w:rFonts w:ascii="Century Schoolbook" w:hAnsi="Century Schoolbook"/>
          <w:bCs/>
        </w:rPr>
        <w:t>,</w:t>
      </w:r>
      <w:r w:rsidRPr="00475519">
        <w:rPr>
          <w:rFonts w:ascii="Century Schoolbook" w:hAnsi="Century Schoolbook"/>
          <w:bCs/>
        </w:rPr>
        <w:t xml:space="preserve"> developed . . . to positively identify who a biological father really is.”  (</w:t>
      </w:r>
      <w:r w:rsidRPr="00475519">
        <w:rPr>
          <w:rFonts w:ascii="Century Schoolbook" w:hAnsi="Century Schoolbook"/>
          <w:bCs/>
          <w:i/>
          <w:iCs/>
        </w:rPr>
        <w:t>Brian C. v. Ginger K</w:t>
      </w:r>
      <w:r w:rsidRPr="00475519">
        <w:rPr>
          <w:rFonts w:ascii="Century Schoolbook" w:hAnsi="Century Schoolbook"/>
          <w:bCs/>
        </w:rPr>
        <w:t xml:space="preserve">. (2000) 77 Cal.App.4th 1198, 1202–1203.)  </w:t>
      </w:r>
      <w:r w:rsidRPr="00475519" w:rsidR="006D4940">
        <w:rPr>
          <w:rFonts w:ascii="Century Schoolbook" w:hAnsi="Century Schoolbook"/>
          <w:bCs/>
        </w:rPr>
        <w:t xml:space="preserve">And </w:t>
      </w:r>
      <w:r w:rsidRPr="00475519">
        <w:rPr>
          <w:rFonts w:ascii="Century Schoolbook" w:hAnsi="Century Schoolbook"/>
          <w:bCs/>
        </w:rPr>
        <w:t>“</w:t>
      </w:r>
      <w:r w:rsidRPr="00475519" w:rsidR="006D4940">
        <w:rPr>
          <w:rFonts w:ascii="Century Schoolbook" w:hAnsi="Century Schoolbook"/>
          <w:bCs/>
        </w:rPr>
        <w:t>t</w:t>
      </w:r>
      <w:r w:rsidRPr="00475519">
        <w:rPr>
          <w:rFonts w:ascii="Century Schoolbook" w:hAnsi="Century Schoolbook"/>
          <w:bCs/>
        </w:rPr>
        <w:t>he Legislature has responded to new scientific advances and new ways people now choose to form relationships.”  (</w:t>
      </w:r>
      <w:r w:rsidRPr="00475519">
        <w:rPr>
          <w:rFonts w:ascii="Century Schoolbook" w:hAnsi="Century Schoolbook"/>
          <w:bCs/>
          <w:i/>
          <w:iCs/>
        </w:rPr>
        <w:t>C.A. v. C.P</w:t>
      </w:r>
      <w:r w:rsidRPr="00475519">
        <w:rPr>
          <w:rFonts w:ascii="Century Schoolbook" w:hAnsi="Century Schoolbook"/>
          <w:bCs/>
        </w:rPr>
        <w:t xml:space="preserve">. (2018) 29 Cal.App.5th 27, 34.)  </w:t>
      </w:r>
    </w:p>
    <w:p w:rsidR="00190D22" w:rsidRPr="00475519" w:rsidP="005729A0" w14:paraId="14FE257E" w14:textId="5703CBDB">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Nonetheless, </w:t>
      </w:r>
      <w:r w:rsidRPr="00475519" w:rsidR="00CA1CCA">
        <w:rPr>
          <w:rFonts w:ascii="Century Schoolbook" w:hAnsi="Century Schoolbook"/>
          <w:bCs/>
        </w:rPr>
        <w:t>and fundamentally, the</w:t>
      </w:r>
      <w:r w:rsidRPr="00475519" w:rsidR="00E83EB1">
        <w:rPr>
          <w:rFonts w:ascii="Century Schoolbook" w:hAnsi="Century Schoolbook"/>
          <w:bCs/>
        </w:rPr>
        <w:t xml:space="preserve"> Legislature’s </w:t>
      </w:r>
      <w:r w:rsidRPr="00475519" w:rsidR="00D277E0">
        <w:rPr>
          <w:rFonts w:ascii="Century Schoolbook" w:hAnsi="Century Schoolbook"/>
          <w:bCs/>
        </w:rPr>
        <w:t>“legal changes express a consistent desire to preserve” the integrity of the parent-child relationship between married spouses and their children conceived and born when the spouses are living together as such.  (</w:t>
      </w:r>
      <w:r w:rsidRPr="00475519" w:rsidR="00E83EB1">
        <w:rPr>
          <w:rFonts w:ascii="Century Schoolbook" w:hAnsi="Century Schoolbook"/>
          <w:bCs/>
          <w:i/>
          <w:iCs/>
        </w:rPr>
        <w:t>C.A. v. C.P</w:t>
      </w:r>
      <w:r w:rsidRPr="00475519" w:rsidR="00E83EB1">
        <w:rPr>
          <w:rFonts w:ascii="Century Schoolbook" w:hAnsi="Century Schoolbook"/>
          <w:bCs/>
        </w:rPr>
        <w:t xml:space="preserve">., </w:t>
      </w:r>
      <w:r w:rsidRPr="00475519" w:rsidR="00E83EB1">
        <w:rPr>
          <w:rFonts w:ascii="Century Schoolbook" w:hAnsi="Century Schoolbook"/>
          <w:bCs/>
          <w:i/>
          <w:iCs/>
        </w:rPr>
        <w:t>supra</w:t>
      </w:r>
      <w:r w:rsidRPr="00475519" w:rsidR="00E83EB1">
        <w:rPr>
          <w:rFonts w:ascii="Century Schoolbook" w:hAnsi="Century Schoolbook"/>
          <w:bCs/>
        </w:rPr>
        <w:t xml:space="preserve">, 29 Cal.App.5th at p. 34.)  To implement that continuing social policy, the Legislature has </w:t>
      </w:r>
      <w:r w:rsidRPr="00475519" w:rsidR="00140A5D">
        <w:rPr>
          <w:rFonts w:ascii="Century Schoolbook" w:hAnsi="Century Schoolbook"/>
          <w:bCs/>
        </w:rPr>
        <w:t xml:space="preserve">specifically chosen to retain the Family Code section 7540 marital presumption and continues to treat it separately from other presumptions of parentage. </w:t>
      </w:r>
      <w:r w:rsidRPr="00475519" w:rsidR="00E83EB1">
        <w:rPr>
          <w:rFonts w:ascii="Century Schoolbook" w:hAnsi="Century Schoolbook"/>
          <w:bCs/>
        </w:rPr>
        <w:t xml:space="preserve"> </w:t>
      </w:r>
      <w:r w:rsidRPr="00475519" w:rsidR="00305538">
        <w:rPr>
          <w:rFonts w:ascii="Century Schoolbook" w:hAnsi="Century Schoolbook"/>
          <w:bCs/>
        </w:rPr>
        <w:t>(See, e.g., Fam. Code, § 761</w:t>
      </w:r>
      <w:r w:rsidRPr="00475519" w:rsidR="00F03931">
        <w:rPr>
          <w:rFonts w:ascii="Century Schoolbook" w:hAnsi="Century Schoolbook"/>
          <w:bCs/>
        </w:rPr>
        <w:t>2</w:t>
      </w:r>
      <w:r w:rsidRPr="00475519" w:rsidR="00305538">
        <w:rPr>
          <w:rFonts w:ascii="Century Schoolbook" w:hAnsi="Century Schoolbook"/>
          <w:bCs/>
        </w:rPr>
        <w:t>, subds.</w:t>
      </w:r>
      <w:r w:rsidRPr="00475519" w:rsidR="00F2585A">
        <w:rPr>
          <w:rFonts w:ascii="Century Schoolbook" w:hAnsi="Century Schoolbook"/>
          <w:bCs/>
        </w:rPr>
        <w:t> </w:t>
      </w:r>
      <w:r w:rsidRPr="00475519" w:rsidR="00305538">
        <w:rPr>
          <w:rFonts w:ascii="Century Schoolbook" w:hAnsi="Century Schoolbook"/>
          <w:bCs/>
        </w:rPr>
        <w:t xml:space="preserve">(a), (b).)  And, as pertinent here, </w:t>
      </w:r>
      <w:r w:rsidRPr="00475519" w:rsidR="00A55F40">
        <w:rPr>
          <w:rFonts w:ascii="Century Schoolbook" w:hAnsi="Century Schoolbook"/>
          <w:bCs/>
        </w:rPr>
        <w:t>Family Code section 7630, subdivision (c), which allows a child to file an action to determine parentage, specifically excludes cases where a child is a child of a marriage under the Family Code section 7540 marital presumption</w:t>
      </w:r>
      <w:r w:rsidRPr="00475519" w:rsidR="0035143C">
        <w:rPr>
          <w:rFonts w:ascii="Century Schoolbook" w:hAnsi="Century Schoolbook"/>
          <w:bCs/>
        </w:rPr>
        <w:t xml:space="preserve">: </w:t>
      </w:r>
      <w:r w:rsidRPr="00475519" w:rsidR="00A55F40">
        <w:rPr>
          <w:rFonts w:ascii="Century Schoolbook" w:hAnsi="Century Schoolbook"/>
          <w:bCs/>
        </w:rPr>
        <w:t xml:space="preserve"> “</w:t>
      </w:r>
      <w:r w:rsidRPr="00475519" w:rsidR="00A55F40">
        <w:rPr>
          <w:rFonts w:ascii="Century Schoolbook" w:hAnsi="Century Schoolbook"/>
          <w:bCs/>
          <w:i/>
          <w:iCs/>
        </w:rPr>
        <w:t>Except as to</w:t>
      </w:r>
      <w:r w:rsidRPr="00475519" w:rsidR="00A55F40">
        <w:rPr>
          <w:rFonts w:ascii="Century Schoolbook" w:hAnsi="Century Schoolbook"/>
          <w:bCs/>
        </w:rPr>
        <w:t xml:space="preserve"> </w:t>
      </w:r>
      <w:r w:rsidRPr="00475519" w:rsidR="00A55F40">
        <w:rPr>
          <w:rFonts w:ascii="Century Schoolbook" w:hAnsi="Century Schoolbook"/>
          <w:bCs/>
          <w:i/>
          <w:iCs/>
        </w:rPr>
        <w:t xml:space="preserve">cases coming within Chapter 1 (commencing with Section 7540) of Part 2 </w:t>
      </w:r>
      <w:r w:rsidRPr="00475519" w:rsidR="0035143C">
        <w:rPr>
          <w:rFonts w:ascii="Century Schoolbook" w:hAnsi="Century Schoolbook"/>
          <w:bCs/>
          <w:i/>
          <w:iCs/>
        </w:rPr>
        <w:t>.</w:t>
      </w:r>
      <w:r w:rsidRPr="00475519" w:rsidR="0035143C">
        <w:rPr>
          <w:rFonts w:ascii="Century Schoolbook" w:hAnsi="Century Schoolbook"/>
          <w:bCs/>
        </w:rPr>
        <w:t> </w:t>
      </w:r>
      <w:r w:rsidRPr="00475519" w:rsidR="0035143C">
        <w:rPr>
          <w:rFonts w:ascii="Century Schoolbook" w:hAnsi="Century Schoolbook"/>
          <w:bCs/>
          <w:i/>
          <w:iCs/>
        </w:rPr>
        <w:t>.</w:t>
      </w:r>
      <w:r w:rsidRPr="00475519" w:rsidR="0035143C">
        <w:rPr>
          <w:rFonts w:ascii="Century Schoolbook" w:hAnsi="Century Schoolbook"/>
          <w:bCs/>
        </w:rPr>
        <w:t> </w:t>
      </w:r>
      <w:r w:rsidRPr="00475519" w:rsidR="0035143C">
        <w:rPr>
          <w:rFonts w:ascii="Century Schoolbook" w:hAnsi="Century Schoolbook"/>
          <w:bCs/>
          <w:i/>
          <w:iCs/>
        </w:rPr>
        <w:t xml:space="preserve">, </w:t>
      </w:r>
      <w:r w:rsidRPr="00475519" w:rsidR="00A55F40">
        <w:rPr>
          <w:rFonts w:ascii="Century Schoolbook" w:hAnsi="Century Schoolbook"/>
          <w:bCs/>
        </w:rPr>
        <w:t xml:space="preserve">an action to determine parentage may be brought by the child [or] the personal representative of the child . . . .” </w:t>
      </w:r>
      <w:r w:rsidRPr="00475519">
        <w:rPr>
          <w:rFonts w:ascii="Century Schoolbook" w:hAnsi="Century Schoolbook"/>
          <w:bCs/>
        </w:rPr>
        <w:t xml:space="preserve"> </w:t>
      </w:r>
      <w:r w:rsidRPr="00475519" w:rsidR="00A55F40">
        <w:rPr>
          <w:rFonts w:ascii="Century Schoolbook" w:hAnsi="Century Schoolbook"/>
          <w:bCs/>
        </w:rPr>
        <w:t>(</w:t>
      </w:r>
      <w:r w:rsidRPr="00475519" w:rsidR="00305538">
        <w:rPr>
          <w:rFonts w:ascii="Century Schoolbook" w:hAnsi="Century Schoolbook"/>
          <w:bCs/>
        </w:rPr>
        <w:t xml:space="preserve">Fam. Code, </w:t>
      </w:r>
      <w:r w:rsidRPr="00475519" w:rsidR="00A55F40">
        <w:rPr>
          <w:rFonts w:ascii="Century Schoolbook" w:hAnsi="Century Schoolbook"/>
          <w:bCs/>
        </w:rPr>
        <w:t>§ 7630, subd. (c)</w:t>
      </w:r>
      <w:r w:rsidRPr="00475519" w:rsidR="0035143C">
        <w:rPr>
          <w:rFonts w:ascii="Century Schoolbook" w:hAnsi="Century Schoolbook"/>
          <w:bCs/>
        </w:rPr>
        <w:t>; italics added</w:t>
      </w:r>
      <w:r w:rsidRPr="00475519" w:rsidR="0041639F">
        <w:rPr>
          <w:rFonts w:ascii="Century Schoolbook" w:hAnsi="Century Schoolbook"/>
          <w:bCs/>
        </w:rPr>
        <w:t>.</w:t>
      </w:r>
      <w:r w:rsidRPr="00475519" w:rsidR="00305538">
        <w:rPr>
          <w:rFonts w:ascii="Century Schoolbook" w:hAnsi="Century Schoolbook"/>
          <w:bCs/>
        </w:rPr>
        <w:t>)</w:t>
      </w:r>
      <w:r w:rsidRPr="00475519" w:rsidR="00A55F40">
        <w:rPr>
          <w:rFonts w:ascii="Century Schoolbook" w:hAnsi="Century Schoolbook"/>
          <w:bCs/>
        </w:rPr>
        <w:t xml:space="preserve"> </w:t>
      </w:r>
      <w:r w:rsidRPr="00475519" w:rsidR="002B1850">
        <w:rPr>
          <w:rFonts w:ascii="Century Schoolbook" w:hAnsi="Century Schoolbook"/>
          <w:bCs/>
        </w:rPr>
        <w:t xml:space="preserve"> </w:t>
      </w:r>
      <w:r w:rsidRPr="00475519" w:rsidR="00A55F40">
        <w:rPr>
          <w:rFonts w:ascii="Century Schoolbook" w:hAnsi="Century Schoolbook"/>
          <w:bCs/>
        </w:rPr>
        <w:t>Given the statutory language, t</w:t>
      </w:r>
      <w:r w:rsidRPr="00475519" w:rsidR="001E0695">
        <w:rPr>
          <w:rFonts w:ascii="Century Schoolbook" w:hAnsi="Century Schoolbook"/>
          <w:bCs/>
        </w:rPr>
        <w:t xml:space="preserve">he Legislature plainly believed that a child’s right to file an action to determine parentage would be subject to the separate provisions governing cases </w:t>
      </w:r>
      <w:r w:rsidRPr="00475519" w:rsidR="00A84C2B">
        <w:rPr>
          <w:rFonts w:ascii="Century Schoolbook" w:hAnsi="Century Schoolbook"/>
          <w:bCs/>
        </w:rPr>
        <w:t xml:space="preserve">coming within </w:t>
      </w:r>
      <w:r w:rsidRPr="00475519" w:rsidR="001E0695">
        <w:rPr>
          <w:rFonts w:ascii="Century Schoolbook" w:hAnsi="Century Schoolbook"/>
          <w:bCs/>
        </w:rPr>
        <w:t>the</w:t>
      </w:r>
      <w:r w:rsidRPr="00475519" w:rsidR="00E7611A">
        <w:rPr>
          <w:rFonts w:ascii="Century Schoolbook" w:hAnsi="Century Schoolbook"/>
          <w:bCs/>
        </w:rPr>
        <w:t xml:space="preserve"> sections of the</w:t>
      </w:r>
      <w:r w:rsidRPr="00475519" w:rsidR="001E0695">
        <w:rPr>
          <w:rFonts w:ascii="Century Schoolbook" w:hAnsi="Century Schoolbook"/>
          <w:bCs/>
        </w:rPr>
        <w:t xml:space="preserve"> Family Code</w:t>
      </w:r>
      <w:r w:rsidRPr="00475519" w:rsidR="00E7611A">
        <w:rPr>
          <w:rFonts w:ascii="Century Schoolbook" w:hAnsi="Century Schoolbook"/>
          <w:bCs/>
        </w:rPr>
        <w:t xml:space="preserve">, commencing with </w:t>
      </w:r>
      <w:r w:rsidRPr="00475519" w:rsidR="001E0695">
        <w:rPr>
          <w:rFonts w:ascii="Century Schoolbook" w:hAnsi="Century Schoolbook"/>
          <w:bCs/>
        </w:rPr>
        <w:t xml:space="preserve">section 7540, </w:t>
      </w:r>
      <w:r w:rsidRPr="008025EA" w:rsidR="001E0695">
        <w:rPr>
          <w:rFonts w:ascii="Century Schoolbook" w:hAnsi="Century Schoolbook"/>
          <w:bCs/>
        </w:rPr>
        <w:t>including any case law interpreting those sections</w:t>
      </w:r>
      <w:r w:rsidRPr="00475519" w:rsidR="00E7611A">
        <w:rPr>
          <w:rFonts w:ascii="Century Schoolbook" w:hAnsi="Century Schoolbook"/>
          <w:bCs/>
        </w:rPr>
        <w:t xml:space="preserve">, which </w:t>
      </w:r>
      <w:r w:rsidRPr="00475519" w:rsidR="00822718">
        <w:rPr>
          <w:rFonts w:ascii="Century Schoolbook" w:hAnsi="Century Schoolbook"/>
          <w:bCs/>
        </w:rPr>
        <w:t>here</w:t>
      </w:r>
      <w:r w:rsidRPr="00475519" w:rsidR="00E7611A">
        <w:rPr>
          <w:rFonts w:ascii="Century Schoolbook" w:hAnsi="Century Schoolbook"/>
          <w:bCs/>
        </w:rPr>
        <w:t xml:space="preserve"> include</w:t>
      </w:r>
      <w:r w:rsidRPr="00475519" w:rsidR="00822718">
        <w:rPr>
          <w:rFonts w:ascii="Century Schoolbook" w:hAnsi="Century Schoolbook"/>
          <w:bCs/>
        </w:rPr>
        <w:t>s</w:t>
      </w:r>
      <w:r w:rsidRPr="00475519" w:rsidR="00E7611A">
        <w:rPr>
          <w:rFonts w:ascii="Century Schoolbook" w:hAnsi="Century Schoolbook"/>
          <w:bCs/>
        </w:rPr>
        <w:t xml:space="preserve"> </w:t>
      </w:r>
      <w:r w:rsidRPr="00475519" w:rsidR="00E7611A">
        <w:rPr>
          <w:rFonts w:ascii="Century Schoolbook" w:hAnsi="Century Schoolbook"/>
          <w:bCs/>
          <w:i/>
          <w:iCs/>
        </w:rPr>
        <w:t>Cornelious</w:t>
      </w:r>
      <w:r w:rsidRPr="00475519" w:rsidR="00E7611A">
        <w:rPr>
          <w:rFonts w:ascii="Century Schoolbook" w:hAnsi="Century Schoolbook"/>
          <w:bCs/>
        </w:rPr>
        <w:t>.</w:t>
      </w:r>
      <w:r w:rsidRPr="00475519" w:rsidR="00140A5D">
        <w:rPr>
          <w:rFonts w:ascii="Century Schoolbook" w:hAnsi="Century Schoolbook"/>
          <w:bCs/>
        </w:rPr>
        <w:t xml:space="preserve"> </w:t>
      </w:r>
    </w:p>
    <w:p w:rsidR="0093126C" w:rsidRPr="00475519" w:rsidP="00FF2353" w14:paraId="6FEE77BE" w14:textId="2611C403">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Bertuccio also argues that</w:t>
      </w:r>
      <w:r w:rsidRPr="00475519" w:rsidR="00CA1CCA">
        <w:rPr>
          <w:rFonts w:ascii="Century Schoolbook" w:hAnsi="Century Schoolbook"/>
          <w:bCs/>
        </w:rPr>
        <w:t>,</w:t>
      </w:r>
      <w:r w:rsidRPr="00475519">
        <w:rPr>
          <w:rFonts w:ascii="Century Schoolbook" w:hAnsi="Century Schoolbook"/>
          <w:bCs/>
        </w:rPr>
        <w:t xml:space="preserve"> </w:t>
      </w:r>
      <w:r w:rsidRPr="00475519" w:rsidR="00FE21FB">
        <w:rPr>
          <w:rFonts w:ascii="Century Schoolbook" w:hAnsi="Century Schoolbook"/>
          <w:bCs/>
        </w:rPr>
        <w:t xml:space="preserve">despite </w:t>
      </w:r>
      <w:r w:rsidRPr="00475519" w:rsidR="00FE21FB">
        <w:rPr>
          <w:rFonts w:ascii="Century Schoolbook" w:hAnsi="Century Schoolbook"/>
          <w:bCs/>
          <w:i/>
          <w:iCs/>
        </w:rPr>
        <w:t>Cornelious</w:t>
      </w:r>
      <w:r w:rsidRPr="00475519" w:rsidR="00FE21FB">
        <w:rPr>
          <w:rFonts w:ascii="Century Schoolbook" w:hAnsi="Century Schoolbook"/>
          <w:bCs/>
        </w:rPr>
        <w:t>, he is entitled to prove Franco is his natural parent for purposes of intestate succession</w:t>
      </w:r>
      <w:r w:rsidRPr="00475519">
        <w:rPr>
          <w:rFonts w:ascii="Century Schoolbook" w:hAnsi="Century Schoolbook"/>
          <w:bCs/>
        </w:rPr>
        <w:t xml:space="preserve"> </w:t>
      </w:r>
      <w:r w:rsidRPr="00475519" w:rsidR="00FE21FB">
        <w:rPr>
          <w:rFonts w:ascii="Century Schoolbook" w:hAnsi="Century Schoolbook"/>
          <w:bCs/>
        </w:rPr>
        <w:t xml:space="preserve">as the child was allowed to do in </w:t>
      </w:r>
      <w:r w:rsidRPr="00475519" w:rsidR="00CE3CAC">
        <w:rPr>
          <w:rFonts w:ascii="Century Schoolbook" w:hAnsi="Century Schoolbook"/>
          <w:bCs/>
          <w:i/>
          <w:iCs/>
        </w:rPr>
        <w:t>Burden</w:t>
      </w:r>
      <w:r w:rsidRPr="00475519" w:rsidR="00CA794F">
        <w:rPr>
          <w:rFonts w:ascii="Century Schoolbook" w:hAnsi="Century Schoolbook"/>
          <w:bCs/>
        </w:rPr>
        <w:t xml:space="preserve">, </w:t>
      </w:r>
      <w:r w:rsidRPr="00475519" w:rsidR="00CA794F">
        <w:rPr>
          <w:rFonts w:ascii="Century Schoolbook" w:hAnsi="Century Schoolbook"/>
          <w:bCs/>
          <w:i/>
          <w:iCs/>
        </w:rPr>
        <w:t>supra</w:t>
      </w:r>
      <w:r w:rsidRPr="00475519" w:rsidR="00CA794F">
        <w:rPr>
          <w:rFonts w:ascii="Century Schoolbook" w:hAnsi="Century Schoolbook"/>
          <w:bCs/>
        </w:rPr>
        <w:t xml:space="preserve">, </w:t>
      </w:r>
      <w:r w:rsidRPr="00475519" w:rsidR="00CE3CAC">
        <w:rPr>
          <w:rFonts w:ascii="Century Schoolbook" w:hAnsi="Century Schoolbook"/>
          <w:bCs/>
        </w:rPr>
        <w:t>146 Cal.App.4th 1021</w:t>
      </w:r>
      <w:r w:rsidRPr="00475519" w:rsidR="00CA794F">
        <w:rPr>
          <w:rFonts w:ascii="Century Schoolbook" w:hAnsi="Century Schoolbook"/>
          <w:bCs/>
        </w:rPr>
        <w:t>.</w:t>
      </w:r>
      <w:r w:rsidRPr="00475519" w:rsidR="00CE3CAC">
        <w:rPr>
          <w:rFonts w:ascii="Century Schoolbook" w:hAnsi="Century Schoolbook"/>
          <w:bCs/>
        </w:rPr>
        <w:t xml:space="preserve"> </w:t>
      </w:r>
      <w:r w:rsidR="008025EA">
        <w:rPr>
          <w:rFonts w:ascii="Century Schoolbook" w:hAnsi="Century Schoolbook"/>
          <w:bCs/>
        </w:rPr>
        <w:t xml:space="preserve"> </w:t>
      </w:r>
      <w:r w:rsidRPr="00475519" w:rsidR="00FF2353">
        <w:rPr>
          <w:rFonts w:ascii="Century Schoolbook" w:hAnsi="Century Schoolbook"/>
          <w:bCs/>
        </w:rPr>
        <w:t xml:space="preserve">However, </w:t>
      </w:r>
      <w:r w:rsidRPr="00475519" w:rsidR="00E7611A">
        <w:rPr>
          <w:rFonts w:ascii="Century Schoolbook" w:hAnsi="Century Schoolbook"/>
          <w:bCs/>
        </w:rPr>
        <w:t xml:space="preserve">as </w:t>
      </w:r>
      <w:r w:rsidRPr="00475519" w:rsidR="00EF3CCA">
        <w:rPr>
          <w:rFonts w:ascii="Century Schoolbook" w:hAnsi="Century Schoolbook"/>
          <w:bCs/>
        </w:rPr>
        <w:t>Bertuccio candidly concedes</w:t>
      </w:r>
      <w:r w:rsidRPr="00475519" w:rsidR="00FF2353">
        <w:rPr>
          <w:rFonts w:ascii="Century Schoolbook" w:hAnsi="Century Schoolbook"/>
          <w:bCs/>
        </w:rPr>
        <w:t xml:space="preserve">, </w:t>
      </w:r>
      <w:r w:rsidRPr="00475519">
        <w:rPr>
          <w:rFonts w:ascii="Century Schoolbook" w:hAnsi="Century Schoolbook"/>
          <w:bCs/>
        </w:rPr>
        <w:t xml:space="preserve">the child in </w:t>
      </w:r>
      <w:r w:rsidRPr="00475519" w:rsidR="00FF2353">
        <w:rPr>
          <w:rFonts w:ascii="Century Schoolbook" w:hAnsi="Century Schoolbook"/>
          <w:bCs/>
          <w:i/>
          <w:iCs/>
        </w:rPr>
        <w:t xml:space="preserve">Burden </w:t>
      </w:r>
      <w:r w:rsidRPr="00475519">
        <w:rPr>
          <w:rFonts w:ascii="Century Schoolbook" w:hAnsi="Century Schoolbook"/>
          <w:bCs/>
        </w:rPr>
        <w:t xml:space="preserve">was not conceived during the marriage of his mother and her husband, and </w:t>
      </w:r>
      <w:r w:rsidRPr="00475519" w:rsidR="00FF2353">
        <w:rPr>
          <w:rFonts w:ascii="Century Schoolbook" w:hAnsi="Century Schoolbook"/>
          <w:bCs/>
        </w:rPr>
        <w:t xml:space="preserve">hence, “there could be no conclusive presumption of parentage.” </w:t>
      </w:r>
      <w:r w:rsidR="008025EA">
        <w:rPr>
          <w:rFonts w:ascii="Century Schoolbook" w:hAnsi="Century Schoolbook"/>
          <w:bCs/>
        </w:rPr>
        <w:t xml:space="preserve"> </w:t>
      </w:r>
      <w:r w:rsidRPr="00475519">
        <w:rPr>
          <w:rFonts w:ascii="Century Schoolbook" w:hAnsi="Century Schoolbook"/>
          <w:bCs/>
        </w:rPr>
        <w:t xml:space="preserve">Because </w:t>
      </w:r>
      <w:r w:rsidRPr="00475519" w:rsidR="00E7611A">
        <w:rPr>
          <w:rFonts w:ascii="Century Schoolbook" w:hAnsi="Century Schoolbook"/>
          <w:bCs/>
        </w:rPr>
        <w:t xml:space="preserve">the </w:t>
      </w:r>
      <w:r w:rsidRPr="00475519" w:rsidR="00E77FE3">
        <w:rPr>
          <w:rFonts w:ascii="Century Schoolbook" w:hAnsi="Century Schoolbook"/>
          <w:bCs/>
          <w:i/>
          <w:iCs/>
        </w:rPr>
        <w:t>Burden</w:t>
      </w:r>
      <w:r w:rsidRPr="00475519" w:rsidR="00E77FE3">
        <w:rPr>
          <w:rFonts w:ascii="Century Schoolbook" w:hAnsi="Century Schoolbook"/>
          <w:bCs/>
        </w:rPr>
        <w:t xml:space="preserve"> court had no reason to discuss and made no mention of </w:t>
      </w:r>
      <w:r w:rsidRPr="00475519" w:rsidR="00FF2353">
        <w:rPr>
          <w:rFonts w:ascii="Century Schoolbook" w:hAnsi="Century Schoolbook"/>
          <w:bCs/>
        </w:rPr>
        <w:t xml:space="preserve">the </w:t>
      </w:r>
      <w:r w:rsidRPr="00475519" w:rsidR="00E77FE3">
        <w:rPr>
          <w:rFonts w:ascii="Century Schoolbook" w:hAnsi="Century Schoolbook"/>
          <w:bCs/>
        </w:rPr>
        <w:t>Family Code section 7</w:t>
      </w:r>
      <w:r w:rsidRPr="00475519" w:rsidR="00CB4EE9">
        <w:rPr>
          <w:rFonts w:ascii="Century Schoolbook" w:hAnsi="Century Schoolbook"/>
          <w:bCs/>
        </w:rPr>
        <w:t>540</w:t>
      </w:r>
      <w:r w:rsidRPr="00475519" w:rsidR="00E77FE3">
        <w:rPr>
          <w:rFonts w:ascii="Century Schoolbook" w:hAnsi="Century Schoolbook"/>
          <w:bCs/>
        </w:rPr>
        <w:t xml:space="preserve"> </w:t>
      </w:r>
      <w:r w:rsidRPr="00475519" w:rsidR="00FF2353">
        <w:rPr>
          <w:rFonts w:ascii="Century Schoolbook" w:hAnsi="Century Schoolbook"/>
          <w:bCs/>
        </w:rPr>
        <w:t xml:space="preserve">marital presumption </w:t>
      </w:r>
      <w:r w:rsidRPr="00475519" w:rsidR="00E77FE3">
        <w:rPr>
          <w:rFonts w:ascii="Century Schoolbook" w:hAnsi="Century Schoolbook"/>
          <w:bCs/>
        </w:rPr>
        <w:t xml:space="preserve">or </w:t>
      </w:r>
      <w:r w:rsidRPr="00475519" w:rsidR="00E77FE3">
        <w:rPr>
          <w:rFonts w:ascii="Century Schoolbook" w:hAnsi="Century Schoolbook"/>
          <w:bCs/>
          <w:i/>
          <w:iCs/>
        </w:rPr>
        <w:t>Cornelious</w:t>
      </w:r>
      <w:r w:rsidRPr="00475519">
        <w:rPr>
          <w:rFonts w:ascii="Century Schoolbook" w:hAnsi="Century Schoolbook"/>
          <w:bCs/>
        </w:rPr>
        <w:t xml:space="preserve">, </w:t>
      </w:r>
      <w:r w:rsidRPr="00475519" w:rsidR="004E175E">
        <w:rPr>
          <w:rFonts w:ascii="Century Schoolbook" w:hAnsi="Century Schoolbook"/>
          <w:bCs/>
        </w:rPr>
        <w:t xml:space="preserve">we see no need to further address the case.  (See </w:t>
      </w:r>
      <w:r w:rsidRPr="00475519" w:rsidR="004E175E">
        <w:rPr>
          <w:rFonts w:ascii="Century Schoolbook" w:hAnsi="Century Schoolbook"/>
          <w:bCs/>
          <w:i/>
          <w:iCs/>
        </w:rPr>
        <w:t>In re Marriage of Cornejo</w:t>
      </w:r>
      <w:r w:rsidRPr="00475519" w:rsidR="004E175E">
        <w:rPr>
          <w:rFonts w:ascii="Century Schoolbook" w:hAnsi="Century Schoolbook"/>
          <w:bCs/>
        </w:rPr>
        <w:t xml:space="preserve"> (1996) 13 Cal.4th 381, 388 [“ ‘cases are not authority for propositions not considered’</w:t>
      </w:r>
      <w:r w:rsidRPr="00475519" w:rsidR="00820FD7">
        <w:rPr>
          <w:rFonts w:ascii="Century Schoolbook" w:hAnsi="Century Schoolbook"/>
          <w:bCs/>
        </w:rPr>
        <w:t> </w:t>
      </w:r>
      <w:r w:rsidRPr="00475519" w:rsidR="004E175E">
        <w:rPr>
          <w:rFonts w:ascii="Century Schoolbook" w:hAnsi="Century Schoolbook"/>
          <w:bCs/>
        </w:rPr>
        <w:t xml:space="preserve">”].) </w:t>
      </w:r>
    </w:p>
    <w:p w:rsidR="00BC23AD" w:rsidRPr="00475519" w:rsidP="0093126C" w14:paraId="6FA66D72" w14:textId="2295A2EF">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We conclude our discussion by </w:t>
      </w:r>
      <w:r w:rsidRPr="00475519" w:rsidR="002148B9">
        <w:rPr>
          <w:rFonts w:ascii="Century Schoolbook" w:hAnsi="Century Schoolbook"/>
          <w:bCs/>
        </w:rPr>
        <w:t xml:space="preserve">noting that we are not persuaded by </w:t>
      </w:r>
      <w:r w:rsidRPr="00475519" w:rsidR="00FE21FB">
        <w:rPr>
          <w:rFonts w:ascii="Century Schoolbook" w:hAnsi="Century Schoolbook"/>
          <w:bCs/>
        </w:rPr>
        <w:t>Bertuccio’s arguments</w:t>
      </w:r>
      <w:r w:rsidRPr="00475519">
        <w:rPr>
          <w:rFonts w:ascii="Century Schoolbook" w:hAnsi="Century Schoolbook"/>
          <w:bCs/>
        </w:rPr>
        <w:t xml:space="preserve"> that </w:t>
      </w:r>
      <w:r w:rsidRPr="00475519" w:rsidR="002C0DBE">
        <w:rPr>
          <w:rFonts w:ascii="Century Schoolbook" w:hAnsi="Century Schoolbook"/>
          <w:bCs/>
        </w:rPr>
        <w:t xml:space="preserve">the ruling in </w:t>
      </w:r>
      <w:r w:rsidRPr="00475519">
        <w:rPr>
          <w:rFonts w:ascii="Century Schoolbook" w:hAnsi="Century Schoolbook"/>
          <w:bCs/>
          <w:i/>
          <w:iCs/>
        </w:rPr>
        <w:t>Cornelious</w:t>
      </w:r>
      <w:r w:rsidRPr="00475519">
        <w:rPr>
          <w:rFonts w:ascii="Century Schoolbook" w:hAnsi="Century Schoolbook"/>
          <w:bCs/>
        </w:rPr>
        <w:t xml:space="preserve"> </w:t>
      </w:r>
      <w:r w:rsidRPr="00475519" w:rsidR="00E77FE3">
        <w:rPr>
          <w:rFonts w:ascii="Century Schoolbook" w:hAnsi="Century Schoolbook"/>
          <w:bCs/>
        </w:rPr>
        <w:t>frustrate</w:t>
      </w:r>
      <w:r w:rsidRPr="00475519" w:rsidR="002C0DBE">
        <w:rPr>
          <w:rFonts w:ascii="Century Schoolbook" w:hAnsi="Century Schoolbook"/>
          <w:bCs/>
        </w:rPr>
        <w:t>s</w:t>
      </w:r>
      <w:r w:rsidRPr="00475519" w:rsidR="00E77FE3">
        <w:rPr>
          <w:rFonts w:ascii="Century Schoolbook" w:hAnsi="Century Schoolbook"/>
          <w:bCs/>
        </w:rPr>
        <w:t xml:space="preserve"> the laws of intestacy</w:t>
      </w:r>
      <w:r w:rsidRPr="00475519" w:rsidR="002C0DBE">
        <w:rPr>
          <w:rFonts w:ascii="Century Schoolbook" w:hAnsi="Century Schoolbook"/>
          <w:bCs/>
        </w:rPr>
        <w:t xml:space="preserve"> and therefore should not be followed by the court</w:t>
      </w:r>
      <w:r w:rsidRPr="00475519">
        <w:rPr>
          <w:rFonts w:ascii="Century Schoolbook" w:hAnsi="Century Schoolbook"/>
          <w:bCs/>
        </w:rPr>
        <w:t xml:space="preserve">. </w:t>
      </w:r>
      <w:r w:rsidR="008025EA">
        <w:rPr>
          <w:rFonts w:ascii="Century Schoolbook" w:hAnsi="Century Schoolbook"/>
          <w:bCs/>
        </w:rPr>
        <w:t xml:space="preserve"> </w:t>
      </w:r>
      <w:r w:rsidRPr="00475519" w:rsidR="001E0695">
        <w:rPr>
          <w:rFonts w:ascii="Century Schoolbook" w:hAnsi="Century Schoolbook"/>
          <w:bCs/>
        </w:rPr>
        <w:t>“</w:t>
      </w:r>
      <w:r w:rsidRPr="00475519" w:rsidR="00E77FE3">
        <w:rPr>
          <w:rFonts w:ascii="Century Schoolbook" w:hAnsi="Century Schoolbook"/>
          <w:bCs/>
        </w:rPr>
        <w:t>S</w:t>
      </w:r>
      <w:r w:rsidRPr="00475519" w:rsidR="001E0695">
        <w:rPr>
          <w:rFonts w:ascii="Century Schoolbook" w:hAnsi="Century Schoolbook"/>
          <w:bCs/>
        </w:rPr>
        <w:t>ince the right of inheritance is not an inherent or natural right but one which exists only by statutory authority, the law of succession is entirely within the control of the Legislature.”  (</w:t>
      </w:r>
      <w:r w:rsidRPr="00475519" w:rsidR="001E0695">
        <w:rPr>
          <w:rFonts w:ascii="Century Schoolbook" w:hAnsi="Century Schoolbook"/>
          <w:bCs/>
          <w:i/>
          <w:iCs/>
        </w:rPr>
        <w:t>Estate of Perkins</w:t>
      </w:r>
      <w:r w:rsidRPr="00475519" w:rsidR="001E0695">
        <w:rPr>
          <w:rFonts w:ascii="Century Schoolbook" w:hAnsi="Century Schoolbook"/>
          <w:bCs/>
        </w:rPr>
        <w:t xml:space="preserve"> (1943) 21 Cal.2d 561, 569.)  Bertuccio’s argument</w:t>
      </w:r>
      <w:r w:rsidRPr="00475519" w:rsidR="00E77FE3">
        <w:rPr>
          <w:rFonts w:ascii="Century Schoolbook" w:hAnsi="Century Schoolbook"/>
          <w:bCs/>
        </w:rPr>
        <w:t>s are one</w:t>
      </w:r>
      <w:r w:rsidRPr="00475519" w:rsidR="00E7611A">
        <w:rPr>
          <w:rFonts w:ascii="Century Schoolbook" w:hAnsi="Century Schoolbook"/>
          <w:bCs/>
        </w:rPr>
        <w:t>s</w:t>
      </w:r>
      <w:r w:rsidRPr="00475519" w:rsidR="00E77FE3">
        <w:rPr>
          <w:rFonts w:ascii="Century Schoolbook" w:hAnsi="Century Schoolbook"/>
          <w:bCs/>
        </w:rPr>
        <w:t xml:space="preserve"> </w:t>
      </w:r>
      <w:r w:rsidRPr="00475519" w:rsidR="001E0695">
        <w:rPr>
          <w:rFonts w:ascii="Century Schoolbook" w:hAnsi="Century Schoolbook"/>
          <w:bCs/>
        </w:rPr>
        <w:t>to be made to the Legislature</w:t>
      </w:r>
      <w:r w:rsidRPr="00475519" w:rsidR="00DD1CE3">
        <w:rPr>
          <w:rFonts w:ascii="Century Schoolbook" w:hAnsi="Century Schoolbook"/>
          <w:bCs/>
        </w:rPr>
        <w:t xml:space="preserve"> or our Supreme Court</w:t>
      </w:r>
      <w:r w:rsidRPr="00475519" w:rsidR="001E0695">
        <w:rPr>
          <w:rFonts w:ascii="Century Schoolbook" w:hAnsi="Century Schoolbook"/>
          <w:bCs/>
        </w:rPr>
        <w:t xml:space="preserve">.  </w:t>
      </w:r>
    </w:p>
    <w:p w:rsidR="00BC23AD" w:rsidRPr="00475519" w:rsidP="00427F90" w14:paraId="6234B041" w14:textId="087684FC">
      <w:pPr>
        <w:shd w:val="clear" w:color="auto" w:fill="FFFFFF"/>
        <w:tabs>
          <w:tab w:val="clear" w:pos="720"/>
        </w:tabs>
        <w:spacing w:line="360" w:lineRule="auto"/>
        <w:ind w:left="720" w:hanging="720"/>
        <w:textAlignment w:val="baseline"/>
        <w:rPr>
          <w:rFonts w:ascii="Century Schoolbook" w:hAnsi="Century Schoolbook"/>
          <w:b/>
          <w:bCs/>
        </w:rPr>
      </w:pPr>
      <w:r w:rsidRPr="00475519">
        <w:rPr>
          <w:rFonts w:ascii="Century Schoolbook" w:hAnsi="Century Schoolbook"/>
          <w:b/>
        </w:rPr>
        <w:t>C</w:t>
      </w:r>
      <w:r w:rsidRPr="00475519" w:rsidR="00F76265">
        <w:rPr>
          <w:rFonts w:ascii="Century Schoolbook" w:hAnsi="Century Schoolbook"/>
          <w:b/>
        </w:rPr>
        <w:t>.</w:t>
      </w:r>
      <w:r w:rsidRPr="00475519" w:rsidR="00F76265">
        <w:rPr>
          <w:rFonts w:ascii="Century Schoolbook" w:hAnsi="Century Schoolbook"/>
          <w:b/>
        </w:rPr>
        <w:tab/>
      </w:r>
      <w:r w:rsidRPr="00475519" w:rsidR="0079009A">
        <w:rPr>
          <w:rFonts w:ascii="Century Schoolbook" w:hAnsi="Century Schoolbook"/>
          <w:b/>
        </w:rPr>
        <w:t xml:space="preserve">Summary Judgment Was Improperly Granted </w:t>
      </w:r>
      <w:r w:rsidRPr="00475519" w:rsidR="00822718">
        <w:rPr>
          <w:rFonts w:ascii="Century Schoolbook" w:hAnsi="Century Schoolbook"/>
          <w:b/>
        </w:rPr>
        <w:t>as</w:t>
      </w:r>
      <w:r w:rsidRPr="00475519" w:rsidR="00C912F9">
        <w:rPr>
          <w:rFonts w:ascii="Century Schoolbook" w:hAnsi="Century Schoolbook"/>
          <w:b/>
        </w:rPr>
        <w:t xml:space="preserve"> </w:t>
      </w:r>
      <w:r w:rsidRPr="00475519" w:rsidR="003D6037">
        <w:rPr>
          <w:rFonts w:ascii="Century Schoolbook" w:hAnsi="Century Schoolbook"/>
          <w:b/>
        </w:rPr>
        <w:t>t</w:t>
      </w:r>
      <w:r w:rsidRPr="00475519" w:rsidR="00C912F9">
        <w:rPr>
          <w:rFonts w:ascii="Century Schoolbook" w:hAnsi="Century Schoolbook"/>
          <w:b/>
        </w:rPr>
        <w:t xml:space="preserve">he Probate Court Applied the Family Code </w:t>
      </w:r>
      <w:r w:rsidRPr="00475519" w:rsidR="004218AE">
        <w:rPr>
          <w:rFonts w:ascii="Century Schoolbook" w:hAnsi="Century Schoolbook"/>
          <w:b/>
        </w:rPr>
        <w:t>S</w:t>
      </w:r>
      <w:r w:rsidRPr="00475519" w:rsidR="00C912F9">
        <w:rPr>
          <w:rFonts w:ascii="Century Schoolbook" w:hAnsi="Century Schoolbook"/>
          <w:b/>
        </w:rPr>
        <w:t>ection 7540 Marital Presumption Without Making the Requisite Finding that Marilyn and Frank,</w:t>
      </w:r>
      <w:r w:rsidRPr="00475519" w:rsidR="004218AE">
        <w:rPr>
          <w:rFonts w:ascii="Century Schoolbook" w:hAnsi="Century Schoolbook"/>
          <w:b/>
        </w:rPr>
        <w:t xml:space="preserve"> </w:t>
      </w:r>
      <w:r w:rsidRPr="00475519" w:rsidR="00C912F9">
        <w:rPr>
          <w:rFonts w:ascii="Century Schoolbook" w:hAnsi="Century Schoolbook"/>
          <w:b/>
        </w:rPr>
        <w:t xml:space="preserve">Sr. </w:t>
      </w:r>
      <w:r w:rsidRPr="00475519" w:rsidR="003753E4">
        <w:rPr>
          <w:rFonts w:ascii="Century Schoolbook" w:hAnsi="Century Schoolbook"/>
          <w:b/>
        </w:rPr>
        <w:t>W</w:t>
      </w:r>
      <w:r w:rsidRPr="00475519" w:rsidR="00C912F9">
        <w:rPr>
          <w:rFonts w:ascii="Century Schoolbook" w:hAnsi="Century Schoolbook"/>
          <w:b/>
        </w:rPr>
        <w:t>ere Cohabiting as Husband and Wife at the Time of Bertuccio’s Conception and Birth</w:t>
      </w:r>
      <w:r w:rsidRPr="00475519" w:rsidR="00C912F9">
        <w:rPr>
          <w:rFonts w:ascii="Century Schoolbook" w:hAnsi="Century Schoolbook"/>
        </w:rPr>
        <w:t xml:space="preserve"> </w:t>
      </w:r>
    </w:p>
    <w:p w:rsidR="00C22DE3" w:rsidRPr="00475519" w:rsidP="00BC23AD" w14:paraId="2576E883" w14:textId="1FE16A8B">
      <w:pPr>
        <w:shd w:val="clear" w:color="auto" w:fill="FFFFFF"/>
        <w:tabs>
          <w:tab w:val="clear" w:pos="720"/>
        </w:tabs>
        <w:spacing w:line="360" w:lineRule="auto"/>
        <w:ind w:firstLine="720"/>
        <w:textAlignment w:val="baseline"/>
        <w:rPr>
          <w:rFonts w:ascii="Century Schoolbook" w:hAnsi="Century Schoolbook"/>
        </w:rPr>
      </w:pPr>
      <w:r w:rsidRPr="00475519">
        <w:rPr>
          <w:rFonts w:ascii="Century Schoolbook" w:hAnsi="Century Schoolbook"/>
        </w:rPr>
        <w:t>We</w:t>
      </w:r>
      <w:r w:rsidRPr="00475519" w:rsidR="00BC23AD">
        <w:rPr>
          <w:rFonts w:ascii="Century Schoolbook" w:hAnsi="Century Schoolbook"/>
        </w:rPr>
        <w:t xml:space="preserve"> agree with Bertuccio that summary judgment was improperly granted </w:t>
      </w:r>
      <w:r w:rsidRPr="00475519" w:rsidR="00CF30E0">
        <w:rPr>
          <w:rFonts w:ascii="Century Schoolbook" w:hAnsi="Century Schoolbook"/>
        </w:rPr>
        <w:t xml:space="preserve">as </w:t>
      </w:r>
      <w:r w:rsidRPr="00475519" w:rsidR="00C912F9">
        <w:rPr>
          <w:rFonts w:ascii="Century Schoolbook" w:hAnsi="Century Schoolbook"/>
        </w:rPr>
        <w:t>the probate court applied the Family Code section 7540 marital presumption without making the requisite finding that Marilyn and Frank, Sr. were cohabiting as husband and wife at the time of Bertuccio’s conception and birth.</w:t>
      </w:r>
    </w:p>
    <w:p w:rsidR="00DF5094" w:rsidRPr="00475519" w:rsidP="00BC23AD" w14:paraId="0E3D12B5" w14:textId="32C9F04E">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At the hearing on the motion for summary judgment, the parties addressed Family Code section 7540.</w:t>
      </w:r>
      <w:r w:rsidRPr="00475519">
        <w:rPr>
          <w:rFonts w:ascii="Century Schoolbook" w:hAnsi="Century Schoolbook"/>
          <w:b/>
        </w:rPr>
        <w:t xml:space="preserve"> </w:t>
      </w:r>
      <w:r w:rsidRPr="00475519" w:rsidR="002C0DBE">
        <w:rPr>
          <w:rFonts w:ascii="Century Schoolbook" w:hAnsi="Century Schoolbook"/>
          <w:b/>
        </w:rPr>
        <w:t xml:space="preserve"> </w:t>
      </w:r>
      <w:r w:rsidRPr="00475519" w:rsidR="002C0DBE">
        <w:rPr>
          <w:rFonts w:ascii="Century Schoolbook" w:hAnsi="Century Schoolbook"/>
          <w:bCs/>
        </w:rPr>
        <w:t xml:space="preserve">The </w:t>
      </w:r>
      <w:r w:rsidRPr="00475519">
        <w:rPr>
          <w:rFonts w:ascii="Century Schoolbook" w:hAnsi="Century Schoolbook"/>
          <w:bCs/>
        </w:rPr>
        <w:t>Morenos argu</w:t>
      </w:r>
      <w:r w:rsidRPr="00475519" w:rsidR="002C0DBE">
        <w:rPr>
          <w:rFonts w:ascii="Century Schoolbook" w:hAnsi="Century Schoolbook"/>
          <w:bCs/>
        </w:rPr>
        <w:t xml:space="preserve">ed </w:t>
      </w:r>
      <w:r w:rsidRPr="00475519">
        <w:rPr>
          <w:rFonts w:ascii="Century Schoolbook" w:hAnsi="Century Schoolbook"/>
          <w:bCs/>
        </w:rPr>
        <w:t xml:space="preserve">Bertuccio </w:t>
      </w:r>
      <w:r w:rsidRPr="00475519" w:rsidR="00BC4028">
        <w:rPr>
          <w:rFonts w:ascii="Century Schoolbook" w:hAnsi="Century Schoolbook"/>
          <w:bCs/>
        </w:rPr>
        <w:t>bore</w:t>
      </w:r>
      <w:r w:rsidRPr="00475519">
        <w:rPr>
          <w:rFonts w:ascii="Century Schoolbook" w:hAnsi="Century Schoolbook"/>
          <w:bCs/>
        </w:rPr>
        <w:t xml:space="preserve"> the burden of offering admissible evidence to show that Marilyn and Frank</w:t>
      </w:r>
      <w:r w:rsidRPr="00475519" w:rsidR="00BC4028">
        <w:rPr>
          <w:rFonts w:ascii="Century Schoolbook" w:hAnsi="Century Schoolbook"/>
          <w:bCs/>
        </w:rPr>
        <w:t>,</w:t>
      </w:r>
      <w:r w:rsidRPr="00475519">
        <w:rPr>
          <w:rFonts w:ascii="Century Schoolbook" w:hAnsi="Century Schoolbook"/>
          <w:bCs/>
        </w:rPr>
        <w:t xml:space="preserve"> Sr. </w:t>
      </w:r>
      <w:r w:rsidRPr="00475519">
        <w:rPr>
          <w:rFonts w:ascii="Century Schoolbook" w:hAnsi="Century Schoolbook"/>
          <w:bCs/>
          <w:i/>
          <w:iCs/>
        </w:rPr>
        <w:t>had not</w:t>
      </w:r>
      <w:r w:rsidRPr="00475519">
        <w:rPr>
          <w:rFonts w:ascii="Century Schoolbook" w:hAnsi="Century Schoolbook"/>
          <w:bCs/>
        </w:rPr>
        <w:t xml:space="preserve"> been cohabiting at the time of </w:t>
      </w:r>
      <w:r w:rsidRPr="00475519" w:rsidR="00C912F9">
        <w:rPr>
          <w:rFonts w:ascii="Century Schoolbook" w:hAnsi="Century Schoolbook"/>
          <w:bCs/>
        </w:rPr>
        <w:t xml:space="preserve">Bertuccio’s </w:t>
      </w:r>
      <w:r w:rsidRPr="00475519">
        <w:rPr>
          <w:rFonts w:ascii="Century Schoolbook" w:hAnsi="Century Schoolbook"/>
          <w:bCs/>
        </w:rPr>
        <w:t>conception and birth</w:t>
      </w:r>
      <w:r>
        <w:rPr>
          <w:rStyle w:val="FootnoteReference"/>
          <w:rFonts w:ascii="Century Schoolbook" w:hAnsi="Century Schoolbook"/>
          <w:bCs/>
        </w:rPr>
        <w:footnoteReference w:id="8"/>
      </w:r>
      <w:r w:rsidRPr="00475519">
        <w:rPr>
          <w:rFonts w:ascii="Century Schoolbook" w:hAnsi="Century Schoolbook"/>
          <w:bCs/>
        </w:rPr>
        <w:t xml:space="preserve"> and that Bertuccio’s declaration describing what he had been told by Marilyn concerning his conception and birth</w:t>
      </w:r>
      <w:r w:rsidRPr="00475519" w:rsidR="00BC23AD">
        <w:rPr>
          <w:rFonts w:ascii="Century Schoolbook" w:hAnsi="Century Schoolbook"/>
          <w:bCs/>
        </w:rPr>
        <w:t xml:space="preserve"> </w:t>
      </w:r>
      <w:r w:rsidRPr="00475519">
        <w:rPr>
          <w:rFonts w:ascii="Century Schoolbook" w:hAnsi="Century Schoolbook"/>
          <w:bCs/>
        </w:rPr>
        <w:t xml:space="preserve">was insufficient to meet his burden as it was inadmissible hearsay. </w:t>
      </w:r>
      <w:r w:rsidR="008025EA">
        <w:rPr>
          <w:rFonts w:ascii="Century Schoolbook" w:hAnsi="Century Schoolbook"/>
          <w:bCs/>
        </w:rPr>
        <w:t xml:space="preserve"> </w:t>
      </w:r>
      <w:r w:rsidRPr="00475519">
        <w:rPr>
          <w:rFonts w:ascii="Century Schoolbook" w:hAnsi="Century Schoolbook"/>
          <w:bCs/>
        </w:rPr>
        <w:t xml:space="preserve">In response, Bertuccio did not </w:t>
      </w:r>
      <w:r w:rsidRPr="00475519" w:rsidR="00BC4028">
        <w:rPr>
          <w:rFonts w:ascii="Century Schoolbook" w:hAnsi="Century Schoolbook"/>
          <w:bCs/>
        </w:rPr>
        <w:t>address</w:t>
      </w:r>
      <w:r w:rsidRPr="00475519">
        <w:rPr>
          <w:rFonts w:ascii="Century Schoolbook" w:hAnsi="Century Schoolbook"/>
          <w:bCs/>
        </w:rPr>
        <w:t xml:space="preserve"> </w:t>
      </w:r>
      <w:r w:rsidRPr="00475519" w:rsidR="000936B6">
        <w:rPr>
          <w:rFonts w:ascii="Century Schoolbook" w:hAnsi="Century Schoolbook"/>
          <w:bCs/>
        </w:rPr>
        <w:t xml:space="preserve">the </w:t>
      </w:r>
      <w:r w:rsidRPr="00475519">
        <w:rPr>
          <w:rFonts w:ascii="Century Schoolbook" w:hAnsi="Century Schoolbook"/>
          <w:bCs/>
        </w:rPr>
        <w:t xml:space="preserve">burden of proof but informed the court that </w:t>
      </w:r>
      <w:r w:rsidRPr="00475519" w:rsidR="00EF4203">
        <w:rPr>
          <w:rFonts w:ascii="Century Schoolbook" w:hAnsi="Century Schoolbook"/>
          <w:bCs/>
        </w:rPr>
        <w:t xml:space="preserve">a declarant’s </w:t>
      </w:r>
      <w:r w:rsidRPr="00475519">
        <w:rPr>
          <w:rFonts w:ascii="Century Schoolbook" w:hAnsi="Century Schoolbook"/>
          <w:bCs/>
        </w:rPr>
        <w:t xml:space="preserve">statements concerning family history were admissible as an exception to the hearsay rule under Evidence Code sections 1310 and 1311. </w:t>
      </w:r>
    </w:p>
    <w:p w:rsidR="00C656FA" w:rsidRPr="00475519" w:rsidP="000E4EAC" w14:paraId="3FB34101" w14:textId="3D3E5EC2">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Following counsel’s arguments, t</w:t>
      </w:r>
      <w:r w:rsidRPr="00475519" w:rsidR="00DA179B">
        <w:rPr>
          <w:rFonts w:ascii="Century Schoolbook" w:hAnsi="Century Schoolbook"/>
          <w:bCs/>
        </w:rPr>
        <w:t>he</w:t>
      </w:r>
      <w:r w:rsidRPr="00475519" w:rsidR="00DF5094">
        <w:rPr>
          <w:rFonts w:ascii="Century Schoolbook" w:hAnsi="Century Schoolbook"/>
          <w:bCs/>
        </w:rPr>
        <w:t xml:space="preserve"> probate </w:t>
      </w:r>
      <w:r w:rsidRPr="00475519" w:rsidR="007151EC">
        <w:rPr>
          <w:rFonts w:ascii="Century Schoolbook" w:hAnsi="Century Schoolbook"/>
          <w:bCs/>
        </w:rPr>
        <w:t>court did not specifically rule on the</w:t>
      </w:r>
      <w:r w:rsidRPr="00475519" w:rsidR="00CF30E0">
        <w:rPr>
          <w:rFonts w:ascii="Century Schoolbook" w:hAnsi="Century Schoolbook"/>
          <w:bCs/>
        </w:rPr>
        <w:t xml:space="preserve"> Morenos’</w:t>
      </w:r>
      <w:r w:rsidRPr="00475519" w:rsidR="007151EC">
        <w:rPr>
          <w:rFonts w:ascii="Century Schoolbook" w:hAnsi="Century Schoolbook"/>
          <w:bCs/>
        </w:rPr>
        <w:t xml:space="preserve"> hearsay objection to </w:t>
      </w:r>
      <w:r w:rsidRPr="00475519" w:rsidR="00CF30E0">
        <w:rPr>
          <w:rFonts w:ascii="Century Schoolbook" w:hAnsi="Century Schoolbook"/>
          <w:bCs/>
        </w:rPr>
        <w:t xml:space="preserve">certain statements in </w:t>
      </w:r>
      <w:r w:rsidRPr="00475519" w:rsidR="007151EC">
        <w:rPr>
          <w:rFonts w:ascii="Century Schoolbook" w:hAnsi="Century Schoolbook"/>
          <w:bCs/>
        </w:rPr>
        <w:t xml:space="preserve">Bertuccio’s declaration (of which the court had taken judicial notice), nor did the court otherwise make any finding </w:t>
      </w:r>
      <w:r w:rsidRPr="00475519" w:rsidR="00EF4203">
        <w:rPr>
          <w:rFonts w:ascii="Century Schoolbook" w:hAnsi="Century Schoolbook"/>
          <w:bCs/>
        </w:rPr>
        <w:t xml:space="preserve">on the issue of the </w:t>
      </w:r>
      <w:r w:rsidRPr="00475519" w:rsidR="007151EC">
        <w:rPr>
          <w:rFonts w:ascii="Century Schoolbook" w:hAnsi="Century Schoolbook"/>
          <w:bCs/>
        </w:rPr>
        <w:t>spouses</w:t>
      </w:r>
      <w:r w:rsidRPr="00475519" w:rsidR="00EF4203">
        <w:rPr>
          <w:rFonts w:ascii="Century Schoolbook" w:hAnsi="Century Schoolbook"/>
          <w:bCs/>
        </w:rPr>
        <w:t xml:space="preserve">’ cohabitation at the time of Bertuccio’s conception and birth; the court said only that </w:t>
      </w:r>
      <w:r w:rsidRPr="00475519" w:rsidR="007151EC">
        <w:rPr>
          <w:rFonts w:ascii="Century Schoolbook" w:hAnsi="Century Schoolbook"/>
          <w:bCs/>
        </w:rPr>
        <w:t>Marilyn and Frank</w:t>
      </w:r>
      <w:r w:rsidRPr="00475519" w:rsidR="00BC4028">
        <w:rPr>
          <w:rFonts w:ascii="Century Schoolbook" w:hAnsi="Century Schoolbook"/>
          <w:bCs/>
        </w:rPr>
        <w:t>,</w:t>
      </w:r>
      <w:r w:rsidRPr="00475519" w:rsidR="007151EC">
        <w:rPr>
          <w:rFonts w:ascii="Century Schoolbook" w:hAnsi="Century Schoolbook"/>
          <w:bCs/>
        </w:rPr>
        <w:t xml:space="preserve"> Sr. were married at the time of Bertucci</w:t>
      </w:r>
      <w:r w:rsidRPr="00475519" w:rsidR="00CE5E97">
        <w:rPr>
          <w:rFonts w:ascii="Century Schoolbook" w:hAnsi="Century Schoolbook"/>
          <w:bCs/>
        </w:rPr>
        <w:t>o</w:t>
      </w:r>
      <w:r w:rsidRPr="00475519" w:rsidR="007151EC">
        <w:rPr>
          <w:rFonts w:ascii="Century Schoolbook" w:hAnsi="Century Schoolbook"/>
          <w:bCs/>
        </w:rPr>
        <w:t xml:space="preserve">’s conception and birth. </w:t>
      </w:r>
      <w:r w:rsidR="008025EA">
        <w:rPr>
          <w:rFonts w:ascii="Century Schoolbook" w:hAnsi="Century Schoolbook"/>
          <w:bCs/>
        </w:rPr>
        <w:t xml:space="preserve"> </w:t>
      </w:r>
      <w:r w:rsidRPr="00475519" w:rsidR="005D2AFE">
        <w:rPr>
          <w:rFonts w:ascii="Century Schoolbook" w:hAnsi="Century Schoolbook"/>
          <w:bCs/>
        </w:rPr>
        <w:t>In</w:t>
      </w:r>
      <w:r w:rsidRPr="00475519" w:rsidR="00DA179B">
        <w:rPr>
          <w:rFonts w:ascii="Century Schoolbook" w:hAnsi="Century Schoolbook"/>
          <w:bCs/>
        </w:rPr>
        <w:t xml:space="preserve"> its </w:t>
      </w:r>
      <w:r w:rsidRPr="00475519" w:rsidR="00EF4203">
        <w:rPr>
          <w:rFonts w:ascii="Century Schoolbook" w:hAnsi="Century Schoolbook"/>
          <w:bCs/>
        </w:rPr>
        <w:t xml:space="preserve">written order, </w:t>
      </w:r>
      <w:r w:rsidRPr="00475519" w:rsidR="000E4EAC">
        <w:rPr>
          <w:rFonts w:ascii="Century Schoolbook" w:hAnsi="Century Schoolbook"/>
          <w:bCs/>
        </w:rPr>
        <w:t xml:space="preserve">the </w:t>
      </w:r>
      <w:r w:rsidRPr="00475519" w:rsidR="0044363A">
        <w:rPr>
          <w:rFonts w:ascii="Century Schoolbook" w:hAnsi="Century Schoolbook"/>
          <w:bCs/>
        </w:rPr>
        <w:t>court</w:t>
      </w:r>
      <w:r w:rsidRPr="00475519" w:rsidR="00EF4203">
        <w:rPr>
          <w:rFonts w:ascii="Century Schoolbook" w:hAnsi="Century Schoolbook"/>
          <w:bCs/>
        </w:rPr>
        <w:t xml:space="preserve"> </w:t>
      </w:r>
      <w:r w:rsidRPr="00475519" w:rsidR="005D2AFE">
        <w:rPr>
          <w:rFonts w:ascii="Century Schoolbook" w:hAnsi="Century Schoolbook"/>
          <w:bCs/>
        </w:rPr>
        <w:t xml:space="preserve">again only stated the spouses were married at the time of Bertuccio’s conception and birth and </w:t>
      </w:r>
      <w:r w:rsidRPr="00475519" w:rsidR="0094545B">
        <w:rPr>
          <w:rFonts w:ascii="Century Schoolbook" w:hAnsi="Century Schoolbook"/>
          <w:bCs/>
        </w:rPr>
        <w:t xml:space="preserve">made no finding </w:t>
      </w:r>
      <w:r w:rsidRPr="00475519" w:rsidR="0044363A">
        <w:rPr>
          <w:rFonts w:ascii="Century Schoolbook" w:hAnsi="Century Schoolbook"/>
          <w:bCs/>
        </w:rPr>
        <w:t>regarding the cohabitation</w:t>
      </w:r>
      <w:r w:rsidRPr="00475519" w:rsidR="00146E29">
        <w:rPr>
          <w:rFonts w:ascii="Century Schoolbook" w:hAnsi="Century Schoolbook"/>
          <w:bCs/>
        </w:rPr>
        <w:t xml:space="preserve"> of Marilyn and Frank</w:t>
      </w:r>
      <w:r w:rsidRPr="00475519" w:rsidR="00BC4028">
        <w:rPr>
          <w:rFonts w:ascii="Century Schoolbook" w:hAnsi="Century Schoolbook"/>
          <w:bCs/>
        </w:rPr>
        <w:t>,</w:t>
      </w:r>
      <w:r w:rsidRPr="00475519" w:rsidR="00146E29">
        <w:rPr>
          <w:rFonts w:ascii="Century Schoolbook" w:hAnsi="Century Schoolbook"/>
          <w:bCs/>
        </w:rPr>
        <w:t xml:space="preserve"> Sr</w:t>
      </w:r>
      <w:r w:rsidRPr="00475519">
        <w:rPr>
          <w:rFonts w:ascii="Century Schoolbook" w:hAnsi="Century Schoolbook"/>
          <w:bCs/>
        </w:rPr>
        <w:t>.</w:t>
      </w:r>
    </w:p>
    <w:p w:rsidR="00DD4AA6" w:rsidRPr="00475519" w:rsidP="005A3C22" w14:paraId="268B8082" w14:textId="47B07483">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As is evident by the record, and conceded by the Morenos </w:t>
      </w:r>
      <w:r w:rsidRPr="00475519" w:rsidR="00E23D54">
        <w:rPr>
          <w:rFonts w:ascii="Century Schoolbook" w:hAnsi="Century Schoolbook"/>
          <w:bCs/>
        </w:rPr>
        <w:t>at</w:t>
      </w:r>
      <w:r w:rsidRPr="00475519">
        <w:rPr>
          <w:rFonts w:ascii="Century Schoolbook" w:hAnsi="Century Schoolbook"/>
          <w:bCs/>
        </w:rPr>
        <w:t xml:space="preserve"> oral argument, the </w:t>
      </w:r>
      <w:r w:rsidRPr="00475519" w:rsidR="00DF5094">
        <w:rPr>
          <w:rFonts w:ascii="Century Schoolbook" w:hAnsi="Century Schoolbook"/>
          <w:bCs/>
        </w:rPr>
        <w:t>probate court</w:t>
      </w:r>
      <w:r w:rsidRPr="00475519" w:rsidR="002C0DBE">
        <w:rPr>
          <w:rFonts w:ascii="Century Schoolbook" w:hAnsi="Century Schoolbook"/>
          <w:bCs/>
        </w:rPr>
        <w:t xml:space="preserve"> did not explicitly make the r</w:t>
      </w:r>
      <w:r w:rsidRPr="00475519" w:rsidR="003B0D4D">
        <w:rPr>
          <w:rFonts w:ascii="Century Schoolbook" w:hAnsi="Century Schoolbook"/>
          <w:bCs/>
        </w:rPr>
        <w:t xml:space="preserve">equisite </w:t>
      </w:r>
      <w:r w:rsidRPr="00475519" w:rsidR="00DF5094">
        <w:rPr>
          <w:rFonts w:ascii="Century Schoolbook" w:hAnsi="Century Schoolbook"/>
          <w:bCs/>
        </w:rPr>
        <w:t>finding regarding the spouses’ cohabitation at the time of Bertucci</w:t>
      </w:r>
      <w:r w:rsidRPr="00475519" w:rsidR="00DD1CE3">
        <w:rPr>
          <w:rFonts w:ascii="Century Schoolbook" w:hAnsi="Century Schoolbook"/>
          <w:bCs/>
        </w:rPr>
        <w:t>o</w:t>
      </w:r>
      <w:r w:rsidRPr="00475519" w:rsidR="00DF5094">
        <w:rPr>
          <w:rFonts w:ascii="Century Schoolbook" w:hAnsi="Century Schoolbook"/>
          <w:bCs/>
        </w:rPr>
        <w:t>’s conception and birth</w:t>
      </w:r>
      <w:r w:rsidRPr="00475519" w:rsidR="003B0D4D">
        <w:rPr>
          <w:rFonts w:ascii="Century Schoolbook" w:hAnsi="Century Schoolbook"/>
          <w:bCs/>
        </w:rPr>
        <w:t xml:space="preserve"> before applying the Family Code section 7540 marital presumption.  </w:t>
      </w:r>
      <w:r w:rsidRPr="00475519">
        <w:rPr>
          <w:rFonts w:ascii="Century Schoolbook" w:hAnsi="Century Schoolbook"/>
          <w:bCs/>
        </w:rPr>
        <w:t xml:space="preserve">In their briefing and at oral argument, however, the Morenos contend that, based on their evidence that was admitted in the probate court, we can conclude the </w:t>
      </w:r>
      <w:r w:rsidRPr="00475519" w:rsidR="002C0DBE">
        <w:rPr>
          <w:rFonts w:ascii="Century Schoolbook" w:hAnsi="Century Schoolbook"/>
          <w:bCs/>
        </w:rPr>
        <w:t>probate court made an implied finding of cohabitation</w:t>
      </w:r>
      <w:r w:rsidRPr="00475519">
        <w:rPr>
          <w:rFonts w:ascii="Century Schoolbook" w:hAnsi="Century Schoolbook"/>
          <w:bCs/>
        </w:rPr>
        <w:t>.</w:t>
      </w:r>
      <w:r w:rsidRPr="00475519" w:rsidR="007D7BD5">
        <w:rPr>
          <w:rFonts w:ascii="Century Schoolbook" w:hAnsi="Century Schoolbook"/>
          <w:bCs/>
        </w:rPr>
        <w:t xml:space="preserve"> </w:t>
      </w:r>
      <w:r w:rsidR="008025EA">
        <w:rPr>
          <w:rFonts w:ascii="Century Schoolbook" w:hAnsi="Century Schoolbook"/>
          <w:bCs/>
        </w:rPr>
        <w:t xml:space="preserve"> </w:t>
      </w:r>
      <w:r w:rsidRPr="00475519" w:rsidR="007D7BD5">
        <w:rPr>
          <w:rFonts w:ascii="Century Schoolbook" w:hAnsi="Century Schoolbook"/>
          <w:bCs/>
        </w:rPr>
        <w:t>W</w:t>
      </w:r>
      <w:r w:rsidRPr="00475519">
        <w:rPr>
          <w:rFonts w:ascii="Century Schoolbook" w:hAnsi="Century Schoolbook"/>
          <w:bCs/>
        </w:rPr>
        <w:t xml:space="preserve">e disagree.  </w:t>
      </w:r>
    </w:p>
    <w:p w:rsidR="00DD4AA6" w:rsidRPr="00475519" w:rsidP="00DD4AA6" w14:paraId="144C1CC7" w14:textId="32028107">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T</w:t>
      </w:r>
      <w:r w:rsidRPr="00475519" w:rsidR="00FA040A">
        <w:rPr>
          <w:rFonts w:ascii="Century Schoolbook" w:hAnsi="Century Schoolbook"/>
          <w:bCs/>
        </w:rPr>
        <w:t>he Moreno</w:t>
      </w:r>
      <w:r w:rsidRPr="00475519" w:rsidR="00762A7A">
        <w:rPr>
          <w:rFonts w:ascii="Century Schoolbook" w:hAnsi="Century Schoolbook"/>
          <w:bCs/>
        </w:rPr>
        <w:t>s</w:t>
      </w:r>
      <w:r w:rsidRPr="00475519" w:rsidR="00581BB5">
        <w:rPr>
          <w:rFonts w:ascii="Century Schoolbook" w:hAnsi="Century Schoolbook"/>
          <w:bCs/>
        </w:rPr>
        <w:t xml:space="preserve"> ask us to consider </w:t>
      </w:r>
      <w:r w:rsidRPr="00475519" w:rsidR="002148B9">
        <w:rPr>
          <w:rFonts w:ascii="Century Schoolbook" w:hAnsi="Century Schoolbook"/>
          <w:bCs/>
        </w:rPr>
        <w:t xml:space="preserve">the </w:t>
      </w:r>
      <w:r w:rsidRPr="00475519" w:rsidR="00822718">
        <w:rPr>
          <w:rFonts w:ascii="Century Schoolbook" w:hAnsi="Century Schoolbook"/>
          <w:bCs/>
        </w:rPr>
        <w:t>judicially noticed</w:t>
      </w:r>
      <w:r w:rsidRPr="00475519" w:rsidR="002148B9">
        <w:rPr>
          <w:rFonts w:ascii="Century Schoolbook" w:hAnsi="Century Schoolbook"/>
          <w:bCs/>
        </w:rPr>
        <w:t xml:space="preserve"> contents of the judgments and order filed in the divorce and child support proceedings between Marilyn and Frank</w:t>
      </w:r>
      <w:r w:rsidRPr="00475519" w:rsidR="00BC4028">
        <w:rPr>
          <w:rFonts w:ascii="Century Schoolbook" w:hAnsi="Century Schoolbook"/>
          <w:bCs/>
        </w:rPr>
        <w:t>,</w:t>
      </w:r>
      <w:r w:rsidRPr="00475519" w:rsidR="002148B9">
        <w:rPr>
          <w:rFonts w:ascii="Century Schoolbook" w:hAnsi="Century Schoolbook"/>
          <w:bCs/>
        </w:rPr>
        <w:t xml:space="preserve"> </w:t>
      </w:r>
      <w:r w:rsidRPr="00475519" w:rsidR="00F478FA">
        <w:rPr>
          <w:rFonts w:ascii="Century Schoolbook" w:hAnsi="Century Schoolbook"/>
          <w:bCs/>
        </w:rPr>
        <w:t>Sr.,</w:t>
      </w:r>
      <w:r w:rsidRPr="00475519" w:rsidR="002148B9">
        <w:rPr>
          <w:rFonts w:ascii="Century Schoolbook" w:hAnsi="Century Schoolbook"/>
          <w:bCs/>
        </w:rPr>
        <w:t xml:space="preserve"> and the undisputed facts that </w:t>
      </w:r>
      <w:r w:rsidRPr="00475519" w:rsidR="00581BB5">
        <w:rPr>
          <w:rFonts w:ascii="Century Schoolbook" w:hAnsi="Century Schoolbook"/>
          <w:bCs/>
        </w:rPr>
        <w:t>(1) Marilyn and Frank</w:t>
      </w:r>
      <w:r w:rsidRPr="00475519" w:rsidR="00BC4028">
        <w:rPr>
          <w:rFonts w:ascii="Century Schoolbook" w:hAnsi="Century Schoolbook"/>
          <w:bCs/>
        </w:rPr>
        <w:t>,</w:t>
      </w:r>
      <w:r w:rsidRPr="00475519" w:rsidR="00581BB5">
        <w:rPr>
          <w:rFonts w:ascii="Century Schoolbook" w:hAnsi="Century Schoolbook"/>
          <w:bCs/>
        </w:rPr>
        <w:t xml:space="preserve"> Sr. </w:t>
      </w:r>
      <w:r w:rsidRPr="00475519" w:rsidR="00963F3C">
        <w:rPr>
          <w:rFonts w:ascii="Century Schoolbook" w:hAnsi="Century Schoolbook"/>
          <w:bCs/>
        </w:rPr>
        <w:t>were married at the time of Bertucci</w:t>
      </w:r>
      <w:r w:rsidRPr="00475519" w:rsidR="00CE5E97">
        <w:rPr>
          <w:rFonts w:ascii="Century Schoolbook" w:hAnsi="Century Schoolbook"/>
          <w:bCs/>
        </w:rPr>
        <w:t>o</w:t>
      </w:r>
      <w:r w:rsidRPr="00475519" w:rsidR="00963F3C">
        <w:rPr>
          <w:rFonts w:ascii="Century Schoolbook" w:hAnsi="Century Schoolbook"/>
          <w:bCs/>
        </w:rPr>
        <w:t xml:space="preserve">’s conception and birth </w:t>
      </w:r>
      <w:r w:rsidRPr="00475519" w:rsidR="002148B9">
        <w:rPr>
          <w:rFonts w:ascii="Century Schoolbook" w:hAnsi="Century Schoolbook"/>
          <w:bCs/>
        </w:rPr>
        <w:t xml:space="preserve">and </w:t>
      </w:r>
      <w:r w:rsidRPr="00475519" w:rsidR="00963F3C">
        <w:rPr>
          <w:rFonts w:ascii="Century Schoolbook" w:hAnsi="Century Schoolbook"/>
          <w:bCs/>
        </w:rPr>
        <w:t>(2) Frank</w:t>
      </w:r>
      <w:r w:rsidRPr="00475519" w:rsidR="00BC4028">
        <w:rPr>
          <w:rFonts w:ascii="Century Schoolbook" w:hAnsi="Century Schoolbook"/>
          <w:bCs/>
        </w:rPr>
        <w:t>,</w:t>
      </w:r>
      <w:r w:rsidRPr="00475519" w:rsidR="00963F3C">
        <w:rPr>
          <w:rFonts w:ascii="Century Schoolbook" w:hAnsi="Century Schoolbook"/>
          <w:bCs/>
        </w:rPr>
        <w:t xml:space="preserve"> Sr. was listed as </w:t>
      </w:r>
      <w:r w:rsidRPr="00475519" w:rsidR="00581BB5">
        <w:rPr>
          <w:rFonts w:ascii="Century Schoolbook" w:hAnsi="Century Schoolbook"/>
          <w:bCs/>
        </w:rPr>
        <w:t xml:space="preserve">the </w:t>
      </w:r>
      <w:r w:rsidRPr="00475519" w:rsidR="00963F3C">
        <w:rPr>
          <w:rFonts w:ascii="Century Schoolbook" w:hAnsi="Century Schoolbook"/>
          <w:bCs/>
        </w:rPr>
        <w:t>father on the child’s birth certificate</w:t>
      </w:r>
      <w:r w:rsidRPr="00475519" w:rsidR="002148B9">
        <w:rPr>
          <w:rFonts w:ascii="Century Schoolbook" w:hAnsi="Century Schoolbook"/>
          <w:bCs/>
        </w:rPr>
        <w:t>.</w:t>
      </w:r>
      <w:r w:rsidR="008025EA">
        <w:rPr>
          <w:rFonts w:ascii="Century Schoolbook" w:hAnsi="Century Schoolbook"/>
          <w:bCs/>
        </w:rPr>
        <w:t xml:space="preserve">  </w:t>
      </w:r>
      <w:r w:rsidRPr="00475519" w:rsidR="005A3C22">
        <w:rPr>
          <w:rFonts w:ascii="Century Schoolbook" w:hAnsi="Century Schoolbook"/>
          <w:bCs/>
        </w:rPr>
        <w:t xml:space="preserve">However, </w:t>
      </w:r>
      <w:r w:rsidRPr="00475519">
        <w:rPr>
          <w:rFonts w:ascii="Century Schoolbook" w:hAnsi="Century Schoolbook"/>
          <w:bCs/>
        </w:rPr>
        <w:t>the contents of the divorce judgments and child support order</w:t>
      </w:r>
      <w:r w:rsidRPr="00475519" w:rsidR="00C912F9">
        <w:rPr>
          <w:rFonts w:ascii="Century Schoolbook" w:hAnsi="Century Schoolbook"/>
          <w:bCs/>
        </w:rPr>
        <w:t xml:space="preserve"> </w:t>
      </w:r>
      <w:r w:rsidRPr="00475519" w:rsidR="008133D4">
        <w:rPr>
          <w:rFonts w:ascii="Century Schoolbook" w:hAnsi="Century Schoolbook"/>
          <w:bCs/>
        </w:rPr>
        <w:t xml:space="preserve">and </w:t>
      </w:r>
      <w:r w:rsidRPr="00475519" w:rsidR="00C912F9">
        <w:rPr>
          <w:rFonts w:ascii="Century Schoolbook" w:hAnsi="Century Schoolbook"/>
          <w:bCs/>
        </w:rPr>
        <w:t>the above</w:t>
      </w:r>
      <w:r w:rsidRPr="00475519" w:rsidR="008133D4">
        <w:rPr>
          <w:rFonts w:ascii="Century Schoolbook" w:hAnsi="Century Schoolbook"/>
          <w:bCs/>
        </w:rPr>
        <w:t>-</w:t>
      </w:r>
      <w:r w:rsidRPr="00475519" w:rsidR="00C912F9">
        <w:rPr>
          <w:rFonts w:ascii="Century Schoolbook" w:hAnsi="Century Schoolbook"/>
          <w:bCs/>
        </w:rPr>
        <w:t>described undisputed facts</w:t>
      </w:r>
      <w:r w:rsidRPr="00475519">
        <w:rPr>
          <w:rFonts w:ascii="Century Schoolbook" w:hAnsi="Century Schoolbook"/>
          <w:bCs/>
        </w:rPr>
        <w:t xml:space="preserve"> </w:t>
      </w:r>
      <w:r w:rsidRPr="00475519" w:rsidR="00963F3C">
        <w:rPr>
          <w:rFonts w:ascii="Century Schoolbook" w:hAnsi="Century Schoolbook"/>
          <w:bCs/>
        </w:rPr>
        <w:t>say nothing about the spouses’ living arrangements at the time of Bertucci</w:t>
      </w:r>
      <w:r w:rsidRPr="00475519">
        <w:rPr>
          <w:rFonts w:ascii="Century Schoolbook" w:hAnsi="Century Schoolbook"/>
          <w:bCs/>
        </w:rPr>
        <w:t>o</w:t>
      </w:r>
      <w:r w:rsidRPr="00475519" w:rsidR="00963F3C">
        <w:rPr>
          <w:rFonts w:ascii="Century Schoolbook" w:hAnsi="Century Schoolbook"/>
          <w:bCs/>
        </w:rPr>
        <w:t>’s conception and birth</w:t>
      </w:r>
      <w:r w:rsidRPr="00475519" w:rsidR="00583D70">
        <w:rPr>
          <w:rFonts w:ascii="Century Schoolbook" w:hAnsi="Century Schoolbook"/>
          <w:bCs/>
        </w:rPr>
        <w:t>.</w:t>
      </w:r>
    </w:p>
    <w:p w:rsidR="008133D4" w:rsidRPr="00475519" w:rsidP="00BC4028" w14:paraId="005B1CDB" w14:textId="0AD13538">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The Morenos also ask us to consider the </w:t>
      </w:r>
      <w:r w:rsidRPr="00475519" w:rsidR="00146E29">
        <w:rPr>
          <w:rFonts w:ascii="Century Schoolbook" w:hAnsi="Century Schoolbook"/>
          <w:bCs/>
        </w:rPr>
        <w:t>verified statements</w:t>
      </w:r>
      <w:r w:rsidRPr="00475519" w:rsidR="00581BB5">
        <w:rPr>
          <w:rFonts w:ascii="Century Schoolbook" w:hAnsi="Century Schoolbook"/>
          <w:bCs/>
        </w:rPr>
        <w:t xml:space="preserve"> made</w:t>
      </w:r>
      <w:r w:rsidRPr="00475519" w:rsidR="004457A3">
        <w:rPr>
          <w:rFonts w:ascii="Century Schoolbook" w:hAnsi="Century Schoolbook"/>
          <w:bCs/>
        </w:rPr>
        <w:t xml:space="preserve"> by Frank</w:t>
      </w:r>
      <w:r w:rsidRPr="00475519" w:rsidR="00BC4028">
        <w:rPr>
          <w:rFonts w:ascii="Century Schoolbook" w:hAnsi="Century Schoolbook"/>
          <w:bCs/>
        </w:rPr>
        <w:t>,</w:t>
      </w:r>
      <w:r w:rsidRPr="00475519" w:rsidR="004457A3">
        <w:rPr>
          <w:rFonts w:ascii="Century Schoolbook" w:hAnsi="Century Schoolbook"/>
          <w:bCs/>
        </w:rPr>
        <w:t xml:space="preserve"> Sr. and Marilyn </w:t>
      </w:r>
      <w:r w:rsidRPr="00475519" w:rsidR="00581BB5">
        <w:rPr>
          <w:rFonts w:ascii="Century Schoolbook" w:hAnsi="Century Schoolbook"/>
          <w:bCs/>
        </w:rPr>
        <w:t>in</w:t>
      </w:r>
      <w:r w:rsidRPr="00475519" w:rsidR="00EB2461">
        <w:rPr>
          <w:rFonts w:ascii="Century Schoolbook" w:hAnsi="Century Schoolbook"/>
          <w:bCs/>
        </w:rPr>
        <w:t xml:space="preserve"> their </w:t>
      </w:r>
      <w:r w:rsidRPr="00475519" w:rsidR="00DF3D4E">
        <w:rPr>
          <w:rFonts w:ascii="Century Schoolbook" w:hAnsi="Century Schoolbook"/>
          <w:bCs/>
        </w:rPr>
        <w:t>court</w:t>
      </w:r>
      <w:r w:rsidRPr="00475519" w:rsidR="004457A3">
        <w:rPr>
          <w:rFonts w:ascii="Century Schoolbook" w:hAnsi="Century Schoolbook"/>
          <w:bCs/>
        </w:rPr>
        <w:t xml:space="preserve"> documents, </w:t>
      </w:r>
      <w:r w:rsidRPr="00475519" w:rsidR="00581BB5">
        <w:rPr>
          <w:rFonts w:ascii="Century Schoolbook" w:hAnsi="Century Schoolbook"/>
          <w:bCs/>
        </w:rPr>
        <w:t>in which the</w:t>
      </w:r>
      <w:r w:rsidRPr="00475519" w:rsidR="00EB2461">
        <w:rPr>
          <w:rFonts w:ascii="Century Schoolbook" w:hAnsi="Century Schoolbook"/>
          <w:bCs/>
        </w:rPr>
        <w:t>y averred B</w:t>
      </w:r>
      <w:r w:rsidRPr="00475519" w:rsidR="00E221FC">
        <w:rPr>
          <w:rFonts w:ascii="Century Schoolbook" w:hAnsi="Century Schoolbook"/>
          <w:bCs/>
        </w:rPr>
        <w:t>ertucci</w:t>
      </w:r>
      <w:r w:rsidRPr="00475519" w:rsidR="00CE5E97">
        <w:rPr>
          <w:rFonts w:ascii="Century Schoolbook" w:hAnsi="Century Schoolbook"/>
          <w:bCs/>
        </w:rPr>
        <w:t>o</w:t>
      </w:r>
      <w:r w:rsidRPr="00475519" w:rsidR="00E221FC">
        <w:rPr>
          <w:rFonts w:ascii="Century Schoolbook" w:hAnsi="Century Schoolbook"/>
          <w:bCs/>
        </w:rPr>
        <w:t xml:space="preserve"> </w:t>
      </w:r>
      <w:r w:rsidRPr="00475519" w:rsidR="00581BB5">
        <w:rPr>
          <w:rFonts w:ascii="Century Schoolbook" w:hAnsi="Century Schoolbook"/>
          <w:bCs/>
        </w:rPr>
        <w:t xml:space="preserve">is a child or </w:t>
      </w:r>
      <w:r w:rsidRPr="00475519" w:rsidR="00E221FC">
        <w:rPr>
          <w:rFonts w:ascii="Century Schoolbook" w:hAnsi="Century Schoolbook"/>
          <w:bCs/>
        </w:rPr>
        <w:t>issue of the marriage</w:t>
      </w:r>
      <w:r w:rsidRPr="00475519" w:rsidR="00963F3C">
        <w:rPr>
          <w:rFonts w:ascii="Century Schoolbook" w:hAnsi="Century Schoolbook"/>
          <w:bCs/>
        </w:rPr>
        <w:t xml:space="preserve">. </w:t>
      </w:r>
      <w:r w:rsidR="008025EA">
        <w:rPr>
          <w:rFonts w:ascii="Century Schoolbook" w:hAnsi="Century Schoolbook"/>
          <w:bCs/>
        </w:rPr>
        <w:t xml:space="preserve"> </w:t>
      </w:r>
      <w:r w:rsidRPr="00475519" w:rsidR="002D4F1E">
        <w:rPr>
          <w:rFonts w:ascii="Century Schoolbook" w:hAnsi="Century Schoolbook"/>
          <w:bCs/>
        </w:rPr>
        <w:t xml:space="preserve">As a preliminary matter, </w:t>
      </w:r>
      <w:r w:rsidRPr="00475519" w:rsidR="00FB5377">
        <w:rPr>
          <w:rFonts w:ascii="Century Schoolbook" w:hAnsi="Century Schoolbook"/>
          <w:bCs/>
        </w:rPr>
        <w:t xml:space="preserve">we note </w:t>
      </w:r>
      <w:r w:rsidRPr="00475519" w:rsidR="00EB2461">
        <w:rPr>
          <w:rFonts w:ascii="Century Schoolbook" w:hAnsi="Century Schoolbook"/>
          <w:bCs/>
        </w:rPr>
        <w:t xml:space="preserve">the </w:t>
      </w:r>
      <w:r w:rsidRPr="00475519" w:rsidR="00284424">
        <w:rPr>
          <w:rFonts w:ascii="Century Schoolbook" w:hAnsi="Century Schoolbook"/>
          <w:bCs/>
        </w:rPr>
        <w:t xml:space="preserve">probate </w:t>
      </w:r>
      <w:r w:rsidRPr="00475519" w:rsidR="00EB2461">
        <w:rPr>
          <w:rFonts w:ascii="Century Schoolbook" w:hAnsi="Century Schoolbook"/>
          <w:bCs/>
        </w:rPr>
        <w:t xml:space="preserve">court did not </w:t>
      </w:r>
      <w:r w:rsidRPr="00475519" w:rsidR="002D4F1E">
        <w:rPr>
          <w:rFonts w:ascii="Century Schoolbook" w:hAnsi="Century Schoolbook"/>
          <w:bCs/>
        </w:rPr>
        <w:t>take judicial notice of the hearsay statements contained in those documents</w:t>
      </w:r>
      <w:r w:rsidRPr="00475519" w:rsidR="00EB2461">
        <w:rPr>
          <w:rFonts w:ascii="Century Schoolbook" w:hAnsi="Century Schoolbook"/>
          <w:bCs/>
        </w:rPr>
        <w:t xml:space="preserve">.  </w:t>
      </w:r>
      <w:r w:rsidRPr="00475519" w:rsidR="006B79F8">
        <w:rPr>
          <w:rFonts w:ascii="Century Schoolbook" w:hAnsi="Century Schoolbook"/>
          <w:bCs/>
        </w:rPr>
        <w:t xml:space="preserve">(See </w:t>
      </w:r>
      <w:r w:rsidRPr="00475519" w:rsidR="006B79F8">
        <w:rPr>
          <w:rFonts w:ascii="Century Schoolbook" w:hAnsi="Century Schoolbook"/>
          <w:bCs/>
          <w:i/>
          <w:iCs/>
        </w:rPr>
        <w:t>StorMedia Inc. v. Superior Court</w:t>
      </w:r>
      <w:r w:rsidRPr="00475519" w:rsidR="006B79F8">
        <w:rPr>
          <w:rFonts w:ascii="Century Schoolbook" w:hAnsi="Century Schoolbook"/>
          <w:bCs/>
        </w:rPr>
        <w:t xml:space="preserve"> (1999) 20 Cal.4th 449, </w:t>
      </w:r>
      <w:r w:rsidRPr="00475519" w:rsidR="00856187">
        <w:rPr>
          <w:rFonts w:ascii="Century Schoolbook" w:hAnsi="Century Schoolbook"/>
          <w:bCs/>
        </w:rPr>
        <w:t>4</w:t>
      </w:r>
      <w:r w:rsidRPr="00475519" w:rsidR="006B79F8">
        <w:rPr>
          <w:rFonts w:ascii="Century Schoolbook" w:hAnsi="Century Schoolbook"/>
          <w:bCs/>
        </w:rPr>
        <w:t>57, fn.</w:t>
      </w:r>
      <w:r w:rsidRPr="00475519" w:rsidR="00B37539">
        <w:rPr>
          <w:rFonts w:ascii="Century Schoolbook" w:hAnsi="Century Schoolbook"/>
          <w:bCs/>
        </w:rPr>
        <w:t> </w:t>
      </w:r>
      <w:r w:rsidRPr="00475519" w:rsidR="006B79F8">
        <w:rPr>
          <w:rFonts w:ascii="Century Schoolbook" w:hAnsi="Century Schoolbook"/>
          <w:bCs/>
        </w:rPr>
        <w:t>9 [“[w]hen judicial notice is taken of a document . . . the truthfulness and proper interpretation of the document are disputable”].)</w:t>
      </w:r>
      <w:r w:rsidRPr="00475519" w:rsidR="002D4F1E">
        <w:rPr>
          <w:rFonts w:ascii="Century Schoolbook" w:hAnsi="Century Schoolbook"/>
          <w:bCs/>
        </w:rPr>
        <w:t xml:space="preserve"> </w:t>
      </w:r>
      <w:r w:rsidRPr="00475519" w:rsidR="00284424">
        <w:rPr>
          <w:rFonts w:ascii="Century Schoolbook" w:hAnsi="Century Schoolbook"/>
          <w:bCs/>
        </w:rPr>
        <w:t>And</w:t>
      </w:r>
      <w:r w:rsidRPr="00475519" w:rsidR="005D2AFE">
        <w:rPr>
          <w:rFonts w:ascii="Century Schoolbook" w:hAnsi="Century Schoolbook"/>
          <w:bCs/>
        </w:rPr>
        <w:t>,</w:t>
      </w:r>
      <w:r w:rsidRPr="00475519" w:rsidR="00284424">
        <w:rPr>
          <w:rFonts w:ascii="Century Schoolbook" w:hAnsi="Century Schoolbook"/>
          <w:bCs/>
        </w:rPr>
        <w:t xml:space="preserve"> e</w:t>
      </w:r>
      <w:r w:rsidRPr="00475519" w:rsidR="002D4F1E">
        <w:rPr>
          <w:rFonts w:ascii="Century Schoolbook" w:hAnsi="Century Schoolbook"/>
          <w:bCs/>
        </w:rPr>
        <w:t>ven assuming we considered the spouses’ verified statements in the</w:t>
      </w:r>
      <w:r w:rsidRPr="00475519" w:rsidR="004402BB">
        <w:rPr>
          <w:rFonts w:ascii="Century Schoolbook" w:hAnsi="Century Schoolbook"/>
          <w:bCs/>
        </w:rPr>
        <w:t xml:space="preserve">ir </w:t>
      </w:r>
      <w:r w:rsidRPr="00475519" w:rsidR="00DF3D4E">
        <w:rPr>
          <w:rFonts w:ascii="Century Schoolbook" w:hAnsi="Century Schoolbook"/>
          <w:bCs/>
        </w:rPr>
        <w:t xml:space="preserve">court filings, </w:t>
      </w:r>
      <w:r w:rsidRPr="00475519" w:rsidR="002D4F1E">
        <w:rPr>
          <w:rFonts w:ascii="Century Schoolbook" w:hAnsi="Century Schoolbook"/>
          <w:bCs/>
        </w:rPr>
        <w:t xml:space="preserve">we </w:t>
      </w:r>
      <w:r w:rsidRPr="00475519" w:rsidR="000F52C6">
        <w:rPr>
          <w:rFonts w:ascii="Century Schoolbook" w:hAnsi="Century Schoolbook"/>
          <w:bCs/>
        </w:rPr>
        <w:t xml:space="preserve">are not persuaded by </w:t>
      </w:r>
      <w:r w:rsidRPr="00475519" w:rsidR="002D4F1E">
        <w:rPr>
          <w:rFonts w:ascii="Century Schoolbook" w:hAnsi="Century Schoolbook"/>
          <w:bCs/>
        </w:rPr>
        <w:t>the Morenos’ assertion that the spouses</w:t>
      </w:r>
      <w:r w:rsidRPr="00475519" w:rsidR="00581BB5">
        <w:rPr>
          <w:rFonts w:ascii="Century Schoolbook" w:hAnsi="Century Schoolbook"/>
          <w:bCs/>
        </w:rPr>
        <w:t xml:space="preserve">’ statements concerning Bertuccio’s status as their child </w:t>
      </w:r>
      <w:r w:rsidRPr="00475519" w:rsidR="00FA040A">
        <w:rPr>
          <w:rFonts w:ascii="Century Schoolbook" w:hAnsi="Century Schoolbook"/>
          <w:bCs/>
        </w:rPr>
        <w:t xml:space="preserve">“could not have been possible” if the spouses had not </w:t>
      </w:r>
      <w:r w:rsidRPr="00475519" w:rsidR="002D4F1E">
        <w:rPr>
          <w:rFonts w:ascii="Century Schoolbook" w:hAnsi="Century Schoolbook"/>
          <w:bCs/>
        </w:rPr>
        <w:t>been</w:t>
      </w:r>
      <w:r w:rsidRPr="00475519" w:rsidR="008209C2">
        <w:rPr>
          <w:rFonts w:ascii="Century Schoolbook" w:hAnsi="Century Schoolbook"/>
          <w:bCs/>
        </w:rPr>
        <w:t xml:space="preserve"> “cohabiting” </w:t>
      </w:r>
      <w:r w:rsidRPr="00475519" w:rsidR="00FA040A">
        <w:rPr>
          <w:rFonts w:ascii="Century Schoolbook" w:hAnsi="Century Schoolbook"/>
          <w:bCs/>
        </w:rPr>
        <w:t>at the time of</w:t>
      </w:r>
      <w:r w:rsidRPr="00475519" w:rsidR="006B79F8">
        <w:rPr>
          <w:rFonts w:ascii="Century Schoolbook" w:hAnsi="Century Schoolbook"/>
          <w:bCs/>
        </w:rPr>
        <w:t xml:space="preserve"> the child’s</w:t>
      </w:r>
      <w:r w:rsidRPr="00475519" w:rsidR="00FA040A">
        <w:rPr>
          <w:rFonts w:ascii="Century Schoolbook" w:hAnsi="Century Schoolbook"/>
          <w:bCs/>
        </w:rPr>
        <w:t xml:space="preserve"> conception</w:t>
      </w:r>
      <w:r w:rsidRPr="00475519" w:rsidR="004402BB">
        <w:rPr>
          <w:rFonts w:ascii="Century Schoolbook" w:hAnsi="Century Schoolbook"/>
          <w:bCs/>
        </w:rPr>
        <w:t xml:space="preserve"> and birth</w:t>
      </w:r>
      <w:r w:rsidRPr="00475519" w:rsidR="00E221FC">
        <w:rPr>
          <w:rFonts w:ascii="Century Schoolbook" w:hAnsi="Century Schoolbook"/>
          <w:bCs/>
        </w:rPr>
        <w:t>.</w:t>
      </w:r>
      <w:r w:rsidRPr="00475519" w:rsidR="00FA040A">
        <w:rPr>
          <w:rFonts w:ascii="Century Schoolbook" w:hAnsi="Century Schoolbook"/>
          <w:bCs/>
        </w:rPr>
        <w:t xml:space="preserve">  </w:t>
      </w:r>
      <w:r w:rsidRPr="00475519" w:rsidR="00C01444">
        <w:rPr>
          <w:rFonts w:ascii="Century Schoolbook" w:hAnsi="Century Schoolbook"/>
          <w:bCs/>
        </w:rPr>
        <w:t xml:space="preserve">That is not the only reasonable inference to be drawn </w:t>
      </w:r>
      <w:r w:rsidRPr="00475519" w:rsidR="00976184">
        <w:rPr>
          <w:rFonts w:ascii="Century Schoolbook" w:hAnsi="Century Schoolbook"/>
          <w:bCs/>
        </w:rPr>
        <w:t>as</w:t>
      </w:r>
      <w:r w:rsidRPr="00475519" w:rsidR="00C01444">
        <w:rPr>
          <w:rFonts w:ascii="Century Schoolbook" w:hAnsi="Century Schoolbook"/>
          <w:bCs/>
        </w:rPr>
        <w:t xml:space="preserve"> the statements say nothing about the spouses’ living arrangements at the time Bertuccio was conceived and born</w:t>
      </w:r>
      <w:r w:rsidRPr="00475519" w:rsidR="00D84593">
        <w:rPr>
          <w:rFonts w:ascii="Century Schoolbook" w:hAnsi="Century Schoolbook"/>
          <w:bCs/>
        </w:rPr>
        <w:t xml:space="preserve">. </w:t>
      </w:r>
      <w:r w:rsidRPr="00475519" w:rsidR="006D761C">
        <w:rPr>
          <w:rFonts w:ascii="Century Schoolbook" w:hAnsi="Century Schoolbook"/>
          <w:bCs/>
        </w:rPr>
        <w:t xml:space="preserve"> </w:t>
      </w:r>
      <w:r w:rsidRPr="00475519" w:rsidR="00B40BCA">
        <w:rPr>
          <w:rFonts w:ascii="Century Schoolbook" w:hAnsi="Century Schoolbook"/>
          <w:bCs/>
        </w:rPr>
        <w:t>(</w:t>
      </w:r>
      <w:r w:rsidRPr="00475519" w:rsidR="00751CDA">
        <w:rPr>
          <w:rFonts w:ascii="Century Schoolbook" w:hAnsi="Century Schoolbook"/>
          <w:bCs/>
        </w:rPr>
        <w:t xml:space="preserve">See </w:t>
      </w:r>
      <w:r w:rsidRPr="00475519" w:rsidR="00751CDA">
        <w:rPr>
          <w:rFonts w:ascii="Century Schoolbook" w:hAnsi="Century Schoolbook"/>
          <w:bCs/>
          <w:i/>
          <w:iCs/>
        </w:rPr>
        <w:t>Steven W. v. Matthew S</w:t>
      </w:r>
      <w:r w:rsidRPr="00475519" w:rsidR="00751CDA">
        <w:rPr>
          <w:rFonts w:ascii="Century Schoolbook" w:hAnsi="Century Schoolbook"/>
          <w:bCs/>
        </w:rPr>
        <w:t>. (1995) 3</w:t>
      </w:r>
      <w:r w:rsidRPr="00475519" w:rsidR="00D60EA1">
        <w:rPr>
          <w:rFonts w:ascii="Century Schoolbook" w:hAnsi="Century Schoolbook"/>
          <w:bCs/>
        </w:rPr>
        <w:t>3</w:t>
      </w:r>
      <w:r w:rsidRPr="00475519" w:rsidR="00751CDA">
        <w:rPr>
          <w:rFonts w:ascii="Century Schoolbook" w:hAnsi="Century Schoolbook"/>
          <w:bCs/>
        </w:rPr>
        <w:t xml:space="preserve"> Cal.App.4th 1108, 111</w:t>
      </w:r>
      <w:r w:rsidRPr="00475519" w:rsidR="003753E4">
        <w:rPr>
          <w:rFonts w:ascii="Century Schoolbook" w:hAnsi="Century Schoolbook"/>
          <w:bCs/>
        </w:rPr>
        <w:t>4</w:t>
      </w:r>
      <w:r w:rsidRPr="00475519" w:rsidR="00BE581D">
        <w:rPr>
          <w:rFonts w:ascii="Century Schoolbook" w:hAnsi="Century Schoolbook"/>
          <w:bCs/>
        </w:rPr>
        <w:t xml:space="preserve"> </w:t>
      </w:r>
      <w:r w:rsidRPr="00475519" w:rsidR="00751CDA">
        <w:rPr>
          <w:rFonts w:ascii="Century Schoolbook" w:hAnsi="Century Schoolbook"/>
          <w:bCs/>
        </w:rPr>
        <w:t>[</w:t>
      </w:r>
      <w:r w:rsidRPr="00475519" w:rsidR="00756CFB">
        <w:rPr>
          <w:rFonts w:ascii="Century Schoolbook" w:hAnsi="Century Schoolbook"/>
          <w:bCs/>
        </w:rPr>
        <w:t>“[t]he married couple must be</w:t>
      </w:r>
      <w:r w:rsidRPr="00475519" w:rsidR="008209C2">
        <w:rPr>
          <w:rFonts w:ascii="Century Schoolbook" w:hAnsi="Century Schoolbook"/>
          <w:bCs/>
        </w:rPr>
        <w:t xml:space="preserve"> cohabiting </w:t>
      </w:r>
      <w:r w:rsidRPr="00475519" w:rsidR="00756CFB">
        <w:rPr>
          <w:rFonts w:ascii="Century Schoolbook" w:hAnsi="Century Schoolbook"/>
          <w:bCs/>
        </w:rPr>
        <w:t>to trigger” conclusive presumption under section 7540; “</w:t>
      </w:r>
      <w:r w:rsidRPr="00475519" w:rsidR="00751CDA">
        <w:rPr>
          <w:rFonts w:ascii="Century Schoolbook" w:hAnsi="Century Schoolbook"/>
          <w:bCs/>
        </w:rPr>
        <w:t>[c]ohabitation implies more than a stolen weekend or a sexual encounter; it is living together in a marital household, sharing day-to-day life”]</w:t>
      </w:r>
      <w:r w:rsidRPr="00475519" w:rsidR="00756CFB">
        <w:rPr>
          <w:rFonts w:ascii="Century Schoolbook" w:hAnsi="Century Schoolbook"/>
          <w:bCs/>
        </w:rPr>
        <w:t xml:space="preserve">; see </w:t>
      </w:r>
      <w:r w:rsidRPr="00475519" w:rsidR="00756CFB">
        <w:rPr>
          <w:rFonts w:ascii="Century Schoolbook" w:hAnsi="Century Schoolbook"/>
          <w:bCs/>
          <w:i/>
          <w:iCs/>
        </w:rPr>
        <w:t>Kusior v. Silver</w:t>
      </w:r>
      <w:r w:rsidRPr="00475519" w:rsidR="00756CFB">
        <w:rPr>
          <w:rFonts w:ascii="Century Schoolbook" w:hAnsi="Century Schoolbook"/>
          <w:bCs/>
        </w:rPr>
        <w:t xml:space="preserve"> (1960) 54 Cal.</w:t>
      </w:r>
      <w:r w:rsidRPr="00475519" w:rsidR="00D60EA1">
        <w:rPr>
          <w:rFonts w:ascii="Century Schoolbook" w:hAnsi="Century Schoolbook"/>
          <w:bCs/>
        </w:rPr>
        <w:t>2d</w:t>
      </w:r>
      <w:r w:rsidRPr="00475519" w:rsidR="00756CFB">
        <w:rPr>
          <w:rFonts w:ascii="Century Schoolbook" w:hAnsi="Century Schoolbook"/>
          <w:bCs/>
        </w:rPr>
        <w:t xml:space="preserve"> 603, 616 [</w:t>
      </w:r>
      <w:r w:rsidRPr="00475519" w:rsidR="00FD7CF3">
        <w:rPr>
          <w:rFonts w:ascii="Century Schoolbook" w:hAnsi="Century Schoolbook"/>
          <w:bCs/>
        </w:rPr>
        <w:t xml:space="preserve">cohabitation means “ ‘living together as husband and wife’ ”].) </w:t>
      </w:r>
      <w:r w:rsidRPr="00475519" w:rsidR="00EB2461">
        <w:rPr>
          <w:rFonts w:ascii="Century Schoolbook" w:hAnsi="Century Schoolbook"/>
          <w:bCs/>
        </w:rPr>
        <w:t xml:space="preserve"> </w:t>
      </w:r>
    </w:p>
    <w:p w:rsidR="00976184" w:rsidRPr="00475519" w:rsidP="004617FA" w14:paraId="517B4E07" w14:textId="3DFB0E8B">
      <w:pPr>
        <w:shd w:val="clear" w:color="auto" w:fill="FFFFFF"/>
        <w:spacing w:line="360" w:lineRule="auto"/>
        <w:ind w:firstLine="720"/>
        <w:textAlignment w:val="baseline"/>
        <w:rPr>
          <w:rFonts w:ascii="Century Schoolbook" w:hAnsi="Century Schoolbook"/>
          <w:bCs/>
        </w:rPr>
      </w:pPr>
      <w:bookmarkStart w:id="0" w:name="_Hlk125557144"/>
      <w:r w:rsidRPr="00475519">
        <w:rPr>
          <w:rFonts w:ascii="Century Schoolbook" w:hAnsi="Century Schoolbook"/>
          <w:bCs/>
        </w:rPr>
        <w:t>In sum, because the Morenos’ admitted evidence in the probate court at best raises a triable issue but does not permit a finding of cohabitation as a matter of law, we cannot uphold the probate court’s decision premised on the Family Code section 7540 marital presumption.  Accordingly, we shall reverse the order granting summary judgment.</w:t>
      </w:r>
    </w:p>
    <w:bookmarkEnd w:id="0"/>
    <w:p w:rsidR="001E0695" w:rsidRPr="00475519" w:rsidP="00B21B3A" w14:paraId="3E073945" w14:textId="72BDBAF7">
      <w:pPr>
        <w:shd w:val="clear" w:color="auto" w:fill="FFFFFF"/>
        <w:tabs>
          <w:tab w:val="clear" w:pos="720"/>
        </w:tabs>
        <w:spacing w:line="360" w:lineRule="auto"/>
        <w:ind w:firstLine="720"/>
        <w:textAlignment w:val="baseline"/>
        <w:rPr>
          <w:rFonts w:ascii="Century Schoolbook" w:hAnsi="Century Schoolbook"/>
          <w:bCs/>
        </w:rPr>
      </w:pPr>
      <w:r w:rsidRPr="00475519">
        <w:rPr>
          <w:rFonts w:ascii="Century Schoolbook" w:hAnsi="Century Schoolbook"/>
          <w:bCs/>
        </w:rPr>
        <w:t xml:space="preserve">As the parties and probate court did not focus on the issue of cohabitation, on remand the court, in its discretion, </w:t>
      </w:r>
      <w:r w:rsidRPr="00475519" w:rsidR="00976184">
        <w:rPr>
          <w:rFonts w:ascii="Century Schoolbook" w:hAnsi="Century Schoolbook"/>
          <w:bCs/>
        </w:rPr>
        <w:t>may</w:t>
      </w:r>
      <w:r w:rsidRPr="00475519" w:rsidR="004B4501">
        <w:rPr>
          <w:rFonts w:ascii="Century Schoolbook" w:hAnsi="Century Schoolbook"/>
          <w:bCs/>
        </w:rPr>
        <w:t xml:space="preserve"> allow </w:t>
      </w:r>
      <w:r w:rsidRPr="00475519">
        <w:rPr>
          <w:rFonts w:ascii="Century Schoolbook" w:hAnsi="Century Schoolbook"/>
          <w:bCs/>
        </w:rPr>
        <w:t xml:space="preserve">the Morenos to renew their motion for summary judgment.  </w:t>
      </w:r>
      <w:r w:rsidRPr="00475519" w:rsidR="00AC6369">
        <w:rPr>
          <w:rFonts w:ascii="Century Schoolbook" w:hAnsi="Century Schoolbook"/>
          <w:bCs/>
        </w:rPr>
        <w:t xml:space="preserve">(See </w:t>
      </w:r>
      <w:r w:rsidRPr="00475519" w:rsidR="00AC6369">
        <w:rPr>
          <w:rFonts w:ascii="Century Schoolbook" w:hAnsi="Century Schoolbook"/>
          <w:bCs/>
          <w:i/>
          <w:iCs/>
        </w:rPr>
        <w:t>TRB Investments, Inc. v. Fireman’s Fund Ins. Co.</w:t>
      </w:r>
      <w:r w:rsidRPr="00475519" w:rsidR="00AC6369">
        <w:rPr>
          <w:rFonts w:ascii="Century Schoolbook" w:hAnsi="Century Schoolbook"/>
          <w:bCs/>
        </w:rPr>
        <w:t xml:space="preserve"> (2006) 40 Cal.4th 19, 31 [where court determined </w:t>
      </w:r>
      <w:r w:rsidR="000A297F">
        <w:rPr>
          <w:rFonts w:ascii="Century Schoolbook" w:hAnsi="Century Schoolbook"/>
          <w:bCs/>
        </w:rPr>
        <w:t xml:space="preserve">the </w:t>
      </w:r>
      <w:r w:rsidRPr="00475519" w:rsidR="00AC6369">
        <w:rPr>
          <w:rFonts w:ascii="Century Schoolbook" w:hAnsi="Century Schoolbook"/>
          <w:bCs/>
        </w:rPr>
        <w:t>relevant inquiry was different from the one addressed by parties, matter was remanded with directions to allow for the filing of a new summary judgment motion so the parties could elicit key facts that might have a bearing on the relevant inquiry as determined by the court].</w:t>
      </w:r>
      <w:r w:rsidRPr="00475519" w:rsidR="00B21B3A">
        <w:rPr>
          <w:rFonts w:ascii="Century Schoolbook" w:hAnsi="Century Schoolbook"/>
          <w:bCs/>
        </w:rPr>
        <w:t>)</w:t>
      </w:r>
      <w:r w:rsidRPr="00475519" w:rsidR="00AC6369">
        <w:rPr>
          <w:rFonts w:ascii="Century Schoolbook" w:hAnsi="Century Schoolbook"/>
          <w:bCs/>
        </w:rPr>
        <w:t xml:space="preserve"> </w:t>
      </w:r>
      <w:r w:rsidRPr="00475519" w:rsidR="004218AE">
        <w:rPr>
          <w:rFonts w:ascii="Century Schoolbook" w:hAnsi="Century Schoolbook"/>
          <w:bCs/>
        </w:rPr>
        <w:t xml:space="preserve"> </w:t>
      </w:r>
      <w:r w:rsidRPr="00475519">
        <w:rPr>
          <w:rFonts w:ascii="Century Schoolbook" w:hAnsi="Century Schoolbook"/>
          <w:bCs/>
        </w:rPr>
        <w:t xml:space="preserve">A renewed motion would </w:t>
      </w:r>
      <w:r w:rsidRPr="00475519" w:rsidR="00976184">
        <w:rPr>
          <w:rFonts w:ascii="Century Schoolbook" w:hAnsi="Century Schoolbook"/>
          <w:bCs/>
        </w:rPr>
        <w:t>allow</w:t>
      </w:r>
      <w:r w:rsidRPr="00475519">
        <w:rPr>
          <w:rFonts w:ascii="Century Schoolbook" w:hAnsi="Century Schoolbook"/>
          <w:bCs/>
        </w:rPr>
        <w:t xml:space="preserve"> the probate court </w:t>
      </w:r>
      <w:r w:rsidRPr="00475519" w:rsidR="00976184">
        <w:rPr>
          <w:rFonts w:ascii="Century Schoolbook" w:hAnsi="Century Schoolbook"/>
          <w:bCs/>
        </w:rPr>
        <w:t>to</w:t>
      </w:r>
      <w:r w:rsidRPr="00475519">
        <w:rPr>
          <w:rFonts w:ascii="Century Schoolbook" w:hAnsi="Century Schoolbook"/>
          <w:bCs/>
        </w:rPr>
        <w:t xml:space="preserve"> resolve the motion on the merits in light of our decision that the Family Code section 7540 marital presumption requires a finding</w:t>
      </w:r>
      <w:r w:rsidRPr="00475519" w:rsidR="000D1443">
        <w:rPr>
          <w:rFonts w:ascii="Century Schoolbook" w:hAnsi="Century Schoolbook"/>
          <w:bCs/>
        </w:rPr>
        <w:t xml:space="preserve"> that </w:t>
      </w:r>
      <w:r w:rsidRPr="00475519" w:rsidR="00C912F9">
        <w:rPr>
          <w:rFonts w:ascii="Century Schoolbook" w:hAnsi="Century Schoolbook"/>
          <w:bCs/>
        </w:rPr>
        <w:t>Marilyn and Frank, Sr. were cohabiting as husband and wife</w:t>
      </w:r>
      <w:r w:rsidRPr="00475519" w:rsidR="00265E20">
        <w:rPr>
          <w:rFonts w:ascii="Century Schoolbook" w:hAnsi="Century Schoolbook"/>
          <w:bCs/>
        </w:rPr>
        <w:t xml:space="preserve"> when</w:t>
      </w:r>
      <w:r w:rsidRPr="00475519" w:rsidR="00AC6369">
        <w:rPr>
          <w:rFonts w:ascii="Century Schoolbook" w:hAnsi="Century Schoolbook"/>
          <w:bCs/>
        </w:rPr>
        <w:t xml:space="preserve"> </w:t>
      </w:r>
      <w:r w:rsidRPr="00475519" w:rsidR="000D1443">
        <w:rPr>
          <w:rFonts w:ascii="Century Schoolbook" w:hAnsi="Century Schoolbook"/>
          <w:bCs/>
        </w:rPr>
        <w:t>Bertuccio was conceived and born</w:t>
      </w:r>
      <w:r w:rsidRPr="00475519" w:rsidR="00AC6369">
        <w:rPr>
          <w:rFonts w:ascii="Century Schoolbook" w:hAnsi="Century Schoolbook"/>
          <w:bCs/>
        </w:rPr>
        <w:t xml:space="preserve">.  (See </w:t>
      </w:r>
      <w:r w:rsidRPr="00475519" w:rsidR="00AC6369">
        <w:rPr>
          <w:rFonts w:ascii="Century Schoolbook" w:hAnsi="Century Schoolbook"/>
          <w:bCs/>
          <w:i/>
          <w:iCs/>
        </w:rPr>
        <w:t>Gailing v. Rose, Klein &amp; Marias</w:t>
      </w:r>
      <w:r w:rsidRPr="00475519" w:rsidR="00AC6369">
        <w:rPr>
          <w:rFonts w:ascii="Century Schoolbook" w:hAnsi="Century Schoolbook"/>
          <w:bCs/>
        </w:rPr>
        <w:t xml:space="preserve"> (1996) 43 Cal.App.4th 1570, 1579 [</w:t>
      </w:r>
      <w:r w:rsidRPr="00475519" w:rsidR="001F380B">
        <w:rPr>
          <w:rFonts w:ascii="Century Schoolbook" w:hAnsi="Century Schoolbook"/>
          <w:bCs/>
        </w:rPr>
        <w:t xml:space="preserve">because the provisions of Code Civ. Proc. § 1008 are not jurisdictional, the </w:t>
      </w:r>
      <w:r w:rsidRPr="00475519" w:rsidR="00AC6369">
        <w:rPr>
          <w:rFonts w:ascii="Century Schoolbook" w:hAnsi="Century Schoolbook"/>
          <w:bCs/>
        </w:rPr>
        <w:t>trial court had broad discretion to hear an estate’s renewed summary judgment motion, even if</w:t>
      </w:r>
      <w:r w:rsidRPr="00475519" w:rsidR="00D30267">
        <w:rPr>
          <w:rFonts w:ascii="Century Schoolbook" w:hAnsi="Century Schoolbook"/>
          <w:bCs/>
        </w:rPr>
        <w:t xml:space="preserve"> statutory </w:t>
      </w:r>
      <w:r w:rsidRPr="00475519" w:rsidR="00AC6369">
        <w:rPr>
          <w:rFonts w:ascii="Century Schoolbook" w:hAnsi="Century Schoolbook"/>
          <w:bCs/>
        </w:rPr>
        <w:t>requisites for renewal</w:t>
      </w:r>
      <w:r w:rsidRPr="00475519" w:rsidR="00D30267">
        <w:rPr>
          <w:rFonts w:ascii="Century Schoolbook" w:hAnsi="Century Schoolbook"/>
          <w:bCs/>
        </w:rPr>
        <w:t xml:space="preserve"> </w:t>
      </w:r>
      <w:r w:rsidRPr="00475519" w:rsidR="00AC6369">
        <w:rPr>
          <w:rFonts w:ascii="Century Schoolbook" w:hAnsi="Century Schoolbook"/>
          <w:bCs/>
        </w:rPr>
        <w:t>were not met</w:t>
      </w:r>
      <w:r w:rsidRPr="00475519" w:rsidR="001F380B">
        <w:rPr>
          <w:rFonts w:ascii="Century Schoolbook" w:hAnsi="Century Schoolbook"/>
          <w:bCs/>
        </w:rPr>
        <w:t>].)</w:t>
      </w:r>
      <w:r w:rsidRPr="00475519">
        <w:rPr>
          <w:rFonts w:ascii="Century Schoolbook" w:hAnsi="Century Schoolbook"/>
          <w:bCs/>
        </w:rPr>
        <w:t xml:space="preserve"> </w:t>
      </w:r>
    </w:p>
    <w:p w:rsidR="00EF5D34" w:rsidRPr="00DA210F" w:rsidP="001E0695" w14:paraId="5E9ED783" w14:textId="76163A9A">
      <w:pPr>
        <w:shd w:val="clear" w:color="auto" w:fill="FFFFFF"/>
        <w:tabs>
          <w:tab w:val="clear" w:pos="720"/>
        </w:tabs>
        <w:spacing w:line="360" w:lineRule="auto"/>
        <w:jc w:val="center"/>
        <w:textAlignment w:val="baseline"/>
        <w:rPr>
          <w:rFonts w:ascii="Century Schoolbook" w:hAnsi="Century Schoolbook"/>
          <w:b/>
          <w:smallCaps/>
          <w:szCs w:val="26"/>
        </w:rPr>
      </w:pPr>
      <w:r w:rsidRPr="00410D1F">
        <w:rPr>
          <w:rFonts w:ascii="Century Schoolbook" w:hAnsi="Century Schoolbook"/>
          <w:b/>
          <w:smallCaps/>
          <w:szCs w:val="26"/>
        </w:rPr>
        <w:t>Disposition</w:t>
      </w:r>
    </w:p>
    <w:p w:rsidR="00EF5D34" w:rsidRPr="00111CF5" w:rsidP="005F1194" w14:paraId="0EBE9349" w14:textId="4BA9F571">
      <w:pPr>
        <w:pStyle w:val="FootnoteText"/>
        <w:spacing w:line="360" w:lineRule="auto"/>
        <w:rPr>
          <w:rFonts w:ascii="Century Schoolbook" w:hAnsi="Century Schoolbook"/>
        </w:rPr>
      </w:pPr>
      <w:r w:rsidRPr="00475519">
        <w:rPr>
          <w:rFonts w:ascii="Century Schoolbook" w:hAnsi="Century Schoolbook"/>
        </w:rPr>
        <w:tab/>
        <w:t>The</w:t>
      </w:r>
      <w:r w:rsidRPr="00475519" w:rsidR="00E37F17">
        <w:rPr>
          <w:rFonts w:ascii="Century Schoolbook" w:hAnsi="Century Schoolbook"/>
        </w:rPr>
        <w:t xml:space="preserve"> </w:t>
      </w:r>
      <w:r w:rsidRPr="00475519" w:rsidR="004F282E">
        <w:rPr>
          <w:rFonts w:ascii="Century Schoolbook" w:hAnsi="Century Schoolbook"/>
        </w:rPr>
        <w:t>June 2, 2021 order is</w:t>
      </w:r>
      <w:r w:rsidRPr="00475519" w:rsidR="000114B7">
        <w:rPr>
          <w:rFonts w:ascii="Century Schoolbook" w:hAnsi="Century Schoolbook"/>
        </w:rPr>
        <w:t xml:space="preserve"> reversed and the matter is remanded for further proceedings consistent with this opinion.  </w:t>
      </w:r>
      <w:r w:rsidRPr="00475519" w:rsidR="00744401">
        <w:rPr>
          <w:rFonts w:ascii="Century Schoolbook" w:hAnsi="Century Schoolbook"/>
        </w:rPr>
        <w:t xml:space="preserve">Objector and Appellant Tamara L. Bertuccio, as Special Administrator, </w:t>
      </w:r>
      <w:r w:rsidRPr="00475519" w:rsidR="00744401">
        <w:rPr>
          <w:rFonts w:ascii="Century Schoolbook" w:hAnsi="Century Schoolbook"/>
          <w:szCs w:val="24"/>
        </w:rPr>
        <w:t xml:space="preserve">is awarded costs on appeal. </w:t>
      </w:r>
      <w:r w:rsidRPr="00475519" w:rsidR="000114B7">
        <w:rPr>
          <w:rFonts w:ascii="Century Schoolbook" w:hAnsi="Century Schoolbook"/>
        </w:rPr>
        <w:t xml:space="preserve"> (</w:t>
      </w:r>
      <w:r w:rsidRPr="00475519" w:rsidR="00A44BEE">
        <w:rPr>
          <w:rFonts w:ascii="Century Schoolbook" w:hAnsi="Century Schoolbook"/>
        </w:rPr>
        <w:t>Cal. Rules of Court</w:t>
      </w:r>
      <w:r w:rsidRPr="00475519" w:rsidR="00F46917">
        <w:rPr>
          <w:rFonts w:ascii="Century Schoolbook" w:hAnsi="Century Schoolbook"/>
        </w:rPr>
        <w:t>, rule</w:t>
      </w:r>
      <w:r w:rsidRPr="00475519" w:rsidR="00A44BEE">
        <w:rPr>
          <w:rFonts w:ascii="Century Schoolbook" w:hAnsi="Century Schoolbook"/>
        </w:rPr>
        <w:t xml:space="preserve"> 8.278(a)(1); see also, </w:t>
      </w:r>
      <w:r w:rsidRPr="00475519" w:rsidR="000114B7">
        <w:rPr>
          <w:rFonts w:ascii="Century Schoolbook" w:hAnsi="Century Schoolbook"/>
        </w:rPr>
        <w:t>Cal. Rules of Court, rule</w:t>
      </w:r>
      <w:r w:rsidRPr="00475519" w:rsidR="00177CAF">
        <w:rPr>
          <w:rFonts w:ascii="Century Schoolbook" w:hAnsi="Century Schoolbook"/>
        </w:rPr>
        <w:t xml:space="preserve"> 8.278(a)(</w:t>
      </w:r>
      <w:r w:rsidRPr="00475519" w:rsidR="00744401">
        <w:rPr>
          <w:rFonts w:ascii="Century Schoolbook" w:hAnsi="Century Schoolbook"/>
        </w:rPr>
        <w:t>4</w:t>
      </w:r>
      <w:r w:rsidRPr="00475519" w:rsidR="00177CAF">
        <w:rPr>
          <w:rFonts w:ascii="Century Schoolbook" w:hAnsi="Century Schoolbook"/>
        </w:rPr>
        <w:t>)</w:t>
      </w:r>
      <w:r w:rsidRPr="00475519" w:rsidR="005F1194">
        <w:rPr>
          <w:rFonts w:ascii="Century Schoolbook" w:hAnsi="Century Schoolbook"/>
        </w:rPr>
        <w:t xml:space="preserve"> [“</w:t>
      </w:r>
      <w:r w:rsidRPr="00475519" w:rsidR="00A44BEE">
        <w:rPr>
          <w:rFonts w:ascii="Century Schoolbook" w:hAnsi="Century Schoolbook"/>
        </w:rPr>
        <w:t>[</w:t>
      </w:r>
      <w:r w:rsidRPr="00475519" w:rsidR="005F1194">
        <w:rPr>
          <w:rFonts w:ascii="Century Schoolbook" w:hAnsi="Century Schoolbook"/>
        </w:rPr>
        <w:t>i</w:t>
      </w:r>
      <w:r w:rsidRPr="00475519" w:rsidR="00A44BEE">
        <w:rPr>
          <w:rFonts w:ascii="Century Schoolbook" w:hAnsi="Century Schoolbook"/>
        </w:rPr>
        <w:t>]</w:t>
      </w:r>
      <w:r w:rsidRPr="00475519" w:rsidR="005F1194">
        <w:rPr>
          <w:rFonts w:ascii="Century Schoolbook" w:hAnsi="Century Schoolbook"/>
        </w:rPr>
        <w:t>n probate cases, the prevailing party must be awarded costs unless the Court of Appeal orders otherwise, but the superior court must decide who will pay the award</w:t>
      </w:r>
      <w:r w:rsidRPr="00475519" w:rsidR="00A44BEE">
        <w:rPr>
          <w:rFonts w:ascii="Century Schoolbook" w:hAnsi="Century Schoolbook"/>
        </w:rPr>
        <w:t>”</w:t>
      </w:r>
      <w:r w:rsidRPr="00475519" w:rsidR="005F1194">
        <w:rPr>
          <w:rFonts w:ascii="Century Schoolbook" w:hAnsi="Century Schoolbook"/>
        </w:rPr>
        <w:t>]</w:t>
      </w:r>
      <w:r w:rsidRPr="00475519" w:rsidR="00A44BEE">
        <w:rPr>
          <w:rFonts w:ascii="Century Schoolbook" w:hAnsi="Century Schoolbook"/>
        </w:rPr>
        <w:t>.)</w:t>
      </w:r>
    </w:p>
    <w:p w:rsidR="00DA210F" w14:paraId="19BDFC1B" w14:textId="15D9FCDB">
      <w:pPr>
        <w:tabs>
          <w:tab w:val="clear" w:pos="720"/>
        </w:tabs>
        <w:spacing w:line="240" w:lineRule="auto"/>
        <w:rPr>
          <w:rFonts w:ascii="Century Schoolbook" w:hAnsi="Century Schoolbook"/>
          <w:szCs w:val="20"/>
        </w:rPr>
      </w:pPr>
      <w:r>
        <w:rPr>
          <w:rFonts w:ascii="Century Schoolbook" w:hAnsi="Century Schoolbook"/>
        </w:rPr>
        <w:br w:type="page"/>
      </w:r>
    </w:p>
    <w:p w:rsidR="005F1194" w:rsidP="00DA210F" w14:paraId="66C629AF" w14:textId="5B3A0D64">
      <w:pPr>
        <w:pStyle w:val="FootnoteText"/>
        <w:rPr>
          <w:rFonts w:ascii="Century Schoolbook" w:hAnsi="Century Schoolbook"/>
        </w:rPr>
      </w:pPr>
    </w:p>
    <w:p w:rsidR="00DA210F" w:rsidP="00DA210F" w14:paraId="5D20A7F8" w14:textId="3B379E72">
      <w:pPr>
        <w:pStyle w:val="FootnoteText"/>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w:t>
      </w:r>
    </w:p>
    <w:p w:rsidR="00DA210F" w:rsidP="00DA210F" w14:paraId="5FC6528E" w14:textId="0F8EC67C">
      <w:pPr>
        <w:pStyle w:val="FootnoteText"/>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Petrou, J.</w:t>
      </w:r>
    </w:p>
    <w:p w:rsidR="00DA210F" w:rsidP="00DA210F" w14:paraId="7361358C" w14:textId="73503188">
      <w:pPr>
        <w:pStyle w:val="FootnoteText"/>
        <w:rPr>
          <w:rFonts w:ascii="Century Schoolbook" w:hAnsi="Century Schoolbook"/>
        </w:rPr>
      </w:pPr>
    </w:p>
    <w:p w:rsidR="00DA210F" w:rsidP="00DA210F" w14:paraId="668925C4" w14:textId="367AB7AE">
      <w:pPr>
        <w:pStyle w:val="FootnoteText"/>
        <w:rPr>
          <w:rFonts w:ascii="Century Schoolbook" w:hAnsi="Century Schoolbook"/>
        </w:rPr>
      </w:pPr>
    </w:p>
    <w:p w:rsidR="00DA210F" w:rsidP="00DA210F" w14:paraId="1CE56222" w14:textId="3EBD2AB8">
      <w:pPr>
        <w:pStyle w:val="FootnoteText"/>
        <w:rPr>
          <w:rFonts w:ascii="Century Schoolbook" w:hAnsi="Century Schoolbook"/>
        </w:rPr>
      </w:pPr>
      <w:r>
        <w:rPr>
          <w:rFonts w:ascii="Century Schoolbook" w:hAnsi="Century Schoolbook"/>
        </w:rPr>
        <w:t>WE CONCUR:</w:t>
      </w:r>
    </w:p>
    <w:p w:rsidR="00DA210F" w:rsidP="00DA210F" w14:paraId="7A1CABD5" w14:textId="38F90629">
      <w:pPr>
        <w:pStyle w:val="FootnoteText"/>
        <w:rPr>
          <w:rFonts w:ascii="Century Schoolbook" w:hAnsi="Century Schoolbook"/>
        </w:rPr>
      </w:pPr>
    </w:p>
    <w:p w:rsidR="00DA210F" w:rsidP="00DA210F" w14:paraId="446E2F6E" w14:textId="521E7550">
      <w:pPr>
        <w:pStyle w:val="FootnoteText"/>
        <w:rPr>
          <w:rFonts w:ascii="Century Schoolbook" w:hAnsi="Century Schoolbook"/>
        </w:rPr>
      </w:pPr>
    </w:p>
    <w:p w:rsidR="00DA210F" w:rsidP="00DA210F" w14:paraId="75875C8B" w14:textId="5664C177">
      <w:pPr>
        <w:pStyle w:val="FootnoteText"/>
        <w:rPr>
          <w:rFonts w:ascii="Century Schoolbook" w:hAnsi="Century Schoolbook"/>
        </w:rPr>
      </w:pPr>
      <w:r>
        <w:rPr>
          <w:rFonts w:ascii="Century Schoolbook" w:hAnsi="Century Schoolbook"/>
        </w:rPr>
        <w:t>_________________________</w:t>
      </w:r>
    </w:p>
    <w:p w:rsidR="00DA210F" w:rsidP="00DA210F" w14:paraId="725ED7AE" w14:textId="50BCF77A">
      <w:pPr>
        <w:pStyle w:val="FootnoteText"/>
        <w:rPr>
          <w:rFonts w:ascii="Century Schoolbook" w:hAnsi="Century Schoolbook"/>
        </w:rPr>
      </w:pPr>
      <w:r>
        <w:rPr>
          <w:rFonts w:ascii="Century Schoolbook" w:hAnsi="Century Schoolbook"/>
        </w:rPr>
        <w:t>Tucher, P.J.</w:t>
      </w:r>
    </w:p>
    <w:p w:rsidR="00DA210F" w:rsidP="00DA210F" w14:paraId="7C6EEC5E" w14:textId="466EC550">
      <w:pPr>
        <w:pStyle w:val="FootnoteText"/>
        <w:rPr>
          <w:rFonts w:ascii="Century Schoolbook" w:hAnsi="Century Schoolbook"/>
        </w:rPr>
      </w:pPr>
    </w:p>
    <w:p w:rsidR="00DA210F" w:rsidP="00DA210F" w14:paraId="22946EF2" w14:textId="33710E6F">
      <w:pPr>
        <w:pStyle w:val="FootnoteText"/>
        <w:rPr>
          <w:rFonts w:ascii="Century Schoolbook" w:hAnsi="Century Schoolbook"/>
        </w:rPr>
      </w:pPr>
    </w:p>
    <w:p w:rsidR="00DA210F" w:rsidP="00DA210F" w14:paraId="13438DF8" w14:textId="18BA27FA">
      <w:pPr>
        <w:pStyle w:val="FootnoteText"/>
        <w:rPr>
          <w:rFonts w:ascii="Century Schoolbook" w:hAnsi="Century Schoolbook"/>
        </w:rPr>
      </w:pPr>
      <w:r>
        <w:rPr>
          <w:rFonts w:ascii="Century Schoolbook" w:hAnsi="Century Schoolbook"/>
        </w:rPr>
        <w:t>_________________________</w:t>
      </w:r>
    </w:p>
    <w:p w:rsidR="00DA210F" w:rsidP="00DA210F" w14:paraId="389C5B11" w14:textId="2C284D3C">
      <w:pPr>
        <w:pStyle w:val="FootnoteText"/>
        <w:rPr>
          <w:rFonts w:ascii="Century Schoolbook" w:hAnsi="Century Schoolbook"/>
        </w:rPr>
      </w:pPr>
      <w:r>
        <w:rPr>
          <w:rFonts w:ascii="Century Schoolbook" w:hAnsi="Century Schoolbook"/>
        </w:rPr>
        <w:t>Fujisaki, J.</w:t>
      </w:r>
    </w:p>
    <w:p w:rsidR="00DA210F" w:rsidP="00DA210F" w14:paraId="2127BC1C" w14:textId="61580264">
      <w:pPr>
        <w:pStyle w:val="FootnoteText"/>
        <w:rPr>
          <w:rFonts w:ascii="Century Schoolbook" w:hAnsi="Century Schoolbook"/>
        </w:rPr>
      </w:pPr>
    </w:p>
    <w:p w:rsidR="00A83811" w14:paraId="08609065" w14:textId="725C67DE">
      <w:pPr>
        <w:tabs>
          <w:tab w:val="clear" w:pos="720"/>
        </w:tabs>
        <w:spacing w:line="240" w:lineRule="auto"/>
        <w:rPr>
          <w:rFonts w:ascii="Century Schoolbook" w:hAnsi="Century Schoolbook"/>
          <w:szCs w:val="20"/>
        </w:rPr>
      </w:pPr>
      <w:r>
        <w:rPr>
          <w:rFonts w:ascii="Century Schoolbook" w:hAnsi="Century Schoolbook"/>
        </w:rPr>
        <w:br w:type="page"/>
      </w:r>
    </w:p>
    <w:p w:rsidR="00A83811" w:rsidRPr="00156E51" w:rsidP="00A83811" w14:paraId="3497F0C6" w14:textId="77777777">
      <w:pPr>
        <w:tabs>
          <w:tab w:val="clear" w:pos="720"/>
          <w:tab w:val="left" w:pos="1440"/>
        </w:tabs>
        <w:spacing w:line="240" w:lineRule="auto"/>
        <w:rPr>
          <w:rFonts w:ascii="Century Schoolbook" w:hAnsi="Century Schoolbook"/>
        </w:rPr>
      </w:pPr>
      <w:r w:rsidRPr="00156E51">
        <w:rPr>
          <w:rFonts w:ascii="Century Schoolbook" w:hAnsi="Century Schoolbook"/>
        </w:rPr>
        <w:t>Trial Court:</w:t>
      </w:r>
      <w:r w:rsidRPr="00156E51">
        <w:rPr>
          <w:rFonts w:ascii="Century Schoolbook" w:hAnsi="Century Schoolbook"/>
        </w:rPr>
        <w:tab/>
      </w:r>
      <w:r>
        <w:rPr>
          <w:rFonts w:ascii="Century Schoolbook" w:hAnsi="Century Schoolbook"/>
        </w:rPr>
        <w:tab/>
        <w:t>Santa Clara</w:t>
      </w:r>
      <w:r w:rsidRPr="00156E51">
        <w:rPr>
          <w:rFonts w:ascii="Century Schoolbook" w:hAnsi="Century Schoolbook"/>
        </w:rPr>
        <w:t xml:space="preserve"> County Superior Court</w:t>
      </w:r>
    </w:p>
    <w:p w:rsidR="00A83811" w:rsidRPr="00156E51" w:rsidP="00A83811" w14:paraId="43FCABCE" w14:textId="77777777">
      <w:pPr>
        <w:tabs>
          <w:tab w:val="clear" w:pos="720"/>
          <w:tab w:val="left" w:pos="1440"/>
        </w:tabs>
        <w:spacing w:line="240" w:lineRule="auto"/>
        <w:rPr>
          <w:rFonts w:ascii="Century Schoolbook" w:hAnsi="Century Schoolbook"/>
        </w:rPr>
      </w:pPr>
    </w:p>
    <w:p w:rsidR="00A83811" w:rsidRPr="00156E51" w:rsidP="00A83811" w14:paraId="4F57C970" w14:textId="77777777">
      <w:pPr>
        <w:tabs>
          <w:tab w:val="clear" w:pos="720"/>
          <w:tab w:val="left" w:pos="1440"/>
        </w:tabs>
        <w:spacing w:line="240" w:lineRule="auto"/>
        <w:rPr>
          <w:rFonts w:ascii="Century Schoolbook" w:hAnsi="Century Schoolbook"/>
        </w:rPr>
      </w:pPr>
      <w:r w:rsidRPr="00156E51">
        <w:rPr>
          <w:rFonts w:ascii="Century Schoolbook" w:hAnsi="Century Schoolbook"/>
        </w:rPr>
        <w:t>Trial Judge:</w:t>
      </w:r>
      <w:r w:rsidRPr="00156E51">
        <w:rPr>
          <w:rFonts w:ascii="Century Schoolbook" w:hAnsi="Century Schoolbook"/>
        </w:rPr>
        <w:tab/>
      </w:r>
      <w:r>
        <w:rPr>
          <w:rFonts w:ascii="Century Schoolbook" w:hAnsi="Century Schoolbook"/>
        </w:rPr>
        <w:t>Hon. Julie Emede</w:t>
      </w:r>
    </w:p>
    <w:p w:rsidR="00A83811" w:rsidRPr="00156E51" w:rsidP="00A83811" w14:paraId="75D7B217" w14:textId="77777777">
      <w:pPr>
        <w:tabs>
          <w:tab w:val="clear" w:pos="720"/>
          <w:tab w:val="left" w:pos="1440"/>
        </w:tabs>
        <w:spacing w:line="240" w:lineRule="auto"/>
        <w:rPr>
          <w:rFonts w:ascii="Century Schoolbook" w:hAnsi="Century Schoolbook"/>
        </w:rPr>
      </w:pPr>
    </w:p>
    <w:p w:rsidR="00A83811" w:rsidP="00A83811" w14:paraId="6ED8057A" w14:textId="77777777">
      <w:pPr>
        <w:tabs>
          <w:tab w:val="clear" w:pos="720"/>
          <w:tab w:val="left" w:pos="1440"/>
        </w:tabs>
        <w:spacing w:line="240" w:lineRule="auto"/>
        <w:ind w:left="2160" w:hanging="2160"/>
        <w:rPr>
          <w:rFonts w:ascii="Century Schoolbook" w:hAnsi="Century Schoolbook"/>
        </w:rPr>
      </w:pPr>
      <w:r w:rsidRPr="00156E51">
        <w:rPr>
          <w:rFonts w:ascii="Century Schoolbook" w:hAnsi="Century Schoolbook"/>
        </w:rPr>
        <w:t>Counsel:</w:t>
      </w:r>
      <w:r w:rsidRPr="00156E51">
        <w:rPr>
          <w:rFonts w:ascii="Century Schoolbook" w:hAnsi="Century Schoolbook"/>
        </w:rPr>
        <w:tab/>
      </w:r>
      <w:r>
        <w:rPr>
          <w:rFonts w:ascii="Century Schoolbook" w:hAnsi="Century Schoolbook"/>
        </w:rPr>
        <w:tab/>
        <w:t>Hackard Law, Michael Hackard and Brian Geremia; Klaus J. Kolb, Klaus J. Kolb for Petitioners and Respondents.</w:t>
      </w:r>
    </w:p>
    <w:p w:rsidR="00A83811" w:rsidP="00A83811" w14:paraId="70571387" w14:textId="77777777">
      <w:pPr>
        <w:tabs>
          <w:tab w:val="clear" w:pos="720"/>
          <w:tab w:val="left" w:pos="1440"/>
        </w:tabs>
        <w:spacing w:line="240" w:lineRule="auto"/>
        <w:ind w:left="2160" w:hanging="2160"/>
        <w:rPr>
          <w:rFonts w:ascii="Century Schoolbook" w:hAnsi="Century Schoolbook"/>
        </w:rPr>
      </w:pPr>
    </w:p>
    <w:p w:rsidR="00A83811" w:rsidRPr="00156E51" w:rsidP="00A83811" w14:paraId="579505C5" w14:textId="77777777">
      <w:pPr>
        <w:tabs>
          <w:tab w:val="clear" w:pos="720"/>
          <w:tab w:val="left" w:pos="1440"/>
        </w:tabs>
        <w:spacing w:line="240" w:lineRule="auto"/>
        <w:ind w:left="2160" w:hanging="2160"/>
        <w:rPr>
          <w:rFonts w:ascii="Century Schoolbook" w:hAnsi="Century Schoolbook"/>
        </w:rPr>
      </w:pPr>
      <w:r>
        <w:rPr>
          <w:rFonts w:ascii="Century Schoolbook" w:hAnsi="Century Schoolbook"/>
        </w:rPr>
        <w:tab/>
      </w:r>
      <w:r>
        <w:rPr>
          <w:rFonts w:ascii="Century Schoolbook" w:hAnsi="Century Schoolbook"/>
        </w:rPr>
        <w:tab/>
        <w:t>Hansen Law Firm, Craig A. Hansen, Philip E. Yeager, and Collin D. Greene; Carter, Dougherty &amp; Keiley, Scott Carter and Theresa McGuire for Objector and Appellant.</w:t>
      </w:r>
    </w:p>
    <w:p w:rsidR="00A83811" w:rsidP="00A83811" w14:paraId="0B0B4DC8" w14:textId="77777777"/>
    <w:p w:rsidR="00FC6535" w:rsidRPr="00111CF5" w:rsidP="00DA210F" w14:paraId="5E09AF53" w14:textId="77777777">
      <w:pPr>
        <w:pStyle w:val="FootnoteText"/>
        <w:rPr>
          <w:rFonts w:ascii="Century Schoolbook" w:hAnsi="Century Schoolbook"/>
        </w:rPr>
      </w:pPr>
    </w:p>
    <w:sectPr w:rsidSect="00781863">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DE7" w:rsidP="00781863" w14:paraId="047C326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33DE7" w:rsidP="00781863" w14:paraId="2BA75E6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33DE7" w14:paraId="4EDCA6D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DE7" w:rsidP="00781863" w14:paraId="3F4E282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6C4">
      <w:rPr>
        <w:rStyle w:val="PageNumber"/>
        <w:noProof/>
      </w:rPr>
      <w:t>7</w:t>
    </w:r>
    <w:r>
      <w:rPr>
        <w:rStyle w:val="PageNumber"/>
      </w:rPr>
      <w:fldChar w:fldCharType="end"/>
    </w:r>
  </w:p>
  <w:p w:rsidR="00F33DE7" w14:paraId="3467E9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54E3" w:rsidP="00781863" w14:paraId="482ADEDB" w14:textId="77777777">
      <w:pPr>
        <w:spacing w:line="240" w:lineRule="auto"/>
      </w:pPr>
      <w:r>
        <w:separator/>
      </w:r>
    </w:p>
  </w:footnote>
  <w:footnote w:type="continuationSeparator" w:id="1">
    <w:p w:rsidR="00F954E3" w:rsidP="00781863" w14:paraId="33CEA5CA" w14:textId="77777777">
      <w:pPr>
        <w:spacing w:line="240" w:lineRule="auto"/>
      </w:pPr>
      <w:r>
        <w:continuationSeparator/>
      </w:r>
    </w:p>
  </w:footnote>
  <w:footnote w:id="2">
    <w:p w:rsidR="00150953" w:rsidRPr="00150953" w14:paraId="0E37B2A4" w14:textId="1D3F0671">
      <w:pPr>
        <w:pStyle w:val="FootnoteText"/>
        <w:rPr>
          <w:rFonts w:ascii="Century Schoolbook" w:hAnsi="Century Schoolbook"/>
        </w:rPr>
      </w:pPr>
      <w:r>
        <w:rPr>
          <w:rStyle w:val="FootnoteReference"/>
        </w:rPr>
        <w:footnoteRef/>
      </w:r>
      <w:r>
        <w:t xml:space="preserve"> </w:t>
      </w:r>
      <w:r>
        <w:tab/>
      </w:r>
      <w:r w:rsidRPr="00150953">
        <w:rPr>
          <w:rFonts w:ascii="Century Schoolbook" w:hAnsi="Century Schoolbook"/>
        </w:rPr>
        <w:t>Bertuccio died during the pend</w:t>
      </w:r>
      <w:r w:rsidR="00CB4EE9">
        <w:rPr>
          <w:rFonts w:ascii="Century Schoolbook" w:hAnsi="Century Schoolbook"/>
        </w:rPr>
        <w:t>ency</w:t>
      </w:r>
      <w:r w:rsidRPr="00150953">
        <w:rPr>
          <w:rFonts w:ascii="Century Schoolbook" w:hAnsi="Century Schoolbook"/>
        </w:rPr>
        <w:t xml:space="preserve"> of the litigation in the </w:t>
      </w:r>
      <w:r w:rsidR="005F1194">
        <w:rPr>
          <w:rFonts w:ascii="Century Schoolbook" w:hAnsi="Century Schoolbook"/>
        </w:rPr>
        <w:t xml:space="preserve">probate </w:t>
      </w:r>
      <w:r w:rsidRPr="00150953">
        <w:rPr>
          <w:rFonts w:ascii="Century Schoolbook" w:hAnsi="Century Schoolbook"/>
        </w:rPr>
        <w:t>court</w:t>
      </w:r>
      <w:r w:rsidR="00787710">
        <w:rPr>
          <w:rFonts w:ascii="Century Schoolbook" w:hAnsi="Century Schoolbook"/>
        </w:rPr>
        <w:t xml:space="preserve">.  Bertuccio’s half-sister, </w:t>
      </w:r>
      <w:r w:rsidRPr="00150953">
        <w:rPr>
          <w:rFonts w:ascii="Century Schoolbook" w:hAnsi="Century Schoolbook"/>
        </w:rPr>
        <w:t xml:space="preserve">Tamara L. Bertuccio, </w:t>
      </w:r>
      <w:r w:rsidR="00787710">
        <w:rPr>
          <w:rFonts w:ascii="Century Schoolbook" w:hAnsi="Century Schoolbook"/>
        </w:rPr>
        <w:t>was appointed special administrator of Bertucci</w:t>
      </w:r>
      <w:r w:rsidR="00CE5E97">
        <w:rPr>
          <w:rFonts w:ascii="Century Schoolbook" w:hAnsi="Century Schoolbook"/>
        </w:rPr>
        <w:t>o</w:t>
      </w:r>
      <w:r w:rsidR="00787710">
        <w:rPr>
          <w:rFonts w:ascii="Century Schoolbook" w:hAnsi="Century Schoolbook"/>
        </w:rPr>
        <w:t>’s estate and substituted in as a party to the proceeding.  For ease of convenience, we refer to Bertucci</w:t>
      </w:r>
      <w:r w:rsidR="00AE0EBB">
        <w:rPr>
          <w:rFonts w:ascii="Century Schoolbook" w:hAnsi="Century Schoolbook"/>
        </w:rPr>
        <w:t xml:space="preserve">o </w:t>
      </w:r>
      <w:r w:rsidR="00787710">
        <w:rPr>
          <w:rFonts w:ascii="Century Schoolbook" w:hAnsi="Century Schoolbook"/>
        </w:rPr>
        <w:t xml:space="preserve">and his estate collectively as “Bertuccio.” </w:t>
      </w:r>
      <w:r w:rsidR="00475519">
        <w:rPr>
          <w:rFonts w:ascii="Century Schoolbook" w:hAnsi="Century Schoolbook"/>
        </w:rPr>
        <w:t xml:space="preserve"> </w:t>
      </w:r>
      <w:r w:rsidR="00616F49">
        <w:rPr>
          <w:rFonts w:ascii="Century Schoolbook" w:hAnsi="Century Schoolbook"/>
        </w:rPr>
        <w:t>Because</w:t>
      </w:r>
      <w:r w:rsidRPr="008F0A77" w:rsidR="00527641">
        <w:rPr>
          <w:rFonts w:ascii="Century Schoolbook" w:hAnsi="Century Schoolbook"/>
        </w:rPr>
        <w:t xml:space="preserve"> some of the persons referred</w:t>
      </w:r>
      <w:r w:rsidR="00527641">
        <w:rPr>
          <w:rFonts w:ascii="Century Schoolbook" w:hAnsi="Century Schoolbook"/>
        </w:rPr>
        <w:t xml:space="preserve"> to</w:t>
      </w:r>
      <w:r w:rsidRPr="008F0A77" w:rsidR="00527641">
        <w:rPr>
          <w:rFonts w:ascii="Century Schoolbook" w:hAnsi="Century Schoolbook"/>
        </w:rPr>
        <w:t xml:space="preserve"> in this opinion have the same last name, we use first names for clarity</w:t>
      </w:r>
      <w:r w:rsidR="00BC4028">
        <w:rPr>
          <w:rFonts w:ascii="Century Schoolbook" w:hAnsi="Century Schoolbook"/>
        </w:rPr>
        <w:t xml:space="preserve"> and by doing so</w:t>
      </w:r>
      <w:r w:rsidRPr="008F0A77" w:rsidR="00527641">
        <w:rPr>
          <w:rFonts w:ascii="Century Schoolbook" w:hAnsi="Century Schoolbook"/>
        </w:rPr>
        <w:t xml:space="preserve"> intend no disrespect</w:t>
      </w:r>
      <w:r w:rsidR="00527641">
        <w:rPr>
          <w:rFonts w:ascii="Century Schoolbook" w:hAnsi="Century Schoolbook"/>
        </w:rPr>
        <w:t>.</w:t>
      </w:r>
    </w:p>
  </w:footnote>
  <w:footnote w:id="3">
    <w:p w:rsidR="006123F3" w:rsidRPr="00F02692" w:rsidP="006123F3" w14:paraId="5DC6B722" w14:textId="5156A857">
      <w:pPr>
        <w:pStyle w:val="FootnoteText"/>
        <w:rPr>
          <w:rFonts w:ascii="Century Schoolbook" w:hAnsi="Century Schoolbook"/>
        </w:rPr>
      </w:pPr>
      <w:r>
        <w:rPr>
          <w:rStyle w:val="FootnoteReference"/>
        </w:rPr>
        <w:footnoteRef/>
      </w:r>
      <w:r>
        <w:t xml:space="preserve"> </w:t>
      </w:r>
      <w:r>
        <w:tab/>
      </w:r>
      <w:r w:rsidRPr="00F02692">
        <w:rPr>
          <w:rFonts w:ascii="Century Schoolbook" w:hAnsi="Century Schoolbook"/>
        </w:rPr>
        <w:t>For clarity</w:t>
      </w:r>
      <w:r w:rsidR="00166559">
        <w:rPr>
          <w:rFonts w:ascii="Century Schoolbook" w:hAnsi="Century Schoolbook"/>
        </w:rPr>
        <w:t>,</w:t>
      </w:r>
      <w:r w:rsidRPr="00F02692">
        <w:rPr>
          <w:rFonts w:ascii="Century Schoolbook" w:hAnsi="Century Schoolbook"/>
        </w:rPr>
        <w:t xml:space="preserve"> the opinion will use full statutory references to the</w:t>
      </w:r>
      <w:r>
        <w:rPr>
          <w:rFonts w:ascii="Century Schoolbook" w:hAnsi="Century Schoolbook"/>
        </w:rPr>
        <w:t xml:space="preserve"> sections of the</w:t>
      </w:r>
      <w:r w:rsidRPr="00F02692">
        <w:rPr>
          <w:rFonts w:ascii="Century Schoolbook" w:hAnsi="Century Schoolbook"/>
        </w:rPr>
        <w:t xml:space="preserve"> </w:t>
      </w:r>
      <w:r w:rsidR="006337DE">
        <w:rPr>
          <w:rFonts w:ascii="Century Schoolbook" w:hAnsi="Century Schoolbook"/>
        </w:rPr>
        <w:t xml:space="preserve">Family Code and </w:t>
      </w:r>
      <w:r>
        <w:rPr>
          <w:rFonts w:ascii="Century Schoolbook" w:hAnsi="Century Schoolbook"/>
        </w:rPr>
        <w:t>Probate Code</w:t>
      </w:r>
      <w:r w:rsidRPr="00F02692">
        <w:rPr>
          <w:rFonts w:ascii="Century Schoolbook" w:hAnsi="Century Schoolbook"/>
        </w:rPr>
        <w:t xml:space="preserve">.  </w:t>
      </w:r>
    </w:p>
  </w:footnote>
  <w:footnote w:id="4">
    <w:p w:rsidR="005B2C0F" w14:paraId="5D8F99BE" w14:textId="2DDBF4EF">
      <w:pPr>
        <w:pStyle w:val="FootnoteText"/>
        <w:rPr>
          <w:rFonts w:ascii="Century Schoolbook" w:hAnsi="Century Schoolbook"/>
        </w:rPr>
      </w:pPr>
      <w:r w:rsidRPr="008F0A77">
        <w:rPr>
          <w:rStyle w:val="FootnoteReference"/>
          <w:rFonts w:ascii="Century Schoolbook" w:hAnsi="Century Schoolbook"/>
        </w:rPr>
        <w:footnoteRef/>
      </w:r>
      <w:r w:rsidRPr="008F0A77">
        <w:rPr>
          <w:rFonts w:ascii="Century Schoolbook" w:hAnsi="Century Schoolbook"/>
        </w:rPr>
        <w:t xml:space="preserve"> </w:t>
      </w:r>
      <w:r w:rsidRPr="008F0A77">
        <w:rPr>
          <w:rFonts w:ascii="Century Schoolbook" w:hAnsi="Century Schoolbook"/>
        </w:rPr>
        <w:tab/>
      </w:r>
      <w:r w:rsidR="00BF6C23">
        <w:rPr>
          <w:rFonts w:ascii="Century Schoolbook" w:hAnsi="Century Schoolbook"/>
        </w:rPr>
        <w:t xml:space="preserve">At the request of the Morenos, </w:t>
      </w:r>
      <w:r w:rsidR="00F01E8B">
        <w:rPr>
          <w:rFonts w:ascii="Century Schoolbook" w:hAnsi="Century Schoolbook"/>
        </w:rPr>
        <w:t xml:space="preserve">and without objection, the probate court took judicial notice of </w:t>
      </w:r>
      <w:r w:rsidR="006337DE">
        <w:rPr>
          <w:rFonts w:ascii="Century Schoolbook" w:hAnsi="Century Schoolbook"/>
        </w:rPr>
        <w:t>certain documents including</w:t>
      </w:r>
      <w:r w:rsidR="00616F49">
        <w:rPr>
          <w:rFonts w:ascii="Century Schoolbook" w:hAnsi="Century Schoolbook"/>
        </w:rPr>
        <w:t xml:space="preserve"> </w:t>
      </w:r>
      <w:r w:rsidR="00F01E8B">
        <w:rPr>
          <w:rFonts w:ascii="Century Schoolbook" w:hAnsi="Century Schoolbook"/>
        </w:rPr>
        <w:t>(1) Franco’s death certificate</w:t>
      </w:r>
      <w:r w:rsidR="006337DE">
        <w:rPr>
          <w:rFonts w:ascii="Century Schoolbook" w:hAnsi="Century Schoolbook"/>
        </w:rPr>
        <w:t xml:space="preserve"> and</w:t>
      </w:r>
      <w:r w:rsidR="00F01E8B">
        <w:rPr>
          <w:rFonts w:ascii="Century Schoolbook" w:hAnsi="Century Schoolbook"/>
        </w:rPr>
        <w:t xml:space="preserve"> (2) an October 18, 2018 declaration filed by Bertuccio in this probate proceeding. </w:t>
      </w:r>
      <w:r w:rsidR="00475519">
        <w:rPr>
          <w:rFonts w:ascii="Century Schoolbook" w:hAnsi="Century Schoolbook"/>
        </w:rPr>
        <w:t xml:space="preserve"> </w:t>
      </w:r>
      <w:r w:rsidR="00A856DB">
        <w:rPr>
          <w:rFonts w:ascii="Century Schoolbook" w:hAnsi="Century Schoolbook"/>
        </w:rPr>
        <w:t xml:space="preserve">At the request of the Morenos, and over the objection of Bertuccio, the probate court also took </w:t>
      </w:r>
      <w:r w:rsidR="00F01E8B">
        <w:rPr>
          <w:rFonts w:ascii="Century Schoolbook" w:hAnsi="Century Schoolbook"/>
        </w:rPr>
        <w:t xml:space="preserve">judicial notice </w:t>
      </w:r>
      <w:r w:rsidR="00A856DB">
        <w:rPr>
          <w:rFonts w:ascii="Century Schoolbook" w:hAnsi="Century Schoolbook"/>
        </w:rPr>
        <w:t xml:space="preserve">of </w:t>
      </w:r>
      <w:r w:rsidR="008831CD">
        <w:rPr>
          <w:rFonts w:ascii="Century Schoolbook" w:hAnsi="Century Schoolbook"/>
        </w:rPr>
        <w:t xml:space="preserve">(1) </w:t>
      </w:r>
      <w:r w:rsidR="00045D49">
        <w:rPr>
          <w:rFonts w:ascii="Century Schoolbook" w:hAnsi="Century Schoolbook"/>
        </w:rPr>
        <w:t>Bertuccio’s birth certificate</w:t>
      </w:r>
      <w:r w:rsidR="008831CD">
        <w:rPr>
          <w:rFonts w:ascii="Century Schoolbook" w:hAnsi="Century Schoolbook"/>
        </w:rPr>
        <w:t>; (</w:t>
      </w:r>
      <w:r w:rsidR="00A856DB">
        <w:rPr>
          <w:rFonts w:ascii="Century Schoolbook" w:hAnsi="Century Schoolbook"/>
        </w:rPr>
        <w:t>2</w:t>
      </w:r>
      <w:r w:rsidR="008831CD">
        <w:rPr>
          <w:rFonts w:ascii="Century Schoolbook" w:hAnsi="Century Schoolbook"/>
        </w:rPr>
        <w:t>) the complaint for divorce filed by Frank</w:t>
      </w:r>
      <w:r w:rsidR="00DA179B">
        <w:rPr>
          <w:rFonts w:ascii="Century Schoolbook" w:hAnsi="Century Schoolbook"/>
        </w:rPr>
        <w:t>,</w:t>
      </w:r>
      <w:r w:rsidR="008831CD">
        <w:rPr>
          <w:rFonts w:ascii="Century Schoolbook" w:hAnsi="Century Schoolbook"/>
        </w:rPr>
        <w:t xml:space="preserve"> Sr; (</w:t>
      </w:r>
      <w:r w:rsidR="00A856DB">
        <w:rPr>
          <w:rFonts w:ascii="Century Schoolbook" w:hAnsi="Century Schoolbook"/>
        </w:rPr>
        <w:t>3</w:t>
      </w:r>
      <w:r w:rsidR="008831CD">
        <w:rPr>
          <w:rFonts w:ascii="Century Schoolbook" w:hAnsi="Century Schoolbook"/>
        </w:rPr>
        <w:t>) the answer to the complaint for divorce filed by Marilyn; (</w:t>
      </w:r>
      <w:r w:rsidR="00A856DB">
        <w:rPr>
          <w:rFonts w:ascii="Century Schoolbook" w:hAnsi="Century Schoolbook"/>
        </w:rPr>
        <w:t>4</w:t>
      </w:r>
      <w:r w:rsidR="008831CD">
        <w:rPr>
          <w:rFonts w:ascii="Century Schoolbook" w:hAnsi="Century Schoolbook"/>
        </w:rPr>
        <w:t xml:space="preserve">) </w:t>
      </w:r>
      <w:r w:rsidR="00CB4EE9">
        <w:rPr>
          <w:rFonts w:ascii="Century Schoolbook" w:hAnsi="Century Schoolbook"/>
        </w:rPr>
        <w:t xml:space="preserve">and (5) </w:t>
      </w:r>
      <w:r w:rsidR="008831CD">
        <w:rPr>
          <w:rFonts w:ascii="Century Schoolbook" w:hAnsi="Century Schoolbook"/>
        </w:rPr>
        <w:t>the interlocutory judgment of divorce</w:t>
      </w:r>
      <w:r w:rsidR="00CB4EE9">
        <w:rPr>
          <w:rFonts w:ascii="Century Schoolbook" w:hAnsi="Century Schoolbook"/>
        </w:rPr>
        <w:t xml:space="preserve"> and </w:t>
      </w:r>
      <w:r w:rsidR="008831CD">
        <w:rPr>
          <w:rFonts w:ascii="Century Schoolbook" w:hAnsi="Century Schoolbook"/>
        </w:rPr>
        <w:t>the final judgment of divorce</w:t>
      </w:r>
      <w:r w:rsidR="00CB4EE9">
        <w:rPr>
          <w:rFonts w:ascii="Century Schoolbook" w:hAnsi="Century Schoolbook"/>
        </w:rPr>
        <w:t xml:space="preserve"> between Marilyn and Frank</w:t>
      </w:r>
      <w:r w:rsidR="00BC4028">
        <w:rPr>
          <w:rFonts w:ascii="Century Schoolbook" w:hAnsi="Century Schoolbook"/>
        </w:rPr>
        <w:t>,</w:t>
      </w:r>
      <w:r w:rsidR="00CB4EE9">
        <w:rPr>
          <w:rFonts w:ascii="Century Schoolbook" w:hAnsi="Century Schoolbook"/>
        </w:rPr>
        <w:t xml:space="preserve"> Sr.</w:t>
      </w:r>
      <w:r w:rsidR="008831CD">
        <w:rPr>
          <w:rFonts w:ascii="Century Schoolbook" w:hAnsi="Century Schoolbook"/>
        </w:rPr>
        <w:t xml:space="preserve">; </w:t>
      </w:r>
      <w:r w:rsidR="00CB4EE9">
        <w:rPr>
          <w:rFonts w:ascii="Century Schoolbook" w:hAnsi="Century Schoolbook"/>
        </w:rPr>
        <w:t xml:space="preserve">and </w:t>
      </w:r>
      <w:r w:rsidR="008831CD">
        <w:rPr>
          <w:rFonts w:ascii="Century Schoolbook" w:hAnsi="Century Schoolbook"/>
        </w:rPr>
        <w:t>(</w:t>
      </w:r>
      <w:r w:rsidR="00A856DB">
        <w:rPr>
          <w:rFonts w:ascii="Century Schoolbook" w:hAnsi="Century Schoolbook"/>
        </w:rPr>
        <w:t>6</w:t>
      </w:r>
      <w:r w:rsidR="008831CD">
        <w:rPr>
          <w:rFonts w:ascii="Century Schoolbook" w:hAnsi="Century Schoolbook"/>
        </w:rPr>
        <w:t>) (</w:t>
      </w:r>
      <w:r w:rsidR="00A856DB">
        <w:rPr>
          <w:rFonts w:ascii="Century Schoolbook" w:hAnsi="Century Schoolbook"/>
        </w:rPr>
        <w:t>7</w:t>
      </w:r>
      <w:r w:rsidR="008831CD">
        <w:rPr>
          <w:rFonts w:ascii="Century Schoolbook" w:hAnsi="Century Schoolbook"/>
        </w:rPr>
        <w:t xml:space="preserve">) </w:t>
      </w:r>
      <w:r w:rsidR="00CB4EE9">
        <w:rPr>
          <w:rFonts w:ascii="Century Schoolbook" w:hAnsi="Century Schoolbook"/>
        </w:rPr>
        <w:t xml:space="preserve">and (8) </w:t>
      </w:r>
      <w:r w:rsidR="008831CD">
        <w:rPr>
          <w:rFonts w:ascii="Century Schoolbook" w:hAnsi="Century Schoolbook"/>
        </w:rPr>
        <w:t>two affidavits for an increase in child support filed by Marilyn</w:t>
      </w:r>
      <w:r w:rsidR="00CB4EE9">
        <w:rPr>
          <w:rFonts w:ascii="Century Schoolbook" w:hAnsi="Century Schoolbook"/>
        </w:rPr>
        <w:t xml:space="preserve"> and an order </w:t>
      </w:r>
      <w:r w:rsidR="008831CD">
        <w:rPr>
          <w:rFonts w:ascii="Century Schoolbook" w:hAnsi="Century Schoolbook"/>
        </w:rPr>
        <w:t>increasing child support filed in the divorce action</w:t>
      </w:r>
      <w:r w:rsidR="00CB4EE9">
        <w:rPr>
          <w:rFonts w:ascii="Century Schoolbook" w:hAnsi="Century Schoolbook"/>
        </w:rPr>
        <w:t xml:space="preserve"> between Marilyn and Frank</w:t>
      </w:r>
      <w:r w:rsidR="00BC4028">
        <w:rPr>
          <w:rFonts w:ascii="Century Schoolbook" w:hAnsi="Century Schoolbook"/>
        </w:rPr>
        <w:t>,</w:t>
      </w:r>
      <w:r w:rsidR="00CB4EE9">
        <w:rPr>
          <w:rFonts w:ascii="Century Schoolbook" w:hAnsi="Century Schoolbook"/>
        </w:rPr>
        <w:t xml:space="preserve"> Sr.</w:t>
      </w:r>
      <w:r w:rsidR="008831CD">
        <w:rPr>
          <w:rFonts w:ascii="Century Schoolbook" w:hAnsi="Century Schoolbook"/>
        </w:rPr>
        <w:t xml:space="preserve"> </w:t>
      </w:r>
      <w:r w:rsidR="00475519">
        <w:rPr>
          <w:rFonts w:ascii="Century Schoolbook" w:hAnsi="Century Schoolbook"/>
        </w:rPr>
        <w:t xml:space="preserve"> </w:t>
      </w:r>
      <w:r w:rsidR="00A856DB">
        <w:rPr>
          <w:rFonts w:ascii="Century Schoolbook" w:hAnsi="Century Schoolbook"/>
        </w:rPr>
        <w:t>The probate</w:t>
      </w:r>
      <w:r w:rsidR="00CB4EE9">
        <w:rPr>
          <w:rFonts w:ascii="Century Schoolbook" w:hAnsi="Century Schoolbook"/>
        </w:rPr>
        <w:t xml:space="preserve"> court</w:t>
      </w:r>
      <w:r w:rsidR="00A856DB">
        <w:rPr>
          <w:rFonts w:ascii="Century Schoolbook" w:hAnsi="Century Schoolbook"/>
        </w:rPr>
        <w:t xml:space="preserve"> took judicial notice of the court documents with the following cav</w:t>
      </w:r>
      <w:r w:rsidR="00E00E96">
        <w:rPr>
          <w:rFonts w:ascii="Century Schoolbook" w:hAnsi="Century Schoolbook"/>
        </w:rPr>
        <w:t>ea</w:t>
      </w:r>
      <w:r w:rsidR="00A856DB">
        <w:rPr>
          <w:rFonts w:ascii="Century Schoolbook" w:hAnsi="Century Schoolbook"/>
        </w:rPr>
        <w:t xml:space="preserve">t: “[W]hile the Court is free to take judicial notice of the existence of a document in a court file, the Court may not take judicial notice of the truth of hearsay statements contained therein. </w:t>
      </w:r>
      <w:r w:rsidR="00527641">
        <w:rPr>
          <w:rFonts w:ascii="Century Schoolbook" w:hAnsi="Century Schoolbook"/>
        </w:rPr>
        <w:t xml:space="preserve"> </w:t>
      </w:r>
      <w:r w:rsidR="00A856DB">
        <w:rPr>
          <w:rFonts w:ascii="Century Schoolbook" w:hAnsi="Century Schoolbook"/>
        </w:rPr>
        <w:t>[Citation.]  With respect to any and all court records, the law is settled that ‘the court will not consider the truth of the document[’]</w:t>
      </w:r>
      <w:r w:rsidR="00183A82">
        <w:rPr>
          <w:rFonts w:ascii="Century Schoolbook" w:hAnsi="Century Schoolbook"/>
        </w:rPr>
        <w:t>s</w:t>
      </w:r>
      <w:r w:rsidR="00A856DB">
        <w:rPr>
          <w:rFonts w:ascii="Century Schoolbook" w:hAnsi="Century Schoolbook"/>
        </w:rPr>
        <w:t xml:space="preserve"> contents unless it is an order, statement of decision, or judgment.  </w:t>
      </w:r>
      <w:r w:rsidR="00E00E96">
        <w:rPr>
          <w:rFonts w:ascii="Century Schoolbook" w:hAnsi="Century Schoolbook"/>
        </w:rPr>
        <w:t>[Citation.]’</w:t>
      </w:r>
      <w:r w:rsidR="00183A82">
        <w:rPr>
          <w:rFonts w:ascii="Century Schoolbook" w:hAnsi="Century Schoolbook"/>
        </w:rPr>
        <w:t xml:space="preserve"> </w:t>
      </w:r>
      <w:r w:rsidR="004672FE">
        <w:rPr>
          <w:rFonts w:ascii="Century Schoolbook" w:hAnsi="Century Schoolbook"/>
        </w:rPr>
        <w:t xml:space="preserve"> [Citation]</w:t>
      </w:r>
      <w:r w:rsidR="00E00E96">
        <w:rPr>
          <w:rFonts w:ascii="Century Schoolbook" w:hAnsi="Century Schoolbook"/>
        </w:rPr>
        <w:t xml:space="preserve">  ‘Otherwise judicial notice for the truth of the content of court records is not appropriate either because the truth of the content is reasonably subject to dispute [citation], or because the content is hearsay [citation].’  [Citation].” The</w:t>
      </w:r>
      <w:r w:rsidR="00527641">
        <w:rPr>
          <w:rFonts w:ascii="Century Schoolbook" w:hAnsi="Century Schoolbook"/>
        </w:rPr>
        <w:t xml:space="preserve"> probate</w:t>
      </w:r>
      <w:r w:rsidR="00E00E96">
        <w:rPr>
          <w:rFonts w:ascii="Century Schoolbook" w:hAnsi="Century Schoolbook"/>
        </w:rPr>
        <w:t xml:space="preserve"> court did not rule on Bertuccio’s request for judicial notice of a court document or the parties’ separate objections to “several pieces” of evidence submitted by the </w:t>
      </w:r>
      <w:r w:rsidR="006337DE">
        <w:rPr>
          <w:rFonts w:ascii="Century Schoolbook" w:hAnsi="Century Schoolbook"/>
        </w:rPr>
        <w:t>parties</w:t>
      </w:r>
      <w:r w:rsidR="00527641">
        <w:rPr>
          <w:rFonts w:ascii="Century Schoolbook" w:hAnsi="Century Schoolbook"/>
        </w:rPr>
        <w:t xml:space="preserve">, finding that the document and evidence </w:t>
      </w:r>
      <w:r w:rsidR="00E00E96">
        <w:rPr>
          <w:rFonts w:ascii="Century Schoolbook" w:hAnsi="Century Schoolbook"/>
        </w:rPr>
        <w:t>were not relevant to the court’s decision.  On appeal</w:t>
      </w:r>
      <w:r w:rsidR="00822718">
        <w:rPr>
          <w:rFonts w:ascii="Century Schoolbook" w:hAnsi="Century Schoolbook"/>
        </w:rPr>
        <w:t>,</w:t>
      </w:r>
      <w:r w:rsidR="00E00E96">
        <w:rPr>
          <w:rFonts w:ascii="Century Schoolbook" w:hAnsi="Century Schoolbook"/>
        </w:rPr>
        <w:t xml:space="preserve"> the parties do not challenge the</w:t>
      </w:r>
      <w:r w:rsidR="00527641">
        <w:rPr>
          <w:rFonts w:ascii="Century Schoolbook" w:hAnsi="Century Schoolbook"/>
        </w:rPr>
        <w:t xml:space="preserve"> probate</w:t>
      </w:r>
      <w:r w:rsidR="00E00E96">
        <w:rPr>
          <w:rFonts w:ascii="Century Schoolbook" w:hAnsi="Century Schoolbook"/>
        </w:rPr>
        <w:t xml:space="preserve"> court’s </w:t>
      </w:r>
      <w:r w:rsidR="00822718">
        <w:rPr>
          <w:rFonts w:ascii="Century Schoolbook" w:hAnsi="Century Schoolbook"/>
        </w:rPr>
        <w:t xml:space="preserve">evidentiary </w:t>
      </w:r>
      <w:r w:rsidR="00E00E96">
        <w:rPr>
          <w:rFonts w:ascii="Century Schoolbook" w:hAnsi="Century Schoolbook"/>
        </w:rPr>
        <w:t xml:space="preserve">rulings. </w:t>
      </w:r>
    </w:p>
    <w:p w:rsidR="007E58B2" w:rsidRPr="008F0A77" w14:paraId="103BF7C5" w14:textId="22CFAF76">
      <w:pPr>
        <w:pStyle w:val="FootnoteText"/>
        <w:rPr>
          <w:rFonts w:ascii="Century Schoolbook" w:hAnsi="Century Schoolbook"/>
        </w:rPr>
      </w:pPr>
    </w:p>
  </w:footnote>
  <w:footnote w:id="5">
    <w:p w:rsidR="00C851B2" w:rsidRPr="004F282E" w:rsidP="00C851B2" w14:paraId="224A9888" w14:textId="65438B17">
      <w:pPr>
        <w:pStyle w:val="FootnoteText"/>
        <w:spacing w:before="15" w:after="90"/>
        <w:rPr>
          <w:rFonts w:ascii="Century Schoolbook" w:hAnsi="Century Schoolbook"/>
        </w:rPr>
      </w:pPr>
      <w:r>
        <w:rPr>
          <w:rStyle w:val="FootnoteReference"/>
        </w:rPr>
        <w:footnoteRef/>
      </w:r>
      <w:r>
        <w:tab/>
      </w:r>
      <w:r w:rsidRPr="004F282E">
        <w:rPr>
          <w:rFonts w:ascii="Century Schoolbook" w:hAnsi="Century Schoolbook"/>
        </w:rPr>
        <w:t>Bertuccio’s notice of appeal</w:t>
      </w:r>
      <w:r>
        <w:rPr>
          <w:rFonts w:ascii="Century Schoolbook" w:hAnsi="Century Schoolbook"/>
        </w:rPr>
        <w:t xml:space="preserve"> from the probate court’s June 2, 2021 order </w:t>
      </w:r>
      <w:r w:rsidRPr="004F282E">
        <w:rPr>
          <w:rFonts w:ascii="Century Schoolbook" w:hAnsi="Century Schoolbook"/>
        </w:rPr>
        <w:t xml:space="preserve">was timely filed in the </w:t>
      </w:r>
      <w:r w:rsidRPr="004F282E" w:rsidR="00240FC9">
        <w:rPr>
          <w:rFonts w:ascii="Century Schoolbook" w:hAnsi="Century Schoolbook"/>
        </w:rPr>
        <w:t>Sixth District Court of Appeal</w:t>
      </w:r>
      <w:r w:rsidRPr="004F282E">
        <w:rPr>
          <w:rFonts w:ascii="Century Schoolbook" w:hAnsi="Century Schoolbook"/>
        </w:rPr>
        <w:t xml:space="preserve">. </w:t>
      </w:r>
      <w:r w:rsidR="00240FC9">
        <w:rPr>
          <w:rFonts w:ascii="Century Schoolbook" w:hAnsi="Century Schoolbook"/>
        </w:rPr>
        <w:t xml:space="preserve"> </w:t>
      </w:r>
      <w:r w:rsidRPr="004F282E">
        <w:rPr>
          <w:rFonts w:ascii="Century Schoolbook" w:hAnsi="Century Schoolbook"/>
        </w:rPr>
        <w:t>On August 6, 2021, th</w:t>
      </w:r>
      <w:r w:rsidR="00240FC9">
        <w:rPr>
          <w:rFonts w:ascii="Century Schoolbook" w:hAnsi="Century Schoolbook"/>
        </w:rPr>
        <w:t>at</w:t>
      </w:r>
      <w:r w:rsidRPr="004F282E">
        <w:rPr>
          <w:rFonts w:ascii="Century Schoolbook" w:hAnsi="Century Schoolbook"/>
        </w:rPr>
        <w:t xml:space="preserve"> </w:t>
      </w:r>
      <w:r w:rsidR="00240FC9">
        <w:rPr>
          <w:rFonts w:ascii="Century Schoolbook" w:hAnsi="Century Schoolbook"/>
        </w:rPr>
        <w:t>court</w:t>
      </w:r>
      <w:r w:rsidRPr="004F282E" w:rsidR="00240FC9">
        <w:rPr>
          <w:rFonts w:ascii="Century Schoolbook" w:hAnsi="Century Schoolbook"/>
        </w:rPr>
        <w:t xml:space="preserve"> </w:t>
      </w:r>
      <w:r w:rsidRPr="004F282E">
        <w:rPr>
          <w:rFonts w:ascii="Century Schoolbook" w:hAnsi="Century Schoolbook"/>
        </w:rPr>
        <w:t xml:space="preserve">requested Bertuccio to show cause why the appeal should not be dismissed as premature and/or taken from a nonappealable order. </w:t>
      </w:r>
      <w:r w:rsidR="00240FC9">
        <w:rPr>
          <w:rFonts w:ascii="Century Schoolbook" w:hAnsi="Century Schoolbook"/>
        </w:rPr>
        <w:t xml:space="preserve"> </w:t>
      </w:r>
      <w:r>
        <w:rPr>
          <w:rFonts w:ascii="Century Schoolbook" w:hAnsi="Century Schoolbook"/>
        </w:rPr>
        <w:t>Having con</w:t>
      </w:r>
      <w:r w:rsidRPr="004F282E">
        <w:rPr>
          <w:rFonts w:ascii="Century Schoolbook" w:hAnsi="Century Schoolbook"/>
        </w:rPr>
        <w:t xml:space="preserve">sidered </w:t>
      </w:r>
      <w:r>
        <w:rPr>
          <w:rFonts w:ascii="Century Schoolbook" w:hAnsi="Century Schoolbook"/>
        </w:rPr>
        <w:t xml:space="preserve">Bertuccio’s </w:t>
      </w:r>
      <w:r w:rsidRPr="004F282E">
        <w:rPr>
          <w:rFonts w:ascii="Century Schoolbook" w:hAnsi="Century Schoolbook"/>
        </w:rPr>
        <w:t xml:space="preserve">response, </w:t>
      </w:r>
      <w:r w:rsidR="00240FC9">
        <w:rPr>
          <w:rFonts w:ascii="Century Schoolbook" w:hAnsi="Century Schoolbook"/>
        </w:rPr>
        <w:t xml:space="preserve">it </w:t>
      </w:r>
      <w:r>
        <w:rPr>
          <w:rFonts w:ascii="Century Schoolbook" w:hAnsi="Century Schoolbook"/>
        </w:rPr>
        <w:t>discharged the</w:t>
      </w:r>
      <w:r w:rsidRPr="004F282E">
        <w:rPr>
          <w:rFonts w:ascii="Century Schoolbook" w:hAnsi="Century Schoolbook"/>
        </w:rPr>
        <w:t xml:space="preserve"> order to show cause </w:t>
      </w:r>
      <w:r>
        <w:rPr>
          <w:rFonts w:ascii="Century Schoolbook" w:hAnsi="Century Schoolbook"/>
        </w:rPr>
        <w:t xml:space="preserve">and allowed the appeal to proceed. </w:t>
      </w:r>
      <w:r w:rsidR="00240FC9">
        <w:rPr>
          <w:rFonts w:ascii="Century Schoolbook" w:hAnsi="Century Schoolbook"/>
        </w:rPr>
        <w:t xml:space="preserve"> </w:t>
      </w:r>
      <w:r w:rsidRPr="004F282E">
        <w:rPr>
          <w:rFonts w:ascii="Century Schoolbook" w:hAnsi="Century Schoolbook"/>
          <w:szCs w:val="26"/>
        </w:rPr>
        <w:t xml:space="preserve">On April 1, 2022, this case was fully briefed. </w:t>
      </w:r>
      <w:r w:rsidR="00240FC9">
        <w:rPr>
          <w:rFonts w:ascii="Century Schoolbook" w:hAnsi="Century Schoolbook"/>
          <w:szCs w:val="26"/>
        </w:rPr>
        <w:t xml:space="preserve"> </w:t>
      </w:r>
      <w:r w:rsidRPr="004F282E">
        <w:rPr>
          <w:rFonts w:ascii="Century Schoolbook" w:hAnsi="Century Schoolbook"/>
          <w:szCs w:val="26"/>
        </w:rPr>
        <w:t>On August 9, 2022, t</w:t>
      </w:r>
      <w:r w:rsidRPr="004F282E">
        <w:rPr>
          <w:rFonts w:ascii="Century Schoolbook" w:hAnsi="Century Schoolbook"/>
          <w:color w:val="3D3D3D"/>
          <w:szCs w:val="26"/>
          <w:shd w:val="clear" w:color="auto" w:fill="FFFFFF"/>
        </w:rPr>
        <w:t xml:space="preserve">he case was transferred by California Supreme Court Order from the </w:t>
      </w:r>
      <w:r w:rsidRPr="004F282E" w:rsidR="00240FC9">
        <w:rPr>
          <w:rFonts w:ascii="Century Schoolbook" w:hAnsi="Century Schoolbook"/>
        </w:rPr>
        <w:t>Sixth District Court of Appeal</w:t>
      </w:r>
      <w:r w:rsidR="00240FC9">
        <w:rPr>
          <w:rFonts w:ascii="Century Schoolbook" w:hAnsi="Century Schoolbook"/>
          <w:color w:val="3D3D3D"/>
          <w:szCs w:val="26"/>
          <w:shd w:val="clear" w:color="auto" w:fill="FFFFFF"/>
        </w:rPr>
        <w:t xml:space="preserve"> </w:t>
      </w:r>
      <w:r>
        <w:rPr>
          <w:rFonts w:ascii="Century Schoolbook" w:hAnsi="Century Schoolbook"/>
          <w:color w:val="3D3D3D"/>
          <w:szCs w:val="26"/>
          <w:shd w:val="clear" w:color="auto" w:fill="FFFFFF"/>
        </w:rPr>
        <w:t>(</w:t>
      </w:r>
      <w:r w:rsidRPr="004F282E">
        <w:rPr>
          <w:rFonts w:ascii="Century Schoolbook" w:hAnsi="Century Schoolbook"/>
          <w:color w:val="3D3D3D"/>
          <w:szCs w:val="26"/>
          <w:shd w:val="clear" w:color="auto" w:fill="FFFFFF"/>
        </w:rPr>
        <w:t>where it had been designated case No. H049297</w:t>
      </w:r>
      <w:r>
        <w:rPr>
          <w:rFonts w:ascii="Century Schoolbook" w:hAnsi="Century Schoolbook"/>
          <w:color w:val="3D3D3D"/>
          <w:szCs w:val="26"/>
          <w:shd w:val="clear" w:color="auto" w:fill="FFFFFF"/>
        </w:rPr>
        <w:t>)</w:t>
      </w:r>
      <w:r w:rsidRPr="004F282E">
        <w:rPr>
          <w:rFonts w:ascii="Century Schoolbook" w:hAnsi="Century Schoolbook"/>
          <w:color w:val="3D3D3D"/>
          <w:szCs w:val="26"/>
          <w:shd w:val="clear" w:color="auto" w:fill="FFFFFF"/>
        </w:rPr>
        <w:t xml:space="preserve"> to the First </w:t>
      </w:r>
      <w:r w:rsidRPr="004F282E" w:rsidR="00240FC9">
        <w:rPr>
          <w:rFonts w:ascii="Century Schoolbook" w:hAnsi="Century Schoolbook"/>
        </w:rPr>
        <w:t>District Court of Appeal</w:t>
      </w:r>
      <w:r w:rsidRPr="004F282E">
        <w:rPr>
          <w:rFonts w:ascii="Century Schoolbook" w:hAnsi="Century Schoolbook"/>
          <w:color w:val="3D3D3D"/>
          <w:szCs w:val="26"/>
          <w:shd w:val="clear" w:color="auto" w:fill="FFFFFF"/>
        </w:rPr>
        <w:t xml:space="preserve">. </w:t>
      </w:r>
    </w:p>
  </w:footnote>
  <w:footnote w:id="6">
    <w:p w:rsidR="00564114" w14:paraId="111D13D1" w14:textId="3D3FD9C2">
      <w:pPr>
        <w:pStyle w:val="FootnoteText"/>
      </w:pPr>
      <w:r>
        <w:rPr>
          <w:rStyle w:val="FootnoteReference"/>
        </w:rPr>
        <w:footnoteRef/>
      </w:r>
      <w:r>
        <w:t xml:space="preserve"> </w:t>
      </w:r>
      <w:r>
        <w:tab/>
      </w:r>
      <w:r w:rsidRPr="00564114">
        <w:rPr>
          <w:rFonts w:ascii="Century Schoolbook" w:hAnsi="Century Schoolbook"/>
        </w:rPr>
        <w:t>Evidence Code, former section 621, subdivision (a) provided</w:t>
      </w:r>
      <w:r w:rsidR="000F0A06">
        <w:rPr>
          <w:rFonts w:ascii="Century Schoolbook" w:hAnsi="Century Schoolbook"/>
        </w:rPr>
        <w:t xml:space="preserve">: “Except as provided in subdivision (b), the issue of a wife </w:t>
      </w:r>
      <w:r w:rsidRPr="00564114">
        <w:rPr>
          <w:rFonts w:ascii="Century Schoolbook" w:hAnsi="Century Schoolbook"/>
        </w:rPr>
        <w:t>cohabiting with her husband, who is not impotent or sterile, is conclusively presumed to be a child of the marriage.”</w:t>
      </w:r>
      <w:r w:rsidR="002049E8">
        <w:rPr>
          <w:rFonts w:ascii="Century Schoolbook" w:hAnsi="Century Schoolbook"/>
        </w:rPr>
        <w:t xml:space="preserve">  Evidence Code, former</w:t>
      </w:r>
      <w:r w:rsidR="00CB4EE9">
        <w:rPr>
          <w:rFonts w:ascii="Century Schoolbook" w:hAnsi="Century Schoolbook"/>
        </w:rPr>
        <w:t xml:space="preserve"> section 621,</w:t>
      </w:r>
      <w:r w:rsidR="002049E8">
        <w:rPr>
          <w:rFonts w:ascii="Century Schoolbook" w:hAnsi="Century Schoolbook"/>
        </w:rPr>
        <w:t xml:space="preserve"> </w:t>
      </w:r>
      <w:r w:rsidR="00366BAC">
        <w:rPr>
          <w:rFonts w:ascii="Century Schoolbook" w:hAnsi="Century Schoolbook"/>
        </w:rPr>
        <w:t>s</w:t>
      </w:r>
      <w:r w:rsidR="002049E8">
        <w:rPr>
          <w:rFonts w:ascii="Century Schoolbook" w:hAnsi="Century Schoolbook"/>
        </w:rPr>
        <w:t>ubdivision (b) “[a]llow</w:t>
      </w:r>
      <w:r w:rsidR="004672FE">
        <w:rPr>
          <w:rFonts w:ascii="Century Schoolbook" w:hAnsi="Century Schoolbook"/>
        </w:rPr>
        <w:t>[</w:t>
      </w:r>
      <w:r w:rsidR="002049E8">
        <w:rPr>
          <w:rFonts w:ascii="Century Schoolbook" w:hAnsi="Century Schoolbook"/>
        </w:rPr>
        <w:t>ed</w:t>
      </w:r>
      <w:r w:rsidR="004672FE">
        <w:rPr>
          <w:rFonts w:ascii="Century Schoolbook" w:hAnsi="Century Schoolbook"/>
        </w:rPr>
        <w:t>]</w:t>
      </w:r>
      <w:r w:rsidR="002049E8">
        <w:rPr>
          <w:rFonts w:ascii="Century Schoolbook" w:hAnsi="Century Schoolbook"/>
        </w:rPr>
        <w:t xml:space="preserve"> the mother or the presumed father to rebut the presumption of subdivision (a) by presenting blood test evidence of nonpaternity to the court within two years of the child’s birth.”  (</w:t>
      </w:r>
      <w:r w:rsidRPr="002049E8" w:rsidR="002049E8">
        <w:rPr>
          <w:rFonts w:ascii="Century Schoolbook" w:hAnsi="Century Schoolbook"/>
          <w:i/>
          <w:iCs/>
        </w:rPr>
        <w:t>Cornelious</w:t>
      </w:r>
      <w:r w:rsidR="002049E8">
        <w:rPr>
          <w:rFonts w:ascii="Century Schoolbook" w:hAnsi="Century Schoolbook"/>
        </w:rPr>
        <w:t xml:space="preserve">, </w:t>
      </w:r>
      <w:r w:rsidRPr="002049E8" w:rsidR="002049E8">
        <w:rPr>
          <w:rFonts w:ascii="Century Schoolbook" w:hAnsi="Century Schoolbook"/>
          <w:i/>
          <w:iCs/>
        </w:rPr>
        <w:t>supra</w:t>
      </w:r>
      <w:r w:rsidR="002049E8">
        <w:rPr>
          <w:rFonts w:ascii="Century Schoolbook" w:hAnsi="Century Schoolbook"/>
        </w:rPr>
        <w:t xml:space="preserve">, 35 Cal.3d at p. 463, fn. 1.) </w:t>
      </w:r>
    </w:p>
  </w:footnote>
  <w:footnote w:id="7">
    <w:p w:rsidR="000F0A06" w:rsidRPr="000F0A06" w14:paraId="057255DA" w14:textId="73BA9DA6">
      <w:pPr>
        <w:pStyle w:val="FootnoteText"/>
        <w:rPr>
          <w:rFonts w:ascii="Century Schoolbook" w:hAnsi="Century Schoolbook"/>
        </w:rPr>
      </w:pPr>
      <w:r>
        <w:rPr>
          <w:rStyle w:val="FootnoteReference"/>
        </w:rPr>
        <w:footnoteRef/>
      </w:r>
      <w:r>
        <w:t xml:space="preserve"> </w:t>
      </w:r>
      <w:r>
        <w:tab/>
      </w:r>
      <w:r w:rsidRPr="000F0A06">
        <w:rPr>
          <w:rFonts w:ascii="Century Schoolbook" w:hAnsi="Century Schoolbook"/>
        </w:rPr>
        <w:t xml:space="preserve">At the hearing, the following facts were established or accepted as proven:  Hall’s mother was married to Fuller.  </w:t>
      </w:r>
      <w:r w:rsidR="0019766D">
        <w:rPr>
          <w:rFonts w:ascii="Century Schoolbook" w:hAnsi="Century Schoolbook"/>
        </w:rPr>
        <w:t>(</w:t>
      </w:r>
      <w:r w:rsidRPr="00423065" w:rsidR="00423065">
        <w:rPr>
          <w:rFonts w:ascii="Century Schoolbook" w:hAnsi="Century Schoolbook"/>
          <w:i/>
          <w:iCs/>
        </w:rPr>
        <w:t>Cornelious</w:t>
      </w:r>
      <w:r w:rsidR="00423065">
        <w:rPr>
          <w:rFonts w:ascii="Century Schoolbook" w:hAnsi="Century Schoolbook"/>
        </w:rPr>
        <w:t xml:space="preserve">, </w:t>
      </w:r>
      <w:r w:rsidRPr="00423065" w:rsidR="00423065">
        <w:rPr>
          <w:rFonts w:ascii="Century Schoolbook" w:hAnsi="Century Schoolbook"/>
          <w:i/>
          <w:iCs/>
        </w:rPr>
        <w:t>supra</w:t>
      </w:r>
      <w:r w:rsidR="00423065">
        <w:rPr>
          <w:rFonts w:ascii="Century Schoolbook" w:hAnsi="Century Schoolbook"/>
        </w:rPr>
        <w:t xml:space="preserve">, </w:t>
      </w:r>
      <w:r w:rsidR="0019766D">
        <w:rPr>
          <w:rFonts w:ascii="Century Schoolbook" w:hAnsi="Century Schoolbook"/>
        </w:rPr>
        <w:t>35 Cal.3d at p. 463.)</w:t>
      </w:r>
      <w:r w:rsidR="007C7B34">
        <w:rPr>
          <w:rFonts w:ascii="Century Schoolbook" w:hAnsi="Century Schoolbook"/>
        </w:rPr>
        <w:t xml:space="preserve"> </w:t>
      </w:r>
      <w:r w:rsidR="0019766D">
        <w:rPr>
          <w:rFonts w:ascii="Century Schoolbook" w:hAnsi="Century Schoolbook"/>
        </w:rPr>
        <w:t xml:space="preserve"> </w:t>
      </w:r>
      <w:r w:rsidRPr="000F0A06">
        <w:rPr>
          <w:rFonts w:ascii="Century Schoolbook" w:hAnsi="Century Schoolbook"/>
        </w:rPr>
        <w:t xml:space="preserve">They lived together as husband and wife from the time of their marriage up to the time of the hearing, including the time when Hall was conceived.  </w:t>
      </w:r>
      <w:r w:rsidR="0019766D">
        <w:rPr>
          <w:rFonts w:ascii="Century Schoolbook" w:hAnsi="Century Schoolbook"/>
        </w:rPr>
        <w:t>(</w:t>
      </w:r>
      <w:r w:rsidRPr="0019766D" w:rsidR="0019766D">
        <w:rPr>
          <w:rFonts w:ascii="Century Schoolbook" w:hAnsi="Century Schoolbook"/>
          <w:i/>
          <w:iCs/>
        </w:rPr>
        <w:t>Id.</w:t>
      </w:r>
      <w:r w:rsidR="0019766D">
        <w:rPr>
          <w:rFonts w:ascii="Century Schoolbook" w:hAnsi="Century Schoolbook"/>
        </w:rPr>
        <w:t xml:space="preserve"> at pp. 463–464.)  </w:t>
      </w:r>
      <w:r w:rsidRPr="000F0A06">
        <w:rPr>
          <w:rFonts w:ascii="Century Schoolbook" w:hAnsi="Century Schoolbook"/>
        </w:rPr>
        <w:t xml:space="preserve">Fuller was named as Hall’s father on her birth certificate. </w:t>
      </w:r>
      <w:r w:rsidR="0019766D">
        <w:rPr>
          <w:rFonts w:ascii="Century Schoolbook" w:hAnsi="Century Schoolbook"/>
        </w:rPr>
        <w:t xml:space="preserve"> (</w:t>
      </w:r>
      <w:r w:rsidRPr="0019766D" w:rsidR="0019766D">
        <w:rPr>
          <w:rFonts w:ascii="Century Schoolbook" w:hAnsi="Century Schoolbook"/>
          <w:i/>
          <w:iCs/>
        </w:rPr>
        <w:t>Id.</w:t>
      </w:r>
      <w:r w:rsidR="0019766D">
        <w:rPr>
          <w:rFonts w:ascii="Century Schoolbook" w:hAnsi="Century Schoolbook"/>
        </w:rPr>
        <w:t xml:space="preserve"> at p. 464.) </w:t>
      </w:r>
      <w:r w:rsidRPr="000F0A06">
        <w:rPr>
          <w:rFonts w:ascii="Century Schoolbook" w:hAnsi="Century Schoolbook"/>
        </w:rPr>
        <w:t xml:space="preserve"> Although Fuller was not impotent or sterile during the time of Hall’s conception, her mother said the spouses were not </w:t>
      </w:r>
      <w:r w:rsidR="00822718">
        <w:rPr>
          <w:rFonts w:ascii="Century Schoolbook" w:hAnsi="Century Schoolbook"/>
        </w:rPr>
        <w:t>having intercourse</w:t>
      </w:r>
      <w:r w:rsidRPr="000F0A06">
        <w:rPr>
          <w:rFonts w:ascii="Century Schoolbook" w:hAnsi="Century Schoolbook"/>
        </w:rPr>
        <w:t xml:space="preserve"> during that period, and that Cornelious was Hall’s natural father.  </w:t>
      </w:r>
      <w:r w:rsidR="0019766D">
        <w:rPr>
          <w:rFonts w:ascii="Century Schoolbook" w:hAnsi="Century Schoolbook"/>
        </w:rPr>
        <w:t>(</w:t>
      </w:r>
      <w:r w:rsidRPr="0019766D" w:rsidR="0019766D">
        <w:rPr>
          <w:rFonts w:ascii="Century Schoolbook" w:hAnsi="Century Schoolbook"/>
          <w:i/>
          <w:iCs/>
        </w:rPr>
        <w:t>Ibid</w:t>
      </w:r>
      <w:r w:rsidR="0019766D">
        <w:rPr>
          <w:rFonts w:ascii="Century Schoolbook" w:hAnsi="Century Schoolbook"/>
        </w:rPr>
        <w:t xml:space="preserve">.)  </w:t>
      </w:r>
      <w:r w:rsidRPr="000F0A06">
        <w:rPr>
          <w:rFonts w:ascii="Century Schoolbook" w:hAnsi="Century Schoolbook"/>
        </w:rPr>
        <w:t xml:space="preserve">Hall was informed of her paternal parentage when she was 15 years old, and from that time until Cornelious’ death in 1980, Hall visited him, accompanied him on errands, </w:t>
      </w:r>
      <w:r w:rsidR="00822718">
        <w:rPr>
          <w:rFonts w:ascii="Century Schoolbook" w:hAnsi="Century Schoolbook"/>
        </w:rPr>
        <w:t xml:space="preserve">and </w:t>
      </w:r>
      <w:r w:rsidRPr="000F0A06">
        <w:rPr>
          <w:rFonts w:ascii="Century Schoolbook" w:hAnsi="Century Schoolbook"/>
        </w:rPr>
        <w:t>occasionally stayed overnight in his home</w:t>
      </w:r>
      <w:r w:rsidR="00822718">
        <w:rPr>
          <w:rFonts w:ascii="Century Schoolbook" w:hAnsi="Century Schoolbook"/>
        </w:rPr>
        <w:t>;</w:t>
      </w:r>
      <w:r w:rsidRPr="000F0A06">
        <w:rPr>
          <w:rFonts w:ascii="Century Schoolbook" w:hAnsi="Century Schoolbook"/>
        </w:rPr>
        <w:t xml:space="preserve"> Cornelious identified Hall as his daughter to his friends.  </w:t>
      </w:r>
      <w:r w:rsidR="0019766D">
        <w:rPr>
          <w:rFonts w:ascii="Century Schoolbook" w:hAnsi="Century Schoolbook"/>
        </w:rPr>
        <w:t>(</w:t>
      </w:r>
      <w:r w:rsidRPr="0019766D" w:rsidR="0019766D">
        <w:rPr>
          <w:rFonts w:ascii="Century Schoolbook" w:hAnsi="Century Schoolbook"/>
          <w:i/>
          <w:iCs/>
        </w:rPr>
        <w:t>Ibid</w:t>
      </w:r>
      <w:r w:rsidR="0019766D">
        <w:rPr>
          <w:rFonts w:ascii="Century Schoolbook" w:hAnsi="Century Schoolbook"/>
        </w:rPr>
        <w:t xml:space="preserve">.)  </w:t>
      </w:r>
      <w:r w:rsidRPr="000F0A06">
        <w:rPr>
          <w:rFonts w:ascii="Century Schoolbook" w:hAnsi="Century Schoolbook"/>
        </w:rPr>
        <w:t xml:space="preserve">Hall continued to live in Fuller’s household until she became emancipated.  </w:t>
      </w:r>
      <w:r w:rsidR="0019766D">
        <w:rPr>
          <w:rFonts w:ascii="Century Schoolbook" w:hAnsi="Century Schoolbook"/>
        </w:rPr>
        <w:t>(</w:t>
      </w:r>
      <w:r w:rsidRPr="0019766D" w:rsidR="0019766D">
        <w:rPr>
          <w:rFonts w:ascii="Century Schoolbook" w:hAnsi="Century Schoolbook"/>
          <w:i/>
          <w:iCs/>
        </w:rPr>
        <w:t>Ibid</w:t>
      </w:r>
      <w:r w:rsidR="0019766D">
        <w:rPr>
          <w:rFonts w:ascii="Century Schoolbook" w:hAnsi="Century Schoolbook"/>
        </w:rPr>
        <w:t xml:space="preserve">.) </w:t>
      </w:r>
      <w:r w:rsidRPr="000F0A06">
        <w:rPr>
          <w:rFonts w:ascii="Century Schoolbook" w:hAnsi="Century Schoolbook"/>
        </w:rPr>
        <w:t xml:space="preserve">At the time of the hearing </w:t>
      </w:r>
      <w:r w:rsidR="0021563A">
        <w:rPr>
          <w:rFonts w:ascii="Century Schoolbook" w:hAnsi="Century Schoolbook"/>
        </w:rPr>
        <w:t xml:space="preserve">Hall </w:t>
      </w:r>
      <w:r w:rsidRPr="000F0A06">
        <w:rPr>
          <w:rFonts w:ascii="Century Schoolbook" w:hAnsi="Century Schoolbook"/>
        </w:rPr>
        <w:t xml:space="preserve">was 27 years old and had a family of her own.  </w:t>
      </w:r>
      <w:r w:rsidR="0019766D">
        <w:rPr>
          <w:rFonts w:ascii="Century Schoolbook" w:hAnsi="Century Schoolbook"/>
        </w:rPr>
        <w:t>(</w:t>
      </w:r>
      <w:r w:rsidRPr="0019766D" w:rsidR="0019766D">
        <w:rPr>
          <w:rFonts w:ascii="Century Schoolbook" w:hAnsi="Century Schoolbook"/>
          <w:i/>
          <w:iCs/>
        </w:rPr>
        <w:t>Ibid</w:t>
      </w:r>
      <w:r w:rsidR="0019766D">
        <w:rPr>
          <w:rFonts w:ascii="Century Schoolbook" w:hAnsi="Century Schoolbook"/>
        </w:rPr>
        <w:t xml:space="preserve">.)  </w:t>
      </w:r>
      <w:r w:rsidR="00945C35">
        <w:rPr>
          <w:rFonts w:ascii="Century Schoolbook" w:hAnsi="Century Schoolbook"/>
        </w:rPr>
        <w:t>Hall had commenced the probate proceeding without Fuller’s knowledge, and Fuller died sometime after the hearing without learning of the proceeding and apparently believing he was Hall’s natural father.  (</w:t>
      </w:r>
      <w:r w:rsidRPr="0019766D" w:rsidR="00945C35">
        <w:rPr>
          <w:rFonts w:ascii="Century Schoolbook" w:hAnsi="Century Schoolbook"/>
          <w:i/>
          <w:iCs/>
        </w:rPr>
        <w:t>Id</w:t>
      </w:r>
      <w:r w:rsidR="00945C35">
        <w:rPr>
          <w:rFonts w:ascii="Century Schoolbook" w:hAnsi="Century Schoolbook"/>
        </w:rPr>
        <w:t xml:space="preserve">. at p. 464 &amp; fn. 3; see </w:t>
      </w:r>
      <w:r w:rsidRPr="00445C26" w:rsidR="00945C35">
        <w:rPr>
          <w:rFonts w:ascii="Century Schoolbook" w:hAnsi="Century Schoolbook"/>
          <w:i/>
          <w:iCs/>
        </w:rPr>
        <w:t>Id.</w:t>
      </w:r>
      <w:r w:rsidR="00945C35">
        <w:rPr>
          <w:rFonts w:ascii="Century Schoolbook" w:hAnsi="Century Schoolbook"/>
        </w:rPr>
        <w:t xml:space="preserve"> at p. 469 [dissenting opn. by Bird, C.J.]</w:t>
      </w:r>
      <w:r w:rsidR="000A297F">
        <w:rPr>
          <w:rFonts w:ascii="Century Schoolbook" w:hAnsi="Century Schoolbook"/>
        </w:rPr>
        <w:t>.</w:t>
      </w:r>
      <w:r w:rsidR="00945C35">
        <w:rPr>
          <w:rFonts w:ascii="Century Schoolbook" w:hAnsi="Century Schoolbook"/>
        </w:rPr>
        <w:t xml:space="preserve">)  </w:t>
      </w:r>
      <w:r w:rsidRPr="000F0A06">
        <w:rPr>
          <w:rFonts w:ascii="Century Schoolbook" w:hAnsi="Century Schoolbook"/>
        </w:rPr>
        <w:t>There was also evidence demonstrating that it was biologically impossible for Fuller to be Hall’s natural father.  (</w:t>
      </w:r>
      <w:r w:rsidRPr="00445C26">
        <w:rPr>
          <w:rFonts w:ascii="Century Schoolbook" w:hAnsi="Century Schoolbook"/>
          <w:i/>
          <w:iCs/>
        </w:rPr>
        <w:t>I</w:t>
      </w:r>
      <w:r w:rsidR="00CB4EE9">
        <w:rPr>
          <w:rFonts w:ascii="Century Schoolbook" w:hAnsi="Century Schoolbook"/>
          <w:i/>
          <w:iCs/>
        </w:rPr>
        <w:t xml:space="preserve">d. </w:t>
      </w:r>
      <w:r w:rsidR="00CB4EE9">
        <w:rPr>
          <w:rFonts w:ascii="Century Schoolbook" w:hAnsi="Century Schoolbook"/>
        </w:rPr>
        <w:t>at p. 464.</w:t>
      </w:r>
      <w:r w:rsidRPr="000F0A06">
        <w:rPr>
          <w:rFonts w:ascii="Century Schoolbook" w:hAnsi="Century Schoolbook"/>
        </w:rPr>
        <w:t xml:space="preserve">)  </w:t>
      </w:r>
    </w:p>
  </w:footnote>
  <w:footnote w:id="8">
    <w:p w:rsidR="00DA179B" w:rsidRPr="00096601" w:rsidP="00096601" w14:paraId="07DFAB33" w14:textId="6AF1911F">
      <w:pPr>
        <w:shd w:val="clear" w:color="auto" w:fill="FFFFFF"/>
        <w:tabs>
          <w:tab w:val="clear" w:pos="720"/>
        </w:tabs>
        <w:spacing w:line="240" w:lineRule="auto"/>
        <w:textAlignment w:val="baseline"/>
        <w:rPr>
          <w:rFonts w:ascii="Century Schoolbook" w:hAnsi="Century Schoolbook"/>
          <w:bCs/>
        </w:rPr>
      </w:pPr>
      <w:r>
        <w:rPr>
          <w:rStyle w:val="FootnoteReference"/>
        </w:rPr>
        <w:footnoteRef/>
      </w:r>
      <w:r>
        <w:tab/>
      </w:r>
      <w:r w:rsidRPr="005D2AFE" w:rsidR="005D2AFE">
        <w:rPr>
          <w:rFonts w:ascii="Century Schoolbook" w:hAnsi="Century Schoolbook"/>
        </w:rPr>
        <w:t>We</w:t>
      </w:r>
      <w:r w:rsidRPr="005D2AFE">
        <w:rPr>
          <w:rFonts w:ascii="Century Schoolbook" w:hAnsi="Century Schoolbook"/>
        </w:rPr>
        <w:t xml:space="preserve"> note that </w:t>
      </w:r>
      <w:r w:rsidRPr="005D2AFE" w:rsidR="000936B6">
        <w:rPr>
          <w:rFonts w:ascii="Century Schoolbook" w:hAnsi="Century Schoolbook"/>
        </w:rPr>
        <w:t xml:space="preserve">the </w:t>
      </w:r>
      <w:r w:rsidRPr="005D2AFE">
        <w:rPr>
          <w:rFonts w:ascii="Century Schoolbook" w:hAnsi="Century Schoolbook"/>
          <w:bCs/>
        </w:rPr>
        <w:t xml:space="preserve">Morenos, as summary judgment movants, had the burden of proving that there </w:t>
      </w:r>
      <w:r w:rsidRPr="005D2AFE" w:rsidR="005D2AFE">
        <w:rPr>
          <w:rFonts w:ascii="Century Schoolbook" w:hAnsi="Century Schoolbook"/>
          <w:bCs/>
        </w:rPr>
        <w:t>were</w:t>
      </w:r>
      <w:r w:rsidRPr="005D2AFE">
        <w:rPr>
          <w:rFonts w:ascii="Century Schoolbook" w:hAnsi="Century Schoolbook"/>
          <w:bCs/>
        </w:rPr>
        <w:t xml:space="preserve"> no genuine triable issues of fact and </w:t>
      </w:r>
      <w:r w:rsidR="001F67C5">
        <w:rPr>
          <w:rFonts w:ascii="Century Schoolbook" w:hAnsi="Century Schoolbook"/>
          <w:bCs/>
        </w:rPr>
        <w:t xml:space="preserve">that </w:t>
      </w:r>
      <w:r w:rsidRPr="005D2AFE">
        <w:rPr>
          <w:rFonts w:ascii="Century Schoolbook" w:hAnsi="Century Schoolbook"/>
          <w:bCs/>
        </w:rPr>
        <w:t xml:space="preserve">they </w:t>
      </w:r>
      <w:r w:rsidRPr="005D2AFE" w:rsidR="005D2AFE">
        <w:rPr>
          <w:rFonts w:ascii="Century Schoolbook" w:hAnsi="Century Schoolbook"/>
          <w:bCs/>
        </w:rPr>
        <w:t>were</w:t>
      </w:r>
      <w:r w:rsidRPr="005D2AFE">
        <w:rPr>
          <w:rFonts w:ascii="Century Schoolbook" w:hAnsi="Century Schoolbook"/>
          <w:bCs/>
        </w:rPr>
        <w:t xml:space="preserve"> therefore entitled to judgment as a matter of law.  (</w:t>
      </w:r>
      <w:r w:rsidRPr="005D2AFE">
        <w:rPr>
          <w:rFonts w:ascii="Century Schoolbook" w:hAnsi="Century Schoolbook"/>
          <w:bCs/>
          <w:i/>
          <w:iCs/>
        </w:rPr>
        <w:t>Aguilar v. Atlantic Richfield Co</w:t>
      </w:r>
      <w:r w:rsidRPr="005D2AFE">
        <w:rPr>
          <w:rFonts w:ascii="Century Schoolbook" w:hAnsi="Century Schoolbook"/>
          <w:bCs/>
        </w:rPr>
        <w:t>. (2001) 25 Cal.4th 826, 845</w:t>
      </w:r>
      <w:r w:rsidR="000A297F">
        <w:rPr>
          <w:rFonts w:ascii="Century Schoolbook" w:hAnsi="Century Schoolbook"/>
          <w:bCs/>
        </w:rPr>
        <w:t xml:space="preserve"> (</w:t>
      </w:r>
      <w:r w:rsidRPr="00410D1F" w:rsidR="000A297F">
        <w:rPr>
          <w:rFonts w:ascii="Century Schoolbook" w:hAnsi="Century Schoolbook"/>
          <w:bCs/>
          <w:i/>
          <w:iCs/>
        </w:rPr>
        <w:t>Aguilar</w:t>
      </w:r>
      <w:r w:rsidR="000A297F">
        <w:rPr>
          <w:rFonts w:ascii="Century Schoolbook" w:hAnsi="Century Schoolbook"/>
          <w:bCs/>
        </w:rPr>
        <w:t>)</w:t>
      </w:r>
      <w:r w:rsidRPr="005D2AFE">
        <w:rPr>
          <w:rFonts w:ascii="Century Schoolbook" w:hAnsi="Century Schoolbook"/>
          <w:bCs/>
        </w:rPr>
        <w:t xml:space="preserve">.)  Moreover, as the proponents of the Family Code section 7540 marital presumption, the Morenos had the burden of proving the foundational fact of cohabitation by a preponderance of the evidence.  (See </w:t>
      </w:r>
      <w:r w:rsidRPr="005D2AFE">
        <w:rPr>
          <w:rFonts w:ascii="Century Schoolbook" w:hAnsi="Century Schoolbook"/>
          <w:bCs/>
          <w:i/>
          <w:iCs/>
        </w:rPr>
        <w:t>United Sav. &amp; Loan Assn. v. Reeder Dev. Corp.</w:t>
      </w:r>
      <w:r w:rsidRPr="005D2AFE">
        <w:rPr>
          <w:rFonts w:ascii="Century Schoolbook" w:hAnsi="Century Schoolbook"/>
          <w:bCs/>
        </w:rPr>
        <w:t xml:space="preserve"> (1976) 57 Cal.App.3d 282, 300 [“[t]he proponent of the presumption has the burden of proving, by a preponderance of the evidence, the foundational facts of the presumption”].)  If a party “who would bear the burden of proof by a preponderance of the evidence at trial moves for summary judgment,” the party “must present evidence that would require a reasonable trier of fact to find any underlying material fact more likely than not.”  (</w:t>
      </w:r>
      <w:r w:rsidRPr="005D2AFE">
        <w:rPr>
          <w:rFonts w:ascii="Century Schoolbook" w:hAnsi="Century Schoolbook"/>
          <w:bCs/>
          <w:i/>
          <w:iCs/>
        </w:rPr>
        <w:t>Aguilar</w:t>
      </w:r>
      <w:r w:rsidR="000A297F">
        <w:rPr>
          <w:rFonts w:ascii="Century Schoolbook" w:hAnsi="Century Schoolbook"/>
          <w:bCs/>
        </w:rPr>
        <w:t xml:space="preserve">, </w:t>
      </w:r>
      <w:r w:rsidRPr="00410D1F" w:rsidR="000A297F">
        <w:rPr>
          <w:rFonts w:ascii="Century Schoolbook" w:hAnsi="Century Schoolbook"/>
          <w:bCs/>
          <w:i/>
          <w:iCs/>
        </w:rPr>
        <w:t>supra</w:t>
      </w:r>
      <w:r w:rsidR="000A297F">
        <w:rPr>
          <w:rFonts w:ascii="Century Schoolbook" w:hAnsi="Century Schoolbook"/>
          <w:bCs/>
        </w:rPr>
        <w:t xml:space="preserve">, </w:t>
      </w:r>
      <w:r w:rsidRPr="005D2AFE">
        <w:rPr>
          <w:rFonts w:ascii="Century Schoolbook" w:hAnsi="Century Schoolbook"/>
          <w:bCs/>
        </w:rPr>
        <w:t>at p. 845.)</w:t>
      </w:r>
      <w:r w:rsidRPr="00096601">
        <w:rPr>
          <w:rFonts w:ascii="Century Schoolbook" w:hAnsi="Century Schoolbook"/>
          <w:bCs/>
        </w:rPr>
        <w:t xml:space="preserve">  </w:t>
      </w:r>
    </w:p>
    <w:p w:rsidR="00DA179B" w:rsidRPr="00096601" w14:paraId="7BB3C830" w14:textId="2AB7737C">
      <w:pPr>
        <w:pStyle w:val="FootnoteText"/>
        <w:rPr>
          <w:rFonts w:ascii="Century Schoolbook" w:hAnsi="Century Schoolboo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000" w14:paraId="29A4C45A" w14:textId="262B4218">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isplayBackgroundShape/>
  <w:defaultTabStop w:val="720"/>
  <w:drawingGridHorizontalSpacing w:val="13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F8"/>
    <w:rsid w:val="00000EFF"/>
    <w:rsid w:val="00002BE9"/>
    <w:rsid w:val="00004A9C"/>
    <w:rsid w:val="000114B7"/>
    <w:rsid w:val="000140F7"/>
    <w:rsid w:val="00015529"/>
    <w:rsid w:val="00022D5D"/>
    <w:rsid w:val="00024FF9"/>
    <w:rsid w:val="000272AF"/>
    <w:rsid w:val="00032ACE"/>
    <w:rsid w:val="0003406A"/>
    <w:rsid w:val="000342DE"/>
    <w:rsid w:val="00036F03"/>
    <w:rsid w:val="0004236B"/>
    <w:rsid w:val="00045D49"/>
    <w:rsid w:val="00050A76"/>
    <w:rsid w:val="00050FA4"/>
    <w:rsid w:val="000524EE"/>
    <w:rsid w:val="00052760"/>
    <w:rsid w:val="00053804"/>
    <w:rsid w:val="00067C9C"/>
    <w:rsid w:val="00087E46"/>
    <w:rsid w:val="00090A97"/>
    <w:rsid w:val="00091413"/>
    <w:rsid w:val="000936B6"/>
    <w:rsid w:val="000959BA"/>
    <w:rsid w:val="00096601"/>
    <w:rsid w:val="00097F51"/>
    <w:rsid w:val="000A1F41"/>
    <w:rsid w:val="000A297F"/>
    <w:rsid w:val="000C073E"/>
    <w:rsid w:val="000C5A1A"/>
    <w:rsid w:val="000C5A29"/>
    <w:rsid w:val="000D0432"/>
    <w:rsid w:val="000D0DF9"/>
    <w:rsid w:val="000D1443"/>
    <w:rsid w:val="000E19CE"/>
    <w:rsid w:val="000E32E4"/>
    <w:rsid w:val="000E4EAC"/>
    <w:rsid w:val="000F0A06"/>
    <w:rsid w:val="000F1666"/>
    <w:rsid w:val="000F1B07"/>
    <w:rsid w:val="000F24C5"/>
    <w:rsid w:val="000F2EFC"/>
    <w:rsid w:val="000F5052"/>
    <w:rsid w:val="000F52C6"/>
    <w:rsid w:val="000F58D2"/>
    <w:rsid w:val="000F7407"/>
    <w:rsid w:val="00100860"/>
    <w:rsid w:val="00104710"/>
    <w:rsid w:val="00111CF5"/>
    <w:rsid w:val="00112631"/>
    <w:rsid w:val="00114AD9"/>
    <w:rsid w:val="00117CF2"/>
    <w:rsid w:val="00117D1B"/>
    <w:rsid w:val="00125428"/>
    <w:rsid w:val="00132B8A"/>
    <w:rsid w:val="00140A5D"/>
    <w:rsid w:val="0014401F"/>
    <w:rsid w:val="0014527B"/>
    <w:rsid w:val="00146E29"/>
    <w:rsid w:val="00150953"/>
    <w:rsid w:val="00152476"/>
    <w:rsid w:val="00156E51"/>
    <w:rsid w:val="00165376"/>
    <w:rsid w:val="00166559"/>
    <w:rsid w:val="00167C18"/>
    <w:rsid w:val="00177CAF"/>
    <w:rsid w:val="00183A82"/>
    <w:rsid w:val="00190D22"/>
    <w:rsid w:val="0019443A"/>
    <w:rsid w:val="00196A11"/>
    <w:rsid w:val="0019766D"/>
    <w:rsid w:val="001A2435"/>
    <w:rsid w:val="001A2877"/>
    <w:rsid w:val="001A290A"/>
    <w:rsid w:val="001A2D2A"/>
    <w:rsid w:val="001A2F82"/>
    <w:rsid w:val="001A3557"/>
    <w:rsid w:val="001A4384"/>
    <w:rsid w:val="001B5C21"/>
    <w:rsid w:val="001C77E4"/>
    <w:rsid w:val="001D79F4"/>
    <w:rsid w:val="001E0695"/>
    <w:rsid w:val="001E2D2E"/>
    <w:rsid w:val="001E345C"/>
    <w:rsid w:val="001F2822"/>
    <w:rsid w:val="001F380B"/>
    <w:rsid w:val="001F67C5"/>
    <w:rsid w:val="001F6D96"/>
    <w:rsid w:val="002049E8"/>
    <w:rsid w:val="00204F03"/>
    <w:rsid w:val="002050C8"/>
    <w:rsid w:val="00210706"/>
    <w:rsid w:val="00213F79"/>
    <w:rsid w:val="002148B9"/>
    <w:rsid w:val="0021563A"/>
    <w:rsid w:val="002208DF"/>
    <w:rsid w:val="00220C3F"/>
    <w:rsid w:val="00226747"/>
    <w:rsid w:val="0023619F"/>
    <w:rsid w:val="00240062"/>
    <w:rsid w:val="00240FC9"/>
    <w:rsid w:val="00253009"/>
    <w:rsid w:val="002641B5"/>
    <w:rsid w:val="00265343"/>
    <w:rsid w:val="00265E20"/>
    <w:rsid w:val="0026786C"/>
    <w:rsid w:val="00273115"/>
    <w:rsid w:val="00275830"/>
    <w:rsid w:val="0027691E"/>
    <w:rsid w:val="002773A7"/>
    <w:rsid w:val="00282BCC"/>
    <w:rsid w:val="00284424"/>
    <w:rsid w:val="00286504"/>
    <w:rsid w:val="0028688D"/>
    <w:rsid w:val="00286BC6"/>
    <w:rsid w:val="002912FC"/>
    <w:rsid w:val="0029252D"/>
    <w:rsid w:val="002944B0"/>
    <w:rsid w:val="002A1891"/>
    <w:rsid w:val="002A6EBC"/>
    <w:rsid w:val="002B142A"/>
    <w:rsid w:val="002B1850"/>
    <w:rsid w:val="002C0DBE"/>
    <w:rsid w:val="002C298C"/>
    <w:rsid w:val="002D038E"/>
    <w:rsid w:val="002D06EB"/>
    <w:rsid w:val="002D4F1E"/>
    <w:rsid w:val="002F097C"/>
    <w:rsid w:val="002F3EA9"/>
    <w:rsid w:val="002F5999"/>
    <w:rsid w:val="002F707E"/>
    <w:rsid w:val="0030275C"/>
    <w:rsid w:val="00302C83"/>
    <w:rsid w:val="00303DF3"/>
    <w:rsid w:val="00305538"/>
    <w:rsid w:val="00312C59"/>
    <w:rsid w:val="003143CB"/>
    <w:rsid w:val="00316AA8"/>
    <w:rsid w:val="00321D2B"/>
    <w:rsid w:val="0034261B"/>
    <w:rsid w:val="00343774"/>
    <w:rsid w:val="00345CB5"/>
    <w:rsid w:val="00345CFE"/>
    <w:rsid w:val="003478F8"/>
    <w:rsid w:val="00350EC4"/>
    <w:rsid w:val="0035143C"/>
    <w:rsid w:val="00351E68"/>
    <w:rsid w:val="00352039"/>
    <w:rsid w:val="0035360E"/>
    <w:rsid w:val="0035636D"/>
    <w:rsid w:val="003572AE"/>
    <w:rsid w:val="00357507"/>
    <w:rsid w:val="00361D94"/>
    <w:rsid w:val="00364319"/>
    <w:rsid w:val="00364522"/>
    <w:rsid w:val="00366BAC"/>
    <w:rsid w:val="0036721F"/>
    <w:rsid w:val="00370B2D"/>
    <w:rsid w:val="003719DC"/>
    <w:rsid w:val="00372C13"/>
    <w:rsid w:val="003739C1"/>
    <w:rsid w:val="003753E4"/>
    <w:rsid w:val="0037580E"/>
    <w:rsid w:val="003779BC"/>
    <w:rsid w:val="00382A63"/>
    <w:rsid w:val="00382AFB"/>
    <w:rsid w:val="00385026"/>
    <w:rsid w:val="003855DE"/>
    <w:rsid w:val="00385BAF"/>
    <w:rsid w:val="00385EDD"/>
    <w:rsid w:val="0039470F"/>
    <w:rsid w:val="003A137B"/>
    <w:rsid w:val="003A1A8A"/>
    <w:rsid w:val="003A7FB3"/>
    <w:rsid w:val="003B01D2"/>
    <w:rsid w:val="003B0D4D"/>
    <w:rsid w:val="003B3A88"/>
    <w:rsid w:val="003B6A6F"/>
    <w:rsid w:val="003D3474"/>
    <w:rsid w:val="003D392F"/>
    <w:rsid w:val="003D6037"/>
    <w:rsid w:val="003E756F"/>
    <w:rsid w:val="003F2CB3"/>
    <w:rsid w:val="003F5CF0"/>
    <w:rsid w:val="003F7089"/>
    <w:rsid w:val="004025B4"/>
    <w:rsid w:val="00406701"/>
    <w:rsid w:val="00410D1F"/>
    <w:rsid w:val="0041639F"/>
    <w:rsid w:val="004201E7"/>
    <w:rsid w:val="004218AE"/>
    <w:rsid w:val="00423065"/>
    <w:rsid w:val="00423652"/>
    <w:rsid w:val="00427F90"/>
    <w:rsid w:val="00434BE2"/>
    <w:rsid w:val="00436640"/>
    <w:rsid w:val="004402BB"/>
    <w:rsid w:val="00441663"/>
    <w:rsid w:val="0044363A"/>
    <w:rsid w:val="004457A3"/>
    <w:rsid w:val="00445C26"/>
    <w:rsid w:val="00451F9E"/>
    <w:rsid w:val="00454490"/>
    <w:rsid w:val="004554FA"/>
    <w:rsid w:val="00457517"/>
    <w:rsid w:val="00460901"/>
    <w:rsid w:val="004617FA"/>
    <w:rsid w:val="004624B8"/>
    <w:rsid w:val="00463A47"/>
    <w:rsid w:val="004672FE"/>
    <w:rsid w:val="004709F8"/>
    <w:rsid w:val="0047140A"/>
    <w:rsid w:val="00473442"/>
    <w:rsid w:val="00475519"/>
    <w:rsid w:val="00485FE0"/>
    <w:rsid w:val="00487610"/>
    <w:rsid w:val="0048765C"/>
    <w:rsid w:val="0049095C"/>
    <w:rsid w:val="004A50B0"/>
    <w:rsid w:val="004B1A4F"/>
    <w:rsid w:val="004B2FB6"/>
    <w:rsid w:val="004B364A"/>
    <w:rsid w:val="004B4501"/>
    <w:rsid w:val="004B552C"/>
    <w:rsid w:val="004B630D"/>
    <w:rsid w:val="004C10CE"/>
    <w:rsid w:val="004D3569"/>
    <w:rsid w:val="004E1131"/>
    <w:rsid w:val="004E175E"/>
    <w:rsid w:val="004E2E4A"/>
    <w:rsid w:val="004E5414"/>
    <w:rsid w:val="004F282E"/>
    <w:rsid w:val="004F3944"/>
    <w:rsid w:val="004F784B"/>
    <w:rsid w:val="00501542"/>
    <w:rsid w:val="00511B6E"/>
    <w:rsid w:val="00512DF7"/>
    <w:rsid w:val="00513874"/>
    <w:rsid w:val="0051522D"/>
    <w:rsid w:val="0052653F"/>
    <w:rsid w:val="00527641"/>
    <w:rsid w:val="00555BFD"/>
    <w:rsid w:val="00557546"/>
    <w:rsid w:val="00557B7B"/>
    <w:rsid w:val="005618A2"/>
    <w:rsid w:val="00562DAB"/>
    <w:rsid w:val="00564114"/>
    <w:rsid w:val="005729A0"/>
    <w:rsid w:val="00581A6F"/>
    <w:rsid w:val="00581BB5"/>
    <w:rsid w:val="00583D70"/>
    <w:rsid w:val="00595FBC"/>
    <w:rsid w:val="005A3C22"/>
    <w:rsid w:val="005A4782"/>
    <w:rsid w:val="005B2C0F"/>
    <w:rsid w:val="005D2AFE"/>
    <w:rsid w:val="005D2DD7"/>
    <w:rsid w:val="005D4B57"/>
    <w:rsid w:val="005D6617"/>
    <w:rsid w:val="005D7805"/>
    <w:rsid w:val="005E2564"/>
    <w:rsid w:val="005E5548"/>
    <w:rsid w:val="005F1194"/>
    <w:rsid w:val="005F7D6A"/>
    <w:rsid w:val="00603E59"/>
    <w:rsid w:val="00604A17"/>
    <w:rsid w:val="006123F3"/>
    <w:rsid w:val="00616F49"/>
    <w:rsid w:val="006248D5"/>
    <w:rsid w:val="0062568B"/>
    <w:rsid w:val="0062621C"/>
    <w:rsid w:val="006304A9"/>
    <w:rsid w:val="006337DE"/>
    <w:rsid w:val="00641375"/>
    <w:rsid w:val="00641564"/>
    <w:rsid w:val="00643E46"/>
    <w:rsid w:val="00645B71"/>
    <w:rsid w:val="00650E6B"/>
    <w:rsid w:val="00657C4C"/>
    <w:rsid w:val="00662701"/>
    <w:rsid w:val="006669F3"/>
    <w:rsid w:val="00667719"/>
    <w:rsid w:val="00677273"/>
    <w:rsid w:val="00680C6F"/>
    <w:rsid w:val="00685213"/>
    <w:rsid w:val="00686AAE"/>
    <w:rsid w:val="0069488C"/>
    <w:rsid w:val="006A03C8"/>
    <w:rsid w:val="006A364D"/>
    <w:rsid w:val="006A648F"/>
    <w:rsid w:val="006B4229"/>
    <w:rsid w:val="006B79F8"/>
    <w:rsid w:val="006C04F8"/>
    <w:rsid w:val="006C1376"/>
    <w:rsid w:val="006C2643"/>
    <w:rsid w:val="006C35C5"/>
    <w:rsid w:val="006C3C48"/>
    <w:rsid w:val="006C5EF9"/>
    <w:rsid w:val="006D0E62"/>
    <w:rsid w:val="006D2585"/>
    <w:rsid w:val="006D4940"/>
    <w:rsid w:val="006D761C"/>
    <w:rsid w:val="006F4293"/>
    <w:rsid w:val="00700467"/>
    <w:rsid w:val="0070478E"/>
    <w:rsid w:val="00706F16"/>
    <w:rsid w:val="007115F0"/>
    <w:rsid w:val="007127ED"/>
    <w:rsid w:val="007151EC"/>
    <w:rsid w:val="00715553"/>
    <w:rsid w:val="007174D7"/>
    <w:rsid w:val="0072093C"/>
    <w:rsid w:val="00732A7E"/>
    <w:rsid w:val="007334D1"/>
    <w:rsid w:val="00733727"/>
    <w:rsid w:val="00734E55"/>
    <w:rsid w:val="0073693F"/>
    <w:rsid w:val="0074113B"/>
    <w:rsid w:val="007418FB"/>
    <w:rsid w:val="007421E7"/>
    <w:rsid w:val="00743AF2"/>
    <w:rsid w:val="00744255"/>
    <w:rsid w:val="00744401"/>
    <w:rsid w:val="00744CBD"/>
    <w:rsid w:val="00751CDA"/>
    <w:rsid w:val="00753D73"/>
    <w:rsid w:val="00753F2E"/>
    <w:rsid w:val="00754808"/>
    <w:rsid w:val="00756CFB"/>
    <w:rsid w:val="00756F77"/>
    <w:rsid w:val="00762A7A"/>
    <w:rsid w:val="007649A4"/>
    <w:rsid w:val="00767B46"/>
    <w:rsid w:val="0077132C"/>
    <w:rsid w:val="00773BE9"/>
    <w:rsid w:val="00781863"/>
    <w:rsid w:val="007827A6"/>
    <w:rsid w:val="00787710"/>
    <w:rsid w:val="0079009A"/>
    <w:rsid w:val="0079230A"/>
    <w:rsid w:val="00793A77"/>
    <w:rsid w:val="007A057A"/>
    <w:rsid w:val="007A1B5B"/>
    <w:rsid w:val="007A5B5C"/>
    <w:rsid w:val="007A7E35"/>
    <w:rsid w:val="007A7F6B"/>
    <w:rsid w:val="007B672C"/>
    <w:rsid w:val="007B7621"/>
    <w:rsid w:val="007C2FFE"/>
    <w:rsid w:val="007C4BA2"/>
    <w:rsid w:val="007C5F47"/>
    <w:rsid w:val="007C7B34"/>
    <w:rsid w:val="007D7164"/>
    <w:rsid w:val="007D7BD5"/>
    <w:rsid w:val="007E58B2"/>
    <w:rsid w:val="007F3371"/>
    <w:rsid w:val="00800D16"/>
    <w:rsid w:val="00801C34"/>
    <w:rsid w:val="008025EA"/>
    <w:rsid w:val="008056C4"/>
    <w:rsid w:val="008133D4"/>
    <w:rsid w:val="008209C2"/>
    <w:rsid w:val="00820FD7"/>
    <w:rsid w:val="00822718"/>
    <w:rsid w:val="00825453"/>
    <w:rsid w:val="00826B1B"/>
    <w:rsid w:val="00826E5F"/>
    <w:rsid w:val="0083165F"/>
    <w:rsid w:val="00831807"/>
    <w:rsid w:val="0083594C"/>
    <w:rsid w:val="00842DBA"/>
    <w:rsid w:val="00847200"/>
    <w:rsid w:val="00847911"/>
    <w:rsid w:val="00851D1A"/>
    <w:rsid w:val="00852000"/>
    <w:rsid w:val="00854183"/>
    <w:rsid w:val="00856187"/>
    <w:rsid w:val="00856737"/>
    <w:rsid w:val="00856B79"/>
    <w:rsid w:val="00857792"/>
    <w:rsid w:val="00861C2B"/>
    <w:rsid w:val="00863244"/>
    <w:rsid w:val="008722E9"/>
    <w:rsid w:val="00876C69"/>
    <w:rsid w:val="008831CD"/>
    <w:rsid w:val="00885D28"/>
    <w:rsid w:val="008860FA"/>
    <w:rsid w:val="00886666"/>
    <w:rsid w:val="00891C15"/>
    <w:rsid w:val="00891E14"/>
    <w:rsid w:val="0089604D"/>
    <w:rsid w:val="008A0677"/>
    <w:rsid w:val="008A25B8"/>
    <w:rsid w:val="008A6A76"/>
    <w:rsid w:val="008B4599"/>
    <w:rsid w:val="008C1AC4"/>
    <w:rsid w:val="008C27FB"/>
    <w:rsid w:val="008D2978"/>
    <w:rsid w:val="008D4BED"/>
    <w:rsid w:val="008D54C8"/>
    <w:rsid w:val="008D6D86"/>
    <w:rsid w:val="008D6ED4"/>
    <w:rsid w:val="008E2346"/>
    <w:rsid w:val="008E3995"/>
    <w:rsid w:val="008E5D6C"/>
    <w:rsid w:val="008F0A77"/>
    <w:rsid w:val="00916C04"/>
    <w:rsid w:val="0093126C"/>
    <w:rsid w:val="0093679C"/>
    <w:rsid w:val="00940C59"/>
    <w:rsid w:val="0094249B"/>
    <w:rsid w:val="0094545B"/>
    <w:rsid w:val="00945C35"/>
    <w:rsid w:val="00950B44"/>
    <w:rsid w:val="0095491F"/>
    <w:rsid w:val="00955011"/>
    <w:rsid w:val="00955182"/>
    <w:rsid w:val="009564E8"/>
    <w:rsid w:val="009619A0"/>
    <w:rsid w:val="00963082"/>
    <w:rsid w:val="00963F3C"/>
    <w:rsid w:val="00964BB4"/>
    <w:rsid w:val="0096608E"/>
    <w:rsid w:val="00971234"/>
    <w:rsid w:val="009722CA"/>
    <w:rsid w:val="0097466D"/>
    <w:rsid w:val="0097507F"/>
    <w:rsid w:val="00976184"/>
    <w:rsid w:val="00977937"/>
    <w:rsid w:val="00981532"/>
    <w:rsid w:val="00993C5F"/>
    <w:rsid w:val="009A5D5D"/>
    <w:rsid w:val="009B004F"/>
    <w:rsid w:val="009B057F"/>
    <w:rsid w:val="009C0BDC"/>
    <w:rsid w:val="009C3387"/>
    <w:rsid w:val="009C3475"/>
    <w:rsid w:val="009C4820"/>
    <w:rsid w:val="009D230D"/>
    <w:rsid w:val="009D3F75"/>
    <w:rsid w:val="009E5233"/>
    <w:rsid w:val="009F0C6E"/>
    <w:rsid w:val="009F0D52"/>
    <w:rsid w:val="00A019F1"/>
    <w:rsid w:val="00A07AC5"/>
    <w:rsid w:val="00A07B08"/>
    <w:rsid w:val="00A12D2E"/>
    <w:rsid w:val="00A15EDB"/>
    <w:rsid w:val="00A246FA"/>
    <w:rsid w:val="00A2697B"/>
    <w:rsid w:val="00A307FD"/>
    <w:rsid w:val="00A32BDC"/>
    <w:rsid w:val="00A33324"/>
    <w:rsid w:val="00A36E0B"/>
    <w:rsid w:val="00A410F9"/>
    <w:rsid w:val="00A44BEE"/>
    <w:rsid w:val="00A478BC"/>
    <w:rsid w:val="00A55A33"/>
    <w:rsid w:val="00A55F40"/>
    <w:rsid w:val="00A61880"/>
    <w:rsid w:val="00A61D96"/>
    <w:rsid w:val="00A70086"/>
    <w:rsid w:val="00A72791"/>
    <w:rsid w:val="00A74F16"/>
    <w:rsid w:val="00A83811"/>
    <w:rsid w:val="00A84C2B"/>
    <w:rsid w:val="00A856DB"/>
    <w:rsid w:val="00A870B4"/>
    <w:rsid w:val="00A8744C"/>
    <w:rsid w:val="00A92BC6"/>
    <w:rsid w:val="00A92BC9"/>
    <w:rsid w:val="00A93E85"/>
    <w:rsid w:val="00A9502A"/>
    <w:rsid w:val="00A95263"/>
    <w:rsid w:val="00A975A5"/>
    <w:rsid w:val="00AA3B90"/>
    <w:rsid w:val="00AA5AE4"/>
    <w:rsid w:val="00AB16F8"/>
    <w:rsid w:val="00AB4382"/>
    <w:rsid w:val="00AC4BC6"/>
    <w:rsid w:val="00AC6369"/>
    <w:rsid w:val="00AD4A67"/>
    <w:rsid w:val="00AE0EBB"/>
    <w:rsid w:val="00AF00FD"/>
    <w:rsid w:val="00AF3179"/>
    <w:rsid w:val="00AF3DED"/>
    <w:rsid w:val="00B055D9"/>
    <w:rsid w:val="00B16F56"/>
    <w:rsid w:val="00B203F6"/>
    <w:rsid w:val="00B214D2"/>
    <w:rsid w:val="00B21B3A"/>
    <w:rsid w:val="00B32718"/>
    <w:rsid w:val="00B3585C"/>
    <w:rsid w:val="00B37539"/>
    <w:rsid w:val="00B40BCA"/>
    <w:rsid w:val="00B43E10"/>
    <w:rsid w:val="00B44AA2"/>
    <w:rsid w:val="00B51D33"/>
    <w:rsid w:val="00B56F18"/>
    <w:rsid w:val="00B66ED3"/>
    <w:rsid w:val="00B77D64"/>
    <w:rsid w:val="00B80FD7"/>
    <w:rsid w:val="00B82A62"/>
    <w:rsid w:val="00BA34A7"/>
    <w:rsid w:val="00BA56FC"/>
    <w:rsid w:val="00BB1D63"/>
    <w:rsid w:val="00BB44A0"/>
    <w:rsid w:val="00BB49A3"/>
    <w:rsid w:val="00BB4BDC"/>
    <w:rsid w:val="00BB4EFC"/>
    <w:rsid w:val="00BB5137"/>
    <w:rsid w:val="00BC16BD"/>
    <w:rsid w:val="00BC23AD"/>
    <w:rsid w:val="00BC4028"/>
    <w:rsid w:val="00BD03B5"/>
    <w:rsid w:val="00BD0B72"/>
    <w:rsid w:val="00BD3741"/>
    <w:rsid w:val="00BD37F3"/>
    <w:rsid w:val="00BE2AD3"/>
    <w:rsid w:val="00BE4ACC"/>
    <w:rsid w:val="00BE581D"/>
    <w:rsid w:val="00BF3458"/>
    <w:rsid w:val="00BF57EC"/>
    <w:rsid w:val="00BF6C23"/>
    <w:rsid w:val="00BF7817"/>
    <w:rsid w:val="00C01444"/>
    <w:rsid w:val="00C07F05"/>
    <w:rsid w:val="00C139D0"/>
    <w:rsid w:val="00C17AA9"/>
    <w:rsid w:val="00C22DE3"/>
    <w:rsid w:val="00C236BA"/>
    <w:rsid w:val="00C26431"/>
    <w:rsid w:val="00C3383C"/>
    <w:rsid w:val="00C33B20"/>
    <w:rsid w:val="00C405DD"/>
    <w:rsid w:val="00C426AB"/>
    <w:rsid w:val="00C4299D"/>
    <w:rsid w:val="00C47D24"/>
    <w:rsid w:val="00C64EB3"/>
    <w:rsid w:val="00C656FA"/>
    <w:rsid w:val="00C673E3"/>
    <w:rsid w:val="00C6790B"/>
    <w:rsid w:val="00C70AAB"/>
    <w:rsid w:val="00C72865"/>
    <w:rsid w:val="00C75CAD"/>
    <w:rsid w:val="00C77B45"/>
    <w:rsid w:val="00C81B42"/>
    <w:rsid w:val="00C8202A"/>
    <w:rsid w:val="00C8389A"/>
    <w:rsid w:val="00C851B2"/>
    <w:rsid w:val="00C86D7E"/>
    <w:rsid w:val="00C912F9"/>
    <w:rsid w:val="00C92372"/>
    <w:rsid w:val="00C94F96"/>
    <w:rsid w:val="00C9578E"/>
    <w:rsid w:val="00CA1CCA"/>
    <w:rsid w:val="00CA35A9"/>
    <w:rsid w:val="00CA794F"/>
    <w:rsid w:val="00CA7BAB"/>
    <w:rsid w:val="00CB15E0"/>
    <w:rsid w:val="00CB20A4"/>
    <w:rsid w:val="00CB3578"/>
    <w:rsid w:val="00CB4255"/>
    <w:rsid w:val="00CB44DA"/>
    <w:rsid w:val="00CB4EE9"/>
    <w:rsid w:val="00CC1A9D"/>
    <w:rsid w:val="00CD7339"/>
    <w:rsid w:val="00CD7990"/>
    <w:rsid w:val="00CE3343"/>
    <w:rsid w:val="00CE3CAC"/>
    <w:rsid w:val="00CE5E97"/>
    <w:rsid w:val="00CF20E8"/>
    <w:rsid w:val="00CF30E0"/>
    <w:rsid w:val="00CF7C98"/>
    <w:rsid w:val="00D02606"/>
    <w:rsid w:val="00D030C4"/>
    <w:rsid w:val="00D033F4"/>
    <w:rsid w:val="00D03AA9"/>
    <w:rsid w:val="00D05D9D"/>
    <w:rsid w:val="00D12C21"/>
    <w:rsid w:val="00D21626"/>
    <w:rsid w:val="00D23554"/>
    <w:rsid w:val="00D277E0"/>
    <w:rsid w:val="00D30267"/>
    <w:rsid w:val="00D37FC9"/>
    <w:rsid w:val="00D40D47"/>
    <w:rsid w:val="00D42CA4"/>
    <w:rsid w:val="00D608BA"/>
    <w:rsid w:val="00D60EA1"/>
    <w:rsid w:val="00D664CB"/>
    <w:rsid w:val="00D72ED0"/>
    <w:rsid w:val="00D8314E"/>
    <w:rsid w:val="00D839E4"/>
    <w:rsid w:val="00D84593"/>
    <w:rsid w:val="00D863C7"/>
    <w:rsid w:val="00D9600C"/>
    <w:rsid w:val="00DA179B"/>
    <w:rsid w:val="00DA1F7E"/>
    <w:rsid w:val="00DA210F"/>
    <w:rsid w:val="00DA756B"/>
    <w:rsid w:val="00DA7D12"/>
    <w:rsid w:val="00DB481F"/>
    <w:rsid w:val="00DB4B3C"/>
    <w:rsid w:val="00DB4EF6"/>
    <w:rsid w:val="00DC3E21"/>
    <w:rsid w:val="00DC4C6E"/>
    <w:rsid w:val="00DD1CE3"/>
    <w:rsid w:val="00DD2924"/>
    <w:rsid w:val="00DD4AA6"/>
    <w:rsid w:val="00DE4DA1"/>
    <w:rsid w:val="00DE4F70"/>
    <w:rsid w:val="00DF21FB"/>
    <w:rsid w:val="00DF3D4E"/>
    <w:rsid w:val="00DF5094"/>
    <w:rsid w:val="00DF7976"/>
    <w:rsid w:val="00E00E96"/>
    <w:rsid w:val="00E0564E"/>
    <w:rsid w:val="00E1328A"/>
    <w:rsid w:val="00E1657A"/>
    <w:rsid w:val="00E221FC"/>
    <w:rsid w:val="00E23D54"/>
    <w:rsid w:val="00E27083"/>
    <w:rsid w:val="00E337DD"/>
    <w:rsid w:val="00E3638D"/>
    <w:rsid w:val="00E37F17"/>
    <w:rsid w:val="00E37F96"/>
    <w:rsid w:val="00E41BAD"/>
    <w:rsid w:val="00E5658D"/>
    <w:rsid w:val="00E61396"/>
    <w:rsid w:val="00E65D7C"/>
    <w:rsid w:val="00E66BB1"/>
    <w:rsid w:val="00E7611A"/>
    <w:rsid w:val="00E77FE3"/>
    <w:rsid w:val="00E80F99"/>
    <w:rsid w:val="00E821C8"/>
    <w:rsid w:val="00E83EB1"/>
    <w:rsid w:val="00E91679"/>
    <w:rsid w:val="00E922E9"/>
    <w:rsid w:val="00E94C06"/>
    <w:rsid w:val="00E95796"/>
    <w:rsid w:val="00EB1C61"/>
    <w:rsid w:val="00EB1D0C"/>
    <w:rsid w:val="00EB2461"/>
    <w:rsid w:val="00EC427D"/>
    <w:rsid w:val="00ED013F"/>
    <w:rsid w:val="00ED02E3"/>
    <w:rsid w:val="00ED26EB"/>
    <w:rsid w:val="00ED782E"/>
    <w:rsid w:val="00EE44A7"/>
    <w:rsid w:val="00EE4971"/>
    <w:rsid w:val="00EF0763"/>
    <w:rsid w:val="00EF07B7"/>
    <w:rsid w:val="00EF3CCA"/>
    <w:rsid w:val="00EF4203"/>
    <w:rsid w:val="00EF5D34"/>
    <w:rsid w:val="00F01E8B"/>
    <w:rsid w:val="00F02692"/>
    <w:rsid w:val="00F03931"/>
    <w:rsid w:val="00F04BF7"/>
    <w:rsid w:val="00F06387"/>
    <w:rsid w:val="00F068DB"/>
    <w:rsid w:val="00F241AE"/>
    <w:rsid w:val="00F2585A"/>
    <w:rsid w:val="00F32B30"/>
    <w:rsid w:val="00F33DE7"/>
    <w:rsid w:val="00F46917"/>
    <w:rsid w:val="00F478FA"/>
    <w:rsid w:val="00F53F66"/>
    <w:rsid w:val="00F54430"/>
    <w:rsid w:val="00F55A67"/>
    <w:rsid w:val="00F5605A"/>
    <w:rsid w:val="00F5714E"/>
    <w:rsid w:val="00F603D3"/>
    <w:rsid w:val="00F619BB"/>
    <w:rsid w:val="00F629FC"/>
    <w:rsid w:val="00F75C36"/>
    <w:rsid w:val="00F76265"/>
    <w:rsid w:val="00F81DFB"/>
    <w:rsid w:val="00F82B19"/>
    <w:rsid w:val="00F841F7"/>
    <w:rsid w:val="00F84430"/>
    <w:rsid w:val="00F91097"/>
    <w:rsid w:val="00F931F7"/>
    <w:rsid w:val="00F944E8"/>
    <w:rsid w:val="00F94DE3"/>
    <w:rsid w:val="00F954E3"/>
    <w:rsid w:val="00F956E6"/>
    <w:rsid w:val="00FA040A"/>
    <w:rsid w:val="00FA2DA4"/>
    <w:rsid w:val="00FA3706"/>
    <w:rsid w:val="00FA4000"/>
    <w:rsid w:val="00FA56D3"/>
    <w:rsid w:val="00FA590C"/>
    <w:rsid w:val="00FB035A"/>
    <w:rsid w:val="00FB05E5"/>
    <w:rsid w:val="00FB5377"/>
    <w:rsid w:val="00FB5451"/>
    <w:rsid w:val="00FB5FF8"/>
    <w:rsid w:val="00FC31C7"/>
    <w:rsid w:val="00FC6535"/>
    <w:rsid w:val="00FD7CF3"/>
    <w:rsid w:val="00FE21FB"/>
    <w:rsid w:val="00FE71BA"/>
    <w:rsid w:val="00FE74E6"/>
    <w:rsid w:val="00FF065D"/>
    <w:rsid w:val="00FF0EC7"/>
    <w:rsid w:val="00FF1106"/>
    <w:rsid w:val="00FF1110"/>
    <w:rsid w:val="00FF2319"/>
    <w:rsid w:val="00FF23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4CB"/>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863"/>
    <w:pPr>
      <w:tabs>
        <w:tab w:val="center" w:pos="4680"/>
        <w:tab w:val="right" w:pos="9360"/>
      </w:tabs>
    </w:pPr>
  </w:style>
  <w:style w:type="character" w:customStyle="1" w:styleId="HeaderChar">
    <w:name w:val="Header Char"/>
    <w:basedOn w:val="DefaultParagraphFont"/>
    <w:link w:val="Header"/>
    <w:uiPriority w:val="99"/>
    <w:rsid w:val="00781863"/>
  </w:style>
  <w:style w:type="paragraph" w:styleId="Footer">
    <w:name w:val="footer"/>
    <w:basedOn w:val="Normal"/>
    <w:link w:val="FooterChar"/>
    <w:uiPriority w:val="99"/>
    <w:unhideWhenUsed/>
    <w:rsid w:val="00781863"/>
    <w:pPr>
      <w:tabs>
        <w:tab w:val="center" w:pos="4680"/>
        <w:tab w:val="right" w:pos="9360"/>
      </w:tabs>
    </w:pPr>
  </w:style>
  <w:style w:type="character" w:customStyle="1" w:styleId="FooterChar">
    <w:name w:val="Footer Char"/>
    <w:basedOn w:val="DefaultParagraphFont"/>
    <w:link w:val="Footer"/>
    <w:uiPriority w:val="99"/>
    <w:rsid w:val="00781863"/>
  </w:style>
  <w:style w:type="character" w:styleId="PageNumber">
    <w:name w:val="page number"/>
    <w:basedOn w:val="DefaultParagraphFont"/>
    <w:uiPriority w:val="99"/>
    <w:semiHidden/>
    <w:unhideWhenUsed/>
    <w:rsid w:val="00781863"/>
  </w:style>
  <w:style w:type="paragraph" w:styleId="FootnoteText">
    <w:name w:val="footnote text"/>
    <w:link w:val="FootnoteTextChar"/>
    <w:uiPriority w:val="99"/>
    <w:unhideWhenUsed/>
    <w:rsid w:val="00781863"/>
    <w:rPr>
      <w:szCs w:val="20"/>
    </w:rPr>
  </w:style>
  <w:style w:type="character" w:customStyle="1" w:styleId="FootnoteTextChar">
    <w:name w:val="Footnote Text Char"/>
    <w:basedOn w:val="DefaultParagraphFont"/>
    <w:link w:val="FootnoteText"/>
    <w:uiPriority w:val="99"/>
    <w:rsid w:val="00781863"/>
    <w:rPr>
      <w:szCs w:val="20"/>
    </w:rPr>
  </w:style>
  <w:style w:type="character" w:styleId="FootnoteReference">
    <w:name w:val="footnote reference"/>
    <w:basedOn w:val="DefaultParagraphFont"/>
    <w:uiPriority w:val="99"/>
    <w:semiHidden/>
    <w:unhideWhenUsed/>
    <w:rsid w:val="00485FE0"/>
    <w:rPr>
      <w:vertAlign w:val="superscript"/>
    </w:rPr>
  </w:style>
  <w:style w:type="character" w:customStyle="1" w:styleId="cosearchterm">
    <w:name w:val="co_searchterm"/>
    <w:basedOn w:val="DefaultParagraphFont"/>
    <w:rsid w:val="000A1F41"/>
  </w:style>
  <w:style w:type="character" w:styleId="Emphasis">
    <w:name w:val="Emphasis"/>
    <w:basedOn w:val="DefaultParagraphFont"/>
    <w:uiPriority w:val="20"/>
    <w:qFormat/>
    <w:rsid w:val="00A246FA"/>
    <w:rPr>
      <w:i/>
      <w:iCs/>
    </w:rPr>
  </w:style>
  <w:style w:type="character" w:customStyle="1" w:styleId="costarpage">
    <w:name w:val="co_starpage"/>
    <w:basedOn w:val="DefaultParagraphFont"/>
    <w:rsid w:val="00BB4BDC"/>
  </w:style>
  <w:style w:type="character" w:styleId="Hyperlink">
    <w:name w:val="Hyperlink"/>
    <w:basedOn w:val="DefaultParagraphFont"/>
    <w:uiPriority w:val="99"/>
    <w:semiHidden/>
    <w:unhideWhenUsed/>
    <w:rsid w:val="00E95796"/>
    <w:rPr>
      <w:color w:val="0000FF"/>
      <w:u w:val="single"/>
    </w:rPr>
  </w:style>
  <w:style w:type="character" w:customStyle="1" w:styleId="ssit">
    <w:name w:val="ss_it"/>
    <w:basedOn w:val="DefaultParagraphFont"/>
    <w:rsid w:val="0029252D"/>
  </w:style>
  <w:style w:type="paragraph" w:styleId="NormalWeb">
    <w:name w:val="Normal (Web)"/>
    <w:basedOn w:val="Normal"/>
    <w:uiPriority w:val="99"/>
    <w:unhideWhenUsed/>
    <w:rsid w:val="006304A9"/>
    <w:pPr>
      <w:tabs>
        <w:tab w:val="clear" w:pos="720"/>
      </w:tabs>
      <w:spacing w:before="100" w:beforeAutospacing="1" w:after="100" w:afterAutospacing="1" w:line="240" w:lineRule="auto"/>
    </w:pPr>
    <w:rPr>
      <w:rFonts w:eastAsia="Times New Roman"/>
      <w:sz w:val="24"/>
      <w:szCs w:val="24"/>
    </w:rPr>
  </w:style>
  <w:style w:type="character" w:styleId="CommentReference">
    <w:name w:val="annotation reference"/>
    <w:basedOn w:val="DefaultParagraphFont"/>
    <w:uiPriority w:val="99"/>
    <w:semiHidden/>
    <w:unhideWhenUsed/>
    <w:rsid w:val="00166559"/>
    <w:rPr>
      <w:sz w:val="16"/>
      <w:szCs w:val="16"/>
    </w:rPr>
  </w:style>
  <w:style w:type="paragraph" w:styleId="CommentText">
    <w:name w:val="annotation text"/>
    <w:basedOn w:val="Normal"/>
    <w:link w:val="CommentTextChar"/>
    <w:uiPriority w:val="99"/>
    <w:semiHidden/>
    <w:unhideWhenUsed/>
    <w:rsid w:val="00166559"/>
    <w:pPr>
      <w:spacing w:line="240" w:lineRule="auto"/>
    </w:pPr>
    <w:rPr>
      <w:sz w:val="20"/>
      <w:szCs w:val="20"/>
    </w:rPr>
  </w:style>
  <w:style w:type="character" w:customStyle="1" w:styleId="CommentTextChar">
    <w:name w:val="Comment Text Char"/>
    <w:basedOn w:val="DefaultParagraphFont"/>
    <w:link w:val="CommentText"/>
    <w:uiPriority w:val="99"/>
    <w:semiHidden/>
    <w:rsid w:val="00166559"/>
    <w:rPr>
      <w:sz w:val="20"/>
      <w:szCs w:val="20"/>
    </w:rPr>
  </w:style>
  <w:style w:type="paragraph" w:styleId="CommentSubject">
    <w:name w:val="annotation subject"/>
    <w:basedOn w:val="CommentText"/>
    <w:next w:val="CommentText"/>
    <w:link w:val="CommentSubjectChar"/>
    <w:uiPriority w:val="99"/>
    <w:semiHidden/>
    <w:unhideWhenUsed/>
    <w:rsid w:val="00166559"/>
    <w:rPr>
      <w:b/>
      <w:bCs/>
    </w:rPr>
  </w:style>
  <w:style w:type="character" w:customStyle="1" w:styleId="CommentSubjectChar">
    <w:name w:val="Comment Subject Char"/>
    <w:basedOn w:val="CommentTextChar"/>
    <w:link w:val="CommentSubject"/>
    <w:uiPriority w:val="99"/>
    <w:semiHidden/>
    <w:rsid w:val="00166559"/>
    <w:rPr>
      <w:b/>
      <w:bCs/>
      <w:sz w:val="20"/>
      <w:szCs w:val="20"/>
    </w:rPr>
  </w:style>
  <w:style w:type="paragraph" w:styleId="Revision">
    <w:name w:val="Revision"/>
    <w:hidden/>
    <w:uiPriority w:val="99"/>
    <w:semiHidden/>
    <w:rsid w:val="00CA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7BEC-0E87-479F-8BB3-A7FAA732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3907</Words>
  <Characters>22273</Characters>
  <Application>Microsoft Office Word</Application>
  <DocSecurity>0</DocSecurity>
  <Lines>185</Lines>
  <Paragraphs>52</Paragraphs>
  <ScaleCrop>false</ScaleCrop>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2023-01-31T00:01:45Z</dcterms:created>
  <dcterms:modified xsi:type="dcterms:W3CDTF">2023-01-31T00:01:45Z</dcterms:modified>
</cp:coreProperties>
</file>