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CA42C0" w:rsidP="00CA42C0" w14:paraId="6F6AC004" w14:textId="5C5419BD">
      <w:pPr>
        <w:spacing w:line="240" w:lineRule="auto"/>
        <w:rPr>
          <w:rFonts w:ascii="Century Schoolbook" w:hAnsi="Century Schoolbook"/>
          <w:sz w:val="20"/>
          <w:szCs w:val="20"/>
        </w:rPr>
      </w:pPr>
      <w:r w:rsidRPr="00C26663">
        <w:rPr>
          <w:rFonts w:ascii="Century Schoolbook" w:hAnsi="Century Schoolbook"/>
          <w:sz w:val="20"/>
          <w:szCs w:val="20"/>
        </w:rPr>
        <w:t>Filed 8/</w:t>
      </w:r>
      <w:r w:rsidRPr="00C26663" w:rsidR="00040D3F">
        <w:rPr>
          <w:rFonts w:ascii="Century Schoolbook" w:hAnsi="Century Schoolbook"/>
          <w:sz w:val="20"/>
          <w:szCs w:val="20"/>
        </w:rPr>
        <w:t>2</w:t>
      </w:r>
      <w:r w:rsidRPr="00C26663" w:rsidR="00C50D1F">
        <w:rPr>
          <w:rFonts w:ascii="Century Schoolbook" w:hAnsi="Century Schoolbook"/>
          <w:sz w:val="20"/>
          <w:szCs w:val="20"/>
        </w:rPr>
        <w:t>3</w:t>
      </w:r>
      <w:r w:rsidRPr="00C26663">
        <w:rPr>
          <w:rFonts w:ascii="Century Schoolbook" w:hAnsi="Century Schoolbook"/>
          <w:sz w:val="20"/>
          <w:szCs w:val="20"/>
        </w:rPr>
        <w:t>/2</w:t>
      </w:r>
      <w:r w:rsidR="00042CEE">
        <w:rPr>
          <w:rFonts w:ascii="Century Schoolbook" w:hAnsi="Century Schoolbook"/>
          <w:sz w:val="20"/>
          <w:szCs w:val="20"/>
        </w:rPr>
        <w:t>3; Certified for Publication 9/25/23 (order attached)</w:t>
      </w:r>
    </w:p>
    <w:p w:rsidR="00C26663" w:rsidP="00CA42C0" w14:paraId="7134F8DA" w14:textId="77777777">
      <w:pPr>
        <w:spacing w:line="240" w:lineRule="auto"/>
        <w:rPr>
          <w:rFonts w:ascii="Century Schoolbook" w:hAnsi="Century Schoolbook"/>
          <w:sz w:val="20"/>
          <w:szCs w:val="20"/>
        </w:rPr>
      </w:pPr>
    </w:p>
    <w:p w:rsidR="00CF2579" w:rsidP="00652D3D" w14:paraId="266812F4" w14:textId="77777777">
      <w:pPr>
        <w:spacing w:line="240" w:lineRule="auto"/>
        <w:jc w:val="center"/>
        <w:rPr>
          <w:rFonts w:ascii="Century Schoolbook" w:hAnsi="Century Schoolbook"/>
          <w:szCs w:val="26"/>
        </w:rPr>
      </w:pPr>
    </w:p>
    <w:p w:rsidR="00CF2579" w:rsidP="00652D3D" w14:paraId="38EF30F9" w14:textId="77777777">
      <w:pPr>
        <w:spacing w:line="240" w:lineRule="auto"/>
        <w:jc w:val="center"/>
        <w:rPr>
          <w:rFonts w:ascii="Century Schoolbook" w:hAnsi="Century Schoolbook"/>
          <w:szCs w:val="26"/>
        </w:rPr>
      </w:pPr>
    </w:p>
    <w:p w:rsidR="00CF2579" w:rsidP="00652D3D" w14:paraId="09121B0E" w14:textId="77777777">
      <w:pPr>
        <w:spacing w:line="240" w:lineRule="auto"/>
        <w:jc w:val="center"/>
        <w:rPr>
          <w:rFonts w:ascii="Century Schoolbook" w:hAnsi="Century Schoolbook"/>
          <w:szCs w:val="26"/>
        </w:rPr>
      </w:pPr>
    </w:p>
    <w:p w:rsidR="00652D3D" w:rsidRPr="00F12658" w:rsidP="00652D3D" w14:paraId="2CC023CE" w14:textId="4B369C2C">
      <w:pPr>
        <w:spacing w:line="240" w:lineRule="auto"/>
        <w:jc w:val="center"/>
        <w:rPr>
          <w:rFonts w:ascii="Century Schoolbook" w:hAnsi="Century Schoolbook"/>
          <w:szCs w:val="26"/>
        </w:rPr>
      </w:pPr>
      <w:r w:rsidRPr="00F12658">
        <w:rPr>
          <w:rFonts w:ascii="Century Schoolbook" w:hAnsi="Century Schoolbook"/>
          <w:szCs w:val="26"/>
        </w:rPr>
        <w:t>IN THE COURT OF APPEAL OF THE STATE OF CALIFORNIA</w:t>
      </w:r>
    </w:p>
    <w:p w:rsidR="00652D3D" w:rsidRPr="00F12658" w:rsidP="00652D3D" w14:paraId="622A68C8" w14:textId="77777777">
      <w:pPr>
        <w:spacing w:line="240" w:lineRule="auto"/>
        <w:jc w:val="center"/>
        <w:rPr>
          <w:rFonts w:ascii="Century Schoolbook" w:hAnsi="Century Schoolbook"/>
          <w:szCs w:val="26"/>
        </w:rPr>
      </w:pPr>
    </w:p>
    <w:p w:rsidR="00652D3D" w:rsidRPr="00F12658" w:rsidP="00652D3D" w14:paraId="10029D6C" w14:textId="77777777">
      <w:pPr>
        <w:spacing w:line="240" w:lineRule="auto"/>
        <w:jc w:val="center"/>
        <w:rPr>
          <w:rFonts w:ascii="Century Schoolbook" w:hAnsi="Century Schoolbook"/>
          <w:szCs w:val="26"/>
        </w:rPr>
      </w:pPr>
      <w:r w:rsidRPr="00F12658">
        <w:rPr>
          <w:rFonts w:ascii="Century Schoolbook" w:hAnsi="Century Schoolbook"/>
          <w:szCs w:val="26"/>
        </w:rPr>
        <w:t>FIRST APPELLATE DISTRICT</w:t>
      </w:r>
    </w:p>
    <w:p w:rsidR="00652D3D" w:rsidRPr="00F12658" w:rsidP="00652D3D" w14:paraId="4F5DE6C4" w14:textId="77777777">
      <w:pPr>
        <w:spacing w:line="240" w:lineRule="auto"/>
        <w:jc w:val="center"/>
        <w:rPr>
          <w:rFonts w:ascii="Century Schoolbook" w:hAnsi="Century Schoolbook"/>
          <w:szCs w:val="26"/>
        </w:rPr>
      </w:pPr>
    </w:p>
    <w:p w:rsidR="00652D3D" w:rsidRPr="00F12658" w:rsidP="00652D3D" w14:paraId="606ABF53" w14:textId="77777777">
      <w:pPr>
        <w:spacing w:line="240" w:lineRule="auto"/>
        <w:jc w:val="center"/>
        <w:rPr>
          <w:rFonts w:ascii="Century Schoolbook" w:hAnsi="Century Schoolbook"/>
          <w:szCs w:val="26"/>
        </w:rPr>
      </w:pPr>
      <w:r w:rsidRPr="00F12658">
        <w:rPr>
          <w:rFonts w:ascii="Century Schoolbook" w:hAnsi="Century Schoolbook"/>
          <w:szCs w:val="26"/>
        </w:rPr>
        <w:t>DIVISION TWO</w:t>
      </w:r>
    </w:p>
    <w:p w:rsidR="00652D3D" w:rsidRPr="00F12658" w:rsidP="00652D3D" w14:paraId="7A3AAFFC" w14:textId="77777777">
      <w:pPr>
        <w:spacing w:line="240" w:lineRule="auto"/>
        <w:jc w:val="center"/>
        <w:rPr>
          <w:rFonts w:ascii="Century Schoolbook" w:hAnsi="Century Schoolbook"/>
          <w:szCs w:val="26"/>
        </w:rPr>
      </w:pPr>
    </w:p>
    <w:p w:rsidR="00652D3D" w:rsidRPr="00F12658" w:rsidP="00652D3D" w14:paraId="387E58C6" w14:textId="77777777">
      <w:pPr>
        <w:spacing w:line="240" w:lineRule="auto"/>
        <w:jc w:val="center"/>
        <w:rPr>
          <w:rFonts w:ascii="Century Schoolbook" w:hAnsi="Century Schoolbook"/>
          <w:szCs w:val="26"/>
        </w:rPr>
      </w:pPr>
    </w:p>
    <w:tbl>
      <w:tblPr>
        <w:tblW w:w="0" w:type="auto"/>
        <w:tblLayout w:type="fixed"/>
        <w:tblLook w:val="0000"/>
      </w:tblPr>
      <w:tblGrid>
        <w:gridCol w:w="4680"/>
        <w:gridCol w:w="4680"/>
      </w:tblGrid>
      <w:tr w14:paraId="26F26EA5" w14:textId="77777777" w:rsidTr="00700DA5">
        <w:tblPrEx>
          <w:tblW w:w="0" w:type="auto"/>
          <w:tblLayout w:type="fixed"/>
          <w:tblLook w:val="0000"/>
        </w:tblPrEx>
        <w:tc>
          <w:tcPr>
            <w:tcW w:w="4680" w:type="dxa"/>
            <w:tcBorders>
              <w:bottom w:val="single" w:sz="4" w:space="0" w:color="auto"/>
              <w:right w:val="single" w:sz="4" w:space="0" w:color="auto"/>
            </w:tcBorders>
            <w:shd w:val="clear" w:color="auto" w:fill="auto"/>
          </w:tcPr>
          <w:p w:rsidR="00652D3D" w:rsidRPr="00F12658" w:rsidP="00700DA5" w14:paraId="62207214" w14:textId="5C905770">
            <w:pPr>
              <w:spacing w:after="120" w:line="240" w:lineRule="auto"/>
              <w:rPr>
                <w:rFonts w:ascii="Century Schoolbook" w:hAnsi="Century Schoolbook"/>
                <w:szCs w:val="26"/>
              </w:rPr>
            </w:pPr>
            <w:r>
              <w:rPr>
                <w:rFonts w:ascii="Century Schoolbook" w:hAnsi="Century Schoolbook"/>
                <w:szCs w:val="26"/>
              </w:rPr>
              <w:t>DARWIN BONDGRAHAM, et al.</w:t>
            </w:r>
            <w:r w:rsidRPr="00F12658">
              <w:rPr>
                <w:rFonts w:ascii="Century Schoolbook" w:hAnsi="Century Schoolbook"/>
                <w:szCs w:val="26"/>
              </w:rPr>
              <w:t>,</w:t>
            </w:r>
          </w:p>
          <w:p w:rsidR="00652D3D" w:rsidRPr="00F12658" w:rsidP="00700DA5" w14:paraId="11C5546B" w14:textId="2877580E">
            <w:pPr>
              <w:spacing w:after="120" w:line="240" w:lineRule="auto"/>
              <w:rPr>
                <w:rFonts w:ascii="Century Schoolbook" w:hAnsi="Century Schoolbook"/>
                <w:szCs w:val="26"/>
              </w:rPr>
            </w:pPr>
            <w:r w:rsidRPr="00F12658">
              <w:rPr>
                <w:rFonts w:ascii="Century Schoolbook" w:hAnsi="Century Schoolbook"/>
                <w:szCs w:val="26"/>
              </w:rPr>
              <w:tab/>
              <w:t>Petitioner</w:t>
            </w:r>
            <w:r>
              <w:rPr>
                <w:rFonts w:ascii="Century Schoolbook" w:hAnsi="Century Schoolbook"/>
                <w:szCs w:val="26"/>
              </w:rPr>
              <w:t>s</w:t>
            </w:r>
            <w:r w:rsidRPr="00F12658">
              <w:rPr>
                <w:rFonts w:ascii="Century Schoolbook" w:hAnsi="Century Schoolbook"/>
                <w:szCs w:val="26"/>
              </w:rPr>
              <w:t>,</w:t>
            </w:r>
          </w:p>
          <w:p w:rsidR="00652D3D" w:rsidRPr="00F12658" w:rsidP="00700DA5" w14:paraId="5A44369B" w14:textId="77777777">
            <w:pPr>
              <w:spacing w:after="120" w:line="240" w:lineRule="auto"/>
              <w:rPr>
                <w:rFonts w:ascii="Century Schoolbook" w:hAnsi="Century Schoolbook"/>
                <w:szCs w:val="26"/>
              </w:rPr>
            </w:pPr>
            <w:r w:rsidRPr="00F12658">
              <w:rPr>
                <w:rFonts w:ascii="Century Schoolbook" w:hAnsi="Century Schoolbook"/>
                <w:szCs w:val="26"/>
              </w:rPr>
              <w:t>v.</w:t>
            </w:r>
          </w:p>
          <w:p w:rsidR="00652D3D" w:rsidRPr="00F12658" w:rsidP="00700DA5" w14:paraId="05EFB8D2" w14:textId="6A5722C1">
            <w:pPr>
              <w:spacing w:after="120" w:line="240" w:lineRule="auto"/>
              <w:rPr>
                <w:rFonts w:ascii="Century Schoolbook" w:hAnsi="Century Schoolbook"/>
                <w:szCs w:val="26"/>
              </w:rPr>
            </w:pPr>
            <w:r w:rsidRPr="00F12658">
              <w:rPr>
                <w:rFonts w:ascii="Century Schoolbook" w:hAnsi="Century Schoolbook"/>
                <w:szCs w:val="26"/>
              </w:rPr>
              <w:t xml:space="preserve">THE SUPERIOR COURT OF </w:t>
            </w:r>
            <w:r>
              <w:rPr>
                <w:rFonts w:ascii="Century Schoolbook" w:hAnsi="Century Schoolbook"/>
                <w:szCs w:val="26"/>
              </w:rPr>
              <w:t>ALAMEDA</w:t>
            </w:r>
            <w:r w:rsidRPr="00F12658">
              <w:rPr>
                <w:rFonts w:ascii="Century Schoolbook" w:hAnsi="Century Schoolbook"/>
                <w:szCs w:val="26"/>
              </w:rPr>
              <w:t xml:space="preserve"> COUNTY,</w:t>
            </w:r>
          </w:p>
          <w:p w:rsidR="00652D3D" w:rsidRPr="00F12658" w:rsidP="00700DA5" w14:paraId="589201F7" w14:textId="77777777">
            <w:pPr>
              <w:spacing w:after="120" w:line="240" w:lineRule="auto"/>
              <w:rPr>
                <w:rFonts w:ascii="Century Schoolbook" w:hAnsi="Century Schoolbook"/>
                <w:szCs w:val="26"/>
              </w:rPr>
            </w:pPr>
            <w:r w:rsidRPr="00F12658">
              <w:rPr>
                <w:rFonts w:ascii="Century Schoolbook" w:hAnsi="Century Schoolbook"/>
                <w:szCs w:val="26"/>
              </w:rPr>
              <w:tab/>
              <w:t>Respondent;</w:t>
            </w:r>
          </w:p>
          <w:p w:rsidR="00652D3D" w:rsidRPr="00F12658" w:rsidP="00700DA5" w14:paraId="74624AFA" w14:textId="37179B61">
            <w:pPr>
              <w:spacing w:after="120" w:line="240" w:lineRule="auto"/>
              <w:rPr>
                <w:rFonts w:ascii="Century Schoolbook" w:hAnsi="Century Schoolbook"/>
                <w:szCs w:val="26"/>
              </w:rPr>
            </w:pPr>
            <w:r>
              <w:rPr>
                <w:rFonts w:ascii="Century Schoolbook" w:hAnsi="Century Schoolbook"/>
                <w:szCs w:val="26"/>
              </w:rPr>
              <w:t>CITY OF OAKLAND</w:t>
            </w:r>
            <w:r w:rsidRPr="00F12658">
              <w:rPr>
                <w:rFonts w:ascii="Century Schoolbook" w:hAnsi="Century Schoolbook"/>
                <w:szCs w:val="26"/>
              </w:rPr>
              <w:t>, et al.,</w:t>
            </w:r>
          </w:p>
          <w:p w:rsidR="00652D3D" w:rsidRPr="00F12658" w:rsidP="00700DA5" w14:paraId="79E34863" w14:textId="77777777">
            <w:pPr>
              <w:spacing w:after="120" w:line="240" w:lineRule="auto"/>
              <w:ind w:firstLine="696"/>
              <w:rPr>
                <w:rFonts w:ascii="Century Schoolbook" w:hAnsi="Century Schoolbook"/>
                <w:szCs w:val="26"/>
              </w:rPr>
            </w:pPr>
            <w:r w:rsidRPr="00F12658">
              <w:rPr>
                <w:rFonts w:ascii="Century Schoolbook" w:hAnsi="Century Schoolbook"/>
                <w:szCs w:val="26"/>
              </w:rPr>
              <w:t>Real Parties in Interest.</w:t>
            </w:r>
          </w:p>
        </w:tc>
        <w:tc>
          <w:tcPr>
            <w:tcW w:w="4680" w:type="dxa"/>
            <w:tcBorders>
              <w:left w:val="single" w:sz="4" w:space="0" w:color="auto"/>
            </w:tcBorders>
            <w:shd w:val="clear" w:color="auto" w:fill="auto"/>
          </w:tcPr>
          <w:p w:rsidR="00652D3D" w:rsidRPr="00F12658" w:rsidP="00700DA5" w14:paraId="1F5CE9A4" w14:textId="77777777">
            <w:pPr>
              <w:spacing w:line="240" w:lineRule="auto"/>
              <w:rPr>
                <w:rFonts w:ascii="Century Schoolbook" w:hAnsi="Century Schoolbook"/>
                <w:szCs w:val="26"/>
              </w:rPr>
            </w:pPr>
          </w:p>
          <w:p w:rsidR="00652D3D" w:rsidRPr="00F12658" w:rsidP="00700DA5" w14:paraId="4A7BECCE" w14:textId="77777777">
            <w:pPr>
              <w:spacing w:line="240" w:lineRule="auto"/>
              <w:rPr>
                <w:rFonts w:ascii="Century Schoolbook" w:hAnsi="Century Schoolbook"/>
                <w:szCs w:val="26"/>
              </w:rPr>
            </w:pPr>
          </w:p>
          <w:p w:rsidR="00652D3D" w:rsidRPr="00F12658" w:rsidP="00700DA5" w14:paraId="0F386578" w14:textId="7E10ED23">
            <w:pPr>
              <w:spacing w:line="240" w:lineRule="auto"/>
              <w:rPr>
                <w:rFonts w:ascii="Century Schoolbook" w:hAnsi="Century Schoolbook"/>
                <w:szCs w:val="26"/>
              </w:rPr>
            </w:pPr>
            <w:r w:rsidRPr="00F12658">
              <w:rPr>
                <w:rFonts w:ascii="Century Schoolbook" w:hAnsi="Century Schoolbook"/>
                <w:szCs w:val="26"/>
              </w:rPr>
              <w:t xml:space="preserve">      A16</w:t>
            </w:r>
            <w:r>
              <w:rPr>
                <w:rFonts w:ascii="Century Schoolbook" w:hAnsi="Century Schoolbook"/>
                <w:szCs w:val="26"/>
              </w:rPr>
              <w:t>5187</w:t>
            </w:r>
          </w:p>
          <w:p w:rsidR="00652D3D" w:rsidRPr="00F12658" w:rsidP="00700DA5" w14:paraId="01995CC7" w14:textId="77777777">
            <w:pPr>
              <w:spacing w:line="240" w:lineRule="auto"/>
              <w:rPr>
                <w:rFonts w:ascii="Century Schoolbook" w:hAnsi="Century Schoolbook"/>
                <w:szCs w:val="26"/>
              </w:rPr>
            </w:pPr>
          </w:p>
          <w:p w:rsidR="00652D3D" w:rsidRPr="00F12658" w:rsidP="00700DA5" w14:paraId="7388E9E6" w14:textId="494D6CD7">
            <w:pPr>
              <w:spacing w:line="240" w:lineRule="auto"/>
              <w:ind w:left="434" w:right="973"/>
              <w:rPr>
                <w:rFonts w:ascii="Century Schoolbook" w:hAnsi="Century Schoolbook"/>
                <w:szCs w:val="26"/>
              </w:rPr>
            </w:pPr>
            <w:r w:rsidRPr="00F12658">
              <w:rPr>
                <w:rFonts w:ascii="Century Schoolbook" w:hAnsi="Century Schoolbook"/>
                <w:szCs w:val="26"/>
              </w:rPr>
              <w:t>(</w:t>
            </w:r>
            <w:r>
              <w:rPr>
                <w:rFonts w:ascii="Century Schoolbook" w:hAnsi="Century Schoolbook"/>
                <w:szCs w:val="26"/>
              </w:rPr>
              <w:t>Alameda</w:t>
            </w:r>
            <w:r w:rsidRPr="00F12658">
              <w:rPr>
                <w:rFonts w:ascii="Century Schoolbook" w:hAnsi="Century Schoolbook"/>
                <w:szCs w:val="26"/>
              </w:rPr>
              <w:t xml:space="preserve"> County Super. Ct. No. </w:t>
            </w:r>
            <w:r w:rsidRPr="00652D3D">
              <w:rPr>
                <w:rFonts w:ascii="Century Schoolbook" w:hAnsi="Century Schoolbook"/>
                <w:szCs w:val="26"/>
              </w:rPr>
              <w:t>RG20071657</w:t>
            </w:r>
            <w:r w:rsidRPr="00F12658">
              <w:rPr>
                <w:rFonts w:ascii="Century Schoolbook" w:hAnsi="Century Schoolbook"/>
                <w:szCs w:val="26"/>
              </w:rPr>
              <w:t>)</w:t>
            </w:r>
          </w:p>
          <w:p w:rsidR="00652D3D" w:rsidRPr="00F12658" w:rsidP="00700DA5" w14:paraId="668211D1" w14:textId="77777777">
            <w:pPr>
              <w:spacing w:line="240" w:lineRule="auto"/>
              <w:rPr>
                <w:rFonts w:ascii="Century Schoolbook" w:hAnsi="Century Schoolbook"/>
                <w:szCs w:val="26"/>
              </w:rPr>
            </w:pPr>
          </w:p>
        </w:tc>
      </w:tr>
    </w:tbl>
    <w:p w:rsidR="00652D3D" w:rsidRPr="00795E73" w:rsidP="00076ABC" w14:paraId="3E4BFC0E" w14:textId="1020A4B0">
      <w:pPr>
        <w:shd w:val="clear" w:color="auto" w:fill="FFFFFF"/>
        <w:ind w:firstLine="720"/>
        <w:rPr>
          <w:rFonts w:ascii="Century Schoolbook" w:hAnsi="Century Schoolbook"/>
        </w:rPr>
      </w:pPr>
      <w:r>
        <w:rPr>
          <w:rFonts w:ascii="Century Schoolbook" w:hAnsi="Century Schoolbook"/>
        </w:rPr>
        <w:t xml:space="preserve">In 2019, Oakland journalists </w:t>
      </w:r>
      <w:r w:rsidRPr="00576323">
        <w:rPr>
          <w:rFonts w:ascii="Century Schoolbook" w:hAnsi="Century Schoolbook"/>
        </w:rPr>
        <w:t>Darwin BondGraham and Ali Winston</w:t>
      </w:r>
      <w:r>
        <w:rPr>
          <w:rFonts w:ascii="Century Schoolbook" w:hAnsi="Century Schoolbook"/>
        </w:rPr>
        <w:t xml:space="preserve"> </w:t>
      </w:r>
      <w:r w:rsidR="00F71B60">
        <w:rPr>
          <w:rFonts w:ascii="Century Schoolbook" w:hAnsi="Century Schoolbook"/>
        </w:rPr>
        <w:t xml:space="preserve">(petitioners) </w:t>
      </w:r>
      <w:r>
        <w:rPr>
          <w:rFonts w:ascii="Century Schoolbook" w:hAnsi="Century Schoolbook"/>
        </w:rPr>
        <w:t xml:space="preserve">filed requests for information from the Oakland Police Department pursuant to the </w:t>
      </w:r>
      <w:r w:rsidR="002B7C6C">
        <w:rPr>
          <w:rStyle w:val="contentpasted2"/>
          <w:rFonts w:ascii="Century Schoolbook" w:hAnsi="Century Schoolbook"/>
          <w:color w:val="000000"/>
          <w:shd w:val="clear" w:color="auto" w:fill="FFFFFF"/>
        </w:rPr>
        <w:t>California Public Records Act (CPRA) (</w:t>
      </w:r>
      <w:r w:rsidR="002B7C6C">
        <w:rPr>
          <w:rStyle w:val="contentpasted0"/>
          <w:rFonts w:ascii="Century Schoolbook" w:hAnsi="Century Schoolbook"/>
          <w:color w:val="000000"/>
        </w:rPr>
        <w:t>previously codified as Gov. Code, §</w:t>
      </w:r>
      <w:r w:rsidR="008B31A9">
        <w:rPr>
          <w:rStyle w:val="contentpasted0"/>
          <w:rFonts w:ascii="Century Schoolbook" w:hAnsi="Century Schoolbook"/>
          <w:color w:val="000000"/>
        </w:rPr>
        <w:t> </w:t>
      </w:r>
      <w:r w:rsidR="002B7C6C">
        <w:rPr>
          <w:rStyle w:val="contentpasted0"/>
          <w:rFonts w:ascii="Century Schoolbook" w:hAnsi="Century Schoolbook"/>
          <w:color w:val="000000"/>
        </w:rPr>
        <w:t>6250 et seq. and recodified and reorganized effective January 1, 2023 as Gov. Code, §</w:t>
      </w:r>
      <w:r w:rsidR="008B31A9">
        <w:rPr>
          <w:rStyle w:val="contentpasted0"/>
          <w:rFonts w:ascii="Century Schoolbook" w:hAnsi="Century Schoolbook"/>
          <w:color w:val="000000"/>
        </w:rPr>
        <w:t> </w:t>
      </w:r>
      <w:r w:rsidR="002B7C6C">
        <w:rPr>
          <w:rStyle w:val="contentpasted0"/>
          <w:rFonts w:ascii="Century Schoolbook" w:hAnsi="Century Schoolbook"/>
          <w:color w:val="000000"/>
        </w:rPr>
        <w:t xml:space="preserve">7921.000 et seq.), </w:t>
      </w:r>
      <w:r w:rsidR="004F3FCE">
        <w:rPr>
          <w:rFonts w:ascii="Century Schoolbook" w:hAnsi="Century Schoolbook"/>
        </w:rPr>
        <w:t xml:space="preserve">including for information regarding the “Celeste Guap” scandal, </w:t>
      </w:r>
      <w:r w:rsidR="000504D8">
        <w:rPr>
          <w:rFonts w:ascii="Century Schoolbook" w:hAnsi="Century Schoolbook"/>
        </w:rPr>
        <w:t xml:space="preserve">which </w:t>
      </w:r>
      <w:r w:rsidR="004F3FCE">
        <w:rPr>
          <w:rFonts w:ascii="Century Schoolbook" w:hAnsi="Century Schoolbook"/>
        </w:rPr>
        <w:t>involv</w:t>
      </w:r>
      <w:r w:rsidR="000504D8">
        <w:rPr>
          <w:rFonts w:ascii="Century Schoolbook" w:hAnsi="Century Schoolbook"/>
        </w:rPr>
        <w:t>ed</w:t>
      </w:r>
      <w:r w:rsidR="004F3FCE">
        <w:rPr>
          <w:rFonts w:ascii="Century Schoolbook" w:hAnsi="Century Schoolbook"/>
        </w:rPr>
        <w:t xml:space="preserve"> several </w:t>
      </w:r>
      <w:r w:rsidR="000504D8">
        <w:rPr>
          <w:rFonts w:ascii="Century Schoolbook" w:hAnsi="Century Schoolbook"/>
        </w:rPr>
        <w:t>Oakland police</w:t>
      </w:r>
      <w:r w:rsidR="004F3FCE">
        <w:rPr>
          <w:rFonts w:ascii="Century Schoolbook" w:hAnsi="Century Schoolbook"/>
        </w:rPr>
        <w:t xml:space="preserve"> officers who had sex with </w:t>
      </w:r>
      <w:r w:rsidR="00BF7495">
        <w:rPr>
          <w:rFonts w:ascii="Century Schoolbook" w:hAnsi="Century Schoolbook"/>
        </w:rPr>
        <w:t>Celeste Guap</w:t>
      </w:r>
      <w:r w:rsidR="004F3FCE">
        <w:rPr>
          <w:rFonts w:ascii="Century Schoolbook" w:hAnsi="Century Schoolbook"/>
        </w:rPr>
        <w:t xml:space="preserve"> while she was underage</w:t>
      </w:r>
      <w:r>
        <w:rPr>
          <w:rFonts w:ascii="Century Schoolbook" w:hAnsi="Century Schoolbook"/>
        </w:rPr>
        <w:t>.</w:t>
      </w:r>
      <w:r>
        <w:rPr>
          <w:rStyle w:val="FootnoteReference"/>
          <w:rFonts w:ascii="Century Schoolbook" w:hAnsi="Century Schoolbook"/>
        </w:rPr>
        <w:footnoteReference w:id="2"/>
      </w:r>
      <w:r>
        <w:rPr>
          <w:rFonts w:ascii="Century Schoolbook" w:hAnsi="Century Schoolbook"/>
        </w:rPr>
        <w:t xml:space="preserve">  </w:t>
      </w:r>
      <w:r w:rsidR="004F3FCE">
        <w:rPr>
          <w:rFonts w:ascii="Century Schoolbook" w:hAnsi="Century Schoolbook"/>
        </w:rPr>
        <w:t xml:space="preserve">The trial court granted a writ of mandate ordering Oakland to produce </w:t>
      </w:r>
      <w:r w:rsidR="000504D8">
        <w:rPr>
          <w:rFonts w:ascii="Century Schoolbook" w:hAnsi="Century Schoolbook"/>
        </w:rPr>
        <w:t>documents responsive to petitioners’ requests</w:t>
      </w:r>
      <w:r>
        <w:rPr>
          <w:rFonts w:ascii="Century Schoolbook" w:hAnsi="Century Schoolbook"/>
        </w:rPr>
        <w:t xml:space="preserve">, </w:t>
      </w:r>
      <w:r w:rsidR="004F3FCE">
        <w:rPr>
          <w:rFonts w:ascii="Century Schoolbook" w:hAnsi="Century Schoolbook"/>
        </w:rPr>
        <w:t xml:space="preserve">and </w:t>
      </w:r>
      <w:r>
        <w:rPr>
          <w:rFonts w:ascii="Century Schoolbook" w:hAnsi="Century Schoolbook"/>
        </w:rPr>
        <w:t xml:space="preserve">Oakland </w:t>
      </w:r>
      <w:r w:rsidR="004F3FCE">
        <w:rPr>
          <w:rFonts w:ascii="Century Schoolbook" w:hAnsi="Century Schoolbook"/>
        </w:rPr>
        <w:t xml:space="preserve">ultimately </w:t>
      </w:r>
      <w:r>
        <w:rPr>
          <w:rFonts w:ascii="Century Schoolbook" w:hAnsi="Century Schoolbook"/>
        </w:rPr>
        <w:t xml:space="preserve">produced a redacted version of the report of </w:t>
      </w:r>
      <w:r w:rsidR="004F3FCE">
        <w:rPr>
          <w:rFonts w:ascii="Century Schoolbook" w:hAnsi="Century Schoolbook"/>
        </w:rPr>
        <w:t>the</w:t>
      </w:r>
      <w:r>
        <w:rPr>
          <w:rFonts w:ascii="Century Schoolbook" w:hAnsi="Century Schoolbook"/>
        </w:rPr>
        <w:t xml:space="preserve"> internal </w:t>
      </w:r>
      <w:r>
        <w:rPr>
          <w:rFonts w:ascii="Century Schoolbook" w:hAnsi="Century Schoolbook"/>
        </w:rPr>
        <w:t xml:space="preserve">affairs </w:t>
      </w:r>
      <w:r w:rsidR="00224A70">
        <w:rPr>
          <w:rFonts w:ascii="Century Schoolbook" w:hAnsi="Century Schoolbook"/>
        </w:rPr>
        <w:t>investigation</w:t>
      </w:r>
      <w:r>
        <w:rPr>
          <w:rFonts w:ascii="Century Schoolbook" w:hAnsi="Century Schoolbook"/>
        </w:rPr>
        <w:t xml:space="preserve"> </w:t>
      </w:r>
      <w:r w:rsidR="004F3FCE">
        <w:rPr>
          <w:rFonts w:ascii="Century Schoolbook" w:hAnsi="Century Schoolbook"/>
        </w:rPr>
        <w:t>into the scandal</w:t>
      </w:r>
      <w:r>
        <w:rPr>
          <w:rFonts w:ascii="Century Schoolbook" w:hAnsi="Century Schoolbook"/>
        </w:rPr>
        <w:t xml:space="preserve">.  Petitioners </w:t>
      </w:r>
      <w:r w:rsidR="004F3FCE">
        <w:rPr>
          <w:rFonts w:ascii="Century Schoolbook" w:hAnsi="Century Schoolbook"/>
        </w:rPr>
        <w:t xml:space="preserve">challenged certain of </w:t>
      </w:r>
      <w:r w:rsidR="000504D8">
        <w:rPr>
          <w:rFonts w:ascii="Century Schoolbook" w:hAnsi="Century Schoolbook"/>
        </w:rPr>
        <w:t>Oakland’s</w:t>
      </w:r>
      <w:r w:rsidR="004F3FCE">
        <w:rPr>
          <w:rFonts w:ascii="Century Schoolbook" w:hAnsi="Century Schoolbook"/>
        </w:rPr>
        <w:t xml:space="preserve"> redactions to the </w:t>
      </w:r>
      <w:r w:rsidR="00BF7495">
        <w:rPr>
          <w:rFonts w:ascii="Century Schoolbook" w:hAnsi="Century Schoolbook"/>
        </w:rPr>
        <w:t>report</w:t>
      </w:r>
      <w:r w:rsidR="004F3FCE">
        <w:rPr>
          <w:rFonts w:ascii="Century Schoolbook" w:hAnsi="Century Schoolbook"/>
        </w:rPr>
        <w:t xml:space="preserve">, and the trial court issued an order </w:t>
      </w:r>
      <w:r w:rsidR="000504D8">
        <w:rPr>
          <w:rFonts w:ascii="Century Schoolbook" w:hAnsi="Century Schoolbook"/>
        </w:rPr>
        <w:t>on petitioners’ challenges</w:t>
      </w:r>
      <w:r w:rsidR="00624476">
        <w:rPr>
          <w:rFonts w:ascii="Century Schoolbook" w:hAnsi="Century Schoolbook"/>
        </w:rPr>
        <w:t xml:space="preserve">. </w:t>
      </w:r>
      <w:r w:rsidR="00F71B60">
        <w:rPr>
          <w:rFonts w:ascii="Century Schoolbook" w:hAnsi="Century Schoolbook"/>
        </w:rPr>
        <w:t xml:space="preserve"> </w:t>
      </w:r>
      <w:r w:rsidR="00624476">
        <w:rPr>
          <w:rFonts w:ascii="Century Schoolbook" w:hAnsi="Century Schoolbook"/>
        </w:rPr>
        <w:t>P</w:t>
      </w:r>
      <w:r w:rsidR="004F3FCE">
        <w:rPr>
          <w:rFonts w:ascii="Century Schoolbook" w:hAnsi="Century Schoolbook"/>
        </w:rPr>
        <w:t xml:space="preserve">etitioners now seek extraordinary writ relief, arguing that certain of Oakland’s redactions were improper under </w:t>
      </w:r>
      <w:r w:rsidR="000504D8">
        <w:rPr>
          <w:rFonts w:ascii="Century Schoolbook" w:hAnsi="Century Schoolbook"/>
        </w:rPr>
        <w:t xml:space="preserve">2018 legislation requiring public access to certain records of police misconduct.  We agree that </w:t>
      </w:r>
      <w:r w:rsidR="00037779">
        <w:rPr>
          <w:rFonts w:ascii="Century Schoolbook" w:hAnsi="Century Schoolbook"/>
        </w:rPr>
        <w:t xml:space="preserve">some of </w:t>
      </w:r>
      <w:r w:rsidR="000504D8">
        <w:rPr>
          <w:rFonts w:ascii="Century Schoolbook" w:hAnsi="Century Schoolbook"/>
        </w:rPr>
        <w:t xml:space="preserve">the challenged redactions were not permitted under the statute, and </w:t>
      </w:r>
      <w:r w:rsidR="008831A4">
        <w:rPr>
          <w:rFonts w:ascii="Century Schoolbook" w:hAnsi="Century Schoolbook"/>
        </w:rPr>
        <w:t xml:space="preserve">thus </w:t>
      </w:r>
      <w:r w:rsidR="000504D8">
        <w:rPr>
          <w:rFonts w:ascii="Century Schoolbook" w:hAnsi="Century Schoolbook"/>
        </w:rPr>
        <w:t xml:space="preserve">grant the petition. </w:t>
      </w:r>
    </w:p>
    <w:p w:rsidR="006B1514" w:rsidRPr="006B1514" w:rsidP="006B1514" w14:paraId="3FD17DCE" w14:textId="50BFC30B">
      <w:pPr>
        <w:jc w:val="center"/>
        <w:rPr>
          <w:rFonts w:ascii="Century Schoolbook" w:hAnsi="Century Schoolbook"/>
          <w:b/>
          <w:bCs/>
        </w:rPr>
      </w:pPr>
      <w:r w:rsidRPr="006B1514">
        <w:rPr>
          <w:rFonts w:ascii="Century Schoolbook" w:hAnsi="Century Schoolbook"/>
          <w:b/>
          <w:bCs/>
        </w:rPr>
        <w:t>BACKGROUND</w:t>
      </w:r>
    </w:p>
    <w:p w:rsidR="00576323" w:rsidP="00A52B86" w14:paraId="0C50B616" w14:textId="4B8678AD">
      <w:pPr>
        <w:rPr>
          <w:rFonts w:ascii="Century Schoolbook" w:hAnsi="Century Schoolbook"/>
        </w:rPr>
      </w:pPr>
      <w:r>
        <w:rPr>
          <w:rFonts w:ascii="Century Schoolbook" w:hAnsi="Century Schoolbook"/>
        </w:rPr>
        <w:tab/>
      </w:r>
      <w:r w:rsidR="009B6271">
        <w:rPr>
          <w:rFonts w:ascii="Century Schoolbook" w:hAnsi="Century Schoolbook"/>
        </w:rPr>
        <w:t>In 2018, the Governor signed Senate Bill No.</w:t>
      </w:r>
      <w:r w:rsidR="006962A4">
        <w:rPr>
          <w:rFonts w:ascii="Century Schoolbook" w:hAnsi="Century Schoolbook"/>
        </w:rPr>
        <w:t> </w:t>
      </w:r>
      <w:r w:rsidR="009B6271">
        <w:rPr>
          <w:rFonts w:ascii="Century Schoolbook" w:hAnsi="Century Schoolbook"/>
        </w:rPr>
        <w:t xml:space="preserve">1421 </w:t>
      </w:r>
      <w:r w:rsidR="0026796D">
        <w:rPr>
          <w:rFonts w:ascii="Century Schoolbook" w:hAnsi="Century Schoolbook"/>
        </w:rPr>
        <w:t>(2017</w:t>
      </w:r>
      <w:r w:rsidR="005B116E">
        <w:rPr>
          <w:rFonts w:ascii="Century Schoolbook" w:hAnsi="Century Schoolbook"/>
        </w:rPr>
        <w:t>–2018 Reg.</w:t>
      </w:r>
      <w:r w:rsidR="00DC70CD">
        <w:rPr>
          <w:rFonts w:ascii="Century Schoolbook" w:hAnsi="Century Schoolbook"/>
        </w:rPr>
        <w:t xml:space="preserve"> </w:t>
      </w:r>
      <w:r w:rsidR="005B116E">
        <w:rPr>
          <w:rFonts w:ascii="Century Schoolbook" w:hAnsi="Century Schoolbook"/>
        </w:rPr>
        <w:t>Sess.)</w:t>
      </w:r>
      <w:r w:rsidR="00DB1537">
        <w:rPr>
          <w:rFonts w:ascii="Century Schoolbook" w:hAnsi="Century Schoolbook"/>
        </w:rPr>
        <w:t xml:space="preserve"> </w:t>
      </w:r>
      <w:r w:rsidR="009B6271">
        <w:rPr>
          <w:rFonts w:ascii="Century Schoolbook" w:hAnsi="Century Schoolbook"/>
        </w:rPr>
        <w:t xml:space="preserve">into law, </w:t>
      </w:r>
      <w:r w:rsidR="00C1104A">
        <w:rPr>
          <w:rFonts w:ascii="Century Schoolbook" w:hAnsi="Century Schoolbook"/>
        </w:rPr>
        <w:t>amending Penal Code section 832.7 to</w:t>
      </w:r>
      <w:r w:rsidR="0095524D">
        <w:rPr>
          <w:rFonts w:ascii="Century Schoolbook" w:hAnsi="Century Schoolbook"/>
        </w:rPr>
        <w:t xml:space="preserve"> </w:t>
      </w:r>
      <w:r w:rsidR="009B6271">
        <w:rPr>
          <w:rFonts w:ascii="Century Schoolbook" w:hAnsi="Century Schoolbook"/>
        </w:rPr>
        <w:t>requir</w:t>
      </w:r>
      <w:r w:rsidR="00C1104A">
        <w:rPr>
          <w:rFonts w:ascii="Century Schoolbook" w:hAnsi="Century Schoolbook"/>
        </w:rPr>
        <w:t>e</w:t>
      </w:r>
      <w:r w:rsidR="009B6271">
        <w:rPr>
          <w:rFonts w:ascii="Century Schoolbook" w:hAnsi="Century Schoolbook"/>
        </w:rPr>
        <w:t xml:space="preserve"> public access to certain records of police misconduct and use of force.</w:t>
      </w:r>
      <w:r>
        <w:rPr>
          <w:rStyle w:val="FootnoteReference"/>
          <w:rFonts w:ascii="Century Schoolbook" w:hAnsi="Century Schoolbook"/>
        </w:rPr>
        <w:footnoteReference w:id="3"/>
      </w:r>
      <w:r w:rsidR="009B6271">
        <w:rPr>
          <w:rFonts w:ascii="Century Schoolbook" w:hAnsi="Century Schoolbook"/>
        </w:rPr>
        <w:t xml:space="preserve">  Shortly thereafter, </w:t>
      </w:r>
      <w:r w:rsidR="00154C1D">
        <w:rPr>
          <w:rFonts w:ascii="Century Schoolbook" w:hAnsi="Century Schoolbook"/>
        </w:rPr>
        <w:t>during the week of</w:t>
      </w:r>
      <w:r w:rsidR="00A72785">
        <w:rPr>
          <w:rFonts w:ascii="Century Schoolbook" w:hAnsi="Century Schoolbook"/>
        </w:rPr>
        <w:t xml:space="preserve"> January</w:t>
      </w:r>
      <w:r w:rsidR="008B31A9">
        <w:rPr>
          <w:rFonts w:ascii="Century Schoolbook" w:hAnsi="Century Schoolbook"/>
        </w:rPr>
        <w:t> </w:t>
      </w:r>
      <w:r w:rsidR="00A72785">
        <w:rPr>
          <w:rFonts w:ascii="Century Schoolbook" w:hAnsi="Century Schoolbook"/>
        </w:rPr>
        <w:t>1, 2019</w:t>
      </w:r>
      <w:r w:rsidRPr="00576323">
        <w:rPr>
          <w:rFonts w:ascii="Century Schoolbook" w:hAnsi="Century Schoolbook"/>
        </w:rPr>
        <w:t xml:space="preserve">, </w:t>
      </w:r>
      <w:r w:rsidR="00A72785">
        <w:rPr>
          <w:rFonts w:ascii="Century Schoolbook" w:hAnsi="Century Schoolbook"/>
        </w:rPr>
        <w:t>p</w:t>
      </w:r>
      <w:r w:rsidRPr="00576323">
        <w:rPr>
          <w:rFonts w:ascii="Century Schoolbook" w:hAnsi="Century Schoolbook"/>
        </w:rPr>
        <w:t xml:space="preserve">etitioners </w:t>
      </w:r>
      <w:r w:rsidR="00A72785">
        <w:rPr>
          <w:rFonts w:ascii="Century Schoolbook" w:hAnsi="Century Schoolbook"/>
        </w:rPr>
        <w:t xml:space="preserve">filed 29 requests </w:t>
      </w:r>
      <w:r w:rsidR="00A16D6D">
        <w:rPr>
          <w:rFonts w:ascii="Century Schoolbook" w:hAnsi="Century Schoolbook"/>
        </w:rPr>
        <w:t>for information from the Oakland Police Department</w:t>
      </w:r>
      <w:r w:rsidR="009B6271">
        <w:rPr>
          <w:rFonts w:ascii="Century Schoolbook" w:hAnsi="Century Schoolbook"/>
        </w:rPr>
        <w:t xml:space="preserve"> pursuant to the </w:t>
      </w:r>
      <w:r w:rsidR="00A52B86">
        <w:rPr>
          <w:rFonts w:ascii="Century Schoolbook" w:hAnsi="Century Schoolbook"/>
        </w:rPr>
        <w:t>CPRA</w:t>
      </w:r>
      <w:r w:rsidR="009B6271">
        <w:rPr>
          <w:rFonts w:ascii="Century Schoolbook" w:hAnsi="Century Schoolbook"/>
        </w:rPr>
        <w:t xml:space="preserve">.  </w:t>
      </w:r>
      <w:r w:rsidR="00A52B86">
        <w:rPr>
          <w:rFonts w:ascii="Century Schoolbook" w:hAnsi="Century Schoolbook"/>
        </w:rPr>
        <w:t>One</w:t>
      </w:r>
      <w:r w:rsidR="00154C1D">
        <w:rPr>
          <w:rFonts w:ascii="Century Schoolbook" w:hAnsi="Century Schoolbook"/>
        </w:rPr>
        <w:t xml:space="preserve"> such request was for </w:t>
      </w:r>
      <w:r w:rsidR="00A52B86">
        <w:rPr>
          <w:rFonts w:ascii="Century Schoolbook" w:hAnsi="Century Schoolbook"/>
        </w:rPr>
        <w:t>all investigative reports regarding “</w:t>
      </w:r>
      <w:r w:rsidRPr="00A52B86" w:rsidR="00A52B86">
        <w:rPr>
          <w:rFonts w:ascii="Century Schoolbook" w:hAnsi="Century Schoolbook"/>
        </w:rPr>
        <w:t>OPD Internal Affairs</w:t>
      </w:r>
      <w:r w:rsidR="00A52B86">
        <w:rPr>
          <w:rFonts w:ascii="Century Schoolbook" w:hAnsi="Century Schoolbook"/>
        </w:rPr>
        <w:t xml:space="preserve"> </w:t>
      </w:r>
      <w:r w:rsidRPr="00A52B86" w:rsidR="00A52B86">
        <w:rPr>
          <w:rFonts w:ascii="Century Schoolbook" w:hAnsi="Century Schoolbook"/>
        </w:rPr>
        <w:t>Division Case 15-0771</w:t>
      </w:r>
      <w:r w:rsidR="006B0490">
        <w:rPr>
          <w:rFonts w:ascii="Century Schoolbook" w:hAnsi="Century Schoolbook"/>
        </w:rPr>
        <w:t>,</w:t>
      </w:r>
      <w:r w:rsidR="00A52B86">
        <w:rPr>
          <w:rFonts w:ascii="Century Schoolbook" w:hAnsi="Century Schoolbook"/>
        </w:rPr>
        <w:t>”</w:t>
      </w:r>
      <w:r w:rsidRPr="00154C1D" w:rsidR="00154C1D">
        <w:rPr>
          <w:rFonts w:ascii="Century Schoolbook" w:hAnsi="Century Schoolbook"/>
        </w:rPr>
        <w:t xml:space="preserve"> </w:t>
      </w:r>
      <w:r w:rsidR="00A52B86">
        <w:rPr>
          <w:rFonts w:ascii="Century Schoolbook" w:hAnsi="Century Schoolbook"/>
        </w:rPr>
        <w:t>an internal affairs investigation of the “sexual assault of a minor by multiple Oakland Police Officers,” as well as the related death of an Oakland Police officer by suicide.</w:t>
      </w:r>
      <w:r w:rsidRPr="00154C1D" w:rsidR="00154C1D">
        <w:rPr>
          <w:rFonts w:ascii="Century Schoolbook" w:hAnsi="Century Schoolbook"/>
        </w:rPr>
        <w:t xml:space="preserve"> </w:t>
      </w:r>
      <w:r w:rsidR="00A52B86">
        <w:rPr>
          <w:rFonts w:ascii="Century Schoolbook" w:hAnsi="Century Schoolbook"/>
        </w:rPr>
        <w:t xml:space="preserve"> </w:t>
      </w:r>
    </w:p>
    <w:p w:rsidR="004A1E13" w:rsidRPr="00576323" w:rsidP="004A1E13" w14:paraId="7B48B971" w14:textId="00D051BA">
      <w:pPr>
        <w:rPr>
          <w:rFonts w:ascii="Century Schoolbook" w:hAnsi="Century Schoolbook"/>
        </w:rPr>
      </w:pPr>
      <w:r>
        <w:rPr>
          <w:rFonts w:ascii="Century Schoolbook" w:hAnsi="Century Schoolbook"/>
        </w:rPr>
        <w:tab/>
      </w:r>
      <w:r w:rsidRPr="004A1E13">
        <w:rPr>
          <w:rFonts w:ascii="Century Schoolbook" w:hAnsi="Century Schoolbook"/>
        </w:rPr>
        <w:t xml:space="preserve">In response to </w:t>
      </w:r>
      <w:r w:rsidR="00B24FE4">
        <w:rPr>
          <w:rFonts w:ascii="Century Schoolbook" w:hAnsi="Century Schoolbook"/>
        </w:rPr>
        <w:t>petitioners’</w:t>
      </w:r>
      <w:r w:rsidRPr="004A1E13">
        <w:rPr>
          <w:rFonts w:ascii="Century Schoolbook" w:hAnsi="Century Schoolbook"/>
        </w:rPr>
        <w:t xml:space="preserve"> request</w:t>
      </w:r>
      <w:r w:rsidR="00B24FE4">
        <w:rPr>
          <w:rFonts w:ascii="Century Schoolbook" w:hAnsi="Century Schoolbook"/>
        </w:rPr>
        <w:t>s</w:t>
      </w:r>
      <w:r w:rsidRPr="004A1E13">
        <w:rPr>
          <w:rFonts w:ascii="Century Schoolbook" w:hAnsi="Century Schoolbook"/>
        </w:rPr>
        <w:t xml:space="preserve">, </w:t>
      </w:r>
      <w:r w:rsidR="00196103">
        <w:rPr>
          <w:rFonts w:ascii="Century Schoolbook" w:hAnsi="Century Schoolbook"/>
        </w:rPr>
        <w:t xml:space="preserve">the </w:t>
      </w:r>
      <w:r w:rsidRPr="004A1E13">
        <w:rPr>
          <w:rFonts w:ascii="Century Schoolbook" w:hAnsi="Century Schoolbook"/>
        </w:rPr>
        <w:t xml:space="preserve">Oakland </w:t>
      </w:r>
      <w:r w:rsidR="00196103">
        <w:rPr>
          <w:rFonts w:ascii="Century Schoolbook" w:hAnsi="Century Schoolbook"/>
        </w:rPr>
        <w:t xml:space="preserve">Police Department </w:t>
      </w:r>
      <w:r w:rsidRPr="004A1E13">
        <w:rPr>
          <w:rFonts w:ascii="Century Schoolbook" w:hAnsi="Century Schoolbook"/>
        </w:rPr>
        <w:t xml:space="preserve">released a redacted version of the </w:t>
      </w:r>
      <w:r w:rsidR="00C1104A">
        <w:rPr>
          <w:rFonts w:ascii="Century Schoolbook" w:hAnsi="Century Schoolbook"/>
        </w:rPr>
        <w:t>25</w:t>
      </w:r>
      <w:r w:rsidR="00C809D0">
        <w:rPr>
          <w:rFonts w:ascii="Century Schoolbook" w:hAnsi="Century Schoolbook"/>
        </w:rPr>
        <w:t>2</w:t>
      </w:r>
      <w:r w:rsidR="00C1104A">
        <w:rPr>
          <w:rFonts w:ascii="Century Schoolbook" w:hAnsi="Century Schoolbook"/>
        </w:rPr>
        <w:t xml:space="preserve">-page </w:t>
      </w:r>
      <w:r w:rsidR="00F71B60">
        <w:rPr>
          <w:rFonts w:ascii="Century Schoolbook" w:hAnsi="Century Schoolbook"/>
        </w:rPr>
        <w:t>“</w:t>
      </w:r>
      <w:r w:rsidR="00563946">
        <w:rPr>
          <w:rFonts w:ascii="Century Schoolbook" w:hAnsi="Century Schoolbook"/>
        </w:rPr>
        <w:t>Report of Internal Investigation File No.</w:t>
      </w:r>
      <w:r w:rsidR="008B31A9">
        <w:rPr>
          <w:rFonts w:ascii="Century Schoolbook" w:hAnsi="Century Schoolbook"/>
        </w:rPr>
        <w:t> </w:t>
      </w:r>
      <w:r w:rsidR="00563946">
        <w:rPr>
          <w:rFonts w:ascii="Century Schoolbook" w:hAnsi="Century Schoolbook"/>
        </w:rPr>
        <w:t>15-0771</w:t>
      </w:r>
      <w:r w:rsidR="00F71B60">
        <w:rPr>
          <w:rFonts w:ascii="Century Schoolbook" w:hAnsi="Century Schoolbook"/>
        </w:rPr>
        <w:t>” (the Guap report)</w:t>
      </w:r>
      <w:r w:rsidR="00DB1537">
        <w:rPr>
          <w:rFonts w:ascii="Century Schoolbook" w:hAnsi="Century Schoolbook"/>
        </w:rPr>
        <w:t xml:space="preserve"> (unnecessary capitalization omitted</w:t>
      </w:r>
      <w:r w:rsidR="00FB1B05">
        <w:rPr>
          <w:rFonts w:ascii="Century Schoolbook" w:hAnsi="Century Schoolbook"/>
        </w:rPr>
        <w:t>)</w:t>
      </w:r>
      <w:r w:rsidR="00C1104A">
        <w:rPr>
          <w:rFonts w:ascii="Century Schoolbook" w:hAnsi="Century Schoolbook"/>
        </w:rPr>
        <w:t xml:space="preserve">. </w:t>
      </w:r>
      <w:r w:rsidR="00B24FE4">
        <w:rPr>
          <w:rFonts w:ascii="Century Schoolbook" w:hAnsi="Century Schoolbook"/>
        </w:rPr>
        <w:t xml:space="preserve"> </w:t>
      </w:r>
    </w:p>
    <w:p w:rsidR="00A16D6D" w:rsidP="00576323" w14:paraId="75DE6267" w14:textId="39DDC111">
      <w:pPr>
        <w:rPr>
          <w:rFonts w:ascii="Century Schoolbook" w:hAnsi="Century Schoolbook"/>
        </w:rPr>
      </w:pPr>
      <w:r>
        <w:rPr>
          <w:rFonts w:ascii="Century Schoolbook" w:hAnsi="Century Schoolbook"/>
        </w:rPr>
        <w:tab/>
        <w:t>O</w:t>
      </w:r>
      <w:r w:rsidRPr="00576323">
        <w:rPr>
          <w:rFonts w:ascii="Century Schoolbook" w:hAnsi="Century Schoolbook"/>
        </w:rPr>
        <w:t>n August 1</w:t>
      </w:r>
      <w:r w:rsidR="00E809E3">
        <w:rPr>
          <w:rFonts w:ascii="Century Schoolbook" w:hAnsi="Century Schoolbook"/>
        </w:rPr>
        <w:t>7</w:t>
      </w:r>
      <w:r w:rsidRPr="00576323">
        <w:rPr>
          <w:rFonts w:ascii="Century Schoolbook" w:hAnsi="Century Schoolbook"/>
        </w:rPr>
        <w:t xml:space="preserve">, 2020, </w:t>
      </w:r>
      <w:r>
        <w:rPr>
          <w:rFonts w:ascii="Century Schoolbook" w:hAnsi="Century Schoolbook"/>
        </w:rPr>
        <w:t xml:space="preserve">petitioners </w:t>
      </w:r>
      <w:r w:rsidR="00E809E3">
        <w:rPr>
          <w:rFonts w:ascii="Century Schoolbook" w:hAnsi="Century Schoolbook"/>
        </w:rPr>
        <w:t>filed a petition for</w:t>
      </w:r>
      <w:r>
        <w:rPr>
          <w:rFonts w:ascii="Century Schoolbook" w:hAnsi="Century Schoolbook"/>
        </w:rPr>
        <w:t xml:space="preserve"> a writ of mandate </w:t>
      </w:r>
      <w:r w:rsidR="00A52B86">
        <w:rPr>
          <w:rFonts w:ascii="Century Schoolbook" w:hAnsi="Century Schoolbook"/>
        </w:rPr>
        <w:t xml:space="preserve">from the trial court </w:t>
      </w:r>
      <w:r>
        <w:rPr>
          <w:rFonts w:ascii="Century Schoolbook" w:hAnsi="Century Schoolbook"/>
        </w:rPr>
        <w:t xml:space="preserve">requiring </w:t>
      </w:r>
      <w:r w:rsidR="00563946">
        <w:rPr>
          <w:rFonts w:ascii="Century Schoolbook" w:hAnsi="Century Schoolbook"/>
        </w:rPr>
        <w:t xml:space="preserve">the three </w:t>
      </w:r>
      <w:r>
        <w:rPr>
          <w:rFonts w:ascii="Century Schoolbook" w:hAnsi="Century Schoolbook"/>
        </w:rPr>
        <w:t>real parties</w:t>
      </w:r>
      <w:r w:rsidR="00624476">
        <w:rPr>
          <w:rFonts w:ascii="Century Schoolbook" w:hAnsi="Century Schoolbook"/>
        </w:rPr>
        <w:t>—</w:t>
      </w:r>
      <w:r w:rsidR="00A52B86">
        <w:rPr>
          <w:rFonts w:ascii="Century Schoolbook" w:hAnsi="Century Schoolbook"/>
        </w:rPr>
        <w:t>the City of Oakland</w:t>
      </w:r>
      <w:r w:rsidR="00E809E3">
        <w:rPr>
          <w:rFonts w:ascii="Century Schoolbook" w:hAnsi="Century Schoolbook"/>
        </w:rPr>
        <w:t xml:space="preserve">, the Oakland Police Department, </w:t>
      </w:r>
      <w:r w:rsidR="00410147">
        <w:rPr>
          <w:rFonts w:ascii="Century Schoolbook" w:hAnsi="Century Schoolbook"/>
        </w:rPr>
        <w:t xml:space="preserve">and </w:t>
      </w:r>
      <w:r w:rsidR="00E809E3">
        <w:rPr>
          <w:rFonts w:ascii="Century Schoolbook" w:hAnsi="Century Schoolbook"/>
        </w:rPr>
        <w:t xml:space="preserve">Oakland’s interim </w:t>
      </w:r>
      <w:r w:rsidR="00353D5A">
        <w:rPr>
          <w:rFonts w:ascii="Century Schoolbook" w:hAnsi="Century Schoolbook"/>
        </w:rPr>
        <w:t>C</w:t>
      </w:r>
      <w:r w:rsidR="00E809E3">
        <w:rPr>
          <w:rFonts w:ascii="Century Schoolbook" w:hAnsi="Century Schoolbook"/>
        </w:rPr>
        <w:t xml:space="preserve">hief of </w:t>
      </w:r>
      <w:r w:rsidR="00353D5A">
        <w:rPr>
          <w:rFonts w:ascii="Century Schoolbook" w:hAnsi="Century Schoolbook"/>
        </w:rPr>
        <w:t>P</w:t>
      </w:r>
      <w:r w:rsidR="00E809E3">
        <w:rPr>
          <w:rFonts w:ascii="Century Schoolbook" w:hAnsi="Century Schoolbook"/>
        </w:rPr>
        <w:t>olice</w:t>
      </w:r>
      <w:r w:rsidR="00410147">
        <w:rPr>
          <w:rFonts w:ascii="Century Schoolbook" w:hAnsi="Century Schoolbook"/>
        </w:rPr>
        <w:t>,</w:t>
      </w:r>
      <w:r w:rsidRPr="00410147" w:rsidR="00410147">
        <w:rPr>
          <w:rFonts w:ascii="Century Schoolbook" w:hAnsi="Century Schoolbook"/>
        </w:rPr>
        <w:t xml:space="preserve"> </w:t>
      </w:r>
      <w:r w:rsidR="00410147">
        <w:rPr>
          <w:rFonts w:ascii="Century Schoolbook" w:hAnsi="Century Schoolbook"/>
        </w:rPr>
        <w:t>Susan Manheimer</w:t>
      </w:r>
      <w:r w:rsidR="00E809E3">
        <w:rPr>
          <w:rFonts w:ascii="Century Schoolbook" w:hAnsi="Century Schoolbook"/>
        </w:rPr>
        <w:t xml:space="preserve"> (together, Oakland)</w:t>
      </w:r>
      <w:r w:rsidR="00624476">
        <w:rPr>
          <w:rFonts w:ascii="Century Schoolbook" w:hAnsi="Century Schoolbook"/>
        </w:rPr>
        <w:t>—</w:t>
      </w:r>
      <w:r>
        <w:rPr>
          <w:rFonts w:ascii="Century Schoolbook" w:hAnsi="Century Schoolbook"/>
        </w:rPr>
        <w:t xml:space="preserve">to comply with the </w:t>
      </w:r>
      <w:r w:rsidR="00A52B86">
        <w:rPr>
          <w:rFonts w:ascii="Century Schoolbook" w:hAnsi="Century Schoolbook"/>
        </w:rPr>
        <w:t>CPRA</w:t>
      </w:r>
      <w:r>
        <w:rPr>
          <w:rFonts w:ascii="Century Schoolbook" w:hAnsi="Century Schoolbook"/>
        </w:rPr>
        <w:t xml:space="preserve">, </w:t>
      </w:r>
      <w:r w:rsidRPr="00576323">
        <w:rPr>
          <w:rFonts w:ascii="Century Schoolbook" w:hAnsi="Century Schoolbook"/>
        </w:rPr>
        <w:t xml:space="preserve">alleging both that </w:t>
      </w:r>
      <w:r w:rsidR="00A52B86">
        <w:rPr>
          <w:rFonts w:ascii="Century Schoolbook" w:hAnsi="Century Schoolbook"/>
        </w:rPr>
        <w:t>Oakland</w:t>
      </w:r>
      <w:r w:rsidRPr="00576323">
        <w:rPr>
          <w:rFonts w:ascii="Century Schoolbook" w:hAnsi="Century Schoolbook"/>
        </w:rPr>
        <w:t xml:space="preserve"> had failed to adequately and timely respond to </w:t>
      </w:r>
      <w:r w:rsidR="00A52B86">
        <w:rPr>
          <w:rFonts w:ascii="Century Schoolbook" w:hAnsi="Century Schoolbook"/>
        </w:rPr>
        <w:t>petitioners’</w:t>
      </w:r>
      <w:r w:rsidRPr="00576323">
        <w:rPr>
          <w:rFonts w:ascii="Century Schoolbook" w:hAnsi="Century Schoolbook"/>
        </w:rPr>
        <w:t xml:space="preserve"> </w:t>
      </w:r>
      <w:r w:rsidRPr="00576323">
        <w:rPr>
          <w:rFonts w:ascii="Century Schoolbook" w:hAnsi="Century Schoolbook"/>
        </w:rPr>
        <w:t xml:space="preserve">requests and that the productions </w:t>
      </w:r>
      <w:r w:rsidR="00191257">
        <w:rPr>
          <w:rFonts w:ascii="Century Schoolbook" w:hAnsi="Century Schoolbook"/>
        </w:rPr>
        <w:t xml:space="preserve">made </w:t>
      </w:r>
      <w:r w:rsidRPr="00576323">
        <w:rPr>
          <w:rFonts w:ascii="Century Schoolbook" w:hAnsi="Century Schoolbook"/>
        </w:rPr>
        <w:t xml:space="preserve">to date had been inappropriately redacted.  </w:t>
      </w:r>
    </w:p>
    <w:p w:rsidR="00576323" w:rsidRPr="00576323" w:rsidP="00576323" w14:paraId="0F66142E" w14:textId="6654D510">
      <w:pPr>
        <w:rPr>
          <w:rFonts w:ascii="Century Schoolbook" w:hAnsi="Century Schoolbook"/>
        </w:rPr>
      </w:pPr>
      <w:r>
        <w:rPr>
          <w:rFonts w:ascii="Century Schoolbook" w:hAnsi="Century Schoolbook"/>
        </w:rPr>
        <w:tab/>
      </w:r>
      <w:r w:rsidR="00191257">
        <w:rPr>
          <w:rFonts w:ascii="Century Schoolbook" w:hAnsi="Century Schoolbook"/>
        </w:rPr>
        <w:t xml:space="preserve">On April 2, 2021, </w:t>
      </w:r>
      <w:r w:rsidR="00196103">
        <w:rPr>
          <w:rFonts w:ascii="Century Schoolbook" w:hAnsi="Century Schoolbook"/>
        </w:rPr>
        <w:t>the trial court held a hearing on the petition</w:t>
      </w:r>
      <w:r w:rsidR="00191257">
        <w:rPr>
          <w:rFonts w:ascii="Century Schoolbook" w:hAnsi="Century Schoolbook"/>
        </w:rPr>
        <w:t xml:space="preserve">.  </w:t>
      </w:r>
      <w:r w:rsidR="00196103">
        <w:rPr>
          <w:rFonts w:ascii="Century Schoolbook" w:hAnsi="Century Schoolbook"/>
        </w:rPr>
        <w:t>And o</w:t>
      </w:r>
      <w:r w:rsidRPr="00576323">
        <w:rPr>
          <w:rFonts w:ascii="Century Schoolbook" w:hAnsi="Century Schoolbook"/>
        </w:rPr>
        <w:t>n April</w:t>
      </w:r>
      <w:r w:rsidR="008B31A9">
        <w:rPr>
          <w:rFonts w:ascii="Century Schoolbook" w:hAnsi="Century Schoolbook"/>
        </w:rPr>
        <w:t> </w:t>
      </w:r>
      <w:r w:rsidRPr="00576323">
        <w:rPr>
          <w:rFonts w:ascii="Century Schoolbook" w:hAnsi="Century Schoolbook"/>
        </w:rPr>
        <w:t xml:space="preserve">7, the trial court granted </w:t>
      </w:r>
      <w:r w:rsidR="00196103">
        <w:rPr>
          <w:rFonts w:ascii="Century Schoolbook" w:hAnsi="Century Schoolbook"/>
        </w:rPr>
        <w:t>it</w:t>
      </w:r>
      <w:r w:rsidRPr="00576323">
        <w:rPr>
          <w:rFonts w:ascii="Century Schoolbook" w:hAnsi="Century Schoolbook"/>
        </w:rPr>
        <w:t xml:space="preserve">, requiring that </w:t>
      </w:r>
      <w:r w:rsidR="00FC41FB">
        <w:rPr>
          <w:rFonts w:ascii="Century Schoolbook" w:hAnsi="Century Schoolbook"/>
        </w:rPr>
        <w:t>real parties “produce all responsive records sought by Petitioners, including documents as well as audio and video files, within six months of service of the writ on Respondents.”  T</w:t>
      </w:r>
      <w:r w:rsidRPr="00576323">
        <w:rPr>
          <w:rFonts w:ascii="Century Schoolbook" w:hAnsi="Century Schoolbook"/>
        </w:rPr>
        <w:t>he trial court</w:t>
      </w:r>
      <w:r w:rsidR="004A1E13">
        <w:rPr>
          <w:rFonts w:ascii="Century Schoolbook" w:hAnsi="Century Schoolbook"/>
        </w:rPr>
        <w:t>’s order</w:t>
      </w:r>
      <w:r w:rsidRPr="00576323">
        <w:rPr>
          <w:rFonts w:ascii="Century Schoolbook" w:hAnsi="Century Schoolbook"/>
        </w:rPr>
        <w:t xml:space="preserve"> </w:t>
      </w:r>
      <w:r w:rsidR="00FC41FB">
        <w:rPr>
          <w:rFonts w:ascii="Century Schoolbook" w:hAnsi="Century Schoolbook"/>
        </w:rPr>
        <w:t xml:space="preserve">also </w:t>
      </w:r>
      <w:r w:rsidR="004A1E13">
        <w:rPr>
          <w:rFonts w:ascii="Century Schoolbook" w:hAnsi="Century Schoolbook"/>
        </w:rPr>
        <w:t>established</w:t>
      </w:r>
      <w:r w:rsidR="00FC41FB">
        <w:rPr>
          <w:rFonts w:ascii="Century Schoolbook" w:hAnsi="Century Schoolbook"/>
        </w:rPr>
        <w:t xml:space="preserve"> </w:t>
      </w:r>
      <w:r w:rsidRPr="00576323">
        <w:rPr>
          <w:rFonts w:ascii="Century Schoolbook" w:hAnsi="Century Schoolbook"/>
        </w:rPr>
        <w:t xml:space="preserve">a process by which </w:t>
      </w:r>
      <w:r w:rsidR="004A1E13">
        <w:rPr>
          <w:rFonts w:ascii="Century Schoolbook" w:hAnsi="Century Schoolbook"/>
        </w:rPr>
        <w:t>Oakland</w:t>
      </w:r>
      <w:r w:rsidR="00FC41FB">
        <w:rPr>
          <w:rFonts w:ascii="Century Schoolbook" w:hAnsi="Century Schoolbook"/>
        </w:rPr>
        <w:t xml:space="preserve"> could redact the documents to be produced, and petitioners could challenge those reda</w:t>
      </w:r>
      <w:r w:rsidR="004A1E13">
        <w:rPr>
          <w:rFonts w:ascii="Century Schoolbook" w:hAnsi="Century Schoolbook"/>
        </w:rPr>
        <w:t>ctions by presenting the documents to the trial court for in camera review</w:t>
      </w:r>
      <w:r w:rsidR="00FC41FB">
        <w:rPr>
          <w:rFonts w:ascii="Century Schoolbook" w:hAnsi="Century Schoolbook"/>
        </w:rPr>
        <w:t xml:space="preserve">.  </w:t>
      </w:r>
    </w:p>
    <w:p w:rsidR="00C54E87" w:rsidP="00576323" w14:paraId="72BCCB33" w14:textId="633364B2">
      <w:pPr>
        <w:rPr>
          <w:rFonts w:ascii="Century Schoolbook" w:hAnsi="Century Schoolbook"/>
        </w:rPr>
      </w:pPr>
      <w:r>
        <w:rPr>
          <w:rFonts w:ascii="Century Schoolbook" w:hAnsi="Century Schoolbook"/>
        </w:rPr>
        <w:tab/>
      </w:r>
      <w:r w:rsidR="00586EE2">
        <w:rPr>
          <w:rFonts w:ascii="Century Schoolbook" w:hAnsi="Century Schoolbook"/>
        </w:rPr>
        <w:t>By letter dated</w:t>
      </w:r>
      <w:r w:rsidRPr="00576323">
        <w:rPr>
          <w:rFonts w:ascii="Century Schoolbook" w:hAnsi="Century Schoolbook"/>
        </w:rPr>
        <w:t xml:space="preserve"> May</w:t>
      </w:r>
      <w:r w:rsidR="008B31A9">
        <w:rPr>
          <w:rFonts w:ascii="Century Schoolbook" w:hAnsi="Century Schoolbook"/>
        </w:rPr>
        <w:t> </w:t>
      </w:r>
      <w:r w:rsidRPr="00576323">
        <w:rPr>
          <w:rFonts w:ascii="Century Schoolbook" w:hAnsi="Century Schoolbook"/>
        </w:rPr>
        <w:t xml:space="preserve">5, </w:t>
      </w:r>
      <w:r w:rsidR="00586EE2">
        <w:rPr>
          <w:rFonts w:ascii="Century Schoolbook" w:hAnsi="Century Schoolbook"/>
        </w:rPr>
        <w:t xml:space="preserve">petitioners challenged </w:t>
      </w:r>
      <w:r w:rsidR="008A083D">
        <w:rPr>
          <w:rFonts w:ascii="Century Schoolbook" w:hAnsi="Century Schoolbook"/>
        </w:rPr>
        <w:t xml:space="preserve">certain of </w:t>
      </w:r>
      <w:r w:rsidR="00586EE2">
        <w:rPr>
          <w:rFonts w:ascii="Century Schoolbook" w:hAnsi="Century Schoolbook"/>
        </w:rPr>
        <w:t>Oakland’s redactions</w:t>
      </w:r>
      <w:r w:rsidR="008A083D">
        <w:rPr>
          <w:rFonts w:ascii="Century Schoolbook" w:hAnsi="Century Schoolbook"/>
        </w:rPr>
        <w:t xml:space="preserve">, including to the </w:t>
      </w:r>
      <w:r w:rsidR="00304E52">
        <w:rPr>
          <w:rFonts w:ascii="Century Schoolbook" w:hAnsi="Century Schoolbook"/>
        </w:rPr>
        <w:t>Guap report</w:t>
      </w:r>
      <w:r w:rsidRPr="00576323">
        <w:rPr>
          <w:rFonts w:ascii="Century Schoolbook" w:hAnsi="Century Schoolbook"/>
        </w:rPr>
        <w:t xml:space="preserve">.  </w:t>
      </w:r>
      <w:r w:rsidR="00586EE2">
        <w:rPr>
          <w:rFonts w:ascii="Century Schoolbook" w:hAnsi="Century Schoolbook"/>
        </w:rPr>
        <w:t xml:space="preserve">After </w:t>
      </w:r>
      <w:r w:rsidR="008A083D">
        <w:rPr>
          <w:rFonts w:ascii="Century Schoolbook" w:hAnsi="Century Schoolbook"/>
        </w:rPr>
        <w:t>a further exchange of letters</w:t>
      </w:r>
      <w:r w:rsidR="00586EE2">
        <w:rPr>
          <w:rFonts w:ascii="Century Schoolbook" w:hAnsi="Century Schoolbook"/>
        </w:rPr>
        <w:t xml:space="preserve">, </w:t>
      </w:r>
      <w:r w:rsidR="008A083D">
        <w:rPr>
          <w:rFonts w:ascii="Century Schoolbook" w:hAnsi="Century Schoolbook"/>
        </w:rPr>
        <w:t>on August</w:t>
      </w:r>
      <w:r w:rsidR="008B31A9">
        <w:rPr>
          <w:rFonts w:ascii="Century Schoolbook" w:hAnsi="Century Schoolbook"/>
        </w:rPr>
        <w:t> </w:t>
      </w:r>
      <w:r w:rsidR="008A083D">
        <w:rPr>
          <w:rFonts w:ascii="Century Schoolbook" w:hAnsi="Century Schoolbook"/>
        </w:rPr>
        <w:t xml:space="preserve">12, </w:t>
      </w:r>
      <w:r w:rsidR="00586EE2">
        <w:rPr>
          <w:rFonts w:ascii="Century Schoolbook" w:hAnsi="Century Schoolbook"/>
        </w:rPr>
        <w:t xml:space="preserve">the parties filed a joint trial brief </w:t>
      </w:r>
      <w:r w:rsidR="005E2B20">
        <w:rPr>
          <w:rFonts w:ascii="Century Schoolbook" w:hAnsi="Century Schoolbook"/>
        </w:rPr>
        <w:t>regarding redaction issues</w:t>
      </w:r>
      <w:r w:rsidR="001E5413">
        <w:rPr>
          <w:rFonts w:ascii="Century Schoolbook" w:hAnsi="Century Schoolbook"/>
        </w:rPr>
        <w:t xml:space="preserve">.  Two </w:t>
      </w:r>
      <w:r>
        <w:rPr>
          <w:rFonts w:ascii="Century Schoolbook" w:hAnsi="Century Schoolbook"/>
        </w:rPr>
        <w:t>sealed</w:t>
      </w:r>
      <w:r w:rsidR="005F27F3">
        <w:rPr>
          <w:rFonts w:ascii="Century Schoolbook" w:hAnsi="Century Schoolbook"/>
        </w:rPr>
        <w:t xml:space="preserve"> </w:t>
      </w:r>
      <w:r w:rsidRPr="00576323">
        <w:rPr>
          <w:rFonts w:ascii="Century Schoolbook" w:hAnsi="Century Schoolbook"/>
        </w:rPr>
        <w:t>hearing</w:t>
      </w:r>
      <w:r w:rsidR="001E5413">
        <w:rPr>
          <w:rFonts w:ascii="Century Schoolbook" w:hAnsi="Century Schoolbook"/>
        </w:rPr>
        <w:t>s on the redactions were held</w:t>
      </w:r>
      <w:r w:rsidR="005E2B20">
        <w:rPr>
          <w:rFonts w:ascii="Century Schoolbook" w:hAnsi="Century Schoolbook"/>
        </w:rPr>
        <w:t xml:space="preserve"> on August 24</w:t>
      </w:r>
      <w:r w:rsidR="001E5413">
        <w:rPr>
          <w:rFonts w:ascii="Century Schoolbook" w:hAnsi="Century Schoolbook"/>
        </w:rPr>
        <w:t xml:space="preserve"> and September</w:t>
      </w:r>
      <w:r w:rsidR="008B31A9">
        <w:rPr>
          <w:rFonts w:ascii="Century Schoolbook" w:hAnsi="Century Schoolbook"/>
        </w:rPr>
        <w:t> </w:t>
      </w:r>
      <w:r w:rsidR="001E5413">
        <w:rPr>
          <w:rFonts w:ascii="Century Schoolbook" w:hAnsi="Century Schoolbook"/>
        </w:rPr>
        <w:t>14</w:t>
      </w:r>
      <w:r w:rsidR="005E2B20">
        <w:rPr>
          <w:rFonts w:ascii="Century Schoolbook" w:hAnsi="Century Schoolbook"/>
        </w:rPr>
        <w:t xml:space="preserve">.  </w:t>
      </w:r>
    </w:p>
    <w:p w:rsidR="009E507B" w:rsidP="00576323" w14:paraId="2EC1F702" w14:textId="663F27D3">
      <w:pPr>
        <w:rPr>
          <w:rFonts w:ascii="Century Schoolbook" w:hAnsi="Century Schoolbook"/>
        </w:rPr>
      </w:pPr>
      <w:r>
        <w:rPr>
          <w:rFonts w:ascii="Century Schoolbook" w:hAnsi="Century Schoolbook"/>
        </w:rPr>
        <w:tab/>
      </w:r>
      <w:r w:rsidR="00A22F4F">
        <w:rPr>
          <w:rFonts w:ascii="Century Schoolbook" w:hAnsi="Century Schoolbook"/>
        </w:rPr>
        <w:t>On</w:t>
      </w:r>
      <w:r w:rsidRPr="00576323" w:rsidR="00576323">
        <w:rPr>
          <w:rFonts w:ascii="Century Schoolbook" w:hAnsi="Century Schoolbook"/>
        </w:rPr>
        <w:t xml:space="preserve"> March</w:t>
      </w:r>
      <w:r w:rsidR="008B31A9">
        <w:rPr>
          <w:rFonts w:ascii="Century Schoolbook" w:hAnsi="Century Schoolbook"/>
        </w:rPr>
        <w:t> </w:t>
      </w:r>
      <w:r w:rsidRPr="00576323" w:rsidR="00576323">
        <w:rPr>
          <w:rFonts w:ascii="Century Schoolbook" w:hAnsi="Century Schoolbook"/>
        </w:rPr>
        <w:t>17, 2022</w:t>
      </w:r>
      <w:r w:rsidR="00121BED">
        <w:rPr>
          <w:rFonts w:ascii="Century Schoolbook" w:hAnsi="Century Schoolbook"/>
        </w:rPr>
        <w:t>,</w:t>
      </w:r>
      <w:r w:rsidRPr="00576323" w:rsidR="00576323">
        <w:rPr>
          <w:rFonts w:ascii="Century Schoolbook" w:hAnsi="Century Schoolbook"/>
        </w:rPr>
        <w:t xml:space="preserve"> </w:t>
      </w:r>
      <w:r w:rsidR="00A22F4F">
        <w:rPr>
          <w:rFonts w:ascii="Century Schoolbook" w:hAnsi="Century Schoolbook"/>
        </w:rPr>
        <w:t>the trial court issued its order</w:t>
      </w:r>
      <w:r w:rsidR="00121BED">
        <w:rPr>
          <w:rFonts w:ascii="Century Schoolbook" w:hAnsi="Century Schoolbook"/>
        </w:rPr>
        <w:t xml:space="preserve"> on the parties’ redaction disputes</w:t>
      </w:r>
      <w:r>
        <w:rPr>
          <w:rFonts w:ascii="Century Schoolbook" w:hAnsi="Century Schoolbook"/>
        </w:rPr>
        <w:t xml:space="preserve">, beginning with </w:t>
      </w:r>
      <w:r w:rsidR="00624476">
        <w:rPr>
          <w:rFonts w:ascii="Century Schoolbook" w:hAnsi="Century Schoolbook"/>
        </w:rPr>
        <w:t xml:space="preserve">what it called </w:t>
      </w:r>
      <w:r w:rsidR="00563946">
        <w:rPr>
          <w:rFonts w:ascii="Century Schoolbook" w:hAnsi="Century Schoolbook"/>
        </w:rPr>
        <w:t xml:space="preserve">its </w:t>
      </w:r>
      <w:r>
        <w:rPr>
          <w:rFonts w:ascii="Century Schoolbook" w:hAnsi="Century Schoolbook"/>
        </w:rPr>
        <w:t xml:space="preserve">10 “general principles” </w:t>
      </w:r>
      <w:r w:rsidR="00D415D7">
        <w:rPr>
          <w:rFonts w:ascii="Century Schoolbook" w:hAnsi="Century Schoolbook"/>
        </w:rPr>
        <w:t>under section</w:t>
      </w:r>
      <w:r w:rsidR="008B31A9">
        <w:rPr>
          <w:rFonts w:ascii="Century Schoolbook" w:hAnsi="Century Schoolbook"/>
        </w:rPr>
        <w:t> </w:t>
      </w:r>
      <w:r w:rsidR="00D415D7">
        <w:rPr>
          <w:rFonts w:ascii="Century Schoolbook" w:hAnsi="Century Schoolbook"/>
        </w:rPr>
        <w:t xml:space="preserve">832.7, </w:t>
      </w:r>
      <w:r>
        <w:rPr>
          <w:rFonts w:ascii="Century Schoolbook" w:hAnsi="Century Schoolbook"/>
        </w:rPr>
        <w:t xml:space="preserve">including the following: </w:t>
      </w:r>
    </w:p>
    <w:p w:rsidR="00795E73" w:rsidP="009E507B" w14:paraId="4039D22E" w14:textId="1D66A3CF">
      <w:pPr>
        <w:rPr>
          <w:rFonts w:ascii="Century Schoolbook" w:hAnsi="Century Schoolbook"/>
        </w:rPr>
      </w:pPr>
      <w:r>
        <w:rPr>
          <w:rFonts w:ascii="Century Schoolbook" w:hAnsi="Century Schoolbook"/>
        </w:rPr>
        <w:tab/>
      </w:r>
      <w:r w:rsidR="00A22F4F">
        <w:rPr>
          <w:rFonts w:ascii="Century Schoolbook" w:hAnsi="Century Schoolbook"/>
        </w:rPr>
        <w:t xml:space="preserve">  </w:t>
      </w:r>
      <w:r>
        <w:rPr>
          <w:rFonts w:ascii="Century Schoolbook" w:hAnsi="Century Schoolbook"/>
        </w:rPr>
        <w:t>“</w:t>
      </w:r>
      <w:r w:rsidRPr="009E507B">
        <w:rPr>
          <w:rFonts w:ascii="Century Schoolbook" w:hAnsi="Century Schoolbook"/>
        </w:rPr>
        <w:t>3. A police officer who is a witness may have their identity redacted under (b)(6)(B).</w:t>
      </w:r>
      <w:r>
        <w:rPr>
          <w:rFonts w:ascii="Century Schoolbook" w:hAnsi="Century Schoolbook"/>
        </w:rPr>
        <w:t xml:space="preserve">  </w:t>
      </w:r>
      <w:r w:rsidRPr="009E507B">
        <w:rPr>
          <w:rFonts w:ascii="Century Schoolbook" w:hAnsi="Century Schoolbook"/>
        </w:rPr>
        <w:t>Subsection (b)(6)(A) does not compel disclosure of their name, as individual officers do</w:t>
      </w:r>
      <w:r>
        <w:rPr>
          <w:rFonts w:ascii="Century Schoolbook" w:hAnsi="Century Schoolbook"/>
        </w:rPr>
        <w:t xml:space="preserve"> </w:t>
      </w:r>
      <w:r w:rsidRPr="009E507B">
        <w:rPr>
          <w:rFonts w:ascii="Century Schoolbook" w:hAnsi="Century Schoolbook"/>
        </w:rPr>
        <w:t>not lose their rights to privacy or anonymity simply by witnessing an incident.</w:t>
      </w:r>
      <w:r w:rsidR="006B0490">
        <w:rPr>
          <w:rFonts w:ascii="Century Schoolbook" w:hAnsi="Century Schoolbook"/>
        </w:rPr>
        <w:t xml:space="preserve">  [</w:t>
      </w:r>
      <w:r w:rsidR="00E12A79">
        <w:rPr>
          <w:rFonts w:ascii="Century Schoolbook" w:hAnsi="Century Schoolbook"/>
        </w:rPr>
        <w:t xml:space="preserve">¶] </w:t>
      </w:r>
      <w:r w:rsidR="0031414C">
        <w:rPr>
          <w:rFonts w:ascii="Century Schoolbook" w:hAnsi="Century Schoolbook"/>
        </w:rPr>
        <w:t>. . .</w:t>
      </w:r>
      <w:r w:rsidR="00E12A79">
        <w:rPr>
          <w:rFonts w:ascii="Century Schoolbook" w:hAnsi="Century Schoolbook"/>
        </w:rPr>
        <w:t xml:space="preserve"> [¶]</w:t>
      </w:r>
    </w:p>
    <w:p w:rsidR="009E507B" w:rsidP="009E507B" w14:paraId="5C83CB52" w14:textId="5770B9C3">
      <w:pPr>
        <w:rPr>
          <w:rFonts w:ascii="Century Schoolbook" w:hAnsi="Century Schoolbook"/>
        </w:rPr>
      </w:pPr>
      <w:r>
        <w:rPr>
          <w:rFonts w:ascii="Century Schoolbook" w:hAnsi="Century Schoolbook"/>
        </w:rPr>
        <w:tab/>
        <w:t xml:space="preserve">“7.  </w:t>
      </w:r>
      <w:r w:rsidRPr="009E507B">
        <w:rPr>
          <w:rFonts w:ascii="Century Schoolbook" w:hAnsi="Century Schoolbook"/>
        </w:rPr>
        <w:t>Section 832.7(b)(4) and Section 832.7(b)(5) (formerly (b)(3) and (b)(4)) permit</w:t>
      </w:r>
      <w:r>
        <w:rPr>
          <w:rFonts w:ascii="Century Schoolbook" w:hAnsi="Century Schoolbook"/>
        </w:rPr>
        <w:t xml:space="preserve"> </w:t>
      </w:r>
      <w:r w:rsidRPr="009E507B">
        <w:rPr>
          <w:rFonts w:ascii="Century Schoolbook" w:hAnsi="Century Schoolbook"/>
        </w:rPr>
        <w:t xml:space="preserve">withholding portions of documents via redaction. </w:t>
      </w:r>
      <w:r>
        <w:rPr>
          <w:rFonts w:ascii="Century Schoolbook" w:hAnsi="Century Schoolbook"/>
        </w:rPr>
        <w:t xml:space="preserve"> </w:t>
      </w:r>
      <w:r w:rsidRPr="009E507B">
        <w:rPr>
          <w:rFonts w:ascii="Century Schoolbook" w:hAnsi="Century Schoolbook"/>
        </w:rPr>
        <w:t>Petitioners argue that because (b)(6)</w:t>
      </w:r>
      <w:r>
        <w:rPr>
          <w:rFonts w:ascii="Century Schoolbook" w:hAnsi="Century Schoolbook"/>
        </w:rPr>
        <w:t xml:space="preserve"> </w:t>
      </w:r>
      <w:r w:rsidRPr="009E507B">
        <w:rPr>
          <w:rFonts w:ascii="Century Schoolbook" w:hAnsi="Century Schoolbook"/>
        </w:rPr>
        <w:t xml:space="preserve">enumerates the </w:t>
      </w:r>
      <w:r>
        <w:rPr>
          <w:rFonts w:ascii="Century Schoolbook" w:hAnsi="Century Schoolbook"/>
        </w:rPr>
        <w:t>‘</w:t>
      </w:r>
      <w:r w:rsidRPr="009E507B">
        <w:rPr>
          <w:rFonts w:ascii="Century Schoolbook" w:hAnsi="Century Schoolbook"/>
        </w:rPr>
        <w:t>only</w:t>
      </w:r>
      <w:r>
        <w:rPr>
          <w:rFonts w:ascii="Century Schoolbook" w:hAnsi="Century Schoolbook"/>
        </w:rPr>
        <w:t>’</w:t>
      </w:r>
      <w:r w:rsidRPr="009E507B">
        <w:rPr>
          <w:rFonts w:ascii="Century Schoolbook" w:hAnsi="Century Schoolbook"/>
        </w:rPr>
        <w:t xml:space="preserve"> bases for redaction, (b)(4) and (b)(5) cannot be grounds for</w:t>
      </w:r>
      <w:r>
        <w:rPr>
          <w:rFonts w:ascii="Century Schoolbook" w:hAnsi="Century Schoolbook"/>
        </w:rPr>
        <w:t xml:space="preserve"> </w:t>
      </w:r>
      <w:r w:rsidRPr="009E507B">
        <w:rPr>
          <w:rFonts w:ascii="Century Schoolbook" w:hAnsi="Century Schoolbook"/>
        </w:rPr>
        <w:t>redaction, only withholding. That reading is inconsistent with the language of (b)(5), which</w:t>
      </w:r>
      <w:r>
        <w:rPr>
          <w:rFonts w:ascii="Century Schoolbook" w:hAnsi="Century Schoolbook"/>
        </w:rPr>
        <w:t xml:space="preserve"> </w:t>
      </w:r>
      <w:r w:rsidRPr="009E507B">
        <w:rPr>
          <w:rFonts w:ascii="Century Schoolbook" w:hAnsi="Century Schoolbook"/>
        </w:rPr>
        <w:t xml:space="preserve">refers to </w:t>
      </w:r>
      <w:r>
        <w:rPr>
          <w:rFonts w:ascii="Century Schoolbook" w:hAnsi="Century Schoolbook"/>
        </w:rPr>
        <w:t>‘</w:t>
      </w:r>
      <w:r w:rsidRPr="009E507B">
        <w:rPr>
          <w:rFonts w:ascii="Century Schoolbook" w:hAnsi="Century Schoolbook"/>
        </w:rPr>
        <w:t>information</w:t>
      </w:r>
      <w:r>
        <w:rPr>
          <w:rFonts w:ascii="Century Schoolbook" w:hAnsi="Century Schoolbook"/>
        </w:rPr>
        <w:t>’</w:t>
      </w:r>
      <w:r w:rsidRPr="009E507B">
        <w:rPr>
          <w:rFonts w:ascii="Century Schoolbook" w:hAnsi="Century Schoolbook"/>
        </w:rPr>
        <w:t xml:space="preserve"> and </w:t>
      </w:r>
      <w:r>
        <w:rPr>
          <w:rFonts w:ascii="Century Schoolbook" w:hAnsi="Century Schoolbook"/>
        </w:rPr>
        <w:t>‘</w:t>
      </w:r>
      <w:r w:rsidRPr="009E507B">
        <w:rPr>
          <w:rFonts w:ascii="Century Schoolbook" w:hAnsi="Century Schoolbook"/>
        </w:rPr>
        <w:t>statements</w:t>
      </w:r>
      <w:r>
        <w:rPr>
          <w:rFonts w:ascii="Century Schoolbook" w:hAnsi="Century Schoolbook"/>
        </w:rPr>
        <w:t>’</w:t>
      </w:r>
      <w:r w:rsidRPr="009E507B">
        <w:rPr>
          <w:rFonts w:ascii="Century Schoolbook" w:hAnsi="Century Schoolbook"/>
        </w:rPr>
        <w:t xml:space="preserve"> that can and cannot be released—it focuses on the</w:t>
      </w:r>
      <w:r>
        <w:rPr>
          <w:rFonts w:ascii="Century Schoolbook" w:hAnsi="Century Schoolbook"/>
        </w:rPr>
        <w:t xml:space="preserve"> </w:t>
      </w:r>
      <w:r w:rsidRPr="009E507B">
        <w:rPr>
          <w:rFonts w:ascii="Century Schoolbook" w:hAnsi="Century Schoolbook"/>
        </w:rPr>
        <w:t>information within a record rather than treating entire documents at scale.</w:t>
      </w:r>
    </w:p>
    <w:p w:rsidR="009E507B" w:rsidP="009E507B" w14:paraId="2FB1DF54" w14:textId="4E4F8BF1">
      <w:pPr>
        <w:rPr>
          <w:rFonts w:ascii="Century Schoolbook" w:hAnsi="Century Schoolbook"/>
        </w:rPr>
      </w:pPr>
      <w:r>
        <w:rPr>
          <w:rFonts w:ascii="Century Schoolbook" w:hAnsi="Century Schoolbook"/>
        </w:rPr>
        <w:tab/>
        <w:t>“8.  D</w:t>
      </w:r>
      <w:r w:rsidRPr="009E507B">
        <w:rPr>
          <w:rFonts w:ascii="Century Schoolbook" w:hAnsi="Century Schoolbook"/>
        </w:rPr>
        <w:t>isclosure of separate incidents occurring at separate times from the incident giving rise to</w:t>
      </w:r>
      <w:r>
        <w:rPr>
          <w:rFonts w:ascii="Century Schoolbook" w:hAnsi="Century Schoolbook"/>
        </w:rPr>
        <w:t xml:space="preserve"> </w:t>
      </w:r>
      <w:r w:rsidRPr="009E507B">
        <w:rPr>
          <w:rFonts w:ascii="Century Schoolbook" w:hAnsi="Century Schoolbook"/>
        </w:rPr>
        <w:t>a disclosable sustained finding is not permitted under Penal Code 832.7(b), unless those</w:t>
      </w:r>
      <w:r>
        <w:rPr>
          <w:rFonts w:ascii="Century Schoolbook" w:hAnsi="Century Schoolbook"/>
        </w:rPr>
        <w:t xml:space="preserve"> </w:t>
      </w:r>
      <w:r w:rsidRPr="009E507B">
        <w:rPr>
          <w:rFonts w:ascii="Century Schoolbook" w:hAnsi="Century Schoolbook"/>
        </w:rPr>
        <w:t xml:space="preserve">separate incidents themselves gave rise to a sustained finding. </w:t>
      </w:r>
      <w:r>
        <w:rPr>
          <w:rFonts w:ascii="Century Schoolbook" w:hAnsi="Century Schoolbook"/>
        </w:rPr>
        <w:t xml:space="preserve"> </w:t>
      </w:r>
      <w:r w:rsidRPr="009E507B">
        <w:rPr>
          <w:rFonts w:ascii="Century Schoolbook" w:hAnsi="Century Schoolbook"/>
        </w:rPr>
        <w:t>The fact that internal affairs</w:t>
      </w:r>
      <w:r>
        <w:rPr>
          <w:rFonts w:ascii="Century Schoolbook" w:hAnsi="Century Schoolbook"/>
        </w:rPr>
        <w:t xml:space="preserve"> </w:t>
      </w:r>
      <w:r w:rsidRPr="009E507B">
        <w:rPr>
          <w:rFonts w:ascii="Century Schoolbook" w:hAnsi="Century Schoolbook"/>
        </w:rPr>
        <w:t>or another subdivision of a police department tasked with investigating a peace officer</w:t>
      </w:r>
      <w:r w:rsidR="00C117C1">
        <w:rPr>
          <w:rFonts w:ascii="Century Schoolbook" w:hAnsi="Century Schoolbook"/>
        </w:rPr>
        <w:t xml:space="preserve"> </w:t>
      </w:r>
      <w:r w:rsidRPr="009E507B">
        <w:rPr>
          <w:rFonts w:ascii="Century Schoolbook" w:hAnsi="Century Schoolbook"/>
        </w:rPr>
        <w:t>examines several separate incidents together does not transform them into a single</w:t>
      </w:r>
      <w:r>
        <w:rPr>
          <w:rFonts w:ascii="Century Schoolbook" w:hAnsi="Century Schoolbook"/>
        </w:rPr>
        <w:t xml:space="preserve"> ‘</w:t>
      </w:r>
      <w:r w:rsidRPr="009E507B">
        <w:rPr>
          <w:rFonts w:ascii="Century Schoolbook" w:hAnsi="Century Schoolbook"/>
        </w:rPr>
        <w:t>incident</w:t>
      </w:r>
      <w:r>
        <w:rPr>
          <w:rFonts w:ascii="Century Schoolbook" w:hAnsi="Century Schoolbook"/>
        </w:rPr>
        <w:t>’</w:t>
      </w:r>
      <w:r w:rsidRPr="009E507B">
        <w:rPr>
          <w:rFonts w:ascii="Century Schoolbook" w:hAnsi="Century Schoolbook"/>
        </w:rPr>
        <w:t xml:space="preserve"> for purposes of disclosure. </w:t>
      </w:r>
      <w:r w:rsidR="00D415D7">
        <w:rPr>
          <w:rFonts w:ascii="Century Schoolbook" w:hAnsi="Century Schoolbook"/>
        </w:rPr>
        <w:t xml:space="preserve"> </w:t>
      </w:r>
      <w:r w:rsidRPr="009E507B">
        <w:rPr>
          <w:rFonts w:ascii="Century Schoolbook" w:hAnsi="Century Schoolbook"/>
        </w:rPr>
        <w:t>For example, different sexual encounters on</w:t>
      </w:r>
      <w:r>
        <w:rPr>
          <w:rFonts w:ascii="Century Schoolbook" w:hAnsi="Century Schoolbook"/>
        </w:rPr>
        <w:t xml:space="preserve"> different dates between an officer and an individual are not one ‘</w:t>
      </w:r>
      <w:r w:rsidRPr="009E507B">
        <w:rPr>
          <w:rFonts w:ascii="Century Schoolbook" w:hAnsi="Century Schoolbook"/>
        </w:rPr>
        <w:t>incident</w:t>
      </w:r>
      <w:r w:rsidR="007444A7">
        <w:rPr>
          <w:rFonts w:ascii="Century Schoolbook" w:hAnsi="Century Schoolbook"/>
        </w:rPr>
        <w:t>.</w:t>
      </w:r>
      <w:r>
        <w:rPr>
          <w:rFonts w:ascii="Century Schoolbook" w:hAnsi="Century Schoolbook"/>
        </w:rPr>
        <w:t>’</w:t>
      </w:r>
      <w:r w:rsidRPr="009E507B">
        <w:rPr>
          <w:rFonts w:ascii="Century Schoolbook" w:hAnsi="Century Schoolbook"/>
        </w:rPr>
        <w:t xml:space="preserve"> </w:t>
      </w:r>
      <w:r>
        <w:rPr>
          <w:rFonts w:ascii="Century Schoolbook" w:hAnsi="Century Schoolbook"/>
        </w:rPr>
        <w:t xml:space="preserve"> Likewise, when such a division</w:t>
      </w:r>
      <w:r w:rsidRPr="009E507B">
        <w:rPr>
          <w:rFonts w:ascii="Century Schoolbook" w:hAnsi="Century Schoolbook"/>
        </w:rPr>
        <w:t xml:space="preserve"> investigates multiple officers involved in separate incidents that are</w:t>
      </w:r>
      <w:r w:rsidR="00C117C1">
        <w:rPr>
          <w:rFonts w:ascii="Century Schoolbook" w:hAnsi="Century Schoolbook"/>
        </w:rPr>
        <w:t xml:space="preserve"> </w:t>
      </w:r>
      <w:r w:rsidRPr="009E507B">
        <w:rPr>
          <w:rFonts w:ascii="Century Schoolbook" w:hAnsi="Century Schoolbook"/>
        </w:rPr>
        <w:t>unrelated but for a common complainant or common type of misconduct, any incidents that</w:t>
      </w:r>
      <w:r>
        <w:rPr>
          <w:rFonts w:ascii="Century Schoolbook" w:hAnsi="Century Schoolbook"/>
        </w:rPr>
        <w:t xml:space="preserve"> </w:t>
      </w:r>
      <w:r w:rsidRPr="009E507B">
        <w:rPr>
          <w:rFonts w:ascii="Century Schoolbook" w:hAnsi="Century Schoolbook"/>
        </w:rPr>
        <w:t>do not lead to disclosable findings must be redacted.</w:t>
      </w:r>
      <w:r>
        <w:rPr>
          <w:rFonts w:ascii="Century Schoolbook" w:hAnsi="Century Schoolbook"/>
        </w:rPr>
        <w:t xml:space="preserve">  </w:t>
      </w:r>
      <w:r w:rsidRPr="009E507B">
        <w:rPr>
          <w:rFonts w:ascii="Century Schoolbook" w:hAnsi="Century Schoolbook"/>
        </w:rPr>
        <w:t>Notwithstanding section (b)(2), which</w:t>
      </w:r>
      <w:r>
        <w:rPr>
          <w:rFonts w:ascii="Century Schoolbook" w:hAnsi="Century Schoolbook"/>
        </w:rPr>
        <w:t xml:space="preserve"> </w:t>
      </w:r>
      <w:r w:rsidRPr="009E507B">
        <w:rPr>
          <w:rFonts w:ascii="Century Schoolbook" w:hAnsi="Century Schoolbook"/>
        </w:rPr>
        <w:t>requires disclosure of all materials compile</w:t>
      </w:r>
      <w:r w:rsidR="00563946">
        <w:rPr>
          <w:rFonts w:ascii="Century Schoolbook" w:hAnsi="Century Schoolbook"/>
        </w:rPr>
        <w:t>d</w:t>
      </w:r>
      <w:r w:rsidRPr="009E507B">
        <w:rPr>
          <w:rFonts w:ascii="Century Schoolbook" w:hAnsi="Century Schoolbook"/>
        </w:rPr>
        <w:t xml:space="preserve"> or presented for review, portions of witness</w:t>
      </w:r>
      <w:r>
        <w:rPr>
          <w:rFonts w:ascii="Century Schoolbook" w:hAnsi="Century Schoolbook"/>
        </w:rPr>
        <w:t xml:space="preserve"> </w:t>
      </w:r>
      <w:r w:rsidRPr="009E507B">
        <w:rPr>
          <w:rFonts w:ascii="Century Schoolbook" w:hAnsi="Century Schoolbook"/>
        </w:rPr>
        <w:t>statements related to non-disclosable findings may be redacted. (b)(2) must be read in</w:t>
      </w:r>
      <w:r>
        <w:rPr>
          <w:rFonts w:ascii="Century Schoolbook" w:hAnsi="Century Schoolbook"/>
        </w:rPr>
        <w:t xml:space="preserve"> </w:t>
      </w:r>
      <w:r w:rsidRPr="009E507B">
        <w:rPr>
          <w:rFonts w:ascii="Century Schoolbook" w:hAnsi="Century Schoolbook"/>
        </w:rPr>
        <w:t>harmony with (b)(4) and (b)(5), which prohibit disclosure of non-sustained findings related</w:t>
      </w:r>
      <w:r>
        <w:rPr>
          <w:rFonts w:ascii="Century Schoolbook" w:hAnsi="Century Schoolbook"/>
        </w:rPr>
        <w:t xml:space="preserve"> </w:t>
      </w:r>
      <w:r w:rsidRPr="009E507B">
        <w:rPr>
          <w:rFonts w:ascii="Century Schoolbook" w:hAnsi="Century Schoolbook"/>
        </w:rPr>
        <w:t xml:space="preserve">to sexual assault and dishonesty. </w:t>
      </w:r>
      <w:r>
        <w:rPr>
          <w:rFonts w:ascii="Century Schoolbook" w:hAnsi="Century Schoolbook"/>
        </w:rPr>
        <w:t xml:space="preserve"> </w:t>
      </w:r>
      <w:r w:rsidRPr="009E507B">
        <w:rPr>
          <w:rFonts w:ascii="Century Schoolbook" w:hAnsi="Century Schoolbook"/>
        </w:rPr>
        <w:t>Permitting disclosure of all underlying evidence presented</w:t>
      </w:r>
      <w:r w:rsidR="00F476BF">
        <w:rPr>
          <w:rFonts w:ascii="Century Schoolbook" w:hAnsi="Century Schoolbook"/>
        </w:rPr>
        <w:t xml:space="preserve"> </w:t>
      </w:r>
      <w:r w:rsidRPr="00F476BF" w:rsidR="00F476BF">
        <w:rPr>
          <w:rFonts w:ascii="Century Schoolbook" w:hAnsi="Century Schoolbook"/>
        </w:rPr>
        <w:t>for review under (b)(2) would undermine the non-disclosure requirements under (b)(4) and</w:t>
      </w:r>
      <w:r w:rsidR="00F476BF">
        <w:rPr>
          <w:rFonts w:ascii="Century Schoolbook" w:hAnsi="Century Schoolbook"/>
        </w:rPr>
        <w:t xml:space="preserve"> (b)(5).”  </w:t>
      </w:r>
    </w:p>
    <w:p w:rsidR="00563946" w:rsidP="009E507B" w14:paraId="1524299E" w14:textId="4C1830C2">
      <w:pPr>
        <w:rPr>
          <w:rFonts w:ascii="Century Schoolbook" w:hAnsi="Century Schoolbook"/>
        </w:rPr>
      </w:pPr>
      <w:r>
        <w:rPr>
          <w:rFonts w:ascii="Century Schoolbook" w:hAnsi="Century Schoolbook"/>
        </w:rPr>
        <w:tab/>
        <w:t>After setting forth these “general principles,” the trial court went on to make the following specific rulings regarding the parties’ redaction disputes:</w:t>
      </w:r>
    </w:p>
    <w:p w:rsidR="00640D50" w:rsidP="007444A7" w14:paraId="5C3924A8" w14:textId="77777777">
      <w:pPr>
        <w:keepNext/>
        <w:rPr>
          <w:rFonts w:ascii="Century Schoolbook" w:hAnsi="Century Schoolbook"/>
        </w:rPr>
      </w:pPr>
      <w:r>
        <w:rPr>
          <w:rFonts w:ascii="Century Schoolbook" w:hAnsi="Century Schoolbook"/>
        </w:rPr>
        <w:tab/>
        <w:t>“</w:t>
      </w:r>
      <w:r w:rsidRPr="00640D50">
        <w:rPr>
          <w:rFonts w:ascii="Century Schoolbook" w:hAnsi="Century Schoolbook"/>
          <w:b/>
          <w:bCs/>
          <w:u w:val="single"/>
        </w:rPr>
        <w:t>Rulings Pertaining to specific Officers’ files:</w:t>
      </w:r>
    </w:p>
    <w:p w:rsidR="00A22F4F" w:rsidP="007444A7" w14:paraId="3B69031E" w14:textId="643AD218">
      <w:pPr>
        <w:keepNext/>
        <w:rPr>
          <w:rFonts w:ascii="Century Schoolbook" w:hAnsi="Century Schoolbook"/>
        </w:rPr>
      </w:pPr>
      <w:r>
        <w:rPr>
          <w:rFonts w:ascii="Century Schoolbook" w:hAnsi="Century Schoolbook"/>
        </w:rPr>
        <w:tab/>
        <w:t xml:space="preserve">“1.  </w:t>
      </w:r>
      <w:r w:rsidRPr="00640D50">
        <w:rPr>
          <w:rFonts w:ascii="Century Schoolbook" w:hAnsi="Century Schoolbook"/>
        </w:rPr>
        <w:t>Respondents the City of Oakland e</w:t>
      </w:r>
      <w:r w:rsidR="00DC1E52">
        <w:rPr>
          <w:rFonts w:ascii="Century Schoolbook" w:hAnsi="Century Schoolbook"/>
        </w:rPr>
        <w:t>t</w:t>
      </w:r>
      <w:r w:rsidRPr="00640D50">
        <w:rPr>
          <w:rFonts w:ascii="Century Schoolbook" w:hAnsi="Century Schoolbook"/>
        </w:rPr>
        <w:t xml:space="preserve"> al. (</w:t>
      </w:r>
      <w:r w:rsidR="00DC1E52">
        <w:rPr>
          <w:rFonts w:ascii="Century Schoolbook" w:hAnsi="Century Schoolbook"/>
        </w:rPr>
        <w:t>‘</w:t>
      </w:r>
      <w:r w:rsidRPr="00640D50">
        <w:rPr>
          <w:rFonts w:ascii="Century Schoolbook" w:hAnsi="Century Schoolbook"/>
        </w:rPr>
        <w:t>the City</w:t>
      </w:r>
      <w:r w:rsidR="00DC1E52">
        <w:rPr>
          <w:rFonts w:ascii="Century Schoolbook" w:hAnsi="Century Schoolbook"/>
        </w:rPr>
        <w:t>’)</w:t>
      </w:r>
      <w:r w:rsidRPr="00640D50">
        <w:rPr>
          <w:rFonts w:ascii="Century Schoolbook" w:hAnsi="Century Schoolbook"/>
        </w:rPr>
        <w:t xml:space="preserve"> properly redacted text in the final</w:t>
      </w:r>
      <w:r>
        <w:rPr>
          <w:rFonts w:ascii="Century Schoolbook" w:hAnsi="Century Schoolbook"/>
        </w:rPr>
        <w:t xml:space="preserve"> </w:t>
      </w:r>
      <w:r w:rsidRPr="00640D50">
        <w:rPr>
          <w:rFonts w:ascii="Century Schoolbook" w:hAnsi="Century Schoolbook"/>
        </w:rPr>
        <w:t xml:space="preserve">internal affairs report related to </w:t>
      </w:r>
      <w:r w:rsidR="00D437F9">
        <w:rPr>
          <w:rFonts w:ascii="Century Schoolbook" w:hAnsi="Century Schoolbook"/>
        </w:rPr>
        <w:t>[]</w:t>
      </w:r>
      <w:r w:rsidRPr="00640D50">
        <w:rPr>
          <w:rFonts w:ascii="Century Schoolbook" w:hAnsi="Century Schoolbook"/>
        </w:rPr>
        <w:t xml:space="preserve"> Guap regarding Officers Terryl Smith, Warit Uttapa, Luis</w:t>
      </w:r>
      <w:r>
        <w:rPr>
          <w:rFonts w:ascii="Century Schoolbook" w:hAnsi="Century Schoolbook"/>
        </w:rPr>
        <w:t xml:space="preserve"> </w:t>
      </w:r>
      <w:r w:rsidRPr="00640D50">
        <w:rPr>
          <w:rFonts w:ascii="Century Schoolbook" w:hAnsi="Century Schoolbook"/>
        </w:rPr>
        <w:t xml:space="preserve">Roman, and Leroy Johnson. </w:t>
      </w:r>
      <w:r>
        <w:rPr>
          <w:rFonts w:ascii="Century Schoolbook" w:hAnsi="Century Schoolbook"/>
        </w:rPr>
        <w:t xml:space="preserve"> </w:t>
      </w:r>
      <w:r w:rsidRPr="00640D50">
        <w:rPr>
          <w:rFonts w:ascii="Century Schoolbook" w:hAnsi="Century Schoolbook"/>
        </w:rPr>
        <w:t>While these officers all received disclosable sustained findings, the</w:t>
      </w:r>
      <w:r>
        <w:rPr>
          <w:rFonts w:ascii="Century Schoolbook" w:hAnsi="Century Schoolbook"/>
        </w:rPr>
        <w:t xml:space="preserve"> </w:t>
      </w:r>
      <w:r w:rsidRPr="00640D50">
        <w:rPr>
          <w:rFonts w:ascii="Century Schoolbook" w:hAnsi="Century Schoolbook"/>
        </w:rPr>
        <w:t>redacted text in the sections of the report evaluating each officers</w:t>
      </w:r>
      <w:r w:rsidR="00DC1E52">
        <w:rPr>
          <w:rFonts w:ascii="Century Schoolbook" w:hAnsi="Century Schoolbook"/>
        </w:rPr>
        <w:t>’</w:t>
      </w:r>
      <w:r w:rsidRPr="00640D50">
        <w:rPr>
          <w:rFonts w:ascii="Century Schoolbook" w:hAnsi="Century Schoolbook"/>
        </w:rPr>
        <w:t xml:space="preserve"> conduct relate to other incidents</w:t>
      </w:r>
      <w:r>
        <w:rPr>
          <w:rFonts w:ascii="Century Schoolbook" w:hAnsi="Century Schoolbook"/>
        </w:rPr>
        <w:t xml:space="preserve"> </w:t>
      </w:r>
      <w:r w:rsidRPr="00640D50">
        <w:rPr>
          <w:rFonts w:ascii="Century Schoolbook" w:hAnsi="Century Schoolbook"/>
        </w:rPr>
        <w:t xml:space="preserve">that are not independently disclosable. </w:t>
      </w:r>
      <w:r>
        <w:rPr>
          <w:rFonts w:ascii="Century Schoolbook" w:hAnsi="Century Schoolbook"/>
        </w:rPr>
        <w:t xml:space="preserve"> </w:t>
      </w:r>
      <w:r w:rsidRPr="00640D50">
        <w:rPr>
          <w:rFonts w:ascii="Century Schoolbook" w:hAnsi="Century Schoolbook"/>
        </w:rPr>
        <w:t>The text is therefore properly redacted under (b)(4) and (b)(5)</w:t>
      </w:r>
      <w:r>
        <w:rPr>
          <w:rFonts w:ascii="Century Schoolbook" w:hAnsi="Century Schoolbook"/>
        </w:rPr>
        <w:t xml:space="preserve"> </w:t>
      </w:r>
      <w:r w:rsidRPr="00640D50">
        <w:rPr>
          <w:rFonts w:ascii="Century Schoolbook" w:hAnsi="Century Schoolbook"/>
        </w:rPr>
        <w:t>(formerly (b)(3) and (b)(4)).</w:t>
      </w:r>
    </w:p>
    <w:p w:rsidR="00640D50" w:rsidRPr="00640D50" w:rsidP="00640D50" w14:paraId="39B5F7AD" w14:textId="2761DD74">
      <w:pPr>
        <w:rPr>
          <w:rFonts w:ascii="Century Schoolbook" w:hAnsi="Century Schoolbook"/>
        </w:rPr>
      </w:pPr>
      <w:r>
        <w:rPr>
          <w:rFonts w:ascii="Century Schoolbook" w:hAnsi="Century Schoolbook"/>
        </w:rPr>
        <w:tab/>
        <w:t xml:space="preserve">“2.  </w:t>
      </w:r>
      <w:r w:rsidRPr="00640D50">
        <w:rPr>
          <w:rFonts w:ascii="Century Schoolbook" w:hAnsi="Century Schoolbook"/>
        </w:rPr>
        <w:t>The City properly redacted text related to Officers A, B, C, D, E and F in the final</w:t>
      </w:r>
      <w:r>
        <w:rPr>
          <w:rFonts w:ascii="Century Schoolbook" w:hAnsi="Century Schoolbook"/>
        </w:rPr>
        <w:t xml:space="preserve"> </w:t>
      </w:r>
      <w:r w:rsidRPr="00640D50">
        <w:rPr>
          <w:rFonts w:ascii="Century Schoolbook" w:hAnsi="Century Schoolbook"/>
        </w:rPr>
        <w:t xml:space="preserve">internal affairs report. </w:t>
      </w:r>
      <w:r w:rsidR="00DC1E52">
        <w:rPr>
          <w:rFonts w:ascii="Century Schoolbook" w:hAnsi="Century Schoolbook"/>
        </w:rPr>
        <w:t xml:space="preserve"> </w:t>
      </w:r>
      <w:r w:rsidRPr="00640D50">
        <w:rPr>
          <w:rFonts w:ascii="Century Schoolbook" w:hAnsi="Century Schoolbook"/>
        </w:rPr>
        <w:t>There were no disclosable sustained findings against any of these officers.</w:t>
      </w:r>
    </w:p>
    <w:p w:rsidR="00640D50" w:rsidP="00640D50" w14:paraId="543AB73D" w14:textId="416198B9">
      <w:pPr>
        <w:rPr>
          <w:rFonts w:ascii="Century Schoolbook" w:hAnsi="Century Schoolbook"/>
        </w:rPr>
      </w:pPr>
      <w:r>
        <w:rPr>
          <w:rFonts w:ascii="Century Schoolbook" w:hAnsi="Century Schoolbook"/>
        </w:rPr>
        <w:tab/>
        <w:t xml:space="preserve">“3.  </w:t>
      </w:r>
      <w:r w:rsidRPr="00640D50">
        <w:rPr>
          <w:rFonts w:ascii="Century Schoolbook" w:hAnsi="Century Schoolbook"/>
        </w:rPr>
        <w:t xml:space="preserve">With respect to </w:t>
      </w:r>
      <w:r>
        <w:rPr>
          <w:rFonts w:ascii="Century Schoolbook" w:hAnsi="Century Schoolbook"/>
        </w:rPr>
        <w:t xml:space="preserve">Officer C </w:t>
      </w:r>
      <w:r w:rsidRPr="00640D50">
        <w:rPr>
          <w:rFonts w:ascii="Century Schoolbook" w:hAnsi="Century Schoolbook"/>
        </w:rPr>
        <w:t>there was no sustained finding of sexual assault by Officer</w:t>
      </w:r>
      <w:r>
        <w:rPr>
          <w:rFonts w:ascii="Century Schoolbook" w:hAnsi="Century Schoolbook"/>
        </w:rPr>
        <w:t xml:space="preserve"> </w:t>
      </w:r>
      <w:r w:rsidRPr="00640D50">
        <w:rPr>
          <w:rFonts w:ascii="Century Schoolbook" w:hAnsi="Century Schoolbook"/>
        </w:rPr>
        <w:t>C, and no finding that he exchanged text messages of a sexual nature while on duty or by means of</w:t>
      </w:r>
      <w:r>
        <w:rPr>
          <w:rFonts w:ascii="Century Schoolbook" w:hAnsi="Century Schoolbook"/>
        </w:rPr>
        <w:t xml:space="preserve"> </w:t>
      </w:r>
      <w:r w:rsidRPr="00640D50">
        <w:rPr>
          <w:rFonts w:ascii="Century Schoolbook" w:hAnsi="Century Schoolbook"/>
        </w:rPr>
        <w:t>force, threat, coercion, extortion, offer of leniency or other official favor, or under the color of</w:t>
      </w:r>
      <w:r>
        <w:rPr>
          <w:rFonts w:ascii="Century Schoolbook" w:hAnsi="Century Schoolbook"/>
        </w:rPr>
        <w:t xml:space="preserve"> authority.” </w:t>
      </w:r>
      <w:r w:rsidR="00B54A05">
        <w:rPr>
          <w:rFonts w:ascii="Century Schoolbook" w:hAnsi="Century Schoolbook"/>
        </w:rPr>
        <w:t xml:space="preserve"> </w:t>
      </w:r>
      <w:r w:rsidR="00C9453F">
        <w:rPr>
          <w:rFonts w:ascii="Century Schoolbook" w:hAnsi="Century Schoolbook"/>
        </w:rPr>
        <w:t>(Boldface omitted.)</w:t>
      </w:r>
      <w:r w:rsidR="00AE780A">
        <w:rPr>
          <w:rFonts w:ascii="Century Schoolbook" w:hAnsi="Century Schoolbook"/>
        </w:rPr>
        <w:t xml:space="preserve"> </w:t>
      </w:r>
      <w:r>
        <w:rPr>
          <w:rFonts w:ascii="Century Schoolbook" w:hAnsi="Century Schoolbook"/>
        </w:rPr>
        <w:t xml:space="preserve"> </w:t>
      </w:r>
    </w:p>
    <w:p w:rsidR="004C0F0B" w:rsidP="00C82026" w14:paraId="523F77BC" w14:textId="0C0F0958">
      <w:pPr>
        <w:rPr>
          <w:rFonts w:ascii="Century Schoolbook" w:hAnsi="Century Schoolbook"/>
        </w:rPr>
      </w:pPr>
      <w:r>
        <w:rPr>
          <w:rFonts w:ascii="Century Schoolbook" w:hAnsi="Century Schoolbook"/>
        </w:rPr>
        <w:tab/>
      </w:r>
      <w:r w:rsidR="00C82026">
        <w:rPr>
          <w:rFonts w:ascii="Century Schoolbook" w:hAnsi="Century Schoolbook"/>
        </w:rPr>
        <w:t>Petitioners</w:t>
      </w:r>
      <w:r w:rsidRPr="00C82026" w:rsidR="00C82026">
        <w:rPr>
          <w:rFonts w:ascii="Century Schoolbook" w:hAnsi="Century Schoolbook"/>
        </w:rPr>
        <w:t xml:space="preserve"> </w:t>
      </w:r>
      <w:r w:rsidR="0081472C">
        <w:rPr>
          <w:rFonts w:ascii="Century Schoolbook" w:hAnsi="Century Schoolbook"/>
        </w:rPr>
        <w:t>sought</w:t>
      </w:r>
      <w:r w:rsidRPr="00C82026" w:rsidR="00C82026">
        <w:rPr>
          <w:rFonts w:ascii="Century Schoolbook" w:hAnsi="Century Schoolbook"/>
        </w:rPr>
        <w:t xml:space="preserve"> extraordinary writ relief to compel the trial court to vacate </w:t>
      </w:r>
      <w:r w:rsidR="00C36396">
        <w:rPr>
          <w:rFonts w:ascii="Century Schoolbook" w:hAnsi="Century Schoolbook"/>
        </w:rPr>
        <w:t>its order allowing Oakland to redact and withhold records</w:t>
      </w:r>
      <w:r w:rsidRPr="00C82026" w:rsidR="00C82026">
        <w:rPr>
          <w:rFonts w:ascii="Century Schoolbook" w:hAnsi="Century Schoolbook"/>
        </w:rPr>
        <w:t>.</w:t>
      </w:r>
      <w:r>
        <w:rPr>
          <w:rStyle w:val="FootnoteReference"/>
          <w:rFonts w:ascii="Century Schoolbook" w:hAnsi="Century Schoolbook"/>
        </w:rPr>
        <w:footnoteReference w:id="4"/>
      </w:r>
      <w:r w:rsidRPr="00C82026" w:rsidR="00C82026">
        <w:rPr>
          <w:rFonts w:ascii="Century Schoolbook" w:hAnsi="Century Schoolbook"/>
        </w:rPr>
        <w:t xml:space="preserve"> </w:t>
      </w:r>
      <w:r w:rsidR="00C82026">
        <w:rPr>
          <w:rFonts w:ascii="Century Schoolbook" w:hAnsi="Century Schoolbook"/>
        </w:rPr>
        <w:t xml:space="preserve"> </w:t>
      </w:r>
      <w:r w:rsidRPr="00C82026" w:rsidR="00C82026">
        <w:rPr>
          <w:rFonts w:ascii="Century Schoolbook" w:hAnsi="Century Schoolbook"/>
        </w:rPr>
        <w:t xml:space="preserve">We issued an order to show cause why the relief requested by </w:t>
      </w:r>
      <w:r w:rsidR="00C82026">
        <w:rPr>
          <w:rFonts w:ascii="Century Schoolbook" w:hAnsi="Century Schoolbook"/>
        </w:rPr>
        <w:t>petitioners</w:t>
      </w:r>
      <w:r w:rsidRPr="00C82026" w:rsidR="00C82026">
        <w:rPr>
          <w:rFonts w:ascii="Century Schoolbook" w:hAnsi="Century Schoolbook"/>
        </w:rPr>
        <w:t xml:space="preserve"> should not be granted</w:t>
      </w:r>
      <w:r>
        <w:rPr>
          <w:rFonts w:ascii="Century Schoolbook" w:hAnsi="Century Schoolbook"/>
        </w:rPr>
        <w:t>, Oakland filed</w:t>
      </w:r>
      <w:r w:rsidRPr="00C82026" w:rsidR="00C82026">
        <w:rPr>
          <w:rFonts w:ascii="Century Schoolbook" w:hAnsi="Century Schoolbook"/>
        </w:rPr>
        <w:t xml:space="preserve"> a written return to the order to show cause, </w:t>
      </w:r>
      <w:r>
        <w:rPr>
          <w:rFonts w:ascii="Century Schoolbook" w:hAnsi="Century Schoolbook"/>
        </w:rPr>
        <w:t>petitioners</w:t>
      </w:r>
      <w:r w:rsidRPr="00C82026" w:rsidR="00C82026">
        <w:rPr>
          <w:rFonts w:ascii="Century Schoolbook" w:hAnsi="Century Schoolbook"/>
        </w:rPr>
        <w:t xml:space="preserve"> filed a traverse/reply</w:t>
      </w:r>
      <w:r w:rsidR="00D415D7">
        <w:rPr>
          <w:rFonts w:ascii="Century Schoolbook" w:hAnsi="Century Schoolbook"/>
        </w:rPr>
        <w:t xml:space="preserve">, and </w:t>
      </w:r>
      <w:r w:rsidR="0081472C">
        <w:rPr>
          <w:rFonts w:ascii="Century Schoolbook" w:hAnsi="Century Schoolbook"/>
        </w:rPr>
        <w:t>we heard</w:t>
      </w:r>
      <w:r w:rsidRPr="00C82026" w:rsidR="00C82026">
        <w:rPr>
          <w:rFonts w:ascii="Century Schoolbook" w:hAnsi="Century Schoolbook"/>
        </w:rPr>
        <w:t xml:space="preserve"> oral argument.</w:t>
      </w:r>
      <w:r>
        <w:rPr>
          <w:rStyle w:val="FootnoteReference"/>
          <w:rFonts w:ascii="Century Schoolbook" w:hAnsi="Century Schoolbook"/>
        </w:rPr>
        <w:footnoteReference w:id="5"/>
      </w:r>
      <w:r w:rsidR="0081472C">
        <w:rPr>
          <w:rFonts w:ascii="Century Schoolbook" w:hAnsi="Century Schoolbook"/>
        </w:rPr>
        <w:t xml:space="preserve">  We now grant the petition.</w:t>
      </w:r>
    </w:p>
    <w:p w:rsidR="00576323" w:rsidRPr="00576323" w:rsidP="00C828E8" w14:paraId="48FF7E79" w14:textId="4959FB67">
      <w:pPr>
        <w:keepNext/>
        <w:jc w:val="center"/>
        <w:rPr>
          <w:rFonts w:ascii="Century Schoolbook" w:hAnsi="Century Schoolbook"/>
          <w:b/>
          <w:bCs/>
        </w:rPr>
      </w:pPr>
      <w:r w:rsidRPr="00576323">
        <w:rPr>
          <w:rFonts w:ascii="Century Schoolbook" w:hAnsi="Century Schoolbook"/>
          <w:b/>
          <w:bCs/>
        </w:rPr>
        <w:t>DISCUSSION</w:t>
      </w:r>
    </w:p>
    <w:p w:rsidR="00B53A3C" w:rsidP="00C828E8" w14:paraId="0AAFAD87" w14:textId="157FDF14">
      <w:pPr>
        <w:keepNext/>
        <w:rPr>
          <w:rFonts w:ascii="Century Schoolbook" w:hAnsi="Century Schoolbook"/>
        </w:rPr>
      </w:pPr>
      <w:r>
        <w:rPr>
          <w:rFonts w:ascii="Century Schoolbook" w:hAnsi="Century Schoolbook"/>
        </w:rPr>
        <w:tab/>
      </w:r>
      <w:r w:rsidR="0095524D">
        <w:rPr>
          <w:rFonts w:ascii="Century Schoolbook" w:hAnsi="Century Schoolbook"/>
        </w:rPr>
        <w:t xml:space="preserve">Petitioners </w:t>
      </w:r>
      <w:r w:rsidR="003D1BC8">
        <w:rPr>
          <w:rFonts w:ascii="Century Schoolbook" w:hAnsi="Century Schoolbook"/>
        </w:rPr>
        <w:t>mak</w:t>
      </w:r>
      <w:r w:rsidR="008831A4">
        <w:rPr>
          <w:rFonts w:ascii="Century Schoolbook" w:hAnsi="Century Schoolbook"/>
        </w:rPr>
        <w:t>e</w:t>
      </w:r>
      <w:r w:rsidR="003D1BC8">
        <w:rPr>
          <w:rFonts w:ascii="Century Schoolbook" w:hAnsi="Century Schoolbook"/>
        </w:rPr>
        <w:t xml:space="preserve"> three arguments: </w:t>
      </w:r>
      <w:r w:rsidR="00B52EEE">
        <w:rPr>
          <w:rFonts w:ascii="Century Schoolbook" w:hAnsi="Century Schoolbook"/>
        </w:rPr>
        <w:t xml:space="preserve"> </w:t>
      </w:r>
      <w:r w:rsidR="003D1BC8">
        <w:rPr>
          <w:rFonts w:ascii="Century Schoolbook" w:hAnsi="Century Schoolbook"/>
        </w:rPr>
        <w:t>(1)</w:t>
      </w:r>
      <w:r w:rsidR="0095524D">
        <w:rPr>
          <w:rFonts w:ascii="Century Schoolbook" w:hAnsi="Century Schoolbook"/>
        </w:rPr>
        <w:t xml:space="preserve"> that the trial court erred in permitting certain redactions under section 837.2, subdivisions (b)(4) and (b)(5), </w:t>
      </w:r>
      <w:r w:rsidR="003D1BC8">
        <w:rPr>
          <w:rFonts w:ascii="Century Schoolbook" w:hAnsi="Century Schoolbook"/>
        </w:rPr>
        <w:t xml:space="preserve">(2) </w:t>
      </w:r>
      <w:r w:rsidR="0095524D">
        <w:rPr>
          <w:rFonts w:ascii="Century Schoolbook" w:hAnsi="Century Schoolbook"/>
        </w:rPr>
        <w:t xml:space="preserve">that </w:t>
      </w:r>
      <w:r w:rsidR="00D415D7">
        <w:rPr>
          <w:rFonts w:ascii="Century Schoolbook" w:hAnsi="Century Schoolbook"/>
        </w:rPr>
        <w:t xml:space="preserve">police </w:t>
      </w:r>
      <w:r w:rsidR="0095524D">
        <w:rPr>
          <w:rFonts w:ascii="Century Schoolbook" w:hAnsi="Century Schoolbook"/>
        </w:rPr>
        <w:t xml:space="preserve">officers who witness misconduct may </w:t>
      </w:r>
      <w:r w:rsidR="007D73EA">
        <w:rPr>
          <w:rFonts w:ascii="Century Schoolbook" w:hAnsi="Century Schoolbook"/>
        </w:rPr>
        <w:t xml:space="preserve">not </w:t>
      </w:r>
      <w:r w:rsidR="0095524D">
        <w:rPr>
          <w:rFonts w:ascii="Century Schoolbook" w:hAnsi="Century Schoolbook"/>
        </w:rPr>
        <w:t xml:space="preserve">have their names redacted under section 837.2, subdivision (b)(6)(B), and </w:t>
      </w:r>
      <w:r w:rsidR="003D1BC8">
        <w:rPr>
          <w:rFonts w:ascii="Century Schoolbook" w:hAnsi="Century Schoolbook"/>
        </w:rPr>
        <w:t xml:space="preserve">(3) </w:t>
      </w:r>
      <w:r w:rsidR="0095524D">
        <w:rPr>
          <w:rFonts w:ascii="Century Schoolbook" w:hAnsi="Century Schoolbook"/>
        </w:rPr>
        <w:t xml:space="preserve">that redaction should not have been permitted under </w:t>
      </w:r>
      <w:r w:rsidR="00D112A9">
        <w:rPr>
          <w:rFonts w:ascii="Century Schoolbook" w:hAnsi="Century Schoolbook"/>
        </w:rPr>
        <w:t xml:space="preserve">former </w:t>
      </w:r>
      <w:r w:rsidR="0095524D">
        <w:rPr>
          <w:rFonts w:ascii="Century Schoolbook" w:hAnsi="Century Schoolbook"/>
        </w:rPr>
        <w:t>Government Code section 6254, subdivision (f).</w:t>
      </w:r>
      <w:r w:rsidR="0081472C">
        <w:rPr>
          <w:rFonts w:ascii="Century Schoolbook" w:hAnsi="Century Schoolbook"/>
        </w:rPr>
        <w:t xml:space="preserve">  We agree with all three</w:t>
      </w:r>
      <w:r w:rsidR="007D73EA">
        <w:rPr>
          <w:rFonts w:ascii="Century Schoolbook" w:hAnsi="Century Schoolbook"/>
        </w:rPr>
        <w:t xml:space="preserve"> arguments</w:t>
      </w:r>
      <w:r w:rsidR="0081472C">
        <w:rPr>
          <w:rFonts w:ascii="Century Schoolbook" w:hAnsi="Century Schoolbook"/>
        </w:rPr>
        <w:t xml:space="preserve">.  Before we explain why, we set forth some </w:t>
      </w:r>
      <w:r w:rsidR="0064110D">
        <w:rPr>
          <w:rFonts w:ascii="Century Schoolbook" w:hAnsi="Century Schoolbook"/>
        </w:rPr>
        <w:t>governing principles</w:t>
      </w:r>
      <w:r w:rsidR="0081472C">
        <w:rPr>
          <w:rFonts w:ascii="Century Schoolbook" w:hAnsi="Century Schoolbook"/>
        </w:rPr>
        <w:t xml:space="preserve">. </w:t>
      </w:r>
    </w:p>
    <w:p w:rsidR="00576323" w:rsidRPr="00F94175" w:rsidP="00576323" w14:paraId="03CCA413" w14:textId="1BDFB595">
      <w:pPr>
        <w:rPr>
          <w:rFonts w:ascii="Century Schoolbook" w:hAnsi="Century Schoolbook"/>
          <w:b/>
          <w:bCs/>
        </w:rPr>
      </w:pPr>
      <w:r>
        <w:rPr>
          <w:rFonts w:ascii="Century Schoolbook" w:hAnsi="Century Schoolbook"/>
        </w:rPr>
        <w:tab/>
      </w:r>
      <w:r w:rsidR="0095524D">
        <w:rPr>
          <w:rFonts w:ascii="Century Schoolbook" w:hAnsi="Century Schoolbook"/>
          <w:b/>
          <w:bCs/>
        </w:rPr>
        <w:t xml:space="preserve">The </w:t>
      </w:r>
      <w:r w:rsidRPr="0095524D" w:rsidR="0095524D">
        <w:rPr>
          <w:rFonts w:ascii="Century Schoolbook" w:hAnsi="Century Schoolbook"/>
          <w:b/>
          <w:bCs/>
          <w:i/>
          <w:iCs/>
        </w:rPr>
        <w:t>Pitchess</w:t>
      </w:r>
      <w:r w:rsidR="0095524D">
        <w:rPr>
          <w:rFonts w:ascii="Century Schoolbook" w:hAnsi="Century Schoolbook"/>
          <w:b/>
          <w:bCs/>
        </w:rPr>
        <w:t xml:space="preserve"> Statutes and Senate Bill No.</w:t>
      </w:r>
      <w:r w:rsidR="00181F21">
        <w:rPr>
          <w:rFonts w:ascii="Century Schoolbook" w:hAnsi="Century Schoolbook"/>
          <w:b/>
          <w:bCs/>
        </w:rPr>
        <w:t> </w:t>
      </w:r>
      <w:r w:rsidR="0095524D">
        <w:rPr>
          <w:rFonts w:ascii="Century Schoolbook" w:hAnsi="Century Schoolbook"/>
          <w:b/>
          <w:bCs/>
        </w:rPr>
        <w:t>1421</w:t>
      </w:r>
    </w:p>
    <w:p w:rsidR="00737CEC" w:rsidP="00F94175" w14:paraId="3B646786" w14:textId="6DA3240F">
      <w:pPr>
        <w:rPr>
          <w:rFonts w:ascii="Century Schoolbook" w:hAnsi="Century Schoolbook"/>
        </w:rPr>
      </w:pPr>
      <w:r>
        <w:rPr>
          <w:rFonts w:ascii="Century Schoolbook" w:hAnsi="Century Schoolbook"/>
        </w:rPr>
        <w:tab/>
        <w:t xml:space="preserve">In </w:t>
      </w:r>
      <w:r w:rsidRPr="00737CEC">
        <w:rPr>
          <w:rFonts w:ascii="Century Schoolbook" w:hAnsi="Century Schoolbook"/>
          <w:i/>
          <w:iCs/>
        </w:rPr>
        <w:t>Becerra v. Superior Court</w:t>
      </w:r>
      <w:r>
        <w:rPr>
          <w:rFonts w:ascii="Century Schoolbook" w:hAnsi="Century Schoolbook"/>
        </w:rPr>
        <w:t xml:space="preserve"> (2020) 44 Cal.App.5th </w:t>
      </w:r>
      <w:r w:rsidR="007C6111">
        <w:rPr>
          <w:rFonts w:ascii="Century Schoolbook" w:hAnsi="Century Schoolbook"/>
        </w:rPr>
        <w:t>89</w:t>
      </w:r>
      <w:r>
        <w:rPr>
          <w:rFonts w:ascii="Century Schoolbook" w:hAnsi="Century Schoolbook"/>
        </w:rPr>
        <w:t>7 (</w:t>
      </w:r>
      <w:r w:rsidRPr="00737CEC">
        <w:rPr>
          <w:rFonts w:ascii="Century Schoolbook" w:hAnsi="Century Schoolbook"/>
          <w:i/>
          <w:iCs/>
        </w:rPr>
        <w:t>Becerra</w:t>
      </w:r>
      <w:r>
        <w:rPr>
          <w:rFonts w:ascii="Century Schoolbook" w:hAnsi="Century Schoolbook"/>
        </w:rPr>
        <w:t xml:space="preserve">), our colleagues in Division Three </w:t>
      </w:r>
      <w:r w:rsidR="0064110D">
        <w:rPr>
          <w:rFonts w:ascii="Century Schoolbook" w:hAnsi="Century Schoolbook"/>
        </w:rPr>
        <w:t>set forth</w:t>
      </w:r>
      <w:r>
        <w:rPr>
          <w:rFonts w:ascii="Century Schoolbook" w:hAnsi="Century Schoolbook"/>
        </w:rPr>
        <w:t xml:space="preserve"> the following background</w:t>
      </w:r>
      <w:r w:rsidR="0095524D">
        <w:rPr>
          <w:rFonts w:ascii="Century Schoolbook" w:hAnsi="Century Schoolbook"/>
        </w:rPr>
        <w:t xml:space="preserve"> regarding Senate Bill No.</w:t>
      </w:r>
      <w:r w:rsidR="00BA0D61">
        <w:rPr>
          <w:rFonts w:ascii="Century Schoolbook" w:hAnsi="Century Schoolbook"/>
        </w:rPr>
        <w:t> </w:t>
      </w:r>
      <w:r w:rsidR="0095524D">
        <w:rPr>
          <w:rFonts w:ascii="Century Schoolbook" w:hAnsi="Century Schoolbook"/>
        </w:rPr>
        <w:t>1421</w:t>
      </w:r>
      <w:r>
        <w:rPr>
          <w:rFonts w:ascii="Century Schoolbook" w:hAnsi="Century Schoolbook"/>
        </w:rPr>
        <w:t xml:space="preserve">: </w:t>
      </w:r>
      <w:r w:rsidR="0081426F">
        <w:rPr>
          <w:rFonts w:ascii="Century Schoolbook" w:hAnsi="Century Schoolbook"/>
        </w:rPr>
        <w:t xml:space="preserve"> </w:t>
      </w:r>
    </w:p>
    <w:p w:rsidR="00737CEC" w:rsidRPr="00737CEC" w:rsidP="00737CEC" w14:paraId="475269ED" w14:textId="3EB758B5">
      <w:pPr>
        <w:rPr>
          <w:rFonts w:ascii="Century Schoolbook" w:hAnsi="Century Schoolbook"/>
        </w:rPr>
      </w:pPr>
      <w:r>
        <w:rPr>
          <w:rFonts w:ascii="Century Schoolbook" w:hAnsi="Century Schoolbook"/>
        </w:rPr>
        <w:tab/>
        <w:t>“</w:t>
      </w:r>
      <w:r w:rsidRPr="00737CEC">
        <w:rPr>
          <w:rFonts w:ascii="Century Schoolbook" w:hAnsi="Century Schoolbook"/>
        </w:rPr>
        <w:t xml:space="preserve">In 1978, the Legislature enacted sections 832.7 and 832.8 to mandate confidentiality of peace officer personnel records. </w:t>
      </w:r>
      <w:r>
        <w:rPr>
          <w:rFonts w:ascii="Century Schoolbook" w:hAnsi="Century Schoolbook"/>
        </w:rPr>
        <w:t xml:space="preserve"> </w:t>
      </w:r>
      <w:r w:rsidRPr="00737CEC">
        <w:rPr>
          <w:rFonts w:ascii="Century Schoolbook" w:hAnsi="Century Schoolbook"/>
        </w:rPr>
        <w:t>(Stats. 1978, ch.</w:t>
      </w:r>
      <w:r w:rsidR="00BA0D61">
        <w:rPr>
          <w:rFonts w:ascii="Century Schoolbook" w:hAnsi="Century Schoolbook"/>
        </w:rPr>
        <w:t> </w:t>
      </w:r>
      <w:r w:rsidRPr="00737CEC">
        <w:rPr>
          <w:rFonts w:ascii="Century Schoolbook" w:hAnsi="Century Schoolbook"/>
        </w:rPr>
        <w:t>630, §§</w:t>
      </w:r>
      <w:r w:rsidR="00BA0D61">
        <w:rPr>
          <w:rFonts w:ascii="Century Schoolbook" w:hAnsi="Century Schoolbook"/>
        </w:rPr>
        <w:t> </w:t>
      </w:r>
      <w:r w:rsidRPr="00737CEC">
        <w:rPr>
          <w:rFonts w:ascii="Century Schoolbook" w:hAnsi="Century Schoolbook"/>
        </w:rPr>
        <w:t>5,</w:t>
      </w:r>
      <w:r w:rsidR="003348BC">
        <w:rPr>
          <w:rFonts w:ascii="Century Schoolbook" w:hAnsi="Century Schoolbook"/>
        </w:rPr>
        <w:t> </w:t>
      </w:r>
      <w:r w:rsidRPr="00737CEC">
        <w:rPr>
          <w:rFonts w:ascii="Century Schoolbook" w:hAnsi="Century Schoolbook"/>
        </w:rPr>
        <w:t>6, p.</w:t>
      </w:r>
      <w:r w:rsidR="00150D27">
        <w:rPr>
          <w:rFonts w:ascii="Century Schoolbook" w:hAnsi="Century Schoolbook"/>
        </w:rPr>
        <w:t> </w:t>
      </w:r>
      <w:r w:rsidRPr="00737CEC">
        <w:rPr>
          <w:rFonts w:ascii="Century Schoolbook" w:hAnsi="Century Schoolbook"/>
        </w:rPr>
        <w:t xml:space="preserve">2083.) </w:t>
      </w:r>
      <w:r>
        <w:rPr>
          <w:rFonts w:ascii="Century Schoolbook" w:hAnsi="Century Schoolbook"/>
        </w:rPr>
        <w:t xml:space="preserve"> </w:t>
      </w:r>
      <w:r w:rsidRPr="00737CEC">
        <w:rPr>
          <w:rFonts w:ascii="Century Schoolbook" w:hAnsi="Century Schoolbook"/>
        </w:rPr>
        <w:t xml:space="preserve">These statutes, along with certain amendments to the Evidence Code, also codified </w:t>
      </w:r>
      <w:r w:rsidRPr="00737CEC">
        <w:rPr>
          <w:rFonts w:ascii="Century Schoolbook" w:hAnsi="Century Schoolbook"/>
          <w:i/>
          <w:iCs/>
        </w:rPr>
        <w:t>Pitchess v. Superior Court</w:t>
      </w:r>
      <w:r w:rsidRPr="00737CEC">
        <w:rPr>
          <w:rFonts w:ascii="Century Schoolbook" w:hAnsi="Century Schoolbook"/>
        </w:rPr>
        <w:t xml:space="preserve"> (1974) 11 Cal.3d 531, which recognized the right of a criminal defendant to compel the discovery of evidence in a law enforcement officer</w:t>
      </w:r>
      <w:r>
        <w:rPr>
          <w:rFonts w:ascii="Century Schoolbook" w:hAnsi="Century Schoolbook"/>
        </w:rPr>
        <w:t>’</w:t>
      </w:r>
      <w:r w:rsidRPr="00737CEC">
        <w:rPr>
          <w:rFonts w:ascii="Century Schoolbook" w:hAnsi="Century Schoolbook"/>
        </w:rPr>
        <w:t>s personnel file that is relevant to the defendant</w:t>
      </w:r>
      <w:r>
        <w:rPr>
          <w:rFonts w:ascii="Century Schoolbook" w:hAnsi="Century Schoolbook"/>
        </w:rPr>
        <w:t>’</w:t>
      </w:r>
      <w:r w:rsidRPr="00737CEC">
        <w:rPr>
          <w:rFonts w:ascii="Century Schoolbook" w:hAnsi="Century Schoolbook"/>
        </w:rPr>
        <w:t xml:space="preserve">s ability to defend against a criminal charge upon a sufficient showing of good cause. </w:t>
      </w:r>
      <w:r>
        <w:rPr>
          <w:rFonts w:ascii="Century Schoolbook" w:hAnsi="Century Schoolbook"/>
        </w:rPr>
        <w:t xml:space="preserve"> </w:t>
      </w:r>
      <w:r w:rsidRPr="00737CEC">
        <w:rPr>
          <w:rFonts w:ascii="Century Schoolbook" w:hAnsi="Century Schoolbook"/>
        </w:rPr>
        <w:t xml:space="preserve">(See </w:t>
      </w:r>
      <w:r w:rsidRPr="00737CEC">
        <w:rPr>
          <w:rFonts w:ascii="Century Schoolbook" w:hAnsi="Century Schoolbook"/>
          <w:i/>
          <w:iCs/>
        </w:rPr>
        <w:t>Association for Los Angeles Deputy Sheriffs</w:t>
      </w:r>
      <w:r w:rsidR="00BA0D61">
        <w:rPr>
          <w:rFonts w:ascii="Century Schoolbook" w:hAnsi="Century Schoolbook"/>
        </w:rPr>
        <w:t> </w:t>
      </w:r>
      <w:r w:rsidRPr="00737CEC">
        <w:rPr>
          <w:rFonts w:ascii="Century Schoolbook" w:hAnsi="Century Schoolbook"/>
          <w:i/>
          <w:iCs/>
        </w:rPr>
        <w:t>v. Superior Court</w:t>
      </w:r>
      <w:r w:rsidRPr="00737CEC">
        <w:rPr>
          <w:rFonts w:ascii="Century Schoolbook" w:hAnsi="Century Schoolbook"/>
        </w:rPr>
        <w:t xml:space="preserve"> (2019) 8 Cal.5th 28, 40–41</w:t>
      </w:r>
      <w:r>
        <w:rPr>
          <w:rFonts w:ascii="Century Schoolbook" w:hAnsi="Century Schoolbook"/>
        </w:rPr>
        <w:t xml:space="preserve"> </w:t>
      </w:r>
      <w:r w:rsidRPr="00737CEC">
        <w:rPr>
          <w:rFonts w:ascii="Century Schoolbook" w:hAnsi="Century Schoolbook"/>
        </w:rPr>
        <w:t>(</w:t>
      </w:r>
      <w:r w:rsidRPr="00737CEC">
        <w:rPr>
          <w:rFonts w:ascii="Century Schoolbook" w:hAnsi="Century Schoolbook"/>
          <w:i/>
          <w:iCs/>
        </w:rPr>
        <w:t>Association for Los Angeles Deputy Sheriffs</w:t>
      </w:r>
      <w:r w:rsidRPr="00737CEC">
        <w:rPr>
          <w:rFonts w:ascii="Century Schoolbook" w:hAnsi="Century Schoolbook"/>
        </w:rPr>
        <w:t>).)</w:t>
      </w:r>
    </w:p>
    <w:p w:rsidR="00737CEC" w:rsidRPr="00737CEC" w:rsidP="0032027A" w14:paraId="3FB673E0" w14:textId="659DC9BF">
      <w:pPr>
        <w:shd w:val="clear" w:color="auto" w:fill="FFFFFF"/>
        <w:rPr>
          <w:rFonts w:ascii="Century Schoolbook" w:hAnsi="Century Schoolbook"/>
        </w:rPr>
      </w:pPr>
      <w:r>
        <w:rPr>
          <w:rFonts w:ascii="Century Schoolbook" w:hAnsi="Century Schoolbook"/>
        </w:rPr>
        <w:tab/>
        <w:t>“</w:t>
      </w:r>
      <w:r w:rsidRPr="00737CEC">
        <w:rPr>
          <w:rFonts w:ascii="Century Schoolbook" w:hAnsi="Century Schoolbook"/>
        </w:rPr>
        <w:t xml:space="preserve">Historically, the so-called </w:t>
      </w:r>
      <w:r w:rsidRPr="00737CEC">
        <w:rPr>
          <w:rFonts w:ascii="Century Schoolbook" w:hAnsi="Century Schoolbook"/>
          <w:i/>
          <w:iCs/>
        </w:rPr>
        <w:t>Pitchess</w:t>
      </w:r>
      <w:r w:rsidRPr="00737CEC">
        <w:rPr>
          <w:rFonts w:ascii="Century Schoolbook" w:hAnsi="Century Schoolbook"/>
        </w:rPr>
        <w:t xml:space="preserve"> statutes were considered an exemption to disclosure under the</w:t>
      </w:r>
      <w:r w:rsidR="0032027A">
        <w:rPr>
          <w:rStyle w:val="contentpasted2"/>
          <w:rFonts w:ascii="Century Schoolbook" w:hAnsi="Century Schoolbook"/>
          <w:color w:val="000000"/>
          <w:shd w:val="clear" w:color="auto" w:fill="FFFFFF"/>
        </w:rPr>
        <w:t xml:space="preserve"> CPRA</w:t>
      </w:r>
      <w:r w:rsidRPr="00737CEC" w:rsidR="007C1A2D">
        <w:rPr>
          <w:rFonts w:ascii="Century Schoolbook" w:hAnsi="Century Schoolbook"/>
        </w:rPr>
        <w:t>.</w:t>
      </w:r>
      <w:r w:rsidR="007C1A2D">
        <w:rPr>
          <w:rFonts w:ascii="Century Schoolbook" w:hAnsi="Century Schoolbook"/>
        </w:rPr>
        <w:t xml:space="preserve"> </w:t>
      </w:r>
      <w:r w:rsidRPr="00737CEC" w:rsidR="007C1A2D">
        <w:rPr>
          <w:rFonts w:ascii="Century Schoolbook" w:hAnsi="Century Schoolbook"/>
        </w:rPr>
        <w:t xml:space="preserve"> </w:t>
      </w:r>
      <w:r w:rsidRPr="00737CEC">
        <w:rPr>
          <w:rFonts w:ascii="Century Schoolbook" w:hAnsi="Century Schoolbook"/>
        </w:rPr>
        <w:t xml:space="preserve">(See </w:t>
      </w:r>
      <w:r w:rsidRPr="008D5F45">
        <w:rPr>
          <w:rFonts w:ascii="Century Schoolbook" w:hAnsi="Century Schoolbook"/>
          <w:i/>
          <w:iCs/>
        </w:rPr>
        <w:t>Copley Press</w:t>
      </w:r>
      <w:r w:rsidR="008D5F45">
        <w:rPr>
          <w:rFonts w:ascii="Century Schoolbook" w:hAnsi="Century Schoolbook"/>
        </w:rPr>
        <w:t xml:space="preserve"> [</w:t>
      </w:r>
      <w:r w:rsidRPr="008D5F45" w:rsidR="008D5F45">
        <w:rPr>
          <w:rFonts w:ascii="Century Schoolbook" w:hAnsi="Century Schoolbook"/>
          <w:i/>
          <w:iCs/>
        </w:rPr>
        <w:t>Inc.,</w:t>
      </w:r>
      <w:r w:rsidR="00FD318D">
        <w:rPr>
          <w:rFonts w:ascii="Century Schoolbook" w:hAnsi="Century Schoolbook"/>
          <w:i/>
          <w:iCs/>
        </w:rPr>
        <w:t> </w:t>
      </w:r>
      <w:r w:rsidRPr="008D5F45" w:rsidR="008D5F45">
        <w:rPr>
          <w:rFonts w:ascii="Century Schoolbook" w:hAnsi="Century Schoolbook"/>
          <w:i/>
          <w:iCs/>
        </w:rPr>
        <w:t>v. Superior Court</w:t>
      </w:r>
      <w:r w:rsidR="008D5F45">
        <w:rPr>
          <w:rFonts w:ascii="Century Schoolbook" w:hAnsi="Century Schoolbook"/>
        </w:rPr>
        <w:t xml:space="preserve"> (2006)] </w:t>
      </w:r>
      <w:r w:rsidRPr="00737CEC">
        <w:rPr>
          <w:rFonts w:ascii="Century Schoolbook" w:hAnsi="Century Schoolbook"/>
        </w:rPr>
        <w:t>39</w:t>
      </w:r>
      <w:r w:rsidR="00FD318D">
        <w:rPr>
          <w:rFonts w:ascii="Century Schoolbook" w:hAnsi="Century Schoolbook"/>
        </w:rPr>
        <w:t> </w:t>
      </w:r>
      <w:r w:rsidRPr="00737CEC">
        <w:rPr>
          <w:rFonts w:ascii="Century Schoolbook" w:hAnsi="Century Schoolbook"/>
        </w:rPr>
        <w:t xml:space="preserve">Cal.4th </w:t>
      </w:r>
      <w:r w:rsidR="008D5F45">
        <w:rPr>
          <w:rFonts w:ascii="Century Schoolbook" w:hAnsi="Century Schoolbook"/>
        </w:rPr>
        <w:t>[1272,]</w:t>
      </w:r>
      <w:r w:rsidRPr="00737CEC">
        <w:rPr>
          <w:rFonts w:ascii="Century Schoolbook" w:hAnsi="Century Schoolbook"/>
        </w:rPr>
        <w:t xml:space="preserve"> 1283 [recognizing </w:t>
      </w:r>
      <w:r w:rsidR="00FB6F2B">
        <w:rPr>
          <w:rFonts w:ascii="Century Schoolbook" w:hAnsi="Century Schoolbook"/>
        </w:rPr>
        <w:t xml:space="preserve">. . . </w:t>
      </w:r>
      <w:r w:rsidRPr="00737CEC">
        <w:rPr>
          <w:rFonts w:ascii="Century Schoolbook" w:hAnsi="Century Schoolbook"/>
        </w:rPr>
        <w:t>§</w:t>
      </w:r>
      <w:r w:rsidR="00AB20C3">
        <w:rPr>
          <w:rFonts w:ascii="Century Schoolbook" w:hAnsi="Century Schoolbook"/>
        </w:rPr>
        <w:t> </w:t>
      </w:r>
      <w:r w:rsidRPr="00737CEC">
        <w:rPr>
          <w:rFonts w:ascii="Century Schoolbook" w:hAnsi="Century Schoolbook"/>
        </w:rPr>
        <w:t>832.7 as an exemption under Gov. Code, §</w:t>
      </w:r>
      <w:r w:rsidR="00AB20C3">
        <w:rPr>
          <w:rFonts w:ascii="Century Schoolbook" w:hAnsi="Century Schoolbook"/>
        </w:rPr>
        <w:t> </w:t>
      </w:r>
      <w:r w:rsidRPr="00737CEC">
        <w:rPr>
          <w:rFonts w:ascii="Century Schoolbook" w:hAnsi="Century Schoolbook"/>
        </w:rPr>
        <w:t xml:space="preserve">6254(k)].) </w:t>
      </w:r>
      <w:r w:rsidR="008D5F45">
        <w:rPr>
          <w:rFonts w:ascii="Century Schoolbook" w:hAnsi="Century Schoolbook"/>
        </w:rPr>
        <w:t xml:space="preserve"> </w:t>
      </w:r>
      <w:r w:rsidRPr="00737CEC">
        <w:rPr>
          <w:rFonts w:ascii="Century Schoolbook" w:hAnsi="Century Schoolbook"/>
        </w:rPr>
        <w:t xml:space="preserve">Before its amendment in 2018, section 832.7 made certain peace officer records and information confidential and nondisclosable in any criminal or civil proceeding except pursuant to discovery under certain provisions of the Evidence Code. </w:t>
      </w:r>
      <w:r w:rsidR="008D5F45">
        <w:rPr>
          <w:rFonts w:ascii="Century Schoolbook" w:hAnsi="Century Schoolbook"/>
        </w:rPr>
        <w:t xml:space="preserve"> </w:t>
      </w:r>
      <w:r w:rsidRPr="00737CEC">
        <w:rPr>
          <w:rFonts w:ascii="Century Schoolbook" w:hAnsi="Century Schoolbook"/>
        </w:rPr>
        <w:t>(See §</w:t>
      </w:r>
      <w:r w:rsidR="00723AC4">
        <w:rPr>
          <w:rFonts w:ascii="Century Schoolbook" w:hAnsi="Century Schoolbook"/>
        </w:rPr>
        <w:t> </w:t>
      </w:r>
      <w:r w:rsidRPr="00737CEC">
        <w:rPr>
          <w:rFonts w:ascii="Century Schoolbook" w:hAnsi="Century Schoolbook"/>
        </w:rPr>
        <w:t>832.7, former subd. (a), as amended by Stats. 2003, ch.</w:t>
      </w:r>
      <w:r w:rsidR="00F26192">
        <w:rPr>
          <w:rFonts w:ascii="Century Schoolbook" w:hAnsi="Century Schoolbook"/>
        </w:rPr>
        <w:t> </w:t>
      </w:r>
      <w:r w:rsidRPr="00737CEC">
        <w:rPr>
          <w:rFonts w:ascii="Century Schoolbook" w:hAnsi="Century Schoolbook"/>
        </w:rPr>
        <w:t>102, §</w:t>
      </w:r>
      <w:r w:rsidR="00470553">
        <w:rPr>
          <w:rFonts w:ascii="Century Schoolbook" w:hAnsi="Century Schoolbook"/>
        </w:rPr>
        <w:t> </w:t>
      </w:r>
      <w:r w:rsidRPr="00737CEC">
        <w:rPr>
          <w:rFonts w:ascii="Century Schoolbook" w:hAnsi="Century Schoolbook"/>
        </w:rPr>
        <w:t xml:space="preserve">1 </w:t>
      </w:r>
      <w:r w:rsidR="00723AC4">
        <w:rPr>
          <w:rFonts w:ascii="Century Schoolbook" w:hAnsi="Century Schoolbook"/>
        </w:rPr>
        <w:t>. . . .</w:t>
      </w:r>
      <w:r w:rsidRPr="00737CEC">
        <w:rPr>
          <w:rFonts w:ascii="Century Schoolbook" w:hAnsi="Century Schoolbook"/>
        </w:rPr>
        <w:t xml:space="preserve">) </w:t>
      </w:r>
      <w:r w:rsidR="008D5F45">
        <w:rPr>
          <w:rFonts w:ascii="Century Schoolbook" w:hAnsi="Century Schoolbook"/>
        </w:rPr>
        <w:t xml:space="preserve"> </w:t>
      </w:r>
      <w:r w:rsidRPr="00737CEC">
        <w:rPr>
          <w:rFonts w:ascii="Century Schoolbook" w:hAnsi="Century Schoolbook"/>
        </w:rPr>
        <w:t xml:space="preserve">The first category of confidential records pertained to </w:t>
      </w:r>
      <w:r w:rsidR="008D5F45">
        <w:rPr>
          <w:rFonts w:ascii="Century Schoolbook" w:hAnsi="Century Schoolbook"/>
        </w:rPr>
        <w:t>‘</w:t>
      </w:r>
      <w:r w:rsidRPr="00737CEC">
        <w:rPr>
          <w:rFonts w:ascii="Century Schoolbook" w:hAnsi="Century Schoolbook"/>
        </w:rPr>
        <w:t>[p]eace officer or custodial officer personnel records,</w:t>
      </w:r>
      <w:r w:rsidR="008D5F45">
        <w:rPr>
          <w:rFonts w:ascii="Century Schoolbook" w:hAnsi="Century Schoolbook"/>
        </w:rPr>
        <w:t>’</w:t>
      </w:r>
      <w:r w:rsidRPr="00737CEC">
        <w:rPr>
          <w:rFonts w:ascii="Century Schoolbook" w:hAnsi="Century Schoolbook"/>
        </w:rPr>
        <w:t xml:space="preserve"> which included among other things certain records that relate to employee discipline or certain complaints and to investigations of complaints pertaining to how the officer performed his or her duties. </w:t>
      </w:r>
      <w:r w:rsidR="008D5F45">
        <w:rPr>
          <w:rFonts w:ascii="Century Schoolbook" w:hAnsi="Century Schoolbook"/>
        </w:rPr>
        <w:t xml:space="preserve"> </w:t>
      </w:r>
      <w:r w:rsidRPr="00737CEC">
        <w:rPr>
          <w:rFonts w:ascii="Century Schoolbook" w:hAnsi="Century Schoolbook"/>
        </w:rPr>
        <w:t>(</w:t>
      </w:r>
      <w:r w:rsidRPr="008D5F45">
        <w:rPr>
          <w:rFonts w:ascii="Century Schoolbook" w:hAnsi="Century Schoolbook"/>
          <w:i/>
          <w:iCs/>
        </w:rPr>
        <w:t>Ibid</w:t>
      </w:r>
      <w:r w:rsidRPr="00737CEC">
        <w:rPr>
          <w:rFonts w:ascii="Century Schoolbook" w:hAnsi="Century Schoolbook"/>
        </w:rPr>
        <w:t>.; see §</w:t>
      </w:r>
      <w:r w:rsidR="00150D27">
        <w:rPr>
          <w:rFonts w:ascii="Century Schoolbook" w:hAnsi="Century Schoolbook"/>
        </w:rPr>
        <w:t> </w:t>
      </w:r>
      <w:r w:rsidRPr="00737CEC">
        <w:rPr>
          <w:rFonts w:ascii="Century Schoolbook" w:hAnsi="Century Schoolbook"/>
        </w:rPr>
        <w:t xml:space="preserve">832.8) The second category consisted of </w:t>
      </w:r>
      <w:r w:rsidR="008D5F45">
        <w:rPr>
          <w:rFonts w:ascii="Century Schoolbook" w:hAnsi="Century Schoolbook"/>
        </w:rPr>
        <w:t>‘</w:t>
      </w:r>
      <w:r w:rsidRPr="00737CEC">
        <w:rPr>
          <w:rFonts w:ascii="Century Schoolbook" w:hAnsi="Century Schoolbook"/>
        </w:rPr>
        <w:t>records maintained by any state or local agency pursuant to section 832.5</w:t>
      </w:r>
      <w:r w:rsidR="008D5F45">
        <w:rPr>
          <w:rFonts w:ascii="Century Schoolbook" w:hAnsi="Century Schoolbook"/>
        </w:rPr>
        <w:t>’</w:t>
      </w:r>
      <w:r w:rsidRPr="00737CEC">
        <w:rPr>
          <w:rFonts w:ascii="Century Schoolbook" w:hAnsi="Century Schoolbook"/>
        </w:rPr>
        <w:t xml:space="preserve"> (§</w:t>
      </w:r>
      <w:r w:rsidR="00470553">
        <w:rPr>
          <w:rFonts w:ascii="Century Schoolbook" w:hAnsi="Century Schoolbook"/>
        </w:rPr>
        <w:t> </w:t>
      </w:r>
      <w:r w:rsidRPr="00737CEC">
        <w:rPr>
          <w:rFonts w:ascii="Century Schoolbook" w:hAnsi="Century Schoolbook"/>
        </w:rPr>
        <w:t xml:space="preserve">832.7, former subd. (a)), which required </w:t>
      </w:r>
      <w:r w:rsidR="008D5F45">
        <w:rPr>
          <w:rFonts w:ascii="Century Schoolbook" w:hAnsi="Century Schoolbook"/>
        </w:rPr>
        <w:t>‘</w:t>
      </w:r>
      <w:r w:rsidRPr="00737CEC">
        <w:rPr>
          <w:rFonts w:ascii="Century Schoolbook" w:hAnsi="Century Schoolbook"/>
        </w:rPr>
        <w:t>[e]ach department or agency in [California] that employs peace officers [to] establish a procedure to investigate complaints by members of the public against the personnel of these departments or agencies</w:t>
      </w:r>
      <w:r w:rsidR="008D5F45">
        <w:rPr>
          <w:rFonts w:ascii="Century Schoolbook" w:hAnsi="Century Schoolbook"/>
        </w:rPr>
        <w:t>’</w:t>
      </w:r>
      <w:r w:rsidRPr="00737CEC">
        <w:rPr>
          <w:rFonts w:ascii="Century Schoolbook" w:hAnsi="Century Schoolbook"/>
        </w:rPr>
        <w:t xml:space="preserve"> and further required such </w:t>
      </w:r>
      <w:r w:rsidR="008D5F45">
        <w:rPr>
          <w:rFonts w:ascii="Century Schoolbook" w:hAnsi="Century Schoolbook"/>
        </w:rPr>
        <w:t>‘</w:t>
      </w:r>
      <w:r w:rsidRPr="00737CEC">
        <w:rPr>
          <w:rFonts w:ascii="Century Schoolbook" w:hAnsi="Century Schoolbook"/>
        </w:rPr>
        <w:t>[c]omplaints and any reports or findings relating</w:t>
      </w:r>
      <w:r w:rsidR="008D5F45">
        <w:rPr>
          <w:rFonts w:ascii="Century Schoolbook" w:hAnsi="Century Schoolbook"/>
        </w:rPr>
        <w:t>’</w:t>
      </w:r>
      <w:r w:rsidRPr="00737CEC">
        <w:rPr>
          <w:rFonts w:ascii="Century Schoolbook" w:hAnsi="Century Schoolbook"/>
        </w:rPr>
        <w:t xml:space="preserve"> to them be retained for </w:t>
      </w:r>
      <w:r w:rsidR="008D5F45">
        <w:rPr>
          <w:rFonts w:ascii="Century Schoolbook" w:hAnsi="Century Schoolbook"/>
        </w:rPr>
        <w:t>‘</w:t>
      </w:r>
      <w:r w:rsidRPr="00737CEC">
        <w:rPr>
          <w:rFonts w:ascii="Century Schoolbook" w:hAnsi="Century Schoolbook"/>
        </w:rPr>
        <w:t>at least five years</w:t>
      </w:r>
      <w:r w:rsidR="008D5F45">
        <w:rPr>
          <w:rFonts w:ascii="Century Schoolbook" w:hAnsi="Century Schoolbook"/>
        </w:rPr>
        <w:t>’</w:t>
      </w:r>
      <w:r w:rsidRPr="00737CEC">
        <w:rPr>
          <w:rFonts w:ascii="Century Schoolbook" w:hAnsi="Century Schoolbook"/>
        </w:rPr>
        <w:t xml:space="preserve"> and </w:t>
      </w:r>
      <w:r w:rsidR="008D5F45">
        <w:rPr>
          <w:rFonts w:ascii="Century Schoolbook" w:hAnsi="Century Schoolbook"/>
        </w:rPr>
        <w:t>‘</w:t>
      </w:r>
      <w:r w:rsidRPr="00737CEC">
        <w:rPr>
          <w:rFonts w:ascii="Century Schoolbook" w:hAnsi="Century Schoolbook"/>
        </w:rPr>
        <w:t>maintained either in the peace or custodial officer</w:t>
      </w:r>
      <w:r w:rsidR="008D5F45">
        <w:rPr>
          <w:rFonts w:ascii="Century Schoolbook" w:hAnsi="Century Schoolbook"/>
        </w:rPr>
        <w:t>’</w:t>
      </w:r>
      <w:r w:rsidRPr="00737CEC">
        <w:rPr>
          <w:rFonts w:ascii="Century Schoolbook" w:hAnsi="Century Schoolbook"/>
        </w:rPr>
        <w:t>s general personnel file or in a separate file</w:t>
      </w:r>
      <w:r w:rsidR="008D5F45">
        <w:rPr>
          <w:rFonts w:ascii="Century Schoolbook" w:hAnsi="Century Schoolbook"/>
        </w:rPr>
        <w:t>’</w:t>
      </w:r>
      <w:r w:rsidRPr="00737CEC">
        <w:rPr>
          <w:rFonts w:ascii="Century Schoolbook" w:hAnsi="Century Schoolbook"/>
        </w:rPr>
        <w:t xml:space="preserve"> (§</w:t>
      </w:r>
      <w:r w:rsidR="00470553">
        <w:rPr>
          <w:rFonts w:ascii="Century Schoolbook" w:hAnsi="Century Schoolbook"/>
        </w:rPr>
        <w:t> </w:t>
      </w:r>
      <w:r w:rsidRPr="00737CEC">
        <w:rPr>
          <w:rFonts w:ascii="Century Schoolbook" w:hAnsi="Century Schoolbook"/>
        </w:rPr>
        <w:t>832.5, subds. (a)(1), (b); see also §</w:t>
      </w:r>
      <w:r w:rsidR="00470553">
        <w:rPr>
          <w:rFonts w:ascii="Century Schoolbook" w:hAnsi="Century Schoolbook"/>
        </w:rPr>
        <w:t> </w:t>
      </w:r>
      <w:r w:rsidRPr="00737CEC">
        <w:rPr>
          <w:rFonts w:ascii="Century Schoolbook" w:hAnsi="Century Schoolbook"/>
        </w:rPr>
        <w:t xml:space="preserve">832.5, subds. (c), (d)(1)). </w:t>
      </w:r>
      <w:r w:rsidR="008D5F45">
        <w:rPr>
          <w:rFonts w:ascii="Century Schoolbook" w:hAnsi="Century Schoolbook"/>
        </w:rPr>
        <w:t xml:space="preserve"> </w:t>
      </w:r>
      <w:r w:rsidRPr="00737CEC">
        <w:rPr>
          <w:rFonts w:ascii="Century Schoolbook" w:hAnsi="Century Schoolbook"/>
        </w:rPr>
        <w:t xml:space="preserve">The third category extended confidentiality to </w:t>
      </w:r>
      <w:r w:rsidR="008D5F45">
        <w:rPr>
          <w:rFonts w:ascii="Century Schoolbook" w:hAnsi="Century Schoolbook"/>
        </w:rPr>
        <w:t>‘</w:t>
      </w:r>
      <w:r w:rsidRPr="00737CEC">
        <w:rPr>
          <w:rFonts w:ascii="Century Schoolbook" w:hAnsi="Century Schoolbook"/>
        </w:rPr>
        <w:t>information obtained from</w:t>
      </w:r>
      <w:r w:rsidR="008D5F45">
        <w:rPr>
          <w:rFonts w:ascii="Century Schoolbook" w:hAnsi="Century Schoolbook"/>
        </w:rPr>
        <w:t>’</w:t>
      </w:r>
      <w:r w:rsidRPr="00737CEC">
        <w:rPr>
          <w:rFonts w:ascii="Century Schoolbook" w:hAnsi="Century Schoolbook"/>
        </w:rPr>
        <w:t xml:space="preserve"> the prior two types of records.</w:t>
      </w:r>
      <w:r w:rsidR="008050CD">
        <w:rPr>
          <w:rFonts w:ascii="Century Schoolbook" w:hAnsi="Century Schoolbook"/>
        </w:rPr>
        <w:t xml:space="preserve"> </w:t>
      </w:r>
      <w:r w:rsidRPr="00737CEC">
        <w:rPr>
          <w:rFonts w:ascii="Century Schoolbook" w:hAnsi="Century Schoolbook"/>
        </w:rPr>
        <w:t xml:space="preserve"> (§</w:t>
      </w:r>
      <w:r w:rsidR="00E06037">
        <w:rPr>
          <w:rFonts w:ascii="Century Schoolbook" w:hAnsi="Century Schoolbook"/>
        </w:rPr>
        <w:t> </w:t>
      </w:r>
      <w:r w:rsidRPr="00737CEC">
        <w:rPr>
          <w:rFonts w:ascii="Century Schoolbook" w:hAnsi="Century Schoolbook"/>
        </w:rPr>
        <w:t xml:space="preserve">832.7, former subd. (a).) </w:t>
      </w:r>
      <w:r w:rsidR="008D5F45">
        <w:rPr>
          <w:rFonts w:ascii="Century Schoolbook" w:hAnsi="Century Schoolbook"/>
        </w:rPr>
        <w:t xml:space="preserve"> </w:t>
      </w:r>
      <w:r w:rsidRPr="00737CEC">
        <w:rPr>
          <w:rFonts w:ascii="Century Schoolbook" w:hAnsi="Century Schoolbook"/>
        </w:rPr>
        <w:t xml:space="preserve">Thus, the </w:t>
      </w:r>
      <w:r w:rsidRPr="008D5F45">
        <w:rPr>
          <w:rFonts w:ascii="Century Schoolbook" w:hAnsi="Century Schoolbook"/>
          <w:i/>
          <w:iCs/>
        </w:rPr>
        <w:t>Pitchess</w:t>
      </w:r>
      <w:r w:rsidRPr="00737CEC">
        <w:rPr>
          <w:rFonts w:ascii="Century Schoolbook" w:hAnsi="Century Schoolbook"/>
        </w:rPr>
        <w:t xml:space="preserve"> statutes </w:t>
      </w:r>
      <w:r w:rsidRPr="00737CEC" w:rsidR="008D5F45">
        <w:rPr>
          <w:rFonts w:ascii="Century Schoolbook" w:hAnsi="Century Schoolbook"/>
        </w:rPr>
        <w:t>‘</w:t>
      </w:r>
      <w:r w:rsidR="00470553">
        <w:rPr>
          <w:rFonts w:ascii="Century Schoolbook" w:hAnsi="Century Schoolbook"/>
        </w:rPr>
        <w:t> </w:t>
      </w:r>
      <w:r w:rsidRPr="00737CEC">
        <w:rPr>
          <w:rFonts w:ascii="Century Schoolbook" w:hAnsi="Century Schoolbook"/>
        </w:rPr>
        <w:t>“reflect[ ] the Legislature</w:t>
      </w:r>
      <w:r w:rsidR="008D5F45">
        <w:rPr>
          <w:rFonts w:ascii="Century Schoolbook" w:hAnsi="Century Schoolbook"/>
        </w:rPr>
        <w:t>’</w:t>
      </w:r>
      <w:r w:rsidRPr="00737CEC">
        <w:rPr>
          <w:rFonts w:ascii="Century Schoolbook" w:hAnsi="Century Schoolbook"/>
        </w:rPr>
        <w:t>s attempt to balance a litigant</w:t>
      </w:r>
      <w:r w:rsidR="008D5F45">
        <w:rPr>
          <w:rFonts w:ascii="Century Schoolbook" w:hAnsi="Century Schoolbook"/>
        </w:rPr>
        <w:t>’</w:t>
      </w:r>
      <w:r w:rsidRPr="00737CEC">
        <w:rPr>
          <w:rFonts w:ascii="Century Schoolbook" w:hAnsi="Century Schoolbook"/>
        </w:rPr>
        <w:t>s discovery interest with an officer</w:t>
      </w:r>
      <w:r w:rsidR="008D5F45">
        <w:rPr>
          <w:rFonts w:ascii="Century Schoolbook" w:hAnsi="Century Schoolbook"/>
        </w:rPr>
        <w:t>’</w:t>
      </w:r>
      <w:r w:rsidRPr="00737CEC">
        <w:rPr>
          <w:rFonts w:ascii="Century Schoolbook" w:hAnsi="Century Schoolbook"/>
        </w:rPr>
        <w:t>s confidentiality interest.</w:t>
      </w:r>
      <w:r w:rsidRPr="00737CEC" w:rsidR="008D5F45">
        <w:rPr>
          <w:rFonts w:ascii="Century Schoolbook" w:hAnsi="Century Schoolbook"/>
        </w:rPr>
        <w:t>”</w:t>
      </w:r>
      <w:r w:rsidR="00470553">
        <w:rPr>
          <w:rFonts w:ascii="Century Schoolbook" w:hAnsi="Century Schoolbook"/>
        </w:rPr>
        <w:t> </w:t>
      </w:r>
      <w:r w:rsidRPr="00737CEC">
        <w:rPr>
          <w:rFonts w:ascii="Century Schoolbook" w:hAnsi="Century Schoolbook"/>
        </w:rPr>
        <w:t xml:space="preserve">’ </w:t>
      </w:r>
      <w:r w:rsidR="008D5F45">
        <w:rPr>
          <w:rFonts w:ascii="Century Schoolbook" w:hAnsi="Century Schoolbook"/>
        </w:rPr>
        <w:t xml:space="preserve"> </w:t>
      </w:r>
      <w:r w:rsidRPr="00737CEC">
        <w:rPr>
          <w:rFonts w:ascii="Century Schoolbook" w:hAnsi="Century Schoolbook"/>
        </w:rPr>
        <w:t>(</w:t>
      </w:r>
      <w:r w:rsidRPr="00EF03F3">
        <w:rPr>
          <w:rFonts w:ascii="Century Schoolbook" w:hAnsi="Century Schoolbook"/>
          <w:i/>
          <w:iCs/>
        </w:rPr>
        <w:t>Association for Los Angeles Deputy Sheriffs</w:t>
      </w:r>
      <w:r w:rsidRPr="00737CEC">
        <w:rPr>
          <w:rFonts w:ascii="Century Schoolbook" w:hAnsi="Century Schoolbook"/>
        </w:rPr>
        <w:t xml:space="preserve">, </w:t>
      </w:r>
      <w:r w:rsidRPr="00EF03F3">
        <w:rPr>
          <w:rFonts w:ascii="Century Schoolbook" w:hAnsi="Century Schoolbook"/>
          <w:i/>
          <w:iCs/>
        </w:rPr>
        <w:t>supra</w:t>
      </w:r>
      <w:r w:rsidRPr="00737CEC">
        <w:rPr>
          <w:rFonts w:ascii="Century Schoolbook" w:hAnsi="Century Schoolbook"/>
        </w:rPr>
        <w:t>, 8 Cal.5th at p.</w:t>
      </w:r>
      <w:r w:rsidR="003A5E65">
        <w:rPr>
          <w:rFonts w:ascii="Century Schoolbook" w:hAnsi="Century Schoolbook"/>
        </w:rPr>
        <w:t> </w:t>
      </w:r>
      <w:r w:rsidRPr="00737CEC">
        <w:rPr>
          <w:rFonts w:ascii="Century Schoolbook" w:hAnsi="Century Schoolbook"/>
        </w:rPr>
        <w:t>41.)</w:t>
      </w:r>
    </w:p>
    <w:p w:rsidR="00737CEC" w:rsidP="00F94175" w14:paraId="56CCA649" w14:textId="38129B8F">
      <w:pPr>
        <w:rPr>
          <w:rFonts w:ascii="Century Schoolbook" w:hAnsi="Century Schoolbook"/>
        </w:rPr>
      </w:pPr>
      <w:r>
        <w:rPr>
          <w:rFonts w:ascii="Century Schoolbook" w:hAnsi="Century Schoolbook"/>
        </w:rPr>
        <w:tab/>
      </w:r>
      <w:r w:rsidR="00EF03F3">
        <w:rPr>
          <w:rFonts w:ascii="Century Schoolbook" w:hAnsi="Century Schoolbook"/>
        </w:rPr>
        <w:t>“</w:t>
      </w:r>
      <w:r w:rsidRPr="00737CEC">
        <w:rPr>
          <w:rFonts w:ascii="Century Schoolbook" w:hAnsi="Century Schoolbook"/>
        </w:rPr>
        <w:t>In 2018, the Governor signed Senate Bill No.</w:t>
      </w:r>
      <w:r w:rsidR="003A5E65">
        <w:rPr>
          <w:rFonts w:ascii="Century Schoolbook" w:hAnsi="Century Schoolbook"/>
        </w:rPr>
        <w:t> </w:t>
      </w:r>
      <w:r w:rsidRPr="00737CEC">
        <w:rPr>
          <w:rFonts w:ascii="Century Schoolbook" w:hAnsi="Century Schoolbook"/>
        </w:rPr>
        <w:t xml:space="preserve">1421 </w:t>
      </w:r>
      <w:r w:rsidR="00221985">
        <w:rPr>
          <w:rFonts w:ascii="Century Schoolbook" w:hAnsi="Century Schoolbook"/>
        </w:rPr>
        <w:t>[(Senate Bill No.</w:t>
      </w:r>
      <w:r w:rsidR="00F07F1D">
        <w:rPr>
          <w:rFonts w:ascii="Century Schoolbook" w:hAnsi="Century Schoolbook"/>
        </w:rPr>
        <w:t> </w:t>
      </w:r>
      <w:r w:rsidR="00221985">
        <w:rPr>
          <w:rFonts w:ascii="Century Schoolbook" w:hAnsi="Century Schoolbook"/>
        </w:rPr>
        <w:t>1421)]</w:t>
      </w:r>
      <w:r w:rsidRPr="00737CEC">
        <w:rPr>
          <w:rFonts w:ascii="Century Schoolbook" w:hAnsi="Century Schoolbook"/>
        </w:rPr>
        <w:t xml:space="preserve">, which amended section 832.7. </w:t>
      </w:r>
      <w:r w:rsidR="00EF03F3">
        <w:rPr>
          <w:rFonts w:ascii="Century Schoolbook" w:hAnsi="Century Schoolbook"/>
        </w:rPr>
        <w:t xml:space="preserve"> </w:t>
      </w:r>
      <w:r w:rsidRPr="00737CEC">
        <w:rPr>
          <w:rFonts w:ascii="Century Schoolbook" w:hAnsi="Century Schoolbook"/>
        </w:rPr>
        <w:t>(§</w:t>
      </w:r>
      <w:r w:rsidR="00F07F1D">
        <w:rPr>
          <w:rFonts w:ascii="Century Schoolbook" w:hAnsi="Century Schoolbook"/>
        </w:rPr>
        <w:t> </w:t>
      </w:r>
      <w:r w:rsidRPr="00737CEC">
        <w:rPr>
          <w:rFonts w:ascii="Century Schoolbook" w:hAnsi="Century Schoolbook"/>
        </w:rPr>
        <w:t>832.7, as amended by Stats. 2018, ch.</w:t>
      </w:r>
      <w:r w:rsidR="00F07F1D">
        <w:rPr>
          <w:rFonts w:ascii="Century Schoolbook" w:hAnsi="Century Schoolbook"/>
        </w:rPr>
        <w:t> </w:t>
      </w:r>
      <w:r w:rsidRPr="00737CEC">
        <w:rPr>
          <w:rFonts w:ascii="Century Schoolbook" w:hAnsi="Century Schoolbook"/>
        </w:rPr>
        <w:t>988, §</w:t>
      </w:r>
      <w:r w:rsidR="00F07F1D">
        <w:rPr>
          <w:rFonts w:ascii="Century Schoolbook" w:hAnsi="Century Schoolbook"/>
        </w:rPr>
        <w:t> </w:t>
      </w:r>
      <w:r w:rsidRPr="00737CEC">
        <w:rPr>
          <w:rFonts w:ascii="Century Schoolbook" w:hAnsi="Century Schoolbook"/>
        </w:rPr>
        <w:t>2, eff. Jan.</w:t>
      </w:r>
      <w:r w:rsidR="00E06037">
        <w:rPr>
          <w:rFonts w:ascii="Century Schoolbook" w:hAnsi="Century Schoolbook"/>
        </w:rPr>
        <w:t> </w:t>
      </w:r>
      <w:r w:rsidRPr="00737CEC">
        <w:rPr>
          <w:rFonts w:ascii="Century Schoolbook" w:hAnsi="Century Schoolbook"/>
        </w:rPr>
        <w:t xml:space="preserve">1, 2019.) </w:t>
      </w:r>
      <w:r w:rsidR="00EF03F3">
        <w:rPr>
          <w:rFonts w:ascii="Century Schoolbook" w:hAnsi="Century Schoolbook"/>
        </w:rPr>
        <w:t xml:space="preserve"> </w:t>
      </w:r>
      <w:r w:rsidRPr="00737CEC">
        <w:rPr>
          <w:rFonts w:ascii="Century Schoolbook" w:hAnsi="Century Schoolbook"/>
        </w:rPr>
        <w:t xml:space="preserve">Under Senate Bill </w:t>
      </w:r>
      <w:r w:rsidR="00EB2C73">
        <w:rPr>
          <w:rFonts w:ascii="Century Schoolbook" w:hAnsi="Century Schoolbook"/>
        </w:rPr>
        <w:t xml:space="preserve">[No.] </w:t>
      </w:r>
      <w:r w:rsidRPr="00737CEC">
        <w:rPr>
          <w:rFonts w:ascii="Century Schoolbook" w:hAnsi="Century Schoolbook"/>
        </w:rPr>
        <w:t xml:space="preserve">1421, section 832.7 retains the provision that </w:t>
      </w:r>
      <w:r w:rsidR="00EF03F3">
        <w:rPr>
          <w:rFonts w:ascii="Century Schoolbook" w:hAnsi="Century Schoolbook"/>
        </w:rPr>
        <w:t>‘</w:t>
      </w:r>
      <w:r w:rsidRPr="00737CEC">
        <w:rPr>
          <w:rFonts w:ascii="Century Schoolbook" w:hAnsi="Century Schoolbook"/>
        </w:rPr>
        <w:t>personnel records of peace officers and custodial officers and records maintained by any state or local agency pursuant to Section 832.5, or information obtained from these records, are confidential and shall not be disclosed</w:t>
      </w:r>
      <w:r w:rsidR="00EF03F3">
        <w:rPr>
          <w:rFonts w:ascii="Century Schoolbook" w:hAnsi="Century Schoolbook"/>
        </w:rPr>
        <w:t>’</w:t>
      </w:r>
      <w:r w:rsidRPr="00737CEC">
        <w:rPr>
          <w:rFonts w:ascii="Century Schoolbook" w:hAnsi="Century Schoolbook"/>
        </w:rPr>
        <w:t xml:space="preserve"> in any criminal or civil proceeding except pursuant to discovery under certain portions of the Evidence Code. </w:t>
      </w:r>
      <w:r w:rsidR="00EF03F3">
        <w:rPr>
          <w:rFonts w:ascii="Century Schoolbook" w:hAnsi="Century Schoolbook"/>
        </w:rPr>
        <w:t xml:space="preserve"> </w:t>
      </w:r>
      <w:r w:rsidRPr="00737CEC">
        <w:rPr>
          <w:rFonts w:ascii="Century Schoolbook" w:hAnsi="Century Schoolbook"/>
        </w:rPr>
        <w:t>(§</w:t>
      </w:r>
      <w:r w:rsidR="00C755C8">
        <w:rPr>
          <w:rFonts w:ascii="Century Schoolbook" w:hAnsi="Century Schoolbook"/>
        </w:rPr>
        <w:t> </w:t>
      </w:r>
      <w:r w:rsidRPr="00737CEC">
        <w:rPr>
          <w:rFonts w:ascii="Century Schoolbook" w:hAnsi="Century Schoolbook"/>
        </w:rPr>
        <w:t xml:space="preserve">832.7, subdivision (a) </w:t>
      </w:r>
      <w:r w:rsidR="00D465F9">
        <w:rPr>
          <w:rFonts w:ascii="Century Schoolbook" w:hAnsi="Century Schoolbook"/>
        </w:rPr>
        <w:t>. . .</w:t>
      </w:r>
      <w:r w:rsidR="00FE2475">
        <w:rPr>
          <w:rFonts w:ascii="Century Schoolbook" w:hAnsi="Century Schoolbook"/>
        </w:rPr>
        <w:t xml:space="preserve"> </w:t>
      </w:r>
      <w:r w:rsidRPr="00737CEC">
        <w:rPr>
          <w:rFonts w:ascii="Century Schoolbook" w:hAnsi="Century Schoolbook"/>
        </w:rPr>
        <w:t>; see also §</w:t>
      </w:r>
      <w:r w:rsidR="003A5E65">
        <w:rPr>
          <w:rFonts w:ascii="Century Schoolbook" w:hAnsi="Century Schoolbook"/>
        </w:rPr>
        <w:t> </w:t>
      </w:r>
      <w:r w:rsidRPr="00737CEC">
        <w:rPr>
          <w:rFonts w:ascii="Century Schoolbook" w:hAnsi="Century Schoolbook"/>
        </w:rPr>
        <w:t xml:space="preserve">832.7, subd. (h).) </w:t>
      </w:r>
      <w:r w:rsidR="00EF03F3">
        <w:rPr>
          <w:rFonts w:ascii="Century Schoolbook" w:hAnsi="Century Schoolbook"/>
        </w:rPr>
        <w:t xml:space="preserve"> </w:t>
      </w:r>
      <w:r w:rsidRPr="00737CEC">
        <w:rPr>
          <w:rFonts w:ascii="Century Schoolbook" w:hAnsi="Century Schoolbook"/>
        </w:rPr>
        <w:t>As amended, however, section 832.7</w:t>
      </w:r>
      <w:r w:rsidR="00BE5D82">
        <w:rPr>
          <w:rFonts w:ascii="Century Schoolbook" w:hAnsi="Century Schoolbook"/>
        </w:rPr>
        <w:t xml:space="preserve"> [subdivision] </w:t>
      </w:r>
      <w:r w:rsidRPr="00737CEC">
        <w:rPr>
          <w:rFonts w:ascii="Century Schoolbook" w:hAnsi="Century Schoolbook"/>
        </w:rPr>
        <w:t xml:space="preserve">(a) now provides that the confidentiality of officer personnel records is subject to a newly added subdivision (b) </w:t>
      </w:r>
      <w:r w:rsidR="00D465F9">
        <w:rPr>
          <w:rFonts w:ascii="Century Schoolbook" w:hAnsi="Century Schoolbook"/>
        </w:rPr>
        <w:t>. . .</w:t>
      </w:r>
      <w:r w:rsidR="00FE2475">
        <w:rPr>
          <w:rFonts w:ascii="Century Schoolbook" w:hAnsi="Century Schoolbook"/>
        </w:rPr>
        <w:t xml:space="preserve"> </w:t>
      </w:r>
      <w:r w:rsidRPr="00737CEC">
        <w:rPr>
          <w:rFonts w:ascii="Century Schoolbook" w:hAnsi="Century Schoolbook"/>
        </w:rPr>
        <w:t xml:space="preserve">, which states in relevant part: </w:t>
      </w:r>
      <w:r w:rsidR="00EF03F3">
        <w:rPr>
          <w:rFonts w:ascii="Century Schoolbook" w:hAnsi="Century Schoolbook"/>
        </w:rPr>
        <w:t xml:space="preserve"> ‘</w:t>
      </w:r>
      <w:r w:rsidRPr="00737CEC">
        <w:rPr>
          <w:rFonts w:ascii="Century Schoolbook" w:hAnsi="Century Schoolbook"/>
        </w:rPr>
        <w:t xml:space="preserve">Notwithstanding subdivision (a) [of section 832.7], subdivision (f) of </w:t>
      </w:r>
      <w:r w:rsidR="00976E5E">
        <w:rPr>
          <w:rFonts w:ascii="Century Schoolbook" w:hAnsi="Century Schoolbook"/>
        </w:rPr>
        <w:t xml:space="preserve">[former] </w:t>
      </w:r>
      <w:r w:rsidRPr="00737CEC">
        <w:rPr>
          <w:rFonts w:ascii="Century Schoolbook" w:hAnsi="Century Schoolbook"/>
        </w:rPr>
        <w:t xml:space="preserve">Section 6254 of the Government Code, or any other law, the following peace officer or custodial officer personnel records and records maintained by any state or local agency shall not be confidential and shall be made available for public inspection pursuant to the California Public Records Act (Chapter 3.5 (commencing with </w:t>
      </w:r>
      <w:r w:rsidR="00C053D6">
        <w:rPr>
          <w:rFonts w:ascii="Century Schoolbook" w:hAnsi="Century Schoolbook"/>
        </w:rPr>
        <w:t xml:space="preserve">[former] </w:t>
      </w:r>
      <w:r w:rsidRPr="00737CEC">
        <w:rPr>
          <w:rFonts w:ascii="Century Schoolbook" w:hAnsi="Century Schoolbook"/>
        </w:rPr>
        <w:t xml:space="preserve">Section 6250) of Division 7 of Title 1 of the Government Code)” </w:t>
      </w:r>
      <w:r w:rsidR="00EF03F3">
        <w:rPr>
          <w:rFonts w:ascii="Century Schoolbook" w:hAnsi="Century Schoolbook"/>
        </w:rPr>
        <w:t xml:space="preserve"> </w:t>
      </w:r>
      <w:r w:rsidRPr="00737CEC">
        <w:rPr>
          <w:rFonts w:ascii="Century Schoolbook" w:hAnsi="Century Schoolbook"/>
        </w:rPr>
        <w:t>(§</w:t>
      </w:r>
      <w:r w:rsidR="00643394">
        <w:rPr>
          <w:rFonts w:ascii="Century Schoolbook" w:hAnsi="Century Schoolbook"/>
        </w:rPr>
        <w:t> </w:t>
      </w:r>
      <w:r w:rsidRPr="00737CEC">
        <w:rPr>
          <w:rFonts w:ascii="Century Schoolbook" w:hAnsi="Century Schoolbook"/>
        </w:rPr>
        <w:t xml:space="preserve">832.7, </w:t>
      </w:r>
      <w:r w:rsidR="007665A6">
        <w:rPr>
          <w:rFonts w:ascii="Century Schoolbook" w:hAnsi="Century Schoolbook"/>
        </w:rPr>
        <w:t>[</w:t>
      </w:r>
      <w:r w:rsidRPr="00737CEC">
        <w:rPr>
          <w:rFonts w:ascii="Century Schoolbook" w:hAnsi="Century Schoolbook"/>
        </w:rPr>
        <w:t>subd.</w:t>
      </w:r>
      <w:r w:rsidR="007665A6">
        <w:rPr>
          <w:rFonts w:ascii="Century Schoolbook" w:hAnsi="Century Schoolbook"/>
        </w:rPr>
        <w:t>]</w:t>
      </w:r>
      <w:r w:rsidRPr="00737CEC">
        <w:rPr>
          <w:rFonts w:ascii="Century Schoolbook" w:hAnsi="Century Schoolbook"/>
        </w:rPr>
        <w:t xml:space="preserve"> (b)(1), namely</w:t>
      </w:r>
      <w:r w:rsidR="00E27148">
        <w:rPr>
          <w:rFonts w:ascii="Century Schoolbook" w:hAnsi="Century Schoolbook"/>
        </w:rPr>
        <w:t xml:space="preserve"> </w:t>
      </w:r>
      <w:r w:rsidRPr="00CA39F0" w:rsidR="00CA39F0">
        <w:rPr>
          <w:rFonts w:ascii="Century Schoolbook" w:hAnsi="Century Schoolbook"/>
        </w:rPr>
        <w:t xml:space="preserve">records </w:t>
      </w:r>
      <w:r w:rsidR="00CA39F0">
        <w:rPr>
          <w:rFonts w:ascii="Century Schoolbook" w:hAnsi="Century Schoolbook"/>
        </w:rPr>
        <w:t>‘</w:t>
      </w:r>
      <w:r w:rsidRPr="00CA39F0" w:rsidR="00CA39F0">
        <w:rPr>
          <w:rFonts w:ascii="Century Schoolbook" w:hAnsi="Century Schoolbook"/>
        </w:rPr>
        <w:t>relating to the report, investigation, or findings</w:t>
      </w:r>
      <w:r w:rsidR="00CA39F0">
        <w:rPr>
          <w:rFonts w:ascii="Century Schoolbook" w:hAnsi="Century Schoolbook"/>
        </w:rPr>
        <w:t>’</w:t>
      </w:r>
      <w:r w:rsidRPr="00CA39F0" w:rsidR="00CA39F0">
        <w:rPr>
          <w:rFonts w:ascii="Century Schoolbook" w:hAnsi="Century Schoolbook"/>
        </w:rPr>
        <w:t xml:space="preserve"> of an incident falling into any of the following three categories: </w:t>
      </w:r>
      <w:r w:rsidR="00CA39F0">
        <w:rPr>
          <w:rFonts w:ascii="Century Schoolbook" w:hAnsi="Century Schoolbook"/>
        </w:rPr>
        <w:t xml:space="preserve"> </w:t>
      </w:r>
      <w:r w:rsidRPr="00CA39F0" w:rsidR="00CA39F0">
        <w:rPr>
          <w:rFonts w:ascii="Century Schoolbook" w:hAnsi="Century Schoolbook"/>
        </w:rPr>
        <w:t>(1)</w:t>
      </w:r>
      <w:r w:rsidR="00103287">
        <w:rPr>
          <w:rFonts w:ascii="Century Schoolbook" w:hAnsi="Century Schoolbook"/>
        </w:rPr>
        <w:t> </w:t>
      </w:r>
      <w:r w:rsidRPr="00CA39F0" w:rsidR="00CA39F0">
        <w:rPr>
          <w:rFonts w:ascii="Century Schoolbook" w:hAnsi="Century Schoolbook"/>
        </w:rPr>
        <w:t>an incident in which an officer discharged a firearm at a person or used force against a person resulting in death or great bodily injury (§</w:t>
      </w:r>
      <w:r w:rsidR="00721AFA">
        <w:rPr>
          <w:rFonts w:ascii="Century Schoolbook" w:hAnsi="Century Schoolbook"/>
        </w:rPr>
        <w:t> </w:t>
      </w:r>
      <w:r w:rsidRPr="00CA39F0" w:rsidR="00CA39F0">
        <w:rPr>
          <w:rFonts w:ascii="Century Schoolbook" w:hAnsi="Century Schoolbook"/>
        </w:rPr>
        <w:t xml:space="preserve">832.7, </w:t>
      </w:r>
      <w:r w:rsidR="00721AFA">
        <w:rPr>
          <w:rFonts w:ascii="Century Schoolbook" w:hAnsi="Century Schoolbook"/>
        </w:rPr>
        <w:t>[</w:t>
      </w:r>
      <w:r w:rsidRPr="00CA39F0" w:rsidR="00CA39F0">
        <w:rPr>
          <w:rFonts w:ascii="Century Schoolbook" w:hAnsi="Century Schoolbook"/>
        </w:rPr>
        <w:t>subd.</w:t>
      </w:r>
      <w:r w:rsidR="00721AFA">
        <w:rPr>
          <w:rFonts w:ascii="Century Schoolbook" w:hAnsi="Century Schoolbook"/>
        </w:rPr>
        <w:t>]</w:t>
      </w:r>
      <w:r w:rsidRPr="00CA39F0" w:rsidR="00CA39F0">
        <w:rPr>
          <w:rFonts w:ascii="Century Schoolbook" w:hAnsi="Century Schoolbook"/>
        </w:rPr>
        <w:t xml:space="preserve"> (b)(1)(A)(i), (ii)); (2) </w:t>
      </w:r>
      <w:r w:rsidR="00CA39F0">
        <w:rPr>
          <w:rFonts w:ascii="Century Schoolbook" w:hAnsi="Century Schoolbook"/>
        </w:rPr>
        <w:t>‘</w:t>
      </w:r>
      <w:r w:rsidRPr="00CA39F0" w:rsidR="00CA39F0">
        <w:rPr>
          <w:rFonts w:ascii="Century Schoolbook" w:hAnsi="Century Schoolbook"/>
        </w:rPr>
        <w:t>an incident in which a sustained finding was made by any law enforcement agency or oversight agency</w:t>
      </w:r>
      <w:r w:rsidR="00CA39F0">
        <w:rPr>
          <w:rFonts w:ascii="Century Schoolbook" w:hAnsi="Century Schoolbook"/>
        </w:rPr>
        <w:t>’</w:t>
      </w:r>
      <w:r w:rsidRPr="00CA39F0" w:rsidR="00CA39F0">
        <w:rPr>
          <w:rFonts w:ascii="Century Schoolbook" w:hAnsi="Century Schoolbook"/>
        </w:rPr>
        <w:t xml:space="preserve"> that an officer </w:t>
      </w:r>
      <w:r w:rsidR="00CA39F0">
        <w:rPr>
          <w:rFonts w:ascii="Century Schoolbook" w:hAnsi="Century Schoolbook"/>
        </w:rPr>
        <w:t>‘</w:t>
      </w:r>
      <w:r w:rsidRPr="00CA39F0" w:rsidR="00CA39F0">
        <w:rPr>
          <w:rFonts w:ascii="Century Schoolbook" w:hAnsi="Century Schoolbook"/>
        </w:rPr>
        <w:t>engaged in sexual assault</w:t>
      </w:r>
      <w:r w:rsidRPr="00FE2475" w:rsidR="00FE2475">
        <w:rPr>
          <w:rFonts w:ascii="Century Schoolbook" w:hAnsi="Century Schoolbook"/>
          <w:vertAlign w:val="superscript"/>
        </w:rPr>
        <w:t>[</w:t>
      </w:r>
      <w:r>
        <w:rPr>
          <w:rStyle w:val="FootnoteReference"/>
          <w:rFonts w:ascii="Century Schoolbook" w:hAnsi="Century Schoolbook"/>
        </w:rPr>
        <w:footnoteReference w:id="6"/>
      </w:r>
      <w:r w:rsidRPr="00FE2475" w:rsidR="00FE2475">
        <w:rPr>
          <w:rFonts w:ascii="Century Schoolbook" w:hAnsi="Century Schoolbook"/>
          <w:vertAlign w:val="superscript"/>
        </w:rPr>
        <w:t>]</w:t>
      </w:r>
      <w:r w:rsidRPr="00CA39F0" w:rsidR="00CA39F0">
        <w:rPr>
          <w:rFonts w:ascii="Century Schoolbook" w:hAnsi="Century Schoolbook"/>
        </w:rPr>
        <w:t xml:space="preserve"> involving a member of the public</w:t>
      </w:r>
      <w:r w:rsidR="00CA39F0">
        <w:rPr>
          <w:rFonts w:ascii="Century Schoolbook" w:hAnsi="Century Schoolbook"/>
        </w:rPr>
        <w:t>’</w:t>
      </w:r>
      <w:r w:rsidRPr="00CA39F0" w:rsidR="00CA39F0">
        <w:rPr>
          <w:rFonts w:ascii="Century Schoolbook" w:hAnsi="Century Schoolbook"/>
        </w:rPr>
        <w:t xml:space="preserve"> (§</w:t>
      </w:r>
      <w:r w:rsidR="00E021A5">
        <w:rPr>
          <w:rFonts w:ascii="Century Schoolbook" w:hAnsi="Century Schoolbook"/>
        </w:rPr>
        <w:t> </w:t>
      </w:r>
      <w:r w:rsidRPr="00CA39F0" w:rsidR="00CA39F0">
        <w:rPr>
          <w:rFonts w:ascii="Century Schoolbook" w:hAnsi="Century Schoolbook"/>
        </w:rPr>
        <w:t xml:space="preserve">832.7, </w:t>
      </w:r>
      <w:r w:rsidR="00C01891">
        <w:rPr>
          <w:rFonts w:ascii="Century Schoolbook" w:hAnsi="Century Schoolbook"/>
        </w:rPr>
        <w:t>[</w:t>
      </w:r>
      <w:r w:rsidRPr="00CA39F0" w:rsidR="00CA39F0">
        <w:rPr>
          <w:rFonts w:ascii="Century Schoolbook" w:hAnsi="Century Schoolbook"/>
        </w:rPr>
        <w:t>subd.</w:t>
      </w:r>
      <w:r w:rsidR="007524DD">
        <w:rPr>
          <w:rFonts w:ascii="Century Schoolbook" w:hAnsi="Century Schoolbook"/>
        </w:rPr>
        <w:t>]</w:t>
      </w:r>
      <w:r w:rsidRPr="00CA39F0" w:rsidR="00CA39F0">
        <w:rPr>
          <w:rFonts w:ascii="Century Schoolbook" w:hAnsi="Century Schoolbook"/>
        </w:rPr>
        <w:t xml:space="preserve"> (b)(1)(B)(i)</w:t>
      </w:r>
      <w:r w:rsidR="007524DD">
        <w:rPr>
          <w:rFonts w:ascii="Century Schoolbook" w:hAnsi="Century Schoolbook"/>
        </w:rPr>
        <w:t>[</w:t>
      </w:r>
      <w:r w:rsidRPr="00CA39F0" w:rsidR="00CA39F0">
        <w:rPr>
          <w:rFonts w:ascii="Century Schoolbook" w:hAnsi="Century Schoolbook"/>
        </w:rPr>
        <w:t>–</w:t>
      </w:r>
      <w:r w:rsidR="007524DD">
        <w:rPr>
          <w:rFonts w:ascii="Century Schoolbook" w:hAnsi="Century Schoolbook"/>
        </w:rPr>
        <w:t>]</w:t>
      </w:r>
      <w:r w:rsidRPr="00CA39F0" w:rsidR="00CA39F0">
        <w:rPr>
          <w:rFonts w:ascii="Century Schoolbook" w:hAnsi="Century Schoolbook"/>
        </w:rPr>
        <w:t xml:space="preserve">(iii)); and (3) </w:t>
      </w:r>
      <w:r w:rsidR="00CA39F0">
        <w:rPr>
          <w:rFonts w:ascii="Century Schoolbook" w:hAnsi="Century Schoolbook"/>
        </w:rPr>
        <w:t>‘</w:t>
      </w:r>
      <w:r w:rsidRPr="00CA39F0" w:rsidR="00CA39F0">
        <w:rPr>
          <w:rFonts w:ascii="Century Schoolbook" w:hAnsi="Century Schoolbook"/>
        </w:rPr>
        <w:t>an incident in which a sustained finding was made by any law enforcement agency or oversight agency of dishonesty by a peace officer or custodial officer directly relating to the reporting, investigation, or prosecution of a crime, or directly relating to the reporting of, or investigation of misconduct by, another peace officer or custodial officer, including, but not limited to, any sustained finding of perjury, false statements, filing false reports, destruction, falsifying, or concealing of evidence</w:t>
      </w:r>
      <w:r w:rsidR="00CA39F0">
        <w:rPr>
          <w:rFonts w:ascii="Century Schoolbook" w:hAnsi="Century Schoolbook"/>
        </w:rPr>
        <w:t>’</w:t>
      </w:r>
      <w:r w:rsidRPr="00CA39F0" w:rsidR="00CA39F0">
        <w:rPr>
          <w:rFonts w:ascii="Century Schoolbook" w:hAnsi="Century Schoolbook"/>
        </w:rPr>
        <w:t xml:space="preserve"> (§</w:t>
      </w:r>
      <w:r w:rsidR="00787AE0">
        <w:rPr>
          <w:rFonts w:ascii="Century Schoolbook" w:hAnsi="Century Schoolbook"/>
        </w:rPr>
        <w:t> </w:t>
      </w:r>
      <w:r w:rsidRPr="00CA39F0" w:rsidR="00CA39F0">
        <w:rPr>
          <w:rFonts w:ascii="Century Schoolbook" w:hAnsi="Century Schoolbook"/>
        </w:rPr>
        <w:t>832.7, subd. (b)(1)(C)).</w:t>
      </w:r>
      <w:r w:rsidR="00CA39F0">
        <w:rPr>
          <w:rFonts w:ascii="Century Schoolbook" w:hAnsi="Century Schoolbook"/>
        </w:rPr>
        <w:t>”  (</w:t>
      </w:r>
      <w:r w:rsidRPr="00CA39F0" w:rsidR="00CA39F0">
        <w:rPr>
          <w:rFonts w:ascii="Century Schoolbook" w:hAnsi="Century Schoolbook"/>
          <w:i/>
          <w:iCs/>
        </w:rPr>
        <w:t>Becerra</w:t>
      </w:r>
      <w:r w:rsidR="00CA39F0">
        <w:rPr>
          <w:rFonts w:ascii="Century Schoolbook" w:hAnsi="Century Schoolbook"/>
        </w:rPr>
        <w:t xml:space="preserve">, </w:t>
      </w:r>
      <w:r w:rsidRPr="00CA39F0" w:rsidR="00CA39F0">
        <w:rPr>
          <w:rFonts w:ascii="Century Schoolbook" w:hAnsi="Century Schoolbook"/>
          <w:i/>
          <w:iCs/>
        </w:rPr>
        <w:t>supra</w:t>
      </w:r>
      <w:r w:rsidR="00CA39F0">
        <w:rPr>
          <w:rFonts w:ascii="Century Schoolbook" w:hAnsi="Century Schoolbook"/>
        </w:rPr>
        <w:t>, 44</w:t>
      </w:r>
      <w:r w:rsidR="00787AE0">
        <w:rPr>
          <w:rFonts w:ascii="Century Schoolbook" w:hAnsi="Century Schoolbook"/>
        </w:rPr>
        <w:t> </w:t>
      </w:r>
      <w:r w:rsidR="00CA39F0">
        <w:rPr>
          <w:rFonts w:ascii="Century Schoolbook" w:hAnsi="Century Schoolbook"/>
        </w:rPr>
        <w:t>Cal.App.5th at pp.</w:t>
      </w:r>
      <w:r w:rsidR="00787AE0">
        <w:rPr>
          <w:rFonts w:ascii="Century Schoolbook" w:hAnsi="Century Schoolbook"/>
        </w:rPr>
        <w:t> </w:t>
      </w:r>
      <w:r w:rsidR="00CA39F0">
        <w:rPr>
          <w:rFonts w:ascii="Century Schoolbook" w:hAnsi="Century Schoolbook"/>
        </w:rPr>
        <w:t xml:space="preserve">914–916.) </w:t>
      </w:r>
    </w:p>
    <w:p w:rsidR="00934436" w:rsidRPr="00C573E5" w:rsidP="00934436" w14:paraId="74ED393B" w14:textId="33438384">
      <w:pPr>
        <w:rPr>
          <w:rFonts w:ascii="Century Schoolbook" w:hAnsi="Century Schoolbook"/>
        </w:rPr>
      </w:pPr>
      <w:r>
        <w:rPr>
          <w:rFonts w:ascii="Century Schoolbook" w:hAnsi="Century Schoolbook"/>
        </w:rPr>
        <w:tab/>
        <w:t xml:space="preserve"> </w:t>
      </w:r>
      <w:r w:rsidR="00753F4C">
        <w:rPr>
          <w:rFonts w:ascii="Century Schoolbook" w:hAnsi="Century Schoolbook"/>
        </w:rPr>
        <w:t>S</w:t>
      </w:r>
      <w:r>
        <w:rPr>
          <w:rFonts w:ascii="Century Schoolbook" w:hAnsi="Century Schoolbook"/>
        </w:rPr>
        <w:t>ection 832.7</w:t>
      </w:r>
      <w:r w:rsidRPr="00C573E5">
        <w:rPr>
          <w:rFonts w:ascii="Century Schoolbook" w:hAnsi="Century Schoolbook"/>
        </w:rPr>
        <w:t xml:space="preserve"> </w:t>
      </w:r>
      <w:r>
        <w:rPr>
          <w:rFonts w:ascii="Century Schoolbook" w:hAnsi="Century Schoolbook"/>
        </w:rPr>
        <w:t>contains several provisions regarding what records or information the agency may redact or withhold</w:t>
      </w:r>
      <w:r w:rsidR="0064110D">
        <w:rPr>
          <w:rFonts w:ascii="Century Schoolbook" w:hAnsi="Century Schoolbook"/>
        </w:rPr>
        <w:t xml:space="preserve"> </w:t>
      </w:r>
      <w:r w:rsidR="00624476">
        <w:rPr>
          <w:rFonts w:ascii="Century Schoolbook" w:hAnsi="Century Schoolbook"/>
        </w:rPr>
        <w:t>(</w:t>
      </w:r>
      <w:r w:rsidR="0064110D">
        <w:rPr>
          <w:rFonts w:ascii="Century Schoolbook" w:hAnsi="Century Schoolbook"/>
        </w:rPr>
        <w:t>s</w:t>
      </w:r>
      <w:r w:rsidRPr="00C573E5">
        <w:rPr>
          <w:rFonts w:ascii="Century Schoolbook" w:hAnsi="Century Schoolbook"/>
        </w:rPr>
        <w:t>ee §</w:t>
      </w:r>
      <w:r w:rsidR="00787AE0">
        <w:rPr>
          <w:rFonts w:ascii="Century Schoolbook" w:hAnsi="Century Schoolbook"/>
        </w:rPr>
        <w:t> </w:t>
      </w:r>
      <w:r w:rsidRPr="00C573E5">
        <w:rPr>
          <w:rFonts w:ascii="Century Schoolbook" w:hAnsi="Century Schoolbook"/>
        </w:rPr>
        <w:t>832.7</w:t>
      </w:r>
      <w:r w:rsidR="00753F4C">
        <w:rPr>
          <w:rFonts w:ascii="Century Schoolbook" w:hAnsi="Century Schoolbook"/>
        </w:rPr>
        <w:t xml:space="preserve">, subd. </w:t>
      </w:r>
      <w:r w:rsidRPr="00C573E5">
        <w:rPr>
          <w:rFonts w:ascii="Century Schoolbook" w:hAnsi="Century Schoolbook"/>
        </w:rPr>
        <w:t>(b)(4)</w:t>
      </w:r>
      <w:r w:rsidR="00FE2475">
        <w:rPr>
          <w:rFonts w:ascii="Century Schoolbook" w:hAnsi="Century Schoolbook"/>
        </w:rPr>
        <w:t>–</w:t>
      </w:r>
      <w:r w:rsidRPr="00C573E5">
        <w:rPr>
          <w:rFonts w:ascii="Century Schoolbook" w:hAnsi="Century Schoolbook"/>
        </w:rPr>
        <w:t>(9), (12)</w:t>
      </w:r>
      <w:r w:rsidR="00624476">
        <w:rPr>
          <w:rFonts w:ascii="Century Schoolbook" w:hAnsi="Century Schoolbook"/>
        </w:rPr>
        <w:t>)</w:t>
      </w:r>
      <w:r w:rsidR="00BD784A">
        <w:rPr>
          <w:rFonts w:ascii="Century Schoolbook" w:hAnsi="Century Schoolbook"/>
        </w:rPr>
        <w:t>,</w:t>
      </w:r>
      <w:r w:rsidR="0064110D">
        <w:rPr>
          <w:rFonts w:ascii="Century Schoolbook" w:hAnsi="Century Schoolbook"/>
        </w:rPr>
        <w:t xml:space="preserve"> three of which are</w:t>
      </w:r>
      <w:r w:rsidRPr="00C573E5">
        <w:rPr>
          <w:rFonts w:ascii="Century Schoolbook" w:hAnsi="Century Schoolbook"/>
        </w:rPr>
        <w:t xml:space="preserve"> directly relevant here:</w:t>
      </w:r>
    </w:p>
    <w:p w:rsidR="00934436" w:rsidRPr="00C573E5" w:rsidP="00934436" w14:paraId="4BB9837F" w14:textId="00BC24BB">
      <w:pPr>
        <w:rPr>
          <w:rFonts w:ascii="Century Schoolbook" w:hAnsi="Century Schoolbook"/>
        </w:rPr>
      </w:pPr>
      <w:r>
        <w:rPr>
          <w:rFonts w:ascii="Century Schoolbook" w:hAnsi="Century Schoolbook"/>
        </w:rPr>
        <w:tab/>
      </w:r>
      <w:r w:rsidRPr="003215A3" w:rsidR="00FE2475">
        <w:rPr>
          <w:rFonts w:ascii="Century Schoolbook" w:hAnsi="Century Schoolbook"/>
        </w:rPr>
        <w:t>Subdivision</w:t>
      </w:r>
      <w:r w:rsidRPr="003215A3">
        <w:rPr>
          <w:rFonts w:ascii="Century Schoolbook" w:hAnsi="Century Schoolbook"/>
        </w:rPr>
        <w:t xml:space="preserve"> (b)(4)</w:t>
      </w:r>
      <w:r w:rsidRPr="003215A3" w:rsidR="0064110D">
        <w:rPr>
          <w:rFonts w:ascii="Century Schoolbook" w:hAnsi="Century Schoolbook"/>
        </w:rPr>
        <w:t>,</w:t>
      </w:r>
      <w:r w:rsidR="0064110D">
        <w:rPr>
          <w:rFonts w:ascii="Century Schoolbook" w:hAnsi="Century Schoolbook"/>
        </w:rPr>
        <w:t xml:space="preserve"> which</w:t>
      </w:r>
      <w:r w:rsidRPr="00C573E5">
        <w:rPr>
          <w:rFonts w:ascii="Century Schoolbook" w:hAnsi="Century Schoolbook"/>
        </w:rPr>
        <w:t xml:space="preserve"> states that “[a] record from a separate and</w:t>
      </w:r>
      <w:r>
        <w:rPr>
          <w:rFonts w:ascii="Century Schoolbook" w:hAnsi="Century Schoolbook"/>
        </w:rPr>
        <w:t xml:space="preserve"> </w:t>
      </w:r>
      <w:r w:rsidRPr="00C573E5">
        <w:rPr>
          <w:rFonts w:ascii="Century Schoolbook" w:hAnsi="Century Schoolbook"/>
        </w:rPr>
        <w:t>prior investigation or assessment of a separate incident</w:t>
      </w:r>
      <w:r>
        <w:rPr>
          <w:rFonts w:ascii="Century Schoolbook" w:hAnsi="Century Schoolbook"/>
        </w:rPr>
        <w:t xml:space="preserve"> </w:t>
      </w:r>
      <w:r w:rsidRPr="00C573E5">
        <w:rPr>
          <w:rFonts w:ascii="Century Schoolbook" w:hAnsi="Century Schoolbook"/>
        </w:rPr>
        <w:t>shall not be released unless it is independently subject to</w:t>
      </w:r>
      <w:r>
        <w:rPr>
          <w:rFonts w:ascii="Century Schoolbook" w:hAnsi="Century Schoolbook"/>
        </w:rPr>
        <w:t xml:space="preserve"> </w:t>
      </w:r>
      <w:r w:rsidRPr="00C573E5">
        <w:rPr>
          <w:rFonts w:ascii="Century Schoolbook" w:hAnsi="Century Schoolbook"/>
        </w:rPr>
        <w:t xml:space="preserve">disclosure pursuant to this </w:t>
      </w:r>
      <w:r w:rsidR="00580456">
        <w:rPr>
          <w:rFonts w:ascii="Century Schoolbook" w:hAnsi="Century Schoolbook"/>
        </w:rPr>
        <w:t>subdivision</w:t>
      </w:r>
      <w:r w:rsidRPr="00C573E5">
        <w:rPr>
          <w:rFonts w:ascii="Century Schoolbook" w:hAnsi="Century Schoolbook"/>
        </w:rPr>
        <w:t>.”</w:t>
      </w:r>
    </w:p>
    <w:p w:rsidR="00934436" w:rsidRPr="00C573E5" w:rsidP="00934436" w14:paraId="5669B910" w14:textId="4E964383">
      <w:pPr>
        <w:rPr>
          <w:rFonts w:ascii="Century Schoolbook" w:hAnsi="Century Schoolbook"/>
        </w:rPr>
      </w:pPr>
      <w:r>
        <w:rPr>
          <w:rFonts w:ascii="Century Schoolbook" w:hAnsi="Century Schoolbook"/>
        </w:rPr>
        <w:tab/>
      </w:r>
      <w:r w:rsidRPr="003215A3" w:rsidR="00FE2475">
        <w:rPr>
          <w:rFonts w:ascii="Century Schoolbook" w:hAnsi="Century Schoolbook"/>
        </w:rPr>
        <w:t>Subdivision</w:t>
      </w:r>
      <w:r w:rsidRPr="003215A3">
        <w:rPr>
          <w:rFonts w:ascii="Century Schoolbook" w:hAnsi="Century Schoolbook"/>
        </w:rPr>
        <w:t xml:space="preserve"> (b)(5)</w:t>
      </w:r>
      <w:r w:rsidRPr="003215A3" w:rsidR="0064110D">
        <w:rPr>
          <w:rFonts w:ascii="Century Schoolbook" w:hAnsi="Century Schoolbook"/>
        </w:rPr>
        <w:t>,</w:t>
      </w:r>
      <w:r w:rsidR="0064110D">
        <w:rPr>
          <w:rFonts w:ascii="Century Schoolbook" w:hAnsi="Century Schoolbook"/>
        </w:rPr>
        <w:t xml:space="preserve"> which</w:t>
      </w:r>
      <w:r w:rsidRPr="00C573E5">
        <w:rPr>
          <w:rFonts w:ascii="Century Schoolbook" w:hAnsi="Century Schoolbook"/>
        </w:rPr>
        <w:t xml:space="preserve"> states that “If an investigation or incident</w:t>
      </w:r>
      <w:r>
        <w:rPr>
          <w:rFonts w:ascii="Century Schoolbook" w:hAnsi="Century Schoolbook"/>
        </w:rPr>
        <w:t xml:space="preserve"> </w:t>
      </w:r>
      <w:r w:rsidRPr="00C573E5">
        <w:rPr>
          <w:rFonts w:ascii="Century Schoolbook" w:hAnsi="Century Schoolbook"/>
        </w:rPr>
        <w:t>involves multiple officers, information about allegations of</w:t>
      </w:r>
      <w:r>
        <w:rPr>
          <w:rFonts w:ascii="Century Schoolbook" w:hAnsi="Century Schoolbook"/>
        </w:rPr>
        <w:t xml:space="preserve"> </w:t>
      </w:r>
      <w:r w:rsidRPr="00C573E5">
        <w:rPr>
          <w:rFonts w:ascii="Century Schoolbook" w:hAnsi="Century Schoolbook"/>
        </w:rPr>
        <w:t>misconduct by, or the analysis or disposition of an</w:t>
      </w:r>
      <w:r>
        <w:rPr>
          <w:rFonts w:ascii="Century Schoolbook" w:hAnsi="Century Schoolbook"/>
        </w:rPr>
        <w:t xml:space="preserve"> </w:t>
      </w:r>
      <w:r w:rsidRPr="00C573E5">
        <w:rPr>
          <w:rFonts w:ascii="Century Schoolbook" w:hAnsi="Century Schoolbook"/>
        </w:rPr>
        <w:t>investigation of, an officer shall not be released pursuant to</w:t>
      </w:r>
      <w:r>
        <w:rPr>
          <w:rFonts w:ascii="Century Schoolbook" w:hAnsi="Century Schoolbook"/>
        </w:rPr>
        <w:t xml:space="preserve"> </w:t>
      </w:r>
      <w:r w:rsidRPr="00C573E5">
        <w:rPr>
          <w:rFonts w:ascii="Century Schoolbook" w:hAnsi="Century Schoolbook"/>
        </w:rPr>
        <w:t>subparagraph (B), (C), (D), or (E) of paragraph (1), unless it</w:t>
      </w:r>
      <w:r w:rsidR="003B5B14">
        <w:rPr>
          <w:rFonts w:ascii="Century Schoolbook" w:hAnsi="Century Schoolbook"/>
        </w:rPr>
        <w:t xml:space="preserve"> </w:t>
      </w:r>
      <w:r w:rsidRPr="00C573E5">
        <w:rPr>
          <w:rFonts w:ascii="Century Schoolbook" w:hAnsi="Century Schoolbook"/>
        </w:rPr>
        <w:t>relates to a sustained finding regarding that officer that is</w:t>
      </w:r>
      <w:r>
        <w:rPr>
          <w:rFonts w:ascii="Century Schoolbook" w:hAnsi="Century Schoolbook"/>
        </w:rPr>
        <w:t xml:space="preserve"> </w:t>
      </w:r>
      <w:r w:rsidRPr="00C573E5">
        <w:rPr>
          <w:rFonts w:ascii="Century Schoolbook" w:hAnsi="Century Schoolbook"/>
        </w:rPr>
        <w:t>itself subject to disclosure pursuant to this section.</w:t>
      </w:r>
      <w:r>
        <w:rPr>
          <w:rFonts w:ascii="Century Schoolbook" w:hAnsi="Century Schoolbook"/>
        </w:rPr>
        <w:t xml:space="preserve"> </w:t>
      </w:r>
      <w:r w:rsidRPr="00C573E5">
        <w:rPr>
          <w:rFonts w:ascii="Century Schoolbook" w:hAnsi="Century Schoolbook"/>
        </w:rPr>
        <w:t>However, factual information about that action of an officer</w:t>
      </w:r>
      <w:r>
        <w:rPr>
          <w:rFonts w:ascii="Century Schoolbook" w:hAnsi="Century Schoolbook"/>
        </w:rPr>
        <w:t xml:space="preserve"> </w:t>
      </w:r>
      <w:r w:rsidRPr="00C573E5">
        <w:rPr>
          <w:rFonts w:ascii="Century Schoolbook" w:hAnsi="Century Schoolbook"/>
        </w:rPr>
        <w:t>during an incident, or the statements of an officer about an</w:t>
      </w:r>
      <w:r>
        <w:rPr>
          <w:rFonts w:ascii="Century Schoolbook" w:hAnsi="Century Schoolbook"/>
        </w:rPr>
        <w:t xml:space="preserve"> </w:t>
      </w:r>
      <w:r w:rsidRPr="00C573E5">
        <w:rPr>
          <w:rFonts w:ascii="Century Schoolbook" w:hAnsi="Century Schoolbook"/>
        </w:rPr>
        <w:t>incident, shall be released if they are relevant to a finding</w:t>
      </w:r>
      <w:r>
        <w:rPr>
          <w:rFonts w:ascii="Century Schoolbook" w:hAnsi="Century Schoolbook"/>
        </w:rPr>
        <w:t xml:space="preserve"> </w:t>
      </w:r>
      <w:r w:rsidRPr="00C573E5">
        <w:rPr>
          <w:rFonts w:ascii="Century Schoolbook" w:hAnsi="Century Schoolbook"/>
        </w:rPr>
        <w:t>against another officer that is subject to release pursuant</w:t>
      </w:r>
      <w:r>
        <w:rPr>
          <w:rFonts w:ascii="Century Schoolbook" w:hAnsi="Century Schoolbook"/>
        </w:rPr>
        <w:t xml:space="preserve"> </w:t>
      </w:r>
      <w:r w:rsidRPr="00C573E5">
        <w:rPr>
          <w:rFonts w:ascii="Century Schoolbook" w:hAnsi="Century Schoolbook"/>
        </w:rPr>
        <w:t>to subparagraph (B), (C), (D), or (E) of paragraph (1).”</w:t>
      </w:r>
    </w:p>
    <w:p w:rsidR="00A87A3D" w:rsidRPr="00D37B33" w:rsidP="00A87A3D" w14:paraId="0728EF7B" w14:textId="34258D3A">
      <w:pPr>
        <w:rPr>
          <w:rFonts w:ascii="Century Schoolbook" w:hAnsi="Century Schoolbook"/>
        </w:rPr>
      </w:pPr>
      <w:r>
        <w:rPr>
          <w:rFonts w:ascii="Century Schoolbook" w:hAnsi="Century Schoolbook"/>
        </w:rPr>
        <w:tab/>
      </w:r>
      <w:r w:rsidRPr="003215A3" w:rsidR="00FE2475">
        <w:rPr>
          <w:rFonts w:ascii="Century Schoolbook" w:hAnsi="Century Schoolbook"/>
        </w:rPr>
        <w:t>Subdivision</w:t>
      </w:r>
      <w:r w:rsidRPr="003215A3">
        <w:rPr>
          <w:rFonts w:ascii="Century Schoolbook" w:hAnsi="Century Schoolbook"/>
        </w:rPr>
        <w:t xml:space="preserve"> (b)(6)</w:t>
      </w:r>
      <w:r w:rsidRPr="003215A3" w:rsidR="0064110D">
        <w:rPr>
          <w:rFonts w:ascii="Century Schoolbook" w:hAnsi="Century Schoolbook"/>
        </w:rPr>
        <w:t>,</w:t>
      </w:r>
      <w:r w:rsidR="0064110D">
        <w:rPr>
          <w:rFonts w:ascii="Century Schoolbook" w:hAnsi="Century Schoolbook"/>
        </w:rPr>
        <w:t xml:space="preserve"> which states</w:t>
      </w:r>
      <w:r w:rsidR="00BD784A">
        <w:rPr>
          <w:rFonts w:ascii="Century Schoolbook" w:hAnsi="Century Schoolbook"/>
        </w:rPr>
        <w:t xml:space="preserve"> that</w:t>
      </w:r>
      <w:r w:rsidR="00EF1BA1">
        <w:rPr>
          <w:rFonts w:ascii="Century Schoolbook" w:hAnsi="Century Schoolbook"/>
        </w:rPr>
        <w:t xml:space="preserve"> </w:t>
      </w:r>
      <w:r>
        <w:rPr>
          <w:rFonts w:ascii="Century Schoolbook" w:hAnsi="Century Schoolbook"/>
        </w:rPr>
        <w:t>“</w:t>
      </w:r>
      <w:r w:rsidR="00EF1BA1">
        <w:rPr>
          <w:rFonts w:ascii="Century Schoolbook" w:hAnsi="Century Schoolbook"/>
        </w:rPr>
        <w:t>[a]</w:t>
      </w:r>
      <w:r w:rsidRPr="00D37B33">
        <w:rPr>
          <w:rFonts w:ascii="Century Schoolbook" w:hAnsi="Century Schoolbook"/>
        </w:rPr>
        <w:t>n agency shall redact a record disclosed pursuant to this section only for any of the following purposes:</w:t>
      </w:r>
    </w:p>
    <w:p w:rsidR="00A87A3D" w:rsidRPr="00D37B33" w:rsidP="00A87A3D" w14:paraId="4877F2D6" w14:textId="77777777">
      <w:pPr>
        <w:rPr>
          <w:rFonts w:ascii="Century Schoolbook" w:hAnsi="Century Schoolbook"/>
        </w:rPr>
      </w:pPr>
      <w:r>
        <w:rPr>
          <w:rFonts w:ascii="Century Schoolbook" w:hAnsi="Century Schoolbook"/>
        </w:rPr>
        <w:tab/>
        <w:t>“</w:t>
      </w:r>
      <w:r w:rsidRPr="00D37B33">
        <w:rPr>
          <w:rFonts w:ascii="Century Schoolbook" w:hAnsi="Century Schoolbook"/>
        </w:rPr>
        <w:t>(A) To remove personal data or information, such as a home address, telephone number, or identities of family members, other than the names and work-related information of peace and custodial officers.</w:t>
      </w:r>
    </w:p>
    <w:p w:rsidR="00A87A3D" w:rsidRPr="00D37B33" w:rsidP="00A87A3D" w14:paraId="3CABDB93" w14:textId="77777777">
      <w:pPr>
        <w:rPr>
          <w:rFonts w:ascii="Century Schoolbook" w:hAnsi="Century Schoolbook"/>
        </w:rPr>
      </w:pPr>
      <w:r>
        <w:rPr>
          <w:rFonts w:ascii="Century Schoolbook" w:hAnsi="Century Schoolbook"/>
        </w:rPr>
        <w:tab/>
        <w:t>“</w:t>
      </w:r>
      <w:r w:rsidRPr="00D37B33">
        <w:rPr>
          <w:rFonts w:ascii="Century Schoolbook" w:hAnsi="Century Schoolbook"/>
        </w:rPr>
        <w:t>(B) To preserve the anonymity of whistleblowers, complainants, victims, and witnesses.</w:t>
      </w:r>
    </w:p>
    <w:p w:rsidR="00A87A3D" w:rsidRPr="00D37B33" w:rsidP="00A87A3D" w14:paraId="28137C75" w14:textId="77777777">
      <w:pPr>
        <w:rPr>
          <w:rFonts w:ascii="Century Schoolbook" w:hAnsi="Century Schoolbook"/>
        </w:rPr>
      </w:pPr>
      <w:r>
        <w:rPr>
          <w:rFonts w:ascii="Century Schoolbook" w:hAnsi="Century Schoolbook"/>
        </w:rPr>
        <w:tab/>
        <w:t>“</w:t>
      </w:r>
      <w:r w:rsidRPr="00D37B33">
        <w:rPr>
          <w:rFonts w:ascii="Century Schoolbook" w:hAnsi="Century Schoolbook"/>
        </w:rPr>
        <w:t>(C) To protect confidential medical, financial, or other information of which disclosure is specifically prohibited by federal law or would cause an unwarranted invasion of personal privacy that clearly outweighs the strong public interest in records about possible misconduct and use of force by peace officers and custodial officers.</w:t>
      </w:r>
    </w:p>
    <w:p w:rsidR="00A87A3D" w:rsidP="00A87A3D" w14:paraId="0E9A571E" w14:textId="77777777">
      <w:pPr>
        <w:rPr>
          <w:rFonts w:ascii="Century Schoolbook" w:hAnsi="Century Schoolbook"/>
        </w:rPr>
      </w:pPr>
      <w:r>
        <w:rPr>
          <w:rFonts w:ascii="Century Schoolbook" w:hAnsi="Century Schoolbook"/>
        </w:rPr>
        <w:tab/>
        <w:t>“</w:t>
      </w:r>
      <w:r w:rsidRPr="00D37B33">
        <w:rPr>
          <w:rFonts w:ascii="Century Schoolbook" w:hAnsi="Century Schoolbook"/>
        </w:rPr>
        <w:t>(D) Where there is a specific, articulable, and particularized reason to believe that disclosure of the record would pose a significant danger to the physical safety of the peace officer, custodial officer, or another person.</w:t>
      </w:r>
      <w:r>
        <w:rPr>
          <w:rFonts w:ascii="Century Schoolbook" w:hAnsi="Century Schoolbook"/>
        </w:rPr>
        <w:t>”</w:t>
      </w:r>
    </w:p>
    <w:p w:rsidR="001C7BC1" w:rsidP="00CF10E2" w14:paraId="250FEAD4" w14:textId="4FA96052">
      <w:pPr>
        <w:rPr>
          <w:rFonts w:ascii="Century Schoolbook" w:hAnsi="Century Schoolbook"/>
        </w:rPr>
      </w:pPr>
      <w:r>
        <w:rPr>
          <w:rFonts w:ascii="Century Schoolbook" w:hAnsi="Century Schoolbook"/>
        </w:rPr>
        <w:tab/>
      </w:r>
      <w:r w:rsidR="00877DA5">
        <w:rPr>
          <w:rFonts w:ascii="Century Schoolbook" w:hAnsi="Century Schoolbook"/>
        </w:rPr>
        <w:t xml:space="preserve">In </w:t>
      </w:r>
      <w:r w:rsidRPr="00877DA5" w:rsidR="006B7B94">
        <w:rPr>
          <w:rFonts w:ascii="Century Schoolbook" w:hAnsi="Century Schoolbook"/>
          <w:i/>
          <w:iCs/>
        </w:rPr>
        <w:t>Becerra</w:t>
      </w:r>
      <w:r w:rsidR="00877DA5">
        <w:rPr>
          <w:rFonts w:ascii="Century Schoolbook" w:hAnsi="Century Schoolbook"/>
        </w:rPr>
        <w:t xml:space="preserve">, the </w:t>
      </w:r>
      <w:r w:rsidRPr="00877DA5" w:rsidR="00877DA5">
        <w:rPr>
          <w:rFonts w:ascii="Century Schoolbook" w:hAnsi="Century Schoolbook"/>
        </w:rPr>
        <w:t xml:space="preserve">court emphasized that </w:t>
      </w:r>
      <w:r w:rsidR="00AB7DC3">
        <w:rPr>
          <w:rFonts w:ascii="Century Schoolbook" w:hAnsi="Century Schoolbook"/>
        </w:rPr>
        <w:t>“</w:t>
      </w:r>
      <w:r w:rsidRPr="00877DA5" w:rsidR="00877DA5">
        <w:rPr>
          <w:rFonts w:ascii="Century Schoolbook" w:hAnsi="Century Schoolbook"/>
        </w:rPr>
        <w:t xml:space="preserve">the CPRA must be </w:t>
      </w:r>
      <w:r w:rsidR="00AB7DC3">
        <w:rPr>
          <w:rFonts w:ascii="Century Schoolbook" w:hAnsi="Century Schoolbook"/>
        </w:rPr>
        <w:t>‘</w:t>
      </w:r>
      <w:r w:rsidRPr="00877DA5" w:rsidR="00877DA5">
        <w:rPr>
          <w:rFonts w:ascii="Century Schoolbook" w:hAnsi="Century Schoolbook"/>
        </w:rPr>
        <w:t>broadly construed</w:t>
      </w:r>
      <w:r w:rsidR="00AB7DC3">
        <w:rPr>
          <w:rFonts w:ascii="Century Schoolbook" w:hAnsi="Century Schoolbook"/>
        </w:rPr>
        <w:t>’</w:t>
      </w:r>
      <w:r w:rsidRPr="00877DA5" w:rsidR="00877DA5">
        <w:rPr>
          <w:rFonts w:ascii="Century Schoolbook" w:hAnsi="Century Schoolbook"/>
        </w:rPr>
        <w:t xml:space="preserve"> because its statutory scheme </w:t>
      </w:r>
      <w:r w:rsidR="00AB7DC3">
        <w:rPr>
          <w:rFonts w:ascii="Century Schoolbook" w:hAnsi="Century Schoolbook"/>
        </w:rPr>
        <w:t>‘</w:t>
      </w:r>
      <w:r w:rsidRPr="00877DA5" w:rsidR="00877DA5">
        <w:rPr>
          <w:rFonts w:ascii="Century Schoolbook" w:hAnsi="Century Schoolbook"/>
        </w:rPr>
        <w:t>furthers the people</w:t>
      </w:r>
      <w:r w:rsidR="00877DA5">
        <w:rPr>
          <w:rFonts w:ascii="Century Schoolbook" w:hAnsi="Century Schoolbook"/>
        </w:rPr>
        <w:t>’</w:t>
      </w:r>
      <w:r w:rsidRPr="00877DA5" w:rsidR="00877DA5">
        <w:rPr>
          <w:rFonts w:ascii="Century Schoolbook" w:hAnsi="Century Schoolbook"/>
        </w:rPr>
        <w:t>s right of access.</w:t>
      </w:r>
      <w:r w:rsidR="00AB7DC3">
        <w:rPr>
          <w:rFonts w:ascii="Century Schoolbook" w:hAnsi="Century Schoolbook"/>
        </w:rPr>
        <w:t>’</w:t>
      </w:r>
      <w:r w:rsidR="00877DA5">
        <w:rPr>
          <w:rFonts w:ascii="Century Schoolbook" w:hAnsi="Century Schoolbook"/>
        </w:rPr>
        <w:t xml:space="preserve"> </w:t>
      </w:r>
      <w:r w:rsidRPr="00877DA5" w:rsidR="00877DA5">
        <w:rPr>
          <w:rFonts w:ascii="Century Schoolbook" w:hAnsi="Century Schoolbook"/>
        </w:rPr>
        <w:t xml:space="preserve"> (Cal. Const., art 1, §</w:t>
      </w:r>
      <w:r w:rsidR="005120AC">
        <w:rPr>
          <w:rFonts w:ascii="Century Schoolbook" w:hAnsi="Century Schoolbook"/>
        </w:rPr>
        <w:t> </w:t>
      </w:r>
      <w:r w:rsidRPr="00877DA5" w:rsidR="00877DA5">
        <w:rPr>
          <w:rFonts w:ascii="Century Schoolbook" w:hAnsi="Century Schoolbook"/>
        </w:rPr>
        <w:t>3, subd. (b)(2)</w:t>
      </w:r>
      <w:r w:rsidR="00CF10E2">
        <w:rPr>
          <w:rFonts w:ascii="Century Schoolbook" w:hAnsi="Century Schoolbook"/>
        </w:rPr>
        <w:t>.</w:t>
      </w:r>
      <w:r w:rsidR="00AB7DC3">
        <w:rPr>
          <w:rFonts w:ascii="Century Schoolbook" w:hAnsi="Century Schoolbook"/>
        </w:rPr>
        <w:t>”</w:t>
      </w:r>
      <w:r w:rsidRPr="00877DA5" w:rsidR="00877DA5">
        <w:rPr>
          <w:rFonts w:ascii="Century Schoolbook" w:hAnsi="Century Schoolbook"/>
        </w:rPr>
        <w:t xml:space="preserve"> </w:t>
      </w:r>
      <w:r w:rsidR="00CF10E2">
        <w:rPr>
          <w:rFonts w:ascii="Century Schoolbook" w:hAnsi="Century Schoolbook"/>
        </w:rPr>
        <w:t xml:space="preserve"> </w:t>
      </w:r>
      <w:r w:rsidRPr="00877DA5" w:rsidR="00877DA5">
        <w:rPr>
          <w:rFonts w:ascii="Century Schoolbook" w:hAnsi="Century Schoolbook"/>
        </w:rPr>
        <w:t>(</w:t>
      </w:r>
      <w:r w:rsidRPr="00877DA5" w:rsidR="00877DA5">
        <w:rPr>
          <w:rFonts w:ascii="Century Schoolbook" w:hAnsi="Century Schoolbook"/>
          <w:i/>
          <w:iCs/>
        </w:rPr>
        <w:t>Becerra</w:t>
      </w:r>
      <w:r w:rsidRPr="00877DA5" w:rsidR="00877DA5">
        <w:rPr>
          <w:rFonts w:ascii="Century Schoolbook" w:hAnsi="Century Schoolbook"/>
        </w:rPr>
        <w:t xml:space="preserve">, </w:t>
      </w:r>
      <w:r w:rsidRPr="002D6F30" w:rsidR="00580456">
        <w:rPr>
          <w:rFonts w:ascii="Century Schoolbook" w:hAnsi="Century Schoolbook"/>
          <w:i/>
          <w:iCs/>
        </w:rPr>
        <w:t>supra</w:t>
      </w:r>
      <w:r w:rsidR="008D76A6">
        <w:rPr>
          <w:rFonts w:ascii="Century Schoolbook" w:hAnsi="Century Schoolbook"/>
        </w:rPr>
        <w:t xml:space="preserve">, 44 Cal.App.5th </w:t>
      </w:r>
      <w:r w:rsidRPr="00877DA5" w:rsidR="00877DA5">
        <w:rPr>
          <w:rFonts w:ascii="Century Schoolbook" w:hAnsi="Century Schoolbook"/>
        </w:rPr>
        <w:t>at p.</w:t>
      </w:r>
      <w:r w:rsidR="008D76A6">
        <w:rPr>
          <w:rFonts w:ascii="Century Schoolbook" w:hAnsi="Century Schoolbook"/>
        </w:rPr>
        <w:t> </w:t>
      </w:r>
      <w:r w:rsidRPr="00877DA5" w:rsidR="00877DA5">
        <w:rPr>
          <w:rFonts w:ascii="Century Schoolbook" w:hAnsi="Century Schoolbook"/>
        </w:rPr>
        <w:t xml:space="preserve">913.)  The legislation also </w:t>
      </w:r>
      <w:r w:rsidR="00CF10E2">
        <w:rPr>
          <w:rFonts w:ascii="Century Schoolbook" w:hAnsi="Century Schoolbook"/>
        </w:rPr>
        <w:t>“</w:t>
      </w:r>
      <w:r w:rsidRPr="00877DA5" w:rsidR="00877DA5">
        <w:rPr>
          <w:rFonts w:ascii="Century Schoolbook" w:hAnsi="Century Schoolbook"/>
        </w:rPr>
        <w:t xml:space="preserve">balances the dual concerns for privacy and disclosure by providing for various exemptions that permit public agencies to refuse disclosure of certain public records. </w:t>
      </w:r>
      <w:r w:rsidR="00877DA5">
        <w:rPr>
          <w:rFonts w:ascii="Century Schoolbook" w:hAnsi="Century Schoolbook"/>
        </w:rPr>
        <w:t xml:space="preserve"> </w:t>
      </w:r>
      <w:r w:rsidRPr="00877DA5" w:rsidR="00877DA5">
        <w:rPr>
          <w:rFonts w:ascii="Century Schoolbook" w:hAnsi="Century Schoolbook"/>
        </w:rPr>
        <w:t>(</w:t>
      </w:r>
      <w:r w:rsidR="00545D43">
        <w:rPr>
          <w:rFonts w:ascii="Century Schoolbook" w:hAnsi="Century Schoolbook"/>
        </w:rPr>
        <w:t xml:space="preserve">[former] </w:t>
      </w:r>
      <w:r w:rsidRPr="00877DA5" w:rsidR="00877DA5">
        <w:rPr>
          <w:rFonts w:ascii="Century Schoolbook" w:hAnsi="Century Schoolbook"/>
        </w:rPr>
        <w:t>Gov. Code, §§</w:t>
      </w:r>
      <w:r w:rsidR="00545D43">
        <w:rPr>
          <w:rFonts w:ascii="Century Schoolbook" w:hAnsi="Century Schoolbook"/>
        </w:rPr>
        <w:t> </w:t>
      </w:r>
      <w:r w:rsidRPr="00877DA5" w:rsidR="00877DA5">
        <w:rPr>
          <w:rFonts w:ascii="Century Schoolbook" w:hAnsi="Century Schoolbook"/>
        </w:rPr>
        <w:t>6254</w:t>
      </w:r>
      <w:r w:rsidR="002C360D">
        <w:rPr>
          <w:rFonts w:ascii="Century Schoolbook" w:hAnsi="Century Schoolbook"/>
        </w:rPr>
        <w:t>–</w:t>
      </w:r>
      <w:r w:rsidRPr="00877DA5" w:rsidR="00877DA5">
        <w:rPr>
          <w:rFonts w:ascii="Century Schoolbook" w:hAnsi="Century Schoolbook"/>
        </w:rPr>
        <w:t>6255.)</w:t>
      </w:r>
      <w:r w:rsidR="00CF10E2">
        <w:rPr>
          <w:rFonts w:ascii="Century Schoolbook" w:hAnsi="Century Schoolbook"/>
        </w:rPr>
        <w:t>”</w:t>
      </w:r>
      <w:r w:rsidRPr="00877DA5" w:rsidR="00877DA5">
        <w:rPr>
          <w:rFonts w:ascii="Century Schoolbook" w:hAnsi="Century Schoolbook"/>
        </w:rPr>
        <w:t xml:space="preserve"> </w:t>
      </w:r>
      <w:r w:rsidR="00877DA5">
        <w:rPr>
          <w:rFonts w:ascii="Century Schoolbook" w:hAnsi="Century Schoolbook"/>
        </w:rPr>
        <w:t xml:space="preserve"> </w:t>
      </w:r>
      <w:r w:rsidRPr="00877DA5" w:rsidR="00877DA5">
        <w:rPr>
          <w:rFonts w:ascii="Century Schoolbook" w:hAnsi="Century Schoolbook"/>
        </w:rPr>
        <w:t>(</w:t>
      </w:r>
      <w:r w:rsidRPr="00877DA5" w:rsidR="00CF10E2">
        <w:rPr>
          <w:rFonts w:ascii="Century Schoolbook" w:hAnsi="Century Schoolbook"/>
          <w:i/>
          <w:iCs/>
        </w:rPr>
        <w:t>Becerra</w:t>
      </w:r>
      <w:r w:rsidRPr="00877DA5" w:rsidR="00CF10E2">
        <w:rPr>
          <w:rFonts w:ascii="Century Schoolbook" w:hAnsi="Century Schoolbook"/>
        </w:rPr>
        <w:t>, at p.</w:t>
      </w:r>
      <w:r w:rsidR="005120AC">
        <w:rPr>
          <w:rFonts w:ascii="Century Schoolbook" w:hAnsi="Century Schoolbook"/>
        </w:rPr>
        <w:t> </w:t>
      </w:r>
      <w:r w:rsidRPr="00877DA5" w:rsidR="00877DA5">
        <w:rPr>
          <w:rFonts w:ascii="Century Schoolbook" w:hAnsi="Century Schoolbook"/>
        </w:rPr>
        <w:t xml:space="preserve">914.) </w:t>
      </w:r>
      <w:r w:rsidR="00877DA5">
        <w:rPr>
          <w:rFonts w:ascii="Century Schoolbook" w:hAnsi="Century Schoolbook"/>
        </w:rPr>
        <w:t xml:space="preserve"> </w:t>
      </w:r>
      <w:r w:rsidRPr="00CF10E2" w:rsidR="00CF10E2">
        <w:rPr>
          <w:rFonts w:ascii="Century Schoolbook" w:hAnsi="Century Schoolbook"/>
          <w:i/>
          <w:iCs/>
        </w:rPr>
        <w:t>Becerra</w:t>
      </w:r>
      <w:r w:rsidR="00CF10E2">
        <w:rPr>
          <w:rFonts w:ascii="Century Schoolbook" w:hAnsi="Century Schoolbook"/>
        </w:rPr>
        <w:t xml:space="preserve"> went on to note that “</w:t>
      </w:r>
      <w:r w:rsidRPr="001C7BC1" w:rsidR="00CF10E2">
        <w:rPr>
          <w:rFonts w:ascii="Century Schoolbook" w:hAnsi="Century Schoolbook"/>
        </w:rPr>
        <w:t xml:space="preserve">CPRA exemptions are narrowly construed </w:t>
      </w:r>
      <w:r w:rsidR="00CF10E2">
        <w:rPr>
          <w:rFonts w:ascii="Century Schoolbook" w:hAnsi="Century Schoolbook"/>
        </w:rPr>
        <w:t>[citation]</w:t>
      </w:r>
      <w:r w:rsidRPr="001C7BC1" w:rsidR="00CF10E2">
        <w:rPr>
          <w:rFonts w:ascii="Century Schoolbook" w:hAnsi="Century Schoolbook"/>
        </w:rPr>
        <w:t>, and the agency opposing disclosure bears the burden of proving an exemption applies.</w:t>
      </w:r>
      <w:r w:rsidR="00CF10E2">
        <w:rPr>
          <w:rFonts w:ascii="Century Schoolbook" w:hAnsi="Century Schoolbook"/>
        </w:rPr>
        <w:t>”  (</w:t>
      </w:r>
      <w:r w:rsidRPr="001C7BC1" w:rsidR="00CF10E2">
        <w:rPr>
          <w:rFonts w:ascii="Century Schoolbook" w:hAnsi="Century Schoolbook"/>
          <w:i/>
          <w:iCs/>
        </w:rPr>
        <w:t>Becerra</w:t>
      </w:r>
      <w:r w:rsidR="00CF10E2">
        <w:rPr>
          <w:rFonts w:ascii="Century Schoolbook" w:hAnsi="Century Schoolbook"/>
        </w:rPr>
        <w:t>,</w:t>
      </w:r>
      <w:r w:rsidRPr="001C7BC1" w:rsidR="00CF10E2">
        <w:rPr>
          <w:rFonts w:ascii="Century Schoolbook" w:hAnsi="Century Schoolbook"/>
        </w:rPr>
        <w:t xml:space="preserve"> </w:t>
      </w:r>
      <w:r w:rsidR="00CF10E2">
        <w:rPr>
          <w:rFonts w:ascii="Century Schoolbook" w:hAnsi="Century Schoolbook"/>
        </w:rPr>
        <w:t>at p.</w:t>
      </w:r>
      <w:r w:rsidR="00545D43">
        <w:rPr>
          <w:rFonts w:ascii="Century Schoolbook" w:hAnsi="Century Schoolbook"/>
        </w:rPr>
        <w:t> </w:t>
      </w:r>
      <w:r w:rsidRPr="001C7BC1" w:rsidR="00CF10E2">
        <w:rPr>
          <w:rFonts w:ascii="Century Schoolbook" w:hAnsi="Century Schoolbook"/>
        </w:rPr>
        <w:t>914</w:t>
      </w:r>
      <w:r w:rsidR="00CF10E2">
        <w:rPr>
          <w:rFonts w:ascii="Century Schoolbook" w:hAnsi="Century Schoolbook"/>
        </w:rPr>
        <w:t xml:space="preserve">; see </w:t>
      </w:r>
      <w:r w:rsidRPr="00877DA5" w:rsidR="00877DA5">
        <w:rPr>
          <w:rFonts w:ascii="Century Schoolbook" w:hAnsi="Century Schoolbook"/>
          <w:i/>
          <w:iCs/>
        </w:rPr>
        <w:t>Ventura County Deputy Sheriffs’ Assn v. County of Ventura</w:t>
      </w:r>
      <w:r w:rsidR="00877DA5">
        <w:rPr>
          <w:rFonts w:ascii="Century Schoolbook" w:hAnsi="Century Schoolbook"/>
        </w:rPr>
        <w:t xml:space="preserve"> (2021)</w:t>
      </w:r>
      <w:r w:rsidRPr="00877DA5" w:rsidR="00877DA5">
        <w:rPr>
          <w:rFonts w:ascii="Century Schoolbook" w:hAnsi="Century Schoolbook"/>
        </w:rPr>
        <w:t xml:space="preserve"> 61</w:t>
      </w:r>
      <w:r w:rsidR="00FA66BA">
        <w:rPr>
          <w:rFonts w:ascii="Century Schoolbook" w:hAnsi="Century Schoolbook"/>
        </w:rPr>
        <w:t> </w:t>
      </w:r>
      <w:r w:rsidRPr="00877DA5" w:rsidR="00877DA5">
        <w:rPr>
          <w:rFonts w:ascii="Century Schoolbook" w:hAnsi="Century Schoolbook"/>
        </w:rPr>
        <w:t>Cal.App.5th 585, 592</w:t>
      </w:r>
      <w:r w:rsidR="00877DA5">
        <w:rPr>
          <w:rFonts w:ascii="Century Schoolbook" w:hAnsi="Century Schoolbook"/>
        </w:rPr>
        <w:t>.</w:t>
      </w:r>
      <w:r w:rsidRPr="00877DA5" w:rsidR="00877DA5">
        <w:rPr>
          <w:rFonts w:ascii="Century Schoolbook" w:hAnsi="Century Schoolbook"/>
        </w:rPr>
        <w:t>)</w:t>
      </w:r>
    </w:p>
    <w:p w:rsidR="00991269" w:rsidP="00DA70D4" w14:paraId="248388E4" w14:textId="77777777">
      <w:pPr>
        <w:spacing w:line="360" w:lineRule="auto"/>
        <w:rPr>
          <w:rFonts w:ascii="Century Schoolbook" w:hAnsi="Century Schoolbook"/>
        </w:rPr>
      </w:pPr>
      <w:r>
        <w:rPr>
          <w:rFonts w:ascii="Century Schoolbook" w:hAnsi="Century Schoolbook"/>
        </w:rPr>
        <w:tab/>
        <w:t>We review questions of statutory interpretation, including the interpretation of section 832.7, de novo.  (</w:t>
      </w:r>
      <w:r w:rsidRPr="00877DA5">
        <w:rPr>
          <w:rFonts w:ascii="Century Schoolbook" w:hAnsi="Century Schoolbook"/>
          <w:i/>
          <w:iCs/>
        </w:rPr>
        <w:t>Ventura County Deputy Sheriffs’ Association v. County of Ventura</w:t>
      </w:r>
      <w:r>
        <w:rPr>
          <w:rFonts w:ascii="Century Schoolbook" w:hAnsi="Century Schoolbook"/>
        </w:rPr>
        <w:t xml:space="preserve">, </w:t>
      </w:r>
      <w:r w:rsidRPr="001E68B3">
        <w:rPr>
          <w:rFonts w:ascii="Century Schoolbook" w:hAnsi="Century Schoolbook"/>
          <w:i/>
          <w:iCs/>
        </w:rPr>
        <w:t>supra</w:t>
      </w:r>
      <w:r>
        <w:rPr>
          <w:rFonts w:ascii="Century Schoolbook" w:hAnsi="Century Schoolbook"/>
        </w:rPr>
        <w:t>,</w:t>
      </w:r>
      <w:r w:rsidRPr="00877DA5">
        <w:rPr>
          <w:rFonts w:ascii="Century Schoolbook" w:hAnsi="Century Schoolbook"/>
        </w:rPr>
        <w:t xml:space="preserve"> 61 Cal.App.5th </w:t>
      </w:r>
      <w:r>
        <w:rPr>
          <w:rFonts w:ascii="Century Schoolbook" w:hAnsi="Century Schoolbook"/>
        </w:rPr>
        <w:t>at p.</w:t>
      </w:r>
      <w:r w:rsidR="00E40629">
        <w:rPr>
          <w:rFonts w:ascii="Century Schoolbook" w:hAnsi="Century Schoolbook"/>
        </w:rPr>
        <w:t> </w:t>
      </w:r>
      <w:r w:rsidRPr="00877DA5">
        <w:rPr>
          <w:rFonts w:ascii="Century Schoolbook" w:hAnsi="Century Schoolbook"/>
        </w:rPr>
        <w:t>59</w:t>
      </w:r>
      <w:r>
        <w:rPr>
          <w:rFonts w:ascii="Century Schoolbook" w:hAnsi="Century Schoolbook"/>
        </w:rPr>
        <w:t>0</w:t>
      </w:r>
      <w:r w:rsidR="00FE2475">
        <w:rPr>
          <w:rFonts w:ascii="Century Schoolbook" w:hAnsi="Century Schoolbook"/>
        </w:rPr>
        <w:t xml:space="preserve">; </w:t>
      </w:r>
      <w:r w:rsidRPr="001C7BC1" w:rsidR="00FE2475">
        <w:rPr>
          <w:rFonts w:ascii="Century Schoolbook" w:hAnsi="Century Schoolbook"/>
          <w:i/>
          <w:iCs/>
        </w:rPr>
        <w:t>Becerra</w:t>
      </w:r>
      <w:r w:rsidR="00FE2475">
        <w:rPr>
          <w:rFonts w:ascii="Century Schoolbook" w:hAnsi="Century Schoolbook"/>
        </w:rPr>
        <w:t>,</w:t>
      </w:r>
      <w:r w:rsidRPr="001C7BC1" w:rsidR="00FE2475">
        <w:rPr>
          <w:rFonts w:ascii="Century Schoolbook" w:hAnsi="Century Schoolbook"/>
        </w:rPr>
        <w:t xml:space="preserve"> </w:t>
      </w:r>
      <w:r w:rsidRPr="001C7BC1" w:rsidR="00FE2475">
        <w:rPr>
          <w:rFonts w:ascii="Century Schoolbook" w:hAnsi="Century Schoolbook"/>
          <w:i/>
          <w:iCs/>
        </w:rPr>
        <w:t>supra</w:t>
      </w:r>
      <w:r w:rsidRPr="001C7BC1" w:rsidR="00FE2475">
        <w:rPr>
          <w:rFonts w:ascii="Century Schoolbook" w:hAnsi="Century Schoolbook"/>
        </w:rPr>
        <w:t xml:space="preserve">, 44 Cal.App.5th </w:t>
      </w:r>
      <w:r w:rsidR="00FE2475">
        <w:rPr>
          <w:rFonts w:ascii="Century Schoolbook" w:hAnsi="Century Schoolbook"/>
        </w:rPr>
        <w:t>at p.</w:t>
      </w:r>
      <w:r w:rsidR="002249E7">
        <w:rPr>
          <w:rFonts w:ascii="Century Schoolbook" w:hAnsi="Century Schoolbook"/>
        </w:rPr>
        <w:t> </w:t>
      </w:r>
      <w:r w:rsidRPr="001C7BC1" w:rsidR="00FE2475">
        <w:rPr>
          <w:rFonts w:ascii="Century Schoolbook" w:hAnsi="Century Schoolbook"/>
        </w:rPr>
        <w:t>91</w:t>
      </w:r>
      <w:r w:rsidR="00FE2475">
        <w:rPr>
          <w:rFonts w:ascii="Century Schoolbook" w:hAnsi="Century Schoolbook"/>
        </w:rPr>
        <w:t>7</w:t>
      </w:r>
      <w:r>
        <w:rPr>
          <w:rFonts w:ascii="Century Schoolbook" w:hAnsi="Century Schoolbook"/>
        </w:rPr>
        <w:t>.)</w:t>
      </w:r>
    </w:p>
    <w:p w:rsidR="00795E73" w:rsidP="00991269" w14:paraId="2A09055F" w14:textId="58BEA317">
      <w:pPr>
        <w:spacing w:after="120" w:line="240" w:lineRule="auto"/>
        <w:rPr>
          <w:rFonts w:ascii="Century Schoolbook" w:hAnsi="Century Schoolbook"/>
          <w:b/>
          <w:bCs/>
        </w:rPr>
      </w:pPr>
      <w:r>
        <w:rPr>
          <w:rFonts w:ascii="Century Schoolbook" w:hAnsi="Century Schoolbook"/>
          <w:b/>
          <w:bCs/>
        </w:rPr>
        <w:tab/>
      </w:r>
      <w:r w:rsidRPr="003215A3" w:rsidR="00AD27AE">
        <w:rPr>
          <w:rFonts w:ascii="Century Schoolbook" w:hAnsi="Century Schoolbook"/>
          <w:b/>
          <w:bCs/>
        </w:rPr>
        <w:t xml:space="preserve">Permitting </w:t>
      </w:r>
      <w:r w:rsidR="00D30A6C">
        <w:rPr>
          <w:rFonts w:ascii="Century Schoolbook" w:hAnsi="Century Schoolbook"/>
          <w:b/>
          <w:bCs/>
        </w:rPr>
        <w:t xml:space="preserve">Some of </w:t>
      </w:r>
      <w:r w:rsidRPr="003215A3" w:rsidR="00E35F65">
        <w:rPr>
          <w:rFonts w:ascii="Century Schoolbook" w:hAnsi="Century Schoolbook"/>
          <w:b/>
          <w:bCs/>
        </w:rPr>
        <w:t>the Challenged</w:t>
      </w:r>
      <w:r w:rsidRPr="003215A3" w:rsidR="00AD27AE">
        <w:rPr>
          <w:rFonts w:ascii="Century Schoolbook" w:hAnsi="Century Schoolbook"/>
          <w:b/>
          <w:bCs/>
        </w:rPr>
        <w:t xml:space="preserve"> Redactions Under Subdivisions (b)(4) and (b)(5)</w:t>
      </w:r>
      <w:r w:rsidRPr="003215A3" w:rsidR="00CF10E2">
        <w:rPr>
          <w:rFonts w:ascii="Century Schoolbook" w:hAnsi="Century Schoolbook"/>
          <w:b/>
          <w:bCs/>
        </w:rPr>
        <w:t xml:space="preserve"> Was Error</w:t>
      </w:r>
    </w:p>
    <w:p w:rsidR="005E5C67" w:rsidP="005E5C67" w14:paraId="41E591C1" w14:textId="77777777">
      <w:pPr>
        <w:spacing w:line="360" w:lineRule="auto"/>
        <w:rPr>
          <w:rFonts w:ascii="Century Schoolbook" w:hAnsi="Century Schoolbook"/>
        </w:rPr>
      </w:pPr>
      <w:r>
        <w:rPr>
          <w:rFonts w:ascii="Century Schoolbook" w:hAnsi="Century Schoolbook"/>
        </w:rPr>
        <w:tab/>
        <w:t>Petitioners</w:t>
      </w:r>
      <w:r w:rsidR="00624476">
        <w:rPr>
          <w:rFonts w:ascii="Century Schoolbook" w:hAnsi="Century Schoolbook"/>
        </w:rPr>
        <w:t>’</w:t>
      </w:r>
      <w:r>
        <w:rPr>
          <w:rFonts w:ascii="Century Schoolbook" w:hAnsi="Century Schoolbook"/>
        </w:rPr>
        <w:t xml:space="preserve"> first argument is that the trial court improperly permitted Oakland to redact certain information under </w:t>
      </w:r>
      <w:r w:rsidR="008D3C5F">
        <w:rPr>
          <w:rFonts w:ascii="Century Schoolbook" w:hAnsi="Century Schoolbook"/>
        </w:rPr>
        <w:t xml:space="preserve">section 832.7, </w:t>
      </w:r>
      <w:r w:rsidRPr="003215A3" w:rsidR="00F404B4">
        <w:rPr>
          <w:rFonts w:ascii="Century Schoolbook" w:hAnsi="Century Schoolbook"/>
        </w:rPr>
        <w:t xml:space="preserve">subdivisions </w:t>
      </w:r>
      <w:r w:rsidRPr="003215A3">
        <w:rPr>
          <w:rFonts w:ascii="Century Schoolbook" w:hAnsi="Century Schoolbook"/>
        </w:rPr>
        <w:t>(b)(4) and (b)(5),</w:t>
      </w:r>
      <w:r>
        <w:rPr>
          <w:rFonts w:ascii="Century Schoolbook" w:hAnsi="Century Schoolbook"/>
        </w:rPr>
        <w:t xml:space="preserve"> including </w:t>
      </w:r>
      <w:r w:rsidRPr="00EA302A">
        <w:rPr>
          <w:rFonts w:ascii="Century Schoolbook" w:hAnsi="Century Schoolbook"/>
        </w:rPr>
        <w:t xml:space="preserve">the </w:t>
      </w:r>
      <w:r w:rsidR="00304E52">
        <w:rPr>
          <w:rFonts w:ascii="Century Schoolbook" w:hAnsi="Century Schoolbook"/>
        </w:rPr>
        <w:t>Guap report</w:t>
      </w:r>
      <w:r w:rsidRPr="00EA302A">
        <w:rPr>
          <w:rFonts w:ascii="Century Schoolbook" w:hAnsi="Century Schoolbook"/>
        </w:rPr>
        <w:t>’s training and policy recommendations</w:t>
      </w:r>
      <w:r w:rsidR="00E35F65">
        <w:rPr>
          <w:rFonts w:ascii="Century Schoolbook" w:hAnsi="Century Schoolbook"/>
        </w:rPr>
        <w:t>;</w:t>
      </w:r>
      <w:r>
        <w:rPr>
          <w:rFonts w:ascii="Century Schoolbook" w:hAnsi="Century Schoolbook"/>
        </w:rPr>
        <w:t xml:space="preserve"> witness </w:t>
      </w:r>
      <w:r w:rsidRPr="00EA302A">
        <w:rPr>
          <w:rFonts w:ascii="Century Schoolbook" w:hAnsi="Century Schoolbook"/>
        </w:rPr>
        <w:t>statements contain</w:t>
      </w:r>
      <w:r w:rsidR="00F404B4">
        <w:rPr>
          <w:rFonts w:ascii="Century Schoolbook" w:hAnsi="Century Schoolbook"/>
        </w:rPr>
        <w:t>ing</w:t>
      </w:r>
      <w:r w:rsidRPr="00EA302A">
        <w:rPr>
          <w:rFonts w:ascii="Century Schoolbook" w:hAnsi="Century Schoolbook"/>
        </w:rPr>
        <w:t xml:space="preserve"> general information about Guap and her</w:t>
      </w:r>
      <w:r w:rsidR="007A7193">
        <w:rPr>
          <w:rFonts w:ascii="Century Schoolbook" w:hAnsi="Century Schoolbook"/>
        </w:rPr>
        <w:t xml:space="preserve"> </w:t>
      </w:r>
      <w:r w:rsidRPr="00EA302A">
        <w:rPr>
          <w:rFonts w:ascii="Century Schoolbook" w:hAnsi="Century Schoolbook"/>
        </w:rPr>
        <w:t>social-media use</w:t>
      </w:r>
      <w:r w:rsidR="00E35F65">
        <w:rPr>
          <w:rFonts w:ascii="Century Schoolbook" w:hAnsi="Century Schoolbook"/>
        </w:rPr>
        <w:t xml:space="preserve"> (</w:t>
      </w:r>
      <w:r w:rsidRPr="00EA302A">
        <w:rPr>
          <w:rFonts w:ascii="Century Schoolbook" w:hAnsi="Century Schoolbook"/>
        </w:rPr>
        <w:t>without any information about allegations</w:t>
      </w:r>
      <w:r>
        <w:rPr>
          <w:rFonts w:ascii="Century Schoolbook" w:hAnsi="Century Schoolbook"/>
        </w:rPr>
        <w:t xml:space="preserve"> </w:t>
      </w:r>
      <w:r w:rsidR="00F404B4">
        <w:rPr>
          <w:rFonts w:ascii="Century Schoolbook" w:hAnsi="Century Schoolbook"/>
        </w:rPr>
        <w:t xml:space="preserve">of misconduct </w:t>
      </w:r>
      <w:r w:rsidRPr="00EA302A">
        <w:rPr>
          <w:rFonts w:ascii="Century Schoolbook" w:hAnsi="Century Schoolbook"/>
        </w:rPr>
        <w:t>against any officer</w:t>
      </w:r>
      <w:r w:rsidR="00E35F65">
        <w:rPr>
          <w:rFonts w:ascii="Century Schoolbook" w:hAnsi="Century Schoolbook"/>
        </w:rPr>
        <w:t>)</w:t>
      </w:r>
      <w:r>
        <w:rPr>
          <w:rFonts w:ascii="Century Schoolbook" w:hAnsi="Century Schoolbook"/>
        </w:rPr>
        <w:t xml:space="preserve">; </w:t>
      </w:r>
      <w:r w:rsidRPr="00EA302A">
        <w:rPr>
          <w:rFonts w:ascii="Century Schoolbook" w:hAnsi="Century Schoolbook"/>
        </w:rPr>
        <w:t>screenshots of Guap’s Facebook</w:t>
      </w:r>
      <w:r>
        <w:rPr>
          <w:rFonts w:ascii="Century Schoolbook" w:hAnsi="Century Schoolbook"/>
        </w:rPr>
        <w:t xml:space="preserve"> </w:t>
      </w:r>
      <w:r w:rsidRPr="00EA302A">
        <w:rPr>
          <w:rFonts w:ascii="Century Schoolbook" w:hAnsi="Century Schoolbook"/>
        </w:rPr>
        <w:t>profile</w:t>
      </w:r>
      <w:r w:rsidR="00E35F65">
        <w:rPr>
          <w:rFonts w:ascii="Century Schoolbook" w:hAnsi="Century Schoolbook"/>
        </w:rPr>
        <w:t>;</w:t>
      </w:r>
      <w:r w:rsidRPr="00EA302A">
        <w:rPr>
          <w:rFonts w:ascii="Century Schoolbook" w:hAnsi="Century Schoolbook"/>
        </w:rPr>
        <w:t xml:space="preserve"> </w:t>
      </w:r>
      <w:r>
        <w:rPr>
          <w:rFonts w:ascii="Century Schoolbook" w:hAnsi="Century Schoolbook"/>
        </w:rPr>
        <w:t>and</w:t>
      </w:r>
      <w:r w:rsidRPr="00EA302A">
        <w:rPr>
          <w:rFonts w:ascii="Century Schoolbook" w:hAnsi="Century Schoolbook"/>
        </w:rPr>
        <w:t xml:space="preserve"> large portions of</w:t>
      </w:r>
      <w:r>
        <w:rPr>
          <w:rFonts w:ascii="Century Schoolbook" w:hAnsi="Century Schoolbook"/>
        </w:rPr>
        <w:t xml:space="preserve"> </w:t>
      </w:r>
      <w:r w:rsidRPr="00EA302A">
        <w:rPr>
          <w:rFonts w:ascii="Century Schoolbook" w:hAnsi="Century Schoolbook"/>
        </w:rPr>
        <w:t>her statements to investigators.</w:t>
      </w:r>
      <w:r>
        <w:rPr>
          <w:rStyle w:val="FootnoteReference"/>
          <w:rFonts w:ascii="Century Schoolbook" w:hAnsi="Century Schoolbook"/>
        </w:rPr>
        <w:footnoteReference w:id="7"/>
      </w:r>
      <w:r w:rsidR="00F404B4">
        <w:rPr>
          <w:rFonts w:ascii="Century Schoolbook" w:hAnsi="Century Schoolbook"/>
        </w:rPr>
        <w:t xml:space="preserve"> </w:t>
      </w:r>
      <w:r w:rsidR="00775120">
        <w:rPr>
          <w:rFonts w:ascii="Century Schoolbook" w:hAnsi="Century Schoolbook"/>
        </w:rPr>
        <w:t xml:space="preserve"> </w:t>
      </w:r>
    </w:p>
    <w:p w:rsidR="00266A83" w:rsidP="00266A83" w14:paraId="245800AD" w14:textId="77777777">
      <w:pPr>
        <w:spacing w:line="360" w:lineRule="auto"/>
        <w:rPr>
          <w:rFonts w:ascii="Century Schoolbook" w:hAnsi="Century Schoolbook"/>
        </w:rPr>
      </w:pPr>
      <w:r>
        <w:rPr>
          <w:rFonts w:ascii="Century Schoolbook" w:hAnsi="Century Schoolbook"/>
        </w:rPr>
        <w:tab/>
        <w:t xml:space="preserve">Taking up petitioners’ </w:t>
      </w:r>
      <w:r w:rsidR="00624476">
        <w:rPr>
          <w:rFonts w:ascii="Century Schoolbook" w:hAnsi="Century Schoolbook"/>
        </w:rPr>
        <w:t>cited subdivisions</w:t>
      </w:r>
      <w:r>
        <w:rPr>
          <w:rFonts w:ascii="Century Schoolbook" w:hAnsi="Century Schoolbook"/>
        </w:rPr>
        <w:t xml:space="preserve"> in reverse order, we</w:t>
      </w:r>
      <w:r w:rsidR="00233C7A">
        <w:rPr>
          <w:rFonts w:ascii="Century Schoolbook" w:hAnsi="Century Schoolbook"/>
        </w:rPr>
        <w:t xml:space="preserve"> turn first to </w:t>
      </w:r>
      <w:r w:rsidR="00E766FB">
        <w:rPr>
          <w:rFonts w:ascii="Century Schoolbook" w:hAnsi="Century Schoolbook"/>
        </w:rPr>
        <w:t xml:space="preserve">section 832.7, </w:t>
      </w:r>
      <w:r w:rsidRPr="003215A3" w:rsidR="00775120">
        <w:rPr>
          <w:rFonts w:ascii="Century Schoolbook" w:hAnsi="Century Schoolbook"/>
        </w:rPr>
        <w:t xml:space="preserve">subdivision </w:t>
      </w:r>
      <w:r w:rsidRPr="003215A3" w:rsidR="00233C7A">
        <w:rPr>
          <w:rFonts w:ascii="Century Schoolbook" w:hAnsi="Century Schoolbook"/>
        </w:rPr>
        <w:t>(b)(5)</w:t>
      </w:r>
      <w:r w:rsidRPr="003215A3" w:rsidR="00624476">
        <w:rPr>
          <w:rFonts w:ascii="Century Schoolbook" w:hAnsi="Century Schoolbook"/>
        </w:rPr>
        <w:t>,</w:t>
      </w:r>
      <w:r w:rsidR="00624476">
        <w:rPr>
          <w:rFonts w:ascii="Century Schoolbook" w:hAnsi="Century Schoolbook"/>
        </w:rPr>
        <w:t xml:space="preserve"> and begin by noting that </w:t>
      </w:r>
      <w:r w:rsidR="00233C7A">
        <w:rPr>
          <w:rFonts w:ascii="Century Schoolbook" w:hAnsi="Century Schoolbook"/>
        </w:rPr>
        <w:t>this subdivision</w:t>
      </w:r>
      <w:r w:rsidR="006A7C8B">
        <w:rPr>
          <w:rFonts w:ascii="Century Schoolbook" w:hAnsi="Century Schoolbook"/>
        </w:rPr>
        <w:t xml:space="preserve"> permits redaction </w:t>
      </w:r>
      <w:r w:rsidR="00346C8C">
        <w:rPr>
          <w:rFonts w:ascii="Century Schoolbook" w:hAnsi="Century Schoolbook"/>
        </w:rPr>
        <w:t xml:space="preserve">only </w:t>
      </w:r>
      <w:r w:rsidR="006A7C8B">
        <w:rPr>
          <w:rFonts w:ascii="Century Schoolbook" w:hAnsi="Century Schoolbook"/>
        </w:rPr>
        <w:t xml:space="preserve">of </w:t>
      </w:r>
      <w:r w:rsidRPr="00E352AD" w:rsidR="006A7C8B">
        <w:rPr>
          <w:rFonts w:ascii="Century Schoolbook" w:hAnsi="Century Schoolbook"/>
        </w:rPr>
        <w:t>“</w:t>
      </w:r>
      <w:r w:rsidRPr="00C573E5" w:rsidR="00974A7A">
        <w:rPr>
          <w:rFonts w:ascii="Century Schoolbook" w:hAnsi="Century Schoolbook"/>
        </w:rPr>
        <w:t>information about allegations of</w:t>
      </w:r>
      <w:r w:rsidR="00974A7A">
        <w:rPr>
          <w:rFonts w:ascii="Century Schoolbook" w:hAnsi="Century Schoolbook"/>
        </w:rPr>
        <w:t xml:space="preserve"> </w:t>
      </w:r>
      <w:r w:rsidRPr="00C573E5" w:rsidR="00974A7A">
        <w:rPr>
          <w:rFonts w:ascii="Century Schoolbook" w:hAnsi="Century Schoolbook"/>
        </w:rPr>
        <w:t>misconduct by, or the analysis or disposition of an</w:t>
      </w:r>
      <w:r w:rsidR="00974A7A">
        <w:rPr>
          <w:rFonts w:ascii="Century Schoolbook" w:hAnsi="Century Schoolbook"/>
        </w:rPr>
        <w:t xml:space="preserve"> </w:t>
      </w:r>
      <w:r w:rsidRPr="00C573E5" w:rsidR="00974A7A">
        <w:rPr>
          <w:rFonts w:ascii="Century Schoolbook" w:hAnsi="Century Schoolbook"/>
        </w:rPr>
        <w:t>investigation of, an officer</w:t>
      </w:r>
      <w:r w:rsidR="00974A7A">
        <w:rPr>
          <w:rFonts w:ascii="Century Schoolbook" w:hAnsi="Century Schoolbook"/>
        </w:rPr>
        <w:t xml:space="preserve">.”  </w:t>
      </w:r>
      <w:r w:rsidR="000200A6">
        <w:rPr>
          <w:rFonts w:ascii="Century Schoolbook" w:hAnsi="Century Schoolbook"/>
        </w:rPr>
        <w:t>(§</w:t>
      </w:r>
      <w:r w:rsidR="002249E7">
        <w:rPr>
          <w:rFonts w:ascii="Century Schoolbook" w:hAnsi="Century Schoolbook"/>
        </w:rPr>
        <w:t> </w:t>
      </w:r>
      <w:r w:rsidR="000200A6">
        <w:rPr>
          <w:rFonts w:ascii="Century Schoolbook" w:hAnsi="Century Schoolbook"/>
        </w:rPr>
        <w:t xml:space="preserve">837.2, subd. (b)(5).)  </w:t>
      </w:r>
      <w:r w:rsidR="00974A7A">
        <w:rPr>
          <w:rFonts w:ascii="Century Schoolbook" w:hAnsi="Century Schoolbook"/>
        </w:rPr>
        <w:t>The trial court’s order makes no mention of this limitation, and Oakland offers no argument that the various challenged redactions qualify under it.</w:t>
      </w:r>
      <w:r w:rsidR="006A7C8B">
        <w:rPr>
          <w:rFonts w:ascii="Century Schoolbook" w:hAnsi="Century Schoolbook"/>
        </w:rPr>
        <w:t xml:space="preserve">  </w:t>
      </w:r>
      <w:r w:rsidR="00A64F5F">
        <w:rPr>
          <w:rFonts w:ascii="Century Schoolbook" w:hAnsi="Century Schoolbook"/>
        </w:rPr>
        <w:t>Plainly</w:t>
      </w:r>
      <w:r w:rsidR="00801F36">
        <w:rPr>
          <w:rFonts w:ascii="Century Schoolbook" w:hAnsi="Century Schoolbook"/>
        </w:rPr>
        <w:t>,</w:t>
      </w:r>
      <w:r w:rsidR="00974A7A">
        <w:rPr>
          <w:rFonts w:ascii="Century Schoolbook" w:hAnsi="Century Schoolbook"/>
        </w:rPr>
        <w:t xml:space="preserve"> certain of the redact</w:t>
      </w:r>
      <w:r w:rsidR="00634B7E">
        <w:rPr>
          <w:rFonts w:ascii="Century Schoolbook" w:hAnsi="Century Schoolbook"/>
        </w:rPr>
        <w:t>ed information</w:t>
      </w:r>
      <w:r w:rsidR="00A64F5F">
        <w:rPr>
          <w:rFonts w:ascii="Century Schoolbook" w:hAnsi="Century Schoolbook"/>
        </w:rPr>
        <w:t xml:space="preserve">, </w:t>
      </w:r>
      <w:r w:rsidR="00974A7A">
        <w:rPr>
          <w:rFonts w:ascii="Century Schoolbook" w:hAnsi="Century Schoolbook"/>
        </w:rPr>
        <w:t xml:space="preserve">including </w:t>
      </w:r>
      <w:r w:rsidR="00A64F5F">
        <w:rPr>
          <w:rFonts w:ascii="Century Schoolbook" w:hAnsi="Century Schoolbook"/>
        </w:rPr>
        <w:t xml:space="preserve">the </w:t>
      </w:r>
      <w:r w:rsidR="00304E52">
        <w:rPr>
          <w:rFonts w:ascii="Century Schoolbook" w:hAnsi="Century Schoolbook"/>
        </w:rPr>
        <w:t>Guap report</w:t>
      </w:r>
      <w:r w:rsidR="00A64F5F">
        <w:rPr>
          <w:rFonts w:ascii="Century Schoolbook" w:hAnsi="Century Schoolbook"/>
        </w:rPr>
        <w:t xml:space="preserve">’s </w:t>
      </w:r>
      <w:r w:rsidR="00A12D0E">
        <w:rPr>
          <w:rFonts w:ascii="Century Schoolbook" w:hAnsi="Century Schoolbook"/>
        </w:rPr>
        <w:t xml:space="preserve">general </w:t>
      </w:r>
      <w:r w:rsidR="00A64F5F">
        <w:rPr>
          <w:rFonts w:ascii="Century Schoolbook" w:hAnsi="Century Schoolbook"/>
        </w:rPr>
        <w:t xml:space="preserve">policy and training recommendations, and </w:t>
      </w:r>
      <w:r w:rsidR="00974A7A">
        <w:rPr>
          <w:rFonts w:ascii="Century Schoolbook" w:hAnsi="Century Schoolbook"/>
        </w:rPr>
        <w:t xml:space="preserve">screenshots of Guap’s Facebook profile, are not </w:t>
      </w:r>
      <w:r w:rsidRPr="00E352AD" w:rsidR="00974A7A">
        <w:rPr>
          <w:rFonts w:ascii="Century Schoolbook" w:hAnsi="Century Schoolbook"/>
        </w:rPr>
        <w:t>“</w:t>
      </w:r>
      <w:r w:rsidRPr="00C573E5" w:rsidR="00974A7A">
        <w:rPr>
          <w:rFonts w:ascii="Century Schoolbook" w:hAnsi="Century Schoolbook"/>
        </w:rPr>
        <w:t>information about allegations of</w:t>
      </w:r>
      <w:r w:rsidR="00974A7A">
        <w:rPr>
          <w:rFonts w:ascii="Century Schoolbook" w:hAnsi="Century Schoolbook"/>
        </w:rPr>
        <w:t xml:space="preserve"> </w:t>
      </w:r>
      <w:r w:rsidRPr="00C573E5" w:rsidR="00974A7A">
        <w:rPr>
          <w:rFonts w:ascii="Century Schoolbook" w:hAnsi="Century Schoolbook"/>
        </w:rPr>
        <w:t>misconduct by, or the analysis or disposition of an</w:t>
      </w:r>
      <w:r w:rsidR="00974A7A">
        <w:rPr>
          <w:rFonts w:ascii="Century Schoolbook" w:hAnsi="Century Schoolbook"/>
        </w:rPr>
        <w:t xml:space="preserve"> </w:t>
      </w:r>
      <w:r w:rsidRPr="00C573E5" w:rsidR="00974A7A">
        <w:rPr>
          <w:rFonts w:ascii="Century Schoolbook" w:hAnsi="Century Schoolbook"/>
        </w:rPr>
        <w:t>investigation of, an officer</w:t>
      </w:r>
      <w:r w:rsidR="00974A7A">
        <w:rPr>
          <w:rFonts w:ascii="Century Schoolbook" w:hAnsi="Century Schoolbook"/>
        </w:rPr>
        <w:t xml:space="preserve">,” and therefore cannot be </w:t>
      </w:r>
      <w:r w:rsidR="006B7B94">
        <w:rPr>
          <w:rFonts w:ascii="Century Schoolbook" w:hAnsi="Century Schoolbook"/>
        </w:rPr>
        <w:t>redacted</w:t>
      </w:r>
      <w:r w:rsidR="00974A7A">
        <w:rPr>
          <w:rFonts w:ascii="Century Schoolbook" w:hAnsi="Century Schoolbook"/>
        </w:rPr>
        <w:t xml:space="preserve"> under </w:t>
      </w:r>
      <w:r w:rsidR="00E766FB">
        <w:rPr>
          <w:rFonts w:ascii="Century Schoolbook" w:hAnsi="Century Schoolbook"/>
        </w:rPr>
        <w:t xml:space="preserve">this </w:t>
      </w:r>
      <w:r w:rsidRPr="003215A3" w:rsidR="00B368CF">
        <w:rPr>
          <w:rFonts w:ascii="Century Schoolbook" w:hAnsi="Century Schoolbook"/>
        </w:rPr>
        <w:t>subdivision</w:t>
      </w:r>
      <w:r w:rsidRPr="003215A3" w:rsidR="00974A7A">
        <w:rPr>
          <w:rFonts w:ascii="Century Schoolbook" w:hAnsi="Century Schoolbook"/>
        </w:rPr>
        <w:t>.</w:t>
      </w:r>
      <w:r w:rsidR="00974A7A">
        <w:rPr>
          <w:rFonts w:ascii="Century Schoolbook" w:hAnsi="Century Schoolbook"/>
        </w:rPr>
        <w:t xml:space="preserve"> </w:t>
      </w:r>
    </w:p>
    <w:p w:rsidR="00266A83" w:rsidP="00266A83" w14:paraId="3E9F98B2" w14:textId="41246AE9">
      <w:pPr>
        <w:spacing w:line="360" w:lineRule="auto"/>
        <w:rPr>
          <w:rFonts w:ascii="Century Schoolbook" w:hAnsi="Century Schoolbook"/>
        </w:rPr>
      </w:pPr>
      <w:r>
        <w:rPr>
          <w:rFonts w:ascii="Century Schoolbook" w:hAnsi="Century Schoolbook"/>
        </w:rPr>
        <w:tab/>
      </w:r>
      <w:r w:rsidR="00E766FB">
        <w:rPr>
          <w:rFonts w:ascii="Century Schoolbook" w:hAnsi="Century Schoolbook"/>
        </w:rPr>
        <w:t>Section 832.7, s</w:t>
      </w:r>
      <w:r w:rsidRPr="003215A3" w:rsidR="003F7FF2">
        <w:rPr>
          <w:rFonts w:ascii="Century Schoolbook" w:hAnsi="Century Schoolbook"/>
        </w:rPr>
        <w:t>ubdivision (b)(5)</w:t>
      </w:r>
      <w:r w:rsidR="003F7FF2">
        <w:rPr>
          <w:rFonts w:ascii="Century Schoolbook" w:hAnsi="Century Schoolbook"/>
        </w:rPr>
        <w:t xml:space="preserve"> contains a second limitation on what can be redacted, providing that “</w:t>
      </w:r>
      <w:r w:rsidRPr="00C573E5" w:rsidR="003F7FF2">
        <w:rPr>
          <w:rFonts w:ascii="Century Schoolbook" w:hAnsi="Century Schoolbook"/>
        </w:rPr>
        <w:t>factual information about that action of an officer</w:t>
      </w:r>
      <w:r w:rsidR="003F7FF2">
        <w:rPr>
          <w:rFonts w:ascii="Century Schoolbook" w:hAnsi="Century Schoolbook"/>
        </w:rPr>
        <w:t xml:space="preserve"> </w:t>
      </w:r>
      <w:r w:rsidRPr="00C573E5" w:rsidR="003F7FF2">
        <w:rPr>
          <w:rFonts w:ascii="Century Schoolbook" w:hAnsi="Century Schoolbook"/>
        </w:rPr>
        <w:t>during an incident, or the statements of an officer about an</w:t>
      </w:r>
      <w:r w:rsidR="003F7FF2">
        <w:rPr>
          <w:rFonts w:ascii="Century Schoolbook" w:hAnsi="Century Schoolbook"/>
        </w:rPr>
        <w:t xml:space="preserve"> </w:t>
      </w:r>
      <w:r w:rsidRPr="00C573E5" w:rsidR="003F7FF2">
        <w:rPr>
          <w:rFonts w:ascii="Century Schoolbook" w:hAnsi="Century Schoolbook"/>
        </w:rPr>
        <w:t>incident, shall be released if they are relevant to a finding</w:t>
      </w:r>
      <w:r w:rsidR="003F7FF2">
        <w:rPr>
          <w:rFonts w:ascii="Century Schoolbook" w:hAnsi="Century Schoolbook"/>
        </w:rPr>
        <w:t xml:space="preserve"> </w:t>
      </w:r>
      <w:r w:rsidRPr="00C573E5" w:rsidR="003F7FF2">
        <w:rPr>
          <w:rFonts w:ascii="Century Schoolbook" w:hAnsi="Century Schoolbook"/>
        </w:rPr>
        <w:t>against another officer that is subject to release</w:t>
      </w:r>
      <w:r w:rsidR="00FF5549">
        <w:rPr>
          <w:rFonts w:ascii="Century Schoolbook" w:hAnsi="Century Schoolbook"/>
        </w:rPr>
        <w:t>.</w:t>
      </w:r>
      <w:r w:rsidR="003F7FF2">
        <w:rPr>
          <w:rFonts w:ascii="Century Schoolbook" w:hAnsi="Century Schoolbook"/>
        </w:rPr>
        <w:t xml:space="preserve">”  </w:t>
      </w:r>
      <w:r w:rsidR="00DD23F3">
        <w:rPr>
          <w:rFonts w:ascii="Century Schoolbook" w:hAnsi="Century Schoolbook"/>
        </w:rPr>
        <w:t xml:space="preserve">The trial court’s order contains no mention or analysis of this provision either.  Oakland does briefly address this part of </w:t>
      </w:r>
      <w:r w:rsidR="00480B77">
        <w:rPr>
          <w:rFonts w:ascii="Century Schoolbook" w:hAnsi="Century Schoolbook"/>
        </w:rPr>
        <w:t xml:space="preserve">this </w:t>
      </w:r>
      <w:r w:rsidRPr="00231B62" w:rsidR="00F364E6">
        <w:rPr>
          <w:rFonts w:ascii="Century Schoolbook" w:hAnsi="Century Schoolbook"/>
        </w:rPr>
        <w:t>subdivision</w:t>
      </w:r>
      <w:r w:rsidRPr="00231B62" w:rsidR="00DD23F3">
        <w:rPr>
          <w:rFonts w:ascii="Century Schoolbook" w:hAnsi="Century Schoolbook"/>
        </w:rPr>
        <w:t>,</w:t>
      </w:r>
      <w:r w:rsidR="00DD23F3">
        <w:rPr>
          <w:rFonts w:ascii="Century Schoolbook" w:hAnsi="Century Schoolbook"/>
        </w:rPr>
        <w:t xml:space="preserve"> arguing without elaboration that the trial court made “implicit factual finding[s]” that “</w:t>
      </w:r>
      <w:r w:rsidRPr="001B0C4C" w:rsidR="00DD23F3">
        <w:rPr>
          <w:rFonts w:ascii="Century Schoolbook" w:hAnsi="Century Schoolbook"/>
        </w:rPr>
        <w:t xml:space="preserve">each redaction upheld under this portion of the statute was not </w:t>
      </w:r>
      <w:r w:rsidR="00DD23F3">
        <w:rPr>
          <w:rFonts w:ascii="Century Schoolbook" w:hAnsi="Century Schoolbook"/>
        </w:rPr>
        <w:t>‘</w:t>
      </w:r>
      <w:r w:rsidRPr="001B0C4C" w:rsidR="00DD23F3">
        <w:rPr>
          <w:rFonts w:ascii="Century Schoolbook" w:hAnsi="Century Schoolbook"/>
        </w:rPr>
        <w:t>relevant to a [disclosable] finding against another officer.</w:t>
      </w:r>
      <w:r w:rsidR="00DD23F3">
        <w:rPr>
          <w:rFonts w:ascii="Century Schoolbook" w:hAnsi="Century Schoolbook"/>
        </w:rPr>
        <w:t>’</w:t>
      </w:r>
      <w:r w:rsidR="00FF5549">
        <w:rPr>
          <w:rFonts w:ascii="Century Schoolbook" w:hAnsi="Century Schoolbook"/>
        </w:rPr>
        <w:t> </w:t>
      </w:r>
      <w:r w:rsidRPr="001B0C4C" w:rsidR="00DD23F3">
        <w:rPr>
          <w:rFonts w:ascii="Century Schoolbook" w:hAnsi="Century Schoolbook"/>
        </w:rPr>
        <w:t xml:space="preserve">” </w:t>
      </w:r>
      <w:r w:rsidR="00DD23F3">
        <w:rPr>
          <w:rFonts w:ascii="Century Schoolbook" w:hAnsi="Century Schoolbook"/>
        </w:rPr>
        <w:t xml:space="preserve"> </w:t>
      </w:r>
      <w:r w:rsidR="000C208B">
        <w:rPr>
          <w:rFonts w:ascii="Century Schoolbook" w:hAnsi="Century Schoolbook"/>
        </w:rPr>
        <w:t>We do not agree the tr</w:t>
      </w:r>
      <w:r w:rsidR="00E35F65">
        <w:rPr>
          <w:rFonts w:ascii="Century Schoolbook" w:hAnsi="Century Schoolbook"/>
        </w:rPr>
        <w:t>ia</w:t>
      </w:r>
      <w:r w:rsidR="000C208B">
        <w:rPr>
          <w:rFonts w:ascii="Century Schoolbook" w:hAnsi="Century Schoolbook"/>
        </w:rPr>
        <w:t>l court made such “implicit” findings</w:t>
      </w:r>
      <w:r w:rsidR="00E35F65">
        <w:rPr>
          <w:rFonts w:ascii="Century Schoolbook" w:hAnsi="Century Schoolbook"/>
        </w:rPr>
        <w:t>, as it</w:t>
      </w:r>
      <w:r w:rsidR="000C208B">
        <w:rPr>
          <w:rFonts w:ascii="Century Schoolbook" w:hAnsi="Century Schoolbook"/>
        </w:rPr>
        <w:t xml:space="preserve"> nowhere discuss</w:t>
      </w:r>
      <w:r w:rsidR="00624476">
        <w:rPr>
          <w:rFonts w:ascii="Century Schoolbook" w:hAnsi="Century Schoolbook"/>
        </w:rPr>
        <w:t>ed</w:t>
      </w:r>
      <w:r w:rsidR="000C208B">
        <w:rPr>
          <w:rFonts w:ascii="Century Schoolbook" w:hAnsi="Century Schoolbook"/>
        </w:rPr>
        <w:t xml:space="preserve"> </w:t>
      </w:r>
      <w:r w:rsidR="00CA4B1C">
        <w:rPr>
          <w:rFonts w:ascii="Century Schoolbook" w:hAnsi="Century Schoolbook"/>
        </w:rPr>
        <w:t>application of the second limitation at all</w:t>
      </w:r>
      <w:r w:rsidR="000C208B">
        <w:rPr>
          <w:rFonts w:ascii="Century Schoolbook" w:hAnsi="Century Schoolbook"/>
        </w:rPr>
        <w:t xml:space="preserve">, even by way of providing examples.  Neither does Oakland’s brief, which fails to discuss any specific redactions, and provides not a single example of a redaction under </w:t>
      </w:r>
      <w:r w:rsidR="00DA63DE">
        <w:rPr>
          <w:rFonts w:ascii="Century Schoolbook" w:hAnsi="Century Schoolbook"/>
        </w:rPr>
        <w:t xml:space="preserve">subdivision </w:t>
      </w:r>
      <w:r w:rsidR="000C208B">
        <w:rPr>
          <w:rFonts w:ascii="Century Schoolbook" w:hAnsi="Century Schoolbook"/>
        </w:rPr>
        <w:t xml:space="preserve">(b)(5) </w:t>
      </w:r>
      <w:r w:rsidR="00E35F65">
        <w:rPr>
          <w:rFonts w:ascii="Century Schoolbook" w:hAnsi="Century Schoolbook"/>
        </w:rPr>
        <w:t>that</w:t>
      </w:r>
      <w:r w:rsidR="000C208B">
        <w:rPr>
          <w:rFonts w:ascii="Century Schoolbook" w:hAnsi="Century Schoolbook"/>
        </w:rPr>
        <w:t xml:space="preserve"> was “not ‘relevant to a [disclosable] finding against another officer.</w:t>
      </w:r>
      <w:r w:rsidR="004B1973">
        <w:rPr>
          <w:rFonts w:ascii="Century Schoolbook" w:hAnsi="Century Schoolbook"/>
        </w:rPr>
        <w:t xml:space="preserve">’ </w:t>
      </w:r>
      <w:r w:rsidR="000C208B">
        <w:rPr>
          <w:rFonts w:ascii="Century Schoolbook" w:hAnsi="Century Schoolbook"/>
        </w:rPr>
        <w:t xml:space="preserve">”  </w:t>
      </w:r>
      <w:r w:rsidR="00857149">
        <w:rPr>
          <w:rFonts w:ascii="Century Schoolbook" w:hAnsi="Century Schoolbook"/>
        </w:rPr>
        <w:t xml:space="preserve">(See </w:t>
      </w:r>
      <w:r w:rsidRPr="00857149" w:rsidR="00857149">
        <w:rPr>
          <w:rFonts w:ascii="Century Schoolbook" w:hAnsi="Century Schoolbook"/>
          <w:i/>
          <w:iCs/>
        </w:rPr>
        <w:t>Sharabianlou</w:t>
      </w:r>
      <w:r w:rsidR="00D90CEF">
        <w:rPr>
          <w:rFonts w:ascii="Century Schoolbook" w:hAnsi="Century Schoolbook"/>
          <w:i/>
          <w:iCs/>
        </w:rPr>
        <w:t> </w:t>
      </w:r>
      <w:r w:rsidRPr="00857149" w:rsidR="00857149">
        <w:rPr>
          <w:rFonts w:ascii="Century Schoolbook" w:hAnsi="Century Schoolbook"/>
          <w:i/>
          <w:iCs/>
        </w:rPr>
        <w:t>v. Karp</w:t>
      </w:r>
      <w:r w:rsidR="00857149">
        <w:rPr>
          <w:rFonts w:ascii="Century Schoolbook" w:hAnsi="Century Schoolbook"/>
        </w:rPr>
        <w:t xml:space="preserve"> (2010)</w:t>
      </w:r>
      <w:r w:rsidRPr="00410836" w:rsidR="00857149">
        <w:rPr>
          <w:rFonts w:ascii="Century Schoolbook" w:hAnsi="Century Schoolbook"/>
        </w:rPr>
        <w:t xml:space="preserve"> 181</w:t>
      </w:r>
      <w:r w:rsidR="00D90CEF">
        <w:rPr>
          <w:rFonts w:ascii="Century Schoolbook" w:hAnsi="Century Schoolbook"/>
        </w:rPr>
        <w:t> </w:t>
      </w:r>
      <w:r w:rsidRPr="00410836" w:rsidR="00857149">
        <w:rPr>
          <w:rFonts w:ascii="Century Schoolbook" w:hAnsi="Century Schoolbook"/>
        </w:rPr>
        <w:t>Cal.App.4</w:t>
      </w:r>
      <w:r w:rsidR="00692DFE">
        <w:rPr>
          <w:rFonts w:ascii="Century Schoolbook" w:hAnsi="Century Schoolbook"/>
        </w:rPr>
        <w:t>th</w:t>
      </w:r>
      <w:r w:rsidRPr="00410836" w:rsidR="00857149">
        <w:rPr>
          <w:rFonts w:ascii="Century Schoolbook" w:hAnsi="Century Schoolbook"/>
        </w:rPr>
        <w:t xml:space="preserve"> </w:t>
      </w:r>
      <w:r w:rsidR="00857149">
        <w:rPr>
          <w:rFonts w:ascii="Century Schoolbook" w:hAnsi="Century Schoolbook"/>
        </w:rPr>
        <w:t>1133,</w:t>
      </w:r>
      <w:r w:rsidRPr="00410836" w:rsidR="00857149">
        <w:rPr>
          <w:rFonts w:ascii="Century Schoolbook" w:hAnsi="Century Schoolbook"/>
        </w:rPr>
        <w:t xml:space="preserve"> 1149</w:t>
      </w:r>
      <w:r w:rsidR="00857149">
        <w:rPr>
          <w:rFonts w:ascii="Century Schoolbook" w:hAnsi="Century Schoolbook"/>
        </w:rPr>
        <w:t xml:space="preserve"> [“</w:t>
      </w:r>
      <w:r w:rsidRPr="00857149" w:rsidR="00857149">
        <w:rPr>
          <w:rFonts w:ascii="Century Schoolbook" w:hAnsi="Century Schoolbook"/>
        </w:rPr>
        <w:t>Counsel is obligated to refer us to the portions of the record supporting his or her contentions on appeal</w:t>
      </w:r>
      <w:r w:rsidR="00857149">
        <w:rPr>
          <w:rFonts w:ascii="Century Schoolbook" w:hAnsi="Century Schoolbook"/>
        </w:rPr>
        <w:t xml:space="preserve"> </w:t>
      </w:r>
      <w:r w:rsidR="00D90CEF">
        <w:rPr>
          <w:rFonts w:ascii="Century Schoolbook" w:hAnsi="Century Schoolbook"/>
        </w:rPr>
        <w:t>. . .</w:t>
      </w:r>
      <w:r w:rsidRPr="00857149" w:rsidR="00857149">
        <w:rPr>
          <w:rFonts w:ascii="Century Schoolbook" w:hAnsi="Century Schoolbook"/>
        </w:rPr>
        <w:t xml:space="preserve"> we will not scour the record on our own in search of supporting evidence</w:t>
      </w:r>
      <w:r w:rsidR="00857149">
        <w:rPr>
          <w:rFonts w:ascii="Century Schoolbook" w:hAnsi="Century Schoolbook"/>
        </w:rPr>
        <w:t>”]</w:t>
      </w:r>
      <w:r w:rsidRPr="00857149" w:rsidR="00857149">
        <w:rPr>
          <w:rFonts w:ascii="Century Schoolbook" w:hAnsi="Century Schoolbook"/>
        </w:rPr>
        <w:t>.</w:t>
      </w:r>
      <w:r w:rsidR="00857149">
        <w:rPr>
          <w:rFonts w:ascii="Century Schoolbook" w:hAnsi="Century Schoolbook"/>
        </w:rPr>
        <w:t xml:space="preserve">)  </w:t>
      </w:r>
    </w:p>
    <w:p w:rsidR="00266A83" w:rsidP="00266A83" w14:paraId="0B897F1C" w14:textId="77777777">
      <w:pPr>
        <w:spacing w:line="360" w:lineRule="auto"/>
        <w:rPr>
          <w:rFonts w:ascii="Century Schoolbook" w:hAnsi="Century Schoolbook"/>
        </w:rPr>
      </w:pPr>
      <w:r>
        <w:rPr>
          <w:rFonts w:ascii="Century Schoolbook" w:hAnsi="Century Schoolbook"/>
        </w:rPr>
        <w:tab/>
      </w:r>
      <w:r w:rsidR="008D3595">
        <w:rPr>
          <w:rFonts w:ascii="Century Schoolbook" w:hAnsi="Century Schoolbook"/>
        </w:rPr>
        <w:t>By contra</w:t>
      </w:r>
      <w:r w:rsidR="00DA63DE">
        <w:rPr>
          <w:rFonts w:ascii="Century Schoolbook" w:hAnsi="Century Schoolbook"/>
        </w:rPr>
        <w:t>s</w:t>
      </w:r>
      <w:r w:rsidR="008D3595">
        <w:rPr>
          <w:rFonts w:ascii="Century Schoolbook" w:hAnsi="Century Schoolbook"/>
        </w:rPr>
        <w:t>t, p</w:t>
      </w:r>
      <w:r w:rsidR="000C208B">
        <w:rPr>
          <w:rFonts w:ascii="Century Schoolbook" w:hAnsi="Century Schoolbook"/>
        </w:rPr>
        <w:t>etitioners have</w:t>
      </w:r>
      <w:r w:rsidR="00634B7E">
        <w:rPr>
          <w:rFonts w:ascii="Century Schoolbook" w:hAnsi="Century Schoolbook"/>
        </w:rPr>
        <w:t xml:space="preserve"> </w:t>
      </w:r>
      <w:r w:rsidR="000C208B">
        <w:rPr>
          <w:rFonts w:ascii="Century Schoolbook" w:hAnsi="Century Schoolbook"/>
        </w:rPr>
        <w:t xml:space="preserve">identified material redacted under </w:t>
      </w:r>
      <w:r w:rsidR="00EA3CC8">
        <w:rPr>
          <w:rFonts w:ascii="Century Schoolbook" w:hAnsi="Century Schoolbook"/>
        </w:rPr>
        <w:t xml:space="preserve">section </w:t>
      </w:r>
      <w:r w:rsidR="00E60456">
        <w:rPr>
          <w:rFonts w:ascii="Century Schoolbook" w:hAnsi="Century Schoolbook"/>
        </w:rPr>
        <w:t xml:space="preserve">832.7, </w:t>
      </w:r>
      <w:r w:rsidRPr="00231B62" w:rsidR="00DA63DE">
        <w:rPr>
          <w:rFonts w:ascii="Century Schoolbook" w:hAnsi="Century Schoolbook"/>
        </w:rPr>
        <w:t>subdivision</w:t>
      </w:r>
      <w:r w:rsidR="00480B77">
        <w:rPr>
          <w:rFonts w:ascii="Century Schoolbook" w:hAnsi="Century Schoolbook"/>
        </w:rPr>
        <w:t xml:space="preserve"> </w:t>
      </w:r>
      <w:r w:rsidR="00E60456">
        <w:rPr>
          <w:rFonts w:ascii="Century Schoolbook" w:hAnsi="Century Schoolbook"/>
        </w:rPr>
        <w:t xml:space="preserve">(b)(5) </w:t>
      </w:r>
      <w:r>
        <w:rPr>
          <w:rFonts w:ascii="Century Schoolbook" w:hAnsi="Century Schoolbook"/>
        </w:rPr>
        <w:t>that</w:t>
      </w:r>
      <w:r w:rsidR="000C208B">
        <w:rPr>
          <w:rFonts w:ascii="Century Schoolbook" w:hAnsi="Century Schoolbook"/>
        </w:rPr>
        <w:t xml:space="preserve"> should have been disclosed because it was relevant to Guap’s credibility</w:t>
      </w:r>
      <w:r w:rsidR="008D3595">
        <w:rPr>
          <w:rFonts w:ascii="Century Schoolbook" w:hAnsi="Century Schoolbook"/>
        </w:rPr>
        <w:t xml:space="preserve">, </w:t>
      </w:r>
      <w:r w:rsidR="00D7082D">
        <w:rPr>
          <w:rFonts w:ascii="Century Schoolbook" w:hAnsi="Century Schoolbook"/>
        </w:rPr>
        <w:t>including, f</w:t>
      </w:r>
      <w:r w:rsidR="00F0548D">
        <w:rPr>
          <w:rFonts w:ascii="Century Schoolbook" w:hAnsi="Century Schoolbook"/>
        </w:rPr>
        <w:t xml:space="preserve">or example, </w:t>
      </w:r>
      <w:r w:rsidR="007B2C21">
        <w:rPr>
          <w:rFonts w:ascii="Century Schoolbook" w:hAnsi="Century Schoolbook"/>
        </w:rPr>
        <w:t>comment</w:t>
      </w:r>
      <w:r w:rsidR="00B77B43">
        <w:rPr>
          <w:rFonts w:ascii="Century Schoolbook" w:hAnsi="Century Schoolbook"/>
        </w:rPr>
        <w:t>s</w:t>
      </w:r>
      <w:r w:rsidR="007B2C21">
        <w:rPr>
          <w:rFonts w:ascii="Century Schoolbook" w:hAnsi="Century Schoolbook"/>
        </w:rPr>
        <w:t xml:space="preserve"> </w:t>
      </w:r>
      <w:r w:rsidR="00D7082D">
        <w:rPr>
          <w:rFonts w:ascii="Century Schoolbook" w:hAnsi="Century Schoolbook"/>
        </w:rPr>
        <w:t>from Guap’s mother</w:t>
      </w:r>
      <w:r w:rsidR="0037141A">
        <w:rPr>
          <w:rFonts w:ascii="Century Schoolbook" w:hAnsi="Century Schoolbook"/>
        </w:rPr>
        <w:t xml:space="preserve"> </w:t>
      </w:r>
      <w:r w:rsidR="007B2C21">
        <w:rPr>
          <w:rFonts w:ascii="Century Schoolbook" w:hAnsi="Century Schoolbook"/>
        </w:rPr>
        <w:t>about Guap that</w:t>
      </w:r>
      <w:r w:rsidR="00B77B43">
        <w:rPr>
          <w:rFonts w:ascii="Century Schoolbook" w:hAnsi="Century Schoolbook"/>
        </w:rPr>
        <w:t xml:space="preserve"> are in the sealed material.</w:t>
      </w:r>
      <w:r>
        <w:rPr>
          <w:rStyle w:val="FootnoteReference"/>
          <w:rFonts w:ascii="Century Schoolbook" w:hAnsi="Century Schoolbook"/>
        </w:rPr>
        <w:footnoteReference w:id="8"/>
      </w:r>
      <w:r w:rsidR="00B77B43">
        <w:rPr>
          <w:rFonts w:ascii="Century Schoolbook" w:hAnsi="Century Schoolbook"/>
        </w:rPr>
        <w:t xml:space="preserve"> </w:t>
      </w:r>
    </w:p>
    <w:p w:rsidR="00DA70D4" w:rsidP="00DA70D4" w14:paraId="55762D35" w14:textId="77777777">
      <w:pPr>
        <w:spacing w:line="360" w:lineRule="auto"/>
        <w:rPr>
          <w:rFonts w:ascii="Century Schoolbook" w:hAnsi="Century Schoolbook"/>
        </w:rPr>
      </w:pPr>
      <w:r>
        <w:rPr>
          <w:rFonts w:ascii="Century Schoolbook" w:hAnsi="Century Schoolbook"/>
        </w:rPr>
        <w:tab/>
      </w:r>
      <w:r w:rsidR="00E35F65">
        <w:rPr>
          <w:rFonts w:ascii="Century Schoolbook" w:hAnsi="Century Schoolbook"/>
        </w:rPr>
        <w:t>In sum, w</w:t>
      </w:r>
      <w:r w:rsidR="00FD6C74">
        <w:rPr>
          <w:rFonts w:ascii="Century Schoolbook" w:hAnsi="Century Schoolbook"/>
        </w:rPr>
        <w:t xml:space="preserve">e conclude that the trial court did not apply the proper test for evaluating Oakland’s redactions under </w:t>
      </w:r>
      <w:r w:rsidR="00480B77">
        <w:rPr>
          <w:rFonts w:ascii="Century Schoolbook" w:hAnsi="Century Schoolbook"/>
        </w:rPr>
        <w:t xml:space="preserve">section 832.7, </w:t>
      </w:r>
      <w:r w:rsidRPr="00231B62" w:rsidR="00FD6C74">
        <w:rPr>
          <w:rFonts w:ascii="Century Schoolbook" w:hAnsi="Century Schoolbook"/>
        </w:rPr>
        <w:t>subdivision (b)(5).</w:t>
      </w:r>
      <w:r w:rsidR="00E35F65">
        <w:rPr>
          <w:rFonts w:ascii="Century Schoolbook" w:hAnsi="Century Schoolbook"/>
        </w:rPr>
        <w:t xml:space="preserve">  Likewise under </w:t>
      </w:r>
      <w:r w:rsidRPr="00231B62" w:rsidR="00E35F65">
        <w:rPr>
          <w:rFonts w:ascii="Century Schoolbook" w:hAnsi="Century Schoolbook"/>
        </w:rPr>
        <w:t>subdivision (b)(4)</w:t>
      </w:r>
      <w:r w:rsidRPr="00231B62" w:rsidR="004E2DEE">
        <w:rPr>
          <w:rFonts w:ascii="Century Schoolbook" w:hAnsi="Century Schoolbook"/>
        </w:rPr>
        <w:t>,</w:t>
      </w:r>
      <w:r w:rsidR="004E2DEE">
        <w:rPr>
          <w:rFonts w:ascii="Century Schoolbook" w:hAnsi="Century Schoolbook"/>
        </w:rPr>
        <w:t xml:space="preserve"> the other basis for Oakland’s redactions.</w:t>
      </w:r>
    </w:p>
    <w:p w:rsidR="00DA70D4" w:rsidP="00DA70D4" w14:paraId="162C3B7C" w14:textId="77777777">
      <w:pPr>
        <w:spacing w:line="360" w:lineRule="auto"/>
        <w:rPr>
          <w:rFonts w:ascii="Century Schoolbook" w:hAnsi="Century Schoolbook"/>
        </w:rPr>
      </w:pPr>
      <w:r>
        <w:rPr>
          <w:rFonts w:ascii="Century Schoolbook" w:hAnsi="Century Schoolbook"/>
        </w:rPr>
        <w:tab/>
      </w:r>
      <w:r w:rsidR="00BE2E3B">
        <w:rPr>
          <w:rFonts w:ascii="Century Schoolbook" w:hAnsi="Century Schoolbook"/>
        </w:rPr>
        <w:t>Section 832.7, s</w:t>
      </w:r>
      <w:r w:rsidRPr="00231B62">
        <w:rPr>
          <w:rFonts w:ascii="Century Schoolbook" w:hAnsi="Century Schoolbook"/>
        </w:rPr>
        <w:t xml:space="preserve">ubdivision </w:t>
      </w:r>
      <w:r w:rsidRPr="00231B62" w:rsidR="00D906C2">
        <w:rPr>
          <w:rFonts w:ascii="Century Schoolbook" w:hAnsi="Century Schoolbook"/>
        </w:rPr>
        <w:t>(b)(4)</w:t>
      </w:r>
      <w:r w:rsidR="00D906C2">
        <w:rPr>
          <w:rFonts w:ascii="Century Schoolbook" w:hAnsi="Century Schoolbook"/>
        </w:rPr>
        <w:t xml:space="preserve"> provides that “[a]</w:t>
      </w:r>
      <w:r w:rsidRPr="0051563C" w:rsidR="002F4123">
        <w:rPr>
          <w:rFonts w:ascii="Century Schoolbook" w:hAnsi="Century Schoolbook"/>
        </w:rPr>
        <w:t xml:space="preserve"> record from a separate and prior investigation or assessment of a separate incident shall not be released unless it is independently subject to disclosure pursuant to this subdivision.</w:t>
      </w:r>
      <w:r w:rsidR="00D906C2">
        <w:rPr>
          <w:rFonts w:ascii="Century Schoolbook" w:hAnsi="Century Schoolbook"/>
        </w:rPr>
        <w:t>”</w:t>
      </w:r>
      <w:r w:rsidR="004E2DEE">
        <w:rPr>
          <w:rFonts w:ascii="Century Schoolbook" w:hAnsi="Century Schoolbook"/>
        </w:rPr>
        <w:t xml:space="preserve">  </w:t>
      </w:r>
      <w:r w:rsidR="00652679">
        <w:rPr>
          <w:rFonts w:ascii="Century Schoolbook" w:hAnsi="Century Schoolbook"/>
        </w:rPr>
        <w:t xml:space="preserve">As noted, Oakland asserted </w:t>
      </w:r>
      <w:r w:rsidRPr="00231B62" w:rsidR="00B17250">
        <w:rPr>
          <w:rFonts w:ascii="Century Schoolbook" w:hAnsi="Century Schoolbook"/>
        </w:rPr>
        <w:t xml:space="preserve">subdivision </w:t>
      </w:r>
      <w:r w:rsidRPr="00231B62" w:rsidR="00652679">
        <w:rPr>
          <w:rFonts w:ascii="Century Schoolbook" w:hAnsi="Century Schoolbook"/>
        </w:rPr>
        <w:t>(b)(4)</w:t>
      </w:r>
      <w:r w:rsidR="00652679">
        <w:rPr>
          <w:rFonts w:ascii="Century Schoolbook" w:hAnsi="Century Schoolbook"/>
        </w:rPr>
        <w:t xml:space="preserve"> as a basis for all the redactions just discussed</w:t>
      </w:r>
      <w:r w:rsidR="00B17250">
        <w:rPr>
          <w:rFonts w:ascii="Century Schoolbook" w:hAnsi="Century Schoolbook"/>
        </w:rPr>
        <w:t xml:space="preserve">.  </w:t>
      </w:r>
      <w:r w:rsidR="000D1B11">
        <w:rPr>
          <w:rFonts w:ascii="Century Schoolbook" w:hAnsi="Century Schoolbook"/>
        </w:rPr>
        <w:t xml:space="preserve">Oakland also </w:t>
      </w:r>
      <w:r w:rsidR="00540D82">
        <w:rPr>
          <w:rFonts w:ascii="Century Schoolbook" w:hAnsi="Century Schoolbook"/>
        </w:rPr>
        <w:t xml:space="preserve">used this subdivision to </w:t>
      </w:r>
      <w:r w:rsidR="000D1B11">
        <w:rPr>
          <w:rFonts w:ascii="Century Schoolbook" w:hAnsi="Century Schoolbook"/>
        </w:rPr>
        <w:t>redact</w:t>
      </w:r>
      <w:r w:rsidR="00540D82">
        <w:rPr>
          <w:rFonts w:ascii="Century Schoolbook" w:hAnsi="Century Schoolbook"/>
        </w:rPr>
        <w:t xml:space="preserve"> the discussion of certain sustained findings against </w:t>
      </w:r>
      <w:r w:rsidR="008F3DD3">
        <w:rPr>
          <w:rFonts w:ascii="Century Schoolbook" w:hAnsi="Century Schoolbook"/>
        </w:rPr>
        <w:t xml:space="preserve">Officer </w:t>
      </w:r>
      <w:r w:rsidR="00540D82">
        <w:rPr>
          <w:rFonts w:ascii="Century Schoolbook" w:hAnsi="Century Schoolbook"/>
        </w:rPr>
        <w:t xml:space="preserve">Smith, as well as sustained findings against </w:t>
      </w:r>
      <w:r w:rsidR="008F3DD3">
        <w:rPr>
          <w:rFonts w:ascii="Century Schoolbook" w:hAnsi="Century Schoolbook"/>
        </w:rPr>
        <w:t xml:space="preserve">Officer </w:t>
      </w:r>
      <w:r w:rsidRPr="003908AF" w:rsidR="00540D82">
        <w:rPr>
          <w:rFonts w:ascii="Century Schoolbook" w:hAnsi="Century Schoolbook"/>
        </w:rPr>
        <w:t>Uttapa</w:t>
      </w:r>
      <w:r w:rsidR="00540D82">
        <w:rPr>
          <w:rFonts w:ascii="Century Schoolbook" w:hAnsi="Century Schoolbook"/>
        </w:rPr>
        <w:t xml:space="preserve">.  </w:t>
      </w:r>
    </w:p>
    <w:p w:rsidR="009A4883" w:rsidRPr="009A4883" w:rsidP="00DA70D4" w14:paraId="52888399" w14:textId="354E414F">
      <w:pPr>
        <w:spacing w:line="360" w:lineRule="auto"/>
        <w:rPr>
          <w:rFonts w:ascii="Century Schoolbook" w:hAnsi="Century Schoolbook"/>
        </w:rPr>
      </w:pPr>
      <w:r>
        <w:rPr>
          <w:rFonts w:ascii="Century Schoolbook" w:hAnsi="Century Schoolbook"/>
        </w:rPr>
        <w:tab/>
        <w:t>Petitioners argue that “[b]</w:t>
      </w:r>
      <w:r w:rsidRPr="009A4883">
        <w:rPr>
          <w:rFonts w:ascii="Century Schoolbook" w:hAnsi="Century Schoolbook"/>
        </w:rPr>
        <w:t>ecause the Guap Report documents a single investigation,</w:t>
      </w:r>
      <w:r>
        <w:rPr>
          <w:rFonts w:ascii="Century Schoolbook" w:hAnsi="Century Schoolbook"/>
        </w:rPr>
        <w:t xml:space="preserve"> </w:t>
      </w:r>
      <w:r w:rsidRPr="009A4883">
        <w:rPr>
          <w:rFonts w:ascii="Century Schoolbook" w:hAnsi="Century Schoolbook"/>
        </w:rPr>
        <w:t xml:space="preserve">no part of it is a </w:t>
      </w:r>
      <w:r>
        <w:rPr>
          <w:rFonts w:ascii="Century Schoolbook" w:hAnsi="Century Schoolbook"/>
        </w:rPr>
        <w:t>‘</w:t>
      </w:r>
      <w:r w:rsidRPr="009A4883">
        <w:rPr>
          <w:rFonts w:ascii="Century Schoolbook" w:hAnsi="Century Schoolbook"/>
        </w:rPr>
        <w:t>record from a separate and prior investigation</w:t>
      </w:r>
    </w:p>
    <w:p w:rsidR="007609ED" w:rsidP="002E1BC1" w14:paraId="43522E0D" w14:textId="77777777">
      <w:pPr>
        <w:rPr>
          <w:rFonts w:ascii="Century Schoolbook" w:hAnsi="Century Schoolbook"/>
        </w:rPr>
      </w:pPr>
      <w:r w:rsidRPr="009A4883">
        <w:rPr>
          <w:rFonts w:ascii="Century Schoolbook" w:hAnsi="Century Schoolbook"/>
        </w:rPr>
        <w:t>or assessment.</w:t>
      </w:r>
      <w:r>
        <w:rPr>
          <w:rFonts w:ascii="Century Schoolbook" w:hAnsi="Century Schoolbook"/>
        </w:rPr>
        <w:t>’</w:t>
      </w:r>
      <w:r w:rsidR="00744E1A">
        <w:rPr>
          <w:rFonts w:ascii="Century Schoolbook" w:hAnsi="Century Schoolbook"/>
        </w:rPr>
        <w:t> </w:t>
      </w:r>
      <w:r w:rsidRPr="009A4883">
        <w:rPr>
          <w:rFonts w:ascii="Century Schoolbook" w:hAnsi="Century Schoolbook"/>
        </w:rPr>
        <w:t>”</w:t>
      </w:r>
      <w:r>
        <w:rPr>
          <w:rFonts w:ascii="Century Schoolbook" w:hAnsi="Century Schoolbook"/>
        </w:rPr>
        <w:t xml:space="preserve">  </w:t>
      </w:r>
      <w:r w:rsidR="00846BD9">
        <w:rPr>
          <w:rFonts w:ascii="Century Schoolbook" w:hAnsi="Century Schoolbook"/>
        </w:rPr>
        <w:t>Oakland</w:t>
      </w:r>
      <w:r w:rsidR="004D45E8">
        <w:rPr>
          <w:rFonts w:ascii="Century Schoolbook" w:hAnsi="Century Schoolbook"/>
        </w:rPr>
        <w:t xml:space="preserve"> argues that the </w:t>
      </w:r>
      <w:r w:rsidR="00304E52">
        <w:rPr>
          <w:rFonts w:ascii="Century Schoolbook" w:hAnsi="Century Schoolbook"/>
        </w:rPr>
        <w:t>Guap report</w:t>
      </w:r>
      <w:r w:rsidR="004D45E8">
        <w:rPr>
          <w:rFonts w:ascii="Century Schoolbook" w:hAnsi="Century Schoolbook"/>
        </w:rPr>
        <w:t xml:space="preserve"> </w:t>
      </w:r>
      <w:r w:rsidR="00696E8B">
        <w:rPr>
          <w:rFonts w:ascii="Century Schoolbook" w:hAnsi="Century Schoolbook"/>
        </w:rPr>
        <w:t>is a “compilation document</w:t>
      </w:r>
      <w:r w:rsidR="00624476">
        <w:rPr>
          <w:rFonts w:ascii="Century Schoolbook" w:hAnsi="Century Schoolbook"/>
        </w:rPr>
        <w:t>,</w:t>
      </w:r>
      <w:r w:rsidR="00696E8B">
        <w:rPr>
          <w:rFonts w:ascii="Century Schoolbook" w:hAnsi="Century Schoolbook"/>
        </w:rPr>
        <w:t xml:space="preserve">” </w:t>
      </w:r>
      <w:r w:rsidR="00684A46">
        <w:rPr>
          <w:rFonts w:ascii="Century Schoolbook" w:hAnsi="Century Schoolbook"/>
        </w:rPr>
        <w:t xml:space="preserve">combining assessments of separate incidents or prior investigations </w:t>
      </w:r>
      <w:r w:rsidR="003032C5">
        <w:rPr>
          <w:rFonts w:ascii="Century Schoolbook" w:hAnsi="Century Schoolbook"/>
        </w:rPr>
        <w:t>into one report</w:t>
      </w:r>
      <w:r w:rsidR="002D5DFD">
        <w:rPr>
          <w:rFonts w:ascii="Century Schoolbook" w:hAnsi="Century Schoolbook"/>
        </w:rPr>
        <w:t xml:space="preserve">.  </w:t>
      </w:r>
      <w:r w:rsidR="00CD21E9">
        <w:rPr>
          <w:rFonts w:ascii="Century Schoolbook" w:hAnsi="Century Schoolbook"/>
        </w:rPr>
        <w:t xml:space="preserve">Oakland also argues that redaction, as opposed to withholding of entire records, is permitted under </w:t>
      </w:r>
      <w:r w:rsidR="007F6CD6">
        <w:rPr>
          <w:rFonts w:ascii="Century Schoolbook" w:hAnsi="Century Schoolbook"/>
        </w:rPr>
        <w:t xml:space="preserve">section 832.7, </w:t>
      </w:r>
      <w:r w:rsidRPr="00231B62" w:rsidR="00CD21E9">
        <w:rPr>
          <w:rFonts w:ascii="Century Schoolbook" w:hAnsi="Century Schoolbook"/>
        </w:rPr>
        <w:t>subdivision</w:t>
      </w:r>
      <w:r w:rsidRPr="00231B62" w:rsidR="00F34489">
        <w:rPr>
          <w:rFonts w:ascii="Century Schoolbook" w:hAnsi="Century Schoolbook"/>
        </w:rPr>
        <w:t xml:space="preserve">s </w:t>
      </w:r>
      <w:r w:rsidRPr="00231B62" w:rsidR="00CD21E9">
        <w:rPr>
          <w:rFonts w:ascii="Century Schoolbook" w:hAnsi="Century Schoolbook"/>
        </w:rPr>
        <w:t>(b)(4)</w:t>
      </w:r>
      <w:r w:rsidRPr="00231B62" w:rsidR="00F34489">
        <w:rPr>
          <w:rFonts w:ascii="Century Schoolbook" w:hAnsi="Century Schoolbook"/>
        </w:rPr>
        <w:t xml:space="preserve"> and (b)(5)</w:t>
      </w:r>
      <w:r w:rsidRPr="00231B62" w:rsidR="00CD21E9">
        <w:rPr>
          <w:rFonts w:ascii="Century Schoolbook" w:hAnsi="Century Schoolbook"/>
        </w:rPr>
        <w:t>.</w:t>
      </w:r>
      <w:r>
        <w:rPr>
          <w:rStyle w:val="FootnoteReference"/>
          <w:rFonts w:ascii="Century Schoolbook" w:hAnsi="Century Schoolbook"/>
        </w:rPr>
        <w:footnoteReference w:id="9"/>
      </w:r>
      <w:r w:rsidR="00CD21E9">
        <w:rPr>
          <w:rFonts w:ascii="Century Schoolbook" w:hAnsi="Century Schoolbook"/>
        </w:rPr>
        <w:t xml:space="preserve">  </w:t>
      </w:r>
      <w:r w:rsidR="002C513E">
        <w:rPr>
          <w:rFonts w:ascii="Century Schoolbook" w:hAnsi="Century Schoolbook"/>
        </w:rPr>
        <w:t xml:space="preserve">Finally, </w:t>
      </w:r>
      <w:r w:rsidR="00684A46">
        <w:rPr>
          <w:rFonts w:ascii="Century Schoolbook" w:hAnsi="Century Schoolbook"/>
        </w:rPr>
        <w:t xml:space="preserve">Oakland argues that </w:t>
      </w:r>
      <w:r w:rsidR="004D45E8">
        <w:rPr>
          <w:rFonts w:ascii="Century Schoolbook" w:hAnsi="Century Schoolbook"/>
        </w:rPr>
        <w:t>“</w:t>
      </w:r>
      <w:r w:rsidR="00552FCC">
        <w:rPr>
          <w:rFonts w:ascii="Century Schoolbook" w:hAnsi="Century Schoolbook"/>
        </w:rPr>
        <w:t> ‘</w:t>
      </w:r>
      <w:r w:rsidR="004D45E8">
        <w:rPr>
          <w:rFonts w:ascii="Century Schoolbook" w:hAnsi="Century Schoolbook"/>
        </w:rPr>
        <w:t>separate and prior</w:t>
      </w:r>
      <w:r w:rsidR="00BA0F8E">
        <w:rPr>
          <w:rFonts w:ascii="Century Schoolbook" w:hAnsi="Century Schoolbook"/>
        </w:rPr>
        <w:t>’ </w:t>
      </w:r>
      <w:r w:rsidR="004D45E8">
        <w:rPr>
          <w:rFonts w:ascii="Century Schoolbook" w:hAnsi="Century Schoolbook"/>
        </w:rPr>
        <w:t xml:space="preserve">” modifies only </w:t>
      </w:r>
      <w:r w:rsidR="000419D3">
        <w:rPr>
          <w:rFonts w:ascii="Century Schoolbook" w:hAnsi="Century Schoolbook"/>
        </w:rPr>
        <w:t>“</w:t>
      </w:r>
      <w:r w:rsidR="00BA0F8E">
        <w:rPr>
          <w:rFonts w:ascii="Century Schoolbook" w:hAnsi="Century Schoolbook"/>
        </w:rPr>
        <w:t> ‘</w:t>
      </w:r>
      <w:r w:rsidR="000419D3">
        <w:rPr>
          <w:rFonts w:ascii="Century Schoolbook" w:hAnsi="Century Schoolbook"/>
        </w:rPr>
        <w:t>investigation</w:t>
      </w:r>
      <w:r w:rsidR="004D45E8">
        <w:rPr>
          <w:rFonts w:ascii="Century Schoolbook" w:hAnsi="Century Schoolbook"/>
        </w:rPr>
        <w:t>,</w:t>
      </w:r>
      <w:r w:rsidR="00BA0F8E">
        <w:rPr>
          <w:rFonts w:ascii="Century Schoolbook" w:hAnsi="Century Schoolbook"/>
        </w:rPr>
        <w:t>’ </w:t>
      </w:r>
      <w:r w:rsidR="000419D3">
        <w:rPr>
          <w:rFonts w:ascii="Century Schoolbook" w:hAnsi="Century Schoolbook"/>
        </w:rPr>
        <w:t>”</w:t>
      </w:r>
      <w:r w:rsidR="004D45E8">
        <w:rPr>
          <w:rFonts w:ascii="Century Schoolbook" w:hAnsi="Century Schoolbook"/>
        </w:rPr>
        <w:t xml:space="preserve"> such that </w:t>
      </w:r>
      <w:r w:rsidRPr="00231B62" w:rsidR="00F7580A">
        <w:rPr>
          <w:rFonts w:ascii="Century Schoolbook" w:hAnsi="Century Schoolbook"/>
        </w:rPr>
        <w:t>subdivision</w:t>
      </w:r>
      <w:r w:rsidRPr="00231B62" w:rsidR="00C44E0A">
        <w:rPr>
          <w:rFonts w:ascii="Century Schoolbook" w:hAnsi="Century Schoolbook"/>
        </w:rPr>
        <w:t> </w:t>
      </w:r>
      <w:r w:rsidRPr="00231B62" w:rsidR="004D45E8">
        <w:rPr>
          <w:rFonts w:ascii="Century Schoolbook" w:hAnsi="Century Schoolbook"/>
        </w:rPr>
        <w:t>(b)(4)</w:t>
      </w:r>
      <w:r w:rsidR="004D45E8">
        <w:rPr>
          <w:rFonts w:ascii="Century Schoolbook" w:hAnsi="Century Schoolbook"/>
        </w:rPr>
        <w:t xml:space="preserve"> permits it to redact </w:t>
      </w:r>
      <w:r w:rsidR="000419D3">
        <w:rPr>
          <w:rFonts w:ascii="Century Schoolbook" w:hAnsi="Century Schoolbook"/>
        </w:rPr>
        <w:t>“</w:t>
      </w:r>
      <w:r w:rsidRPr="007D4F93" w:rsidR="00846BD9">
        <w:rPr>
          <w:rFonts w:ascii="Century Schoolbook" w:hAnsi="Century Schoolbook"/>
        </w:rPr>
        <w:t>information from 1) separate and prior investigations; and 2)</w:t>
      </w:r>
      <w:r>
        <w:rPr>
          <w:rFonts w:ascii="Century Schoolbook" w:hAnsi="Century Schoolbook"/>
        </w:rPr>
        <w:t> </w:t>
      </w:r>
      <w:r w:rsidRPr="007D4F93" w:rsidR="00846BD9">
        <w:rPr>
          <w:rFonts w:ascii="Century Schoolbook" w:hAnsi="Century Schoolbook"/>
        </w:rPr>
        <w:t>assessments of separate incidents.</w:t>
      </w:r>
      <w:r w:rsidR="000419D3">
        <w:rPr>
          <w:rFonts w:ascii="Century Schoolbook" w:hAnsi="Century Schoolbook"/>
        </w:rPr>
        <w:t xml:space="preserve">”  </w:t>
      </w:r>
      <w:r w:rsidR="002E1BC1">
        <w:rPr>
          <w:rFonts w:ascii="Century Schoolbook" w:hAnsi="Century Schoolbook"/>
        </w:rPr>
        <w:t xml:space="preserve">We </w:t>
      </w:r>
      <w:r w:rsidR="00BD72F8">
        <w:rPr>
          <w:rFonts w:ascii="Century Schoolbook" w:hAnsi="Century Schoolbook"/>
        </w:rPr>
        <w:t xml:space="preserve">agree </w:t>
      </w:r>
      <w:r w:rsidR="007B54F0">
        <w:rPr>
          <w:rFonts w:ascii="Century Schoolbook" w:hAnsi="Century Schoolbook"/>
        </w:rPr>
        <w:t>with petitioners</w:t>
      </w:r>
      <w:r w:rsidR="002E1BC1">
        <w:rPr>
          <w:rFonts w:ascii="Century Schoolbook" w:hAnsi="Century Schoolbook"/>
        </w:rPr>
        <w:t>.</w:t>
      </w:r>
    </w:p>
    <w:p w:rsidR="002E1BC1" w:rsidP="002E1BC1" w14:paraId="412E5105" w14:textId="245A9D53">
      <w:pPr>
        <w:rPr>
          <w:rFonts w:ascii="Century Schoolbook" w:hAnsi="Century Schoolbook"/>
        </w:rPr>
      </w:pPr>
      <w:r>
        <w:rPr>
          <w:rFonts w:ascii="Century Schoolbook" w:hAnsi="Century Schoolbook"/>
        </w:rPr>
        <w:tab/>
      </w:r>
      <w:r w:rsidR="007F6CD6">
        <w:rPr>
          <w:rFonts w:ascii="Century Schoolbook" w:hAnsi="Century Schoolbook"/>
        </w:rPr>
        <w:t xml:space="preserve">Section 832.7, </w:t>
      </w:r>
      <w:r w:rsidRPr="00231B62" w:rsidR="006132A0">
        <w:rPr>
          <w:rFonts w:ascii="Century Schoolbook" w:hAnsi="Century Schoolbook"/>
        </w:rPr>
        <w:t xml:space="preserve">subdivision </w:t>
      </w:r>
      <w:r w:rsidRPr="00231B62" w:rsidR="006D1A94">
        <w:rPr>
          <w:rFonts w:ascii="Century Schoolbook" w:hAnsi="Century Schoolbook"/>
        </w:rPr>
        <w:t>(b)(4)</w:t>
      </w:r>
      <w:r w:rsidR="006D1A94">
        <w:rPr>
          <w:rFonts w:ascii="Century Schoolbook" w:hAnsi="Century Schoolbook"/>
        </w:rPr>
        <w:t xml:space="preserve"> </w:t>
      </w:r>
      <w:r>
        <w:rPr>
          <w:rFonts w:ascii="Century Schoolbook" w:hAnsi="Century Schoolbook"/>
        </w:rPr>
        <w:t xml:space="preserve">by its plain text </w:t>
      </w:r>
      <w:r w:rsidR="006D1A94">
        <w:rPr>
          <w:rFonts w:ascii="Century Schoolbook" w:hAnsi="Century Schoolbook"/>
        </w:rPr>
        <w:t>permits Oakland to withhold “</w:t>
      </w:r>
      <w:r w:rsidR="00BF730C">
        <w:rPr>
          <w:rFonts w:ascii="Century Schoolbook" w:hAnsi="Century Schoolbook"/>
        </w:rPr>
        <w:t xml:space="preserve">a </w:t>
      </w:r>
      <w:r w:rsidR="006D1A94">
        <w:rPr>
          <w:rFonts w:ascii="Century Schoolbook" w:hAnsi="Century Schoolbook"/>
        </w:rPr>
        <w:t xml:space="preserve">record,” not “information” within </w:t>
      </w:r>
      <w:r w:rsidR="00BF730C">
        <w:rPr>
          <w:rFonts w:ascii="Century Schoolbook" w:hAnsi="Century Schoolbook"/>
        </w:rPr>
        <w:t xml:space="preserve">a </w:t>
      </w:r>
      <w:r w:rsidR="006D1A94">
        <w:rPr>
          <w:rFonts w:ascii="Century Schoolbook" w:hAnsi="Century Schoolbook"/>
        </w:rPr>
        <w:t xml:space="preserve">record.  Under </w:t>
      </w:r>
      <w:r w:rsidR="008A2409">
        <w:rPr>
          <w:rFonts w:ascii="Century Schoolbook" w:hAnsi="Century Schoolbook"/>
        </w:rPr>
        <w:t xml:space="preserve">former </w:t>
      </w:r>
      <w:r w:rsidRPr="006D1A94" w:rsidR="006D1A94">
        <w:rPr>
          <w:rFonts w:ascii="Century Schoolbook" w:hAnsi="Century Schoolbook"/>
        </w:rPr>
        <w:t>Government Code section 6252</w:t>
      </w:r>
      <w:r w:rsidR="006D1A94">
        <w:rPr>
          <w:rFonts w:ascii="Century Schoolbook" w:hAnsi="Century Schoolbook"/>
        </w:rPr>
        <w:t xml:space="preserve">, subdivision </w:t>
      </w:r>
      <w:r w:rsidR="00EA1C32">
        <w:rPr>
          <w:rFonts w:ascii="Century Schoolbook" w:hAnsi="Century Schoolbook"/>
        </w:rPr>
        <w:t>(e)</w:t>
      </w:r>
      <w:r w:rsidRPr="006D1A94" w:rsidR="006D1A94">
        <w:rPr>
          <w:rFonts w:ascii="Century Schoolbook" w:hAnsi="Century Schoolbook"/>
        </w:rPr>
        <w:t xml:space="preserve">, a “record” is </w:t>
      </w:r>
      <w:r w:rsidR="006D1A94">
        <w:rPr>
          <w:rFonts w:ascii="Century Schoolbook" w:hAnsi="Century Schoolbook"/>
        </w:rPr>
        <w:t xml:space="preserve">defined as </w:t>
      </w:r>
      <w:r w:rsidRPr="006D1A94" w:rsidR="006D1A94">
        <w:rPr>
          <w:rFonts w:ascii="Century Schoolbook" w:hAnsi="Century Schoolbook"/>
        </w:rPr>
        <w:t>a “writing containing information.”</w:t>
      </w:r>
      <w:r w:rsidR="006D1A94">
        <w:rPr>
          <w:rFonts w:ascii="Century Schoolbook" w:hAnsi="Century Schoolbook"/>
        </w:rPr>
        <w:t xml:space="preserve">  </w:t>
      </w:r>
      <w:r>
        <w:rPr>
          <w:rFonts w:ascii="Century Schoolbook" w:hAnsi="Century Schoolbook"/>
        </w:rPr>
        <w:t xml:space="preserve">As Oakland’s own brief explains in its argument </w:t>
      </w:r>
      <w:r w:rsidR="007F6CD6">
        <w:rPr>
          <w:rFonts w:ascii="Century Schoolbook" w:hAnsi="Century Schoolbook"/>
        </w:rPr>
        <w:t xml:space="preserve">about </w:t>
      </w:r>
      <w:r w:rsidRPr="00231B62" w:rsidR="002D5DFD">
        <w:rPr>
          <w:rFonts w:ascii="Century Schoolbook" w:hAnsi="Century Schoolbook"/>
        </w:rPr>
        <w:t xml:space="preserve">subdivision </w:t>
      </w:r>
      <w:r w:rsidRPr="00231B62">
        <w:rPr>
          <w:rFonts w:ascii="Century Schoolbook" w:hAnsi="Century Schoolbook"/>
        </w:rPr>
        <w:t>(b)(5)</w:t>
      </w:r>
      <w:r w:rsidR="00E51D42">
        <w:rPr>
          <w:rFonts w:ascii="Century Schoolbook" w:hAnsi="Century Schoolbook"/>
        </w:rPr>
        <w:t>,</w:t>
      </w:r>
      <w:r>
        <w:rPr>
          <w:rFonts w:ascii="Century Schoolbook" w:hAnsi="Century Schoolbook"/>
        </w:rPr>
        <w:t xml:space="preserve"> “</w:t>
      </w:r>
      <w:r w:rsidR="00BB6159">
        <w:rPr>
          <w:rFonts w:ascii="Century Schoolbook" w:hAnsi="Century Schoolbook"/>
        </w:rPr>
        <w:t>[s]</w:t>
      </w:r>
      <w:r w:rsidRPr="002E1BC1">
        <w:rPr>
          <w:rFonts w:ascii="Century Schoolbook" w:hAnsi="Century Schoolbook"/>
        </w:rPr>
        <w:t xml:space="preserve">ubdivision (b)(5) refers to releasing (or not releasing) </w:t>
      </w:r>
      <w:r>
        <w:rPr>
          <w:rFonts w:ascii="Century Schoolbook" w:hAnsi="Century Schoolbook"/>
        </w:rPr>
        <w:t>‘</w:t>
      </w:r>
      <w:r w:rsidRPr="002E1BC1">
        <w:rPr>
          <w:rFonts w:ascii="Century Schoolbook" w:hAnsi="Century Schoolbook"/>
        </w:rPr>
        <w:t>information</w:t>
      </w:r>
      <w:r>
        <w:rPr>
          <w:rFonts w:ascii="Century Schoolbook" w:hAnsi="Century Schoolbook"/>
        </w:rPr>
        <w:t>’</w:t>
      </w:r>
      <w:r w:rsidRPr="002E1BC1">
        <w:rPr>
          <w:rFonts w:ascii="Century Schoolbook" w:hAnsi="Century Schoolbook"/>
        </w:rPr>
        <w:t xml:space="preserve"> within records; as defined by </w:t>
      </w:r>
      <w:r w:rsidR="00A71F49">
        <w:rPr>
          <w:rFonts w:ascii="Century Schoolbook" w:hAnsi="Century Schoolbook"/>
        </w:rPr>
        <w:t xml:space="preserve">[former] </w:t>
      </w:r>
      <w:r w:rsidRPr="002E1BC1">
        <w:rPr>
          <w:rFonts w:ascii="Century Schoolbook" w:hAnsi="Century Schoolbook"/>
        </w:rPr>
        <w:t>Government Code section 6252</w:t>
      </w:r>
      <w:r>
        <w:rPr>
          <w:rFonts w:ascii="Century Schoolbook" w:hAnsi="Century Schoolbook"/>
        </w:rPr>
        <w:t>[, subd</w:t>
      </w:r>
      <w:r w:rsidR="008F0BF6">
        <w:rPr>
          <w:rFonts w:ascii="Century Schoolbook" w:hAnsi="Century Schoolbook"/>
        </w:rPr>
        <w:t>ivisio</w:t>
      </w:r>
      <w:r w:rsidR="00EA1C32">
        <w:rPr>
          <w:rFonts w:ascii="Century Schoolbook" w:hAnsi="Century Schoolbook"/>
        </w:rPr>
        <w:t>n</w:t>
      </w:r>
      <w:r w:rsidR="00C552F2">
        <w:rPr>
          <w:rFonts w:ascii="Century Schoolbook" w:hAnsi="Century Schoolbook"/>
        </w:rPr>
        <w:t>]</w:t>
      </w:r>
      <w:r w:rsidR="00EA1C32">
        <w:rPr>
          <w:rFonts w:ascii="Century Schoolbook" w:hAnsi="Century Schoolbook"/>
        </w:rPr>
        <w:t xml:space="preserve"> </w:t>
      </w:r>
      <w:r w:rsidRPr="002E1BC1">
        <w:rPr>
          <w:rFonts w:ascii="Century Schoolbook" w:hAnsi="Century Schoolbook"/>
        </w:rPr>
        <w:t xml:space="preserve">(e), a </w:t>
      </w:r>
      <w:r>
        <w:rPr>
          <w:rFonts w:ascii="Century Schoolbook" w:hAnsi="Century Schoolbook"/>
        </w:rPr>
        <w:t>‘</w:t>
      </w:r>
      <w:r w:rsidRPr="002E1BC1">
        <w:rPr>
          <w:rFonts w:ascii="Century Schoolbook" w:hAnsi="Century Schoolbook"/>
        </w:rPr>
        <w:t>record</w:t>
      </w:r>
      <w:r>
        <w:rPr>
          <w:rFonts w:ascii="Century Schoolbook" w:hAnsi="Century Schoolbook"/>
        </w:rPr>
        <w:t>’</w:t>
      </w:r>
      <w:r w:rsidRPr="002E1BC1">
        <w:rPr>
          <w:rFonts w:ascii="Century Schoolbook" w:hAnsi="Century Schoolbook"/>
        </w:rPr>
        <w:t xml:space="preserve"> is a </w:t>
      </w:r>
      <w:r>
        <w:rPr>
          <w:rFonts w:ascii="Century Schoolbook" w:hAnsi="Century Schoolbook"/>
        </w:rPr>
        <w:t>‘</w:t>
      </w:r>
      <w:r w:rsidRPr="002E1BC1">
        <w:rPr>
          <w:rFonts w:ascii="Century Schoolbook" w:hAnsi="Century Schoolbook"/>
        </w:rPr>
        <w:t>writing containing information.</w:t>
      </w:r>
      <w:r>
        <w:rPr>
          <w:rFonts w:ascii="Century Schoolbook" w:hAnsi="Century Schoolbook"/>
        </w:rPr>
        <w:t xml:space="preserve">’ </w:t>
      </w:r>
      <w:r w:rsidRPr="002E1BC1">
        <w:rPr>
          <w:rFonts w:ascii="Century Schoolbook" w:hAnsi="Century Schoolbook"/>
        </w:rPr>
        <w:t xml:space="preserve"> That is, information is a component part of a record, not the record itself. </w:t>
      </w:r>
      <w:r>
        <w:rPr>
          <w:rFonts w:ascii="Century Schoolbook" w:hAnsi="Century Schoolbook"/>
        </w:rPr>
        <w:t xml:space="preserve"> </w:t>
      </w:r>
      <w:r w:rsidRPr="002E1BC1">
        <w:rPr>
          <w:rFonts w:ascii="Century Schoolbook" w:hAnsi="Century Schoolbook"/>
        </w:rPr>
        <w:t xml:space="preserve">The only reasonable interpretation of subdivision (b)(5), then, is that </w:t>
      </w:r>
      <w:r>
        <w:rPr>
          <w:rFonts w:ascii="Century Schoolbook" w:hAnsi="Century Schoolbook"/>
        </w:rPr>
        <w:t>‘</w:t>
      </w:r>
      <w:r w:rsidRPr="002E1BC1">
        <w:rPr>
          <w:rFonts w:ascii="Century Schoolbook" w:hAnsi="Century Schoolbook"/>
        </w:rPr>
        <w:t>information</w:t>
      </w:r>
      <w:r>
        <w:rPr>
          <w:rFonts w:ascii="Century Schoolbook" w:hAnsi="Century Schoolbook"/>
        </w:rPr>
        <w:t>’</w:t>
      </w:r>
      <w:r w:rsidRPr="002E1BC1">
        <w:rPr>
          <w:rFonts w:ascii="Century Schoolbook" w:hAnsi="Century Schoolbook"/>
        </w:rPr>
        <w:t xml:space="preserve"> </w:t>
      </w:r>
      <w:r w:rsidRPr="008B1182">
        <w:rPr>
          <w:rFonts w:ascii="Century Schoolbook" w:hAnsi="Century Schoolbook"/>
          <w:i/>
          <w:iCs/>
        </w:rPr>
        <w:t>within records</w:t>
      </w:r>
      <w:r w:rsidRPr="002E1BC1">
        <w:rPr>
          <w:rFonts w:ascii="Century Schoolbook" w:hAnsi="Century Schoolbook"/>
        </w:rPr>
        <w:t xml:space="preserve"> can be withheld</w:t>
      </w:r>
      <w:r>
        <w:rPr>
          <w:rFonts w:ascii="Century Schoolbook" w:hAnsi="Century Schoolbook"/>
        </w:rPr>
        <w:t xml:space="preserve"> </w:t>
      </w:r>
      <w:r w:rsidRPr="002E1BC1">
        <w:rPr>
          <w:rFonts w:ascii="Century Schoolbook" w:hAnsi="Century Schoolbook"/>
        </w:rPr>
        <w:t>only via redaction.</w:t>
      </w:r>
      <w:r>
        <w:rPr>
          <w:rFonts w:ascii="Century Schoolbook" w:hAnsi="Century Schoolbook"/>
        </w:rPr>
        <w:t>”</w:t>
      </w:r>
      <w:r>
        <w:rPr>
          <w:rStyle w:val="FootnoteReference"/>
          <w:rFonts w:ascii="Century Schoolbook" w:hAnsi="Century Schoolbook"/>
        </w:rPr>
        <w:footnoteReference w:id="10"/>
      </w:r>
      <w:r w:rsidRPr="002E1BC1">
        <w:rPr>
          <w:rFonts w:ascii="Century Schoolbook" w:hAnsi="Century Schoolbook"/>
        </w:rPr>
        <w:t xml:space="preserve"> </w:t>
      </w:r>
      <w:r>
        <w:rPr>
          <w:rFonts w:ascii="Century Schoolbook" w:hAnsi="Century Schoolbook"/>
        </w:rPr>
        <w:t xml:space="preserve"> </w:t>
      </w:r>
      <w:r w:rsidR="005B0EC5">
        <w:rPr>
          <w:rFonts w:ascii="Century Schoolbook" w:hAnsi="Century Schoolbook"/>
        </w:rPr>
        <w:t>Exactly</w:t>
      </w:r>
      <w:r>
        <w:rPr>
          <w:rFonts w:ascii="Century Schoolbook" w:hAnsi="Century Schoolbook"/>
        </w:rPr>
        <w:t xml:space="preserve">.  But </w:t>
      </w:r>
      <w:r w:rsidR="005B0EC5">
        <w:rPr>
          <w:rFonts w:ascii="Century Schoolbook" w:hAnsi="Century Schoolbook"/>
        </w:rPr>
        <w:t xml:space="preserve">unlike </w:t>
      </w:r>
      <w:r w:rsidR="00B64289">
        <w:rPr>
          <w:rFonts w:ascii="Century Schoolbook" w:hAnsi="Century Schoolbook"/>
        </w:rPr>
        <w:t xml:space="preserve">section 832.7, </w:t>
      </w:r>
      <w:r w:rsidRPr="00231B62" w:rsidR="005B0EC5">
        <w:rPr>
          <w:rFonts w:ascii="Century Schoolbook" w:hAnsi="Century Schoolbook"/>
        </w:rPr>
        <w:t xml:space="preserve">subdivision (b)(5), </w:t>
      </w:r>
      <w:r w:rsidRPr="00231B62">
        <w:rPr>
          <w:rFonts w:ascii="Century Schoolbook" w:hAnsi="Century Schoolbook"/>
        </w:rPr>
        <w:t>subdivision (b)(4)</w:t>
      </w:r>
      <w:r>
        <w:rPr>
          <w:rFonts w:ascii="Century Schoolbook" w:hAnsi="Century Schoolbook"/>
        </w:rPr>
        <w:t xml:space="preserve"> permits </w:t>
      </w:r>
      <w:r w:rsidR="006B7B94">
        <w:rPr>
          <w:rFonts w:ascii="Century Schoolbook" w:hAnsi="Century Schoolbook"/>
        </w:rPr>
        <w:t>withholding</w:t>
      </w:r>
      <w:r>
        <w:rPr>
          <w:rFonts w:ascii="Century Schoolbook" w:hAnsi="Century Schoolbook"/>
        </w:rPr>
        <w:t xml:space="preserve"> “</w:t>
      </w:r>
      <w:r w:rsidR="00BF730C">
        <w:rPr>
          <w:rFonts w:ascii="Century Schoolbook" w:hAnsi="Century Schoolbook"/>
        </w:rPr>
        <w:t xml:space="preserve">a </w:t>
      </w:r>
      <w:r>
        <w:rPr>
          <w:rFonts w:ascii="Century Schoolbook" w:hAnsi="Century Schoolbook"/>
        </w:rPr>
        <w:t xml:space="preserve">record,” not “information.”  </w:t>
      </w:r>
      <w:r w:rsidR="005B0EC5">
        <w:rPr>
          <w:rFonts w:ascii="Century Schoolbook" w:hAnsi="Century Schoolbook"/>
        </w:rPr>
        <w:t>In addition to this difference</w:t>
      </w:r>
      <w:r w:rsidR="00B64289">
        <w:rPr>
          <w:rFonts w:ascii="Century Schoolbook" w:hAnsi="Century Schoolbook"/>
        </w:rPr>
        <w:t xml:space="preserve">, </w:t>
      </w:r>
      <w:r w:rsidR="005B0EC5">
        <w:rPr>
          <w:rFonts w:ascii="Century Schoolbook" w:hAnsi="Century Schoolbook"/>
        </w:rPr>
        <w:t xml:space="preserve">the statute elsewhere distinguishes between withholding records and withholding information within a record by redaction.  </w:t>
      </w:r>
      <w:r w:rsidR="00BB6159">
        <w:rPr>
          <w:rFonts w:ascii="Century Schoolbook" w:hAnsi="Century Schoolbook"/>
        </w:rPr>
        <w:t>For example, u</w:t>
      </w:r>
      <w:r w:rsidR="005B0EC5">
        <w:rPr>
          <w:rFonts w:ascii="Century Schoolbook" w:hAnsi="Century Schoolbook"/>
        </w:rPr>
        <w:t xml:space="preserve">nder </w:t>
      </w:r>
      <w:r w:rsidR="006859CC">
        <w:rPr>
          <w:rFonts w:ascii="Century Schoolbook" w:hAnsi="Century Schoolbook"/>
        </w:rPr>
        <w:t xml:space="preserve">section 832.7, </w:t>
      </w:r>
      <w:r w:rsidRPr="00231B62" w:rsidR="008F0BF6">
        <w:rPr>
          <w:rFonts w:ascii="Century Schoolbook" w:hAnsi="Century Schoolbook"/>
        </w:rPr>
        <w:t xml:space="preserve">subdivision </w:t>
      </w:r>
      <w:r w:rsidRPr="00231B62" w:rsidR="005B0EC5">
        <w:rPr>
          <w:rFonts w:ascii="Century Schoolbook" w:hAnsi="Century Schoolbook"/>
        </w:rPr>
        <w:t>(b)(6),</w:t>
      </w:r>
      <w:r w:rsidR="005B0EC5">
        <w:rPr>
          <w:rFonts w:ascii="Century Schoolbook" w:hAnsi="Century Schoolbook"/>
        </w:rPr>
        <w:t xml:space="preserve"> agencies “shall redact a record” for various purposes, including to remove certain types of “information.” </w:t>
      </w:r>
      <w:r w:rsidR="00405CB1">
        <w:rPr>
          <w:rFonts w:ascii="Century Schoolbook" w:hAnsi="Century Schoolbook"/>
        </w:rPr>
        <w:t xml:space="preserve"> (</w:t>
      </w:r>
      <w:r w:rsidRPr="008364BE" w:rsidR="00405CB1">
        <w:rPr>
          <w:rFonts w:ascii="Century Schoolbook" w:hAnsi="Century Schoolbook"/>
        </w:rPr>
        <w:t>§</w:t>
      </w:r>
      <w:r w:rsidR="002F000F">
        <w:rPr>
          <w:rFonts w:ascii="Century Schoolbook" w:hAnsi="Century Schoolbook"/>
        </w:rPr>
        <w:t> </w:t>
      </w:r>
      <w:r w:rsidRPr="008364BE" w:rsidR="00405CB1">
        <w:rPr>
          <w:rFonts w:ascii="Century Schoolbook" w:hAnsi="Century Schoolbook"/>
        </w:rPr>
        <w:t>832.7</w:t>
      </w:r>
      <w:r w:rsidR="00405CB1">
        <w:rPr>
          <w:rFonts w:ascii="Century Schoolbook" w:hAnsi="Century Schoolbook"/>
        </w:rPr>
        <w:t xml:space="preserve">, subds. </w:t>
      </w:r>
      <w:r w:rsidRPr="008364BE" w:rsidR="00405CB1">
        <w:rPr>
          <w:rFonts w:ascii="Century Schoolbook" w:hAnsi="Century Schoolbook"/>
        </w:rPr>
        <w:t>(b)(</w:t>
      </w:r>
      <w:r w:rsidR="00405CB1">
        <w:rPr>
          <w:rFonts w:ascii="Century Schoolbook" w:hAnsi="Century Schoolbook"/>
        </w:rPr>
        <w:t>6</w:t>
      </w:r>
      <w:r w:rsidRPr="008364BE" w:rsidR="00405CB1">
        <w:rPr>
          <w:rFonts w:ascii="Century Schoolbook" w:hAnsi="Century Schoolbook"/>
        </w:rPr>
        <w:t>)(A), (</w:t>
      </w:r>
      <w:r w:rsidR="00405CB1">
        <w:rPr>
          <w:rFonts w:ascii="Century Schoolbook" w:hAnsi="Century Schoolbook"/>
        </w:rPr>
        <w:t>b</w:t>
      </w:r>
      <w:r w:rsidRPr="008364BE" w:rsidR="00405CB1">
        <w:rPr>
          <w:rFonts w:ascii="Century Schoolbook" w:hAnsi="Century Schoolbook"/>
        </w:rPr>
        <w:t>)</w:t>
      </w:r>
      <w:r w:rsidR="00405CB1">
        <w:rPr>
          <w:rFonts w:ascii="Century Schoolbook" w:hAnsi="Century Schoolbook"/>
        </w:rPr>
        <w:t xml:space="preserve">(6)(C).) </w:t>
      </w:r>
      <w:r w:rsidR="005B0EC5">
        <w:rPr>
          <w:rFonts w:ascii="Century Schoolbook" w:hAnsi="Century Schoolbook"/>
        </w:rPr>
        <w:t xml:space="preserve"> And under certain circumstances, agencies may delay the disclosure of both “records or information.”  (</w:t>
      </w:r>
      <w:r w:rsidRPr="008364BE" w:rsidR="005B0EC5">
        <w:rPr>
          <w:rFonts w:ascii="Century Schoolbook" w:hAnsi="Century Schoolbook"/>
        </w:rPr>
        <w:t>§</w:t>
      </w:r>
      <w:r w:rsidR="00744E1A">
        <w:rPr>
          <w:rFonts w:ascii="Century Schoolbook" w:hAnsi="Century Schoolbook"/>
        </w:rPr>
        <w:t> </w:t>
      </w:r>
      <w:r w:rsidRPr="008364BE" w:rsidR="005B0EC5">
        <w:rPr>
          <w:rFonts w:ascii="Century Schoolbook" w:hAnsi="Century Schoolbook"/>
        </w:rPr>
        <w:t>832.7</w:t>
      </w:r>
      <w:r w:rsidR="008F0BF6">
        <w:rPr>
          <w:rFonts w:ascii="Century Schoolbook" w:hAnsi="Century Schoolbook"/>
        </w:rPr>
        <w:t xml:space="preserve">, subd. </w:t>
      </w:r>
      <w:r w:rsidRPr="008364BE" w:rsidR="005B0EC5">
        <w:rPr>
          <w:rFonts w:ascii="Century Schoolbook" w:hAnsi="Century Schoolbook"/>
        </w:rPr>
        <w:t>(b)(8)(A)(ii), (iii); see also, e.g.,</w:t>
      </w:r>
      <w:r w:rsidR="005B0EC5">
        <w:rPr>
          <w:rFonts w:ascii="Century Schoolbook" w:hAnsi="Century Schoolbook"/>
        </w:rPr>
        <w:t xml:space="preserve"> </w:t>
      </w:r>
      <w:r w:rsidRPr="008364BE" w:rsidR="005B0EC5">
        <w:rPr>
          <w:rFonts w:ascii="Century Schoolbook" w:hAnsi="Century Schoolbook"/>
        </w:rPr>
        <w:t>§</w:t>
      </w:r>
      <w:r w:rsidR="00744E1A">
        <w:rPr>
          <w:rFonts w:ascii="Century Schoolbook" w:hAnsi="Century Schoolbook"/>
        </w:rPr>
        <w:t> </w:t>
      </w:r>
      <w:r w:rsidRPr="008364BE" w:rsidR="005B0EC5">
        <w:rPr>
          <w:rFonts w:ascii="Century Schoolbook" w:hAnsi="Century Schoolbook"/>
        </w:rPr>
        <w:t xml:space="preserve">832.7(b)(12)(B) </w:t>
      </w:r>
      <w:r w:rsidR="005B0EC5">
        <w:rPr>
          <w:rFonts w:ascii="Century Schoolbook" w:hAnsi="Century Schoolbook"/>
        </w:rPr>
        <w:t>[</w:t>
      </w:r>
      <w:r w:rsidRPr="008364BE" w:rsidR="005B0EC5">
        <w:rPr>
          <w:rFonts w:ascii="Century Schoolbook" w:hAnsi="Century Schoolbook"/>
        </w:rPr>
        <w:t>withholding of “record or information”</w:t>
      </w:r>
      <w:r w:rsidR="005B0EC5">
        <w:rPr>
          <w:rFonts w:ascii="Century Schoolbook" w:hAnsi="Century Schoolbook"/>
        </w:rPr>
        <w:t>].</w:t>
      </w:r>
      <w:r w:rsidRPr="008364BE" w:rsidR="005B0EC5">
        <w:rPr>
          <w:rFonts w:ascii="Century Schoolbook" w:hAnsi="Century Schoolbook"/>
        </w:rPr>
        <w:t>)</w:t>
      </w:r>
      <w:r w:rsidR="005B0EC5">
        <w:rPr>
          <w:rFonts w:ascii="Century Schoolbook" w:hAnsi="Century Schoolbook"/>
        </w:rPr>
        <w:t xml:space="preserve"> </w:t>
      </w:r>
    </w:p>
    <w:p w:rsidR="002E1BC1" w:rsidP="00A47F3B" w14:paraId="4369FC05" w14:textId="4F17B82D">
      <w:pPr>
        <w:rPr>
          <w:rFonts w:ascii="Century Schoolbook" w:hAnsi="Century Schoolbook"/>
        </w:rPr>
      </w:pPr>
      <w:r>
        <w:rPr>
          <w:rFonts w:ascii="Century Schoolbook" w:hAnsi="Century Schoolbook"/>
        </w:rPr>
        <w:tab/>
        <w:t xml:space="preserve">Oakland also argues that </w:t>
      </w:r>
      <w:r w:rsidRPr="005B0EC5">
        <w:rPr>
          <w:rFonts w:ascii="Century Schoolbook" w:hAnsi="Century Schoolbook"/>
          <w:i/>
          <w:iCs/>
        </w:rPr>
        <w:t>Becerra</w:t>
      </w:r>
      <w:r w:rsidR="00405CB1">
        <w:rPr>
          <w:rFonts w:ascii="Century Schoolbook" w:hAnsi="Century Schoolbook"/>
        </w:rPr>
        <w:t>,</w:t>
      </w:r>
      <w:r w:rsidRPr="005B0EC5">
        <w:rPr>
          <w:rFonts w:ascii="Century Schoolbook" w:hAnsi="Century Schoolbook"/>
          <w:i/>
          <w:iCs/>
        </w:rPr>
        <w:t xml:space="preserve"> </w:t>
      </w:r>
      <w:r w:rsidR="00405CB1">
        <w:rPr>
          <w:rFonts w:ascii="Century Schoolbook" w:hAnsi="Century Schoolbook"/>
          <w:i/>
          <w:iCs/>
        </w:rPr>
        <w:t>supra</w:t>
      </w:r>
      <w:r w:rsidR="00405CB1">
        <w:rPr>
          <w:rFonts w:ascii="Century Schoolbook" w:hAnsi="Century Schoolbook"/>
        </w:rPr>
        <w:t>,</w:t>
      </w:r>
      <w:r w:rsidRPr="005B0EC5">
        <w:rPr>
          <w:rFonts w:ascii="Century Schoolbook" w:hAnsi="Century Schoolbook"/>
        </w:rPr>
        <w:t xml:space="preserve"> 44 Cal</w:t>
      </w:r>
      <w:r w:rsidRPr="00932105">
        <w:rPr>
          <w:rFonts w:ascii="Century Schoolbook" w:hAnsi="Century Schoolbook"/>
          <w:vertAlign w:val="superscript"/>
        </w:rPr>
        <w:t>.</w:t>
      </w:r>
      <w:r w:rsidR="00D622B5">
        <w:rPr>
          <w:rFonts w:ascii="Century Schoolbook" w:hAnsi="Century Schoolbook"/>
        </w:rPr>
        <w:t>A</w:t>
      </w:r>
      <w:r w:rsidRPr="00D622B5">
        <w:rPr>
          <w:rFonts w:ascii="Century Schoolbook" w:hAnsi="Century Schoolbook"/>
        </w:rPr>
        <w:t>pp</w:t>
      </w:r>
      <w:r w:rsidRPr="005B0EC5">
        <w:rPr>
          <w:rFonts w:ascii="Century Schoolbook" w:hAnsi="Century Schoolbook"/>
        </w:rPr>
        <w:t>.5th 897</w:t>
      </w:r>
      <w:r>
        <w:rPr>
          <w:rFonts w:ascii="Century Schoolbook" w:hAnsi="Century Schoolbook"/>
        </w:rPr>
        <w:t xml:space="preserve"> held that </w:t>
      </w:r>
      <w:r w:rsidR="00D03082">
        <w:rPr>
          <w:rFonts w:ascii="Century Schoolbook" w:hAnsi="Century Schoolbook"/>
        </w:rPr>
        <w:t xml:space="preserve">section 832.7, </w:t>
      </w:r>
      <w:r w:rsidRPr="00231B62" w:rsidR="002D5DFD">
        <w:rPr>
          <w:rFonts w:ascii="Century Schoolbook" w:hAnsi="Century Schoolbook"/>
        </w:rPr>
        <w:t xml:space="preserve">subdivision </w:t>
      </w:r>
      <w:r w:rsidRPr="00231B62">
        <w:rPr>
          <w:rFonts w:ascii="Century Schoolbook" w:hAnsi="Century Schoolbook"/>
        </w:rPr>
        <w:t>(b)(4)</w:t>
      </w:r>
      <w:r>
        <w:rPr>
          <w:rFonts w:ascii="Century Schoolbook" w:hAnsi="Century Schoolbook"/>
        </w:rPr>
        <w:t xml:space="preserve"> permits redaction of records.  </w:t>
      </w:r>
      <w:r w:rsidRPr="0037602A" w:rsidR="003E2D2A">
        <w:rPr>
          <w:rFonts w:ascii="Century Schoolbook" w:hAnsi="Century Schoolbook"/>
          <w:i/>
          <w:iCs/>
        </w:rPr>
        <w:t>Becerra</w:t>
      </w:r>
      <w:r w:rsidR="003E2D2A">
        <w:rPr>
          <w:rFonts w:ascii="Century Schoolbook" w:hAnsi="Century Schoolbook"/>
        </w:rPr>
        <w:t xml:space="preserve"> concluded that “</w:t>
      </w:r>
      <w:r w:rsidRPr="003E2D2A" w:rsidR="003E2D2A">
        <w:rPr>
          <w:rFonts w:ascii="Century Schoolbook" w:hAnsi="Century Schoolbook"/>
        </w:rPr>
        <w:t>while responsive records may be and have been entirely withheld under the CPRA catchall exemption</w:t>
      </w:r>
      <w:r w:rsidR="00BE1FDC">
        <w:rPr>
          <w:rFonts w:ascii="Century Schoolbook" w:hAnsi="Century Schoolbook"/>
        </w:rPr>
        <w:t xml:space="preserve"> [</w:t>
      </w:r>
      <w:r w:rsidR="0037602A">
        <w:rPr>
          <w:rFonts w:ascii="Century Schoolbook" w:hAnsi="Century Schoolbook"/>
        </w:rPr>
        <w:t>where “</w:t>
      </w:r>
      <w:r w:rsidRPr="00BE1FDC" w:rsidR="00BE1FDC">
        <w:rPr>
          <w:rFonts w:ascii="Century Schoolbook" w:hAnsi="Century Schoolbook"/>
        </w:rPr>
        <w:t>on the facts of the particular case the public interest served by not disclosing the record clearly outweighs the public interest served by disclosure of the record” (</w:t>
      </w:r>
      <w:r w:rsidR="00822956">
        <w:rPr>
          <w:rFonts w:ascii="Century Schoolbook" w:hAnsi="Century Schoolbook"/>
        </w:rPr>
        <w:t xml:space="preserve">former </w:t>
      </w:r>
      <w:r w:rsidRPr="00BE1FDC" w:rsidR="00BE1FDC">
        <w:rPr>
          <w:rFonts w:ascii="Century Schoolbook" w:hAnsi="Century Schoolbook"/>
        </w:rPr>
        <w:t>Gov. Code, §</w:t>
      </w:r>
      <w:r w:rsidR="00744E1A">
        <w:rPr>
          <w:rFonts w:ascii="Century Schoolbook" w:hAnsi="Century Schoolbook"/>
        </w:rPr>
        <w:t> </w:t>
      </w:r>
      <w:r w:rsidRPr="00BE1FDC" w:rsidR="00BE1FDC">
        <w:rPr>
          <w:rFonts w:ascii="Century Schoolbook" w:hAnsi="Century Schoolbook"/>
        </w:rPr>
        <w:t>6255</w:t>
      </w:r>
      <w:r w:rsidR="00822956">
        <w:rPr>
          <w:rFonts w:ascii="Century Schoolbook" w:hAnsi="Century Schoolbook"/>
        </w:rPr>
        <w:t>, subd.</w:t>
      </w:r>
      <w:r w:rsidR="00C13602">
        <w:rPr>
          <w:rFonts w:ascii="Century Schoolbook" w:hAnsi="Century Schoolbook"/>
        </w:rPr>
        <w:t> </w:t>
      </w:r>
      <w:r w:rsidRPr="00BE1FDC" w:rsidR="00BE1FDC">
        <w:rPr>
          <w:rFonts w:ascii="Century Schoolbook" w:hAnsi="Century Schoolbook"/>
        </w:rPr>
        <w:t>(a)</w:t>
      </w:r>
      <w:r w:rsidR="00F26950">
        <w:rPr>
          <w:rFonts w:ascii="Century Schoolbook" w:hAnsi="Century Schoolbook"/>
        </w:rPr>
        <w:t>)</w:t>
      </w:r>
      <w:r w:rsidR="00BE1FDC">
        <w:rPr>
          <w:rFonts w:ascii="Century Schoolbook" w:hAnsi="Century Schoolbook"/>
        </w:rPr>
        <w:t>]</w:t>
      </w:r>
      <w:r w:rsidRPr="003E2D2A" w:rsidR="003E2D2A">
        <w:rPr>
          <w:rFonts w:ascii="Century Schoolbook" w:hAnsi="Century Schoolbook"/>
        </w:rPr>
        <w:t xml:space="preserve">, a public agency remains otherwise obligated to redact exempt information from a nonexempt record when the exempt and nonexempt materials are not </w:t>
      </w:r>
      <w:r w:rsidR="003E2D2A">
        <w:rPr>
          <w:rFonts w:ascii="Century Schoolbook" w:hAnsi="Century Schoolbook"/>
        </w:rPr>
        <w:t>‘</w:t>
      </w:r>
      <w:r w:rsidRPr="003E2D2A" w:rsidR="003E2D2A">
        <w:rPr>
          <w:rFonts w:ascii="Century Schoolbook" w:hAnsi="Century Schoolbook"/>
        </w:rPr>
        <w:t>inextricably intertwined</w:t>
      </w:r>
      <w:r w:rsidR="003E2D2A">
        <w:rPr>
          <w:rFonts w:ascii="Century Schoolbook" w:hAnsi="Century Schoolbook"/>
        </w:rPr>
        <w:t>’</w:t>
      </w:r>
      <w:r w:rsidRPr="003E2D2A" w:rsidR="003E2D2A">
        <w:rPr>
          <w:rFonts w:ascii="Century Schoolbook" w:hAnsi="Century Schoolbook"/>
        </w:rPr>
        <w:t xml:space="preserve"> and are </w:t>
      </w:r>
      <w:r w:rsidR="003E2D2A">
        <w:rPr>
          <w:rFonts w:ascii="Century Schoolbook" w:hAnsi="Century Schoolbook"/>
        </w:rPr>
        <w:t>‘</w:t>
      </w:r>
      <w:r w:rsidR="00F8361B">
        <w:rPr>
          <w:rFonts w:ascii="Century Schoolbook" w:hAnsi="Century Schoolbook"/>
        </w:rPr>
        <w:t> “</w:t>
      </w:r>
      <w:r w:rsidRPr="003E2D2A" w:rsidR="003E2D2A">
        <w:rPr>
          <w:rFonts w:ascii="Century Schoolbook" w:hAnsi="Century Schoolbook"/>
        </w:rPr>
        <w:t>otherwise reasonably segregable.</w:t>
      </w:r>
      <w:r w:rsidR="006618DC">
        <w:rPr>
          <w:rFonts w:ascii="Century Schoolbook" w:hAnsi="Century Schoolbook"/>
        </w:rPr>
        <w:t>” </w:t>
      </w:r>
      <w:r w:rsidR="003E2D2A">
        <w:rPr>
          <w:rFonts w:ascii="Century Schoolbook" w:hAnsi="Century Schoolbook"/>
        </w:rPr>
        <w:t>’</w:t>
      </w:r>
      <w:r w:rsidR="006618DC">
        <w:rPr>
          <w:rFonts w:ascii="Century Schoolbook" w:hAnsi="Century Schoolbook"/>
        </w:rPr>
        <w:t> </w:t>
      </w:r>
      <w:r w:rsidRPr="003E2D2A" w:rsidR="003E2D2A">
        <w:rPr>
          <w:rFonts w:ascii="Century Schoolbook" w:hAnsi="Century Schoolbook"/>
        </w:rPr>
        <w:t>”</w:t>
      </w:r>
      <w:r w:rsidR="003E2D2A">
        <w:rPr>
          <w:rFonts w:ascii="Century Schoolbook" w:hAnsi="Century Schoolbook"/>
        </w:rPr>
        <w:t xml:space="preserve">  (</w:t>
      </w:r>
      <w:r w:rsidRPr="005B0EC5" w:rsidR="00C544B9">
        <w:rPr>
          <w:rFonts w:ascii="Century Schoolbook" w:hAnsi="Century Schoolbook"/>
          <w:i/>
          <w:iCs/>
        </w:rPr>
        <w:t>Becerra</w:t>
      </w:r>
      <w:r w:rsidR="00C544B9">
        <w:rPr>
          <w:rFonts w:ascii="Century Schoolbook" w:hAnsi="Century Schoolbook"/>
        </w:rPr>
        <w:t>,</w:t>
      </w:r>
      <w:r w:rsidRPr="005B0EC5" w:rsidR="00C544B9">
        <w:rPr>
          <w:rFonts w:ascii="Century Schoolbook" w:hAnsi="Century Schoolbook"/>
          <w:i/>
          <w:iCs/>
        </w:rPr>
        <w:t xml:space="preserve"> </w:t>
      </w:r>
      <w:r w:rsidR="00C544B9">
        <w:rPr>
          <w:rFonts w:ascii="Century Schoolbook" w:hAnsi="Century Schoolbook"/>
          <w:i/>
          <w:iCs/>
        </w:rPr>
        <w:t>supra</w:t>
      </w:r>
      <w:r w:rsidR="00C544B9">
        <w:rPr>
          <w:rFonts w:ascii="Century Schoolbook" w:hAnsi="Century Schoolbook"/>
        </w:rPr>
        <w:t>,</w:t>
      </w:r>
      <w:r w:rsidRPr="005B0EC5" w:rsidR="00C544B9">
        <w:rPr>
          <w:rFonts w:ascii="Century Schoolbook" w:hAnsi="Century Schoolbook"/>
        </w:rPr>
        <w:t xml:space="preserve"> 44 Cal</w:t>
      </w:r>
      <w:r w:rsidRPr="00932105" w:rsidR="00C544B9">
        <w:rPr>
          <w:rFonts w:ascii="Century Schoolbook" w:hAnsi="Century Schoolbook"/>
          <w:vertAlign w:val="superscript"/>
        </w:rPr>
        <w:t>.</w:t>
      </w:r>
      <w:r w:rsidR="00C544B9">
        <w:rPr>
          <w:rFonts w:ascii="Century Schoolbook" w:hAnsi="Century Schoolbook"/>
        </w:rPr>
        <w:t>A</w:t>
      </w:r>
      <w:r w:rsidRPr="00D622B5" w:rsidR="00C544B9">
        <w:rPr>
          <w:rFonts w:ascii="Century Schoolbook" w:hAnsi="Century Schoolbook"/>
        </w:rPr>
        <w:t>pp</w:t>
      </w:r>
      <w:r w:rsidRPr="005B0EC5" w:rsidR="00C544B9">
        <w:rPr>
          <w:rFonts w:ascii="Century Schoolbook" w:hAnsi="Century Schoolbook"/>
        </w:rPr>
        <w:t xml:space="preserve">.5th </w:t>
      </w:r>
      <w:r w:rsidR="003E2D2A">
        <w:rPr>
          <w:rFonts w:ascii="Century Schoolbook" w:hAnsi="Century Schoolbook"/>
        </w:rPr>
        <w:t>at p.</w:t>
      </w:r>
      <w:r w:rsidR="006618DC">
        <w:rPr>
          <w:rFonts w:ascii="Century Schoolbook" w:hAnsi="Century Schoolbook"/>
        </w:rPr>
        <w:t> </w:t>
      </w:r>
      <w:r w:rsidR="00BE1FDC">
        <w:rPr>
          <w:rFonts w:ascii="Century Schoolbook" w:hAnsi="Century Schoolbook"/>
        </w:rPr>
        <w:t xml:space="preserve">929.)  In a footnote </w:t>
      </w:r>
      <w:r w:rsidR="008A0343">
        <w:rPr>
          <w:rFonts w:ascii="Century Schoolbook" w:hAnsi="Century Schoolbook"/>
        </w:rPr>
        <w:t xml:space="preserve">briefly </w:t>
      </w:r>
      <w:r w:rsidR="00BE1FDC">
        <w:rPr>
          <w:rFonts w:ascii="Century Schoolbook" w:hAnsi="Century Schoolbook"/>
        </w:rPr>
        <w:t xml:space="preserve">discussing the legislative history of </w:t>
      </w:r>
      <w:r w:rsidRPr="00231B62" w:rsidR="0037602A">
        <w:rPr>
          <w:rFonts w:ascii="Century Schoolbook" w:hAnsi="Century Schoolbook"/>
        </w:rPr>
        <w:t xml:space="preserve">subdivision </w:t>
      </w:r>
      <w:r w:rsidRPr="00231B62" w:rsidR="00BE1FDC">
        <w:rPr>
          <w:rFonts w:ascii="Century Schoolbook" w:hAnsi="Century Schoolbook"/>
        </w:rPr>
        <w:t>(b)(6),</w:t>
      </w:r>
      <w:r w:rsidR="00BE1FDC">
        <w:rPr>
          <w:rFonts w:ascii="Century Schoolbook" w:hAnsi="Century Schoolbook"/>
        </w:rPr>
        <w:t xml:space="preserve"> the </w:t>
      </w:r>
      <w:r w:rsidRPr="0037602A" w:rsidR="00BE1FDC">
        <w:rPr>
          <w:rFonts w:ascii="Century Schoolbook" w:hAnsi="Century Schoolbook"/>
          <w:i/>
          <w:iCs/>
        </w:rPr>
        <w:t>Becerra</w:t>
      </w:r>
      <w:r w:rsidR="00BE1FDC">
        <w:rPr>
          <w:rFonts w:ascii="Century Schoolbook" w:hAnsi="Century Schoolbook"/>
        </w:rPr>
        <w:t xml:space="preserve"> court referred to the </w:t>
      </w:r>
      <w:r w:rsidR="00C04A35">
        <w:rPr>
          <w:rFonts w:ascii="Century Schoolbook" w:hAnsi="Century Schoolbook"/>
        </w:rPr>
        <w:t>“</w:t>
      </w:r>
      <w:r w:rsidRPr="00C04A35" w:rsidR="00C04A35">
        <w:rPr>
          <w:rFonts w:ascii="Century Schoolbook" w:hAnsi="Century Schoolbook"/>
        </w:rPr>
        <w:t>redaction provisions in subdivision (b)(5)</w:t>
      </w:r>
      <w:r w:rsidR="00C04A35">
        <w:rPr>
          <w:rFonts w:ascii="Century Schoolbook" w:hAnsi="Century Schoolbook"/>
        </w:rPr>
        <w:t>.”  (</w:t>
      </w:r>
      <w:r w:rsidRPr="005B0EC5" w:rsidR="00BC707D">
        <w:rPr>
          <w:rFonts w:ascii="Century Schoolbook" w:hAnsi="Century Schoolbook"/>
          <w:i/>
          <w:iCs/>
        </w:rPr>
        <w:t>Becerra</w:t>
      </w:r>
      <w:r w:rsidR="00BC707D">
        <w:rPr>
          <w:rFonts w:ascii="Century Schoolbook" w:hAnsi="Century Schoolbook"/>
        </w:rPr>
        <w:t>,</w:t>
      </w:r>
      <w:r w:rsidRPr="005B0EC5" w:rsidR="00BC707D">
        <w:rPr>
          <w:rFonts w:ascii="Century Schoolbook" w:hAnsi="Century Schoolbook"/>
          <w:i/>
          <w:iCs/>
        </w:rPr>
        <w:t xml:space="preserve"> </w:t>
      </w:r>
      <w:r w:rsidR="00BC707D">
        <w:rPr>
          <w:rFonts w:ascii="Century Schoolbook" w:hAnsi="Century Schoolbook"/>
          <w:i/>
          <w:iCs/>
        </w:rPr>
        <w:t>supra</w:t>
      </w:r>
      <w:r w:rsidR="00BC707D">
        <w:rPr>
          <w:rFonts w:ascii="Century Schoolbook" w:hAnsi="Century Schoolbook"/>
        </w:rPr>
        <w:t>,</w:t>
      </w:r>
      <w:r w:rsidRPr="005B0EC5" w:rsidR="00BC707D">
        <w:rPr>
          <w:rFonts w:ascii="Century Schoolbook" w:hAnsi="Century Schoolbook"/>
        </w:rPr>
        <w:t xml:space="preserve"> 44</w:t>
      </w:r>
      <w:r w:rsidR="006618DC">
        <w:rPr>
          <w:rFonts w:ascii="Century Schoolbook" w:hAnsi="Century Schoolbook"/>
        </w:rPr>
        <w:t> </w:t>
      </w:r>
      <w:r w:rsidRPr="005B0EC5" w:rsidR="00BC707D">
        <w:rPr>
          <w:rFonts w:ascii="Century Schoolbook" w:hAnsi="Century Schoolbook"/>
        </w:rPr>
        <w:t>Cal</w:t>
      </w:r>
      <w:r w:rsidRPr="00932105" w:rsidR="00BC707D">
        <w:rPr>
          <w:rFonts w:ascii="Century Schoolbook" w:hAnsi="Century Schoolbook"/>
          <w:vertAlign w:val="superscript"/>
        </w:rPr>
        <w:t>.</w:t>
      </w:r>
      <w:r w:rsidR="00A20709">
        <w:rPr>
          <w:rFonts w:ascii="Century Schoolbook" w:hAnsi="Century Schoolbook"/>
        </w:rPr>
        <w:t>A</w:t>
      </w:r>
      <w:r w:rsidRPr="00A20709" w:rsidR="00BC707D">
        <w:rPr>
          <w:rFonts w:ascii="Century Schoolbook" w:hAnsi="Century Schoolbook"/>
        </w:rPr>
        <w:t>pp</w:t>
      </w:r>
      <w:r w:rsidRPr="005B0EC5" w:rsidR="00BC707D">
        <w:rPr>
          <w:rFonts w:ascii="Century Schoolbook" w:hAnsi="Century Schoolbook"/>
        </w:rPr>
        <w:t xml:space="preserve">.5th </w:t>
      </w:r>
      <w:r w:rsidR="00C04A35">
        <w:rPr>
          <w:rFonts w:ascii="Century Schoolbook" w:hAnsi="Century Schoolbook"/>
        </w:rPr>
        <w:t>at p.</w:t>
      </w:r>
      <w:r w:rsidR="006618DC">
        <w:rPr>
          <w:rFonts w:ascii="Century Schoolbook" w:hAnsi="Century Schoolbook"/>
        </w:rPr>
        <w:t> </w:t>
      </w:r>
      <w:r w:rsidR="00C04A35">
        <w:rPr>
          <w:rFonts w:ascii="Century Schoolbook" w:hAnsi="Century Schoolbook"/>
        </w:rPr>
        <w:t>928, fn.</w:t>
      </w:r>
      <w:r w:rsidR="006618DC">
        <w:rPr>
          <w:rFonts w:ascii="Century Schoolbook" w:hAnsi="Century Schoolbook"/>
        </w:rPr>
        <w:t> </w:t>
      </w:r>
      <w:r w:rsidR="00C04A35">
        <w:rPr>
          <w:rFonts w:ascii="Century Schoolbook" w:hAnsi="Century Schoolbook"/>
        </w:rPr>
        <w:t xml:space="preserve">7.)  But as just discussed, </w:t>
      </w:r>
      <w:r w:rsidRPr="00231B62" w:rsidR="0037602A">
        <w:rPr>
          <w:rFonts w:ascii="Century Schoolbook" w:hAnsi="Century Schoolbook"/>
        </w:rPr>
        <w:t xml:space="preserve">subdivision </w:t>
      </w:r>
      <w:r w:rsidRPr="00231B62" w:rsidR="00C04A35">
        <w:rPr>
          <w:rFonts w:ascii="Century Schoolbook" w:hAnsi="Century Schoolbook"/>
        </w:rPr>
        <w:t>(b)(5)</w:t>
      </w:r>
      <w:r w:rsidR="00C04A35">
        <w:rPr>
          <w:rFonts w:ascii="Century Schoolbook" w:hAnsi="Century Schoolbook"/>
        </w:rPr>
        <w:t xml:space="preserve"> refers to “information,” and thus clearly permits redaction.  </w:t>
      </w:r>
      <w:r w:rsidRPr="00C04A35" w:rsidR="00C04A35">
        <w:rPr>
          <w:rFonts w:ascii="Century Schoolbook" w:hAnsi="Century Schoolbook"/>
          <w:i/>
          <w:iCs/>
        </w:rPr>
        <w:t>Becerra</w:t>
      </w:r>
      <w:r w:rsidR="00C04A35">
        <w:rPr>
          <w:rFonts w:ascii="Century Schoolbook" w:hAnsi="Century Schoolbook"/>
        </w:rPr>
        <w:t xml:space="preserve"> did not discuss or analyze </w:t>
      </w:r>
      <w:r w:rsidRPr="00231B62" w:rsidR="0037602A">
        <w:rPr>
          <w:rFonts w:ascii="Century Schoolbook" w:hAnsi="Century Schoolbook"/>
        </w:rPr>
        <w:t xml:space="preserve">subdivision </w:t>
      </w:r>
      <w:r w:rsidRPr="00231B62" w:rsidR="00C04A35">
        <w:rPr>
          <w:rFonts w:ascii="Century Schoolbook" w:hAnsi="Century Schoolbook"/>
        </w:rPr>
        <w:t>(b)(4),</w:t>
      </w:r>
      <w:r w:rsidR="00C04A35">
        <w:rPr>
          <w:rFonts w:ascii="Century Schoolbook" w:hAnsi="Century Schoolbook"/>
        </w:rPr>
        <w:t xml:space="preserve"> and had no occasion to consider the fact that it refers to records, not information.  </w:t>
      </w:r>
    </w:p>
    <w:p w:rsidR="00CA0B51" w:rsidP="008E7C16" w14:paraId="2C3F3ACF" w14:textId="369247DB">
      <w:pPr>
        <w:rPr>
          <w:rFonts w:ascii="Century Schoolbook" w:hAnsi="Century Schoolbook"/>
        </w:rPr>
      </w:pPr>
      <w:r>
        <w:rPr>
          <w:rFonts w:ascii="Century Schoolbook" w:hAnsi="Century Schoolbook"/>
        </w:rPr>
        <w:tab/>
      </w:r>
      <w:r w:rsidR="0044716C">
        <w:rPr>
          <w:rFonts w:ascii="Century Schoolbook" w:hAnsi="Century Schoolbook"/>
        </w:rPr>
        <w:t xml:space="preserve">Oakland argues that </w:t>
      </w:r>
      <w:r w:rsidR="00C83383">
        <w:rPr>
          <w:rFonts w:ascii="Century Schoolbook" w:hAnsi="Century Schoolbook"/>
        </w:rPr>
        <w:t xml:space="preserve">petitioners’ </w:t>
      </w:r>
      <w:r w:rsidR="0044716C">
        <w:rPr>
          <w:rFonts w:ascii="Century Schoolbook" w:hAnsi="Century Schoolbook"/>
        </w:rPr>
        <w:t>construction would lead to absurd results, namely that “</w:t>
      </w:r>
      <w:r w:rsidRPr="0044716C" w:rsidR="0044716C">
        <w:rPr>
          <w:rFonts w:ascii="Century Schoolbook" w:hAnsi="Century Schoolbook"/>
        </w:rPr>
        <w:t>disclosure of information would turn on whether the police department combined assessments of separate incidents or prior investigations reports in one document, rather than on the content of those interviews.</w:t>
      </w:r>
      <w:r w:rsidR="0044716C">
        <w:rPr>
          <w:rFonts w:ascii="Century Schoolbook" w:hAnsi="Century Schoolbook"/>
        </w:rPr>
        <w:t xml:space="preserve">”  </w:t>
      </w:r>
      <w:r w:rsidR="00C83383">
        <w:rPr>
          <w:rFonts w:ascii="Century Schoolbook" w:hAnsi="Century Schoolbook"/>
        </w:rPr>
        <w:t>And</w:t>
      </w:r>
      <w:r w:rsidR="003B5B14">
        <w:rPr>
          <w:rFonts w:ascii="Century Schoolbook" w:hAnsi="Century Schoolbook"/>
        </w:rPr>
        <w:t>,</w:t>
      </w:r>
      <w:r w:rsidR="00C83383">
        <w:rPr>
          <w:rFonts w:ascii="Century Schoolbook" w:hAnsi="Century Schoolbook"/>
        </w:rPr>
        <w:t xml:space="preserve"> </w:t>
      </w:r>
      <w:r w:rsidR="0044716C">
        <w:rPr>
          <w:rFonts w:ascii="Century Schoolbook" w:hAnsi="Century Schoolbook"/>
        </w:rPr>
        <w:t>Oakland asserts</w:t>
      </w:r>
      <w:r w:rsidR="003B5B14">
        <w:rPr>
          <w:rFonts w:ascii="Century Schoolbook" w:hAnsi="Century Schoolbook"/>
        </w:rPr>
        <w:t>,</w:t>
      </w:r>
      <w:r w:rsidR="0044716C">
        <w:rPr>
          <w:rFonts w:ascii="Century Schoolbook" w:hAnsi="Century Schoolbook"/>
        </w:rPr>
        <w:t xml:space="preserve"> the </w:t>
      </w:r>
      <w:r w:rsidR="00304E52">
        <w:rPr>
          <w:rFonts w:ascii="Century Schoolbook" w:hAnsi="Century Schoolbook"/>
        </w:rPr>
        <w:t>Guap report</w:t>
      </w:r>
      <w:r w:rsidR="0044716C">
        <w:rPr>
          <w:rFonts w:ascii="Century Schoolbook" w:hAnsi="Century Schoolbook"/>
        </w:rPr>
        <w:t xml:space="preserve"> is such a “</w:t>
      </w:r>
      <w:r w:rsidRPr="0044716C" w:rsidR="0044716C">
        <w:rPr>
          <w:rFonts w:ascii="Century Schoolbook" w:hAnsi="Century Schoolbook"/>
        </w:rPr>
        <w:t>compilation of numerous individual investigatory records.</w:t>
      </w:r>
      <w:r w:rsidR="0044716C">
        <w:rPr>
          <w:rFonts w:ascii="Century Schoolbook" w:hAnsi="Century Schoolbook"/>
        </w:rPr>
        <w:t xml:space="preserve">”  </w:t>
      </w:r>
      <w:r w:rsidR="00C82EAF">
        <w:rPr>
          <w:rFonts w:ascii="Century Schoolbook" w:hAnsi="Century Schoolbook"/>
        </w:rPr>
        <w:t>W</w:t>
      </w:r>
      <w:r w:rsidR="00B4791D">
        <w:rPr>
          <w:rFonts w:ascii="Century Schoolbook" w:hAnsi="Century Schoolbook"/>
        </w:rPr>
        <w:t xml:space="preserve">hatever the difficulties of </w:t>
      </w:r>
      <w:r w:rsidR="005E4D1B">
        <w:rPr>
          <w:rFonts w:ascii="Century Schoolbook" w:hAnsi="Century Schoolbook"/>
        </w:rPr>
        <w:t xml:space="preserve">defining the applicable “record” under </w:t>
      </w:r>
      <w:r w:rsidR="007D69AB">
        <w:rPr>
          <w:rFonts w:ascii="Century Schoolbook" w:hAnsi="Century Schoolbook"/>
        </w:rPr>
        <w:t xml:space="preserve">section 832.7, </w:t>
      </w:r>
      <w:r w:rsidRPr="00231B62" w:rsidR="005E4D1B">
        <w:rPr>
          <w:rFonts w:ascii="Century Schoolbook" w:hAnsi="Century Schoolbook"/>
        </w:rPr>
        <w:t>subdivision</w:t>
      </w:r>
      <w:r w:rsidRPr="00231B62" w:rsidR="00542A1F">
        <w:rPr>
          <w:rFonts w:ascii="Century Schoolbook" w:hAnsi="Century Schoolbook"/>
        </w:rPr>
        <w:t> </w:t>
      </w:r>
      <w:r w:rsidRPr="00231B62" w:rsidR="00B4791D">
        <w:rPr>
          <w:rFonts w:ascii="Century Schoolbook" w:hAnsi="Century Schoolbook"/>
        </w:rPr>
        <w:t>(b)(4)</w:t>
      </w:r>
      <w:r w:rsidR="009E4411">
        <w:rPr>
          <w:rFonts w:ascii="Century Schoolbook" w:hAnsi="Century Schoolbook"/>
        </w:rPr>
        <w:t>,</w:t>
      </w:r>
      <w:r w:rsidR="00B4791D">
        <w:rPr>
          <w:rFonts w:ascii="Century Schoolbook" w:hAnsi="Century Schoolbook"/>
        </w:rPr>
        <w:t xml:space="preserve"> where multiple reports or records are combined into a single document, those difficulties do not confront us here.  </w:t>
      </w:r>
      <w:r w:rsidR="008E7C16">
        <w:rPr>
          <w:rFonts w:ascii="Century Schoolbook" w:hAnsi="Century Schoolbook"/>
        </w:rPr>
        <w:t xml:space="preserve">The </w:t>
      </w:r>
      <w:r w:rsidR="00304E52">
        <w:rPr>
          <w:rFonts w:ascii="Century Schoolbook" w:hAnsi="Century Schoolbook"/>
        </w:rPr>
        <w:t>Guap report</w:t>
      </w:r>
      <w:r w:rsidR="003950EE">
        <w:rPr>
          <w:rFonts w:ascii="Century Schoolbook" w:hAnsi="Century Schoolbook"/>
        </w:rPr>
        <w:t xml:space="preserve">, </w:t>
      </w:r>
      <w:r w:rsidR="00C3090A">
        <w:rPr>
          <w:rFonts w:ascii="Century Schoolbook" w:hAnsi="Century Schoolbook"/>
        </w:rPr>
        <w:t>entitled</w:t>
      </w:r>
      <w:r w:rsidR="00C20F14">
        <w:rPr>
          <w:rFonts w:ascii="Century Schoolbook" w:hAnsi="Century Schoolbook"/>
        </w:rPr>
        <w:t xml:space="preserve"> “Report</w:t>
      </w:r>
      <w:r w:rsidRPr="008E7C16" w:rsidR="00C20F14">
        <w:rPr>
          <w:rFonts w:ascii="Century Schoolbook" w:hAnsi="Century Schoolbook"/>
        </w:rPr>
        <w:t xml:space="preserve"> </w:t>
      </w:r>
      <w:r w:rsidR="00C20F14">
        <w:rPr>
          <w:rFonts w:ascii="Century Schoolbook" w:hAnsi="Century Schoolbook"/>
        </w:rPr>
        <w:t>of</w:t>
      </w:r>
      <w:r w:rsidRPr="008E7C16" w:rsidR="00C20F14">
        <w:rPr>
          <w:rFonts w:ascii="Century Schoolbook" w:hAnsi="Century Schoolbook"/>
        </w:rPr>
        <w:t xml:space="preserve"> </w:t>
      </w:r>
      <w:r w:rsidR="00C20F14">
        <w:rPr>
          <w:rFonts w:ascii="Century Schoolbook" w:hAnsi="Century Schoolbook"/>
        </w:rPr>
        <w:t xml:space="preserve">Internal Investigation </w:t>
      </w:r>
      <w:r w:rsidRPr="008E7C16" w:rsidR="00C20F14">
        <w:rPr>
          <w:rFonts w:ascii="Century Schoolbook" w:hAnsi="Century Schoolbook"/>
        </w:rPr>
        <w:t>F</w:t>
      </w:r>
      <w:r w:rsidR="00C20F14">
        <w:rPr>
          <w:rFonts w:ascii="Century Schoolbook" w:hAnsi="Century Schoolbook"/>
        </w:rPr>
        <w:t>ile</w:t>
      </w:r>
      <w:r w:rsidRPr="008E7C16" w:rsidR="00C20F14">
        <w:rPr>
          <w:rFonts w:ascii="Century Schoolbook" w:hAnsi="Century Schoolbook"/>
        </w:rPr>
        <w:t xml:space="preserve"> N</w:t>
      </w:r>
      <w:r w:rsidR="00C20F14">
        <w:rPr>
          <w:rFonts w:ascii="Century Schoolbook" w:hAnsi="Century Schoolbook"/>
        </w:rPr>
        <w:t>o</w:t>
      </w:r>
      <w:r w:rsidRPr="008E7C16" w:rsidR="00C20F14">
        <w:rPr>
          <w:rFonts w:ascii="Century Schoolbook" w:hAnsi="Century Schoolbook"/>
        </w:rPr>
        <w:t>.</w:t>
      </w:r>
      <w:r w:rsidR="00744E1A">
        <w:rPr>
          <w:rFonts w:ascii="Century Schoolbook" w:hAnsi="Century Schoolbook"/>
        </w:rPr>
        <w:t> </w:t>
      </w:r>
      <w:r w:rsidRPr="008E7C16" w:rsidR="00C20F14">
        <w:rPr>
          <w:rFonts w:ascii="Century Schoolbook" w:hAnsi="Century Schoolbook"/>
        </w:rPr>
        <w:t>15-0771</w:t>
      </w:r>
      <w:r w:rsidR="00235B6D">
        <w:rPr>
          <w:rFonts w:ascii="Century Schoolbook" w:hAnsi="Century Schoolbook"/>
        </w:rPr>
        <w:t>,</w:t>
      </w:r>
      <w:r w:rsidR="00C20F14">
        <w:rPr>
          <w:rFonts w:ascii="Century Schoolbook" w:hAnsi="Century Schoolbook"/>
        </w:rPr>
        <w:t xml:space="preserve">” </w:t>
      </w:r>
      <w:r w:rsidR="008E7C16">
        <w:rPr>
          <w:rFonts w:ascii="Century Schoolbook" w:hAnsi="Century Schoolbook"/>
        </w:rPr>
        <w:t xml:space="preserve">is a single record, </w:t>
      </w:r>
      <w:r w:rsidR="0005752D">
        <w:rPr>
          <w:rFonts w:ascii="Century Schoolbook" w:hAnsi="Century Schoolbook"/>
        </w:rPr>
        <w:t>with</w:t>
      </w:r>
      <w:r w:rsidR="00802844">
        <w:rPr>
          <w:rFonts w:ascii="Century Schoolbook" w:hAnsi="Century Schoolbook"/>
        </w:rPr>
        <w:t xml:space="preserve"> a single subject</w:t>
      </w:r>
      <w:r w:rsidR="000D7F91">
        <w:rPr>
          <w:rFonts w:ascii="Century Schoolbook" w:hAnsi="Century Schoolbook"/>
        </w:rPr>
        <w:t>—</w:t>
      </w:r>
      <w:r w:rsidR="0005752D">
        <w:rPr>
          <w:rFonts w:ascii="Century Schoolbook" w:hAnsi="Century Schoolbook"/>
        </w:rPr>
        <w:t>a summary of a single internal affairs investigation</w:t>
      </w:r>
      <w:r w:rsidR="00540CFC">
        <w:rPr>
          <w:rFonts w:ascii="Century Schoolbook" w:hAnsi="Century Schoolbook"/>
        </w:rPr>
        <w:t xml:space="preserve">.  </w:t>
      </w:r>
      <w:r w:rsidR="0005752D">
        <w:rPr>
          <w:rFonts w:ascii="Century Schoolbook" w:hAnsi="Century Schoolbook"/>
        </w:rPr>
        <w:t xml:space="preserve">The </w:t>
      </w:r>
      <w:r w:rsidR="00542A1F">
        <w:rPr>
          <w:rFonts w:ascii="Century Schoolbook" w:hAnsi="Century Schoolbook"/>
        </w:rPr>
        <w:t>preparation</w:t>
      </w:r>
      <w:r w:rsidR="0005752D">
        <w:rPr>
          <w:rFonts w:ascii="Century Schoolbook" w:hAnsi="Century Schoolbook"/>
        </w:rPr>
        <w:t xml:space="preserve"> </w:t>
      </w:r>
      <w:r w:rsidR="00BB6159">
        <w:rPr>
          <w:rFonts w:ascii="Century Schoolbook" w:hAnsi="Century Schoolbook"/>
        </w:rPr>
        <w:t xml:space="preserve">of the report </w:t>
      </w:r>
      <w:r w:rsidR="0005752D">
        <w:rPr>
          <w:rFonts w:ascii="Century Schoolbook" w:hAnsi="Century Schoolbook"/>
        </w:rPr>
        <w:t>was prompted by a single incident</w:t>
      </w:r>
      <w:r w:rsidR="000D7F91">
        <w:rPr>
          <w:rFonts w:ascii="Century Schoolbook" w:hAnsi="Century Schoolbook"/>
        </w:rPr>
        <w:t xml:space="preserve">, </w:t>
      </w:r>
      <w:r w:rsidR="0005752D">
        <w:rPr>
          <w:rFonts w:ascii="Century Schoolbook" w:hAnsi="Century Schoolbook"/>
        </w:rPr>
        <w:t xml:space="preserve">an officer’s suicide and his suicide note claiming that </w:t>
      </w:r>
      <w:r w:rsidR="00822956">
        <w:rPr>
          <w:rFonts w:ascii="Century Schoolbook" w:hAnsi="Century Schoolbook"/>
        </w:rPr>
        <w:t>Guap</w:t>
      </w:r>
      <w:r w:rsidR="0005752D">
        <w:rPr>
          <w:rFonts w:ascii="Century Schoolbook" w:hAnsi="Century Schoolbook"/>
        </w:rPr>
        <w:t xml:space="preserve"> was the “catalyst” behind his death</w:t>
      </w:r>
      <w:r w:rsidR="00BB6159">
        <w:rPr>
          <w:rFonts w:ascii="Century Schoolbook" w:hAnsi="Century Schoolbook"/>
        </w:rPr>
        <w:t xml:space="preserve">. </w:t>
      </w:r>
      <w:r w:rsidR="00EE4EC2">
        <w:rPr>
          <w:rFonts w:ascii="Century Schoolbook" w:hAnsi="Century Schoolbook"/>
        </w:rPr>
        <w:t xml:space="preserve"> </w:t>
      </w:r>
      <w:r w:rsidR="00334D46">
        <w:rPr>
          <w:rFonts w:ascii="Century Schoolbook" w:hAnsi="Century Schoolbook"/>
        </w:rPr>
        <w:t xml:space="preserve">The report identifies a single primary investigator in the Internal Affairs Division who prepared it.  </w:t>
      </w:r>
      <w:r w:rsidR="00BB6159">
        <w:rPr>
          <w:rFonts w:ascii="Century Schoolbook" w:hAnsi="Century Schoolbook"/>
        </w:rPr>
        <w:t>A</w:t>
      </w:r>
      <w:r w:rsidR="003B5B14">
        <w:rPr>
          <w:rFonts w:ascii="Century Schoolbook" w:hAnsi="Century Schoolbook"/>
        </w:rPr>
        <w:t>nd</w:t>
      </w:r>
      <w:r w:rsidR="0005752D">
        <w:rPr>
          <w:rFonts w:ascii="Century Schoolbook" w:hAnsi="Century Schoolbook"/>
        </w:rPr>
        <w:t xml:space="preserve"> </w:t>
      </w:r>
      <w:r w:rsidR="003B5B14">
        <w:rPr>
          <w:rFonts w:ascii="Century Schoolbook" w:hAnsi="Century Schoolbook"/>
        </w:rPr>
        <w:t>t</w:t>
      </w:r>
      <w:r w:rsidR="00326A1B">
        <w:rPr>
          <w:rFonts w:ascii="Century Schoolbook" w:hAnsi="Century Schoolbook"/>
        </w:rPr>
        <w:t xml:space="preserve">he report itself repeatedly refers to the singular “investigation” it summarizes. </w:t>
      </w:r>
      <w:r w:rsidR="0039581B">
        <w:rPr>
          <w:rFonts w:ascii="Century Schoolbook" w:hAnsi="Century Schoolbook"/>
        </w:rPr>
        <w:t xml:space="preserve"> </w:t>
      </w:r>
      <w:r w:rsidR="00326A1B">
        <w:rPr>
          <w:rFonts w:ascii="Century Schoolbook" w:hAnsi="Century Schoolbook"/>
        </w:rPr>
        <w:t>The fact that the investigation included allegations of misconduct against multiple officers, or that it investigated multiple incidents of potential misconduct, does not transform the report into a “</w:t>
      </w:r>
      <w:r w:rsidR="006B7B94">
        <w:rPr>
          <w:rFonts w:ascii="Century Schoolbook" w:hAnsi="Century Schoolbook"/>
        </w:rPr>
        <w:t>compilation</w:t>
      </w:r>
      <w:r w:rsidR="00326A1B">
        <w:rPr>
          <w:rFonts w:ascii="Century Schoolbook" w:hAnsi="Century Schoolbook"/>
        </w:rPr>
        <w:t xml:space="preserve">” of records for the purposes of </w:t>
      </w:r>
      <w:r w:rsidR="00594174">
        <w:rPr>
          <w:rFonts w:ascii="Century Schoolbook" w:hAnsi="Century Schoolbook"/>
        </w:rPr>
        <w:t xml:space="preserve">section 832.7, </w:t>
      </w:r>
      <w:r w:rsidRPr="00231B62" w:rsidR="00326A1B">
        <w:rPr>
          <w:rFonts w:ascii="Century Schoolbook" w:hAnsi="Century Schoolbook"/>
        </w:rPr>
        <w:t>subdivision (b)(4).</w:t>
      </w:r>
      <w:r w:rsidR="00326A1B">
        <w:rPr>
          <w:rFonts w:ascii="Century Schoolbook" w:hAnsi="Century Schoolbook"/>
        </w:rPr>
        <w:t xml:space="preserve">  </w:t>
      </w:r>
    </w:p>
    <w:p w:rsidR="0039581B" w:rsidP="00ED2FB0" w14:paraId="5436FCE4" w14:textId="76E610E1">
      <w:pPr>
        <w:rPr>
          <w:rFonts w:ascii="Century Schoolbook" w:hAnsi="Century Schoolbook"/>
        </w:rPr>
      </w:pPr>
      <w:r>
        <w:rPr>
          <w:rFonts w:ascii="Century Schoolbook" w:hAnsi="Century Schoolbook"/>
        </w:rPr>
        <w:tab/>
      </w:r>
      <w:r w:rsidR="003B5B14">
        <w:rPr>
          <w:rFonts w:ascii="Century Schoolbook" w:hAnsi="Century Schoolbook"/>
        </w:rPr>
        <w:t>But</w:t>
      </w:r>
      <w:r w:rsidR="00E36E16">
        <w:rPr>
          <w:rFonts w:ascii="Century Schoolbook" w:hAnsi="Century Schoolbook"/>
        </w:rPr>
        <w:t xml:space="preserve"> e</w:t>
      </w:r>
      <w:r>
        <w:rPr>
          <w:rFonts w:ascii="Century Schoolbook" w:hAnsi="Century Schoolbook"/>
        </w:rPr>
        <w:t xml:space="preserve">ven if the </w:t>
      </w:r>
      <w:r w:rsidR="00304E52">
        <w:rPr>
          <w:rFonts w:ascii="Century Schoolbook" w:hAnsi="Century Schoolbook"/>
        </w:rPr>
        <w:t>Guap report</w:t>
      </w:r>
      <w:r>
        <w:rPr>
          <w:rFonts w:ascii="Century Schoolbook" w:hAnsi="Century Schoolbook"/>
        </w:rPr>
        <w:t xml:space="preserve"> were a compilation of multiple records, we do not agree with Oakland’s reading of subdivision (b)(4) as permitting it to redact </w:t>
      </w:r>
      <w:r w:rsidR="00AF0292">
        <w:rPr>
          <w:rFonts w:ascii="Century Schoolbook" w:hAnsi="Century Schoolbook"/>
        </w:rPr>
        <w:t>“</w:t>
      </w:r>
      <w:r>
        <w:rPr>
          <w:rFonts w:ascii="Century Schoolbook" w:hAnsi="Century Schoolbook"/>
        </w:rPr>
        <w:t>assessments</w:t>
      </w:r>
      <w:r w:rsidR="00AF0292">
        <w:rPr>
          <w:rFonts w:ascii="Century Schoolbook" w:hAnsi="Century Schoolbook"/>
        </w:rPr>
        <w:t>”</w:t>
      </w:r>
      <w:r>
        <w:rPr>
          <w:rFonts w:ascii="Century Schoolbook" w:hAnsi="Century Schoolbook"/>
        </w:rPr>
        <w:t xml:space="preserve"> of separate </w:t>
      </w:r>
      <w:r w:rsidR="00AF0292">
        <w:rPr>
          <w:rFonts w:ascii="Century Schoolbook" w:hAnsi="Century Schoolbook"/>
        </w:rPr>
        <w:t>“</w:t>
      </w:r>
      <w:r>
        <w:rPr>
          <w:rFonts w:ascii="Century Schoolbook" w:hAnsi="Century Schoolbook"/>
        </w:rPr>
        <w:t>incidents.</w:t>
      </w:r>
      <w:r w:rsidR="00AF0292">
        <w:rPr>
          <w:rFonts w:ascii="Century Schoolbook" w:hAnsi="Century Schoolbook"/>
        </w:rPr>
        <w:t>”</w:t>
      </w:r>
      <w:r>
        <w:rPr>
          <w:rFonts w:ascii="Century Schoolbook" w:hAnsi="Century Schoolbook"/>
        </w:rPr>
        <w:t xml:space="preserve">  In arguing that “prior” modifies only “investigation” and not “assessment,” Oakland relies on </w:t>
      </w:r>
      <w:r w:rsidR="008A7AA5">
        <w:rPr>
          <w:rFonts w:ascii="Century Schoolbook" w:hAnsi="Century Schoolbook"/>
        </w:rPr>
        <w:t xml:space="preserve">the last antecedent rule and </w:t>
      </w:r>
      <w:r w:rsidRPr="008A7AA5" w:rsidR="008A7AA5">
        <w:rPr>
          <w:rFonts w:ascii="Century Schoolbook" w:hAnsi="Century Schoolbook"/>
          <w:i/>
          <w:iCs/>
        </w:rPr>
        <w:t>Renee J.</w:t>
      </w:r>
      <w:r w:rsidR="00B60B15">
        <w:rPr>
          <w:rFonts w:ascii="Century Schoolbook" w:hAnsi="Century Schoolbook"/>
          <w:i/>
          <w:iCs/>
        </w:rPr>
        <w:t> </w:t>
      </w:r>
      <w:r w:rsidRPr="008A7AA5" w:rsidR="008A7AA5">
        <w:rPr>
          <w:rFonts w:ascii="Century Schoolbook" w:hAnsi="Century Schoolbook"/>
          <w:i/>
          <w:iCs/>
        </w:rPr>
        <w:t>v. Superior Court</w:t>
      </w:r>
      <w:r w:rsidRPr="008A7AA5" w:rsidR="008A7AA5">
        <w:rPr>
          <w:rFonts w:ascii="Century Schoolbook" w:hAnsi="Century Schoolbook"/>
        </w:rPr>
        <w:t xml:space="preserve"> (2001) 26</w:t>
      </w:r>
      <w:r w:rsidR="00B60B15">
        <w:rPr>
          <w:rFonts w:ascii="Century Schoolbook" w:hAnsi="Century Schoolbook"/>
        </w:rPr>
        <w:t> </w:t>
      </w:r>
      <w:r w:rsidRPr="008A7AA5" w:rsidR="008A7AA5">
        <w:rPr>
          <w:rFonts w:ascii="Century Schoolbook" w:hAnsi="Century Schoolbook"/>
        </w:rPr>
        <w:t>Cal.4th 735, 743</w:t>
      </w:r>
      <w:r w:rsidR="0007550E">
        <w:rPr>
          <w:rFonts w:ascii="Century Schoolbook" w:hAnsi="Century Schoolbook"/>
        </w:rPr>
        <w:t xml:space="preserve">, which </w:t>
      </w:r>
      <w:r w:rsidR="008A7AA5">
        <w:rPr>
          <w:rFonts w:ascii="Century Schoolbook" w:hAnsi="Century Schoolbook"/>
        </w:rPr>
        <w:t xml:space="preserve">case explained:  </w:t>
      </w:r>
      <w:r w:rsidRPr="00ED2FB0" w:rsidR="00ED2FB0">
        <w:rPr>
          <w:rFonts w:ascii="Century Schoolbook" w:hAnsi="Century Schoolbook"/>
        </w:rPr>
        <w:t>“</w:t>
      </w:r>
      <w:r w:rsidR="00B60B15">
        <w:rPr>
          <w:rFonts w:ascii="Century Schoolbook" w:hAnsi="Century Schoolbook"/>
        </w:rPr>
        <w:t> </w:t>
      </w:r>
      <w:r w:rsidR="00ED2FB0">
        <w:rPr>
          <w:rFonts w:ascii="Century Schoolbook" w:hAnsi="Century Schoolbook"/>
        </w:rPr>
        <w:t>‘</w:t>
      </w:r>
      <w:r w:rsidRPr="00ED2FB0" w:rsidR="00ED2FB0">
        <w:rPr>
          <w:rFonts w:ascii="Century Schoolbook" w:hAnsi="Century Schoolbook"/>
        </w:rPr>
        <w:t xml:space="preserve">A longstanding rule of statutory construction—the </w:t>
      </w:r>
      <w:r w:rsidR="00ED2FB0">
        <w:rPr>
          <w:rFonts w:ascii="Century Schoolbook" w:hAnsi="Century Schoolbook"/>
        </w:rPr>
        <w:t>“</w:t>
      </w:r>
      <w:r w:rsidRPr="00ED2FB0" w:rsidR="00ED2FB0">
        <w:rPr>
          <w:rFonts w:ascii="Century Schoolbook" w:hAnsi="Century Schoolbook"/>
        </w:rPr>
        <w:t>last antecedent rule</w:t>
      </w:r>
      <w:r w:rsidR="00ED2FB0">
        <w:rPr>
          <w:rFonts w:ascii="Century Schoolbook" w:hAnsi="Century Schoolbook"/>
        </w:rPr>
        <w:t>”</w:t>
      </w:r>
      <w:r w:rsidRPr="00ED2FB0" w:rsidR="00ED2FB0">
        <w:rPr>
          <w:rFonts w:ascii="Century Schoolbook" w:hAnsi="Century Schoolbook"/>
        </w:rPr>
        <w:t xml:space="preserve">—provides that </w:t>
      </w:r>
      <w:r w:rsidR="00ED2FB0">
        <w:rPr>
          <w:rFonts w:ascii="Century Schoolbook" w:hAnsi="Century Schoolbook"/>
        </w:rPr>
        <w:t>“</w:t>
      </w:r>
      <w:r w:rsidRPr="00ED2FB0" w:rsidR="00ED2FB0">
        <w:rPr>
          <w:rFonts w:ascii="Century Schoolbook" w:hAnsi="Century Schoolbook"/>
        </w:rPr>
        <w:t>qualifying words, phrases and clauses are to be applied to the words or phrases immediately preceding and are not to be construed as extending to or including others more remote.”</w:t>
      </w:r>
      <w:r w:rsidR="00B60B15">
        <w:rPr>
          <w:rFonts w:ascii="Century Schoolbook" w:hAnsi="Century Schoolbook"/>
        </w:rPr>
        <w:t> </w:t>
      </w:r>
      <w:r w:rsidRPr="00ED2FB0" w:rsidR="00ED2FB0">
        <w:rPr>
          <w:rFonts w:ascii="Century Schoolbook" w:hAnsi="Century Schoolbook"/>
        </w:rPr>
        <w:t>’</w:t>
      </w:r>
      <w:r w:rsidR="00B60B15">
        <w:rPr>
          <w:rFonts w:ascii="Century Schoolbook" w:hAnsi="Century Schoolbook"/>
        </w:rPr>
        <w:t> </w:t>
      </w:r>
      <w:r w:rsidR="00ED2FB0">
        <w:rPr>
          <w:rFonts w:ascii="Century Schoolbook" w:hAnsi="Century Schoolbook"/>
        </w:rPr>
        <w:t>”  (</w:t>
      </w:r>
      <w:r w:rsidRPr="00ED2FB0" w:rsidR="00ED2FB0">
        <w:rPr>
          <w:rFonts w:ascii="Century Schoolbook" w:hAnsi="Century Schoolbook"/>
          <w:i/>
          <w:iCs/>
        </w:rPr>
        <w:t>Renee</w:t>
      </w:r>
      <w:r w:rsidR="00F37D3A">
        <w:rPr>
          <w:rFonts w:ascii="Century Schoolbook" w:hAnsi="Century Schoolbook"/>
          <w:i/>
          <w:iCs/>
        </w:rPr>
        <w:t> </w:t>
      </w:r>
      <w:r w:rsidRPr="00ED2FB0" w:rsidR="00ED2FB0">
        <w:rPr>
          <w:rFonts w:ascii="Century Schoolbook" w:hAnsi="Century Schoolbook"/>
          <w:i/>
          <w:iCs/>
        </w:rPr>
        <w:t>J.</w:t>
      </w:r>
      <w:r w:rsidR="00744E1A">
        <w:rPr>
          <w:rFonts w:ascii="Century Schoolbook" w:hAnsi="Century Schoolbook"/>
          <w:i/>
          <w:iCs/>
        </w:rPr>
        <w:t> </w:t>
      </w:r>
      <w:r w:rsidRPr="00ED2FB0" w:rsidR="00ED2FB0">
        <w:rPr>
          <w:rFonts w:ascii="Century Schoolbook" w:hAnsi="Century Schoolbook"/>
          <w:i/>
          <w:iCs/>
        </w:rPr>
        <w:t xml:space="preserve">v. Superior </w:t>
      </w:r>
      <w:r w:rsidR="00ED2FB0">
        <w:rPr>
          <w:rFonts w:ascii="Century Schoolbook" w:hAnsi="Century Schoolbook"/>
          <w:i/>
          <w:iCs/>
        </w:rPr>
        <w:t>Court</w:t>
      </w:r>
      <w:r w:rsidR="00B67CF5">
        <w:rPr>
          <w:rFonts w:ascii="Century Schoolbook" w:hAnsi="Century Schoolbook"/>
        </w:rPr>
        <w:t>,</w:t>
      </w:r>
      <w:r w:rsidR="00ED2FB0">
        <w:rPr>
          <w:rFonts w:ascii="Century Schoolbook" w:hAnsi="Century Schoolbook"/>
        </w:rPr>
        <w:t xml:space="preserve"> </w:t>
      </w:r>
      <w:r w:rsidRPr="00B67CF5" w:rsidR="00B67CF5">
        <w:rPr>
          <w:rFonts w:ascii="Century Schoolbook" w:hAnsi="Century Schoolbook"/>
          <w:i/>
          <w:iCs/>
        </w:rPr>
        <w:t>supra</w:t>
      </w:r>
      <w:r w:rsidR="00B67CF5">
        <w:rPr>
          <w:rFonts w:ascii="Century Schoolbook" w:hAnsi="Century Schoolbook"/>
        </w:rPr>
        <w:t>,</w:t>
      </w:r>
      <w:r w:rsidRPr="00ED2FB0" w:rsidR="00ED2FB0">
        <w:rPr>
          <w:rFonts w:ascii="Century Schoolbook" w:hAnsi="Century Schoolbook"/>
        </w:rPr>
        <w:t xml:space="preserve"> 26 Cal.4th </w:t>
      </w:r>
      <w:r w:rsidR="00B67CF5">
        <w:rPr>
          <w:rFonts w:ascii="Century Schoolbook" w:hAnsi="Century Schoolbook"/>
        </w:rPr>
        <w:t>at p.</w:t>
      </w:r>
      <w:r w:rsidR="00744E1A">
        <w:rPr>
          <w:rFonts w:ascii="Century Schoolbook" w:hAnsi="Century Schoolbook"/>
        </w:rPr>
        <w:t> </w:t>
      </w:r>
      <w:r w:rsidRPr="00ED2FB0" w:rsidR="00ED2FB0">
        <w:rPr>
          <w:rFonts w:ascii="Century Schoolbook" w:hAnsi="Century Schoolbook"/>
        </w:rPr>
        <w:t>743</w:t>
      </w:r>
      <w:r w:rsidR="00ED2FB0">
        <w:rPr>
          <w:rFonts w:ascii="Century Schoolbook" w:hAnsi="Century Schoolbook"/>
        </w:rPr>
        <w:t>.</w:t>
      </w:r>
      <w:r w:rsidRPr="00ED2FB0" w:rsidR="00ED2FB0">
        <w:rPr>
          <w:rFonts w:ascii="Century Schoolbook" w:hAnsi="Century Schoolbook"/>
        </w:rPr>
        <w:t>)</w:t>
      </w:r>
      <w:r w:rsidR="00350B3C">
        <w:rPr>
          <w:rFonts w:ascii="Century Schoolbook" w:hAnsi="Century Schoolbook"/>
        </w:rPr>
        <w:t xml:space="preserve">  This rule is inapplicable here.  The question is </w:t>
      </w:r>
      <w:r w:rsidR="00911E98">
        <w:rPr>
          <w:rFonts w:ascii="Century Schoolbook" w:hAnsi="Century Schoolbook"/>
        </w:rPr>
        <w:t>how</w:t>
      </w:r>
      <w:r w:rsidR="00350B3C">
        <w:rPr>
          <w:rFonts w:ascii="Century Schoolbook" w:hAnsi="Century Schoolbook"/>
        </w:rPr>
        <w:t xml:space="preserve"> “prior” modifies words or phrases coming </w:t>
      </w:r>
      <w:r w:rsidRPr="00911E98" w:rsidR="00350B3C">
        <w:rPr>
          <w:rFonts w:ascii="Century Schoolbook" w:hAnsi="Century Schoolbook"/>
          <w:i/>
          <w:iCs/>
        </w:rPr>
        <w:t>after</w:t>
      </w:r>
      <w:r w:rsidR="00350B3C">
        <w:rPr>
          <w:rFonts w:ascii="Century Schoolbook" w:hAnsi="Century Schoolbook"/>
        </w:rPr>
        <w:t xml:space="preserve"> it</w:t>
      </w:r>
      <w:r w:rsidR="00437334">
        <w:rPr>
          <w:rFonts w:ascii="Century Schoolbook" w:hAnsi="Century Schoolbook"/>
        </w:rPr>
        <w:t>.  T</w:t>
      </w:r>
      <w:r w:rsidR="00350B3C">
        <w:rPr>
          <w:rFonts w:ascii="Century Schoolbook" w:hAnsi="Century Schoolbook"/>
        </w:rPr>
        <w:t xml:space="preserve">here are no “antecedents” at issue.  </w:t>
      </w:r>
    </w:p>
    <w:p w:rsidR="007609ED" w:rsidP="007609ED" w14:paraId="0CBFFE9A" w14:textId="77777777">
      <w:pPr>
        <w:spacing w:line="360" w:lineRule="auto"/>
        <w:rPr>
          <w:rFonts w:ascii="Century Schoolbook" w:hAnsi="Century Schoolbook"/>
        </w:rPr>
      </w:pPr>
      <w:r>
        <w:rPr>
          <w:rFonts w:ascii="Century Schoolbook" w:hAnsi="Century Schoolbook"/>
        </w:rPr>
        <w:tab/>
      </w:r>
      <w:r w:rsidR="00720760">
        <w:rPr>
          <w:rFonts w:ascii="Century Schoolbook" w:hAnsi="Century Schoolbook"/>
        </w:rPr>
        <w:t xml:space="preserve">Instead, we apply </w:t>
      </w:r>
      <w:r w:rsidR="00AF0292">
        <w:rPr>
          <w:rFonts w:ascii="Century Schoolbook" w:hAnsi="Century Schoolbook"/>
        </w:rPr>
        <w:t>the following rule</w:t>
      </w:r>
      <w:r w:rsidR="00720760">
        <w:rPr>
          <w:rFonts w:ascii="Century Schoolbook" w:hAnsi="Century Schoolbook"/>
        </w:rPr>
        <w:t xml:space="preserve">:  </w:t>
      </w:r>
      <w:r w:rsidRPr="00720760" w:rsidR="00720760">
        <w:rPr>
          <w:rFonts w:ascii="Century Schoolbook" w:hAnsi="Century Schoolbook"/>
        </w:rPr>
        <w:t xml:space="preserve">“Most readers expect the first adjective in a series of nouns or phrases to modify each noun or phrase in the following series unless another adjective appears. </w:t>
      </w:r>
      <w:r w:rsidR="00720760">
        <w:rPr>
          <w:rFonts w:ascii="Century Schoolbook" w:hAnsi="Century Schoolbook"/>
        </w:rPr>
        <w:t xml:space="preserve"> </w:t>
      </w:r>
      <w:r w:rsidRPr="00720760" w:rsidR="00720760">
        <w:rPr>
          <w:rFonts w:ascii="Century Schoolbook" w:hAnsi="Century Schoolbook"/>
        </w:rPr>
        <w:t xml:space="preserve">For example, if a writer were to say, ‘The orphanage relies on donors in the community to supply the children with used shirts, pants, dresses, and shoes,’ the reader expects the adjective ‘used’ to modify each element in the series of nouns, ‘shirts,’ ‘pants,’ ‘dresses,’ and ‘shoes.’ </w:t>
      </w:r>
      <w:r w:rsidR="00720760">
        <w:rPr>
          <w:rFonts w:ascii="Century Schoolbook" w:hAnsi="Century Schoolbook"/>
        </w:rPr>
        <w:t xml:space="preserve"> </w:t>
      </w:r>
      <w:r w:rsidRPr="00720760" w:rsidR="00720760">
        <w:rPr>
          <w:rFonts w:ascii="Century Schoolbook" w:hAnsi="Century Schoolbook"/>
        </w:rPr>
        <w:t xml:space="preserve">The reader does not expect the writer to have meant that donors supply ‘used shirts,’ but supply ‘new’ articles of the other types of clothing.” </w:t>
      </w:r>
      <w:r w:rsidR="00AF0292">
        <w:rPr>
          <w:rFonts w:ascii="Century Schoolbook" w:hAnsi="Century Schoolbook"/>
        </w:rPr>
        <w:t xml:space="preserve"> </w:t>
      </w:r>
      <w:r w:rsidRPr="00720760" w:rsidR="00720760">
        <w:rPr>
          <w:rFonts w:ascii="Century Schoolbook" w:hAnsi="Century Schoolbook"/>
        </w:rPr>
        <w:t>(</w:t>
      </w:r>
      <w:r w:rsidRPr="00720760" w:rsidR="00720760">
        <w:rPr>
          <w:rFonts w:ascii="Century Schoolbook" w:hAnsi="Century Schoolbook"/>
          <w:i/>
          <w:iCs/>
        </w:rPr>
        <w:t>Ward General Ins. Services, Inc. v. Employers Fire Ins. Co.</w:t>
      </w:r>
      <w:r w:rsidRPr="00720760" w:rsidR="00720760">
        <w:rPr>
          <w:rFonts w:ascii="Century Schoolbook" w:hAnsi="Century Schoolbook"/>
        </w:rPr>
        <w:t xml:space="preserve"> (2003) 114</w:t>
      </w:r>
      <w:r w:rsidR="004C1B87">
        <w:rPr>
          <w:rFonts w:ascii="Century Schoolbook" w:hAnsi="Century Schoolbook"/>
        </w:rPr>
        <w:t> </w:t>
      </w:r>
      <w:r w:rsidRPr="00720760" w:rsidR="00720760">
        <w:rPr>
          <w:rFonts w:ascii="Century Schoolbook" w:hAnsi="Century Schoolbook"/>
        </w:rPr>
        <w:t>Cal.App.4th 548, 554</w:t>
      </w:r>
      <w:r w:rsidR="00720760">
        <w:rPr>
          <w:rFonts w:ascii="Century Schoolbook" w:hAnsi="Century Schoolbook"/>
        </w:rPr>
        <w:t xml:space="preserve">.) </w:t>
      </w:r>
      <w:r w:rsidR="00911E98">
        <w:rPr>
          <w:rFonts w:ascii="Century Schoolbook" w:hAnsi="Century Schoolbook"/>
        </w:rPr>
        <w:t xml:space="preserve"> </w:t>
      </w:r>
      <w:r w:rsidR="0019422C">
        <w:rPr>
          <w:rFonts w:ascii="Century Schoolbook" w:hAnsi="Century Schoolbook"/>
        </w:rPr>
        <w:t xml:space="preserve">So too here.  “Separate and prior” modifies both “investigation” and “incident.”  </w:t>
      </w:r>
      <w:r w:rsidR="000226B2">
        <w:rPr>
          <w:rFonts w:ascii="Century Schoolbook" w:hAnsi="Century Schoolbook"/>
        </w:rPr>
        <w:t xml:space="preserve">Accordingly, no part of the </w:t>
      </w:r>
      <w:r w:rsidR="00304E52">
        <w:rPr>
          <w:rFonts w:ascii="Century Schoolbook" w:hAnsi="Century Schoolbook"/>
        </w:rPr>
        <w:t>Guap report</w:t>
      </w:r>
      <w:r w:rsidR="000226B2">
        <w:rPr>
          <w:rFonts w:ascii="Century Schoolbook" w:hAnsi="Century Schoolbook"/>
        </w:rPr>
        <w:t xml:space="preserve"> is a “</w:t>
      </w:r>
      <w:r w:rsidRPr="009A4883" w:rsidR="000226B2">
        <w:rPr>
          <w:rFonts w:ascii="Century Schoolbook" w:hAnsi="Century Schoolbook"/>
        </w:rPr>
        <w:t>record from a separate and prior investigation</w:t>
      </w:r>
      <w:r w:rsidR="000226B2">
        <w:rPr>
          <w:rFonts w:ascii="Century Schoolbook" w:hAnsi="Century Schoolbook"/>
        </w:rPr>
        <w:t xml:space="preserve"> </w:t>
      </w:r>
      <w:r w:rsidRPr="009A4883" w:rsidR="000226B2">
        <w:rPr>
          <w:rFonts w:ascii="Century Schoolbook" w:hAnsi="Century Schoolbook"/>
        </w:rPr>
        <w:t>or assessment</w:t>
      </w:r>
      <w:r w:rsidR="000226B2">
        <w:rPr>
          <w:rFonts w:ascii="Century Schoolbook" w:hAnsi="Century Schoolbook"/>
        </w:rPr>
        <w:t>,” and redaction is not permitted under</w:t>
      </w:r>
      <w:r w:rsidR="007D69AB">
        <w:rPr>
          <w:rFonts w:ascii="Century Schoolbook" w:hAnsi="Century Schoolbook"/>
        </w:rPr>
        <w:t xml:space="preserve"> section 832.7,</w:t>
      </w:r>
      <w:r w:rsidR="000226B2">
        <w:rPr>
          <w:rFonts w:ascii="Century Schoolbook" w:hAnsi="Century Schoolbook"/>
        </w:rPr>
        <w:t xml:space="preserve"> </w:t>
      </w:r>
      <w:r w:rsidRPr="00231B62" w:rsidR="000226B2">
        <w:rPr>
          <w:rFonts w:ascii="Century Schoolbook" w:hAnsi="Century Schoolbook"/>
        </w:rPr>
        <w:t>subdivision (b)(4).</w:t>
      </w:r>
      <w:r w:rsidR="000226B2">
        <w:rPr>
          <w:rFonts w:ascii="Century Schoolbook" w:hAnsi="Century Schoolbook"/>
        </w:rPr>
        <w:t xml:space="preserve"> </w:t>
      </w:r>
    </w:p>
    <w:p w:rsidR="007609ED" w:rsidP="007609ED" w14:paraId="0AF4B61E" w14:textId="77777777">
      <w:pPr>
        <w:spacing w:after="120" w:line="240" w:lineRule="auto"/>
        <w:rPr>
          <w:rFonts w:ascii="Century Schoolbook" w:hAnsi="Century Schoolbook"/>
          <w:b/>
          <w:bCs/>
        </w:rPr>
      </w:pPr>
      <w:r>
        <w:rPr>
          <w:rFonts w:ascii="Century Schoolbook" w:hAnsi="Century Schoolbook"/>
        </w:rPr>
        <w:tab/>
      </w:r>
      <w:r w:rsidRPr="00231B62" w:rsidR="0060142E">
        <w:rPr>
          <w:rFonts w:ascii="Century Schoolbook" w:hAnsi="Century Schoolbook"/>
          <w:b/>
          <w:bCs/>
        </w:rPr>
        <w:t xml:space="preserve">Officer Names </w:t>
      </w:r>
      <w:r w:rsidRPr="00231B62" w:rsidR="003B5B14">
        <w:rPr>
          <w:rFonts w:ascii="Century Schoolbook" w:hAnsi="Century Schoolbook"/>
          <w:b/>
          <w:bCs/>
        </w:rPr>
        <w:t>Were Improperly</w:t>
      </w:r>
      <w:r w:rsidRPr="00231B62" w:rsidR="0060142E">
        <w:rPr>
          <w:rFonts w:ascii="Century Schoolbook" w:hAnsi="Century Schoolbook"/>
          <w:b/>
          <w:bCs/>
        </w:rPr>
        <w:t xml:space="preserve"> Redacted Under </w:t>
      </w:r>
      <w:r w:rsidR="00594174">
        <w:rPr>
          <w:rFonts w:ascii="Century Schoolbook" w:hAnsi="Century Schoolbook"/>
          <w:b/>
          <w:bCs/>
        </w:rPr>
        <w:t xml:space="preserve">Section 832.7, </w:t>
      </w:r>
      <w:r w:rsidRPr="00231B62" w:rsidR="0060142E">
        <w:rPr>
          <w:rFonts w:ascii="Century Schoolbook" w:hAnsi="Century Schoolbook"/>
          <w:b/>
          <w:bCs/>
        </w:rPr>
        <w:t>Subdivision (b)(6)</w:t>
      </w:r>
      <w:r w:rsidRPr="00231B62" w:rsidR="0021362E">
        <w:rPr>
          <w:rFonts w:ascii="Century Schoolbook" w:hAnsi="Century Schoolbook"/>
          <w:b/>
          <w:bCs/>
        </w:rPr>
        <w:t>(B)</w:t>
      </w:r>
    </w:p>
    <w:p w:rsidR="007A1662" w:rsidP="007A1662" w14:paraId="69366ADB" w14:textId="77777777">
      <w:pPr>
        <w:spacing w:line="360" w:lineRule="auto"/>
        <w:rPr>
          <w:rFonts w:ascii="Century Schoolbook" w:hAnsi="Century Schoolbook"/>
        </w:rPr>
      </w:pPr>
      <w:r>
        <w:rPr>
          <w:rFonts w:ascii="Century Schoolbook" w:hAnsi="Century Schoolbook"/>
        </w:rPr>
        <w:tab/>
      </w:r>
      <w:r w:rsidR="00DE0597">
        <w:rPr>
          <w:rFonts w:ascii="Century Schoolbook" w:hAnsi="Century Schoolbook"/>
        </w:rPr>
        <w:t xml:space="preserve">Petitioners next argue that the trial court improperly </w:t>
      </w:r>
      <w:r w:rsidR="006B7B94">
        <w:rPr>
          <w:rFonts w:ascii="Century Schoolbook" w:hAnsi="Century Schoolbook"/>
        </w:rPr>
        <w:t>allowed</w:t>
      </w:r>
      <w:r w:rsidR="00DE0597">
        <w:rPr>
          <w:rFonts w:ascii="Century Schoolbook" w:hAnsi="Century Schoolbook"/>
        </w:rPr>
        <w:t xml:space="preserve"> Oakland to </w:t>
      </w:r>
      <w:r w:rsidR="00957522">
        <w:rPr>
          <w:rFonts w:ascii="Century Schoolbook" w:hAnsi="Century Schoolbook"/>
        </w:rPr>
        <w:t xml:space="preserve">redact the names </w:t>
      </w:r>
      <w:r w:rsidR="00DE0597">
        <w:rPr>
          <w:rFonts w:ascii="Century Schoolbook" w:hAnsi="Century Schoolbook"/>
        </w:rPr>
        <w:t xml:space="preserve">of officers </w:t>
      </w:r>
      <w:r w:rsidR="00957522">
        <w:rPr>
          <w:rFonts w:ascii="Century Schoolbook" w:hAnsi="Century Schoolbook"/>
        </w:rPr>
        <w:t>as “witnesses”</w:t>
      </w:r>
      <w:r w:rsidR="00DE0597">
        <w:rPr>
          <w:rFonts w:ascii="Century Schoolbook" w:hAnsi="Century Schoolbook"/>
        </w:rPr>
        <w:t xml:space="preserve"> under </w:t>
      </w:r>
      <w:r w:rsidR="00957522">
        <w:rPr>
          <w:rFonts w:ascii="Century Schoolbook" w:hAnsi="Century Schoolbook"/>
        </w:rPr>
        <w:t xml:space="preserve">section 837.2, </w:t>
      </w:r>
      <w:r w:rsidR="00DE0597">
        <w:rPr>
          <w:rFonts w:ascii="Century Schoolbook" w:hAnsi="Century Schoolbook"/>
        </w:rPr>
        <w:t>subdivision (b)(6</w:t>
      </w:r>
      <w:r w:rsidR="00E43AFF">
        <w:rPr>
          <w:rFonts w:ascii="Century Schoolbook" w:hAnsi="Century Schoolbook"/>
        </w:rPr>
        <w:t>)(B)</w:t>
      </w:r>
      <w:r w:rsidR="003B5B14">
        <w:rPr>
          <w:rFonts w:ascii="Century Schoolbook" w:hAnsi="Century Schoolbook"/>
        </w:rPr>
        <w:t>, which provides that an agency “</w:t>
      </w:r>
      <w:r w:rsidRPr="00D37B33" w:rsidR="003B5B14">
        <w:rPr>
          <w:rFonts w:ascii="Century Schoolbook" w:hAnsi="Century Schoolbook"/>
        </w:rPr>
        <w:t>shall redact a record disclosed pursuant to this section</w:t>
      </w:r>
      <w:r w:rsidR="003B5B14">
        <w:rPr>
          <w:rFonts w:ascii="Century Schoolbook" w:hAnsi="Century Schoolbook"/>
        </w:rPr>
        <w:t>”</w:t>
      </w:r>
      <w:r w:rsidR="00E43AFF">
        <w:rPr>
          <w:rFonts w:ascii="Century Schoolbook" w:hAnsi="Century Schoolbook"/>
        </w:rPr>
        <w:t xml:space="preserve"> in order to “</w:t>
      </w:r>
      <w:r w:rsidRPr="00D37B33" w:rsidR="00E43AFF">
        <w:rPr>
          <w:rFonts w:ascii="Century Schoolbook" w:hAnsi="Century Schoolbook"/>
        </w:rPr>
        <w:t xml:space="preserve">preserve the anonymity of </w:t>
      </w:r>
      <w:r w:rsidR="004C1B87">
        <w:rPr>
          <w:rFonts w:ascii="Century Schoolbook" w:hAnsi="Century Schoolbook"/>
        </w:rPr>
        <w:t>. . .</w:t>
      </w:r>
      <w:r w:rsidRPr="00D37B33" w:rsidR="00E43AFF">
        <w:rPr>
          <w:rFonts w:ascii="Century Schoolbook" w:hAnsi="Century Schoolbook"/>
        </w:rPr>
        <w:t xml:space="preserve"> witnesses.</w:t>
      </w:r>
      <w:r w:rsidR="00E43AFF">
        <w:rPr>
          <w:rFonts w:ascii="Century Schoolbook" w:hAnsi="Century Schoolbook"/>
        </w:rPr>
        <w:t>”</w:t>
      </w:r>
    </w:p>
    <w:p w:rsidR="003B5B14" w:rsidP="007A1662" w14:paraId="4824D8FE" w14:textId="74187466">
      <w:pPr>
        <w:spacing w:line="360" w:lineRule="auto"/>
        <w:rPr>
          <w:rFonts w:ascii="Century Schoolbook" w:hAnsi="Century Schoolbook"/>
        </w:rPr>
      </w:pPr>
      <w:r>
        <w:rPr>
          <w:rFonts w:ascii="Century Schoolbook" w:hAnsi="Century Schoolbook"/>
        </w:rPr>
        <w:tab/>
        <w:t>The parties dispute whether officers who are witnesses to potential misconduct can have their names or other identifying information redacted under subdivision (b)(6)(B)</w:t>
      </w:r>
      <w:r w:rsidR="00E43AFF">
        <w:rPr>
          <w:rFonts w:ascii="Century Schoolbook" w:hAnsi="Century Schoolbook"/>
        </w:rPr>
        <w:t>.</w:t>
      </w:r>
      <w:r>
        <w:rPr>
          <w:rFonts w:ascii="Century Schoolbook" w:hAnsi="Century Schoolbook"/>
        </w:rPr>
        <w:t xml:space="preserve">  Petitioners argue that they cannot, relying on </w:t>
      </w:r>
      <w:r w:rsidRPr="00C263CD">
        <w:rPr>
          <w:rFonts w:ascii="Century Schoolbook" w:hAnsi="Century Schoolbook"/>
          <w:i/>
          <w:iCs/>
        </w:rPr>
        <w:t>Long Beach Police Officers Assn</w:t>
      </w:r>
      <w:r w:rsidR="001732FD">
        <w:rPr>
          <w:rFonts w:ascii="Century Schoolbook" w:hAnsi="Century Schoolbook"/>
          <w:i/>
          <w:iCs/>
        </w:rPr>
        <w:t> </w:t>
      </w:r>
      <w:r w:rsidRPr="00C263CD">
        <w:rPr>
          <w:rFonts w:ascii="Century Schoolbook" w:hAnsi="Century Schoolbook"/>
          <w:i/>
          <w:iCs/>
        </w:rPr>
        <w:t>v. City of Long Beach</w:t>
      </w:r>
      <w:r w:rsidRPr="00C263CD">
        <w:rPr>
          <w:rFonts w:ascii="Century Schoolbook" w:hAnsi="Century Schoolbook"/>
        </w:rPr>
        <w:t xml:space="preserve"> (2014) 59</w:t>
      </w:r>
      <w:r w:rsidR="00951279">
        <w:rPr>
          <w:rFonts w:ascii="Century Schoolbook" w:hAnsi="Century Schoolbook"/>
        </w:rPr>
        <w:t> </w:t>
      </w:r>
      <w:r w:rsidRPr="00C263CD">
        <w:rPr>
          <w:rFonts w:ascii="Century Schoolbook" w:hAnsi="Century Schoolbook"/>
        </w:rPr>
        <w:t>Cal.4th 59</w:t>
      </w:r>
      <w:r>
        <w:rPr>
          <w:rFonts w:ascii="Century Schoolbook" w:hAnsi="Century Schoolbook"/>
        </w:rPr>
        <w:t xml:space="preserve"> (</w:t>
      </w:r>
      <w:r w:rsidRPr="007A0E79">
        <w:rPr>
          <w:rFonts w:ascii="Century Schoolbook" w:hAnsi="Century Schoolbook"/>
          <w:i/>
          <w:iCs/>
        </w:rPr>
        <w:t>Long Beach</w:t>
      </w:r>
      <w:r>
        <w:rPr>
          <w:rFonts w:ascii="Century Schoolbook" w:hAnsi="Century Schoolbook"/>
        </w:rPr>
        <w:t xml:space="preserve">), which held that disclosure of the names of officers involved in a shooting was not prohibited under </w:t>
      </w:r>
      <w:r w:rsidR="0021362E">
        <w:rPr>
          <w:rFonts w:ascii="Century Schoolbook" w:hAnsi="Century Schoolbook"/>
        </w:rPr>
        <w:t xml:space="preserve">former </w:t>
      </w:r>
      <w:r w:rsidRPr="00D05A9D">
        <w:rPr>
          <w:rFonts w:ascii="Century Schoolbook" w:hAnsi="Century Schoolbook"/>
        </w:rPr>
        <w:t>Government Code section 6254</w:t>
      </w:r>
      <w:r>
        <w:rPr>
          <w:rFonts w:ascii="Century Schoolbook" w:hAnsi="Century Schoolbook"/>
        </w:rPr>
        <w:t>,</w:t>
      </w:r>
      <w:r w:rsidRPr="00D05A9D">
        <w:rPr>
          <w:rFonts w:ascii="Century Schoolbook" w:hAnsi="Century Schoolbook"/>
        </w:rPr>
        <w:t xml:space="preserve"> subdivision (c)</w:t>
      </w:r>
      <w:r w:rsidR="00594174">
        <w:rPr>
          <w:rFonts w:ascii="Century Schoolbook" w:hAnsi="Century Schoolbook"/>
        </w:rPr>
        <w:t xml:space="preserve">, </w:t>
      </w:r>
      <w:r>
        <w:rPr>
          <w:rFonts w:ascii="Century Schoolbook" w:hAnsi="Century Schoolbook"/>
        </w:rPr>
        <w:t xml:space="preserve">which </w:t>
      </w:r>
      <w:r w:rsidRPr="00D05A9D">
        <w:rPr>
          <w:rFonts w:ascii="Century Schoolbook" w:hAnsi="Century Schoolbook"/>
        </w:rPr>
        <w:t>exempt</w:t>
      </w:r>
      <w:r>
        <w:rPr>
          <w:rFonts w:ascii="Century Schoolbook" w:hAnsi="Century Schoolbook"/>
        </w:rPr>
        <w:t>ed</w:t>
      </w:r>
      <w:r w:rsidRPr="00D05A9D">
        <w:rPr>
          <w:rFonts w:ascii="Century Schoolbook" w:hAnsi="Century Schoolbook"/>
        </w:rPr>
        <w:t xml:space="preserve"> from disclosure “</w:t>
      </w:r>
      <w:r w:rsidR="001732FD">
        <w:rPr>
          <w:rFonts w:ascii="Century Schoolbook" w:hAnsi="Century Schoolbook"/>
        </w:rPr>
        <w:t> ‘</w:t>
      </w:r>
      <w:r w:rsidRPr="00D05A9D">
        <w:rPr>
          <w:rFonts w:ascii="Century Schoolbook" w:hAnsi="Century Schoolbook"/>
        </w:rPr>
        <w:t>[p]ersonnel</w:t>
      </w:r>
      <w:r w:rsidR="000516AD">
        <w:rPr>
          <w:rFonts w:ascii="Century Schoolbook" w:hAnsi="Century Schoolbook"/>
        </w:rPr>
        <w:t> </w:t>
      </w:r>
      <w:r>
        <w:rPr>
          <w:rFonts w:ascii="Century Schoolbook" w:hAnsi="Century Schoolbook"/>
        </w:rPr>
        <w:t>.</w:t>
      </w:r>
      <w:r w:rsidR="000516AD">
        <w:rPr>
          <w:rFonts w:ascii="Century Schoolbook" w:hAnsi="Century Schoolbook"/>
        </w:rPr>
        <w:t> </w:t>
      </w:r>
      <w:r>
        <w:rPr>
          <w:rFonts w:ascii="Century Schoolbook" w:hAnsi="Century Schoolbook"/>
        </w:rPr>
        <w:t>.</w:t>
      </w:r>
      <w:r w:rsidR="000516AD">
        <w:rPr>
          <w:rFonts w:ascii="Century Schoolbook" w:hAnsi="Century Schoolbook"/>
        </w:rPr>
        <w:t> </w:t>
      </w:r>
      <w:r>
        <w:rPr>
          <w:rFonts w:ascii="Century Schoolbook" w:hAnsi="Century Schoolbook"/>
        </w:rPr>
        <w:t>.</w:t>
      </w:r>
      <w:r w:rsidRPr="00D05A9D">
        <w:rPr>
          <w:rFonts w:ascii="Century Schoolbook" w:hAnsi="Century Schoolbook"/>
        </w:rPr>
        <w:t xml:space="preserve"> or similar files</w:t>
      </w:r>
      <w:r w:rsidR="007A092A">
        <w:rPr>
          <w:rFonts w:ascii="Century Schoolbook" w:hAnsi="Century Schoolbook"/>
        </w:rPr>
        <w:t>’ </w:t>
      </w:r>
      <w:r w:rsidRPr="00D05A9D">
        <w:rPr>
          <w:rFonts w:ascii="Century Schoolbook" w:hAnsi="Century Schoolbook"/>
        </w:rPr>
        <w:t>” if disclosure “</w:t>
      </w:r>
      <w:r w:rsidR="007A092A">
        <w:rPr>
          <w:rFonts w:ascii="Century Schoolbook" w:hAnsi="Century Schoolbook"/>
        </w:rPr>
        <w:t> ‘</w:t>
      </w:r>
      <w:r w:rsidRPr="00D05A9D">
        <w:rPr>
          <w:rFonts w:ascii="Century Schoolbook" w:hAnsi="Century Schoolbook"/>
        </w:rPr>
        <w:t>would constitute an unwarranted invasion of personal privacy</w:t>
      </w:r>
      <w:r w:rsidR="005F75F7">
        <w:rPr>
          <w:rFonts w:ascii="Century Schoolbook" w:hAnsi="Century Schoolbook"/>
        </w:rPr>
        <w:t>.</w:t>
      </w:r>
      <w:r w:rsidR="007A092A">
        <w:rPr>
          <w:rFonts w:ascii="Century Schoolbook" w:hAnsi="Century Schoolbook"/>
        </w:rPr>
        <w:t>’ </w:t>
      </w:r>
      <w:r>
        <w:rPr>
          <w:rFonts w:ascii="Century Schoolbook" w:hAnsi="Century Schoolbook"/>
        </w:rPr>
        <w:t>”</w:t>
      </w:r>
      <w:r w:rsidR="005F75F7">
        <w:rPr>
          <w:rFonts w:ascii="Century Schoolbook" w:hAnsi="Century Schoolbook"/>
        </w:rPr>
        <w:t xml:space="preserve">  And</w:t>
      </w:r>
      <w:r w:rsidR="00E43049">
        <w:rPr>
          <w:rFonts w:ascii="Century Schoolbook" w:hAnsi="Century Schoolbook"/>
        </w:rPr>
        <w:t>,</w:t>
      </w:r>
      <w:r w:rsidR="005F75F7">
        <w:rPr>
          <w:rFonts w:ascii="Century Schoolbook" w:hAnsi="Century Schoolbook"/>
        </w:rPr>
        <w:t xml:space="preserve"> the court went </w:t>
      </w:r>
      <w:r>
        <w:rPr>
          <w:rFonts w:ascii="Century Schoolbook" w:hAnsi="Century Schoolbook"/>
        </w:rPr>
        <w:t>on to observe</w:t>
      </w:r>
      <w:r w:rsidR="005F75F7">
        <w:rPr>
          <w:rFonts w:ascii="Century Schoolbook" w:hAnsi="Century Schoolbook"/>
        </w:rPr>
        <w:t>,</w:t>
      </w:r>
      <w:r>
        <w:rPr>
          <w:rFonts w:ascii="Century Schoolbook" w:hAnsi="Century Schoolbook"/>
        </w:rPr>
        <w:t xml:space="preserve"> “</w:t>
      </w:r>
      <w:r w:rsidRPr="00D05A9D">
        <w:rPr>
          <w:rFonts w:ascii="Century Schoolbook" w:hAnsi="Century Schoolbook"/>
        </w:rPr>
        <w:t>when it comes to the disclosure of a peace officer</w:t>
      </w:r>
      <w:r>
        <w:rPr>
          <w:rFonts w:ascii="Century Schoolbook" w:hAnsi="Century Schoolbook"/>
        </w:rPr>
        <w:t>’</w:t>
      </w:r>
      <w:r w:rsidRPr="00D05A9D">
        <w:rPr>
          <w:rFonts w:ascii="Century Schoolbook" w:hAnsi="Century Schoolbook"/>
        </w:rPr>
        <w:t>s name, the public</w:t>
      </w:r>
      <w:r>
        <w:rPr>
          <w:rFonts w:ascii="Century Schoolbook" w:hAnsi="Century Schoolbook"/>
        </w:rPr>
        <w:t>’</w:t>
      </w:r>
      <w:r w:rsidRPr="00D05A9D">
        <w:rPr>
          <w:rFonts w:ascii="Century Schoolbook" w:hAnsi="Century Schoolbook"/>
        </w:rPr>
        <w:t>s substantial interest in the conduct of its peace officers outweighs, in most cases, the officer</w:t>
      </w:r>
      <w:r>
        <w:rPr>
          <w:rFonts w:ascii="Century Schoolbook" w:hAnsi="Century Schoolbook"/>
        </w:rPr>
        <w:t>’</w:t>
      </w:r>
      <w:r w:rsidRPr="00D05A9D">
        <w:rPr>
          <w:rFonts w:ascii="Century Schoolbook" w:hAnsi="Century Schoolbook"/>
        </w:rPr>
        <w:t>s personal privacy interest.</w:t>
      </w:r>
      <w:r>
        <w:rPr>
          <w:rFonts w:ascii="Century Schoolbook" w:hAnsi="Century Schoolbook"/>
        </w:rPr>
        <w:t>”  (</w:t>
      </w:r>
      <w:r w:rsidRPr="00173A3F">
        <w:rPr>
          <w:rFonts w:ascii="Century Schoolbook" w:hAnsi="Century Schoolbook"/>
          <w:i/>
          <w:iCs/>
        </w:rPr>
        <w:t>Long Beach</w:t>
      </w:r>
      <w:r>
        <w:rPr>
          <w:rFonts w:ascii="Century Schoolbook" w:hAnsi="Century Schoolbook"/>
        </w:rPr>
        <w:t xml:space="preserve">, </w:t>
      </w:r>
      <w:r w:rsidRPr="00173A3F">
        <w:rPr>
          <w:rFonts w:ascii="Century Schoolbook" w:hAnsi="Century Schoolbook"/>
          <w:i/>
          <w:iCs/>
        </w:rPr>
        <w:t>supra</w:t>
      </w:r>
      <w:r>
        <w:rPr>
          <w:rFonts w:ascii="Century Schoolbook" w:hAnsi="Century Schoolbook"/>
        </w:rPr>
        <w:t>, 59</w:t>
      </w:r>
      <w:r w:rsidR="005F75F7">
        <w:rPr>
          <w:rFonts w:ascii="Century Schoolbook" w:hAnsi="Century Schoolbook"/>
        </w:rPr>
        <w:t> </w:t>
      </w:r>
      <w:r>
        <w:rPr>
          <w:rFonts w:ascii="Century Schoolbook" w:hAnsi="Century Schoolbook"/>
        </w:rPr>
        <w:t>Cal.4th at p.</w:t>
      </w:r>
      <w:r w:rsidR="004C1B87">
        <w:rPr>
          <w:rFonts w:ascii="Century Schoolbook" w:hAnsi="Century Schoolbook"/>
        </w:rPr>
        <w:t> </w:t>
      </w:r>
      <w:r>
        <w:rPr>
          <w:rFonts w:ascii="Century Schoolbook" w:hAnsi="Century Schoolbook"/>
        </w:rPr>
        <w:t>73</w:t>
      </w:r>
      <w:r w:rsidR="00BA59A8">
        <w:rPr>
          <w:rFonts w:ascii="Century Schoolbook" w:hAnsi="Century Schoolbook"/>
        </w:rPr>
        <w:t>.</w:t>
      </w:r>
      <w:r>
        <w:rPr>
          <w:rFonts w:ascii="Century Schoolbook" w:hAnsi="Century Schoolbook"/>
        </w:rPr>
        <w:t xml:space="preserve">)  </w:t>
      </w:r>
      <w:r w:rsidR="00BA59A8">
        <w:rPr>
          <w:rFonts w:ascii="Century Schoolbook" w:hAnsi="Century Schoolbook"/>
        </w:rPr>
        <w:t xml:space="preserve">Petitioners also rely on </w:t>
      </w:r>
      <w:r w:rsidR="005F75F7">
        <w:rPr>
          <w:rFonts w:ascii="Century Schoolbook" w:hAnsi="Century Schoolbook"/>
        </w:rPr>
        <w:t xml:space="preserve">section 832.7, </w:t>
      </w:r>
      <w:r w:rsidRPr="00231B62" w:rsidR="00BA59A8">
        <w:rPr>
          <w:rFonts w:ascii="Century Schoolbook" w:hAnsi="Century Schoolbook"/>
        </w:rPr>
        <w:t>subdivision (b)(6)(A),</w:t>
      </w:r>
      <w:r w:rsidR="00BA59A8">
        <w:rPr>
          <w:rFonts w:ascii="Century Schoolbook" w:hAnsi="Century Schoolbook"/>
        </w:rPr>
        <w:t xml:space="preserve"> which allows the redaction of personal data “</w:t>
      </w:r>
      <w:r w:rsidRPr="00D37B33" w:rsidR="00BA59A8">
        <w:rPr>
          <w:rFonts w:ascii="Century Schoolbook" w:hAnsi="Century Schoolbook"/>
        </w:rPr>
        <w:t>other than the names and work-related information of peace and custodial officers</w:t>
      </w:r>
      <w:r w:rsidR="000B7642">
        <w:rPr>
          <w:rFonts w:ascii="Century Schoolbook" w:hAnsi="Century Schoolbook"/>
        </w:rPr>
        <w:t>,” and on</w:t>
      </w:r>
      <w:r w:rsidR="00BA59A8">
        <w:rPr>
          <w:rFonts w:ascii="Century Schoolbook" w:hAnsi="Century Schoolbook"/>
        </w:rPr>
        <w:t xml:space="preserve"> </w:t>
      </w:r>
      <w:r w:rsidRPr="00231B62">
        <w:rPr>
          <w:rFonts w:ascii="Century Schoolbook" w:hAnsi="Century Schoolbook"/>
        </w:rPr>
        <w:t>subdivision (i),</w:t>
      </w:r>
      <w:r w:rsidRPr="00C263CD">
        <w:rPr>
          <w:rFonts w:ascii="Century Schoolbook" w:hAnsi="Century Schoolbook"/>
        </w:rPr>
        <w:t xml:space="preserve"> </w:t>
      </w:r>
      <w:r w:rsidR="000B7642">
        <w:rPr>
          <w:rFonts w:ascii="Century Schoolbook" w:hAnsi="Century Schoolbook"/>
        </w:rPr>
        <w:t xml:space="preserve">which </w:t>
      </w:r>
      <w:r>
        <w:rPr>
          <w:rFonts w:ascii="Century Schoolbook" w:hAnsi="Century Schoolbook"/>
        </w:rPr>
        <w:t xml:space="preserve">expressly </w:t>
      </w:r>
      <w:r w:rsidR="000B7642">
        <w:rPr>
          <w:rFonts w:ascii="Century Schoolbook" w:hAnsi="Century Schoolbook"/>
        </w:rPr>
        <w:t xml:space="preserve">endorses </w:t>
      </w:r>
      <w:r w:rsidR="0031557C">
        <w:rPr>
          <w:rFonts w:ascii="Century Schoolbook" w:hAnsi="Century Schoolbook"/>
        </w:rPr>
        <w:t xml:space="preserve">the result in </w:t>
      </w:r>
      <w:r w:rsidR="000B7642">
        <w:rPr>
          <w:rFonts w:ascii="Century Schoolbook" w:hAnsi="Century Schoolbook"/>
          <w:i/>
          <w:iCs/>
        </w:rPr>
        <w:t xml:space="preserve">Long </w:t>
      </w:r>
      <w:r w:rsidRPr="000B7642" w:rsidR="000B7642">
        <w:rPr>
          <w:rFonts w:ascii="Century Schoolbook" w:hAnsi="Century Schoolbook"/>
          <w:i/>
          <w:iCs/>
        </w:rPr>
        <w:t>Beach</w:t>
      </w:r>
      <w:r w:rsidR="000B7642">
        <w:rPr>
          <w:rFonts w:ascii="Century Schoolbook" w:hAnsi="Century Schoolbook"/>
        </w:rPr>
        <w:t>.  (See §</w:t>
      </w:r>
      <w:r w:rsidR="000C49C9">
        <w:rPr>
          <w:rFonts w:ascii="Century Schoolbook" w:hAnsi="Century Schoolbook"/>
        </w:rPr>
        <w:t> </w:t>
      </w:r>
      <w:r w:rsidRPr="00C263CD" w:rsidR="000B7642">
        <w:rPr>
          <w:rFonts w:ascii="Century Schoolbook" w:hAnsi="Century Schoolbook"/>
        </w:rPr>
        <w:t>832.7</w:t>
      </w:r>
      <w:r w:rsidR="000B7642">
        <w:rPr>
          <w:rFonts w:ascii="Century Schoolbook" w:hAnsi="Century Schoolbook"/>
        </w:rPr>
        <w:t xml:space="preserve">, subd. </w:t>
      </w:r>
      <w:r w:rsidRPr="00C263CD" w:rsidR="000B7642">
        <w:rPr>
          <w:rFonts w:ascii="Century Schoolbook" w:hAnsi="Century Schoolbook"/>
        </w:rPr>
        <w:t>(i)</w:t>
      </w:r>
      <w:r w:rsidR="000B7642">
        <w:rPr>
          <w:rFonts w:ascii="Century Schoolbook" w:hAnsi="Century Schoolbook"/>
        </w:rPr>
        <w:t xml:space="preserve"> [</w:t>
      </w:r>
      <w:r w:rsidRPr="00C263CD">
        <w:rPr>
          <w:rFonts w:ascii="Century Schoolbook" w:hAnsi="Century Schoolbook"/>
        </w:rPr>
        <w:t>“</w:t>
      </w:r>
      <w:r w:rsidR="000B7642">
        <w:rPr>
          <w:rFonts w:ascii="Century Schoolbook" w:hAnsi="Century Schoolbook"/>
        </w:rPr>
        <w:t>N</w:t>
      </w:r>
      <w:r w:rsidRPr="00C263CD">
        <w:rPr>
          <w:rFonts w:ascii="Century Schoolbook" w:hAnsi="Century Schoolbook"/>
        </w:rPr>
        <w:t>othing in this chapter is intended to limit the</w:t>
      </w:r>
      <w:r>
        <w:rPr>
          <w:rFonts w:ascii="Century Schoolbook" w:hAnsi="Century Schoolbook"/>
        </w:rPr>
        <w:t xml:space="preserve"> </w:t>
      </w:r>
      <w:r w:rsidRPr="00C263CD">
        <w:rPr>
          <w:rFonts w:ascii="Century Schoolbook" w:hAnsi="Century Schoolbook"/>
        </w:rPr>
        <w:t xml:space="preserve">public’s right of access as provided for in </w:t>
      </w:r>
      <w:r w:rsidRPr="00C263CD">
        <w:rPr>
          <w:rFonts w:ascii="Century Schoolbook" w:hAnsi="Century Schoolbook"/>
          <w:i/>
          <w:iCs/>
        </w:rPr>
        <w:t>Long Beach Police Officers Association v. City of Long Beach</w:t>
      </w:r>
      <w:r w:rsidRPr="00C263CD">
        <w:rPr>
          <w:rFonts w:ascii="Century Schoolbook" w:hAnsi="Century Schoolbook"/>
        </w:rPr>
        <w:t xml:space="preserve"> (2014) 59</w:t>
      </w:r>
      <w:r w:rsidR="000516AD">
        <w:rPr>
          <w:rFonts w:ascii="Century Schoolbook" w:hAnsi="Century Schoolbook"/>
        </w:rPr>
        <w:t> </w:t>
      </w:r>
      <w:r w:rsidRPr="00C263CD">
        <w:rPr>
          <w:rFonts w:ascii="Century Schoolbook" w:hAnsi="Century Schoolbook"/>
        </w:rPr>
        <w:t>Cal.4th 59”</w:t>
      </w:r>
      <w:r w:rsidR="000B7642">
        <w:rPr>
          <w:rFonts w:ascii="Century Schoolbook" w:hAnsi="Century Schoolbook"/>
        </w:rPr>
        <w:t>].</w:t>
      </w:r>
      <w:r w:rsidRPr="00C263CD">
        <w:rPr>
          <w:rFonts w:ascii="Century Schoolbook" w:hAnsi="Century Schoolbook"/>
        </w:rPr>
        <w:t>)</w:t>
      </w:r>
      <w:r>
        <w:rPr>
          <w:rFonts w:ascii="Century Schoolbook" w:hAnsi="Century Schoolbook"/>
        </w:rPr>
        <w:t xml:space="preserve">  </w:t>
      </w:r>
    </w:p>
    <w:p w:rsidR="007A1662" w:rsidP="007A1662" w14:paraId="20A0EB84" w14:textId="77777777">
      <w:pPr>
        <w:spacing w:line="360" w:lineRule="auto"/>
        <w:rPr>
          <w:rFonts w:ascii="Century Schoolbook" w:hAnsi="Century Schoolbook"/>
        </w:rPr>
      </w:pPr>
      <w:r>
        <w:rPr>
          <w:rFonts w:ascii="Century Schoolbook" w:hAnsi="Century Schoolbook"/>
        </w:rPr>
        <w:tab/>
      </w:r>
      <w:r w:rsidR="00173A3F">
        <w:rPr>
          <w:rFonts w:ascii="Century Schoolbook" w:hAnsi="Century Schoolbook"/>
        </w:rPr>
        <w:t>Oakland</w:t>
      </w:r>
      <w:r w:rsidR="0031557C">
        <w:rPr>
          <w:rFonts w:ascii="Century Schoolbook" w:hAnsi="Century Schoolbook"/>
        </w:rPr>
        <w:t>, by contrast,</w:t>
      </w:r>
      <w:r w:rsidR="00173A3F">
        <w:rPr>
          <w:rFonts w:ascii="Century Schoolbook" w:hAnsi="Century Schoolbook"/>
        </w:rPr>
        <w:t xml:space="preserve"> argues that </w:t>
      </w:r>
      <w:r w:rsidR="00737AAE">
        <w:rPr>
          <w:rFonts w:ascii="Century Schoolbook" w:hAnsi="Century Schoolbook"/>
        </w:rPr>
        <w:t xml:space="preserve">the statute providing for </w:t>
      </w:r>
      <w:r w:rsidR="00173A3F">
        <w:rPr>
          <w:rFonts w:ascii="Century Schoolbook" w:hAnsi="Century Schoolbook"/>
        </w:rPr>
        <w:t xml:space="preserve">redaction to preserve the anonymity of witnesses applies equally to civilians and officers.  </w:t>
      </w:r>
      <w:r w:rsidR="008A6309">
        <w:rPr>
          <w:rFonts w:ascii="Century Schoolbook" w:hAnsi="Century Schoolbook"/>
        </w:rPr>
        <w:t xml:space="preserve">And the trial court </w:t>
      </w:r>
      <w:r w:rsidR="0031557C">
        <w:rPr>
          <w:rFonts w:ascii="Century Schoolbook" w:hAnsi="Century Schoolbook"/>
        </w:rPr>
        <w:t xml:space="preserve">agreed, </w:t>
      </w:r>
      <w:r w:rsidR="008A6309">
        <w:rPr>
          <w:rFonts w:ascii="Century Schoolbook" w:hAnsi="Century Schoolbook"/>
        </w:rPr>
        <w:t>h</w:t>
      </w:r>
      <w:r w:rsidR="0031557C">
        <w:rPr>
          <w:rFonts w:ascii="Century Schoolbook" w:hAnsi="Century Schoolbook"/>
        </w:rPr>
        <w:t>olding</w:t>
      </w:r>
      <w:r w:rsidR="008A6309">
        <w:rPr>
          <w:rFonts w:ascii="Century Schoolbook" w:hAnsi="Century Schoolbook"/>
        </w:rPr>
        <w:t xml:space="preserve"> that after a “reasonable, diligent search” to determine whether a witness was anonymous, “[a]</w:t>
      </w:r>
      <w:r w:rsidRPr="009E507B" w:rsidR="008A6309">
        <w:rPr>
          <w:rFonts w:ascii="Century Schoolbook" w:hAnsi="Century Schoolbook"/>
        </w:rPr>
        <w:t xml:space="preserve"> police officer who is a witness may have their identity redacted under (b)(6)(B).</w:t>
      </w:r>
      <w:r w:rsidR="008A6309">
        <w:rPr>
          <w:rFonts w:ascii="Century Schoolbook" w:hAnsi="Century Schoolbook"/>
        </w:rPr>
        <w:t xml:space="preserve">  </w:t>
      </w:r>
      <w:r w:rsidRPr="009E507B" w:rsidR="008A6309">
        <w:rPr>
          <w:rFonts w:ascii="Century Schoolbook" w:hAnsi="Century Schoolbook"/>
        </w:rPr>
        <w:t>Subsection (b)(6)(A) does not compel disclosure of their name, as individual officers do</w:t>
      </w:r>
      <w:r w:rsidR="008A6309">
        <w:rPr>
          <w:rFonts w:ascii="Century Schoolbook" w:hAnsi="Century Schoolbook"/>
        </w:rPr>
        <w:t xml:space="preserve"> </w:t>
      </w:r>
      <w:r w:rsidRPr="009E507B" w:rsidR="008A6309">
        <w:rPr>
          <w:rFonts w:ascii="Century Schoolbook" w:hAnsi="Century Schoolbook"/>
        </w:rPr>
        <w:t>not lose their rights to privacy or anonymity simply by witnessing an incident.</w:t>
      </w:r>
      <w:r w:rsidR="008A6309">
        <w:rPr>
          <w:rFonts w:ascii="Century Schoolbook" w:hAnsi="Century Schoolbook"/>
        </w:rPr>
        <w:t xml:space="preserve">”  </w:t>
      </w:r>
    </w:p>
    <w:p w:rsidR="007A1662" w:rsidP="007A1662" w14:paraId="7DC26E99" w14:textId="77777777">
      <w:pPr>
        <w:spacing w:line="360" w:lineRule="auto"/>
        <w:rPr>
          <w:rFonts w:ascii="Century Schoolbook" w:hAnsi="Century Schoolbook"/>
        </w:rPr>
      </w:pPr>
      <w:r>
        <w:rPr>
          <w:rFonts w:ascii="Century Schoolbook" w:hAnsi="Century Schoolbook"/>
        </w:rPr>
        <w:tab/>
      </w:r>
      <w:r w:rsidR="00AB193B">
        <w:rPr>
          <w:rFonts w:ascii="Century Schoolbook" w:hAnsi="Century Schoolbook"/>
        </w:rPr>
        <w:t>We have review</w:t>
      </w:r>
      <w:r>
        <w:rPr>
          <w:rFonts w:ascii="Century Schoolbook" w:hAnsi="Century Schoolbook"/>
        </w:rPr>
        <w:t>ed</w:t>
      </w:r>
      <w:r w:rsidR="00AB193B">
        <w:rPr>
          <w:rFonts w:ascii="Century Schoolbook" w:hAnsi="Century Schoolbook"/>
        </w:rPr>
        <w:t xml:space="preserve"> the challenged redactions </w:t>
      </w:r>
      <w:r>
        <w:rPr>
          <w:rFonts w:ascii="Century Schoolbook" w:hAnsi="Century Schoolbook"/>
        </w:rPr>
        <w:t xml:space="preserve">made </w:t>
      </w:r>
      <w:r w:rsidR="00AB193B">
        <w:rPr>
          <w:rFonts w:ascii="Century Schoolbook" w:hAnsi="Century Schoolbook"/>
        </w:rPr>
        <w:t xml:space="preserve">under </w:t>
      </w:r>
      <w:r w:rsidR="001D472A">
        <w:rPr>
          <w:rFonts w:ascii="Century Schoolbook" w:hAnsi="Century Schoolbook"/>
        </w:rPr>
        <w:t xml:space="preserve">section 832.7, </w:t>
      </w:r>
      <w:r w:rsidRPr="00231B62" w:rsidR="00AB193B">
        <w:rPr>
          <w:rFonts w:ascii="Century Schoolbook" w:hAnsi="Century Schoolbook"/>
        </w:rPr>
        <w:t>subdivision</w:t>
      </w:r>
      <w:r w:rsidRPr="00231B62" w:rsidR="00005C55">
        <w:rPr>
          <w:rFonts w:ascii="Century Schoolbook" w:hAnsi="Century Schoolbook"/>
        </w:rPr>
        <w:t> </w:t>
      </w:r>
      <w:r w:rsidRPr="00231B62" w:rsidR="00AB193B">
        <w:rPr>
          <w:rFonts w:ascii="Century Schoolbook" w:hAnsi="Century Schoolbook"/>
        </w:rPr>
        <w:t>(b)(6)(B),</w:t>
      </w:r>
      <w:r w:rsidR="00AB193B">
        <w:rPr>
          <w:rFonts w:ascii="Century Schoolbook" w:hAnsi="Century Schoolbook"/>
        </w:rPr>
        <w:t xml:space="preserve"> as well as the unredacted version of the Guap report</w:t>
      </w:r>
      <w:r w:rsidR="00BB6159">
        <w:rPr>
          <w:rFonts w:ascii="Century Schoolbook" w:hAnsi="Century Schoolbook"/>
        </w:rPr>
        <w:t xml:space="preserve">, </w:t>
      </w:r>
      <w:r w:rsidR="001611C8">
        <w:rPr>
          <w:rFonts w:ascii="Century Schoolbook" w:hAnsi="Century Schoolbook"/>
        </w:rPr>
        <w:t xml:space="preserve">which </w:t>
      </w:r>
      <w:r w:rsidR="00BB6159">
        <w:rPr>
          <w:rFonts w:ascii="Century Schoolbook" w:hAnsi="Century Schoolbook"/>
        </w:rPr>
        <w:t xml:space="preserve">review reveals </w:t>
      </w:r>
      <w:r w:rsidR="003A12A6">
        <w:rPr>
          <w:rFonts w:ascii="Century Schoolbook" w:hAnsi="Century Schoolbook"/>
        </w:rPr>
        <w:t xml:space="preserve">that </w:t>
      </w:r>
      <w:r w:rsidR="00BB6159">
        <w:rPr>
          <w:rFonts w:ascii="Century Schoolbook" w:hAnsi="Century Schoolbook"/>
        </w:rPr>
        <w:t xml:space="preserve">Oakland has redacted entire pages of the Guap report under </w:t>
      </w:r>
      <w:r w:rsidRPr="00231B62" w:rsidR="00BB6159">
        <w:rPr>
          <w:rFonts w:ascii="Century Schoolbook" w:hAnsi="Century Schoolbook"/>
        </w:rPr>
        <w:t>subdivisions (b)(4), (b)(5), and (b)(6)(B)</w:t>
      </w:r>
      <w:r w:rsidR="002F7792">
        <w:rPr>
          <w:rFonts w:ascii="Century Schoolbook" w:hAnsi="Century Schoolbook"/>
        </w:rPr>
        <w:t xml:space="preserve">. </w:t>
      </w:r>
      <w:r>
        <w:rPr>
          <w:rFonts w:ascii="Century Schoolbook" w:hAnsi="Century Schoolbook"/>
        </w:rPr>
        <w:t xml:space="preserve"> </w:t>
      </w:r>
      <w:r w:rsidR="00A152FA">
        <w:rPr>
          <w:rFonts w:ascii="Century Schoolbook" w:hAnsi="Century Schoolbook"/>
        </w:rPr>
        <w:t>Two examples are illustrative</w:t>
      </w:r>
      <w:r w:rsidR="001611C8">
        <w:rPr>
          <w:rFonts w:ascii="Century Schoolbook" w:hAnsi="Century Schoolbook"/>
        </w:rPr>
        <w:t xml:space="preserve">: </w:t>
      </w:r>
      <w:r w:rsidR="00367542">
        <w:rPr>
          <w:rFonts w:ascii="Century Schoolbook" w:hAnsi="Century Schoolbook"/>
        </w:rPr>
        <w:t xml:space="preserve"> </w:t>
      </w:r>
    </w:p>
    <w:p w:rsidR="007A1662" w:rsidP="007A1662" w14:paraId="76011B56" w14:textId="77777777">
      <w:pPr>
        <w:spacing w:line="360" w:lineRule="auto"/>
        <w:rPr>
          <w:rFonts w:ascii="Century Schoolbook" w:hAnsi="Century Schoolbook"/>
        </w:rPr>
      </w:pPr>
      <w:r>
        <w:rPr>
          <w:rFonts w:ascii="Century Schoolbook" w:hAnsi="Century Schoolbook"/>
        </w:rPr>
        <w:tab/>
        <w:t>U</w:t>
      </w:r>
      <w:r w:rsidR="00367542">
        <w:rPr>
          <w:rFonts w:ascii="Century Schoolbook" w:hAnsi="Century Schoolbook"/>
        </w:rPr>
        <w:t xml:space="preserve">nder the heading “Credibility Assessments” of “Witness Officers,” the report lists numerous officers, indicates whether they were found to credible and whether their statements were consistent with the evidence, and </w:t>
      </w:r>
      <w:r w:rsidR="0079537F">
        <w:rPr>
          <w:rFonts w:ascii="Century Schoolbook" w:hAnsi="Century Schoolbook"/>
        </w:rPr>
        <w:t xml:space="preserve">gives a brief history of </w:t>
      </w:r>
      <w:r w:rsidR="0031557C">
        <w:rPr>
          <w:rFonts w:ascii="Century Schoolbook" w:hAnsi="Century Schoolbook"/>
        </w:rPr>
        <w:t xml:space="preserve">any </w:t>
      </w:r>
      <w:r w:rsidR="0079537F">
        <w:rPr>
          <w:rFonts w:ascii="Century Schoolbook" w:hAnsi="Century Schoolbook"/>
        </w:rPr>
        <w:t xml:space="preserve">previous complaints of “Truthfulness or Reports and Bookings” </w:t>
      </w:r>
      <w:r w:rsidR="000F0232">
        <w:rPr>
          <w:rFonts w:ascii="Century Schoolbook" w:hAnsi="Century Schoolbook"/>
        </w:rPr>
        <w:t>reg</w:t>
      </w:r>
      <w:r w:rsidR="0031557C">
        <w:rPr>
          <w:rFonts w:ascii="Century Schoolbook" w:hAnsi="Century Schoolbook"/>
        </w:rPr>
        <w:t>ard</w:t>
      </w:r>
      <w:r w:rsidR="000F0232">
        <w:rPr>
          <w:rFonts w:ascii="Century Schoolbook" w:hAnsi="Century Schoolbook"/>
        </w:rPr>
        <w:t>ing each officer</w:t>
      </w:r>
      <w:r w:rsidR="0079537F">
        <w:rPr>
          <w:rFonts w:ascii="Century Schoolbook" w:hAnsi="Century Schoolbook"/>
        </w:rPr>
        <w:t xml:space="preserve">.  </w:t>
      </w:r>
      <w:r w:rsidR="00677BD8">
        <w:rPr>
          <w:rFonts w:ascii="Century Schoolbook" w:hAnsi="Century Schoolbook"/>
        </w:rPr>
        <w:t xml:space="preserve">All but three of these </w:t>
      </w:r>
      <w:r w:rsidR="000F0232">
        <w:rPr>
          <w:rFonts w:ascii="Century Schoolbook" w:hAnsi="Century Schoolbook"/>
        </w:rPr>
        <w:t xml:space="preserve">“credibility </w:t>
      </w:r>
      <w:r w:rsidR="00677BD8">
        <w:rPr>
          <w:rFonts w:ascii="Century Schoolbook" w:hAnsi="Century Schoolbook"/>
        </w:rPr>
        <w:t>assessments</w:t>
      </w:r>
      <w:r w:rsidR="000F0232">
        <w:rPr>
          <w:rFonts w:ascii="Century Schoolbook" w:hAnsi="Century Schoolbook"/>
        </w:rPr>
        <w:t>”</w:t>
      </w:r>
      <w:r w:rsidR="00677BD8">
        <w:rPr>
          <w:rFonts w:ascii="Century Schoolbook" w:hAnsi="Century Schoolbook"/>
        </w:rPr>
        <w:t xml:space="preserve"> are entirely redacted</w:t>
      </w:r>
      <w:r w:rsidR="000F0232">
        <w:rPr>
          <w:rFonts w:ascii="Century Schoolbook" w:hAnsi="Century Schoolbook"/>
        </w:rPr>
        <w:t xml:space="preserve">, including under </w:t>
      </w:r>
      <w:r w:rsidRPr="00231B62" w:rsidR="0019202F">
        <w:rPr>
          <w:rFonts w:ascii="Century Schoolbook" w:hAnsi="Century Schoolbook"/>
        </w:rPr>
        <w:t xml:space="preserve">subdivision </w:t>
      </w:r>
      <w:r w:rsidRPr="00231B62" w:rsidR="000F0232">
        <w:rPr>
          <w:rFonts w:ascii="Century Schoolbook" w:hAnsi="Century Schoolbook"/>
        </w:rPr>
        <w:t>(b)(6)(B)</w:t>
      </w:r>
      <w:r w:rsidRPr="00231B62" w:rsidR="00677BD8">
        <w:rPr>
          <w:rFonts w:ascii="Century Schoolbook" w:hAnsi="Century Schoolbook"/>
        </w:rPr>
        <w:t>.</w:t>
      </w:r>
    </w:p>
    <w:p w:rsidR="007A1662" w:rsidP="007A1662" w14:paraId="61E9FE0B" w14:textId="77777777">
      <w:pPr>
        <w:spacing w:line="360" w:lineRule="auto"/>
        <w:rPr>
          <w:rFonts w:ascii="Century Schoolbook" w:hAnsi="Century Schoolbook"/>
        </w:rPr>
      </w:pPr>
      <w:r>
        <w:rPr>
          <w:rFonts w:ascii="Century Schoolbook" w:hAnsi="Century Schoolbook"/>
        </w:rPr>
        <w:tab/>
      </w:r>
      <w:r w:rsidR="00546877">
        <w:rPr>
          <w:rFonts w:ascii="Century Schoolbook" w:hAnsi="Century Schoolbook"/>
        </w:rPr>
        <w:t>In “Appendix A – Witness Interviews,” the report contains summaries of recorded interviews with numerous officers</w:t>
      </w:r>
      <w:r w:rsidR="000F0232">
        <w:rPr>
          <w:rFonts w:ascii="Century Schoolbook" w:hAnsi="Century Schoolbook"/>
        </w:rPr>
        <w:t>.  Each summary</w:t>
      </w:r>
      <w:r w:rsidR="008A26DF">
        <w:rPr>
          <w:rFonts w:ascii="Century Schoolbook" w:hAnsi="Century Schoolbook"/>
        </w:rPr>
        <w:t xml:space="preserve"> </w:t>
      </w:r>
      <w:r w:rsidR="000F0232">
        <w:rPr>
          <w:rFonts w:ascii="Century Schoolbook" w:hAnsi="Century Schoolbook"/>
        </w:rPr>
        <w:t>discusses the officer’s</w:t>
      </w:r>
      <w:r w:rsidR="008A26DF">
        <w:rPr>
          <w:rFonts w:ascii="Century Schoolbook" w:hAnsi="Century Schoolbook"/>
        </w:rPr>
        <w:t xml:space="preserve"> </w:t>
      </w:r>
      <w:r w:rsidR="00546877">
        <w:rPr>
          <w:rFonts w:ascii="Century Schoolbook" w:hAnsi="Century Schoolbook"/>
        </w:rPr>
        <w:t>social media accounts, and whether the</w:t>
      </w:r>
      <w:r w:rsidR="00534FCD">
        <w:rPr>
          <w:rFonts w:ascii="Century Schoolbook" w:hAnsi="Century Schoolbook"/>
        </w:rPr>
        <w:t xml:space="preserve"> officer</w:t>
      </w:r>
      <w:r w:rsidR="00546877">
        <w:rPr>
          <w:rFonts w:ascii="Century Schoolbook" w:hAnsi="Century Schoolbook"/>
        </w:rPr>
        <w:t xml:space="preserve"> had </w:t>
      </w:r>
      <w:r w:rsidR="00B950A4">
        <w:rPr>
          <w:rFonts w:ascii="Century Schoolbook" w:hAnsi="Century Schoolbook"/>
        </w:rPr>
        <w:t xml:space="preserve">received or </w:t>
      </w:r>
      <w:r w:rsidR="008A26DF">
        <w:rPr>
          <w:rFonts w:ascii="Century Schoolbook" w:hAnsi="Century Schoolbook"/>
        </w:rPr>
        <w:t>accepted “friend requests</w:t>
      </w:r>
      <w:r w:rsidR="008B0917">
        <w:rPr>
          <w:rFonts w:ascii="Century Schoolbook" w:hAnsi="Century Schoolbook"/>
        </w:rPr>
        <w:t>”</w:t>
      </w:r>
      <w:r w:rsidR="008A26DF">
        <w:rPr>
          <w:rFonts w:ascii="Century Schoolbook" w:hAnsi="Century Schoolbook"/>
        </w:rPr>
        <w:t xml:space="preserve"> from</w:t>
      </w:r>
      <w:r w:rsidR="000F0232">
        <w:rPr>
          <w:rFonts w:ascii="Century Schoolbook" w:hAnsi="Century Schoolbook"/>
        </w:rPr>
        <w:t>,</w:t>
      </w:r>
      <w:r w:rsidR="00546877">
        <w:rPr>
          <w:rFonts w:ascii="Century Schoolbook" w:hAnsi="Century Schoolbook"/>
        </w:rPr>
        <w:t xml:space="preserve"> or interacted with</w:t>
      </w:r>
      <w:r w:rsidR="000F0232">
        <w:rPr>
          <w:rFonts w:ascii="Century Schoolbook" w:hAnsi="Century Schoolbook"/>
        </w:rPr>
        <w:t>,</w:t>
      </w:r>
      <w:r w:rsidR="00546877">
        <w:rPr>
          <w:rFonts w:ascii="Century Schoolbook" w:hAnsi="Century Schoolbook"/>
        </w:rPr>
        <w:t xml:space="preserve"> Guap on social media.  </w:t>
      </w:r>
      <w:r w:rsidR="000A5746">
        <w:rPr>
          <w:rFonts w:ascii="Century Schoolbook" w:hAnsi="Century Schoolbook"/>
        </w:rPr>
        <w:t xml:space="preserve">The interview summaries of several of the officers </w:t>
      </w:r>
      <w:r w:rsidR="00A635F5">
        <w:rPr>
          <w:rFonts w:ascii="Century Schoolbook" w:hAnsi="Century Schoolbook"/>
        </w:rPr>
        <w:t>contain a few very brief descriptions of conversations with other officers</w:t>
      </w:r>
      <w:r w:rsidR="000A5746">
        <w:rPr>
          <w:rFonts w:ascii="Century Schoolbook" w:hAnsi="Century Schoolbook"/>
        </w:rPr>
        <w:t xml:space="preserve"> regarding </w:t>
      </w:r>
      <w:r w:rsidR="008B0917">
        <w:rPr>
          <w:rFonts w:ascii="Century Schoolbook" w:hAnsi="Century Schoolbook"/>
        </w:rPr>
        <w:t>Guap</w:t>
      </w:r>
      <w:r w:rsidR="00A6634D">
        <w:rPr>
          <w:rFonts w:ascii="Century Schoolbook" w:hAnsi="Century Schoolbook"/>
        </w:rPr>
        <w:t>.</w:t>
      </w:r>
      <w:r w:rsidR="006C3EFC">
        <w:rPr>
          <w:rFonts w:ascii="Century Schoolbook" w:hAnsi="Century Schoolbook"/>
        </w:rPr>
        <w:t xml:space="preserve">  </w:t>
      </w:r>
      <w:r w:rsidR="00C345AC">
        <w:rPr>
          <w:rFonts w:ascii="Century Schoolbook" w:hAnsi="Century Schoolbook"/>
        </w:rPr>
        <w:t>B</w:t>
      </w:r>
      <w:r w:rsidR="003E6E97">
        <w:rPr>
          <w:rFonts w:ascii="Century Schoolbook" w:hAnsi="Century Schoolbook"/>
        </w:rPr>
        <w:t>ut</w:t>
      </w:r>
      <w:r w:rsidR="00C934AC">
        <w:rPr>
          <w:rFonts w:ascii="Century Schoolbook" w:hAnsi="Century Schoolbook"/>
        </w:rPr>
        <w:t xml:space="preserve"> these </w:t>
      </w:r>
      <w:r w:rsidR="00360ED0">
        <w:rPr>
          <w:rFonts w:ascii="Century Schoolbook" w:hAnsi="Century Schoolbook"/>
        </w:rPr>
        <w:t xml:space="preserve">entries </w:t>
      </w:r>
      <w:r w:rsidR="00C934AC">
        <w:rPr>
          <w:rFonts w:ascii="Century Schoolbook" w:hAnsi="Century Schoolbook"/>
        </w:rPr>
        <w:t>do not contain anything that could be fairly described as one officer describing or witnessing another</w:t>
      </w:r>
      <w:r w:rsidR="000A5746">
        <w:rPr>
          <w:rFonts w:ascii="Century Schoolbook" w:hAnsi="Century Schoolbook"/>
        </w:rPr>
        <w:t xml:space="preserve"> officer’s misconduct</w:t>
      </w:r>
      <w:r w:rsidR="006C3EFC">
        <w:rPr>
          <w:rFonts w:ascii="Century Schoolbook" w:hAnsi="Century Schoolbook"/>
        </w:rPr>
        <w:t xml:space="preserve">.  </w:t>
      </w:r>
      <w:r w:rsidR="00E16B97">
        <w:rPr>
          <w:rFonts w:ascii="Century Schoolbook" w:hAnsi="Century Schoolbook"/>
        </w:rPr>
        <w:t xml:space="preserve">In sum, </w:t>
      </w:r>
      <w:r w:rsidR="00061ABB">
        <w:rPr>
          <w:rFonts w:ascii="Century Schoolbook" w:hAnsi="Century Schoolbook"/>
        </w:rPr>
        <w:t>we cannot agree that redaction of the officer</w:t>
      </w:r>
      <w:r w:rsidR="00723D11">
        <w:rPr>
          <w:rFonts w:ascii="Century Schoolbook" w:hAnsi="Century Schoolbook"/>
        </w:rPr>
        <w:t>’s</w:t>
      </w:r>
      <w:r w:rsidR="00061ABB">
        <w:rPr>
          <w:rFonts w:ascii="Century Schoolbook" w:hAnsi="Century Schoolbook"/>
        </w:rPr>
        <w:t xml:space="preserve"> names or other identifying information from the interview summaries is appropriate under </w:t>
      </w:r>
      <w:r w:rsidR="009942D7">
        <w:rPr>
          <w:rFonts w:ascii="Century Schoolbook" w:hAnsi="Century Schoolbook"/>
        </w:rPr>
        <w:t xml:space="preserve">section 832.7, </w:t>
      </w:r>
      <w:r w:rsidRPr="00231B62" w:rsidR="00723D11">
        <w:rPr>
          <w:rFonts w:ascii="Century Schoolbook" w:hAnsi="Century Schoolbook"/>
        </w:rPr>
        <w:t xml:space="preserve">subdivision </w:t>
      </w:r>
      <w:r w:rsidRPr="00231B62" w:rsidR="00061ABB">
        <w:rPr>
          <w:rFonts w:ascii="Century Schoolbook" w:hAnsi="Century Schoolbook"/>
        </w:rPr>
        <w:t>(b)(6)(B)</w:t>
      </w:r>
      <w:r w:rsidR="00061ABB">
        <w:rPr>
          <w:rFonts w:ascii="Century Schoolbook" w:hAnsi="Century Schoolbook"/>
        </w:rPr>
        <w:t xml:space="preserve"> in order to “preserve the anonymity of </w:t>
      </w:r>
      <w:r w:rsidR="00BC292C">
        <w:rPr>
          <w:rFonts w:ascii="Century Schoolbook" w:hAnsi="Century Schoolbook"/>
        </w:rPr>
        <w:t>. . .</w:t>
      </w:r>
      <w:r w:rsidR="00061ABB">
        <w:rPr>
          <w:rFonts w:ascii="Century Schoolbook" w:hAnsi="Century Schoolbook"/>
        </w:rPr>
        <w:t xml:space="preserve"> witnesses.” </w:t>
      </w:r>
      <w:r w:rsidR="003770BC">
        <w:rPr>
          <w:rFonts w:ascii="Century Schoolbook" w:hAnsi="Century Schoolbook"/>
        </w:rPr>
        <w:t xml:space="preserve"> </w:t>
      </w:r>
    </w:p>
    <w:p w:rsidR="00DE3FCC" w:rsidP="00DE3FCC" w14:paraId="3970E1ED" w14:textId="77777777">
      <w:pPr>
        <w:spacing w:after="120" w:line="240" w:lineRule="auto"/>
        <w:rPr>
          <w:rFonts w:ascii="Century Schoolbook" w:hAnsi="Century Schoolbook"/>
          <w:b/>
          <w:bCs/>
        </w:rPr>
      </w:pPr>
      <w:r>
        <w:rPr>
          <w:rFonts w:ascii="Century Schoolbook" w:hAnsi="Century Schoolbook"/>
          <w:b/>
          <w:bCs/>
        </w:rPr>
        <w:tab/>
      </w:r>
      <w:r w:rsidR="00752647">
        <w:rPr>
          <w:rFonts w:ascii="Century Schoolbook" w:hAnsi="Century Schoolbook"/>
          <w:b/>
          <w:bCs/>
        </w:rPr>
        <w:t>Redaction Was Improper Under Government Code Section 6254, Subdivision (f)</w:t>
      </w:r>
    </w:p>
    <w:p w:rsidR="00DE3FCC" w:rsidP="00DE3FCC" w14:paraId="00338BA7" w14:textId="77777777">
      <w:pPr>
        <w:spacing w:line="360" w:lineRule="auto"/>
        <w:rPr>
          <w:rFonts w:ascii="Century Schoolbook" w:hAnsi="Century Schoolbook"/>
        </w:rPr>
      </w:pPr>
      <w:r>
        <w:rPr>
          <w:rFonts w:ascii="Century Schoolbook" w:hAnsi="Century Schoolbook"/>
        </w:rPr>
        <w:tab/>
      </w:r>
      <w:r w:rsidR="00F836D0">
        <w:rPr>
          <w:rFonts w:ascii="Century Schoolbook" w:hAnsi="Century Schoolbook"/>
        </w:rPr>
        <w:t>Former Government Code s</w:t>
      </w:r>
      <w:r w:rsidR="007E5CC9">
        <w:rPr>
          <w:rFonts w:ascii="Century Schoolbook" w:hAnsi="Century Schoolbook"/>
        </w:rPr>
        <w:t>ection</w:t>
      </w:r>
      <w:r w:rsidRPr="00232957">
        <w:rPr>
          <w:rFonts w:ascii="Century Schoolbook" w:hAnsi="Century Schoolbook"/>
        </w:rPr>
        <w:t xml:space="preserve"> 6254</w:t>
      </w:r>
      <w:r w:rsidR="007E5CC9">
        <w:rPr>
          <w:rFonts w:ascii="Century Schoolbook" w:hAnsi="Century Schoolbook"/>
        </w:rPr>
        <w:t xml:space="preserve">, subdivision </w:t>
      </w:r>
      <w:r w:rsidRPr="00232957">
        <w:rPr>
          <w:rFonts w:ascii="Century Schoolbook" w:hAnsi="Century Schoolbook"/>
        </w:rPr>
        <w:t>(f) exempt</w:t>
      </w:r>
      <w:r w:rsidR="00F836D0">
        <w:rPr>
          <w:rFonts w:ascii="Century Schoolbook" w:hAnsi="Century Schoolbook"/>
        </w:rPr>
        <w:t>ed</w:t>
      </w:r>
      <w:r w:rsidRPr="00232957">
        <w:rPr>
          <w:rFonts w:ascii="Century Schoolbook" w:hAnsi="Century Schoolbook"/>
        </w:rPr>
        <w:t xml:space="preserve"> from disclosure</w:t>
      </w:r>
      <w:r>
        <w:rPr>
          <w:rFonts w:ascii="Century Schoolbook" w:hAnsi="Century Schoolbook"/>
        </w:rPr>
        <w:t xml:space="preserve"> </w:t>
      </w:r>
      <w:r w:rsidRPr="00232957">
        <w:rPr>
          <w:rFonts w:ascii="Century Schoolbook" w:hAnsi="Century Schoolbook"/>
        </w:rPr>
        <w:t xml:space="preserve">“[r]ecords of complaints to, or investigations conducted by, </w:t>
      </w:r>
      <w:r w:rsidR="00BC292C">
        <w:rPr>
          <w:rFonts w:ascii="Century Schoolbook" w:hAnsi="Century Schoolbook"/>
        </w:rPr>
        <w:t>. . .</w:t>
      </w:r>
      <w:r w:rsidRPr="00232957">
        <w:rPr>
          <w:rFonts w:ascii="Century Schoolbook" w:hAnsi="Century Schoolbook"/>
        </w:rPr>
        <w:t xml:space="preserve"> any</w:t>
      </w:r>
      <w:r>
        <w:rPr>
          <w:rFonts w:ascii="Century Schoolbook" w:hAnsi="Century Schoolbook"/>
        </w:rPr>
        <w:t xml:space="preserve"> </w:t>
      </w:r>
      <w:r w:rsidRPr="00232957">
        <w:rPr>
          <w:rFonts w:ascii="Century Schoolbook" w:hAnsi="Century Schoolbook"/>
        </w:rPr>
        <w:t>state or local police agency.”</w:t>
      </w:r>
      <w:r>
        <w:rPr>
          <w:rStyle w:val="FootnoteReference"/>
          <w:rFonts w:ascii="Century Schoolbook" w:hAnsi="Century Schoolbook"/>
        </w:rPr>
        <w:footnoteReference w:id="11"/>
      </w:r>
      <w:r w:rsidRPr="00232957">
        <w:rPr>
          <w:rFonts w:ascii="Century Schoolbook" w:hAnsi="Century Schoolbook"/>
        </w:rPr>
        <w:t xml:space="preserve"> </w:t>
      </w:r>
      <w:r w:rsidR="007E5CC9">
        <w:rPr>
          <w:rFonts w:ascii="Century Schoolbook" w:hAnsi="Century Schoolbook"/>
        </w:rPr>
        <w:t xml:space="preserve"> Oakland relied on this provision </w:t>
      </w:r>
      <w:r w:rsidRPr="00232957" w:rsidR="007C5422">
        <w:rPr>
          <w:rFonts w:ascii="Century Schoolbook" w:hAnsi="Century Schoolbook"/>
        </w:rPr>
        <w:t xml:space="preserve">to redact </w:t>
      </w:r>
      <w:r w:rsidR="008D4137">
        <w:rPr>
          <w:rFonts w:ascii="Century Schoolbook" w:hAnsi="Century Schoolbook"/>
        </w:rPr>
        <w:t>several</w:t>
      </w:r>
      <w:r w:rsidRPr="00232957" w:rsidR="007C5422">
        <w:rPr>
          <w:rFonts w:ascii="Century Schoolbook" w:hAnsi="Century Schoolbook"/>
        </w:rPr>
        <w:t xml:space="preserve"> pages from a </w:t>
      </w:r>
      <w:r w:rsidR="008F4675">
        <w:rPr>
          <w:rFonts w:ascii="Century Schoolbook" w:hAnsi="Century Schoolbook"/>
        </w:rPr>
        <w:t>document</w:t>
      </w:r>
      <w:r w:rsidRPr="00232957" w:rsidR="007C5422">
        <w:rPr>
          <w:rFonts w:ascii="Century Schoolbook" w:hAnsi="Century Schoolbook"/>
        </w:rPr>
        <w:t xml:space="preserve"> </w:t>
      </w:r>
      <w:r w:rsidR="008D4137">
        <w:rPr>
          <w:rFonts w:ascii="Century Schoolbook" w:hAnsi="Century Schoolbook"/>
        </w:rPr>
        <w:t>dated December 10, 2001 regarding a Board of Review held to discuss the circumstances of a firearm discharge on January</w:t>
      </w:r>
      <w:r w:rsidR="006D2C16">
        <w:rPr>
          <w:rFonts w:ascii="Century Schoolbook" w:hAnsi="Century Schoolbook"/>
        </w:rPr>
        <w:t> </w:t>
      </w:r>
      <w:r w:rsidR="008D4137">
        <w:rPr>
          <w:rFonts w:ascii="Century Schoolbook" w:hAnsi="Century Schoolbook"/>
        </w:rPr>
        <w:t>11, 2001</w:t>
      </w:r>
      <w:r w:rsidRPr="00232957" w:rsidR="007C5422">
        <w:rPr>
          <w:rFonts w:ascii="Century Schoolbook" w:hAnsi="Century Schoolbook"/>
        </w:rPr>
        <w:t xml:space="preserve">. </w:t>
      </w:r>
      <w:r w:rsidR="007E5CC9">
        <w:rPr>
          <w:rFonts w:ascii="Century Schoolbook" w:hAnsi="Century Schoolbook"/>
        </w:rPr>
        <w:t xml:space="preserve"> </w:t>
      </w:r>
    </w:p>
    <w:p w:rsidR="00DE3FCC" w:rsidP="00DE3FCC" w14:paraId="2A56D5C5" w14:textId="77777777">
      <w:pPr>
        <w:spacing w:line="360" w:lineRule="auto"/>
        <w:rPr>
          <w:rFonts w:ascii="Century Schoolbook" w:hAnsi="Century Schoolbook"/>
        </w:rPr>
      </w:pPr>
      <w:r>
        <w:rPr>
          <w:rFonts w:ascii="Century Schoolbook" w:hAnsi="Century Schoolbook"/>
        </w:rPr>
        <w:tab/>
      </w:r>
      <w:r w:rsidRPr="00232957" w:rsidR="00232957">
        <w:rPr>
          <w:rFonts w:ascii="Century Schoolbook" w:hAnsi="Century Schoolbook"/>
        </w:rPr>
        <w:t xml:space="preserve">The </w:t>
      </w:r>
      <w:r w:rsidR="00703257">
        <w:rPr>
          <w:rFonts w:ascii="Century Schoolbook" w:hAnsi="Century Schoolbook"/>
        </w:rPr>
        <w:t xml:space="preserve">first page of the </w:t>
      </w:r>
      <w:r w:rsidR="008D4137">
        <w:rPr>
          <w:rFonts w:ascii="Century Schoolbook" w:hAnsi="Century Schoolbook"/>
        </w:rPr>
        <w:t xml:space="preserve">trial court’s order </w:t>
      </w:r>
      <w:r w:rsidR="00703257">
        <w:rPr>
          <w:rFonts w:ascii="Century Schoolbook" w:hAnsi="Century Schoolbook"/>
        </w:rPr>
        <w:t>states</w:t>
      </w:r>
      <w:r w:rsidR="008D4137">
        <w:rPr>
          <w:rFonts w:ascii="Century Schoolbook" w:hAnsi="Century Schoolbook"/>
        </w:rPr>
        <w:t xml:space="preserve"> that </w:t>
      </w:r>
      <w:r w:rsidRPr="00232957" w:rsidR="00232957">
        <w:rPr>
          <w:rFonts w:ascii="Century Schoolbook" w:hAnsi="Century Schoolbook"/>
        </w:rPr>
        <w:t>“</w:t>
      </w:r>
      <w:r w:rsidR="008D4137">
        <w:rPr>
          <w:rFonts w:ascii="Century Schoolbook" w:hAnsi="Century Schoolbook"/>
        </w:rPr>
        <w:t>[i]</w:t>
      </w:r>
      <w:r w:rsidRPr="00232957" w:rsidR="00232957">
        <w:rPr>
          <w:rFonts w:ascii="Century Schoolbook" w:hAnsi="Century Schoolbook"/>
        </w:rPr>
        <w:t xml:space="preserve">f information </w:t>
      </w:r>
      <w:r w:rsidR="008D4137">
        <w:rPr>
          <w:rFonts w:ascii="Century Schoolbook" w:hAnsi="Century Schoolbook"/>
        </w:rPr>
        <w:t>in a personnel record</w:t>
      </w:r>
      <w:r w:rsidRPr="00232957" w:rsidR="00232957">
        <w:rPr>
          <w:rFonts w:ascii="Century Schoolbook" w:hAnsi="Century Schoolbook"/>
        </w:rPr>
        <w:t xml:space="preserve"> is subject to one of the exemptions in </w:t>
      </w:r>
      <w:r w:rsidR="00AC0779">
        <w:rPr>
          <w:rFonts w:ascii="Century Schoolbook" w:hAnsi="Century Schoolbook"/>
        </w:rPr>
        <w:t xml:space="preserve">[former </w:t>
      </w:r>
      <w:r w:rsidR="00104986">
        <w:rPr>
          <w:rFonts w:ascii="Century Schoolbook" w:hAnsi="Century Schoolbook"/>
        </w:rPr>
        <w:t xml:space="preserve">Government Code </w:t>
      </w:r>
      <w:r w:rsidR="00AC0779">
        <w:rPr>
          <w:rFonts w:ascii="Century Schoolbook" w:hAnsi="Century Schoolbook"/>
        </w:rPr>
        <w:t xml:space="preserve">section] </w:t>
      </w:r>
      <w:r w:rsidRPr="00232957" w:rsidR="00232957">
        <w:rPr>
          <w:rFonts w:ascii="Century Schoolbook" w:hAnsi="Century Schoolbook"/>
        </w:rPr>
        <w:t>6254,</w:t>
      </w:r>
      <w:r w:rsidR="00232957">
        <w:rPr>
          <w:rFonts w:ascii="Century Schoolbook" w:hAnsi="Century Schoolbook"/>
        </w:rPr>
        <w:t xml:space="preserve"> </w:t>
      </w:r>
      <w:r w:rsidRPr="00232957" w:rsidR="00232957">
        <w:rPr>
          <w:rFonts w:ascii="Century Schoolbook" w:hAnsi="Century Schoolbook"/>
        </w:rPr>
        <w:t xml:space="preserve">including </w:t>
      </w:r>
      <w:r w:rsidR="00F73C27">
        <w:rPr>
          <w:rFonts w:ascii="Century Schoolbook" w:hAnsi="Century Schoolbook"/>
        </w:rPr>
        <w:t>[former</w:t>
      </w:r>
      <w:r w:rsidR="00B1592B">
        <w:rPr>
          <w:rFonts w:ascii="Century Schoolbook" w:hAnsi="Century Schoolbook"/>
        </w:rPr>
        <w:t xml:space="preserve"> Government Code</w:t>
      </w:r>
      <w:r w:rsidR="00F73C27">
        <w:rPr>
          <w:rFonts w:ascii="Century Schoolbook" w:hAnsi="Century Schoolbook"/>
        </w:rPr>
        <w:t xml:space="preserve">] </w:t>
      </w:r>
      <w:r w:rsidRPr="00232957" w:rsidR="00232957">
        <w:rPr>
          <w:rFonts w:ascii="Century Schoolbook" w:hAnsi="Century Schoolbook"/>
        </w:rPr>
        <w:t>section 6254</w:t>
      </w:r>
      <w:r w:rsidR="00B1592B">
        <w:rPr>
          <w:rFonts w:ascii="Century Schoolbook" w:hAnsi="Century Schoolbook"/>
        </w:rPr>
        <w:t xml:space="preserve">[, subdivision] </w:t>
      </w:r>
      <w:r w:rsidRPr="00232957" w:rsidR="00232957">
        <w:rPr>
          <w:rFonts w:ascii="Century Schoolbook" w:hAnsi="Century Schoolbook"/>
        </w:rPr>
        <w:t>(f), the agency may redact under those</w:t>
      </w:r>
      <w:r w:rsidR="00232957">
        <w:rPr>
          <w:rFonts w:ascii="Century Schoolbook" w:hAnsi="Century Schoolbook"/>
        </w:rPr>
        <w:t xml:space="preserve"> </w:t>
      </w:r>
      <w:r w:rsidRPr="00232957" w:rsidR="00232957">
        <w:rPr>
          <w:rFonts w:ascii="Century Schoolbook" w:hAnsi="Century Schoolbook"/>
        </w:rPr>
        <w:t xml:space="preserve">exemptions.”  </w:t>
      </w:r>
      <w:r w:rsidR="008D4137">
        <w:rPr>
          <w:rFonts w:ascii="Century Schoolbook" w:hAnsi="Century Schoolbook"/>
        </w:rPr>
        <w:t xml:space="preserve">However, section 832.7, subdivision (b)(1) expressly provides that </w:t>
      </w:r>
      <w:r w:rsidRPr="00232957" w:rsidR="00232957">
        <w:rPr>
          <w:rFonts w:ascii="Century Schoolbook" w:hAnsi="Century Schoolbook"/>
        </w:rPr>
        <w:t>“</w:t>
      </w:r>
      <w:r w:rsidR="008D4137">
        <w:rPr>
          <w:rFonts w:ascii="Century Schoolbook" w:hAnsi="Century Schoolbook"/>
        </w:rPr>
        <w:t>[n]</w:t>
      </w:r>
      <w:r w:rsidRPr="00232957" w:rsidR="00232957">
        <w:rPr>
          <w:rFonts w:ascii="Century Schoolbook" w:hAnsi="Century Schoolbook"/>
        </w:rPr>
        <w:t xml:space="preserve">otwithstanding </w:t>
      </w:r>
      <w:r w:rsidR="00323550">
        <w:rPr>
          <w:rFonts w:ascii="Century Schoolbook" w:hAnsi="Century Schoolbook"/>
        </w:rPr>
        <w:t>subdivision</w:t>
      </w:r>
      <w:r w:rsidRPr="00232957" w:rsidR="00232957">
        <w:rPr>
          <w:rFonts w:ascii="Century Schoolbook" w:hAnsi="Century Schoolbook"/>
        </w:rPr>
        <w:t xml:space="preserve"> (a) of Section </w:t>
      </w:r>
      <w:r w:rsidR="00797847">
        <w:rPr>
          <w:rFonts w:ascii="Century Schoolbook" w:hAnsi="Century Schoolbook"/>
        </w:rPr>
        <w:t>7923.600</w:t>
      </w:r>
      <w:r w:rsidRPr="00232957" w:rsidR="00232957">
        <w:rPr>
          <w:rFonts w:ascii="Century Schoolbook" w:hAnsi="Century Schoolbook"/>
        </w:rPr>
        <w:t xml:space="preserve"> of</w:t>
      </w:r>
      <w:r w:rsidR="00392690">
        <w:rPr>
          <w:rFonts w:ascii="Century Schoolbook" w:hAnsi="Century Schoolbook"/>
        </w:rPr>
        <w:t xml:space="preserve"> </w:t>
      </w:r>
      <w:r w:rsidRPr="00232957" w:rsidR="00232957">
        <w:rPr>
          <w:rFonts w:ascii="Century Schoolbook" w:hAnsi="Century Schoolbook"/>
        </w:rPr>
        <w:t>the Government Code, or any other law, the following peace</w:t>
      </w:r>
      <w:r w:rsidR="00232957">
        <w:rPr>
          <w:rFonts w:ascii="Century Schoolbook" w:hAnsi="Century Schoolbook"/>
        </w:rPr>
        <w:t xml:space="preserve"> </w:t>
      </w:r>
      <w:r w:rsidRPr="00232957" w:rsidR="00232957">
        <w:rPr>
          <w:rFonts w:ascii="Century Schoolbook" w:hAnsi="Century Schoolbook"/>
        </w:rPr>
        <w:t>officer or custodial officer personnel records</w:t>
      </w:r>
      <w:r w:rsidR="00232957">
        <w:rPr>
          <w:rFonts w:ascii="Century Schoolbook" w:hAnsi="Century Schoolbook"/>
        </w:rPr>
        <w:t xml:space="preserve"> </w:t>
      </w:r>
      <w:r w:rsidR="00F73C27">
        <w:rPr>
          <w:rFonts w:ascii="Century Schoolbook" w:hAnsi="Century Schoolbook"/>
        </w:rPr>
        <w:t>. . .</w:t>
      </w:r>
      <w:r w:rsidRPr="00232957" w:rsidR="00232957">
        <w:rPr>
          <w:rFonts w:ascii="Century Schoolbook" w:hAnsi="Century Schoolbook"/>
        </w:rPr>
        <w:t xml:space="preserve"> shall not be</w:t>
      </w:r>
      <w:r w:rsidR="00232957">
        <w:rPr>
          <w:rFonts w:ascii="Century Schoolbook" w:hAnsi="Century Schoolbook"/>
        </w:rPr>
        <w:t xml:space="preserve"> </w:t>
      </w:r>
      <w:r w:rsidRPr="00232957" w:rsidR="00232957">
        <w:rPr>
          <w:rFonts w:ascii="Century Schoolbook" w:hAnsi="Century Schoolbook"/>
        </w:rPr>
        <w:t>confidential and shall be made available for public inspection</w:t>
      </w:r>
      <w:r w:rsidR="008D4137">
        <w:rPr>
          <w:rFonts w:ascii="Century Schoolbook" w:hAnsi="Century Schoolbook"/>
        </w:rPr>
        <w:t>.</w:t>
      </w:r>
      <w:r w:rsidRPr="00232957" w:rsidR="00232957">
        <w:rPr>
          <w:rFonts w:ascii="Century Schoolbook" w:hAnsi="Century Schoolbook"/>
        </w:rPr>
        <w:t>”</w:t>
      </w:r>
      <w:r w:rsidR="008D4137">
        <w:rPr>
          <w:rFonts w:ascii="Century Schoolbook" w:hAnsi="Century Schoolbook"/>
        </w:rPr>
        <w:t xml:space="preserve"> </w:t>
      </w:r>
      <w:r w:rsidR="00232957">
        <w:rPr>
          <w:rFonts w:ascii="Century Schoolbook" w:hAnsi="Century Schoolbook"/>
        </w:rPr>
        <w:t xml:space="preserve"> </w:t>
      </w:r>
    </w:p>
    <w:p w:rsidR="00DE3FCC" w:rsidP="00DE3FCC" w14:paraId="24741B33" w14:textId="77777777">
      <w:pPr>
        <w:spacing w:line="360" w:lineRule="auto"/>
        <w:rPr>
          <w:rFonts w:ascii="Century Schoolbook" w:hAnsi="Century Schoolbook"/>
        </w:rPr>
      </w:pPr>
      <w:r>
        <w:rPr>
          <w:rFonts w:ascii="Century Schoolbook" w:hAnsi="Century Schoolbook"/>
        </w:rPr>
        <w:tab/>
        <w:t xml:space="preserve">Oakland </w:t>
      </w:r>
      <w:r w:rsidR="001C029D">
        <w:rPr>
          <w:rFonts w:ascii="Century Schoolbook" w:hAnsi="Century Schoolbook"/>
        </w:rPr>
        <w:t xml:space="preserve">appears to </w:t>
      </w:r>
      <w:r>
        <w:rPr>
          <w:rFonts w:ascii="Century Schoolbook" w:hAnsi="Century Schoolbook"/>
        </w:rPr>
        <w:t xml:space="preserve">concede that </w:t>
      </w:r>
      <w:r w:rsidR="00534FCD">
        <w:rPr>
          <w:rFonts w:ascii="Century Schoolbook" w:hAnsi="Century Schoolbook"/>
        </w:rPr>
        <w:t>in light of</w:t>
      </w:r>
      <w:r>
        <w:rPr>
          <w:rFonts w:ascii="Century Schoolbook" w:hAnsi="Century Schoolbook"/>
        </w:rPr>
        <w:t xml:space="preserve"> this language the trial court erred in permitting redaction under </w:t>
      </w:r>
      <w:r w:rsidR="00703257">
        <w:rPr>
          <w:rFonts w:ascii="Century Schoolbook" w:hAnsi="Century Schoolbook"/>
        </w:rPr>
        <w:t xml:space="preserve">former </w:t>
      </w:r>
      <w:r w:rsidR="006B7B94">
        <w:rPr>
          <w:rFonts w:ascii="Century Schoolbook" w:hAnsi="Century Schoolbook"/>
        </w:rPr>
        <w:t>Government</w:t>
      </w:r>
      <w:r w:rsidR="00703257">
        <w:rPr>
          <w:rFonts w:ascii="Century Schoolbook" w:hAnsi="Century Schoolbook"/>
        </w:rPr>
        <w:t xml:space="preserve"> Code </w:t>
      </w:r>
      <w:r>
        <w:rPr>
          <w:rFonts w:ascii="Century Schoolbook" w:hAnsi="Century Schoolbook"/>
        </w:rPr>
        <w:t>section 6254, subdivision (f)</w:t>
      </w:r>
      <w:r w:rsidR="001C029D">
        <w:rPr>
          <w:rFonts w:ascii="Century Schoolbook" w:hAnsi="Century Schoolbook"/>
        </w:rPr>
        <w:t>, arguing instead that the issue concerns only “three pages out of hundreds of redactions” and asserting without explanation that petitioners have waived their right to challenge these redactions</w:t>
      </w:r>
      <w:r>
        <w:rPr>
          <w:rFonts w:ascii="Century Schoolbook" w:hAnsi="Century Schoolbook"/>
        </w:rPr>
        <w:t xml:space="preserve">.  </w:t>
      </w:r>
      <w:r w:rsidR="009E252C">
        <w:rPr>
          <w:rFonts w:ascii="Century Schoolbook" w:hAnsi="Century Schoolbook"/>
        </w:rPr>
        <w:t xml:space="preserve">We </w:t>
      </w:r>
      <w:r w:rsidR="00B53A3C">
        <w:rPr>
          <w:rFonts w:ascii="Century Schoolbook" w:hAnsi="Century Schoolbook"/>
        </w:rPr>
        <w:t>decline to consider Oakland’s waiver argument, “</w:t>
      </w:r>
      <w:r w:rsidRPr="00B53A3C" w:rsidR="00B53A3C">
        <w:rPr>
          <w:rFonts w:ascii="Century Schoolbook" w:hAnsi="Century Schoolbook"/>
        </w:rPr>
        <w:t>since it is not stated under a separate heading, is not sufficiently developed, and is unsupported by citation of authority.</w:t>
      </w:r>
      <w:r w:rsidR="00B53A3C">
        <w:rPr>
          <w:rFonts w:ascii="Century Schoolbook" w:hAnsi="Century Schoolbook"/>
        </w:rPr>
        <w:t>”  (</w:t>
      </w:r>
      <w:r w:rsidRPr="00B53A3C" w:rsidR="00B53A3C">
        <w:rPr>
          <w:rFonts w:ascii="Century Schoolbook" w:hAnsi="Century Schoolbook"/>
          <w:i/>
          <w:iCs/>
        </w:rPr>
        <w:t>T.P. v. T.W.</w:t>
      </w:r>
      <w:r w:rsidR="00B53A3C">
        <w:rPr>
          <w:rFonts w:ascii="Century Schoolbook" w:hAnsi="Century Schoolbook"/>
        </w:rPr>
        <w:t xml:space="preserve"> (2011)</w:t>
      </w:r>
      <w:r w:rsidRPr="00B53A3C" w:rsidR="00B53A3C">
        <w:rPr>
          <w:rFonts w:ascii="Century Schoolbook" w:hAnsi="Century Schoolbook"/>
        </w:rPr>
        <w:t xml:space="preserve"> 191 Cal.App.4th 1428, 1440, </w:t>
      </w:r>
      <w:r w:rsidR="00B53A3C">
        <w:rPr>
          <w:rFonts w:ascii="Century Schoolbook" w:hAnsi="Century Schoolbook"/>
        </w:rPr>
        <w:t>fn.</w:t>
      </w:r>
      <w:r w:rsidR="008B61B6">
        <w:rPr>
          <w:rFonts w:ascii="Century Schoolbook" w:hAnsi="Century Schoolbook"/>
        </w:rPr>
        <w:t> </w:t>
      </w:r>
      <w:r w:rsidR="00B53A3C">
        <w:rPr>
          <w:rFonts w:ascii="Century Schoolbook" w:hAnsi="Century Schoolbook"/>
        </w:rPr>
        <w:t>12.)  We</w:t>
      </w:r>
      <w:r w:rsidR="009E252C">
        <w:rPr>
          <w:rFonts w:ascii="Century Schoolbook" w:hAnsi="Century Schoolbook"/>
        </w:rPr>
        <w:t xml:space="preserve"> will order the trial court to modify its order such that </w:t>
      </w:r>
      <w:r w:rsidR="00B53A3C">
        <w:rPr>
          <w:rFonts w:ascii="Century Schoolbook" w:hAnsi="Century Schoolbook"/>
        </w:rPr>
        <w:t xml:space="preserve">former </w:t>
      </w:r>
      <w:r w:rsidR="009E252C">
        <w:rPr>
          <w:rFonts w:ascii="Century Schoolbook" w:hAnsi="Century Schoolbook"/>
        </w:rPr>
        <w:t xml:space="preserve">section 6254, subdivision (f) </w:t>
      </w:r>
      <w:r w:rsidR="008B61B6">
        <w:rPr>
          <w:rFonts w:ascii="Century Schoolbook" w:hAnsi="Century Schoolbook"/>
        </w:rPr>
        <w:t xml:space="preserve">of the Government Code </w:t>
      </w:r>
      <w:r w:rsidR="009E252C">
        <w:rPr>
          <w:rFonts w:ascii="Century Schoolbook" w:hAnsi="Century Schoolbook"/>
        </w:rPr>
        <w:t xml:space="preserve">is not a </w:t>
      </w:r>
      <w:r w:rsidR="00B53A3C">
        <w:rPr>
          <w:rFonts w:ascii="Century Schoolbook" w:hAnsi="Century Schoolbook"/>
        </w:rPr>
        <w:t xml:space="preserve">proper </w:t>
      </w:r>
      <w:r w:rsidR="009E252C">
        <w:rPr>
          <w:rFonts w:ascii="Century Schoolbook" w:hAnsi="Century Schoolbook"/>
        </w:rPr>
        <w:t xml:space="preserve">basis for redaction. </w:t>
      </w:r>
    </w:p>
    <w:p w:rsidR="00DE3FCC" w:rsidP="00DE3FCC" w14:paraId="56AF830F" w14:textId="77777777">
      <w:pPr>
        <w:spacing w:line="360" w:lineRule="auto"/>
        <w:jc w:val="center"/>
        <w:rPr>
          <w:rFonts w:ascii="Century Schoolbook" w:hAnsi="Century Schoolbook"/>
          <w:b/>
          <w:bCs/>
        </w:rPr>
      </w:pPr>
      <w:r>
        <w:rPr>
          <w:rFonts w:ascii="Century Schoolbook" w:hAnsi="Century Schoolbook"/>
          <w:b/>
          <w:bCs/>
        </w:rPr>
        <w:t>DISPOSITION</w:t>
      </w:r>
    </w:p>
    <w:p w:rsidR="00C50D1F" w:rsidRPr="00C50D1F" w:rsidP="00C50D1F" w14:paraId="7815057C" w14:textId="77777777">
      <w:pPr>
        <w:rPr>
          <w:rFonts w:ascii="Century Schoolbook" w:eastAsia="Times New Roman" w:hAnsi="Century Schoolbook"/>
          <w:color w:val="000000"/>
          <w:sz w:val="24"/>
          <w:szCs w:val="24"/>
        </w:rPr>
      </w:pPr>
      <w:r w:rsidRPr="00C50D1F">
        <w:rPr>
          <w:rFonts w:ascii="Century Schoolbook" w:hAnsi="Century Schoolbook"/>
          <w:b/>
          <w:bCs/>
        </w:rPr>
        <w:tab/>
      </w:r>
      <w:r w:rsidRPr="00C50D1F">
        <w:rPr>
          <w:rFonts w:ascii="Century Schoolbook" w:eastAsia="Times New Roman" w:hAnsi="Century Schoolbook"/>
          <w:color w:val="000000"/>
          <w:shd w:val="clear" w:color="auto" w:fill="FFFFFF"/>
        </w:rPr>
        <w:t>Let a peremptory writ of mandate issue directing respondent court to vacate its order of March 17, 2022, to conduct additional proceedings to reconsider which portions of the Guap report qualify for redaction under section 832.7, and to enter a new or modified order in conformance with this opinion. Costs are awarded to petitioners. </w:t>
      </w:r>
      <w:r w:rsidRPr="00C50D1F">
        <w:rPr>
          <w:rFonts w:ascii="Century Schoolbook" w:eastAsia="Times New Roman" w:hAnsi="Century Schoolbook"/>
          <w:color w:val="000000"/>
        </w:rPr>
        <w:t>(Cal. Rules of Court, rule 8.493(a)(1)(A).)</w:t>
      </w:r>
    </w:p>
    <w:p w:rsidR="005B02EB" w:rsidP="00C50D1F" w14:paraId="776315C5" w14:textId="59806E0A">
      <w:pPr>
        <w:spacing w:line="360" w:lineRule="auto"/>
        <w:rPr>
          <w:rFonts w:ascii="Century Schoolbook" w:hAnsi="Century Schoolbook"/>
        </w:rPr>
      </w:pPr>
      <w:r>
        <w:rPr>
          <w:rFonts w:ascii="Century Schoolbook" w:hAnsi="Century Schoolbook"/>
        </w:rPr>
        <w:br w:type="page"/>
      </w:r>
    </w:p>
    <w:p w:rsidR="005B02EB" w:rsidRPr="0026333A" w:rsidP="005B02EB" w14:paraId="5BA754A8" w14:textId="697C5903">
      <w:pPr>
        <w:spacing w:line="240" w:lineRule="auto"/>
        <w:rPr>
          <w:rFonts w:ascii="Century Schoolbook" w:hAnsi="Century Schoolbook"/>
        </w:rPr>
      </w:pP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0026333A">
        <w:rPr>
          <w:rFonts w:ascii="Century Schoolbook" w:hAnsi="Century Schoolbook"/>
        </w:rPr>
        <w:tab/>
      </w:r>
      <w:r w:rsidR="0026333A">
        <w:rPr>
          <w:rFonts w:ascii="Century Schoolbook" w:hAnsi="Century Schoolbook"/>
        </w:rPr>
        <w:tab/>
      </w:r>
      <w:r w:rsidR="0026333A">
        <w:rPr>
          <w:rFonts w:ascii="Century Schoolbook" w:hAnsi="Century Schoolbook"/>
        </w:rPr>
        <w:tab/>
      </w:r>
      <w:r w:rsidR="0026333A">
        <w:rPr>
          <w:rFonts w:ascii="Century Schoolbook" w:hAnsi="Century Schoolbook"/>
        </w:rPr>
        <w:tab/>
      </w:r>
      <w:r w:rsidRPr="0026333A">
        <w:rPr>
          <w:rFonts w:ascii="Century Schoolbook" w:hAnsi="Century Schoolbook"/>
        </w:rPr>
        <w:t>_________________________</w:t>
      </w:r>
    </w:p>
    <w:p w:rsidR="005B02EB" w:rsidRPr="0026333A" w:rsidP="005B02EB" w14:paraId="3D67863A" w14:textId="77777777">
      <w:pPr>
        <w:spacing w:line="240" w:lineRule="auto"/>
        <w:rPr>
          <w:rFonts w:ascii="Century Schoolbook" w:hAnsi="Century Schoolbook"/>
        </w:rPr>
      </w:pP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r>
      <w:r w:rsidRPr="0026333A">
        <w:rPr>
          <w:rFonts w:ascii="Century Schoolbook" w:hAnsi="Century Schoolbook"/>
        </w:rPr>
        <w:tab/>
        <w:t>Richman, J.</w:t>
      </w:r>
    </w:p>
    <w:p w:rsidR="005B02EB" w:rsidRPr="0026333A" w:rsidP="005B02EB" w14:paraId="479526B4" w14:textId="77777777">
      <w:pPr>
        <w:spacing w:line="240" w:lineRule="auto"/>
        <w:rPr>
          <w:rFonts w:ascii="Century Schoolbook" w:hAnsi="Century Schoolbook"/>
        </w:rPr>
      </w:pPr>
    </w:p>
    <w:p w:rsidR="005B02EB" w:rsidRPr="0026333A" w:rsidP="005B02EB" w14:paraId="3FFA93BE" w14:textId="77777777">
      <w:pPr>
        <w:spacing w:line="240" w:lineRule="auto"/>
        <w:rPr>
          <w:rFonts w:ascii="Century Schoolbook" w:hAnsi="Century Schoolbook"/>
        </w:rPr>
      </w:pPr>
    </w:p>
    <w:p w:rsidR="005B02EB" w:rsidRPr="0026333A" w:rsidP="005B02EB" w14:paraId="0B02BD63" w14:textId="77777777">
      <w:pPr>
        <w:spacing w:line="240" w:lineRule="auto"/>
        <w:rPr>
          <w:rFonts w:ascii="Century Schoolbook" w:hAnsi="Century Schoolbook"/>
        </w:rPr>
      </w:pPr>
      <w:r w:rsidRPr="0026333A">
        <w:rPr>
          <w:rFonts w:ascii="Century Schoolbook" w:hAnsi="Century Schoolbook"/>
        </w:rPr>
        <w:t>We concur:</w:t>
      </w:r>
    </w:p>
    <w:p w:rsidR="005B02EB" w:rsidRPr="0026333A" w:rsidP="005B02EB" w14:paraId="03283EE2" w14:textId="77777777">
      <w:pPr>
        <w:spacing w:line="240" w:lineRule="auto"/>
        <w:rPr>
          <w:rFonts w:ascii="Century Schoolbook" w:hAnsi="Century Schoolbook"/>
        </w:rPr>
      </w:pPr>
    </w:p>
    <w:p w:rsidR="005B02EB" w:rsidRPr="0026333A" w:rsidP="005B02EB" w14:paraId="3A011541" w14:textId="77777777">
      <w:pPr>
        <w:spacing w:line="240" w:lineRule="auto"/>
        <w:rPr>
          <w:rFonts w:ascii="Century Schoolbook" w:hAnsi="Century Schoolbook"/>
        </w:rPr>
      </w:pPr>
    </w:p>
    <w:p w:rsidR="005B02EB" w:rsidRPr="0026333A" w:rsidP="005B02EB" w14:paraId="56993E73" w14:textId="77777777">
      <w:pPr>
        <w:spacing w:line="240" w:lineRule="auto"/>
        <w:rPr>
          <w:rFonts w:ascii="Century Schoolbook" w:hAnsi="Century Schoolbook"/>
        </w:rPr>
      </w:pPr>
      <w:r w:rsidRPr="0026333A">
        <w:rPr>
          <w:rFonts w:ascii="Century Schoolbook" w:hAnsi="Century Schoolbook"/>
        </w:rPr>
        <w:t>_________________________</w:t>
      </w:r>
    </w:p>
    <w:p w:rsidR="005B02EB" w:rsidRPr="0026333A" w:rsidP="005B02EB" w14:paraId="4FFD9878" w14:textId="77777777">
      <w:pPr>
        <w:spacing w:line="240" w:lineRule="auto"/>
        <w:rPr>
          <w:rFonts w:ascii="Century Schoolbook" w:hAnsi="Century Schoolbook"/>
        </w:rPr>
      </w:pPr>
      <w:r w:rsidRPr="0026333A">
        <w:rPr>
          <w:rFonts w:ascii="Century Schoolbook" w:hAnsi="Century Schoolbook"/>
        </w:rPr>
        <w:t>Stewart, P.J.</w:t>
      </w:r>
    </w:p>
    <w:p w:rsidR="005B02EB" w:rsidRPr="0026333A" w:rsidP="005B02EB" w14:paraId="4ECF1380" w14:textId="77777777">
      <w:pPr>
        <w:spacing w:line="240" w:lineRule="auto"/>
        <w:rPr>
          <w:rFonts w:ascii="Century Schoolbook" w:hAnsi="Century Schoolbook"/>
        </w:rPr>
      </w:pPr>
    </w:p>
    <w:p w:rsidR="005B02EB" w:rsidRPr="0026333A" w:rsidP="005B02EB" w14:paraId="792C0284" w14:textId="77777777">
      <w:pPr>
        <w:spacing w:line="240" w:lineRule="auto"/>
        <w:rPr>
          <w:rFonts w:ascii="Century Schoolbook" w:hAnsi="Century Schoolbook"/>
        </w:rPr>
      </w:pPr>
    </w:p>
    <w:p w:rsidR="005B02EB" w:rsidRPr="0026333A" w:rsidP="005B02EB" w14:paraId="28698D2C" w14:textId="77777777">
      <w:pPr>
        <w:spacing w:line="240" w:lineRule="auto"/>
        <w:rPr>
          <w:rFonts w:ascii="Century Schoolbook" w:hAnsi="Century Schoolbook"/>
        </w:rPr>
      </w:pPr>
      <w:r w:rsidRPr="0026333A">
        <w:rPr>
          <w:rFonts w:ascii="Century Schoolbook" w:hAnsi="Century Schoolbook"/>
        </w:rPr>
        <w:t>_________________________</w:t>
      </w:r>
    </w:p>
    <w:p w:rsidR="005B02EB" w:rsidRPr="0026333A" w:rsidP="005B02EB" w14:paraId="74599757" w14:textId="77777777">
      <w:pPr>
        <w:spacing w:line="240" w:lineRule="auto"/>
        <w:rPr>
          <w:rFonts w:ascii="Century Schoolbook" w:hAnsi="Century Schoolbook"/>
        </w:rPr>
      </w:pPr>
      <w:r w:rsidRPr="0026333A">
        <w:rPr>
          <w:rFonts w:ascii="Century Schoolbook" w:hAnsi="Century Schoolbook"/>
        </w:rPr>
        <w:t>Miller, J.</w:t>
      </w:r>
    </w:p>
    <w:p w:rsidR="005B02EB" w:rsidRPr="0026333A" w:rsidP="005B02EB" w14:paraId="2C0FD3F3" w14:textId="77777777">
      <w:pPr>
        <w:spacing w:line="240" w:lineRule="auto"/>
        <w:rPr>
          <w:rFonts w:ascii="Century Schoolbook" w:hAnsi="Century Schoolbook"/>
        </w:rPr>
      </w:pPr>
    </w:p>
    <w:p w:rsidR="00865037" w:rsidP="005B02EB" w14:paraId="68229B1B" w14:textId="77777777">
      <w:pPr>
        <w:spacing w:line="240" w:lineRule="auto"/>
        <w:rPr>
          <w:rFonts w:ascii="Century Schoolbook" w:hAnsi="Century Schoolbook"/>
        </w:rPr>
        <w:sectPr>
          <w:footerReference w:type="even" r:id="rId6"/>
          <w:footerReference w:type="default" r:id="rId7"/>
          <w:pgSz w:w="12240" w:h="15840"/>
          <w:pgMar w:top="1440" w:right="1440" w:bottom="1440" w:left="1440" w:header="720" w:footer="720" w:gutter="0"/>
          <w:cols w:space="720"/>
          <w:docGrid w:linePitch="360"/>
        </w:sectPr>
      </w:pPr>
    </w:p>
    <w:p w:rsidR="00865037" w:rsidRPr="006F3E3E" w:rsidP="00865037" w14:paraId="567D545F" w14:textId="4DE47780">
      <w:pPr>
        <w:spacing w:line="240" w:lineRule="auto"/>
        <w:rPr>
          <w:rFonts w:ascii="Century Schoolbook" w:hAnsi="Century Schoolbook"/>
          <w:sz w:val="20"/>
        </w:rPr>
      </w:pPr>
      <w:r w:rsidRPr="006F3E3E">
        <w:rPr>
          <w:rFonts w:ascii="Century Schoolbook" w:hAnsi="Century Schoolbook"/>
          <w:sz w:val="20"/>
        </w:rPr>
        <w:t>Filed 9/25/23</w:t>
      </w:r>
    </w:p>
    <w:p w:rsidR="00865037" w:rsidRPr="006F3E3E" w:rsidP="00865037" w14:paraId="211AA7D7" w14:textId="77777777">
      <w:pPr>
        <w:spacing w:line="240" w:lineRule="auto"/>
        <w:rPr>
          <w:rFonts w:ascii="Century Schoolbook" w:hAnsi="Century Schoolbook"/>
          <w:sz w:val="20"/>
        </w:rPr>
      </w:pPr>
    </w:p>
    <w:p w:rsidR="00865037" w:rsidRPr="006F3E3E" w:rsidP="00865037" w14:paraId="16A5A917" w14:textId="77777777">
      <w:pPr>
        <w:spacing w:line="240" w:lineRule="auto"/>
        <w:jc w:val="center"/>
        <w:rPr>
          <w:rFonts w:ascii="Century Schoolbook" w:hAnsi="Century Schoolbook"/>
          <w:b/>
        </w:rPr>
      </w:pPr>
      <w:r w:rsidRPr="006F3E3E">
        <w:rPr>
          <w:rFonts w:ascii="Century Schoolbook" w:hAnsi="Century Schoolbook"/>
          <w:b/>
        </w:rPr>
        <w:t>CERTIFIED FOR PUBLICATION</w:t>
      </w:r>
    </w:p>
    <w:p w:rsidR="00865037" w:rsidRPr="006F3E3E" w:rsidP="00865037" w14:paraId="6C54A3DB" w14:textId="77777777">
      <w:pPr>
        <w:spacing w:line="240" w:lineRule="auto"/>
        <w:jc w:val="center"/>
        <w:rPr>
          <w:rFonts w:ascii="Century Schoolbook" w:hAnsi="Century Schoolbook"/>
        </w:rPr>
      </w:pPr>
    </w:p>
    <w:p w:rsidR="00865037" w:rsidRPr="006F3E3E" w:rsidP="00865037" w14:paraId="061EF3DC" w14:textId="77777777">
      <w:pPr>
        <w:spacing w:line="240" w:lineRule="auto"/>
        <w:jc w:val="center"/>
        <w:rPr>
          <w:rFonts w:ascii="Century Schoolbook" w:hAnsi="Century Schoolbook"/>
          <w:szCs w:val="26"/>
        </w:rPr>
      </w:pPr>
      <w:r w:rsidRPr="006F3E3E">
        <w:rPr>
          <w:rFonts w:ascii="Century Schoolbook" w:hAnsi="Century Schoolbook"/>
          <w:szCs w:val="26"/>
        </w:rPr>
        <w:t>IN THE COURT OF APPEAL OF THE STATE OF CALIFORNIA</w:t>
      </w:r>
    </w:p>
    <w:p w:rsidR="00865037" w:rsidRPr="006F3E3E" w:rsidP="00865037" w14:paraId="6C7DF697" w14:textId="77777777">
      <w:pPr>
        <w:spacing w:line="240" w:lineRule="auto"/>
        <w:jc w:val="center"/>
        <w:rPr>
          <w:rFonts w:ascii="Century Schoolbook" w:hAnsi="Century Schoolbook"/>
          <w:szCs w:val="26"/>
        </w:rPr>
      </w:pPr>
    </w:p>
    <w:p w:rsidR="00865037" w:rsidRPr="006F3E3E" w:rsidP="00865037" w14:paraId="3769FD7C" w14:textId="77777777">
      <w:pPr>
        <w:spacing w:line="240" w:lineRule="auto"/>
        <w:jc w:val="center"/>
        <w:rPr>
          <w:rFonts w:ascii="Century Schoolbook" w:hAnsi="Century Schoolbook"/>
          <w:szCs w:val="26"/>
        </w:rPr>
      </w:pPr>
      <w:r w:rsidRPr="006F3E3E">
        <w:rPr>
          <w:rFonts w:ascii="Century Schoolbook" w:hAnsi="Century Schoolbook"/>
          <w:szCs w:val="26"/>
        </w:rPr>
        <w:t>FIRST APPELLATE DISTRICT</w:t>
      </w:r>
    </w:p>
    <w:p w:rsidR="00865037" w:rsidRPr="006F3E3E" w:rsidP="00865037" w14:paraId="782E56FC" w14:textId="77777777">
      <w:pPr>
        <w:spacing w:line="240" w:lineRule="auto"/>
        <w:jc w:val="center"/>
        <w:rPr>
          <w:rFonts w:ascii="Century Schoolbook" w:hAnsi="Century Schoolbook"/>
          <w:szCs w:val="26"/>
        </w:rPr>
      </w:pPr>
    </w:p>
    <w:p w:rsidR="00865037" w:rsidRPr="006F3E3E" w:rsidP="00865037" w14:paraId="24CBF2B1" w14:textId="77777777">
      <w:pPr>
        <w:spacing w:line="240" w:lineRule="auto"/>
        <w:jc w:val="center"/>
        <w:rPr>
          <w:rFonts w:ascii="Century Schoolbook" w:hAnsi="Century Schoolbook"/>
          <w:szCs w:val="26"/>
        </w:rPr>
      </w:pPr>
      <w:r w:rsidRPr="006F3E3E">
        <w:rPr>
          <w:rFonts w:ascii="Century Schoolbook" w:hAnsi="Century Schoolbook"/>
          <w:szCs w:val="26"/>
        </w:rPr>
        <w:t>DIVISION TWO</w:t>
      </w:r>
    </w:p>
    <w:p w:rsidR="00865037" w:rsidRPr="006F3E3E" w:rsidP="00865037" w14:paraId="3F2A2E91" w14:textId="77777777">
      <w:pPr>
        <w:spacing w:line="240" w:lineRule="auto"/>
        <w:jc w:val="center"/>
        <w:rPr>
          <w:rFonts w:ascii="Century Schoolbook" w:hAnsi="Century Schoolbook"/>
          <w:szCs w:val="26"/>
        </w:rPr>
      </w:pPr>
    </w:p>
    <w:p w:rsidR="00865037" w:rsidRPr="006F3E3E" w:rsidP="00865037" w14:paraId="50494857" w14:textId="77777777">
      <w:pPr>
        <w:spacing w:line="240" w:lineRule="auto"/>
        <w:jc w:val="center"/>
        <w:rPr>
          <w:rFonts w:ascii="Century Schoolbook" w:hAnsi="Century Schoolbook"/>
          <w:szCs w:val="26"/>
        </w:rPr>
      </w:pPr>
    </w:p>
    <w:tbl>
      <w:tblPr>
        <w:tblW w:w="0" w:type="auto"/>
        <w:tblLayout w:type="fixed"/>
        <w:tblLook w:val="0000"/>
      </w:tblPr>
      <w:tblGrid>
        <w:gridCol w:w="4680"/>
        <w:gridCol w:w="4680"/>
      </w:tblGrid>
      <w:tr w14:paraId="49735F30" w14:textId="77777777" w:rsidTr="00EA563E">
        <w:tblPrEx>
          <w:tblW w:w="0" w:type="auto"/>
          <w:tblLayout w:type="fixed"/>
          <w:tblLook w:val="0000"/>
        </w:tblPrEx>
        <w:tc>
          <w:tcPr>
            <w:tcW w:w="4680" w:type="dxa"/>
            <w:tcBorders>
              <w:bottom w:val="single" w:sz="4" w:space="0" w:color="auto"/>
              <w:right w:val="single" w:sz="4" w:space="0" w:color="auto"/>
            </w:tcBorders>
            <w:shd w:val="clear" w:color="auto" w:fill="auto"/>
          </w:tcPr>
          <w:p w:rsidR="00865037" w:rsidRPr="006F3E3E" w:rsidP="00EA563E" w14:paraId="26691F61" w14:textId="77777777">
            <w:pPr>
              <w:spacing w:after="120" w:line="240" w:lineRule="auto"/>
              <w:rPr>
                <w:rFonts w:ascii="Century Schoolbook" w:hAnsi="Century Schoolbook"/>
                <w:szCs w:val="26"/>
              </w:rPr>
            </w:pPr>
            <w:r w:rsidRPr="006F3E3E">
              <w:rPr>
                <w:rFonts w:ascii="Century Schoolbook" w:hAnsi="Century Schoolbook"/>
                <w:szCs w:val="26"/>
              </w:rPr>
              <w:t>DARWIN BONDGRAHAM, et al.,</w:t>
            </w:r>
          </w:p>
          <w:p w:rsidR="00865037" w:rsidRPr="006F3E3E" w:rsidP="00EA563E" w14:paraId="29E583B0" w14:textId="77777777">
            <w:pPr>
              <w:spacing w:after="120" w:line="240" w:lineRule="auto"/>
              <w:rPr>
                <w:rFonts w:ascii="Century Schoolbook" w:hAnsi="Century Schoolbook"/>
                <w:szCs w:val="26"/>
              </w:rPr>
            </w:pPr>
            <w:r w:rsidRPr="006F3E3E">
              <w:rPr>
                <w:rFonts w:ascii="Century Schoolbook" w:hAnsi="Century Schoolbook"/>
                <w:szCs w:val="26"/>
              </w:rPr>
              <w:tab/>
              <w:t>Petitioners,</w:t>
            </w:r>
          </w:p>
          <w:p w:rsidR="00865037" w:rsidRPr="006F3E3E" w:rsidP="00EA563E" w14:paraId="64F9BA4C" w14:textId="77777777">
            <w:pPr>
              <w:spacing w:after="120" w:line="240" w:lineRule="auto"/>
              <w:rPr>
                <w:rFonts w:ascii="Century Schoolbook" w:hAnsi="Century Schoolbook"/>
                <w:szCs w:val="26"/>
              </w:rPr>
            </w:pPr>
            <w:r w:rsidRPr="006F3E3E">
              <w:rPr>
                <w:rFonts w:ascii="Century Schoolbook" w:hAnsi="Century Schoolbook"/>
                <w:szCs w:val="26"/>
              </w:rPr>
              <w:t>v.</w:t>
            </w:r>
          </w:p>
          <w:p w:rsidR="00865037" w:rsidRPr="006F3E3E" w:rsidP="00EA563E" w14:paraId="5B6CDAC3" w14:textId="77777777">
            <w:pPr>
              <w:spacing w:after="120" w:line="240" w:lineRule="auto"/>
              <w:rPr>
                <w:rFonts w:ascii="Century Schoolbook" w:hAnsi="Century Schoolbook"/>
                <w:szCs w:val="26"/>
              </w:rPr>
            </w:pPr>
            <w:r w:rsidRPr="006F3E3E">
              <w:rPr>
                <w:rFonts w:ascii="Century Schoolbook" w:hAnsi="Century Schoolbook"/>
                <w:szCs w:val="26"/>
              </w:rPr>
              <w:t>THE SUPERIOR COURT OF ALAMEDA COUNTY,</w:t>
            </w:r>
          </w:p>
          <w:p w:rsidR="00865037" w:rsidRPr="006F3E3E" w:rsidP="00EA563E" w14:paraId="7A114CEB" w14:textId="77777777">
            <w:pPr>
              <w:spacing w:after="120" w:line="240" w:lineRule="auto"/>
              <w:rPr>
                <w:rFonts w:ascii="Century Schoolbook" w:hAnsi="Century Schoolbook"/>
                <w:szCs w:val="26"/>
              </w:rPr>
            </w:pPr>
            <w:r w:rsidRPr="006F3E3E">
              <w:rPr>
                <w:rFonts w:ascii="Century Schoolbook" w:hAnsi="Century Schoolbook"/>
                <w:szCs w:val="26"/>
              </w:rPr>
              <w:tab/>
              <w:t>Respondent;</w:t>
            </w:r>
          </w:p>
          <w:p w:rsidR="00865037" w:rsidRPr="006F3E3E" w:rsidP="00EA563E" w14:paraId="04C0CAA9" w14:textId="77777777">
            <w:pPr>
              <w:spacing w:after="120" w:line="240" w:lineRule="auto"/>
              <w:rPr>
                <w:rFonts w:ascii="Century Schoolbook" w:hAnsi="Century Schoolbook"/>
                <w:szCs w:val="26"/>
              </w:rPr>
            </w:pPr>
            <w:r w:rsidRPr="006F3E3E">
              <w:rPr>
                <w:rFonts w:ascii="Century Schoolbook" w:hAnsi="Century Schoolbook"/>
                <w:szCs w:val="26"/>
              </w:rPr>
              <w:t>CITY OF OAKLAND, et al.,</w:t>
            </w:r>
          </w:p>
          <w:p w:rsidR="00865037" w:rsidRPr="006F3E3E" w:rsidP="00EA563E" w14:paraId="732B6F76" w14:textId="77777777">
            <w:pPr>
              <w:spacing w:after="120" w:line="240" w:lineRule="auto"/>
              <w:ind w:firstLine="696"/>
              <w:rPr>
                <w:rFonts w:ascii="Century Schoolbook" w:hAnsi="Century Schoolbook"/>
                <w:szCs w:val="26"/>
              </w:rPr>
            </w:pPr>
            <w:r w:rsidRPr="006F3E3E">
              <w:rPr>
                <w:rFonts w:ascii="Century Schoolbook" w:hAnsi="Century Schoolbook"/>
                <w:szCs w:val="26"/>
              </w:rPr>
              <w:t>Real Parties in Interest.</w:t>
            </w:r>
          </w:p>
        </w:tc>
        <w:tc>
          <w:tcPr>
            <w:tcW w:w="4680" w:type="dxa"/>
            <w:tcBorders>
              <w:left w:val="single" w:sz="4" w:space="0" w:color="auto"/>
            </w:tcBorders>
            <w:shd w:val="clear" w:color="auto" w:fill="auto"/>
          </w:tcPr>
          <w:p w:rsidR="00865037" w:rsidRPr="006F3E3E" w:rsidP="00EA563E" w14:paraId="645FF94D" w14:textId="77777777">
            <w:pPr>
              <w:spacing w:line="240" w:lineRule="auto"/>
              <w:rPr>
                <w:rFonts w:ascii="Century Schoolbook" w:hAnsi="Century Schoolbook"/>
                <w:szCs w:val="26"/>
              </w:rPr>
            </w:pPr>
          </w:p>
          <w:p w:rsidR="00865037" w:rsidRPr="006F3E3E" w:rsidP="00EA563E" w14:paraId="50EBED7E" w14:textId="77777777">
            <w:pPr>
              <w:spacing w:line="240" w:lineRule="auto"/>
              <w:rPr>
                <w:rFonts w:ascii="Century Schoolbook" w:hAnsi="Century Schoolbook"/>
                <w:szCs w:val="26"/>
              </w:rPr>
            </w:pPr>
          </w:p>
          <w:p w:rsidR="00865037" w:rsidRPr="006F3E3E" w:rsidP="00EA563E" w14:paraId="0602D18B" w14:textId="77777777">
            <w:pPr>
              <w:spacing w:line="240" w:lineRule="auto"/>
              <w:rPr>
                <w:rFonts w:ascii="Century Schoolbook" w:hAnsi="Century Schoolbook"/>
                <w:szCs w:val="26"/>
              </w:rPr>
            </w:pPr>
            <w:r w:rsidRPr="006F3E3E">
              <w:rPr>
                <w:rFonts w:ascii="Century Schoolbook" w:hAnsi="Century Schoolbook"/>
                <w:szCs w:val="26"/>
              </w:rPr>
              <w:t xml:space="preserve">      A165187</w:t>
            </w:r>
          </w:p>
          <w:p w:rsidR="00865037" w:rsidRPr="006F3E3E" w:rsidP="00EA563E" w14:paraId="352D8203" w14:textId="77777777">
            <w:pPr>
              <w:spacing w:line="240" w:lineRule="auto"/>
              <w:rPr>
                <w:rFonts w:ascii="Century Schoolbook" w:hAnsi="Century Schoolbook"/>
                <w:szCs w:val="26"/>
              </w:rPr>
            </w:pPr>
          </w:p>
          <w:p w:rsidR="00865037" w:rsidRPr="006F3E3E" w:rsidP="00EA563E" w14:paraId="2DE16FA1" w14:textId="77777777">
            <w:pPr>
              <w:spacing w:line="240" w:lineRule="auto"/>
              <w:ind w:left="434" w:right="973"/>
              <w:rPr>
                <w:rFonts w:ascii="Century Schoolbook" w:hAnsi="Century Schoolbook"/>
                <w:szCs w:val="26"/>
              </w:rPr>
            </w:pPr>
            <w:r w:rsidRPr="006F3E3E">
              <w:rPr>
                <w:rFonts w:ascii="Century Schoolbook" w:hAnsi="Century Schoolbook"/>
                <w:szCs w:val="26"/>
              </w:rPr>
              <w:t>(Alameda County Super. Ct. No. RG20071657)</w:t>
            </w:r>
          </w:p>
          <w:p w:rsidR="00865037" w:rsidRPr="006F3E3E" w:rsidP="00EA563E" w14:paraId="3C84325B" w14:textId="77777777">
            <w:pPr>
              <w:spacing w:line="240" w:lineRule="auto"/>
              <w:rPr>
                <w:rFonts w:ascii="Century Schoolbook" w:hAnsi="Century Schoolbook"/>
                <w:szCs w:val="26"/>
              </w:rPr>
            </w:pPr>
          </w:p>
          <w:p w:rsidR="00865037" w:rsidRPr="006F3E3E" w:rsidP="00EA563E" w14:paraId="368C8FBF" w14:textId="77777777">
            <w:pPr>
              <w:spacing w:line="240" w:lineRule="auto"/>
              <w:ind w:left="344"/>
              <w:rPr>
                <w:rFonts w:ascii="Century Schoolbook" w:hAnsi="Century Schoolbook"/>
                <w:szCs w:val="26"/>
              </w:rPr>
            </w:pPr>
            <w:r w:rsidRPr="006F3E3E">
              <w:rPr>
                <w:rFonts w:ascii="Century Schoolbook" w:hAnsi="Century Schoolbook"/>
                <w:b/>
                <w:bCs/>
              </w:rPr>
              <w:t>ORDER CERTIFYING      OPINION FOR PUBLICATION</w:t>
            </w:r>
          </w:p>
        </w:tc>
      </w:tr>
    </w:tbl>
    <w:p w:rsidR="00865037" w:rsidRPr="006F3E3E" w:rsidP="00865037" w14:paraId="6A17953E" w14:textId="77777777">
      <w:pPr>
        <w:spacing w:line="360" w:lineRule="auto"/>
        <w:rPr>
          <w:rFonts w:ascii="Century Schoolbook" w:hAnsi="Century Schoolbook"/>
          <w:b/>
          <w:bCs/>
        </w:rPr>
      </w:pPr>
    </w:p>
    <w:p w:rsidR="00865037" w:rsidRPr="006F3E3E" w:rsidP="00865037" w14:paraId="25C55F70" w14:textId="77777777">
      <w:pPr>
        <w:spacing w:line="360" w:lineRule="auto"/>
        <w:rPr>
          <w:rFonts w:ascii="Century Schoolbook" w:hAnsi="Century Schoolbook"/>
          <w:b/>
          <w:bCs/>
        </w:rPr>
      </w:pPr>
      <w:r w:rsidRPr="006F3E3E">
        <w:rPr>
          <w:rFonts w:ascii="Century Schoolbook" w:hAnsi="Century Schoolbook"/>
          <w:b/>
          <w:bCs/>
        </w:rPr>
        <w:t>THE COURT:</w:t>
      </w:r>
    </w:p>
    <w:p w:rsidR="00865037" w:rsidRPr="006F3E3E" w:rsidP="00865037" w14:paraId="1FEB2574" w14:textId="77777777">
      <w:pPr>
        <w:spacing w:line="360" w:lineRule="auto"/>
        <w:rPr>
          <w:rFonts w:ascii="Century Schoolbook" w:hAnsi="Century Schoolbook"/>
        </w:rPr>
      </w:pPr>
      <w:r w:rsidRPr="006F3E3E">
        <w:rPr>
          <w:rFonts w:ascii="Century Schoolbook" w:hAnsi="Century Schoolbook"/>
        </w:rPr>
        <w:tab/>
        <w:t xml:space="preserve">The opinion in the above-entitled matter filed on </w:t>
      </w:r>
      <w:r>
        <w:rPr>
          <w:rFonts w:ascii="Century Schoolbook" w:hAnsi="Century Schoolbook"/>
        </w:rPr>
        <w:t>August 2</w:t>
      </w:r>
      <w:r w:rsidRPr="006F3E3E">
        <w:rPr>
          <w:rFonts w:ascii="Century Schoolbook" w:hAnsi="Century Schoolbook"/>
        </w:rPr>
        <w:t>3, 202</w:t>
      </w:r>
      <w:r>
        <w:rPr>
          <w:rFonts w:ascii="Century Schoolbook" w:hAnsi="Century Schoolbook"/>
        </w:rPr>
        <w:t>3</w:t>
      </w:r>
      <w:r w:rsidRPr="006F3E3E">
        <w:rPr>
          <w:rFonts w:ascii="Century Schoolbook" w:hAnsi="Century Schoolbook"/>
        </w:rPr>
        <w:t xml:space="preserve">, was not certified for publication in the Official Reports.  For good cause the request for publication by </w:t>
      </w:r>
      <w:r>
        <w:rPr>
          <w:rFonts w:ascii="Century Schoolbook" w:hAnsi="Century Schoolbook"/>
        </w:rPr>
        <w:t xml:space="preserve">petitioners </w:t>
      </w:r>
      <w:r w:rsidRPr="006F3E3E">
        <w:rPr>
          <w:rFonts w:ascii="Century Schoolbook" w:hAnsi="Century Schoolbook"/>
        </w:rPr>
        <w:t>is granted.</w:t>
      </w:r>
    </w:p>
    <w:p w:rsidR="00865037" w:rsidRPr="006F3E3E" w:rsidP="00865037" w14:paraId="1B089DD9" w14:textId="77777777">
      <w:pPr>
        <w:spacing w:line="360" w:lineRule="auto"/>
        <w:rPr>
          <w:rFonts w:ascii="Century Schoolbook" w:hAnsi="Century Schoolbook"/>
        </w:rPr>
      </w:pPr>
    </w:p>
    <w:p w:rsidR="00865037" w:rsidRPr="006F3E3E" w:rsidP="00865037" w14:paraId="349C44FB" w14:textId="77777777">
      <w:pPr>
        <w:spacing w:line="360" w:lineRule="auto"/>
        <w:rPr>
          <w:rFonts w:ascii="Century Schoolbook" w:hAnsi="Century Schoolbook"/>
        </w:rPr>
      </w:pPr>
    </w:p>
    <w:p w:rsidR="00865037" w:rsidRPr="006F3E3E" w:rsidP="00865037" w14:paraId="6A0F1F08" w14:textId="77777777">
      <w:pPr>
        <w:spacing w:line="240" w:lineRule="auto"/>
        <w:rPr>
          <w:rFonts w:ascii="Century Schoolbook" w:hAnsi="Century Schoolbook"/>
        </w:rPr>
      </w:pPr>
      <w:r w:rsidRPr="006F3E3E">
        <w:rPr>
          <w:rFonts w:ascii="Century Schoolbook" w:hAnsi="Century Schoolbook"/>
        </w:rPr>
        <w:t>Date:  _______________</w:t>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t>___________________________</w:t>
      </w:r>
      <w:r>
        <w:rPr>
          <w:rFonts w:ascii="Century Schoolbook" w:hAnsi="Century Schoolbook"/>
        </w:rPr>
        <w:t>__</w:t>
      </w:r>
    </w:p>
    <w:p w:rsidR="00865037" w:rsidRPr="006F3E3E" w:rsidP="00865037" w14:paraId="61266B8B" w14:textId="77777777">
      <w:pPr>
        <w:spacing w:line="240" w:lineRule="auto"/>
        <w:rPr>
          <w:rFonts w:ascii="Century Schoolbook" w:hAnsi="Century Schoolbook"/>
        </w:rPr>
      </w:pP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Pr>
          <w:rFonts w:ascii="Century Schoolbook" w:hAnsi="Century Schoolbook"/>
        </w:rPr>
        <w:tab/>
      </w:r>
      <w:r w:rsidRPr="006F3E3E">
        <w:rPr>
          <w:rFonts w:ascii="Century Schoolbook" w:hAnsi="Century Schoolbook"/>
        </w:rPr>
        <w:t>Stewart, P.J.</w:t>
      </w:r>
    </w:p>
    <w:p w:rsidR="00865037" w:rsidRPr="006F3E3E" w:rsidP="00865037" w14:paraId="19F89415" w14:textId="77777777">
      <w:pPr>
        <w:spacing w:line="240" w:lineRule="auto"/>
        <w:rPr>
          <w:rFonts w:ascii="Century Schoolbook" w:hAnsi="Century Schoolbook"/>
        </w:rPr>
      </w:pPr>
    </w:p>
    <w:p w:rsidR="00865037" w:rsidRPr="006F3E3E" w:rsidP="00865037" w14:paraId="7055A246" w14:textId="77777777">
      <w:pPr>
        <w:spacing w:line="240" w:lineRule="auto"/>
        <w:rPr>
          <w:rFonts w:ascii="Century Schoolbook" w:hAnsi="Century Schoolbook"/>
        </w:rPr>
      </w:pPr>
    </w:p>
    <w:p w:rsidR="00865037" w:rsidRPr="006F3E3E" w:rsidP="00865037" w14:paraId="203F3D8F" w14:textId="77777777">
      <w:pPr>
        <w:spacing w:line="240" w:lineRule="auto"/>
        <w:rPr>
          <w:rFonts w:ascii="Century Schoolbook" w:hAnsi="Century Schoolbook"/>
        </w:rPr>
      </w:pPr>
    </w:p>
    <w:p w:rsidR="00865037" w:rsidRPr="006F3E3E" w:rsidP="00865037" w14:paraId="3529609B" w14:textId="77777777">
      <w:pPr>
        <w:tabs>
          <w:tab w:val="clear" w:pos="720"/>
        </w:tabs>
        <w:spacing w:line="360" w:lineRule="auto"/>
        <w:rPr>
          <w:rFonts w:ascii="Century Schoolbook" w:hAnsi="Century Schoolbook"/>
        </w:rPr>
      </w:pPr>
      <w:r w:rsidRPr="006F3E3E">
        <w:rPr>
          <w:rFonts w:ascii="Century Schoolbook" w:hAnsi="Century Schoolbook"/>
        </w:rPr>
        <w:br w:type="page"/>
      </w:r>
    </w:p>
    <w:p w:rsidR="00865037" w:rsidRPr="006F3E3E" w:rsidP="00865037" w14:paraId="0F6BE2FE" w14:textId="77777777">
      <w:pPr>
        <w:spacing w:line="240" w:lineRule="auto"/>
        <w:rPr>
          <w:rFonts w:ascii="Century Schoolbook" w:hAnsi="Century Schoolbook"/>
        </w:rPr>
      </w:pPr>
      <w:r w:rsidRPr="006F3E3E">
        <w:rPr>
          <w:rFonts w:ascii="Century Schoolbook" w:hAnsi="Century Schoolbook"/>
        </w:rPr>
        <w:t>Trial Court:</w:t>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Pr>
          <w:rFonts w:ascii="Century Schoolbook" w:hAnsi="Century Schoolbook"/>
        </w:rPr>
        <w:tab/>
        <w:t xml:space="preserve">Alameda </w:t>
      </w:r>
      <w:r w:rsidRPr="006F3E3E">
        <w:rPr>
          <w:rFonts w:ascii="Century Schoolbook" w:hAnsi="Century Schoolbook"/>
        </w:rPr>
        <w:t>County Superior Court</w:t>
      </w:r>
    </w:p>
    <w:p w:rsidR="00865037" w:rsidRPr="006F3E3E" w:rsidP="00865037" w14:paraId="38EFE518" w14:textId="77777777">
      <w:pPr>
        <w:spacing w:line="240" w:lineRule="auto"/>
        <w:rPr>
          <w:rFonts w:ascii="Century Schoolbook" w:hAnsi="Century Schoolbook"/>
        </w:rPr>
      </w:pPr>
    </w:p>
    <w:p w:rsidR="00865037" w:rsidRPr="006F3E3E" w:rsidP="00865037" w14:paraId="663493BF" w14:textId="77777777">
      <w:pPr>
        <w:spacing w:line="240" w:lineRule="auto"/>
        <w:rPr>
          <w:rFonts w:ascii="Century Schoolbook" w:hAnsi="Century Schoolbook"/>
        </w:rPr>
      </w:pPr>
      <w:r w:rsidRPr="006F3E3E">
        <w:rPr>
          <w:rFonts w:ascii="Century Schoolbook" w:hAnsi="Century Schoolbook"/>
        </w:rPr>
        <w:t>Trial Judge:</w:t>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Pr>
          <w:rFonts w:ascii="Century Schoolbook" w:hAnsi="Century Schoolbook"/>
        </w:rPr>
        <w:tab/>
      </w:r>
      <w:r w:rsidRPr="006F3E3E">
        <w:rPr>
          <w:rFonts w:ascii="Century Schoolbook" w:hAnsi="Century Schoolbook"/>
        </w:rPr>
        <w:t xml:space="preserve">Hon. </w:t>
      </w:r>
      <w:r>
        <w:rPr>
          <w:rFonts w:ascii="Century Schoolbook" w:hAnsi="Century Schoolbook"/>
        </w:rPr>
        <w:t>Frank Roesch</w:t>
      </w:r>
    </w:p>
    <w:p w:rsidR="00865037" w:rsidRPr="006F3E3E" w:rsidP="00865037" w14:paraId="0A14F1EA" w14:textId="77777777">
      <w:pPr>
        <w:spacing w:line="240" w:lineRule="auto"/>
        <w:rPr>
          <w:rFonts w:ascii="Century Schoolbook" w:hAnsi="Century Schoolbook"/>
        </w:rPr>
      </w:pPr>
    </w:p>
    <w:p w:rsidR="00865037" w:rsidRPr="006F3E3E" w:rsidP="00865037" w14:paraId="60914438" w14:textId="77777777">
      <w:pPr>
        <w:spacing w:line="240" w:lineRule="auto"/>
        <w:rPr>
          <w:rFonts w:ascii="Century Schoolbook" w:hAnsi="Century Schoolbook"/>
        </w:rPr>
      </w:pPr>
      <w:r w:rsidRPr="006F3E3E">
        <w:rPr>
          <w:rFonts w:ascii="Century Schoolbook" w:hAnsi="Century Schoolbook"/>
        </w:rPr>
        <w:t xml:space="preserve">Attorneys for </w:t>
      </w:r>
      <w:r>
        <w:rPr>
          <w:rFonts w:ascii="Century Schoolbook" w:hAnsi="Century Schoolbook"/>
        </w:rPr>
        <w:t>Petitioners</w:t>
      </w:r>
      <w:r w:rsidRPr="006F3E3E">
        <w:rPr>
          <w:rFonts w:ascii="Century Schoolbook" w:hAnsi="Century Schoolbook"/>
        </w:rPr>
        <w:t>:</w:t>
      </w:r>
      <w:r w:rsidRPr="006F3E3E">
        <w:rPr>
          <w:rFonts w:ascii="Century Schoolbook" w:hAnsi="Century Schoolbook"/>
        </w:rPr>
        <w:tab/>
      </w:r>
      <w:r w:rsidRPr="006F3E3E">
        <w:rPr>
          <w:rFonts w:ascii="Century Schoolbook" w:hAnsi="Century Schoolbook"/>
        </w:rPr>
        <w:tab/>
      </w:r>
      <w:r>
        <w:rPr>
          <w:rFonts w:ascii="Century Schoolbook" w:hAnsi="Century Schoolbook"/>
        </w:rPr>
        <w:tab/>
        <w:t>Law Office of Michael T. Risher</w:t>
      </w:r>
    </w:p>
    <w:p w:rsidR="00865037" w:rsidP="00865037" w14:paraId="3FF30A9C" w14:textId="77777777">
      <w:pPr>
        <w:spacing w:line="240" w:lineRule="auto"/>
        <w:rPr>
          <w:rFonts w:ascii="Century Schoolbook" w:hAnsi="Century Schoolbook"/>
        </w:rPr>
      </w:pP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Pr>
          <w:rFonts w:ascii="Century Schoolbook" w:hAnsi="Century Schoolbook"/>
        </w:rPr>
        <w:tab/>
        <w:t>Michael T. Risher</w:t>
      </w:r>
    </w:p>
    <w:p w:rsidR="00865037" w:rsidP="00865037" w14:paraId="69EADC95" w14:textId="77777777">
      <w:pPr>
        <w:spacing w:line="240" w:lineRule="auto"/>
        <w:rPr>
          <w:rFonts w:ascii="Century Schoolbook" w:hAnsi="Century Schoolbook"/>
        </w:rPr>
      </w:pPr>
    </w:p>
    <w:p w:rsidR="00865037" w:rsidP="00865037" w14:paraId="721D3F21" w14:textId="77777777">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Ferguson Law PC</w:t>
      </w:r>
    </w:p>
    <w:p w:rsidR="00865037" w:rsidP="00865037" w14:paraId="670BD09E" w14:textId="77777777">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Sam Ferguson</w:t>
      </w:r>
    </w:p>
    <w:p w:rsidR="00865037" w:rsidP="00865037" w14:paraId="4B4F3283" w14:textId="77777777">
      <w:pPr>
        <w:spacing w:line="240" w:lineRule="auto"/>
        <w:rPr>
          <w:rFonts w:ascii="Century Schoolbook" w:hAnsi="Century Schoolbook"/>
        </w:rPr>
      </w:pPr>
    </w:p>
    <w:p w:rsidR="00865037" w:rsidP="00865037" w14:paraId="3851A1C2" w14:textId="77777777">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The Meade Firm PC</w:t>
      </w:r>
    </w:p>
    <w:p w:rsidR="00865037" w:rsidP="00865037" w14:paraId="2EB764F9" w14:textId="77777777">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Tyler Meade</w:t>
      </w:r>
    </w:p>
    <w:p w:rsidR="00865037" w:rsidP="00865037" w14:paraId="4CA96199" w14:textId="77777777">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Seena Forouzan</w:t>
      </w:r>
    </w:p>
    <w:p w:rsidR="00865037" w:rsidP="00865037" w14:paraId="19120CD1" w14:textId="77777777">
      <w:pPr>
        <w:spacing w:line="240" w:lineRule="auto"/>
        <w:rPr>
          <w:rFonts w:ascii="Century Schoolbook" w:hAnsi="Century Schoolbook"/>
        </w:rPr>
      </w:pPr>
    </w:p>
    <w:p w:rsidR="00865037" w:rsidP="00865037" w14:paraId="6482666B" w14:textId="77777777">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Reiser Law PC</w:t>
      </w:r>
    </w:p>
    <w:p w:rsidR="00865037" w:rsidP="00865037" w14:paraId="79A0156C" w14:textId="77777777">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Michael Reiser</w:t>
      </w:r>
    </w:p>
    <w:p w:rsidR="00865037" w:rsidRPr="006F3E3E" w:rsidP="00865037" w14:paraId="0D62C86C" w14:textId="77777777">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Michael Reiser, Jr.</w:t>
      </w:r>
    </w:p>
    <w:p w:rsidR="00865037" w:rsidRPr="006F3E3E" w:rsidP="00865037" w14:paraId="21AF9833" w14:textId="77777777">
      <w:pPr>
        <w:spacing w:line="240" w:lineRule="auto"/>
        <w:rPr>
          <w:rFonts w:ascii="Century Schoolbook" w:hAnsi="Century Schoolbook"/>
        </w:rPr>
      </w:pPr>
    </w:p>
    <w:p w:rsidR="00865037" w:rsidRPr="006F3E3E" w:rsidP="00865037" w14:paraId="686EA282" w14:textId="77777777">
      <w:pPr>
        <w:spacing w:line="240" w:lineRule="auto"/>
        <w:rPr>
          <w:rFonts w:ascii="Century Schoolbook" w:hAnsi="Century Schoolbook"/>
        </w:rPr>
      </w:pPr>
      <w:r w:rsidRPr="006F3E3E">
        <w:rPr>
          <w:rFonts w:ascii="Century Schoolbook" w:hAnsi="Century Schoolbook"/>
        </w:rPr>
        <w:t>Attorneys for Re</w:t>
      </w:r>
      <w:r>
        <w:rPr>
          <w:rFonts w:ascii="Century Schoolbook" w:hAnsi="Century Schoolbook"/>
        </w:rPr>
        <w:t>al Parties in Interest</w:t>
      </w:r>
      <w:r w:rsidRPr="006F3E3E">
        <w:rPr>
          <w:rFonts w:ascii="Century Schoolbook" w:hAnsi="Century Schoolbook"/>
        </w:rPr>
        <w:t>:</w:t>
      </w:r>
      <w:r w:rsidRPr="006F3E3E">
        <w:rPr>
          <w:rFonts w:ascii="Century Schoolbook" w:hAnsi="Century Schoolbook"/>
        </w:rPr>
        <w:tab/>
      </w:r>
      <w:r>
        <w:rPr>
          <w:rFonts w:ascii="Century Schoolbook" w:hAnsi="Century Schoolbook"/>
        </w:rPr>
        <w:t>Bradley Bernstein Sands LLP</w:t>
      </w:r>
    </w:p>
    <w:p w:rsidR="00865037" w:rsidRPr="006F3E3E" w:rsidP="00865037" w14:paraId="775D4817" w14:textId="77777777">
      <w:pPr>
        <w:spacing w:line="240" w:lineRule="auto"/>
        <w:rPr>
          <w:rFonts w:ascii="Century Schoolbook" w:hAnsi="Century Schoolbook"/>
        </w:rPr>
      </w:pP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Pr>
          <w:rFonts w:ascii="Century Schoolbook" w:hAnsi="Century Schoolbook"/>
        </w:rPr>
        <w:tab/>
        <w:t>Erin Bernstein</w:t>
      </w:r>
    </w:p>
    <w:p w:rsidR="00865037" w:rsidP="00865037" w14:paraId="50A385A7" w14:textId="77777777">
      <w:pPr>
        <w:spacing w:line="240" w:lineRule="auto"/>
        <w:rPr>
          <w:rFonts w:ascii="Century Schoolbook" w:hAnsi="Century Schoolbook"/>
        </w:rPr>
      </w:pP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Pr>
          <w:rFonts w:ascii="Century Schoolbook" w:hAnsi="Century Schoolbook"/>
        </w:rPr>
        <w:tab/>
      </w:r>
    </w:p>
    <w:p w:rsidR="00865037" w:rsidP="00865037" w14:paraId="2C4B35B4" w14:textId="77777777">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Office of the City Attorney</w:t>
      </w:r>
    </w:p>
    <w:p w:rsidR="00865037" w:rsidP="00865037" w14:paraId="5C5812A8" w14:textId="77777777">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Barbara Parker</w:t>
      </w:r>
    </w:p>
    <w:p w:rsidR="00865037" w:rsidP="00865037" w14:paraId="39D08FD2" w14:textId="77777777">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Maria Bee</w:t>
      </w:r>
    </w:p>
    <w:p w:rsidR="00865037" w:rsidP="00865037" w14:paraId="112A4E7F" w14:textId="77777777">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Michael Quirk</w:t>
      </w:r>
    </w:p>
    <w:p w:rsidR="00865037" w:rsidRPr="006F3E3E" w:rsidP="00865037" w14:paraId="1F12247F" w14:textId="77777777">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Cynthia Stein</w:t>
      </w:r>
    </w:p>
    <w:p w:rsidR="00865037" w:rsidRPr="006F3E3E" w:rsidP="00865037" w14:paraId="160EE51F" w14:textId="77777777">
      <w:pPr>
        <w:spacing w:line="240" w:lineRule="auto"/>
        <w:rPr>
          <w:rFonts w:ascii="Century Schoolbook" w:hAnsi="Century Schoolbook"/>
        </w:rPr>
      </w:pP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r w:rsidRPr="006F3E3E">
        <w:rPr>
          <w:rFonts w:ascii="Century Schoolbook" w:hAnsi="Century Schoolbook"/>
        </w:rPr>
        <w:tab/>
      </w:r>
    </w:p>
    <w:p w:rsidR="00865037" w:rsidRPr="006F3E3E" w:rsidP="00865037" w14:paraId="54788697" w14:textId="77777777">
      <w:pPr>
        <w:shd w:val="clear" w:color="auto" w:fill="FFFFFF"/>
        <w:ind w:firstLine="720"/>
        <w:rPr>
          <w:rFonts w:ascii="Century Schoolbook" w:hAnsi="Century Schoolbook"/>
        </w:rPr>
      </w:pPr>
    </w:p>
    <w:p w:rsidR="005B02EB" w:rsidRPr="0026333A" w:rsidP="005B02EB" w14:paraId="7642E81E" w14:textId="77777777">
      <w:pPr>
        <w:spacing w:line="240" w:lineRule="auto"/>
        <w:rPr>
          <w:rFonts w:ascii="Century Schoolbook" w:hAnsi="Century Schoolbook"/>
        </w:rPr>
      </w:pPr>
    </w:p>
    <w:p w:rsidR="005B02EB" w:rsidRPr="0026333A" w:rsidP="005B02EB" w14:paraId="7FCFB4BD" w14:textId="77777777">
      <w:pPr>
        <w:spacing w:line="240" w:lineRule="auto"/>
        <w:rPr>
          <w:rFonts w:ascii="Century Schoolbook" w:hAnsi="Century Schoolbook"/>
        </w:rPr>
      </w:pPr>
    </w:p>
    <w:p w:rsidR="005B02EB" w:rsidRPr="0026333A" w:rsidP="005B02EB" w14:paraId="5E55C1F3" w14:textId="77777777">
      <w:pPr>
        <w:spacing w:line="240" w:lineRule="auto"/>
        <w:rPr>
          <w:rFonts w:ascii="Century Schoolbook" w:hAnsi="Century Schoolbook"/>
        </w:rPr>
      </w:pPr>
    </w:p>
    <w:p w:rsidR="005B02EB" w:rsidRPr="0026333A" w:rsidP="005B02EB" w14:paraId="1AFE7AE5" w14:textId="77777777">
      <w:pPr>
        <w:spacing w:line="240" w:lineRule="auto"/>
        <w:rPr>
          <w:rFonts w:ascii="Century Schoolbook" w:hAnsi="Century Schoolbook"/>
        </w:rPr>
      </w:pPr>
    </w:p>
    <w:p w:rsidR="005B02EB" w:rsidRPr="0026333A" w:rsidP="005B02EB" w14:paraId="2FBD6115" w14:textId="77777777">
      <w:pPr>
        <w:spacing w:line="240" w:lineRule="auto"/>
        <w:rPr>
          <w:rFonts w:ascii="Century Schoolbook" w:hAnsi="Century Schoolbook"/>
        </w:rPr>
      </w:pPr>
    </w:p>
    <w:p w:rsidR="005B02EB" w:rsidRPr="0026333A" w:rsidP="005B02EB" w14:paraId="0F423DD2" w14:textId="77777777">
      <w:pPr>
        <w:spacing w:line="240" w:lineRule="auto"/>
        <w:rPr>
          <w:rFonts w:ascii="Century Schoolbook" w:hAnsi="Century Schoolbook"/>
        </w:rPr>
      </w:pPr>
    </w:p>
    <w:p w:rsidR="005B02EB" w:rsidRPr="0026333A" w:rsidP="005B02EB" w14:paraId="7B4A56EF" w14:textId="77777777">
      <w:pPr>
        <w:spacing w:line="240" w:lineRule="auto"/>
        <w:rPr>
          <w:rFonts w:ascii="Century Schoolbook" w:hAnsi="Century Schoolbook"/>
        </w:rPr>
      </w:pPr>
    </w:p>
    <w:p w:rsidR="005B02EB" w:rsidRPr="0026333A" w:rsidP="005B02EB" w14:paraId="6DF6111F" w14:textId="77777777">
      <w:pPr>
        <w:spacing w:line="240" w:lineRule="auto"/>
        <w:rPr>
          <w:rFonts w:ascii="Century Schoolbook" w:hAnsi="Century Schoolbook"/>
        </w:rPr>
      </w:pPr>
    </w:p>
    <w:p w:rsidR="005B02EB" w:rsidRPr="0026333A" w:rsidP="005B02EB" w14:paraId="13FBCDAC" w14:textId="77777777">
      <w:pPr>
        <w:spacing w:line="240" w:lineRule="auto"/>
        <w:rPr>
          <w:rFonts w:ascii="Century Schoolbook" w:hAnsi="Century Schoolbook"/>
        </w:rPr>
      </w:pPr>
    </w:p>
    <w:p w:rsidR="005B02EB" w:rsidRPr="0026333A" w:rsidP="005B02EB" w14:paraId="3E0DF941" w14:textId="77777777">
      <w:pPr>
        <w:spacing w:line="240" w:lineRule="auto"/>
        <w:rPr>
          <w:rFonts w:ascii="Century Schoolbook" w:hAnsi="Century Schoolbook"/>
        </w:rPr>
      </w:pPr>
    </w:p>
    <w:p w:rsidR="005B02EB" w:rsidRPr="0026333A" w:rsidP="005B02EB" w14:paraId="39200E2D" w14:textId="77777777">
      <w:pPr>
        <w:spacing w:line="240" w:lineRule="auto"/>
        <w:rPr>
          <w:rFonts w:ascii="Century Schoolbook" w:hAnsi="Century Schoolbook"/>
        </w:rPr>
      </w:pPr>
    </w:p>
    <w:p w:rsidR="005B02EB" w:rsidRPr="0026333A" w:rsidP="005B02EB" w14:paraId="1DCCACD7" w14:textId="77777777">
      <w:pPr>
        <w:spacing w:line="240" w:lineRule="auto"/>
        <w:rPr>
          <w:rFonts w:ascii="Century Schoolbook" w:hAnsi="Century Schoolbook"/>
        </w:rPr>
      </w:pPr>
    </w:p>
    <w:p w:rsidR="005B02EB" w:rsidRPr="0026333A" w:rsidP="005B02EB" w14:paraId="500F7B70" w14:textId="77777777">
      <w:pPr>
        <w:spacing w:line="240" w:lineRule="auto"/>
        <w:rPr>
          <w:rFonts w:ascii="Century Schoolbook" w:hAnsi="Century Schoolbook"/>
        </w:rPr>
      </w:pPr>
    </w:p>
    <w:p w:rsidR="005B02EB" w:rsidRPr="0026333A" w:rsidP="005B02EB" w14:paraId="7CFF4E87" w14:textId="77777777">
      <w:pPr>
        <w:spacing w:line="240" w:lineRule="auto"/>
        <w:rPr>
          <w:rFonts w:ascii="Century Schoolbook" w:hAnsi="Century Schoolbook"/>
        </w:rPr>
      </w:pPr>
    </w:p>
    <w:p w:rsidR="005B02EB" w:rsidRPr="0026333A" w:rsidP="005B02EB" w14:paraId="69747EE3" w14:textId="77777777">
      <w:pPr>
        <w:spacing w:line="240" w:lineRule="auto"/>
        <w:rPr>
          <w:rFonts w:ascii="Century Schoolbook" w:hAnsi="Century Schoolbook"/>
        </w:rPr>
      </w:pPr>
    </w:p>
    <w:p w:rsidR="005B02EB" w:rsidRPr="0026333A" w:rsidP="005B02EB" w14:paraId="3534AF65" w14:textId="77777777">
      <w:pPr>
        <w:spacing w:line="240" w:lineRule="auto"/>
        <w:rPr>
          <w:rFonts w:ascii="Century Schoolbook" w:hAnsi="Century Schoolbook"/>
        </w:rPr>
      </w:pPr>
    </w:p>
    <w:p w:rsidR="005B02EB" w:rsidRPr="0026333A" w:rsidP="005B02EB" w14:paraId="413982DE" w14:textId="77777777">
      <w:pPr>
        <w:spacing w:line="240" w:lineRule="auto"/>
        <w:rPr>
          <w:rFonts w:ascii="Century Schoolbook" w:hAnsi="Century Schoolbook"/>
        </w:rPr>
      </w:pPr>
    </w:p>
    <w:p w:rsidR="005B02EB" w:rsidRPr="0026333A" w:rsidP="005B02EB" w14:paraId="565E5BEF" w14:textId="77777777">
      <w:pPr>
        <w:spacing w:line="240" w:lineRule="auto"/>
        <w:rPr>
          <w:rFonts w:ascii="Century Schoolbook" w:hAnsi="Century Schoolbook"/>
        </w:rPr>
      </w:pPr>
    </w:p>
    <w:p w:rsidR="005B02EB" w:rsidRPr="0026333A" w:rsidP="005B02EB" w14:paraId="7CF9BF21" w14:textId="77777777">
      <w:pPr>
        <w:spacing w:line="240" w:lineRule="auto"/>
        <w:rPr>
          <w:rFonts w:ascii="Century Schoolbook" w:hAnsi="Century Schoolbook"/>
        </w:rPr>
      </w:pPr>
    </w:p>
    <w:p w:rsidR="005B02EB" w:rsidRPr="0026333A" w:rsidP="005B02EB" w14:paraId="142656FE" w14:textId="77777777">
      <w:pPr>
        <w:spacing w:line="240" w:lineRule="auto"/>
        <w:rPr>
          <w:rFonts w:ascii="Century Schoolbook" w:hAnsi="Century Schoolbook"/>
        </w:rPr>
      </w:pPr>
    </w:p>
    <w:p w:rsidR="005B02EB" w:rsidRPr="0026333A" w:rsidP="005B02EB" w14:paraId="1DE40772" w14:textId="77777777">
      <w:pPr>
        <w:spacing w:line="240" w:lineRule="auto"/>
        <w:rPr>
          <w:rFonts w:ascii="Century Schoolbook" w:hAnsi="Century Schoolbook"/>
        </w:rPr>
      </w:pPr>
    </w:p>
    <w:p w:rsidR="005B02EB" w:rsidRPr="0026333A" w:rsidP="005B02EB" w14:paraId="4FFE6A98" w14:textId="77777777">
      <w:pPr>
        <w:spacing w:line="240" w:lineRule="auto"/>
        <w:rPr>
          <w:rFonts w:ascii="Century Schoolbook" w:hAnsi="Century Schoolbook"/>
        </w:rPr>
      </w:pPr>
    </w:p>
    <w:p w:rsidR="005B02EB" w:rsidRPr="0026333A" w:rsidP="005B02EB" w14:paraId="6E4C1C50" w14:textId="46304AAE">
      <w:pPr>
        <w:spacing w:line="240" w:lineRule="auto"/>
        <w:rPr>
          <w:rFonts w:ascii="Century Schoolbook" w:hAnsi="Century Schoolbook"/>
        </w:rPr>
      </w:pPr>
      <w:r w:rsidRPr="0026333A">
        <w:rPr>
          <w:rFonts w:ascii="Century Schoolbook" w:hAnsi="Century Schoolbook"/>
          <w:i/>
          <w:lang w:val="it-IT"/>
        </w:rPr>
        <w:t xml:space="preserve">Bondgraham v. Superior Court </w:t>
      </w:r>
      <w:r w:rsidRPr="0026333A">
        <w:rPr>
          <w:rFonts w:ascii="Century Schoolbook" w:hAnsi="Century Schoolbook"/>
          <w:lang w:val="it-IT"/>
        </w:rPr>
        <w:t>(</w:t>
      </w:r>
      <w:r w:rsidRPr="0026333A">
        <w:rPr>
          <w:rFonts w:ascii="Century Schoolbook" w:hAnsi="Century Schoolbook"/>
        </w:rPr>
        <w:t>A165187</w:t>
      </w:r>
      <w:r w:rsidRPr="0026333A">
        <w:rPr>
          <w:rFonts w:ascii="Century Schoolbook" w:hAnsi="Century Schoolbook"/>
          <w:lang w:val="it-IT"/>
        </w:rPr>
        <w:t>)</w:t>
      </w:r>
    </w:p>
    <w:p w:rsidR="005B02EB" w:rsidP="0051563C" w14:paraId="594232E5" w14:textId="77777777">
      <w:pPr>
        <w:rPr>
          <w:rFonts w:ascii="Century Schoolbook" w:hAnsi="Century Schoolbook"/>
        </w:rPr>
      </w:pPr>
    </w:p>
    <w:sectPr w:rsidSect="00796816">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853771768"/>
      <w:docPartObj>
        <w:docPartGallery w:val="Page Numbers (Bottom of Page)"/>
        <w:docPartUnique/>
      </w:docPartObj>
    </w:sdtPr>
    <w:sdtEndPr>
      <w:rPr>
        <w:rStyle w:val="PageNumber"/>
      </w:rPr>
    </w:sdtEndPr>
    <w:sdtContent>
      <w:p w:rsidR="00652D3D" w:rsidP="00856C6C" w14:paraId="7B1E6F7E" w14:textId="24F9AD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70EF0">
          <w:rPr>
            <w:rStyle w:val="PageNumber"/>
          </w:rPr>
          <w:fldChar w:fldCharType="separate"/>
        </w:r>
        <w:r>
          <w:rPr>
            <w:rStyle w:val="PageNumber"/>
          </w:rPr>
          <w:fldChar w:fldCharType="end"/>
        </w:r>
      </w:p>
    </w:sdtContent>
  </w:sdt>
  <w:p w:rsidR="00652D3D" w14:paraId="0BE213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442042904"/>
      <w:docPartObj>
        <w:docPartGallery w:val="Page Numbers (Bottom of Page)"/>
        <w:docPartUnique/>
      </w:docPartObj>
    </w:sdtPr>
    <w:sdtEndPr>
      <w:rPr>
        <w:rStyle w:val="PageNumber"/>
        <w:rFonts w:ascii="Century Schoolbook" w:hAnsi="Century Schoolbook"/>
      </w:rPr>
    </w:sdtEndPr>
    <w:sdtContent>
      <w:p w:rsidR="00652D3D" w:rsidRPr="00652D3D" w:rsidP="00856C6C" w14:paraId="32409706" w14:textId="2D03C94D">
        <w:pPr>
          <w:pStyle w:val="Footer"/>
          <w:framePr w:wrap="none" w:vAnchor="text" w:hAnchor="margin" w:xAlign="center" w:y="1"/>
          <w:rPr>
            <w:rStyle w:val="PageNumber"/>
            <w:rFonts w:ascii="Century Schoolbook" w:hAnsi="Century Schoolbook"/>
          </w:rPr>
        </w:pPr>
        <w:r w:rsidRPr="00652D3D">
          <w:rPr>
            <w:rStyle w:val="PageNumber"/>
            <w:rFonts w:ascii="Century Schoolbook" w:hAnsi="Century Schoolbook"/>
          </w:rPr>
          <w:fldChar w:fldCharType="begin"/>
        </w:r>
        <w:r w:rsidRPr="00652D3D">
          <w:rPr>
            <w:rStyle w:val="PageNumber"/>
            <w:rFonts w:ascii="Century Schoolbook" w:hAnsi="Century Schoolbook"/>
          </w:rPr>
          <w:instrText xml:space="preserve"> PAGE </w:instrText>
        </w:r>
        <w:r w:rsidRPr="00652D3D">
          <w:rPr>
            <w:rStyle w:val="PageNumber"/>
            <w:rFonts w:ascii="Century Schoolbook" w:hAnsi="Century Schoolbook"/>
          </w:rPr>
          <w:fldChar w:fldCharType="separate"/>
        </w:r>
        <w:r w:rsidRPr="00652D3D">
          <w:rPr>
            <w:rStyle w:val="PageNumber"/>
            <w:rFonts w:ascii="Century Schoolbook" w:hAnsi="Century Schoolbook"/>
            <w:noProof/>
          </w:rPr>
          <w:t>1</w:t>
        </w:r>
        <w:r w:rsidRPr="00652D3D">
          <w:rPr>
            <w:rStyle w:val="PageNumber"/>
            <w:rFonts w:ascii="Century Schoolbook" w:hAnsi="Century Schoolbook"/>
          </w:rPr>
          <w:fldChar w:fldCharType="end"/>
        </w:r>
      </w:p>
    </w:sdtContent>
  </w:sdt>
  <w:p w:rsidR="00652D3D" w:rsidRPr="00652D3D" w14:paraId="45F06431" w14:textId="77777777">
    <w:pPr>
      <w:pStyle w:val="Footer"/>
      <w:rPr>
        <w:rFonts w:ascii="Century Schoolbook" w:hAnsi="Century School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C68DA" w:rsidP="00652D3D" w14:paraId="4CBF4253" w14:textId="77777777">
      <w:pPr>
        <w:spacing w:line="240" w:lineRule="auto"/>
      </w:pPr>
      <w:r>
        <w:separator/>
      </w:r>
    </w:p>
  </w:footnote>
  <w:footnote w:type="continuationSeparator" w:id="1">
    <w:p w:rsidR="001C68DA" w:rsidP="00652D3D" w14:paraId="6728E3F0" w14:textId="77777777">
      <w:pPr>
        <w:spacing w:line="240" w:lineRule="auto"/>
      </w:pPr>
      <w:r>
        <w:continuationSeparator/>
      </w:r>
    </w:p>
  </w:footnote>
  <w:footnote w:id="2">
    <w:p w:rsidR="00BF7495" w:rsidRPr="00BF7495" w14:paraId="530A105D" w14:textId="17039F8E">
      <w:pPr>
        <w:pStyle w:val="FootnoteText"/>
        <w:rPr>
          <w:rFonts w:ascii="Century Schoolbook" w:hAnsi="Century Schoolbook"/>
          <w:sz w:val="26"/>
          <w:szCs w:val="26"/>
        </w:rPr>
      </w:pPr>
      <w:r w:rsidRPr="00BF7495">
        <w:rPr>
          <w:rFonts w:ascii="Century Schoolbook" w:hAnsi="Century Schoolbook"/>
          <w:sz w:val="26"/>
          <w:szCs w:val="26"/>
        </w:rPr>
        <w:tab/>
      </w:r>
      <w:r w:rsidRPr="00BF7495">
        <w:rPr>
          <w:rStyle w:val="FootnoteReference"/>
          <w:rFonts w:ascii="Century Schoolbook" w:hAnsi="Century Schoolbook"/>
          <w:sz w:val="26"/>
          <w:szCs w:val="26"/>
        </w:rPr>
        <w:footnoteRef/>
      </w:r>
      <w:r w:rsidRPr="00BF7495">
        <w:rPr>
          <w:rFonts w:ascii="Century Schoolbook" w:hAnsi="Century Schoolbook"/>
          <w:sz w:val="26"/>
          <w:szCs w:val="26"/>
        </w:rPr>
        <w:t xml:space="preserve"> Although Celeste Guap has been publicly identified by her legal name, we will refer to her as Guap, a name she used on Facebook. </w:t>
      </w:r>
    </w:p>
  </w:footnote>
  <w:footnote w:id="3">
    <w:p w:rsidR="00C1104A" w:rsidRPr="00C1104A" w14:paraId="78D62DC4" w14:textId="3C97C4D2">
      <w:pPr>
        <w:pStyle w:val="FootnoteText"/>
        <w:rPr>
          <w:rFonts w:ascii="Century Schoolbook" w:hAnsi="Century Schoolbook"/>
          <w:sz w:val="26"/>
          <w:szCs w:val="26"/>
        </w:rPr>
      </w:pPr>
      <w:r w:rsidRPr="00C1104A">
        <w:rPr>
          <w:rFonts w:ascii="Century Schoolbook" w:hAnsi="Century Schoolbook"/>
          <w:sz w:val="26"/>
          <w:szCs w:val="26"/>
        </w:rPr>
        <w:tab/>
      </w:r>
      <w:r w:rsidRPr="00C1104A">
        <w:rPr>
          <w:rStyle w:val="FootnoteReference"/>
          <w:rFonts w:ascii="Century Schoolbook" w:hAnsi="Century Schoolbook"/>
          <w:sz w:val="26"/>
          <w:szCs w:val="26"/>
        </w:rPr>
        <w:footnoteRef/>
      </w:r>
      <w:r w:rsidRPr="00C1104A">
        <w:rPr>
          <w:rFonts w:ascii="Century Schoolbook" w:hAnsi="Century Schoolbook"/>
          <w:sz w:val="26"/>
          <w:szCs w:val="26"/>
        </w:rPr>
        <w:t xml:space="preserve"> Further undesignated statutory references are to the Penal Code.  </w:t>
      </w:r>
    </w:p>
  </w:footnote>
  <w:footnote w:id="4">
    <w:p w:rsidR="00F92C59" w:rsidRPr="00F92C59" w:rsidP="00AF0292" w14:paraId="14D3D065" w14:textId="4B3CA008">
      <w:pPr>
        <w:pStyle w:val="FootnoteText"/>
        <w:spacing w:after="120"/>
        <w:rPr>
          <w:rFonts w:ascii="Century Schoolbook" w:hAnsi="Century Schoolbook"/>
          <w:sz w:val="26"/>
          <w:szCs w:val="26"/>
        </w:rPr>
      </w:pPr>
      <w:r w:rsidRPr="00F92C59">
        <w:rPr>
          <w:rFonts w:ascii="Century Schoolbook" w:hAnsi="Century Schoolbook"/>
          <w:sz w:val="26"/>
          <w:szCs w:val="26"/>
        </w:rPr>
        <w:tab/>
      </w:r>
      <w:r w:rsidRPr="00F92C59">
        <w:rPr>
          <w:rStyle w:val="FootnoteReference"/>
          <w:rFonts w:ascii="Century Schoolbook" w:hAnsi="Century Schoolbook"/>
          <w:sz w:val="26"/>
          <w:szCs w:val="26"/>
        </w:rPr>
        <w:footnoteRef/>
      </w:r>
      <w:r w:rsidRPr="00F92C59">
        <w:rPr>
          <w:rFonts w:ascii="Century Schoolbook" w:hAnsi="Century Schoolbook"/>
          <w:sz w:val="26"/>
          <w:szCs w:val="26"/>
        </w:rPr>
        <w:t xml:space="preserve"> A trial court order supporting the decision of a public agency refusing to disclose records “shall be immediately reviewable by petition to the appellate court for issuance of an extraordinary writ.” </w:t>
      </w:r>
      <w:r>
        <w:rPr>
          <w:rFonts w:ascii="Century Schoolbook" w:hAnsi="Century Schoolbook"/>
          <w:sz w:val="26"/>
          <w:szCs w:val="26"/>
        </w:rPr>
        <w:t xml:space="preserve"> </w:t>
      </w:r>
      <w:r w:rsidRPr="00F92C59">
        <w:rPr>
          <w:rFonts w:ascii="Century Schoolbook" w:hAnsi="Century Schoolbook"/>
          <w:sz w:val="26"/>
          <w:szCs w:val="26"/>
        </w:rPr>
        <w:t>(</w:t>
      </w:r>
      <w:r>
        <w:rPr>
          <w:rFonts w:ascii="Century Schoolbook" w:hAnsi="Century Schoolbook"/>
          <w:sz w:val="26"/>
          <w:szCs w:val="26"/>
        </w:rPr>
        <w:t xml:space="preserve">Gov. Code, </w:t>
      </w:r>
      <w:r w:rsidRPr="00F92C59">
        <w:rPr>
          <w:rFonts w:ascii="Century Schoolbook" w:hAnsi="Century Schoolbook"/>
          <w:sz w:val="26"/>
          <w:szCs w:val="26"/>
        </w:rPr>
        <w:t>§</w:t>
      </w:r>
      <w:r w:rsidR="00243CDD">
        <w:rPr>
          <w:rFonts w:ascii="Century Schoolbook" w:hAnsi="Century Schoolbook"/>
          <w:sz w:val="26"/>
          <w:szCs w:val="26"/>
        </w:rPr>
        <w:t> 7923.500</w:t>
      </w:r>
      <w:r w:rsidRPr="00F92C59">
        <w:rPr>
          <w:rFonts w:ascii="Century Schoolbook" w:hAnsi="Century Schoolbook"/>
          <w:sz w:val="26"/>
          <w:szCs w:val="26"/>
        </w:rPr>
        <w:t>, subd. (</w:t>
      </w:r>
      <w:r w:rsidR="00243CDD">
        <w:rPr>
          <w:rFonts w:ascii="Century Schoolbook" w:hAnsi="Century Schoolbook"/>
          <w:sz w:val="26"/>
          <w:szCs w:val="26"/>
        </w:rPr>
        <w:t>a</w:t>
      </w:r>
      <w:r w:rsidRPr="00F92C59">
        <w:rPr>
          <w:rFonts w:ascii="Century Schoolbook" w:hAnsi="Century Schoolbook"/>
          <w:sz w:val="26"/>
          <w:szCs w:val="26"/>
        </w:rPr>
        <w:t>).)</w:t>
      </w:r>
    </w:p>
  </w:footnote>
  <w:footnote w:id="5">
    <w:p w:rsidR="00AF0292" w:rsidRPr="00AF0292" w14:paraId="4495E315" w14:textId="760B7D27">
      <w:pPr>
        <w:pStyle w:val="FootnoteText"/>
        <w:rPr>
          <w:rFonts w:ascii="Century Schoolbook" w:hAnsi="Century Schoolbook"/>
          <w:sz w:val="26"/>
          <w:szCs w:val="26"/>
        </w:rPr>
      </w:pPr>
      <w:r w:rsidRPr="00AF0292">
        <w:rPr>
          <w:rFonts w:ascii="Century Schoolbook" w:hAnsi="Century Schoolbook"/>
          <w:sz w:val="26"/>
          <w:szCs w:val="26"/>
        </w:rPr>
        <w:tab/>
      </w:r>
      <w:r w:rsidRPr="00AF0292">
        <w:rPr>
          <w:rStyle w:val="FootnoteReference"/>
          <w:rFonts w:ascii="Century Schoolbook" w:hAnsi="Century Schoolbook"/>
          <w:sz w:val="26"/>
          <w:szCs w:val="26"/>
        </w:rPr>
        <w:footnoteRef/>
      </w:r>
      <w:r w:rsidRPr="00AF0292">
        <w:rPr>
          <w:rFonts w:ascii="Century Schoolbook" w:hAnsi="Century Schoolbook"/>
          <w:sz w:val="26"/>
          <w:szCs w:val="26"/>
        </w:rPr>
        <w:t xml:space="preserve"> We also </w:t>
      </w:r>
      <w:r w:rsidR="004756CE">
        <w:rPr>
          <w:rFonts w:ascii="Century Schoolbook" w:hAnsi="Century Schoolbook"/>
          <w:sz w:val="26"/>
          <w:szCs w:val="26"/>
        </w:rPr>
        <w:t xml:space="preserve">granted petitioners’ motion to file certain documents under seal, including the transcripts of both trial court hearings.  (See Cal. Rules of Court, rule 8.46(b).)  Oakland also filed its appendix, containing the unredacted version of the Guap report, under seal.  </w:t>
      </w:r>
      <w:r w:rsidR="00842011">
        <w:rPr>
          <w:rFonts w:ascii="Century Schoolbook" w:hAnsi="Century Schoolbook"/>
          <w:sz w:val="26"/>
          <w:szCs w:val="26"/>
        </w:rPr>
        <w:t>(See Cal. Rules of Court, rule</w:t>
      </w:r>
      <w:r w:rsidR="00FD318D">
        <w:rPr>
          <w:rFonts w:ascii="Century Schoolbook" w:hAnsi="Century Schoolbook"/>
          <w:sz w:val="26"/>
          <w:szCs w:val="26"/>
        </w:rPr>
        <w:t> </w:t>
      </w:r>
      <w:r w:rsidR="00842011">
        <w:rPr>
          <w:rFonts w:ascii="Century Schoolbook" w:hAnsi="Century Schoolbook"/>
          <w:sz w:val="26"/>
          <w:szCs w:val="26"/>
        </w:rPr>
        <w:t>8.46(b), (g)(2).)</w:t>
      </w:r>
      <w:r w:rsidRPr="00AF0292">
        <w:rPr>
          <w:rFonts w:ascii="Century Schoolbook" w:hAnsi="Century Schoolbook"/>
          <w:sz w:val="26"/>
          <w:szCs w:val="26"/>
        </w:rPr>
        <w:t xml:space="preserve"> </w:t>
      </w:r>
    </w:p>
  </w:footnote>
  <w:footnote w:id="6">
    <w:p w:rsidR="00FE2475" w:rsidP="00FE2475" w14:paraId="08CB1555" w14:textId="3794C28B">
      <w:pPr>
        <w:spacing w:line="240" w:lineRule="auto"/>
        <w:rPr>
          <w:rFonts w:ascii="Century Schoolbook" w:hAnsi="Century Schoolbook"/>
        </w:rPr>
      </w:pPr>
      <w:r>
        <w:tab/>
      </w:r>
      <w:r>
        <w:rPr>
          <w:rStyle w:val="FootnoteReference"/>
        </w:rPr>
        <w:footnoteRef/>
      </w:r>
      <w:r>
        <w:t xml:space="preserve"> </w:t>
      </w:r>
      <w:r w:rsidRPr="00F94175">
        <w:rPr>
          <w:rFonts w:ascii="Century Schoolbook" w:hAnsi="Century Schoolbook"/>
        </w:rPr>
        <w:t>Sexual assault is defined</w:t>
      </w:r>
      <w:r>
        <w:rPr>
          <w:rFonts w:ascii="Century Schoolbook" w:hAnsi="Century Schoolbook"/>
        </w:rPr>
        <w:t xml:space="preserve"> </w:t>
      </w:r>
      <w:r w:rsidRPr="00F94175">
        <w:rPr>
          <w:rFonts w:ascii="Century Schoolbook" w:hAnsi="Century Schoolbook"/>
        </w:rPr>
        <w:t>as “the commission or attempted initiation of a sexual act with a</w:t>
      </w:r>
      <w:r>
        <w:rPr>
          <w:rFonts w:ascii="Century Schoolbook" w:hAnsi="Century Schoolbook"/>
        </w:rPr>
        <w:t xml:space="preserve"> </w:t>
      </w:r>
      <w:r w:rsidRPr="00F94175">
        <w:rPr>
          <w:rFonts w:ascii="Century Schoolbook" w:hAnsi="Century Schoolbook"/>
        </w:rPr>
        <w:t>member of the public by means of force, threat, coercion,</w:t>
      </w:r>
      <w:r w:rsidR="00103287">
        <w:rPr>
          <w:rFonts w:ascii="Century Schoolbook" w:hAnsi="Century Schoolbook"/>
        </w:rPr>
        <w:t xml:space="preserve"> </w:t>
      </w:r>
      <w:r w:rsidRPr="00F94175">
        <w:rPr>
          <w:rFonts w:ascii="Century Schoolbook" w:hAnsi="Century Schoolbook"/>
        </w:rPr>
        <w:t>extortion, offer of leniency or other official favor, or under the</w:t>
      </w:r>
      <w:r>
        <w:rPr>
          <w:rFonts w:ascii="Century Schoolbook" w:hAnsi="Century Schoolbook"/>
        </w:rPr>
        <w:t xml:space="preserve"> </w:t>
      </w:r>
      <w:r w:rsidRPr="00F94175">
        <w:rPr>
          <w:rFonts w:ascii="Century Schoolbook" w:hAnsi="Century Schoolbook"/>
        </w:rPr>
        <w:t xml:space="preserve">color of authority.” </w:t>
      </w:r>
      <w:r>
        <w:rPr>
          <w:rFonts w:ascii="Century Schoolbook" w:hAnsi="Century Schoolbook"/>
        </w:rPr>
        <w:t xml:space="preserve"> (</w:t>
      </w:r>
      <w:r w:rsidRPr="00F94175">
        <w:rPr>
          <w:rFonts w:ascii="Century Schoolbook" w:hAnsi="Century Schoolbook"/>
        </w:rPr>
        <w:t>§</w:t>
      </w:r>
      <w:r w:rsidR="00787AE0">
        <w:rPr>
          <w:rFonts w:ascii="Century Schoolbook" w:hAnsi="Century Schoolbook"/>
        </w:rPr>
        <w:t> </w:t>
      </w:r>
      <w:r w:rsidRPr="00F94175">
        <w:rPr>
          <w:rFonts w:ascii="Century Schoolbook" w:hAnsi="Century Schoolbook"/>
        </w:rPr>
        <w:t>832.7</w:t>
      </w:r>
      <w:r>
        <w:rPr>
          <w:rFonts w:ascii="Century Schoolbook" w:hAnsi="Century Schoolbook"/>
        </w:rPr>
        <w:t xml:space="preserve">, subd. </w:t>
      </w:r>
      <w:r w:rsidRPr="00F94175">
        <w:rPr>
          <w:rFonts w:ascii="Century Schoolbook" w:hAnsi="Century Schoolbook"/>
        </w:rPr>
        <w:t>(b)(1)(B)(ii).</w:t>
      </w:r>
      <w:r>
        <w:rPr>
          <w:rFonts w:ascii="Century Schoolbook" w:hAnsi="Century Schoolbook"/>
        </w:rPr>
        <w:t>)</w:t>
      </w:r>
      <w:r w:rsidRPr="00F94175">
        <w:rPr>
          <w:rFonts w:ascii="Century Schoolbook" w:hAnsi="Century Schoolbook"/>
        </w:rPr>
        <w:t xml:space="preserve"> </w:t>
      </w:r>
      <w:r>
        <w:rPr>
          <w:rFonts w:ascii="Century Schoolbook" w:hAnsi="Century Schoolbook"/>
        </w:rPr>
        <w:t xml:space="preserve"> </w:t>
      </w:r>
      <w:r w:rsidRPr="00F94175">
        <w:rPr>
          <w:rFonts w:ascii="Century Schoolbook" w:hAnsi="Century Schoolbook"/>
        </w:rPr>
        <w:t>The “propositioning for or</w:t>
      </w:r>
      <w:r>
        <w:rPr>
          <w:rFonts w:ascii="Century Schoolbook" w:hAnsi="Century Schoolbook"/>
        </w:rPr>
        <w:t xml:space="preserve"> </w:t>
      </w:r>
      <w:r w:rsidRPr="00F94175">
        <w:rPr>
          <w:rFonts w:ascii="Century Schoolbook" w:hAnsi="Century Schoolbook"/>
        </w:rPr>
        <w:t>commission of any sexual act while on duty is considered a sexual</w:t>
      </w:r>
      <w:r>
        <w:rPr>
          <w:rFonts w:ascii="Century Schoolbook" w:hAnsi="Century Schoolbook"/>
        </w:rPr>
        <w:t xml:space="preserve"> </w:t>
      </w:r>
      <w:r w:rsidRPr="00F94175">
        <w:rPr>
          <w:rFonts w:ascii="Century Schoolbook" w:hAnsi="Century Schoolbook"/>
        </w:rPr>
        <w:t xml:space="preserve">assault” for these purposes. </w:t>
      </w:r>
      <w:r>
        <w:rPr>
          <w:rFonts w:ascii="Century Schoolbook" w:hAnsi="Century Schoolbook"/>
        </w:rPr>
        <w:t xml:space="preserve"> (</w:t>
      </w:r>
      <w:r w:rsidRPr="00934436">
        <w:rPr>
          <w:rFonts w:ascii="Century Schoolbook" w:hAnsi="Century Schoolbook"/>
          <w:i/>
          <w:iCs/>
        </w:rPr>
        <w:t>Ibid</w:t>
      </w:r>
      <w:r w:rsidRPr="00F94175">
        <w:rPr>
          <w:rFonts w:ascii="Century Schoolbook" w:hAnsi="Century Schoolbook"/>
        </w:rPr>
        <w:t>.</w:t>
      </w:r>
      <w:r>
        <w:rPr>
          <w:rFonts w:ascii="Century Schoolbook" w:hAnsi="Century Schoolbook"/>
        </w:rPr>
        <w:t xml:space="preserve">) </w:t>
      </w:r>
    </w:p>
    <w:p w:rsidR="00FE2475" w14:paraId="3B8BCC29" w14:textId="71FE0237">
      <w:pPr>
        <w:pStyle w:val="FootnoteText"/>
      </w:pPr>
    </w:p>
  </w:footnote>
  <w:footnote w:id="7">
    <w:p w:rsidR="00D30A6C" w:rsidRPr="00932105" w:rsidP="00932105" w14:paraId="551C306F" w14:textId="5D9EF0E0">
      <w:pPr>
        <w:pStyle w:val="FootnoteText"/>
        <w:ind w:firstLine="720"/>
        <w:rPr>
          <w:rFonts w:ascii="Century Schoolbook" w:hAnsi="Century Schoolbook"/>
          <w:sz w:val="26"/>
          <w:szCs w:val="26"/>
        </w:rPr>
      </w:pPr>
      <w:r w:rsidRPr="00932105">
        <w:rPr>
          <w:rStyle w:val="FootnoteReference"/>
          <w:rFonts w:ascii="Century Schoolbook" w:hAnsi="Century Schoolbook"/>
          <w:sz w:val="26"/>
          <w:szCs w:val="26"/>
        </w:rPr>
        <w:footnoteRef/>
      </w:r>
      <w:r w:rsidRPr="00932105">
        <w:rPr>
          <w:rFonts w:ascii="Century Schoolbook" w:hAnsi="Century Schoolbook"/>
          <w:sz w:val="26"/>
          <w:szCs w:val="26"/>
        </w:rPr>
        <w:t xml:space="preserve"> </w:t>
      </w:r>
      <w:r w:rsidR="00EA2D44">
        <w:rPr>
          <w:rFonts w:ascii="Century Schoolbook" w:hAnsi="Century Schoolbook"/>
          <w:sz w:val="26"/>
          <w:szCs w:val="26"/>
        </w:rPr>
        <w:t xml:space="preserve">We cannot help </w:t>
      </w:r>
      <w:r w:rsidR="002A4E31">
        <w:rPr>
          <w:rFonts w:ascii="Century Schoolbook" w:hAnsi="Century Schoolbook"/>
          <w:sz w:val="26"/>
          <w:szCs w:val="26"/>
        </w:rPr>
        <w:t xml:space="preserve">but note that in making the argument, </w:t>
      </w:r>
      <w:r w:rsidR="009452EE">
        <w:rPr>
          <w:rFonts w:ascii="Century Schoolbook" w:hAnsi="Century Schoolbook"/>
          <w:sz w:val="26"/>
          <w:szCs w:val="26"/>
        </w:rPr>
        <w:t xml:space="preserve">petitioners </w:t>
      </w:r>
      <w:r w:rsidR="001B354F">
        <w:rPr>
          <w:rFonts w:ascii="Century Schoolbook" w:hAnsi="Century Schoolbook"/>
          <w:sz w:val="26"/>
          <w:szCs w:val="26"/>
        </w:rPr>
        <w:t xml:space="preserve">refer to </w:t>
      </w:r>
      <w:r w:rsidR="009452EE">
        <w:rPr>
          <w:rFonts w:ascii="Century Schoolbook" w:hAnsi="Century Schoolbook"/>
          <w:sz w:val="26"/>
          <w:szCs w:val="26"/>
        </w:rPr>
        <w:t xml:space="preserve">various items </w:t>
      </w:r>
      <w:r w:rsidR="003F7273">
        <w:rPr>
          <w:rFonts w:ascii="Century Schoolbook" w:hAnsi="Century Schoolbook"/>
          <w:sz w:val="26"/>
          <w:szCs w:val="26"/>
        </w:rPr>
        <w:t>th</w:t>
      </w:r>
      <w:r w:rsidR="009452EE">
        <w:rPr>
          <w:rFonts w:ascii="Century Schoolbook" w:hAnsi="Century Schoolbook"/>
          <w:sz w:val="26"/>
          <w:szCs w:val="26"/>
        </w:rPr>
        <w:t>at</w:t>
      </w:r>
      <w:r w:rsidR="005F7814">
        <w:rPr>
          <w:rFonts w:ascii="Century Schoolbook" w:hAnsi="Century Schoolbook"/>
          <w:sz w:val="26"/>
          <w:szCs w:val="26"/>
        </w:rPr>
        <w:t xml:space="preserve"> are not clearly analyzed or differentiated</w:t>
      </w:r>
      <w:r w:rsidR="00EB2DE5">
        <w:rPr>
          <w:rFonts w:ascii="Century Schoolbook" w:hAnsi="Century Schoolbook"/>
          <w:sz w:val="26"/>
          <w:szCs w:val="26"/>
        </w:rPr>
        <w:t>,</w:t>
      </w:r>
      <w:r w:rsidR="005F7814">
        <w:rPr>
          <w:rFonts w:ascii="Century Schoolbook" w:hAnsi="Century Schoolbook"/>
          <w:sz w:val="26"/>
          <w:szCs w:val="26"/>
        </w:rPr>
        <w:t xml:space="preserve"> either in</w:t>
      </w:r>
      <w:r w:rsidR="00EB2DE5">
        <w:rPr>
          <w:rFonts w:ascii="Century Schoolbook" w:hAnsi="Century Schoolbook"/>
          <w:sz w:val="26"/>
          <w:szCs w:val="26"/>
        </w:rPr>
        <w:t xml:space="preserve"> their</w:t>
      </w:r>
      <w:r w:rsidR="005F7814">
        <w:rPr>
          <w:rFonts w:ascii="Century Schoolbook" w:hAnsi="Century Schoolbook"/>
          <w:sz w:val="26"/>
          <w:szCs w:val="26"/>
        </w:rPr>
        <w:t xml:space="preserve"> petition </w:t>
      </w:r>
      <w:r w:rsidR="00486DAC">
        <w:rPr>
          <w:rFonts w:ascii="Century Schoolbook" w:hAnsi="Century Schoolbook"/>
          <w:sz w:val="26"/>
          <w:szCs w:val="26"/>
        </w:rPr>
        <w:t>or in the</w:t>
      </w:r>
      <w:r w:rsidR="00EB2DE5">
        <w:rPr>
          <w:rFonts w:ascii="Century Schoolbook" w:hAnsi="Century Schoolbook"/>
          <w:sz w:val="26"/>
          <w:szCs w:val="26"/>
        </w:rPr>
        <w:t>ir</w:t>
      </w:r>
      <w:r w:rsidR="00486DAC">
        <w:rPr>
          <w:rFonts w:ascii="Century Schoolbook" w:hAnsi="Century Schoolbook"/>
          <w:sz w:val="26"/>
          <w:szCs w:val="26"/>
        </w:rPr>
        <w:t xml:space="preserve"> briefing.  </w:t>
      </w:r>
      <w:r w:rsidR="00EB2DE5">
        <w:rPr>
          <w:rFonts w:ascii="Century Schoolbook" w:hAnsi="Century Schoolbook"/>
          <w:sz w:val="26"/>
          <w:szCs w:val="26"/>
        </w:rPr>
        <w:t xml:space="preserve">Moreover, </w:t>
      </w:r>
      <w:r w:rsidR="00486DAC">
        <w:rPr>
          <w:rFonts w:ascii="Century Schoolbook" w:hAnsi="Century Schoolbook"/>
          <w:sz w:val="26"/>
          <w:szCs w:val="26"/>
        </w:rPr>
        <w:t>petitioner</w:t>
      </w:r>
      <w:r w:rsidR="00FE1C86">
        <w:rPr>
          <w:rFonts w:ascii="Century Schoolbook" w:hAnsi="Century Schoolbook"/>
          <w:sz w:val="26"/>
          <w:szCs w:val="26"/>
        </w:rPr>
        <w:t>s</w:t>
      </w:r>
      <w:r w:rsidR="00486DAC">
        <w:rPr>
          <w:rFonts w:ascii="Century Schoolbook" w:hAnsi="Century Schoolbook"/>
          <w:sz w:val="26"/>
          <w:szCs w:val="26"/>
        </w:rPr>
        <w:t xml:space="preserve"> hedge on </w:t>
      </w:r>
      <w:r w:rsidR="00FE1C86">
        <w:rPr>
          <w:rFonts w:ascii="Century Schoolbook" w:hAnsi="Century Schoolbook"/>
          <w:sz w:val="26"/>
          <w:szCs w:val="26"/>
        </w:rPr>
        <w:t xml:space="preserve">some </w:t>
      </w:r>
      <w:r w:rsidR="00486DAC">
        <w:rPr>
          <w:rFonts w:ascii="Century Schoolbook" w:hAnsi="Century Schoolbook"/>
          <w:sz w:val="26"/>
          <w:szCs w:val="26"/>
        </w:rPr>
        <w:t>categorical statements</w:t>
      </w:r>
      <w:r w:rsidR="001B354F">
        <w:rPr>
          <w:rFonts w:ascii="Century Schoolbook" w:hAnsi="Century Schoolbook"/>
          <w:sz w:val="26"/>
          <w:szCs w:val="26"/>
        </w:rPr>
        <w:t xml:space="preserve">. </w:t>
      </w:r>
      <w:r w:rsidR="00FE1C86">
        <w:rPr>
          <w:rFonts w:ascii="Century Schoolbook" w:hAnsi="Century Schoolbook"/>
          <w:sz w:val="26"/>
          <w:szCs w:val="26"/>
        </w:rPr>
        <w:t xml:space="preserve"> </w:t>
      </w:r>
      <w:r w:rsidR="00705652">
        <w:rPr>
          <w:rFonts w:ascii="Century Schoolbook" w:hAnsi="Century Schoolbook"/>
          <w:sz w:val="26"/>
          <w:szCs w:val="26"/>
        </w:rPr>
        <w:t xml:space="preserve">For </w:t>
      </w:r>
      <w:r w:rsidR="001B354F">
        <w:rPr>
          <w:rFonts w:ascii="Century Schoolbook" w:hAnsi="Century Schoolbook"/>
          <w:sz w:val="26"/>
          <w:szCs w:val="26"/>
        </w:rPr>
        <w:t xml:space="preserve">example, petitioners say </w:t>
      </w:r>
      <w:r w:rsidR="00FE1C86">
        <w:rPr>
          <w:rFonts w:ascii="Century Schoolbook" w:hAnsi="Century Schoolbook"/>
          <w:sz w:val="26"/>
          <w:szCs w:val="26"/>
        </w:rPr>
        <w:t>thin</w:t>
      </w:r>
      <w:r w:rsidR="00930673">
        <w:rPr>
          <w:rFonts w:ascii="Century Schoolbook" w:hAnsi="Century Schoolbook"/>
          <w:sz w:val="26"/>
          <w:szCs w:val="26"/>
        </w:rPr>
        <w:t>gs like</w:t>
      </w:r>
      <w:r w:rsidR="00486DAC">
        <w:rPr>
          <w:rFonts w:ascii="Century Schoolbook" w:hAnsi="Century Schoolbook"/>
          <w:sz w:val="26"/>
          <w:szCs w:val="26"/>
        </w:rPr>
        <w:t xml:space="preserve"> “much of this information is relevant</w:t>
      </w:r>
      <w:r w:rsidR="00930673">
        <w:rPr>
          <w:rFonts w:ascii="Century Schoolbook" w:hAnsi="Century Schoolbook"/>
          <w:sz w:val="26"/>
          <w:szCs w:val="26"/>
        </w:rPr>
        <w:t>,</w:t>
      </w:r>
      <w:r w:rsidR="00EB6FB9">
        <w:rPr>
          <w:rFonts w:ascii="Century Schoolbook" w:hAnsi="Century Schoolbook"/>
          <w:sz w:val="26"/>
          <w:szCs w:val="26"/>
        </w:rPr>
        <w:t>” then citing to particular statements without analysis</w:t>
      </w:r>
      <w:r w:rsidR="00930673">
        <w:rPr>
          <w:rFonts w:ascii="Century Schoolbook" w:hAnsi="Century Schoolbook"/>
          <w:sz w:val="26"/>
          <w:szCs w:val="26"/>
        </w:rPr>
        <w:t xml:space="preserve">.  Or this:  </w:t>
      </w:r>
      <w:r w:rsidR="00EB6FB9">
        <w:rPr>
          <w:rFonts w:ascii="Century Schoolbook" w:hAnsi="Century Schoolbook"/>
          <w:sz w:val="26"/>
          <w:szCs w:val="26"/>
        </w:rPr>
        <w:t>“</w:t>
      </w:r>
      <w:r w:rsidR="007D185C">
        <w:rPr>
          <w:rFonts w:ascii="Century Schoolbook" w:hAnsi="Century Schoolbook"/>
          <w:sz w:val="26"/>
          <w:szCs w:val="26"/>
        </w:rPr>
        <w:t>T</w:t>
      </w:r>
      <w:r w:rsidR="00EB6FB9">
        <w:rPr>
          <w:rFonts w:ascii="Century Schoolbook" w:hAnsi="Century Schoolbook"/>
          <w:sz w:val="26"/>
          <w:szCs w:val="26"/>
        </w:rPr>
        <w:t>his material should therefore be disclosed</w:t>
      </w:r>
      <w:r w:rsidR="00D64A70">
        <w:rPr>
          <w:rFonts w:ascii="Century Schoolbook" w:hAnsi="Century Schoolbook"/>
          <w:sz w:val="26"/>
          <w:szCs w:val="26"/>
        </w:rPr>
        <w:t>,</w:t>
      </w:r>
      <w:r w:rsidR="00BB3BA0">
        <w:rPr>
          <w:rFonts w:ascii="Century Schoolbook" w:hAnsi="Century Schoolbook"/>
          <w:sz w:val="26"/>
          <w:szCs w:val="26"/>
        </w:rPr>
        <w:t xml:space="preserve"> except for </w:t>
      </w:r>
      <w:r w:rsidR="00097D36">
        <w:rPr>
          <w:rFonts w:ascii="Century Schoolbook" w:hAnsi="Century Schoolbook"/>
          <w:sz w:val="26"/>
          <w:szCs w:val="26"/>
        </w:rPr>
        <w:t xml:space="preserve">the </w:t>
      </w:r>
      <w:r w:rsidR="00BB3BA0">
        <w:rPr>
          <w:rFonts w:ascii="Century Schoolbook" w:hAnsi="Century Schoolbook"/>
          <w:sz w:val="26"/>
          <w:szCs w:val="26"/>
        </w:rPr>
        <w:t>small amounts of information about non-disclosable</w:t>
      </w:r>
      <w:r w:rsidR="000A440F">
        <w:rPr>
          <w:rFonts w:ascii="Century Schoolbook" w:hAnsi="Century Schoolbook"/>
          <w:sz w:val="26"/>
          <w:szCs w:val="26"/>
        </w:rPr>
        <w:t xml:space="preserve"> incidents that are not relevant,” </w:t>
      </w:r>
      <w:r w:rsidR="00636673">
        <w:rPr>
          <w:rFonts w:ascii="Century Schoolbook" w:hAnsi="Century Schoolbook"/>
          <w:sz w:val="26"/>
          <w:szCs w:val="26"/>
        </w:rPr>
        <w:t xml:space="preserve">again </w:t>
      </w:r>
      <w:r w:rsidR="00A772AD">
        <w:rPr>
          <w:rFonts w:ascii="Century Schoolbook" w:hAnsi="Century Schoolbook"/>
          <w:sz w:val="26"/>
          <w:szCs w:val="26"/>
        </w:rPr>
        <w:t>without</w:t>
      </w:r>
      <w:r w:rsidR="000A440F">
        <w:rPr>
          <w:rFonts w:ascii="Century Schoolbook" w:hAnsi="Century Schoolbook"/>
          <w:sz w:val="26"/>
          <w:szCs w:val="26"/>
        </w:rPr>
        <w:t xml:space="preserve"> specifying what.  </w:t>
      </w:r>
      <w:r w:rsidR="004D3D04">
        <w:rPr>
          <w:rFonts w:ascii="Century Schoolbook" w:hAnsi="Century Schoolbook"/>
          <w:sz w:val="26"/>
          <w:szCs w:val="26"/>
        </w:rPr>
        <w:t>A</w:t>
      </w:r>
      <w:r w:rsidR="00810416">
        <w:rPr>
          <w:rFonts w:ascii="Century Schoolbook" w:hAnsi="Century Schoolbook"/>
          <w:sz w:val="26"/>
          <w:szCs w:val="26"/>
        </w:rPr>
        <w:t>nd a</w:t>
      </w:r>
      <w:r w:rsidR="004D3D04">
        <w:rPr>
          <w:rFonts w:ascii="Century Schoolbook" w:hAnsi="Century Schoolbook"/>
          <w:sz w:val="26"/>
          <w:szCs w:val="26"/>
        </w:rPr>
        <w:t xml:space="preserve"> similar comment is made as to </w:t>
      </w:r>
      <w:r w:rsidR="00A772AD">
        <w:rPr>
          <w:rFonts w:ascii="Century Schoolbook" w:hAnsi="Century Schoolbook"/>
          <w:sz w:val="26"/>
          <w:szCs w:val="26"/>
        </w:rPr>
        <w:t>Guap’s statements and her screenshots</w:t>
      </w:r>
      <w:r w:rsidR="00810416">
        <w:rPr>
          <w:rFonts w:ascii="Century Schoolbook" w:hAnsi="Century Schoolbook"/>
          <w:sz w:val="26"/>
          <w:szCs w:val="26"/>
        </w:rPr>
        <w:t>,</w:t>
      </w:r>
      <w:r w:rsidR="00A772AD">
        <w:rPr>
          <w:rFonts w:ascii="Century Schoolbook" w:hAnsi="Century Schoolbook"/>
          <w:sz w:val="26"/>
          <w:szCs w:val="26"/>
        </w:rPr>
        <w:t xml:space="preserve"> </w:t>
      </w:r>
      <w:r w:rsidR="004D3D04">
        <w:rPr>
          <w:rFonts w:ascii="Century Schoolbook" w:hAnsi="Century Schoolbook"/>
          <w:sz w:val="26"/>
          <w:szCs w:val="26"/>
        </w:rPr>
        <w:t xml:space="preserve">where petitioners say </w:t>
      </w:r>
      <w:r w:rsidR="00A772AD">
        <w:rPr>
          <w:rFonts w:ascii="Century Schoolbook" w:hAnsi="Century Schoolbook"/>
          <w:sz w:val="26"/>
          <w:szCs w:val="26"/>
        </w:rPr>
        <w:t>“again, much of this is not covered by para</w:t>
      </w:r>
      <w:r w:rsidR="00AF6946">
        <w:rPr>
          <w:rFonts w:ascii="Century Schoolbook" w:hAnsi="Century Schoolbook"/>
          <w:sz w:val="26"/>
          <w:szCs w:val="26"/>
        </w:rPr>
        <w:t>graph</w:t>
      </w:r>
      <w:r w:rsidR="00A772AD">
        <w:rPr>
          <w:rFonts w:ascii="Century Schoolbook" w:hAnsi="Century Schoolbook"/>
          <w:sz w:val="26"/>
          <w:szCs w:val="26"/>
        </w:rPr>
        <w:t xml:space="preserve"> (b)(5)</w:t>
      </w:r>
      <w:r w:rsidR="00A259B8">
        <w:rPr>
          <w:rFonts w:ascii="Century Schoolbook" w:hAnsi="Century Schoolbook"/>
          <w:sz w:val="26"/>
          <w:szCs w:val="26"/>
        </w:rPr>
        <w:t>,</w:t>
      </w:r>
      <w:r w:rsidR="00554A2C">
        <w:rPr>
          <w:rFonts w:ascii="Century Schoolbook" w:hAnsi="Century Schoolbook"/>
          <w:sz w:val="26"/>
          <w:szCs w:val="26"/>
        </w:rPr>
        <w:t>” without differentiating or providing analysis.</w:t>
      </w:r>
    </w:p>
  </w:footnote>
  <w:footnote w:id="8">
    <w:p w:rsidR="00B77B43" w:rsidRPr="00932105" w:rsidP="00932105" w14:paraId="57DB0647" w14:textId="02682148">
      <w:pPr>
        <w:pStyle w:val="FootnoteText"/>
        <w:spacing w:after="120"/>
        <w:ind w:firstLine="720"/>
        <w:rPr>
          <w:rFonts w:ascii="Century Schoolbook" w:hAnsi="Century Schoolbook"/>
          <w:sz w:val="26"/>
          <w:szCs w:val="26"/>
        </w:rPr>
      </w:pPr>
      <w:r w:rsidRPr="00932105">
        <w:rPr>
          <w:rStyle w:val="FootnoteReference"/>
          <w:rFonts w:ascii="Century Schoolbook" w:hAnsi="Century Schoolbook"/>
          <w:sz w:val="26"/>
          <w:szCs w:val="26"/>
        </w:rPr>
        <w:footnoteRef/>
      </w:r>
      <w:r w:rsidRPr="00932105">
        <w:rPr>
          <w:rFonts w:ascii="Century Schoolbook" w:hAnsi="Century Schoolbook"/>
          <w:sz w:val="26"/>
          <w:szCs w:val="26"/>
        </w:rPr>
        <w:t xml:space="preserve"> </w:t>
      </w:r>
      <w:r w:rsidRPr="00932105" w:rsidR="00D80687">
        <w:rPr>
          <w:rFonts w:ascii="Century Schoolbook" w:hAnsi="Century Schoolbook"/>
          <w:sz w:val="26"/>
          <w:szCs w:val="26"/>
        </w:rPr>
        <w:t>While</w:t>
      </w:r>
      <w:r w:rsidR="00D80687">
        <w:rPr>
          <w:rFonts w:ascii="Century Schoolbook" w:hAnsi="Century Schoolbook"/>
          <w:sz w:val="26"/>
          <w:szCs w:val="26"/>
        </w:rPr>
        <w:t xml:space="preserve"> such material may not be properly redacted under section 832.7, su</w:t>
      </w:r>
      <w:r w:rsidR="000009F9">
        <w:rPr>
          <w:rFonts w:ascii="Century Schoolbook" w:hAnsi="Century Schoolbook"/>
          <w:sz w:val="26"/>
          <w:szCs w:val="26"/>
        </w:rPr>
        <w:t xml:space="preserve">bdivision (b)(6), </w:t>
      </w:r>
      <w:r w:rsidR="008C68C2">
        <w:rPr>
          <w:rFonts w:ascii="Century Schoolbook" w:hAnsi="Century Schoolbook"/>
          <w:sz w:val="26"/>
          <w:szCs w:val="26"/>
        </w:rPr>
        <w:t xml:space="preserve">at oral argument </w:t>
      </w:r>
      <w:r w:rsidR="000009F9">
        <w:rPr>
          <w:rFonts w:ascii="Century Schoolbook" w:hAnsi="Century Schoolbook"/>
          <w:sz w:val="26"/>
          <w:szCs w:val="26"/>
        </w:rPr>
        <w:t xml:space="preserve">both counsel acknowledged that </w:t>
      </w:r>
      <w:r w:rsidR="008C68C2">
        <w:rPr>
          <w:rFonts w:ascii="Century Schoolbook" w:hAnsi="Century Schoolbook"/>
          <w:sz w:val="26"/>
          <w:szCs w:val="26"/>
        </w:rPr>
        <w:t xml:space="preserve">this </w:t>
      </w:r>
      <w:r w:rsidR="000009F9">
        <w:rPr>
          <w:rFonts w:ascii="Century Schoolbook" w:hAnsi="Century Schoolbook"/>
          <w:sz w:val="26"/>
          <w:szCs w:val="26"/>
        </w:rPr>
        <w:t xml:space="preserve">material might be redacted under </w:t>
      </w:r>
      <w:r w:rsidR="008C68C2">
        <w:rPr>
          <w:rFonts w:ascii="Century Schoolbook" w:hAnsi="Century Schoolbook"/>
          <w:sz w:val="26"/>
          <w:szCs w:val="26"/>
        </w:rPr>
        <w:t xml:space="preserve">section 832.7, </w:t>
      </w:r>
      <w:r w:rsidR="000009F9">
        <w:rPr>
          <w:rFonts w:ascii="Century Schoolbook" w:hAnsi="Century Schoolbook"/>
          <w:sz w:val="26"/>
          <w:szCs w:val="26"/>
        </w:rPr>
        <w:t>subdivision (b)(7).</w:t>
      </w:r>
    </w:p>
  </w:footnote>
  <w:footnote w:id="9">
    <w:p w:rsidR="00CD21E9" w:rsidRPr="00CD21E9" w:rsidP="008F3DD3" w14:paraId="51F8F964" w14:textId="1A357B2B">
      <w:pPr>
        <w:pStyle w:val="FootnoteText"/>
        <w:spacing w:after="120"/>
        <w:rPr>
          <w:rFonts w:ascii="Century Schoolbook" w:hAnsi="Century Schoolbook"/>
          <w:sz w:val="26"/>
          <w:szCs w:val="26"/>
        </w:rPr>
      </w:pPr>
      <w:r w:rsidRPr="00CD21E9">
        <w:rPr>
          <w:rFonts w:ascii="Century Schoolbook" w:hAnsi="Century Schoolbook"/>
          <w:sz w:val="26"/>
          <w:szCs w:val="26"/>
        </w:rPr>
        <w:tab/>
      </w:r>
      <w:r w:rsidRPr="00CD21E9">
        <w:rPr>
          <w:rStyle w:val="FootnoteReference"/>
          <w:rFonts w:ascii="Century Schoolbook" w:hAnsi="Century Schoolbook"/>
          <w:sz w:val="26"/>
          <w:szCs w:val="26"/>
        </w:rPr>
        <w:footnoteRef/>
      </w:r>
      <w:r w:rsidRPr="00CD21E9">
        <w:rPr>
          <w:rFonts w:ascii="Century Schoolbook" w:hAnsi="Century Schoolbook"/>
          <w:sz w:val="26"/>
          <w:szCs w:val="26"/>
        </w:rPr>
        <w:t xml:space="preserve"> </w:t>
      </w:r>
      <w:r w:rsidR="004322D9">
        <w:rPr>
          <w:rFonts w:ascii="Century Schoolbook" w:hAnsi="Century Schoolbook"/>
          <w:sz w:val="26"/>
          <w:szCs w:val="26"/>
        </w:rPr>
        <w:t xml:space="preserve">Petitioners concede that redaction is permitted under </w:t>
      </w:r>
      <w:r w:rsidRPr="007F6CD6" w:rsidR="007F6CD6">
        <w:rPr>
          <w:rFonts w:ascii="Century Schoolbook" w:hAnsi="Century Schoolbook"/>
          <w:sz w:val="26"/>
          <w:szCs w:val="26"/>
        </w:rPr>
        <w:t>section 832.7,</w:t>
      </w:r>
      <w:r w:rsidR="007F6CD6">
        <w:rPr>
          <w:rFonts w:ascii="Century Schoolbook" w:hAnsi="Century Schoolbook"/>
        </w:rPr>
        <w:t xml:space="preserve"> </w:t>
      </w:r>
      <w:r w:rsidRPr="00231B62" w:rsidR="004322D9">
        <w:rPr>
          <w:rFonts w:ascii="Century Schoolbook" w:hAnsi="Century Schoolbook"/>
          <w:sz w:val="26"/>
          <w:szCs w:val="26"/>
        </w:rPr>
        <w:t>subdivision (b)(5).</w:t>
      </w:r>
      <w:r w:rsidR="004322D9">
        <w:rPr>
          <w:rFonts w:ascii="Century Schoolbook" w:hAnsi="Century Schoolbook"/>
          <w:sz w:val="26"/>
          <w:szCs w:val="26"/>
        </w:rPr>
        <w:t xml:space="preserve">  </w:t>
      </w:r>
    </w:p>
  </w:footnote>
  <w:footnote w:id="10">
    <w:p w:rsidR="00C04A35" w:rsidRPr="00C04A35" w14:paraId="1BDC1DA8" w14:textId="77770689">
      <w:pPr>
        <w:pStyle w:val="FootnoteText"/>
        <w:rPr>
          <w:rFonts w:ascii="Century Schoolbook" w:hAnsi="Century Schoolbook"/>
          <w:sz w:val="26"/>
          <w:szCs w:val="26"/>
        </w:rPr>
      </w:pPr>
      <w:r w:rsidRPr="00C04A35">
        <w:rPr>
          <w:rFonts w:ascii="Century Schoolbook" w:hAnsi="Century Schoolbook"/>
          <w:sz w:val="26"/>
          <w:szCs w:val="26"/>
        </w:rPr>
        <w:tab/>
      </w:r>
      <w:r w:rsidRPr="00C04A35">
        <w:rPr>
          <w:rStyle w:val="FootnoteReference"/>
          <w:rFonts w:ascii="Century Schoolbook" w:hAnsi="Century Schoolbook"/>
          <w:sz w:val="26"/>
          <w:szCs w:val="26"/>
        </w:rPr>
        <w:footnoteRef/>
      </w:r>
      <w:r w:rsidRPr="00C04A35">
        <w:rPr>
          <w:rFonts w:ascii="Century Schoolbook" w:hAnsi="Century Schoolbook"/>
          <w:sz w:val="26"/>
          <w:szCs w:val="26"/>
        </w:rPr>
        <w:t xml:space="preserve"> Oakland makes the same point again a few pages later:  </w:t>
      </w:r>
      <w:r w:rsidR="00D05479">
        <w:rPr>
          <w:rFonts w:ascii="Century Schoolbook" w:hAnsi="Century Schoolbook"/>
          <w:sz w:val="26"/>
          <w:szCs w:val="26"/>
        </w:rPr>
        <w:t>“</w:t>
      </w:r>
      <w:r>
        <w:rPr>
          <w:rFonts w:ascii="Century Schoolbook" w:hAnsi="Century Schoolbook"/>
          <w:sz w:val="26"/>
          <w:szCs w:val="26"/>
        </w:rPr>
        <w:t>T</w:t>
      </w:r>
      <w:r w:rsidRPr="00C04A35">
        <w:rPr>
          <w:rFonts w:ascii="Century Schoolbook" w:hAnsi="Century Schoolbook"/>
          <w:sz w:val="26"/>
          <w:szCs w:val="26"/>
        </w:rPr>
        <w:t xml:space="preserve">he use of the word ‘information’ </w:t>
      </w:r>
      <w:r w:rsidRPr="00231B62" w:rsidR="00D05479">
        <w:rPr>
          <w:rFonts w:ascii="Century Schoolbook" w:hAnsi="Century Schoolbook"/>
          <w:sz w:val="26"/>
          <w:szCs w:val="26"/>
        </w:rPr>
        <w:t xml:space="preserve">[in </w:t>
      </w:r>
      <w:r w:rsidRPr="00D03082" w:rsidR="00D03082">
        <w:rPr>
          <w:rFonts w:ascii="Century Schoolbook" w:hAnsi="Century Schoolbook"/>
          <w:sz w:val="26"/>
          <w:szCs w:val="26"/>
        </w:rPr>
        <w:t>section 832.7,</w:t>
      </w:r>
      <w:r w:rsidR="00D03082">
        <w:rPr>
          <w:rFonts w:ascii="Century Schoolbook" w:hAnsi="Century Schoolbook"/>
        </w:rPr>
        <w:t xml:space="preserve"> </w:t>
      </w:r>
      <w:r w:rsidRPr="00231B62" w:rsidR="002D5DFD">
        <w:rPr>
          <w:rFonts w:ascii="Century Schoolbook" w:hAnsi="Century Schoolbook"/>
          <w:sz w:val="26"/>
          <w:szCs w:val="26"/>
        </w:rPr>
        <w:t xml:space="preserve">subdivision </w:t>
      </w:r>
      <w:r w:rsidRPr="00231B62" w:rsidR="00D05479">
        <w:rPr>
          <w:rFonts w:ascii="Century Schoolbook" w:hAnsi="Century Schoolbook"/>
          <w:sz w:val="26"/>
          <w:szCs w:val="26"/>
        </w:rPr>
        <w:t>(b)(5)]</w:t>
      </w:r>
      <w:r w:rsidR="00D05479">
        <w:rPr>
          <w:rFonts w:ascii="Century Schoolbook" w:hAnsi="Century Schoolbook"/>
          <w:sz w:val="26"/>
          <w:szCs w:val="26"/>
        </w:rPr>
        <w:t xml:space="preserve"> </w:t>
      </w:r>
      <w:r w:rsidRPr="00C04A35">
        <w:rPr>
          <w:rFonts w:ascii="Century Schoolbook" w:hAnsi="Century Schoolbook"/>
          <w:sz w:val="26"/>
          <w:szCs w:val="26"/>
        </w:rPr>
        <w:t xml:space="preserve">rather than ‘record’ or ‘file’ is critical.  As noted above, because </w:t>
      </w:r>
      <w:r w:rsidR="002A568B">
        <w:rPr>
          <w:rFonts w:ascii="Century Schoolbook" w:hAnsi="Century Schoolbook"/>
          <w:sz w:val="26"/>
          <w:szCs w:val="26"/>
        </w:rPr>
        <w:t xml:space="preserve">[former] </w:t>
      </w:r>
      <w:r w:rsidRPr="00C04A35">
        <w:rPr>
          <w:rFonts w:ascii="Century Schoolbook" w:hAnsi="Century Schoolbook"/>
          <w:sz w:val="26"/>
          <w:szCs w:val="26"/>
        </w:rPr>
        <w:t>Government Code section 6252</w:t>
      </w:r>
      <w:r w:rsidR="00C552F2">
        <w:rPr>
          <w:rFonts w:ascii="Century Schoolbook" w:hAnsi="Century Schoolbook"/>
          <w:sz w:val="26"/>
          <w:szCs w:val="26"/>
        </w:rPr>
        <w:t xml:space="preserve">[, subdivision] </w:t>
      </w:r>
      <w:r w:rsidRPr="00C04A35">
        <w:rPr>
          <w:rFonts w:ascii="Century Schoolbook" w:hAnsi="Century Schoolbook"/>
          <w:sz w:val="26"/>
          <w:szCs w:val="26"/>
        </w:rPr>
        <w:t xml:space="preserve">(e) defines ‘record’ as a ‘writing containing information,’ it contemplates that information is a component part of a record, not the record itself.  So in requiring ‘information’ to be withheld, </w:t>
      </w:r>
      <w:r w:rsidR="00447A1A">
        <w:rPr>
          <w:rFonts w:ascii="Century Schoolbook" w:hAnsi="Century Schoolbook"/>
          <w:sz w:val="26"/>
          <w:szCs w:val="26"/>
        </w:rPr>
        <w:t>[</w:t>
      </w:r>
      <w:r w:rsidR="00316F9F">
        <w:rPr>
          <w:rFonts w:ascii="Century Schoolbook" w:hAnsi="Century Schoolbook"/>
          <w:sz w:val="26"/>
          <w:szCs w:val="26"/>
        </w:rPr>
        <w:t xml:space="preserve">section 832.7, subdivision] </w:t>
      </w:r>
      <w:r w:rsidRPr="00C04A35">
        <w:rPr>
          <w:rFonts w:ascii="Century Schoolbook" w:hAnsi="Century Schoolbook"/>
          <w:sz w:val="26"/>
          <w:szCs w:val="26"/>
        </w:rPr>
        <w:t xml:space="preserve">(b)(5) plainly requires distinguishing bits of information within a record rather than treating entire documents at scale.” </w:t>
      </w:r>
    </w:p>
  </w:footnote>
  <w:footnote w:id="11">
    <w:p w:rsidR="000516AD" w:rsidP="000516AD" w14:paraId="354DFE5A" w14:textId="4A0FA13B">
      <w:pPr>
        <w:shd w:val="clear" w:color="auto" w:fill="FFFFFF"/>
        <w:spacing w:line="240" w:lineRule="auto"/>
        <w:rPr>
          <w:rFonts w:eastAsia="Times New Roman"/>
          <w:color w:val="000000"/>
          <w:sz w:val="24"/>
          <w:szCs w:val="24"/>
        </w:rPr>
      </w:pPr>
      <w:r w:rsidRPr="001B38E5">
        <w:rPr>
          <w:rFonts w:ascii="Century Schoolbook" w:hAnsi="Century Schoolbook"/>
          <w:szCs w:val="26"/>
        </w:rPr>
        <w:tab/>
      </w:r>
      <w:r w:rsidRPr="001B38E5" w:rsidR="00F836D0">
        <w:rPr>
          <w:rStyle w:val="FootnoteReference"/>
          <w:rFonts w:ascii="Century Schoolbook" w:hAnsi="Century Schoolbook"/>
          <w:szCs w:val="26"/>
        </w:rPr>
        <w:footnoteRef/>
      </w:r>
      <w:r w:rsidRPr="001B38E5" w:rsidR="00F836D0">
        <w:rPr>
          <w:rFonts w:ascii="Century Schoolbook" w:hAnsi="Century Schoolbook"/>
          <w:szCs w:val="26"/>
        </w:rPr>
        <w:t xml:space="preserve"> </w:t>
      </w:r>
      <w:r>
        <w:rPr>
          <w:rStyle w:val="contentpasted0"/>
          <w:rFonts w:ascii="Century Schoolbook" w:hAnsi="Century Schoolbook"/>
          <w:color w:val="000000"/>
          <w:szCs w:val="26"/>
        </w:rPr>
        <w:t>Effective January</w:t>
      </w:r>
      <w:r w:rsidR="00DF18D0">
        <w:rPr>
          <w:rStyle w:val="contentpasted0"/>
          <w:rFonts w:ascii="Century Schoolbook" w:hAnsi="Century Schoolbook"/>
          <w:color w:val="000000"/>
          <w:szCs w:val="26"/>
        </w:rPr>
        <w:t> </w:t>
      </w:r>
      <w:r>
        <w:rPr>
          <w:rStyle w:val="contentpasted0"/>
          <w:rFonts w:ascii="Century Schoolbook" w:hAnsi="Century Schoolbook"/>
          <w:color w:val="000000"/>
          <w:szCs w:val="26"/>
        </w:rPr>
        <w:t>1, 2023, this section was repealed and recodified by </w:t>
      </w:r>
      <w:r>
        <w:rPr>
          <w:rStyle w:val="contentpasted1"/>
          <w:rFonts w:ascii="Century Schoolbook" w:hAnsi="Century Schoolbook"/>
          <w:color w:val="000000"/>
          <w:szCs w:val="26"/>
          <w:shd w:val="clear" w:color="auto" w:fill="FFFFFF"/>
        </w:rPr>
        <w:t>Assembly Bill No.</w:t>
      </w:r>
      <w:r w:rsidR="001769DC">
        <w:rPr>
          <w:rStyle w:val="contentpasted1"/>
          <w:rFonts w:ascii="Century Schoolbook" w:hAnsi="Century Schoolbook"/>
          <w:color w:val="000000"/>
          <w:szCs w:val="26"/>
          <w:shd w:val="clear" w:color="auto" w:fill="FFFFFF"/>
        </w:rPr>
        <w:t> </w:t>
      </w:r>
      <w:r>
        <w:rPr>
          <w:rStyle w:val="contentpasted1"/>
          <w:rFonts w:ascii="Century Schoolbook" w:hAnsi="Century Schoolbook"/>
          <w:color w:val="000000"/>
          <w:szCs w:val="26"/>
          <w:shd w:val="clear" w:color="auto" w:fill="FFFFFF"/>
        </w:rPr>
        <w:t xml:space="preserve">473 </w:t>
      </w:r>
      <w:r w:rsidR="00493D69">
        <w:rPr>
          <w:rStyle w:val="contentpasted1"/>
          <w:rFonts w:ascii="Century Schoolbook" w:hAnsi="Century Schoolbook"/>
          <w:color w:val="000000"/>
          <w:szCs w:val="26"/>
          <w:shd w:val="clear" w:color="auto" w:fill="FFFFFF"/>
        </w:rPr>
        <w:t>(2021–</w:t>
      </w:r>
      <w:r w:rsidR="001769DC">
        <w:rPr>
          <w:rStyle w:val="contentpasted1"/>
          <w:rFonts w:ascii="Century Schoolbook" w:hAnsi="Century Schoolbook"/>
          <w:color w:val="000000"/>
          <w:szCs w:val="26"/>
          <w:shd w:val="clear" w:color="auto" w:fill="FFFFFF"/>
        </w:rPr>
        <w:t xml:space="preserve">2022 Reg.Sess.) </w:t>
      </w:r>
      <w:r>
        <w:rPr>
          <w:rStyle w:val="contentpasted1"/>
          <w:rFonts w:ascii="Century Schoolbook" w:hAnsi="Century Schoolbook"/>
          <w:color w:val="000000"/>
          <w:szCs w:val="26"/>
          <w:shd w:val="clear" w:color="auto" w:fill="FFFFFF"/>
        </w:rPr>
        <w:t>(Stats.</w:t>
      </w:r>
      <w:r w:rsidR="0092429B">
        <w:rPr>
          <w:rStyle w:val="contentpasted1"/>
          <w:rFonts w:ascii="Century Schoolbook" w:hAnsi="Century Schoolbook"/>
          <w:color w:val="000000"/>
          <w:szCs w:val="26"/>
          <w:shd w:val="clear" w:color="auto" w:fill="FFFFFF"/>
        </w:rPr>
        <w:t> </w:t>
      </w:r>
      <w:r>
        <w:rPr>
          <w:rStyle w:val="contentpasted1"/>
          <w:rFonts w:ascii="Century Schoolbook" w:hAnsi="Century Schoolbook"/>
          <w:color w:val="000000"/>
          <w:szCs w:val="26"/>
          <w:shd w:val="clear" w:color="auto" w:fill="FFFFFF"/>
        </w:rPr>
        <w:t>2021, ch.</w:t>
      </w:r>
      <w:r w:rsidR="0092429B">
        <w:rPr>
          <w:rStyle w:val="contentpasted1"/>
          <w:rFonts w:ascii="Century Schoolbook" w:hAnsi="Century Schoolbook"/>
          <w:color w:val="000000"/>
          <w:szCs w:val="26"/>
          <w:shd w:val="clear" w:color="auto" w:fill="FFFFFF"/>
        </w:rPr>
        <w:t> </w:t>
      </w:r>
      <w:r>
        <w:rPr>
          <w:rStyle w:val="contentpasted1"/>
          <w:rFonts w:ascii="Century Schoolbook" w:hAnsi="Century Schoolbook"/>
          <w:color w:val="000000"/>
          <w:szCs w:val="26"/>
          <w:shd w:val="clear" w:color="auto" w:fill="FFFFFF"/>
        </w:rPr>
        <w:t>614, §</w:t>
      </w:r>
      <w:r>
        <w:rPr>
          <w:rStyle w:val="contentpasted1"/>
          <w:rFonts w:ascii="Century Schoolbook" w:hAnsi="Century Schoolbook"/>
          <w:color w:val="000000"/>
          <w:szCs w:val="26"/>
          <w:shd w:val="clear" w:color="auto" w:fill="FFFFFF"/>
        </w:rPr>
        <w:t> </w:t>
      </w:r>
      <w:r>
        <w:rPr>
          <w:rStyle w:val="contentpasted1"/>
          <w:rFonts w:ascii="Century Schoolbook" w:hAnsi="Century Schoolbook"/>
          <w:color w:val="000000"/>
          <w:szCs w:val="26"/>
          <w:shd w:val="clear" w:color="auto" w:fill="FFFFFF"/>
        </w:rPr>
        <w:t xml:space="preserve">1) as Government Code, section 7923.600, subdivision (a), which provides:  </w:t>
      </w:r>
      <w:r w:rsidR="00500443">
        <w:rPr>
          <w:rStyle w:val="contentpasted1"/>
          <w:rFonts w:ascii="Century Schoolbook" w:hAnsi="Century Schoolbook"/>
          <w:color w:val="000000"/>
          <w:szCs w:val="26"/>
          <w:shd w:val="clear" w:color="auto" w:fill="FFFFFF"/>
        </w:rPr>
        <w:t>“</w:t>
      </w:r>
      <w:r>
        <w:rPr>
          <w:rStyle w:val="contentpasted1"/>
          <w:rFonts w:ascii="Century Schoolbook" w:hAnsi="Century Schoolbook"/>
          <w:color w:val="000000"/>
          <w:szCs w:val="26"/>
          <w:shd w:val="clear" w:color="auto" w:fill="FFFFFF"/>
        </w:rPr>
        <w:t>Except as provided in Sections 7924.510, 7924.700, and 7929.610, this division does not require the disclosure of records of complaints to, or investigations conducted by, or records of intelligence information or security procedures of, the office of the Attorney General and the Department of Justice, the Office of Emergency Services and any state or local police agency, or any investigatory or security files compiled by any other state or local police agency, or any investigatory or security files compiled by any other state or local agency for correctional, law enforcement, or licensing purposes.</w:t>
      </w:r>
      <w:r w:rsidR="00500443">
        <w:rPr>
          <w:rStyle w:val="contentpasted1"/>
          <w:rFonts w:ascii="Century Schoolbook" w:hAnsi="Century Schoolbook"/>
          <w:color w:val="000000"/>
          <w:szCs w:val="26"/>
          <w:shd w:val="clear" w:color="auto" w:fill="FFFFFF"/>
        </w:rPr>
        <w:t>”</w:t>
      </w:r>
    </w:p>
    <w:p w:rsidR="00F836D0" w:rsidRPr="001B38E5" w14:paraId="004FF63A" w14:textId="0C2385C2">
      <w:pPr>
        <w:pStyle w:val="FootnoteText"/>
        <w:rPr>
          <w:rFonts w:ascii="Century Schoolbook" w:hAnsi="Century Schoolbook"/>
          <w:sz w:val="26"/>
          <w:szCs w:val="2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D"/>
    <w:rsid w:val="000009F9"/>
    <w:rsid w:val="00000FE3"/>
    <w:rsid w:val="00005C55"/>
    <w:rsid w:val="00013C99"/>
    <w:rsid w:val="000200A6"/>
    <w:rsid w:val="000226B2"/>
    <w:rsid w:val="000263BD"/>
    <w:rsid w:val="00027216"/>
    <w:rsid w:val="000371D6"/>
    <w:rsid w:val="000374F9"/>
    <w:rsid w:val="00037779"/>
    <w:rsid w:val="00037EB1"/>
    <w:rsid w:val="00040D3F"/>
    <w:rsid w:val="000419D3"/>
    <w:rsid w:val="00042CEE"/>
    <w:rsid w:val="000504D8"/>
    <w:rsid w:val="000516AD"/>
    <w:rsid w:val="00055394"/>
    <w:rsid w:val="00056A9E"/>
    <w:rsid w:val="0005752D"/>
    <w:rsid w:val="00061ABB"/>
    <w:rsid w:val="000718D3"/>
    <w:rsid w:val="000729DC"/>
    <w:rsid w:val="0007550E"/>
    <w:rsid w:val="00076ABC"/>
    <w:rsid w:val="00084CF0"/>
    <w:rsid w:val="000878A8"/>
    <w:rsid w:val="00090E8F"/>
    <w:rsid w:val="00097D36"/>
    <w:rsid w:val="000A01F8"/>
    <w:rsid w:val="000A440F"/>
    <w:rsid w:val="000A5746"/>
    <w:rsid w:val="000B7642"/>
    <w:rsid w:val="000C208B"/>
    <w:rsid w:val="000C49C9"/>
    <w:rsid w:val="000C4DCF"/>
    <w:rsid w:val="000D1B11"/>
    <w:rsid w:val="000D7F91"/>
    <w:rsid w:val="000F0232"/>
    <w:rsid w:val="0010325E"/>
    <w:rsid w:val="00103287"/>
    <w:rsid w:val="00103652"/>
    <w:rsid w:val="00104986"/>
    <w:rsid w:val="001062E7"/>
    <w:rsid w:val="0010693A"/>
    <w:rsid w:val="00121BED"/>
    <w:rsid w:val="0013352A"/>
    <w:rsid w:val="00141808"/>
    <w:rsid w:val="00147F0B"/>
    <w:rsid w:val="00150D27"/>
    <w:rsid w:val="00154C1D"/>
    <w:rsid w:val="001611C8"/>
    <w:rsid w:val="00162A57"/>
    <w:rsid w:val="001732FD"/>
    <w:rsid w:val="00173A3F"/>
    <w:rsid w:val="001769DC"/>
    <w:rsid w:val="00181F21"/>
    <w:rsid w:val="00183E5A"/>
    <w:rsid w:val="00191257"/>
    <w:rsid w:val="0019202F"/>
    <w:rsid w:val="0019422C"/>
    <w:rsid w:val="00196103"/>
    <w:rsid w:val="001B0C4C"/>
    <w:rsid w:val="001B313D"/>
    <w:rsid w:val="001B354F"/>
    <w:rsid w:val="001B38E5"/>
    <w:rsid w:val="001C029D"/>
    <w:rsid w:val="001C68DA"/>
    <w:rsid w:val="001C7BC1"/>
    <w:rsid w:val="001D1335"/>
    <w:rsid w:val="001D472A"/>
    <w:rsid w:val="001D5280"/>
    <w:rsid w:val="001E319E"/>
    <w:rsid w:val="001E5413"/>
    <w:rsid w:val="001E68B3"/>
    <w:rsid w:val="002116A3"/>
    <w:rsid w:val="0021362E"/>
    <w:rsid w:val="002212F4"/>
    <w:rsid w:val="00221985"/>
    <w:rsid w:val="00222084"/>
    <w:rsid w:val="002249E7"/>
    <w:rsid w:val="00224A70"/>
    <w:rsid w:val="00231B62"/>
    <w:rsid w:val="00232957"/>
    <w:rsid w:val="00233C7A"/>
    <w:rsid w:val="00235B6D"/>
    <w:rsid w:val="00237E7D"/>
    <w:rsid w:val="00243CDD"/>
    <w:rsid w:val="00262E45"/>
    <w:rsid w:val="0026333A"/>
    <w:rsid w:val="00266A83"/>
    <w:rsid w:val="0026796D"/>
    <w:rsid w:val="0029362A"/>
    <w:rsid w:val="002A4E31"/>
    <w:rsid w:val="002A568B"/>
    <w:rsid w:val="002B75B3"/>
    <w:rsid w:val="002B7C6C"/>
    <w:rsid w:val="002C360D"/>
    <w:rsid w:val="002C38A1"/>
    <w:rsid w:val="002C3985"/>
    <w:rsid w:val="002C513E"/>
    <w:rsid w:val="002C53D1"/>
    <w:rsid w:val="002D5DFD"/>
    <w:rsid w:val="002D6F30"/>
    <w:rsid w:val="002E078B"/>
    <w:rsid w:val="002E13F8"/>
    <w:rsid w:val="002E1BC1"/>
    <w:rsid w:val="002E2377"/>
    <w:rsid w:val="002E4979"/>
    <w:rsid w:val="002F000F"/>
    <w:rsid w:val="002F014D"/>
    <w:rsid w:val="002F4123"/>
    <w:rsid w:val="002F7792"/>
    <w:rsid w:val="003032C5"/>
    <w:rsid w:val="00304E52"/>
    <w:rsid w:val="00305085"/>
    <w:rsid w:val="00311BBA"/>
    <w:rsid w:val="0031414C"/>
    <w:rsid w:val="0031490C"/>
    <w:rsid w:val="0031557C"/>
    <w:rsid w:val="00316F9F"/>
    <w:rsid w:val="0032027A"/>
    <w:rsid w:val="003215A3"/>
    <w:rsid w:val="00323550"/>
    <w:rsid w:val="00326A1B"/>
    <w:rsid w:val="003348BC"/>
    <w:rsid w:val="00334D46"/>
    <w:rsid w:val="00335CCE"/>
    <w:rsid w:val="00346C8C"/>
    <w:rsid w:val="00350B3C"/>
    <w:rsid w:val="00353D5A"/>
    <w:rsid w:val="00360ED0"/>
    <w:rsid w:val="00363DF2"/>
    <w:rsid w:val="00367542"/>
    <w:rsid w:val="0037141A"/>
    <w:rsid w:val="00374680"/>
    <w:rsid w:val="0037602A"/>
    <w:rsid w:val="003770BC"/>
    <w:rsid w:val="0038052E"/>
    <w:rsid w:val="00383BB7"/>
    <w:rsid w:val="003908AF"/>
    <w:rsid w:val="00390944"/>
    <w:rsid w:val="00392324"/>
    <w:rsid w:val="00392690"/>
    <w:rsid w:val="003950EE"/>
    <w:rsid w:val="0039581B"/>
    <w:rsid w:val="003A12A6"/>
    <w:rsid w:val="003A16BA"/>
    <w:rsid w:val="003A5E65"/>
    <w:rsid w:val="003B5B14"/>
    <w:rsid w:val="003D0102"/>
    <w:rsid w:val="003D1BC8"/>
    <w:rsid w:val="003D68E7"/>
    <w:rsid w:val="003E1A96"/>
    <w:rsid w:val="003E2D2A"/>
    <w:rsid w:val="003E60F8"/>
    <w:rsid w:val="003E6E97"/>
    <w:rsid w:val="003F7273"/>
    <w:rsid w:val="003F7E54"/>
    <w:rsid w:val="003F7FF2"/>
    <w:rsid w:val="00405CB1"/>
    <w:rsid w:val="00410147"/>
    <w:rsid w:val="00410836"/>
    <w:rsid w:val="0041653B"/>
    <w:rsid w:val="00421FE8"/>
    <w:rsid w:val="004322D9"/>
    <w:rsid w:val="00437334"/>
    <w:rsid w:val="0044716C"/>
    <w:rsid w:val="00447A1A"/>
    <w:rsid w:val="00470553"/>
    <w:rsid w:val="004756CE"/>
    <w:rsid w:val="00480B77"/>
    <w:rsid w:val="00480CD8"/>
    <w:rsid w:val="00486DAC"/>
    <w:rsid w:val="00492D33"/>
    <w:rsid w:val="00493D69"/>
    <w:rsid w:val="004A05A5"/>
    <w:rsid w:val="004A08D1"/>
    <w:rsid w:val="004A1E13"/>
    <w:rsid w:val="004B133D"/>
    <w:rsid w:val="004B1973"/>
    <w:rsid w:val="004B310C"/>
    <w:rsid w:val="004C0F0B"/>
    <w:rsid w:val="004C1B87"/>
    <w:rsid w:val="004C2110"/>
    <w:rsid w:val="004D3D04"/>
    <w:rsid w:val="004D45E8"/>
    <w:rsid w:val="004E1CE2"/>
    <w:rsid w:val="004E2DEE"/>
    <w:rsid w:val="004F39BD"/>
    <w:rsid w:val="004F3FCE"/>
    <w:rsid w:val="00500443"/>
    <w:rsid w:val="005120AC"/>
    <w:rsid w:val="0051563C"/>
    <w:rsid w:val="00534FCD"/>
    <w:rsid w:val="005357DB"/>
    <w:rsid w:val="00540CFC"/>
    <w:rsid w:val="00540D82"/>
    <w:rsid w:val="00542A1F"/>
    <w:rsid w:val="00545D43"/>
    <w:rsid w:val="0054657F"/>
    <w:rsid w:val="005466E2"/>
    <w:rsid w:val="00546877"/>
    <w:rsid w:val="00552FCC"/>
    <w:rsid w:val="00553A97"/>
    <w:rsid w:val="00554485"/>
    <w:rsid w:val="00554A2C"/>
    <w:rsid w:val="0055524E"/>
    <w:rsid w:val="00560BD1"/>
    <w:rsid w:val="00563946"/>
    <w:rsid w:val="00576323"/>
    <w:rsid w:val="00580456"/>
    <w:rsid w:val="00586EE2"/>
    <w:rsid w:val="0059243A"/>
    <w:rsid w:val="00594174"/>
    <w:rsid w:val="005A2212"/>
    <w:rsid w:val="005B02EB"/>
    <w:rsid w:val="005B0EC5"/>
    <w:rsid w:val="005B116E"/>
    <w:rsid w:val="005C619A"/>
    <w:rsid w:val="005D3B05"/>
    <w:rsid w:val="005E2B20"/>
    <w:rsid w:val="005E4D1B"/>
    <w:rsid w:val="005E5C67"/>
    <w:rsid w:val="005F0C87"/>
    <w:rsid w:val="005F27F3"/>
    <w:rsid w:val="005F75F7"/>
    <w:rsid w:val="005F7814"/>
    <w:rsid w:val="0060142E"/>
    <w:rsid w:val="006132A0"/>
    <w:rsid w:val="00624476"/>
    <w:rsid w:val="00631CEA"/>
    <w:rsid w:val="00634B7E"/>
    <w:rsid w:val="00636673"/>
    <w:rsid w:val="00640D50"/>
    <w:rsid w:val="0064110D"/>
    <w:rsid w:val="00643394"/>
    <w:rsid w:val="00644178"/>
    <w:rsid w:val="00652679"/>
    <w:rsid w:val="00652D3D"/>
    <w:rsid w:val="006532D7"/>
    <w:rsid w:val="006618DC"/>
    <w:rsid w:val="00677BD8"/>
    <w:rsid w:val="00680FBB"/>
    <w:rsid w:val="00684A46"/>
    <w:rsid w:val="006859CC"/>
    <w:rsid w:val="006862AC"/>
    <w:rsid w:val="00686A4E"/>
    <w:rsid w:val="00687E91"/>
    <w:rsid w:val="00692DFE"/>
    <w:rsid w:val="0069337D"/>
    <w:rsid w:val="006962A4"/>
    <w:rsid w:val="00696E8B"/>
    <w:rsid w:val="006A7C8B"/>
    <w:rsid w:val="006B0490"/>
    <w:rsid w:val="006B055B"/>
    <w:rsid w:val="006B1514"/>
    <w:rsid w:val="006B7B94"/>
    <w:rsid w:val="006C0995"/>
    <w:rsid w:val="006C1F6B"/>
    <w:rsid w:val="006C3EFC"/>
    <w:rsid w:val="006D09DD"/>
    <w:rsid w:val="006D1A94"/>
    <w:rsid w:val="006D285C"/>
    <w:rsid w:val="006D2C16"/>
    <w:rsid w:val="006D4DFA"/>
    <w:rsid w:val="006E5FA4"/>
    <w:rsid w:val="006F3E3E"/>
    <w:rsid w:val="00700DA5"/>
    <w:rsid w:val="0070143C"/>
    <w:rsid w:val="00703257"/>
    <w:rsid w:val="00705652"/>
    <w:rsid w:val="00707A3C"/>
    <w:rsid w:val="00713EB0"/>
    <w:rsid w:val="007156B3"/>
    <w:rsid w:val="00715AF5"/>
    <w:rsid w:val="00716DAB"/>
    <w:rsid w:val="00720760"/>
    <w:rsid w:val="00721AFA"/>
    <w:rsid w:val="00723AC4"/>
    <w:rsid w:val="00723D11"/>
    <w:rsid w:val="00726278"/>
    <w:rsid w:val="00726851"/>
    <w:rsid w:val="007352A7"/>
    <w:rsid w:val="00737AAE"/>
    <w:rsid w:val="00737CEC"/>
    <w:rsid w:val="00742FFB"/>
    <w:rsid w:val="007444A7"/>
    <w:rsid w:val="007448F0"/>
    <w:rsid w:val="00744E1A"/>
    <w:rsid w:val="007524DD"/>
    <w:rsid w:val="00752647"/>
    <w:rsid w:val="00753F4C"/>
    <w:rsid w:val="007609ED"/>
    <w:rsid w:val="007665A6"/>
    <w:rsid w:val="00770EF0"/>
    <w:rsid w:val="00775120"/>
    <w:rsid w:val="00777889"/>
    <w:rsid w:val="00782B15"/>
    <w:rsid w:val="00787AE0"/>
    <w:rsid w:val="0079537F"/>
    <w:rsid w:val="00795E73"/>
    <w:rsid w:val="00796816"/>
    <w:rsid w:val="00797847"/>
    <w:rsid w:val="007A092A"/>
    <w:rsid w:val="007A0E79"/>
    <w:rsid w:val="007A1662"/>
    <w:rsid w:val="007A7193"/>
    <w:rsid w:val="007B2C21"/>
    <w:rsid w:val="007B3289"/>
    <w:rsid w:val="007B54F0"/>
    <w:rsid w:val="007C1A2D"/>
    <w:rsid w:val="007C4121"/>
    <w:rsid w:val="007C5422"/>
    <w:rsid w:val="007C6111"/>
    <w:rsid w:val="007D185C"/>
    <w:rsid w:val="007D4F93"/>
    <w:rsid w:val="007D61A5"/>
    <w:rsid w:val="007D69AB"/>
    <w:rsid w:val="007D73EA"/>
    <w:rsid w:val="007E5CC9"/>
    <w:rsid w:val="007E7915"/>
    <w:rsid w:val="007F6CD6"/>
    <w:rsid w:val="00800436"/>
    <w:rsid w:val="00801F36"/>
    <w:rsid w:val="00802844"/>
    <w:rsid w:val="008050CD"/>
    <w:rsid w:val="00810416"/>
    <w:rsid w:val="00810E76"/>
    <w:rsid w:val="008120B4"/>
    <w:rsid w:val="0081426F"/>
    <w:rsid w:val="0081472C"/>
    <w:rsid w:val="00822112"/>
    <w:rsid w:val="00822956"/>
    <w:rsid w:val="00826608"/>
    <w:rsid w:val="00830711"/>
    <w:rsid w:val="00830E02"/>
    <w:rsid w:val="00832424"/>
    <w:rsid w:val="00835D57"/>
    <w:rsid w:val="008364BE"/>
    <w:rsid w:val="0084072D"/>
    <w:rsid w:val="00842011"/>
    <w:rsid w:val="00846BD9"/>
    <w:rsid w:val="00856C6C"/>
    <w:rsid w:val="00857149"/>
    <w:rsid w:val="008625C8"/>
    <w:rsid w:val="00865037"/>
    <w:rsid w:val="00877DA5"/>
    <w:rsid w:val="008831A4"/>
    <w:rsid w:val="008A0343"/>
    <w:rsid w:val="008A083D"/>
    <w:rsid w:val="008A2409"/>
    <w:rsid w:val="008A26DF"/>
    <w:rsid w:val="008A6309"/>
    <w:rsid w:val="008A6E79"/>
    <w:rsid w:val="008A6F71"/>
    <w:rsid w:val="008A7AA5"/>
    <w:rsid w:val="008B07E9"/>
    <w:rsid w:val="008B0917"/>
    <w:rsid w:val="008B1182"/>
    <w:rsid w:val="008B31A9"/>
    <w:rsid w:val="008B61B6"/>
    <w:rsid w:val="008C04A8"/>
    <w:rsid w:val="008C1371"/>
    <w:rsid w:val="008C68C2"/>
    <w:rsid w:val="008C7015"/>
    <w:rsid w:val="008D1A14"/>
    <w:rsid w:val="008D3595"/>
    <w:rsid w:val="008D3C5F"/>
    <w:rsid w:val="008D4137"/>
    <w:rsid w:val="008D5F45"/>
    <w:rsid w:val="008D76A6"/>
    <w:rsid w:val="008E7C16"/>
    <w:rsid w:val="008F0BF6"/>
    <w:rsid w:val="008F3DD3"/>
    <w:rsid w:val="008F4675"/>
    <w:rsid w:val="00905AF6"/>
    <w:rsid w:val="00906525"/>
    <w:rsid w:val="00911E98"/>
    <w:rsid w:val="0091403D"/>
    <w:rsid w:val="0091727A"/>
    <w:rsid w:val="0092429B"/>
    <w:rsid w:val="00930673"/>
    <w:rsid w:val="00930D0C"/>
    <w:rsid w:val="00932105"/>
    <w:rsid w:val="00934436"/>
    <w:rsid w:val="00942C43"/>
    <w:rsid w:val="009452EE"/>
    <w:rsid w:val="00951279"/>
    <w:rsid w:val="0095524D"/>
    <w:rsid w:val="009574D9"/>
    <w:rsid w:val="00957522"/>
    <w:rsid w:val="00962DB5"/>
    <w:rsid w:val="009637B1"/>
    <w:rsid w:val="0097103B"/>
    <w:rsid w:val="00974A7A"/>
    <w:rsid w:val="00976E5E"/>
    <w:rsid w:val="00991269"/>
    <w:rsid w:val="009942D7"/>
    <w:rsid w:val="009A4203"/>
    <w:rsid w:val="009A4883"/>
    <w:rsid w:val="009B6271"/>
    <w:rsid w:val="009E252C"/>
    <w:rsid w:val="009E4411"/>
    <w:rsid w:val="009E507B"/>
    <w:rsid w:val="00A12D0E"/>
    <w:rsid w:val="00A152FA"/>
    <w:rsid w:val="00A16D6D"/>
    <w:rsid w:val="00A20709"/>
    <w:rsid w:val="00A22F4F"/>
    <w:rsid w:val="00A259B8"/>
    <w:rsid w:val="00A26FB9"/>
    <w:rsid w:val="00A30518"/>
    <w:rsid w:val="00A32717"/>
    <w:rsid w:val="00A46665"/>
    <w:rsid w:val="00A47F3B"/>
    <w:rsid w:val="00A52B86"/>
    <w:rsid w:val="00A6146A"/>
    <w:rsid w:val="00A635F5"/>
    <w:rsid w:val="00A64F5F"/>
    <w:rsid w:val="00A6634D"/>
    <w:rsid w:val="00A71F49"/>
    <w:rsid w:val="00A72498"/>
    <w:rsid w:val="00A72785"/>
    <w:rsid w:val="00A75422"/>
    <w:rsid w:val="00A7609A"/>
    <w:rsid w:val="00A764A6"/>
    <w:rsid w:val="00A772AD"/>
    <w:rsid w:val="00A852C2"/>
    <w:rsid w:val="00A87A3D"/>
    <w:rsid w:val="00A90262"/>
    <w:rsid w:val="00AB193B"/>
    <w:rsid w:val="00AB20C3"/>
    <w:rsid w:val="00AB7DC3"/>
    <w:rsid w:val="00AC0779"/>
    <w:rsid w:val="00AC7F0E"/>
    <w:rsid w:val="00AD27AE"/>
    <w:rsid w:val="00AD57B9"/>
    <w:rsid w:val="00AE780A"/>
    <w:rsid w:val="00AF0292"/>
    <w:rsid w:val="00AF6946"/>
    <w:rsid w:val="00AF7477"/>
    <w:rsid w:val="00B075AF"/>
    <w:rsid w:val="00B112F6"/>
    <w:rsid w:val="00B1592B"/>
    <w:rsid w:val="00B17250"/>
    <w:rsid w:val="00B20402"/>
    <w:rsid w:val="00B24FE4"/>
    <w:rsid w:val="00B368CF"/>
    <w:rsid w:val="00B36FB4"/>
    <w:rsid w:val="00B429AB"/>
    <w:rsid w:val="00B4791D"/>
    <w:rsid w:val="00B52EEE"/>
    <w:rsid w:val="00B53A3C"/>
    <w:rsid w:val="00B54A05"/>
    <w:rsid w:val="00B60B15"/>
    <w:rsid w:val="00B64289"/>
    <w:rsid w:val="00B6655C"/>
    <w:rsid w:val="00B67CF5"/>
    <w:rsid w:val="00B70F9C"/>
    <w:rsid w:val="00B77B43"/>
    <w:rsid w:val="00B950A4"/>
    <w:rsid w:val="00BA0D61"/>
    <w:rsid w:val="00BA0F8E"/>
    <w:rsid w:val="00BA180B"/>
    <w:rsid w:val="00BA338A"/>
    <w:rsid w:val="00BA59A8"/>
    <w:rsid w:val="00BA5E9D"/>
    <w:rsid w:val="00BB1C72"/>
    <w:rsid w:val="00BB1E99"/>
    <w:rsid w:val="00BB3BA0"/>
    <w:rsid w:val="00BB3DEC"/>
    <w:rsid w:val="00BB6159"/>
    <w:rsid w:val="00BC1D41"/>
    <w:rsid w:val="00BC268F"/>
    <w:rsid w:val="00BC292C"/>
    <w:rsid w:val="00BC707D"/>
    <w:rsid w:val="00BD72F8"/>
    <w:rsid w:val="00BD784A"/>
    <w:rsid w:val="00BE1FDC"/>
    <w:rsid w:val="00BE2E3B"/>
    <w:rsid w:val="00BE5D82"/>
    <w:rsid w:val="00BF01D2"/>
    <w:rsid w:val="00BF07CA"/>
    <w:rsid w:val="00BF238C"/>
    <w:rsid w:val="00BF4E63"/>
    <w:rsid w:val="00BF730C"/>
    <w:rsid w:val="00BF7495"/>
    <w:rsid w:val="00C01891"/>
    <w:rsid w:val="00C04A35"/>
    <w:rsid w:val="00C053D6"/>
    <w:rsid w:val="00C1104A"/>
    <w:rsid w:val="00C117C1"/>
    <w:rsid w:val="00C13602"/>
    <w:rsid w:val="00C20F14"/>
    <w:rsid w:val="00C25499"/>
    <w:rsid w:val="00C25B7E"/>
    <w:rsid w:val="00C263CD"/>
    <w:rsid w:val="00C26663"/>
    <w:rsid w:val="00C3090A"/>
    <w:rsid w:val="00C345AC"/>
    <w:rsid w:val="00C36396"/>
    <w:rsid w:val="00C44E0A"/>
    <w:rsid w:val="00C50D1F"/>
    <w:rsid w:val="00C544B9"/>
    <w:rsid w:val="00C54E87"/>
    <w:rsid w:val="00C552F2"/>
    <w:rsid w:val="00C573E5"/>
    <w:rsid w:val="00C667AB"/>
    <w:rsid w:val="00C755C8"/>
    <w:rsid w:val="00C809D0"/>
    <w:rsid w:val="00C82026"/>
    <w:rsid w:val="00C828E8"/>
    <w:rsid w:val="00C82EAF"/>
    <w:rsid w:val="00C83383"/>
    <w:rsid w:val="00C83B3F"/>
    <w:rsid w:val="00C934AC"/>
    <w:rsid w:val="00C9453F"/>
    <w:rsid w:val="00C96A1E"/>
    <w:rsid w:val="00CA0B51"/>
    <w:rsid w:val="00CA39F0"/>
    <w:rsid w:val="00CA42C0"/>
    <w:rsid w:val="00CA4B1C"/>
    <w:rsid w:val="00CD21E9"/>
    <w:rsid w:val="00CD6175"/>
    <w:rsid w:val="00CE7805"/>
    <w:rsid w:val="00CF10E2"/>
    <w:rsid w:val="00CF2579"/>
    <w:rsid w:val="00D03082"/>
    <w:rsid w:val="00D03E13"/>
    <w:rsid w:val="00D05479"/>
    <w:rsid w:val="00D05A9D"/>
    <w:rsid w:val="00D069C5"/>
    <w:rsid w:val="00D112A9"/>
    <w:rsid w:val="00D221A0"/>
    <w:rsid w:val="00D30A6C"/>
    <w:rsid w:val="00D37261"/>
    <w:rsid w:val="00D37B33"/>
    <w:rsid w:val="00D415D7"/>
    <w:rsid w:val="00D437F9"/>
    <w:rsid w:val="00D465F9"/>
    <w:rsid w:val="00D5484C"/>
    <w:rsid w:val="00D622B5"/>
    <w:rsid w:val="00D64A70"/>
    <w:rsid w:val="00D65FE0"/>
    <w:rsid w:val="00D66F3E"/>
    <w:rsid w:val="00D672C9"/>
    <w:rsid w:val="00D7082D"/>
    <w:rsid w:val="00D80687"/>
    <w:rsid w:val="00D847FC"/>
    <w:rsid w:val="00D906C2"/>
    <w:rsid w:val="00D90CEF"/>
    <w:rsid w:val="00DA63DE"/>
    <w:rsid w:val="00DA70D4"/>
    <w:rsid w:val="00DA7918"/>
    <w:rsid w:val="00DB0AC8"/>
    <w:rsid w:val="00DB1537"/>
    <w:rsid w:val="00DB299C"/>
    <w:rsid w:val="00DB7D32"/>
    <w:rsid w:val="00DC01F9"/>
    <w:rsid w:val="00DC1E52"/>
    <w:rsid w:val="00DC70CD"/>
    <w:rsid w:val="00DD0FC5"/>
    <w:rsid w:val="00DD23F3"/>
    <w:rsid w:val="00DD5E37"/>
    <w:rsid w:val="00DE0597"/>
    <w:rsid w:val="00DE13EE"/>
    <w:rsid w:val="00DE3FCC"/>
    <w:rsid w:val="00DF18D0"/>
    <w:rsid w:val="00DF417A"/>
    <w:rsid w:val="00E021A5"/>
    <w:rsid w:val="00E06037"/>
    <w:rsid w:val="00E12A79"/>
    <w:rsid w:val="00E15F47"/>
    <w:rsid w:val="00E16B97"/>
    <w:rsid w:val="00E27148"/>
    <w:rsid w:val="00E352AD"/>
    <w:rsid w:val="00E35F65"/>
    <w:rsid w:val="00E36E16"/>
    <w:rsid w:val="00E40629"/>
    <w:rsid w:val="00E43049"/>
    <w:rsid w:val="00E43AFF"/>
    <w:rsid w:val="00E464FE"/>
    <w:rsid w:val="00E51D42"/>
    <w:rsid w:val="00E60456"/>
    <w:rsid w:val="00E766FB"/>
    <w:rsid w:val="00E809E3"/>
    <w:rsid w:val="00E8278F"/>
    <w:rsid w:val="00E96D5F"/>
    <w:rsid w:val="00EA1C32"/>
    <w:rsid w:val="00EA2D44"/>
    <w:rsid w:val="00EA302A"/>
    <w:rsid w:val="00EA3147"/>
    <w:rsid w:val="00EA3CC8"/>
    <w:rsid w:val="00EA563E"/>
    <w:rsid w:val="00EB2C73"/>
    <w:rsid w:val="00EB2DE5"/>
    <w:rsid w:val="00EB6FB9"/>
    <w:rsid w:val="00ED2FB0"/>
    <w:rsid w:val="00ED56D7"/>
    <w:rsid w:val="00EE10AE"/>
    <w:rsid w:val="00EE4EC2"/>
    <w:rsid w:val="00EF03F3"/>
    <w:rsid w:val="00EF1BA1"/>
    <w:rsid w:val="00EF2AAD"/>
    <w:rsid w:val="00EF2FC1"/>
    <w:rsid w:val="00EF6B5A"/>
    <w:rsid w:val="00F0548D"/>
    <w:rsid w:val="00F06483"/>
    <w:rsid w:val="00F079A1"/>
    <w:rsid w:val="00F07F1D"/>
    <w:rsid w:val="00F122C5"/>
    <w:rsid w:val="00F12658"/>
    <w:rsid w:val="00F26192"/>
    <w:rsid w:val="00F26950"/>
    <w:rsid w:val="00F34489"/>
    <w:rsid w:val="00F364E6"/>
    <w:rsid w:val="00F37D3A"/>
    <w:rsid w:val="00F404B4"/>
    <w:rsid w:val="00F476BF"/>
    <w:rsid w:val="00F6141D"/>
    <w:rsid w:val="00F67A34"/>
    <w:rsid w:val="00F71B60"/>
    <w:rsid w:val="00F73C27"/>
    <w:rsid w:val="00F7580A"/>
    <w:rsid w:val="00F8361B"/>
    <w:rsid w:val="00F836D0"/>
    <w:rsid w:val="00F87FA6"/>
    <w:rsid w:val="00F92C59"/>
    <w:rsid w:val="00F94175"/>
    <w:rsid w:val="00FA66BA"/>
    <w:rsid w:val="00FB1B05"/>
    <w:rsid w:val="00FB6D22"/>
    <w:rsid w:val="00FB6F2B"/>
    <w:rsid w:val="00FC36CD"/>
    <w:rsid w:val="00FC41FB"/>
    <w:rsid w:val="00FD318D"/>
    <w:rsid w:val="00FD6C74"/>
    <w:rsid w:val="00FD7F24"/>
    <w:rsid w:val="00FE1C86"/>
    <w:rsid w:val="00FE2475"/>
    <w:rsid w:val="00FF55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D3D"/>
    <w:pPr>
      <w:tabs>
        <w:tab w:val="left" w:pos="720"/>
      </w:tabs>
      <w:spacing w:line="480" w:lineRule="atLeast"/>
    </w:pPr>
    <w:rPr>
      <w:rFonts w:ascii="Times New Roman" w:hAnsi="Times New Roman" w:cs="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2D3D"/>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652D3D"/>
    <w:rPr>
      <w:rFonts w:ascii="Times New Roman" w:hAnsi="Times New Roman" w:cs="Times New Roman"/>
      <w:sz w:val="26"/>
      <w:szCs w:val="22"/>
    </w:rPr>
  </w:style>
  <w:style w:type="character" w:styleId="PageNumber">
    <w:name w:val="page number"/>
    <w:basedOn w:val="DefaultParagraphFont"/>
    <w:uiPriority w:val="99"/>
    <w:semiHidden/>
    <w:unhideWhenUsed/>
    <w:rsid w:val="00652D3D"/>
  </w:style>
  <w:style w:type="paragraph" w:styleId="Header">
    <w:name w:val="header"/>
    <w:basedOn w:val="Normal"/>
    <w:link w:val="HeaderChar"/>
    <w:uiPriority w:val="99"/>
    <w:unhideWhenUsed/>
    <w:rsid w:val="00652D3D"/>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652D3D"/>
    <w:rPr>
      <w:rFonts w:ascii="Times New Roman" w:hAnsi="Times New Roman" w:cs="Times New Roman"/>
      <w:sz w:val="26"/>
      <w:szCs w:val="22"/>
    </w:rPr>
  </w:style>
  <w:style w:type="paragraph" w:styleId="FootnoteText">
    <w:name w:val="footnote text"/>
    <w:basedOn w:val="Normal"/>
    <w:link w:val="FootnoteTextChar"/>
    <w:uiPriority w:val="99"/>
    <w:semiHidden/>
    <w:unhideWhenUsed/>
    <w:rsid w:val="00C04A35"/>
    <w:pPr>
      <w:spacing w:line="240" w:lineRule="auto"/>
    </w:pPr>
    <w:rPr>
      <w:sz w:val="20"/>
      <w:szCs w:val="20"/>
    </w:rPr>
  </w:style>
  <w:style w:type="character" w:customStyle="1" w:styleId="FootnoteTextChar">
    <w:name w:val="Footnote Text Char"/>
    <w:basedOn w:val="DefaultParagraphFont"/>
    <w:link w:val="FootnoteText"/>
    <w:uiPriority w:val="99"/>
    <w:semiHidden/>
    <w:rsid w:val="00C04A3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4A35"/>
    <w:rPr>
      <w:vertAlign w:val="superscript"/>
    </w:rPr>
  </w:style>
  <w:style w:type="character" w:customStyle="1" w:styleId="contentpasted0">
    <w:name w:val="contentpasted0"/>
    <w:basedOn w:val="DefaultParagraphFont"/>
    <w:rsid w:val="002B7C6C"/>
  </w:style>
  <w:style w:type="character" w:customStyle="1" w:styleId="contentpasted2">
    <w:name w:val="contentpasted2"/>
    <w:basedOn w:val="DefaultParagraphFont"/>
    <w:rsid w:val="002B7C6C"/>
  </w:style>
  <w:style w:type="character" w:customStyle="1" w:styleId="contentpasted1">
    <w:name w:val="contentpasted1"/>
    <w:basedOn w:val="DefaultParagraphFont"/>
    <w:rsid w:val="000516AD"/>
  </w:style>
  <w:style w:type="paragraph" w:styleId="Revision">
    <w:name w:val="Revision"/>
    <w:hidden/>
    <w:uiPriority w:val="99"/>
    <w:semiHidden/>
    <w:rsid w:val="00037779"/>
    <w:rPr>
      <w:rFonts w:ascii="Times New Roman" w:hAnsi="Times New Roman" w:cs="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6700A-7BCB-4ACB-9140-752B9C34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5203</Words>
  <Characters>29660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2023-09-25T19:45:36Z</dcterms:created>
  <dcterms:modified xsi:type="dcterms:W3CDTF">2023-09-25T19:45:36Z</dcterms:modified>
</cp:coreProperties>
</file>