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168C9" w:rsidRPr="00514C9E" w:rsidP="003C780F" w14:paraId="0110400A" w14:textId="146E3D14">
      <w:pPr>
        <w:spacing w:line="240" w:lineRule="auto"/>
        <w:rPr>
          <w:sz w:val="20"/>
        </w:rPr>
      </w:pPr>
      <w:r w:rsidRPr="00514C9E">
        <w:rPr>
          <w:sz w:val="20"/>
        </w:rPr>
        <w:t>Filed</w:t>
      </w:r>
      <w:r w:rsidRPr="00514C9E" w:rsidR="00911EE7">
        <w:rPr>
          <w:sz w:val="20"/>
        </w:rPr>
        <w:t xml:space="preserve"> 8/3/23</w:t>
      </w:r>
    </w:p>
    <w:p w:rsidR="003C780F" w:rsidRPr="003C780F" w:rsidP="003C780F" w14:paraId="55009882" w14:textId="099864F7">
      <w:pPr>
        <w:spacing w:line="240" w:lineRule="auto"/>
        <w:jc w:val="center"/>
        <w:rPr>
          <w:b/>
          <w:bCs/>
        </w:rPr>
      </w:pPr>
      <w:r>
        <w:rPr>
          <w:b/>
          <w:bCs/>
        </w:rPr>
        <w:t>CERTIFIED FOR PUBLICATION</w:t>
      </w:r>
    </w:p>
    <w:p w:rsidR="002168C9" w:rsidP="00F425C4" w14:paraId="5ADB3E6A" w14:textId="77777777">
      <w:pPr>
        <w:spacing w:line="240" w:lineRule="auto"/>
        <w:jc w:val="center"/>
      </w:pPr>
    </w:p>
    <w:p w:rsidR="008C69C3" w:rsidP="00F425C4" w14:paraId="06828EAC" w14:textId="064D3447">
      <w:pPr>
        <w:spacing w:line="240" w:lineRule="auto"/>
        <w:jc w:val="center"/>
      </w:pPr>
      <w:r>
        <w:t>IN THE COURT OF APPEAL OF THE STATE OF CALIFORNIA</w:t>
      </w:r>
    </w:p>
    <w:p w:rsidR="00F425C4" w:rsidP="00F425C4" w14:paraId="545B7413" w14:textId="5380DB16">
      <w:pPr>
        <w:spacing w:line="240" w:lineRule="auto"/>
        <w:jc w:val="center"/>
      </w:pPr>
    </w:p>
    <w:p w:rsidR="00F425C4" w:rsidP="00F425C4" w14:paraId="1161C133" w14:textId="455A0912">
      <w:pPr>
        <w:spacing w:line="240" w:lineRule="auto"/>
        <w:jc w:val="center"/>
      </w:pPr>
      <w:r>
        <w:t>FIRST APPELLATE DISTRICT</w:t>
      </w:r>
    </w:p>
    <w:p w:rsidR="00F425C4" w:rsidP="00F425C4" w14:paraId="2A1ADD5E" w14:textId="63AB3337">
      <w:pPr>
        <w:spacing w:line="240" w:lineRule="auto"/>
        <w:jc w:val="center"/>
      </w:pPr>
    </w:p>
    <w:p w:rsidR="00F425C4" w:rsidP="00F425C4" w14:paraId="39D8BD8A" w14:textId="639DE0ED">
      <w:pPr>
        <w:spacing w:line="240" w:lineRule="auto"/>
        <w:jc w:val="center"/>
      </w:pPr>
      <w:r>
        <w:t>DIVISION FIVE</w:t>
      </w:r>
    </w:p>
    <w:p w:rsidR="00F425C4" w:rsidP="00F425C4" w14:paraId="3ACAD8D6" w14:textId="12ED636F">
      <w:pPr>
        <w:spacing w:line="240" w:lineRule="auto"/>
        <w:jc w:val="center"/>
      </w:pPr>
    </w:p>
    <w:p w:rsidR="00F425C4" w:rsidP="00F425C4" w14:paraId="380C5D0F" w14:textId="4D5AEA15">
      <w:pPr>
        <w:spacing w:line="240" w:lineRule="auto"/>
        <w:jc w:val="center"/>
      </w:pPr>
    </w:p>
    <w:tbl>
      <w:tblPr>
        <w:tblW w:w="0" w:type="auto"/>
        <w:tblLayout w:type="fixed"/>
        <w:tblLook w:val="0000"/>
      </w:tblPr>
      <w:tblGrid>
        <w:gridCol w:w="4860"/>
        <w:gridCol w:w="3060"/>
      </w:tblGrid>
      <w:tr w14:paraId="1A6F518A" w14:textId="77777777" w:rsidTr="006813A6">
        <w:tblPrEx>
          <w:tblW w:w="0" w:type="auto"/>
          <w:tblLayout w:type="fixed"/>
          <w:tblLook w:val="0000"/>
        </w:tblPrEx>
        <w:tc>
          <w:tcPr>
            <w:tcW w:w="4860" w:type="dxa"/>
            <w:tcBorders>
              <w:bottom w:val="single" w:sz="4" w:space="0" w:color="auto"/>
              <w:right w:val="single" w:sz="4" w:space="0" w:color="auto"/>
            </w:tcBorders>
            <w:shd w:val="clear" w:color="auto" w:fill="auto"/>
          </w:tcPr>
          <w:p w:rsidR="00F425C4" w:rsidRPr="0046796A" w:rsidP="00F425C4" w14:paraId="65D3D440" w14:textId="77777777">
            <w:pPr>
              <w:spacing w:after="120" w:line="240" w:lineRule="auto"/>
            </w:pPr>
            <w:r w:rsidRPr="0046796A">
              <w:t>LELAND TRAIMAN,</w:t>
            </w:r>
          </w:p>
          <w:p w:rsidR="00F425C4" w:rsidRPr="0046796A" w:rsidP="00F425C4" w14:paraId="709FC858" w14:textId="77777777">
            <w:pPr>
              <w:spacing w:after="120" w:line="240" w:lineRule="auto"/>
            </w:pPr>
            <w:r w:rsidRPr="0046796A">
              <w:tab/>
              <w:t>Plaintiff and Respondent,</w:t>
            </w:r>
          </w:p>
          <w:p w:rsidR="00F425C4" w:rsidRPr="0046796A" w:rsidP="00F425C4" w14:paraId="66AF6D22" w14:textId="77777777">
            <w:pPr>
              <w:spacing w:after="120" w:line="240" w:lineRule="auto"/>
            </w:pPr>
            <w:r w:rsidRPr="0046796A">
              <w:t>v.</w:t>
            </w:r>
          </w:p>
          <w:p w:rsidR="00F425C4" w:rsidRPr="0046796A" w:rsidP="00F425C4" w14:paraId="325FEC31" w14:textId="77777777">
            <w:pPr>
              <w:spacing w:after="120" w:line="240" w:lineRule="auto"/>
            </w:pPr>
            <w:r w:rsidRPr="0046796A">
              <w:t>ALAMEDA UNIFIED SCHOOL DISTRICT,</w:t>
            </w:r>
          </w:p>
          <w:p w:rsidR="00F425C4" w:rsidRPr="0046796A" w:rsidP="00F425C4" w14:paraId="682A517C" w14:textId="24F4D7B0">
            <w:pPr>
              <w:spacing w:after="120" w:line="240" w:lineRule="auto"/>
            </w:pPr>
            <w:r w:rsidRPr="0046796A">
              <w:tab/>
              <w:t>Defendant and Appellant.</w:t>
            </w:r>
          </w:p>
        </w:tc>
        <w:tc>
          <w:tcPr>
            <w:tcW w:w="3060" w:type="dxa"/>
            <w:tcBorders>
              <w:left w:val="single" w:sz="4" w:space="0" w:color="auto"/>
            </w:tcBorders>
            <w:shd w:val="clear" w:color="auto" w:fill="auto"/>
          </w:tcPr>
          <w:p w:rsidR="00F425C4" w:rsidRPr="0046796A" w:rsidP="00F425C4" w14:paraId="785A04AC" w14:textId="77777777">
            <w:pPr>
              <w:spacing w:line="240" w:lineRule="auto"/>
            </w:pPr>
          </w:p>
          <w:p w:rsidR="00F425C4" w:rsidRPr="0046796A" w:rsidP="00F425C4" w14:paraId="2850CE8D" w14:textId="77777777">
            <w:pPr>
              <w:spacing w:line="240" w:lineRule="auto"/>
            </w:pPr>
          </w:p>
          <w:p w:rsidR="00F425C4" w:rsidRPr="0046796A" w:rsidP="00F425C4" w14:paraId="27B8AD98" w14:textId="40F21682">
            <w:pPr>
              <w:spacing w:line="240" w:lineRule="auto"/>
            </w:pPr>
            <w:r w:rsidRPr="0046796A">
              <w:t xml:space="preserve">      A164935</w:t>
            </w:r>
            <w:r w:rsidR="0057750C">
              <w:t>, A166022</w:t>
            </w:r>
          </w:p>
          <w:p w:rsidR="00F425C4" w:rsidRPr="0046796A" w:rsidP="00F425C4" w14:paraId="59B0F95D" w14:textId="77777777">
            <w:pPr>
              <w:spacing w:line="240" w:lineRule="auto"/>
            </w:pPr>
          </w:p>
          <w:p w:rsidR="00F425C4" w:rsidRPr="0046796A" w:rsidP="00F425C4" w14:paraId="13181E69" w14:textId="77777777">
            <w:pPr>
              <w:spacing w:line="240" w:lineRule="auto"/>
            </w:pPr>
            <w:r w:rsidRPr="0046796A">
              <w:t xml:space="preserve">      (Alameda County</w:t>
            </w:r>
          </w:p>
          <w:p w:rsidR="00F425C4" w:rsidRPr="0046796A" w:rsidP="006813A6" w14:paraId="1C09C915" w14:textId="1DBF1670">
            <w:pPr>
              <w:spacing w:line="240" w:lineRule="auto"/>
              <w:ind w:left="525"/>
            </w:pPr>
            <w:r w:rsidRPr="0046796A">
              <w:t>Super. Ct. No. RG20061550)</w:t>
            </w:r>
          </w:p>
          <w:p w:rsidR="00F425C4" w:rsidRPr="0046796A" w:rsidP="00F425C4" w14:paraId="3A84F9C8" w14:textId="5D5B8BA9">
            <w:pPr>
              <w:spacing w:line="240" w:lineRule="auto"/>
            </w:pPr>
          </w:p>
        </w:tc>
      </w:tr>
    </w:tbl>
    <w:p w:rsidR="00F425C4" w:rsidRPr="0046796A" w:rsidP="00F425C4" w14:paraId="33D2F51B" w14:textId="73B93086">
      <w:pPr>
        <w:spacing w:line="360" w:lineRule="auto"/>
      </w:pPr>
    </w:p>
    <w:p w:rsidR="001958BA" w:rsidP="00B637DF" w14:paraId="3AEBB366" w14:textId="77777777">
      <w:pPr>
        <w:pStyle w:val="BodyText"/>
        <w:widowControl/>
        <w:spacing w:line="360" w:lineRule="auto"/>
        <w:ind w:left="0"/>
        <w:rPr>
          <w:rFonts w:ascii="Century Schoolbook" w:hAnsi="Century Schoolbook"/>
          <w:bCs/>
        </w:rPr>
      </w:pPr>
      <w:r w:rsidRPr="0046796A">
        <w:rPr>
          <w:rFonts w:ascii="Century Schoolbook" w:hAnsi="Century Schoolbook"/>
        </w:rPr>
        <w:tab/>
      </w:r>
      <w:r w:rsidRPr="0046796A" w:rsidR="006D0EE5">
        <w:rPr>
          <w:rFonts w:ascii="Century Schoolbook" w:hAnsi="Century Schoolbook"/>
          <w:bCs/>
        </w:rPr>
        <w:t>School districts may levy “qualified special taxes” pursuant to Government Code section 50079 (</w:t>
      </w:r>
      <w:r w:rsidRPr="0046796A" w:rsidR="00770C02">
        <w:rPr>
          <w:rFonts w:ascii="Century Schoolbook" w:hAnsi="Century Schoolbook"/>
          <w:bCs/>
        </w:rPr>
        <w:t>s</w:t>
      </w:r>
      <w:r w:rsidRPr="0046796A" w:rsidR="006D0EE5">
        <w:rPr>
          <w:rFonts w:ascii="Century Schoolbook" w:hAnsi="Century Schoolbook"/>
          <w:bCs/>
        </w:rPr>
        <w:t xml:space="preserve">ection 50079) with the approval of </w:t>
      </w:r>
    </w:p>
    <w:p w:rsidR="00770C02" w:rsidRPr="0046796A" w:rsidP="00B637DF" w14:paraId="2BD28CF8" w14:textId="18D83EBE">
      <w:pPr>
        <w:pStyle w:val="BodyText"/>
        <w:widowControl/>
        <w:spacing w:line="360" w:lineRule="auto"/>
        <w:ind w:left="0"/>
        <w:rPr>
          <w:rFonts w:ascii="Century Schoolbook" w:hAnsi="Century Schoolbook"/>
        </w:rPr>
      </w:pPr>
      <w:r w:rsidRPr="0046796A">
        <w:rPr>
          <w:rFonts w:ascii="Century Schoolbook" w:hAnsi="Century Schoolbook"/>
          <w:bCs/>
        </w:rPr>
        <w:t xml:space="preserve">two-thirds of </w:t>
      </w:r>
      <w:r w:rsidRPr="0046796A" w:rsidR="00D30B34">
        <w:rPr>
          <w:rFonts w:ascii="Century Schoolbook" w:hAnsi="Century Schoolbook"/>
          <w:bCs/>
        </w:rPr>
        <w:t xml:space="preserve">district </w:t>
      </w:r>
      <w:r w:rsidRPr="0046796A">
        <w:rPr>
          <w:rFonts w:ascii="Century Schoolbook" w:hAnsi="Century Schoolbook"/>
          <w:bCs/>
        </w:rPr>
        <w:t xml:space="preserve">voters. </w:t>
      </w:r>
      <w:r w:rsidRPr="0046796A" w:rsidR="00D90434">
        <w:rPr>
          <w:rFonts w:ascii="Century Schoolbook" w:hAnsi="Century Schoolbook"/>
          <w:bCs/>
        </w:rPr>
        <w:t xml:space="preserve"> </w:t>
      </w:r>
      <w:r w:rsidRPr="0046796A">
        <w:rPr>
          <w:rFonts w:ascii="Century Schoolbook" w:hAnsi="Century Schoolbook"/>
          <w:bCs/>
        </w:rPr>
        <w:t xml:space="preserve">To constitute a qualified special tax, the tax </w:t>
      </w:r>
      <w:r w:rsidRPr="0046796A" w:rsidR="00D30B34">
        <w:rPr>
          <w:rFonts w:ascii="Century Schoolbook" w:hAnsi="Century Schoolbook"/>
          <w:bCs/>
        </w:rPr>
        <w:t xml:space="preserve">must </w:t>
      </w:r>
      <w:r w:rsidRPr="0046796A" w:rsidR="001E65B3">
        <w:rPr>
          <w:rFonts w:ascii="Century Schoolbook" w:hAnsi="Century Schoolbook"/>
          <w:bCs/>
        </w:rPr>
        <w:t xml:space="preserve">“apply uniformly to all taxpayers or all real property within the school district” (with some statutory exemptions) and not be “imposed on a particular class of property or taxpayers.”  </w:t>
      </w:r>
      <w:r w:rsidRPr="0046796A">
        <w:rPr>
          <w:rFonts w:ascii="Century Schoolbook" w:hAnsi="Century Schoolbook"/>
        </w:rPr>
        <w:t xml:space="preserve">Measure A, </w:t>
      </w:r>
      <w:r w:rsidRPr="0046796A" w:rsidR="00D30B34">
        <w:rPr>
          <w:rFonts w:ascii="Century Schoolbook" w:hAnsi="Century Schoolbook"/>
        </w:rPr>
        <w:t xml:space="preserve">approved by </w:t>
      </w:r>
      <w:r w:rsidRPr="0046796A" w:rsidR="006813A6">
        <w:rPr>
          <w:rFonts w:ascii="Century Schoolbook" w:hAnsi="Century Schoolbook"/>
        </w:rPr>
        <w:t xml:space="preserve">voters in the Alameda </w:t>
      </w:r>
      <w:r w:rsidRPr="0046796A" w:rsidR="001E65B3">
        <w:rPr>
          <w:rFonts w:ascii="Century Schoolbook" w:hAnsi="Century Schoolbook"/>
        </w:rPr>
        <w:t xml:space="preserve">Unified </w:t>
      </w:r>
      <w:r w:rsidRPr="0046796A" w:rsidR="006813A6">
        <w:rPr>
          <w:rFonts w:ascii="Century Schoolbook" w:hAnsi="Century Schoolbook"/>
        </w:rPr>
        <w:t xml:space="preserve">School District (District) </w:t>
      </w:r>
      <w:r w:rsidRPr="0046796A" w:rsidR="00D30B34">
        <w:rPr>
          <w:rFonts w:ascii="Century Schoolbook" w:hAnsi="Century Schoolbook"/>
        </w:rPr>
        <w:t xml:space="preserve">in </w:t>
      </w:r>
      <w:r w:rsidRPr="0046796A" w:rsidR="004E7526">
        <w:rPr>
          <w:rFonts w:ascii="Century Schoolbook" w:hAnsi="Century Schoolbook"/>
        </w:rPr>
        <w:t xml:space="preserve">2020, </w:t>
      </w:r>
      <w:r w:rsidRPr="0046796A" w:rsidR="00D30B34">
        <w:rPr>
          <w:rFonts w:ascii="Century Schoolbook" w:hAnsi="Century Schoolbook"/>
        </w:rPr>
        <w:t xml:space="preserve">authorizes </w:t>
      </w:r>
      <w:r w:rsidRPr="0046796A">
        <w:rPr>
          <w:rFonts w:ascii="Century Schoolbook" w:hAnsi="Century Schoolbook"/>
        </w:rPr>
        <w:t>a tax on improved parcels at “the rate of $0.265 per building square foot not to exceed $7,999 per parcel</w:t>
      </w:r>
      <w:r w:rsidRPr="0046796A" w:rsidR="00D30B34">
        <w:rPr>
          <w:rFonts w:ascii="Century Schoolbook" w:hAnsi="Century Schoolbook"/>
        </w:rPr>
        <w:t>.</w:t>
      </w:r>
      <w:r w:rsidRPr="0046796A">
        <w:rPr>
          <w:rFonts w:ascii="Century Schoolbook" w:hAnsi="Century Schoolbook"/>
        </w:rPr>
        <w:t xml:space="preserve">” </w:t>
      </w:r>
      <w:r w:rsidR="003C780F">
        <w:rPr>
          <w:rFonts w:ascii="Century Schoolbook" w:hAnsi="Century Schoolbook"/>
        </w:rPr>
        <w:t xml:space="preserve"> </w:t>
      </w:r>
      <w:r w:rsidRPr="0046796A" w:rsidR="00D30B34">
        <w:rPr>
          <w:rFonts w:ascii="Century Schoolbook" w:hAnsi="Century Schoolbook"/>
        </w:rPr>
        <w:t xml:space="preserve">In </w:t>
      </w:r>
      <w:r w:rsidRPr="0046796A" w:rsidR="006813A6">
        <w:rPr>
          <w:rFonts w:ascii="Century Schoolbook" w:hAnsi="Century Schoolbook"/>
        </w:rPr>
        <w:t xml:space="preserve">this </w:t>
      </w:r>
      <w:r w:rsidRPr="0046796A" w:rsidR="00D30B34">
        <w:rPr>
          <w:rFonts w:ascii="Century Schoolbook" w:hAnsi="Century Schoolbook"/>
        </w:rPr>
        <w:t xml:space="preserve">action brought by respondent </w:t>
      </w:r>
      <w:r w:rsidRPr="0046796A" w:rsidR="006813A6">
        <w:rPr>
          <w:rFonts w:ascii="Century Schoolbook" w:hAnsi="Century Schoolbook"/>
        </w:rPr>
        <w:t xml:space="preserve">Leland </w:t>
      </w:r>
      <w:r w:rsidRPr="0046796A" w:rsidR="00D30B34">
        <w:rPr>
          <w:rFonts w:ascii="Century Schoolbook" w:hAnsi="Century Schoolbook"/>
        </w:rPr>
        <w:t xml:space="preserve">Traiman, the </w:t>
      </w:r>
      <w:r w:rsidRPr="0046796A">
        <w:rPr>
          <w:rFonts w:ascii="Century Schoolbook" w:hAnsi="Century Schoolbook"/>
        </w:rPr>
        <w:t>trial court ruled that the tax was not applied uniformly</w:t>
      </w:r>
      <w:r w:rsidRPr="0046796A" w:rsidR="00D30B34">
        <w:rPr>
          <w:rFonts w:ascii="Century Schoolbook" w:hAnsi="Century Schoolbook"/>
        </w:rPr>
        <w:t xml:space="preserve"> and invalidated the tax</w:t>
      </w:r>
      <w:r w:rsidRPr="0046796A">
        <w:rPr>
          <w:rFonts w:ascii="Century Schoolbook" w:hAnsi="Century Schoolbook"/>
        </w:rPr>
        <w:t>.</w:t>
      </w:r>
      <w:r w:rsidRPr="0046796A" w:rsidR="00982257">
        <w:rPr>
          <w:rFonts w:ascii="Century Schoolbook" w:hAnsi="Century Schoolbook"/>
        </w:rPr>
        <w:t xml:space="preserve">  The court </w:t>
      </w:r>
      <w:r w:rsidRPr="0046796A" w:rsidR="00B637DF">
        <w:rPr>
          <w:rFonts w:ascii="Century Schoolbook" w:hAnsi="Century Schoolbook"/>
        </w:rPr>
        <w:t xml:space="preserve">thereafter </w:t>
      </w:r>
      <w:r w:rsidRPr="0046796A" w:rsidR="00982257">
        <w:rPr>
          <w:rFonts w:ascii="Century Schoolbook" w:hAnsi="Century Schoolbook"/>
        </w:rPr>
        <w:t>awarded Traiman $</w:t>
      </w:r>
      <w:r w:rsidRPr="0046796A" w:rsidR="004E7526">
        <w:rPr>
          <w:rFonts w:ascii="Century Schoolbook" w:hAnsi="Century Schoolbook"/>
        </w:rPr>
        <w:t xml:space="preserve">374,960 </w:t>
      </w:r>
      <w:r w:rsidRPr="0046796A" w:rsidR="00982257">
        <w:rPr>
          <w:rFonts w:ascii="Century Schoolbook" w:hAnsi="Century Schoolbook"/>
        </w:rPr>
        <w:t>in attorney fees</w:t>
      </w:r>
      <w:r w:rsidRPr="0046796A" w:rsidR="004E7526">
        <w:rPr>
          <w:rFonts w:ascii="Century Schoolbook" w:hAnsi="Century Schoolbook"/>
        </w:rPr>
        <w:t xml:space="preserve"> pursuant to Code of Civil Procedure section 1021.5</w:t>
      </w:r>
      <w:r w:rsidRPr="0046796A" w:rsidR="00982257">
        <w:rPr>
          <w:rFonts w:ascii="Century Schoolbook" w:hAnsi="Century Schoolbook"/>
        </w:rPr>
        <w:t>.</w:t>
      </w:r>
    </w:p>
    <w:p w:rsidR="00982257" w:rsidRPr="0046796A" w:rsidP="00B637DF" w14:paraId="09163E0E" w14:textId="447C0764">
      <w:pPr>
        <w:tabs>
          <w:tab w:val="clear" w:pos="720"/>
        </w:tabs>
        <w:spacing w:line="360" w:lineRule="auto"/>
      </w:pPr>
      <w:r w:rsidRPr="0046796A">
        <w:tab/>
        <w:t xml:space="preserve">In </w:t>
      </w:r>
      <w:r w:rsidRPr="0046796A" w:rsidR="004E7526">
        <w:t xml:space="preserve">these consolidated appeals, </w:t>
      </w:r>
      <w:r w:rsidRPr="0046796A" w:rsidR="00D30B34">
        <w:t xml:space="preserve">the </w:t>
      </w:r>
      <w:r w:rsidRPr="0046796A" w:rsidR="006D0EE5">
        <w:t>District contends (1) the challenge to the tax rate was barred by judgments in prior validation actions (</w:t>
      </w:r>
      <w:r w:rsidRPr="0046796A" w:rsidR="00D30B34">
        <w:t xml:space="preserve">see </w:t>
      </w:r>
      <w:r w:rsidRPr="0046796A" w:rsidR="006D0EE5">
        <w:t xml:space="preserve">Code Civ. Proc., </w:t>
      </w:r>
      <w:r w:rsidRPr="0046796A" w:rsidR="006813A6">
        <w:t>§ </w:t>
      </w:r>
      <w:r w:rsidRPr="0046796A" w:rsidR="006D0EE5">
        <w:t xml:space="preserve">860 </w:t>
      </w:r>
      <w:r w:rsidRPr="0046796A" w:rsidR="00D30B34">
        <w:t xml:space="preserve">et seq.); </w:t>
      </w:r>
      <w:r w:rsidRPr="0046796A" w:rsidR="006D0EE5">
        <w:t xml:space="preserve">(2) the tax rate applies uniformly within the </w:t>
      </w:r>
      <w:r w:rsidRPr="0046796A" w:rsidR="006D0EE5">
        <w:t xml:space="preserve">meaning of </w:t>
      </w:r>
      <w:r w:rsidRPr="0046796A" w:rsidR="00770C02">
        <w:t>section 50079</w:t>
      </w:r>
      <w:r w:rsidRPr="0046796A" w:rsidR="006813A6">
        <w:t xml:space="preserve">; </w:t>
      </w:r>
      <w:r w:rsidRPr="0046796A" w:rsidR="006D0EE5">
        <w:t xml:space="preserve">(3) to </w:t>
      </w:r>
      <w:r w:rsidRPr="0046796A" w:rsidR="00770C02">
        <w:t xml:space="preserve">the </w:t>
      </w:r>
      <w:r w:rsidRPr="0046796A" w:rsidR="006D0EE5">
        <w:t>extent any portion of Measure A is invalid, the remainder should be enforced</w:t>
      </w:r>
      <w:r w:rsidRPr="0046796A" w:rsidR="004E7526">
        <w:t xml:space="preserve">; and </w:t>
      </w:r>
      <w:r w:rsidRPr="0046796A" w:rsidR="00B637DF">
        <w:t xml:space="preserve">(4) </w:t>
      </w:r>
      <w:r w:rsidRPr="0046796A">
        <w:t xml:space="preserve">the award of attorney fees </w:t>
      </w:r>
      <w:r w:rsidRPr="0046796A" w:rsidR="004E7526">
        <w:t xml:space="preserve">was </w:t>
      </w:r>
      <w:r w:rsidRPr="0046796A">
        <w:t>improper.</w:t>
      </w:r>
    </w:p>
    <w:p w:rsidR="004E7526" w:rsidRPr="0046796A" w:rsidP="00B637DF" w14:paraId="53584C62" w14:textId="6B9E838C">
      <w:pPr>
        <w:pStyle w:val="BodyText"/>
        <w:widowControl/>
        <w:spacing w:line="360" w:lineRule="auto"/>
        <w:ind w:left="0"/>
        <w:rPr>
          <w:rFonts w:ascii="Century Schoolbook" w:hAnsi="Century Schoolbook"/>
        </w:rPr>
      </w:pPr>
      <w:r w:rsidRPr="0046796A">
        <w:rPr>
          <w:rFonts w:ascii="Century Schoolbook" w:hAnsi="Century Schoolbook"/>
        </w:rPr>
        <w:tab/>
        <w:t xml:space="preserve">We will reverse the judgment.  </w:t>
      </w:r>
      <w:r w:rsidRPr="0046796A" w:rsidR="00770C02">
        <w:rPr>
          <w:rFonts w:ascii="Century Schoolbook" w:hAnsi="Century Schoolbook"/>
        </w:rPr>
        <w:t xml:space="preserve">The </w:t>
      </w:r>
      <w:r w:rsidRPr="0046796A">
        <w:rPr>
          <w:rFonts w:ascii="Century Schoolbook" w:hAnsi="Century Schoolbook"/>
        </w:rPr>
        <w:t xml:space="preserve">Measure A tax applies uniformly within the meaning of section </w:t>
      </w:r>
      <w:r w:rsidRPr="0046796A" w:rsidR="00770C02">
        <w:rPr>
          <w:rFonts w:ascii="Century Schoolbook" w:hAnsi="Century Schoolbook"/>
        </w:rPr>
        <w:t xml:space="preserve">50079 because every </w:t>
      </w:r>
      <w:r w:rsidRPr="0046796A" w:rsidR="00A31188">
        <w:rPr>
          <w:rFonts w:ascii="Century Schoolbook" w:hAnsi="Century Schoolbook"/>
        </w:rPr>
        <w:t xml:space="preserve">nonexempt taxpayer and every </w:t>
      </w:r>
      <w:r w:rsidRPr="0046796A">
        <w:rPr>
          <w:rFonts w:ascii="Century Schoolbook" w:hAnsi="Century Schoolbook"/>
        </w:rPr>
        <w:t xml:space="preserve">improved parcel in the District is taxed </w:t>
      </w:r>
      <w:r w:rsidRPr="0046796A" w:rsidR="006813A6">
        <w:rPr>
          <w:rFonts w:ascii="Century Schoolbook" w:hAnsi="Century Schoolbook"/>
        </w:rPr>
        <w:t xml:space="preserve">using the same formula. </w:t>
      </w:r>
      <w:r w:rsidR="003C780F">
        <w:rPr>
          <w:rFonts w:ascii="Century Schoolbook" w:hAnsi="Century Schoolbook"/>
        </w:rPr>
        <w:t xml:space="preserve"> </w:t>
      </w:r>
      <w:r w:rsidRPr="0046796A" w:rsidR="00982257">
        <w:rPr>
          <w:rFonts w:ascii="Century Schoolbook" w:hAnsi="Century Schoolbook"/>
        </w:rPr>
        <w:t xml:space="preserve">Neither the </w:t>
      </w:r>
      <w:r w:rsidRPr="0046796A" w:rsidR="00B637DF">
        <w:rPr>
          <w:rFonts w:ascii="Century Schoolbook" w:hAnsi="Century Schoolbook"/>
        </w:rPr>
        <w:t xml:space="preserve">language of the </w:t>
      </w:r>
      <w:r w:rsidRPr="0046796A" w:rsidR="00982257">
        <w:rPr>
          <w:rFonts w:ascii="Century Schoolbook" w:hAnsi="Century Schoolbook"/>
        </w:rPr>
        <w:t>statute,</w:t>
      </w:r>
      <w:r w:rsidR="000F270F">
        <w:rPr>
          <w:rFonts w:ascii="Century Schoolbook" w:hAnsi="Century Schoolbook"/>
        </w:rPr>
        <w:t xml:space="preserve"> case law,</w:t>
      </w:r>
      <w:r w:rsidRPr="0046796A" w:rsidR="00982257">
        <w:rPr>
          <w:rFonts w:ascii="Century Schoolbook" w:hAnsi="Century Schoolbook"/>
        </w:rPr>
        <w:t xml:space="preserve"> legislative history, </w:t>
      </w:r>
      <w:r w:rsidRPr="0046796A" w:rsidR="00B637DF">
        <w:rPr>
          <w:rFonts w:ascii="Century Schoolbook" w:hAnsi="Century Schoolbook"/>
        </w:rPr>
        <w:t>n</w:t>
      </w:r>
      <w:r w:rsidRPr="0046796A" w:rsidR="00982257">
        <w:rPr>
          <w:rFonts w:ascii="Century Schoolbook" w:hAnsi="Century Schoolbook"/>
        </w:rPr>
        <w:t xml:space="preserve">or public policy </w:t>
      </w:r>
      <w:r w:rsidRPr="0046796A">
        <w:rPr>
          <w:rFonts w:ascii="Century Schoolbook" w:hAnsi="Century Schoolbook"/>
        </w:rPr>
        <w:t>indicate</w:t>
      </w:r>
      <w:r w:rsidR="0059311E">
        <w:rPr>
          <w:rFonts w:ascii="Century Schoolbook" w:hAnsi="Century Schoolbook"/>
        </w:rPr>
        <w:t>s</w:t>
      </w:r>
      <w:r w:rsidRPr="0046796A">
        <w:rPr>
          <w:rFonts w:ascii="Century Schoolbook" w:hAnsi="Century Schoolbook"/>
        </w:rPr>
        <w:t xml:space="preserve"> that </w:t>
      </w:r>
      <w:r w:rsidRPr="0046796A" w:rsidR="00982257">
        <w:rPr>
          <w:rFonts w:ascii="Century Schoolbook" w:hAnsi="Century Schoolbook"/>
        </w:rPr>
        <w:t xml:space="preserve">a school district cannot base a </w:t>
      </w:r>
      <w:r w:rsidRPr="0046796A" w:rsidR="00B637DF">
        <w:rPr>
          <w:rFonts w:ascii="Century Schoolbook" w:hAnsi="Century Schoolbook"/>
        </w:rPr>
        <w:t xml:space="preserve">qualified </w:t>
      </w:r>
      <w:r w:rsidRPr="0046796A">
        <w:rPr>
          <w:rFonts w:ascii="Century Schoolbook" w:hAnsi="Century Schoolbook"/>
        </w:rPr>
        <w:t xml:space="preserve">special </w:t>
      </w:r>
      <w:r w:rsidRPr="0046796A" w:rsidR="00982257">
        <w:rPr>
          <w:rFonts w:ascii="Century Schoolbook" w:hAnsi="Century Schoolbook"/>
        </w:rPr>
        <w:t xml:space="preserve">tax on building square footage with a </w:t>
      </w:r>
      <w:r w:rsidRPr="0046796A">
        <w:rPr>
          <w:rFonts w:ascii="Century Schoolbook" w:hAnsi="Century Schoolbook"/>
        </w:rPr>
        <w:t xml:space="preserve">maximum tax per parcel.  </w:t>
      </w:r>
      <w:r w:rsidRPr="0046796A" w:rsidR="00A31188">
        <w:rPr>
          <w:rFonts w:ascii="Century Schoolbook" w:hAnsi="Century Schoolbook"/>
        </w:rPr>
        <w:t xml:space="preserve">Because the judgment must be reversed on this ground, we </w:t>
      </w:r>
      <w:r w:rsidRPr="0046796A" w:rsidR="00982257">
        <w:rPr>
          <w:rFonts w:ascii="Century Schoolbook" w:hAnsi="Century Schoolbook"/>
        </w:rPr>
        <w:t xml:space="preserve">need not and </w:t>
      </w:r>
      <w:r w:rsidRPr="0046796A">
        <w:rPr>
          <w:rFonts w:ascii="Century Schoolbook" w:hAnsi="Century Schoolbook"/>
        </w:rPr>
        <w:t xml:space="preserve">do not </w:t>
      </w:r>
      <w:r w:rsidRPr="0046796A" w:rsidR="00982257">
        <w:rPr>
          <w:rFonts w:ascii="Century Schoolbook" w:hAnsi="Century Schoolbook"/>
        </w:rPr>
        <w:t>decide the other issues raised by the District.</w:t>
      </w:r>
    </w:p>
    <w:p w:rsidR="00F425C4" w:rsidRPr="0046796A" w:rsidP="00446E16" w14:paraId="4F1C52A6" w14:textId="4F00A199">
      <w:pPr>
        <w:tabs>
          <w:tab w:val="clear" w:pos="720"/>
        </w:tabs>
        <w:spacing w:line="360" w:lineRule="auto"/>
        <w:jc w:val="center"/>
      </w:pPr>
      <w:r w:rsidRPr="0046796A">
        <w:t xml:space="preserve">I.  </w:t>
      </w:r>
      <w:r w:rsidRPr="0046796A">
        <w:rPr>
          <w:u w:val="single"/>
        </w:rPr>
        <w:t>FACTS AND PROCEDURAL HISTORY</w:t>
      </w:r>
    </w:p>
    <w:p w:rsidR="001E65B3" w:rsidRPr="0046796A" w:rsidP="006D0EE5" w14:paraId="1A81C244" w14:textId="56164FDA">
      <w:pPr>
        <w:pStyle w:val="ListParagraph"/>
        <w:widowControl/>
        <w:tabs>
          <w:tab w:val="left" w:pos="0"/>
        </w:tabs>
        <w:spacing w:line="360" w:lineRule="auto"/>
        <w:ind w:left="0" w:firstLine="0"/>
        <w:rPr>
          <w:rFonts w:ascii="Century Schoolbook" w:hAnsi="Century Schoolbook"/>
          <w:bCs/>
          <w:sz w:val="26"/>
          <w:szCs w:val="26"/>
        </w:rPr>
      </w:pPr>
      <w:bookmarkStart w:id="0" w:name="_TOC_250008"/>
      <w:bookmarkStart w:id="1" w:name="I._History_Of_Voter_Support_For_District"/>
      <w:bookmarkEnd w:id="0"/>
      <w:bookmarkEnd w:id="1"/>
      <w:r w:rsidRPr="0046796A">
        <w:rPr>
          <w:rFonts w:ascii="Century Schoolbook" w:hAnsi="Century Schoolbook"/>
          <w:bCs/>
          <w:sz w:val="26"/>
          <w:szCs w:val="26"/>
        </w:rPr>
        <w:tab/>
        <w:t xml:space="preserve">A.  </w:t>
      </w:r>
      <w:r w:rsidRPr="0046796A">
        <w:rPr>
          <w:rFonts w:ascii="Century Schoolbook" w:hAnsi="Century Schoolbook"/>
          <w:bCs/>
          <w:sz w:val="26"/>
          <w:szCs w:val="26"/>
          <w:u w:val="single"/>
        </w:rPr>
        <w:t>Prior School District Funding</w:t>
      </w:r>
      <w:r w:rsidRPr="0046796A" w:rsidR="004279D8">
        <w:rPr>
          <w:rFonts w:ascii="Century Schoolbook" w:hAnsi="Century Schoolbook"/>
          <w:bCs/>
          <w:sz w:val="26"/>
          <w:szCs w:val="26"/>
          <w:u w:val="single"/>
        </w:rPr>
        <w:t xml:space="preserve"> Measures</w:t>
      </w:r>
    </w:p>
    <w:p w:rsidR="001E65B3" w:rsidRPr="0046796A" w:rsidP="006D0EE5" w14:paraId="48B2C9F7" w14:textId="70919230">
      <w:pPr>
        <w:pStyle w:val="ListParagraph"/>
        <w:widowControl/>
        <w:tabs>
          <w:tab w:val="left" w:pos="0"/>
        </w:tabs>
        <w:spacing w:line="360" w:lineRule="auto"/>
        <w:ind w:left="0" w:firstLine="0"/>
        <w:rPr>
          <w:rFonts w:ascii="Century Schoolbook" w:hAnsi="Century Schoolbook"/>
          <w:bCs/>
          <w:sz w:val="26"/>
          <w:szCs w:val="26"/>
        </w:rPr>
      </w:pPr>
      <w:r w:rsidRPr="0046796A">
        <w:rPr>
          <w:rFonts w:ascii="Century Schoolbook" w:hAnsi="Century Schoolbook"/>
          <w:bCs/>
          <w:sz w:val="26"/>
          <w:szCs w:val="26"/>
        </w:rPr>
        <w:tab/>
        <w:t xml:space="preserve">Before the adoption of Measure A in 2020, </w:t>
      </w:r>
      <w:r w:rsidRPr="0046796A" w:rsidR="00D30B34">
        <w:rPr>
          <w:rFonts w:ascii="Century Schoolbook" w:hAnsi="Century Schoolbook"/>
          <w:bCs/>
          <w:sz w:val="26"/>
          <w:szCs w:val="26"/>
        </w:rPr>
        <w:t>District voters have approved tax measures to provide funds for Alameda schools</w:t>
      </w:r>
      <w:r w:rsidRPr="0046796A">
        <w:rPr>
          <w:rFonts w:ascii="Century Schoolbook" w:hAnsi="Century Schoolbook"/>
          <w:bCs/>
          <w:sz w:val="26"/>
          <w:szCs w:val="26"/>
        </w:rPr>
        <w:t xml:space="preserve"> since at least 2008</w:t>
      </w:r>
      <w:r w:rsidRPr="0046796A" w:rsidR="007C732F">
        <w:rPr>
          <w:rFonts w:ascii="Century Schoolbook" w:hAnsi="Century Schoolbook"/>
          <w:bCs/>
          <w:sz w:val="26"/>
          <w:szCs w:val="26"/>
        </w:rPr>
        <w:t xml:space="preserve">.  </w:t>
      </w:r>
      <w:r w:rsidRPr="0046796A" w:rsidR="00D30B34">
        <w:rPr>
          <w:rFonts w:ascii="Century Schoolbook" w:hAnsi="Century Schoolbook"/>
          <w:bCs/>
          <w:sz w:val="26"/>
          <w:szCs w:val="26"/>
        </w:rPr>
        <w:t xml:space="preserve">Three </w:t>
      </w:r>
      <w:r w:rsidRPr="0046796A" w:rsidR="004279D8">
        <w:rPr>
          <w:rFonts w:ascii="Century Schoolbook" w:hAnsi="Century Schoolbook"/>
          <w:bCs/>
          <w:sz w:val="26"/>
          <w:szCs w:val="26"/>
        </w:rPr>
        <w:t xml:space="preserve">of these </w:t>
      </w:r>
      <w:r w:rsidRPr="0046796A" w:rsidR="00D30B34">
        <w:rPr>
          <w:rFonts w:ascii="Century Schoolbook" w:hAnsi="Century Schoolbook"/>
          <w:bCs/>
          <w:sz w:val="26"/>
          <w:szCs w:val="26"/>
        </w:rPr>
        <w:t xml:space="preserve">measures are germane to the </w:t>
      </w:r>
      <w:r w:rsidRPr="0046796A">
        <w:rPr>
          <w:rFonts w:ascii="Century Schoolbook" w:hAnsi="Century Schoolbook"/>
          <w:bCs/>
          <w:sz w:val="26"/>
          <w:szCs w:val="26"/>
        </w:rPr>
        <w:t xml:space="preserve">issues raised </w:t>
      </w:r>
      <w:r w:rsidRPr="0046796A" w:rsidR="00982257">
        <w:rPr>
          <w:rFonts w:ascii="Century Schoolbook" w:hAnsi="Century Schoolbook"/>
          <w:bCs/>
          <w:sz w:val="26"/>
          <w:szCs w:val="26"/>
        </w:rPr>
        <w:t xml:space="preserve">here:  </w:t>
      </w:r>
      <w:r w:rsidRPr="0046796A" w:rsidR="00D30B34">
        <w:rPr>
          <w:rFonts w:ascii="Century Schoolbook" w:hAnsi="Century Schoolbook"/>
          <w:bCs/>
          <w:sz w:val="26"/>
          <w:szCs w:val="26"/>
        </w:rPr>
        <w:t>Measure H in 2008, Measure A in 20</w:t>
      </w:r>
      <w:r w:rsidRPr="0046796A">
        <w:rPr>
          <w:rFonts w:ascii="Century Schoolbook" w:hAnsi="Century Schoolbook"/>
          <w:bCs/>
          <w:sz w:val="26"/>
          <w:szCs w:val="26"/>
        </w:rPr>
        <w:t>11, and Measure B1 in 2016.</w:t>
      </w:r>
    </w:p>
    <w:p w:rsidR="00C74C56" w:rsidRPr="0046796A" w:rsidP="006D0EE5" w14:paraId="5AA7519A" w14:textId="5E96186D">
      <w:pPr>
        <w:pStyle w:val="ListParagraph"/>
        <w:widowControl/>
        <w:tabs>
          <w:tab w:val="left" w:pos="0"/>
        </w:tabs>
        <w:spacing w:line="360" w:lineRule="auto"/>
        <w:ind w:left="0" w:firstLine="0"/>
        <w:rPr>
          <w:rFonts w:ascii="Century Schoolbook" w:hAnsi="Century Schoolbook"/>
          <w:sz w:val="26"/>
          <w:szCs w:val="26"/>
        </w:rPr>
      </w:pPr>
      <w:r w:rsidRPr="0046796A">
        <w:rPr>
          <w:rFonts w:ascii="Century Schoolbook" w:hAnsi="Century Schoolbook"/>
          <w:bCs/>
          <w:sz w:val="26"/>
          <w:szCs w:val="26"/>
        </w:rPr>
        <w:tab/>
      </w:r>
      <w:r w:rsidRPr="0046796A" w:rsidR="0090423A">
        <w:rPr>
          <w:rFonts w:ascii="Century Schoolbook" w:hAnsi="Century Schoolbook"/>
          <w:bCs/>
          <w:sz w:val="26"/>
          <w:szCs w:val="26"/>
        </w:rPr>
        <w:t xml:space="preserve">In June 2008, </w:t>
      </w:r>
      <w:r w:rsidRPr="0046796A" w:rsidR="007853CD">
        <w:rPr>
          <w:rFonts w:ascii="Century Schoolbook" w:hAnsi="Century Schoolbook"/>
          <w:bCs/>
          <w:sz w:val="26"/>
          <w:szCs w:val="26"/>
        </w:rPr>
        <w:t>District</w:t>
      </w:r>
      <w:r w:rsidRPr="0046796A" w:rsidR="007853CD">
        <w:rPr>
          <w:rFonts w:ascii="Century Schoolbook" w:hAnsi="Century Schoolbook"/>
          <w:sz w:val="26"/>
          <w:szCs w:val="26"/>
        </w:rPr>
        <w:t xml:space="preserve"> voters </w:t>
      </w:r>
      <w:r w:rsidRPr="0046796A" w:rsidR="0090423A">
        <w:rPr>
          <w:rFonts w:ascii="Century Schoolbook" w:hAnsi="Century Schoolbook"/>
          <w:sz w:val="26"/>
          <w:szCs w:val="26"/>
        </w:rPr>
        <w:t xml:space="preserve">adopted </w:t>
      </w:r>
      <w:r w:rsidRPr="0046796A" w:rsidR="007853CD">
        <w:rPr>
          <w:rFonts w:ascii="Century Schoolbook" w:hAnsi="Century Schoolbook"/>
          <w:sz w:val="26"/>
          <w:szCs w:val="26"/>
        </w:rPr>
        <w:t>Measure H</w:t>
      </w:r>
      <w:r w:rsidRPr="0046796A" w:rsidR="00982257">
        <w:rPr>
          <w:rFonts w:ascii="Century Schoolbook" w:hAnsi="Century Schoolbook"/>
          <w:sz w:val="26"/>
          <w:szCs w:val="26"/>
        </w:rPr>
        <w:t xml:space="preserve">, by which non-exempt </w:t>
      </w:r>
      <w:r w:rsidRPr="0046796A" w:rsidR="007853CD">
        <w:rPr>
          <w:rFonts w:ascii="Century Schoolbook" w:hAnsi="Century Schoolbook"/>
          <w:sz w:val="26"/>
          <w:szCs w:val="26"/>
        </w:rPr>
        <w:t xml:space="preserve">residential parcels </w:t>
      </w:r>
      <w:r w:rsidRPr="0046796A" w:rsidR="00D00315">
        <w:rPr>
          <w:rFonts w:ascii="Century Schoolbook" w:hAnsi="Century Schoolbook"/>
          <w:sz w:val="26"/>
          <w:szCs w:val="26"/>
        </w:rPr>
        <w:t xml:space="preserve">were </w:t>
      </w:r>
      <w:r w:rsidRPr="0046796A" w:rsidR="007853CD">
        <w:rPr>
          <w:rFonts w:ascii="Century Schoolbook" w:hAnsi="Century Schoolbook"/>
          <w:sz w:val="26"/>
          <w:szCs w:val="26"/>
        </w:rPr>
        <w:t>taxed at $120 per year</w:t>
      </w:r>
      <w:r w:rsidRPr="0046796A" w:rsidR="00982257">
        <w:rPr>
          <w:rFonts w:ascii="Century Schoolbook" w:hAnsi="Century Schoolbook"/>
          <w:sz w:val="26"/>
          <w:szCs w:val="26"/>
        </w:rPr>
        <w:t xml:space="preserve">, commercial </w:t>
      </w:r>
      <w:r w:rsidRPr="0046796A" w:rsidR="007853CD">
        <w:rPr>
          <w:rFonts w:ascii="Century Schoolbook" w:hAnsi="Century Schoolbook"/>
          <w:sz w:val="26"/>
          <w:szCs w:val="26"/>
        </w:rPr>
        <w:t>and industrial parcels less than 2,000 square feet were also taxed at $120 per year</w:t>
      </w:r>
      <w:r w:rsidRPr="0046796A" w:rsidR="00D00315">
        <w:rPr>
          <w:rFonts w:ascii="Century Schoolbook" w:hAnsi="Century Schoolbook"/>
          <w:sz w:val="26"/>
          <w:szCs w:val="26"/>
        </w:rPr>
        <w:t xml:space="preserve">, </w:t>
      </w:r>
      <w:r w:rsidRPr="0046796A" w:rsidR="004279D8">
        <w:rPr>
          <w:rFonts w:ascii="Century Schoolbook" w:hAnsi="Century Schoolbook"/>
          <w:sz w:val="26"/>
          <w:szCs w:val="26"/>
        </w:rPr>
        <w:t xml:space="preserve">but </w:t>
      </w:r>
      <w:r w:rsidRPr="0046796A" w:rsidR="00D00315">
        <w:rPr>
          <w:rFonts w:ascii="Century Schoolbook" w:hAnsi="Century Schoolbook"/>
          <w:sz w:val="26"/>
          <w:szCs w:val="26"/>
        </w:rPr>
        <w:t xml:space="preserve">commercial and industrial parcels </w:t>
      </w:r>
      <w:r w:rsidRPr="0046796A" w:rsidR="007853CD">
        <w:rPr>
          <w:rFonts w:ascii="Century Schoolbook" w:hAnsi="Century Schoolbook"/>
          <w:sz w:val="26"/>
          <w:szCs w:val="26"/>
        </w:rPr>
        <w:t xml:space="preserve">greater than 2,000 square feet </w:t>
      </w:r>
      <w:r w:rsidRPr="0046796A" w:rsidR="00D00315">
        <w:rPr>
          <w:rFonts w:ascii="Century Schoolbook" w:hAnsi="Century Schoolbook"/>
          <w:sz w:val="26"/>
          <w:szCs w:val="26"/>
        </w:rPr>
        <w:t xml:space="preserve">were </w:t>
      </w:r>
      <w:r w:rsidRPr="0046796A" w:rsidR="007853CD">
        <w:rPr>
          <w:rFonts w:ascii="Century Schoolbook" w:hAnsi="Century Schoolbook"/>
          <w:sz w:val="26"/>
          <w:szCs w:val="26"/>
        </w:rPr>
        <w:t>taxed at $0.15 per square foot</w:t>
      </w:r>
      <w:r w:rsidRPr="0046796A" w:rsidR="004279D8">
        <w:rPr>
          <w:rFonts w:ascii="Century Schoolbook" w:hAnsi="Century Schoolbook"/>
          <w:sz w:val="26"/>
          <w:szCs w:val="26"/>
        </w:rPr>
        <w:t xml:space="preserve">, up to </w:t>
      </w:r>
      <w:r w:rsidRPr="0046796A" w:rsidR="007853CD">
        <w:rPr>
          <w:rFonts w:ascii="Century Schoolbook" w:hAnsi="Century Schoolbook"/>
          <w:sz w:val="26"/>
          <w:szCs w:val="26"/>
        </w:rPr>
        <w:t xml:space="preserve">a maximum </w:t>
      </w:r>
      <w:r w:rsidRPr="0046796A" w:rsidR="004279D8">
        <w:rPr>
          <w:rFonts w:ascii="Century Schoolbook" w:hAnsi="Century Schoolbook"/>
          <w:sz w:val="26"/>
          <w:szCs w:val="26"/>
        </w:rPr>
        <w:t xml:space="preserve">tax </w:t>
      </w:r>
      <w:r w:rsidRPr="0046796A" w:rsidR="007853CD">
        <w:rPr>
          <w:rFonts w:ascii="Century Schoolbook" w:hAnsi="Century Schoolbook"/>
          <w:sz w:val="26"/>
          <w:szCs w:val="26"/>
        </w:rPr>
        <w:t xml:space="preserve">of $9,500 per year. </w:t>
      </w:r>
      <w:r w:rsidRPr="0046796A" w:rsidR="00BD1458">
        <w:rPr>
          <w:rFonts w:ascii="Century Schoolbook" w:hAnsi="Century Schoolbook"/>
          <w:sz w:val="26"/>
          <w:szCs w:val="26"/>
        </w:rPr>
        <w:t xml:space="preserve"> </w:t>
      </w:r>
      <w:r w:rsidRPr="0046796A">
        <w:rPr>
          <w:rFonts w:ascii="Century Schoolbook" w:hAnsi="Century Schoolbook"/>
          <w:sz w:val="26"/>
          <w:szCs w:val="26"/>
        </w:rPr>
        <w:t>George J. Borikas, trustee of the George J. Borikas 1999 Revocable Trust, filed a lawsuit seeking to have the tax declared invalid.  The trial court ruled in the District’s favor on the ground that classifications are permissible if rational and all taxpayers within the classification are treated equally.  Borikas appealed.</w:t>
      </w:r>
    </w:p>
    <w:p w:rsidR="004279D8" w:rsidRPr="0046796A" w:rsidP="00D00315" w14:paraId="6D1788BD" w14:textId="04EF98AC">
      <w:pPr>
        <w:pStyle w:val="ListParagraph"/>
        <w:widowControl/>
        <w:tabs>
          <w:tab w:val="left" w:pos="0"/>
        </w:tabs>
        <w:spacing w:line="360" w:lineRule="auto"/>
        <w:ind w:left="0" w:firstLine="0"/>
        <w:rPr>
          <w:rFonts w:ascii="Century Schoolbook" w:hAnsi="Century Schoolbook"/>
          <w:sz w:val="26"/>
          <w:szCs w:val="26"/>
        </w:rPr>
      </w:pPr>
      <w:r w:rsidRPr="0046796A">
        <w:rPr>
          <w:rFonts w:ascii="Century Schoolbook" w:hAnsi="Century Schoolbook"/>
          <w:sz w:val="26"/>
          <w:szCs w:val="26"/>
        </w:rPr>
        <w:tab/>
        <w:t xml:space="preserve">In 2011, while </w:t>
      </w:r>
      <w:r w:rsidRPr="0046796A" w:rsidR="007853CD">
        <w:rPr>
          <w:rFonts w:ascii="Century Schoolbook" w:hAnsi="Century Schoolbook"/>
          <w:sz w:val="26"/>
          <w:szCs w:val="26"/>
        </w:rPr>
        <w:t xml:space="preserve">the </w:t>
      </w:r>
      <w:r w:rsidRPr="0046796A" w:rsidR="00830ACC">
        <w:rPr>
          <w:rFonts w:ascii="Century Schoolbook" w:hAnsi="Century Schoolbook"/>
          <w:sz w:val="26"/>
          <w:szCs w:val="26"/>
        </w:rPr>
        <w:t xml:space="preserve">appeal regarding </w:t>
      </w:r>
      <w:r w:rsidRPr="0046796A" w:rsidR="007853CD">
        <w:rPr>
          <w:rFonts w:ascii="Century Schoolbook" w:hAnsi="Century Schoolbook"/>
          <w:sz w:val="26"/>
          <w:szCs w:val="26"/>
        </w:rPr>
        <w:t xml:space="preserve">Measure H was </w:t>
      </w:r>
      <w:r w:rsidRPr="0046796A" w:rsidR="00830ACC">
        <w:rPr>
          <w:rFonts w:ascii="Century Schoolbook" w:hAnsi="Century Schoolbook"/>
          <w:sz w:val="26"/>
          <w:szCs w:val="26"/>
        </w:rPr>
        <w:t xml:space="preserve">pending, </w:t>
      </w:r>
      <w:r w:rsidRPr="0046796A" w:rsidR="007853CD">
        <w:rPr>
          <w:rFonts w:ascii="Century Schoolbook" w:hAnsi="Century Schoolbook"/>
          <w:sz w:val="26"/>
          <w:szCs w:val="26"/>
        </w:rPr>
        <w:t xml:space="preserve">District voters approved </w:t>
      </w:r>
      <w:r w:rsidRPr="0046796A">
        <w:rPr>
          <w:rFonts w:ascii="Century Schoolbook" w:hAnsi="Century Schoolbook"/>
          <w:sz w:val="26"/>
          <w:szCs w:val="26"/>
        </w:rPr>
        <w:t>a separate measure (</w:t>
      </w:r>
      <w:r w:rsidRPr="0046796A" w:rsidR="00C74C56">
        <w:rPr>
          <w:rFonts w:ascii="Century Schoolbook" w:hAnsi="Century Schoolbook"/>
          <w:sz w:val="26"/>
          <w:szCs w:val="26"/>
        </w:rPr>
        <w:t>Measure A (</w:t>
      </w:r>
      <w:r w:rsidRPr="0046796A">
        <w:rPr>
          <w:rFonts w:ascii="Century Schoolbook" w:hAnsi="Century Schoolbook"/>
          <w:sz w:val="26"/>
          <w:szCs w:val="26"/>
        </w:rPr>
        <w:t>2011</w:t>
      </w:r>
      <w:r w:rsidRPr="0046796A" w:rsidR="00C74C56">
        <w:rPr>
          <w:rFonts w:ascii="Century Schoolbook" w:hAnsi="Century Schoolbook"/>
          <w:sz w:val="26"/>
          <w:szCs w:val="26"/>
        </w:rPr>
        <w:t>)</w:t>
      </w:r>
      <w:r w:rsidRPr="0046796A">
        <w:rPr>
          <w:rFonts w:ascii="Century Schoolbook" w:hAnsi="Century Schoolbook"/>
          <w:sz w:val="26"/>
          <w:szCs w:val="26"/>
        </w:rPr>
        <w:t>) to provide financial support for local school programs</w:t>
      </w:r>
      <w:r w:rsidRPr="0046796A" w:rsidR="007853CD">
        <w:rPr>
          <w:rFonts w:ascii="Century Schoolbook" w:hAnsi="Century Schoolbook"/>
          <w:sz w:val="26"/>
          <w:szCs w:val="26"/>
        </w:rPr>
        <w:t xml:space="preserve">.  </w:t>
      </w:r>
      <w:r w:rsidRPr="0046796A" w:rsidR="00535026">
        <w:rPr>
          <w:rFonts w:ascii="Century Schoolbook" w:hAnsi="Century Schoolbook"/>
          <w:sz w:val="26"/>
          <w:szCs w:val="26"/>
        </w:rPr>
        <w:t xml:space="preserve">The </w:t>
      </w:r>
      <w:r w:rsidRPr="0046796A">
        <w:rPr>
          <w:rFonts w:ascii="Century Schoolbook" w:hAnsi="Century Schoolbook"/>
          <w:sz w:val="26"/>
          <w:szCs w:val="26"/>
        </w:rPr>
        <w:t xml:space="preserve">measure </w:t>
      </w:r>
      <w:r w:rsidRPr="0046796A" w:rsidR="00830ACC">
        <w:rPr>
          <w:rFonts w:ascii="Century Schoolbook" w:hAnsi="Century Schoolbook"/>
          <w:sz w:val="26"/>
          <w:szCs w:val="26"/>
        </w:rPr>
        <w:t>took a</w:t>
      </w:r>
      <w:r w:rsidRPr="0046796A" w:rsidR="00535026">
        <w:rPr>
          <w:rFonts w:ascii="Century Schoolbook" w:hAnsi="Century Schoolbook"/>
          <w:sz w:val="26"/>
          <w:szCs w:val="26"/>
        </w:rPr>
        <w:t xml:space="preserve">n approach </w:t>
      </w:r>
      <w:r w:rsidRPr="0046796A" w:rsidR="00830ACC">
        <w:rPr>
          <w:rFonts w:ascii="Century Schoolbook" w:hAnsi="Century Schoolbook"/>
          <w:sz w:val="26"/>
          <w:szCs w:val="26"/>
        </w:rPr>
        <w:t xml:space="preserve">different than Measure H, authorizing </w:t>
      </w:r>
      <w:r w:rsidRPr="0046796A" w:rsidR="007853CD">
        <w:rPr>
          <w:rFonts w:ascii="Century Schoolbook" w:hAnsi="Century Schoolbook"/>
          <w:sz w:val="26"/>
          <w:szCs w:val="26"/>
        </w:rPr>
        <w:t xml:space="preserve">a </w:t>
      </w:r>
      <w:r w:rsidRPr="0046796A" w:rsidR="00830ACC">
        <w:rPr>
          <w:rFonts w:ascii="Century Schoolbook" w:hAnsi="Century Schoolbook"/>
          <w:sz w:val="26"/>
          <w:szCs w:val="26"/>
        </w:rPr>
        <w:t xml:space="preserve">$299 </w:t>
      </w:r>
      <w:r w:rsidRPr="0046796A" w:rsidR="007853CD">
        <w:rPr>
          <w:rFonts w:ascii="Century Schoolbook" w:hAnsi="Century Schoolbook"/>
          <w:sz w:val="26"/>
          <w:szCs w:val="26"/>
        </w:rPr>
        <w:t>tax on unimproved parcels</w:t>
      </w:r>
      <w:r w:rsidRPr="0046796A" w:rsidR="00A833A5">
        <w:rPr>
          <w:rFonts w:ascii="Century Schoolbook" w:hAnsi="Century Schoolbook"/>
          <w:sz w:val="26"/>
          <w:szCs w:val="26"/>
        </w:rPr>
        <w:t>, and</w:t>
      </w:r>
      <w:r w:rsidR="00D965AF">
        <w:rPr>
          <w:rFonts w:ascii="Century Schoolbook" w:hAnsi="Century Schoolbook"/>
          <w:sz w:val="26"/>
          <w:szCs w:val="26"/>
        </w:rPr>
        <w:t>—</w:t>
      </w:r>
      <w:r w:rsidRPr="0046796A" w:rsidR="00A833A5">
        <w:rPr>
          <w:rFonts w:ascii="Century Schoolbook" w:hAnsi="Century Schoolbook"/>
          <w:sz w:val="26"/>
          <w:szCs w:val="26"/>
        </w:rPr>
        <w:t xml:space="preserve">on </w:t>
      </w:r>
      <w:r w:rsidRPr="0046796A" w:rsidR="007C732F">
        <w:rPr>
          <w:rFonts w:ascii="Century Schoolbook" w:hAnsi="Century Schoolbook"/>
          <w:i/>
          <w:iCs/>
          <w:sz w:val="26"/>
          <w:szCs w:val="26"/>
        </w:rPr>
        <w:t>all</w:t>
      </w:r>
      <w:r w:rsidRPr="0046796A" w:rsidR="007C732F">
        <w:rPr>
          <w:rFonts w:ascii="Century Schoolbook" w:hAnsi="Century Schoolbook"/>
          <w:sz w:val="26"/>
          <w:szCs w:val="26"/>
        </w:rPr>
        <w:t xml:space="preserve"> improved parcels</w:t>
      </w:r>
      <w:r w:rsidR="00D965AF">
        <w:rPr>
          <w:rFonts w:ascii="Century Schoolbook" w:hAnsi="Century Schoolbook"/>
          <w:sz w:val="26"/>
          <w:szCs w:val="26"/>
        </w:rPr>
        <w:t>—</w:t>
      </w:r>
      <w:r w:rsidRPr="0046796A" w:rsidR="00A833A5">
        <w:rPr>
          <w:rFonts w:ascii="Century Schoolbook" w:hAnsi="Century Schoolbook"/>
          <w:sz w:val="26"/>
          <w:szCs w:val="26"/>
        </w:rPr>
        <w:t xml:space="preserve">a single tax formula </w:t>
      </w:r>
      <w:r w:rsidRPr="0046796A" w:rsidR="007853CD">
        <w:rPr>
          <w:rFonts w:ascii="Century Schoolbook" w:hAnsi="Century Schoolbook"/>
          <w:sz w:val="26"/>
          <w:szCs w:val="26"/>
        </w:rPr>
        <w:t>of $</w:t>
      </w:r>
      <w:r w:rsidRPr="0046796A" w:rsidR="007C732F">
        <w:rPr>
          <w:rFonts w:ascii="Century Schoolbook" w:hAnsi="Century Schoolbook"/>
          <w:sz w:val="26"/>
          <w:szCs w:val="26"/>
        </w:rPr>
        <w:t>0</w:t>
      </w:r>
      <w:r w:rsidRPr="0046796A" w:rsidR="007853CD">
        <w:rPr>
          <w:rFonts w:ascii="Century Schoolbook" w:hAnsi="Century Schoolbook"/>
          <w:sz w:val="26"/>
          <w:szCs w:val="26"/>
        </w:rPr>
        <w:t xml:space="preserve">.32 per square foot of improvement with a </w:t>
      </w:r>
      <w:r w:rsidRPr="0046796A" w:rsidR="007C732F">
        <w:rPr>
          <w:rFonts w:ascii="Century Schoolbook" w:hAnsi="Century Schoolbook"/>
          <w:sz w:val="26"/>
          <w:szCs w:val="26"/>
        </w:rPr>
        <w:t xml:space="preserve">$7,999 </w:t>
      </w:r>
      <w:r w:rsidRPr="0046796A" w:rsidR="007853CD">
        <w:rPr>
          <w:rFonts w:ascii="Century Schoolbook" w:hAnsi="Century Schoolbook"/>
          <w:sz w:val="26"/>
          <w:szCs w:val="26"/>
        </w:rPr>
        <w:t xml:space="preserve">maximum </w:t>
      </w:r>
      <w:r w:rsidRPr="0046796A" w:rsidR="007C732F">
        <w:rPr>
          <w:rFonts w:ascii="Century Schoolbook" w:hAnsi="Century Schoolbook"/>
          <w:sz w:val="26"/>
          <w:szCs w:val="26"/>
        </w:rPr>
        <w:t xml:space="preserve">tax </w:t>
      </w:r>
      <w:r w:rsidRPr="0046796A" w:rsidR="007853CD">
        <w:rPr>
          <w:rFonts w:ascii="Century Schoolbook" w:hAnsi="Century Schoolbook"/>
          <w:sz w:val="26"/>
          <w:szCs w:val="26"/>
        </w:rPr>
        <w:t xml:space="preserve">amount regardless of use. </w:t>
      </w:r>
      <w:r w:rsidRPr="0046796A">
        <w:rPr>
          <w:rFonts w:ascii="Century Schoolbook" w:hAnsi="Century Schoolbook"/>
          <w:sz w:val="26"/>
          <w:szCs w:val="26"/>
        </w:rPr>
        <w:t xml:space="preserve"> </w:t>
      </w:r>
    </w:p>
    <w:p w:rsidR="00982257" w:rsidRPr="0046796A" w:rsidP="007853CD" w14:paraId="28987041" w14:textId="330D875F">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5D6D1E">
        <w:rPr>
          <w:rFonts w:ascii="Century Schoolbook" w:hAnsi="Century Schoolbook"/>
        </w:rPr>
        <w:t xml:space="preserve">Measure A </w:t>
      </w:r>
      <w:r w:rsidRPr="0046796A" w:rsidR="00C74C56">
        <w:rPr>
          <w:rFonts w:ascii="Century Schoolbook" w:hAnsi="Century Schoolbook"/>
        </w:rPr>
        <w:t xml:space="preserve">(2011) </w:t>
      </w:r>
      <w:r w:rsidRPr="0046796A" w:rsidR="005D6D1E">
        <w:rPr>
          <w:rFonts w:ascii="Century Schoolbook" w:hAnsi="Century Schoolbook"/>
        </w:rPr>
        <w:t>was challenged in a “</w:t>
      </w:r>
      <w:r w:rsidRPr="0046796A" w:rsidR="007853CD">
        <w:rPr>
          <w:rFonts w:ascii="Century Schoolbook" w:hAnsi="Century Schoolbook"/>
        </w:rPr>
        <w:t>reverse validation action</w:t>
      </w:r>
      <w:r w:rsidRPr="0046796A" w:rsidR="005D6D1E">
        <w:rPr>
          <w:rFonts w:ascii="Century Schoolbook" w:hAnsi="Century Schoolbook"/>
        </w:rPr>
        <w:t xml:space="preserve">” (see Code Civ. Proc., </w:t>
      </w:r>
      <w:bookmarkStart w:id="2" w:name="_Hlk56360124"/>
      <w:r w:rsidRPr="0046796A" w:rsidR="008D52E6">
        <w:rPr>
          <w:rFonts w:ascii="Century Schoolbook" w:hAnsi="Century Schoolbook"/>
        </w:rPr>
        <w:t>§</w:t>
      </w:r>
      <w:bookmarkEnd w:id="2"/>
      <w:r w:rsidRPr="0046796A" w:rsidR="005D6D1E">
        <w:rPr>
          <w:rFonts w:ascii="Century Schoolbook" w:hAnsi="Century Schoolbook"/>
        </w:rPr>
        <w:t xml:space="preserve"> </w:t>
      </w:r>
      <w:r w:rsidRPr="0046796A">
        <w:rPr>
          <w:rFonts w:ascii="Century Schoolbook" w:hAnsi="Century Schoolbook"/>
        </w:rPr>
        <w:t>863</w:t>
      </w:r>
      <w:r w:rsidRPr="0046796A" w:rsidR="005D6D1E">
        <w:rPr>
          <w:rFonts w:ascii="Century Schoolbook" w:hAnsi="Century Schoolbook"/>
        </w:rPr>
        <w:t xml:space="preserve">) in </w:t>
      </w:r>
      <w:r w:rsidRPr="0046796A" w:rsidR="007853CD">
        <w:rPr>
          <w:rFonts w:ascii="Century Schoolbook" w:hAnsi="Century Schoolbook"/>
          <w:i/>
        </w:rPr>
        <w:t xml:space="preserve">Nelco, Inc. v. Alameda Unified School District </w:t>
      </w:r>
      <w:r w:rsidRPr="0046796A" w:rsidR="007853CD">
        <w:rPr>
          <w:rFonts w:ascii="Century Schoolbook" w:hAnsi="Century Schoolbook"/>
        </w:rPr>
        <w:t>(</w:t>
      </w:r>
      <w:r w:rsidRPr="0046796A" w:rsidR="00106470">
        <w:rPr>
          <w:rFonts w:ascii="Century Schoolbook" w:hAnsi="Century Schoolbook"/>
        </w:rPr>
        <w:t xml:space="preserve">Sept. 20, 2011, </w:t>
      </w:r>
      <w:r w:rsidRPr="0046796A" w:rsidR="007853CD">
        <w:rPr>
          <w:rFonts w:ascii="Century Schoolbook" w:hAnsi="Century Schoolbook"/>
        </w:rPr>
        <w:t xml:space="preserve">Alameda </w:t>
      </w:r>
      <w:r w:rsidRPr="0046796A" w:rsidR="007C732F">
        <w:rPr>
          <w:rFonts w:ascii="Century Schoolbook" w:hAnsi="Century Schoolbook"/>
        </w:rPr>
        <w:t xml:space="preserve">County </w:t>
      </w:r>
      <w:r w:rsidRPr="0046796A" w:rsidR="007853CD">
        <w:rPr>
          <w:rFonts w:ascii="Century Schoolbook" w:hAnsi="Century Schoolbook"/>
        </w:rPr>
        <w:t>Superior Court Case No.</w:t>
      </w:r>
      <w:r w:rsidRPr="0046796A" w:rsidR="0090423A">
        <w:rPr>
          <w:rFonts w:ascii="Century Schoolbook" w:hAnsi="Century Schoolbook"/>
        </w:rPr>
        <w:t xml:space="preserve"> </w:t>
      </w:r>
      <w:r w:rsidRPr="0046796A" w:rsidR="007853CD">
        <w:rPr>
          <w:rFonts w:ascii="Century Schoolbook" w:hAnsi="Century Schoolbook"/>
        </w:rPr>
        <w:t>RG11</w:t>
      </w:r>
      <w:r w:rsidRPr="0046796A" w:rsidR="00C867A8">
        <w:rPr>
          <w:rFonts w:ascii="Century Schoolbook" w:hAnsi="Century Schoolbook"/>
        </w:rPr>
        <w:t>-</w:t>
      </w:r>
      <w:r w:rsidRPr="0046796A" w:rsidR="007853CD">
        <w:rPr>
          <w:rFonts w:ascii="Century Schoolbook" w:hAnsi="Century Schoolbook"/>
        </w:rPr>
        <w:t>574574) (</w:t>
      </w:r>
      <w:r w:rsidRPr="0046796A" w:rsidR="007853CD">
        <w:rPr>
          <w:rFonts w:ascii="Century Schoolbook" w:hAnsi="Century Schoolbook"/>
          <w:i/>
        </w:rPr>
        <w:t>Nelco I</w:t>
      </w:r>
      <w:r w:rsidRPr="0046796A" w:rsidR="007853CD">
        <w:rPr>
          <w:rFonts w:ascii="Century Schoolbook" w:hAnsi="Century Schoolbook"/>
        </w:rPr>
        <w:t>)</w:t>
      </w:r>
      <w:r w:rsidRPr="0046796A" w:rsidR="005D6D1E">
        <w:rPr>
          <w:rFonts w:ascii="Century Schoolbook" w:hAnsi="Century Schoolbook"/>
        </w:rPr>
        <w:t xml:space="preserve">.  </w:t>
      </w:r>
      <w:r w:rsidRPr="0046796A" w:rsidR="005B29B0">
        <w:rPr>
          <w:rFonts w:ascii="Century Schoolbook" w:hAnsi="Century Schoolbook"/>
        </w:rPr>
        <w:t xml:space="preserve">The plaintiffs argued </w:t>
      </w:r>
      <w:r w:rsidRPr="0046796A" w:rsidR="007853CD">
        <w:rPr>
          <w:rFonts w:ascii="Century Schoolbook" w:hAnsi="Century Schoolbook"/>
        </w:rPr>
        <w:t xml:space="preserve">“there is a lack of uniformity </w:t>
      </w:r>
      <w:r w:rsidRPr="0046796A" w:rsidR="00873FAE">
        <w:rPr>
          <w:rFonts w:ascii="Century Schoolbook" w:hAnsi="Century Schoolbook"/>
        </w:rPr>
        <w:t xml:space="preserve">. . . </w:t>
      </w:r>
      <w:r w:rsidRPr="0046796A" w:rsidR="007853CD">
        <w:rPr>
          <w:rFonts w:ascii="Century Schoolbook" w:hAnsi="Century Schoolbook"/>
        </w:rPr>
        <w:t>because</w:t>
      </w:r>
      <w:r w:rsidRPr="0046796A">
        <w:rPr>
          <w:rFonts w:ascii="Century Schoolbook" w:hAnsi="Century Schoolbook"/>
        </w:rPr>
        <w:t xml:space="preserve"> </w:t>
      </w:r>
      <w:r w:rsidRPr="0046796A" w:rsidR="007853CD">
        <w:rPr>
          <w:rFonts w:ascii="Century Schoolbook" w:hAnsi="Century Schoolbook"/>
        </w:rPr>
        <w:t xml:space="preserve">parcels with buildings with a square footage of 24,997 or less pay $0.32 per square foot, whereas parcels with buildings with 24,998 square feet or more pay a flat rate of $7,999 regardless of the actual building size.” </w:t>
      </w:r>
      <w:r w:rsidRPr="0046796A" w:rsidR="005B29B0">
        <w:rPr>
          <w:rFonts w:ascii="Century Schoolbook" w:hAnsi="Century Schoolbook"/>
        </w:rPr>
        <w:t xml:space="preserve"> </w:t>
      </w:r>
      <w:r w:rsidRPr="0046796A" w:rsidR="007853CD">
        <w:rPr>
          <w:rFonts w:ascii="Century Schoolbook" w:hAnsi="Century Schoolbook"/>
        </w:rPr>
        <w:t xml:space="preserve">The </w:t>
      </w:r>
      <w:r w:rsidRPr="0046796A" w:rsidR="004279D8">
        <w:rPr>
          <w:rFonts w:ascii="Century Schoolbook" w:hAnsi="Century Schoolbook"/>
        </w:rPr>
        <w:t xml:space="preserve">superior court </w:t>
      </w:r>
      <w:r w:rsidRPr="0046796A" w:rsidR="007853CD">
        <w:rPr>
          <w:rFonts w:ascii="Century Schoolbook" w:hAnsi="Century Schoolbook"/>
        </w:rPr>
        <w:t>ruled</w:t>
      </w:r>
      <w:r w:rsidRPr="0046796A" w:rsidR="005B29B0">
        <w:rPr>
          <w:rFonts w:ascii="Century Schoolbook" w:hAnsi="Century Schoolbook"/>
        </w:rPr>
        <w:t xml:space="preserve"> that plaintiffs were incorrect and </w:t>
      </w:r>
      <w:r w:rsidRPr="0046796A" w:rsidR="007C732F">
        <w:rPr>
          <w:rFonts w:ascii="Century Schoolbook" w:hAnsi="Century Schoolbook"/>
        </w:rPr>
        <w:t xml:space="preserve">had </w:t>
      </w:r>
      <w:r w:rsidRPr="0046796A" w:rsidR="005B29B0">
        <w:rPr>
          <w:rFonts w:ascii="Century Schoolbook" w:hAnsi="Century Schoolbook"/>
        </w:rPr>
        <w:t>failed to show “</w:t>
      </w:r>
      <w:r w:rsidRPr="0046796A" w:rsidR="007853CD">
        <w:rPr>
          <w:rFonts w:ascii="Century Schoolbook" w:hAnsi="Century Schoolbook"/>
        </w:rPr>
        <w:t xml:space="preserve">that the special tax imposed by Measure A violates the uniformity requirement of Government Code section 50079.” </w:t>
      </w:r>
      <w:r w:rsidRPr="0046796A" w:rsidR="00D30B34">
        <w:rPr>
          <w:rFonts w:ascii="Century Schoolbook" w:hAnsi="Century Schoolbook"/>
        </w:rPr>
        <w:t xml:space="preserve"> </w:t>
      </w:r>
      <w:r w:rsidRPr="0046796A" w:rsidR="004279D8">
        <w:rPr>
          <w:rFonts w:ascii="Century Schoolbook" w:hAnsi="Century Schoolbook"/>
        </w:rPr>
        <w:t xml:space="preserve">Judgment was entered, and no </w:t>
      </w:r>
      <w:r w:rsidRPr="0046796A" w:rsidR="00D30B34">
        <w:rPr>
          <w:rFonts w:ascii="Century Schoolbook" w:hAnsi="Century Schoolbook"/>
        </w:rPr>
        <w:t xml:space="preserve">appeal was </w:t>
      </w:r>
      <w:r w:rsidRPr="0046796A">
        <w:rPr>
          <w:rFonts w:ascii="Century Schoolbook" w:hAnsi="Century Schoolbook"/>
        </w:rPr>
        <w:t>taken.</w:t>
      </w:r>
    </w:p>
    <w:p w:rsidR="00C74C56" w:rsidRPr="0046796A" w:rsidP="00C74C56" w14:paraId="329C080C" w14:textId="58AF158E">
      <w:pPr>
        <w:pStyle w:val="ListParagraph"/>
        <w:widowControl/>
        <w:tabs>
          <w:tab w:val="left" w:pos="0"/>
        </w:tabs>
        <w:spacing w:line="360" w:lineRule="auto"/>
        <w:ind w:left="0" w:firstLine="0"/>
        <w:rPr>
          <w:rFonts w:ascii="Century Schoolbook" w:hAnsi="Century Schoolbook"/>
          <w:sz w:val="26"/>
          <w:szCs w:val="26"/>
        </w:rPr>
      </w:pPr>
      <w:r w:rsidRPr="0046796A">
        <w:rPr>
          <w:rFonts w:ascii="Century Schoolbook" w:hAnsi="Century Schoolbook"/>
          <w:sz w:val="26"/>
          <w:szCs w:val="26"/>
        </w:rPr>
        <w:tab/>
        <w:t xml:space="preserve">In 2013, the court of appeal issued its decision </w:t>
      </w:r>
      <w:r w:rsidRPr="0046796A" w:rsidR="00830ACC">
        <w:rPr>
          <w:rFonts w:ascii="Century Schoolbook" w:hAnsi="Century Schoolbook"/>
          <w:sz w:val="26"/>
          <w:szCs w:val="26"/>
        </w:rPr>
        <w:t xml:space="preserve">regarding Measure H </w:t>
      </w:r>
      <w:r w:rsidRPr="0046796A">
        <w:rPr>
          <w:rFonts w:ascii="Century Schoolbook" w:hAnsi="Century Schoolbook"/>
          <w:sz w:val="26"/>
          <w:szCs w:val="26"/>
        </w:rPr>
        <w:t xml:space="preserve">in </w:t>
      </w:r>
      <w:r w:rsidRPr="0046796A">
        <w:rPr>
          <w:rFonts w:ascii="Century Schoolbook" w:hAnsi="Century Schoolbook"/>
          <w:i/>
          <w:sz w:val="26"/>
          <w:szCs w:val="26"/>
        </w:rPr>
        <w:t xml:space="preserve">Borikas v. Alameda Unified School District </w:t>
      </w:r>
      <w:r w:rsidRPr="0046796A">
        <w:rPr>
          <w:rFonts w:ascii="Century Schoolbook" w:hAnsi="Century Schoolbook"/>
          <w:sz w:val="26"/>
          <w:szCs w:val="26"/>
        </w:rPr>
        <w:t>(2013) 214 Cal.App.4th 135 (</w:t>
      </w:r>
      <w:r w:rsidRPr="0046796A">
        <w:rPr>
          <w:rFonts w:ascii="Century Schoolbook" w:hAnsi="Century Schoolbook"/>
          <w:i/>
          <w:iCs/>
          <w:sz w:val="26"/>
          <w:szCs w:val="26"/>
        </w:rPr>
        <w:t>Borikas</w:t>
      </w:r>
      <w:r w:rsidRPr="0046796A">
        <w:rPr>
          <w:rFonts w:ascii="Century Schoolbook" w:hAnsi="Century Schoolbook"/>
          <w:sz w:val="26"/>
          <w:szCs w:val="26"/>
        </w:rPr>
        <w:t xml:space="preserve">).  As </w:t>
      </w:r>
      <w:r w:rsidRPr="0046796A" w:rsidR="00C75A05">
        <w:rPr>
          <w:rFonts w:ascii="Century Schoolbook" w:hAnsi="Century Schoolbook"/>
          <w:sz w:val="26"/>
          <w:szCs w:val="26"/>
        </w:rPr>
        <w:t xml:space="preserve">we </w:t>
      </w:r>
      <w:r w:rsidRPr="0046796A">
        <w:rPr>
          <w:rFonts w:ascii="Century Schoolbook" w:hAnsi="Century Schoolbook"/>
          <w:sz w:val="26"/>
          <w:szCs w:val="26"/>
        </w:rPr>
        <w:t xml:space="preserve">explain at length </w:t>
      </w:r>
      <w:r w:rsidRPr="0046796A">
        <w:rPr>
          <w:rFonts w:ascii="Century Schoolbook" w:hAnsi="Century Schoolbook"/>
          <w:i/>
          <w:iCs/>
          <w:sz w:val="26"/>
          <w:szCs w:val="26"/>
        </w:rPr>
        <w:t>post</w:t>
      </w:r>
      <w:r w:rsidRPr="0046796A">
        <w:rPr>
          <w:rFonts w:ascii="Century Schoolbook" w:hAnsi="Century Schoolbook"/>
          <w:sz w:val="26"/>
          <w:szCs w:val="26"/>
        </w:rPr>
        <w:t xml:space="preserve">, </w:t>
      </w:r>
      <w:r w:rsidRPr="0046796A">
        <w:rPr>
          <w:rFonts w:ascii="Century Schoolbook" w:hAnsi="Century Schoolbook"/>
          <w:i/>
          <w:iCs/>
          <w:sz w:val="26"/>
          <w:szCs w:val="26"/>
        </w:rPr>
        <w:t>Borikas</w:t>
      </w:r>
      <w:r w:rsidRPr="0046796A">
        <w:rPr>
          <w:rFonts w:ascii="Century Schoolbook" w:hAnsi="Century Schoolbook"/>
          <w:sz w:val="26"/>
          <w:szCs w:val="26"/>
        </w:rPr>
        <w:t xml:space="preserve"> held that “Measure H’s imposition of a higher tax on commercial or industrial property over 2,000 square feet exceed[ed] the District’s taxing authority under section 50079” because school districts cannot create classifications of taxpayers or property and tax them differently.  (</w:t>
      </w:r>
      <w:r w:rsidRPr="0046796A">
        <w:rPr>
          <w:rFonts w:ascii="Century Schoolbook" w:hAnsi="Century Schoolbook"/>
          <w:i/>
          <w:sz w:val="26"/>
          <w:szCs w:val="26"/>
        </w:rPr>
        <w:t xml:space="preserve">Id. </w:t>
      </w:r>
      <w:r w:rsidRPr="0046796A">
        <w:rPr>
          <w:rFonts w:ascii="Century Schoolbook" w:hAnsi="Century Schoolbook"/>
          <w:sz w:val="26"/>
          <w:szCs w:val="26"/>
        </w:rPr>
        <w:t xml:space="preserve">at </w:t>
      </w:r>
      <w:r w:rsidRPr="0046796A" w:rsidR="00C75A05">
        <w:rPr>
          <w:rFonts w:ascii="Century Schoolbook" w:hAnsi="Century Schoolbook"/>
          <w:sz w:val="26"/>
          <w:szCs w:val="26"/>
        </w:rPr>
        <w:t xml:space="preserve">p. </w:t>
      </w:r>
      <w:r w:rsidRPr="0046796A">
        <w:rPr>
          <w:rFonts w:ascii="Century Schoolbook" w:hAnsi="Century Schoolbook"/>
          <w:sz w:val="26"/>
          <w:szCs w:val="26"/>
        </w:rPr>
        <w:t>165.)  The court of appeal severed that language from Measure H, leaving a tax of $120 for all non-exempt parcels.  (</w:t>
      </w:r>
      <w:r w:rsidRPr="0046796A">
        <w:rPr>
          <w:rFonts w:ascii="Century Schoolbook" w:hAnsi="Century Schoolbook"/>
          <w:i/>
          <w:sz w:val="26"/>
          <w:szCs w:val="26"/>
        </w:rPr>
        <w:t>Id</w:t>
      </w:r>
      <w:r w:rsidRPr="0046796A">
        <w:rPr>
          <w:rFonts w:ascii="Century Schoolbook" w:hAnsi="Century Schoolbook"/>
          <w:sz w:val="26"/>
          <w:szCs w:val="26"/>
        </w:rPr>
        <w:t>. at p</w:t>
      </w:r>
      <w:r w:rsidR="000F270F">
        <w:rPr>
          <w:rFonts w:ascii="Century Schoolbook" w:hAnsi="Century Schoolbook"/>
          <w:sz w:val="26"/>
          <w:szCs w:val="26"/>
        </w:rPr>
        <w:t>p</w:t>
      </w:r>
      <w:r w:rsidRPr="0046796A">
        <w:rPr>
          <w:rFonts w:ascii="Century Schoolbook" w:hAnsi="Century Schoolbook"/>
          <w:sz w:val="26"/>
          <w:szCs w:val="26"/>
        </w:rPr>
        <w:t>. 16</w:t>
      </w:r>
      <w:r w:rsidR="00964AF1">
        <w:rPr>
          <w:rFonts w:ascii="Century Schoolbook" w:hAnsi="Century Schoolbook"/>
          <w:sz w:val="26"/>
          <w:szCs w:val="26"/>
        </w:rPr>
        <w:t>8–169</w:t>
      </w:r>
      <w:r w:rsidRPr="0046796A">
        <w:rPr>
          <w:rFonts w:ascii="Century Schoolbook" w:hAnsi="Century Schoolbook"/>
          <w:sz w:val="26"/>
          <w:szCs w:val="26"/>
        </w:rPr>
        <w:t xml:space="preserve">.) </w:t>
      </w:r>
    </w:p>
    <w:p w:rsidR="00791FCC" w:rsidRPr="0046796A" w:rsidP="007853CD" w14:paraId="40CCA8FC" w14:textId="556DECBC">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7853CD">
        <w:rPr>
          <w:rFonts w:ascii="Century Schoolbook" w:hAnsi="Century Schoolbook"/>
        </w:rPr>
        <w:t xml:space="preserve">With Measure A </w:t>
      </w:r>
      <w:r w:rsidRPr="0046796A" w:rsidR="00C74C56">
        <w:rPr>
          <w:rFonts w:ascii="Century Schoolbook" w:hAnsi="Century Schoolbook"/>
        </w:rPr>
        <w:t xml:space="preserve">(2011) </w:t>
      </w:r>
      <w:r w:rsidRPr="0046796A" w:rsidR="007853CD">
        <w:rPr>
          <w:rFonts w:ascii="Century Schoolbook" w:hAnsi="Century Schoolbook"/>
        </w:rPr>
        <w:t xml:space="preserve">set to expire in 2018, District voters </w:t>
      </w:r>
      <w:r w:rsidRPr="0046796A" w:rsidR="005B29B0">
        <w:rPr>
          <w:rFonts w:ascii="Century Schoolbook" w:hAnsi="Century Schoolbook"/>
        </w:rPr>
        <w:t xml:space="preserve">approved </w:t>
      </w:r>
      <w:r w:rsidRPr="0046796A" w:rsidR="007853CD">
        <w:rPr>
          <w:rFonts w:ascii="Century Schoolbook" w:hAnsi="Century Schoolbook"/>
        </w:rPr>
        <w:t xml:space="preserve">Measure B1 in 2016.  Measure B1 extended the funding provided by Measure A </w:t>
      </w:r>
      <w:r w:rsidRPr="0046796A" w:rsidR="00A833A5">
        <w:rPr>
          <w:rFonts w:ascii="Century Schoolbook" w:hAnsi="Century Schoolbook"/>
        </w:rPr>
        <w:t xml:space="preserve">(2011) </w:t>
      </w:r>
      <w:r w:rsidRPr="0046796A" w:rsidR="007853CD">
        <w:rPr>
          <w:rFonts w:ascii="Century Schoolbook" w:hAnsi="Century Schoolbook"/>
        </w:rPr>
        <w:t xml:space="preserve">with the same per square foot and maximum amount of tax. </w:t>
      </w:r>
      <w:r w:rsidRPr="0046796A" w:rsidR="005B29B0">
        <w:rPr>
          <w:rFonts w:ascii="Century Schoolbook" w:hAnsi="Century Schoolbook"/>
        </w:rPr>
        <w:t xml:space="preserve"> It too </w:t>
      </w:r>
      <w:r w:rsidRPr="0046796A" w:rsidR="007853CD">
        <w:rPr>
          <w:rFonts w:ascii="Century Schoolbook" w:hAnsi="Century Schoolbook"/>
        </w:rPr>
        <w:t xml:space="preserve">was subject to a reverse validation action, </w:t>
      </w:r>
      <w:r w:rsidRPr="0046796A" w:rsidR="007853CD">
        <w:rPr>
          <w:rFonts w:ascii="Century Schoolbook" w:hAnsi="Century Schoolbook"/>
          <w:i/>
        </w:rPr>
        <w:t>Nelco, Inc. v.</w:t>
      </w:r>
      <w:r w:rsidRPr="0046796A" w:rsidR="005B29B0">
        <w:rPr>
          <w:rFonts w:ascii="Century Schoolbook" w:hAnsi="Century Schoolbook"/>
          <w:i/>
        </w:rPr>
        <w:t xml:space="preserve"> </w:t>
      </w:r>
      <w:r w:rsidRPr="0046796A" w:rsidR="007853CD">
        <w:rPr>
          <w:rFonts w:ascii="Century Schoolbook" w:hAnsi="Century Schoolbook"/>
          <w:i/>
        </w:rPr>
        <w:t xml:space="preserve">Alameda Unified School District </w:t>
      </w:r>
      <w:r w:rsidRPr="0046796A" w:rsidR="007853CD">
        <w:rPr>
          <w:rFonts w:ascii="Century Schoolbook" w:hAnsi="Century Schoolbook"/>
        </w:rPr>
        <w:t>(</w:t>
      </w:r>
      <w:r w:rsidRPr="0046796A" w:rsidR="00174DD6">
        <w:rPr>
          <w:rFonts w:ascii="Century Schoolbook" w:hAnsi="Century Schoolbook"/>
        </w:rPr>
        <w:t xml:space="preserve">Oct. 26, 2017, </w:t>
      </w:r>
      <w:r w:rsidRPr="0046796A" w:rsidR="007853CD">
        <w:rPr>
          <w:rFonts w:ascii="Century Schoolbook" w:hAnsi="Century Schoolbook"/>
        </w:rPr>
        <w:t xml:space="preserve">Alameda </w:t>
      </w:r>
      <w:r w:rsidRPr="0046796A" w:rsidR="007C732F">
        <w:rPr>
          <w:rFonts w:ascii="Century Schoolbook" w:hAnsi="Century Schoolbook"/>
        </w:rPr>
        <w:t xml:space="preserve">County </w:t>
      </w:r>
      <w:r w:rsidRPr="0046796A" w:rsidR="007853CD">
        <w:rPr>
          <w:rFonts w:ascii="Century Schoolbook" w:hAnsi="Century Schoolbook"/>
        </w:rPr>
        <w:t>Superior Court Case No. RG16841074</w:t>
      </w:r>
      <w:r w:rsidR="0090471D">
        <w:rPr>
          <w:rFonts w:ascii="Century Schoolbook" w:hAnsi="Century Schoolbook"/>
        </w:rPr>
        <w:t xml:space="preserve">) </w:t>
      </w:r>
      <w:r w:rsidRPr="0046796A" w:rsidR="007853CD">
        <w:rPr>
          <w:rFonts w:ascii="Century Schoolbook" w:hAnsi="Century Schoolbook"/>
        </w:rPr>
        <w:t>(</w:t>
      </w:r>
      <w:r w:rsidRPr="0046796A" w:rsidR="007853CD">
        <w:rPr>
          <w:rFonts w:ascii="Century Schoolbook" w:hAnsi="Century Schoolbook"/>
          <w:i/>
        </w:rPr>
        <w:t>Nelco II</w:t>
      </w:r>
      <w:r w:rsidRPr="0046796A" w:rsidR="007853CD">
        <w:rPr>
          <w:rFonts w:ascii="Century Schoolbook" w:hAnsi="Century Schoolbook"/>
        </w:rPr>
        <w:t>)</w:t>
      </w:r>
      <w:r w:rsidRPr="0046796A" w:rsidR="005B29B0">
        <w:rPr>
          <w:rFonts w:ascii="Century Schoolbook" w:hAnsi="Century Schoolbook"/>
        </w:rPr>
        <w:t xml:space="preserve">.  </w:t>
      </w:r>
      <w:r w:rsidRPr="0046796A" w:rsidR="008D52E6">
        <w:rPr>
          <w:rFonts w:ascii="Century Schoolbook" w:hAnsi="Century Schoolbook"/>
        </w:rPr>
        <w:t xml:space="preserve">The court indicated in writing </w:t>
      </w:r>
      <w:r w:rsidRPr="0046796A">
        <w:rPr>
          <w:rFonts w:ascii="Century Schoolbook" w:hAnsi="Century Schoolbook"/>
        </w:rPr>
        <w:t xml:space="preserve">its intention to </w:t>
      </w:r>
      <w:r w:rsidRPr="0046796A" w:rsidR="00830ACC">
        <w:rPr>
          <w:rFonts w:ascii="Century Schoolbook" w:hAnsi="Century Schoolbook"/>
        </w:rPr>
        <w:t xml:space="preserve">rule </w:t>
      </w:r>
      <w:r w:rsidRPr="0046796A">
        <w:rPr>
          <w:rFonts w:ascii="Century Schoolbook" w:hAnsi="Century Schoolbook"/>
        </w:rPr>
        <w:t xml:space="preserve">that </w:t>
      </w:r>
      <w:r w:rsidRPr="0046796A" w:rsidR="00FF2DB1">
        <w:rPr>
          <w:rFonts w:ascii="Century Schoolbook" w:hAnsi="Century Schoolbook"/>
        </w:rPr>
        <w:t xml:space="preserve">the </w:t>
      </w:r>
      <w:r w:rsidRPr="0046796A" w:rsidR="00830ACC">
        <w:rPr>
          <w:rFonts w:ascii="Century Schoolbook" w:hAnsi="Century Schoolbook"/>
        </w:rPr>
        <w:t xml:space="preserve">uniformity </w:t>
      </w:r>
      <w:r w:rsidRPr="0046796A" w:rsidR="00FF2DB1">
        <w:rPr>
          <w:rFonts w:ascii="Century Schoolbook" w:hAnsi="Century Schoolbook"/>
        </w:rPr>
        <w:t xml:space="preserve">issue was </w:t>
      </w:r>
      <w:r w:rsidRPr="0046796A" w:rsidR="00830ACC">
        <w:rPr>
          <w:rFonts w:ascii="Century Schoolbook" w:hAnsi="Century Schoolbook"/>
        </w:rPr>
        <w:t xml:space="preserve">addressed in the earlier </w:t>
      </w:r>
      <w:r w:rsidRPr="0046796A" w:rsidR="00FF2DB1">
        <w:rPr>
          <w:rFonts w:ascii="Century Schoolbook" w:hAnsi="Century Schoolbook"/>
          <w:i/>
          <w:iCs/>
        </w:rPr>
        <w:t xml:space="preserve">Nelco </w:t>
      </w:r>
      <w:r w:rsidRPr="0046796A">
        <w:rPr>
          <w:rFonts w:ascii="Century Schoolbook" w:hAnsi="Century Schoolbook"/>
          <w:i/>
          <w:iCs/>
        </w:rPr>
        <w:t>I</w:t>
      </w:r>
      <w:r w:rsidRPr="0046796A">
        <w:rPr>
          <w:rFonts w:ascii="Century Schoolbook" w:hAnsi="Century Schoolbook"/>
        </w:rPr>
        <w:t xml:space="preserve"> </w:t>
      </w:r>
      <w:r w:rsidRPr="0046796A" w:rsidR="00FF2DB1">
        <w:rPr>
          <w:rFonts w:ascii="Century Schoolbook" w:hAnsi="Century Schoolbook"/>
        </w:rPr>
        <w:t xml:space="preserve">ruling, which “precludes the current challenge.”  </w:t>
      </w:r>
      <w:r w:rsidRPr="0046796A" w:rsidR="005B29B0">
        <w:rPr>
          <w:rFonts w:ascii="Century Schoolbook" w:hAnsi="Century Schoolbook"/>
        </w:rPr>
        <w:t xml:space="preserve">The </w:t>
      </w:r>
      <w:r w:rsidRPr="0046796A" w:rsidR="007853CD">
        <w:rPr>
          <w:rFonts w:ascii="Century Schoolbook" w:hAnsi="Century Schoolbook"/>
        </w:rPr>
        <w:t xml:space="preserve">parties entered a stipulated judgment that referenced </w:t>
      </w:r>
      <w:r w:rsidRPr="0046796A" w:rsidR="007853CD">
        <w:rPr>
          <w:rFonts w:ascii="Century Schoolbook" w:hAnsi="Century Schoolbook"/>
          <w:i/>
        </w:rPr>
        <w:t xml:space="preserve">Nelco I </w:t>
      </w:r>
      <w:r w:rsidRPr="0046796A" w:rsidR="007853CD">
        <w:rPr>
          <w:rFonts w:ascii="Century Schoolbook" w:hAnsi="Century Schoolbook"/>
        </w:rPr>
        <w:t>and Measure A</w:t>
      </w:r>
      <w:r w:rsidRPr="0046796A" w:rsidR="00830ACC">
        <w:rPr>
          <w:rFonts w:ascii="Century Schoolbook" w:hAnsi="Century Schoolbook"/>
        </w:rPr>
        <w:t xml:space="preserve"> (2011)</w:t>
      </w:r>
      <w:r w:rsidRPr="0046796A" w:rsidR="007853CD">
        <w:rPr>
          <w:rFonts w:ascii="Century Schoolbook" w:hAnsi="Century Schoolbook"/>
        </w:rPr>
        <w:t xml:space="preserve">, </w:t>
      </w:r>
      <w:r w:rsidRPr="0046796A" w:rsidR="005B29B0">
        <w:rPr>
          <w:rFonts w:ascii="Century Schoolbook" w:hAnsi="Century Schoolbook"/>
        </w:rPr>
        <w:t xml:space="preserve">stating </w:t>
      </w:r>
      <w:r w:rsidRPr="0046796A" w:rsidR="007853CD">
        <w:rPr>
          <w:rFonts w:ascii="Century Schoolbook" w:hAnsi="Century Schoolbook"/>
        </w:rPr>
        <w:t>that “[t]he tax authorized by Measure B1 is valid as a renewal of the</w:t>
      </w:r>
      <w:r w:rsidRPr="0046796A" w:rsidR="005B29B0">
        <w:rPr>
          <w:rFonts w:ascii="Century Schoolbook" w:hAnsi="Century Schoolbook"/>
        </w:rPr>
        <w:t xml:space="preserve"> </w:t>
      </w:r>
      <w:r w:rsidRPr="0046796A" w:rsidR="007853CD">
        <w:rPr>
          <w:rFonts w:ascii="Century Schoolbook" w:hAnsi="Century Schoolbook"/>
        </w:rPr>
        <w:t xml:space="preserve">previously validated Measure A.” </w:t>
      </w:r>
    </w:p>
    <w:p w:rsidR="0090423A" w:rsidRPr="0046796A" w:rsidP="007853CD" w14:paraId="0B4C5DD3" w14:textId="4CEBFB41">
      <w:pPr>
        <w:pStyle w:val="BodyText"/>
        <w:widowControl/>
        <w:spacing w:line="360" w:lineRule="auto"/>
        <w:ind w:left="0"/>
        <w:rPr>
          <w:rFonts w:ascii="Century Schoolbook" w:hAnsi="Century Schoolbook"/>
        </w:rPr>
      </w:pPr>
      <w:r w:rsidRPr="0046796A">
        <w:rPr>
          <w:rFonts w:ascii="Century Schoolbook" w:hAnsi="Century Schoolbook"/>
        </w:rPr>
        <w:tab/>
        <w:t xml:space="preserve">B.  </w:t>
      </w:r>
      <w:r w:rsidRPr="0046796A">
        <w:rPr>
          <w:rFonts w:ascii="Century Schoolbook" w:hAnsi="Century Schoolbook"/>
          <w:u w:val="single"/>
        </w:rPr>
        <w:t>Measure A</w:t>
      </w:r>
      <w:r w:rsidRPr="0046796A" w:rsidR="00432FCF">
        <w:rPr>
          <w:rFonts w:ascii="Century Schoolbook" w:hAnsi="Century Schoolbook"/>
          <w:u w:val="single"/>
        </w:rPr>
        <w:t xml:space="preserve"> (2020)</w:t>
      </w:r>
      <w:r w:rsidRPr="0046796A">
        <w:rPr>
          <w:rFonts w:ascii="Century Schoolbook" w:hAnsi="Century Schoolbook"/>
          <w:u w:val="single"/>
        </w:rPr>
        <w:t xml:space="preserve"> </w:t>
      </w:r>
    </w:p>
    <w:p w:rsidR="00FF2DB1" w:rsidRPr="0046796A" w:rsidP="00FF2DB1" w14:paraId="576950B4" w14:textId="62CE959E">
      <w:pPr>
        <w:pStyle w:val="BodyText"/>
        <w:widowControl/>
        <w:spacing w:line="360" w:lineRule="auto"/>
        <w:ind w:left="0"/>
        <w:rPr>
          <w:rFonts w:ascii="Century Schoolbook" w:hAnsi="Century Schoolbook"/>
        </w:rPr>
      </w:pPr>
      <w:r w:rsidRPr="0046796A">
        <w:rPr>
          <w:rFonts w:ascii="Century Schoolbook" w:hAnsi="Century Schoolbook"/>
        </w:rPr>
        <w:tab/>
        <w:t xml:space="preserve">The District’s Board of Education </w:t>
      </w:r>
      <w:r w:rsidRPr="0046796A" w:rsidR="007C732F">
        <w:rPr>
          <w:rFonts w:ascii="Century Schoolbook" w:hAnsi="Century Schoolbook"/>
        </w:rPr>
        <w:t xml:space="preserve">placed a new measure on the </w:t>
      </w:r>
      <w:r w:rsidRPr="0046796A">
        <w:rPr>
          <w:rFonts w:ascii="Century Schoolbook" w:hAnsi="Century Schoolbook"/>
        </w:rPr>
        <w:t>March 2020 ballot</w:t>
      </w:r>
      <w:r w:rsidRPr="0046796A" w:rsidR="005E5DD5">
        <w:rPr>
          <w:rFonts w:ascii="Century Schoolbook" w:hAnsi="Century Schoolbook"/>
        </w:rPr>
        <w:t>—</w:t>
      </w:r>
      <w:r w:rsidRPr="0046796A" w:rsidR="008D52E6">
        <w:rPr>
          <w:rFonts w:ascii="Century Schoolbook" w:hAnsi="Century Schoolbook"/>
        </w:rPr>
        <w:t xml:space="preserve">“Measure </w:t>
      </w:r>
      <w:r w:rsidRPr="0046796A" w:rsidR="007C732F">
        <w:rPr>
          <w:rFonts w:ascii="Century Schoolbook" w:hAnsi="Century Schoolbook"/>
        </w:rPr>
        <w:t>A</w:t>
      </w:r>
      <w:r w:rsidRPr="0046796A" w:rsidR="008D52E6">
        <w:rPr>
          <w:rFonts w:ascii="Century Schoolbook" w:hAnsi="Century Schoolbook"/>
        </w:rPr>
        <w:t>,</w:t>
      </w:r>
      <w:r w:rsidRPr="0046796A" w:rsidR="007C732F">
        <w:rPr>
          <w:rFonts w:ascii="Century Schoolbook" w:hAnsi="Century Schoolbook"/>
        </w:rPr>
        <w:t xml:space="preserve">” </w:t>
      </w:r>
      <w:r w:rsidRPr="0046796A" w:rsidR="008D52E6">
        <w:rPr>
          <w:rFonts w:ascii="Century Schoolbook" w:hAnsi="Century Schoolbook"/>
        </w:rPr>
        <w:t>hereafter Measure A (2020)</w:t>
      </w:r>
      <w:r w:rsidRPr="0046796A" w:rsidR="005E5DD5">
        <w:rPr>
          <w:rFonts w:ascii="Century Schoolbook" w:hAnsi="Century Schoolbook"/>
        </w:rPr>
        <w:t>—</w:t>
      </w:r>
      <w:r w:rsidRPr="0046796A" w:rsidR="008D52E6">
        <w:rPr>
          <w:rFonts w:ascii="Century Schoolbook" w:hAnsi="Century Schoolbook"/>
        </w:rPr>
        <w:t xml:space="preserve">to obtain </w:t>
      </w:r>
      <w:r w:rsidRPr="0046796A">
        <w:rPr>
          <w:rFonts w:ascii="Century Schoolbook" w:hAnsi="Century Schoolbook"/>
        </w:rPr>
        <w:t xml:space="preserve">voter approval of a qualified special tax </w:t>
      </w:r>
      <w:r w:rsidRPr="0046796A" w:rsidR="007C732F">
        <w:rPr>
          <w:rFonts w:ascii="Century Schoolbook" w:hAnsi="Century Schoolbook"/>
        </w:rPr>
        <w:t xml:space="preserve">that would fund </w:t>
      </w:r>
      <w:r w:rsidRPr="0046796A">
        <w:rPr>
          <w:rFonts w:ascii="Century Schoolbook" w:hAnsi="Century Schoolbook"/>
        </w:rPr>
        <w:t xml:space="preserve">increased salaries for District teachers and staff. </w:t>
      </w:r>
      <w:r w:rsidRPr="0046796A" w:rsidR="00A833A5">
        <w:rPr>
          <w:rFonts w:ascii="Century Schoolbook" w:hAnsi="Century Schoolbook"/>
        </w:rPr>
        <w:t xml:space="preserve"> </w:t>
      </w:r>
      <w:r w:rsidRPr="0046796A" w:rsidR="00830ACC">
        <w:rPr>
          <w:rFonts w:ascii="Century Schoolbook" w:hAnsi="Century Schoolbook"/>
        </w:rPr>
        <w:t xml:space="preserve">This is the </w:t>
      </w:r>
      <w:r w:rsidRPr="0046796A" w:rsidR="00A833A5">
        <w:rPr>
          <w:rFonts w:ascii="Century Schoolbook" w:hAnsi="Century Schoolbook"/>
        </w:rPr>
        <w:t xml:space="preserve">measure that is the subject of </w:t>
      </w:r>
      <w:r w:rsidRPr="0046796A" w:rsidR="00791FCC">
        <w:rPr>
          <w:rFonts w:ascii="Century Schoolbook" w:hAnsi="Century Schoolbook"/>
        </w:rPr>
        <w:t xml:space="preserve">this </w:t>
      </w:r>
      <w:r w:rsidRPr="0046796A" w:rsidR="00A833A5">
        <w:rPr>
          <w:rFonts w:ascii="Century Schoolbook" w:hAnsi="Century Schoolbook"/>
        </w:rPr>
        <w:t>appeal.</w:t>
      </w:r>
    </w:p>
    <w:p w:rsidR="007853CD" w:rsidRPr="0046796A" w:rsidP="007853CD" w14:paraId="63CA7944" w14:textId="09FBFD08">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791FCC">
        <w:rPr>
          <w:rFonts w:ascii="Century Schoolbook" w:hAnsi="Century Schoolbook"/>
        </w:rPr>
        <w:t xml:space="preserve">Following a formula similar to that </w:t>
      </w:r>
      <w:r w:rsidRPr="0046796A" w:rsidR="00BE6729">
        <w:rPr>
          <w:rFonts w:ascii="Century Schoolbook" w:hAnsi="Century Schoolbook"/>
        </w:rPr>
        <w:t xml:space="preserve">approved in </w:t>
      </w:r>
      <w:r w:rsidRPr="0046796A" w:rsidR="00BE6729">
        <w:rPr>
          <w:rFonts w:ascii="Century Schoolbook" w:hAnsi="Century Schoolbook"/>
          <w:i/>
          <w:iCs/>
        </w:rPr>
        <w:t>Nelco I</w:t>
      </w:r>
      <w:r w:rsidRPr="0046796A" w:rsidR="00BE6729">
        <w:rPr>
          <w:rFonts w:ascii="Century Schoolbook" w:hAnsi="Century Schoolbook"/>
        </w:rPr>
        <w:t xml:space="preserve">, </w:t>
      </w:r>
      <w:r w:rsidRPr="0046796A" w:rsidR="000E7F83">
        <w:rPr>
          <w:rFonts w:ascii="Century Schoolbook" w:hAnsi="Century Schoolbook"/>
        </w:rPr>
        <w:t xml:space="preserve">and distinguishable from what was disapproved in </w:t>
      </w:r>
      <w:r w:rsidRPr="0046796A" w:rsidR="000E7F83">
        <w:rPr>
          <w:rFonts w:ascii="Century Schoolbook" w:hAnsi="Century Schoolbook"/>
          <w:i/>
          <w:iCs/>
        </w:rPr>
        <w:t>Borikas</w:t>
      </w:r>
      <w:r w:rsidRPr="0046796A" w:rsidR="000E7F83">
        <w:rPr>
          <w:rFonts w:ascii="Century Schoolbook" w:hAnsi="Century Schoolbook"/>
        </w:rPr>
        <w:t xml:space="preserve">, </w:t>
      </w:r>
      <w:r w:rsidRPr="0046796A">
        <w:rPr>
          <w:rFonts w:ascii="Century Schoolbook" w:hAnsi="Century Schoolbook"/>
        </w:rPr>
        <w:t xml:space="preserve">Measure A </w:t>
      </w:r>
      <w:r w:rsidRPr="0046796A" w:rsidR="00432FCF">
        <w:rPr>
          <w:rFonts w:ascii="Century Schoolbook" w:hAnsi="Century Schoolbook"/>
        </w:rPr>
        <w:t xml:space="preserve">(2020) </w:t>
      </w:r>
      <w:r w:rsidRPr="0046796A" w:rsidR="005C4E20">
        <w:rPr>
          <w:rFonts w:ascii="Century Schoolbook" w:hAnsi="Century Schoolbook"/>
        </w:rPr>
        <w:t xml:space="preserve">stated:  </w:t>
      </w:r>
      <w:r w:rsidRPr="0046796A">
        <w:rPr>
          <w:rFonts w:ascii="Century Schoolbook" w:hAnsi="Century Schoolbook"/>
        </w:rPr>
        <w:t xml:space="preserve">“Upon approval of two-thirds of those voting on this Measure, the District shall be authorized to levy an annual qualified special tax (education parcel tax) on all Parcels of Taxable Real Property, commencing on July 1, 2020 for a period of 7 years. </w:t>
      </w:r>
      <w:r w:rsidRPr="0046796A" w:rsidR="00C02201">
        <w:rPr>
          <w:rFonts w:ascii="Century Schoolbook" w:hAnsi="Century Schoolbook"/>
        </w:rPr>
        <w:t xml:space="preserve"> </w:t>
      </w:r>
      <w:r w:rsidRPr="0046796A">
        <w:rPr>
          <w:rFonts w:ascii="Century Schoolbook" w:hAnsi="Century Schoolbook"/>
        </w:rPr>
        <w:t xml:space="preserve">The tax shall be levied on improved parcels at the rate of </w:t>
      </w:r>
      <w:bookmarkStart w:id="3" w:name="_Hlk137391515"/>
      <w:r w:rsidRPr="0046796A">
        <w:rPr>
          <w:rFonts w:ascii="Century Schoolbook" w:hAnsi="Century Schoolbook"/>
        </w:rPr>
        <w:t xml:space="preserve">$0.265 </w:t>
      </w:r>
      <w:bookmarkEnd w:id="3"/>
      <w:r w:rsidRPr="0046796A">
        <w:rPr>
          <w:rFonts w:ascii="Century Schoolbook" w:hAnsi="Century Schoolbook"/>
        </w:rPr>
        <w:t>per building square foot not to exceed $7,999 per parcel and at the rate of $299 per vacant parcel.”</w:t>
      </w:r>
      <w:r>
        <w:rPr>
          <w:rStyle w:val="FootnoteReference"/>
          <w:rFonts w:ascii="Century Schoolbook" w:hAnsi="Century Schoolbook"/>
        </w:rPr>
        <w:footnoteReference w:id="2"/>
      </w:r>
      <w:r w:rsidRPr="0046796A">
        <w:rPr>
          <w:rFonts w:ascii="Century Schoolbook" w:hAnsi="Century Schoolbook"/>
        </w:rPr>
        <w:t xml:space="preserve">  District voters approved Measure A </w:t>
      </w:r>
      <w:r w:rsidRPr="0046796A" w:rsidR="00432FCF">
        <w:rPr>
          <w:rFonts w:ascii="Century Schoolbook" w:hAnsi="Century Schoolbook"/>
        </w:rPr>
        <w:t xml:space="preserve">(2020) </w:t>
      </w:r>
      <w:r w:rsidRPr="0046796A">
        <w:rPr>
          <w:rFonts w:ascii="Century Schoolbook" w:hAnsi="Century Schoolbook"/>
        </w:rPr>
        <w:t>on March 3, 2020</w:t>
      </w:r>
      <w:r w:rsidRPr="0046796A" w:rsidR="007C732F">
        <w:rPr>
          <w:rFonts w:ascii="Century Schoolbook" w:hAnsi="Century Schoolbook"/>
        </w:rPr>
        <w:t xml:space="preserve">.  </w:t>
      </w:r>
    </w:p>
    <w:p w:rsidR="006D0EE5" w:rsidRPr="0046796A" w:rsidP="007853CD" w14:paraId="17987135" w14:textId="7F4F7105">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90423A">
        <w:rPr>
          <w:rFonts w:ascii="Century Schoolbook" w:hAnsi="Century Schoolbook"/>
        </w:rPr>
        <w:t>C</w:t>
      </w:r>
      <w:r w:rsidRPr="0046796A">
        <w:rPr>
          <w:rFonts w:ascii="Century Schoolbook" w:hAnsi="Century Schoolbook"/>
        </w:rPr>
        <w:t xml:space="preserve">.  </w:t>
      </w:r>
      <w:r w:rsidRPr="0046796A">
        <w:rPr>
          <w:rFonts w:ascii="Century Schoolbook" w:hAnsi="Century Schoolbook"/>
          <w:u w:val="single"/>
        </w:rPr>
        <w:t>Traiman’s Reverse Validation Lawsuit</w:t>
      </w:r>
    </w:p>
    <w:p w:rsidR="006D0EE5" w:rsidRPr="0046796A" w:rsidP="007853CD" w14:paraId="2CAA6761" w14:textId="0C60DEE2">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446E16">
        <w:rPr>
          <w:rFonts w:ascii="Century Schoolbook" w:hAnsi="Century Schoolbook"/>
        </w:rPr>
        <w:t xml:space="preserve">Traiman </w:t>
      </w:r>
      <w:r w:rsidRPr="0046796A" w:rsidR="007853CD">
        <w:rPr>
          <w:rFonts w:ascii="Century Schoolbook" w:hAnsi="Century Schoolbook"/>
        </w:rPr>
        <w:t xml:space="preserve">filed </w:t>
      </w:r>
      <w:r w:rsidRPr="0046796A" w:rsidR="008D52E6">
        <w:rPr>
          <w:rFonts w:ascii="Century Schoolbook" w:hAnsi="Century Schoolbook"/>
        </w:rPr>
        <w:t xml:space="preserve">a </w:t>
      </w:r>
      <w:r w:rsidRPr="0046796A" w:rsidR="007853CD">
        <w:rPr>
          <w:rFonts w:ascii="Century Schoolbook" w:hAnsi="Century Schoolbook"/>
        </w:rPr>
        <w:t xml:space="preserve">Complaint for Invalidation </w:t>
      </w:r>
      <w:r w:rsidRPr="0046796A" w:rsidR="007C732F">
        <w:rPr>
          <w:rFonts w:ascii="Century Schoolbook" w:hAnsi="Century Schoolbook"/>
        </w:rPr>
        <w:t xml:space="preserve">in May </w:t>
      </w:r>
      <w:r w:rsidRPr="0046796A" w:rsidR="007853CD">
        <w:rPr>
          <w:rFonts w:ascii="Century Schoolbook" w:hAnsi="Century Schoolbook"/>
        </w:rPr>
        <w:t>2020</w:t>
      </w:r>
      <w:r w:rsidRPr="0046796A" w:rsidR="00BE6729">
        <w:rPr>
          <w:rFonts w:ascii="Century Schoolbook" w:hAnsi="Century Schoolbook"/>
        </w:rPr>
        <w:t xml:space="preserve"> (Code Civ. Proc., § 863)</w:t>
      </w:r>
      <w:r w:rsidRPr="0046796A" w:rsidR="00B637DF">
        <w:rPr>
          <w:rFonts w:ascii="Century Schoolbook" w:hAnsi="Century Schoolbook"/>
        </w:rPr>
        <w:t xml:space="preserve">, contending </w:t>
      </w:r>
      <w:r w:rsidRPr="0046796A" w:rsidR="008D52E6">
        <w:rPr>
          <w:rFonts w:ascii="Century Schoolbook" w:hAnsi="Century Schoolbook"/>
        </w:rPr>
        <w:t xml:space="preserve">Measure A (2020) </w:t>
      </w:r>
      <w:r w:rsidRPr="0046796A" w:rsidR="00EB4F41">
        <w:rPr>
          <w:rFonts w:ascii="Century Schoolbook" w:hAnsi="Century Schoolbook"/>
        </w:rPr>
        <w:t xml:space="preserve">was invalid due to </w:t>
      </w:r>
      <w:r w:rsidRPr="0046796A" w:rsidR="00CE4B56">
        <w:rPr>
          <w:rFonts w:ascii="Century Schoolbook" w:hAnsi="Century Schoolbook"/>
        </w:rPr>
        <w:t xml:space="preserve">the section </w:t>
      </w:r>
      <w:r w:rsidRPr="0046796A" w:rsidR="007853CD">
        <w:rPr>
          <w:rFonts w:ascii="Century Schoolbook" w:hAnsi="Century Schoolbook"/>
        </w:rPr>
        <w:t xml:space="preserve">50079 </w:t>
      </w:r>
      <w:r w:rsidRPr="0046796A" w:rsidR="00CE4B56">
        <w:rPr>
          <w:rFonts w:ascii="Century Schoolbook" w:hAnsi="Century Schoolbook"/>
        </w:rPr>
        <w:t xml:space="preserve">requirement </w:t>
      </w:r>
      <w:r w:rsidRPr="0046796A" w:rsidR="007853CD">
        <w:rPr>
          <w:rFonts w:ascii="Century Schoolbook" w:hAnsi="Century Schoolbook"/>
        </w:rPr>
        <w:t>that qualified special taxes “apply uniformly to all taxpayers or all real property within the school district</w:t>
      </w:r>
      <w:r w:rsidRPr="0046796A" w:rsidR="00446E16">
        <w:rPr>
          <w:rFonts w:ascii="Century Schoolbook" w:hAnsi="Century Schoolbook"/>
        </w:rPr>
        <w:t xml:space="preserve">.” </w:t>
      </w:r>
      <w:r w:rsidRPr="0046796A" w:rsidR="00D30B34">
        <w:rPr>
          <w:rFonts w:ascii="Century Schoolbook" w:hAnsi="Century Schoolbook"/>
        </w:rPr>
        <w:t xml:space="preserve"> </w:t>
      </w:r>
      <w:r w:rsidRPr="0046796A" w:rsidR="000E7F83">
        <w:rPr>
          <w:rFonts w:ascii="Century Schoolbook" w:hAnsi="Century Schoolbook"/>
        </w:rPr>
        <w:t xml:space="preserve">Although Measure A (2020) applied </w:t>
      </w:r>
      <w:r w:rsidRPr="0046796A" w:rsidR="00EB4F41">
        <w:rPr>
          <w:rFonts w:ascii="Century Schoolbook" w:hAnsi="Century Schoolbook"/>
        </w:rPr>
        <w:t xml:space="preserve">a single specified </w:t>
      </w:r>
      <w:r w:rsidRPr="0046796A" w:rsidR="000E7F83">
        <w:rPr>
          <w:rFonts w:ascii="Century Schoolbook" w:hAnsi="Century Schoolbook"/>
        </w:rPr>
        <w:t xml:space="preserve">tax rate and cap to all nonexempt taxpayers and parcels, Traiman alleged that the cap created an impermissible classification.  </w:t>
      </w:r>
      <w:r w:rsidRPr="0046796A" w:rsidR="00BE6729">
        <w:rPr>
          <w:rFonts w:ascii="Century Schoolbook" w:hAnsi="Century Schoolbook"/>
        </w:rPr>
        <w:t xml:space="preserve">In particular, </w:t>
      </w:r>
      <w:r w:rsidRPr="0046796A" w:rsidR="00A833A5">
        <w:rPr>
          <w:rFonts w:ascii="Century Schoolbook" w:hAnsi="Century Schoolbook"/>
        </w:rPr>
        <w:t xml:space="preserve">Traiman </w:t>
      </w:r>
      <w:r w:rsidRPr="0046796A" w:rsidR="00621EA8">
        <w:rPr>
          <w:rFonts w:ascii="Century Schoolbook" w:hAnsi="Century Schoolbook"/>
        </w:rPr>
        <w:t>alleged</w:t>
      </w:r>
      <w:r w:rsidRPr="0046796A" w:rsidR="00BE6729">
        <w:rPr>
          <w:rFonts w:ascii="Century Schoolbook" w:hAnsi="Century Schoolbook"/>
        </w:rPr>
        <w:t xml:space="preserve"> </w:t>
      </w:r>
      <w:r w:rsidRPr="0046796A" w:rsidR="00CE4B56">
        <w:rPr>
          <w:rFonts w:ascii="Century Schoolbook" w:hAnsi="Century Schoolbook"/>
        </w:rPr>
        <w:t xml:space="preserve">the </w:t>
      </w:r>
      <w:r w:rsidRPr="0046796A" w:rsidR="007853CD">
        <w:rPr>
          <w:rFonts w:ascii="Century Schoolbook" w:hAnsi="Century Schoolbook"/>
        </w:rPr>
        <w:t>$7,999</w:t>
      </w:r>
      <w:r w:rsidRPr="0046796A">
        <w:rPr>
          <w:rFonts w:ascii="Century Schoolbook" w:hAnsi="Century Schoolbook"/>
        </w:rPr>
        <w:t xml:space="preserve"> </w:t>
      </w:r>
      <w:r w:rsidRPr="0046796A" w:rsidR="007C732F">
        <w:rPr>
          <w:rFonts w:ascii="Century Schoolbook" w:hAnsi="Century Schoolbook"/>
        </w:rPr>
        <w:t xml:space="preserve">tax cap </w:t>
      </w:r>
      <w:r w:rsidRPr="0046796A" w:rsidR="007853CD">
        <w:rPr>
          <w:rFonts w:ascii="Century Schoolbook" w:hAnsi="Century Schoolbook"/>
        </w:rPr>
        <w:t>on “</w:t>
      </w:r>
      <w:r w:rsidRPr="0046796A" w:rsidR="00446E16">
        <w:rPr>
          <w:rFonts w:ascii="Century Schoolbook" w:hAnsi="Century Schoolbook"/>
        </w:rPr>
        <w:t xml:space="preserve"> </w:t>
      </w:r>
      <w:r w:rsidRPr="0046796A" w:rsidR="007853CD">
        <w:rPr>
          <w:rFonts w:ascii="Century Schoolbook" w:hAnsi="Century Schoolbook"/>
        </w:rPr>
        <w:t xml:space="preserve">‘improved parcels’ creates a classification that </w:t>
      </w:r>
      <w:r w:rsidRPr="0046796A" w:rsidR="007C732F">
        <w:rPr>
          <w:rFonts w:ascii="Century Schoolbook" w:hAnsi="Century Schoolbook"/>
        </w:rPr>
        <w:t xml:space="preserve">[] </w:t>
      </w:r>
      <w:r w:rsidRPr="0046796A" w:rsidR="007853CD">
        <w:rPr>
          <w:rFonts w:ascii="Century Schoolbook" w:hAnsi="Century Schoolbook"/>
        </w:rPr>
        <w:t>section 50079 did not permit” because “</w:t>
      </w:r>
      <w:r w:rsidRPr="0046796A" w:rsidR="007C732F">
        <w:rPr>
          <w:rFonts w:ascii="Century Schoolbook" w:hAnsi="Century Schoolbook"/>
        </w:rPr>
        <w:t>there are</w:t>
      </w:r>
      <w:r w:rsidRPr="0046796A" w:rsidR="007853CD">
        <w:rPr>
          <w:rFonts w:ascii="Century Schoolbook" w:hAnsi="Century Schoolbook"/>
        </w:rPr>
        <w:t xml:space="preserve"> </w:t>
      </w:r>
      <w:r w:rsidRPr="0046796A" w:rsidR="007D7BD0">
        <w:rPr>
          <w:rFonts w:ascii="Century Schoolbook" w:hAnsi="Century Schoolbook"/>
        </w:rPr>
        <w:t xml:space="preserve">“ </w:t>
      </w:r>
      <w:r w:rsidRPr="0046796A" w:rsidR="007853CD">
        <w:rPr>
          <w:rFonts w:ascii="Century Schoolbook" w:hAnsi="Century Schoolbook"/>
        </w:rPr>
        <w:t>‘improved parcels’</w:t>
      </w:r>
      <w:r w:rsidRPr="0046796A" w:rsidR="007D7BD0">
        <w:rPr>
          <w:rFonts w:ascii="Century Schoolbook" w:hAnsi="Century Schoolbook"/>
        </w:rPr>
        <w:t xml:space="preserve"> ” </w:t>
      </w:r>
      <w:r w:rsidRPr="0046796A" w:rsidR="007853CD">
        <w:rPr>
          <w:rFonts w:ascii="Century Schoolbook" w:hAnsi="Century Schoolbook"/>
        </w:rPr>
        <w:t xml:space="preserve">with one or more </w:t>
      </w:r>
      <w:r w:rsidRPr="0046796A" w:rsidR="00EC3DE4">
        <w:rPr>
          <w:rFonts w:ascii="Century Schoolbook" w:hAnsi="Century Schoolbook"/>
        </w:rPr>
        <w:t>“ </w:t>
      </w:r>
      <w:r w:rsidRPr="0046796A" w:rsidR="007853CD">
        <w:rPr>
          <w:rFonts w:ascii="Century Schoolbook" w:hAnsi="Century Schoolbook"/>
        </w:rPr>
        <w:t>‘building(s)’</w:t>
      </w:r>
      <w:r w:rsidRPr="0046796A" w:rsidR="00EC3DE4">
        <w:rPr>
          <w:rFonts w:ascii="Century Schoolbook" w:hAnsi="Century Schoolbook"/>
        </w:rPr>
        <w:t xml:space="preserve"> ”</w:t>
      </w:r>
      <w:r w:rsidRPr="0046796A" w:rsidR="007853CD">
        <w:rPr>
          <w:rFonts w:ascii="Century Schoolbook" w:hAnsi="Century Schoolbook"/>
        </w:rPr>
        <w:t xml:space="preserve"> over 30,184.91 building square feet[,]” </w:t>
      </w:r>
      <w:r w:rsidRPr="0046796A" w:rsidR="007C732F">
        <w:rPr>
          <w:rFonts w:ascii="Century Schoolbook" w:hAnsi="Century Schoolbook"/>
        </w:rPr>
        <w:t xml:space="preserve">and </w:t>
      </w:r>
      <w:r w:rsidRPr="0046796A" w:rsidR="007853CD">
        <w:rPr>
          <w:rFonts w:ascii="Century Schoolbook" w:hAnsi="Century Schoolbook"/>
        </w:rPr>
        <w:t xml:space="preserve">“[f]or each one of these ‘improved parcels,’ the effective tax rate is less than $0.265 per building square foot.” </w:t>
      </w:r>
      <w:r w:rsidRPr="0046796A" w:rsidR="007C732F">
        <w:rPr>
          <w:rFonts w:ascii="Century Schoolbook" w:hAnsi="Century Schoolbook"/>
        </w:rPr>
        <w:t xml:space="preserve"> </w:t>
      </w:r>
      <w:r w:rsidRPr="0046796A" w:rsidR="00621EA8">
        <w:rPr>
          <w:rFonts w:ascii="Century Schoolbook" w:hAnsi="Century Schoolbook"/>
        </w:rPr>
        <w:t xml:space="preserve">In his words, “[t]he </w:t>
      </w:r>
      <w:r w:rsidRPr="0046796A" w:rsidR="007C732F">
        <w:rPr>
          <w:rFonts w:ascii="Century Schoolbook" w:hAnsi="Century Schoolbook"/>
        </w:rPr>
        <w:t>larger the building, the lower the effective tax rate.”</w:t>
      </w:r>
      <w:r>
        <w:rPr>
          <w:rStyle w:val="FootnoteReference"/>
          <w:rFonts w:ascii="Century Schoolbook" w:hAnsi="Century Schoolbook"/>
        </w:rPr>
        <w:footnoteReference w:id="3"/>
      </w:r>
      <w:r w:rsidRPr="0046796A" w:rsidR="007C732F">
        <w:rPr>
          <w:rFonts w:ascii="Century Schoolbook" w:hAnsi="Century Schoolbook"/>
        </w:rPr>
        <w:t xml:space="preserve">  </w:t>
      </w:r>
    </w:p>
    <w:p w:rsidR="007853CD" w:rsidRPr="0046796A" w:rsidP="007853CD" w14:paraId="16FCEEF4" w14:textId="7B533DDE">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B637DF">
        <w:rPr>
          <w:rFonts w:ascii="Century Schoolbook" w:hAnsi="Century Schoolbook"/>
        </w:rPr>
        <w:t xml:space="preserve">The </w:t>
      </w:r>
      <w:r w:rsidRPr="0046796A" w:rsidR="00873FAE">
        <w:rPr>
          <w:rFonts w:ascii="Century Schoolbook" w:hAnsi="Century Schoolbook"/>
        </w:rPr>
        <w:t xml:space="preserve">trial </w:t>
      </w:r>
      <w:r w:rsidRPr="0046796A" w:rsidR="00CE4B56">
        <w:rPr>
          <w:rFonts w:ascii="Century Schoolbook" w:hAnsi="Century Schoolbook"/>
        </w:rPr>
        <w:t xml:space="preserve">court held a </w:t>
      </w:r>
      <w:r w:rsidRPr="0046796A" w:rsidR="005C4E20">
        <w:rPr>
          <w:rFonts w:ascii="Century Schoolbook" w:hAnsi="Century Schoolbook"/>
        </w:rPr>
        <w:t xml:space="preserve">bench trial on </w:t>
      </w:r>
      <w:r w:rsidRPr="0046796A">
        <w:rPr>
          <w:rFonts w:ascii="Century Schoolbook" w:hAnsi="Century Schoolbook"/>
        </w:rPr>
        <w:t>September 14, 2021</w:t>
      </w:r>
      <w:r w:rsidRPr="0046796A" w:rsidR="00C6630A">
        <w:rPr>
          <w:rFonts w:ascii="Century Schoolbook" w:hAnsi="Century Schoolbook"/>
        </w:rPr>
        <w:t xml:space="preserve">.  After issuing a proposed statement of decision in November 2021, the court </w:t>
      </w:r>
      <w:r w:rsidRPr="0046796A">
        <w:rPr>
          <w:rFonts w:ascii="Century Schoolbook" w:hAnsi="Century Schoolbook"/>
        </w:rPr>
        <w:t xml:space="preserve">issued </w:t>
      </w:r>
      <w:r w:rsidRPr="0046796A" w:rsidR="00446E16">
        <w:rPr>
          <w:rFonts w:ascii="Century Schoolbook" w:hAnsi="Century Schoolbook"/>
        </w:rPr>
        <w:t xml:space="preserve">its </w:t>
      </w:r>
      <w:r w:rsidRPr="0046796A">
        <w:rPr>
          <w:rFonts w:ascii="Century Schoolbook" w:hAnsi="Century Schoolbook"/>
        </w:rPr>
        <w:t xml:space="preserve">Judgment and Statement of Decision </w:t>
      </w:r>
      <w:r w:rsidRPr="0046796A" w:rsidR="00C6630A">
        <w:rPr>
          <w:rFonts w:ascii="Century Schoolbook" w:hAnsi="Century Schoolbook"/>
        </w:rPr>
        <w:t xml:space="preserve">in </w:t>
      </w:r>
      <w:r w:rsidRPr="0046796A">
        <w:rPr>
          <w:rFonts w:ascii="Century Schoolbook" w:hAnsi="Century Schoolbook"/>
        </w:rPr>
        <w:t xml:space="preserve">April 2022. </w:t>
      </w:r>
      <w:r w:rsidRPr="0046796A" w:rsidR="00A833A5">
        <w:rPr>
          <w:rFonts w:ascii="Century Schoolbook" w:hAnsi="Century Schoolbook"/>
        </w:rPr>
        <w:t xml:space="preserve"> </w:t>
      </w:r>
      <w:r w:rsidRPr="0046796A" w:rsidR="00830ACC">
        <w:rPr>
          <w:rFonts w:ascii="Century Schoolbook" w:hAnsi="Century Schoolbook"/>
        </w:rPr>
        <w:t xml:space="preserve">Based on </w:t>
      </w:r>
      <w:r w:rsidRPr="0046796A" w:rsidR="00830ACC">
        <w:rPr>
          <w:rFonts w:ascii="Century Schoolbook" w:hAnsi="Century Schoolbook"/>
          <w:i/>
          <w:iCs/>
        </w:rPr>
        <w:t>Borikas</w:t>
      </w:r>
      <w:r w:rsidRPr="0046796A" w:rsidR="00830ACC">
        <w:rPr>
          <w:rFonts w:ascii="Century Schoolbook" w:hAnsi="Century Schoolbook"/>
        </w:rPr>
        <w:t xml:space="preserve">, the </w:t>
      </w:r>
      <w:r w:rsidRPr="0046796A" w:rsidR="00BE6729">
        <w:rPr>
          <w:rFonts w:ascii="Century Schoolbook" w:hAnsi="Century Schoolbook"/>
        </w:rPr>
        <w:t xml:space="preserve">court ruled:  </w:t>
      </w:r>
      <w:r w:rsidRPr="0046796A" w:rsidR="00791FCC">
        <w:rPr>
          <w:rFonts w:ascii="Century Schoolbook" w:hAnsi="Century Schoolbook"/>
        </w:rPr>
        <w:t>“Under the law, there simply cannot be any different classifications, distinctions, definitions, or square footage limitations in levying the tax on improved property.</w:t>
      </w:r>
      <w:r w:rsidRPr="0046796A" w:rsidR="00BE6729">
        <w:rPr>
          <w:rFonts w:ascii="Century Schoolbook" w:hAnsi="Century Schoolbook"/>
        </w:rPr>
        <w:t xml:space="preserve"> </w:t>
      </w:r>
      <w:r w:rsidRPr="0046796A" w:rsidR="00433452">
        <w:rPr>
          <w:rFonts w:ascii="Century Schoolbook" w:hAnsi="Century Schoolbook"/>
        </w:rPr>
        <w:t xml:space="preserve"> [¶ . . . ¶]  </w:t>
      </w:r>
      <w:r w:rsidRPr="0046796A" w:rsidR="007C732F">
        <w:rPr>
          <w:rFonts w:ascii="Century Schoolbook" w:hAnsi="Century Schoolbook"/>
        </w:rPr>
        <w:t>The $7,999 cap in Measure A (2020) creates a classification between improved properties based on size and applies a different and preferentially lower tax rate to properties above 30,184.9</w:t>
      </w:r>
      <w:r w:rsidRPr="0046796A" w:rsidR="00A833A5">
        <w:rPr>
          <w:rFonts w:ascii="Century Schoolbook" w:hAnsi="Century Schoolbook"/>
        </w:rPr>
        <w:t>1</w:t>
      </w:r>
      <w:r w:rsidRPr="0046796A" w:rsidR="007C732F">
        <w:rPr>
          <w:rFonts w:ascii="Century Schoolbook" w:hAnsi="Century Schoolbook"/>
        </w:rPr>
        <w:t xml:space="preserve"> square feet which is prohibited. </w:t>
      </w:r>
      <w:r w:rsidRPr="0046796A" w:rsidR="00873FAE">
        <w:rPr>
          <w:rFonts w:ascii="Century Schoolbook" w:hAnsi="Century Schoolbook"/>
        </w:rPr>
        <w:t xml:space="preserve"> </w:t>
      </w:r>
      <w:r w:rsidRPr="0046796A" w:rsidR="007C732F">
        <w:rPr>
          <w:rFonts w:ascii="Century Schoolbook" w:hAnsi="Century Schoolbook"/>
        </w:rPr>
        <w:t xml:space="preserve">The court concludes </w:t>
      </w:r>
      <w:r w:rsidRPr="0046796A" w:rsidR="00433452">
        <w:rPr>
          <w:rFonts w:ascii="Century Schoolbook" w:hAnsi="Century Schoolbook"/>
        </w:rPr>
        <w:t xml:space="preserve">that </w:t>
      </w:r>
      <w:r w:rsidRPr="0046796A" w:rsidR="007C732F">
        <w:rPr>
          <w:rFonts w:ascii="Century Schoolbook" w:hAnsi="Century Schoolbook"/>
        </w:rPr>
        <w:t xml:space="preserve">Measure A (2020)’s imposition of a higher tax rate on improved properties </w:t>
      </w:r>
      <w:r w:rsidRPr="0046796A" w:rsidR="007C732F">
        <w:rPr>
          <w:rFonts w:ascii="Century Schoolbook" w:hAnsi="Century Schoolbook"/>
          <w:i/>
        </w:rPr>
        <w:t xml:space="preserve">under </w:t>
      </w:r>
      <w:r w:rsidRPr="0046796A" w:rsidR="007C732F">
        <w:rPr>
          <w:rFonts w:ascii="Century Schoolbook" w:hAnsi="Century Schoolbook"/>
        </w:rPr>
        <w:t xml:space="preserve">30,184.91 square feet than that imposed on improved properties </w:t>
      </w:r>
      <w:r w:rsidRPr="0046796A" w:rsidR="00791FCC">
        <w:rPr>
          <w:rFonts w:ascii="Century Schoolbook" w:hAnsi="Century Schoolbook"/>
        </w:rPr>
        <w:t xml:space="preserve">with 30,184.91 square feet </w:t>
      </w:r>
      <w:r w:rsidRPr="0046796A" w:rsidR="007C732F">
        <w:rPr>
          <w:rFonts w:ascii="Century Schoolbook" w:hAnsi="Century Schoolbook"/>
          <w:i/>
        </w:rPr>
        <w:t xml:space="preserve">or more </w:t>
      </w:r>
      <w:r w:rsidRPr="0046796A" w:rsidR="007C732F">
        <w:rPr>
          <w:rFonts w:ascii="Century Schoolbook" w:hAnsi="Century Schoolbook"/>
        </w:rPr>
        <w:t xml:space="preserve">exceeds defendant’s taxing authority under section 50079 and as such is invalid.” </w:t>
      </w:r>
      <w:r w:rsidRPr="0046796A" w:rsidR="007C732F">
        <w:rPr>
          <w:rFonts w:ascii="Century Schoolbook" w:hAnsi="Century Schoolbook"/>
          <w:b/>
          <w:bCs/>
        </w:rPr>
        <w:t xml:space="preserve"> </w:t>
      </w:r>
      <w:r w:rsidRPr="0046796A" w:rsidR="008D52E6">
        <w:rPr>
          <w:rFonts w:ascii="Century Schoolbook" w:hAnsi="Century Schoolbook"/>
        </w:rPr>
        <w:t xml:space="preserve">The court declared </w:t>
      </w:r>
      <w:r w:rsidRPr="0046796A">
        <w:rPr>
          <w:rFonts w:ascii="Century Schoolbook" w:hAnsi="Century Schoolbook"/>
        </w:rPr>
        <w:t xml:space="preserve">Measure A (2020) </w:t>
      </w:r>
      <w:r w:rsidRPr="0046796A" w:rsidR="008D52E6">
        <w:rPr>
          <w:rFonts w:ascii="Century Schoolbook" w:hAnsi="Century Schoolbook"/>
        </w:rPr>
        <w:t xml:space="preserve">“invalid </w:t>
      </w:r>
      <w:r w:rsidRPr="0046796A">
        <w:rPr>
          <w:rFonts w:ascii="Century Schoolbook" w:hAnsi="Century Schoolbook"/>
        </w:rPr>
        <w:t xml:space="preserve">in its entirety except for the $299 flat tax on unimproved property.” </w:t>
      </w:r>
      <w:r w:rsidRPr="0046796A" w:rsidR="005D6D1E">
        <w:rPr>
          <w:rFonts w:ascii="Century Schoolbook" w:hAnsi="Century Schoolbook"/>
        </w:rPr>
        <w:t xml:space="preserve"> </w:t>
      </w:r>
      <w:r w:rsidRPr="0046796A" w:rsidR="00D52814">
        <w:rPr>
          <w:rFonts w:ascii="Century Schoolbook" w:hAnsi="Century Schoolbook"/>
        </w:rPr>
        <w:t xml:space="preserve">The District </w:t>
      </w:r>
      <w:r w:rsidRPr="0046796A" w:rsidR="00873FAE">
        <w:rPr>
          <w:rFonts w:ascii="Century Schoolbook" w:hAnsi="Century Schoolbook"/>
        </w:rPr>
        <w:t xml:space="preserve">timely </w:t>
      </w:r>
      <w:r w:rsidRPr="0046796A" w:rsidR="00D52814">
        <w:rPr>
          <w:rFonts w:ascii="Century Schoolbook" w:hAnsi="Century Schoolbook"/>
        </w:rPr>
        <w:t xml:space="preserve">appealed </w:t>
      </w:r>
      <w:r w:rsidRPr="0046796A" w:rsidR="007C732F">
        <w:rPr>
          <w:rFonts w:ascii="Century Schoolbook" w:hAnsi="Century Schoolbook"/>
        </w:rPr>
        <w:t xml:space="preserve">from the judgment </w:t>
      </w:r>
      <w:r w:rsidRPr="0046796A" w:rsidR="00D52814">
        <w:rPr>
          <w:rFonts w:ascii="Century Schoolbook" w:hAnsi="Century Schoolbook"/>
        </w:rPr>
        <w:t xml:space="preserve">(appeal number A164935).  </w:t>
      </w:r>
    </w:p>
    <w:p w:rsidR="00446E16" w:rsidRPr="0046796A" w:rsidP="007853CD" w14:paraId="49999D60" w14:textId="4573DCDC">
      <w:pPr>
        <w:pStyle w:val="BodyText"/>
        <w:widowControl/>
        <w:spacing w:line="360" w:lineRule="auto"/>
        <w:ind w:left="0"/>
        <w:rPr>
          <w:rFonts w:ascii="Century Schoolbook" w:hAnsi="Century Schoolbook"/>
        </w:rPr>
      </w:pPr>
      <w:r w:rsidRPr="0046796A">
        <w:rPr>
          <w:rFonts w:ascii="Century Schoolbook" w:hAnsi="Century Schoolbook"/>
        </w:rPr>
        <w:tab/>
        <w:t xml:space="preserve">The trial court </w:t>
      </w:r>
      <w:r w:rsidRPr="0046796A" w:rsidR="005C4E20">
        <w:rPr>
          <w:rFonts w:ascii="Century Schoolbook" w:hAnsi="Century Schoolbook"/>
        </w:rPr>
        <w:t xml:space="preserve">thereafter </w:t>
      </w:r>
      <w:r w:rsidRPr="0046796A">
        <w:rPr>
          <w:rFonts w:ascii="Century Schoolbook" w:hAnsi="Century Schoolbook"/>
        </w:rPr>
        <w:t>awarded Tra</w:t>
      </w:r>
      <w:r w:rsidRPr="0046796A" w:rsidR="000E7F83">
        <w:rPr>
          <w:rFonts w:ascii="Century Schoolbook" w:hAnsi="Century Schoolbook"/>
        </w:rPr>
        <w:t xml:space="preserve">iman </w:t>
      </w:r>
      <w:r w:rsidRPr="0046796A">
        <w:rPr>
          <w:rFonts w:ascii="Century Schoolbook" w:hAnsi="Century Schoolbook"/>
        </w:rPr>
        <w:t>$</w:t>
      </w:r>
      <w:r w:rsidRPr="0046796A" w:rsidR="00432FCF">
        <w:rPr>
          <w:rFonts w:ascii="Century Schoolbook" w:hAnsi="Century Schoolbook"/>
        </w:rPr>
        <w:t xml:space="preserve">374,960 </w:t>
      </w:r>
      <w:r w:rsidRPr="0046796A">
        <w:rPr>
          <w:rFonts w:ascii="Century Schoolbook" w:hAnsi="Century Schoolbook"/>
        </w:rPr>
        <w:t>in attorney fees</w:t>
      </w:r>
      <w:r w:rsidRPr="0046796A" w:rsidR="00432FCF">
        <w:rPr>
          <w:rFonts w:ascii="Century Schoolbook" w:hAnsi="Century Schoolbook"/>
        </w:rPr>
        <w:t xml:space="preserve"> as the successful party under Code of Civil Procedure section 1021.5</w:t>
      </w:r>
      <w:r w:rsidRPr="0046796A">
        <w:rPr>
          <w:rFonts w:ascii="Century Schoolbook" w:hAnsi="Century Schoolbook"/>
        </w:rPr>
        <w:t xml:space="preserve">.  The District </w:t>
      </w:r>
      <w:r w:rsidRPr="0046796A" w:rsidR="00873FAE">
        <w:rPr>
          <w:rFonts w:ascii="Century Schoolbook" w:hAnsi="Century Schoolbook"/>
        </w:rPr>
        <w:t xml:space="preserve">timely </w:t>
      </w:r>
      <w:r w:rsidRPr="0046796A">
        <w:rPr>
          <w:rFonts w:ascii="Century Schoolbook" w:hAnsi="Century Schoolbook"/>
        </w:rPr>
        <w:t xml:space="preserve">appealed </w:t>
      </w:r>
      <w:r w:rsidRPr="0046796A" w:rsidR="005C4E20">
        <w:rPr>
          <w:rFonts w:ascii="Century Schoolbook" w:hAnsi="Century Schoolbook"/>
        </w:rPr>
        <w:t xml:space="preserve">this order as well </w:t>
      </w:r>
      <w:r w:rsidRPr="0046796A">
        <w:rPr>
          <w:rFonts w:ascii="Century Schoolbook" w:hAnsi="Century Schoolbook"/>
        </w:rPr>
        <w:t>(appeal number A166022).</w:t>
      </w:r>
      <w:r w:rsidRPr="0046796A" w:rsidR="005C4E20">
        <w:rPr>
          <w:rFonts w:ascii="Century Schoolbook" w:hAnsi="Century Schoolbook"/>
        </w:rPr>
        <w:t xml:space="preserve">  </w:t>
      </w:r>
      <w:r w:rsidRPr="0046796A">
        <w:rPr>
          <w:rFonts w:ascii="Century Schoolbook" w:hAnsi="Century Schoolbook"/>
        </w:rPr>
        <w:t>We consolidated appeal numbers A164935 and A166022.</w:t>
      </w:r>
    </w:p>
    <w:p w:rsidR="00093043" w:rsidRPr="0046796A" w:rsidP="007C732F" w14:paraId="67F910D2" w14:textId="435DC95D">
      <w:pPr>
        <w:pStyle w:val="BodyText"/>
        <w:widowControl/>
        <w:spacing w:line="360" w:lineRule="auto"/>
        <w:ind w:left="0"/>
        <w:jc w:val="center"/>
        <w:rPr>
          <w:rFonts w:ascii="Century Schoolbook" w:hAnsi="Century Schoolbook"/>
        </w:rPr>
      </w:pPr>
      <w:r w:rsidRPr="0046796A">
        <w:rPr>
          <w:rFonts w:ascii="Century Schoolbook" w:hAnsi="Century Schoolbook"/>
        </w:rPr>
        <w:t xml:space="preserve">II.  </w:t>
      </w:r>
      <w:r w:rsidRPr="0046796A">
        <w:rPr>
          <w:rFonts w:ascii="Century Schoolbook" w:hAnsi="Century Schoolbook"/>
          <w:u w:val="single"/>
        </w:rPr>
        <w:t>DISCUSSION</w:t>
      </w:r>
    </w:p>
    <w:p w:rsidR="00740697" w:rsidRPr="0046796A" w:rsidP="007853CD" w14:paraId="59EFC060" w14:textId="01F2E85C">
      <w:pPr>
        <w:pStyle w:val="BodyText"/>
        <w:widowControl/>
        <w:spacing w:line="360" w:lineRule="auto"/>
        <w:ind w:left="0"/>
        <w:rPr>
          <w:rFonts w:ascii="Century Schoolbook" w:hAnsi="Century Schoolbook"/>
        </w:rPr>
      </w:pPr>
      <w:bookmarkStart w:id="4" w:name="_TOC_250005"/>
      <w:bookmarkEnd w:id="4"/>
      <w:r w:rsidRPr="0046796A">
        <w:rPr>
          <w:rFonts w:ascii="Century Schoolbook" w:hAnsi="Century Schoolbook"/>
          <w:b/>
        </w:rPr>
        <w:tab/>
      </w:r>
      <w:r w:rsidRPr="0046796A" w:rsidR="00A31188">
        <w:rPr>
          <w:rFonts w:ascii="Century Schoolbook" w:hAnsi="Century Schoolbook"/>
        </w:rPr>
        <w:t xml:space="preserve">The trial court ruled that the </w:t>
      </w:r>
      <w:r w:rsidRPr="0046796A" w:rsidR="007853CD">
        <w:rPr>
          <w:rFonts w:ascii="Century Schoolbook" w:hAnsi="Century Schoolbook"/>
        </w:rPr>
        <w:t xml:space="preserve">application </w:t>
      </w:r>
      <w:r w:rsidRPr="0046796A">
        <w:rPr>
          <w:rFonts w:ascii="Century Schoolbook" w:hAnsi="Century Schoolbook"/>
        </w:rPr>
        <w:t xml:space="preserve">of </w:t>
      </w:r>
      <w:r w:rsidRPr="0046796A" w:rsidR="00A31188">
        <w:rPr>
          <w:rFonts w:ascii="Century Schoolbook" w:hAnsi="Century Schoolbook"/>
        </w:rPr>
        <w:t xml:space="preserve">the Measure A (2020) tax </w:t>
      </w:r>
      <w:r w:rsidRPr="0046796A" w:rsidR="005F150A">
        <w:rPr>
          <w:rFonts w:ascii="Century Schoolbook" w:hAnsi="Century Schoolbook"/>
        </w:rPr>
        <w:t xml:space="preserve">to improved parcels at </w:t>
      </w:r>
      <w:r w:rsidRPr="0046796A" w:rsidR="007853CD">
        <w:rPr>
          <w:rFonts w:ascii="Century Schoolbook" w:hAnsi="Century Schoolbook"/>
        </w:rPr>
        <w:t xml:space="preserve">“the rate of $0.265 per building per square foot not to exceed $7,999 per parcel” violates </w:t>
      </w:r>
      <w:r w:rsidRPr="0046796A" w:rsidR="00A31188">
        <w:rPr>
          <w:rFonts w:ascii="Century Schoolbook" w:hAnsi="Century Schoolbook"/>
        </w:rPr>
        <w:t xml:space="preserve">the requirement in </w:t>
      </w:r>
      <w:r w:rsidRPr="0046796A" w:rsidR="00B65C71">
        <w:rPr>
          <w:rFonts w:ascii="Century Schoolbook" w:hAnsi="Century Schoolbook"/>
        </w:rPr>
        <w:t>s</w:t>
      </w:r>
      <w:r w:rsidRPr="0046796A" w:rsidR="007853CD">
        <w:rPr>
          <w:rFonts w:ascii="Century Schoolbook" w:hAnsi="Century Schoolbook"/>
        </w:rPr>
        <w:t>ection 50079</w:t>
      </w:r>
      <w:r w:rsidRPr="0046796A" w:rsidR="00A31188">
        <w:rPr>
          <w:rFonts w:ascii="Century Schoolbook" w:hAnsi="Century Schoolbook"/>
        </w:rPr>
        <w:t xml:space="preserve"> that </w:t>
      </w:r>
      <w:r w:rsidRPr="0046796A" w:rsidR="00CE4B56">
        <w:rPr>
          <w:rFonts w:ascii="Century Schoolbook" w:hAnsi="Century Schoolbook"/>
        </w:rPr>
        <w:t xml:space="preserve">qualified special </w:t>
      </w:r>
      <w:r w:rsidRPr="0046796A" w:rsidR="007853CD">
        <w:rPr>
          <w:rFonts w:ascii="Century Schoolbook" w:hAnsi="Century Schoolbook"/>
        </w:rPr>
        <w:t>taxes “apply uniformly</w:t>
      </w:r>
      <w:r w:rsidRPr="0046796A" w:rsidR="00B65C71">
        <w:rPr>
          <w:rFonts w:ascii="Century Schoolbook" w:hAnsi="Century Schoolbook"/>
        </w:rPr>
        <w:t>.</w:t>
      </w:r>
      <w:r w:rsidRPr="0046796A" w:rsidR="007853CD">
        <w:rPr>
          <w:rFonts w:ascii="Century Schoolbook" w:hAnsi="Century Schoolbook"/>
        </w:rPr>
        <w:t>”</w:t>
      </w:r>
      <w:r w:rsidRPr="0046796A" w:rsidR="00A31188">
        <w:rPr>
          <w:rFonts w:ascii="Century Schoolbook" w:hAnsi="Century Schoolbook"/>
        </w:rPr>
        <w:t xml:space="preserve">  The District contends the court erred</w:t>
      </w:r>
      <w:r w:rsidRPr="0046796A" w:rsidR="005E77B4">
        <w:rPr>
          <w:rFonts w:ascii="Century Schoolbook" w:hAnsi="Century Schoolbook"/>
        </w:rPr>
        <w:t xml:space="preserve">, because the </w:t>
      </w:r>
      <w:r w:rsidRPr="0046796A" w:rsidR="00AC1EBE">
        <w:rPr>
          <w:rFonts w:ascii="Century Schoolbook" w:hAnsi="Century Schoolbook"/>
        </w:rPr>
        <w:t xml:space="preserve">same </w:t>
      </w:r>
      <w:r w:rsidRPr="0046796A" w:rsidR="005E77B4">
        <w:rPr>
          <w:rFonts w:ascii="Century Schoolbook" w:hAnsi="Century Schoolbook"/>
        </w:rPr>
        <w:t>tax formula is imposed on every nonexempt taxpayer and as to every improved property in the District</w:t>
      </w:r>
      <w:r w:rsidRPr="0046796A" w:rsidR="00A31188">
        <w:rPr>
          <w:rFonts w:ascii="Century Schoolbook" w:hAnsi="Century Schoolbook"/>
        </w:rPr>
        <w:t>.</w:t>
      </w:r>
    </w:p>
    <w:p w:rsidR="00B457DF" w:rsidRPr="0046796A" w:rsidP="00DD5617" w14:paraId="299D3808" w14:textId="5836FD7F">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740697">
        <w:rPr>
          <w:rFonts w:ascii="Century Schoolbook" w:hAnsi="Century Schoolbook"/>
        </w:rPr>
        <w:t xml:space="preserve">To decide the </w:t>
      </w:r>
      <w:r w:rsidRPr="0046796A" w:rsidR="00A31188">
        <w:rPr>
          <w:rFonts w:ascii="Century Schoolbook" w:hAnsi="Century Schoolbook"/>
        </w:rPr>
        <w:t xml:space="preserve">issue, </w:t>
      </w:r>
      <w:r w:rsidRPr="0046796A" w:rsidR="00740697">
        <w:rPr>
          <w:rFonts w:ascii="Century Schoolbook" w:hAnsi="Century Schoolbook"/>
        </w:rPr>
        <w:t xml:space="preserve">we </w:t>
      </w:r>
      <w:r w:rsidRPr="0046796A" w:rsidR="005E77B4">
        <w:rPr>
          <w:rFonts w:ascii="Century Schoolbook" w:hAnsi="Century Schoolbook"/>
        </w:rPr>
        <w:t xml:space="preserve">construe the “apply uniformly” requirement using </w:t>
      </w:r>
      <w:r w:rsidRPr="0046796A">
        <w:rPr>
          <w:rFonts w:ascii="Century Schoolbook" w:hAnsi="Century Schoolbook"/>
        </w:rPr>
        <w:t>well-established canons of statutory construction.  We first examine the words of the statute because the statutory language is generally the most reliable indicator of the Legislature’s intent.  Unless indicated otherwise, we give the words their ordinary and usual meaning and construe them within their statutory context.  Where the plain, commonsense meaning of the statutory language is unambiguous, the plain meaning controls.  (</w:t>
      </w:r>
      <w:r w:rsidRPr="0046796A">
        <w:rPr>
          <w:rFonts w:ascii="Century Schoolbook" w:hAnsi="Century Schoolbook"/>
          <w:i/>
          <w:iCs/>
        </w:rPr>
        <w:t>Catlin v. Superior Court</w:t>
      </w:r>
      <w:r w:rsidRPr="0046796A">
        <w:rPr>
          <w:rFonts w:ascii="Century Schoolbook" w:hAnsi="Century Schoolbook"/>
        </w:rPr>
        <w:t xml:space="preserve"> (2011) 51 Cal.4th 300, 304.)</w:t>
      </w:r>
      <w:r w:rsidRPr="0046796A" w:rsidR="00AC1EBE">
        <w:rPr>
          <w:rFonts w:ascii="Century Schoolbook" w:hAnsi="Century Schoolbook"/>
        </w:rPr>
        <w:t xml:space="preserve">  Where the statutory language is ambiguous, we may consider other indicia of legislative intent, including </w:t>
      </w:r>
      <w:r w:rsidRPr="0046796A" w:rsidR="00873FAE">
        <w:rPr>
          <w:rFonts w:ascii="Century Schoolbook" w:hAnsi="Century Schoolbook"/>
        </w:rPr>
        <w:br/>
      </w:r>
      <w:r w:rsidRPr="0046796A" w:rsidR="00AC1EBE">
        <w:rPr>
          <w:rFonts w:ascii="Century Schoolbook" w:hAnsi="Century Schoolbook"/>
        </w:rPr>
        <w:t>“ ‘the ostensible objects to be achieved, the evils to be remedied, the legislative history, [and] public policy . . . .’ ”  (</w:t>
      </w:r>
      <w:r w:rsidRPr="0046796A" w:rsidR="00AC1EBE">
        <w:rPr>
          <w:rFonts w:ascii="Century Schoolbook" w:hAnsi="Century Schoolbook"/>
          <w:i/>
          <w:iCs/>
        </w:rPr>
        <w:t xml:space="preserve">Big Creek Lumber Co. v. County of Santa Cruz </w:t>
      </w:r>
      <w:r w:rsidRPr="0046796A" w:rsidR="00AC1EBE">
        <w:rPr>
          <w:rFonts w:ascii="Century Schoolbook" w:hAnsi="Century Schoolbook"/>
        </w:rPr>
        <w:t>(2006) 38 Cal.4th 1139, 1153.)</w:t>
      </w:r>
    </w:p>
    <w:p w:rsidR="00530970" w:rsidRPr="0046796A" w:rsidP="00FC09AA" w14:paraId="4B305F64" w14:textId="20A9548B">
      <w:pPr>
        <w:pStyle w:val="BodyText"/>
        <w:widowControl/>
        <w:spacing w:line="360" w:lineRule="auto"/>
        <w:ind w:left="0" w:firstLine="720"/>
        <w:rPr>
          <w:rFonts w:ascii="Century Schoolbook" w:hAnsi="Century Schoolbook"/>
        </w:rPr>
      </w:pPr>
      <w:r w:rsidRPr="0046796A">
        <w:rPr>
          <w:rFonts w:ascii="Century Schoolbook" w:hAnsi="Century Schoolbook"/>
        </w:rPr>
        <w:t xml:space="preserve">Applying these canons, we find that </w:t>
      </w:r>
      <w:r w:rsidRPr="0046796A" w:rsidR="007162EA">
        <w:rPr>
          <w:rFonts w:ascii="Century Schoolbook" w:hAnsi="Century Schoolbook"/>
        </w:rPr>
        <w:t xml:space="preserve">that </w:t>
      </w:r>
      <w:r w:rsidRPr="0046796A">
        <w:rPr>
          <w:rFonts w:ascii="Century Schoolbook" w:hAnsi="Century Schoolbook"/>
        </w:rPr>
        <w:t>the Measure A (2020) tax is applied “uniformly” as understood in section 50079.  We therefore reverse the judgment</w:t>
      </w:r>
      <w:r w:rsidRPr="0046796A" w:rsidR="00FC09AA">
        <w:rPr>
          <w:rFonts w:ascii="Century Schoolbook" w:hAnsi="Century Schoolbook"/>
        </w:rPr>
        <w:t xml:space="preserve">, including </w:t>
      </w:r>
      <w:r w:rsidRPr="0046796A">
        <w:rPr>
          <w:rFonts w:ascii="Century Schoolbook" w:hAnsi="Century Schoolbook"/>
        </w:rPr>
        <w:t>the award of attorney fees.</w:t>
      </w:r>
    </w:p>
    <w:p w:rsidR="00184D53" w:rsidRPr="0046796A" w:rsidP="007853CD" w14:paraId="35AEEE4B" w14:textId="1AC846B8">
      <w:pPr>
        <w:pStyle w:val="BodyText"/>
        <w:widowControl/>
        <w:spacing w:line="360" w:lineRule="auto"/>
        <w:ind w:left="0"/>
        <w:rPr>
          <w:rFonts w:ascii="Century Schoolbook" w:hAnsi="Century Schoolbook"/>
          <w:iCs/>
        </w:rPr>
      </w:pPr>
      <w:r w:rsidRPr="0046796A">
        <w:rPr>
          <w:rFonts w:ascii="Century Schoolbook" w:hAnsi="Century Schoolbook"/>
          <w:iCs/>
        </w:rPr>
        <w:tab/>
      </w:r>
      <w:r w:rsidRPr="0046796A" w:rsidR="007A5E41">
        <w:rPr>
          <w:rFonts w:ascii="Century Schoolbook" w:hAnsi="Century Schoolbook"/>
          <w:iCs/>
        </w:rPr>
        <w:t>A.</w:t>
      </w:r>
      <w:r w:rsidRPr="0046796A">
        <w:rPr>
          <w:rFonts w:ascii="Century Schoolbook" w:hAnsi="Century Schoolbook"/>
          <w:iCs/>
        </w:rPr>
        <w:t xml:space="preserve">  </w:t>
      </w:r>
      <w:r w:rsidRPr="0046796A">
        <w:rPr>
          <w:rFonts w:ascii="Century Schoolbook" w:hAnsi="Century Schoolbook"/>
          <w:iCs/>
          <w:u w:val="single"/>
        </w:rPr>
        <w:t>Section 50079</w:t>
      </w:r>
    </w:p>
    <w:p w:rsidR="00AC7489" w:rsidRPr="0046796A" w:rsidP="00DB7EB1" w14:paraId="734BCD07" w14:textId="2D2FDB55">
      <w:pPr>
        <w:pStyle w:val="BodyText"/>
        <w:widowControl/>
        <w:spacing w:line="360" w:lineRule="auto"/>
        <w:ind w:left="0"/>
        <w:rPr>
          <w:rFonts w:ascii="Century Schoolbook" w:hAnsi="Century Schoolbook"/>
        </w:rPr>
      </w:pPr>
      <w:r w:rsidRPr="0046796A">
        <w:rPr>
          <w:rFonts w:ascii="Century Schoolbook" w:hAnsi="Century Schoolbook"/>
          <w:iCs/>
        </w:rPr>
        <w:tab/>
      </w:r>
      <w:r w:rsidRPr="0046796A" w:rsidR="00DB7EB1">
        <w:rPr>
          <w:rFonts w:ascii="Century Schoolbook" w:hAnsi="Century Schoolbook"/>
          <w:iCs/>
        </w:rPr>
        <w:t>Currently</w:t>
      </w:r>
      <w:r w:rsidRPr="0046796A" w:rsidR="00CE4B56">
        <w:rPr>
          <w:rFonts w:ascii="Century Schoolbook" w:hAnsi="Century Schoolbook"/>
          <w:iCs/>
        </w:rPr>
        <w:t xml:space="preserve"> (</w:t>
      </w:r>
      <w:r w:rsidRPr="0046796A" w:rsidR="00DB7EB1">
        <w:rPr>
          <w:rFonts w:ascii="Century Schoolbook" w:hAnsi="Century Schoolbook"/>
          <w:iCs/>
        </w:rPr>
        <w:t xml:space="preserve">and </w:t>
      </w:r>
      <w:r w:rsidRPr="0046796A" w:rsidR="00AC1EBE">
        <w:rPr>
          <w:rFonts w:ascii="Century Schoolbook" w:hAnsi="Century Schoolbook"/>
          <w:iCs/>
        </w:rPr>
        <w:t>at</w:t>
      </w:r>
      <w:r w:rsidRPr="0046796A" w:rsidR="00DB7EB1">
        <w:rPr>
          <w:rFonts w:ascii="Century Schoolbook" w:hAnsi="Century Schoolbook"/>
          <w:iCs/>
        </w:rPr>
        <w:t xml:space="preserve"> the time Measure A </w:t>
      </w:r>
      <w:r w:rsidRPr="0046796A" w:rsidR="004C212C">
        <w:rPr>
          <w:rFonts w:ascii="Century Schoolbook" w:hAnsi="Century Schoolbook"/>
          <w:iCs/>
        </w:rPr>
        <w:t xml:space="preserve">(2020) </w:t>
      </w:r>
      <w:r w:rsidRPr="0046796A" w:rsidR="00184F7F">
        <w:rPr>
          <w:rFonts w:ascii="Century Schoolbook" w:hAnsi="Century Schoolbook"/>
          <w:iCs/>
        </w:rPr>
        <w:t xml:space="preserve">was enacted </w:t>
      </w:r>
      <w:r w:rsidRPr="0046796A" w:rsidR="00DB7EB1">
        <w:rPr>
          <w:rFonts w:ascii="Century Schoolbook" w:hAnsi="Century Schoolbook"/>
          <w:iCs/>
        </w:rPr>
        <w:t xml:space="preserve">and the trial </w:t>
      </w:r>
      <w:r w:rsidRPr="0046796A" w:rsidR="00184F7F">
        <w:rPr>
          <w:rFonts w:ascii="Century Schoolbook" w:hAnsi="Century Schoolbook"/>
          <w:iCs/>
        </w:rPr>
        <w:t xml:space="preserve">court </w:t>
      </w:r>
      <w:r w:rsidRPr="0046796A" w:rsidR="004C212C">
        <w:rPr>
          <w:rFonts w:ascii="Century Schoolbook" w:hAnsi="Century Schoolbook"/>
          <w:iCs/>
        </w:rPr>
        <w:t>ruled</w:t>
      </w:r>
      <w:r w:rsidRPr="0046796A" w:rsidR="00CE4B56">
        <w:rPr>
          <w:rFonts w:ascii="Century Schoolbook" w:hAnsi="Century Schoolbook"/>
          <w:iCs/>
        </w:rPr>
        <w:t>)</w:t>
      </w:r>
      <w:r w:rsidRPr="0046796A" w:rsidR="00184F7F">
        <w:rPr>
          <w:rFonts w:ascii="Century Schoolbook" w:hAnsi="Century Schoolbook"/>
          <w:iCs/>
        </w:rPr>
        <w:t xml:space="preserve">, </w:t>
      </w:r>
      <w:r w:rsidRPr="0046796A" w:rsidR="000E0C25">
        <w:rPr>
          <w:rFonts w:ascii="Century Schoolbook" w:hAnsi="Century Schoolbook"/>
          <w:iCs/>
        </w:rPr>
        <w:t xml:space="preserve">the statute </w:t>
      </w:r>
      <w:r w:rsidRPr="0046796A">
        <w:rPr>
          <w:rFonts w:ascii="Century Schoolbook" w:hAnsi="Century Schoolbook"/>
          <w:iCs/>
        </w:rPr>
        <w:t>reads</w:t>
      </w:r>
      <w:r w:rsidRPr="0046796A" w:rsidR="00DB7EB1">
        <w:rPr>
          <w:rFonts w:ascii="Century Schoolbook" w:hAnsi="Century Schoolbook"/>
          <w:iCs/>
        </w:rPr>
        <w:t>:</w:t>
      </w:r>
      <w:r w:rsidRPr="0046796A" w:rsidR="00184F7F">
        <w:rPr>
          <w:rFonts w:ascii="Century Schoolbook" w:hAnsi="Century Schoolbook"/>
          <w:iCs/>
        </w:rPr>
        <w:t xml:space="preserve">  </w:t>
      </w:r>
      <w:r w:rsidRPr="0046796A" w:rsidR="00DB7EB1">
        <w:rPr>
          <w:rFonts w:ascii="Century Schoolbook" w:hAnsi="Century Schoolbook"/>
        </w:rPr>
        <w:t xml:space="preserve">“Subject to Section 4 of Article XIII A of the California Constitution, any school district may impose </w:t>
      </w:r>
      <w:r w:rsidRPr="0046796A" w:rsidR="00DB7EB1">
        <w:rPr>
          <w:rFonts w:ascii="Century Schoolbook" w:hAnsi="Century Schoolbook"/>
          <w:i/>
          <w:iCs/>
        </w:rPr>
        <w:t>qualified special taxes</w:t>
      </w:r>
      <w:r w:rsidRPr="0046796A" w:rsidR="00DB7EB1">
        <w:rPr>
          <w:rFonts w:ascii="Century Schoolbook" w:hAnsi="Century Schoolbook"/>
        </w:rPr>
        <w:t xml:space="preserve"> within the district pursuant to the procedures established in Article 3.5 (commencing with Section 50075) and any other applicable procedures provided by law.”  (</w:t>
      </w:r>
      <w:r w:rsidRPr="0046796A" w:rsidR="00740697">
        <w:rPr>
          <w:rFonts w:ascii="Century Schoolbook" w:hAnsi="Century Schoolbook"/>
        </w:rPr>
        <w:t xml:space="preserve">§ </w:t>
      </w:r>
      <w:r w:rsidRPr="0046796A" w:rsidR="00DB7EB1">
        <w:rPr>
          <w:rFonts w:ascii="Century Schoolbook" w:hAnsi="Century Schoolbook"/>
        </w:rPr>
        <w:t>50079, subd. (a</w:t>
      </w:r>
      <w:r w:rsidRPr="0046796A" w:rsidR="00873FAE">
        <w:rPr>
          <w:rFonts w:ascii="Century Schoolbook" w:hAnsi="Century Schoolbook"/>
        </w:rPr>
        <w:t>), i</w:t>
      </w:r>
      <w:r w:rsidRPr="0046796A" w:rsidR="006F35C8">
        <w:rPr>
          <w:rFonts w:ascii="Century Schoolbook" w:hAnsi="Century Schoolbook"/>
        </w:rPr>
        <w:t xml:space="preserve">talics added.)  </w:t>
      </w:r>
    </w:p>
    <w:p w:rsidR="000E0C25" w:rsidRPr="0046796A" w:rsidP="005F150A" w14:paraId="19919D04" w14:textId="38A65BA9">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DB7EB1">
        <w:rPr>
          <w:rFonts w:ascii="Century Schoolbook" w:hAnsi="Century Schoolbook"/>
        </w:rPr>
        <w:t>“ ‘</w:t>
      </w:r>
      <w:r w:rsidRPr="0046796A" w:rsidR="00740697">
        <w:rPr>
          <w:rFonts w:ascii="Century Schoolbook" w:hAnsi="Century Schoolbook"/>
        </w:rPr>
        <w:t>[Q]</w:t>
      </w:r>
      <w:r w:rsidRPr="0046796A" w:rsidR="00DB7EB1">
        <w:rPr>
          <w:rFonts w:ascii="Century Schoolbook" w:hAnsi="Century Schoolbook"/>
        </w:rPr>
        <w:t xml:space="preserve">ualified special taxes’ ” </w:t>
      </w:r>
      <w:r w:rsidRPr="0046796A" w:rsidR="00CE4B56">
        <w:rPr>
          <w:rFonts w:ascii="Century Schoolbook" w:hAnsi="Century Schoolbook"/>
        </w:rPr>
        <w:t xml:space="preserve">are </w:t>
      </w:r>
      <w:r w:rsidRPr="0046796A" w:rsidR="005F150A">
        <w:rPr>
          <w:rFonts w:ascii="Century Schoolbook" w:hAnsi="Century Schoolbook"/>
        </w:rPr>
        <w:t xml:space="preserve">defined in subdivision (b)(1) of </w:t>
      </w:r>
      <w:r w:rsidRPr="0046796A" w:rsidR="00740697">
        <w:rPr>
          <w:rFonts w:ascii="Century Schoolbook" w:hAnsi="Century Schoolbook"/>
        </w:rPr>
        <w:t xml:space="preserve">section 50079 </w:t>
      </w:r>
      <w:r w:rsidRPr="0046796A" w:rsidR="005F150A">
        <w:rPr>
          <w:rFonts w:ascii="Century Schoolbook" w:hAnsi="Century Schoolbook"/>
        </w:rPr>
        <w:t xml:space="preserve">as </w:t>
      </w:r>
      <w:r w:rsidRPr="0046796A" w:rsidR="006F35C8">
        <w:rPr>
          <w:rFonts w:ascii="Century Schoolbook" w:hAnsi="Century Schoolbook"/>
        </w:rPr>
        <w:t>“</w:t>
      </w:r>
      <w:r w:rsidRPr="0046796A" w:rsidR="00DB7EB1">
        <w:rPr>
          <w:rFonts w:ascii="Century Schoolbook" w:hAnsi="Century Schoolbook"/>
        </w:rPr>
        <w:t xml:space="preserve">special </w:t>
      </w:r>
      <w:r w:rsidRPr="0046796A" w:rsidR="00DB7EB1">
        <w:rPr>
          <w:rFonts w:ascii="Century Schoolbook" w:hAnsi="Century Schoolbook"/>
          <w:iCs/>
        </w:rPr>
        <w:t>taxes that</w:t>
      </w:r>
      <w:r w:rsidRPr="0046796A" w:rsidR="00DB7EB1">
        <w:rPr>
          <w:rFonts w:ascii="Century Schoolbook" w:hAnsi="Century Schoolbook"/>
          <w:i/>
        </w:rPr>
        <w:t xml:space="preserve"> apply uniformly </w:t>
      </w:r>
      <w:r w:rsidRPr="0046796A" w:rsidR="00DB7EB1">
        <w:rPr>
          <w:rFonts w:ascii="Century Schoolbook" w:hAnsi="Century Schoolbook"/>
        </w:rPr>
        <w:t>to all taxpayers or all real property within the school district, except that unimproved property may be taxed at a lower rate than improved property</w:t>
      </w:r>
      <w:r w:rsidRPr="0046796A" w:rsidR="0045522B">
        <w:rPr>
          <w:rFonts w:ascii="Century Schoolbook" w:hAnsi="Century Schoolbook"/>
        </w:rPr>
        <w:t>” and certain enumerated persons may be exempted</w:t>
      </w:r>
      <w:r w:rsidRPr="0046796A" w:rsidR="00DB7EB1">
        <w:rPr>
          <w:rFonts w:ascii="Century Schoolbook" w:hAnsi="Century Schoolbook"/>
        </w:rPr>
        <w:t>.  (</w:t>
      </w:r>
      <w:r w:rsidRPr="0046796A" w:rsidR="005F150A">
        <w:rPr>
          <w:rFonts w:ascii="Century Schoolbook" w:hAnsi="Century Schoolbook"/>
        </w:rPr>
        <w:t>Italics added.</w:t>
      </w:r>
      <w:r w:rsidRPr="0046796A" w:rsidR="00DB7EB1">
        <w:rPr>
          <w:rFonts w:ascii="Century Schoolbook" w:hAnsi="Century Schoolbook"/>
        </w:rPr>
        <w:t>)</w:t>
      </w:r>
      <w:r>
        <w:rPr>
          <w:rStyle w:val="FootnoteReference"/>
          <w:rFonts w:ascii="Century Schoolbook" w:hAnsi="Century Schoolbook"/>
        </w:rPr>
        <w:footnoteReference w:id="4"/>
      </w:r>
      <w:r w:rsidRPr="0046796A" w:rsidR="00DB7EB1">
        <w:rPr>
          <w:rFonts w:ascii="Century Schoolbook" w:hAnsi="Century Schoolbook"/>
        </w:rPr>
        <w:t xml:space="preserve">  </w:t>
      </w:r>
      <w:r w:rsidRPr="0046796A" w:rsidR="005F150A">
        <w:rPr>
          <w:rFonts w:ascii="Century Schoolbook" w:hAnsi="Century Schoolbook"/>
        </w:rPr>
        <w:t xml:space="preserve">Subdivision (b)(2) of the statute adds that </w:t>
      </w:r>
      <w:r w:rsidRPr="0046796A" w:rsidR="00DB7EB1">
        <w:rPr>
          <w:rFonts w:ascii="Century Schoolbook" w:hAnsi="Century Schoolbook"/>
        </w:rPr>
        <w:t>“ ‘</w:t>
      </w:r>
      <w:r w:rsidRPr="0046796A" w:rsidR="00740697">
        <w:rPr>
          <w:rFonts w:ascii="Century Schoolbook" w:hAnsi="Century Schoolbook"/>
        </w:rPr>
        <w:t>[q]</w:t>
      </w:r>
      <w:r w:rsidRPr="0046796A" w:rsidR="00DB7EB1">
        <w:rPr>
          <w:rFonts w:ascii="Century Schoolbook" w:hAnsi="Century Schoolbook"/>
        </w:rPr>
        <w:t xml:space="preserve">ualified special taxes’ do not include special taxes imposed on a </w:t>
      </w:r>
      <w:r w:rsidRPr="0046796A" w:rsidR="00DB7EB1">
        <w:rPr>
          <w:rFonts w:ascii="Century Schoolbook" w:hAnsi="Century Schoolbook"/>
          <w:i/>
          <w:iCs/>
        </w:rPr>
        <w:t>particular class</w:t>
      </w:r>
      <w:r w:rsidRPr="0046796A" w:rsidR="00DB7EB1">
        <w:rPr>
          <w:rFonts w:ascii="Century Schoolbook" w:hAnsi="Century Schoolbook"/>
        </w:rPr>
        <w:t xml:space="preserve"> of property or taxpayers.”  (</w:t>
      </w:r>
      <w:r w:rsidRPr="0046796A" w:rsidR="0045522B">
        <w:rPr>
          <w:rFonts w:ascii="Century Schoolbook" w:hAnsi="Century Schoolbook"/>
        </w:rPr>
        <w:t>Italics added.)</w:t>
      </w:r>
      <w:r w:rsidRPr="0046796A" w:rsidR="005F150A">
        <w:rPr>
          <w:rFonts w:ascii="Century Schoolbook" w:hAnsi="Century Schoolbook"/>
        </w:rPr>
        <w:t xml:space="preserve">  Taking these two subdivisions together, </w:t>
      </w:r>
      <w:r w:rsidRPr="0046796A" w:rsidR="00B10414">
        <w:rPr>
          <w:rFonts w:ascii="Century Schoolbook" w:hAnsi="Century Schoolbook"/>
        </w:rPr>
        <w:t xml:space="preserve">a </w:t>
      </w:r>
      <w:r w:rsidRPr="0046796A" w:rsidR="0045522B">
        <w:rPr>
          <w:rFonts w:ascii="Century Schoolbook" w:hAnsi="Century Schoolbook"/>
        </w:rPr>
        <w:t>qualified special tax</w:t>
      </w:r>
      <w:r w:rsidRPr="0046796A" w:rsidR="00B10414">
        <w:rPr>
          <w:rFonts w:ascii="Century Schoolbook" w:hAnsi="Century Schoolbook"/>
        </w:rPr>
        <w:t xml:space="preserve"> </w:t>
      </w:r>
      <w:r w:rsidRPr="0046796A">
        <w:rPr>
          <w:rFonts w:ascii="Century Schoolbook" w:hAnsi="Century Schoolbook"/>
        </w:rPr>
        <w:t xml:space="preserve">is </w:t>
      </w:r>
      <w:r w:rsidRPr="0046796A" w:rsidR="00B10414">
        <w:rPr>
          <w:rFonts w:ascii="Century Schoolbook" w:hAnsi="Century Schoolbook"/>
        </w:rPr>
        <w:t xml:space="preserve">one </w:t>
      </w:r>
      <w:r w:rsidRPr="0046796A" w:rsidR="0045522B">
        <w:rPr>
          <w:rFonts w:ascii="Century Schoolbook" w:hAnsi="Century Schoolbook"/>
        </w:rPr>
        <w:t xml:space="preserve">that </w:t>
      </w:r>
      <w:r w:rsidRPr="0046796A">
        <w:rPr>
          <w:rFonts w:ascii="Century Schoolbook" w:hAnsi="Century Schoolbook"/>
        </w:rPr>
        <w:t xml:space="preserve">“appl[ies] uniformly” to </w:t>
      </w:r>
      <w:r w:rsidRPr="0046796A" w:rsidR="0045522B">
        <w:rPr>
          <w:rFonts w:ascii="Century Schoolbook" w:hAnsi="Century Schoolbook"/>
        </w:rPr>
        <w:t xml:space="preserve">all taxpayers </w:t>
      </w:r>
      <w:r w:rsidRPr="0046796A" w:rsidR="00075452">
        <w:rPr>
          <w:rFonts w:ascii="Century Schoolbook" w:hAnsi="Century Schoolbook"/>
        </w:rPr>
        <w:t xml:space="preserve">or </w:t>
      </w:r>
      <w:r w:rsidRPr="0046796A" w:rsidR="006724DB">
        <w:rPr>
          <w:rFonts w:ascii="Century Schoolbook" w:hAnsi="Century Schoolbook"/>
        </w:rPr>
        <w:t xml:space="preserve">real </w:t>
      </w:r>
      <w:r w:rsidRPr="0046796A" w:rsidR="0045522B">
        <w:rPr>
          <w:rFonts w:ascii="Century Schoolbook" w:hAnsi="Century Schoolbook"/>
        </w:rPr>
        <w:t>property (with statutory exceptions)</w:t>
      </w:r>
      <w:r w:rsidRPr="0046796A">
        <w:rPr>
          <w:rFonts w:ascii="Century Schoolbook" w:hAnsi="Century Schoolbook"/>
        </w:rPr>
        <w:t>,</w:t>
      </w:r>
      <w:r w:rsidRPr="0046796A" w:rsidR="005F150A">
        <w:rPr>
          <w:rFonts w:ascii="Century Schoolbook" w:hAnsi="Century Schoolbook"/>
        </w:rPr>
        <w:t xml:space="preserve"> </w:t>
      </w:r>
      <w:r w:rsidRPr="0046796A" w:rsidR="00367875">
        <w:rPr>
          <w:rFonts w:ascii="Century Schoolbook" w:hAnsi="Century Schoolbook"/>
        </w:rPr>
        <w:t xml:space="preserve">without </w:t>
      </w:r>
      <w:r w:rsidRPr="0046796A" w:rsidR="005F150A">
        <w:rPr>
          <w:rFonts w:ascii="Century Schoolbook" w:hAnsi="Century Schoolbook"/>
        </w:rPr>
        <w:t xml:space="preserve">taxing </w:t>
      </w:r>
      <w:r w:rsidRPr="0046796A" w:rsidR="006724DB">
        <w:rPr>
          <w:rFonts w:ascii="Century Schoolbook" w:hAnsi="Century Schoolbook"/>
        </w:rPr>
        <w:t xml:space="preserve">only </w:t>
      </w:r>
      <w:r w:rsidRPr="0046796A" w:rsidR="005F150A">
        <w:rPr>
          <w:rFonts w:ascii="Century Schoolbook" w:hAnsi="Century Schoolbook"/>
        </w:rPr>
        <w:t xml:space="preserve">a specific </w:t>
      </w:r>
      <w:r w:rsidRPr="0046796A" w:rsidR="0045522B">
        <w:rPr>
          <w:rFonts w:ascii="Century Schoolbook" w:hAnsi="Century Schoolbook"/>
        </w:rPr>
        <w:t>class of property or taxpayer.</w:t>
      </w:r>
    </w:p>
    <w:p w:rsidR="000D47E6" w:rsidRPr="0046796A" w:rsidP="007853CD" w14:paraId="4BC158BF" w14:textId="410E79BE">
      <w:pPr>
        <w:pStyle w:val="BodyText"/>
        <w:widowControl/>
        <w:spacing w:line="360" w:lineRule="auto"/>
        <w:ind w:left="0"/>
        <w:rPr>
          <w:rFonts w:ascii="Century Schoolbook" w:hAnsi="Century Schoolbook"/>
          <w:iCs/>
        </w:rPr>
      </w:pPr>
      <w:r w:rsidRPr="0046796A">
        <w:rPr>
          <w:rFonts w:ascii="Century Schoolbook" w:hAnsi="Century Schoolbook"/>
          <w:iCs/>
        </w:rPr>
        <w:tab/>
      </w:r>
      <w:r w:rsidRPr="0046796A" w:rsidR="007A5E41">
        <w:rPr>
          <w:rFonts w:ascii="Century Schoolbook" w:hAnsi="Century Schoolbook"/>
          <w:iCs/>
        </w:rPr>
        <w:t>B.</w:t>
      </w:r>
      <w:r w:rsidRPr="0046796A">
        <w:rPr>
          <w:rFonts w:ascii="Century Schoolbook" w:hAnsi="Century Schoolbook"/>
          <w:iCs/>
        </w:rPr>
        <w:t xml:space="preserve">  </w:t>
      </w:r>
      <w:r w:rsidRPr="0046796A">
        <w:rPr>
          <w:rFonts w:ascii="Century Schoolbook" w:hAnsi="Century Schoolbook"/>
          <w:iCs/>
          <w:u w:val="single"/>
        </w:rPr>
        <w:t xml:space="preserve">Measure A </w:t>
      </w:r>
      <w:r w:rsidRPr="0046796A" w:rsidR="00AB3395">
        <w:rPr>
          <w:rFonts w:ascii="Century Schoolbook" w:hAnsi="Century Schoolbook"/>
          <w:iCs/>
          <w:u w:val="single"/>
        </w:rPr>
        <w:t xml:space="preserve">(2020) and </w:t>
      </w:r>
      <w:r w:rsidRPr="0046796A">
        <w:rPr>
          <w:rFonts w:ascii="Century Schoolbook" w:hAnsi="Century Schoolbook"/>
          <w:iCs/>
          <w:u w:val="single"/>
        </w:rPr>
        <w:t>the Plain Meaning of the Statute</w:t>
      </w:r>
    </w:p>
    <w:p w:rsidR="004C212C" w:rsidRPr="0046796A" w:rsidP="007853CD" w14:paraId="113E32F2" w14:textId="666D8596">
      <w:pPr>
        <w:pStyle w:val="BodyText"/>
        <w:widowControl/>
        <w:spacing w:line="360" w:lineRule="auto"/>
        <w:ind w:left="0"/>
        <w:rPr>
          <w:rFonts w:ascii="Century Schoolbook" w:hAnsi="Century Schoolbook"/>
          <w:iCs/>
        </w:rPr>
      </w:pPr>
      <w:r w:rsidRPr="0046796A">
        <w:rPr>
          <w:rFonts w:ascii="Century Schoolbook" w:hAnsi="Century Schoolbook"/>
          <w:iCs/>
        </w:rPr>
        <w:tab/>
      </w:r>
      <w:r w:rsidRPr="0046796A" w:rsidR="005E77B4">
        <w:rPr>
          <w:rFonts w:ascii="Century Schoolbook" w:hAnsi="Century Schoolbook"/>
          <w:iCs/>
        </w:rPr>
        <w:t>The common meaning of the word “apply,” as relevant here</w:t>
      </w:r>
      <w:r w:rsidRPr="0046796A" w:rsidR="00391550">
        <w:rPr>
          <w:rFonts w:ascii="Century Schoolbook" w:hAnsi="Century Schoolbook"/>
          <w:iCs/>
        </w:rPr>
        <w:t xml:space="preserve"> both now and </w:t>
      </w:r>
      <w:r w:rsidRPr="0046796A" w:rsidR="005815AB">
        <w:rPr>
          <w:rFonts w:ascii="Century Schoolbook" w:hAnsi="Century Schoolbook"/>
          <w:iCs/>
        </w:rPr>
        <w:t xml:space="preserve">when </w:t>
      </w:r>
      <w:r w:rsidRPr="0046796A" w:rsidR="00391550">
        <w:rPr>
          <w:rFonts w:ascii="Century Schoolbook" w:hAnsi="Century Schoolbook"/>
          <w:iCs/>
        </w:rPr>
        <w:t>section 50079 was enacted</w:t>
      </w:r>
      <w:r w:rsidRPr="0046796A" w:rsidR="005E77B4">
        <w:rPr>
          <w:rFonts w:ascii="Century Schoolbook" w:hAnsi="Century Schoolbook"/>
          <w:iCs/>
        </w:rPr>
        <w:t>, is to put to use</w:t>
      </w:r>
      <w:r w:rsidRPr="0046796A" w:rsidR="003B7E41">
        <w:rPr>
          <w:rFonts w:ascii="Century Schoolbook" w:hAnsi="Century Schoolbook"/>
          <w:iCs/>
        </w:rPr>
        <w:t xml:space="preserve"> or to have a practical bearing upon something.  (</w:t>
      </w:r>
      <w:r w:rsidRPr="0046796A" w:rsidR="00391550">
        <w:rPr>
          <w:rFonts w:ascii="Century Schoolbook" w:hAnsi="Century Schoolbook"/>
          <w:iCs/>
        </w:rPr>
        <w:t xml:space="preserve">See </w:t>
      </w:r>
      <w:r w:rsidRPr="0046796A" w:rsidR="003B7E41">
        <w:rPr>
          <w:rFonts w:ascii="Century Schoolbook" w:hAnsi="Century Schoolbook"/>
          <w:iCs/>
        </w:rPr>
        <w:t xml:space="preserve">Oxford English Dict. (3d ed. 2008, published online March 2023; see </w:t>
      </w:r>
      <w:r w:rsidRPr="0046796A" w:rsidR="00391550">
        <w:rPr>
          <w:rFonts w:ascii="Century Schoolbook" w:hAnsi="Century Schoolbook"/>
          <w:iCs/>
        </w:rPr>
        <w:t xml:space="preserve">also </w:t>
      </w:r>
      <w:r w:rsidRPr="0046796A" w:rsidR="003B7E41">
        <w:rPr>
          <w:rFonts w:ascii="Century Schoolbook" w:hAnsi="Century Schoolbook"/>
        </w:rPr>
        <w:t xml:space="preserve">Merriam-Webster.com Dictionary </w:t>
      </w:r>
      <w:r w:rsidRPr="0046796A" w:rsidR="005E77B4">
        <w:rPr>
          <w:rFonts w:ascii="Century Schoolbook" w:hAnsi="Century Schoolbook"/>
          <w:iCs/>
        </w:rPr>
        <w:t>[</w:t>
      </w:r>
      <w:r w:rsidRPr="0046796A" w:rsidR="003B7E41">
        <w:rPr>
          <w:rFonts w:ascii="Century Schoolbook" w:hAnsi="Century Schoolbook"/>
          <w:iCs/>
        </w:rPr>
        <w:t xml:space="preserve">defining </w:t>
      </w:r>
      <w:r w:rsidRPr="0046796A" w:rsidR="00391550">
        <w:rPr>
          <w:rFonts w:ascii="Century Schoolbook" w:hAnsi="Century Schoolbook"/>
          <w:iCs/>
        </w:rPr>
        <w:t>“</w:t>
      </w:r>
      <w:r w:rsidRPr="0046796A" w:rsidR="003B7E41">
        <w:rPr>
          <w:rFonts w:ascii="Century Schoolbook" w:hAnsi="Century Schoolbook"/>
          <w:iCs/>
        </w:rPr>
        <w:t>application</w:t>
      </w:r>
      <w:r w:rsidRPr="0046796A" w:rsidR="00391550">
        <w:rPr>
          <w:rFonts w:ascii="Century Schoolbook" w:hAnsi="Century Schoolbook"/>
          <w:iCs/>
        </w:rPr>
        <w:t>”</w:t>
      </w:r>
      <w:r w:rsidRPr="0046796A" w:rsidR="003B7E41">
        <w:rPr>
          <w:rFonts w:ascii="Century Schoolbook" w:hAnsi="Century Schoolbook"/>
          <w:iCs/>
        </w:rPr>
        <w:t xml:space="preserve"> as, among other things, </w:t>
      </w:r>
      <w:r w:rsidRPr="0046796A" w:rsidR="00591F89">
        <w:rPr>
          <w:rFonts w:ascii="Century Schoolbook" w:hAnsi="Century Schoolbook"/>
        </w:rPr>
        <w:t>putting something to use</w:t>
      </w:r>
      <w:r w:rsidRPr="0046796A" w:rsidR="003B7E41">
        <w:rPr>
          <w:rFonts w:ascii="Century Schoolbook" w:hAnsi="Century Schoolbook"/>
        </w:rPr>
        <w:t xml:space="preserve">]; </w:t>
      </w:r>
      <w:r w:rsidRPr="0046796A" w:rsidR="00591F89">
        <w:rPr>
          <w:rFonts w:ascii="Century Schoolbook" w:hAnsi="Century Schoolbook"/>
        </w:rPr>
        <w:t>Black’s Law Dictionary (11th ed. 2019)</w:t>
      </w:r>
      <w:r w:rsidR="00A9088B">
        <w:rPr>
          <w:rFonts w:ascii="Century Schoolbook" w:hAnsi="Century Schoolbook"/>
        </w:rPr>
        <w:t xml:space="preserve"> p. 124</w:t>
      </w:r>
      <w:r w:rsidRPr="0046796A" w:rsidR="00591F89">
        <w:rPr>
          <w:rFonts w:ascii="Century Schoolbook" w:hAnsi="Century Schoolbook"/>
        </w:rPr>
        <w:t xml:space="preserve"> [“apply” means “to put to use with a particular subject matter”].) </w:t>
      </w:r>
      <w:r w:rsidRPr="0046796A" w:rsidR="0005226D">
        <w:rPr>
          <w:rFonts w:ascii="Century Schoolbook" w:hAnsi="Century Schoolbook"/>
        </w:rPr>
        <w:t xml:space="preserve"> </w:t>
      </w:r>
      <w:r w:rsidRPr="0046796A" w:rsidR="00200C9D">
        <w:rPr>
          <w:rFonts w:ascii="Century Schoolbook" w:hAnsi="Century Schoolbook"/>
        </w:rPr>
        <w:t xml:space="preserve">The common meaning of </w:t>
      </w:r>
      <w:r w:rsidRPr="0046796A" w:rsidR="00DB4153">
        <w:rPr>
          <w:rFonts w:ascii="Century Schoolbook" w:hAnsi="Century Schoolbook"/>
          <w:iCs/>
        </w:rPr>
        <w:t>“</w:t>
      </w:r>
      <w:r w:rsidRPr="0046796A" w:rsidR="005E77B4">
        <w:rPr>
          <w:rFonts w:ascii="Century Schoolbook" w:hAnsi="Century Schoolbook"/>
          <w:iCs/>
        </w:rPr>
        <w:t>u</w:t>
      </w:r>
      <w:r w:rsidRPr="0046796A" w:rsidR="00DB4153">
        <w:rPr>
          <w:rFonts w:ascii="Century Schoolbook" w:hAnsi="Century Schoolbook"/>
          <w:iCs/>
        </w:rPr>
        <w:t xml:space="preserve">niformly” </w:t>
      </w:r>
      <w:r w:rsidRPr="0046796A" w:rsidR="005E77B4">
        <w:rPr>
          <w:rFonts w:ascii="Century Schoolbook" w:hAnsi="Century Schoolbook"/>
          <w:iCs/>
        </w:rPr>
        <w:t xml:space="preserve">is </w:t>
      </w:r>
      <w:r w:rsidRPr="0046796A" w:rsidR="003B7E41">
        <w:rPr>
          <w:rFonts w:ascii="Century Schoolbook" w:hAnsi="Century Schoolbook"/>
          <w:iCs/>
        </w:rPr>
        <w:t>“[i]n a manner that is always the same; without variation or alteration; at all times or in every case alike; invariably.”  (Oxford English Dict.</w:t>
      </w:r>
      <w:r w:rsidR="00A32B7A">
        <w:rPr>
          <w:rFonts w:ascii="Century Schoolbook" w:hAnsi="Century Schoolbook"/>
          <w:iCs/>
        </w:rPr>
        <w:t xml:space="preserve"> (3d ed. 2008,</w:t>
      </w:r>
      <w:r w:rsidRPr="0046796A" w:rsidR="003B7E41">
        <w:rPr>
          <w:rFonts w:ascii="Century Schoolbook" w:hAnsi="Century Schoolbook"/>
          <w:iCs/>
        </w:rPr>
        <w:t xml:space="preserve"> most recently modified version published online </w:t>
      </w:r>
      <w:r w:rsidR="00A9088B">
        <w:rPr>
          <w:rFonts w:ascii="Century Schoolbook" w:hAnsi="Century Schoolbook"/>
          <w:iCs/>
        </w:rPr>
        <w:t>July</w:t>
      </w:r>
      <w:r w:rsidRPr="0046796A" w:rsidR="003B7E41">
        <w:rPr>
          <w:rFonts w:ascii="Century Schoolbook" w:hAnsi="Century Schoolbook"/>
          <w:iCs/>
        </w:rPr>
        <w:t xml:space="preserve"> 202</w:t>
      </w:r>
      <w:r w:rsidR="00A9088B">
        <w:rPr>
          <w:rFonts w:ascii="Century Schoolbook" w:hAnsi="Century Schoolbook"/>
          <w:iCs/>
        </w:rPr>
        <w:t>3</w:t>
      </w:r>
      <w:r w:rsidRPr="0046796A" w:rsidR="003B7E41">
        <w:rPr>
          <w:rFonts w:ascii="Century Schoolbook" w:hAnsi="Century Schoolbook"/>
          <w:iCs/>
        </w:rPr>
        <w:t xml:space="preserve">; see </w:t>
      </w:r>
      <w:r w:rsidRPr="0046796A" w:rsidR="003B7E41">
        <w:rPr>
          <w:rFonts w:ascii="Century Schoolbook" w:hAnsi="Century Schoolbook"/>
          <w:i/>
        </w:rPr>
        <w:t>Borikas, supra</w:t>
      </w:r>
      <w:r w:rsidRPr="0046796A" w:rsidR="003B7E41">
        <w:rPr>
          <w:rFonts w:ascii="Century Schoolbook" w:hAnsi="Century Schoolbook"/>
          <w:iCs/>
        </w:rPr>
        <w:t>, 214 Cal.App.4</w:t>
      </w:r>
      <w:r w:rsidRPr="0046796A" w:rsidR="00391550">
        <w:rPr>
          <w:rFonts w:ascii="Century Schoolbook" w:hAnsi="Century Schoolbook"/>
          <w:iCs/>
        </w:rPr>
        <w:t>th</w:t>
      </w:r>
      <w:r w:rsidRPr="0046796A" w:rsidR="003B7E41">
        <w:rPr>
          <w:rFonts w:ascii="Century Schoolbook" w:hAnsi="Century Schoolbook"/>
          <w:iCs/>
        </w:rPr>
        <w:t xml:space="preserve"> at p. 147 [quoting Oxford English Dict. (2d ed.</w:t>
      </w:r>
      <w:r w:rsidRPr="0046796A" w:rsidR="00391550">
        <w:rPr>
          <w:rFonts w:ascii="Century Schoolbook" w:hAnsi="Century Schoolbook"/>
          <w:iCs/>
        </w:rPr>
        <w:t xml:space="preserve">) 1989, p. 59: </w:t>
      </w:r>
      <w:r w:rsidR="00016C2A">
        <w:rPr>
          <w:rFonts w:ascii="Century Schoolbook" w:hAnsi="Century Schoolbook"/>
          <w:iCs/>
        </w:rPr>
        <w:t xml:space="preserve"> </w:t>
      </w:r>
      <w:r w:rsidRPr="0046796A" w:rsidR="00490615">
        <w:rPr>
          <w:rFonts w:ascii="Century Schoolbook" w:hAnsi="Century Schoolbook"/>
          <w:iCs/>
        </w:rPr>
        <w:t>“[o]f one form, character or kind; having, maintaining, occurring in or under, the same form always; that is or remains the same in different places, at different times, or under varying circumstances, exhibiting no difference, diversity, or variation”</w:t>
      </w:r>
      <w:r w:rsidRPr="0046796A" w:rsidR="00391550">
        <w:rPr>
          <w:rFonts w:ascii="Century Schoolbook" w:hAnsi="Century Schoolbook"/>
          <w:iCs/>
        </w:rPr>
        <w:t xml:space="preserve">].)  </w:t>
      </w:r>
      <w:r w:rsidRPr="0046796A" w:rsidR="005815AB">
        <w:rPr>
          <w:rFonts w:ascii="Century Schoolbook" w:hAnsi="Century Schoolbook"/>
          <w:iCs/>
        </w:rPr>
        <w:t xml:space="preserve">Therefore, to </w:t>
      </w:r>
      <w:r w:rsidRPr="0046796A" w:rsidR="005E77B4">
        <w:rPr>
          <w:rFonts w:ascii="Century Schoolbook" w:hAnsi="Century Schoolbook"/>
          <w:iCs/>
        </w:rPr>
        <w:t xml:space="preserve">apply uniformly in the context of a District imposing a qualified special tax, the tax must be put to use </w:t>
      </w:r>
      <w:r w:rsidRPr="0046796A" w:rsidR="006724DB">
        <w:rPr>
          <w:rFonts w:ascii="Century Schoolbook" w:hAnsi="Century Schoolbook"/>
          <w:iCs/>
        </w:rPr>
        <w:t xml:space="preserve">as to </w:t>
      </w:r>
      <w:r w:rsidRPr="0046796A" w:rsidR="005E77B4">
        <w:rPr>
          <w:rFonts w:ascii="Century Schoolbook" w:hAnsi="Century Schoolbook"/>
          <w:iCs/>
        </w:rPr>
        <w:t>all (nonexempt) taxpayers or properties in the District</w:t>
      </w:r>
      <w:r w:rsidRPr="0046796A" w:rsidR="00BE6729">
        <w:rPr>
          <w:rFonts w:ascii="Century Schoolbook" w:hAnsi="Century Schoolbook"/>
          <w:iCs/>
        </w:rPr>
        <w:t xml:space="preserve"> without variation</w:t>
      </w:r>
      <w:r w:rsidRPr="0046796A" w:rsidR="005E77B4">
        <w:rPr>
          <w:rFonts w:ascii="Century Schoolbook" w:hAnsi="Century Schoolbook"/>
          <w:iCs/>
        </w:rPr>
        <w:t>.</w:t>
      </w:r>
    </w:p>
    <w:p w:rsidR="00DB4153" w:rsidRPr="0046796A" w:rsidP="007853CD" w14:paraId="59143AF9" w14:textId="1D4793D7">
      <w:pPr>
        <w:pStyle w:val="BodyText"/>
        <w:widowControl/>
        <w:spacing w:line="360" w:lineRule="auto"/>
        <w:ind w:left="0"/>
        <w:rPr>
          <w:rFonts w:ascii="Century Schoolbook" w:hAnsi="Century Schoolbook"/>
          <w:iCs/>
        </w:rPr>
      </w:pPr>
      <w:r w:rsidRPr="0046796A">
        <w:rPr>
          <w:rFonts w:ascii="Century Schoolbook" w:hAnsi="Century Schoolbook"/>
          <w:iCs/>
        </w:rPr>
        <w:tab/>
      </w:r>
      <w:r w:rsidRPr="0046796A" w:rsidR="005E77B4">
        <w:rPr>
          <w:rFonts w:ascii="Century Schoolbook" w:hAnsi="Century Schoolbook"/>
          <w:iCs/>
        </w:rPr>
        <w:t xml:space="preserve">Given the plain meaning of the statutory language, the </w:t>
      </w:r>
      <w:r w:rsidRPr="0046796A" w:rsidR="00075452">
        <w:rPr>
          <w:rFonts w:ascii="Century Schoolbook" w:hAnsi="Century Schoolbook"/>
          <w:iCs/>
        </w:rPr>
        <w:t xml:space="preserve">tax imposed by </w:t>
      </w:r>
      <w:r w:rsidRPr="0046796A" w:rsidR="00740697">
        <w:rPr>
          <w:rFonts w:ascii="Century Schoolbook" w:hAnsi="Century Schoolbook"/>
          <w:iCs/>
        </w:rPr>
        <w:t xml:space="preserve">Measure A (2020) </w:t>
      </w:r>
      <w:r w:rsidRPr="0046796A" w:rsidR="00DB7EB1">
        <w:rPr>
          <w:rFonts w:ascii="Century Schoolbook" w:hAnsi="Century Schoolbook"/>
          <w:iCs/>
        </w:rPr>
        <w:t>“appl[ies] uniformly</w:t>
      </w:r>
      <w:r w:rsidRPr="0046796A" w:rsidR="000D47E6">
        <w:rPr>
          <w:rFonts w:ascii="Century Schoolbook" w:hAnsi="Century Schoolbook"/>
          <w:iCs/>
        </w:rPr>
        <w:t xml:space="preserve">” </w:t>
      </w:r>
      <w:r w:rsidRPr="0046796A" w:rsidR="00DB7EB1">
        <w:rPr>
          <w:rFonts w:ascii="Century Schoolbook" w:hAnsi="Century Schoolbook"/>
          <w:iCs/>
        </w:rPr>
        <w:t>to all taxpayers or property</w:t>
      </w:r>
      <w:r w:rsidRPr="0046796A" w:rsidR="00200C9D">
        <w:rPr>
          <w:rFonts w:ascii="Century Schoolbook" w:hAnsi="Century Schoolbook"/>
          <w:iCs/>
        </w:rPr>
        <w:t xml:space="preserve">.  </w:t>
      </w:r>
      <w:r w:rsidRPr="0046796A" w:rsidR="00A71567">
        <w:rPr>
          <w:rFonts w:ascii="Century Schoolbook" w:hAnsi="Century Schoolbook"/>
        </w:rPr>
        <w:t xml:space="preserve">(§ 50079, subd. (b)(1).)  </w:t>
      </w:r>
      <w:r w:rsidRPr="0046796A" w:rsidR="00200C9D">
        <w:rPr>
          <w:rFonts w:ascii="Century Schoolbook" w:hAnsi="Century Schoolbook"/>
          <w:iCs/>
        </w:rPr>
        <w:t xml:space="preserve">The same tax </w:t>
      </w:r>
      <w:r w:rsidRPr="0046796A" w:rsidR="00591F89">
        <w:rPr>
          <w:rFonts w:ascii="Century Schoolbook" w:hAnsi="Century Schoolbook"/>
          <w:iCs/>
        </w:rPr>
        <w:t>rate</w:t>
      </w:r>
      <w:r w:rsidRPr="0046796A" w:rsidR="005B1E69">
        <w:rPr>
          <w:rFonts w:ascii="Century Schoolbook" w:hAnsi="Century Schoolbook"/>
        </w:rPr>
        <w:t>—</w:t>
      </w:r>
      <w:r w:rsidRPr="0046796A" w:rsidR="00591F89">
        <w:rPr>
          <w:rFonts w:ascii="Century Schoolbook" w:hAnsi="Century Schoolbook"/>
        </w:rPr>
        <w:t>$0.265 per building per square foot not to exceed $7,999 per parcel</w:t>
      </w:r>
      <w:r w:rsidRPr="0046796A" w:rsidR="005B1E69">
        <w:rPr>
          <w:rFonts w:ascii="Century Schoolbook" w:hAnsi="Century Schoolbook"/>
        </w:rPr>
        <w:t>—</w:t>
      </w:r>
      <w:r w:rsidRPr="0046796A" w:rsidR="00591F89">
        <w:rPr>
          <w:rFonts w:ascii="Century Schoolbook" w:hAnsi="Century Schoolbook"/>
        </w:rPr>
        <w:t xml:space="preserve">is imposed on </w:t>
      </w:r>
      <w:r w:rsidRPr="0046796A">
        <w:rPr>
          <w:rFonts w:ascii="Century Schoolbook" w:hAnsi="Century Schoolbook"/>
          <w:iCs/>
        </w:rPr>
        <w:t xml:space="preserve">every </w:t>
      </w:r>
      <w:r w:rsidRPr="0046796A" w:rsidR="00A341DD">
        <w:rPr>
          <w:rFonts w:ascii="Century Schoolbook" w:hAnsi="Century Schoolbook"/>
          <w:iCs/>
        </w:rPr>
        <w:t xml:space="preserve">improved </w:t>
      </w:r>
      <w:r w:rsidRPr="0046796A" w:rsidR="00591F89">
        <w:rPr>
          <w:rFonts w:ascii="Century Schoolbook" w:hAnsi="Century Schoolbook"/>
          <w:iCs/>
        </w:rPr>
        <w:t xml:space="preserve">parcel </w:t>
      </w:r>
      <w:r w:rsidRPr="0046796A">
        <w:rPr>
          <w:rFonts w:ascii="Century Schoolbook" w:hAnsi="Century Schoolbook"/>
          <w:iCs/>
        </w:rPr>
        <w:t xml:space="preserve">in the district.  </w:t>
      </w:r>
      <w:r w:rsidRPr="0046796A" w:rsidR="00A71567">
        <w:rPr>
          <w:rFonts w:ascii="Century Schoolbook" w:hAnsi="Century Schoolbook"/>
          <w:iCs/>
        </w:rPr>
        <w:t>Th</w:t>
      </w:r>
      <w:r w:rsidRPr="0046796A" w:rsidR="00BE6729">
        <w:rPr>
          <w:rFonts w:ascii="Century Schoolbook" w:hAnsi="Century Schoolbook"/>
          <w:iCs/>
        </w:rPr>
        <w:t xml:space="preserve">at same </w:t>
      </w:r>
      <w:r w:rsidRPr="0046796A" w:rsidR="00A71567">
        <w:rPr>
          <w:rFonts w:ascii="Century Schoolbook" w:hAnsi="Century Schoolbook"/>
          <w:iCs/>
        </w:rPr>
        <w:t xml:space="preserve">rate </w:t>
      </w:r>
      <w:r w:rsidRPr="0046796A" w:rsidR="00200C9D">
        <w:rPr>
          <w:rFonts w:ascii="Century Schoolbook" w:hAnsi="Century Schoolbook"/>
          <w:iCs/>
        </w:rPr>
        <w:t xml:space="preserve">is imposed </w:t>
      </w:r>
      <w:r w:rsidRPr="0046796A" w:rsidR="00BE6729">
        <w:rPr>
          <w:rFonts w:ascii="Century Schoolbook" w:hAnsi="Century Schoolbook"/>
          <w:iCs/>
        </w:rPr>
        <w:t xml:space="preserve">on </w:t>
      </w:r>
      <w:r w:rsidRPr="0046796A" w:rsidR="00200C9D">
        <w:rPr>
          <w:rFonts w:ascii="Century Schoolbook" w:hAnsi="Century Schoolbook"/>
          <w:iCs/>
        </w:rPr>
        <w:t xml:space="preserve">every non-exempt taxpayer.  </w:t>
      </w:r>
      <w:r w:rsidRPr="0046796A" w:rsidR="00C9158E">
        <w:rPr>
          <w:rFonts w:ascii="Century Schoolbook" w:hAnsi="Century Schoolbook"/>
          <w:iCs/>
        </w:rPr>
        <w:t xml:space="preserve">The </w:t>
      </w:r>
      <w:r w:rsidRPr="0046796A" w:rsidR="00B72196">
        <w:rPr>
          <w:rFonts w:ascii="Century Schoolbook" w:hAnsi="Century Schoolbook"/>
          <w:iCs/>
        </w:rPr>
        <w:t xml:space="preserve">tax is </w:t>
      </w:r>
      <w:r w:rsidRPr="0046796A" w:rsidR="00075452">
        <w:rPr>
          <w:rFonts w:ascii="Century Schoolbook" w:hAnsi="Century Schoolbook"/>
          <w:iCs/>
        </w:rPr>
        <w:t xml:space="preserve">not </w:t>
      </w:r>
      <w:r w:rsidRPr="0046796A" w:rsidR="00565E35">
        <w:rPr>
          <w:rFonts w:ascii="Century Schoolbook" w:hAnsi="Century Schoolbook"/>
          <w:iCs/>
        </w:rPr>
        <w:t xml:space="preserve">just </w:t>
      </w:r>
      <w:r w:rsidRPr="0046796A" w:rsidR="006F35C8">
        <w:rPr>
          <w:rFonts w:ascii="Century Schoolbook" w:hAnsi="Century Schoolbook"/>
          <w:iCs/>
        </w:rPr>
        <w:t xml:space="preserve">“imposed on a particular class of property or taxpayers.”  </w:t>
      </w:r>
      <w:r w:rsidRPr="0046796A">
        <w:rPr>
          <w:rFonts w:ascii="Century Schoolbook" w:hAnsi="Century Schoolbook"/>
          <w:iCs/>
        </w:rPr>
        <w:t>(</w:t>
      </w:r>
      <w:r w:rsidRPr="0046796A" w:rsidR="00A71567">
        <w:rPr>
          <w:rFonts w:ascii="Century Schoolbook" w:hAnsi="Century Schoolbook"/>
        </w:rPr>
        <w:t xml:space="preserve">§ </w:t>
      </w:r>
      <w:r w:rsidRPr="0046796A">
        <w:rPr>
          <w:rFonts w:ascii="Century Schoolbook" w:hAnsi="Century Schoolbook"/>
          <w:iCs/>
        </w:rPr>
        <w:t xml:space="preserve">50079, subd. </w:t>
      </w:r>
      <w:r w:rsidRPr="0046796A" w:rsidR="006F35C8">
        <w:rPr>
          <w:rFonts w:ascii="Century Schoolbook" w:hAnsi="Century Schoolbook"/>
          <w:iCs/>
        </w:rPr>
        <w:t>(b)(2).</w:t>
      </w:r>
      <w:r w:rsidRPr="0046796A">
        <w:rPr>
          <w:rFonts w:ascii="Century Schoolbook" w:hAnsi="Century Schoolbook"/>
          <w:iCs/>
        </w:rPr>
        <w:t>)</w:t>
      </w:r>
      <w:r>
        <w:rPr>
          <w:rStyle w:val="FootnoteReference"/>
          <w:rFonts w:ascii="Century Schoolbook" w:hAnsi="Century Schoolbook"/>
          <w:iCs/>
        </w:rPr>
        <w:footnoteReference w:id="5"/>
      </w:r>
      <w:r w:rsidRPr="0046796A">
        <w:rPr>
          <w:rFonts w:ascii="Century Schoolbook" w:hAnsi="Century Schoolbook"/>
          <w:iCs/>
        </w:rPr>
        <w:t xml:space="preserve">  </w:t>
      </w:r>
      <w:r w:rsidRPr="0046796A" w:rsidR="00075452">
        <w:rPr>
          <w:rFonts w:ascii="Century Schoolbook" w:hAnsi="Century Schoolbook"/>
          <w:iCs/>
        </w:rPr>
        <w:t xml:space="preserve">Accordingly, the </w:t>
      </w:r>
      <w:r w:rsidRPr="0046796A" w:rsidR="00184F7F">
        <w:rPr>
          <w:rFonts w:ascii="Century Schoolbook" w:hAnsi="Century Schoolbook"/>
          <w:iCs/>
        </w:rPr>
        <w:t xml:space="preserve">Measure A </w:t>
      </w:r>
      <w:r w:rsidRPr="0046796A" w:rsidR="00490615">
        <w:rPr>
          <w:rFonts w:ascii="Century Schoolbook" w:hAnsi="Century Schoolbook"/>
          <w:iCs/>
        </w:rPr>
        <w:t xml:space="preserve">(2020) </w:t>
      </w:r>
      <w:r w:rsidRPr="0046796A" w:rsidR="00184F7F">
        <w:rPr>
          <w:rFonts w:ascii="Century Schoolbook" w:hAnsi="Century Schoolbook"/>
          <w:iCs/>
        </w:rPr>
        <w:t>tax is a qualified special tax for purposes of section 50079.</w:t>
      </w:r>
      <w:r w:rsidRPr="0046796A" w:rsidR="00B10414">
        <w:rPr>
          <w:rFonts w:ascii="Century Schoolbook" w:hAnsi="Century Schoolbook"/>
          <w:iCs/>
        </w:rPr>
        <w:t xml:space="preserve"> </w:t>
      </w:r>
    </w:p>
    <w:p w:rsidR="00DE42E7" w:rsidRPr="0046796A" w:rsidP="007853CD" w14:paraId="7DB586C1" w14:textId="36EE26C6">
      <w:pPr>
        <w:pStyle w:val="BodyText"/>
        <w:widowControl/>
        <w:spacing w:line="360" w:lineRule="auto"/>
        <w:ind w:left="0"/>
        <w:rPr>
          <w:rFonts w:ascii="Century Schoolbook" w:hAnsi="Century Schoolbook"/>
          <w:iCs/>
        </w:rPr>
      </w:pPr>
      <w:r w:rsidRPr="0046796A">
        <w:rPr>
          <w:rFonts w:ascii="Century Schoolbook" w:hAnsi="Century Schoolbook"/>
        </w:rPr>
        <w:tab/>
      </w:r>
      <w:r w:rsidRPr="0046796A" w:rsidR="007162EA">
        <w:rPr>
          <w:rFonts w:ascii="Century Schoolbook" w:hAnsi="Century Schoolbook"/>
          <w:iCs/>
        </w:rPr>
        <w:t>C</w:t>
      </w:r>
      <w:r w:rsidRPr="0046796A">
        <w:rPr>
          <w:rFonts w:ascii="Century Schoolbook" w:hAnsi="Century Schoolbook"/>
          <w:iCs/>
        </w:rPr>
        <w:t xml:space="preserve">.  </w:t>
      </w:r>
      <w:r w:rsidRPr="0046796A">
        <w:rPr>
          <w:rFonts w:ascii="Century Schoolbook" w:hAnsi="Century Schoolbook"/>
          <w:iCs/>
          <w:u w:val="single"/>
        </w:rPr>
        <w:t>Tra</w:t>
      </w:r>
      <w:r w:rsidRPr="0046796A" w:rsidR="0078537D">
        <w:rPr>
          <w:rFonts w:ascii="Century Schoolbook" w:hAnsi="Century Schoolbook"/>
          <w:iCs/>
          <w:u w:val="single"/>
        </w:rPr>
        <w:t>i</w:t>
      </w:r>
      <w:r w:rsidRPr="0046796A">
        <w:rPr>
          <w:rFonts w:ascii="Century Schoolbook" w:hAnsi="Century Schoolbook"/>
          <w:iCs/>
          <w:u w:val="single"/>
        </w:rPr>
        <w:t>man’s Argument</w:t>
      </w:r>
    </w:p>
    <w:p w:rsidR="00075452" w:rsidRPr="0046796A" w:rsidP="00DB4676" w14:paraId="5325079A" w14:textId="51E717CF">
      <w:pPr>
        <w:pStyle w:val="BodyText"/>
        <w:widowControl/>
        <w:spacing w:line="360" w:lineRule="auto"/>
        <w:ind w:left="0"/>
        <w:rPr>
          <w:rFonts w:ascii="Century Schoolbook" w:hAnsi="Century Schoolbook"/>
        </w:rPr>
      </w:pPr>
      <w:r w:rsidRPr="0046796A">
        <w:rPr>
          <w:rFonts w:ascii="Century Schoolbook" w:hAnsi="Century Schoolbook"/>
          <w:iCs/>
        </w:rPr>
        <w:tab/>
      </w:r>
      <w:r w:rsidRPr="0046796A" w:rsidR="005E77B4">
        <w:rPr>
          <w:rFonts w:ascii="Century Schoolbook" w:hAnsi="Century Schoolbook"/>
          <w:iCs/>
        </w:rPr>
        <w:t xml:space="preserve">Even though </w:t>
      </w:r>
      <w:r w:rsidRPr="0046796A" w:rsidR="00703089">
        <w:rPr>
          <w:rFonts w:ascii="Century Schoolbook" w:hAnsi="Century Schoolbook"/>
          <w:iCs/>
        </w:rPr>
        <w:t xml:space="preserve">Measure A (2020) applies </w:t>
      </w:r>
      <w:r w:rsidRPr="0046796A" w:rsidR="007468D9">
        <w:rPr>
          <w:rFonts w:ascii="Century Schoolbook" w:hAnsi="Century Schoolbook"/>
          <w:iCs/>
        </w:rPr>
        <w:t xml:space="preserve">the same </w:t>
      </w:r>
      <w:r w:rsidRPr="0046796A" w:rsidR="000D47E6">
        <w:rPr>
          <w:rFonts w:ascii="Century Schoolbook" w:hAnsi="Century Schoolbook"/>
          <w:iCs/>
        </w:rPr>
        <w:t xml:space="preserve">tax </w:t>
      </w:r>
      <w:r w:rsidRPr="0046796A" w:rsidR="007468D9">
        <w:rPr>
          <w:rFonts w:ascii="Century Schoolbook" w:hAnsi="Century Schoolbook"/>
          <w:iCs/>
        </w:rPr>
        <w:t xml:space="preserve">formula </w:t>
      </w:r>
      <w:r w:rsidRPr="0046796A" w:rsidR="000D47E6">
        <w:rPr>
          <w:rFonts w:ascii="Century Schoolbook" w:hAnsi="Century Schoolbook"/>
        </w:rPr>
        <w:t xml:space="preserve">to every </w:t>
      </w:r>
      <w:r w:rsidRPr="0046796A" w:rsidR="007468D9">
        <w:rPr>
          <w:rFonts w:ascii="Century Schoolbook" w:hAnsi="Century Schoolbook"/>
        </w:rPr>
        <w:t xml:space="preserve">improved </w:t>
      </w:r>
      <w:r w:rsidRPr="0046796A" w:rsidR="000D47E6">
        <w:rPr>
          <w:rFonts w:ascii="Century Schoolbook" w:hAnsi="Century Schoolbook"/>
        </w:rPr>
        <w:t>p</w:t>
      </w:r>
      <w:r w:rsidRPr="0046796A" w:rsidR="00627899">
        <w:rPr>
          <w:rFonts w:ascii="Century Schoolbook" w:hAnsi="Century Schoolbook"/>
        </w:rPr>
        <w:t xml:space="preserve">arcel </w:t>
      </w:r>
      <w:r w:rsidRPr="0046796A" w:rsidR="000D47E6">
        <w:rPr>
          <w:rFonts w:ascii="Century Schoolbook" w:hAnsi="Century Schoolbook"/>
        </w:rPr>
        <w:t xml:space="preserve">in the </w:t>
      </w:r>
      <w:r w:rsidRPr="0046796A" w:rsidR="000E0C25">
        <w:rPr>
          <w:rFonts w:ascii="Century Schoolbook" w:hAnsi="Century Schoolbook"/>
        </w:rPr>
        <w:t>D</w:t>
      </w:r>
      <w:r w:rsidRPr="0046796A" w:rsidR="000D47E6">
        <w:rPr>
          <w:rFonts w:ascii="Century Schoolbook" w:hAnsi="Century Schoolbook"/>
        </w:rPr>
        <w:t xml:space="preserve">istrict, </w:t>
      </w:r>
      <w:r w:rsidRPr="0046796A">
        <w:rPr>
          <w:rFonts w:ascii="Century Schoolbook" w:hAnsi="Century Schoolbook"/>
        </w:rPr>
        <w:t>Tra</w:t>
      </w:r>
      <w:r w:rsidRPr="0046796A" w:rsidR="002B0FF8">
        <w:rPr>
          <w:rFonts w:ascii="Century Schoolbook" w:hAnsi="Century Schoolbook"/>
        </w:rPr>
        <w:t>i</w:t>
      </w:r>
      <w:r w:rsidRPr="0046796A">
        <w:rPr>
          <w:rFonts w:ascii="Century Schoolbook" w:hAnsi="Century Schoolbook"/>
        </w:rPr>
        <w:t xml:space="preserve">man argues </w:t>
      </w:r>
      <w:r w:rsidRPr="0046796A" w:rsidR="00E65CD8">
        <w:rPr>
          <w:rFonts w:ascii="Century Schoolbook" w:hAnsi="Century Schoolbook"/>
        </w:rPr>
        <w:t xml:space="preserve">(and the trial court concluded) </w:t>
      </w:r>
      <w:r w:rsidRPr="0046796A">
        <w:rPr>
          <w:rFonts w:ascii="Century Schoolbook" w:hAnsi="Century Schoolbook"/>
        </w:rPr>
        <w:t xml:space="preserve">that the </w:t>
      </w:r>
      <w:r w:rsidRPr="0046796A">
        <w:rPr>
          <w:rFonts w:ascii="Century Schoolbook" w:hAnsi="Century Schoolbook"/>
          <w:i/>
          <w:iCs/>
        </w:rPr>
        <w:t>cap</w:t>
      </w:r>
      <w:r w:rsidRPr="0046796A">
        <w:rPr>
          <w:rFonts w:ascii="Century Schoolbook" w:hAnsi="Century Schoolbook"/>
        </w:rPr>
        <w:t xml:space="preserve"> on the </w:t>
      </w:r>
      <w:r w:rsidRPr="0046796A" w:rsidR="000D47E6">
        <w:rPr>
          <w:rFonts w:ascii="Century Schoolbook" w:hAnsi="Century Schoolbook"/>
        </w:rPr>
        <w:t xml:space="preserve">payable </w:t>
      </w:r>
      <w:r w:rsidRPr="0046796A">
        <w:rPr>
          <w:rFonts w:ascii="Century Schoolbook" w:hAnsi="Century Schoolbook"/>
        </w:rPr>
        <w:t xml:space="preserve">tax means </w:t>
      </w:r>
      <w:r w:rsidRPr="0046796A" w:rsidR="000D47E6">
        <w:rPr>
          <w:rFonts w:ascii="Century Schoolbook" w:hAnsi="Century Schoolbook"/>
        </w:rPr>
        <w:t xml:space="preserve">the District </w:t>
      </w:r>
      <w:r w:rsidRPr="0046796A">
        <w:rPr>
          <w:rFonts w:ascii="Century Schoolbook" w:hAnsi="Century Schoolbook"/>
        </w:rPr>
        <w:t xml:space="preserve">has, in effect, created two </w:t>
      </w:r>
      <w:r w:rsidRPr="0046796A" w:rsidR="00DB4676">
        <w:rPr>
          <w:rFonts w:ascii="Century Schoolbook" w:hAnsi="Century Schoolbook"/>
        </w:rPr>
        <w:t xml:space="preserve">classifications </w:t>
      </w:r>
      <w:r w:rsidRPr="0046796A">
        <w:rPr>
          <w:rFonts w:ascii="Century Schoolbook" w:hAnsi="Century Schoolbook"/>
        </w:rPr>
        <w:t>of properties</w:t>
      </w:r>
      <w:r w:rsidRPr="0046796A" w:rsidR="00A04EBA">
        <w:rPr>
          <w:rFonts w:ascii="Century Schoolbook" w:hAnsi="Century Schoolbook"/>
        </w:rPr>
        <w:t xml:space="preserve"> that are taxed differently.</w:t>
      </w:r>
      <w:r w:rsidRPr="0046796A" w:rsidR="006C7B00">
        <w:rPr>
          <w:rFonts w:ascii="Century Schoolbook" w:hAnsi="Century Schoolbook"/>
        </w:rPr>
        <w:t xml:space="preserve">  No cited case has embraced </w:t>
      </w:r>
      <w:r w:rsidRPr="0046796A" w:rsidR="00703089">
        <w:rPr>
          <w:rFonts w:ascii="Century Schoolbook" w:hAnsi="Century Schoolbook"/>
        </w:rPr>
        <w:t xml:space="preserve">this </w:t>
      </w:r>
      <w:r w:rsidRPr="0046796A" w:rsidR="006C7B00">
        <w:rPr>
          <w:rFonts w:ascii="Century Schoolbook" w:hAnsi="Century Schoolbook"/>
        </w:rPr>
        <w:t>theory.</w:t>
      </w:r>
      <w:r w:rsidRPr="0046796A" w:rsidR="00A04EBA">
        <w:rPr>
          <w:rFonts w:ascii="Century Schoolbook" w:hAnsi="Century Schoolbook"/>
        </w:rPr>
        <w:t xml:space="preserve">  </w:t>
      </w:r>
    </w:p>
    <w:p w:rsidR="00B45C45" w:rsidRPr="0046796A" w:rsidP="00DB4676" w14:paraId="11A1638B" w14:textId="347E32C9">
      <w:pPr>
        <w:pStyle w:val="BodyText"/>
        <w:widowControl/>
        <w:spacing w:line="360" w:lineRule="auto"/>
        <w:ind w:left="0"/>
        <w:rPr>
          <w:rFonts w:ascii="Century Schoolbook" w:hAnsi="Century Schoolbook"/>
        </w:rPr>
      </w:pPr>
      <w:r w:rsidRPr="0046796A">
        <w:rPr>
          <w:rFonts w:ascii="Century Schoolbook" w:hAnsi="Century Schoolbook"/>
        </w:rPr>
        <w:tab/>
        <w:t xml:space="preserve">Out of the Measure A (2020) language that the “tax shall be levied on improved parcels at the rate of $0.265 per building square foot not to exceed $7,999 per parcel,” </w:t>
      </w:r>
      <w:r w:rsidRPr="0046796A" w:rsidR="0018442C">
        <w:rPr>
          <w:rFonts w:ascii="Century Schoolbook" w:hAnsi="Century Schoolbook"/>
        </w:rPr>
        <w:t xml:space="preserve">Traiman </w:t>
      </w:r>
      <w:r w:rsidRPr="0046796A" w:rsidR="00627899">
        <w:rPr>
          <w:rFonts w:ascii="Century Schoolbook" w:hAnsi="Century Schoolbook"/>
        </w:rPr>
        <w:t xml:space="preserve">hones in on the </w:t>
      </w:r>
      <w:r w:rsidRPr="0046796A" w:rsidR="004E4B31">
        <w:rPr>
          <w:rFonts w:ascii="Century Schoolbook" w:hAnsi="Century Schoolbook"/>
        </w:rPr>
        <w:t xml:space="preserve">$7,999 cap and </w:t>
      </w:r>
      <w:r w:rsidRPr="0046796A" w:rsidR="00627899">
        <w:rPr>
          <w:rFonts w:ascii="Century Schoolbook" w:hAnsi="Century Schoolbook"/>
        </w:rPr>
        <w:t xml:space="preserve">calculates </w:t>
      </w:r>
      <w:r w:rsidRPr="0046796A" w:rsidR="00DB4676">
        <w:rPr>
          <w:rFonts w:ascii="Century Schoolbook" w:hAnsi="Century Schoolbook"/>
        </w:rPr>
        <w:t>that</w:t>
      </w:r>
      <w:r w:rsidRPr="0046796A" w:rsidR="004E4B31">
        <w:rPr>
          <w:rFonts w:ascii="Century Schoolbook" w:hAnsi="Century Schoolbook"/>
        </w:rPr>
        <w:t>, at a rate of $0.265 per square foot,</w:t>
      </w:r>
      <w:r w:rsidRPr="0046796A" w:rsidR="00DB4676">
        <w:rPr>
          <w:rFonts w:ascii="Century Schoolbook" w:hAnsi="Century Schoolbook"/>
        </w:rPr>
        <w:t xml:space="preserve"> properties with a square footage of </w:t>
      </w:r>
      <w:r w:rsidRPr="0046796A" w:rsidR="00627899">
        <w:rPr>
          <w:rFonts w:ascii="Century Schoolbook" w:hAnsi="Century Schoolbook"/>
        </w:rPr>
        <w:t xml:space="preserve">approximately </w:t>
      </w:r>
      <w:r w:rsidRPr="0046796A" w:rsidR="00DB4676">
        <w:rPr>
          <w:rFonts w:ascii="Century Schoolbook" w:hAnsi="Century Schoolbook"/>
        </w:rPr>
        <w:t>30,18</w:t>
      </w:r>
      <w:r w:rsidRPr="0046796A" w:rsidR="00C9158E">
        <w:rPr>
          <w:rFonts w:ascii="Century Schoolbook" w:hAnsi="Century Schoolbook"/>
        </w:rPr>
        <w:t>4</w:t>
      </w:r>
      <w:r w:rsidRPr="0046796A" w:rsidR="00DB4676">
        <w:rPr>
          <w:rFonts w:ascii="Century Schoolbook" w:hAnsi="Century Schoolbook"/>
        </w:rPr>
        <w:t xml:space="preserve">.91 will </w:t>
      </w:r>
      <w:r w:rsidRPr="0046796A" w:rsidR="005E77B4">
        <w:rPr>
          <w:rFonts w:ascii="Century Schoolbook" w:hAnsi="Century Schoolbook"/>
        </w:rPr>
        <w:t xml:space="preserve">incur </w:t>
      </w:r>
      <w:r w:rsidRPr="0046796A" w:rsidR="00DB4676">
        <w:rPr>
          <w:rFonts w:ascii="Century Schoolbook" w:hAnsi="Century Schoolbook"/>
        </w:rPr>
        <w:t xml:space="preserve">$7,999 in tax. </w:t>
      </w:r>
      <w:r w:rsidRPr="0046796A" w:rsidR="006724DB">
        <w:rPr>
          <w:rFonts w:ascii="Century Schoolbook" w:hAnsi="Century Schoolbook"/>
        </w:rPr>
        <w:t xml:space="preserve"> </w:t>
      </w:r>
      <w:r w:rsidRPr="0046796A" w:rsidR="00DB4676">
        <w:rPr>
          <w:rFonts w:ascii="Century Schoolbook" w:hAnsi="Century Schoolbook"/>
        </w:rPr>
        <w:t xml:space="preserve">He then </w:t>
      </w:r>
      <w:r w:rsidRPr="0046796A" w:rsidR="00A04EBA">
        <w:rPr>
          <w:rFonts w:ascii="Century Schoolbook" w:hAnsi="Century Schoolbook"/>
        </w:rPr>
        <w:t xml:space="preserve">divides properties into two groups:  </w:t>
      </w:r>
      <w:r w:rsidRPr="0046796A" w:rsidR="00DE42E7">
        <w:rPr>
          <w:rFonts w:ascii="Century Schoolbook" w:hAnsi="Century Schoolbook"/>
        </w:rPr>
        <w:t xml:space="preserve">those that have a square footage </w:t>
      </w:r>
      <w:r w:rsidRPr="0046796A" w:rsidR="00DB4676">
        <w:rPr>
          <w:rFonts w:ascii="Century Schoolbook" w:hAnsi="Century Schoolbook"/>
        </w:rPr>
        <w:t xml:space="preserve">of </w:t>
      </w:r>
      <w:r w:rsidRPr="0046796A" w:rsidR="00CE4B56">
        <w:rPr>
          <w:rFonts w:ascii="Century Schoolbook" w:hAnsi="Century Schoolbook"/>
        </w:rPr>
        <w:t>not more than 30,18</w:t>
      </w:r>
      <w:r w:rsidRPr="0046796A" w:rsidR="00C9158E">
        <w:rPr>
          <w:rFonts w:ascii="Century Schoolbook" w:hAnsi="Century Schoolbook"/>
        </w:rPr>
        <w:t>4</w:t>
      </w:r>
      <w:r w:rsidRPr="0046796A" w:rsidR="00CE4B56">
        <w:rPr>
          <w:rFonts w:ascii="Century Schoolbook" w:hAnsi="Century Schoolbook"/>
        </w:rPr>
        <w:t xml:space="preserve">.91 </w:t>
      </w:r>
      <w:r w:rsidRPr="0046796A" w:rsidR="00DE42E7">
        <w:rPr>
          <w:rFonts w:ascii="Century Schoolbook" w:hAnsi="Century Schoolbook"/>
        </w:rPr>
        <w:t>and those that have a square footage over</w:t>
      </w:r>
      <w:r w:rsidRPr="0046796A" w:rsidR="00CE4B56">
        <w:rPr>
          <w:rFonts w:ascii="Century Schoolbook" w:hAnsi="Century Schoolbook"/>
        </w:rPr>
        <w:t xml:space="preserve"> 30,18</w:t>
      </w:r>
      <w:r w:rsidRPr="0046796A" w:rsidR="00C9158E">
        <w:rPr>
          <w:rFonts w:ascii="Century Schoolbook" w:hAnsi="Century Schoolbook"/>
        </w:rPr>
        <w:t>4</w:t>
      </w:r>
      <w:r w:rsidRPr="0046796A" w:rsidR="00CE4B56">
        <w:rPr>
          <w:rFonts w:ascii="Century Schoolbook" w:hAnsi="Century Schoolbook"/>
        </w:rPr>
        <w:t>.91</w:t>
      </w:r>
      <w:r w:rsidRPr="0046796A" w:rsidR="00DE42E7">
        <w:rPr>
          <w:rFonts w:ascii="Century Schoolbook" w:hAnsi="Century Schoolbook"/>
        </w:rPr>
        <w:t xml:space="preserve">.  </w:t>
      </w:r>
      <w:r w:rsidRPr="0046796A" w:rsidR="002B0FF8">
        <w:rPr>
          <w:rFonts w:ascii="Century Schoolbook" w:hAnsi="Century Schoolbook"/>
        </w:rPr>
        <w:t xml:space="preserve">Taxpayers of properties </w:t>
      </w:r>
      <w:r w:rsidRPr="0046796A" w:rsidR="00A04EBA">
        <w:rPr>
          <w:rFonts w:ascii="Century Schoolbook" w:hAnsi="Century Schoolbook"/>
        </w:rPr>
        <w:t xml:space="preserve">of not more than </w:t>
      </w:r>
      <w:r w:rsidRPr="0046796A" w:rsidR="00CE4B56">
        <w:rPr>
          <w:rFonts w:ascii="Century Schoolbook" w:hAnsi="Century Schoolbook"/>
        </w:rPr>
        <w:t>30,18</w:t>
      </w:r>
      <w:r w:rsidRPr="0046796A" w:rsidR="00C9158E">
        <w:rPr>
          <w:rFonts w:ascii="Century Schoolbook" w:hAnsi="Century Schoolbook"/>
        </w:rPr>
        <w:t>4</w:t>
      </w:r>
      <w:r w:rsidRPr="0046796A" w:rsidR="00CE4B56">
        <w:rPr>
          <w:rFonts w:ascii="Century Schoolbook" w:hAnsi="Century Schoolbook"/>
        </w:rPr>
        <w:t xml:space="preserve">.91 </w:t>
      </w:r>
      <w:r w:rsidRPr="0046796A" w:rsidR="00DE42E7">
        <w:rPr>
          <w:rFonts w:ascii="Century Schoolbook" w:hAnsi="Century Schoolbook"/>
        </w:rPr>
        <w:t xml:space="preserve">square feet </w:t>
      </w:r>
      <w:r w:rsidRPr="0046796A" w:rsidR="002B0FF8">
        <w:rPr>
          <w:rFonts w:ascii="Century Schoolbook" w:hAnsi="Century Schoolbook"/>
        </w:rPr>
        <w:t xml:space="preserve">will pay </w:t>
      </w:r>
      <w:r w:rsidRPr="0046796A" w:rsidR="00A04EBA">
        <w:rPr>
          <w:rFonts w:ascii="Century Schoolbook" w:hAnsi="Century Schoolbook"/>
        </w:rPr>
        <w:t xml:space="preserve">$0.265 </w:t>
      </w:r>
      <w:r w:rsidRPr="0046796A" w:rsidR="00DE42E7">
        <w:rPr>
          <w:rFonts w:ascii="Century Schoolbook" w:hAnsi="Century Schoolbook"/>
        </w:rPr>
        <w:t>per square foot</w:t>
      </w:r>
      <w:r w:rsidRPr="0046796A" w:rsidR="002B0FF8">
        <w:rPr>
          <w:rFonts w:ascii="Century Schoolbook" w:hAnsi="Century Schoolbook"/>
        </w:rPr>
        <w:t xml:space="preserve">; taxpayers of </w:t>
      </w:r>
      <w:r w:rsidRPr="0046796A" w:rsidR="00DB4153">
        <w:rPr>
          <w:rFonts w:ascii="Century Schoolbook" w:hAnsi="Century Schoolbook"/>
        </w:rPr>
        <w:t xml:space="preserve">properties </w:t>
      </w:r>
      <w:r w:rsidRPr="0046796A" w:rsidR="00DE42E7">
        <w:rPr>
          <w:rFonts w:ascii="Century Schoolbook" w:hAnsi="Century Schoolbook"/>
        </w:rPr>
        <w:t xml:space="preserve">over </w:t>
      </w:r>
      <w:r w:rsidRPr="0046796A" w:rsidR="00CE4B56">
        <w:rPr>
          <w:rFonts w:ascii="Century Schoolbook" w:hAnsi="Century Schoolbook"/>
        </w:rPr>
        <w:t>30,18</w:t>
      </w:r>
      <w:r w:rsidRPr="0046796A" w:rsidR="00C9158E">
        <w:rPr>
          <w:rFonts w:ascii="Century Schoolbook" w:hAnsi="Century Schoolbook"/>
        </w:rPr>
        <w:t>4</w:t>
      </w:r>
      <w:r w:rsidRPr="0046796A" w:rsidR="00CE4B56">
        <w:rPr>
          <w:rFonts w:ascii="Century Schoolbook" w:hAnsi="Century Schoolbook"/>
        </w:rPr>
        <w:t xml:space="preserve">.91 </w:t>
      </w:r>
      <w:r w:rsidRPr="0046796A" w:rsidR="00DE42E7">
        <w:rPr>
          <w:rFonts w:ascii="Century Schoolbook" w:hAnsi="Century Schoolbook"/>
        </w:rPr>
        <w:t xml:space="preserve">square feet </w:t>
      </w:r>
      <w:r w:rsidRPr="0046796A" w:rsidR="002B0FF8">
        <w:rPr>
          <w:rFonts w:ascii="Century Schoolbook" w:hAnsi="Century Schoolbook"/>
        </w:rPr>
        <w:t xml:space="preserve">will pay </w:t>
      </w:r>
      <w:r w:rsidRPr="0046796A">
        <w:rPr>
          <w:rFonts w:ascii="Century Schoolbook" w:hAnsi="Century Schoolbook"/>
        </w:rPr>
        <w:t xml:space="preserve">the </w:t>
      </w:r>
      <w:r w:rsidRPr="0046796A" w:rsidR="00A04EBA">
        <w:rPr>
          <w:rFonts w:ascii="Century Schoolbook" w:hAnsi="Century Schoolbook"/>
        </w:rPr>
        <w:t xml:space="preserve">$7,999 cap, so </w:t>
      </w:r>
      <w:r w:rsidRPr="0046796A" w:rsidR="002B0FF8">
        <w:rPr>
          <w:rFonts w:ascii="Century Schoolbook" w:hAnsi="Century Schoolbook"/>
        </w:rPr>
        <w:t xml:space="preserve">they will end up paying </w:t>
      </w:r>
      <w:r w:rsidRPr="0046796A" w:rsidR="00CE4B56">
        <w:rPr>
          <w:rFonts w:ascii="Century Schoolbook" w:hAnsi="Century Schoolbook"/>
        </w:rPr>
        <w:t xml:space="preserve">less than $0.265 per square foot. </w:t>
      </w:r>
      <w:r w:rsidRPr="0046796A" w:rsidR="00A04EBA">
        <w:rPr>
          <w:rFonts w:ascii="Century Schoolbook" w:hAnsi="Century Schoolbook"/>
        </w:rPr>
        <w:t xml:space="preserve"> </w:t>
      </w:r>
      <w:r w:rsidRPr="0046796A" w:rsidR="00367875">
        <w:rPr>
          <w:rFonts w:ascii="Century Schoolbook" w:hAnsi="Century Schoolbook"/>
        </w:rPr>
        <w:t>Based on this deconstruction</w:t>
      </w:r>
      <w:r w:rsidRPr="0046796A" w:rsidR="00102763">
        <w:rPr>
          <w:rFonts w:ascii="Century Schoolbook" w:hAnsi="Century Schoolbook"/>
        </w:rPr>
        <w:t xml:space="preserve">, </w:t>
      </w:r>
      <w:r w:rsidRPr="0046796A" w:rsidR="00A04EBA">
        <w:rPr>
          <w:rFonts w:ascii="Century Schoolbook" w:hAnsi="Century Schoolbook"/>
        </w:rPr>
        <w:t xml:space="preserve">Traiman argues </w:t>
      </w:r>
      <w:r w:rsidRPr="0046796A" w:rsidR="00367875">
        <w:rPr>
          <w:rFonts w:ascii="Century Schoolbook" w:hAnsi="Century Schoolbook"/>
        </w:rPr>
        <w:t xml:space="preserve">that </w:t>
      </w:r>
      <w:r w:rsidRPr="0046796A" w:rsidR="00A04EBA">
        <w:rPr>
          <w:rFonts w:ascii="Century Schoolbook" w:hAnsi="Century Schoolbook"/>
        </w:rPr>
        <w:t>the cap creates a</w:t>
      </w:r>
      <w:r w:rsidRPr="0046796A">
        <w:rPr>
          <w:rFonts w:ascii="Century Schoolbook" w:hAnsi="Century Schoolbook"/>
        </w:rPr>
        <w:t xml:space="preserve"> </w:t>
      </w:r>
      <w:r w:rsidRPr="0046796A" w:rsidR="00A04EBA">
        <w:rPr>
          <w:rFonts w:ascii="Century Schoolbook" w:hAnsi="Century Schoolbook"/>
        </w:rPr>
        <w:t>facial classification</w:t>
      </w:r>
      <w:r w:rsidRPr="0046796A">
        <w:rPr>
          <w:rFonts w:ascii="Century Schoolbook" w:hAnsi="Century Schoolbook"/>
        </w:rPr>
        <w:t xml:space="preserve"> prohibited by section 50079</w:t>
      </w:r>
      <w:r w:rsidRPr="0046796A" w:rsidR="00075452">
        <w:rPr>
          <w:rFonts w:ascii="Century Schoolbook" w:hAnsi="Century Schoolbook"/>
        </w:rPr>
        <w:t xml:space="preserve"> because it yields different effective tax rates</w:t>
      </w:r>
      <w:r w:rsidRPr="0046796A" w:rsidR="0005226D">
        <w:rPr>
          <w:rFonts w:ascii="Century Schoolbook" w:hAnsi="Century Schoolbook"/>
        </w:rPr>
        <w:t xml:space="preserve"> for different properties</w:t>
      </w:r>
      <w:r w:rsidRPr="0046796A" w:rsidR="00A04EBA">
        <w:rPr>
          <w:rFonts w:ascii="Century Schoolbook" w:hAnsi="Century Schoolbook"/>
        </w:rPr>
        <w:t xml:space="preserve">.  </w:t>
      </w:r>
    </w:p>
    <w:p w:rsidR="00923743" w:rsidRPr="0046796A" w:rsidP="007853CD" w14:paraId="2E678DD8" w14:textId="00E616A8">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376C55">
        <w:rPr>
          <w:rFonts w:ascii="Century Schoolbook" w:hAnsi="Century Schoolbook"/>
        </w:rPr>
        <w:t>Tra</w:t>
      </w:r>
      <w:r w:rsidRPr="0046796A" w:rsidR="002B0FF8">
        <w:rPr>
          <w:rFonts w:ascii="Century Schoolbook" w:hAnsi="Century Schoolbook"/>
        </w:rPr>
        <w:t>i</w:t>
      </w:r>
      <w:r w:rsidRPr="0046796A" w:rsidR="00376C55">
        <w:rPr>
          <w:rFonts w:ascii="Century Schoolbook" w:hAnsi="Century Schoolbook"/>
        </w:rPr>
        <w:t>man</w:t>
      </w:r>
      <w:r w:rsidRPr="0046796A" w:rsidR="006C7B00">
        <w:rPr>
          <w:rFonts w:ascii="Century Schoolbook" w:hAnsi="Century Schoolbook"/>
        </w:rPr>
        <w:t>’s argument</w:t>
      </w:r>
      <w:r w:rsidRPr="0046796A" w:rsidR="00376C55">
        <w:rPr>
          <w:rFonts w:ascii="Century Schoolbook" w:hAnsi="Century Schoolbook"/>
        </w:rPr>
        <w:t xml:space="preserve"> misperceives section 50079.  The statut</w:t>
      </w:r>
      <w:r w:rsidRPr="0046796A" w:rsidR="006C7B00">
        <w:rPr>
          <w:rFonts w:ascii="Century Schoolbook" w:hAnsi="Century Schoolbook"/>
        </w:rPr>
        <w:t xml:space="preserve">ory language </w:t>
      </w:r>
      <w:r w:rsidRPr="0046796A" w:rsidR="00376C55">
        <w:rPr>
          <w:rFonts w:ascii="Century Schoolbook" w:hAnsi="Century Schoolbook"/>
        </w:rPr>
        <w:t xml:space="preserve">requires that the </w:t>
      </w:r>
      <w:r w:rsidRPr="0046796A" w:rsidR="00184F7F">
        <w:rPr>
          <w:rFonts w:ascii="Century Schoolbook" w:hAnsi="Century Schoolbook"/>
        </w:rPr>
        <w:t xml:space="preserve">same </w:t>
      </w:r>
      <w:r w:rsidRPr="0046796A" w:rsidR="00376C55">
        <w:rPr>
          <w:rFonts w:ascii="Century Schoolbook" w:hAnsi="Century Schoolbook"/>
        </w:rPr>
        <w:t xml:space="preserve">tax be </w:t>
      </w:r>
      <w:r w:rsidRPr="0046796A" w:rsidR="005D4245">
        <w:rPr>
          <w:rFonts w:ascii="Century Schoolbook" w:hAnsi="Century Schoolbook"/>
          <w:i/>
          <w:iCs/>
        </w:rPr>
        <w:t>imposed</w:t>
      </w:r>
      <w:r w:rsidRPr="0046796A" w:rsidR="005D4245">
        <w:rPr>
          <w:rFonts w:ascii="Century Schoolbook" w:hAnsi="Century Schoolbook"/>
        </w:rPr>
        <w:t xml:space="preserve"> on all </w:t>
      </w:r>
      <w:r w:rsidRPr="0046796A" w:rsidR="00376C55">
        <w:rPr>
          <w:rFonts w:ascii="Century Schoolbook" w:hAnsi="Century Schoolbook"/>
        </w:rPr>
        <w:t xml:space="preserve">taxpayers </w:t>
      </w:r>
      <w:r w:rsidRPr="0046796A" w:rsidR="00184F7F">
        <w:rPr>
          <w:rFonts w:ascii="Century Schoolbook" w:hAnsi="Century Schoolbook"/>
        </w:rPr>
        <w:t xml:space="preserve">or </w:t>
      </w:r>
      <w:r w:rsidRPr="0046796A" w:rsidR="00376C55">
        <w:rPr>
          <w:rFonts w:ascii="Century Schoolbook" w:hAnsi="Century Schoolbook"/>
        </w:rPr>
        <w:t xml:space="preserve">properties in the </w:t>
      </w:r>
      <w:r w:rsidRPr="0046796A" w:rsidR="00184F7F">
        <w:rPr>
          <w:rFonts w:ascii="Century Schoolbook" w:hAnsi="Century Schoolbook"/>
        </w:rPr>
        <w:t xml:space="preserve">district </w:t>
      </w:r>
      <w:r w:rsidRPr="0046796A" w:rsidR="00376C55">
        <w:rPr>
          <w:rFonts w:ascii="Century Schoolbook" w:hAnsi="Century Schoolbook"/>
        </w:rPr>
        <w:t xml:space="preserve">and not target </w:t>
      </w:r>
      <w:r w:rsidRPr="0046796A" w:rsidR="00184F7F">
        <w:rPr>
          <w:rFonts w:ascii="Century Schoolbook" w:hAnsi="Century Schoolbook"/>
        </w:rPr>
        <w:t xml:space="preserve">a particular class </w:t>
      </w:r>
      <w:r w:rsidRPr="0046796A" w:rsidR="00376C55">
        <w:rPr>
          <w:rFonts w:ascii="Century Schoolbook" w:hAnsi="Century Schoolbook"/>
        </w:rPr>
        <w:t xml:space="preserve">of property or taxpayer; the statute does not </w:t>
      </w:r>
      <w:r w:rsidRPr="0046796A" w:rsidR="005D4245">
        <w:rPr>
          <w:rFonts w:ascii="Century Schoolbook" w:hAnsi="Century Schoolbook"/>
        </w:rPr>
        <w:t xml:space="preserve">further </w:t>
      </w:r>
      <w:r w:rsidRPr="0046796A" w:rsidR="00376C55">
        <w:rPr>
          <w:rFonts w:ascii="Century Schoolbook" w:hAnsi="Century Schoolbook"/>
        </w:rPr>
        <w:t xml:space="preserve">require that the application of the tax </w:t>
      </w:r>
      <w:r w:rsidRPr="0046796A" w:rsidR="00376C55">
        <w:rPr>
          <w:rFonts w:ascii="Century Schoolbook" w:hAnsi="Century Schoolbook"/>
          <w:i/>
          <w:iCs/>
        </w:rPr>
        <w:t>result</w:t>
      </w:r>
      <w:r w:rsidRPr="0046796A" w:rsidR="00376C55">
        <w:rPr>
          <w:rFonts w:ascii="Century Schoolbook" w:hAnsi="Century Schoolbook"/>
        </w:rPr>
        <w:t xml:space="preserve"> in an identical effective tax rate for every taxpayer and every property.  </w:t>
      </w:r>
      <w:r w:rsidRPr="0046796A" w:rsidR="006A2481">
        <w:rPr>
          <w:rFonts w:ascii="Century Schoolbook" w:hAnsi="Century Schoolbook"/>
        </w:rPr>
        <w:t xml:space="preserve">As we explain next, neither </w:t>
      </w:r>
      <w:r w:rsidRPr="0046796A" w:rsidR="00FC574F">
        <w:rPr>
          <w:rFonts w:ascii="Century Schoolbook" w:hAnsi="Century Schoolbook"/>
        </w:rPr>
        <w:t xml:space="preserve">case law, legislative history, </w:t>
      </w:r>
      <w:r w:rsidRPr="0046796A" w:rsidR="00184F7F">
        <w:rPr>
          <w:rFonts w:ascii="Century Schoolbook" w:hAnsi="Century Schoolbook"/>
        </w:rPr>
        <w:t xml:space="preserve">nor </w:t>
      </w:r>
      <w:r w:rsidRPr="0046796A" w:rsidR="00FC574F">
        <w:rPr>
          <w:rFonts w:ascii="Century Schoolbook" w:hAnsi="Century Schoolbook"/>
        </w:rPr>
        <w:t>public policy support</w:t>
      </w:r>
      <w:r w:rsidRPr="0046796A" w:rsidR="006724DB">
        <w:rPr>
          <w:rFonts w:ascii="Century Schoolbook" w:hAnsi="Century Schoolbook"/>
        </w:rPr>
        <w:t>s</w:t>
      </w:r>
      <w:r w:rsidRPr="0046796A" w:rsidR="00FC574F">
        <w:rPr>
          <w:rFonts w:ascii="Century Schoolbook" w:hAnsi="Century Schoolbook"/>
        </w:rPr>
        <w:t xml:space="preserve"> </w:t>
      </w:r>
      <w:r w:rsidRPr="0046796A">
        <w:rPr>
          <w:rFonts w:ascii="Century Schoolbook" w:hAnsi="Century Schoolbook"/>
        </w:rPr>
        <w:t xml:space="preserve">the conclusion that a school district </w:t>
      </w:r>
      <w:r w:rsidRPr="0046796A" w:rsidR="00367875">
        <w:rPr>
          <w:rFonts w:ascii="Century Schoolbook" w:hAnsi="Century Schoolbook"/>
        </w:rPr>
        <w:t xml:space="preserve">is powerless to </w:t>
      </w:r>
      <w:r w:rsidRPr="0046796A" w:rsidR="006A2481">
        <w:rPr>
          <w:rFonts w:ascii="Century Schoolbook" w:hAnsi="Century Schoolbook"/>
        </w:rPr>
        <w:t xml:space="preserve">impose a </w:t>
      </w:r>
      <w:r w:rsidRPr="0046796A" w:rsidR="00627899">
        <w:rPr>
          <w:rFonts w:ascii="Century Schoolbook" w:hAnsi="Century Schoolbook"/>
        </w:rPr>
        <w:t xml:space="preserve">special </w:t>
      </w:r>
      <w:r w:rsidRPr="0046796A" w:rsidR="006A2481">
        <w:rPr>
          <w:rFonts w:ascii="Century Schoolbook" w:hAnsi="Century Schoolbook"/>
        </w:rPr>
        <w:t xml:space="preserve">tax merely because it </w:t>
      </w:r>
      <w:r w:rsidRPr="0046796A">
        <w:rPr>
          <w:rFonts w:ascii="Century Schoolbook" w:hAnsi="Century Schoolbook"/>
        </w:rPr>
        <w:t>cap</w:t>
      </w:r>
      <w:r w:rsidRPr="0046796A" w:rsidR="00627899">
        <w:rPr>
          <w:rFonts w:ascii="Century Schoolbook" w:hAnsi="Century Schoolbook"/>
        </w:rPr>
        <w:t>s</w:t>
      </w:r>
      <w:r w:rsidRPr="0046796A">
        <w:rPr>
          <w:rFonts w:ascii="Century Schoolbook" w:hAnsi="Century Schoolbook"/>
        </w:rPr>
        <w:t xml:space="preserve"> </w:t>
      </w:r>
      <w:r w:rsidRPr="0046796A" w:rsidR="00627899">
        <w:rPr>
          <w:rFonts w:ascii="Century Schoolbook" w:hAnsi="Century Schoolbook"/>
        </w:rPr>
        <w:t xml:space="preserve">the </w:t>
      </w:r>
      <w:r w:rsidRPr="0046796A">
        <w:rPr>
          <w:rFonts w:ascii="Century Schoolbook" w:hAnsi="Century Schoolbook"/>
        </w:rPr>
        <w:t>taxpayers’ liability.</w:t>
      </w:r>
    </w:p>
    <w:p w:rsidR="00184D53" w:rsidRPr="0046796A" w:rsidP="007853CD" w14:paraId="0285EE24" w14:textId="12AAAE53">
      <w:pPr>
        <w:pStyle w:val="BodyText"/>
        <w:widowControl/>
        <w:spacing w:line="360" w:lineRule="auto"/>
        <w:ind w:left="0"/>
        <w:rPr>
          <w:rFonts w:ascii="Century Schoolbook" w:hAnsi="Century Schoolbook"/>
          <w:iCs/>
        </w:rPr>
      </w:pPr>
      <w:r w:rsidRPr="0046796A">
        <w:rPr>
          <w:rFonts w:ascii="Century Schoolbook" w:hAnsi="Century Schoolbook"/>
          <w:iCs/>
        </w:rPr>
        <w:tab/>
      </w:r>
      <w:r w:rsidRPr="0046796A">
        <w:rPr>
          <w:rFonts w:ascii="Century Schoolbook" w:hAnsi="Century Schoolbook"/>
          <w:iCs/>
        </w:rPr>
        <w:tab/>
      </w:r>
      <w:r w:rsidRPr="0046796A" w:rsidR="007162EA">
        <w:rPr>
          <w:rFonts w:ascii="Century Schoolbook" w:hAnsi="Century Schoolbook"/>
          <w:iCs/>
        </w:rPr>
        <w:t>1</w:t>
      </w:r>
      <w:r w:rsidRPr="0046796A">
        <w:rPr>
          <w:rFonts w:ascii="Century Schoolbook" w:hAnsi="Century Schoolbook"/>
          <w:i/>
        </w:rPr>
        <w:t>.</w:t>
      </w:r>
      <w:r w:rsidRPr="0046796A">
        <w:rPr>
          <w:rFonts w:ascii="Century Schoolbook" w:hAnsi="Century Schoolbook"/>
          <w:iCs/>
        </w:rPr>
        <w:t xml:space="preserve">  </w:t>
      </w:r>
      <w:r w:rsidRPr="0046796A" w:rsidR="0058307A">
        <w:rPr>
          <w:rFonts w:ascii="Century Schoolbook" w:hAnsi="Century Schoolbook"/>
          <w:iCs/>
          <w:u w:val="single"/>
        </w:rPr>
        <w:t xml:space="preserve">Case Law: </w:t>
      </w:r>
      <w:r w:rsidR="00016C2A">
        <w:rPr>
          <w:rFonts w:ascii="Century Schoolbook" w:hAnsi="Century Schoolbook"/>
          <w:iCs/>
          <w:u w:val="single"/>
        </w:rPr>
        <w:t xml:space="preserve"> </w:t>
      </w:r>
      <w:r w:rsidRPr="0046796A">
        <w:rPr>
          <w:rFonts w:ascii="Century Schoolbook" w:hAnsi="Century Schoolbook"/>
          <w:i/>
          <w:u w:val="single"/>
        </w:rPr>
        <w:t>Borikas</w:t>
      </w:r>
      <w:r w:rsidRPr="0046796A" w:rsidR="00E817F8">
        <w:rPr>
          <w:rFonts w:ascii="Century Schoolbook" w:hAnsi="Century Schoolbook"/>
          <w:iCs/>
          <w:u w:val="single"/>
        </w:rPr>
        <w:t xml:space="preserve"> </w:t>
      </w:r>
      <w:r w:rsidRPr="0046796A" w:rsidR="0058307A">
        <w:rPr>
          <w:rFonts w:ascii="Century Schoolbook" w:hAnsi="Century Schoolbook"/>
          <w:iCs/>
          <w:u w:val="single"/>
        </w:rPr>
        <w:t xml:space="preserve">and </w:t>
      </w:r>
      <w:r w:rsidRPr="0046796A" w:rsidR="0058307A">
        <w:rPr>
          <w:rFonts w:ascii="Century Schoolbook" w:hAnsi="Century Schoolbook"/>
          <w:i/>
          <w:u w:val="single"/>
        </w:rPr>
        <w:t>Dondlinger</w:t>
      </w:r>
    </w:p>
    <w:p w:rsidR="0018442C" w:rsidRPr="0046796A" w:rsidP="007853CD" w14:paraId="22B51460" w14:textId="15FFCCE7">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3A0D76">
        <w:rPr>
          <w:rFonts w:ascii="Century Schoolbook" w:hAnsi="Century Schoolbook"/>
        </w:rPr>
        <w:t xml:space="preserve">Traiman contends, and the trial court </w:t>
      </w:r>
      <w:r w:rsidRPr="0046796A" w:rsidR="006A2481">
        <w:rPr>
          <w:rFonts w:ascii="Century Schoolbook" w:hAnsi="Century Schoolbook"/>
        </w:rPr>
        <w:t xml:space="preserve">ruled, </w:t>
      </w:r>
      <w:r w:rsidRPr="0046796A" w:rsidR="003A0D76">
        <w:rPr>
          <w:rFonts w:ascii="Century Schoolbook" w:hAnsi="Century Schoolbook"/>
        </w:rPr>
        <w:t xml:space="preserve">that </w:t>
      </w:r>
      <w:r w:rsidRPr="0046796A" w:rsidR="00B10414">
        <w:rPr>
          <w:rFonts w:ascii="Century Schoolbook" w:hAnsi="Century Schoolbook"/>
        </w:rPr>
        <w:t xml:space="preserve">the </w:t>
      </w:r>
      <w:r w:rsidRPr="0046796A" w:rsidR="001E2F5C">
        <w:rPr>
          <w:rFonts w:ascii="Century Schoolbook" w:hAnsi="Century Schoolbook"/>
        </w:rPr>
        <w:t xml:space="preserve">tax imposed by Measure A (2020) is invalid </w:t>
      </w:r>
      <w:r w:rsidRPr="0046796A" w:rsidR="0005226D">
        <w:rPr>
          <w:rFonts w:ascii="Century Schoolbook" w:hAnsi="Century Schoolbook"/>
        </w:rPr>
        <w:t>under</w:t>
      </w:r>
      <w:r w:rsidRPr="0046796A" w:rsidR="00B44E84">
        <w:rPr>
          <w:rFonts w:ascii="Century Schoolbook" w:hAnsi="Century Schoolbook"/>
        </w:rPr>
        <w:t xml:space="preserve"> </w:t>
      </w:r>
      <w:r w:rsidRPr="0046796A" w:rsidR="003A0D76">
        <w:rPr>
          <w:rFonts w:ascii="Century Schoolbook" w:hAnsi="Century Schoolbook"/>
          <w:i/>
          <w:iCs/>
        </w:rPr>
        <w:t>Borikas</w:t>
      </w:r>
      <w:r w:rsidRPr="0046796A" w:rsidR="00DE42E7">
        <w:rPr>
          <w:rFonts w:ascii="Century Schoolbook" w:hAnsi="Century Schoolbook"/>
          <w:i/>
          <w:iCs/>
        </w:rPr>
        <w:t>, supra</w:t>
      </w:r>
      <w:r w:rsidRPr="0046796A" w:rsidR="00DE42E7">
        <w:rPr>
          <w:rFonts w:ascii="Century Schoolbook" w:hAnsi="Century Schoolbook"/>
        </w:rPr>
        <w:t xml:space="preserve">, 214 Cal.App.4th </w:t>
      </w:r>
      <w:r w:rsidRPr="0046796A" w:rsidR="005075C5">
        <w:rPr>
          <w:rFonts w:ascii="Century Schoolbook" w:hAnsi="Century Schoolbook"/>
        </w:rPr>
        <w:t>139</w:t>
      </w:r>
      <w:r w:rsidRPr="0046796A" w:rsidR="001E2F5C">
        <w:rPr>
          <w:rFonts w:ascii="Century Schoolbook" w:hAnsi="Century Schoolbook"/>
        </w:rPr>
        <w:t xml:space="preserve">.  </w:t>
      </w:r>
      <w:r w:rsidRPr="0046796A" w:rsidR="00075452">
        <w:rPr>
          <w:rFonts w:ascii="Century Schoolbook" w:hAnsi="Century Schoolbook"/>
          <w:i/>
          <w:iCs/>
        </w:rPr>
        <w:t>Borikas</w:t>
      </w:r>
      <w:r w:rsidRPr="0046796A" w:rsidR="006A5D78">
        <w:rPr>
          <w:rFonts w:ascii="Century Schoolbook" w:hAnsi="Century Schoolbook"/>
          <w:i/>
          <w:iCs/>
        </w:rPr>
        <w:t xml:space="preserve">, </w:t>
      </w:r>
      <w:r w:rsidRPr="0046796A" w:rsidR="006A5D78">
        <w:rPr>
          <w:rFonts w:ascii="Century Schoolbook" w:hAnsi="Century Schoolbook"/>
        </w:rPr>
        <w:t>however,</w:t>
      </w:r>
      <w:r w:rsidRPr="0046796A" w:rsidR="006A5D78">
        <w:rPr>
          <w:rFonts w:ascii="Century Schoolbook" w:hAnsi="Century Schoolbook"/>
          <w:i/>
          <w:iCs/>
        </w:rPr>
        <w:t xml:space="preserve"> </w:t>
      </w:r>
      <w:r w:rsidRPr="0046796A" w:rsidR="00215214">
        <w:rPr>
          <w:rFonts w:ascii="Century Schoolbook" w:hAnsi="Century Schoolbook"/>
        </w:rPr>
        <w:t>did not involve the tax structure established by Measure A (2020)</w:t>
      </w:r>
      <w:r w:rsidRPr="0046796A" w:rsidR="00C9158E">
        <w:rPr>
          <w:rFonts w:ascii="Century Schoolbook" w:hAnsi="Century Schoolbook"/>
        </w:rPr>
        <w:t>.</w:t>
      </w:r>
    </w:p>
    <w:p w:rsidR="00C20819" w:rsidRPr="0046796A" w:rsidP="007853CD" w14:paraId="56042C71" w14:textId="5DFF4E16">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184D53">
        <w:rPr>
          <w:rFonts w:ascii="Century Schoolbook" w:hAnsi="Century Schoolbook"/>
        </w:rPr>
        <w:t>A</w:t>
      </w:r>
      <w:r w:rsidRPr="0046796A" w:rsidR="007853CD">
        <w:rPr>
          <w:rFonts w:ascii="Century Schoolbook" w:hAnsi="Century Schoolbook"/>
        </w:rPr>
        <w:t xml:space="preserve">t issue </w:t>
      </w:r>
      <w:r w:rsidRPr="0046796A">
        <w:rPr>
          <w:rFonts w:ascii="Century Schoolbook" w:hAnsi="Century Schoolbook"/>
        </w:rPr>
        <w:t xml:space="preserve">in </w:t>
      </w:r>
      <w:r w:rsidRPr="0046796A">
        <w:rPr>
          <w:rFonts w:ascii="Century Schoolbook" w:hAnsi="Century Schoolbook"/>
          <w:i/>
          <w:iCs/>
        </w:rPr>
        <w:t>Borikas</w:t>
      </w:r>
      <w:r w:rsidRPr="0046796A">
        <w:rPr>
          <w:rFonts w:ascii="Century Schoolbook" w:hAnsi="Century Schoolbook"/>
        </w:rPr>
        <w:t xml:space="preserve"> </w:t>
      </w:r>
      <w:r w:rsidRPr="0046796A" w:rsidR="007853CD">
        <w:rPr>
          <w:rFonts w:ascii="Century Schoolbook" w:hAnsi="Century Schoolbook"/>
        </w:rPr>
        <w:t xml:space="preserve">was </w:t>
      </w:r>
      <w:r w:rsidRPr="0046796A" w:rsidR="000C7C29">
        <w:rPr>
          <w:rFonts w:ascii="Century Schoolbook" w:hAnsi="Century Schoolbook"/>
        </w:rPr>
        <w:t xml:space="preserve">whether section 50079 was violated by </w:t>
      </w:r>
      <w:r w:rsidRPr="0046796A" w:rsidR="007853CD">
        <w:rPr>
          <w:rFonts w:ascii="Century Schoolbook" w:hAnsi="Century Schoolbook"/>
        </w:rPr>
        <w:t>Measure H</w:t>
      </w:r>
      <w:r w:rsidRPr="0046796A" w:rsidR="006F35C8">
        <w:rPr>
          <w:rFonts w:ascii="Century Schoolbook" w:hAnsi="Century Schoolbook"/>
        </w:rPr>
        <w:t xml:space="preserve">, </w:t>
      </w:r>
      <w:r w:rsidRPr="0046796A" w:rsidR="003D04F1">
        <w:rPr>
          <w:rFonts w:ascii="Century Schoolbook" w:hAnsi="Century Schoolbook"/>
        </w:rPr>
        <w:t xml:space="preserve">by which the District had </w:t>
      </w:r>
      <w:r w:rsidRPr="0046796A" w:rsidR="00075452">
        <w:rPr>
          <w:rFonts w:ascii="Century Schoolbook" w:hAnsi="Century Schoolbook"/>
        </w:rPr>
        <w:t xml:space="preserve">set up </w:t>
      </w:r>
      <w:r w:rsidRPr="0046796A" w:rsidR="0068514C">
        <w:rPr>
          <w:rFonts w:ascii="Century Schoolbook" w:hAnsi="Century Schoolbook"/>
        </w:rPr>
        <w:t xml:space="preserve">distinct </w:t>
      </w:r>
      <w:r w:rsidRPr="0046796A" w:rsidR="008D4B80">
        <w:rPr>
          <w:rFonts w:ascii="Century Schoolbook" w:hAnsi="Century Schoolbook"/>
        </w:rPr>
        <w:t xml:space="preserve">categories </w:t>
      </w:r>
      <w:r w:rsidRPr="0046796A" w:rsidR="00075452">
        <w:rPr>
          <w:rFonts w:ascii="Century Schoolbook" w:hAnsi="Century Schoolbook"/>
        </w:rPr>
        <w:t xml:space="preserve">of property and then </w:t>
      </w:r>
      <w:r w:rsidRPr="0046796A">
        <w:rPr>
          <w:rFonts w:ascii="Century Schoolbook" w:hAnsi="Century Schoolbook"/>
        </w:rPr>
        <w:t xml:space="preserve">applied </w:t>
      </w:r>
      <w:r w:rsidRPr="0046796A" w:rsidR="00075452">
        <w:rPr>
          <w:rFonts w:ascii="Century Schoolbook" w:hAnsi="Century Schoolbook"/>
        </w:rPr>
        <w:t xml:space="preserve">different </w:t>
      </w:r>
      <w:r w:rsidRPr="0046796A">
        <w:rPr>
          <w:rFonts w:ascii="Century Schoolbook" w:hAnsi="Century Schoolbook"/>
        </w:rPr>
        <w:t>tax formula</w:t>
      </w:r>
      <w:r w:rsidRPr="0046796A" w:rsidR="00CA3500">
        <w:rPr>
          <w:rFonts w:ascii="Century Schoolbook" w:hAnsi="Century Schoolbook"/>
        </w:rPr>
        <w:t>s</w:t>
      </w:r>
      <w:r w:rsidRPr="0046796A">
        <w:rPr>
          <w:rFonts w:ascii="Century Schoolbook" w:hAnsi="Century Schoolbook"/>
        </w:rPr>
        <w:t xml:space="preserve"> to </w:t>
      </w:r>
      <w:r w:rsidRPr="0046796A" w:rsidR="00CA3500">
        <w:rPr>
          <w:rFonts w:ascii="Century Schoolbook" w:hAnsi="Century Schoolbook"/>
        </w:rPr>
        <w:t xml:space="preserve">the </w:t>
      </w:r>
      <w:r w:rsidRPr="0046796A" w:rsidR="00075452">
        <w:rPr>
          <w:rFonts w:ascii="Century Schoolbook" w:hAnsi="Century Schoolbook"/>
        </w:rPr>
        <w:t>categories</w:t>
      </w:r>
      <w:r w:rsidRPr="0046796A" w:rsidR="00102763">
        <w:rPr>
          <w:rFonts w:ascii="Century Schoolbook" w:hAnsi="Century Schoolbook"/>
        </w:rPr>
        <w:t>:</w:t>
      </w:r>
      <w:r w:rsidRPr="0046796A" w:rsidR="0005226D">
        <w:rPr>
          <w:rFonts w:ascii="Century Schoolbook" w:hAnsi="Century Schoolbook"/>
        </w:rPr>
        <w:t xml:space="preserve"> </w:t>
      </w:r>
      <w:r w:rsidRPr="0046796A" w:rsidR="00102763">
        <w:rPr>
          <w:rFonts w:ascii="Century Schoolbook" w:hAnsi="Century Schoolbook"/>
        </w:rPr>
        <w:t xml:space="preserve"> (1) r</w:t>
      </w:r>
      <w:r w:rsidRPr="0046796A">
        <w:rPr>
          <w:rFonts w:ascii="Century Schoolbook" w:hAnsi="Century Schoolbook"/>
        </w:rPr>
        <w:t xml:space="preserve">esidential </w:t>
      </w:r>
      <w:r w:rsidRPr="0046796A" w:rsidR="00DB7EB1">
        <w:rPr>
          <w:rFonts w:ascii="Century Schoolbook" w:hAnsi="Century Schoolbook"/>
        </w:rPr>
        <w:t xml:space="preserve">parcels </w:t>
      </w:r>
      <w:r w:rsidRPr="0046796A" w:rsidR="00215214">
        <w:rPr>
          <w:rFonts w:ascii="Century Schoolbook" w:hAnsi="Century Schoolbook"/>
        </w:rPr>
        <w:t xml:space="preserve">were </w:t>
      </w:r>
      <w:r w:rsidRPr="0046796A" w:rsidR="00AC7489">
        <w:rPr>
          <w:rFonts w:ascii="Century Schoolbook" w:hAnsi="Century Schoolbook"/>
        </w:rPr>
        <w:t xml:space="preserve">taxed </w:t>
      </w:r>
      <w:r w:rsidRPr="0046796A" w:rsidR="00DB7EB1">
        <w:rPr>
          <w:rFonts w:ascii="Century Schoolbook" w:hAnsi="Century Schoolbook"/>
        </w:rPr>
        <w:t>at $120 per year</w:t>
      </w:r>
      <w:r w:rsidRPr="0046796A">
        <w:rPr>
          <w:rFonts w:ascii="Century Schoolbook" w:hAnsi="Century Schoolbook"/>
        </w:rPr>
        <w:t xml:space="preserve">; </w:t>
      </w:r>
      <w:r w:rsidRPr="0046796A" w:rsidR="00102763">
        <w:rPr>
          <w:rFonts w:ascii="Century Schoolbook" w:hAnsi="Century Schoolbook"/>
        </w:rPr>
        <w:t xml:space="preserve">(2) </w:t>
      </w:r>
      <w:r w:rsidRPr="0046796A" w:rsidR="00DB7EB1">
        <w:rPr>
          <w:rFonts w:ascii="Century Schoolbook" w:hAnsi="Century Schoolbook"/>
        </w:rPr>
        <w:t xml:space="preserve">commercial and industrial parcels less than 2,000 square feet </w:t>
      </w:r>
      <w:r w:rsidRPr="0046796A" w:rsidR="00215214">
        <w:rPr>
          <w:rFonts w:ascii="Century Schoolbook" w:hAnsi="Century Schoolbook"/>
        </w:rPr>
        <w:t xml:space="preserve">were </w:t>
      </w:r>
      <w:r w:rsidRPr="0046796A" w:rsidR="00AC7489">
        <w:rPr>
          <w:rFonts w:ascii="Century Schoolbook" w:hAnsi="Century Schoolbook"/>
        </w:rPr>
        <w:t xml:space="preserve">taxed </w:t>
      </w:r>
      <w:r w:rsidRPr="0046796A" w:rsidR="00DB7EB1">
        <w:rPr>
          <w:rFonts w:ascii="Century Schoolbook" w:hAnsi="Century Schoolbook"/>
        </w:rPr>
        <w:t>at $120 per year</w:t>
      </w:r>
      <w:r w:rsidRPr="0046796A">
        <w:rPr>
          <w:rFonts w:ascii="Century Schoolbook" w:hAnsi="Century Schoolbook"/>
        </w:rPr>
        <w:t xml:space="preserve">; </w:t>
      </w:r>
      <w:r w:rsidRPr="0046796A" w:rsidR="00AC7489">
        <w:rPr>
          <w:rFonts w:ascii="Century Schoolbook" w:hAnsi="Century Schoolbook"/>
        </w:rPr>
        <w:t xml:space="preserve">but </w:t>
      </w:r>
      <w:r w:rsidRPr="0046796A" w:rsidR="00102763">
        <w:rPr>
          <w:rFonts w:ascii="Century Schoolbook" w:hAnsi="Century Schoolbook"/>
        </w:rPr>
        <w:t xml:space="preserve">(3) </w:t>
      </w:r>
      <w:r w:rsidRPr="0046796A" w:rsidR="00DB7EB1">
        <w:rPr>
          <w:rFonts w:ascii="Century Schoolbook" w:hAnsi="Century Schoolbook"/>
        </w:rPr>
        <w:t xml:space="preserve">commercial and industrial parcels greater than 2,000 square feet </w:t>
      </w:r>
      <w:r w:rsidRPr="0046796A" w:rsidR="00215214">
        <w:rPr>
          <w:rFonts w:ascii="Century Schoolbook" w:hAnsi="Century Schoolbook"/>
        </w:rPr>
        <w:t xml:space="preserve">were </w:t>
      </w:r>
      <w:r w:rsidRPr="0046796A" w:rsidR="00AC7489">
        <w:rPr>
          <w:rFonts w:ascii="Century Schoolbook" w:hAnsi="Century Schoolbook"/>
        </w:rPr>
        <w:t xml:space="preserve">taxed </w:t>
      </w:r>
      <w:r w:rsidRPr="0046796A" w:rsidR="007C0A07">
        <w:rPr>
          <w:rFonts w:ascii="Century Schoolbook" w:hAnsi="Century Schoolbook"/>
        </w:rPr>
        <w:t xml:space="preserve">differently, </w:t>
      </w:r>
      <w:r w:rsidRPr="0046796A" w:rsidR="00AC7489">
        <w:rPr>
          <w:rFonts w:ascii="Century Schoolbook" w:hAnsi="Century Schoolbook"/>
        </w:rPr>
        <w:t xml:space="preserve">using a formula of </w:t>
      </w:r>
      <w:r w:rsidRPr="0046796A" w:rsidR="00DB7EB1">
        <w:rPr>
          <w:rFonts w:ascii="Century Schoolbook" w:hAnsi="Century Schoolbook"/>
        </w:rPr>
        <w:t xml:space="preserve">$0.15 per square foot </w:t>
      </w:r>
      <w:r w:rsidRPr="0046796A" w:rsidR="00AC7489">
        <w:rPr>
          <w:rFonts w:ascii="Century Schoolbook" w:hAnsi="Century Schoolbook"/>
        </w:rPr>
        <w:t xml:space="preserve">up to </w:t>
      </w:r>
      <w:r w:rsidRPr="0046796A" w:rsidR="00DB7EB1">
        <w:rPr>
          <w:rFonts w:ascii="Century Schoolbook" w:hAnsi="Century Schoolbook"/>
        </w:rPr>
        <w:t>a maximum of $9,500 per year.</w:t>
      </w:r>
      <w:r w:rsidRPr="0046796A" w:rsidR="0005226D">
        <w:rPr>
          <w:rFonts w:ascii="Century Schoolbook" w:hAnsi="Century Schoolbook"/>
        </w:rPr>
        <w:t xml:space="preserve"> </w:t>
      </w:r>
      <w:r w:rsidRPr="0046796A" w:rsidR="00DB7EB1">
        <w:rPr>
          <w:rFonts w:ascii="Century Schoolbook" w:hAnsi="Century Schoolbook"/>
        </w:rPr>
        <w:t xml:space="preserve"> </w:t>
      </w:r>
      <w:r w:rsidRPr="0046796A" w:rsidR="007853CD">
        <w:rPr>
          <w:rFonts w:ascii="Century Schoolbook" w:hAnsi="Century Schoolbook"/>
        </w:rPr>
        <w:t>(</w:t>
      </w:r>
      <w:r w:rsidRPr="0046796A" w:rsidR="000C7C29">
        <w:rPr>
          <w:rFonts w:ascii="Century Schoolbook" w:hAnsi="Century Schoolbook"/>
          <w:i/>
          <w:iCs/>
        </w:rPr>
        <w:t>Borikas, supra</w:t>
      </w:r>
      <w:r w:rsidRPr="0046796A" w:rsidR="000C7C29">
        <w:rPr>
          <w:rFonts w:ascii="Century Schoolbook" w:hAnsi="Century Schoolbook"/>
        </w:rPr>
        <w:t xml:space="preserve">, </w:t>
      </w:r>
      <w:r w:rsidRPr="0046796A" w:rsidR="007853CD">
        <w:rPr>
          <w:rFonts w:ascii="Century Schoolbook" w:hAnsi="Century Schoolbook"/>
        </w:rPr>
        <w:t xml:space="preserve">214 Cal.App.4th at </w:t>
      </w:r>
      <w:r w:rsidRPr="0046796A" w:rsidR="00DB7EB1">
        <w:rPr>
          <w:rFonts w:ascii="Century Schoolbook" w:hAnsi="Century Schoolbook"/>
        </w:rPr>
        <w:t xml:space="preserve">pp. </w:t>
      </w:r>
      <w:r w:rsidRPr="0046796A" w:rsidR="007853CD">
        <w:rPr>
          <w:rFonts w:ascii="Century Schoolbook" w:hAnsi="Century Schoolbook"/>
        </w:rPr>
        <w:t>139</w:t>
      </w:r>
      <w:r w:rsidRPr="0046796A" w:rsidR="00DC3F86">
        <w:rPr>
          <w:rFonts w:ascii="Century Schoolbook" w:hAnsi="Century Schoolbook"/>
        </w:rPr>
        <w:t>–</w:t>
      </w:r>
      <w:r w:rsidRPr="0046796A" w:rsidR="00DB7EB1">
        <w:rPr>
          <w:rFonts w:ascii="Century Schoolbook" w:hAnsi="Century Schoolbook"/>
        </w:rPr>
        <w:t>140</w:t>
      </w:r>
      <w:r w:rsidRPr="0046796A" w:rsidR="007853CD">
        <w:rPr>
          <w:rFonts w:ascii="Century Schoolbook" w:hAnsi="Century Schoolbook"/>
        </w:rPr>
        <w:t>.)</w:t>
      </w:r>
    </w:p>
    <w:p w:rsidR="005D207B" w:rsidRPr="0046796A" w:rsidP="00C20819" w14:paraId="4F3FB0CA" w14:textId="61BC618D">
      <w:pPr>
        <w:pStyle w:val="BodyText"/>
        <w:widowControl/>
        <w:spacing w:line="360" w:lineRule="auto"/>
        <w:ind w:left="0"/>
        <w:rPr>
          <w:rFonts w:ascii="Century Schoolbook" w:hAnsi="Century Schoolbook"/>
        </w:rPr>
      </w:pPr>
      <w:r w:rsidRPr="0046796A">
        <w:rPr>
          <w:rFonts w:ascii="Century Schoolbook" w:hAnsi="Century Schoolbook"/>
        </w:rPr>
        <w:tab/>
        <w:t xml:space="preserve">The threshold question in </w:t>
      </w:r>
      <w:r w:rsidRPr="0046796A">
        <w:rPr>
          <w:rFonts w:ascii="Century Schoolbook" w:hAnsi="Century Schoolbook"/>
          <w:i/>
          <w:iCs/>
        </w:rPr>
        <w:t>Borikas</w:t>
      </w:r>
      <w:r w:rsidRPr="0046796A">
        <w:rPr>
          <w:rFonts w:ascii="Century Schoolbook" w:hAnsi="Century Schoolbook"/>
        </w:rPr>
        <w:t xml:space="preserve"> was </w:t>
      </w:r>
      <w:r w:rsidRPr="0046796A" w:rsidR="00075452">
        <w:rPr>
          <w:rFonts w:ascii="Century Schoolbook" w:hAnsi="Century Schoolbook"/>
        </w:rPr>
        <w:t xml:space="preserve">whether </w:t>
      </w:r>
      <w:r w:rsidRPr="0046796A" w:rsidR="001E2F5C">
        <w:rPr>
          <w:rFonts w:ascii="Century Schoolbook" w:hAnsi="Century Schoolbook"/>
        </w:rPr>
        <w:t xml:space="preserve">the </w:t>
      </w:r>
      <w:r w:rsidRPr="0046796A">
        <w:rPr>
          <w:rFonts w:ascii="Century Schoolbook" w:hAnsi="Century Schoolbook"/>
        </w:rPr>
        <w:t xml:space="preserve">phrase “apply uniformly” </w:t>
      </w:r>
      <w:r w:rsidRPr="0046796A" w:rsidR="00DD1AD5">
        <w:rPr>
          <w:rFonts w:ascii="Century Schoolbook" w:hAnsi="Century Schoolbook"/>
        </w:rPr>
        <w:t>in section 50079</w:t>
      </w:r>
      <w:r w:rsidRPr="0046796A" w:rsidR="00075452">
        <w:rPr>
          <w:rFonts w:ascii="Century Schoolbook" w:hAnsi="Century Schoolbook"/>
        </w:rPr>
        <w:t xml:space="preserve"> </w:t>
      </w:r>
      <w:r w:rsidRPr="0046796A" w:rsidR="009E44AE">
        <w:rPr>
          <w:rFonts w:ascii="Century Schoolbook" w:hAnsi="Century Schoolbook"/>
        </w:rPr>
        <w:t>reflected a</w:t>
      </w:r>
      <w:r w:rsidRPr="0046796A" w:rsidR="00B44E84">
        <w:rPr>
          <w:rFonts w:ascii="Century Schoolbook" w:hAnsi="Century Schoolbook"/>
        </w:rPr>
        <w:t>ny</w:t>
      </w:r>
      <w:r w:rsidRPr="0046796A" w:rsidR="009E44AE">
        <w:rPr>
          <w:rFonts w:ascii="Century Schoolbook" w:hAnsi="Century Schoolbook"/>
        </w:rPr>
        <w:t xml:space="preserve"> limitation on </w:t>
      </w:r>
      <w:r w:rsidRPr="0046796A" w:rsidR="00D627C6">
        <w:rPr>
          <w:rFonts w:ascii="Century Schoolbook" w:hAnsi="Century Schoolbook"/>
        </w:rPr>
        <w:t xml:space="preserve">a </w:t>
      </w:r>
      <w:r w:rsidRPr="0046796A" w:rsidR="009E44AE">
        <w:rPr>
          <w:rFonts w:ascii="Century Schoolbook" w:hAnsi="Century Schoolbook"/>
        </w:rPr>
        <w:t>school district</w:t>
      </w:r>
      <w:r w:rsidRPr="0046796A" w:rsidR="00D627C6">
        <w:rPr>
          <w:rFonts w:ascii="Century Schoolbook" w:hAnsi="Century Schoolbook"/>
        </w:rPr>
        <w:t>’</w:t>
      </w:r>
      <w:r w:rsidRPr="0046796A" w:rsidR="009E44AE">
        <w:rPr>
          <w:rFonts w:ascii="Century Schoolbook" w:hAnsi="Century Schoolbook"/>
        </w:rPr>
        <w:t xml:space="preserve">s </w:t>
      </w:r>
      <w:r w:rsidRPr="0046796A" w:rsidR="007C0A07">
        <w:rPr>
          <w:rFonts w:ascii="Century Schoolbook" w:hAnsi="Century Schoolbook"/>
        </w:rPr>
        <w:t>authority to tax property</w:t>
      </w:r>
      <w:r w:rsidRPr="0046796A" w:rsidR="00D627C6">
        <w:rPr>
          <w:rFonts w:ascii="Century Schoolbook" w:hAnsi="Century Schoolbook"/>
        </w:rPr>
        <w:t xml:space="preserve">, beyond the limitations </w:t>
      </w:r>
      <w:r w:rsidRPr="0046796A" w:rsidR="009E44AE">
        <w:rPr>
          <w:rFonts w:ascii="Century Schoolbook" w:hAnsi="Century Schoolbook"/>
        </w:rPr>
        <w:t xml:space="preserve">that </w:t>
      </w:r>
      <w:r w:rsidRPr="0046796A" w:rsidR="007C0A07">
        <w:rPr>
          <w:rFonts w:ascii="Century Schoolbook" w:hAnsi="Century Schoolbook"/>
        </w:rPr>
        <w:t>existed</w:t>
      </w:r>
      <w:r w:rsidRPr="0046796A" w:rsidR="00CC64E1">
        <w:rPr>
          <w:rFonts w:ascii="Century Schoolbook" w:hAnsi="Century Schoolbook"/>
        </w:rPr>
        <w:t xml:space="preserve"> before </w:t>
      </w:r>
      <w:r w:rsidRPr="0046796A" w:rsidR="006A5D78">
        <w:rPr>
          <w:rFonts w:ascii="Century Schoolbook" w:hAnsi="Century Schoolbook"/>
        </w:rPr>
        <w:t xml:space="preserve">the statute’s </w:t>
      </w:r>
      <w:r w:rsidRPr="0046796A" w:rsidR="00CC64E1">
        <w:rPr>
          <w:rFonts w:ascii="Century Schoolbook" w:hAnsi="Century Schoolbook"/>
        </w:rPr>
        <w:t>enactment</w:t>
      </w:r>
      <w:r w:rsidRPr="0046796A" w:rsidR="007C0A07">
        <w:rPr>
          <w:rFonts w:ascii="Century Schoolbook" w:hAnsi="Century Schoolbook"/>
        </w:rPr>
        <w:t xml:space="preserve">.  </w:t>
      </w:r>
      <w:r w:rsidRPr="0046796A" w:rsidR="001F4CAD">
        <w:rPr>
          <w:rFonts w:ascii="Century Schoolbook" w:hAnsi="Century Schoolbook"/>
        </w:rPr>
        <w:t xml:space="preserve">The District argued that </w:t>
      </w:r>
      <w:r w:rsidRPr="0046796A" w:rsidR="00EA391E">
        <w:rPr>
          <w:rFonts w:ascii="Century Schoolbook" w:hAnsi="Century Schoolbook"/>
        </w:rPr>
        <w:t>Measure H was fine</w:t>
      </w:r>
      <w:r w:rsidRPr="0046796A" w:rsidR="00B44E84">
        <w:rPr>
          <w:rFonts w:ascii="Century Schoolbook" w:hAnsi="Century Schoolbook"/>
        </w:rPr>
        <w:t xml:space="preserve"> as-is</w:t>
      </w:r>
      <w:r w:rsidRPr="0046796A" w:rsidR="00EA391E">
        <w:rPr>
          <w:rFonts w:ascii="Century Schoolbook" w:hAnsi="Century Schoolbook"/>
        </w:rPr>
        <w:t xml:space="preserve">, because </w:t>
      </w:r>
      <w:r w:rsidRPr="0046796A" w:rsidR="001F4CAD">
        <w:rPr>
          <w:rFonts w:ascii="Century Schoolbook" w:hAnsi="Century Schoolbook"/>
        </w:rPr>
        <w:t xml:space="preserve">uniformity in tax law had a well-established meaning that allowed rational classifications under equal protection principles and </w:t>
      </w:r>
      <w:r w:rsidRPr="0046796A" w:rsidR="00B44E84">
        <w:rPr>
          <w:rFonts w:ascii="Century Schoolbook" w:hAnsi="Century Schoolbook"/>
        </w:rPr>
        <w:t xml:space="preserve">only </w:t>
      </w:r>
      <w:r w:rsidRPr="0046796A" w:rsidR="001F4CAD">
        <w:rPr>
          <w:rFonts w:ascii="Century Schoolbook" w:hAnsi="Century Schoolbook"/>
        </w:rPr>
        <w:t xml:space="preserve">required that all taxpayers or property </w:t>
      </w:r>
      <w:r w:rsidRPr="0046796A" w:rsidR="001F4CAD">
        <w:rPr>
          <w:rFonts w:ascii="Century Schoolbook" w:hAnsi="Century Schoolbook"/>
          <w:i/>
          <w:iCs/>
        </w:rPr>
        <w:t>within</w:t>
      </w:r>
      <w:r w:rsidRPr="0046796A" w:rsidR="001F4CAD">
        <w:rPr>
          <w:rFonts w:ascii="Century Schoolbook" w:hAnsi="Century Schoolbook"/>
        </w:rPr>
        <w:t xml:space="preserve"> a classification be treated the same. </w:t>
      </w:r>
      <w:r w:rsidR="00BC39CD">
        <w:rPr>
          <w:rFonts w:ascii="Century Schoolbook" w:hAnsi="Century Schoolbook"/>
        </w:rPr>
        <w:t xml:space="preserve"> </w:t>
      </w:r>
      <w:r w:rsidRPr="0046796A" w:rsidR="001F4CAD">
        <w:rPr>
          <w:rFonts w:ascii="Century Schoolbook" w:hAnsi="Century Schoolbook"/>
        </w:rPr>
        <w:t>(</w:t>
      </w:r>
      <w:r w:rsidRPr="0046796A" w:rsidR="001F4CAD">
        <w:rPr>
          <w:rFonts w:ascii="Century Schoolbook" w:hAnsi="Century Schoolbook"/>
          <w:i/>
          <w:iCs/>
        </w:rPr>
        <w:t>Borikas, supra</w:t>
      </w:r>
      <w:r w:rsidRPr="0046796A" w:rsidR="001F4CAD">
        <w:rPr>
          <w:rFonts w:ascii="Century Schoolbook" w:hAnsi="Century Schoolbook"/>
        </w:rPr>
        <w:t>, 214 Cal.App.4th at p</w:t>
      </w:r>
      <w:r w:rsidRPr="0046796A" w:rsidR="005075C5">
        <w:rPr>
          <w:rFonts w:ascii="Century Schoolbook" w:hAnsi="Century Schoolbook"/>
        </w:rPr>
        <w:t>p</w:t>
      </w:r>
      <w:r w:rsidRPr="0046796A" w:rsidR="001F4CAD">
        <w:rPr>
          <w:rFonts w:ascii="Century Schoolbook" w:hAnsi="Century Schoolbook"/>
        </w:rPr>
        <w:t>. 148</w:t>
      </w:r>
      <w:r w:rsidRPr="0046796A" w:rsidR="00D23434">
        <w:rPr>
          <w:rFonts w:ascii="Century Schoolbook" w:hAnsi="Century Schoolbook"/>
        </w:rPr>
        <w:t>–</w:t>
      </w:r>
      <w:r w:rsidRPr="0046796A" w:rsidR="005075C5">
        <w:rPr>
          <w:rFonts w:ascii="Century Schoolbook" w:hAnsi="Century Schoolbook"/>
        </w:rPr>
        <w:t>151</w:t>
      </w:r>
      <w:r w:rsidRPr="0046796A" w:rsidR="001F4CAD">
        <w:rPr>
          <w:rFonts w:ascii="Century Schoolbook" w:hAnsi="Century Schoolbook"/>
        </w:rPr>
        <w:t xml:space="preserve">.)  </w:t>
      </w:r>
      <w:r w:rsidRPr="0046796A" w:rsidR="000C7C29">
        <w:rPr>
          <w:rFonts w:ascii="Century Schoolbook" w:hAnsi="Century Schoolbook"/>
        </w:rPr>
        <w:t>The plaintiffs</w:t>
      </w:r>
      <w:r w:rsidRPr="0046796A" w:rsidR="001F4CAD">
        <w:rPr>
          <w:rFonts w:ascii="Century Schoolbook" w:hAnsi="Century Schoolbook"/>
        </w:rPr>
        <w:t xml:space="preserve">, on the other hand, urged </w:t>
      </w:r>
      <w:r w:rsidRPr="0046796A" w:rsidR="007C0A07">
        <w:rPr>
          <w:rFonts w:ascii="Century Schoolbook" w:hAnsi="Century Schoolbook"/>
        </w:rPr>
        <w:t xml:space="preserve">that </w:t>
      </w:r>
      <w:r w:rsidR="00C377D9">
        <w:rPr>
          <w:rFonts w:ascii="Century Schoolbook" w:hAnsi="Century Schoolbook"/>
        </w:rPr>
        <w:t xml:space="preserve">school </w:t>
      </w:r>
      <w:r w:rsidRPr="0046796A" w:rsidR="00EE1BD5">
        <w:rPr>
          <w:rFonts w:ascii="Century Schoolbook" w:hAnsi="Century Schoolbook"/>
        </w:rPr>
        <w:t xml:space="preserve">districts </w:t>
      </w:r>
      <w:r w:rsidRPr="0046796A" w:rsidR="00B45C45">
        <w:rPr>
          <w:rFonts w:ascii="Century Schoolbook" w:hAnsi="Century Schoolbook"/>
        </w:rPr>
        <w:t xml:space="preserve">could </w:t>
      </w:r>
      <w:r w:rsidRPr="0046796A" w:rsidR="00D627C6">
        <w:rPr>
          <w:rFonts w:ascii="Century Schoolbook" w:hAnsi="Century Schoolbook"/>
        </w:rPr>
        <w:t xml:space="preserve">no longer classify taxpayers or property </w:t>
      </w:r>
      <w:r w:rsidRPr="0046796A" w:rsidR="007853CD">
        <w:rPr>
          <w:rFonts w:ascii="Century Schoolbook" w:hAnsi="Century Schoolbook"/>
        </w:rPr>
        <w:t xml:space="preserve">and </w:t>
      </w:r>
      <w:r w:rsidRPr="0046796A" w:rsidR="00AC7489">
        <w:rPr>
          <w:rFonts w:ascii="Century Schoolbook" w:hAnsi="Century Schoolbook"/>
        </w:rPr>
        <w:t>tax them differently</w:t>
      </w:r>
      <w:r w:rsidRPr="0046796A" w:rsidR="001E2F5C">
        <w:rPr>
          <w:rFonts w:ascii="Century Schoolbook" w:hAnsi="Century Schoolbook"/>
        </w:rPr>
        <w:t xml:space="preserve"> as in Measure H</w:t>
      </w:r>
      <w:r w:rsidRPr="0046796A" w:rsidR="00AC7489">
        <w:rPr>
          <w:rFonts w:ascii="Century Schoolbook" w:hAnsi="Century Schoolbook"/>
        </w:rPr>
        <w:t xml:space="preserve">.  </w:t>
      </w:r>
      <w:r w:rsidRPr="0046796A" w:rsidR="007853CD">
        <w:rPr>
          <w:rFonts w:ascii="Century Schoolbook" w:hAnsi="Century Schoolbook"/>
        </w:rPr>
        <w:t>(</w:t>
      </w:r>
      <w:r w:rsidRPr="0046796A" w:rsidR="001F4CAD">
        <w:rPr>
          <w:rFonts w:ascii="Century Schoolbook" w:hAnsi="Century Schoolbook"/>
          <w:i/>
          <w:iCs/>
        </w:rPr>
        <w:t>Id</w:t>
      </w:r>
      <w:r w:rsidRPr="0046796A" w:rsidR="001F4CAD">
        <w:rPr>
          <w:rFonts w:ascii="Century Schoolbook" w:hAnsi="Century Schoolbook"/>
        </w:rPr>
        <w:t xml:space="preserve">. at </w:t>
      </w:r>
      <w:r w:rsidRPr="0046796A" w:rsidR="00AC7489">
        <w:rPr>
          <w:rFonts w:ascii="Century Schoolbook" w:hAnsi="Century Schoolbook"/>
        </w:rPr>
        <w:t>p</w:t>
      </w:r>
      <w:r w:rsidRPr="0046796A" w:rsidR="005838C6">
        <w:rPr>
          <w:rFonts w:ascii="Century Schoolbook" w:hAnsi="Century Schoolbook"/>
        </w:rPr>
        <w:t>p</w:t>
      </w:r>
      <w:r w:rsidRPr="0046796A" w:rsidR="00AC7489">
        <w:rPr>
          <w:rFonts w:ascii="Century Schoolbook" w:hAnsi="Century Schoolbook"/>
        </w:rPr>
        <w:t xml:space="preserve">. </w:t>
      </w:r>
      <w:r w:rsidRPr="0046796A" w:rsidR="005838C6">
        <w:rPr>
          <w:rFonts w:ascii="Century Schoolbook" w:hAnsi="Century Schoolbook"/>
        </w:rPr>
        <w:t>146</w:t>
      </w:r>
      <w:r w:rsidRPr="0046796A" w:rsidR="00A85D82">
        <w:rPr>
          <w:rFonts w:ascii="Century Schoolbook" w:hAnsi="Century Schoolbook"/>
        </w:rPr>
        <w:t>–</w:t>
      </w:r>
      <w:r w:rsidRPr="0046796A" w:rsidR="007853CD">
        <w:rPr>
          <w:rFonts w:ascii="Century Schoolbook" w:hAnsi="Century Schoolbook"/>
        </w:rPr>
        <w:t>148.)</w:t>
      </w:r>
      <w:r>
        <w:rPr>
          <w:rStyle w:val="FootnoteReference"/>
          <w:rFonts w:ascii="Century Schoolbook" w:hAnsi="Century Schoolbook"/>
        </w:rPr>
        <w:footnoteReference w:id="6"/>
      </w:r>
    </w:p>
    <w:p w:rsidR="00780E9A" w:rsidRPr="0046796A" w:rsidP="005D207B" w14:paraId="0AF82618" w14:textId="737CE657">
      <w:pPr>
        <w:pStyle w:val="NormalWeb"/>
        <w:spacing w:before="0" w:beforeAutospacing="0" w:after="0" w:afterAutospacing="0" w:line="360" w:lineRule="auto"/>
        <w:textAlignment w:val="baseline"/>
        <w:rPr>
          <w:rFonts w:ascii="Century Schoolbook" w:hAnsi="Century Schoolbook"/>
          <w:sz w:val="26"/>
          <w:szCs w:val="26"/>
        </w:rPr>
      </w:pPr>
      <w:r w:rsidRPr="0046796A">
        <w:rPr>
          <w:rFonts w:ascii="Century Schoolbook" w:hAnsi="Century Schoolbook"/>
          <w:sz w:val="26"/>
          <w:szCs w:val="26"/>
        </w:rPr>
        <w:tab/>
      </w:r>
      <w:r w:rsidRPr="0046796A" w:rsidR="007633AD">
        <w:rPr>
          <w:rFonts w:ascii="Century Schoolbook" w:hAnsi="Century Schoolbook"/>
          <w:sz w:val="26"/>
          <w:szCs w:val="26"/>
        </w:rPr>
        <w:t xml:space="preserve">In answering </w:t>
      </w:r>
      <w:r w:rsidRPr="0046796A" w:rsidR="0009352A">
        <w:rPr>
          <w:rFonts w:ascii="Century Schoolbook" w:hAnsi="Century Schoolbook"/>
          <w:sz w:val="26"/>
          <w:szCs w:val="26"/>
        </w:rPr>
        <w:t xml:space="preserve">this </w:t>
      </w:r>
      <w:r w:rsidRPr="0046796A" w:rsidR="00B44E84">
        <w:rPr>
          <w:rFonts w:ascii="Century Schoolbook" w:hAnsi="Century Schoolbook"/>
          <w:sz w:val="26"/>
          <w:szCs w:val="26"/>
        </w:rPr>
        <w:t xml:space="preserve">threshold </w:t>
      </w:r>
      <w:r w:rsidRPr="0046796A" w:rsidR="000C7C29">
        <w:rPr>
          <w:rFonts w:ascii="Century Schoolbook" w:hAnsi="Century Schoolbook"/>
          <w:sz w:val="26"/>
          <w:szCs w:val="26"/>
        </w:rPr>
        <w:t>question</w:t>
      </w:r>
      <w:r w:rsidRPr="0046796A" w:rsidR="00BF01BD">
        <w:rPr>
          <w:rFonts w:ascii="Century Schoolbook" w:hAnsi="Century Schoolbook"/>
          <w:sz w:val="26"/>
          <w:szCs w:val="26"/>
        </w:rPr>
        <w:t xml:space="preserve">, </w:t>
      </w:r>
      <w:r w:rsidRPr="0046796A" w:rsidR="000C7C29">
        <w:rPr>
          <w:rFonts w:ascii="Century Schoolbook" w:hAnsi="Century Schoolbook"/>
          <w:i/>
          <w:iCs/>
          <w:sz w:val="26"/>
          <w:szCs w:val="26"/>
        </w:rPr>
        <w:t>Borikas</w:t>
      </w:r>
      <w:r w:rsidRPr="0046796A" w:rsidR="000C7C29">
        <w:rPr>
          <w:rFonts w:ascii="Century Schoolbook" w:hAnsi="Century Schoolbook"/>
          <w:sz w:val="26"/>
          <w:szCs w:val="26"/>
        </w:rPr>
        <w:t xml:space="preserve"> </w:t>
      </w:r>
      <w:r w:rsidRPr="0046796A" w:rsidR="0009352A">
        <w:rPr>
          <w:rFonts w:ascii="Century Schoolbook" w:hAnsi="Century Schoolbook"/>
          <w:sz w:val="26"/>
          <w:szCs w:val="26"/>
        </w:rPr>
        <w:t xml:space="preserve">made </w:t>
      </w:r>
      <w:r w:rsidRPr="0046796A" w:rsidR="007633AD">
        <w:rPr>
          <w:rFonts w:ascii="Century Schoolbook" w:hAnsi="Century Schoolbook"/>
          <w:sz w:val="26"/>
          <w:szCs w:val="26"/>
        </w:rPr>
        <w:t xml:space="preserve">three </w:t>
      </w:r>
      <w:r w:rsidRPr="0046796A" w:rsidR="00DD1AD5">
        <w:rPr>
          <w:rFonts w:ascii="Century Schoolbook" w:hAnsi="Century Schoolbook"/>
          <w:sz w:val="26"/>
          <w:szCs w:val="26"/>
        </w:rPr>
        <w:t xml:space="preserve">essential </w:t>
      </w:r>
      <w:r w:rsidRPr="0046796A" w:rsidR="007633AD">
        <w:rPr>
          <w:rFonts w:ascii="Century Schoolbook" w:hAnsi="Century Schoolbook"/>
          <w:sz w:val="26"/>
          <w:szCs w:val="26"/>
        </w:rPr>
        <w:t xml:space="preserve">observations.  </w:t>
      </w:r>
      <w:r w:rsidRPr="0046796A" w:rsidR="005D207B">
        <w:rPr>
          <w:rFonts w:ascii="Century Schoolbook" w:hAnsi="Century Schoolbook"/>
          <w:sz w:val="26"/>
          <w:szCs w:val="26"/>
        </w:rPr>
        <w:t xml:space="preserve">First, </w:t>
      </w:r>
      <w:r w:rsidRPr="0046796A" w:rsidR="00C700AA">
        <w:rPr>
          <w:rFonts w:ascii="Century Schoolbook" w:hAnsi="Century Schoolbook"/>
          <w:sz w:val="26"/>
          <w:szCs w:val="26"/>
        </w:rPr>
        <w:t xml:space="preserve">if the Legislature </w:t>
      </w:r>
      <w:r w:rsidRPr="0046796A" w:rsidR="000C332F">
        <w:rPr>
          <w:rFonts w:ascii="Century Schoolbook" w:hAnsi="Century Schoolbook"/>
          <w:sz w:val="26"/>
          <w:szCs w:val="26"/>
        </w:rPr>
        <w:t xml:space="preserve">had </w:t>
      </w:r>
      <w:r w:rsidRPr="0046796A" w:rsidR="00C700AA">
        <w:rPr>
          <w:rFonts w:ascii="Century Schoolbook" w:hAnsi="Century Schoolbook"/>
          <w:sz w:val="26"/>
          <w:szCs w:val="26"/>
        </w:rPr>
        <w:t>intended to grant school districts the broadest taxing authority</w:t>
      </w:r>
      <w:r w:rsidRPr="0046796A" w:rsidR="000C332F">
        <w:rPr>
          <w:rFonts w:ascii="Century Schoolbook" w:hAnsi="Century Schoolbook"/>
          <w:sz w:val="26"/>
          <w:szCs w:val="26"/>
        </w:rPr>
        <w:t>,</w:t>
      </w:r>
      <w:r w:rsidRPr="0046796A" w:rsidR="00C700AA">
        <w:rPr>
          <w:rFonts w:ascii="Century Schoolbook" w:hAnsi="Century Schoolbook"/>
          <w:sz w:val="26"/>
          <w:szCs w:val="26"/>
        </w:rPr>
        <w:t xml:space="preserve"> bounded only by equal protection principles</w:t>
      </w:r>
      <w:r w:rsidRPr="0046796A" w:rsidR="0018442C">
        <w:rPr>
          <w:rFonts w:ascii="Century Schoolbook" w:hAnsi="Century Schoolbook"/>
          <w:sz w:val="26"/>
          <w:szCs w:val="26"/>
        </w:rPr>
        <w:t xml:space="preserve"> as the District argued</w:t>
      </w:r>
      <w:r w:rsidRPr="0046796A" w:rsidR="00C700AA">
        <w:rPr>
          <w:rFonts w:ascii="Century Schoolbook" w:hAnsi="Century Schoolbook"/>
          <w:sz w:val="26"/>
          <w:szCs w:val="26"/>
        </w:rPr>
        <w:t xml:space="preserve">, there would have been no need to include the uniform application language in </w:t>
      </w:r>
      <w:r w:rsidRPr="0046796A" w:rsidR="000C332F">
        <w:rPr>
          <w:rFonts w:ascii="Century Schoolbook" w:hAnsi="Century Schoolbook"/>
          <w:sz w:val="26"/>
          <w:szCs w:val="26"/>
        </w:rPr>
        <w:t xml:space="preserve">section 50079, </w:t>
      </w:r>
      <w:r w:rsidRPr="0046796A" w:rsidR="00C700AA">
        <w:rPr>
          <w:rFonts w:ascii="Century Schoolbook" w:hAnsi="Century Schoolbook"/>
          <w:sz w:val="26"/>
          <w:szCs w:val="26"/>
        </w:rPr>
        <w:t xml:space="preserve">subdivision (b). </w:t>
      </w:r>
      <w:r w:rsidRPr="0046796A" w:rsidR="0005226D">
        <w:rPr>
          <w:rFonts w:ascii="Century Schoolbook" w:hAnsi="Century Schoolbook"/>
          <w:sz w:val="26"/>
          <w:szCs w:val="26"/>
        </w:rPr>
        <w:t xml:space="preserve"> </w:t>
      </w:r>
      <w:r w:rsidRPr="0046796A" w:rsidR="00C700AA">
        <w:rPr>
          <w:rFonts w:ascii="Century Schoolbook" w:hAnsi="Century Schoolbook"/>
          <w:sz w:val="26"/>
          <w:szCs w:val="26"/>
        </w:rPr>
        <w:t>(</w:t>
      </w:r>
      <w:r w:rsidRPr="0046796A" w:rsidR="00C700AA">
        <w:rPr>
          <w:rFonts w:ascii="Century Schoolbook" w:hAnsi="Century Schoolbook"/>
          <w:i/>
          <w:iCs/>
          <w:sz w:val="26"/>
          <w:szCs w:val="26"/>
        </w:rPr>
        <w:t>Borikas, supra</w:t>
      </w:r>
      <w:r w:rsidRPr="0046796A" w:rsidR="00C700AA">
        <w:rPr>
          <w:rFonts w:ascii="Century Schoolbook" w:hAnsi="Century Schoolbook"/>
          <w:sz w:val="26"/>
          <w:szCs w:val="26"/>
        </w:rPr>
        <w:t xml:space="preserve">, 214 Cal.App.4th at p. 151.)  In particular, </w:t>
      </w:r>
      <w:r w:rsidRPr="0046796A" w:rsidR="000C332F">
        <w:rPr>
          <w:rFonts w:ascii="Century Schoolbook" w:hAnsi="Century Schoolbook"/>
          <w:sz w:val="26"/>
          <w:szCs w:val="26"/>
        </w:rPr>
        <w:t xml:space="preserve">subdivision (b) </w:t>
      </w:r>
      <w:r w:rsidRPr="0046796A" w:rsidR="005D207B">
        <w:rPr>
          <w:rFonts w:ascii="Century Schoolbook" w:hAnsi="Century Schoolbook"/>
          <w:sz w:val="26"/>
          <w:szCs w:val="26"/>
        </w:rPr>
        <w:t xml:space="preserve">explicitly exempts </w:t>
      </w:r>
      <w:r w:rsidRPr="0046796A" w:rsidR="00EE1BD5">
        <w:rPr>
          <w:rFonts w:ascii="Century Schoolbook" w:hAnsi="Century Schoolbook"/>
          <w:sz w:val="26"/>
          <w:szCs w:val="26"/>
        </w:rPr>
        <w:t xml:space="preserve">seniors and </w:t>
      </w:r>
      <w:r w:rsidRPr="0046796A" w:rsidR="007633AD">
        <w:rPr>
          <w:rFonts w:ascii="Century Schoolbook" w:hAnsi="Century Schoolbook"/>
          <w:sz w:val="26"/>
          <w:szCs w:val="26"/>
        </w:rPr>
        <w:t xml:space="preserve">certain </w:t>
      </w:r>
      <w:r w:rsidRPr="0046796A" w:rsidR="00EE1BD5">
        <w:rPr>
          <w:rFonts w:ascii="Century Schoolbook" w:hAnsi="Century Schoolbook"/>
          <w:sz w:val="26"/>
          <w:szCs w:val="26"/>
        </w:rPr>
        <w:t>other</w:t>
      </w:r>
      <w:r w:rsidRPr="0046796A" w:rsidR="007633AD">
        <w:rPr>
          <w:rFonts w:ascii="Century Schoolbook" w:hAnsi="Century Schoolbook"/>
          <w:sz w:val="26"/>
          <w:szCs w:val="26"/>
        </w:rPr>
        <w:t xml:space="preserve"> taxpayers</w:t>
      </w:r>
      <w:r w:rsidRPr="0046796A" w:rsidR="005D207B">
        <w:rPr>
          <w:rFonts w:ascii="Century Schoolbook" w:hAnsi="Century Schoolbook"/>
          <w:sz w:val="26"/>
          <w:szCs w:val="26"/>
        </w:rPr>
        <w:t xml:space="preserve"> from the statute’s uniform application rule</w:t>
      </w:r>
      <w:r w:rsidRPr="0046796A" w:rsidR="00EE1BD5">
        <w:rPr>
          <w:rFonts w:ascii="Century Schoolbook" w:hAnsi="Century Schoolbook"/>
          <w:sz w:val="26"/>
          <w:szCs w:val="26"/>
        </w:rPr>
        <w:t>, which would not have been necessary if</w:t>
      </w:r>
      <w:r w:rsidRPr="0046796A" w:rsidR="0018442C">
        <w:rPr>
          <w:rFonts w:ascii="Century Schoolbook" w:hAnsi="Century Schoolbook"/>
          <w:sz w:val="26"/>
          <w:szCs w:val="26"/>
        </w:rPr>
        <w:t xml:space="preserve"> </w:t>
      </w:r>
      <w:r w:rsidRPr="0046796A" w:rsidR="00CE4B56">
        <w:rPr>
          <w:rFonts w:ascii="Century Schoolbook" w:hAnsi="Century Schoolbook"/>
          <w:sz w:val="26"/>
          <w:szCs w:val="26"/>
        </w:rPr>
        <w:t xml:space="preserve">the “apply uniformly” language </w:t>
      </w:r>
      <w:r w:rsidRPr="0046796A" w:rsidR="001E2F5C">
        <w:rPr>
          <w:rFonts w:ascii="Century Schoolbook" w:hAnsi="Century Schoolbook"/>
          <w:sz w:val="26"/>
          <w:szCs w:val="26"/>
        </w:rPr>
        <w:t xml:space="preserve">still </w:t>
      </w:r>
      <w:r w:rsidRPr="0046796A" w:rsidR="00CE4B56">
        <w:rPr>
          <w:rFonts w:ascii="Century Schoolbook" w:hAnsi="Century Schoolbook"/>
          <w:sz w:val="26"/>
          <w:szCs w:val="26"/>
        </w:rPr>
        <w:t xml:space="preserve">left </w:t>
      </w:r>
      <w:r w:rsidRPr="0046796A" w:rsidR="005D207B">
        <w:rPr>
          <w:rFonts w:ascii="Century Schoolbook" w:hAnsi="Century Schoolbook"/>
          <w:sz w:val="26"/>
          <w:szCs w:val="26"/>
        </w:rPr>
        <w:t>school</w:t>
      </w:r>
      <w:r w:rsidRPr="0046796A" w:rsidR="00EE1BD5">
        <w:rPr>
          <w:rFonts w:ascii="Century Schoolbook" w:hAnsi="Century Schoolbook"/>
          <w:sz w:val="26"/>
          <w:szCs w:val="26"/>
        </w:rPr>
        <w:t xml:space="preserve"> districts free to apply different tax rates to different taxpayers</w:t>
      </w:r>
      <w:r w:rsidRPr="0046796A" w:rsidR="007633AD">
        <w:rPr>
          <w:rFonts w:ascii="Century Schoolbook" w:hAnsi="Century Schoolbook"/>
          <w:sz w:val="26"/>
          <w:szCs w:val="26"/>
        </w:rPr>
        <w:t xml:space="preserve">.  </w:t>
      </w:r>
      <w:r w:rsidRPr="0046796A" w:rsidR="006A2D36">
        <w:rPr>
          <w:rFonts w:ascii="Century Schoolbook" w:hAnsi="Century Schoolbook"/>
          <w:sz w:val="26"/>
          <w:szCs w:val="26"/>
        </w:rPr>
        <w:t>(</w:t>
      </w:r>
      <w:r w:rsidRPr="0046796A" w:rsidR="000C332F">
        <w:rPr>
          <w:rFonts w:ascii="Century Schoolbook" w:hAnsi="Century Schoolbook"/>
          <w:i/>
          <w:iCs/>
          <w:sz w:val="26"/>
          <w:szCs w:val="26"/>
        </w:rPr>
        <w:t>Id</w:t>
      </w:r>
      <w:r w:rsidRPr="0046796A" w:rsidR="000C332F">
        <w:rPr>
          <w:rFonts w:ascii="Century Schoolbook" w:hAnsi="Century Schoolbook"/>
          <w:sz w:val="26"/>
          <w:szCs w:val="26"/>
        </w:rPr>
        <w:t xml:space="preserve">. at </w:t>
      </w:r>
      <w:r w:rsidRPr="0046796A" w:rsidR="006A2D36">
        <w:rPr>
          <w:rFonts w:ascii="Century Schoolbook" w:hAnsi="Century Schoolbook"/>
          <w:sz w:val="26"/>
          <w:szCs w:val="26"/>
        </w:rPr>
        <w:t>p</w:t>
      </w:r>
      <w:r w:rsidRPr="0046796A" w:rsidR="00C700AA">
        <w:rPr>
          <w:rFonts w:ascii="Century Schoolbook" w:hAnsi="Century Schoolbook"/>
          <w:sz w:val="26"/>
          <w:szCs w:val="26"/>
        </w:rPr>
        <w:t>p</w:t>
      </w:r>
      <w:r w:rsidRPr="0046796A" w:rsidR="006A2D36">
        <w:rPr>
          <w:rFonts w:ascii="Century Schoolbook" w:hAnsi="Century Schoolbook"/>
          <w:sz w:val="26"/>
          <w:szCs w:val="26"/>
        </w:rPr>
        <w:t>.</w:t>
      </w:r>
      <w:r w:rsidRPr="0046796A" w:rsidR="00C700AA">
        <w:rPr>
          <w:rFonts w:ascii="Century Schoolbook" w:hAnsi="Century Schoolbook"/>
          <w:sz w:val="26"/>
          <w:szCs w:val="26"/>
        </w:rPr>
        <w:t xml:space="preserve"> 151</w:t>
      </w:r>
      <w:r w:rsidR="00D965AF">
        <w:rPr>
          <w:rFonts w:ascii="Century Schoolbook" w:hAnsi="Century Schoolbook"/>
          <w:sz w:val="26"/>
          <w:szCs w:val="26"/>
        </w:rPr>
        <w:t>–</w:t>
      </w:r>
      <w:r w:rsidRPr="0046796A" w:rsidR="00C700AA">
        <w:rPr>
          <w:rFonts w:ascii="Century Schoolbook" w:hAnsi="Century Schoolbook"/>
          <w:sz w:val="26"/>
          <w:szCs w:val="26"/>
        </w:rPr>
        <w:t>152</w:t>
      </w:r>
      <w:r w:rsidRPr="0046796A" w:rsidR="006A2D36">
        <w:rPr>
          <w:rFonts w:ascii="Century Schoolbook" w:hAnsi="Century Schoolbook"/>
          <w:sz w:val="26"/>
          <w:szCs w:val="26"/>
        </w:rPr>
        <w:t xml:space="preserve">.)  </w:t>
      </w:r>
      <w:r w:rsidRPr="0046796A" w:rsidR="005D207B">
        <w:rPr>
          <w:rFonts w:ascii="Century Schoolbook" w:hAnsi="Century Schoolbook"/>
          <w:sz w:val="26"/>
          <w:szCs w:val="26"/>
        </w:rPr>
        <w:t xml:space="preserve">Second, </w:t>
      </w:r>
      <w:r w:rsidRPr="0046796A" w:rsidR="007633AD">
        <w:rPr>
          <w:rFonts w:ascii="Century Schoolbook" w:hAnsi="Century Schoolbook"/>
          <w:sz w:val="26"/>
          <w:szCs w:val="26"/>
        </w:rPr>
        <w:t xml:space="preserve">statutes enacted </w:t>
      </w:r>
      <w:r w:rsidRPr="0046796A" w:rsidR="00CE4B56">
        <w:rPr>
          <w:rFonts w:ascii="Century Schoolbook" w:hAnsi="Century Schoolbook"/>
          <w:sz w:val="26"/>
          <w:szCs w:val="26"/>
        </w:rPr>
        <w:t xml:space="preserve">to authorize </w:t>
      </w:r>
      <w:r w:rsidRPr="0046796A" w:rsidR="000C332F">
        <w:rPr>
          <w:rFonts w:ascii="Century Schoolbook" w:hAnsi="Century Schoolbook"/>
          <w:sz w:val="26"/>
          <w:szCs w:val="26"/>
        </w:rPr>
        <w:t xml:space="preserve">other </w:t>
      </w:r>
      <w:r w:rsidRPr="0046796A" w:rsidR="00CE4B56">
        <w:rPr>
          <w:rFonts w:ascii="Century Schoolbook" w:hAnsi="Century Schoolbook"/>
          <w:sz w:val="26"/>
          <w:szCs w:val="26"/>
        </w:rPr>
        <w:t xml:space="preserve">local agencies to impose taxes, </w:t>
      </w:r>
      <w:r w:rsidRPr="0046796A" w:rsidR="007633AD">
        <w:rPr>
          <w:rFonts w:ascii="Century Schoolbook" w:hAnsi="Century Schoolbook"/>
          <w:sz w:val="26"/>
          <w:szCs w:val="26"/>
        </w:rPr>
        <w:t xml:space="preserve">using the same </w:t>
      </w:r>
      <w:r w:rsidRPr="0046796A" w:rsidR="00C20819">
        <w:rPr>
          <w:rFonts w:ascii="Century Schoolbook" w:hAnsi="Century Schoolbook"/>
          <w:sz w:val="26"/>
          <w:szCs w:val="26"/>
        </w:rPr>
        <w:t xml:space="preserve">or similar </w:t>
      </w:r>
      <w:r w:rsidRPr="0046796A" w:rsidR="000C332F">
        <w:rPr>
          <w:rFonts w:ascii="Century Schoolbook" w:hAnsi="Century Schoolbook"/>
          <w:sz w:val="26"/>
          <w:szCs w:val="26"/>
        </w:rPr>
        <w:t xml:space="preserve">uniformity </w:t>
      </w:r>
      <w:r w:rsidRPr="0046796A" w:rsidR="007633AD">
        <w:rPr>
          <w:rFonts w:ascii="Century Schoolbook" w:hAnsi="Century Schoolbook"/>
          <w:sz w:val="26"/>
          <w:szCs w:val="26"/>
        </w:rPr>
        <w:t>language</w:t>
      </w:r>
      <w:r w:rsidRPr="0046796A" w:rsidR="000C332F">
        <w:rPr>
          <w:rFonts w:ascii="Century Schoolbook" w:hAnsi="Century Schoolbook"/>
          <w:sz w:val="26"/>
          <w:szCs w:val="26"/>
        </w:rPr>
        <w:t xml:space="preserve"> as section 50079</w:t>
      </w:r>
      <w:r w:rsidRPr="0046796A" w:rsidR="00C700AA">
        <w:rPr>
          <w:rFonts w:ascii="Century Schoolbook" w:hAnsi="Century Schoolbook"/>
          <w:sz w:val="26"/>
          <w:szCs w:val="26"/>
        </w:rPr>
        <w:t xml:space="preserve">, </w:t>
      </w:r>
      <w:r w:rsidRPr="0046796A" w:rsidR="007633AD">
        <w:rPr>
          <w:rFonts w:ascii="Century Schoolbook" w:hAnsi="Century Schoolbook"/>
          <w:sz w:val="26"/>
          <w:szCs w:val="26"/>
        </w:rPr>
        <w:t xml:space="preserve">indicated that </w:t>
      </w:r>
      <w:r w:rsidRPr="0046796A" w:rsidR="000C332F">
        <w:rPr>
          <w:rFonts w:ascii="Century Schoolbook" w:hAnsi="Century Schoolbook"/>
          <w:sz w:val="26"/>
          <w:szCs w:val="26"/>
        </w:rPr>
        <w:t xml:space="preserve">such language </w:t>
      </w:r>
      <w:r w:rsidRPr="0046796A" w:rsidR="00C700AA">
        <w:rPr>
          <w:rFonts w:ascii="Century Schoolbook" w:hAnsi="Century Schoolbook"/>
          <w:sz w:val="26"/>
          <w:szCs w:val="26"/>
        </w:rPr>
        <w:t xml:space="preserve">did not allow </w:t>
      </w:r>
      <w:r w:rsidRPr="0046796A" w:rsidR="000C332F">
        <w:rPr>
          <w:rFonts w:ascii="Century Schoolbook" w:hAnsi="Century Schoolbook"/>
          <w:sz w:val="26"/>
          <w:szCs w:val="26"/>
        </w:rPr>
        <w:t xml:space="preserve">agencies to tax classes of taxpayer or property differentially.  </w:t>
      </w:r>
      <w:r w:rsidRPr="0046796A" w:rsidR="006A2D36">
        <w:rPr>
          <w:rFonts w:ascii="Century Schoolbook" w:hAnsi="Century Schoolbook"/>
          <w:sz w:val="26"/>
          <w:szCs w:val="26"/>
        </w:rPr>
        <w:t>(</w:t>
      </w:r>
      <w:r w:rsidRPr="0046796A" w:rsidR="006A2D36">
        <w:rPr>
          <w:rFonts w:ascii="Century Schoolbook" w:hAnsi="Century Schoolbook"/>
          <w:i/>
          <w:iCs/>
          <w:sz w:val="26"/>
          <w:szCs w:val="26"/>
        </w:rPr>
        <w:t>Id</w:t>
      </w:r>
      <w:r w:rsidRPr="0046796A" w:rsidR="006A2D36">
        <w:rPr>
          <w:rFonts w:ascii="Century Schoolbook" w:hAnsi="Century Schoolbook"/>
          <w:sz w:val="26"/>
          <w:szCs w:val="26"/>
        </w:rPr>
        <w:t>. at p</w:t>
      </w:r>
      <w:r w:rsidRPr="0046796A" w:rsidR="0005226D">
        <w:rPr>
          <w:rFonts w:ascii="Century Schoolbook" w:hAnsi="Century Schoolbook"/>
          <w:sz w:val="26"/>
          <w:szCs w:val="26"/>
        </w:rPr>
        <w:t>p</w:t>
      </w:r>
      <w:r w:rsidRPr="0046796A" w:rsidR="006A2D36">
        <w:rPr>
          <w:rFonts w:ascii="Century Schoolbook" w:hAnsi="Century Schoolbook"/>
          <w:sz w:val="26"/>
          <w:szCs w:val="26"/>
        </w:rPr>
        <w:t>.</w:t>
      </w:r>
      <w:r w:rsidR="00D965AF">
        <w:rPr>
          <w:rFonts w:ascii="Century Schoolbook" w:hAnsi="Century Schoolbook"/>
          <w:sz w:val="26"/>
          <w:szCs w:val="26"/>
        </w:rPr>
        <w:t xml:space="preserve"> </w:t>
      </w:r>
      <w:r w:rsidRPr="0046796A" w:rsidR="00C700AA">
        <w:rPr>
          <w:rFonts w:ascii="Century Schoolbook" w:hAnsi="Century Schoolbook"/>
          <w:sz w:val="26"/>
          <w:szCs w:val="26"/>
        </w:rPr>
        <w:t>152</w:t>
      </w:r>
      <w:r w:rsidRPr="0046796A" w:rsidR="000C332F">
        <w:rPr>
          <w:rFonts w:ascii="Century Schoolbook" w:hAnsi="Century Schoolbook"/>
          <w:sz w:val="26"/>
          <w:szCs w:val="26"/>
        </w:rPr>
        <w:t xml:space="preserve"> </w:t>
      </w:r>
      <w:r w:rsidRPr="0046796A" w:rsidR="00C700AA">
        <w:rPr>
          <w:rFonts w:ascii="Century Schoolbook" w:hAnsi="Century Schoolbook"/>
          <w:sz w:val="26"/>
          <w:szCs w:val="26"/>
        </w:rPr>
        <w:t>[</w:t>
      </w:r>
      <w:r w:rsidRPr="0046796A" w:rsidR="00B44E84">
        <w:rPr>
          <w:rFonts w:ascii="Century Schoolbook" w:hAnsi="Century Schoolbook"/>
          <w:sz w:val="26"/>
          <w:szCs w:val="26"/>
        </w:rPr>
        <w:t xml:space="preserve">e.g., </w:t>
      </w:r>
      <w:r w:rsidRPr="0046796A" w:rsidR="00627899">
        <w:rPr>
          <w:rFonts w:ascii="Century Schoolbook" w:hAnsi="Century Schoolbook"/>
          <w:sz w:val="26"/>
          <w:szCs w:val="26"/>
        </w:rPr>
        <w:t>§</w:t>
      </w:r>
      <w:r w:rsidRPr="0046796A" w:rsidR="00C700AA">
        <w:rPr>
          <w:rFonts w:ascii="Century Schoolbook" w:hAnsi="Century Schoolbook"/>
          <w:sz w:val="26"/>
          <w:szCs w:val="26"/>
        </w:rPr>
        <w:t xml:space="preserve"> 50079.1</w:t>
      </w:r>
      <w:r w:rsidRPr="0046796A" w:rsidR="000C332F">
        <w:rPr>
          <w:rFonts w:ascii="Century Schoolbook" w:hAnsi="Century Schoolbook"/>
          <w:sz w:val="26"/>
          <w:szCs w:val="26"/>
        </w:rPr>
        <w:t>,</w:t>
      </w:r>
      <w:r w:rsidRPr="0046796A" w:rsidR="00C700AA">
        <w:rPr>
          <w:rFonts w:ascii="Century Schoolbook" w:hAnsi="Century Schoolbook"/>
          <w:sz w:val="26"/>
          <w:szCs w:val="26"/>
        </w:rPr>
        <w:t xml:space="preserve"> </w:t>
      </w:r>
      <w:r w:rsidRPr="0046796A" w:rsidR="00BC1EBF">
        <w:rPr>
          <w:rFonts w:ascii="Century Schoolbook" w:hAnsi="Century Schoolbook"/>
          <w:sz w:val="26"/>
          <w:szCs w:val="26"/>
        </w:rPr>
        <w:t xml:space="preserve">containing an exception </w:t>
      </w:r>
      <w:r w:rsidRPr="0046796A" w:rsidR="006724DB">
        <w:rPr>
          <w:rFonts w:ascii="Century Schoolbook" w:hAnsi="Century Schoolbook"/>
          <w:sz w:val="26"/>
          <w:szCs w:val="26"/>
        </w:rPr>
        <w:t xml:space="preserve">to uniformity </w:t>
      </w:r>
      <w:r w:rsidRPr="0046796A" w:rsidR="00BC1EBF">
        <w:rPr>
          <w:rFonts w:ascii="Century Schoolbook" w:hAnsi="Century Schoolbook"/>
          <w:sz w:val="26"/>
          <w:szCs w:val="26"/>
        </w:rPr>
        <w:t xml:space="preserve">that allowed </w:t>
      </w:r>
      <w:r w:rsidRPr="0046796A" w:rsidR="00C700AA">
        <w:rPr>
          <w:rFonts w:ascii="Century Schoolbook" w:hAnsi="Century Schoolbook"/>
          <w:sz w:val="26"/>
          <w:szCs w:val="26"/>
        </w:rPr>
        <w:t xml:space="preserve">unimproved property </w:t>
      </w:r>
      <w:r w:rsidRPr="0046796A" w:rsidR="000C332F">
        <w:rPr>
          <w:rFonts w:ascii="Century Schoolbook" w:hAnsi="Century Schoolbook"/>
          <w:sz w:val="26"/>
          <w:szCs w:val="26"/>
        </w:rPr>
        <w:t xml:space="preserve">to be </w:t>
      </w:r>
      <w:r w:rsidRPr="0046796A" w:rsidR="00C700AA">
        <w:rPr>
          <w:rFonts w:ascii="Century Schoolbook" w:hAnsi="Century Schoolbook"/>
          <w:sz w:val="26"/>
          <w:szCs w:val="26"/>
        </w:rPr>
        <w:t>taxed at a lower rate than improved property</w:t>
      </w:r>
      <w:r w:rsidRPr="0046796A" w:rsidR="0005226D">
        <w:rPr>
          <w:rFonts w:ascii="Century Schoolbook" w:hAnsi="Century Schoolbook"/>
          <w:sz w:val="26"/>
          <w:szCs w:val="26"/>
        </w:rPr>
        <w:t xml:space="preserve">], </w:t>
      </w:r>
      <w:r w:rsidRPr="0046796A">
        <w:rPr>
          <w:rFonts w:ascii="Century Schoolbook" w:hAnsi="Century Schoolbook"/>
          <w:sz w:val="26"/>
          <w:szCs w:val="26"/>
        </w:rPr>
        <w:t>158</w:t>
      </w:r>
      <w:r w:rsidRPr="0046796A" w:rsidR="005A1E69">
        <w:rPr>
          <w:rFonts w:ascii="Century Schoolbook" w:hAnsi="Century Schoolbook"/>
          <w:sz w:val="26"/>
          <w:szCs w:val="26"/>
        </w:rPr>
        <w:t>–</w:t>
      </w:r>
      <w:r w:rsidRPr="0046796A">
        <w:rPr>
          <w:rFonts w:ascii="Century Schoolbook" w:hAnsi="Century Schoolbook"/>
          <w:sz w:val="26"/>
          <w:szCs w:val="26"/>
        </w:rPr>
        <w:t xml:space="preserve">164.)  </w:t>
      </w:r>
      <w:r w:rsidRPr="0046796A" w:rsidR="005D207B">
        <w:rPr>
          <w:rFonts w:ascii="Century Schoolbook" w:hAnsi="Century Schoolbook"/>
          <w:sz w:val="26"/>
          <w:szCs w:val="26"/>
        </w:rPr>
        <w:t xml:space="preserve">Third, the </w:t>
      </w:r>
      <w:r w:rsidRPr="0046796A" w:rsidR="00EE1BD5">
        <w:rPr>
          <w:rFonts w:ascii="Century Schoolbook" w:hAnsi="Century Schoolbook"/>
          <w:sz w:val="26"/>
          <w:szCs w:val="26"/>
        </w:rPr>
        <w:t xml:space="preserve">legislative history of section 50079 showed that </w:t>
      </w:r>
      <w:r w:rsidRPr="0046796A" w:rsidR="00CE4B56">
        <w:rPr>
          <w:rFonts w:ascii="Century Schoolbook" w:hAnsi="Century Schoolbook"/>
          <w:sz w:val="26"/>
          <w:szCs w:val="26"/>
        </w:rPr>
        <w:t xml:space="preserve">the </w:t>
      </w:r>
      <w:r w:rsidRPr="0046796A" w:rsidR="00C20819">
        <w:rPr>
          <w:rFonts w:ascii="Century Schoolbook" w:hAnsi="Century Schoolbook"/>
          <w:sz w:val="26"/>
          <w:szCs w:val="26"/>
        </w:rPr>
        <w:t xml:space="preserve">“apply uniformly” language </w:t>
      </w:r>
      <w:r w:rsidRPr="0046796A" w:rsidR="000C332F">
        <w:rPr>
          <w:rFonts w:ascii="Century Schoolbook" w:hAnsi="Century Schoolbook"/>
          <w:sz w:val="26"/>
          <w:szCs w:val="26"/>
        </w:rPr>
        <w:t xml:space="preserve">had </w:t>
      </w:r>
      <w:r w:rsidRPr="0046796A" w:rsidR="00C20819">
        <w:rPr>
          <w:rFonts w:ascii="Century Schoolbook" w:hAnsi="Century Schoolbook"/>
          <w:sz w:val="26"/>
          <w:szCs w:val="26"/>
        </w:rPr>
        <w:t xml:space="preserve">prompted school districts to </w:t>
      </w:r>
      <w:r w:rsidRPr="0046796A" w:rsidR="000C332F">
        <w:rPr>
          <w:rFonts w:ascii="Century Schoolbook" w:hAnsi="Century Schoolbook"/>
          <w:sz w:val="26"/>
          <w:szCs w:val="26"/>
        </w:rPr>
        <w:t xml:space="preserve">seek </w:t>
      </w:r>
      <w:r w:rsidRPr="0046796A" w:rsidR="00C20819">
        <w:rPr>
          <w:rFonts w:ascii="Century Schoolbook" w:hAnsi="Century Schoolbook"/>
          <w:sz w:val="26"/>
          <w:szCs w:val="26"/>
        </w:rPr>
        <w:t xml:space="preserve">and obtain </w:t>
      </w:r>
      <w:r w:rsidRPr="0046796A" w:rsidR="00B44E84">
        <w:rPr>
          <w:rFonts w:ascii="Century Schoolbook" w:hAnsi="Century Schoolbook"/>
          <w:sz w:val="26"/>
          <w:szCs w:val="26"/>
        </w:rPr>
        <w:t xml:space="preserve">an </w:t>
      </w:r>
      <w:r w:rsidRPr="0046796A" w:rsidR="006A2D36">
        <w:rPr>
          <w:rFonts w:ascii="Century Schoolbook" w:hAnsi="Century Schoolbook"/>
          <w:sz w:val="26"/>
          <w:szCs w:val="26"/>
        </w:rPr>
        <w:t xml:space="preserve">exemption for senior taxpayers, </w:t>
      </w:r>
      <w:r w:rsidRPr="0046796A">
        <w:rPr>
          <w:rFonts w:ascii="Century Schoolbook" w:hAnsi="Century Schoolbook"/>
          <w:sz w:val="26"/>
          <w:szCs w:val="26"/>
        </w:rPr>
        <w:t xml:space="preserve">and to express concern about </w:t>
      </w:r>
      <w:r w:rsidRPr="0046796A" w:rsidR="000C332F">
        <w:rPr>
          <w:rFonts w:ascii="Century Schoolbook" w:hAnsi="Century Schoolbook"/>
          <w:sz w:val="26"/>
          <w:szCs w:val="26"/>
        </w:rPr>
        <w:t xml:space="preserve">the ability to tax </w:t>
      </w:r>
      <w:r w:rsidRPr="0046796A">
        <w:rPr>
          <w:rFonts w:ascii="Century Schoolbook" w:hAnsi="Century Schoolbook"/>
          <w:sz w:val="26"/>
          <w:szCs w:val="26"/>
        </w:rPr>
        <w:t>residential and nonresidential properties</w:t>
      </w:r>
      <w:r w:rsidRPr="0046796A" w:rsidR="000C332F">
        <w:rPr>
          <w:rFonts w:ascii="Century Schoolbook" w:hAnsi="Century Schoolbook"/>
          <w:sz w:val="26"/>
          <w:szCs w:val="26"/>
        </w:rPr>
        <w:t xml:space="preserve"> differently</w:t>
      </w:r>
      <w:r w:rsidRPr="0046796A">
        <w:rPr>
          <w:rFonts w:ascii="Century Schoolbook" w:hAnsi="Century Schoolbook"/>
          <w:sz w:val="26"/>
          <w:szCs w:val="26"/>
        </w:rPr>
        <w:t xml:space="preserve">, </w:t>
      </w:r>
      <w:r w:rsidRPr="0046796A" w:rsidR="001E2F5C">
        <w:rPr>
          <w:rFonts w:ascii="Century Schoolbook" w:hAnsi="Century Schoolbook"/>
          <w:sz w:val="26"/>
          <w:szCs w:val="26"/>
        </w:rPr>
        <w:t xml:space="preserve">reflecting </w:t>
      </w:r>
      <w:r w:rsidRPr="0046796A" w:rsidR="006A2D36">
        <w:rPr>
          <w:rFonts w:ascii="Century Schoolbook" w:hAnsi="Century Schoolbook"/>
          <w:sz w:val="26"/>
          <w:szCs w:val="26"/>
        </w:rPr>
        <w:t>the</w:t>
      </w:r>
      <w:r w:rsidRPr="0046796A" w:rsidR="00CC64E1">
        <w:rPr>
          <w:rFonts w:ascii="Century Schoolbook" w:hAnsi="Century Schoolbook"/>
          <w:sz w:val="26"/>
          <w:szCs w:val="26"/>
        </w:rPr>
        <w:t xml:space="preserve"> districts’ </w:t>
      </w:r>
      <w:r w:rsidRPr="0046796A" w:rsidR="006A2D36">
        <w:rPr>
          <w:rFonts w:ascii="Century Schoolbook" w:hAnsi="Century Schoolbook"/>
          <w:sz w:val="26"/>
          <w:szCs w:val="26"/>
        </w:rPr>
        <w:t>view of the legislation.  (</w:t>
      </w:r>
      <w:r w:rsidRPr="0046796A" w:rsidR="006A2D36">
        <w:rPr>
          <w:rFonts w:ascii="Century Schoolbook" w:hAnsi="Century Schoolbook"/>
          <w:i/>
          <w:iCs/>
          <w:sz w:val="26"/>
          <w:szCs w:val="26"/>
        </w:rPr>
        <w:t>Id</w:t>
      </w:r>
      <w:r w:rsidRPr="0046796A" w:rsidR="006A2D36">
        <w:rPr>
          <w:rFonts w:ascii="Century Schoolbook" w:hAnsi="Century Schoolbook"/>
          <w:sz w:val="26"/>
          <w:szCs w:val="26"/>
        </w:rPr>
        <w:t xml:space="preserve">. at </w:t>
      </w:r>
      <w:r w:rsidRPr="0046796A" w:rsidR="000C332F">
        <w:rPr>
          <w:rFonts w:ascii="Century Schoolbook" w:hAnsi="Century Schoolbook"/>
          <w:sz w:val="26"/>
          <w:szCs w:val="26"/>
        </w:rPr>
        <w:t>p</w:t>
      </w:r>
      <w:r w:rsidRPr="0046796A" w:rsidR="006A2D36">
        <w:rPr>
          <w:rFonts w:ascii="Century Schoolbook" w:hAnsi="Century Schoolbook"/>
          <w:sz w:val="26"/>
          <w:szCs w:val="26"/>
        </w:rPr>
        <w:t xml:space="preserve">p. </w:t>
      </w:r>
      <w:r w:rsidRPr="0046796A">
        <w:rPr>
          <w:rFonts w:ascii="Century Schoolbook" w:hAnsi="Century Schoolbook"/>
          <w:sz w:val="26"/>
          <w:szCs w:val="26"/>
        </w:rPr>
        <w:t>153</w:t>
      </w:r>
      <w:r w:rsidRPr="0046796A" w:rsidR="005A1E69">
        <w:rPr>
          <w:rFonts w:ascii="Century Schoolbook" w:hAnsi="Century Schoolbook"/>
          <w:sz w:val="26"/>
          <w:szCs w:val="26"/>
        </w:rPr>
        <w:t>–</w:t>
      </w:r>
      <w:r w:rsidRPr="0046796A">
        <w:rPr>
          <w:rFonts w:ascii="Century Schoolbook" w:hAnsi="Century Schoolbook"/>
          <w:sz w:val="26"/>
          <w:szCs w:val="26"/>
        </w:rPr>
        <w:t>158</w:t>
      </w:r>
      <w:r w:rsidRPr="0046796A" w:rsidR="006A2D36">
        <w:rPr>
          <w:rFonts w:ascii="Century Schoolbook" w:hAnsi="Century Schoolbook"/>
          <w:sz w:val="26"/>
          <w:szCs w:val="26"/>
        </w:rPr>
        <w:t xml:space="preserve">.) </w:t>
      </w:r>
    </w:p>
    <w:p w:rsidR="001958BA" w:rsidP="000C7C29" w14:paraId="74792A0F" w14:textId="77777777">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5D207B">
        <w:rPr>
          <w:rFonts w:ascii="Century Schoolbook" w:hAnsi="Century Schoolbook"/>
        </w:rPr>
        <w:t xml:space="preserve">Based on </w:t>
      </w:r>
      <w:r w:rsidRPr="0046796A" w:rsidR="006A2D36">
        <w:rPr>
          <w:rFonts w:ascii="Century Schoolbook" w:hAnsi="Century Schoolbook"/>
        </w:rPr>
        <w:t xml:space="preserve">these observations, </w:t>
      </w:r>
      <w:r w:rsidRPr="0046796A">
        <w:rPr>
          <w:rFonts w:ascii="Century Schoolbook" w:hAnsi="Century Schoolbook"/>
          <w:i/>
        </w:rPr>
        <w:t xml:space="preserve">Borikas </w:t>
      </w:r>
      <w:r w:rsidRPr="0046796A">
        <w:rPr>
          <w:rFonts w:ascii="Century Schoolbook" w:hAnsi="Century Schoolbook"/>
        </w:rPr>
        <w:t xml:space="preserve">concluded that </w:t>
      </w:r>
      <w:r w:rsidRPr="0046796A" w:rsidR="00B44E84">
        <w:rPr>
          <w:rFonts w:ascii="Century Schoolbook" w:hAnsi="Century Schoolbook"/>
        </w:rPr>
        <w:t xml:space="preserve">subdivision (b) of </w:t>
      </w:r>
      <w:r w:rsidRPr="0046796A" w:rsidR="007633AD">
        <w:rPr>
          <w:rFonts w:ascii="Century Schoolbook" w:hAnsi="Century Schoolbook"/>
        </w:rPr>
        <w:t>s</w:t>
      </w:r>
      <w:r w:rsidRPr="0046796A">
        <w:rPr>
          <w:rFonts w:ascii="Century Schoolbook" w:hAnsi="Century Schoolbook"/>
        </w:rPr>
        <w:t xml:space="preserve">ection 50079 </w:t>
      </w:r>
      <w:r w:rsidRPr="0046796A" w:rsidR="00EB51EF">
        <w:rPr>
          <w:rFonts w:ascii="Century Schoolbook" w:hAnsi="Century Schoolbook"/>
        </w:rPr>
        <w:t xml:space="preserve">was not mere surplusage, as the </w:t>
      </w:r>
      <w:r w:rsidRPr="0046796A" w:rsidR="00C9158E">
        <w:rPr>
          <w:rFonts w:ascii="Century Schoolbook" w:hAnsi="Century Schoolbook"/>
        </w:rPr>
        <w:t>D</w:t>
      </w:r>
      <w:r w:rsidRPr="0046796A" w:rsidR="00EB51EF">
        <w:rPr>
          <w:rFonts w:ascii="Century Schoolbook" w:hAnsi="Century Schoolbook"/>
        </w:rPr>
        <w:t xml:space="preserve">istrict had argued, but </w:t>
      </w:r>
      <w:r w:rsidRPr="0046796A" w:rsidR="001B4A12">
        <w:rPr>
          <w:rFonts w:ascii="Century Schoolbook" w:hAnsi="Century Schoolbook"/>
        </w:rPr>
        <w:t xml:space="preserve">posed </w:t>
      </w:r>
      <w:r w:rsidRPr="0046796A">
        <w:rPr>
          <w:rFonts w:ascii="Century Schoolbook" w:hAnsi="Century Schoolbook"/>
        </w:rPr>
        <w:t>a</w:t>
      </w:r>
      <w:r w:rsidRPr="0046796A" w:rsidR="007C0A07">
        <w:rPr>
          <w:rFonts w:ascii="Century Schoolbook" w:hAnsi="Century Schoolbook"/>
        </w:rPr>
        <w:t xml:space="preserve"> new </w:t>
      </w:r>
      <w:r w:rsidRPr="0046796A">
        <w:rPr>
          <w:rFonts w:ascii="Century Schoolbook" w:hAnsi="Century Schoolbook"/>
        </w:rPr>
        <w:t xml:space="preserve">limitation on </w:t>
      </w:r>
      <w:r w:rsidRPr="0046796A" w:rsidR="006A2D36">
        <w:rPr>
          <w:rFonts w:ascii="Century Schoolbook" w:hAnsi="Century Schoolbook"/>
        </w:rPr>
        <w:t xml:space="preserve">the taxing authority of </w:t>
      </w:r>
      <w:r w:rsidRPr="0046796A" w:rsidR="005D207B">
        <w:rPr>
          <w:rFonts w:ascii="Century Schoolbook" w:hAnsi="Century Schoolbook"/>
        </w:rPr>
        <w:t>school district</w:t>
      </w:r>
      <w:r w:rsidRPr="0046796A" w:rsidR="006A2D36">
        <w:rPr>
          <w:rFonts w:ascii="Century Schoolbook" w:hAnsi="Century Schoolbook"/>
        </w:rPr>
        <w:t xml:space="preserve">s, </w:t>
      </w:r>
      <w:r w:rsidRPr="0046796A" w:rsidR="001B4A12">
        <w:rPr>
          <w:rFonts w:ascii="Century Schoolbook" w:hAnsi="Century Schoolbook"/>
        </w:rPr>
        <w:t xml:space="preserve">precluding </w:t>
      </w:r>
      <w:r w:rsidRPr="0046796A" w:rsidR="006A2D36">
        <w:rPr>
          <w:rFonts w:ascii="Century Schoolbook" w:hAnsi="Century Schoolbook"/>
        </w:rPr>
        <w:t xml:space="preserve">them </w:t>
      </w:r>
      <w:r w:rsidRPr="0046796A" w:rsidR="001B4A12">
        <w:rPr>
          <w:rFonts w:ascii="Century Schoolbook" w:hAnsi="Century Schoolbook"/>
        </w:rPr>
        <w:t xml:space="preserve">from imposing special taxes “that classify and differentially tax property within the district.” </w:t>
      </w:r>
      <w:r w:rsidRPr="0046796A" w:rsidR="007D113A">
        <w:rPr>
          <w:rFonts w:ascii="Century Schoolbook" w:hAnsi="Century Schoolbook"/>
        </w:rPr>
        <w:t xml:space="preserve"> </w:t>
      </w:r>
      <w:r w:rsidRPr="0046796A" w:rsidR="001B4A12">
        <w:rPr>
          <w:rFonts w:ascii="Century Schoolbook" w:hAnsi="Century Schoolbook"/>
        </w:rPr>
        <w:t>(</w:t>
      </w:r>
      <w:r w:rsidRPr="0046796A" w:rsidR="001B4A12">
        <w:rPr>
          <w:rFonts w:ascii="Century Schoolbook" w:hAnsi="Century Schoolbook"/>
          <w:i/>
          <w:iCs/>
        </w:rPr>
        <w:t>Borikas, supra</w:t>
      </w:r>
      <w:r w:rsidRPr="0046796A" w:rsidR="001B4A12">
        <w:rPr>
          <w:rFonts w:ascii="Century Schoolbook" w:hAnsi="Century Schoolbook"/>
        </w:rPr>
        <w:t xml:space="preserve">, 214 Cal.App.4th at p. 164; see </w:t>
      </w:r>
      <w:r w:rsidRPr="0046796A" w:rsidR="001B4A12">
        <w:rPr>
          <w:rFonts w:ascii="Century Schoolbook" w:hAnsi="Century Schoolbook"/>
          <w:i/>
          <w:iCs/>
        </w:rPr>
        <w:t>id</w:t>
      </w:r>
      <w:r w:rsidRPr="0046796A" w:rsidR="001B4A12">
        <w:rPr>
          <w:rFonts w:ascii="Century Schoolbook" w:hAnsi="Century Schoolbook"/>
        </w:rPr>
        <w:t xml:space="preserve">. at </w:t>
      </w:r>
    </w:p>
    <w:p w:rsidR="004F7748" w:rsidRPr="0046796A" w:rsidP="000C7C29" w14:paraId="6287D53F" w14:textId="7F4E289E">
      <w:pPr>
        <w:pStyle w:val="BodyText"/>
        <w:widowControl/>
        <w:spacing w:line="360" w:lineRule="auto"/>
        <w:ind w:left="0"/>
        <w:rPr>
          <w:rFonts w:ascii="Century Schoolbook" w:hAnsi="Century Schoolbook"/>
        </w:rPr>
      </w:pPr>
      <w:r w:rsidRPr="0046796A">
        <w:rPr>
          <w:rFonts w:ascii="Century Schoolbook" w:hAnsi="Century Schoolbook"/>
        </w:rPr>
        <w:t>p. 151 [</w:t>
      </w:r>
      <w:r w:rsidRPr="0046796A" w:rsidR="000C7C29">
        <w:rPr>
          <w:rFonts w:ascii="Century Schoolbook" w:hAnsi="Century Schoolbook"/>
        </w:rPr>
        <w:t>“the definitional language at issue is language of limitation and does not empower school districts to classify taxpayers and property, and impose different tax rates</w:t>
      </w:r>
      <w:r w:rsidRPr="0046796A">
        <w:rPr>
          <w:rFonts w:ascii="Century Schoolbook" w:hAnsi="Century Schoolbook"/>
        </w:rPr>
        <w:t xml:space="preserve">”].)  Accordingly, </w:t>
      </w:r>
      <w:r w:rsidRPr="0046796A" w:rsidR="00507253">
        <w:rPr>
          <w:rFonts w:ascii="Century Schoolbook" w:hAnsi="Century Schoolbook"/>
        </w:rPr>
        <w:t xml:space="preserve">the court </w:t>
      </w:r>
      <w:r w:rsidRPr="0046796A" w:rsidR="007D113A">
        <w:rPr>
          <w:rFonts w:ascii="Century Schoolbook" w:hAnsi="Century Schoolbook"/>
        </w:rPr>
        <w:t xml:space="preserve">of appeal </w:t>
      </w:r>
      <w:r w:rsidRPr="0046796A" w:rsidR="00507253">
        <w:rPr>
          <w:rFonts w:ascii="Century Schoolbook" w:hAnsi="Century Schoolbook"/>
        </w:rPr>
        <w:t>held</w:t>
      </w:r>
      <w:r w:rsidRPr="0046796A" w:rsidR="007D113A">
        <w:rPr>
          <w:rFonts w:ascii="Century Schoolbook" w:hAnsi="Century Schoolbook"/>
        </w:rPr>
        <w:t xml:space="preserve"> that </w:t>
      </w:r>
      <w:r w:rsidRPr="0046796A" w:rsidR="00FC5F0E">
        <w:rPr>
          <w:rFonts w:ascii="Century Schoolbook" w:hAnsi="Century Schoolbook"/>
        </w:rPr>
        <w:t xml:space="preserve">the </w:t>
      </w:r>
      <w:r w:rsidRPr="0046796A" w:rsidR="00C9158E">
        <w:rPr>
          <w:rFonts w:ascii="Century Schoolbook" w:hAnsi="Century Schoolbook"/>
        </w:rPr>
        <w:t>D</w:t>
      </w:r>
      <w:r w:rsidRPr="0046796A" w:rsidR="00FC5F0E">
        <w:rPr>
          <w:rFonts w:ascii="Century Schoolbook" w:hAnsi="Century Schoolbook"/>
        </w:rPr>
        <w:t>istrict’s use of different tax rates for its different classifications o</w:t>
      </w:r>
      <w:r w:rsidRPr="0046796A" w:rsidR="006724DB">
        <w:rPr>
          <w:rFonts w:ascii="Century Schoolbook" w:hAnsi="Century Schoolbook"/>
        </w:rPr>
        <w:t>f</w:t>
      </w:r>
      <w:r w:rsidRPr="0046796A" w:rsidR="00FC5F0E">
        <w:rPr>
          <w:rFonts w:ascii="Century Schoolbook" w:hAnsi="Century Schoolbook"/>
        </w:rPr>
        <w:t xml:space="preserve"> properties was improper:  </w:t>
      </w:r>
      <w:r w:rsidRPr="0046796A">
        <w:rPr>
          <w:rFonts w:ascii="Century Schoolbook" w:hAnsi="Century Schoolbook"/>
        </w:rPr>
        <w:t>“</w:t>
      </w:r>
      <w:r w:rsidRPr="0046796A" w:rsidR="000C7C29">
        <w:rPr>
          <w:rFonts w:ascii="Century Schoolbook" w:hAnsi="Century Schoolbook"/>
        </w:rPr>
        <w:t>Measure H’s imposition of a higher tax on commercial or industrial property over 2,000 square feet exceeds the</w:t>
      </w:r>
      <w:r w:rsidRPr="0046796A" w:rsidR="00C3405F">
        <w:rPr>
          <w:rFonts w:ascii="Century Schoolbook" w:hAnsi="Century Schoolbook"/>
        </w:rPr>
        <w:t xml:space="preserve"> </w:t>
      </w:r>
      <w:r w:rsidRPr="0046796A" w:rsidR="000C7C29">
        <w:rPr>
          <w:rFonts w:ascii="Century Schoolbook" w:hAnsi="Century Schoolbook"/>
        </w:rPr>
        <w:t>District’s taxing authority under section 50079</w:t>
      </w:r>
      <w:r w:rsidRPr="0046796A" w:rsidR="007633AD">
        <w:rPr>
          <w:rFonts w:ascii="Century Schoolbook" w:hAnsi="Century Schoolbook"/>
        </w:rPr>
        <w:t xml:space="preserve">.”  </w:t>
      </w:r>
      <w:r w:rsidRPr="0046796A" w:rsidR="000C7C29">
        <w:rPr>
          <w:rFonts w:ascii="Century Schoolbook" w:hAnsi="Century Schoolbook"/>
        </w:rPr>
        <w:t>(</w:t>
      </w:r>
      <w:r w:rsidRPr="0046796A" w:rsidR="000C7C29">
        <w:rPr>
          <w:rFonts w:ascii="Century Schoolbook" w:hAnsi="Century Schoolbook"/>
          <w:i/>
        </w:rPr>
        <w:t>Id</w:t>
      </w:r>
      <w:r w:rsidRPr="0046796A" w:rsidR="000C7C29">
        <w:rPr>
          <w:rFonts w:ascii="Century Schoolbook" w:hAnsi="Century Schoolbook"/>
        </w:rPr>
        <w:t xml:space="preserve">. at </w:t>
      </w:r>
      <w:r w:rsidRPr="0046796A">
        <w:rPr>
          <w:rFonts w:ascii="Century Schoolbook" w:hAnsi="Century Schoolbook"/>
        </w:rPr>
        <w:t xml:space="preserve">p. </w:t>
      </w:r>
      <w:r w:rsidRPr="0046796A" w:rsidR="000C7C29">
        <w:rPr>
          <w:rFonts w:ascii="Century Schoolbook" w:hAnsi="Century Schoolbook"/>
        </w:rPr>
        <w:t xml:space="preserve">165.) </w:t>
      </w:r>
      <w:r w:rsidRPr="0046796A" w:rsidR="007D113A">
        <w:rPr>
          <w:rFonts w:ascii="Century Schoolbook" w:hAnsi="Century Schoolbook"/>
        </w:rPr>
        <w:t xml:space="preserve"> </w:t>
      </w:r>
      <w:r w:rsidRPr="0046796A" w:rsidR="005D207B">
        <w:rPr>
          <w:rFonts w:ascii="Century Schoolbook" w:hAnsi="Century Schoolbook"/>
        </w:rPr>
        <w:t xml:space="preserve">The court severed </w:t>
      </w:r>
      <w:r w:rsidRPr="0046796A" w:rsidR="006A2D36">
        <w:rPr>
          <w:rFonts w:ascii="Century Schoolbook" w:hAnsi="Century Schoolbook"/>
        </w:rPr>
        <w:t xml:space="preserve">this aspect of </w:t>
      </w:r>
      <w:r w:rsidRPr="0046796A" w:rsidR="00C15121">
        <w:rPr>
          <w:rFonts w:ascii="Century Schoolbook" w:hAnsi="Century Schoolbook"/>
        </w:rPr>
        <w:t>Measure H</w:t>
      </w:r>
      <w:r w:rsidRPr="0046796A" w:rsidR="006A2D36">
        <w:rPr>
          <w:rFonts w:ascii="Century Schoolbook" w:hAnsi="Century Schoolbook"/>
        </w:rPr>
        <w:t xml:space="preserve">, </w:t>
      </w:r>
      <w:r w:rsidRPr="0046796A" w:rsidR="001731B3">
        <w:rPr>
          <w:rFonts w:ascii="Century Schoolbook" w:hAnsi="Century Schoolbook"/>
        </w:rPr>
        <w:t>leaving a tax of $12</w:t>
      </w:r>
      <w:r w:rsidRPr="0046796A" w:rsidR="005815AB">
        <w:rPr>
          <w:rFonts w:ascii="Century Schoolbook" w:hAnsi="Century Schoolbook"/>
        </w:rPr>
        <w:t>0</w:t>
      </w:r>
      <w:r w:rsidRPr="0046796A" w:rsidR="001731B3">
        <w:rPr>
          <w:rFonts w:ascii="Century Schoolbook" w:hAnsi="Century Schoolbook"/>
        </w:rPr>
        <w:t xml:space="preserve"> </w:t>
      </w:r>
      <w:r w:rsidRPr="0046796A" w:rsidR="00C15121">
        <w:rPr>
          <w:rFonts w:ascii="Century Schoolbook" w:hAnsi="Century Schoolbook"/>
        </w:rPr>
        <w:t xml:space="preserve">to be imposed </w:t>
      </w:r>
      <w:r w:rsidRPr="0046796A" w:rsidR="006A2D36">
        <w:rPr>
          <w:rFonts w:ascii="Century Schoolbook" w:hAnsi="Century Schoolbook"/>
        </w:rPr>
        <w:t>on non-exempt taxpayer</w:t>
      </w:r>
      <w:r w:rsidRPr="0046796A" w:rsidR="007C0A07">
        <w:rPr>
          <w:rFonts w:ascii="Century Schoolbook" w:hAnsi="Century Schoolbook"/>
        </w:rPr>
        <w:t>s</w:t>
      </w:r>
      <w:r w:rsidRPr="0046796A" w:rsidR="006A2D36">
        <w:rPr>
          <w:rFonts w:ascii="Century Schoolbook" w:hAnsi="Century Schoolbook"/>
        </w:rPr>
        <w:t xml:space="preserve"> as to </w:t>
      </w:r>
      <w:r w:rsidRPr="0046796A" w:rsidR="007C0A07">
        <w:rPr>
          <w:rFonts w:ascii="Century Schoolbook" w:hAnsi="Century Schoolbook"/>
        </w:rPr>
        <w:t xml:space="preserve">each </w:t>
      </w:r>
      <w:r w:rsidRPr="0046796A" w:rsidR="00C15121">
        <w:rPr>
          <w:rFonts w:ascii="Century Schoolbook" w:hAnsi="Century Schoolbook"/>
        </w:rPr>
        <w:t>parcel</w:t>
      </w:r>
      <w:r w:rsidRPr="0046796A" w:rsidR="001731B3">
        <w:rPr>
          <w:rFonts w:ascii="Century Schoolbook" w:hAnsi="Century Schoolbook"/>
        </w:rPr>
        <w:t>.  (</w:t>
      </w:r>
      <w:r w:rsidRPr="0046796A" w:rsidR="00B44E84">
        <w:rPr>
          <w:rFonts w:ascii="Century Schoolbook" w:hAnsi="Century Schoolbook"/>
          <w:i/>
          <w:iCs/>
        </w:rPr>
        <w:t>Id</w:t>
      </w:r>
      <w:r w:rsidRPr="0046796A" w:rsidR="00B44E84">
        <w:rPr>
          <w:rFonts w:ascii="Century Schoolbook" w:hAnsi="Century Schoolbook"/>
        </w:rPr>
        <w:t xml:space="preserve">. </w:t>
      </w:r>
      <w:r w:rsidRPr="0046796A" w:rsidR="001731B3">
        <w:rPr>
          <w:rFonts w:ascii="Century Schoolbook" w:hAnsi="Century Schoolbook"/>
        </w:rPr>
        <w:t>at pp. 166</w:t>
      </w:r>
      <w:r w:rsidRPr="0046796A" w:rsidR="00327E3E">
        <w:rPr>
          <w:rFonts w:ascii="Century Schoolbook" w:hAnsi="Century Schoolbook"/>
        </w:rPr>
        <w:t>–</w:t>
      </w:r>
      <w:r w:rsidRPr="0046796A" w:rsidR="001731B3">
        <w:rPr>
          <w:rFonts w:ascii="Century Schoolbook" w:hAnsi="Century Schoolbook"/>
        </w:rPr>
        <w:t>168.)</w:t>
      </w:r>
    </w:p>
    <w:p w:rsidR="00F26FD8" w:rsidRPr="0046796A" w:rsidP="00C15121" w14:paraId="552CC0AB" w14:textId="2861EBCE">
      <w:pPr>
        <w:pStyle w:val="BodyText"/>
        <w:widowControl/>
        <w:spacing w:line="360" w:lineRule="auto"/>
        <w:ind w:left="0"/>
        <w:rPr>
          <w:rFonts w:ascii="Century Schoolbook" w:hAnsi="Century Schoolbook"/>
        </w:rPr>
      </w:pPr>
      <w:r w:rsidRPr="0046796A">
        <w:rPr>
          <w:rFonts w:ascii="Century Schoolbook" w:hAnsi="Century Schoolbook"/>
        </w:rPr>
        <w:tab/>
      </w:r>
      <w:r w:rsidRPr="0046796A">
        <w:rPr>
          <w:rFonts w:ascii="Century Schoolbook" w:hAnsi="Century Schoolbook"/>
          <w:i/>
          <w:iCs/>
        </w:rPr>
        <w:t>Borikas</w:t>
      </w:r>
      <w:r w:rsidRPr="0046796A" w:rsidR="00B44E84">
        <w:rPr>
          <w:rFonts w:ascii="Century Schoolbook" w:hAnsi="Century Schoolbook"/>
        </w:rPr>
        <w:t>, however,</w:t>
      </w:r>
      <w:r w:rsidRPr="0046796A">
        <w:rPr>
          <w:rFonts w:ascii="Century Schoolbook" w:hAnsi="Century Schoolbook"/>
        </w:rPr>
        <w:t xml:space="preserve"> did not address the </w:t>
      </w:r>
      <w:r w:rsidRPr="0046796A" w:rsidR="001F4CAD">
        <w:rPr>
          <w:rFonts w:ascii="Century Schoolbook" w:hAnsi="Century Schoolbook"/>
        </w:rPr>
        <w:t xml:space="preserve">situation </w:t>
      </w:r>
      <w:r w:rsidRPr="0046796A">
        <w:rPr>
          <w:rFonts w:ascii="Century Schoolbook" w:hAnsi="Century Schoolbook"/>
        </w:rPr>
        <w:t xml:space="preserve">presented </w:t>
      </w:r>
      <w:r w:rsidRPr="0046796A" w:rsidR="0093616E">
        <w:rPr>
          <w:rFonts w:ascii="Century Schoolbook" w:hAnsi="Century Schoolbook"/>
        </w:rPr>
        <w:t>in this appeal</w:t>
      </w:r>
      <w:r w:rsidRPr="0046796A" w:rsidR="00C15121">
        <w:rPr>
          <w:rFonts w:ascii="Century Schoolbook" w:hAnsi="Century Schoolbook"/>
        </w:rPr>
        <w:t xml:space="preserve">.  It decided only that </w:t>
      </w:r>
      <w:r w:rsidRPr="0046796A" w:rsidR="00C3405F">
        <w:rPr>
          <w:rFonts w:ascii="Century Schoolbook" w:hAnsi="Century Schoolbook"/>
        </w:rPr>
        <w:t xml:space="preserve">the </w:t>
      </w:r>
      <w:r w:rsidRPr="0046796A" w:rsidR="00DA53A6">
        <w:rPr>
          <w:rFonts w:ascii="Century Schoolbook" w:hAnsi="Century Schoolbook"/>
        </w:rPr>
        <w:t>D</w:t>
      </w:r>
      <w:r w:rsidRPr="0046796A" w:rsidR="00C3405F">
        <w:rPr>
          <w:rFonts w:ascii="Century Schoolbook" w:hAnsi="Century Schoolbook"/>
        </w:rPr>
        <w:t xml:space="preserve">istrict lacked authority under section 50079 to impose one </w:t>
      </w:r>
      <w:r w:rsidRPr="0046796A" w:rsidR="0028384A">
        <w:rPr>
          <w:rFonts w:ascii="Century Schoolbook" w:hAnsi="Century Schoolbook"/>
        </w:rPr>
        <w:t>tax formula (</w:t>
      </w:r>
      <w:r w:rsidRPr="0046796A" w:rsidR="006A2D36">
        <w:rPr>
          <w:rFonts w:ascii="Century Schoolbook" w:hAnsi="Century Schoolbook"/>
        </w:rPr>
        <w:t xml:space="preserve">a </w:t>
      </w:r>
      <w:r w:rsidRPr="0046796A" w:rsidR="0028384A">
        <w:rPr>
          <w:rFonts w:ascii="Century Schoolbook" w:hAnsi="Century Schoolbook"/>
        </w:rPr>
        <w:t xml:space="preserve">flat rate) </w:t>
      </w:r>
      <w:r w:rsidRPr="0046796A" w:rsidR="00C3405F">
        <w:rPr>
          <w:rFonts w:ascii="Century Schoolbook" w:hAnsi="Century Schoolbook"/>
        </w:rPr>
        <w:t>for commercial or industrial property under 2,000 square feet</w:t>
      </w:r>
      <w:r w:rsidRPr="0046796A" w:rsidR="002506C5">
        <w:rPr>
          <w:rFonts w:ascii="Century Schoolbook" w:hAnsi="Century Schoolbook"/>
        </w:rPr>
        <w:t>,</w:t>
      </w:r>
      <w:r w:rsidRPr="0046796A" w:rsidR="00C3405F">
        <w:rPr>
          <w:rFonts w:ascii="Century Schoolbook" w:hAnsi="Century Schoolbook"/>
        </w:rPr>
        <w:t xml:space="preserve"> and </w:t>
      </w:r>
      <w:r w:rsidRPr="0046796A" w:rsidR="002506C5">
        <w:rPr>
          <w:rFonts w:ascii="Century Schoolbook" w:hAnsi="Century Schoolbook"/>
        </w:rPr>
        <w:t xml:space="preserve">impose </w:t>
      </w:r>
      <w:r w:rsidRPr="0046796A" w:rsidR="0028384A">
        <w:rPr>
          <w:rFonts w:ascii="Century Schoolbook" w:hAnsi="Century Schoolbook"/>
        </w:rPr>
        <w:t xml:space="preserve">a </w:t>
      </w:r>
      <w:r w:rsidRPr="0046796A" w:rsidR="00C3405F">
        <w:rPr>
          <w:rFonts w:ascii="Century Schoolbook" w:hAnsi="Century Schoolbook"/>
        </w:rPr>
        <w:t xml:space="preserve">different </w:t>
      </w:r>
      <w:r w:rsidRPr="0046796A" w:rsidR="0028384A">
        <w:rPr>
          <w:rFonts w:ascii="Century Schoolbook" w:hAnsi="Century Schoolbook"/>
        </w:rPr>
        <w:t>tax formula (based on square footage</w:t>
      </w:r>
      <w:r w:rsidRPr="0046796A" w:rsidR="00B10414">
        <w:rPr>
          <w:rFonts w:ascii="Century Schoolbook" w:hAnsi="Century Schoolbook"/>
        </w:rPr>
        <w:t xml:space="preserve"> and a cap</w:t>
      </w:r>
      <w:r w:rsidRPr="0046796A" w:rsidR="0028384A">
        <w:rPr>
          <w:rFonts w:ascii="Century Schoolbook" w:hAnsi="Century Schoolbook"/>
        </w:rPr>
        <w:t xml:space="preserve">) </w:t>
      </w:r>
      <w:r w:rsidRPr="0046796A" w:rsidR="00C3405F">
        <w:rPr>
          <w:rFonts w:ascii="Century Schoolbook" w:hAnsi="Century Schoolbook"/>
        </w:rPr>
        <w:t>for commercial or industrial property over 2,000 square feet</w:t>
      </w:r>
      <w:r w:rsidRPr="0046796A" w:rsidR="00EA13EB">
        <w:rPr>
          <w:rFonts w:ascii="Century Schoolbook" w:hAnsi="Century Schoolbook"/>
        </w:rPr>
        <w:t xml:space="preserve">.  </w:t>
      </w:r>
      <w:r w:rsidRPr="0046796A" w:rsidR="002506C5">
        <w:rPr>
          <w:rFonts w:ascii="Century Schoolbook" w:hAnsi="Century Schoolbook"/>
        </w:rPr>
        <w:t xml:space="preserve">It </w:t>
      </w:r>
      <w:r w:rsidRPr="0046796A" w:rsidR="00C15121">
        <w:rPr>
          <w:rFonts w:ascii="Century Schoolbook" w:hAnsi="Century Schoolbook"/>
        </w:rPr>
        <w:t xml:space="preserve">did not </w:t>
      </w:r>
      <w:r w:rsidRPr="0046796A" w:rsidR="00B5328D">
        <w:rPr>
          <w:rFonts w:ascii="Century Schoolbook" w:hAnsi="Century Schoolbook"/>
        </w:rPr>
        <w:t>hold</w:t>
      </w:r>
      <w:r w:rsidRPr="0046796A" w:rsidR="006A2D36">
        <w:rPr>
          <w:rFonts w:ascii="Century Schoolbook" w:hAnsi="Century Schoolbook"/>
        </w:rPr>
        <w:t xml:space="preserve"> </w:t>
      </w:r>
      <w:r w:rsidRPr="0046796A" w:rsidR="00B10414">
        <w:rPr>
          <w:rFonts w:ascii="Century Schoolbook" w:hAnsi="Century Schoolbook"/>
        </w:rPr>
        <w:t>that the latter tax formula was invalid because</w:t>
      </w:r>
      <w:r w:rsidRPr="0046796A" w:rsidR="00507253">
        <w:rPr>
          <w:rFonts w:ascii="Century Schoolbook" w:hAnsi="Century Schoolbook"/>
        </w:rPr>
        <w:t xml:space="preserve"> </w:t>
      </w:r>
      <w:r w:rsidRPr="0046796A" w:rsidR="00B10414">
        <w:rPr>
          <w:rFonts w:ascii="Century Schoolbook" w:hAnsi="Century Schoolbook"/>
        </w:rPr>
        <w:t>it was based on square footage and a cap</w:t>
      </w:r>
      <w:r w:rsidRPr="0046796A" w:rsidR="00507253">
        <w:rPr>
          <w:rFonts w:ascii="Century Schoolbook" w:hAnsi="Century Schoolbook"/>
        </w:rPr>
        <w:t xml:space="preserve"> (as here)</w:t>
      </w:r>
      <w:r w:rsidRPr="0046796A" w:rsidR="00B10414">
        <w:rPr>
          <w:rFonts w:ascii="Century Schoolbook" w:hAnsi="Century Schoolbook"/>
        </w:rPr>
        <w:t xml:space="preserve">, but because </w:t>
      </w:r>
      <w:r w:rsidRPr="0046796A" w:rsidR="003D04F1">
        <w:rPr>
          <w:rFonts w:ascii="Century Schoolbook" w:hAnsi="Century Schoolbook"/>
        </w:rPr>
        <w:t xml:space="preserve">it </w:t>
      </w:r>
      <w:r w:rsidRPr="0046796A" w:rsidR="00B10414">
        <w:rPr>
          <w:rFonts w:ascii="Century Schoolbook" w:hAnsi="Century Schoolbook"/>
        </w:rPr>
        <w:t xml:space="preserve">was </w:t>
      </w:r>
      <w:r w:rsidRPr="0046796A">
        <w:rPr>
          <w:rFonts w:ascii="Century Schoolbook" w:hAnsi="Century Schoolbook"/>
        </w:rPr>
        <w:t xml:space="preserve">assigned to one explicit class of properties while a </w:t>
      </w:r>
      <w:r w:rsidRPr="0046796A" w:rsidR="00B10414">
        <w:rPr>
          <w:rFonts w:ascii="Century Schoolbook" w:hAnsi="Century Schoolbook"/>
          <w:i/>
          <w:iCs/>
        </w:rPr>
        <w:t>different</w:t>
      </w:r>
      <w:r w:rsidRPr="0046796A" w:rsidR="00B10414">
        <w:rPr>
          <w:rFonts w:ascii="Century Schoolbook" w:hAnsi="Century Schoolbook"/>
        </w:rPr>
        <w:t xml:space="preserve"> formula </w:t>
      </w:r>
      <w:r w:rsidRPr="0046796A">
        <w:rPr>
          <w:rFonts w:ascii="Century Schoolbook" w:hAnsi="Century Schoolbook"/>
        </w:rPr>
        <w:t xml:space="preserve">was </w:t>
      </w:r>
      <w:r w:rsidRPr="0046796A" w:rsidR="00B10414">
        <w:rPr>
          <w:rFonts w:ascii="Century Schoolbook" w:hAnsi="Century Schoolbook"/>
        </w:rPr>
        <w:t xml:space="preserve">imposed </w:t>
      </w:r>
      <w:r w:rsidRPr="0046796A">
        <w:rPr>
          <w:rFonts w:ascii="Century Schoolbook" w:hAnsi="Century Schoolbook"/>
        </w:rPr>
        <w:t xml:space="preserve">on another explicit class of properties.  </w:t>
      </w:r>
      <w:r w:rsidRPr="0046796A" w:rsidR="00BC1EBF">
        <w:rPr>
          <w:rFonts w:ascii="Century Schoolbook" w:hAnsi="Century Schoolbook"/>
          <w:i/>
          <w:iCs/>
        </w:rPr>
        <w:t>Borikas</w:t>
      </w:r>
      <w:r w:rsidRPr="0046796A" w:rsidR="00BC1EBF">
        <w:rPr>
          <w:rFonts w:ascii="Century Schoolbook" w:hAnsi="Century Schoolbook"/>
        </w:rPr>
        <w:t xml:space="preserve"> did not </w:t>
      </w:r>
      <w:r w:rsidRPr="0046796A" w:rsidR="0095577E">
        <w:rPr>
          <w:rFonts w:ascii="Century Schoolbook" w:hAnsi="Century Schoolbook"/>
        </w:rPr>
        <w:t xml:space="preserve">indicate </w:t>
      </w:r>
      <w:r w:rsidRPr="0046796A" w:rsidR="002342D0">
        <w:rPr>
          <w:rFonts w:ascii="Century Schoolbook" w:hAnsi="Century Schoolbook"/>
        </w:rPr>
        <w:t xml:space="preserve">that </w:t>
      </w:r>
      <w:r w:rsidRPr="0046796A" w:rsidR="00BC1EBF">
        <w:rPr>
          <w:rFonts w:ascii="Century Schoolbook" w:hAnsi="Century Schoolbook"/>
        </w:rPr>
        <w:t xml:space="preserve">the </w:t>
      </w:r>
      <w:r w:rsidRPr="0046796A" w:rsidR="002342D0">
        <w:rPr>
          <w:rFonts w:ascii="Century Schoolbook" w:hAnsi="Century Schoolbook"/>
        </w:rPr>
        <w:t xml:space="preserve">cap on maximum tax liability </w:t>
      </w:r>
      <w:r w:rsidRPr="0046796A" w:rsidR="00BC1EBF">
        <w:rPr>
          <w:rFonts w:ascii="Century Schoolbook" w:hAnsi="Century Schoolbook"/>
        </w:rPr>
        <w:t xml:space="preserve">in Measure H </w:t>
      </w:r>
      <w:r w:rsidRPr="0046796A" w:rsidR="009E2727">
        <w:rPr>
          <w:rFonts w:ascii="Century Schoolbook" w:hAnsi="Century Schoolbook"/>
        </w:rPr>
        <w:t xml:space="preserve">was </w:t>
      </w:r>
      <w:r w:rsidRPr="0046796A" w:rsidR="002342D0">
        <w:rPr>
          <w:rFonts w:ascii="Century Schoolbook" w:hAnsi="Century Schoolbook"/>
        </w:rPr>
        <w:t xml:space="preserve">a </w:t>
      </w:r>
      <w:r w:rsidRPr="0046796A" w:rsidR="0095577E">
        <w:rPr>
          <w:rFonts w:ascii="Century Schoolbook" w:hAnsi="Century Schoolbook"/>
        </w:rPr>
        <w:t>“</w:t>
      </w:r>
      <w:r w:rsidRPr="0046796A" w:rsidR="002342D0">
        <w:rPr>
          <w:rFonts w:ascii="Century Schoolbook" w:hAnsi="Century Schoolbook"/>
        </w:rPr>
        <w:t>classification</w:t>
      </w:r>
      <w:r w:rsidRPr="0046796A" w:rsidR="0095577E">
        <w:rPr>
          <w:rFonts w:ascii="Century Schoolbook" w:hAnsi="Century Schoolbook"/>
        </w:rPr>
        <w:t>”</w:t>
      </w:r>
      <w:r w:rsidRPr="0046796A" w:rsidR="00BF01BD">
        <w:rPr>
          <w:rFonts w:ascii="Century Schoolbook" w:hAnsi="Century Schoolbook"/>
        </w:rPr>
        <w:t xml:space="preserve"> of taxpayers or </w:t>
      </w:r>
      <w:r w:rsidRPr="0046796A" w:rsidR="001349F9">
        <w:rPr>
          <w:rFonts w:ascii="Century Schoolbook" w:hAnsi="Century Schoolbook"/>
        </w:rPr>
        <w:t xml:space="preserve">of </w:t>
      </w:r>
      <w:r w:rsidRPr="0046796A" w:rsidR="0095577E">
        <w:rPr>
          <w:rFonts w:ascii="Century Schoolbook" w:hAnsi="Century Schoolbook"/>
        </w:rPr>
        <w:t xml:space="preserve">real property, </w:t>
      </w:r>
      <w:r w:rsidRPr="0046796A" w:rsidR="002342D0">
        <w:rPr>
          <w:rFonts w:ascii="Century Schoolbook" w:hAnsi="Century Schoolbook"/>
        </w:rPr>
        <w:t>let alone one that would violate section 50079.</w:t>
      </w:r>
      <w:r w:rsidRPr="0046796A" w:rsidR="00862225">
        <w:rPr>
          <w:rStyle w:val="FootnoteReference"/>
          <w:rFonts w:ascii="Century Schoolbook" w:hAnsi="Century Schoolbook"/>
        </w:rPr>
        <w:t xml:space="preserve"> </w:t>
      </w:r>
      <w:r>
        <w:rPr>
          <w:rStyle w:val="FootnoteReference"/>
          <w:rFonts w:ascii="Century Schoolbook" w:hAnsi="Century Schoolbook"/>
        </w:rPr>
        <w:footnoteReference w:id="7"/>
      </w:r>
      <w:r w:rsidRPr="0046796A" w:rsidR="00862225">
        <w:rPr>
          <w:rFonts w:ascii="Century Schoolbook" w:hAnsi="Century Schoolbook"/>
        </w:rPr>
        <w:t xml:space="preserve">  </w:t>
      </w:r>
    </w:p>
    <w:p w:rsidR="003D04F1" w:rsidRPr="0046796A" w:rsidP="00C15121" w14:paraId="6D0CEF2E" w14:textId="5877D122">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F26FD8">
        <w:rPr>
          <w:rFonts w:ascii="Century Schoolbook" w:hAnsi="Century Schoolbook"/>
        </w:rPr>
        <w:t xml:space="preserve">Put differently, Measure A (2020) </w:t>
      </w:r>
      <w:r w:rsidRPr="0046796A" w:rsidR="00507253">
        <w:rPr>
          <w:rFonts w:ascii="Century Schoolbook" w:hAnsi="Century Schoolbook"/>
        </w:rPr>
        <w:t xml:space="preserve">avoids </w:t>
      </w:r>
      <w:r w:rsidRPr="0046796A" w:rsidR="00F26FD8">
        <w:rPr>
          <w:rFonts w:ascii="Century Schoolbook" w:hAnsi="Century Schoolbook"/>
        </w:rPr>
        <w:t xml:space="preserve">the </w:t>
      </w:r>
      <w:r w:rsidRPr="0046796A" w:rsidR="00D8036B">
        <w:rPr>
          <w:rFonts w:ascii="Century Schoolbook" w:hAnsi="Century Schoolbook"/>
        </w:rPr>
        <w:t xml:space="preserve">impropriety </w:t>
      </w:r>
      <w:r w:rsidRPr="0046796A">
        <w:rPr>
          <w:rFonts w:ascii="Century Schoolbook" w:hAnsi="Century Schoolbook"/>
        </w:rPr>
        <w:t xml:space="preserve">adjudicated </w:t>
      </w:r>
      <w:r w:rsidRPr="0046796A" w:rsidR="00F26FD8">
        <w:rPr>
          <w:rFonts w:ascii="Century Schoolbook" w:hAnsi="Century Schoolbook"/>
        </w:rPr>
        <w:t xml:space="preserve">in </w:t>
      </w:r>
      <w:r w:rsidRPr="0046796A" w:rsidR="00F26FD8">
        <w:rPr>
          <w:rFonts w:ascii="Century Schoolbook" w:hAnsi="Century Schoolbook"/>
          <w:i/>
          <w:iCs/>
        </w:rPr>
        <w:t>Borikas</w:t>
      </w:r>
      <w:r w:rsidRPr="0046796A" w:rsidR="00F26FD8">
        <w:rPr>
          <w:rFonts w:ascii="Century Schoolbook" w:hAnsi="Century Schoolbook"/>
        </w:rPr>
        <w:t xml:space="preserve"> by </w:t>
      </w:r>
      <w:r w:rsidRPr="0046796A" w:rsidR="00BF01BD">
        <w:rPr>
          <w:rFonts w:ascii="Century Schoolbook" w:hAnsi="Century Schoolbook"/>
        </w:rPr>
        <w:t xml:space="preserve">omitting </w:t>
      </w:r>
      <w:r w:rsidRPr="0046796A" w:rsidR="00F26FD8">
        <w:rPr>
          <w:rFonts w:ascii="Century Schoolbook" w:hAnsi="Century Schoolbook"/>
        </w:rPr>
        <w:t xml:space="preserve">the flat tax for a class of properties and </w:t>
      </w:r>
      <w:r w:rsidRPr="0046796A" w:rsidR="00507253">
        <w:rPr>
          <w:rFonts w:ascii="Century Schoolbook" w:hAnsi="Century Schoolbook"/>
        </w:rPr>
        <w:t xml:space="preserve">by </w:t>
      </w:r>
      <w:r w:rsidRPr="0046796A" w:rsidR="00F26FD8">
        <w:rPr>
          <w:rFonts w:ascii="Century Schoolbook" w:hAnsi="Century Schoolbook"/>
        </w:rPr>
        <w:t xml:space="preserve">leaving </w:t>
      </w:r>
      <w:r w:rsidRPr="0046796A" w:rsidR="00B44E84">
        <w:rPr>
          <w:rFonts w:ascii="Century Schoolbook" w:hAnsi="Century Schoolbook"/>
        </w:rPr>
        <w:t xml:space="preserve">only a </w:t>
      </w:r>
      <w:r w:rsidRPr="0046796A" w:rsidR="00F26FD8">
        <w:rPr>
          <w:rFonts w:ascii="Century Schoolbook" w:hAnsi="Century Schoolbook"/>
          <w:i/>
          <w:iCs/>
        </w:rPr>
        <w:t>single</w:t>
      </w:r>
      <w:r w:rsidRPr="0046796A" w:rsidR="00F26FD8">
        <w:rPr>
          <w:rFonts w:ascii="Century Schoolbook" w:hAnsi="Century Schoolbook"/>
        </w:rPr>
        <w:t xml:space="preserve"> tax formula</w:t>
      </w:r>
      <w:r w:rsidRPr="0046796A" w:rsidR="00717B74">
        <w:rPr>
          <w:rFonts w:ascii="Century Schoolbook" w:hAnsi="Century Schoolbook"/>
        </w:rPr>
        <w:t>—</w:t>
      </w:r>
      <w:r w:rsidRPr="0046796A" w:rsidR="00F26FD8">
        <w:rPr>
          <w:rFonts w:ascii="Century Schoolbook" w:hAnsi="Century Schoolbook"/>
        </w:rPr>
        <w:t>based on square footage with a cap</w:t>
      </w:r>
      <w:r w:rsidRPr="0046796A" w:rsidR="00717B74">
        <w:rPr>
          <w:rFonts w:ascii="Century Schoolbook" w:hAnsi="Century Schoolbook"/>
        </w:rPr>
        <w:t>—</w:t>
      </w:r>
      <w:r w:rsidRPr="0046796A" w:rsidR="00F26FD8">
        <w:rPr>
          <w:rFonts w:ascii="Century Schoolbook" w:hAnsi="Century Schoolbook"/>
        </w:rPr>
        <w:t xml:space="preserve">for all properties and taxpayers. </w:t>
      </w:r>
    </w:p>
    <w:p w:rsidR="00B17FBD" w:rsidRPr="0046796A" w:rsidP="001349F9" w14:paraId="221AB801" w14:textId="5D52CB4B">
      <w:pPr>
        <w:spacing w:line="360" w:lineRule="auto"/>
      </w:pPr>
      <w:r w:rsidRPr="0046796A">
        <w:tab/>
      </w:r>
      <w:r w:rsidRPr="0046796A" w:rsidR="007162EA">
        <w:t>Unlike</w:t>
      </w:r>
      <w:r w:rsidRPr="0046796A" w:rsidR="00FC09AA">
        <w:t xml:space="preserve"> </w:t>
      </w:r>
      <w:r w:rsidRPr="0046796A" w:rsidR="000474CE">
        <w:rPr>
          <w:i/>
          <w:iCs/>
        </w:rPr>
        <w:t>Borikas</w:t>
      </w:r>
      <w:r w:rsidRPr="0046796A" w:rsidR="007162EA">
        <w:t>,</w:t>
      </w:r>
      <w:r w:rsidRPr="0046796A" w:rsidR="00950B2F">
        <w:t xml:space="preserve"> the</w:t>
      </w:r>
      <w:r w:rsidRPr="0046796A" w:rsidR="000474CE">
        <w:t xml:space="preserve"> </w:t>
      </w:r>
      <w:r w:rsidRPr="0046796A" w:rsidR="00490FEF">
        <w:t xml:space="preserve">question </w:t>
      </w:r>
      <w:r w:rsidRPr="0046796A" w:rsidR="007162EA">
        <w:t xml:space="preserve">here </w:t>
      </w:r>
      <w:r w:rsidRPr="0046796A" w:rsidR="00490FEF">
        <w:t xml:space="preserve">is whether </w:t>
      </w:r>
      <w:r w:rsidRPr="0046796A" w:rsidR="00490615">
        <w:t xml:space="preserve">the single tax formula of Measure A (2020) </w:t>
      </w:r>
      <w:r w:rsidRPr="0046796A" w:rsidR="0095577E">
        <w:t xml:space="preserve">is not uniformly applied </w:t>
      </w:r>
      <w:r w:rsidRPr="0046796A" w:rsidR="00490FEF">
        <w:t xml:space="preserve">even though every </w:t>
      </w:r>
      <w:r w:rsidRPr="0046796A" w:rsidR="00490615">
        <w:t xml:space="preserve">nonexempt </w:t>
      </w:r>
      <w:r w:rsidRPr="0046796A" w:rsidR="00490FEF">
        <w:t xml:space="preserve">taxpayer and </w:t>
      </w:r>
      <w:r w:rsidRPr="0046796A" w:rsidR="0095577E">
        <w:t xml:space="preserve">parcel </w:t>
      </w:r>
      <w:r w:rsidRPr="0046796A" w:rsidR="00490FEF">
        <w:t xml:space="preserve">is subject to </w:t>
      </w:r>
      <w:r w:rsidRPr="0046796A" w:rsidR="000474CE">
        <w:t xml:space="preserve">it.  The </w:t>
      </w:r>
      <w:r w:rsidRPr="0046796A" w:rsidR="000E0C25">
        <w:t xml:space="preserve">tax </w:t>
      </w:r>
      <w:r w:rsidRPr="0046796A" w:rsidR="000474CE">
        <w:t xml:space="preserve">formula has two aspects:  </w:t>
      </w:r>
      <w:r w:rsidRPr="0046796A" w:rsidR="00AC68C6">
        <w:t xml:space="preserve">(1) </w:t>
      </w:r>
      <w:r w:rsidRPr="0046796A" w:rsidR="000474CE">
        <w:t xml:space="preserve">it is </w:t>
      </w:r>
      <w:r w:rsidRPr="0046796A" w:rsidR="00AC68C6">
        <w:t xml:space="preserve">based on </w:t>
      </w:r>
      <w:r w:rsidRPr="0046796A" w:rsidR="0068108B">
        <w:t xml:space="preserve">the property’s </w:t>
      </w:r>
      <w:r w:rsidRPr="0046796A" w:rsidR="00AC68C6">
        <w:t>square footage</w:t>
      </w:r>
      <w:r w:rsidRPr="0046796A" w:rsidR="0068108B">
        <w:t xml:space="preserve">, with different </w:t>
      </w:r>
      <w:r w:rsidRPr="0046796A" w:rsidR="00AC68C6">
        <w:t>properties incur</w:t>
      </w:r>
      <w:r w:rsidRPr="0046796A" w:rsidR="0068108B">
        <w:t>ring</w:t>
      </w:r>
      <w:r w:rsidRPr="0046796A" w:rsidR="00AC68C6">
        <w:t xml:space="preserve"> different tax liability</w:t>
      </w:r>
      <w:r w:rsidRPr="0046796A" w:rsidR="003F358D">
        <w:t xml:space="preserve"> (</w:t>
      </w:r>
      <w:r w:rsidRPr="0046796A" w:rsidR="00AC68C6">
        <w:t xml:space="preserve">rather than a flat rate </w:t>
      </w:r>
      <w:r w:rsidRPr="0046796A" w:rsidR="003370C1">
        <w:t xml:space="preserve">yielding </w:t>
      </w:r>
      <w:r w:rsidRPr="0046796A" w:rsidR="00AC68C6">
        <w:t>an identical tax bill for every property</w:t>
      </w:r>
      <w:r w:rsidRPr="0046796A" w:rsidR="003F358D">
        <w:t>)</w:t>
      </w:r>
      <w:r w:rsidRPr="0046796A" w:rsidR="00AC68C6">
        <w:t xml:space="preserve">; and (2) </w:t>
      </w:r>
      <w:r w:rsidRPr="0046796A" w:rsidR="000474CE">
        <w:t xml:space="preserve">it has a </w:t>
      </w:r>
      <w:r w:rsidRPr="0046796A" w:rsidR="0068108B">
        <w:t xml:space="preserve">cap, </w:t>
      </w:r>
      <w:r w:rsidRPr="0046796A" w:rsidR="00CC64E1">
        <w:t xml:space="preserve">such that </w:t>
      </w:r>
      <w:r w:rsidRPr="0046796A" w:rsidR="000474CE">
        <w:t xml:space="preserve">some taxpayers will </w:t>
      </w:r>
      <w:r w:rsidRPr="0046796A" w:rsidR="000474CE">
        <w:rPr>
          <w:i/>
          <w:iCs/>
        </w:rPr>
        <w:t>end up</w:t>
      </w:r>
      <w:r w:rsidRPr="0046796A" w:rsidR="000474CE">
        <w:t xml:space="preserve"> paying per square foot while others pay $7,999, resulting in </w:t>
      </w:r>
      <w:r w:rsidRPr="0046796A" w:rsidR="00CC64E1">
        <w:t>properties of different sizes yield</w:t>
      </w:r>
      <w:r w:rsidRPr="0046796A" w:rsidR="000474CE">
        <w:t>ing</w:t>
      </w:r>
      <w:r w:rsidRPr="0046796A" w:rsidR="00CC64E1">
        <w:t xml:space="preserve"> different </w:t>
      </w:r>
      <w:r w:rsidRPr="0046796A" w:rsidR="00EA13EB">
        <w:t xml:space="preserve">effective </w:t>
      </w:r>
      <w:r w:rsidR="005379B5">
        <w:t xml:space="preserve">tax </w:t>
      </w:r>
      <w:r w:rsidRPr="0046796A" w:rsidR="00EA13EB">
        <w:t>rate</w:t>
      </w:r>
      <w:r w:rsidRPr="0046796A" w:rsidR="00CC64E1">
        <w:t>s</w:t>
      </w:r>
      <w:r w:rsidRPr="0046796A" w:rsidR="00EA13EB">
        <w:t xml:space="preserve"> per square foot</w:t>
      </w:r>
      <w:r w:rsidRPr="0046796A" w:rsidR="0068108B">
        <w:t>.</w:t>
      </w:r>
      <w:r w:rsidRPr="0046796A" w:rsidR="00EA13EB">
        <w:t xml:space="preserve"> </w:t>
      </w:r>
      <w:r w:rsidRPr="0046796A">
        <w:t xml:space="preserve"> As </w:t>
      </w:r>
      <w:r w:rsidRPr="0046796A" w:rsidR="00035977">
        <w:t xml:space="preserve">shown </w:t>
      </w:r>
      <w:r w:rsidRPr="0046796A">
        <w:t>next, case law suggests the square footage tax is permissible, and the cap does not render it impermissible.</w:t>
      </w:r>
    </w:p>
    <w:p w:rsidR="0093616E" w:rsidRPr="0046796A" w:rsidP="001349F9" w14:paraId="422F475D" w14:textId="7585C888">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1349F9">
        <w:rPr>
          <w:rFonts w:ascii="Century Schoolbook" w:hAnsi="Century Schoolbook"/>
        </w:rPr>
        <w:t xml:space="preserve">Instructive to some extent </w:t>
      </w:r>
      <w:r w:rsidRPr="0046796A" w:rsidR="0068108B">
        <w:rPr>
          <w:rFonts w:ascii="Century Schoolbook" w:hAnsi="Century Schoolbook"/>
        </w:rPr>
        <w:t xml:space="preserve">is </w:t>
      </w:r>
      <w:r w:rsidRPr="0046796A" w:rsidR="007853CD">
        <w:rPr>
          <w:rFonts w:ascii="Century Schoolbook" w:hAnsi="Century Schoolbook"/>
          <w:i/>
        </w:rPr>
        <w:t>Dondlinger</w:t>
      </w:r>
      <w:r w:rsidRPr="0046796A" w:rsidR="00B17B69">
        <w:rPr>
          <w:rFonts w:ascii="Century Schoolbook" w:hAnsi="Century Schoolbook"/>
          <w:i/>
        </w:rPr>
        <w:t xml:space="preserve"> </w:t>
      </w:r>
      <w:r w:rsidRPr="0046796A">
        <w:rPr>
          <w:rFonts w:ascii="Century Schoolbook" w:hAnsi="Century Schoolbook"/>
          <w:i/>
        </w:rPr>
        <w:t xml:space="preserve">v. Los Angeles County Regional Park &amp; Open Space Dist. </w:t>
      </w:r>
      <w:r w:rsidRPr="0046796A">
        <w:rPr>
          <w:rFonts w:ascii="Century Schoolbook" w:hAnsi="Century Schoolbook"/>
          <w:iCs/>
        </w:rPr>
        <w:t>(2019)</w:t>
      </w:r>
      <w:r w:rsidRPr="0046796A">
        <w:rPr>
          <w:rFonts w:ascii="Century Schoolbook" w:hAnsi="Century Schoolbook"/>
          <w:i/>
        </w:rPr>
        <w:t xml:space="preserve"> </w:t>
      </w:r>
      <w:r w:rsidRPr="0046796A" w:rsidR="007853CD">
        <w:rPr>
          <w:rFonts w:ascii="Century Schoolbook" w:hAnsi="Century Schoolbook"/>
        </w:rPr>
        <w:t>31 Cal.App.5th 994</w:t>
      </w:r>
      <w:r w:rsidRPr="0046796A" w:rsidR="00B17B69">
        <w:rPr>
          <w:rFonts w:ascii="Century Schoolbook" w:hAnsi="Century Schoolbook"/>
        </w:rPr>
        <w:t xml:space="preserve"> (</w:t>
      </w:r>
      <w:r w:rsidRPr="0046796A" w:rsidR="00B17B69">
        <w:rPr>
          <w:rFonts w:ascii="Century Schoolbook" w:hAnsi="Century Schoolbook"/>
          <w:i/>
          <w:iCs/>
        </w:rPr>
        <w:t>Dondlinger</w:t>
      </w:r>
      <w:r w:rsidRPr="0046796A" w:rsidR="00B17B69">
        <w:rPr>
          <w:rFonts w:ascii="Century Schoolbook" w:hAnsi="Century Schoolbook"/>
        </w:rPr>
        <w:t>)</w:t>
      </w:r>
      <w:r w:rsidRPr="0046796A" w:rsidR="00CA3500">
        <w:rPr>
          <w:rFonts w:ascii="Century Schoolbook" w:hAnsi="Century Schoolbook"/>
        </w:rPr>
        <w:t xml:space="preserve">, which </w:t>
      </w:r>
      <w:r w:rsidRPr="0046796A" w:rsidR="001349F9">
        <w:rPr>
          <w:rFonts w:ascii="Century Schoolbook" w:hAnsi="Century Schoolbook"/>
        </w:rPr>
        <w:t xml:space="preserve">approved a square footage tax and </w:t>
      </w:r>
      <w:r w:rsidRPr="0046796A" w:rsidR="00CA3500">
        <w:rPr>
          <w:rFonts w:ascii="Century Schoolbook" w:hAnsi="Century Schoolbook"/>
        </w:rPr>
        <w:t xml:space="preserve">suggests that what taxpayers </w:t>
      </w:r>
      <w:r w:rsidRPr="0046796A" w:rsidR="00CA3500">
        <w:rPr>
          <w:rFonts w:ascii="Century Schoolbook" w:hAnsi="Century Schoolbook"/>
          <w:i/>
          <w:iCs/>
        </w:rPr>
        <w:t>end up</w:t>
      </w:r>
      <w:r w:rsidRPr="0046796A" w:rsidR="00CA3500">
        <w:rPr>
          <w:rFonts w:ascii="Century Schoolbook" w:hAnsi="Century Schoolbook"/>
        </w:rPr>
        <w:t xml:space="preserve"> paying is </w:t>
      </w:r>
      <w:r w:rsidRPr="0046796A" w:rsidR="0018442C">
        <w:rPr>
          <w:rFonts w:ascii="Century Schoolbook" w:hAnsi="Century Schoolbook"/>
        </w:rPr>
        <w:t xml:space="preserve">not relevant to whether a tax is uniformly </w:t>
      </w:r>
      <w:r w:rsidRPr="0046796A" w:rsidR="0018442C">
        <w:rPr>
          <w:rFonts w:ascii="Century Schoolbook" w:hAnsi="Century Schoolbook"/>
          <w:i/>
          <w:iCs/>
        </w:rPr>
        <w:t>applied</w:t>
      </w:r>
      <w:r w:rsidRPr="0046796A" w:rsidR="0018442C">
        <w:rPr>
          <w:rFonts w:ascii="Century Schoolbook" w:hAnsi="Century Schoolbook"/>
        </w:rPr>
        <w:t xml:space="preserve">.  </w:t>
      </w:r>
      <w:r w:rsidRPr="0046796A" w:rsidR="00B17B69">
        <w:rPr>
          <w:rFonts w:ascii="Century Schoolbook" w:hAnsi="Century Schoolbook"/>
        </w:rPr>
        <w:t xml:space="preserve">There, the court considered </w:t>
      </w:r>
      <w:r w:rsidRPr="0046796A" w:rsidR="007853CD">
        <w:rPr>
          <w:rFonts w:ascii="Century Schoolbook" w:hAnsi="Century Schoolbook"/>
        </w:rPr>
        <w:t>Public Resources Code section 5566</w:t>
      </w:r>
      <w:r w:rsidRPr="0046796A" w:rsidR="00B17B69">
        <w:rPr>
          <w:rFonts w:ascii="Century Schoolbook" w:hAnsi="Century Schoolbook"/>
        </w:rPr>
        <w:t>, which provides that “</w:t>
      </w:r>
      <w:r w:rsidRPr="0046796A" w:rsidR="00515DF2">
        <w:rPr>
          <w:rFonts w:ascii="Century Schoolbook" w:hAnsi="Century Schoolbook"/>
        </w:rPr>
        <w:t xml:space="preserve">a district may establish a zone or zones and a rate of tax for each zone, which is to be </w:t>
      </w:r>
      <w:r w:rsidRPr="0046796A" w:rsidR="00515DF2">
        <w:rPr>
          <w:rFonts w:ascii="Century Schoolbook" w:hAnsi="Century Schoolbook"/>
          <w:i/>
          <w:iCs/>
        </w:rPr>
        <w:t>applied uniformly</w:t>
      </w:r>
      <w:r w:rsidRPr="0046796A" w:rsidR="00515DF2">
        <w:rPr>
          <w:rFonts w:ascii="Century Schoolbook" w:hAnsi="Century Schoolbook"/>
        </w:rPr>
        <w:t xml:space="preserve"> to all taxpayers within the zone.”</w:t>
      </w:r>
      <w:r w:rsidRPr="0046796A" w:rsidR="00B17B69">
        <w:rPr>
          <w:rFonts w:ascii="Century Schoolbook" w:hAnsi="Century Schoolbook"/>
        </w:rPr>
        <w:t xml:space="preserve"> </w:t>
      </w:r>
      <w:r w:rsidRPr="0046796A">
        <w:rPr>
          <w:rFonts w:ascii="Century Schoolbook" w:hAnsi="Century Schoolbook"/>
        </w:rPr>
        <w:t xml:space="preserve"> (Italics added.)  </w:t>
      </w:r>
      <w:r w:rsidRPr="0046796A" w:rsidR="00FF38B7">
        <w:rPr>
          <w:rFonts w:ascii="Century Schoolbook" w:hAnsi="Century Schoolbook"/>
        </w:rPr>
        <w:t xml:space="preserve">Voters </w:t>
      </w:r>
      <w:r w:rsidRPr="0046796A" w:rsidR="004C270D">
        <w:rPr>
          <w:rFonts w:ascii="Century Schoolbook" w:hAnsi="Century Schoolbook"/>
        </w:rPr>
        <w:t xml:space="preserve">had </w:t>
      </w:r>
      <w:r w:rsidRPr="0046796A" w:rsidR="00FF38B7">
        <w:rPr>
          <w:rFonts w:ascii="Century Schoolbook" w:hAnsi="Century Schoolbook"/>
        </w:rPr>
        <w:t xml:space="preserve">approved </w:t>
      </w:r>
      <w:r w:rsidRPr="0046796A" w:rsidR="00B17B69">
        <w:rPr>
          <w:rFonts w:ascii="Century Schoolbook" w:hAnsi="Century Schoolbook"/>
        </w:rPr>
        <w:t>“a tax ‘on all improved parcels in the District at a rate of 1.5 cents per square foot of structural improvements, excluding the square footage of improvements used for parking.’</w:t>
      </w:r>
      <w:r w:rsidRPr="0046796A" w:rsidR="008B38DF">
        <w:rPr>
          <w:rFonts w:ascii="Century Schoolbook" w:hAnsi="Century Schoolbook"/>
        </w:rPr>
        <w:t xml:space="preserve"> </w:t>
      </w:r>
      <w:r w:rsidRPr="0046796A" w:rsidR="00B17B69">
        <w:rPr>
          <w:rFonts w:ascii="Century Schoolbook" w:hAnsi="Century Schoolbook"/>
        </w:rPr>
        <w:t>”</w:t>
      </w:r>
      <w:r w:rsidRPr="0046796A">
        <w:rPr>
          <w:rFonts w:ascii="Century Schoolbook" w:hAnsi="Century Schoolbook"/>
        </w:rPr>
        <w:t xml:space="preserve">  </w:t>
      </w:r>
      <w:r w:rsidRPr="0046796A" w:rsidR="00B17B69">
        <w:rPr>
          <w:rFonts w:ascii="Century Schoolbook" w:hAnsi="Century Schoolbook"/>
        </w:rPr>
        <w:t>(</w:t>
      </w:r>
      <w:r w:rsidRPr="0046796A">
        <w:rPr>
          <w:rFonts w:ascii="Century Schoolbook" w:hAnsi="Century Schoolbook"/>
          <w:i/>
          <w:iCs/>
        </w:rPr>
        <w:t>Dondlinger</w:t>
      </w:r>
      <w:r w:rsidRPr="0046796A">
        <w:rPr>
          <w:rFonts w:ascii="Century Schoolbook" w:hAnsi="Century Schoolbook"/>
        </w:rPr>
        <w:t xml:space="preserve">, </w:t>
      </w:r>
      <w:r w:rsidRPr="0046796A">
        <w:rPr>
          <w:rFonts w:ascii="Century Schoolbook" w:hAnsi="Century Schoolbook"/>
          <w:i/>
          <w:iCs/>
        </w:rPr>
        <w:t>supra</w:t>
      </w:r>
      <w:r w:rsidRPr="0046796A">
        <w:rPr>
          <w:rFonts w:ascii="Century Schoolbook" w:hAnsi="Century Schoolbook"/>
        </w:rPr>
        <w:t xml:space="preserve">, </w:t>
      </w:r>
      <w:r w:rsidRPr="0046796A" w:rsidR="00B17B69">
        <w:rPr>
          <w:rFonts w:ascii="Century Schoolbook" w:hAnsi="Century Schoolbook"/>
        </w:rPr>
        <w:t xml:space="preserve">31 Cal.App.5th at </w:t>
      </w:r>
      <w:r w:rsidRPr="0046796A">
        <w:rPr>
          <w:rFonts w:ascii="Century Schoolbook" w:hAnsi="Century Schoolbook"/>
        </w:rPr>
        <w:t xml:space="preserve">p. </w:t>
      </w:r>
      <w:r w:rsidRPr="0046796A" w:rsidR="00B17B69">
        <w:rPr>
          <w:rFonts w:ascii="Century Schoolbook" w:hAnsi="Century Schoolbook"/>
        </w:rPr>
        <w:t xml:space="preserve">996.) </w:t>
      </w:r>
      <w:r w:rsidRPr="0046796A" w:rsidR="007D113A">
        <w:rPr>
          <w:rFonts w:ascii="Century Schoolbook" w:hAnsi="Century Schoolbook"/>
        </w:rPr>
        <w:t xml:space="preserve"> </w:t>
      </w:r>
      <w:r w:rsidRPr="0046796A">
        <w:rPr>
          <w:rFonts w:ascii="Century Schoolbook" w:hAnsi="Century Schoolbook"/>
        </w:rPr>
        <w:t>The plaintiff argued that the tax did not apply uniformly because, among other things, “</w:t>
      </w:r>
      <w:r w:rsidRPr="0046796A" w:rsidR="00B17B69">
        <w:rPr>
          <w:rFonts w:ascii="Century Schoolbook" w:hAnsi="Century Schoolbook"/>
        </w:rPr>
        <w:t>each different property has a different square footage of structural improvements</w:t>
      </w:r>
      <w:r w:rsidRPr="0046796A">
        <w:rPr>
          <w:rFonts w:ascii="Century Schoolbook" w:hAnsi="Century Schoolbook"/>
        </w:rPr>
        <w:t xml:space="preserve">.”  </w:t>
      </w:r>
      <w:r w:rsidRPr="0046796A" w:rsidR="00B17B69">
        <w:rPr>
          <w:rFonts w:ascii="Century Schoolbook" w:hAnsi="Century Schoolbook"/>
        </w:rPr>
        <w:t>(</w:t>
      </w:r>
      <w:r w:rsidRPr="0046796A" w:rsidR="00B17B69">
        <w:rPr>
          <w:rFonts w:ascii="Century Schoolbook" w:hAnsi="Century Schoolbook"/>
          <w:i/>
        </w:rPr>
        <w:t>Id</w:t>
      </w:r>
      <w:r w:rsidRPr="0046796A" w:rsidR="00B17B69">
        <w:rPr>
          <w:rFonts w:ascii="Century Schoolbook" w:hAnsi="Century Schoolbook"/>
        </w:rPr>
        <w:t xml:space="preserve">. at </w:t>
      </w:r>
      <w:r w:rsidRPr="0046796A" w:rsidR="0018442C">
        <w:rPr>
          <w:rFonts w:ascii="Century Schoolbook" w:hAnsi="Century Schoolbook"/>
        </w:rPr>
        <w:t xml:space="preserve">p. </w:t>
      </w:r>
      <w:r w:rsidRPr="0046796A" w:rsidR="00B17B69">
        <w:rPr>
          <w:rFonts w:ascii="Century Schoolbook" w:hAnsi="Century Schoolbook"/>
        </w:rPr>
        <w:t xml:space="preserve">998.)  </w:t>
      </w:r>
    </w:p>
    <w:p w:rsidR="001958BA" w:rsidP="007853CD" w14:paraId="6F1F8192" w14:textId="77777777">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93616E">
        <w:rPr>
          <w:rFonts w:ascii="Century Schoolbook" w:hAnsi="Century Schoolbook"/>
        </w:rPr>
        <w:t>Acknowledging</w:t>
      </w:r>
      <w:r w:rsidRPr="0046796A" w:rsidR="004C270D">
        <w:rPr>
          <w:rFonts w:ascii="Century Schoolbook" w:hAnsi="Century Schoolbook"/>
        </w:rPr>
        <w:t xml:space="preserve"> that</w:t>
      </w:r>
      <w:r w:rsidRPr="0046796A" w:rsidR="0093616E">
        <w:rPr>
          <w:rFonts w:ascii="Century Schoolbook" w:hAnsi="Century Schoolbook"/>
        </w:rPr>
        <w:t xml:space="preserve"> </w:t>
      </w:r>
      <w:r w:rsidRPr="0046796A" w:rsidR="007853CD">
        <w:rPr>
          <w:rFonts w:ascii="Century Schoolbook" w:hAnsi="Century Schoolbook"/>
          <w:i/>
        </w:rPr>
        <w:t xml:space="preserve">Borikas </w:t>
      </w:r>
      <w:r w:rsidRPr="0046796A" w:rsidR="00DB000E">
        <w:rPr>
          <w:rFonts w:ascii="Century Schoolbook" w:hAnsi="Century Schoolbook"/>
          <w:iCs/>
        </w:rPr>
        <w:t xml:space="preserve">had </w:t>
      </w:r>
      <w:r w:rsidRPr="0046796A" w:rsidR="007853CD">
        <w:rPr>
          <w:rFonts w:ascii="Century Schoolbook" w:hAnsi="Century Schoolbook"/>
        </w:rPr>
        <w:t xml:space="preserve">found </w:t>
      </w:r>
      <w:r w:rsidRPr="0046796A" w:rsidR="00B227B7">
        <w:rPr>
          <w:rFonts w:ascii="Century Schoolbook" w:hAnsi="Century Schoolbook"/>
        </w:rPr>
        <w:t>s</w:t>
      </w:r>
      <w:r w:rsidRPr="0046796A" w:rsidR="007853CD">
        <w:rPr>
          <w:rFonts w:ascii="Century Schoolbook" w:hAnsi="Century Schoolbook"/>
        </w:rPr>
        <w:t xml:space="preserve">ection 50079 “to limit the </w:t>
      </w:r>
    </w:p>
    <w:p w:rsidR="00C3630E" w:rsidRPr="0046796A" w:rsidP="007853CD" w14:paraId="2D5F99D1" w14:textId="674F7A9B">
      <w:pPr>
        <w:pStyle w:val="BodyText"/>
        <w:widowControl/>
        <w:spacing w:line="360" w:lineRule="auto"/>
        <w:ind w:left="0"/>
        <w:rPr>
          <w:rFonts w:ascii="Century Schoolbook" w:hAnsi="Century Schoolbook"/>
        </w:rPr>
      </w:pPr>
      <w:r w:rsidRPr="0046796A">
        <w:rPr>
          <w:rFonts w:ascii="Century Schoolbook" w:hAnsi="Century Schoolbook"/>
        </w:rPr>
        <w:t xml:space="preserve">tax-levying authority </w:t>
      </w:r>
      <w:r w:rsidRPr="0046796A" w:rsidR="007D113A">
        <w:rPr>
          <w:rFonts w:ascii="Century Schoolbook" w:hAnsi="Century Schoolbook"/>
        </w:rPr>
        <w:t xml:space="preserve">. . . </w:t>
      </w:r>
      <w:r w:rsidRPr="0046796A">
        <w:rPr>
          <w:rFonts w:ascii="Century Schoolbook" w:hAnsi="Century Schoolbook"/>
        </w:rPr>
        <w:t xml:space="preserve">beyond the constitutional equal protection limits that would have applied even absent such language,” </w:t>
      </w:r>
      <w:r w:rsidRPr="0046796A">
        <w:rPr>
          <w:rFonts w:ascii="Century Schoolbook" w:hAnsi="Century Schoolbook"/>
          <w:i/>
        </w:rPr>
        <w:t xml:space="preserve">Dondlinger </w:t>
      </w:r>
      <w:r w:rsidRPr="0046796A">
        <w:rPr>
          <w:rFonts w:ascii="Century Schoolbook" w:hAnsi="Century Schoolbook"/>
        </w:rPr>
        <w:t xml:space="preserve">upheld the </w:t>
      </w:r>
      <w:r w:rsidRPr="0046796A" w:rsidR="0093616E">
        <w:rPr>
          <w:rFonts w:ascii="Century Schoolbook" w:hAnsi="Century Schoolbook"/>
        </w:rPr>
        <w:t xml:space="preserve">square footage-based </w:t>
      </w:r>
      <w:r w:rsidRPr="0046796A">
        <w:rPr>
          <w:rFonts w:ascii="Century Schoolbook" w:hAnsi="Century Schoolbook"/>
        </w:rPr>
        <w:t>tax</w:t>
      </w:r>
      <w:r w:rsidRPr="0046796A" w:rsidR="00B227B7">
        <w:rPr>
          <w:rFonts w:ascii="Century Schoolbook" w:hAnsi="Century Schoolbook"/>
        </w:rPr>
        <w:t xml:space="preserve"> even though it </w:t>
      </w:r>
      <w:r w:rsidRPr="0046796A" w:rsidR="0095577E">
        <w:rPr>
          <w:rFonts w:ascii="Century Schoolbook" w:hAnsi="Century Schoolbook"/>
        </w:rPr>
        <w:t xml:space="preserve">yielded </w:t>
      </w:r>
      <w:r w:rsidRPr="0046796A" w:rsidR="00B227B7">
        <w:rPr>
          <w:rFonts w:ascii="Century Schoolbook" w:hAnsi="Century Schoolbook"/>
        </w:rPr>
        <w:t>a different tax bill depending on the size of the property</w:t>
      </w:r>
      <w:r w:rsidRPr="0046796A" w:rsidR="007D113A">
        <w:rPr>
          <w:rFonts w:ascii="Century Schoolbook" w:hAnsi="Century Schoolbook"/>
        </w:rPr>
        <w:t xml:space="preserve"> and whether the property contained improvements used for parking</w:t>
      </w:r>
      <w:r w:rsidRPr="0046796A">
        <w:rPr>
          <w:rFonts w:ascii="Century Schoolbook" w:hAnsi="Century Schoolbook"/>
        </w:rPr>
        <w:t xml:space="preserve">. </w:t>
      </w:r>
      <w:r w:rsidRPr="0046796A" w:rsidR="0093616E">
        <w:rPr>
          <w:rFonts w:ascii="Century Schoolbook" w:hAnsi="Century Schoolbook"/>
        </w:rPr>
        <w:t xml:space="preserve"> (</w:t>
      </w:r>
      <w:r w:rsidRPr="0046796A" w:rsidR="0093616E">
        <w:rPr>
          <w:rFonts w:ascii="Century Schoolbook" w:hAnsi="Century Schoolbook"/>
          <w:i/>
          <w:iCs/>
        </w:rPr>
        <w:t>Dondlinger</w:t>
      </w:r>
      <w:r w:rsidRPr="0046796A" w:rsidR="0093616E">
        <w:rPr>
          <w:rFonts w:ascii="Century Schoolbook" w:hAnsi="Century Schoolbook"/>
        </w:rPr>
        <w:t xml:space="preserve">, </w:t>
      </w:r>
      <w:r w:rsidRPr="0046796A" w:rsidR="0093616E">
        <w:rPr>
          <w:rFonts w:ascii="Century Schoolbook" w:hAnsi="Century Schoolbook"/>
          <w:i/>
          <w:iCs/>
        </w:rPr>
        <w:t>supra</w:t>
      </w:r>
      <w:r w:rsidRPr="0046796A" w:rsidR="0093616E">
        <w:rPr>
          <w:rFonts w:ascii="Century Schoolbook" w:hAnsi="Century Schoolbook"/>
        </w:rPr>
        <w:t xml:space="preserve">, 31 Cal.App.5th at p. </w:t>
      </w:r>
      <w:r w:rsidRPr="0046796A">
        <w:rPr>
          <w:rFonts w:ascii="Century Schoolbook" w:hAnsi="Century Schoolbook"/>
        </w:rPr>
        <w:t>1000.)</w:t>
      </w:r>
      <w:r w:rsidRPr="0046796A" w:rsidR="00B227B7">
        <w:rPr>
          <w:rFonts w:ascii="Century Schoolbook" w:hAnsi="Century Schoolbook"/>
        </w:rPr>
        <w:t xml:space="preserve">  </w:t>
      </w:r>
      <w:r w:rsidRPr="0046796A" w:rsidR="0093616E">
        <w:rPr>
          <w:rFonts w:ascii="Century Schoolbook" w:hAnsi="Century Schoolbook"/>
        </w:rPr>
        <w:t xml:space="preserve">The court explained:  </w:t>
      </w:r>
      <w:r w:rsidRPr="0046796A" w:rsidR="00B17B69">
        <w:rPr>
          <w:rFonts w:ascii="Century Schoolbook" w:hAnsi="Century Schoolbook"/>
        </w:rPr>
        <w:t>“</w:t>
      </w:r>
      <w:r w:rsidRPr="0046796A">
        <w:rPr>
          <w:rFonts w:ascii="Century Schoolbook" w:hAnsi="Century Schoolbook"/>
        </w:rPr>
        <w:t xml:space="preserve">We do not read the statute to require a uniform </w:t>
      </w:r>
      <w:r w:rsidRPr="00964AF1">
        <w:rPr>
          <w:rFonts w:ascii="Century Schoolbook" w:hAnsi="Century Schoolbook"/>
          <w:i/>
          <w:iCs/>
        </w:rPr>
        <w:t>effect or outcome, but rather uniform application</w:t>
      </w:r>
      <w:r w:rsidRPr="0046796A">
        <w:rPr>
          <w:rFonts w:ascii="Century Schoolbook" w:hAnsi="Century Schoolbook"/>
        </w:rPr>
        <w:t>.</w:t>
      </w:r>
      <w:r w:rsidRPr="0046796A" w:rsidR="007D113A">
        <w:rPr>
          <w:rFonts w:ascii="Century Schoolbook" w:hAnsi="Century Schoolbook"/>
        </w:rPr>
        <w:t xml:space="preserve"> </w:t>
      </w:r>
      <w:r w:rsidRPr="0046796A">
        <w:rPr>
          <w:rFonts w:ascii="Century Schoolbook" w:hAnsi="Century Schoolbook"/>
        </w:rPr>
        <w:t xml:space="preserve"> </w:t>
      </w:r>
      <w:r w:rsidRPr="0046796A">
        <w:rPr>
          <w:rFonts w:ascii="Century Schoolbook" w:hAnsi="Century Schoolbook"/>
          <w:i/>
        </w:rPr>
        <w:t>We disagree with D</w:t>
      </w:r>
      <w:r w:rsidRPr="0046796A" w:rsidR="00497E96">
        <w:rPr>
          <w:rFonts w:ascii="Century Schoolbook" w:hAnsi="Century Schoolbook"/>
          <w:i/>
        </w:rPr>
        <w:t xml:space="preserve">ondlinger’s </w:t>
      </w:r>
      <w:r w:rsidRPr="0046796A">
        <w:rPr>
          <w:rFonts w:ascii="Century Schoolbook" w:hAnsi="Century Schoolbook"/>
          <w:i/>
        </w:rPr>
        <w:t>most basic premise that the tax is not uniformly applied because arithmetic functions render outcomes different for different taxpayers based on property size, type, or use</w:t>
      </w:r>
      <w:r w:rsidRPr="0046796A">
        <w:rPr>
          <w:rFonts w:ascii="Century Schoolbook" w:hAnsi="Century Schoolbook"/>
        </w:rPr>
        <w:t>, regardless of how taxpayer is defined.</w:t>
      </w:r>
      <w:r w:rsidRPr="0046796A" w:rsidR="007D113A">
        <w:rPr>
          <w:rFonts w:ascii="Century Schoolbook" w:hAnsi="Century Schoolbook"/>
        </w:rPr>
        <w:t xml:space="preserve"> </w:t>
      </w:r>
      <w:r w:rsidRPr="0046796A">
        <w:rPr>
          <w:rFonts w:ascii="Century Schoolbook" w:hAnsi="Century Schoolbook"/>
        </w:rPr>
        <w:t xml:space="preserve"> </w:t>
      </w:r>
      <w:r w:rsidRPr="0046796A">
        <w:rPr>
          <w:rFonts w:ascii="Century Schoolbook" w:hAnsi="Century Schoolbook"/>
          <w:i/>
        </w:rPr>
        <w:t>Each taxpayer is required to pay the same 1.5 cents per square foot of structural improvements on their real property not used for parking</w:t>
      </w:r>
      <w:r w:rsidRPr="0046796A">
        <w:rPr>
          <w:rFonts w:ascii="Century Schoolbook" w:hAnsi="Century Schoolbook"/>
        </w:rPr>
        <w:t xml:space="preserve">. </w:t>
      </w:r>
      <w:r w:rsidRPr="0046796A" w:rsidR="007D113A">
        <w:rPr>
          <w:rFonts w:ascii="Century Schoolbook" w:hAnsi="Century Schoolbook"/>
        </w:rPr>
        <w:t xml:space="preserve"> </w:t>
      </w:r>
      <w:r w:rsidRPr="0046796A">
        <w:rPr>
          <w:rFonts w:ascii="Century Schoolbook" w:hAnsi="Century Schoolbook"/>
        </w:rPr>
        <w:t xml:space="preserve">One is only a </w:t>
      </w:r>
      <w:r w:rsidR="00964AF1">
        <w:rPr>
          <w:rFonts w:ascii="Century Schoolbook" w:hAnsi="Century Schoolbook"/>
        </w:rPr>
        <w:t>‘</w:t>
      </w:r>
      <w:r w:rsidRPr="0046796A">
        <w:rPr>
          <w:rFonts w:ascii="Century Schoolbook" w:hAnsi="Century Schoolbook"/>
        </w:rPr>
        <w:t>taxpayer</w:t>
      </w:r>
      <w:r w:rsidR="00964AF1">
        <w:rPr>
          <w:rFonts w:ascii="Century Schoolbook" w:hAnsi="Century Schoolbook"/>
        </w:rPr>
        <w:t>’</w:t>
      </w:r>
      <w:r w:rsidRPr="0046796A">
        <w:rPr>
          <w:rFonts w:ascii="Century Schoolbook" w:hAnsi="Century Schoolbook"/>
        </w:rPr>
        <w:t xml:space="preserve"> for purposes of the</w:t>
      </w:r>
      <w:r w:rsidRPr="0046796A" w:rsidR="008059A8">
        <w:rPr>
          <w:rFonts w:ascii="Century Schoolbook" w:hAnsi="Century Schoolbook"/>
        </w:rPr>
        <w:t xml:space="preserve"> </w:t>
      </w:r>
      <w:r w:rsidRPr="0046796A">
        <w:rPr>
          <w:rFonts w:ascii="Century Schoolbook" w:hAnsi="Century Schoolbook"/>
        </w:rPr>
        <w:t xml:space="preserve">Measure A special tax if they own real property that contains structural improvements not used for parking. </w:t>
      </w:r>
      <w:r w:rsidRPr="0046796A" w:rsidR="007D113A">
        <w:rPr>
          <w:rFonts w:ascii="Century Schoolbook" w:hAnsi="Century Schoolbook"/>
        </w:rPr>
        <w:t xml:space="preserve"> </w:t>
      </w:r>
      <w:r w:rsidRPr="0046796A">
        <w:rPr>
          <w:rFonts w:ascii="Century Schoolbook" w:hAnsi="Century Schoolbook"/>
        </w:rPr>
        <w:t>Classes of property are not treated differently; a residential garage is not treated differently from a commercial parking garage, and a</w:t>
      </w:r>
      <w:r w:rsidRPr="0046796A" w:rsidR="00184D53">
        <w:rPr>
          <w:rFonts w:ascii="Century Schoolbook" w:hAnsi="Century Schoolbook"/>
        </w:rPr>
        <w:t xml:space="preserve"> </w:t>
      </w:r>
      <w:r w:rsidRPr="0046796A">
        <w:rPr>
          <w:rFonts w:ascii="Century Schoolbook" w:hAnsi="Century Schoolbook"/>
        </w:rPr>
        <w:t>house is not treated differently from an apartment building or a shopping mall.”</w:t>
      </w:r>
      <w:r w:rsidRPr="0046796A" w:rsidR="00184D53">
        <w:rPr>
          <w:rFonts w:ascii="Century Schoolbook" w:hAnsi="Century Schoolbook"/>
        </w:rPr>
        <w:t xml:space="preserve">  </w:t>
      </w:r>
      <w:r w:rsidRPr="0046796A">
        <w:rPr>
          <w:rFonts w:ascii="Century Schoolbook" w:hAnsi="Century Schoolbook"/>
        </w:rPr>
        <w:t>(</w:t>
      </w:r>
      <w:r w:rsidRPr="0046796A">
        <w:rPr>
          <w:rFonts w:ascii="Century Schoolbook" w:hAnsi="Century Schoolbook"/>
          <w:i/>
        </w:rPr>
        <w:t xml:space="preserve">Id. </w:t>
      </w:r>
      <w:r w:rsidRPr="0046796A">
        <w:rPr>
          <w:rFonts w:ascii="Century Schoolbook" w:hAnsi="Century Schoolbook"/>
        </w:rPr>
        <w:t xml:space="preserve">at </w:t>
      </w:r>
      <w:r w:rsidRPr="0046796A" w:rsidR="0093616E">
        <w:rPr>
          <w:rFonts w:ascii="Century Schoolbook" w:hAnsi="Century Schoolbook"/>
        </w:rPr>
        <w:t xml:space="preserve">p. </w:t>
      </w:r>
      <w:r w:rsidRPr="0046796A">
        <w:rPr>
          <w:rFonts w:ascii="Century Schoolbook" w:hAnsi="Century Schoolbook"/>
        </w:rPr>
        <w:t xml:space="preserve">1001, </w:t>
      </w:r>
      <w:r w:rsidR="00964AF1">
        <w:rPr>
          <w:rFonts w:ascii="Century Schoolbook" w:hAnsi="Century Schoolbook"/>
        </w:rPr>
        <w:t xml:space="preserve">some </w:t>
      </w:r>
      <w:r w:rsidRPr="0046796A" w:rsidR="0093616E">
        <w:rPr>
          <w:rFonts w:ascii="Century Schoolbook" w:hAnsi="Century Schoolbook"/>
        </w:rPr>
        <w:t xml:space="preserve">italics </w:t>
      </w:r>
      <w:r w:rsidRPr="0046796A">
        <w:rPr>
          <w:rFonts w:ascii="Century Schoolbook" w:hAnsi="Century Schoolbook"/>
        </w:rPr>
        <w:t>added.)</w:t>
      </w:r>
      <w:r w:rsidRPr="0046796A" w:rsidR="0093616E">
        <w:rPr>
          <w:rFonts w:ascii="Century Schoolbook" w:hAnsi="Century Schoolbook"/>
        </w:rPr>
        <w:t xml:space="preserve">  In short, the requirement that </w:t>
      </w:r>
      <w:r w:rsidRPr="0046796A" w:rsidR="004C270D">
        <w:rPr>
          <w:rFonts w:ascii="Century Schoolbook" w:hAnsi="Century Schoolbook"/>
        </w:rPr>
        <w:t xml:space="preserve">a </w:t>
      </w:r>
      <w:r w:rsidRPr="0046796A" w:rsidR="0093616E">
        <w:rPr>
          <w:rFonts w:ascii="Century Schoolbook" w:hAnsi="Century Schoolbook"/>
        </w:rPr>
        <w:t xml:space="preserve">tax </w:t>
      </w:r>
      <w:r w:rsidRPr="0046796A">
        <w:rPr>
          <w:rFonts w:ascii="Century Schoolbook" w:hAnsi="Century Schoolbook"/>
        </w:rPr>
        <w:t>“apply uniformly</w:t>
      </w:r>
      <w:r w:rsidRPr="0046796A" w:rsidR="0093616E">
        <w:rPr>
          <w:rFonts w:ascii="Century Schoolbook" w:hAnsi="Century Schoolbook"/>
        </w:rPr>
        <w:t xml:space="preserve">” does not </w:t>
      </w:r>
      <w:r w:rsidRPr="0046796A" w:rsidR="004C270D">
        <w:rPr>
          <w:rFonts w:ascii="Century Schoolbook" w:hAnsi="Century Schoolbook"/>
        </w:rPr>
        <w:t xml:space="preserve">mean that every taxpayer </w:t>
      </w:r>
      <w:r w:rsidRPr="0046796A" w:rsidR="00DB000E">
        <w:rPr>
          <w:rFonts w:ascii="Century Schoolbook" w:hAnsi="Century Schoolbook"/>
        </w:rPr>
        <w:t xml:space="preserve">must </w:t>
      </w:r>
      <w:r w:rsidRPr="0046796A" w:rsidR="004C270D">
        <w:rPr>
          <w:rFonts w:ascii="Century Schoolbook" w:hAnsi="Century Schoolbook"/>
        </w:rPr>
        <w:t xml:space="preserve">receive a </w:t>
      </w:r>
      <w:r w:rsidRPr="0046796A" w:rsidR="00B227B7">
        <w:rPr>
          <w:rFonts w:ascii="Century Schoolbook" w:hAnsi="Century Schoolbook"/>
        </w:rPr>
        <w:t>uniform outcome.</w:t>
      </w:r>
    </w:p>
    <w:p w:rsidR="00497E96" w:rsidRPr="0046796A" w:rsidP="001676BA" w14:paraId="1B078549" w14:textId="3A6370AE">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4C270D">
        <w:rPr>
          <w:rFonts w:ascii="Century Schoolbook" w:hAnsi="Century Schoolbook"/>
        </w:rPr>
        <w:t xml:space="preserve">As applied here, </w:t>
      </w:r>
      <w:r w:rsidRPr="0046796A" w:rsidR="0009352A">
        <w:rPr>
          <w:rFonts w:ascii="Century Schoolbook" w:hAnsi="Century Schoolbook"/>
          <w:i/>
          <w:iCs/>
        </w:rPr>
        <w:t>Dondlinger</w:t>
      </w:r>
      <w:r w:rsidRPr="0046796A" w:rsidR="0009352A">
        <w:rPr>
          <w:rFonts w:ascii="Century Schoolbook" w:hAnsi="Century Schoolbook"/>
        </w:rPr>
        <w:t xml:space="preserve"> </w:t>
      </w:r>
      <w:r w:rsidRPr="0046796A" w:rsidR="001349F9">
        <w:rPr>
          <w:rFonts w:ascii="Century Schoolbook" w:hAnsi="Century Schoolbook"/>
        </w:rPr>
        <w:t xml:space="preserve">indicates </w:t>
      </w:r>
      <w:r w:rsidRPr="0046796A" w:rsidR="0009352A">
        <w:rPr>
          <w:rFonts w:ascii="Century Schoolbook" w:hAnsi="Century Schoolbook"/>
        </w:rPr>
        <w:t xml:space="preserve">that </w:t>
      </w:r>
      <w:r w:rsidRPr="0046796A" w:rsidR="004C270D">
        <w:rPr>
          <w:rFonts w:ascii="Century Schoolbook" w:hAnsi="Century Schoolbook"/>
        </w:rPr>
        <w:t>a tax based on square footage</w:t>
      </w:r>
      <w:r w:rsidRPr="0046796A" w:rsidR="00A142BA">
        <w:rPr>
          <w:rFonts w:ascii="Century Schoolbook" w:hAnsi="Century Schoolbook"/>
        </w:rPr>
        <w:t xml:space="preserve"> </w:t>
      </w:r>
      <w:r w:rsidRPr="0046796A" w:rsidR="0009352A">
        <w:rPr>
          <w:rFonts w:ascii="Century Schoolbook" w:hAnsi="Century Schoolbook"/>
        </w:rPr>
        <w:t xml:space="preserve">does not </w:t>
      </w:r>
      <w:r w:rsidRPr="0046796A">
        <w:rPr>
          <w:rFonts w:ascii="Century Schoolbook" w:hAnsi="Century Schoolbook"/>
        </w:rPr>
        <w:t xml:space="preserve">violate </w:t>
      </w:r>
      <w:r w:rsidRPr="0046796A" w:rsidR="0009352A">
        <w:rPr>
          <w:rFonts w:ascii="Century Schoolbook" w:hAnsi="Century Schoolbook"/>
        </w:rPr>
        <w:t>the uniform application rule</w:t>
      </w:r>
      <w:r w:rsidRPr="0046796A" w:rsidR="004C270D">
        <w:rPr>
          <w:rFonts w:ascii="Century Schoolbook" w:hAnsi="Century Schoolbook"/>
        </w:rPr>
        <w:t xml:space="preserve"> of section 50079, </w:t>
      </w:r>
      <w:r w:rsidRPr="0046796A">
        <w:rPr>
          <w:rFonts w:ascii="Century Schoolbook" w:hAnsi="Century Schoolbook"/>
        </w:rPr>
        <w:t xml:space="preserve">just as a square footage tax does not violate the </w:t>
      </w:r>
      <w:r w:rsidRPr="0046796A" w:rsidR="002A5C98">
        <w:rPr>
          <w:rFonts w:ascii="Century Schoolbook" w:hAnsi="Century Schoolbook"/>
        </w:rPr>
        <w:t xml:space="preserve">uniform application </w:t>
      </w:r>
      <w:r w:rsidRPr="0046796A">
        <w:rPr>
          <w:rFonts w:ascii="Century Schoolbook" w:hAnsi="Century Schoolbook"/>
        </w:rPr>
        <w:t xml:space="preserve">rule in </w:t>
      </w:r>
      <w:r w:rsidRPr="0046796A" w:rsidR="004C270D">
        <w:rPr>
          <w:rFonts w:ascii="Century Schoolbook" w:hAnsi="Century Schoolbook"/>
        </w:rPr>
        <w:t>Public Resources Code section 5566</w:t>
      </w:r>
      <w:r w:rsidRPr="0046796A">
        <w:rPr>
          <w:rFonts w:ascii="Century Schoolbook" w:hAnsi="Century Schoolbook"/>
        </w:rPr>
        <w:t xml:space="preserve">.  </w:t>
      </w:r>
      <w:r w:rsidRPr="0046796A" w:rsidR="00DB000E">
        <w:rPr>
          <w:rFonts w:ascii="Century Schoolbook" w:hAnsi="Century Schoolbook"/>
        </w:rPr>
        <w:t xml:space="preserve">Indeed, </w:t>
      </w:r>
      <w:r w:rsidRPr="0046796A" w:rsidR="0009352A">
        <w:rPr>
          <w:rFonts w:ascii="Century Schoolbook" w:hAnsi="Century Schoolbook"/>
        </w:rPr>
        <w:t xml:space="preserve">Traiman does not argue </w:t>
      </w:r>
      <w:r w:rsidRPr="0046796A" w:rsidR="001676BA">
        <w:rPr>
          <w:rFonts w:ascii="Century Schoolbook" w:hAnsi="Century Schoolbook"/>
        </w:rPr>
        <w:t>otherwise.</w:t>
      </w:r>
      <w:r w:rsidRPr="0046796A">
        <w:rPr>
          <w:rFonts w:ascii="Century Schoolbook" w:hAnsi="Century Schoolbook"/>
        </w:rPr>
        <w:t xml:space="preserve">  </w:t>
      </w:r>
    </w:p>
    <w:p w:rsidR="001F4CAD" w:rsidRPr="0046796A" w:rsidP="002A5C98" w14:paraId="55CCC02C" w14:textId="686F2302">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A03CE0">
        <w:rPr>
          <w:rFonts w:ascii="Century Schoolbook" w:hAnsi="Century Schoolbook"/>
        </w:rPr>
        <w:t xml:space="preserve">Furthermore, </w:t>
      </w:r>
      <w:r w:rsidRPr="0046796A" w:rsidR="002A5C98">
        <w:rPr>
          <w:rFonts w:ascii="Century Schoolbook" w:hAnsi="Century Schoolbook"/>
        </w:rPr>
        <w:t xml:space="preserve">although </w:t>
      </w:r>
      <w:r w:rsidRPr="0046796A" w:rsidR="002A5C98">
        <w:rPr>
          <w:rFonts w:ascii="Century Schoolbook" w:hAnsi="Century Schoolbook"/>
          <w:i/>
          <w:iCs/>
        </w:rPr>
        <w:t>Dondlinger</w:t>
      </w:r>
      <w:r w:rsidRPr="0046796A" w:rsidR="002A5C98">
        <w:rPr>
          <w:rFonts w:ascii="Century Schoolbook" w:hAnsi="Century Schoolbook"/>
        </w:rPr>
        <w:t xml:space="preserve"> did not involve a cap, its view </w:t>
      </w:r>
      <w:r w:rsidRPr="0046796A" w:rsidR="00497E96">
        <w:rPr>
          <w:rFonts w:ascii="Century Schoolbook" w:hAnsi="Century Schoolbook"/>
        </w:rPr>
        <w:t xml:space="preserve">that a tax may be applied uniformly even if “arithmetic functions render outcomes </w:t>
      </w:r>
      <w:r w:rsidRPr="0046796A" w:rsidR="00496FA8">
        <w:rPr>
          <w:rFonts w:ascii="Century Schoolbook" w:hAnsi="Century Schoolbook"/>
        </w:rPr>
        <w:t xml:space="preserve">different </w:t>
      </w:r>
      <w:r w:rsidRPr="0046796A" w:rsidR="00497E96">
        <w:rPr>
          <w:rFonts w:ascii="Century Schoolbook" w:hAnsi="Century Schoolbook"/>
        </w:rPr>
        <w:t xml:space="preserve">for different taxpayers based on property size” </w:t>
      </w:r>
      <w:r w:rsidRPr="0046796A" w:rsidR="006C7B00">
        <w:rPr>
          <w:rFonts w:ascii="Century Schoolbook" w:hAnsi="Century Schoolbook"/>
        </w:rPr>
        <w:t xml:space="preserve">goes against the grain of </w:t>
      </w:r>
      <w:r w:rsidRPr="0046796A" w:rsidR="00497E96">
        <w:rPr>
          <w:rFonts w:ascii="Century Schoolbook" w:hAnsi="Century Schoolbook"/>
        </w:rPr>
        <w:t xml:space="preserve">Traiman’s </w:t>
      </w:r>
      <w:r w:rsidRPr="0046796A" w:rsidR="002A5C98">
        <w:rPr>
          <w:rFonts w:ascii="Century Schoolbook" w:hAnsi="Century Schoolbook"/>
        </w:rPr>
        <w:t xml:space="preserve">argument that the cap in Measure A (2020) </w:t>
      </w:r>
      <w:r w:rsidRPr="0046796A">
        <w:rPr>
          <w:rFonts w:ascii="Century Schoolbook" w:hAnsi="Century Schoolbook"/>
        </w:rPr>
        <w:t xml:space="preserve">is impermissible because it </w:t>
      </w:r>
      <w:r w:rsidRPr="0046796A" w:rsidR="002A5C98">
        <w:rPr>
          <w:rFonts w:ascii="Century Schoolbook" w:hAnsi="Century Schoolbook"/>
        </w:rPr>
        <w:t xml:space="preserve">yields different effective tax rates for larger properties.  </w:t>
      </w:r>
      <w:r w:rsidRPr="0046796A" w:rsidR="00422924">
        <w:rPr>
          <w:rFonts w:ascii="Century Schoolbook" w:hAnsi="Century Schoolbook"/>
        </w:rPr>
        <w:t>(</w:t>
      </w:r>
      <w:r w:rsidRPr="0046796A" w:rsidR="00422924">
        <w:rPr>
          <w:rFonts w:ascii="Century Schoolbook" w:hAnsi="Century Schoolbook"/>
          <w:i/>
          <w:iCs/>
        </w:rPr>
        <w:t>Dondlinger,</w:t>
      </w:r>
      <w:r w:rsidRPr="0046796A" w:rsidR="00422924">
        <w:rPr>
          <w:rFonts w:ascii="Century Schoolbook" w:hAnsi="Century Schoolbook"/>
        </w:rPr>
        <w:t xml:space="preserve"> </w:t>
      </w:r>
      <w:r w:rsidRPr="0046796A" w:rsidR="00422924">
        <w:rPr>
          <w:rFonts w:ascii="Century Schoolbook" w:hAnsi="Century Schoolbook"/>
          <w:i/>
          <w:iCs/>
        </w:rPr>
        <w:t>supra</w:t>
      </w:r>
      <w:r w:rsidRPr="0046796A" w:rsidR="00422924">
        <w:rPr>
          <w:rFonts w:ascii="Century Schoolbook" w:hAnsi="Century Schoolbook"/>
        </w:rPr>
        <w:t>, 31 Cal.App.5th at p. 100</w:t>
      </w:r>
      <w:r w:rsidR="00964AF1">
        <w:rPr>
          <w:rFonts w:ascii="Century Schoolbook" w:hAnsi="Century Schoolbook"/>
        </w:rPr>
        <w:t>1</w:t>
      </w:r>
      <w:r w:rsidRPr="0046796A" w:rsidR="00422924">
        <w:rPr>
          <w:rFonts w:ascii="Century Schoolbook" w:hAnsi="Century Schoolbook"/>
        </w:rPr>
        <w:t xml:space="preserve">.)  </w:t>
      </w:r>
      <w:r w:rsidRPr="0046796A" w:rsidR="002506C5">
        <w:rPr>
          <w:rFonts w:ascii="Century Schoolbook" w:hAnsi="Century Schoolbook"/>
        </w:rPr>
        <w:t>Both Traiman’s complaint and the trial court’s ruling were premised on the idea that all taxpayers must pay the same effective tax rate per square foot.  As the trial court put it:  “The $7,999 cap in Measure A (2020) creates a classification between improved properties based on size and applies a different and preferentially lower tax rate to properties above 30,184.9</w:t>
      </w:r>
      <w:r w:rsidRPr="0046796A" w:rsidR="0095577E">
        <w:rPr>
          <w:rFonts w:ascii="Century Schoolbook" w:hAnsi="Century Schoolbook"/>
        </w:rPr>
        <w:t>1</w:t>
      </w:r>
      <w:r w:rsidRPr="0046796A" w:rsidR="002506C5">
        <w:rPr>
          <w:rFonts w:ascii="Century Schoolbook" w:hAnsi="Century Schoolbook"/>
        </w:rPr>
        <w:t xml:space="preserve"> square feet which is prohibited.”  </w:t>
      </w:r>
      <w:r w:rsidRPr="0046796A" w:rsidR="004C270D">
        <w:rPr>
          <w:rFonts w:ascii="Century Schoolbook" w:hAnsi="Century Schoolbook"/>
        </w:rPr>
        <w:t xml:space="preserve">The </w:t>
      </w:r>
      <w:r w:rsidRPr="0046796A" w:rsidR="0009352A">
        <w:rPr>
          <w:rFonts w:ascii="Century Schoolbook" w:hAnsi="Century Schoolbook"/>
        </w:rPr>
        <w:t xml:space="preserve">inference from </w:t>
      </w:r>
      <w:r w:rsidRPr="0046796A" w:rsidR="0009352A">
        <w:rPr>
          <w:rFonts w:ascii="Century Schoolbook" w:hAnsi="Century Schoolbook"/>
          <w:i/>
          <w:iCs/>
        </w:rPr>
        <w:t>Dondlinger</w:t>
      </w:r>
      <w:r w:rsidRPr="0046796A" w:rsidR="0009352A">
        <w:rPr>
          <w:rFonts w:ascii="Century Schoolbook" w:hAnsi="Century Schoolbook"/>
        </w:rPr>
        <w:t xml:space="preserve"> is that different </w:t>
      </w:r>
      <w:r w:rsidRPr="0046796A">
        <w:rPr>
          <w:rFonts w:ascii="Century Schoolbook" w:hAnsi="Century Schoolbook"/>
        </w:rPr>
        <w:t>outcome</w:t>
      </w:r>
      <w:r w:rsidRPr="0046796A" w:rsidR="00A03CE0">
        <w:rPr>
          <w:rFonts w:ascii="Century Schoolbook" w:hAnsi="Century Schoolbook"/>
        </w:rPr>
        <w:t>s for taxpayers</w:t>
      </w:r>
      <w:r w:rsidRPr="0046796A">
        <w:rPr>
          <w:rFonts w:ascii="Century Schoolbook" w:hAnsi="Century Schoolbook"/>
        </w:rPr>
        <w:t xml:space="preserve">, such as </w:t>
      </w:r>
      <w:r w:rsidRPr="0046796A" w:rsidR="00A03CE0">
        <w:rPr>
          <w:rFonts w:ascii="Century Schoolbook" w:hAnsi="Century Schoolbook"/>
        </w:rPr>
        <w:t xml:space="preserve">their </w:t>
      </w:r>
      <w:r w:rsidRPr="0046796A" w:rsidR="0009352A">
        <w:rPr>
          <w:rFonts w:ascii="Century Schoolbook" w:hAnsi="Century Schoolbook"/>
        </w:rPr>
        <w:t>effective tax rate</w:t>
      </w:r>
      <w:r w:rsidRPr="0046796A" w:rsidR="00A03CE0">
        <w:rPr>
          <w:rFonts w:ascii="Century Schoolbook" w:hAnsi="Century Schoolbook"/>
        </w:rPr>
        <w:t>s</w:t>
      </w:r>
      <w:r w:rsidRPr="0046796A">
        <w:rPr>
          <w:rFonts w:ascii="Century Schoolbook" w:hAnsi="Century Schoolbook"/>
        </w:rPr>
        <w:t>,</w:t>
      </w:r>
      <w:r w:rsidRPr="0046796A" w:rsidR="0009352A">
        <w:rPr>
          <w:rFonts w:ascii="Century Schoolbook" w:hAnsi="Century Schoolbook"/>
        </w:rPr>
        <w:t xml:space="preserve"> </w:t>
      </w:r>
      <w:r w:rsidRPr="0046796A" w:rsidR="00A03CE0">
        <w:rPr>
          <w:rFonts w:ascii="Century Schoolbook" w:hAnsi="Century Schoolbook"/>
        </w:rPr>
        <w:t xml:space="preserve">due to the </w:t>
      </w:r>
      <w:r w:rsidRPr="0046796A" w:rsidR="0009352A">
        <w:rPr>
          <w:rFonts w:ascii="Century Schoolbook" w:hAnsi="Century Schoolbook"/>
        </w:rPr>
        <w:t xml:space="preserve">application of </w:t>
      </w:r>
      <w:r w:rsidRPr="0046796A">
        <w:rPr>
          <w:rFonts w:ascii="Century Schoolbook" w:hAnsi="Century Schoolbook"/>
        </w:rPr>
        <w:t xml:space="preserve">a </w:t>
      </w:r>
      <w:r w:rsidRPr="0046796A" w:rsidR="0009352A">
        <w:rPr>
          <w:rFonts w:ascii="Century Schoolbook" w:hAnsi="Century Schoolbook"/>
        </w:rPr>
        <w:t xml:space="preserve">tax </w:t>
      </w:r>
      <w:r w:rsidRPr="0046796A" w:rsidR="004C270D">
        <w:rPr>
          <w:rFonts w:ascii="Century Schoolbook" w:hAnsi="Century Schoolbook"/>
        </w:rPr>
        <w:t xml:space="preserve">formula </w:t>
      </w:r>
      <w:r w:rsidRPr="0046796A" w:rsidR="0009352A">
        <w:rPr>
          <w:rFonts w:ascii="Century Schoolbook" w:hAnsi="Century Schoolbook"/>
        </w:rPr>
        <w:t xml:space="preserve">does not </w:t>
      </w:r>
      <w:r w:rsidRPr="0046796A" w:rsidR="004C270D">
        <w:rPr>
          <w:rFonts w:ascii="Century Schoolbook" w:hAnsi="Century Schoolbook"/>
        </w:rPr>
        <w:t xml:space="preserve">mean the tax formula </w:t>
      </w:r>
      <w:r w:rsidRPr="0046796A" w:rsidR="002A5C98">
        <w:rPr>
          <w:rFonts w:ascii="Century Schoolbook" w:hAnsi="Century Schoolbook"/>
        </w:rPr>
        <w:t>fails the uniform application test.</w:t>
      </w:r>
    </w:p>
    <w:p w:rsidR="00A03CE0" w:rsidRPr="0046796A" w:rsidP="00035977" w14:paraId="03D79916" w14:textId="079EE078">
      <w:pPr>
        <w:pStyle w:val="BodyText"/>
        <w:widowControl/>
        <w:spacing w:line="360" w:lineRule="auto"/>
        <w:ind w:left="0"/>
        <w:rPr>
          <w:rFonts w:ascii="Century Schoolbook" w:hAnsi="Century Schoolbook"/>
        </w:rPr>
      </w:pPr>
      <w:r w:rsidRPr="0046796A">
        <w:rPr>
          <w:rFonts w:ascii="Century Schoolbook" w:hAnsi="Century Schoolbook"/>
        </w:rPr>
        <w:tab/>
        <w:t xml:space="preserve">Moreover, while </w:t>
      </w:r>
      <w:r w:rsidRPr="0046796A">
        <w:rPr>
          <w:rFonts w:ascii="Century Schoolbook" w:hAnsi="Century Schoolbook"/>
          <w:i/>
          <w:iCs/>
        </w:rPr>
        <w:t>Borikas</w:t>
      </w:r>
      <w:r w:rsidRPr="0046796A">
        <w:rPr>
          <w:rFonts w:ascii="Century Schoolbook" w:hAnsi="Century Schoolbook"/>
        </w:rPr>
        <w:t xml:space="preserve"> did not decide the </w:t>
      </w:r>
      <w:r w:rsidRPr="0046796A" w:rsidR="00923743">
        <w:rPr>
          <w:rFonts w:ascii="Century Schoolbook" w:hAnsi="Century Schoolbook"/>
        </w:rPr>
        <w:t xml:space="preserve">issue, </w:t>
      </w:r>
      <w:r w:rsidRPr="0046796A">
        <w:rPr>
          <w:rFonts w:ascii="Century Schoolbook" w:hAnsi="Century Schoolbook"/>
        </w:rPr>
        <w:t>its resolution of the case shutter</w:t>
      </w:r>
      <w:r w:rsidRPr="0046796A" w:rsidR="00CA3500">
        <w:rPr>
          <w:rFonts w:ascii="Century Schoolbook" w:hAnsi="Century Schoolbook"/>
        </w:rPr>
        <w:t>ed</w:t>
      </w:r>
      <w:r w:rsidRPr="0046796A">
        <w:rPr>
          <w:rFonts w:ascii="Century Schoolbook" w:hAnsi="Century Schoolbook"/>
        </w:rPr>
        <w:t xml:space="preserve"> any notion that section 50079 requires that every taxpayer end up paying the same amount per square foot.  In adjusting Measure H so it imposed just a flat rate tax, the court found it would leave a “</w:t>
      </w:r>
      <w:r w:rsidRPr="0046796A">
        <w:rPr>
          <w:rFonts w:ascii="Century Schoolbook" w:hAnsi="Century Schoolbook"/>
          <w:color w:val="212121"/>
        </w:rPr>
        <w:t xml:space="preserve">coherent, functioning tax measure” and that its modification “aligns with one of the long-established remedies for discriminatory taxes, </w:t>
      </w:r>
      <w:r w:rsidRPr="0046796A">
        <w:rPr>
          <w:rFonts w:ascii="Century Schoolbook" w:hAnsi="Century Schoolbook"/>
          <w:i/>
          <w:iCs/>
          <w:color w:val="212121"/>
        </w:rPr>
        <w:t>equalizing the tax by assessing all taxpayers at the preferred rate</w:t>
      </w:r>
      <w:r w:rsidRPr="0046796A">
        <w:rPr>
          <w:rFonts w:ascii="Century Schoolbook" w:hAnsi="Century Schoolbook"/>
          <w:color w:val="212121"/>
        </w:rPr>
        <w:t>.”  (</w:t>
      </w:r>
      <w:r w:rsidRPr="0046796A">
        <w:rPr>
          <w:rFonts w:ascii="Century Schoolbook" w:hAnsi="Century Schoolbook"/>
          <w:i/>
          <w:iCs/>
          <w:color w:val="212121"/>
        </w:rPr>
        <w:t>Borikas, supra</w:t>
      </w:r>
      <w:r w:rsidRPr="0046796A">
        <w:rPr>
          <w:rFonts w:ascii="Century Schoolbook" w:hAnsi="Century Schoolbook"/>
          <w:color w:val="212121"/>
        </w:rPr>
        <w:t>, 214 Cal.App.4th at pp. 166</w:t>
      </w:r>
      <w:r w:rsidRPr="0046796A" w:rsidR="005F6089">
        <w:rPr>
          <w:rFonts w:ascii="Century Schoolbook" w:hAnsi="Century Schoolbook"/>
          <w:color w:val="212121"/>
        </w:rPr>
        <w:t>–</w:t>
      </w:r>
      <w:r w:rsidRPr="0046796A">
        <w:rPr>
          <w:rFonts w:ascii="Century Schoolbook" w:hAnsi="Century Schoolbook"/>
          <w:color w:val="212121"/>
        </w:rPr>
        <w:t xml:space="preserve">168, italics added.)  </w:t>
      </w:r>
      <w:r w:rsidRPr="0046796A">
        <w:rPr>
          <w:rFonts w:ascii="Century Schoolbook" w:hAnsi="Century Schoolbook"/>
        </w:rPr>
        <w:t>By applying the flat tax to every property, the effective tax rate per square foot would vary depending on the parcel’s size:  $120 for a 1</w:t>
      </w:r>
      <w:r w:rsidRPr="0046796A" w:rsidR="00367875">
        <w:rPr>
          <w:rFonts w:ascii="Century Schoolbook" w:hAnsi="Century Schoolbook"/>
        </w:rPr>
        <w:t>,</w:t>
      </w:r>
      <w:r w:rsidRPr="0046796A">
        <w:rPr>
          <w:rFonts w:ascii="Century Schoolbook" w:hAnsi="Century Schoolbook"/>
        </w:rPr>
        <w:t xml:space="preserve">000 square foot parcel would yield a different effective tax rate per square foot than $120 for a 30,000 square foot parcel.  Plainly, </w:t>
      </w:r>
      <w:r w:rsidRPr="0046796A">
        <w:rPr>
          <w:rFonts w:ascii="Century Schoolbook" w:hAnsi="Century Schoolbook"/>
          <w:i/>
          <w:iCs/>
        </w:rPr>
        <w:t>Borikas</w:t>
      </w:r>
      <w:r w:rsidRPr="0046796A">
        <w:rPr>
          <w:rFonts w:ascii="Century Schoolbook" w:hAnsi="Century Schoolbook"/>
        </w:rPr>
        <w:t xml:space="preserve"> saw </w:t>
      </w:r>
      <w:r w:rsidRPr="0046796A" w:rsidR="007C5BFB">
        <w:rPr>
          <w:rFonts w:ascii="Century Schoolbook" w:hAnsi="Century Schoolbook"/>
        </w:rPr>
        <w:t xml:space="preserve">no need for </w:t>
      </w:r>
      <w:r w:rsidRPr="0046796A">
        <w:rPr>
          <w:rFonts w:ascii="Century Schoolbook" w:hAnsi="Century Schoolbook"/>
        </w:rPr>
        <w:t xml:space="preserve">every taxpayer </w:t>
      </w:r>
      <w:r w:rsidRPr="0046796A" w:rsidR="007C5BFB">
        <w:rPr>
          <w:rFonts w:ascii="Century Schoolbook" w:hAnsi="Century Schoolbook"/>
        </w:rPr>
        <w:t xml:space="preserve">to </w:t>
      </w:r>
      <w:r w:rsidRPr="0046796A">
        <w:rPr>
          <w:rFonts w:ascii="Century Schoolbook" w:hAnsi="Century Schoolbook"/>
        </w:rPr>
        <w:t>pay the identical effective rate per square foot.  (</w:t>
      </w:r>
      <w:r w:rsidRPr="0046796A">
        <w:rPr>
          <w:rFonts w:ascii="Century Schoolbook" w:hAnsi="Century Schoolbook"/>
          <w:i/>
          <w:iCs/>
        </w:rPr>
        <w:t>Id</w:t>
      </w:r>
      <w:r w:rsidRPr="0046796A">
        <w:rPr>
          <w:rFonts w:ascii="Century Schoolbook" w:hAnsi="Century Schoolbook"/>
        </w:rPr>
        <w:t>. at p. 168.)</w:t>
      </w:r>
    </w:p>
    <w:p w:rsidR="00B17FBD" w:rsidRPr="0046796A" w:rsidP="00035977" w14:paraId="0FB94797" w14:textId="13E68706">
      <w:pPr>
        <w:spacing w:line="360" w:lineRule="auto"/>
      </w:pPr>
      <w:r w:rsidRPr="0046796A">
        <w:tab/>
      </w:r>
      <w:r w:rsidRPr="0046796A" w:rsidR="00B227B7">
        <w:t>In sum, while there is no cited case directly on point, the case</w:t>
      </w:r>
      <w:r w:rsidRPr="0046796A" w:rsidR="00CA3500">
        <w:t xml:space="preserve">s </w:t>
      </w:r>
      <w:r w:rsidRPr="0046796A" w:rsidR="00B227B7">
        <w:t xml:space="preserve">relied upon by the parties </w:t>
      </w:r>
      <w:r w:rsidRPr="0046796A" w:rsidR="00CA3500">
        <w:t xml:space="preserve">do </w:t>
      </w:r>
      <w:r w:rsidRPr="0046796A" w:rsidR="00422924">
        <w:t xml:space="preserve">not dissuade us from our reading of the plain language of section 50079.  If anything, </w:t>
      </w:r>
      <w:r w:rsidRPr="0046796A" w:rsidR="007C5BFB">
        <w:rPr>
          <w:i/>
          <w:iCs/>
        </w:rPr>
        <w:t>Dondlinger</w:t>
      </w:r>
      <w:r w:rsidRPr="0046796A" w:rsidR="007C5BFB">
        <w:t xml:space="preserve"> and </w:t>
      </w:r>
      <w:r w:rsidRPr="0046796A" w:rsidR="007C5BFB">
        <w:rPr>
          <w:i/>
          <w:iCs/>
        </w:rPr>
        <w:t>Borikas</w:t>
      </w:r>
      <w:r w:rsidRPr="0046796A" w:rsidR="007C5BFB">
        <w:t xml:space="preserve"> </w:t>
      </w:r>
      <w:r w:rsidRPr="0046796A" w:rsidR="00422924">
        <w:t xml:space="preserve">suggest </w:t>
      </w:r>
      <w:r w:rsidRPr="0046796A" w:rsidR="00B227B7">
        <w:t>that</w:t>
      </w:r>
      <w:r w:rsidRPr="0046796A" w:rsidR="001237D7">
        <w:t>, contrary to Traiman’s position,</w:t>
      </w:r>
      <w:r w:rsidRPr="0046796A" w:rsidR="00B227B7">
        <w:t xml:space="preserve"> </w:t>
      </w:r>
      <w:r w:rsidRPr="0046796A" w:rsidR="007C5BFB">
        <w:t xml:space="preserve">a tax formula that is imposed on all taxpayers or property types is applied uniformly, even if it results in </w:t>
      </w:r>
      <w:r w:rsidRPr="0046796A" w:rsidR="00B227B7">
        <w:t xml:space="preserve">a </w:t>
      </w:r>
      <w:r w:rsidRPr="0046796A" w:rsidR="007C5BFB">
        <w:t xml:space="preserve">different effective tax </w:t>
      </w:r>
      <w:r w:rsidRPr="0046796A" w:rsidR="009E2727">
        <w:t xml:space="preserve">bill or tax rate </w:t>
      </w:r>
      <w:r w:rsidRPr="0046796A" w:rsidR="007C5BFB">
        <w:t>due to the size of the property.</w:t>
      </w:r>
      <w:r w:rsidRPr="0046796A">
        <w:t xml:space="preserve">  The cap in Measure A (2020) does not transform its permissible square footage tax into something impermissible on the theory Traiman asserts.</w:t>
      </w:r>
    </w:p>
    <w:p w:rsidR="00F9440D" w:rsidRPr="0046796A" w:rsidP="00035977" w14:paraId="7633CCD3" w14:textId="3562E8BB">
      <w:pPr>
        <w:pStyle w:val="BodyText"/>
        <w:widowControl/>
        <w:spacing w:line="360" w:lineRule="auto"/>
        <w:ind w:left="0"/>
        <w:rPr>
          <w:rFonts w:ascii="Century Schoolbook" w:hAnsi="Century Schoolbook"/>
          <w:i/>
          <w:iCs/>
        </w:rPr>
      </w:pPr>
      <w:r w:rsidRPr="0046796A">
        <w:rPr>
          <w:rFonts w:ascii="Century Schoolbook" w:hAnsi="Century Schoolbook"/>
        </w:rPr>
        <w:tab/>
      </w:r>
      <w:r w:rsidRPr="0046796A" w:rsidR="00AA0BAC">
        <w:rPr>
          <w:rFonts w:ascii="Century Schoolbook" w:hAnsi="Century Schoolbook"/>
        </w:rPr>
        <w:tab/>
      </w:r>
      <w:r w:rsidRPr="0046796A" w:rsidR="007162EA">
        <w:rPr>
          <w:rFonts w:ascii="Century Schoolbook" w:hAnsi="Century Schoolbook"/>
        </w:rPr>
        <w:t>2</w:t>
      </w:r>
      <w:r w:rsidRPr="0046796A">
        <w:rPr>
          <w:rFonts w:ascii="Century Schoolbook" w:hAnsi="Century Schoolbook"/>
          <w:i/>
          <w:iCs/>
        </w:rPr>
        <w:t xml:space="preserve">.  </w:t>
      </w:r>
      <w:r w:rsidRPr="0046796A">
        <w:rPr>
          <w:rFonts w:ascii="Century Schoolbook" w:hAnsi="Century Schoolbook"/>
          <w:u w:val="single"/>
        </w:rPr>
        <w:t>Legislative History</w:t>
      </w:r>
    </w:p>
    <w:p w:rsidR="008D4B80" w:rsidRPr="0046796A" w:rsidP="008D4B80" w14:paraId="3CA9ECFD" w14:textId="300122E5">
      <w:pPr>
        <w:pStyle w:val="BodyText"/>
        <w:widowControl/>
        <w:spacing w:line="360" w:lineRule="auto"/>
        <w:ind w:left="0"/>
        <w:rPr>
          <w:rFonts w:ascii="Century Schoolbook" w:hAnsi="Century Schoolbook"/>
        </w:rPr>
      </w:pPr>
      <w:r w:rsidRPr="0046796A">
        <w:rPr>
          <w:rFonts w:ascii="Century Schoolbook" w:hAnsi="Century Schoolbook"/>
        </w:rPr>
        <w:tab/>
      </w:r>
      <w:r w:rsidRPr="0046796A" w:rsidR="007162EA">
        <w:rPr>
          <w:rFonts w:ascii="Century Schoolbook" w:hAnsi="Century Schoolbook"/>
        </w:rPr>
        <w:t>To the extent</w:t>
      </w:r>
      <w:r w:rsidRPr="0046796A">
        <w:rPr>
          <w:rFonts w:ascii="Century Schoolbook" w:hAnsi="Century Schoolbook"/>
        </w:rPr>
        <w:t xml:space="preserve"> the phrase “apply uniformly” in section 50079 </w:t>
      </w:r>
      <w:r w:rsidRPr="0046796A" w:rsidR="007162EA">
        <w:rPr>
          <w:rFonts w:ascii="Century Schoolbook" w:hAnsi="Century Schoolbook"/>
        </w:rPr>
        <w:t>is ambiguous</w:t>
      </w:r>
      <w:r w:rsidRPr="0046796A">
        <w:rPr>
          <w:rFonts w:ascii="Century Schoolbook" w:hAnsi="Century Schoolbook"/>
        </w:rPr>
        <w:t xml:space="preserve">, </w:t>
      </w:r>
      <w:r w:rsidRPr="0046796A" w:rsidR="00422924">
        <w:rPr>
          <w:rFonts w:ascii="Century Schoolbook" w:hAnsi="Century Schoolbook"/>
        </w:rPr>
        <w:t xml:space="preserve">the legislative history </w:t>
      </w:r>
      <w:r w:rsidRPr="0046796A" w:rsidR="008C7420">
        <w:rPr>
          <w:rFonts w:ascii="Century Schoolbook" w:hAnsi="Century Schoolbook"/>
        </w:rPr>
        <w:t>confirm</w:t>
      </w:r>
      <w:r w:rsidRPr="0046796A" w:rsidR="007162EA">
        <w:rPr>
          <w:rFonts w:ascii="Century Schoolbook" w:hAnsi="Century Schoolbook"/>
        </w:rPr>
        <w:t>s</w:t>
      </w:r>
      <w:r w:rsidRPr="0046796A" w:rsidR="008C7420">
        <w:rPr>
          <w:rFonts w:ascii="Century Schoolbook" w:hAnsi="Century Schoolbook"/>
        </w:rPr>
        <w:t xml:space="preserve"> that </w:t>
      </w:r>
      <w:r w:rsidRPr="0046796A" w:rsidR="00CA3500">
        <w:rPr>
          <w:rFonts w:ascii="Century Schoolbook" w:hAnsi="Century Schoolbook"/>
        </w:rPr>
        <w:t xml:space="preserve">Traiman’s idea of </w:t>
      </w:r>
      <w:r w:rsidRPr="0046796A" w:rsidR="008C7420">
        <w:rPr>
          <w:rFonts w:ascii="Century Schoolbook" w:hAnsi="Century Schoolbook"/>
        </w:rPr>
        <w:t xml:space="preserve">extending </w:t>
      </w:r>
      <w:r w:rsidRPr="0046796A">
        <w:rPr>
          <w:rFonts w:ascii="Century Schoolbook" w:hAnsi="Century Schoolbook"/>
          <w:i/>
          <w:iCs/>
        </w:rPr>
        <w:t>Borikas</w:t>
      </w:r>
      <w:r w:rsidRPr="0046796A" w:rsidR="006A5D78">
        <w:rPr>
          <w:rFonts w:ascii="Century Schoolbook" w:hAnsi="Century Schoolbook"/>
        </w:rPr>
        <w:t xml:space="preserve"> to bar a cap on property taxes goes beyond </w:t>
      </w:r>
      <w:r w:rsidRPr="0046796A" w:rsidR="00912CAC">
        <w:rPr>
          <w:rFonts w:ascii="Century Schoolbook" w:hAnsi="Century Schoolbook"/>
        </w:rPr>
        <w:t xml:space="preserve">what </w:t>
      </w:r>
      <w:r w:rsidRPr="0046796A" w:rsidR="006A5D78">
        <w:rPr>
          <w:rFonts w:ascii="Century Schoolbook" w:hAnsi="Century Schoolbook"/>
        </w:rPr>
        <w:t>the Legislature had in mind</w:t>
      </w:r>
      <w:r w:rsidRPr="0046796A">
        <w:rPr>
          <w:rFonts w:ascii="Century Schoolbook" w:hAnsi="Century Schoolbook"/>
        </w:rPr>
        <w:t>.</w:t>
      </w:r>
    </w:p>
    <w:p w:rsidR="0017473E" w:rsidRPr="00A9088B" w:rsidP="0017473E" w14:paraId="71734C42" w14:textId="3225B81C">
      <w:pPr>
        <w:pStyle w:val="BodyText"/>
        <w:widowControl/>
        <w:spacing w:line="360" w:lineRule="auto"/>
        <w:ind w:left="0"/>
        <w:rPr>
          <w:rFonts w:ascii="Century Schoolbook" w:hAnsi="Century Schoolbook"/>
        </w:rPr>
      </w:pPr>
      <w:r w:rsidRPr="0046796A">
        <w:rPr>
          <w:rFonts w:ascii="Century Schoolbook" w:hAnsi="Century Schoolbook"/>
        </w:rPr>
        <w:tab/>
        <w:t xml:space="preserve">Section 50079 </w:t>
      </w:r>
      <w:r w:rsidRPr="0046796A" w:rsidR="00AB19B7">
        <w:rPr>
          <w:rFonts w:ascii="Century Schoolbook" w:hAnsi="Century Schoolbook"/>
        </w:rPr>
        <w:t xml:space="preserve">originated in </w:t>
      </w:r>
      <w:r w:rsidRPr="0046796A">
        <w:rPr>
          <w:rFonts w:ascii="Century Schoolbook" w:hAnsi="Century Schoolbook"/>
        </w:rPr>
        <w:t xml:space="preserve">Assembly Bill No. 1440 </w:t>
      </w:r>
      <w:r w:rsidRPr="0046796A" w:rsidR="00621533">
        <w:rPr>
          <w:rFonts w:ascii="Century Schoolbook" w:hAnsi="Century Schoolbook"/>
        </w:rPr>
        <w:t xml:space="preserve">(AB 1440) in 1987.  </w:t>
      </w:r>
      <w:r w:rsidRPr="0046796A">
        <w:rPr>
          <w:rFonts w:ascii="Century Schoolbook" w:hAnsi="Century Schoolbook"/>
        </w:rPr>
        <w:t xml:space="preserve">AB 1440 </w:t>
      </w:r>
      <w:r w:rsidRPr="0046796A" w:rsidR="00422924">
        <w:rPr>
          <w:rFonts w:ascii="Century Schoolbook" w:hAnsi="Century Schoolbook"/>
        </w:rPr>
        <w:t xml:space="preserve">was introduced by </w:t>
      </w:r>
      <w:r w:rsidRPr="0046796A">
        <w:rPr>
          <w:rFonts w:ascii="Century Schoolbook" w:hAnsi="Century Schoolbook"/>
        </w:rPr>
        <w:t>Assemblyman Tom Hannigan,</w:t>
      </w:r>
      <w:r w:rsidRPr="0046796A" w:rsidR="00BF01BD">
        <w:rPr>
          <w:rFonts w:ascii="Century Schoolbook" w:hAnsi="Century Schoolbook"/>
        </w:rPr>
        <w:t xml:space="preserve"> </w:t>
      </w:r>
      <w:r w:rsidRPr="0046796A" w:rsidR="00422924">
        <w:rPr>
          <w:rFonts w:ascii="Century Schoolbook" w:hAnsi="Century Schoolbook"/>
        </w:rPr>
        <w:t xml:space="preserve">not to limit </w:t>
      </w:r>
      <w:r w:rsidRPr="0046796A" w:rsidR="00212667">
        <w:rPr>
          <w:rFonts w:ascii="Century Schoolbook" w:hAnsi="Century Schoolbook"/>
        </w:rPr>
        <w:t xml:space="preserve">existing </w:t>
      </w:r>
      <w:r w:rsidRPr="0046796A" w:rsidR="00422924">
        <w:rPr>
          <w:rFonts w:ascii="Century Schoolbook" w:hAnsi="Century Schoolbook"/>
        </w:rPr>
        <w:t xml:space="preserve">district authority to impose taxes, but </w:t>
      </w:r>
      <w:r w:rsidRPr="0046796A" w:rsidR="008D4B80">
        <w:rPr>
          <w:rFonts w:ascii="Century Schoolbook" w:hAnsi="Century Schoolbook"/>
        </w:rPr>
        <w:t xml:space="preserve">to make sure school districts </w:t>
      </w:r>
      <w:r w:rsidRPr="0046796A" w:rsidR="00422924">
        <w:rPr>
          <w:rFonts w:ascii="Century Schoolbook" w:hAnsi="Century Schoolbook"/>
          <w:i/>
          <w:iCs/>
        </w:rPr>
        <w:t>had</w:t>
      </w:r>
      <w:r w:rsidRPr="0046796A" w:rsidR="00422924">
        <w:rPr>
          <w:rFonts w:ascii="Century Schoolbook" w:hAnsi="Century Schoolbook"/>
        </w:rPr>
        <w:t xml:space="preserve"> </w:t>
      </w:r>
      <w:r w:rsidRPr="0046796A" w:rsidR="00AB19B7">
        <w:rPr>
          <w:rFonts w:ascii="Century Schoolbook" w:hAnsi="Century Schoolbook"/>
        </w:rPr>
        <w:t xml:space="preserve">taxing </w:t>
      </w:r>
      <w:r w:rsidRPr="0046796A" w:rsidR="00422924">
        <w:rPr>
          <w:rFonts w:ascii="Century Schoolbook" w:hAnsi="Century Schoolbook"/>
        </w:rPr>
        <w:t xml:space="preserve">authority </w:t>
      </w:r>
      <w:r w:rsidRPr="0046796A" w:rsidR="00BB5C7C">
        <w:rPr>
          <w:rFonts w:ascii="Century Schoolbook" w:hAnsi="Century Schoolbook"/>
        </w:rPr>
        <w:t xml:space="preserve">despite </w:t>
      </w:r>
      <w:r w:rsidRPr="0046796A" w:rsidR="00422924">
        <w:rPr>
          <w:rFonts w:ascii="Century Schoolbook" w:hAnsi="Century Schoolbook"/>
        </w:rPr>
        <w:t xml:space="preserve">the </w:t>
      </w:r>
      <w:r w:rsidRPr="0046796A" w:rsidR="00621533">
        <w:rPr>
          <w:rFonts w:ascii="Century Schoolbook" w:hAnsi="Century Schoolbook"/>
        </w:rPr>
        <w:t xml:space="preserve">1986 </w:t>
      </w:r>
      <w:r w:rsidRPr="0046796A" w:rsidR="00422924">
        <w:rPr>
          <w:rFonts w:ascii="Century Schoolbook" w:hAnsi="Century Schoolbook"/>
        </w:rPr>
        <w:t xml:space="preserve">passage of </w:t>
      </w:r>
      <w:r w:rsidRPr="0046796A" w:rsidR="008D4B80">
        <w:rPr>
          <w:rFonts w:ascii="Century Schoolbook" w:hAnsi="Century Schoolbook"/>
        </w:rPr>
        <w:t>Proposition 62</w:t>
      </w:r>
      <w:r w:rsidRPr="0046796A" w:rsidR="00621533">
        <w:rPr>
          <w:rFonts w:ascii="Century Schoolbook" w:hAnsi="Century Schoolbook"/>
        </w:rPr>
        <w:t>.  Proposition 62</w:t>
      </w:r>
      <w:r w:rsidRPr="0046796A" w:rsidR="00885B8F">
        <w:rPr>
          <w:rFonts w:ascii="Century Schoolbook" w:hAnsi="Century Schoolbook"/>
        </w:rPr>
        <w:t>, which</w:t>
      </w:r>
      <w:r w:rsidRPr="0046796A" w:rsidR="00621533">
        <w:rPr>
          <w:rFonts w:ascii="Century Schoolbook" w:hAnsi="Century Schoolbook"/>
        </w:rPr>
        <w:t xml:space="preserve"> </w:t>
      </w:r>
      <w:r w:rsidRPr="0046796A" w:rsidR="00565E35">
        <w:rPr>
          <w:rFonts w:ascii="Century Schoolbook" w:hAnsi="Century Schoolbook"/>
        </w:rPr>
        <w:t xml:space="preserve">(among other things) </w:t>
      </w:r>
      <w:r w:rsidRPr="0046796A" w:rsidR="00621533">
        <w:rPr>
          <w:rFonts w:ascii="Century Schoolbook" w:hAnsi="Century Schoolbook"/>
        </w:rPr>
        <w:t xml:space="preserve">required two-thirds voter approval of </w:t>
      </w:r>
      <w:r w:rsidRPr="0046796A" w:rsidR="00565E35">
        <w:rPr>
          <w:rFonts w:ascii="Century Schoolbook" w:hAnsi="Century Schoolbook"/>
        </w:rPr>
        <w:t xml:space="preserve">local special </w:t>
      </w:r>
      <w:r w:rsidRPr="0046796A" w:rsidR="00621533">
        <w:rPr>
          <w:rFonts w:ascii="Century Schoolbook" w:hAnsi="Century Schoolbook"/>
        </w:rPr>
        <w:t xml:space="preserve">taxes, </w:t>
      </w:r>
      <w:r w:rsidRPr="0046796A" w:rsidR="008C7420">
        <w:rPr>
          <w:rFonts w:ascii="Century Schoolbook" w:hAnsi="Century Schoolbook"/>
        </w:rPr>
        <w:t>created a concern that it</w:t>
      </w:r>
      <w:r w:rsidRPr="0046796A" w:rsidR="0058307A">
        <w:rPr>
          <w:rFonts w:ascii="Century Schoolbook" w:hAnsi="Century Schoolbook"/>
        </w:rPr>
        <w:t xml:space="preserve">s language </w:t>
      </w:r>
      <w:r w:rsidRPr="0046796A" w:rsidR="008C7420">
        <w:rPr>
          <w:rFonts w:ascii="Century Schoolbook" w:hAnsi="Century Schoolbook"/>
        </w:rPr>
        <w:t xml:space="preserve">had inadvertently </w:t>
      </w:r>
      <w:r w:rsidRPr="0046796A">
        <w:rPr>
          <w:rFonts w:ascii="Century Schoolbook" w:hAnsi="Century Schoolbook"/>
        </w:rPr>
        <w:t>deleted</w:t>
      </w:r>
      <w:r w:rsidRPr="002D63E3">
        <w:rPr>
          <w:rFonts w:ascii="Century Schoolbook" w:hAnsi="Century Schoolbook"/>
          <w:highlight w:val="yellow"/>
        </w:rPr>
        <w:t xml:space="preserve"> </w:t>
      </w:r>
      <w:r w:rsidRPr="00A9088B">
        <w:rPr>
          <w:rFonts w:ascii="Century Schoolbook" w:hAnsi="Century Schoolbook"/>
        </w:rPr>
        <w:t xml:space="preserve">school district authority to </w:t>
      </w:r>
      <w:r w:rsidRPr="00A9088B" w:rsidR="00885B8F">
        <w:rPr>
          <w:rFonts w:ascii="Century Schoolbook" w:hAnsi="Century Schoolbook"/>
        </w:rPr>
        <w:t xml:space="preserve">impose </w:t>
      </w:r>
      <w:r w:rsidRPr="00A9088B" w:rsidR="000B3E0A">
        <w:rPr>
          <w:rFonts w:ascii="Century Schoolbook" w:hAnsi="Century Schoolbook"/>
        </w:rPr>
        <w:t xml:space="preserve">special </w:t>
      </w:r>
      <w:r w:rsidRPr="00A9088B" w:rsidR="00885B8F">
        <w:rPr>
          <w:rFonts w:ascii="Century Schoolbook" w:hAnsi="Century Schoolbook"/>
        </w:rPr>
        <w:t xml:space="preserve">taxes </w:t>
      </w:r>
      <w:r w:rsidRPr="00A9088B">
        <w:rPr>
          <w:rFonts w:ascii="Century Schoolbook" w:hAnsi="Century Schoolbook"/>
        </w:rPr>
        <w:t>under Government Code section 50075, which “provide[</w:t>
      </w:r>
      <w:r w:rsidRPr="00A9088B" w:rsidR="001A2021">
        <w:rPr>
          <w:rFonts w:ascii="Century Schoolbook" w:hAnsi="Century Schoolbook"/>
        </w:rPr>
        <w:t>s</w:t>
      </w:r>
      <w:r w:rsidRPr="00A9088B">
        <w:rPr>
          <w:rFonts w:ascii="Century Schoolbook" w:hAnsi="Century Schoolbook"/>
        </w:rPr>
        <w:t xml:space="preserve">] all cities, counties, and districts with the authority to impose special taxes, pursuant to the provisions of Article XIII A of the California Constitution” without any </w:t>
      </w:r>
      <w:r w:rsidRPr="00A9088B" w:rsidR="008C7420">
        <w:rPr>
          <w:rFonts w:ascii="Century Schoolbook" w:hAnsi="Century Schoolbook"/>
        </w:rPr>
        <w:t xml:space="preserve">further </w:t>
      </w:r>
      <w:r w:rsidRPr="00A9088B">
        <w:rPr>
          <w:rFonts w:ascii="Century Schoolbook" w:hAnsi="Century Schoolbook"/>
        </w:rPr>
        <w:t>requirement as to uniformity.</w:t>
      </w:r>
      <w:r>
        <w:rPr>
          <w:rStyle w:val="FootnoteReference"/>
          <w:rFonts w:ascii="Century Schoolbook" w:hAnsi="Century Schoolbook"/>
        </w:rPr>
        <w:footnoteReference w:id="8"/>
      </w:r>
      <w:r w:rsidRPr="00A9088B">
        <w:rPr>
          <w:rFonts w:ascii="Century Schoolbook" w:hAnsi="Century Schoolbook"/>
        </w:rPr>
        <w:t xml:space="preserve">  </w:t>
      </w:r>
      <w:r w:rsidRPr="00A9088B" w:rsidR="00517B22">
        <w:rPr>
          <w:rFonts w:ascii="Century Schoolbook" w:hAnsi="Century Schoolbook"/>
        </w:rPr>
        <w:t>(</w:t>
      </w:r>
      <w:r w:rsidRPr="00A9088B" w:rsidR="001A2021">
        <w:rPr>
          <w:rFonts w:ascii="Century Schoolbook" w:hAnsi="Century Schoolbook"/>
        </w:rPr>
        <w:t xml:space="preserve">See </w:t>
      </w:r>
      <w:r w:rsidRPr="00A9088B" w:rsidR="00517B22">
        <w:rPr>
          <w:rFonts w:ascii="Century Schoolbook" w:hAnsi="Century Schoolbook"/>
          <w:i/>
          <w:iCs/>
        </w:rPr>
        <w:t>Borikas, supra</w:t>
      </w:r>
      <w:r w:rsidRPr="00A9088B" w:rsidR="00517B22">
        <w:rPr>
          <w:rFonts w:ascii="Century Schoolbook" w:hAnsi="Century Schoolbook"/>
        </w:rPr>
        <w:t>, 214 Cal.App.4th at p.</w:t>
      </w:r>
      <w:r w:rsidRPr="00A9088B" w:rsidR="001A2021">
        <w:rPr>
          <w:rFonts w:ascii="Century Schoolbook" w:hAnsi="Century Schoolbook"/>
        </w:rPr>
        <w:t xml:space="preserve"> 144.)</w:t>
      </w:r>
    </w:p>
    <w:p w:rsidR="00422924" w:rsidRPr="00A9088B" w:rsidP="00F9440D" w14:paraId="69742FD7" w14:textId="60EB32B1">
      <w:pPr>
        <w:pStyle w:val="BodyText"/>
        <w:widowControl/>
        <w:spacing w:line="360" w:lineRule="auto"/>
        <w:ind w:left="0"/>
        <w:rPr>
          <w:rFonts w:ascii="Century Schoolbook" w:hAnsi="Century Schoolbook"/>
        </w:rPr>
      </w:pPr>
      <w:r w:rsidRPr="00A9088B">
        <w:rPr>
          <w:rFonts w:ascii="Century Schoolbook" w:hAnsi="Century Schoolbook"/>
        </w:rPr>
        <w:tab/>
        <w:t xml:space="preserve">Indeed, the overwhelming </w:t>
      </w:r>
      <w:r w:rsidRPr="00A9088B" w:rsidR="00955700">
        <w:rPr>
          <w:rFonts w:ascii="Century Schoolbook" w:hAnsi="Century Schoolbook"/>
        </w:rPr>
        <w:t xml:space="preserve">sentiment in the </w:t>
      </w:r>
      <w:r w:rsidRPr="00A9088B">
        <w:rPr>
          <w:rFonts w:ascii="Century Schoolbook" w:hAnsi="Century Schoolbook"/>
        </w:rPr>
        <w:t xml:space="preserve">legislative history is </w:t>
      </w:r>
      <w:r w:rsidRPr="00A9088B" w:rsidR="00955700">
        <w:rPr>
          <w:rFonts w:ascii="Century Schoolbook" w:hAnsi="Century Schoolbook"/>
        </w:rPr>
        <w:t xml:space="preserve">the </w:t>
      </w:r>
      <w:r w:rsidRPr="00A9088B" w:rsidR="00517B22">
        <w:rPr>
          <w:rFonts w:ascii="Century Schoolbook" w:hAnsi="Century Schoolbook"/>
        </w:rPr>
        <w:t xml:space="preserve">need to restore </w:t>
      </w:r>
      <w:r w:rsidRPr="00A9088B" w:rsidR="00885B8F">
        <w:rPr>
          <w:rFonts w:ascii="Century Schoolbook" w:hAnsi="Century Schoolbook"/>
        </w:rPr>
        <w:t xml:space="preserve">school district taxing authority.  </w:t>
      </w:r>
      <w:r w:rsidRPr="00A9088B" w:rsidR="001963FF">
        <w:rPr>
          <w:rFonts w:ascii="Century Schoolbook" w:hAnsi="Century Schoolbook"/>
        </w:rPr>
        <w:t xml:space="preserve">The preliminary analysis of the Assembly Committee on Revenue and Taxation explained:  “Because of the passage of Prop. 62 in 1986, there is some question that school districts can impose special taxes. </w:t>
      </w:r>
      <w:r w:rsidRPr="00A9088B" w:rsidR="00605F52">
        <w:rPr>
          <w:rFonts w:ascii="Century Schoolbook" w:hAnsi="Century Schoolbook"/>
        </w:rPr>
        <w:t xml:space="preserve"> </w:t>
      </w:r>
      <w:r w:rsidRPr="00A9088B" w:rsidR="001963FF">
        <w:rPr>
          <w:rFonts w:ascii="Century Schoolbook" w:hAnsi="Century Schoolbook"/>
        </w:rPr>
        <w:t xml:space="preserve">This bill </w:t>
      </w:r>
      <w:r w:rsidRPr="00A9088B" w:rsidR="001963FF">
        <w:rPr>
          <w:rFonts w:ascii="Century Schoolbook" w:hAnsi="Century Schoolbook"/>
          <w:iCs/>
        </w:rPr>
        <w:t>clarifies current law</w:t>
      </w:r>
      <w:r w:rsidRPr="00A9088B" w:rsidR="001963FF">
        <w:rPr>
          <w:rFonts w:ascii="Century Schoolbook" w:hAnsi="Century Schoolbook"/>
          <w:i/>
        </w:rPr>
        <w:t xml:space="preserve"> </w:t>
      </w:r>
      <w:r w:rsidRPr="00A9088B" w:rsidR="001963FF">
        <w:rPr>
          <w:rFonts w:ascii="Century Schoolbook" w:hAnsi="Century Schoolbook"/>
        </w:rPr>
        <w:t>to permit school</w:t>
      </w:r>
      <w:r w:rsidRPr="00A9088B" w:rsidR="00E350E0">
        <w:rPr>
          <w:rFonts w:ascii="Century Schoolbook" w:hAnsi="Century Schoolbook"/>
        </w:rPr>
        <w:t>s</w:t>
      </w:r>
      <w:r w:rsidRPr="00A9088B" w:rsidR="001963FF">
        <w:rPr>
          <w:rFonts w:ascii="Century Schoolbook" w:hAnsi="Century Schoolbook"/>
        </w:rPr>
        <w:t xml:space="preserve"> to impose such taxes with </w:t>
      </w:r>
      <w:r w:rsidRPr="00A9088B" w:rsidR="00E350E0">
        <w:rPr>
          <w:rFonts w:ascii="Century Schoolbook" w:hAnsi="Century Schoolbook"/>
        </w:rPr>
        <w:t xml:space="preserve">a </w:t>
      </w:r>
      <w:r w:rsidRPr="00A9088B" w:rsidR="001963FF">
        <w:rPr>
          <w:rFonts w:ascii="Century Schoolbook" w:hAnsi="Century Schoolbook"/>
        </w:rPr>
        <w:t xml:space="preserve">two-thirds vote of the people.”  </w:t>
      </w:r>
      <w:r w:rsidRPr="00A9088B" w:rsidR="00212667">
        <w:rPr>
          <w:rFonts w:ascii="Century Schoolbook" w:hAnsi="Century Schoolbook"/>
        </w:rPr>
        <w:t xml:space="preserve">The Senate Rules Committee stated that the </w:t>
      </w:r>
      <w:r w:rsidRPr="00A9088B" w:rsidR="00955700">
        <w:rPr>
          <w:rFonts w:ascii="Century Schoolbook" w:hAnsi="Century Schoolbook"/>
        </w:rPr>
        <w:t xml:space="preserve">legislation </w:t>
      </w:r>
      <w:r w:rsidRPr="00A9088B" w:rsidR="00212667">
        <w:rPr>
          <w:rFonts w:ascii="Century Schoolbook" w:hAnsi="Century Schoolbook"/>
        </w:rPr>
        <w:t xml:space="preserve">would </w:t>
      </w:r>
      <w:r w:rsidRPr="00A9088B" w:rsidR="007853CD">
        <w:rPr>
          <w:rFonts w:ascii="Century Schoolbook" w:hAnsi="Century Schoolbook"/>
        </w:rPr>
        <w:t>“clarify that school districts have the authority to impose special taxes, subject to two-thirds voter</w:t>
      </w:r>
      <w:r w:rsidRPr="00A9088B" w:rsidR="00AA0BAC">
        <w:rPr>
          <w:rFonts w:ascii="Century Schoolbook" w:hAnsi="Century Schoolbook"/>
        </w:rPr>
        <w:t xml:space="preserve"> </w:t>
      </w:r>
      <w:r w:rsidRPr="00A9088B" w:rsidR="007853CD">
        <w:rPr>
          <w:rFonts w:ascii="Century Schoolbook" w:hAnsi="Century Schoolbook"/>
        </w:rPr>
        <w:t xml:space="preserve">approval, thereby restoring any taxing authority deleted by Proposition 62.” </w:t>
      </w:r>
      <w:r w:rsidRPr="00A9088B" w:rsidR="00212667">
        <w:rPr>
          <w:rFonts w:ascii="Century Schoolbook" w:hAnsi="Century Schoolbook"/>
        </w:rPr>
        <w:t xml:space="preserve"> </w:t>
      </w:r>
    </w:p>
    <w:p w:rsidR="0090481E" w:rsidRPr="00A9088B" w:rsidP="008D2FA2" w14:paraId="188A924A" w14:textId="482D507D">
      <w:pPr>
        <w:pStyle w:val="BodyText"/>
        <w:widowControl/>
        <w:spacing w:line="360" w:lineRule="auto"/>
        <w:ind w:left="0"/>
        <w:rPr>
          <w:rFonts w:ascii="Century Schoolbook" w:hAnsi="Century Schoolbook"/>
        </w:rPr>
      </w:pPr>
      <w:r w:rsidRPr="00A9088B">
        <w:rPr>
          <w:rFonts w:ascii="Century Schoolbook" w:hAnsi="Century Schoolbook"/>
        </w:rPr>
        <w:tab/>
      </w:r>
      <w:r w:rsidRPr="00A9088B" w:rsidR="00621533">
        <w:rPr>
          <w:rFonts w:ascii="Century Schoolbook" w:hAnsi="Century Schoolbook"/>
        </w:rPr>
        <w:t xml:space="preserve">AB 1440 </w:t>
      </w:r>
      <w:r w:rsidRPr="00A9088B" w:rsidR="008D2FA2">
        <w:rPr>
          <w:rFonts w:ascii="Century Schoolbook" w:hAnsi="Century Schoolbook"/>
        </w:rPr>
        <w:t xml:space="preserve">was </w:t>
      </w:r>
      <w:r w:rsidRPr="00A9088B" w:rsidR="00A61C3C">
        <w:rPr>
          <w:rFonts w:ascii="Century Schoolbook" w:hAnsi="Century Schoolbook"/>
        </w:rPr>
        <w:t xml:space="preserve">amended in the Assembly </w:t>
      </w:r>
      <w:r w:rsidRPr="00A9088B" w:rsidR="008D2FA2">
        <w:rPr>
          <w:rFonts w:ascii="Century Schoolbook" w:hAnsi="Century Schoolbook"/>
        </w:rPr>
        <w:t xml:space="preserve">to add the </w:t>
      </w:r>
      <w:r w:rsidRPr="00A9088B" w:rsidR="00A61C3C">
        <w:rPr>
          <w:rFonts w:ascii="Century Schoolbook" w:hAnsi="Century Schoolbook"/>
        </w:rPr>
        <w:t xml:space="preserve">definition of qualified special taxes now found in section 50079, subdivision (b), including that </w:t>
      </w:r>
      <w:r w:rsidRPr="00A9088B" w:rsidR="00D76154">
        <w:rPr>
          <w:rFonts w:ascii="Century Schoolbook" w:hAnsi="Century Schoolbook"/>
        </w:rPr>
        <w:t xml:space="preserve">such </w:t>
      </w:r>
      <w:r w:rsidRPr="00A9088B" w:rsidR="00A61C3C">
        <w:rPr>
          <w:rFonts w:ascii="Century Schoolbook" w:hAnsi="Century Schoolbook"/>
        </w:rPr>
        <w:t>taxes “apply uniformly to all taxpayers or all real property within the school district</w:t>
      </w:r>
      <w:r w:rsidRPr="00A9088B" w:rsidR="00D5278A">
        <w:rPr>
          <w:rFonts w:ascii="Century Schoolbook" w:hAnsi="Century Schoolbook"/>
        </w:rPr>
        <w:t>.</w:t>
      </w:r>
      <w:r w:rsidRPr="00A9088B" w:rsidR="00212667">
        <w:rPr>
          <w:rFonts w:ascii="Century Schoolbook" w:hAnsi="Century Schoolbook"/>
        </w:rPr>
        <w:t xml:space="preserve">” </w:t>
      </w:r>
      <w:r w:rsidRPr="00A9088B" w:rsidR="001963FF">
        <w:rPr>
          <w:rFonts w:ascii="Century Schoolbook" w:hAnsi="Century Schoolbook"/>
        </w:rPr>
        <w:t xml:space="preserve"> </w:t>
      </w:r>
      <w:r w:rsidRPr="00A9088B" w:rsidR="00057833">
        <w:rPr>
          <w:rFonts w:ascii="Century Schoolbook" w:hAnsi="Century Schoolbook"/>
        </w:rPr>
        <w:t>(</w:t>
      </w:r>
      <w:r w:rsidRPr="00A9088B" w:rsidR="00057833">
        <w:rPr>
          <w:rFonts w:ascii="Century Schoolbook" w:hAnsi="Century Schoolbook"/>
          <w:i/>
          <w:iCs/>
        </w:rPr>
        <w:t>Borikas, supra,</w:t>
      </w:r>
      <w:r w:rsidRPr="00A9088B" w:rsidR="00057833">
        <w:rPr>
          <w:rFonts w:ascii="Century Schoolbook" w:hAnsi="Century Schoolbook"/>
        </w:rPr>
        <w:t xml:space="preserve"> 214 Cal.App.4th at pp. </w:t>
      </w:r>
      <w:r w:rsidRPr="00A9088B" w:rsidR="008D2FA2">
        <w:rPr>
          <w:rFonts w:ascii="Century Schoolbook" w:hAnsi="Century Schoolbook"/>
        </w:rPr>
        <w:t>153</w:t>
      </w:r>
      <w:r w:rsidRPr="00A9088B" w:rsidR="00507EDA">
        <w:rPr>
          <w:rFonts w:ascii="Century Schoolbook" w:hAnsi="Century Schoolbook"/>
        </w:rPr>
        <w:t>–</w:t>
      </w:r>
      <w:r w:rsidRPr="00A9088B" w:rsidR="008D2FA2">
        <w:rPr>
          <w:rFonts w:ascii="Century Schoolbook" w:hAnsi="Century Schoolbook"/>
        </w:rPr>
        <w:t>154</w:t>
      </w:r>
      <w:r w:rsidRPr="00A9088B" w:rsidR="001963FF">
        <w:rPr>
          <w:rFonts w:ascii="Century Schoolbook" w:hAnsi="Century Schoolbook"/>
        </w:rPr>
        <w:t xml:space="preserve"> [</w:t>
      </w:r>
      <w:r w:rsidRPr="00A9088B" w:rsidR="00D5278A">
        <w:rPr>
          <w:rFonts w:ascii="Century Schoolbook" w:hAnsi="Century Schoolbook"/>
        </w:rPr>
        <w:t xml:space="preserve">the “Bader amendment”].)  </w:t>
      </w:r>
      <w:r w:rsidRPr="00A9088B" w:rsidR="0017473E">
        <w:rPr>
          <w:rFonts w:ascii="Century Schoolbook" w:hAnsi="Century Schoolbook"/>
        </w:rPr>
        <w:t xml:space="preserve">The precise motive for </w:t>
      </w:r>
      <w:r w:rsidRPr="00A9088B" w:rsidR="00D5278A">
        <w:rPr>
          <w:rFonts w:ascii="Century Schoolbook" w:hAnsi="Century Schoolbook"/>
        </w:rPr>
        <w:t xml:space="preserve">this </w:t>
      </w:r>
      <w:r w:rsidRPr="00A9088B" w:rsidR="0017473E">
        <w:rPr>
          <w:rFonts w:ascii="Century Schoolbook" w:hAnsi="Century Schoolbook"/>
        </w:rPr>
        <w:t>amendment</w:t>
      </w:r>
      <w:r w:rsidRPr="00A9088B" w:rsidR="00955700">
        <w:rPr>
          <w:rFonts w:ascii="Century Schoolbook" w:hAnsi="Century Schoolbook"/>
        </w:rPr>
        <w:t>, however,</w:t>
      </w:r>
      <w:r w:rsidRPr="00A9088B" w:rsidR="008C7420">
        <w:rPr>
          <w:rFonts w:ascii="Century Schoolbook" w:hAnsi="Century Schoolbook"/>
        </w:rPr>
        <w:t xml:space="preserve"> remains a mystery</w:t>
      </w:r>
      <w:r w:rsidRPr="00A9088B" w:rsidR="00955700">
        <w:rPr>
          <w:rFonts w:ascii="Century Schoolbook" w:hAnsi="Century Schoolbook"/>
        </w:rPr>
        <w:t xml:space="preserve">.  </w:t>
      </w:r>
      <w:r w:rsidRPr="00A9088B" w:rsidR="0017473E">
        <w:rPr>
          <w:rFonts w:ascii="Century Schoolbook" w:hAnsi="Century Schoolbook"/>
        </w:rPr>
        <w:t xml:space="preserve">Neither party </w:t>
      </w:r>
      <w:r w:rsidRPr="00A9088B" w:rsidR="00D76154">
        <w:rPr>
          <w:rFonts w:ascii="Century Schoolbook" w:hAnsi="Century Schoolbook"/>
        </w:rPr>
        <w:t xml:space="preserve">in this appeal directs </w:t>
      </w:r>
      <w:r w:rsidRPr="00A9088B" w:rsidR="0017473E">
        <w:rPr>
          <w:rFonts w:ascii="Century Schoolbook" w:hAnsi="Century Schoolbook"/>
        </w:rPr>
        <w:t xml:space="preserve">us to any legislative </w:t>
      </w:r>
      <w:r w:rsidRPr="00A9088B" w:rsidR="00912CAC">
        <w:rPr>
          <w:rFonts w:ascii="Century Schoolbook" w:hAnsi="Century Schoolbook"/>
        </w:rPr>
        <w:t xml:space="preserve">document </w:t>
      </w:r>
      <w:r w:rsidRPr="00A9088B" w:rsidR="00D5278A">
        <w:rPr>
          <w:rFonts w:ascii="Century Schoolbook" w:hAnsi="Century Schoolbook"/>
        </w:rPr>
        <w:t xml:space="preserve">setting forth </w:t>
      </w:r>
      <w:r w:rsidRPr="00A9088B" w:rsidR="00EB51EF">
        <w:rPr>
          <w:rFonts w:ascii="Century Schoolbook" w:hAnsi="Century Schoolbook"/>
        </w:rPr>
        <w:t xml:space="preserve">what </w:t>
      </w:r>
      <w:r w:rsidRPr="00A9088B" w:rsidR="00D5278A">
        <w:rPr>
          <w:rFonts w:ascii="Century Schoolbook" w:hAnsi="Century Schoolbook"/>
        </w:rPr>
        <w:t xml:space="preserve">the language was </w:t>
      </w:r>
      <w:r w:rsidRPr="00A9088B" w:rsidR="00A61C3C">
        <w:rPr>
          <w:rFonts w:ascii="Century Schoolbook" w:hAnsi="Century Schoolbook"/>
        </w:rPr>
        <w:t xml:space="preserve">intended to accomplish.  </w:t>
      </w:r>
      <w:r w:rsidRPr="00A9088B" w:rsidR="008D2FA2">
        <w:rPr>
          <w:rFonts w:ascii="Century Schoolbook" w:hAnsi="Century Schoolbook"/>
        </w:rPr>
        <w:t xml:space="preserve">In his statement on the Assembly </w:t>
      </w:r>
      <w:r w:rsidRPr="00A9088B" w:rsidR="00D5278A">
        <w:rPr>
          <w:rFonts w:ascii="Century Schoolbook" w:hAnsi="Century Schoolbook"/>
        </w:rPr>
        <w:t>f</w:t>
      </w:r>
      <w:r w:rsidRPr="00A9088B" w:rsidR="008D2FA2">
        <w:rPr>
          <w:rFonts w:ascii="Century Schoolbook" w:hAnsi="Century Schoolbook"/>
        </w:rPr>
        <w:t xml:space="preserve">loor urging passage of the bill, Hannigan explained </w:t>
      </w:r>
      <w:r w:rsidRPr="00A9088B" w:rsidR="00885B8F">
        <w:rPr>
          <w:rFonts w:ascii="Century Schoolbook" w:hAnsi="Century Schoolbook"/>
        </w:rPr>
        <w:t xml:space="preserve">the legislation </w:t>
      </w:r>
      <w:r w:rsidRPr="00A9088B" w:rsidR="008D2FA2">
        <w:rPr>
          <w:rFonts w:ascii="Century Schoolbook" w:hAnsi="Century Schoolbook"/>
        </w:rPr>
        <w:t xml:space="preserve">had been amended </w:t>
      </w:r>
      <w:r w:rsidRPr="00A9088B" w:rsidR="001A2021">
        <w:rPr>
          <w:rFonts w:ascii="Century Schoolbook" w:hAnsi="Century Schoolbook"/>
        </w:rPr>
        <w:t xml:space="preserve">“ </w:t>
      </w:r>
      <w:r w:rsidRPr="00A9088B" w:rsidR="008D2FA2">
        <w:rPr>
          <w:rFonts w:ascii="Century Schoolbook" w:hAnsi="Century Schoolbook"/>
        </w:rPr>
        <w:t xml:space="preserve">‘in the Revenue and Taxation Committee to make it clear that this special tax must apply uniformly to all </w:t>
      </w:r>
      <w:r w:rsidRPr="00A9088B" w:rsidR="008D2FA2">
        <w:rPr>
          <w:rFonts w:ascii="Century Schoolbook" w:hAnsi="Century Schoolbook"/>
          <w:i/>
          <w:iCs/>
        </w:rPr>
        <w:t>taxpayers</w:t>
      </w:r>
      <w:r w:rsidRPr="00A9088B" w:rsidR="008D2FA2">
        <w:rPr>
          <w:rFonts w:ascii="Century Schoolbook" w:hAnsi="Century Schoolbook"/>
        </w:rPr>
        <w:t xml:space="preserve"> in the district.’</w:t>
      </w:r>
      <w:r w:rsidRPr="00A9088B" w:rsidR="001A2021">
        <w:rPr>
          <w:rFonts w:ascii="Century Schoolbook" w:hAnsi="Century Schoolbook"/>
        </w:rPr>
        <w:t xml:space="preserve"> ”</w:t>
      </w:r>
      <w:r w:rsidRPr="00A9088B" w:rsidR="00605F52">
        <w:rPr>
          <w:rFonts w:ascii="Century Schoolbook" w:hAnsi="Century Schoolbook"/>
        </w:rPr>
        <w:t xml:space="preserve"> </w:t>
      </w:r>
      <w:r w:rsidRPr="00A9088B" w:rsidR="001A2021">
        <w:rPr>
          <w:rFonts w:ascii="Century Schoolbook" w:hAnsi="Century Schoolbook"/>
        </w:rPr>
        <w:t xml:space="preserve"> </w:t>
      </w:r>
      <w:r w:rsidRPr="00A9088B" w:rsidR="0027704D">
        <w:rPr>
          <w:rFonts w:ascii="Century Schoolbook" w:hAnsi="Century Schoolbook"/>
        </w:rPr>
        <w:t>(</w:t>
      </w:r>
      <w:r w:rsidRPr="00A9088B" w:rsidR="0027704D">
        <w:rPr>
          <w:rFonts w:ascii="Century Schoolbook" w:hAnsi="Century Schoolbook"/>
          <w:i/>
          <w:iCs/>
        </w:rPr>
        <w:t>Borikas, supra,</w:t>
      </w:r>
      <w:r w:rsidRPr="00A9088B" w:rsidR="0027704D">
        <w:rPr>
          <w:rFonts w:ascii="Century Schoolbook" w:hAnsi="Century Schoolbook"/>
        </w:rPr>
        <w:t xml:space="preserve"> 214 Cal.App.4th at p. 15</w:t>
      </w:r>
      <w:r w:rsidRPr="00A9088B" w:rsidR="001A2021">
        <w:rPr>
          <w:rFonts w:ascii="Century Schoolbook" w:hAnsi="Century Schoolbook"/>
        </w:rPr>
        <w:t xml:space="preserve">4, italics </w:t>
      </w:r>
      <w:r w:rsidRPr="00A9088B" w:rsidR="0017473E">
        <w:rPr>
          <w:rFonts w:ascii="Century Schoolbook" w:hAnsi="Century Schoolbook"/>
        </w:rPr>
        <w:t>added.)</w:t>
      </w:r>
    </w:p>
    <w:p w:rsidR="00747FD3" w:rsidRPr="00A9088B" w:rsidP="00747FD3" w14:paraId="2AA4F94C" w14:textId="0D75B00B">
      <w:pPr>
        <w:pStyle w:val="BodyText"/>
        <w:widowControl/>
        <w:spacing w:line="360" w:lineRule="auto"/>
        <w:ind w:left="0"/>
        <w:rPr>
          <w:rFonts w:ascii="Century Schoolbook" w:hAnsi="Century Schoolbook"/>
        </w:rPr>
      </w:pPr>
      <w:r w:rsidRPr="00A9088B">
        <w:rPr>
          <w:rFonts w:ascii="Century Schoolbook" w:hAnsi="Century Schoolbook"/>
        </w:rPr>
        <w:tab/>
        <w:t xml:space="preserve">As </w:t>
      </w:r>
      <w:r w:rsidRPr="00A9088B">
        <w:rPr>
          <w:rFonts w:ascii="Century Schoolbook" w:hAnsi="Century Schoolbook"/>
          <w:i/>
          <w:iCs/>
        </w:rPr>
        <w:t>Borikas</w:t>
      </w:r>
      <w:r w:rsidRPr="00A9088B">
        <w:rPr>
          <w:rFonts w:ascii="Century Schoolbook" w:hAnsi="Century Schoolbook"/>
        </w:rPr>
        <w:t xml:space="preserve"> points out, some school districts responded to the </w:t>
      </w:r>
      <w:r w:rsidRPr="00A9088B" w:rsidR="00EA391E">
        <w:rPr>
          <w:rFonts w:ascii="Century Schoolbook" w:hAnsi="Century Schoolbook"/>
        </w:rPr>
        <w:t xml:space="preserve">Bader amendment </w:t>
      </w:r>
      <w:r w:rsidRPr="00A9088B">
        <w:rPr>
          <w:rFonts w:ascii="Century Schoolbook" w:hAnsi="Century Schoolbook"/>
        </w:rPr>
        <w:t xml:space="preserve">by urging </w:t>
      </w:r>
      <w:r w:rsidRPr="00A9088B" w:rsidR="00EA391E">
        <w:rPr>
          <w:rFonts w:ascii="Century Schoolbook" w:hAnsi="Century Schoolbook"/>
        </w:rPr>
        <w:t xml:space="preserve">further </w:t>
      </w:r>
      <w:r w:rsidRPr="00A9088B">
        <w:rPr>
          <w:rFonts w:ascii="Century Schoolbook" w:hAnsi="Century Schoolbook"/>
        </w:rPr>
        <w:t>amendment</w:t>
      </w:r>
      <w:r w:rsidRPr="00A9088B" w:rsidR="001A2021">
        <w:rPr>
          <w:rFonts w:ascii="Century Schoolbook" w:hAnsi="Century Schoolbook"/>
        </w:rPr>
        <w:t>s</w:t>
      </w:r>
      <w:r w:rsidRPr="00A9088B">
        <w:rPr>
          <w:rFonts w:ascii="Century Schoolbook" w:hAnsi="Century Schoolbook"/>
        </w:rPr>
        <w:t xml:space="preserve"> </w:t>
      </w:r>
      <w:r w:rsidRPr="00A9088B" w:rsidR="00EA391E">
        <w:rPr>
          <w:rFonts w:ascii="Century Schoolbook" w:hAnsi="Century Schoolbook"/>
        </w:rPr>
        <w:t xml:space="preserve">stating </w:t>
      </w:r>
      <w:r w:rsidRPr="00A9088B" w:rsidR="008C7420">
        <w:rPr>
          <w:rFonts w:ascii="Century Schoolbook" w:hAnsi="Century Schoolbook"/>
        </w:rPr>
        <w:t xml:space="preserve">that </w:t>
      </w:r>
      <w:r w:rsidRPr="00A9088B">
        <w:rPr>
          <w:rFonts w:ascii="Century Schoolbook" w:hAnsi="Century Schoolbook"/>
        </w:rPr>
        <w:t xml:space="preserve">districts </w:t>
      </w:r>
      <w:r w:rsidRPr="00A9088B" w:rsidR="00EA391E">
        <w:rPr>
          <w:rFonts w:ascii="Century Schoolbook" w:hAnsi="Century Schoolbook"/>
        </w:rPr>
        <w:t xml:space="preserve">could </w:t>
      </w:r>
      <w:r w:rsidRPr="00A9088B">
        <w:rPr>
          <w:rFonts w:ascii="Century Schoolbook" w:hAnsi="Century Schoolbook"/>
        </w:rPr>
        <w:t>exempt taxpayers over 65 years old from the tax</w:t>
      </w:r>
      <w:r w:rsidRPr="00A9088B" w:rsidR="008C7420">
        <w:rPr>
          <w:rFonts w:ascii="Century Schoolbook" w:hAnsi="Century Schoolbook"/>
        </w:rPr>
        <w:t xml:space="preserve">, and to allow a district to impose </w:t>
      </w:r>
      <w:r w:rsidRPr="00A9088B">
        <w:rPr>
          <w:rFonts w:ascii="Century Schoolbook" w:hAnsi="Century Schoolbook"/>
        </w:rPr>
        <w:t xml:space="preserve">different tax rates on residential and nonresidential property. </w:t>
      </w:r>
      <w:r w:rsidRPr="00A9088B" w:rsidR="00D5278A">
        <w:rPr>
          <w:rFonts w:ascii="Century Schoolbook" w:hAnsi="Century Schoolbook"/>
        </w:rPr>
        <w:t xml:space="preserve"> </w:t>
      </w:r>
      <w:r w:rsidRPr="00A9088B" w:rsidR="0027704D">
        <w:rPr>
          <w:rFonts w:ascii="Century Schoolbook" w:hAnsi="Century Schoolbook"/>
        </w:rPr>
        <w:t>(</w:t>
      </w:r>
      <w:r w:rsidRPr="00A9088B" w:rsidR="0027704D">
        <w:rPr>
          <w:rFonts w:ascii="Century Schoolbook" w:hAnsi="Century Schoolbook"/>
          <w:i/>
          <w:iCs/>
        </w:rPr>
        <w:t>Borikas, supra,</w:t>
      </w:r>
      <w:r w:rsidRPr="00A9088B" w:rsidR="0027704D">
        <w:rPr>
          <w:rFonts w:ascii="Century Schoolbook" w:hAnsi="Century Schoolbook"/>
        </w:rPr>
        <w:t xml:space="preserve"> 214 Cal.App.4th at pp. 154</w:t>
      </w:r>
      <w:r w:rsidRPr="00A9088B" w:rsidR="00F44A72">
        <w:rPr>
          <w:rFonts w:ascii="Century Schoolbook" w:hAnsi="Century Schoolbook"/>
        </w:rPr>
        <w:t>–</w:t>
      </w:r>
      <w:r w:rsidRPr="00A9088B" w:rsidR="0027704D">
        <w:rPr>
          <w:rFonts w:ascii="Century Schoolbook" w:hAnsi="Century Schoolbook"/>
        </w:rPr>
        <w:t xml:space="preserve">156.)  </w:t>
      </w:r>
      <w:r w:rsidRPr="00A9088B">
        <w:rPr>
          <w:rFonts w:ascii="Century Schoolbook" w:hAnsi="Century Schoolbook"/>
        </w:rPr>
        <w:t xml:space="preserve">As passed by the Assembly, the bill permitted school districts to impose special taxes if </w:t>
      </w:r>
      <w:r w:rsidRPr="00A9088B" w:rsidR="00A142BA">
        <w:rPr>
          <w:rFonts w:ascii="Century Schoolbook" w:hAnsi="Century Schoolbook"/>
        </w:rPr>
        <w:t xml:space="preserve">they were </w:t>
      </w:r>
      <w:r w:rsidRPr="00A9088B">
        <w:rPr>
          <w:rFonts w:ascii="Century Schoolbook" w:hAnsi="Century Schoolbook"/>
        </w:rPr>
        <w:t>uniform and did not discriminate against a class of property or taxpayers</w:t>
      </w:r>
      <w:r w:rsidRPr="00A9088B" w:rsidR="00885B8F">
        <w:rPr>
          <w:rFonts w:ascii="Century Schoolbook" w:hAnsi="Century Schoolbook"/>
        </w:rPr>
        <w:t xml:space="preserve">; the </w:t>
      </w:r>
      <w:r w:rsidRPr="00A9088B">
        <w:rPr>
          <w:rFonts w:ascii="Century Schoolbook" w:hAnsi="Century Schoolbook"/>
        </w:rPr>
        <w:t>Senate amendments made an exception to allow an exemption for taxpayers 65 years or older.  The Assembly approved the bill as amended, and the legislation was signed into law by the Governor in July 1987.  (</w:t>
      </w:r>
      <w:r w:rsidRPr="00A9088B">
        <w:rPr>
          <w:rFonts w:ascii="Century Schoolbook" w:hAnsi="Century Schoolbook"/>
          <w:i/>
          <w:iCs/>
        </w:rPr>
        <w:t>Id</w:t>
      </w:r>
      <w:r w:rsidRPr="00A9088B">
        <w:rPr>
          <w:rFonts w:ascii="Century Schoolbook" w:hAnsi="Century Schoolbook"/>
        </w:rPr>
        <w:t>. at p</w:t>
      </w:r>
      <w:r w:rsidRPr="00A9088B" w:rsidR="0027704D">
        <w:rPr>
          <w:rFonts w:ascii="Century Schoolbook" w:hAnsi="Century Schoolbook"/>
        </w:rPr>
        <w:t>p</w:t>
      </w:r>
      <w:r w:rsidRPr="00A9088B">
        <w:rPr>
          <w:rFonts w:ascii="Century Schoolbook" w:hAnsi="Century Schoolbook"/>
        </w:rPr>
        <w:t>. 156</w:t>
      </w:r>
      <w:r w:rsidRPr="00A9088B" w:rsidR="00F44A72">
        <w:rPr>
          <w:rFonts w:ascii="Century Schoolbook" w:hAnsi="Century Schoolbook"/>
        </w:rPr>
        <w:t>–</w:t>
      </w:r>
      <w:r w:rsidRPr="00A9088B" w:rsidR="0027704D">
        <w:rPr>
          <w:rFonts w:ascii="Century Schoolbook" w:hAnsi="Century Schoolbook"/>
        </w:rPr>
        <w:t>157</w:t>
      </w:r>
      <w:r w:rsidRPr="00A9088B">
        <w:rPr>
          <w:rFonts w:ascii="Century Schoolbook" w:hAnsi="Century Schoolbook"/>
        </w:rPr>
        <w:t>.)</w:t>
      </w:r>
    </w:p>
    <w:p w:rsidR="00606673" w:rsidRPr="00A9088B" w:rsidP="00606673" w14:paraId="467AAB28" w14:textId="4BF10B15">
      <w:pPr>
        <w:pStyle w:val="BodyText"/>
        <w:widowControl/>
        <w:spacing w:line="360" w:lineRule="auto"/>
        <w:ind w:left="0"/>
        <w:rPr>
          <w:rFonts w:ascii="Century Schoolbook" w:hAnsi="Century Schoolbook"/>
        </w:rPr>
      </w:pPr>
      <w:r w:rsidRPr="00A9088B">
        <w:rPr>
          <w:rFonts w:ascii="Century Schoolbook" w:hAnsi="Century Schoolbook"/>
        </w:rPr>
        <w:tab/>
      </w:r>
      <w:r w:rsidRPr="00A9088B" w:rsidR="001A2021">
        <w:rPr>
          <w:rFonts w:ascii="Century Schoolbook" w:hAnsi="Century Schoolbook"/>
        </w:rPr>
        <w:t xml:space="preserve">While this may </w:t>
      </w:r>
      <w:r w:rsidRPr="00A9088B">
        <w:rPr>
          <w:rFonts w:ascii="Century Schoolbook" w:hAnsi="Century Schoolbook"/>
        </w:rPr>
        <w:t xml:space="preserve">suggest </w:t>
      </w:r>
      <w:r w:rsidRPr="00A9088B" w:rsidR="001A2021">
        <w:rPr>
          <w:rFonts w:ascii="Century Schoolbook" w:hAnsi="Century Schoolbook"/>
        </w:rPr>
        <w:t xml:space="preserve">that some school districts and legislators viewed the </w:t>
      </w:r>
      <w:r w:rsidRPr="00A9088B">
        <w:rPr>
          <w:rFonts w:ascii="Century Schoolbook" w:hAnsi="Century Schoolbook"/>
        </w:rPr>
        <w:t xml:space="preserve">“apply uniformly” </w:t>
      </w:r>
      <w:r w:rsidRPr="00A9088B" w:rsidR="008D2FA2">
        <w:rPr>
          <w:rFonts w:ascii="Century Schoolbook" w:hAnsi="Century Schoolbook"/>
        </w:rPr>
        <w:t>language</w:t>
      </w:r>
      <w:r w:rsidRPr="00A9088B">
        <w:rPr>
          <w:rFonts w:ascii="Century Schoolbook" w:hAnsi="Century Schoolbook"/>
        </w:rPr>
        <w:t xml:space="preserve">, without an amendment, </w:t>
      </w:r>
      <w:r w:rsidRPr="00A9088B" w:rsidR="008C7420">
        <w:rPr>
          <w:rFonts w:ascii="Century Schoolbook" w:hAnsi="Century Schoolbook"/>
        </w:rPr>
        <w:t xml:space="preserve">to preclude </w:t>
      </w:r>
      <w:r w:rsidRPr="00A9088B" w:rsidR="008D2FA2">
        <w:rPr>
          <w:rFonts w:ascii="Century Schoolbook" w:hAnsi="Century Schoolbook"/>
        </w:rPr>
        <w:t xml:space="preserve">districts from </w:t>
      </w:r>
      <w:r w:rsidRPr="00A9088B">
        <w:rPr>
          <w:rFonts w:ascii="Century Schoolbook" w:hAnsi="Century Schoolbook"/>
        </w:rPr>
        <w:t xml:space="preserve">exempting seniors or treating residential and commercial property differently, we must be careful not to extrapolate too much from too little.  In the first place, how the </w:t>
      </w:r>
      <w:r w:rsidRPr="00A9088B">
        <w:rPr>
          <w:rFonts w:ascii="Century Schoolbook" w:hAnsi="Century Schoolbook"/>
          <w:i/>
          <w:iCs/>
        </w:rPr>
        <w:t>districts</w:t>
      </w:r>
      <w:r w:rsidRPr="00A9088B">
        <w:rPr>
          <w:rFonts w:ascii="Century Schoolbook" w:hAnsi="Century Schoolbook"/>
        </w:rPr>
        <w:t xml:space="preserve"> viewed the legislation does not equate to legislative intent, and the fact that </w:t>
      </w:r>
      <w:r w:rsidRPr="00A9088B" w:rsidR="00A91F63">
        <w:rPr>
          <w:rFonts w:ascii="Century Schoolbook" w:hAnsi="Century Schoolbook"/>
        </w:rPr>
        <w:t xml:space="preserve">legislators </w:t>
      </w:r>
      <w:r w:rsidRPr="00A9088B">
        <w:rPr>
          <w:rFonts w:ascii="Century Schoolbook" w:hAnsi="Century Schoolbook"/>
        </w:rPr>
        <w:t xml:space="preserve">agreed to </w:t>
      </w:r>
      <w:r w:rsidRPr="00A9088B" w:rsidR="00A91F63">
        <w:rPr>
          <w:rFonts w:ascii="Century Schoolbook" w:hAnsi="Century Schoolbook"/>
        </w:rPr>
        <w:t xml:space="preserve">a </w:t>
      </w:r>
      <w:r w:rsidRPr="00A9088B">
        <w:rPr>
          <w:rFonts w:ascii="Century Schoolbook" w:hAnsi="Century Schoolbook"/>
        </w:rPr>
        <w:t xml:space="preserve">senior exemption hardly suggests </w:t>
      </w:r>
      <w:r w:rsidRPr="00A9088B" w:rsidR="00A91F63">
        <w:rPr>
          <w:rFonts w:ascii="Century Schoolbook" w:hAnsi="Century Schoolbook"/>
        </w:rPr>
        <w:t xml:space="preserve">they were </w:t>
      </w:r>
      <w:r w:rsidRPr="00A9088B">
        <w:rPr>
          <w:rFonts w:ascii="Century Schoolbook" w:hAnsi="Century Schoolbook"/>
        </w:rPr>
        <w:t>adamant that all taxpayers</w:t>
      </w:r>
      <w:r w:rsidRPr="00A9088B" w:rsidR="00A61C3C">
        <w:rPr>
          <w:rFonts w:ascii="Century Schoolbook" w:hAnsi="Century Schoolbook"/>
        </w:rPr>
        <w:t>’ property</w:t>
      </w:r>
      <w:r w:rsidRPr="00A9088B">
        <w:rPr>
          <w:rFonts w:ascii="Century Schoolbook" w:hAnsi="Century Schoolbook"/>
        </w:rPr>
        <w:t xml:space="preserve"> be taxed the same</w:t>
      </w:r>
      <w:r w:rsidRPr="00A9088B" w:rsidR="00993D5C">
        <w:rPr>
          <w:rFonts w:ascii="Century Schoolbook" w:hAnsi="Century Schoolbook"/>
        </w:rPr>
        <w:t xml:space="preserve"> or at the same </w:t>
      </w:r>
      <w:r w:rsidRPr="00A9088B" w:rsidR="00605F52">
        <w:rPr>
          <w:rFonts w:ascii="Century Schoolbook" w:hAnsi="Century Schoolbook"/>
        </w:rPr>
        <w:t xml:space="preserve">effective </w:t>
      </w:r>
      <w:r w:rsidRPr="00A9088B" w:rsidR="00993D5C">
        <w:rPr>
          <w:rFonts w:ascii="Century Schoolbook" w:hAnsi="Century Schoolbook"/>
        </w:rPr>
        <w:t>rate</w:t>
      </w:r>
      <w:r w:rsidRPr="00A9088B">
        <w:rPr>
          <w:rFonts w:ascii="Century Schoolbook" w:hAnsi="Century Schoolbook"/>
        </w:rPr>
        <w:t>.  Indeed, for some</w:t>
      </w:r>
      <w:r w:rsidRPr="00A9088B" w:rsidR="00A91F63">
        <w:rPr>
          <w:rFonts w:ascii="Century Schoolbook" w:hAnsi="Century Schoolbook"/>
        </w:rPr>
        <w:t xml:space="preserve"> districts or legislators</w:t>
      </w:r>
      <w:r w:rsidRPr="00A9088B">
        <w:rPr>
          <w:rFonts w:ascii="Century Schoolbook" w:hAnsi="Century Schoolbook"/>
        </w:rPr>
        <w:t xml:space="preserve">, the language exempting seniors could have been motivated by a desire to avoid uncertainty and litigation by making clear that districts would have </w:t>
      </w:r>
      <w:r w:rsidRPr="00A9088B" w:rsidR="00E079B8">
        <w:rPr>
          <w:rFonts w:ascii="Century Schoolbook" w:hAnsi="Century Schoolbook"/>
        </w:rPr>
        <w:t xml:space="preserve">continued </w:t>
      </w:r>
      <w:r w:rsidRPr="00A9088B">
        <w:rPr>
          <w:rFonts w:ascii="Century Schoolbook" w:hAnsi="Century Schoolbook"/>
        </w:rPr>
        <w:t xml:space="preserve">authority to exempt seniors, rather than a confession that the </w:t>
      </w:r>
      <w:r w:rsidRPr="00A9088B" w:rsidR="00BB5C7C">
        <w:rPr>
          <w:rFonts w:ascii="Century Schoolbook" w:hAnsi="Century Schoolbook"/>
        </w:rPr>
        <w:t xml:space="preserve">“apply uniformly” language erased such </w:t>
      </w:r>
      <w:r w:rsidRPr="00A9088B">
        <w:rPr>
          <w:rFonts w:ascii="Century Schoolbook" w:hAnsi="Century Schoolbook"/>
        </w:rPr>
        <w:t>authority.</w:t>
      </w:r>
    </w:p>
    <w:p w:rsidR="001958BA" w:rsidP="008D2FA2" w14:paraId="3B0E765D" w14:textId="77777777">
      <w:pPr>
        <w:pStyle w:val="BodyText"/>
        <w:widowControl/>
        <w:spacing w:line="360" w:lineRule="auto"/>
        <w:ind w:left="0"/>
        <w:rPr>
          <w:rFonts w:ascii="Century Schoolbook" w:hAnsi="Century Schoolbook"/>
        </w:rPr>
      </w:pPr>
      <w:r w:rsidRPr="00A9088B">
        <w:rPr>
          <w:rFonts w:ascii="Century Schoolbook" w:hAnsi="Century Schoolbook"/>
        </w:rPr>
        <w:tab/>
        <w:t xml:space="preserve">Moreover, </w:t>
      </w:r>
      <w:r w:rsidRPr="00A9088B" w:rsidR="005B26F4">
        <w:rPr>
          <w:rFonts w:ascii="Century Schoolbook" w:hAnsi="Century Schoolbook"/>
        </w:rPr>
        <w:t xml:space="preserve">in this case, </w:t>
      </w:r>
      <w:r w:rsidRPr="00A9088B" w:rsidR="00990270">
        <w:rPr>
          <w:rFonts w:ascii="Century Schoolbook" w:hAnsi="Century Schoolbook"/>
        </w:rPr>
        <w:t xml:space="preserve">what </w:t>
      </w:r>
      <w:r w:rsidRPr="00A9088B">
        <w:rPr>
          <w:rFonts w:ascii="Century Schoolbook" w:hAnsi="Century Schoolbook"/>
        </w:rPr>
        <w:t xml:space="preserve">the legislative history does </w:t>
      </w:r>
      <w:r w:rsidRPr="00A9088B">
        <w:rPr>
          <w:rFonts w:ascii="Century Schoolbook" w:hAnsi="Century Schoolbook"/>
          <w:i/>
          <w:iCs/>
        </w:rPr>
        <w:t>not</w:t>
      </w:r>
      <w:r w:rsidRPr="00A9088B">
        <w:rPr>
          <w:rFonts w:ascii="Century Schoolbook" w:hAnsi="Century Schoolbook"/>
        </w:rPr>
        <w:t xml:space="preserve"> say</w:t>
      </w:r>
      <w:r w:rsidRPr="00A9088B" w:rsidR="006843DA">
        <w:rPr>
          <w:rFonts w:ascii="Century Schoolbook" w:hAnsi="Century Schoolbook"/>
        </w:rPr>
        <w:t xml:space="preserve"> is as important as what it does say</w:t>
      </w:r>
      <w:r w:rsidRPr="00A9088B">
        <w:rPr>
          <w:rFonts w:ascii="Century Schoolbook" w:hAnsi="Century Schoolbook"/>
        </w:rPr>
        <w:t xml:space="preserve">.  </w:t>
      </w:r>
      <w:r w:rsidRPr="00A9088B" w:rsidR="00E079B8">
        <w:rPr>
          <w:rFonts w:ascii="Century Schoolbook" w:hAnsi="Century Schoolbook"/>
        </w:rPr>
        <w:t xml:space="preserve">Accepting that the Legislature </w:t>
      </w:r>
      <w:r w:rsidRPr="00A9088B" w:rsidR="00B95E1E">
        <w:rPr>
          <w:rFonts w:ascii="Century Schoolbook" w:hAnsi="Century Schoolbook"/>
        </w:rPr>
        <w:t xml:space="preserve">saw the “apply uniformly” language to </w:t>
      </w:r>
      <w:r w:rsidRPr="00A9088B" w:rsidR="00A61C3C">
        <w:rPr>
          <w:rFonts w:ascii="Century Schoolbook" w:hAnsi="Century Schoolbook"/>
        </w:rPr>
        <w:t xml:space="preserve">require </w:t>
      </w:r>
      <w:r w:rsidRPr="00A9088B" w:rsidR="00B95E1E">
        <w:rPr>
          <w:rFonts w:ascii="Century Schoolbook" w:hAnsi="Century Schoolbook"/>
        </w:rPr>
        <w:t xml:space="preserve">uniform application to </w:t>
      </w:r>
      <w:r w:rsidRPr="00A9088B">
        <w:rPr>
          <w:rFonts w:ascii="Century Schoolbook" w:hAnsi="Century Schoolbook"/>
        </w:rPr>
        <w:t xml:space="preserve">all </w:t>
      </w:r>
      <w:r w:rsidRPr="00A9088B" w:rsidR="00990270">
        <w:rPr>
          <w:rFonts w:ascii="Century Schoolbook" w:hAnsi="Century Schoolbook"/>
          <w:i/>
          <w:iCs/>
        </w:rPr>
        <w:t>taxpayers</w:t>
      </w:r>
      <w:r w:rsidRPr="00A9088B" w:rsidR="00990270">
        <w:rPr>
          <w:rFonts w:ascii="Century Schoolbook" w:hAnsi="Century Schoolbook"/>
        </w:rPr>
        <w:t xml:space="preserve"> </w:t>
      </w:r>
      <w:r w:rsidRPr="00A9088B">
        <w:rPr>
          <w:rFonts w:ascii="Century Schoolbook" w:hAnsi="Century Schoolbook"/>
        </w:rPr>
        <w:t xml:space="preserve">and all </w:t>
      </w:r>
      <w:r w:rsidRPr="00A9088B">
        <w:rPr>
          <w:rFonts w:ascii="Century Schoolbook" w:hAnsi="Century Schoolbook"/>
          <w:i/>
          <w:iCs/>
        </w:rPr>
        <w:t>types</w:t>
      </w:r>
      <w:r w:rsidRPr="00A9088B">
        <w:rPr>
          <w:rFonts w:ascii="Century Schoolbook" w:hAnsi="Century Schoolbook"/>
        </w:rPr>
        <w:t xml:space="preserve"> of property</w:t>
      </w:r>
      <w:r w:rsidRPr="00A9088B" w:rsidR="00DF2568">
        <w:rPr>
          <w:rFonts w:ascii="Century Schoolbook" w:hAnsi="Century Schoolbook"/>
        </w:rPr>
        <w:t xml:space="preserve"> (</w:t>
      </w:r>
      <w:r w:rsidRPr="00A9088B">
        <w:rPr>
          <w:rFonts w:ascii="Century Schoolbook" w:hAnsi="Century Schoolbook"/>
        </w:rPr>
        <w:t xml:space="preserve">commercial </w:t>
      </w:r>
      <w:r w:rsidRPr="00A9088B" w:rsidR="00DF2568">
        <w:rPr>
          <w:rFonts w:ascii="Century Schoolbook" w:hAnsi="Century Schoolbook"/>
        </w:rPr>
        <w:t xml:space="preserve">and </w:t>
      </w:r>
      <w:r w:rsidRPr="00A9088B">
        <w:rPr>
          <w:rFonts w:ascii="Century Schoolbook" w:hAnsi="Century Schoolbook"/>
        </w:rPr>
        <w:t>residential</w:t>
      </w:r>
      <w:r w:rsidRPr="00A9088B" w:rsidR="00A91F63">
        <w:rPr>
          <w:rFonts w:ascii="Century Schoolbook" w:hAnsi="Century Schoolbook"/>
        </w:rPr>
        <w:t>, improved and unimproved</w:t>
      </w:r>
      <w:r w:rsidRPr="00A9088B">
        <w:rPr>
          <w:rFonts w:ascii="Century Schoolbook" w:hAnsi="Century Schoolbook"/>
        </w:rPr>
        <w:t>)</w:t>
      </w:r>
      <w:r w:rsidRPr="00A9088B" w:rsidR="00990270">
        <w:rPr>
          <w:rFonts w:ascii="Century Schoolbook" w:hAnsi="Century Schoolbook"/>
        </w:rPr>
        <w:t xml:space="preserve">, </w:t>
      </w:r>
      <w:r w:rsidRPr="00A9088B" w:rsidR="00E079B8">
        <w:rPr>
          <w:rFonts w:ascii="Century Schoolbook" w:hAnsi="Century Schoolbook"/>
        </w:rPr>
        <w:t xml:space="preserve">there is nothing to suggest that </w:t>
      </w:r>
      <w:r w:rsidRPr="00A9088B" w:rsidR="00EB51EF">
        <w:rPr>
          <w:rFonts w:ascii="Century Schoolbook" w:hAnsi="Century Schoolbook"/>
        </w:rPr>
        <w:t xml:space="preserve">anyone thought </w:t>
      </w:r>
      <w:r w:rsidRPr="00A9088B" w:rsidR="00073679">
        <w:rPr>
          <w:rFonts w:ascii="Century Schoolbook" w:hAnsi="Century Schoolbook"/>
        </w:rPr>
        <w:t xml:space="preserve">a </w:t>
      </w:r>
      <w:r w:rsidRPr="00A9088B" w:rsidR="006843DA">
        <w:rPr>
          <w:rFonts w:ascii="Century Schoolbook" w:hAnsi="Century Schoolbook"/>
        </w:rPr>
        <w:t>tax rate</w:t>
      </w:r>
      <w:r w:rsidRPr="00A9088B" w:rsidR="00073679">
        <w:rPr>
          <w:rFonts w:ascii="Century Schoolbook" w:hAnsi="Century Schoolbook"/>
        </w:rPr>
        <w:t xml:space="preserve"> </w:t>
      </w:r>
      <w:r w:rsidRPr="00A9088B" w:rsidR="00A91F63">
        <w:rPr>
          <w:rFonts w:ascii="Century Schoolbook" w:hAnsi="Century Schoolbook"/>
        </w:rPr>
        <w:t xml:space="preserve">could not </w:t>
      </w:r>
      <w:r w:rsidRPr="00A9088B" w:rsidR="005B26F4">
        <w:rPr>
          <w:rFonts w:ascii="Century Schoolbook" w:hAnsi="Century Schoolbook"/>
        </w:rPr>
        <w:t xml:space="preserve">take </w:t>
      </w:r>
      <w:r w:rsidRPr="00A9088B" w:rsidR="006843DA">
        <w:rPr>
          <w:rFonts w:ascii="Century Schoolbook" w:hAnsi="Century Schoolbook"/>
        </w:rPr>
        <w:t xml:space="preserve">account </w:t>
      </w:r>
      <w:r w:rsidRPr="00A9088B" w:rsidR="005B26F4">
        <w:rPr>
          <w:rFonts w:ascii="Century Schoolbook" w:hAnsi="Century Schoolbook"/>
        </w:rPr>
        <w:t xml:space="preserve">of </w:t>
      </w:r>
      <w:r w:rsidRPr="00A9088B" w:rsidR="00990270">
        <w:rPr>
          <w:rFonts w:ascii="Century Schoolbook" w:hAnsi="Century Schoolbook"/>
        </w:rPr>
        <w:t xml:space="preserve">the </w:t>
      </w:r>
      <w:r w:rsidRPr="00A9088B" w:rsidR="0017473E">
        <w:rPr>
          <w:rFonts w:ascii="Century Schoolbook" w:hAnsi="Century Schoolbook"/>
          <w:i/>
          <w:iCs/>
        </w:rPr>
        <w:t>size</w:t>
      </w:r>
      <w:r w:rsidRPr="00A9088B" w:rsidR="0017473E">
        <w:rPr>
          <w:rFonts w:ascii="Century Schoolbook" w:hAnsi="Century Schoolbook"/>
        </w:rPr>
        <w:t xml:space="preserve"> </w:t>
      </w:r>
      <w:r w:rsidRPr="00A9088B" w:rsidR="008D2FA2">
        <w:rPr>
          <w:rFonts w:ascii="Century Schoolbook" w:hAnsi="Century Schoolbook"/>
        </w:rPr>
        <w:t xml:space="preserve">of </w:t>
      </w:r>
      <w:r w:rsidRPr="00A9088B" w:rsidR="00073679">
        <w:rPr>
          <w:rFonts w:ascii="Century Schoolbook" w:hAnsi="Century Schoolbook"/>
        </w:rPr>
        <w:t xml:space="preserve">the </w:t>
      </w:r>
      <w:r w:rsidRPr="00A9088B" w:rsidR="008D2FA2">
        <w:rPr>
          <w:rFonts w:ascii="Century Schoolbook" w:hAnsi="Century Schoolbook"/>
        </w:rPr>
        <w:t xml:space="preserve">property.  </w:t>
      </w:r>
      <w:r w:rsidRPr="00A9088B" w:rsidR="00073679">
        <w:rPr>
          <w:rFonts w:ascii="Century Schoolbook" w:hAnsi="Century Schoolbook"/>
        </w:rPr>
        <w:t xml:space="preserve">(See </w:t>
      </w:r>
      <w:r w:rsidRPr="00A9088B" w:rsidR="00073679">
        <w:rPr>
          <w:rFonts w:ascii="Century Schoolbook" w:hAnsi="Century Schoolbook"/>
          <w:i/>
          <w:iCs/>
        </w:rPr>
        <w:t>Borikas, supra</w:t>
      </w:r>
      <w:r w:rsidRPr="00A9088B" w:rsidR="00073679">
        <w:rPr>
          <w:rFonts w:ascii="Century Schoolbook" w:hAnsi="Century Schoolbook"/>
        </w:rPr>
        <w:t>, 214 Cal.App.4th</w:t>
      </w:r>
      <w:r w:rsidRPr="00A9088B" w:rsidR="00073679">
        <w:rPr>
          <w:rFonts w:ascii="Century Schoolbook" w:hAnsi="Century Schoolbook"/>
          <w:vertAlign w:val="superscript"/>
        </w:rPr>
        <w:t xml:space="preserve"> </w:t>
      </w:r>
      <w:r w:rsidRPr="00A9088B" w:rsidR="00073679">
        <w:rPr>
          <w:rFonts w:ascii="Century Schoolbook" w:hAnsi="Century Schoolbook"/>
        </w:rPr>
        <w:t xml:space="preserve">at </w:t>
      </w:r>
    </w:p>
    <w:p w:rsidR="00073679" w:rsidRPr="00A9088B" w:rsidP="008D2FA2" w14:paraId="65475A3C" w14:textId="6248AA5B">
      <w:pPr>
        <w:pStyle w:val="BodyText"/>
        <w:widowControl/>
        <w:spacing w:line="360" w:lineRule="auto"/>
        <w:ind w:left="0"/>
        <w:rPr>
          <w:rFonts w:ascii="Century Schoolbook" w:hAnsi="Century Schoolbook"/>
        </w:rPr>
      </w:pPr>
      <w:r w:rsidRPr="00A9088B">
        <w:rPr>
          <w:rFonts w:ascii="Century Schoolbook" w:hAnsi="Century Schoolbook"/>
        </w:rPr>
        <w:t xml:space="preserve">p. 158 [noting districts did not seek exemption for differential tax treatment of parcels by size].)  </w:t>
      </w:r>
      <w:r w:rsidRPr="00A9088B" w:rsidR="00990270">
        <w:rPr>
          <w:rFonts w:ascii="Century Schoolbook" w:hAnsi="Century Schoolbook"/>
        </w:rPr>
        <w:t xml:space="preserve">Nothing in the legislative history states </w:t>
      </w:r>
      <w:r w:rsidRPr="00A9088B" w:rsidR="008D2FA2">
        <w:rPr>
          <w:rFonts w:ascii="Century Schoolbook" w:hAnsi="Century Schoolbook"/>
        </w:rPr>
        <w:t>that every</w:t>
      </w:r>
      <w:r w:rsidRPr="00A9088B" w:rsidR="00DF2568">
        <w:rPr>
          <w:rFonts w:ascii="Century Schoolbook" w:hAnsi="Century Schoolbook"/>
        </w:rPr>
        <w:t xml:space="preserve"> taxpayer </w:t>
      </w:r>
      <w:r w:rsidRPr="00A9088B" w:rsidR="005B26F4">
        <w:rPr>
          <w:rFonts w:ascii="Century Schoolbook" w:hAnsi="Century Schoolbook"/>
        </w:rPr>
        <w:t>must end up paying the same tax</w:t>
      </w:r>
      <w:r w:rsidRPr="00A9088B" w:rsidR="00FC09AA">
        <w:rPr>
          <w:rFonts w:ascii="Century Schoolbook" w:hAnsi="Century Schoolbook"/>
        </w:rPr>
        <w:t xml:space="preserve">, or that </w:t>
      </w:r>
      <w:r w:rsidRPr="00A9088B" w:rsidR="00A91F63">
        <w:rPr>
          <w:rFonts w:ascii="Century Schoolbook" w:hAnsi="Century Schoolbook"/>
        </w:rPr>
        <w:t xml:space="preserve">every taxpayer must enjoy the same </w:t>
      </w:r>
      <w:r w:rsidRPr="00A9088B" w:rsidR="008D2FA2">
        <w:rPr>
          <w:rFonts w:ascii="Century Schoolbook" w:hAnsi="Century Schoolbook"/>
        </w:rPr>
        <w:t>effective tax</w:t>
      </w:r>
      <w:r w:rsidRPr="00A9088B" w:rsidR="00990270">
        <w:rPr>
          <w:rFonts w:ascii="Century Schoolbook" w:hAnsi="Century Schoolbook"/>
        </w:rPr>
        <w:t xml:space="preserve"> rate</w:t>
      </w:r>
      <w:r w:rsidRPr="00A9088B" w:rsidR="00C5440C">
        <w:rPr>
          <w:rFonts w:ascii="Century Schoolbook" w:hAnsi="Century Schoolbook"/>
        </w:rPr>
        <w:t xml:space="preserve"> as Traiman urges here</w:t>
      </w:r>
      <w:r w:rsidRPr="00A9088B" w:rsidR="008D2FA2">
        <w:rPr>
          <w:rFonts w:ascii="Century Schoolbook" w:hAnsi="Century Schoolbook"/>
        </w:rPr>
        <w:t>.</w:t>
      </w:r>
      <w:r w:rsidRPr="00A9088B" w:rsidR="00747FD3">
        <w:rPr>
          <w:rFonts w:ascii="Century Schoolbook" w:hAnsi="Century Schoolbook"/>
        </w:rPr>
        <w:t xml:space="preserve">  </w:t>
      </w:r>
      <w:r w:rsidRPr="00A9088B" w:rsidR="009E2727">
        <w:rPr>
          <w:rFonts w:ascii="Century Schoolbook" w:hAnsi="Century Schoolbook"/>
        </w:rPr>
        <w:t xml:space="preserve">To the contrary, legislators were well aware that </w:t>
      </w:r>
      <w:r w:rsidR="002A3520">
        <w:rPr>
          <w:rFonts w:ascii="Century Schoolbook" w:hAnsi="Century Schoolbook"/>
        </w:rPr>
        <w:t>school</w:t>
      </w:r>
      <w:r w:rsidRPr="00A9088B" w:rsidR="002A3520">
        <w:rPr>
          <w:rFonts w:ascii="Century Schoolbook" w:hAnsi="Century Schoolbook"/>
        </w:rPr>
        <w:t xml:space="preserve"> </w:t>
      </w:r>
      <w:r w:rsidRPr="00A9088B" w:rsidR="009E2727">
        <w:rPr>
          <w:rFonts w:ascii="Century Schoolbook" w:hAnsi="Century Schoolbook"/>
        </w:rPr>
        <w:t>districts imposed parcel taxes at a flat rate, resulting in different effective tax rates.  (</w:t>
      </w:r>
      <w:r w:rsidRPr="00A9088B" w:rsidR="009E2727">
        <w:rPr>
          <w:rFonts w:ascii="Century Schoolbook" w:hAnsi="Century Schoolbook"/>
          <w:i/>
          <w:iCs/>
        </w:rPr>
        <w:t>Ibid</w:t>
      </w:r>
      <w:r w:rsidRPr="00A9088B" w:rsidR="009E2727">
        <w:rPr>
          <w:rFonts w:ascii="Century Schoolbook" w:hAnsi="Century Schoolbook"/>
        </w:rPr>
        <w:t xml:space="preserve">.)  Furthermore, nothing </w:t>
      </w:r>
      <w:r w:rsidRPr="00A9088B" w:rsidR="00A91F63">
        <w:rPr>
          <w:rFonts w:ascii="Century Schoolbook" w:hAnsi="Century Schoolbook"/>
        </w:rPr>
        <w:t xml:space="preserve">in the </w:t>
      </w:r>
      <w:r w:rsidRPr="00A9088B" w:rsidR="00057833">
        <w:rPr>
          <w:rFonts w:ascii="Century Schoolbook" w:hAnsi="Century Schoolbook"/>
        </w:rPr>
        <w:t xml:space="preserve">legislative history </w:t>
      </w:r>
      <w:r w:rsidRPr="00A9088B" w:rsidR="009E2727">
        <w:rPr>
          <w:rFonts w:ascii="Century Schoolbook" w:hAnsi="Century Schoolbook"/>
        </w:rPr>
        <w:t xml:space="preserve">of section 50079 </w:t>
      </w:r>
      <w:r w:rsidRPr="00A9088B" w:rsidR="00057833">
        <w:rPr>
          <w:rFonts w:ascii="Century Schoolbook" w:hAnsi="Century Schoolbook"/>
        </w:rPr>
        <w:t xml:space="preserve">states that a </w:t>
      </w:r>
      <w:r w:rsidRPr="00A9088B" w:rsidR="00C5440C">
        <w:rPr>
          <w:rFonts w:ascii="Century Schoolbook" w:hAnsi="Century Schoolbook"/>
        </w:rPr>
        <w:t xml:space="preserve">school </w:t>
      </w:r>
      <w:r w:rsidRPr="00A9088B" w:rsidR="00057833">
        <w:rPr>
          <w:rFonts w:ascii="Century Schoolbook" w:hAnsi="Century Schoolbook"/>
        </w:rPr>
        <w:t xml:space="preserve">district </w:t>
      </w:r>
      <w:r w:rsidRPr="00A9088B" w:rsidR="00AB19B7">
        <w:rPr>
          <w:rFonts w:ascii="Century Schoolbook" w:hAnsi="Century Schoolbook"/>
        </w:rPr>
        <w:t xml:space="preserve">cannot </w:t>
      </w:r>
      <w:r w:rsidRPr="00A9088B" w:rsidR="00057833">
        <w:rPr>
          <w:rFonts w:ascii="Century Schoolbook" w:hAnsi="Century Schoolbook"/>
        </w:rPr>
        <w:t xml:space="preserve">cap taxpayers’ </w:t>
      </w:r>
      <w:r w:rsidRPr="00A9088B" w:rsidR="00747FD3">
        <w:rPr>
          <w:rFonts w:ascii="Century Schoolbook" w:hAnsi="Century Schoolbook"/>
        </w:rPr>
        <w:t>liabilit</w:t>
      </w:r>
      <w:r w:rsidRPr="00A9088B" w:rsidR="00F957F9">
        <w:rPr>
          <w:rFonts w:ascii="Century Schoolbook" w:hAnsi="Century Schoolbook"/>
        </w:rPr>
        <w:t>ies</w:t>
      </w:r>
      <w:r w:rsidRPr="00A9088B" w:rsidR="00A91F63">
        <w:rPr>
          <w:rFonts w:ascii="Century Schoolbook" w:hAnsi="Century Schoolbook"/>
        </w:rPr>
        <w:t xml:space="preserve">.  And nothing </w:t>
      </w:r>
      <w:r w:rsidRPr="00A9088B" w:rsidR="00B95E1E">
        <w:rPr>
          <w:rFonts w:ascii="Century Schoolbook" w:hAnsi="Century Schoolbook"/>
        </w:rPr>
        <w:t xml:space="preserve">in the legislative history supports the conclusion of the trial court </w:t>
      </w:r>
      <w:r w:rsidRPr="00A9088B" w:rsidR="00A142BA">
        <w:rPr>
          <w:rFonts w:ascii="Century Schoolbook" w:hAnsi="Century Schoolbook"/>
        </w:rPr>
        <w:t xml:space="preserve">here </w:t>
      </w:r>
      <w:r w:rsidRPr="00A9088B" w:rsidR="00B95E1E">
        <w:rPr>
          <w:rFonts w:ascii="Century Schoolbook" w:hAnsi="Century Schoolbook"/>
        </w:rPr>
        <w:t xml:space="preserve">that “[u]nder the law, there simply cannot be any different classifications, distinctions, definitions, or square footage limitations in levying the tax on improved property.”  </w:t>
      </w:r>
      <w:r w:rsidRPr="00A9088B">
        <w:rPr>
          <w:rFonts w:ascii="Century Schoolbook" w:hAnsi="Century Schoolbook"/>
        </w:rPr>
        <w:t xml:space="preserve">The language in </w:t>
      </w:r>
      <w:r w:rsidRPr="00A9088B">
        <w:rPr>
          <w:rFonts w:ascii="Century Schoolbook" w:hAnsi="Century Schoolbook"/>
          <w:i/>
          <w:iCs/>
        </w:rPr>
        <w:t xml:space="preserve">Borikas </w:t>
      </w:r>
      <w:r w:rsidRPr="00A9088B">
        <w:rPr>
          <w:rFonts w:ascii="Century Schoolbook" w:hAnsi="Century Schoolbook"/>
        </w:rPr>
        <w:t>that districts cannot “classify and differentially tax property within the district” (</w:t>
      </w:r>
      <w:r w:rsidRPr="00A9088B">
        <w:rPr>
          <w:rFonts w:ascii="Century Schoolbook" w:hAnsi="Century Schoolbook"/>
          <w:i/>
          <w:iCs/>
        </w:rPr>
        <w:t>id</w:t>
      </w:r>
      <w:r w:rsidRPr="00A9088B">
        <w:rPr>
          <w:rFonts w:ascii="Century Schoolbook" w:hAnsi="Century Schoolbook"/>
        </w:rPr>
        <w:t xml:space="preserve">. at p. 164) should not be </w:t>
      </w:r>
      <w:r w:rsidRPr="00A9088B" w:rsidR="00152643">
        <w:rPr>
          <w:rFonts w:ascii="Century Schoolbook" w:hAnsi="Century Schoolbook"/>
        </w:rPr>
        <w:t xml:space="preserve">expanded </w:t>
      </w:r>
      <w:r w:rsidRPr="00A9088B">
        <w:rPr>
          <w:rFonts w:ascii="Century Schoolbook" w:hAnsi="Century Schoolbook"/>
        </w:rPr>
        <w:t xml:space="preserve">beyond the </w:t>
      </w:r>
      <w:r w:rsidRPr="00A9088B" w:rsidR="009E2727">
        <w:rPr>
          <w:rFonts w:ascii="Century Schoolbook" w:hAnsi="Century Schoolbook"/>
        </w:rPr>
        <w:t xml:space="preserve">legislative history </w:t>
      </w:r>
      <w:r w:rsidRPr="00A9088B">
        <w:rPr>
          <w:rFonts w:ascii="Century Schoolbook" w:hAnsi="Century Schoolbook"/>
        </w:rPr>
        <w:t>on which it is based.</w:t>
      </w:r>
    </w:p>
    <w:p w:rsidR="00E00432" w:rsidRPr="00A9088B" w:rsidP="001958BA" w14:paraId="3FF00FCC" w14:textId="5C687E78">
      <w:pPr>
        <w:pStyle w:val="BodyText"/>
        <w:widowControl/>
        <w:spacing w:line="360" w:lineRule="auto"/>
        <w:ind w:left="0"/>
        <w:rPr>
          <w:rFonts w:ascii="Century Schoolbook" w:hAnsi="Century Schoolbook"/>
        </w:rPr>
      </w:pPr>
      <w:r w:rsidRPr="00A9088B">
        <w:rPr>
          <w:rFonts w:ascii="Century Schoolbook" w:hAnsi="Century Schoolbook"/>
        </w:rPr>
        <w:tab/>
      </w:r>
      <w:r w:rsidRPr="00A9088B" w:rsidR="00CE4B56">
        <w:rPr>
          <w:rFonts w:ascii="Century Schoolbook" w:hAnsi="Century Schoolbook"/>
        </w:rPr>
        <w:t xml:space="preserve"> </w:t>
      </w:r>
      <w:r w:rsidRPr="00A9088B" w:rsidR="00C5440C">
        <w:rPr>
          <w:rFonts w:ascii="Century Schoolbook" w:hAnsi="Century Schoolbook"/>
        </w:rPr>
        <w:t xml:space="preserve">In our view, the takeaway from the legislative history of section 50079 is that lawmakers and school districts urgently wanted the districts to have the power to impose </w:t>
      </w:r>
      <w:r w:rsidRPr="00A9088B" w:rsidR="006846A5">
        <w:rPr>
          <w:rFonts w:ascii="Century Schoolbook" w:hAnsi="Century Schoolbook"/>
        </w:rPr>
        <w:t xml:space="preserve">special </w:t>
      </w:r>
      <w:r w:rsidRPr="00A9088B" w:rsidR="00C5440C">
        <w:rPr>
          <w:rFonts w:ascii="Century Schoolbook" w:hAnsi="Century Schoolbook"/>
        </w:rPr>
        <w:t>taxes</w:t>
      </w:r>
      <w:r w:rsidRPr="00A9088B" w:rsidR="006846A5">
        <w:rPr>
          <w:rFonts w:ascii="Century Schoolbook" w:hAnsi="Century Schoolbook"/>
        </w:rPr>
        <w:t xml:space="preserve"> with voter approval</w:t>
      </w:r>
      <w:r w:rsidRPr="00A9088B" w:rsidR="00C5440C">
        <w:rPr>
          <w:rFonts w:ascii="Century Schoolbook" w:hAnsi="Century Schoolbook"/>
        </w:rPr>
        <w:t>, notwithstanding the advent of Proposition 62</w:t>
      </w:r>
      <w:r w:rsidRPr="00A9088B" w:rsidR="006846A5">
        <w:rPr>
          <w:rFonts w:ascii="Century Schoolbook" w:hAnsi="Century Schoolbook"/>
        </w:rPr>
        <w:t xml:space="preserve">, and </w:t>
      </w:r>
      <w:r w:rsidRPr="00A9088B" w:rsidR="00DA61F2">
        <w:rPr>
          <w:rFonts w:ascii="Century Schoolbook" w:hAnsi="Century Schoolbook"/>
        </w:rPr>
        <w:t xml:space="preserve">for districts to have the right to exempt </w:t>
      </w:r>
      <w:r w:rsidRPr="00A9088B" w:rsidR="006846A5">
        <w:rPr>
          <w:rFonts w:ascii="Century Schoolbook" w:hAnsi="Century Schoolbook"/>
        </w:rPr>
        <w:t xml:space="preserve">seniors </w:t>
      </w:r>
      <w:r w:rsidRPr="00A9088B" w:rsidR="00EB51EF">
        <w:rPr>
          <w:rFonts w:ascii="Century Schoolbook" w:hAnsi="Century Schoolbook"/>
        </w:rPr>
        <w:t xml:space="preserve">despite </w:t>
      </w:r>
      <w:r w:rsidRPr="00A9088B" w:rsidR="006846A5">
        <w:rPr>
          <w:rFonts w:ascii="Century Schoolbook" w:hAnsi="Century Schoolbook"/>
        </w:rPr>
        <w:t>the requirement that the tax apply uniformly to all taxpayers or real property</w:t>
      </w:r>
      <w:r w:rsidRPr="00A9088B" w:rsidR="00605F52">
        <w:rPr>
          <w:rFonts w:ascii="Century Schoolbook" w:hAnsi="Century Schoolbook"/>
        </w:rPr>
        <w:t xml:space="preserve"> and not discrim</w:t>
      </w:r>
      <w:r w:rsidRPr="00A9088B" w:rsidR="00A46092">
        <w:rPr>
          <w:rFonts w:ascii="Century Schoolbook" w:hAnsi="Century Schoolbook"/>
        </w:rPr>
        <w:t>inate against a class of taxpayer or property</w:t>
      </w:r>
      <w:r w:rsidRPr="00A9088B" w:rsidR="006846A5">
        <w:rPr>
          <w:rFonts w:ascii="Century Schoolbook" w:hAnsi="Century Schoolbook"/>
        </w:rPr>
        <w:t xml:space="preserve">.  </w:t>
      </w:r>
      <w:r w:rsidRPr="00A9088B" w:rsidR="00DA61F2">
        <w:rPr>
          <w:rFonts w:ascii="Century Schoolbook" w:hAnsi="Century Schoolbook"/>
        </w:rPr>
        <w:t xml:space="preserve">By no means was a </w:t>
      </w:r>
      <w:r w:rsidRPr="00A9088B" w:rsidR="006846A5">
        <w:rPr>
          <w:rFonts w:ascii="Century Schoolbook" w:hAnsi="Century Schoolbook"/>
        </w:rPr>
        <w:t xml:space="preserve">district’s use of a cap on tax liability the </w:t>
      </w:r>
      <w:r w:rsidRPr="00A9088B" w:rsidR="00C5440C">
        <w:rPr>
          <w:rFonts w:ascii="Century Schoolbook" w:hAnsi="Century Schoolbook"/>
        </w:rPr>
        <w:t>“evil” the legislators sought to address</w:t>
      </w:r>
      <w:r w:rsidRPr="00A9088B" w:rsidR="009E2727">
        <w:rPr>
          <w:rFonts w:ascii="Century Schoolbook" w:hAnsi="Century Schoolbook"/>
        </w:rPr>
        <w:t>.</w:t>
      </w:r>
      <w:r>
        <w:rPr>
          <w:rStyle w:val="FootnoteReference"/>
          <w:rFonts w:ascii="Century Schoolbook" w:hAnsi="Century Schoolbook"/>
        </w:rPr>
        <w:footnoteReference w:id="9"/>
      </w:r>
    </w:p>
    <w:p w:rsidR="00B53C89" w:rsidRPr="00A9088B" w:rsidP="007853CD" w14:paraId="7A9C8218" w14:textId="7D2A0FF9">
      <w:pPr>
        <w:pStyle w:val="BodyText"/>
        <w:widowControl/>
        <w:spacing w:line="360" w:lineRule="auto"/>
        <w:ind w:left="0"/>
        <w:rPr>
          <w:rFonts w:ascii="Century Schoolbook" w:hAnsi="Century Schoolbook"/>
          <w:i/>
          <w:iCs/>
        </w:rPr>
      </w:pPr>
      <w:r w:rsidRPr="00A9088B">
        <w:rPr>
          <w:rFonts w:ascii="Century Schoolbook" w:hAnsi="Century Schoolbook"/>
        </w:rPr>
        <w:tab/>
      </w:r>
      <w:r w:rsidRPr="00A9088B">
        <w:rPr>
          <w:rFonts w:ascii="Century Schoolbook" w:hAnsi="Century Schoolbook"/>
        </w:rPr>
        <w:tab/>
      </w:r>
      <w:r w:rsidRPr="00A9088B" w:rsidR="00CC27FE">
        <w:rPr>
          <w:rFonts w:ascii="Century Schoolbook" w:hAnsi="Century Schoolbook"/>
        </w:rPr>
        <w:t>3</w:t>
      </w:r>
      <w:r w:rsidRPr="00A9088B">
        <w:rPr>
          <w:rFonts w:ascii="Century Schoolbook" w:hAnsi="Century Schoolbook"/>
          <w:i/>
          <w:iCs/>
        </w:rPr>
        <w:t xml:space="preserve">.  </w:t>
      </w:r>
      <w:r w:rsidRPr="00A9088B" w:rsidR="00C141E0">
        <w:rPr>
          <w:rFonts w:ascii="Century Schoolbook" w:hAnsi="Century Schoolbook"/>
          <w:u w:val="single"/>
        </w:rPr>
        <w:t>Public Policy</w:t>
      </w:r>
    </w:p>
    <w:p w:rsidR="00022BFE" w:rsidRPr="00A9088B" w:rsidP="00DD5617" w14:paraId="30FF2909" w14:textId="3D4A55A1">
      <w:pPr>
        <w:tabs>
          <w:tab w:val="clear" w:pos="720"/>
        </w:tabs>
        <w:spacing w:line="360" w:lineRule="auto"/>
      </w:pPr>
      <w:r w:rsidRPr="00A9088B">
        <w:tab/>
        <w:t xml:space="preserve">The point of section 50079 and </w:t>
      </w:r>
      <w:r w:rsidRPr="00A9088B">
        <w:rPr>
          <w:i/>
          <w:iCs/>
        </w:rPr>
        <w:t>Borikas</w:t>
      </w:r>
      <w:r w:rsidRPr="00A9088B">
        <w:t xml:space="preserve"> is that </w:t>
      </w:r>
      <w:r w:rsidRPr="00A9088B" w:rsidR="00A51F0F">
        <w:t xml:space="preserve">school </w:t>
      </w:r>
      <w:r w:rsidRPr="00A9088B">
        <w:t xml:space="preserve">districts cannot </w:t>
      </w:r>
      <w:r w:rsidRPr="00A9088B" w:rsidR="00C141E0">
        <w:t xml:space="preserve">create </w:t>
      </w:r>
      <w:r w:rsidRPr="00A9088B" w:rsidR="00CB215C">
        <w:t xml:space="preserve">classifications of </w:t>
      </w:r>
      <w:r w:rsidRPr="00A9088B" w:rsidR="00C141E0">
        <w:t xml:space="preserve">taxpayers or </w:t>
      </w:r>
      <w:r w:rsidRPr="00A9088B" w:rsidR="00CB215C">
        <w:t xml:space="preserve">types of real </w:t>
      </w:r>
      <w:r w:rsidRPr="00A9088B" w:rsidR="00C141E0">
        <w:t>property</w:t>
      </w:r>
      <w:r w:rsidRPr="00A9088B" w:rsidR="00BB1F8F">
        <w:t xml:space="preserve"> like they used to do</w:t>
      </w:r>
      <w:r w:rsidRPr="00A9088B" w:rsidR="005072DB">
        <w:t xml:space="preserve"> (except as expressly permitted by the statute)</w:t>
      </w:r>
      <w:r w:rsidRPr="00A9088B" w:rsidR="00BB1F8F">
        <w:t xml:space="preserve">, and </w:t>
      </w:r>
      <w:r w:rsidRPr="00A9088B" w:rsidR="00555B0E">
        <w:t xml:space="preserve">then </w:t>
      </w:r>
      <w:r w:rsidRPr="00A9088B">
        <w:t xml:space="preserve">assign different </w:t>
      </w:r>
      <w:r w:rsidRPr="00A9088B" w:rsidR="005072DB">
        <w:t xml:space="preserve">taxes or </w:t>
      </w:r>
      <w:r w:rsidRPr="00A9088B">
        <w:t>tax rates to th</w:t>
      </w:r>
      <w:r w:rsidRPr="00A9088B" w:rsidR="00555B0E">
        <w:t>ose classifications</w:t>
      </w:r>
      <w:r w:rsidRPr="00A9088B" w:rsidR="005072DB">
        <w:t xml:space="preserve">.  </w:t>
      </w:r>
      <w:r w:rsidRPr="00A9088B" w:rsidR="00CB215C">
        <w:t xml:space="preserve">But that </w:t>
      </w:r>
      <w:r w:rsidRPr="00A9088B" w:rsidR="00C74C56">
        <w:t xml:space="preserve">is </w:t>
      </w:r>
      <w:r w:rsidRPr="00A9088B" w:rsidR="00CB215C">
        <w:t xml:space="preserve">not what </w:t>
      </w:r>
      <w:r w:rsidRPr="00A9088B" w:rsidR="00C141E0">
        <w:t>Measure A (2020)</w:t>
      </w:r>
      <w:r w:rsidRPr="00A9088B" w:rsidR="00CB215C">
        <w:t xml:space="preserve"> does.</w:t>
      </w:r>
      <w:r w:rsidRPr="00A9088B" w:rsidR="003638BA">
        <w:t xml:space="preserve">  </w:t>
      </w:r>
      <w:r w:rsidRPr="00A9088B">
        <w:t xml:space="preserve">It </w:t>
      </w:r>
      <w:r w:rsidRPr="00A9088B" w:rsidR="005072DB">
        <w:t xml:space="preserve">does </w:t>
      </w:r>
      <w:r w:rsidRPr="00A9088B">
        <w:t>not, for example, target a particular class of taxpayer or distinguish commercial properties from residential properties.</w:t>
      </w:r>
    </w:p>
    <w:p w:rsidR="008641E9" w:rsidRPr="00A9088B" w:rsidP="00DD5617" w14:paraId="2150CBC7" w14:textId="043283D2">
      <w:pPr>
        <w:tabs>
          <w:tab w:val="clear" w:pos="720"/>
        </w:tabs>
        <w:spacing w:line="360" w:lineRule="auto"/>
      </w:pPr>
      <w:r w:rsidRPr="00A9088B">
        <w:tab/>
      </w:r>
      <w:r w:rsidRPr="00A9088B" w:rsidR="00022BFE">
        <w:t xml:space="preserve">Indeed, </w:t>
      </w:r>
      <w:r w:rsidRPr="00A9088B" w:rsidR="00BB1F8F">
        <w:t xml:space="preserve">Measure A (2020) </w:t>
      </w:r>
      <w:r w:rsidRPr="00A9088B" w:rsidR="005072DB">
        <w:t xml:space="preserve">does </w:t>
      </w:r>
      <w:r w:rsidRPr="00A9088B">
        <w:t xml:space="preserve">not </w:t>
      </w:r>
      <w:r w:rsidRPr="00A9088B" w:rsidR="00022BFE">
        <w:t xml:space="preserve">categorize property at all.  </w:t>
      </w:r>
      <w:r w:rsidRPr="00A9088B">
        <w:t xml:space="preserve">It </w:t>
      </w:r>
      <w:r w:rsidRPr="00A9088B" w:rsidR="005072DB">
        <w:t xml:space="preserve">does </w:t>
      </w:r>
      <w:r w:rsidRPr="00A9088B" w:rsidR="00022BFE">
        <w:t>not</w:t>
      </w:r>
      <w:r w:rsidRPr="00A9088B" w:rsidR="00A46092">
        <w:t>, by its express terms,</w:t>
      </w:r>
      <w:r w:rsidRPr="00A9088B" w:rsidR="00022BFE">
        <w:t xml:space="preserve"> set up </w:t>
      </w:r>
      <w:r w:rsidRPr="00A9088B">
        <w:t>two c</w:t>
      </w:r>
      <w:r w:rsidRPr="00A9088B" w:rsidR="0016765B">
        <w:t>lassifications</w:t>
      </w:r>
      <w:r w:rsidR="00F41780">
        <w:t xml:space="preserve">— </w:t>
      </w:r>
      <w:r w:rsidRPr="00A9088B">
        <w:t xml:space="preserve">one of parcels under </w:t>
      </w:r>
      <w:r w:rsidRPr="00A9088B" w:rsidR="00627899">
        <w:t>30,18</w:t>
      </w:r>
      <w:r w:rsidRPr="00A9088B" w:rsidR="00B555CE">
        <w:t>4</w:t>
      </w:r>
      <w:r w:rsidRPr="00A9088B" w:rsidR="00627899">
        <w:t xml:space="preserve">.91 </w:t>
      </w:r>
      <w:r w:rsidRPr="00A9088B">
        <w:t xml:space="preserve">square feet of improvements and another of parcels over </w:t>
      </w:r>
      <w:r w:rsidRPr="00A9088B" w:rsidR="00627899">
        <w:t>30,18</w:t>
      </w:r>
      <w:r w:rsidRPr="00A9088B" w:rsidR="00B555CE">
        <w:t>4</w:t>
      </w:r>
      <w:r w:rsidRPr="00A9088B" w:rsidR="00627899">
        <w:t xml:space="preserve">.91 </w:t>
      </w:r>
      <w:r w:rsidRPr="00A9088B">
        <w:t>square feet of improvements</w:t>
      </w:r>
      <w:r w:rsidR="00F41780">
        <w:t>—</w:t>
      </w:r>
      <w:r w:rsidRPr="00A9088B" w:rsidR="00627899">
        <w:t xml:space="preserve">and </w:t>
      </w:r>
      <w:r w:rsidRPr="00A9088B">
        <w:t xml:space="preserve">then tax them differently.  </w:t>
      </w:r>
      <w:r w:rsidRPr="00A9088B" w:rsidR="003638BA">
        <w:t xml:space="preserve">Instead, </w:t>
      </w:r>
      <w:r w:rsidRPr="00A9088B" w:rsidR="005072DB">
        <w:t xml:space="preserve">it imposes </w:t>
      </w:r>
      <w:r w:rsidRPr="00A9088B">
        <w:t xml:space="preserve">a square footage tax </w:t>
      </w:r>
      <w:r w:rsidRPr="00A9088B" w:rsidR="008725E6">
        <w:t>at the rate of $0.2</w:t>
      </w:r>
      <w:r w:rsidRPr="00A9088B" w:rsidR="003638BA">
        <w:t>6</w:t>
      </w:r>
      <w:r w:rsidRPr="00A9088B" w:rsidR="008725E6">
        <w:t xml:space="preserve">5 per </w:t>
      </w:r>
      <w:r w:rsidRPr="00A9088B" w:rsidR="003638BA">
        <w:t xml:space="preserve">building </w:t>
      </w:r>
      <w:r w:rsidRPr="00A9088B" w:rsidR="008725E6">
        <w:t xml:space="preserve">square foot </w:t>
      </w:r>
      <w:r w:rsidRPr="00A9088B">
        <w:t xml:space="preserve">on </w:t>
      </w:r>
      <w:r w:rsidRPr="00A9088B">
        <w:rPr>
          <w:i/>
          <w:iCs/>
        </w:rPr>
        <w:t>all</w:t>
      </w:r>
      <w:r w:rsidRPr="00A9088B">
        <w:t xml:space="preserve"> </w:t>
      </w:r>
      <w:r w:rsidRPr="00A9088B" w:rsidR="003638BA">
        <w:t xml:space="preserve">parcels; </w:t>
      </w:r>
      <w:r w:rsidRPr="00A9088B" w:rsidR="00627899">
        <w:t xml:space="preserve">it </w:t>
      </w:r>
      <w:r w:rsidRPr="00A9088B" w:rsidR="00607F23">
        <w:t xml:space="preserve">then essentially </w:t>
      </w:r>
      <w:r w:rsidRPr="00A9088B">
        <w:t>promise</w:t>
      </w:r>
      <w:r w:rsidRPr="00A9088B" w:rsidR="005072DB">
        <w:t>s</w:t>
      </w:r>
      <w:r w:rsidRPr="00A9088B">
        <w:t xml:space="preserve"> voters it </w:t>
      </w:r>
      <w:r w:rsidRPr="00A9088B" w:rsidR="005072DB">
        <w:t xml:space="preserve">will </w:t>
      </w:r>
      <w:r w:rsidRPr="00A9088B">
        <w:t>not collect more than $7</w:t>
      </w:r>
      <w:r w:rsidRPr="00A9088B" w:rsidR="00627899">
        <w:t>,</w:t>
      </w:r>
      <w:r w:rsidRPr="00A9088B">
        <w:t xml:space="preserve">999 on any one </w:t>
      </w:r>
      <w:r w:rsidRPr="00A9088B" w:rsidR="00627899">
        <w:t>parcel</w:t>
      </w:r>
      <w:r w:rsidRPr="00A9088B">
        <w:t>, no matter who own</w:t>
      </w:r>
      <w:r w:rsidRPr="00A9088B" w:rsidR="005072DB">
        <w:t>s</w:t>
      </w:r>
      <w:r w:rsidRPr="00A9088B">
        <w:t xml:space="preserve"> it, and no matter what the property’s type or use.</w:t>
      </w:r>
    </w:p>
    <w:p w:rsidR="006820B1" w:rsidRPr="00A9088B" w:rsidP="00CB215C" w14:paraId="71F116C2" w14:textId="732AF269">
      <w:pPr>
        <w:tabs>
          <w:tab w:val="clear" w:pos="720"/>
        </w:tabs>
        <w:spacing w:line="360" w:lineRule="auto"/>
      </w:pPr>
      <w:r w:rsidRPr="00A9088B">
        <w:tab/>
      </w:r>
      <w:r w:rsidRPr="00A9088B" w:rsidR="00674F94">
        <w:t xml:space="preserve">The difference between </w:t>
      </w:r>
      <w:r w:rsidRPr="00A9088B" w:rsidR="00B555CE">
        <w:t xml:space="preserve">(1) </w:t>
      </w:r>
      <w:r w:rsidRPr="00A9088B" w:rsidR="00674F94">
        <w:t xml:space="preserve">explicitly classifying properties and taxing them separately, and </w:t>
      </w:r>
      <w:r w:rsidRPr="00A9088B" w:rsidR="00B555CE">
        <w:t xml:space="preserve">(2) </w:t>
      </w:r>
      <w:r w:rsidRPr="00A9088B" w:rsidR="00674F94">
        <w:t xml:space="preserve">having a tax formula that ends up taxing properties at different rates, is significant. </w:t>
      </w:r>
      <w:r w:rsidRPr="00A9088B" w:rsidR="00A46092">
        <w:t xml:space="preserve"> </w:t>
      </w:r>
      <w:r w:rsidRPr="00A9088B">
        <w:t xml:space="preserve">The first </w:t>
      </w:r>
      <w:r w:rsidRPr="00A9088B">
        <w:rPr>
          <w:i/>
          <w:iCs/>
        </w:rPr>
        <w:t>applies</w:t>
      </w:r>
      <w:r w:rsidRPr="00A9088B">
        <w:t xml:space="preserve"> a non-uniform tax, which the statute prohibits; the latter yields a non-uniform effective rate, which the cases have embraced.</w:t>
      </w:r>
    </w:p>
    <w:p w:rsidR="00CB215C" w:rsidRPr="00A9088B" w:rsidP="00CB215C" w14:paraId="4495535E" w14:textId="5A3CFECA">
      <w:pPr>
        <w:tabs>
          <w:tab w:val="clear" w:pos="720"/>
        </w:tabs>
        <w:spacing w:line="360" w:lineRule="auto"/>
      </w:pPr>
      <w:r w:rsidRPr="00A9088B">
        <w:tab/>
      </w:r>
      <w:r w:rsidRPr="00A9088B" w:rsidR="006820B1">
        <w:t xml:space="preserve">Furthermore, </w:t>
      </w:r>
      <w:r w:rsidRPr="00A9088B" w:rsidR="00022BFE">
        <w:t>Traiman</w:t>
      </w:r>
      <w:r w:rsidRPr="00A9088B" w:rsidR="009043EB">
        <w:t>’s effort to</w:t>
      </w:r>
      <w:r w:rsidRPr="00A9088B" w:rsidR="00022BFE">
        <w:t xml:space="preserve"> deconstruct </w:t>
      </w:r>
      <w:r w:rsidRPr="00A9088B" w:rsidR="00555B0E">
        <w:t xml:space="preserve">the Measure A (2020) tax formula </w:t>
      </w:r>
      <w:r w:rsidRPr="00A9088B" w:rsidR="00BB1F8F">
        <w:t xml:space="preserve">to </w:t>
      </w:r>
      <w:r w:rsidRPr="00A9088B" w:rsidR="00022BFE">
        <w:t xml:space="preserve">make it look like it </w:t>
      </w:r>
      <w:r w:rsidRPr="00A9088B" w:rsidR="00B555CE">
        <w:t xml:space="preserve">classifies </w:t>
      </w:r>
      <w:r w:rsidRPr="00A9088B" w:rsidR="00022BFE">
        <w:t>properties based on size</w:t>
      </w:r>
      <w:r w:rsidRPr="00A9088B" w:rsidR="009043EB">
        <w:t xml:space="preserve"> is unpersuasive</w:t>
      </w:r>
      <w:r w:rsidRPr="00A9088B">
        <w:t xml:space="preserve"> for another reason:  any tax can be made to appear to </w:t>
      </w:r>
      <w:r w:rsidRPr="00A9088B" w:rsidR="00022BFE">
        <w:t>c</w:t>
      </w:r>
      <w:r w:rsidRPr="00A9088B">
        <w:t xml:space="preserve">reate classifications </w:t>
      </w:r>
      <w:r w:rsidRPr="00A9088B" w:rsidR="00BB1F8F">
        <w:t xml:space="preserve">and tax them differently.  </w:t>
      </w:r>
      <w:r w:rsidRPr="00A9088B">
        <w:t xml:space="preserve">The square footage tax approved in </w:t>
      </w:r>
      <w:r w:rsidRPr="00A9088B">
        <w:rPr>
          <w:i/>
        </w:rPr>
        <w:t>Dondlinger</w:t>
      </w:r>
      <w:r w:rsidRPr="00A9088B">
        <w:rPr>
          <w:iCs/>
        </w:rPr>
        <w:t>, for example, was presented as “1.</w:t>
      </w:r>
      <w:r w:rsidRPr="00A9088B">
        <w:t>5 cents per square foot of structural improvements</w:t>
      </w:r>
      <w:r w:rsidRPr="00A9088B" w:rsidR="00A46092">
        <w:t>,</w:t>
      </w:r>
      <w:r w:rsidRPr="00A9088B">
        <w:t xml:space="preserve">” </w:t>
      </w:r>
      <w:r w:rsidR="00425C8A">
        <w:t>e</w:t>
      </w:r>
      <w:r w:rsidRPr="00A9088B" w:rsidR="00A46092">
        <w:t xml:space="preserve">xcluding improvements used for parking. </w:t>
      </w:r>
      <w:r w:rsidRPr="00A9088B">
        <w:t xml:space="preserve"> But it could be viewed as creating classifications for each size of parcel:  a tax of 1.5 cents on parcels with 1 foot of structural improvement, 3 cents on parcels with 2 feet of structural improvement, 4.5 cents on parcels with 3 feet of structural improvement, and so on.  </w:t>
      </w:r>
      <w:r w:rsidRPr="00A9088B" w:rsidR="00A46092">
        <w:t xml:space="preserve">It could also be viewed as creating classifications based on whether a property contained a structural improvement for parking.  </w:t>
      </w:r>
      <w:r w:rsidRPr="00A9088B">
        <w:t xml:space="preserve">The flat tax embraced in </w:t>
      </w:r>
      <w:r w:rsidRPr="00A9088B">
        <w:rPr>
          <w:i/>
          <w:iCs/>
        </w:rPr>
        <w:t>Borikas</w:t>
      </w:r>
      <w:r w:rsidRPr="00A9088B">
        <w:t xml:space="preserve"> was $</w:t>
      </w:r>
      <w:r w:rsidRPr="00A9088B" w:rsidR="008641E9">
        <w:t>12</w:t>
      </w:r>
      <w:r w:rsidRPr="00A9088B" w:rsidR="001349F9">
        <w:t>0</w:t>
      </w:r>
      <w:r w:rsidRPr="00A9088B" w:rsidR="008641E9">
        <w:t xml:space="preserve"> </w:t>
      </w:r>
      <w:r w:rsidRPr="00A9088B">
        <w:t xml:space="preserve">per parcel.  But it could be viewed as creating classifications for each size of parcel:  a tax of </w:t>
      </w:r>
      <w:r w:rsidRPr="00A9088B" w:rsidR="008641E9">
        <w:t>0.12</w:t>
      </w:r>
      <w:r w:rsidRPr="00A9088B" w:rsidR="001349F9">
        <w:t>0</w:t>
      </w:r>
      <w:r w:rsidRPr="00A9088B" w:rsidR="008641E9">
        <w:t xml:space="preserve"> </w:t>
      </w:r>
      <w:r w:rsidRPr="00A9088B">
        <w:t xml:space="preserve">cents per square foot for parcels of 1,000 square feet, a tax of </w:t>
      </w:r>
      <w:r w:rsidRPr="00A9088B" w:rsidR="008641E9">
        <w:t>0.04</w:t>
      </w:r>
      <w:r w:rsidRPr="00A9088B" w:rsidR="001349F9">
        <w:t>0</w:t>
      </w:r>
      <w:r w:rsidRPr="00A9088B" w:rsidR="008641E9">
        <w:t xml:space="preserve"> </w:t>
      </w:r>
      <w:r w:rsidRPr="00A9088B">
        <w:t xml:space="preserve">cents per square foot for parcels of 3,000 square feet, and the like.  </w:t>
      </w:r>
      <w:r w:rsidRPr="00A9088B" w:rsidR="00555B0E">
        <w:t xml:space="preserve">Without flat taxes, square footage taxes, taxes with caps, </w:t>
      </w:r>
      <w:r w:rsidRPr="00A9088B" w:rsidR="00152643">
        <w:t xml:space="preserve">regressive taxes, or progressive taxes, </w:t>
      </w:r>
      <w:r w:rsidRPr="00A9088B" w:rsidR="00555B0E">
        <w:t xml:space="preserve">it is unclear how a </w:t>
      </w:r>
      <w:r w:rsidR="002274FF">
        <w:t xml:space="preserve">school </w:t>
      </w:r>
      <w:r w:rsidRPr="00A9088B" w:rsidR="00555B0E">
        <w:t>district could impose taxes for its schools at all</w:t>
      </w:r>
      <w:r w:rsidRPr="00A9088B" w:rsidR="001349F9">
        <w:t>, even though the very purpose of section 50079 was to empower districts to do so</w:t>
      </w:r>
      <w:r w:rsidRPr="00A9088B" w:rsidR="00555B0E">
        <w:t>.</w:t>
      </w:r>
    </w:p>
    <w:p w:rsidR="001349F9" w:rsidRPr="00A9088B" w:rsidP="00035977" w14:paraId="2D0CA94E" w14:textId="57B59E09">
      <w:pPr>
        <w:spacing w:line="360" w:lineRule="auto"/>
      </w:pPr>
      <w:r w:rsidRPr="00A9088B">
        <w:tab/>
        <w:t xml:space="preserve">It also must be remembered that voters </w:t>
      </w:r>
      <w:r w:rsidRPr="00A9088B" w:rsidR="00B17FBD">
        <w:t xml:space="preserve">approved Measure A (2020) by a super-majority two-thirds vote to support their schools, teachers, and staff, with the understanding that no one, no matter how big their buildings or how they put those buildings to use, </w:t>
      </w:r>
      <w:r w:rsidR="00425C8A">
        <w:t xml:space="preserve">would </w:t>
      </w:r>
      <w:r w:rsidRPr="00A9088B" w:rsidR="00B17FBD">
        <w:t xml:space="preserve">have to pay more than $7,999 in tax.  Since the Legislature and the courts have both recognized that differences in the effective tax rate may be tolerated, we fail to see how Measure A (2020) unlawfully discriminates against anyone.  Moreover, there is </w:t>
      </w:r>
      <w:r w:rsidRPr="00A9088B" w:rsidR="00035977">
        <w:t>no indication</w:t>
      </w:r>
      <w:r w:rsidRPr="00A9088B" w:rsidR="00B17FBD">
        <w:t xml:space="preserve"> that this is </w:t>
      </w:r>
      <w:r w:rsidRPr="00A9088B">
        <w:t xml:space="preserve">anything the Legislature did not want </w:t>
      </w:r>
      <w:r w:rsidR="000D3140">
        <w:t>school d</w:t>
      </w:r>
      <w:r w:rsidRPr="00A9088B" w:rsidR="000D3140">
        <w:t xml:space="preserve">istricts </w:t>
      </w:r>
      <w:r w:rsidRPr="00A9088B">
        <w:t>to do.</w:t>
      </w:r>
    </w:p>
    <w:p w:rsidR="00BF28BD" w:rsidRPr="00A9088B" w:rsidP="00BF28BD" w14:paraId="0776BD0D" w14:textId="5D6D145A">
      <w:pPr>
        <w:tabs>
          <w:tab w:val="clear" w:pos="720"/>
        </w:tabs>
        <w:spacing w:line="360" w:lineRule="auto"/>
      </w:pPr>
      <w:r w:rsidRPr="00A9088B">
        <w:tab/>
        <w:t>In fact, a strong clue to the meaning of “apply uniformly” in section 50079, subdivision (b)(1), lies in the statute’s subdivision (b)(2), which reads:  “</w:t>
      </w:r>
      <w:r w:rsidRPr="00A9088B" w:rsidR="00115CD6">
        <w:t xml:space="preserve"> ‘</w:t>
      </w:r>
      <w:r w:rsidRPr="00A9088B">
        <w:t>Qualified special taxes</w:t>
      </w:r>
      <w:r w:rsidRPr="00A9088B" w:rsidR="00115CD6">
        <w:t>’</w:t>
      </w:r>
      <w:r w:rsidRPr="00A9088B">
        <w:t xml:space="preserve"> do not include special taxes imposed on a particular class of property or taxpayers.”  It is clear from subdivision (b)(2) that the Legislature was concerned about explicit categories that Districts might set up in a tax measure, including wholesale exemptions of specific types of taxpayers or properties.  There would be no reason to include subdivision (b)(2), however, if the uniform application principle in subdivision (b)(1) prohibited all classification of taxpayers or real property, facial or de facto, as Traiman and the trial court concluded.  To the contrary, the inclusion of subdivision (b)(2) reflects a legislative understanding that the uniform application required by subdivision (b)(1)</w:t>
      </w:r>
      <w:r w:rsidRPr="00A9088B" w:rsidR="00115CD6">
        <w:t>—</w:t>
      </w:r>
      <w:r w:rsidRPr="00A9088B">
        <w:t>imposing the same tax formula on all</w:t>
      </w:r>
      <w:r w:rsidRPr="00A9088B" w:rsidR="00115CD6">
        <w:t>—</w:t>
      </w:r>
      <w:r w:rsidRPr="00A9088B">
        <w:t xml:space="preserve">might inevitably result in some disparities in tax rate among de facto classifications (e.g., due to property size, as here), but only the use of explicit facial classifications would fall outside the authority granted to districts by the statute.  For this reason, the explicit categories </w:t>
      </w:r>
      <w:r w:rsidRPr="00A9088B" w:rsidR="00A46092">
        <w:t xml:space="preserve">created by </w:t>
      </w:r>
      <w:r w:rsidRPr="00A9088B">
        <w:t>Measure H were properly stricken in</w:t>
      </w:r>
      <w:r w:rsidRPr="00A9088B">
        <w:rPr>
          <w:i/>
          <w:iCs/>
        </w:rPr>
        <w:t xml:space="preserve"> Borikas</w:t>
      </w:r>
      <w:r w:rsidRPr="00A9088B">
        <w:t>, but there is no basis for striking the uniformly applied tax formula here.</w:t>
      </w:r>
    </w:p>
    <w:p w:rsidR="00BF28BD" w:rsidRPr="00A9088B" w:rsidP="00BF28BD" w14:paraId="61F65780" w14:textId="77777777">
      <w:pPr>
        <w:tabs>
          <w:tab w:val="clear" w:pos="720"/>
        </w:tabs>
        <w:spacing w:line="240" w:lineRule="auto"/>
      </w:pPr>
    </w:p>
    <w:p w:rsidR="008641E9" w:rsidRPr="00A9088B" w:rsidP="00035977" w14:paraId="207717AE" w14:textId="79A882B9">
      <w:pPr>
        <w:tabs>
          <w:tab w:val="clear" w:pos="720"/>
        </w:tabs>
        <w:spacing w:line="360" w:lineRule="auto"/>
      </w:pPr>
      <w:r w:rsidRPr="00A9088B">
        <w:tab/>
      </w:r>
      <w:r w:rsidRPr="00A9088B" w:rsidR="006820B1">
        <w:t xml:space="preserve">We </w:t>
      </w:r>
      <w:r w:rsidRPr="00A9088B" w:rsidR="00A46092">
        <w:t xml:space="preserve">therefore </w:t>
      </w:r>
      <w:r w:rsidRPr="00A9088B" w:rsidR="006820B1">
        <w:t xml:space="preserve">hold that, under the circumstances </w:t>
      </w:r>
      <w:r w:rsidRPr="00A9088B" w:rsidR="00152643">
        <w:t xml:space="preserve">of this case, </w:t>
      </w:r>
      <w:r w:rsidRPr="00A9088B" w:rsidR="006820B1">
        <w:t xml:space="preserve">a </w:t>
      </w:r>
      <w:r w:rsidRPr="00A9088B">
        <w:t xml:space="preserve">cap on maximum tax liability does not create classifications and differential taxation </w:t>
      </w:r>
      <w:r w:rsidRPr="00A9088B" w:rsidR="00A46092">
        <w:t>that violate</w:t>
      </w:r>
      <w:r w:rsidRPr="00A9088B">
        <w:t xml:space="preserve"> section 50079, subdivision (b).  </w:t>
      </w:r>
      <w:r w:rsidRPr="00A9088B" w:rsidR="00035977">
        <w:t xml:space="preserve">It does not transform a permissible square footage tax into a tax that is not uniformly applied for purposes of the statute.  </w:t>
      </w:r>
      <w:r w:rsidRPr="00A9088B" w:rsidR="00423B2A">
        <w:t xml:space="preserve">In light of the </w:t>
      </w:r>
      <w:r w:rsidRPr="00A9088B" w:rsidR="00035977">
        <w:t xml:space="preserve">statute’s </w:t>
      </w:r>
      <w:r w:rsidRPr="00A9088B" w:rsidR="00423B2A">
        <w:t xml:space="preserve">plain language and consistent with case law, legislative history, and </w:t>
      </w:r>
      <w:r w:rsidRPr="00A9088B" w:rsidR="00C141E0">
        <w:t xml:space="preserve">public policy, </w:t>
      </w:r>
      <w:r w:rsidRPr="00A9088B">
        <w:t xml:space="preserve">the tax imposed by </w:t>
      </w:r>
      <w:r w:rsidRPr="00A9088B" w:rsidR="008059A8">
        <w:t>Measure A</w:t>
      </w:r>
      <w:r w:rsidRPr="00A9088B">
        <w:t xml:space="preserve"> (2020)</w:t>
      </w:r>
      <w:r w:rsidRPr="00A9088B" w:rsidR="008059A8">
        <w:t xml:space="preserve"> </w:t>
      </w:r>
      <w:r w:rsidRPr="00A9088B">
        <w:t xml:space="preserve">is a qualified special tax, which applies uniformly to all taxpayers or real property and does not discriminate against a class of taxpayer or property.  </w:t>
      </w:r>
      <w:r w:rsidRPr="00A9088B" w:rsidR="00A46092">
        <w:t xml:space="preserve">Accordingly, the </w:t>
      </w:r>
      <w:r w:rsidRPr="00A9088B" w:rsidR="006820B1">
        <w:t xml:space="preserve">trial court erred </w:t>
      </w:r>
      <w:r w:rsidRPr="00A9088B">
        <w:t xml:space="preserve">in ruling </w:t>
      </w:r>
      <w:r w:rsidRPr="00A9088B" w:rsidR="00AA5D2C">
        <w:t xml:space="preserve">Measure A </w:t>
      </w:r>
      <w:r w:rsidRPr="00A9088B">
        <w:t>(2020) invalid</w:t>
      </w:r>
      <w:r w:rsidRPr="00A9088B" w:rsidR="00152643">
        <w:t>.</w:t>
      </w:r>
      <w:r>
        <w:rPr>
          <w:rStyle w:val="FootnoteReference"/>
        </w:rPr>
        <w:footnoteReference w:id="10"/>
      </w:r>
    </w:p>
    <w:p w:rsidR="00315F87" w:rsidRPr="00A9088B" w:rsidP="00315F87" w14:paraId="79BBA67D" w14:textId="77777777">
      <w:pPr>
        <w:pStyle w:val="BodyText"/>
        <w:widowControl/>
        <w:spacing w:line="360" w:lineRule="auto"/>
        <w:ind w:left="0"/>
        <w:jc w:val="center"/>
        <w:rPr>
          <w:rFonts w:ascii="Century Schoolbook" w:hAnsi="Century Schoolbook"/>
        </w:rPr>
      </w:pPr>
      <w:r w:rsidRPr="00A9088B">
        <w:rPr>
          <w:rFonts w:ascii="Century Schoolbook" w:hAnsi="Century Schoolbook"/>
        </w:rPr>
        <w:t xml:space="preserve">III.  </w:t>
      </w:r>
      <w:r w:rsidRPr="00A9088B">
        <w:rPr>
          <w:rFonts w:ascii="Century Schoolbook" w:hAnsi="Century Schoolbook"/>
          <w:u w:val="single"/>
        </w:rPr>
        <w:t>DISPOSITION</w:t>
      </w:r>
    </w:p>
    <w:p w:rsidR="00315F87" w:rsidP="00315F87" w14:paraId="6C2C3D17" w14:textId="7299C0B8">
      <w:pPr>
        <w:pStyle w:val="BodyText"/>
        <w:widowControl/>
        <w:spacing w:line="360" w:lineRule="auto"/>
        <w:ind w:left="0"/>
        <w:rPr>
          <w:rFonts w:ascii="Century Schoolbook" w:hAnsi="Century Schoolbook"/>
        </w:rPr>
      </w:pPr>
      <w:r w:rsidRPr="00A9088B">
        <w:rPr>
          <w:rFonts w:ascii="Century Schoolbook" w:hAnsi="Century Schoolbook"/>
        </w:rPr>
        <w:tab/>
        <w:t>The judgment is reversed.</w:t>
      </w:r>
    </w:p>
    <w:p w:rsidR="00964AF1" w:rsidP="00964AF1" w14:paraId="0DED5D87" w14:textId="613870B0">
      <w:pPr>
        <w:spacing w:line="360" w:lineRule="auto"/>
      </w:pPr>
    </w:p>
    <w:p w:rsidR="00964AF1" w:rsidP="00964AF1" w14:paraId="4D47FDA2" w14:textId="5DDA06B1">
      <w:pPr>
        <w:spacing w:line="360" w:lineRule="auto"/>
      </w:pPr>
    </w:p>
    <w:p w:rsidR="00964AF1" w:rsidP="00964AF1" w14:paraId="103FA226" w14:textId="743C4A38">
      <w:pPr>
        <w:spacing w:line="360" w:lineRule="auto"/>
      </w:pPr>
    </w:p>
    <w:p w:rsidR="00964AF1" w:rsidP="00964AF1" w14:paraId="47F82BF2" w14:textId="16BAC872">
      <w:pPr>
        <w:spacing w:line="360" w:lineRule="auto"/>
      </w:pPr>
    </w:p>
    <w:p w:rsidR="00964AF1" w:rsidP="00964AF1" w14:paraId="16A8759D" w14:textId="57B4C45A">
      <w:pPr>
        <w:spacing w:line="360" w:lineRule="auto"/>
      </w:pPr>
    </w:p>
    <w:p w:rsidR="00964AF1" w:rsidP="00964AF1" w14:paraId="4CDD9300" w14:textId="6B5D4CD3">
      <w:pPr>
        <w:spacing w:line="360" w:lineRule="auto"/>
      </w:pPr>
    </w:p>
    <w:p w:rsidR="00964AF1" w:rsidP="00964AF1" w14:paraId="75593515" w14:textId="7A565F56">
      <w:pPr>
        <w:spacing w:line="360" w:lineRule="auto"/>
      </w:pPr>
    </w:p>
    <w:p w:rsidR="00964AF1" w:rsidP="00964AF1" w14:paraId="0C366F0A" w14:textId="1F4E806B">
      <w:pPr>
        <w:spacing w:line="360" w:lineRule="auto"/>
      </w:pPr>
    </w:p>
    <w:p w:rsidR="00964AF1" w:rsidP="00964AF1" w14:paraId="21A13BAD" w14:textId="417B152B">
      <w:pPr>
        <w:spacing w:line="360" w:lineRule="auto"/>
      </w:pPr>
    </w:p>
    <w:p w:rsidR="00964AF1" w:rsidP="00964AF1" w14:paraId="29E7EABD" w14:textId="77777777">
      <w:pPr>
        <w:spacing w:line="360" w:lineRule="auto"/>
      </w:pPr>
    </w:p>
    <w:p w:rsidR="00964AF1" w:rsidP="00964AF1" w14:paraId="6629B93D" w14:textId="77777777">
      <w:pPr>
        <w:spacing w:line="360" w:lineRule="auto"/>
      </w:pPr>
    </w:p>
    <w:p w:rsidR="00964AF1" w:rsidP="00964AF1" w14:paraId="69B45803" w14:textId="77777777">
      <w:pPr>
        <w:spacing w:line="360" w:lineRule="auto"/>
      </w:pPr>
      <w:r>
        <w:tab/>
      </w:r>
      <w:r>
        <w:tab/>
      </w:r>
      <w:r>
        <w:tab/>
      </w:r>
      <w:r>
        <w:tab/>
      </w:r>
      <w:r>
        <w:tab/>
      </w:r>
      <w:r>
        <w:tab/>
      </w:r>
      <w:r>
        <w:tab/>
        <w:t>_________________________</w:t>
      </w:r>
    </w:p>
    <w:p w:rsidR="00964AF1" w:rsidP="00964AF1" w14:paraId="46A158C9" w14:textId="77777777">
      <w:r>
        <w:tab/>
      </w:r>
      <w:r>
        <w:tab/>
      </w:r>
      <w:r>
        <w:tab/>
      </w:r>
      <w:r>
        <w:tab/>
      </w:r>
      <w:r>
        <w:tab/>
      </w:r>
      <w:r>
        <w:tab/>
      </w:r>
      <w:r>
        <w:tab/>
        <w:t xml:space="preserve">Chou, J. </w:t>
      </w:r>
    </w:p>
    <w:p w:rsidR="00964AF1" w:rsidP="00964AF1" w14:paraId="36D7EDDD" w14:textId="77777777">
      <w:pPr>
        <w:spacing w:line="360" w:lineRule="auto"/>
      </w:pPr>
    </w:p>
    <w:p w:rsidR="00964AF1" w:rsidP="00964AF1" w14:paraId="14CCFEC5" w14:textId="77777777">
      <w:pPr>
        <w:spacing w:line="360" w:lineRule="auto"/>
      </w:pPr>
    </w:p>
    <w:p w:rsidR="00964AF1" w:rsidP="00964AF1" w14:paraId="175689FC" w14:textId="77777777">
      <w:pPr>
        <w:spacing w:line="360" w:lineRule="auto"/>
      </w:pPr>
      <w:r>
        <w:t>We concur:</w:t>
      </w:r>
    </w:p>
    <w:p w:rsidR="00964AF1" w:rsidP="00964AF1" w14:paraId="6DF847C9" w14:textId="77777777">
      <w:pPr>
        <w:spacing w:line="240" w:lineRule="auto"/>
      </w:pPr>
    </w:p>
    <w:p w:rsidR="00964AF1" w:rsidP="00964AF1" w14:paraId="68E6CF8C" w14:textId="77777777">
      <w:pPr>
        <w:spacing w:line="240" w:lineRule="auto"/>
      </w:pPr>
    </w:p>
    <w:p w:rsidR="00964AF1" w:rsidP="00964AF1" w14:paraId="79B50C7E" w14:textId="77777777">
      <w:pPr>
        <w:spacing w:line="240" w:lineRule="auto"/>
      </w:pPr>
    </w:p>
    <w:p w:rsidR="00964AF1" w:rsidP="00964AF1" w14:paraId="31AD276C" w14:textId="77777777">
      <w:pPr>
        <w:spacing w:line="240" w:lineRule="auto"/>
      </w:pPr>
    </w:p>
    <w:p w:rsidR="00964AF1" w:rsidP="00964AF1" w14:paraId="5ACE3891" w14:textId="77777777">
      <w:pPr>
        <w:spacing w:line="240" w:lineRule="auto"/>
      </w:pPr>
      <w:r>
        <w:t>_________________________</w:t>
      </w:r>
    </w:p>
    <w:p w:rsidR="00964AF1" w:rsidP="00964AF1" w14:paraId="345D06D1" w14:textId="6B011E53">
      <w:pPr>
        <w:spacing w:line="240" w:lineRule="auto"/>
      </w:pPr>
      <w:r>
        <w:t>Jackson, P.J.</w:t>
      </w:r>
    </w:p>
    <w:p w:rsidR="00964AF1" w:rsidP="00964AF1" w14:paraId="6FDB483B" w14:textId="77777777">
      <w:pPr>
        <w:spacing w:line="240" w:lineRule="auto"/>
      </w:pPr>
    </w:p>
    <w:p w:rsidR="00964AF1" w:rsidP="00964AF1" w14:paraId="4A6EE423" w14:textId="77777777">
      <w:pPr>
        <w:spacing w:line="240" w:lineRule="auto"/>
      </w:pPr>
    </w:p>
    <w:p w:rsidR="00964AF1" w:rsidP="00964AF1" w14:paraId="1B32F15A" w14:textId="77777777">
      <w:pPr>
        <w:spacing w:line="240" w:lineRule="auto"/>
      </w:pPr>
    </w:p>
    <w:p w:rsidR="00964AF1" w:rsidP="00964AF1" w14:paraId="0C61CCFC" w14:textId="77777777">
      <w:pPr>
        <w:spacing w:line="240" w:lineRule="auto"/>
      </w:pPr>
    </w:p>
    <w:p w:rsidR="00964AF1" w:rsidP="00964AF1" w14:paraId="1F01975F" w14:textId="77777777">
      <w:pPr>
        <w:spacing w:line="240" w:lineRule="auto"/>
      </w:pPr>
      <w:r>
        <w:t>_________________________</w:t>
      </w:r>
    </w:p>
    <w:p w:rsidR="00964AF1" w:rsidP="00964AF1" w14:paraId="1B18D75A" w14:textId="77777777">
      <w:pPr>
        <w:spacing w:line="240" w:lineRule="auto"/>
      </w:pPr>
      <w:r>
        <w:t>Burns, J.</w:t>
      </w:r>
    </w:p>
    <w:p w:rsidR="00964AF1" w:rsidP="00964AF1" w14:paraId="230A683F" w14:textId="77777777"/>
    <w:p w:rsidR="00964AF1" w:rsidP="00964AF1" w14:paraId="614DF67A" w14:textId="77777777"/>
    <w:p w:rsidR="00964AF1" w:rsidP="00964AF1" w14:paraId="06F58C00" w14:textId="77777777"/>
    <w:p w:rsidR="00964AF1" w:rsidP="00964AF1" w14:paraId="1508A223" w14:textId="77777777"/>
    <w:p w:rsidR="00964AF1" w:rsidP="00964AF1" w14:paraId="0740CCCB" w14:textId="77777777"/>
    <w:p w:rsidR="00964AF1" w:rsidP="00964AF1" w14:paraId="5BFD4470" w14:textId="77777777"/>
    <w:p w:rsidR="00964AF1" w:rsidP="00964AF1" w14:paraId="1E375B79" w14:textId="24F54C51"/>
    <w:p w:rsidR="003C780F" w:rsidP="00964AF1" w14:paraId="717D8422" w14:textId="7742FBD8"/>
    <w:p w:rsidR="003C780F" w:rsidP="00964AF1" w14:paraId="5FC47219" w14:textId="77777777"/>
    <w:p w:rsidR="00964AF1" w:rsidP="00964AF1" w14:paraId="4CBD022E" w14:textId="77777777"/>
    <w:p w:rsidR="008A07FB" w:rsidP="00964AF1" w14:paraId="78998B74" w14:textId="77777777"/>
    <w:p w:rsidR="00964AF1" w:rsidP="00964AF1" w14:paraId="5904B5A0" w14:textId="5C406B7A">
      <w:r>
        <w:t>A164935</w:t>
      </w:r>
      <w:r w:rsidR="00475D68">
        <w:t>,</w:t>
      </w:r>
      <w:r w:rsidR="0057750C">
        <w:t xml:space="preserve"> A166022</w:t>
      </w:r>
      <w:r>
        <w:t xml:space="preserve"> / Traiman v. Alameda Unified School District</w:t>
      </w:r>
    </w:p>
    <w:p w:rsidR="00964AF1" w:rsidP="00964AF1" w14:paraId="24B88FDF" w14:textId="77777777"/>
    <w:p w:rsidR="00964AF1" w:rsidP="00964AF1" w14:paraId="57742232" w14:textId="2E4CC07E">
      <w:r>
        <w:t>Trial Court:</w:t>
      </w:r>
      <w:r>
        <w:tab/>
      </w:r>
      <w:r w:rsidR="00016C2A">
        <w:t xml:space="preserve">  </w:t>
      </w:r>
      <w:r>
        <w:t>Superior Court of Alameda County</w:t>
      </w:r>
    </w:p>
    <w:p w:rsidR="00964AF1" w:rsidP="00964AF1" w14:paraId="1D50BD3F" w14:textId="77777777"/>
    <w:p w:rsidR="00964AF1" w:rsidP="00964AF1" w14:paraId="3D78CEA3" w14:textId="77777777">
      <w:r>
        <w:t>Trial Judge:</w:t>
      </w:r>
      <w:r>
        <w:tab/>
        <w:t>Julia Spain</w:t>
      </w:r>
    </w:p>
    <w:p w:rsidR="00964AF1" w:rsidP="00964AF1" w14:paraId="5E9C1842" w14:textId="77777777"/>
    <w:p w:rsidR="00964AF1" w:rsidP="00964AF1" w14:paraId="255B7C09" w14:textId="7E1FE140">
      <w:r>
        <w:t>Counsel:</w:t>
      </w:r>
      <w:r>
        <w:tab/>
        <w:t>Dannis Woliver Kelley; Sue Ann Salmon Evans</w:t>
      </w:r>
      <w:r w:rsidR="00962375">
        <w:t xml:space="preserve">, Luke L. Punnakanta, </w:t>
      </w:r>
      <w:r>
        <w:t>and William Benjamin Tunick, for Defendant and Appellant.</w:t>
      </w:r>
    </w:p>
    <w:p w:rsidR="00962375" w:rsidP="00964AF1" w14:paraId="06FAEF7A" w14:textId="7E672CB4"/>
    <w:p w:rsidR="00962375" w:rsidP="00964AF1" w14:paraId="572ADE5D" w14:textId="38B826B6">
      <w:r>
        <w:t>Lozano Smith; Sloan R. Simmons, Daniel Michael Maruccia, Constantine C. Baranoff, California School Boards Association Education Legal Alliance; Keith Jonathan Bray, Kristin Dianne Lindgren, and Dana Lee Sever Scott, Counsel for amicus curiae on behalf of Defendant and Appellant.</w:t>
      </w:r>
    </w:p>
    <w:p w:rsidR="00964AF1" w:rsidP="00964AF1" w14:paraId="41B239DD" w14:textId="77777777"/>
    <w:p w:rsidR="00964AF1" w:rsidP="00964AF1" w14:paraId="6D62AFE5" w14:textId="6F8D67B4">
      <w:r>
        <w:t>Brillant Law Firm</w:t>
      </w:r>
      <w:r w:rsidR="00962375">
        <w:t>;</w:t>
      </w:r>
      <w:r>
        <w:t xml:space="preserve"> David Joseph Brillant and Cameren Neill Ripoli</w:t>
      </w:r>
      <w:r w:rsidR="00962375">
        <w:t>,</w:t>
      </w:r>
      <w:r>
        <w:t xml:space="preserve"> for Plaintiff and Respondent.</w:t>
      </w:r>
    </w:p>
    <w:p w:rsidR="00964AF1" w:rsidP="00964AF1" w14:paraId="7E02D182" w14:textId="77777777"/>
    <w:p w:rsidR="00964AF1" w:rsidP="00964AF1" w14:paraId="4D2C6907" w14:textId="77777777">
      <w:pPr>
        <w:spacing w:line="240" w:lineRule="auto"/>
      </w:pPr>
    </w:p>
    <w:p w:rsidR="00964AF1" w:rsidRPr="00A9088B" w:rsidP="00315F87" w14:paraId="0F833D2C" w14:textId="77777777">
      <w:pPr>
        <w:pStyle w:val="BodyText"/>
        <w:widowControl/>
        <w:spacing w:line="360" w:lineRule="auto"/>
        <w:ind w:left="0"/>
        <w:rPr>
          <w:rFonts w:ascii="Century Schoolbook" w:hAnsi="Century Schoolbook"/>
        </w:rPr>
      </w:pPr>
    </w:p>
    <w:p w:rsidR="00EB4F41" w:rsidRPr="00A9088B" w:rsidP="00315F87" w14:paraId="36C4D7C9" w14:textId="77777777">
      <w:pPr>
        <w:pStyle w:val="BodyText"/>
        <w:widowControl/>
        <w:spacing w:line="360" w:lineRule="auto"/>
        <w:ind w:left="0"/>
        <w:rPr>
          <w:rFonts w:ascii="Century Schoolbook" w:hAnsi="Century Schoolbook"/>
        </w:rPr>
      </w:pPr>
    </w:p>
    <w:p w:rsidR="00391550" w:rsidP="00EB4F41" w14:paraId="2F977CEA" w14:textId="310AA237">
      <w:pPr>
        <w:tabs>
          <w:tab w:val="clear" w:pos="720"/>
        </w:tabs>
        <w:spacing w:line="240" w:lineRule="auto"/>
      </w:pPr>
    </w:p>
    <w:sectPr w:rsidSect="003132CF">
      <w:footerReference w:type="even" r:id="rId5"/>
      <w:footerReference w:type="default" r:id="rId6"/>
      <w:pgSz w:w="12240" w:h="15840"/>
      <w:pgMar w:top="1440" w:right="1440" w:bottom="1440" w:left="1440" w:header="0" w:footer="6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25C4" w:rsidP="007F07B0" w14:paraId="7995DB08" w14:textId="34C2DE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32CF">
      <w:rPr>
        <w:rStyle w:val="PageNumber"/>
        <w:noProof/>
      </w:rPr>
      <w:t>1</w:t>
    </w:r>
    <w:r>
      <w:rPr>
        <w:rStyle w:val="PageNumber"/>
      </w:rPr>
      <w:fldChar w:fldCharType="end"/>
    </w:r>
  </w:p>
  <w:p w:rsidR="00F425C4" w:rsidP="007F07B0" w14:paraId="55067CCE" w14:textId="7BEED5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32CF">
      <w:rPr>
        <w:rStyle w:val="PageNumber"/>
        <w:noProof/>
      </w:rPr>
      <w:t>1</w:t>
    </w:r>
    <w:r>
      <w:rPr>
        <w:rStyle w:val="PageNumber"/>
      </w:rPr>
      <w:fldChar w:fldCharType="end"/>
    </w:r>
  </w:p>
  <w:p w:rsidR="00F425C4" w14:paraId="61D741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25C4" w:rsidP="00F425C4" w14:paraId="74EEC01A" w14:textId="43CC76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425C4" w14:paraId="58A5EF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3427" w:rsidP="00F425C4" w14:paraId="0C4BD755" w14:textId="77777777">
      <w:pPr>
        <w:spacing w:line="240" w:lineRule="auto"/>
      </w:pPr>
      <w:r>
        <w:separator/>
      </w:r>
    </w:p>
  </w:footnote>
  <w:footnote w:type="continuationSeparator" w:id="1">
    <w:p w:rsidR="00933427" w:rsidP="00F425C4" w14:paraId="48F40B95" w14:textId="77777777">
      <w:pPr>
        <w:spacing w:line="240" w:lineRule="auto"/>
      </w:pPr>
      <w:r>
        <w:continuationSeparator/>
      </w:r>
    </w:p>
  </w:footnote>
  <w:footnote w:id="2">
    <w:p w:rsidR="00B17FBD" w:rsidRPr="00D965AF" w:rsidP="00991AF8" w14:paraId="798A99AD" w14:textId="11409320">
      <w:pPr>
        <w:pStyle w:val="BodyText"/>
        <w:widowControl/>
        <w:ind w:left="0"/>
        <w:rPr>
          <w:rFonts w:ascii="Century Schoolbook" w:hAnsi="Century Schoolbook"/>
        </w:rPr>
      </w:pPr>
      <w:r w:rsidRPr="00D965AF">
        <w:rPr>
          <w:rStyle w:val="FootnoteReference"/>
          <w:rFonts w:ascii="Century Schoolbook" w:hAnsi="Century Schoolbook"/>
        </w:rPr>
        <w:footnoteRef/>
      </w:r>
      <w:r w:rsidRPr="00D965AF">
        <w:rPr>
          <w:rFonts w:ascii="Century Schoolbook" w:hAnsi="Century Schoolbook"/>
        </w:rPr>
        <w:tab/>
        <w:t xml:space="preserve">Measure A </w:t>
      </w:r>
      <w:r w:rsidRPr="00D965AF" w:rsidR="008D52E6">
        <w:rPr>
          <w:rFonts w:ascii="Century Schoolbook" w:hAnsi="Century Schoolbook"/>
        </w:rPr>
        <w:t xml:space="preserve">(2020) </w:t>
      </w:r>
      <w:r w:rsidRPr="00D965AF">
        <w:rPr>
          <w:rFonts w:ascii="Century Schoolbook" w:hAnsi="Century Schoolbook"/>
        </w:rPr>
        <w:t xml:space="preserve">contained a severability clause that stated, in part:  “Upon approval of this Measure by the voters, should any part of the Measure or tax rate be found by a court of competent jurisdiction to be invalid for any reason, all remaining parts of the Measure and/or tax rate shall remain in full force and effect to the fullest extent allowed by law.”  </w:t>
      </w:r>
    </w:p>
    <w:p w:rsidR="000F4720" w:rsidRPr="00D965AF" w:rsidP="00991AF8" w14:paraId="6EC67EE7" w14:textId="77777777">
      <w:pPr>
        <w:pStyle w:val="BodyText"/>
        <w:widowControl/>
        <w:ind w:left="0"/>
        <w:rPr>
          <w:rFonts w:ascii="Century Schoolbook" w:hAnsi="Century Schoolbook"/>
        </w:rPr>
      </w:pPr>
    </w:p>
  </w:footnote>
  <w:footnote w:id="3">
    <w:p w:rsidR="008D52E6" w:rsidRPr="00904629" w:rsidP="008D52E6" w14:paraId="30589C8B" w14:textId="5223C8A1">
      <w:pPr>
        <w:pStyle w:val="BodyText"/>
        <w:widowControl/>
        <w:ind w:left="0"/>
        <w:rPr>
          <w:rFonts w:ascii="Century Schoolbook" w:hAnsi="Century Schoolbook"/>
        </w:rPr>
      </w:pPr>
      <w:r w:rsidRPr="00D965AF">
        <w:rPr>
          <w:rStyle w:val="FootnoteReference"/>
          <w:rFonts w:ascii="Century Schoolbook" w:hAnsi="Century Schoolbook"/>
        </w:rPr>
        <w:footnoteRef/>
      </w:r>
      <w:r w:rsidRPr="00D965AF">
        <w:rPr>
          <w:rFonts w:ascii="Century Schoolbook" w:hAnsi="Century Schoolbook"/>
        </w:rPr>
        <w:tab/>
        <w:t xml:space="preserve">Traiman also challenged </w:t>
      </w:r>
      <w:r w:rsidRPr="00D965AF" w:rsidR="00432FCF">
        <w:rPr>
          <w:rFonts w:ascii="Century Schoolbook" w:hAnsi="Century Schoolbook"/>
        </w:rPr>
        <w:t xml:space="preserve">Measure A (2020) as to </w:t>
      </w:r>
      <w:r w:rsidRPr="00D965AF">
        <w:rPr>
          <w:rFonts w:ascii="Century Schoolbook" w:hAnsi="Century Schoolbook"/>
        </w:rPr>
        <w:t xml:space="preserve">certain exemptions for senior citizens and others.  </w:t>
      </w:r>
      <w:r w:rsidRPr="00D965AF" w:rsidR="00B637DF">
        <w:rPr>
          <w:rFonts w:ascii="Century Schoolbook" w:hAnsi="Century Schoolbook"/>
        </w:rPr>
        <w:t xml:space="preserve">The </w:t>
      </w:r>
      <w:r w:rsidR="00FA5B15">
        <w:rPr>
          <w:rFonts w:ascii="Century Schoolbook" w:hAnsi="Century Schoolbook"/>
        </w:rPr>
        <w:t xml:space="preserve">trial </w:t>
      </w:r>
      <w:r w:rsidRPr="00D965AF" w:rsidR="00B637DF">
        <w:rPr>
          <w:rFonts w:ascii="Century Schoolbook" w:hAnsi="Century Schoolbook"/>
        </w:rPr>
        <w:t xml:space="preserve">court dismissed </w:t>
      </w:r>
      <w:r w:rsidRPr="00D965AF" w:rsidR="00432FCF">
        <w:rPr>
          <w:rFonts w:ascii="Century Schoolbook" w:hAnsi="Century Schoolbook"/>
        </w:rPr>
        <w:t xml:space="preserve">this </w:t>
      </w:r>
      <w:r w:rsidRPr="00D965AF" w:rsidR="00B637DF">
        <w:rPr>
          <w:rFonts w:ascii="Century Schoolbook" w:hAnsi="Century Schoolbook"/>
        </w:rPr>
        <w:t xml:space="preserve">challenge on the District’s motion for judgment on the pleadings; </w:t>
      </w:r>
      <w:r w:rsidRPr="00D965AF" w:rsidR="00873FAE">
        <w:rPr>
          <w:rFonts w:ascii="Century Schoolbook" w:hAnsi="Century Schoolbook"/>
        </w:rPr>
        <w:t xml:space="preserve">that </w:t>
      </w:r>
      <w:r w:rsidRPr="00D965AF" w:rsidR="00B637DF">
        <w:rPr>
          <w:rFonts w:ascii="Century Schoolbook" w:hAnsi="Century Schoolbook"/>
        </w:rPr>
        <w:t xml:space="preserve">ruling is not at issue in this appeal.  </w:t>
      </w:r>
    </w:p>
  </w:footnote>
  <w:footnote w:id="4">
    <w:p w:rsidR="005F150A" w:rsidRPr="00904629" w:rsidP="005F150A" w14:paraId="5BDD0692" w14:textId="7797E562">
      <w:pPr>
        <w:pStyle w:val="BodyText"/>
        <w:widowControl/>
        <w:ind w:left="0"/>
        <w:rPr>
          <w:rFonts w:ascii="Century Schoolbook" w:hAnsi="Century Schoolbook"/>
          <w:iCs/>
        </w:rPr>
      </w:pPr>
      <w:r w:rsidRPr="00904629">
        <w:rPr>
          <w:rStyle w:val="FootnoteReference"/>
          <w:rFonts w:ascii="Century Schoolbook" w:hAnsi="Century Schoolbook"/>
        </w:rPr>
        <w:footnoteRef/>
      </w:r>
      <w:r w:rsidRPr="00904629">
        <w:rPr>
          <w:rFonts w:ascii="Century Schoolbook" w:hAnsi="Century Schoolbook"/>
        </w:rPr>
        <w:tab/>
      </w:r>
      <w:r w:rsidRPr="00904629" w:rsidR="00367875">
        <w:rPr>
          <w:rFonts w:ascii="Century Schoolbook" w:hAnsi="Century Schoolbook"/>
        </w:rPr>
        <w:t xml:space="preserve">Subdivision (b)(1) of section 50079 </w:t>
      </w:r>
      <w:r w:rsidRPr="00904629">
        <w:rPr>
          <w:rFonts w:ascii="Century Schoolbook" w:hAnsi="Century Schoolbook"/>
        </w:rPr>
        <w:t xml:space="preserve">provides that qualified special taxes “may include taxes that provide for an exemption from those taxes” for persons who are 65 years old or older, receive Supplemental Security Income for a disability, or receive Social Security Disability Insurance benefits with income under a specified amount.  </w:t>
      </w:r>
    </w:p>
  </w:footnote>
  <w:footnote w:id="5">
    <w:p w:rsidR="00591F89" w:rsidRPr="00904629" w:rsidP="00591F89" w14:paraId="24C5A019" w14:textId="428DB4AE">
      <w:pPr>
        <w:pStyle w:val="BodyText"/>
        <w:widowControl/>
        <w:ind w:left="0"/>
        <w:rPr>
          <w:rFonts w:ascii="Century Schoolbook" w:hAnsi="Century Schoolbook"/>
        </w:rPr>
      </w:pPr>
      <w:r w:rsidRPr="00D965AF">
        <w:rPr>
          <w:rStyle w:val="FootnoteReference"/>
          <w:rFonts w:ascii="Century Schoolbook" w:hAnsi="Century Schoolbook"/>
        </w:rPr>
        <w:footnoteRef/>
      </w:r>
      <w:r w:rsidRPr="00904629">
        <w:rPr>
          <w:rFonts w:ascii="Century Schoolbook" w:hAnsi="Century Schoolbook"/>
        </w:rPr>
        <w:tab/>
        <w:t xml:space="preserve">Measure A </w:t>
      </w:r>
      <w:r w:rsidRPr="00904629" w:rsidR="00CA3500">
        <w:rPr>
          <w:rFonts w:ascii="Century Schoolbook" w:hAnsi="Century Schoolbook"/>
        </w:rPr>
        <w:t xml:space="preserve">(2020) </w:t>
      </w:r>
      <w:r w:rsidRPr="00904629">
        <w:rPr>
          <w:rFonts w:ascii="Century Schoolbook" w:hAnsi="Century Schoolbook"/>
        </w:rPr>
        <w:t xml:space="preserve">contains a separate rate of tax ($299) for </w:t>
      </w:r>
      <w:r w:rsidRPr="00764640">
        <w:rPr>
          <w:rFonts w:ascii="Century Schoolbook" w:hAnsi="Century Schoolbook"/>
          <w:i/>
          <w:iCs/>
        </w:rPr>
        <w:t>unimproved</w:t>
      </w:r>
      <w:r w:rsidRPr="00904629">
        <w:rPr>
          <w:rFonts w:ascii="Century Schoolbook" w:hAnsi="Century Schoolbook"/>
        </w:rPr>
        <w:t xml:space="preserve"> parcels, but that is permitted under </w:t>
      </w:r>
      <w:r w:rsidRPr="00904629" w:rsidR="00CA3500">
        <w:rPr>
          <w:rFonts w:ascii="Century Schoolbook" w:hAnsi="Century Schoolbook"/>
        </w:rPr>
        <w:t xml:space="preserve">a </w:t>
      </w:r>
      <w:r w:rsidRPr="00904629">
        <w:rPr>
          <w:rFonts w:ascii="Century Schoolbook" w:hAnsi="Century Schoolbook"/>
        </w:rPr>
        <w:t xml:space="preserve">2018 amendment to section 50079. </w:t>
      </w:r>
      <w:r w:rsidRPr="00904629" w:rsidR="0005226D">
        <w:rPr>
          <w:rFonts w:ascii="Century Schoolbook" w:hAnsi="Century Schoolbook"/>
        </w:rPr>
        <w:t xml:space="preserve"> </w:t>
      </w:r>
      <w:r w:rsidRPr="00904629">
        <w:rPr>
          <w:rFonts w:ascii="Century Schoolbook" w:hAnsi="Century Schoolbook"/>
        </w:rPr>
        <w:t xml:space="preserve">(Stats. 2018, ch. 305.) </w:t>
      </w:r>
    </w:p>
  </w:footnote>
  <w:footnote w:id="6">
    <w:p w:rsidR="005D207B" w:rsidRPr="00904629" w:rsidP="005D207B" w14:paraId="23CDA3A0" w14:textId="51C33EC9">
      <w:pPr>
        <w:pStyle w:val="NormalWeb"/>
        <w:spacing w:before="0" w:beforeAutospacing="0" w:after="0" w:afterAutospacing="0"/>
        <w:textAlignment w:val="baseline"/>
        <w:rPr>
          <w:rFonts w:ascii="Century Schoolbook" w:hAnsi="Century Schoolbook"/>
          <w:sz w:val="26"/>
          <w:szCs w:val="26"/>
        </w:rPr>
      </w:pPr>
      <w:r w:rsidRPr="00D965AF">
        <w:rPr>
          <w:rStyle w:val="FootnoteReference"/>
          <w:rFonts w:ascii="Century Schoolbook" w:hAnsi="Century Schoolbook"/>
        </w:rPr>
        <w:footnoteRef/>
      </w:r>
      <w:r w:rsidRPr="00904629">
        <w:rPr>
          <w:rFonts w:ascii="Century Schoolbook" w:hAnsi="Century Schoolbook"/>
          <w:sz w:val="26"/>
          <w:szCs w:val="26"/>
        </w:rPr>
        <w:tab/>
        <w:t xml:space="preserve">The plaintiffs in </w:t>
      </w:r>
      <w:r w:rsidRPr="00904629">
        <w:rPr>
          <w:rFonts w:ascii="Century Schoolbook" w:hAnsi="Century Schoolbook"/>
          <w:i/>
          <w:iCs/>
          <w:sz w:val="26"/>
          <w:szCs w:val="26"/>
        </w:rPr>
        <w:t>Borikas</w:t>
      </w:r>
      <w:r w:rsidRPr="00904629">
        <w:rPr>
          <w:rFonts w:ascii="Century Schoolbook" w:hAnsi="Century Schoolbook"/>
          <w:sz w:val="26"/>
          <w:szCs w:val="26"/>
        </w:rPr>
        <w:t xml:space="preserve"> also challenged Measure H’s exemptions for senior and disabled taxpayers; the court </w:t>
      </w:r>
      <w:r w:rsidRPr="00904629" w:rsidR="007D113A">
        <w:rPr>
          <w:rFonts w:ascii="Century Schoolbook" w:hAnsi="Century Schoolbook"/>
          <w:sz w:val="26"/>
          <w:szCs w:val="26"/>
        </w:rPr>
        <w:t xml:space="preserve">of appeal </w:t>
      </w:r>
      <w:r w:rsidRPr="00904629">
        <w:rPr>
          <w:rFonts w:ascii="Century Schoolbook" w:hAnsi="Century Schoolbook"/>
          <w:sz w:val="26"/>
          <w:szCs w:val="26"/>
        </w:rPr>
        <w:t>decided those exemptions were permissible.</w:t>
      </w:r>
      <w:r w:rsidRPr="00904629" w:rsidR="00075452">
        <w:rPr>
          <w:rFonts w:ascii="Century Schoolbook" w:hAnsi="Century Schoolbook"/>
          <w:sz w:val="26"/>
          <w:szCs w:val="26"/>
        </w:rPr>
        <w:t xml:space="preserve">  (</w:t>
      </w:r>
      <w:r w:rsidRPr="00904629" w:rsidR="00075452">
        <w:rPr>
          <w:rFonts w:ascii="Century Schoolbook" w:hAnsi="Century Schoolbook"/>
          <w:i/>
          <w:iCs/>
          <w:sz w:val="26"/>
          <w:szCs w:val="26"/>
        </w:rPr>
        <w:t>Borikas, supra</w:t>
      </w:r>
      <w:r w:rsidRPr="00904629" w:rsidR="00075452">
        <w:rPr>
          <w:rFonts w:ascii="Century Schoolbook" w:hAnsi="Century Schoolbook"/>
          <w:sz w:val="26"/>
          <w:szCs w:val="26"/>
        </w:rPr>
        <w:t>, 214 Cal.App.4th at p. 140.)</w:t>
      </w:r>
    </w:p>
  </w:footnote>
  <w:footnote w:id="7">
    <w:p w:rsidR="00862225" w:rsidRPr="00904629" w:rsidP="00862225" w14:paraId="3BD47F89" w14:textId="71ECFDAC">
      <w:pPr>
        <w:pStyle w:val="BodyText"/>
        <w:widowControl/>
        <w:ind w:left="0"/>
        <w:rPr>
          <w:rFonts w:ascii="Century Schoolbook" w:hAnsi="Century Schoolbook"/>
        </w:rPr>
      </w:pPr>
      <w:r w:rsidRPr="00904629">
        <w:rPr>
          <w:rStyle w:val="FootnoteReference"/>
          <w:rFonts w:ascii="Century Schoolbook" w:hAnsi="Century Schoolbook"/>
        </w:rPr>
        <w:footnoteRef/>
      </w:r>
      <w:r w:rsidRPr="00904629">
        <w:rPr>
          <w:rFonts w:ascii="Century Schoolbook" w:hAnsi="Century Schoolbook"/>
        </w:rPr>
        <w:tab/>
        <w:t xml:space="preserve">In his respondent’s brief, Traiman now argues that </w:t>
      </w:r>
      <w:r w:rsidRPr="00904629">
        <w:rPr>
          <w:rFonts w:ascii="Century Schoolbook" w:hAnsi="Century Schoolbook"/>
          <w:i/>
          <w:iCs/>
        </w:rPr>
        <w:t>Borikas</w:t>
      </w:r>
      <w:r w:rsidRPr="00904629">
        <w:rPr>
          <w:rFonts w:ascii="Century Schoolbook" w:hAnsi="Century Schoolbook"/>
        </w:rPr>
        <w:t xml:space="preserve"> construe</w:t>
      </w:r>
      <w:r w:rsidRPr="00904629" w:rsidR="00BC1EBF">
        <w:rPr>
          <w:rFonts w:ascii="Century Schoolbook" w:hAnsi="Century Schoolbook"/>
        </w:rPr>
        <w:t>d</w:t>
      </w:r>
      <w:r w:rsidRPr="00904629">
        <w:rPr>
          <w:rFonts w:ascii="Century Schoolbook" w:hAnsi="Century Schoolbook"/>
        </w:rPr>
        <w:t xml:space="preserve"> section 50079 to prohibit a tax cap because </w:t>
      </w:r>
      <w:r w:rsidRPr="00904629">
        <w:rPr>
          <w:rFonts w:ascii="Century Schoolbook" w:hAnsi="Century Schoolbook"/>
          <w:i/>
          <w:iCs/>
        </w:rPr>
        <w:t>Borikas</w:t>
      </w:r>
      <w:r w:rsidRPr="00904629">
        <w:rPr>
          <w:rFonts w:ascii="Century Schoolbook" w:hAnsi="Century Schoolbook"/>
        </w:rPr>
        <w:t xml:space="preserve"> used plurals when stating, “we therefore conclude Measure H’s property </w:t>
      </w:r>
      <w:r w:rsidRPr="00904629">
        <w:rPr>
          <w:rFonts w:ascii="Century Schoolbook" w:hAnsi="Century Schoolbook"/>
          <w:i/>
          <w:iCs/>
        </w:rPr>
        <w:t>classifications</w:t>
      </w:r>
      <w:r w:rsidRPr="00904629">
        <w:rPr>
          <w:rFonts w:ascii="Century Schoolbook" w:hAnsi="Century Schoolbook"/>
        </w:rPr>
        <w:t xml:space="preserve"> and differential tax </w:t>
      </w:r>
      <w:r w:rsidRPr="00904629">
        <w:rPr>
          <w:rFonts w:ascii="Century Schoolbook" w:hAnsi="Century Schoolbook"/>
          <w:i/>
          <w:iCs/>
        </w:rPr>
        <w:t>burdens</w:t>
      </w:r>
      <w:r w:rsidRPr="00904629">
        <w:rPr>
          <w:rFonts w:ascii="Century Schoolbook" w:hAnsi="Century Schoolbook"/>
        </w:rPr>
        <w:t xml:space="preserve"> exceed the District’s taxing authority,” and it eliminated all classifications in preserving only a $120 flat tax for all property types.  (See </w:t>
      </w:r>
      <w:r w:rsidRPr="00904629">
        <w:rPr>
          <w:rFonts w:ascii="Century Schoolbook" w:hAnsi="Century Schoolbook"/>
          <w:i/>
          <w:iCs/>
        </w:rPr>
        <w:t>Borikas, supra</w:t>
      </w:r>
      <w:r w:rsidRPr="00904629">
        <w:rPr>
          <w:rFonts w:ascii="Century Schoolbook" w:hAnsi="Century Schoolbook"/>
        </w:rPr>
        <w:t xml:space="preserve">, 214 Cal.App.4th at p. 140, italics added.)  Traiman is mistaken.  The plurals are because </w:t>
      </w:r>
      <w:r w:rsidRPr="00904629">
        <w:rPr>
          <w:rFonts w:ascii="Century Schoolbook" w:hAnsi="Century Schoolbook"/>
          <w:i/>
          <w:iCs/>
        </w:rPr>
        <w:t>Borikas</w:t>
      </w:r>
      <w:r w:rsidRPr="00904629">
        <w:rPr>
          <w:rFonts w:ascii="Century Schoolbook" w:hAnsi="Century Schoolbook"/>
        </w:rPr>
        <w:t xml:space="preserve"> concerned two </w:t>
      </w:r>
      <w:r w:rsidRPr="00904629" w:rsidR="00152643">
        <w:rPr>
          <w:rFonts w:ascii="Century Schoolbook" w:hAnsi="Century Schoolbook"/>
        </w:rPr>
        <w:t xml:space="preserve">express </w:t>
      </w:r>
      <w:r w:rsidRPr="00904629">
        <w:rPr>
          <w:rFonts w:ascii="Century Schoolbook" w:hAnsi="Century Schoolbook"/>
        </w:rPr>
        <w:t xml:space="preserve">classifications of property, </w:t>
      </w:r>
      <w:r w:rsidRPr="00904629" w:rsidR="00152643">
        <w:rPr>
          <w:rFonts w:ascii="Century Schoolbook" w:hAnsi="Century Schoolbook"/>
        </w:rPr>
        <w:t xml:space="preserve">with </w:t>
      </w:r>
      <w:r w:rsidRPr="00904629">
        <w:rPr>
          <w:rFonts w:ascii="Century Schoolbook" w:hAnsi="Century Schoolbook"/>
        </w:rPr>
        <w:t xml:space="preserve">different tax burdens on those classifications.  </w:t>
      </w:r>
      <w:r w:rsidRPr="00904629" w:rsidR="00BC1EBF">
        <w:rPr>
          <w:rFonts w:ascii="Century Schoolbook" w:hAnsi="Century Schoolbook"/>
        </w:rPr>
        <w:t xml:space="preserve">Even though Measure H contained a cap, </w:t>
      </w:r>
      <w:r w:rsidRPr="00904629">
        <w:rPr>
          <w:rFonts w:ascii="Century Schoolbook" w:hAnsi="Century Schoolbook"/>
          <w:i/>
          <w:iCs/>
        </w:rPr>
        <w:t>Borikas</w:t>
      </w:r>
      <w:r w:rsidRPr="00904629">
        <w:rPr>
          <w:rFonts w:ascii="Century Schoolbook" w:hAnsi="Century Schoolbook"/>
        </w:rPr>
        <w:t xml:space="preserve"> never </w:t>
      </w:r>
      <w:r w:rsidRPr="00904629" w:rsidR="00BC1EBF">
        <w:rPr>
          <w:rFonts w:ascii="Century Schoolbook" w:hAnsi="Century Schoolbook"/>
        </w:rPr>
        <w:t>indicated it had any significance</w:t>
      </w:r>
      <w:r w:rsidRPr="00904629" w:rsidR="001349F9">
        <w:rPr>
          <w:rFonts w:ascii="Century Schoolbook" w:hAnsi="Century Schoolbook"/>
        </w:rPr>
        <w:t xml:space="preserve"> to the uniform application requirement of section 50079.</w:t>
      </w:r>
    </w:p>
  </w:footnote>
  <w:footnote w:id="8">
    <w:p w:rsidR="0058307A" w:rsidRPr="00904629" w:rsidP="0058307A" w14:paraId="2A9F47B1" w14:textId="46A6813B">
      <w:pPr>
        <w:pStyle w:val="BodyText"/>
        <w:widowControl/>
        <w:ind w:left="0"/>
        <w:rPr>
          <w:rFonts w:ascii="Century Schoolbook" w:hAnsi="Century Schoolbook"/>
        </w:rPr>
      </w:pPr>
      <w:r w:rsidRPr="00D965AF">
        <w:rPr>
          <w:rStyle w:val="FootnoteReference"/>
          <w:rFonts w:ascii="Century Schoolbook" w:hAnsi="Century Schoolbook"/>
        </w:rPr>
        <w:footnoteRef/>
      </w:r>
      <w:r w:rsidRPr="00904629">
        <w:tab/>
      </w:r>
      <w:r w:rsidRPr="00904629">
        <w:rPr>
          <w:rFonts w:ascii="Century Schoolbook" w:hAnsi="Century Schoolbook"/>
        </w:rPr>
        <w:t xml:space="preserve">As stated </w:t>
      </w:r>
      <w:r w:rsidRPr="00904629" w:rsidR="001963FF">
        <w:rPr>
          <w:rFonts w:ascii="Century Schoolbook" w:hAnsi="Century Schoolbook"/>
        </w:rPr>
        <w:t xml:space="preserve">by the Senate Rules Committee:  </w:t>
      </w:r>
      <w:r w:rsidRPr="00904629">
        <w:rPr>
          <w:rFonts w:ascii="Century Schoolbook" w:hAnsi="Century Schoolbook"/>
        </w:rPr>
        <w:t>“Because the school’s sole authority to impose special taxes stems from Government Code section 50077 [sic], Proposition 62 has been widely interpreted to eliminate district</w:t>
      </w:r>
      <w:r w:rsidRPr="00904629" w:rsidR="00507EDA">
        <w:rPr>
          <w:rFonts w:ascii="Century Schoolbook" w:hAnsi="Century Schoolbook"/>
        </w:rPr>
        <w:t>[</w:t>
      </w:r>
      <w:r w:rsidRPr="00904629">
        <w:rPr>
          <w:rFonts w:ascii="Century Schoolbook" w:hAnsi="Century Schoolbook"/>
        </w:rPr>
        <w:t>’s</w:t>
      </w:r>
      <w:r w:rsidRPr="00904629" w:rsidR="00507EDA">
        <w:rPr>
          <w:rFonts w:ascii="Century Schoolbook" w:hAnsi="Century Schoolbook"/>
        </w:rPr>
        <w:t>]</w:t>
      </w:r>
      <w:r w:rsidRPr="00904629">
        <w:rPr>
          <w:rFonts w:ascii="Century Schoolbook" w:hAnsi="Century Schoolbook"/>
        </w:rPr>
        <w:t xml:space="preserve"> special taxing authority. </w:t>
      </w:r>
      <w:r w:rsidRPr="00904629" w:rsidR="00605F52">
        <w:rPr>
          <w:rFonts w:ascii="Century Schoolbook" w:hAnsi="Century Schoolbook"/>
        </w:rPr>
        <w:t xml:space="preserve"> </w:t>
      </w:r>
      <w:r w:rsidRPr="00904629">
        <w:rPr>
          <w:rFonts w:ascii="Century Schoolbook" w:hAnsi="Century Schoolbook"/>
        </w:rPr>
        <w:t xml:space="preserve">The California Taxpayers Association, which sponsored Proposition 62, indicates that it did not intend the proposition to have this effect.” </w:t>
      </w:r>
    </w:p>
  </w:footnote>
  <w:footnote w:id="9">
    <w:p w:rsidR="00D76154" w:rsidRPr="00904629" w:rsidP="00D76154" w14:paraId="5B98867E" w14:textId="2FC8A0C1">
      <w:pPr>
        <w:pStyle w:val="BodyText"/>
        <w:widowControl/>
        <w:ind w:left="0"/>
        <w:rPr>
          <w:rFonts w:ascii="Century Schoolbook" w:hAnsi="Century Schoolbook"/>
        </w:rPr>
      </w:pPr>
      <w:r w:rsidRPr="00D965AF">
        <w:rPr>
          <w:rStyle w:val="FootnoteReference"/>
          <w:rFonts w:ascii="Century Schoolbook" w:hAnsi="Century Schoolbook"/>
        </w:rPr>
        <w:footnoteRef/>
      </w:r>
      <w:r w:rsidRPr="00904629">
        <w:tab/>
      </w:r>
      <w:r w:rsidRPr="00904629">
        <w:rPr>
          <w:rFonts w:ascii="Century Schoolbook" w:hAnsi="Century Schoolbook"/>
        </w:rPr>
        <w:t xml:space="preserve">Traiman argues that the Legislature implicitly affirmed </w:t>
      </w:r>
      <w:r w:rsidRPr="00904629">
        <w:rPr>
          <w:rFonts w:ascii="Century Schoolbook" w:hAnsi="Century Schoolbook"/>
          <w:i/>
          <w:iCs/>
        </w:rPr>
        <w:t xml:space="preserve">Borikas </w:t>
      </w:r>
      <w:r w:rsidRPr="00904629">
        <w:rPr>
          <w:rFonts w:ascii="Century Schoolbook" w:hAnsi="Century Schoolbook"/>
        </w:rPr>
        <w:t>by declining to pass legislation that would have overruled it.  In the 2013</w:t>
      </w:r>
      <w:r w:rsidRPr="00904629" w:rsidR="00FD0E2E">
        <w:rPr>
          <w:rFonts w:ascii="Century Schoolbook" w:hAnsi="Century Schoolbook"/>
        </w:rPr>
        <w:t>–</w:t>
      </w:r>
      <w:r w:rsidRPr="00904629">
        <w:rPr>
          <w:rFonts w:ascii="Century Schoolbook" w:hAnsi="Century Schoolbook"/>
        </w:rPr>
        <w:t xml:space="preserve">2014 legislative session, Assembly Bill 59 would have allowed school districts to impose parcel taxes with classifications of taxpayers and property, abrogating </w:t>
      </w:r>
      <w:r w:rsidRPr="00904629">
        <w:rPr>
          <w:rFonts w:ascii="Century Schoolbook" w:hAnsi="Century Schoolbook"/>
          <w:i/>
          <w:iCs/>
        </w:rPr>
        <w:t>Borikas</w:t>
      </w:r>
      <w:r w:rsidRPr="00904629">
        <w:rPr>
          <w:rFonts w:ascii="Century Schoolbook" w:hAnsi="Century Schoolbook"/>
        </w:rPr>
        <w:t xml:space="preserve">, but “AB 59 died in the Assembly.”  Around the same time, Senate Bill 1021 sought to abrogate </w:t>
      </w:r>
      <w:r w:rsidRPr="00904629">
        <w:rPr>
          <w:rFonts w:ascii="Century Schoolbook" w:hAnsi="Century Schoolbook"/>
          <w:i/>
          <w:iCs/>
        </w:rPr>
        <w:t>Borikas</w:t>
      </w:r>
      <w:r w:rsidRPr="00904629">
        <w:rPr>
          <w:rFonts w:ascii="Century Schoolbook" w:hAnsi="Century Schoolbook"/>
        </w:rPr>
        <w:t xml:space="preserve"> by allowing school districts to classify certain types of property (residential, multifamily residential, industrial, or commercial) and tax each classification differently, as long as all properties within the classification remained the same.  The bill never made it out of committee.  Traiman argues that, by rejecting AB 59 and SB 1021, the Legislature implicitly affirmed </w:t>
      </w:r>
      <w:r w:rsidRPr="00904629">
        <w:rPr>
          <w:rFonts w:ascii="Century Schoolbook" w:hAnsi="Century Schoolbook"/>
          <w:i/>
          <w:iCs/>
        </w:rPr>
        <w:t>Borikas’</w:t>
      </w:r>
      <w:r w:rsidRPr="00904629">
        <w:rPr>
          <w:rFonts w:ascii="Century Schoolbook" w:hAnsi="Century Schoolbook"/>
        </w:rPr>
        <w:t xml:space="preserve">s central holding.  However, neither legislation pertained to the use of a cap.  Moreover, dead bills tell no tales: </w:t>
      </w:r>
      <w:r w:rsidRPr="00904629" w:rsidR="00A46092">
        <w:rPr>
          <w:rFonts w:ascii="Century Schoolbook" w:hAnsi="Century Schoolbook"/>
        </w:rPr>
        <w:t xml:space="preserve"> </w:t>
      </w:r>
      <w:r w:rsidRPr="00904629">
        <w:rPr>
          <w:rFonts w:ascii="Century Schoolbook" w:hAnsi="Century Schoolbook"/>
        </w:rPr>
        <w:t xml:space="preserve">unsuccessful legislation </w:t>
      </w:r>
      <w:r w:rsidR="00F41780">
        <w:rPr>
          <w:rFonts w:ascii="Century Schoolbook" w:hAnsi="Century Schoolbook"/>
        </w:rPr>
        <w:t xml:space="preserve">generally </w:t>
      </w:r>
      <w:r w:rsidRPr="00904629">
        <w:rPr>
          <w:rFonts w:ascii="Century Schoolbook" w:hAnsi="Century Schoolbook"/>
        </w:rPr>
        <w:t xml:space="preserve">has </w:t>
      </w:r>
      <w:r w:rsidR="00152FD8">
        <w:rPr>
          <w:rFonts w:ascii="Century Schoolbook" w:hAnsi="Century Schoolbook"/>
        </w:rPr>
        <w:t xml:space="preserve">little </w:t>
      </w:r>
      <w:r w:rsidRPr="00904629">
        <w:rPr>
          <w:rFonts w:ascii="Century Schoolbook" w:hAnsi="Century Schoolbook"/>
        </w:rPr>
        <w:t>relevance in interpreting a statute.  (</w:t>
      </w:r>
      <w:r w:rsidRPr="00904629">
        <w:rPr>
          <w:rFonts w:ascii="Century Schoolbook" w:hAnsi="Century Schoolbook"/>
          <w:i/>
          <w:iCs/>
        </w:rPr>
        <w:t>People v. Mendoza</w:t>
      </w:r>
      <w:r w:rsidRPr="00904629">
        <w:rPr>
          <w:rFonts w:ascii="Century Schoolbook" w:hAnsi="Century Schoolbook"/>
        </w:rPr>
        <w:t xml:space="preserve"> (2000) 23 Cal.4th 896</w:t>
      </w:r>
      <w:r w:rsidR="00152FD8">
        <w:rPr>
          <w:rFonts w:ascii="Century Schoolbook" w:hAnsi="Century Schoolbook"/>
        </w:rPr>
        <w:t>, 921</w:t>
      </w:r>
      <w:r w:rsidRPr="00904629">
        <w:rPr>
          <w:rFonts w:ascii="Century Schoolbook" w:hAnsi="Century Schoolbook"/>
        </w:rPr>
        <w:t xml:space="preserve">; </w:t>
      </w:r>
      <w:r w:rsidRPr="00904629">
        <w:rPr>
          <w:rFonts w:ascii="Century Schoolbook" w:hAnsi="Century Schoolbook"/>
          <w:i/>
          <w:iCs/>
        </w:rPr>
        <w:t>Granberry v. Islay Investments</w:t>
      </w:r>
      <w:r w:rsidRPr="00904629">
        <w:rPr>
          <w:rFonts w:ascii="Century Schoolbook" w:hAnsi="Century Schoolbook"/>
        </w:rPr>
        <w:t xml:space="preserve"> (1995) 9 Cal.4th 738, 746.)  </w:t>
      </w:r>
    </w:p>
  </w:footnote>
  <w:footnote w:id="10">
    <w:p w:rsidR="00035977" w:rsidRPr="00904629" w:rsidP="00035977" w14:paraId="6B5856AF" w14:textId="21FBE6BE">
      <w:pPr>
        <w:tabs>
          <w:tab w:val="clear" w:pos="720"/>
        </w:tabs>
        <w:spacing w:line="240" w:lineRule="auto"/>
      </w:pPr>
      <w:r w:rsidRPr="00904629">
        <w:rPr>
          <w:rStyle w:val="FootnoteReference"/>
        </w:rPr>
        <w:footnoteRef/>
      </w:r>
      <w:r w:rsidRPr="00904629">
        <w:tab/>
        <w:t xml:space="preserve">In September 2022, the District filed a motion asking this court to take judicial notice of the records of the legislative history of AB 1440.  We deferred ruling on the motion until our consideration of the merits of the appeal.  In October 2022, Traiman filed a motion seeking judicial notice of material including bills not enacted by the Legislature, records related to amendments to section 50079, and election results regarding school district parcel taxes.  The District opposed the motion, and we deferred our ruling pending our consideration of the merits.  We hereby grant both motions.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F07155"/>
    <w:multiLevelType w:val="hybridMultilevel"/>
    <w:tmpl w:val="30548608"/>
    <w:lvl w:ilvl="0">
      <w:start w:val="1"/>
      <w:numFmt w:val="upperRoman"/>
      <w:lvlText w:val="%1."/>
      <w:lvlJc w:val="left"/>
      <w:pPr>
        <w:ind w:left="2000" w:hanging="720"/>
      </w:pPr>
      <w:rPr>
        <w:rFonts w:ascii="Times New Roman" w:eastAsia="Times New Roman" w:hAnsi="Times New Roman" w:cs="Times New Roman" w:hint="default"/>
        <w:b/>
        <w:bCs/>
        <w:w w:val="99"/>
        <w:sz w:val="24"/>
        <w:szCs w:val="24"/>
        <w:lang w:val="en-US" w:eastAsia="en-US" w:bidi="en-US"/>
      </w:rPr>
    </w:lvl>
    <w:lvl w:ilvl="1">
      <w:start w:val="0"/>
      <w:numFmt w:val="bullet"/>
      <w:lvlText w:val="•"/>
      <w:lvlJc w:val="left"/>
      <w:pPr>
        <w:ind w:left="2884" w:hanging="720"/>
      </w:pPr>
      <w:rPr>
        <w:lang w:val="en-US" w:eastAsia="en-US" w:bidi="en-US"/>
      </w:rPr>
    </w:lvl>
    <w:lvl w:ilvl="2">
      <w:start w:val="0"/>
      <w:numFmt w:val="bullet"/>
      <w:lvlText w:val="•"/>
      <w:lvlJc w:val="left"/>
      <w:pPr>
        <w:ind w:left="3768" w:hanging="720"/>
      </w:pPr>
      <w:rPr>
        <w:lang w:val="en-US" w:eastAsia="en-US" w:bidi="en-US"/>
      </w:rPr>
    </w:lvl>
    <w:lvl w:ilvl="3">
      <w:start w:val="0"/>
      <w:numFmt w:val="bullet"/>
      <w:lvlText w:val="•"/>
      <w:lvlJc w:val="left"/>
      <w:pPr>
        <w:ind w:left="4652" w:hanging="720"/>
      </w:pPr>
      <w:rPr>
        <w:lang w:val="en-US" w:eastAsia="en-US" w:bidi="en-US"/>
      </w:rPr>
    </w:lvl>
    <w:lvl w:ilvl="4">
      <w:start w:val="0"/>
      <w:numFmt w:val="bullet"/>
      <w:lvlText w:val="•"/>
      <w:lvlJc w:val="left"/>
      <w:pPr>
        <w:ind w:left="5536" w:hanging="720"/>
      </w:pPr>
      <w:rPr>
        <w:lang w:val="en-US" w:eastAsia="en-US" w:bidi="en-US"/>
      </w:rPr>
    </w:lvl>
    <w:lvl w:ilvl="5">
      <w:start w:val="0"/>
      <w:numFmt w:val="bullet"/>
      <w:lvlText w:val="•"/>
      <w:lvlJc w:val="left"/>
      <w:pPr>
        <w:ind w:left="6420" w:hanging="720"/>
      </w:pPr>
      <w:rPr>
        <w:lang w:val="en-US" w:eastAsia="en-US" w:bidi="en-US"/>
      </w:rPr>
    </w:lvl>
    <w:lvl w:ilvl="6">
      <w:start w:val="0"/>
      <w:numFmt w:val="bullet"/>
      <w:lvlText w:val="•"/>
      <w:lvlJc w:val="left"/>
      <w:pPr>
        <w:ind w:left="7304" w:hanging="720"/>
      </w:pPr>
      <w:rPr>
        <w:lang w:val="en-US" w:eastAsia="en-US" w:bidi="en-US"/>
      </w:rPr>
    </w:lvl>
    <w:lvl w:ilvl="7">
      <w:start w:val="0"/>
      <w:numFmt w:val="bullet"/>
      <w:lvlText w:val="•"/>
      <w:lvlJc w:val="left"/>
      <w:pPr>
        <w:ind w:left="8188" w:hanging="720"/>
      </w:pPr>
      <w:rPr>
        <w:lang w:val="en-US" w:eastAsia="en-US" w:bidi="en-US"/>
      </w:rPr>
    </w:lvl>
    <w:lvl w:ilvl="8">
      <w:start w:val="0"/>
      <w:numFmt w:val="bullet"/>
      <w:lvlText w:val="•"/>
      <w:lvlJc w:val="left"/>
      <w:pPr>
        <w:ind w:left="9072" w:hanging="720"/>
      </w:pPr>
      <w:rPr>
        <w:lang w:val="en-US" w:eastAsia="en-US" w:bidi="en-US"/>
      </w:rPr>
    </w:lvl>
  </w:abstractNum>
  <w:abstractNum w:abstractNumId="1">
    <w:nsid w:val="1EF723C9"/>
    <w:multiLevelType w:val="hybridMultilevel"/>
    <w:tmpl w:val="1190FCE0"/>
    <w:lvl w:ilvl="0">
      <w:start w:val="4"/>
      <w:numFmt w:val="upperLetter"/>
      <w:lvlText w:val="%1"/>
      <w:lvlJc w:val="left"/>
      <w:pPr>
        <w:ind w:left="1835" w:hanging="555"/>
      </w:pPr>
      <w:rPr>
        <w:lang w:val="en-US" w:eastAsia="en-US" w:bidi="en-US"/>
      </w:rPr>
    </w:lvl>
    <w:lvl w:ilvl="1">
      <w:start w:val="1"/>
      <w:numFmt w:val="decimal"/>
      <w:lvlText w:val="%2)"/>
      <w:lvlJc w:val="left"/>
      <w:pPr>
        <w:ind w:left="2000" w:hanging="360"/>
      </w:pPr>
      <w:rPr>
        <w:rFonts w:ascii="Times New Roman" w:eastAsia="Times New Roman" w:hAnsi="Times New Roman" w:cs="Times New Roman" w:hint="default"/>
        <w:w w:val="99"/>
        <w:sz w:val="26"/>
        <w:szCs w:val="26"/>
        <w:lang w:val="en-US" w:eastAsia="en-US" w:bidi="en-US"/>
      </w:rPr>
    </w:lvl>
    <w:lvl w:ilvl="2">
      <w:start w:val="0"/>
      <w:numFmt w:val="bullet"/>
      <w:lvlText w:val="•"/>
      <w:lvlJc w:val="left"/>
      <w:pPr>
        <w:ind w:left="2982" w:hanging="360"/>
      </w:pPr>
      <w:rPr>
        <w:lang w:val="en-US" w:eastAsia="en-US" w:bidi="en-US"/>
      </w:rPr>
    </w:lvl>
    <w:lvl w:ilvl="3">
      <w:start w:val="0"/>
      <w:numFmt w:val="bullet"/>
      <w:lvlText w:val="•"/>
      <w:lvlJc w:val="left"/>
      <w:pPr>
        <w:ind w:left="3964" w:hanging="360"/>
      </w:pPr>
      <w:rPr>
        <w:lang w:val="en-US" w:eastAsia="en-US" w:bidi="en-US"/>
      </w:rPr>
    </w:lvl>
    <w:lvl w:ilvl="4">
      <w:start w:val="0"/>
      <w:numFmt w:val="bullet"/>
      <w:lvlText w:val="•"/>
      <w:lvlJc w:val="left"/>
      <w:pPr>
        <w:ind w:left="4946" w:hanging="360"/>
      </w:pPr>
      <w:rPr>
        <w:lang w:val="en-US" w:eastAsia="en-US" w:bidi="en-US"/>
      </w:rPr>
    </w:lvl>
    <w:lvl w:ilvl="5">
      <w:start w:val="0"/>
      <w:numFmt w:val="bullet"/>
      <w:lvlText w:val="•"/>
      <w:lvlJc w:val="left"/>
      <w:pPr>
        <w:ind w:left="5928" w:hanging="360"/>
      </w:pPr>
      <w:rPr>
        <w:lang w:val="en-US" w:eastAsia="en-US" w:bidi="en-US"/>
      </w:rPr>
    </w:lvl>
    <w:lvl w:ilvl="6">
      <w:start w:val="0"/>
      <w:numFmt w:val="bullet"/>
      <w:lvlText w:val="•"/>
      <w:lvlJc w:val="left"/>
      <w:pPr>
        <w:ind w:left="6911" w:hanging="360"/>
      </w:pPr>
      <w:rPr>
        <w:lang w:val="en-US" w:eastAsia="en-US" w:bidi="en-US"/>
      </w:rPr>
    </w:lvl>
    <w:lvl w:ilvl="7">
      <w:start w:val="0"/>
      <w:numFmt w:val="bullet"/>
      <w:lvlText w:val="•"/>
      <w:lvlJc w:val="left"/>
      <w:pPr>
        <w:ind w:left="7893" w:hanging="360"/>
      </w:pPr>
      <w:rPr>
        <w:lang w:val="en-US" w:eastAsia="en-US" w:bidi="en-US"/>
      </w:rPr>
    </w:lvl>
    <w:lvl w:ilvl="8">
      <w:start w:val="0"/>
      <w:numFmt w:val="bullet"/>
      <w:lvlText w:val="•"/>
      <w:lvlJc w:val="left"/>
      <w:pPr>
        <w:ind w:left="8875" w:hanging="360"/>
      </w:pPr>
      <w:rPr>
        <w:lang w:val="en-US" w:eastAsia="en-US" w:bidi="en-US"/>
      </w:rPr>
    </w:lvl>
  </w:abstractNum>
  <w:abstractNum w:abstractNumId="2">
    <w:nsid w:val="2BDD6AEA"/>
    <w:multiLevelType w:val="hybridMultilevel"/>
    <w:tmpl w:val="A7AAA416"/>
    <w:lvl w:ilvl="0">
      <w:start w:val="1"/>
      <w:numFmt w:val="upperRoman"/>
      <w:lvlText w:val="%1."/>
      <w:lvlJc w:val="left"/>
      <w:pPr>
        <w:ind w:left="2000" w:hanging="720"/>
      </w:pPr>
      <w:rPr>
        <w:rFonts w:ascii="Times New Roman" w:eastAsia="Times New Roman" w:hAnsi="Times New Roman" w:cs="Times New Roman" w:hint="default"/>
        <w:b/>
        <w:bCs/>
        <w:spacing w:val="-1"/>
        <w:w w:val="99"/>
        <w:sz w:val="26"/>
        <w:szCs w:val="26"/>
        <w:lang w:val="en-US" w:eastAsia="en-US" w:bidi="en-US"/>
      </w:rPr>
    </w:lvl>
    <w:lvl w:ilvl="1">
      <w:start w:val="1"/>
      <w:numFmt w:val="upperLetter"/>
      <w:lvlText w:val="%2."/>
      <w:lvlJc w:val="left"/>
      <w:pPr>
        <w:ind w:left="2720" w:hanging="720"/>
      </w:pPr>
      <w:rPr>
        <w:rFonts w:ascii="Times New Roman" w:eastAsia="Times New Roman" w:hAnsi="Times New Roman" w:cs="Times New Roman" w:hint="default"/>
        <w:b/>
        <w:bCs/>
        <w:w w:val="99"/>
        <w:sz w:val="26"/>
        <w:szCs w:val="26"/>
        <w:lang w:val="en-US" w:eastAsia="en-US" w:bidi="en-US"/>
      </w:rPr>
    </w:lvl>
    <w:lvl w:ilvl="2">
      <w:start w:val="0"/>
      <w:numFmt w:val="bullet"/>
      <w:lvlText w:val="•"/>
      <w:lvlJc w:val="left"/>
      <w:pPr>
        <w:ind w:left="3622" w:hanging="720"/>
      </w:pPr>
      <w:rPr>
        <w:lang w:val="en-US" w:eastAsia="en-US" w:bidi="en-US"/>
      </w:rPr>
    </w:lvl>
    <w:lvl w:ilvl="3">
      <w:start w:val="0"/>
      <w:numFmt w:val="bullet"/>
      <w:lvlText w:val="•"/>
      <w:lvlJc w:val="left"/>
      <w:pPr>
        <w:ind w:left="4524" w:hanging="720"/>
      </w:pPr>
      <w:rPr>
        <w:lang w:val="en-US" w:eastAsia="en-US" w:bidi="en-US"/>
      </w:rPr>
    </w:lvl>
    <w:lvl w:ilvl="4">
      <w:start w:val="0"/>
      <w:numFmt w:val="bullet"/>
      <w:lvlText w:val="•"/>
      <w:lvlJc w:val="left"/>
      <w:pPr>
        <w:ind w:left="5426" w:hanging="720"/>
      </w:pPr>
      <w:rPr>
        <w:lang w:val="en-US" w:eastAsia="en-US" w:bidi="en-US"/>
      </w:rPr>
    </w:lvl>
    <w:lvl w:ilvl="5">
      <w:start w:val="0"/>
      <w:numFmt w:val="bullet"/>
      <w:lvlText w:val="•"/>
      <w:lvlJc w:val="left"/>
      <w:pPr>
        <w:ind w:left="6328" w:hanging="720"/>
      </w:pPr>
      <w:rPr>
        <w:lang w:val="en-US" w:eastAsia="en-US" w:bidi="en-US"/>
      </w:rPr>
    </w:lvl>
    <w:lvl w:ilvl="6">
      <w:start w:val="0"/>
      <w:numFmt w:val="bullet"/>
      <w:lvlText w:val="•"/>
      <w:lvlJc w:val="left"/>
      <w:pPr>
        <w:ind w:left="7231" w:hanging="720"/>
      </w:pPr>
      <w:rPr>
        <w:lang w:val="en-US" w:eastAsia="en-US" w:bidi="en-US"/>
      </w:rPr>
    </w:lvl>
    <w:lvl w:ilvl="7">
      <w:start w:val="0"/>
      <w:numFmt w:val="bullet"/>
      <w:lvlText w:val="•"/>
      <w:lvlJc w:val="left"/>
      <w:pPr>
        <w:ind w:left="8133" w:hanging="720"/>
      </w:pPr>
      <w:rPr>
        <w:lang w:val="en-US" w:eastAsia="en-US" w:bidi="en-US"/>
      </w:rPr>
    </w:lvl>
    <w:lvl w:ilvl="8">
      <w:start w:val="0"/>
      <w:numFmt w:val="bullet"/>
      <w:lvlText w:val="•"/>
      <w:lvlJc w:val="left"/>
      <w:pPr>
        <w:ind w:left="9035" w:hanging="720"/>
      </w:pPr>
      <w:rPr>
        <w:lang w:val="en-US" w:eastAsia="en-US" w:bidi="en-US"/>
      </w:rPr>
    </w:lvl>
  </w:abstractNum>
  <w:abstractNum w:abstractNumId="3">
    <w:nsid w:val="3FFE4209"/>
    <w:multiLevelType w:val="hybridMultilevel"/>
    <w:tmpl w:val="3F9CAC70"/>
    <w:lvl w:ilvl="0">
      <w:start w:val="5"/>
      <w:numFmt w:val="lowerRoman"/>
      <w:lvlText w:val="%1."/>
      <w:lvlJc w:val="left"/>
      <w:pPr>
        <w:ind w:left="1280" w:hanging="246"/>
      </w:pPr>
      <w:rPr>
        <w:rFonts w:ascii="Times New Roman" w:eastAsia="Times New Roman" w:hAnsi="Times New Roman" w:cs="Times New Roman" w:hint="default"/>
        <w:i/>
        <w:w w:val="99"/>
        <w:sz w:val="26"/>
        <w:szCs w:val="26"/>
        <w:lang w:val="en-US" w:eastAsia="en-US" w:bidi="en-US"/>
      </w:rPr>
    </w:lvl>
    <w:lvl w:ilvl="1">
      <w:start w:val="0"/>
      <w:numFmt w:val="bullet"/>
      <w:lvlText w:val=""/>
      <w:lvlJc w:val="left"/>
      <w:pPr>
        <w:ind w:left="2360" w:hanging="360"/>
      </w:pPr>
      <w:rPr>
        <w:rFonts w:ascii="Symbol" w:eastAsia="Symbol" w:hAnsi="Symbol" w:cs="Symbol" w:hint="default"/>
        <w:w w:val="99"/>
        <w:sz w:val="26"/>
        <w:szCs w:val="26"/>
        <w:lang w:val="en-US" w:eastAsia="en-US" w:bidi="en-US"/>
      </w:rPr>
    </w:lvl>
    <w:lvl w:ilvl="2">
      <w:start w:val="0"/>
      <w:numFmt w:val="bullet"/>
      <w:lvlText w:val="•"/>
      <w:lvlJc w:val="left"/>
      <w:pPr>
        <w:ind w:left="3302" w:hanging="360"/>
      </w:pPr>
      <w:rPr>
        <w:lang w:val="en-US" w:eastAsia="en-US" w:bidi="en-US"/>
      </w:rPr>
    </w:lvl>
    <w:lvl w:ilvl="3">
      <w:start w:val="0"/>
      <w:numFmt w:val="bullet"/>
      <w:lvlText w:val="•"/>
      <w:lvlJc w:val="left"/>
      <w:pPr>
        <w:ind w:left="4244" w:hanging="360"/>
      </w:pPr>
      <w:rPr>
        <w:lang w:val="en-US" w:eastAsia="en-US" w:bidi="en-US"/>
      </w:rPr>
    </w:lvl>
    <w:lvl w:ilvl="4">
      <w:start w:val="0"/>
      <w:numFmt w:val="bullet"/>
      <w:lvlText w:val="•"/>
      <w:lvlJc w:val="left"/>
      <w:pPr>
        <w:ind w:left="5186" w:hanging="360"/>
      </w:pPr>
      <w:rPr>
        <w:lang w:val="en-US" w:eastAsia="en-US" w:bidi="en-US"/>
      </w:rPr>
    </w:lvl>
    <w:lvl w:ilvl="5">
      <w:start w:val="0"/>
      <w:numFmt w:val="bullet"/>
      <w:lvlText w:val="•"/>
      <w:lvlJc w:val="left"/>
      <w:pPr>
        <w:ind w:left="6128" w:hanging="360"/>
      </w:pPr>
      <w:rPr>
        <w:lang w:val="en-US" w:eastAsia="en-US" w:bidi="en-US"/>
      </w:rPr>
    </w:lvl>
    <w:lvl w:ilvl="6">
      <w:start w:val="0"/>
      <w:numFmt w:val="bullet"/>
      <w:lvlText w:val="•"/>
      <w:lvlJc w:val="left"/>
      <w:pPr>
        <w:ind w:left="7071" w:hanging="360"/>
      </w:pPr>
      <w:rPr>
        <w:lang w:val="en-US" w:eastAsia="en-US" w:bidi="en-US"/>
      </w:rPr>
    </w:lvl>
    <w:lvl w:ilvl="7">
      <w:start w:val="0"/>
      <w:numFmt w:val="bullet"/>
      <w:lvlText w:val="•"/>
      <w:lvlJc w:val="left"/>
      <w:pPr>
        <w:ind w:left="8013" w:hanging="360"/>
      </w:pPr>
      <w:rPr>
        <w:lang w:val="en-US" w:eastAsia="en-US" w:bidi="en-US"/>
      </w:rPr>
    </w:lvl>
    <w:lvl w:ilvl="8">
      <w:start w:val="0"/>
      <w:numFmt w:val="bullet"/>
      <w:lvlText w:val="•"/>
      <w:lvlJc w:val="left"/>
      <w:pPr>
        <w:ind w:left="8955" w:hanging="360"/>
      </w:pPr>
      <w:rPr>
        <w:lang w:val="en-US" w:eastAsia="en-US" w:bidi="en-US"/>
      </w:rPr>
    </w:lvl>
  </w:abstractNum>
  <w:abstractNum w:abstractNumId="4">
    <w:nsid w:val="52B36096"/>
    <w:multiLevelType w:val="hybridMultilevel"/>
    <w:tmpl w:val="6C965652"/>
    <w:lvl w:ilvl="0">
      <w:start w:val="1"/>
      <w:numFmt w:val="upperLetter"/>
      <w:lvlText w:val="(%1)"/>
      <w:lvlJc w:val="left"/>
      <w:pPr>
        <w:ind w:left="2401" w:hanging="401"/>
      </w:pPr>
      <w:rPr>
        <w:rFonts w:ascii="Times New Roman" w:eastAsia="Times New Roman" w:hAnsi="Times New Roman" w:cs="Times New Roman" w:hint="default"/>
        <w:w w:val="99"/>
        <w:sz w:val="26"/>
        <w:szCs w:val="26"/>
        <w:lang w:val="en-US" w:eastAsia="en-US" w:bidi="en-US"/>
      </w:rPr>
    </w:lvl>
    <w:lvl w:ilvl="1">
      <w:start w:val="0"/>
      <w:numFmt w:val="bullet"/>
      <w:lvlText w:val="•"/>
      <w:lvlJc w:val="left"/>
      <w:pPr>
        <w:ind w:left="3244" w:hanging="401"/>
      </w:pPr>
      <w:rPr>
        <w:lang w:val="en-US" w:eastAsia="en-US" w:bidi="en-US"/>
      </w:rPr>
    </w:lvl>
    <w:lvl w:ilvl="2">
      <w:start w:val="0"/>
      <w:numFmt w:val="bullet"/>
      <w:lvlText w:val="•"/>
      <w:lvlJc w:val="left"/>
      <w:pPr>
        <w:ind w:left="4088" w:hanging="401"/>
      </w:pPr>
      <w:rPr>
        <w:lang w:val="en-US" w:eastAsia="en-US" w:bidi="en-US"/>
      </w:rPr>
    </w:lvl>
    <w:lvl w:ilvl="3">
      <w:start w:val="0"/>
      <w:numFmt w:val="bullet"/>
      <w:lvlText w:val="•"/>
      <w:lvlJc w:val="left"/>
      <w:pPr>
        <w:ind w:left="4932" w:hanging="401"/>
      </w:pPr>
      <w:rPr>
        <w:lang w:val="en-US" w:eastAsia="en-US" w:bidi="en-US"/>
      </w:rPr>
    </w:lvl>
    <w:lvl w:ilvl="4">
      <w:start w:val="0"/>
      <w:numFmt w:val="bullet"/>
      <w:lvlText w:val="•"/>
      <w:lvlJc w:val="left"/>
      <w:pPr>
        <w:ind w:left="5776" w:hanging="401"/>
      </w:pPr>
      <w:rPr>
        <w:lang w:val="en-US" w:eastAsia="en-US" w:bidi="en-US"/>
      </w:rPr>
    </w:lvl>
    <w:lvl w:ilvl="5">
      <w:start w:val="0"/>
      <w:numFmt w:val="bullet"/>
      <w:lvlText w:val="•"/>
      <w:lvlJc w:val="left"/>
      <w:pPr>
        <w:ind w:left="6620" w:hanging="401"/>
      </w:pPr>
      <w:rPr>
        <w:lang w:val="en-US" w:eastAsia="en-US" w:bidi="en-US"/>
      </w:rPr>
    </w:lvl>
    <w:lvl w:ilvl="6">
      <w:start w:val="0"/>
      <w:numFmt w:val="bullet"/>
      <w:lvlText w:val="•"/>
      <w:lvlJc w:val="left"/>
      <w:pPr>
        <w:ind w:left="7464" w:hanging="401"/>
      </w:pPr>
      <w:rPr>
        <w:lang w:val="en-US" w:eastAsia="en-US" w:bidi="en-US"/>
      </w:rPr>
    </w:lvl>
    <w:lvl w:ilvl="7">
      <w:start w:val="0"/>
      <w:numFmt w:val="bullet"/>
      <w:lvlText w:val="•"/>
      <w:lvlJc w:val="left"/>
      <w:pPr>
        <w:ind w:left="8308" w:hanging="401"/>
      </w:pPr>
      <w:rPr>
        <w:lang w:val="en-US" w:eastAsia="en-US" w:bidi="en-US"/>
      </w:rPr>
    </w:lvl>
    <w:lvl w:ilvl="8">
      <w:start w:val="0"/>
      <w:numFmt w:val="bullet"/>
      <w:lvlText w:val="•"/>
      <w:lvlJc w:val="left"/>
      <w:pPr>
        <w:ind w:left="9152" w:hanging="401"/>
      </w:pPr>
      <w:rPr>
        <w:lang w:val="en-US" w:eastAsia="en-US" w:bidi="en-US"/>
      </w:rPr>
    </w:lvl>
  </w:abstractNum>
  <w:num w:numId="1">
    <w:abstractNumId w:val="1"/>
  </w:num>
  <w:num w:numId="2">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4"/>
    <w:rsid w:val="0001168E"/>
    <w:rsid w:val="00016C2A"/>
    <w:rsid w:val="00022BFE"/>
    <w:rsid w:val="00032705"/>
    <w:rsid w:val="00035977"/>
    <w:rsid w:val="00047206"/>
    <w:rsid w:val="000474CE"/>
    <w:rsid w:val="0005226D"/>
    <w:rsid w:val="00057833"/>
    <w:rsid w:val="000708A2"/>
    <w:rsid w:val="00073589"/>
    <w:rsid w:val="00073679"/>
    <w:rsid w:val="00075452"/>
    <w:rsid w:val="00091512"/>
    <w:rsid w:val="0009263B"/>
    <w:rsid w:val="00093043"/>
    <w:rsid w:val="0009352A"/>
    <w:rsid w:val="00095694"/>
    <w:rsid w:val="000A0699"/>
    <w:rsid w:val="000A4CC0"/>
    <w:rsid w:val="000B0D60"/>
    <w:rsid w:val="000B3E0A"/>
    <w:rsid w:val="000B72B4"/>
    <w:rsid w:val="000B7EC3"/>
    <w:rsid w:val="000C326D"/>
    <w:rsid w:val="000C332F"/>
    <w:rsid w:val="000C5CDC"/>
    <w:rsid w:val="000C7BDF"/>
    <w:rsid w:val="000C7C29"/>
    <w:rsid w:val="000D1E39"/>
    <w:rsid w:val="000D3140"/>
    <w:rsid w:val="000D47E6"/>
    <w:rsid w:val="000E0B6F"/>
    <w:rsid w:val="000E0C25"/>
    <w:rsid w:val="000E4F50"/>
    <w:rsid w:val="000E5462"/>
    <w:rsid w:val="000E7F83"/>
    <w:rsid w:val="000F270F"/>
    <w:rsid w:val="000F4720"/>
    <w:rsid w:val="00102763"/>
    <w:rsid w:val="00106470"/>
    <w:rsid w:val="0010770E"/>
    <w:rsid w:val="00115CD6"/>
    <w:rsid w:val="001237D7"/>
    <w:rsid w:val="0012383B"/>
    <w:rsid w:val="00124765"/>
    <w:rsid w:val="00131679"/>
    <w:rsid w:val="00132FAC"/>
    <w:rsid w:val="001349F9"/>
    <w:rsid w:val="0013667D"/>
    <w:rsid w:val="00150AF2"/>
    <w:rsid w:val="0015255C"/>
    <w:rsid w:val="00152643"/>
    <w:rsid w:val="00152FD8"/>
    <w:rsid w:val="00157EE5"/>
    <w:rsid w:val="00160636"/>
    <w:rsid w:val="0016765B"/>
    <w:rsid w:val="001676BA"/>
    <w:rsid w:val="001731B3"/>
    <w:rsid w:val="0017473E"/>
    <w:rsid w:val="00174DD6"/>
    <w:rsid w:val="00176B6F"/>
    <w:rsid w:val="0018442C"/>
    <w:rsid w:val="00184D53"/>
    <w:rsid w:val="00184F7F"/>
    <w:rsid w:val="0019220F"/>
    <w:rsid w:val="0019259C"/>
    <w:rsid w:val="001958BA"/>
    <w:rsid w:val="001963FF"/>
    <w:rsid w:val="001A2021"/>
    <w:rsid w:val="001A2119"/>
    <w:rsid w:val="001A44EF"/>
    <w:rsid w:val="001B4A12"/>
    <w:rsid w:val="001D084A"/>
    <w:rsid w:val="001D7584"/>
    <w:rsid w:val="001E2681"/>
    <w:rsid w:val="001E2D6C"/>
    <w:rsid w:val="001E2F5C"/>
    <w:rsid w:val="001E65B3"/>
    <w:rsid w:val="001F4CAD"/>
    <w:rsid w:val="001F6BCF"/>
    <w:rsid w:val="00200C9D"/>
    <w:rsid w:val="002014F2"/>
    <w:rsid w:val="00203F0F"/>
    <w:rsid w:val="002043C4"/>
    <w:rsid w:val="00212667"/>
    <w:rsid w:val="00215214"/>
    <w:rsid w:val="002168C9"/>
    <w:rsid w:val="002274FF"/>
    <w:rsid w:val="00232ED7"/>
    <w:rsid w:val="00233A73"/>
    <w:rsid w:val="002342D0"/>
    <w:rsid w:val="002506C5"/>
    <w:rsid w:val="002603B2"/>
    <w:rsid w:val="00262641"/>
    <w:rsid w:val="0026684A"/>
    <w:rsid w:val="00267D69"/>
    <w:rsid w:val="002760BB"/>
    <w:rsid w:val="00276A14"/>
    <w:rsid w:val="0027704D"/>
    <w:rsid w:val="0028384A"/>
    <w:rsid w:val="002913B0"/>
    <w:rsid w:val="002957C7"/>
    <w:rsid w:val="002A3520"/>
    <w:rsid w:val="002A5C98"/>
    <w:rsid w:val="002B0FF8"/>
    <w:rsid w:val="002B2F39"/>
    <w:rsid w:val="002C280C"/>
    <w:rsid w:val="002D2625"/>
    <w:rsid w:val="002D361F"/>
    <w:rsid w:val="002D5E8B"/>
    <w:rsid w:val="002D63E3"/>
    <w:rsid w:val="002E0EE0"/>
    <w:rsid w:val="00302F37"/>
    <w:rsid w:val="003132CF"/>
    <w:rsid w:val="00315F87"/>
    <w:rsid w:val="00327E3E"/>
    <w:rsid w:val="003321D9"/>
    <w:rsid w:val="003370C1"/>
    <w:rsid w:val="0034291E"/>
    <w:rsid w:val="00350159"/>
    <w:rsid w:val="003638BA"/>
    <w:rsid w:val="00367875"/>
    <w:rsid w:val="0037424C"/>
    <w:rsid w:val="0037549F"/>
    <w:rsid w:val="00376C55"/>
    <w:rsid w:val="0038115F"/>
    <w:rsid w:val="003835E6"/>
    <w:rsid w:val="00391550"/>
    <w:rsid w:val="003A0D76"/>
    <w:rsid w:val="003B72FE"/>
    <w:rsid w:val="003B7E41"/>
    <w:rsid w:val="003C1DD4"/>
    <w:rsid w:val="003C2BA4"/>
    <w:rsid w:val="003C780F"/>
    <w:rsid w:val="003D04F1"/>
    <w:rsid w:val="003D0F59"/>
    <w:rsid w:val="003D1AAA"/>
    <w:rsid w:val="003D6B23"/>
    <w:rsid w:val="003E628C"/>
    <w:rsid w:val="003F28B9"/>
    <w:rsid w:val="003F358D"/>
    <w:rsid w:val="00407D21"/>
    <w:rsid w:val="00413D43"/>
    <w:rsid w:val="00422924"/>
    <w:rsid w:val="00423B2A"/>
    <w:rsid w:val="00425C8A"/>
    <w:rsid w:val="004279D8"/>
    <w:rsid w:val="00432C87"/>
    <w:rsid w:val="00432FCF"/>
    <w:rsid w:val="00433452"/>
    <w:rsid w:val="00435948"/>
    <w:rsid w:val="00446E16"/>
    <w:rsid w:val="004551E2"/>
    <w:rsid w:val="0045522B"/>
    <w:rsid w:val="004606B2"/>
    <w:rsid w:val="00460AA5"/>
    <w:rsid w:val="0046796A"/>
    <w:rsid w:val="00475D68"/>
    <w:rsid w:val="004778BC"/>
    <w:rsid w:val="00482A09"/>
    <w:rsid w:val="00490615"/>
    <w:rsid w:val="00490FEF"/>
    <w:rsid w:val="00496FA8"/>
    <w:rsid w:val="00497E96"/>
    <w:rsid w:val="004A048D"/>
    <w:rsid w:val="004A2A5B"/>
    <w:rsid w:val="004A39BD"/>
    <w:rsid w:val="004B0180"/>
    <w:rsid w:val="004B35BE"/>
    <w:rsid w:val="004B4078"/>
    <w:rsid w:val="004C212C"/>
    <w:rsid w:val="004C270D"/>
    <w:rsid w:val="004D3F62"/>
    <w:rsid w:val="004D7305"/>
    <w:rsid w:val="004E4252"/>
    <w:rsid w:val="004E4B31"/>
    <w:rsid w:val="004E4BEC"/>
    <w:rsid w:val="004E5121"/>
    <w:rsid w:val="004E615A"/>
    <w:rsid w:val="004E7526"/>
    <w:rsid w:val="004F07B8"/>
    <w:rsid w:val="004F7748"/>
    <w:rsid w:val="004F7D68"/>
    <w:rsid w:val="0050443E"/>
    <w:rsid w:val="00507253"/>
    <w:rsid w:val="005072DB"/>
    <w:rsid w:val="005075C5"/>
    <w:rsid w:val="00507EDA"/>
    <w:rsid w:val="005110C1"/>
    <w:rsid w:val="00514C9E"/>
    <w:rsid w:val="00515DF2"/>
    <w:rsid w:val="005177BC"/>
    <w:rsid w:val="00517B22"/>
    <w:rsid w:val="00517D2D"/>
    <w:rsid w:val="0052099B"/>
    <w:rsid w:val="00530970"/>
    <w:rsid w:val="00530DAD"/>
    <w:rsid w:val="00535026"/>
    <w:rsid w:val="005379B5"/>
    <w:rsid w:val="00552549"/>
    <w:rsid w:val="00552B17"/>
    <w:rsid w:val="005535CF"/>
    <w:rsid w:val="00555B0E"/>
    <w:rsid w:val="0056081C"/>
    <w:rsid w:val="00563B25"/>
    <w:rsid w:val="00565E35"/>
    <w:rsid w:val="00571F69"/>
    <w:rsid w:val="00574AD5"/>
    <w:rsid w:val="0057750C"/>
    <w:rsid w:val="005815AB"/>
    <w:rsid w:val="005820CD"/>
    <w:rsid w:val="00582E35"/>
    <w:rsid w:val="0058307A"/>
    <w:rsid w:val="005831A2"/>
    <w:rsid w:val="005838C6"/>
    <w:rsid w:val="005902E0"/>
    <w:rsid w:val="00591F89"/>
    <w:rsid w:val="0059311E"/>
    <w:rsid w:val="00596861"/>
    <w:rsid w:val="00596CA2"/>
    <w:rsid w:val="005A1E69"/>
    <w:rsid w:val="005A385D"/>
    <w:rsid w:val="005B17A3"/>
    <w:rsid w:val="005B1E69"/>
    <w:rsid w:val="005B26F4"/>
    <w:rsid w:val="005B29B0"/>
    <w:rsid w:val="005C4E20"/>
    <w:rsid w:val="005D033C"/>
    <w:rsid w:val="005D207B"/>
    <w:rsid w:val="005D4245"/>
    <w:rsid w:val="005D6D1E"/>
    <w:rsid w:val="005E5DD5"/>
    <w:rsid w:val="005E77B4"/>
    <w:rsid w:val="005E7ADB"/>
    <w:rsid w:val="005F150A"/>
    <w:rsid w:val="005F6089"/>
    <w:rsid w:val="00605F52"/>
    <w:rsid w:val="00606673"/>
    <w:rsid w:val="00607467"/>
    <w:rsid w:val="00607ACE"/>
    <w:rsid w:val="00607F23"/>
    <w:rsid w:val="00611DA4"/>
    <w:rsid w:val="00614FA1"/>
    <w:rsid w:val="00621533"/>
    <w:rsid w:val="00621EA8"/>
    <w:rsid w:val="006238BA"/>
    <w:rsid w:val="0062720B"/>
    <w:rsid w:val="00627899"/>
    <w:rsid w:val="0063568A"/>
    <w:rsid w:val="006363BC"/>
    <w:rsid w:val="0064622B"/>
    <w:rsid w:val="006560CB"/>
    <w:rsid w:val="006724DB"/>
    <w:rsid w:val="00674F94"/>
    <w:rsid w:val="00675CDB"/>
    <w:rsid w:val="0068108B"/>
    <w:rsid w:val="006813A6"/>
    <w:rsid w:val="006820B1"/>
    <w:rsid w:val="00682DEF"/>
    <w:rsid w:val="006843DA"/>
    <w:rsid w:val="006846A5"/>
    <w:rsid w:val="0068514C"/>
    <w:rsid w:val="00686B31"/>
    <w:rsid w:val="006929EF"/>
    <w:rsid w:val="00693480"/>
    <w:rsid w:val="006A2481"/>
    <w:rsid w:val="006A2D36"/>
    <w:rsid w:val="006A5D78"/>
    <w:rsid w:val="006A6F6C"/>
    <w:rsid w:val="006B744E"/>
    <w:rsid w:val="006C0165"/>
    <w:rsid w:val="006C66BB"/>
    <w:rsid w:val="006C7B00"/>
    <w:rsid w:val="006D0EE5"/>
    <w:rsid w:val="006F35C8"/>
    <w:rsid w:val="00703089"/>
    <w:rsid w:val="00703CB0"/>
    <w:rsid w:val="00710B09"/>
    <w:rsid w:val="007162EA"/>
    <w:rsid w:val="00717415"/>
    <w:rsid w:val="00717B74"/>
    <w:rsid w:val="00717C77"/>
    <w:rsid w:val="00721113"/>
    <w:rsid w:val="00722831"/>
    <w:rsid w:val="00740697"/>
    <w:rsid w:val="00743B83"/>
    <w:rsid w:val="007468D9"/>
    <w:rsid w:val="00747FD3"/>
    <w:rsid w:val="00754543"/>
    <w:rsid w:val="00755E2A"/>
    <w:rsid w:val="007633AD"/>
    <w:rsid w:val="00764640"/>
    <w:rsid w:val="007657A5"/>
    <w:rsid w:val="00770C02"/>
    <w:rsid w:val="00780E9A"/>
    <w:rsid w:val="00781530"/>
    <w:rsid w:val="00783D76"/>
    <w:rsid w:val="0078416A"/>
    <w:rsid w:val="0078537D"/>
    <w:rsid w:val="007853CD"/>
    <w:rsid w:val="00785CBD"/>
    <w:rsid w:val="00791C3B"/>
    <w:rsid w:val="00791FCC"/>
    <w:rsid w:val="007A5E41"/>
    <w:rsid w:val="007B52A4"/>
    <w:rsid w:val="007C0A07"/>
    <w:rsid w:val="007C5BFB"/>
    <w:rsid w:val="007C6FED"/>
    <w:rsid w:val="007C732F"/>
    <w:rsid w:val="007D113A"/>
    <w:rsid w:val="007D3EF9"/>
    <w:rsid w:val="007D7BD0"/>
    <w:rsid w:val="007E3410"/>
    <w:rsid w:val="007F07B0"/>
    <w:rsid w:val="007F20EF"/>
    <w:rsid w:val="008016D5"/>
    <w:rsid w:val="008059A8"/>
    <w:rsid w:val="00807972"/>
    <w:rsid w:val="00813500"/>
    <w:rsid w:val="0083062B"/>
    <w:rsid w:val="008307B2"/>
    <w:rsid w:val="00830ACC"/>
    <w:rsid w:val="00835A4E"/>
    <w:rsid w:val="008430D0"/>
    <w:rsid w:val="008432C3"/>
    <w:rsid w:val="00845CDB"/>
    <w:rsid w:val="00853661"/>
    <w:rsid w:val="00862225"/>
    <w:rsid w:val="008641E9"/>
    <w:rsid w:val="00865A0E"/>
    <w:rsid w:val="008725E6"/>
    <w:rsid w:val="00873FAE"/>
    <w:rsid w:val="00885B8F"/>
    <w:rsid w:val="00890A87"/>
    <w:rsid w:val="00891BFB"/>
    <w:rsid w:val="00897F93"/>
    <w:rsid w:val="008A07FB"/>
    <w:rsid w:val="008A38C8"/>
    <w:rsid w:val="008A709C"/>
    <w:rsid w:val="008B38DF"/>
    <w:rsid w:val="008B566F"/>
    <w:rsid w:val="008C00BC"/>
    <w:rsid w:val="008C26D0"/>
    <w:rsid w:val="008C4EEF"/>
    <w:rsid w:val="008C69C3"/>
    <w:rsid w:val="008C7420"/>
    <w:rsid w:val="008D1863"/>
    <w:rsid w:val="008D2EE7"/>
    <w:rsid w:val="008D2FA2"/>
    <w:rsid w:val="008D4B80"/>
    <w:rsid w:val="008D52E6"/>
    <w:rsid w:val="008D6F10"/>
    <w:rsid w:val="008D7B2F"/>
    <w:rsid w:val="008F18C6"/>
    <w:rsid w:val="008F53A5"/>
    <w:rsid w:val="008F6A09"/>
    <w:rsid w:val="008F7F8A"/>
    <w:rsid w:val="0090423A"/>
    <w:rsid w:val="009043EB"/>
    <w:rsid w:val="00904629"/>
    <w:rsid w:val="0090471D"/>
    <w:rsid w:val="0090481E"/>
    <w:rsid w:val="00911EE7"/>
    <w:rsid w:val="00912CAC"/>
    <w:rsid w:val="00923743"/>
    <w:rsid w:val="00933427"/>
    <w:rsid w:val="0093616E"/>
    <w:rsid w:val="00937214"/>
    <w:rsid w:val="00950B2F"/>
    <w:rsid w:val="00951237"/>
    <w:rsid w:val="00955700"/>
    <w:rsid w:val="0095577E"/>
    <w:rsid w:val="00962375"/>
    <w:rsid w:val="00963AD6"/>
    <w:rsid w:val="00964AF1"/>
    <w:rsid w:val="00966E12"/>
    <w:rsid w:val="00975595"/>
    <w:rsid w:val="00980B9C"/>
    <w:rsid w:val="00982257"/>
    <w:rsid w:val="00983728"/>
    <w:rsid w:val="0098519B"/>
    <w:rsid w:val="00990270"/>
    <w:rsid w:val="00991AF8"/>
    <w:rsid w:val="00993D5C"/>
    <w:rsid w:val="009A57F1"/>
    <w:rsid w:val="009E2727"/>
    <w:rsid w:val="009E30B2"/>
    <w:rsid w:val="009E44AE"/>
    <w:rsid w:val="009F744A"/>
    <w:rsid w:val="00A03CE0"/>
    <w:rsid w:val="00A04EBA"/>
    <w:rsid w:val="00A142BA"/>
    <w:rsid w:val="00A15125"/>
    <w:rsid w:val="00A20088"/>
    <w:rsid w:val="00A2683B"/>
    <w:rsid w:val="00A31188"/>
    <w:rsid w:val="00A3214E"/>
    <w:rsid w:val="00A32B7A"/>
    <w:rsid w:val="00A341DD"/>
    <w:rsid w:val="00A46092"/>
    <w:rsid w:val="00A51F0F"/>
    <w:rsid w:val="00A5200B"/>
    <w:rsid w:val="00A5416B"/>
    <w:rsid w:val="00A54456"/>
    <w:rsid w:val="00A61C3C"/>
    <w:rsid w:val="00A630FD"/>
    <w:rsid w:val="00A66D9E"/>
    <w:rsid w:val="00A71567"/>
    <w:rsid w:val="00A72A98"/>
    <w:rsid w:val="00A7599E"/>
    <w:rsid w:val="00A81394"/>
    <w:rsid w:val="00A833A5"/>
    <w:rsid w:val="00A85D82"/>
    <w:rsid w:val="00A9088B"/>
    <w:rsid w:val="00A91F63"/>
    <w:rsid w:val="00AA0BAC"/>
    <w:rsid w:val="00AA5D2C"/>
    <w:rsid w:val="00AB19B7"/>
    <w:rsid w:val="00AB3395"/>
    <w:rsid w:val="00AC1EBE"/>
    <w:rsid w:val="00AC68C6"/>
    <w:rsid w:val="00AC7489"/>
    <w:rsid w:val="00AF036B"/>
    <w:rsid w:val="00AF26EB"/>
    <w:rsid w:val="00B04DAA"/>
    <w:rsid w:val="00B10414"/>
    <w:rsid w:val="00B17A77"/>
    <w:rsid w:val="00B17B69"/>
    <w:rsid w:val="00B17FBD"/>
    <w:rsid w:val="00B227B7"/>
    <w:rsid w:val="00B360B7"/>
    <w:rsid w:val="00B41DC6"/>
    <w:rsid w:val="00B44E84"/>
    <w:rsid w:val="00B457DF"/>
    <w:rsid w:val="00B45C45"/>
    <w:rsid w:val="00B5328D"/>
    <w:rsid w:val="00B53C89"/>
    <w:rsid w:val="00B555CE"/>
    <w:rsid w:val="00B57F1B"/>
    <w:rsid w:val="00B637DF"/>
    <w:rsid w:val="00B65C71"/>
    <w:rsid w:val="00B72196"/>
    <w:rsid w:val="00B819D9"/>
    <w:rsid w:val="00B836BF"/>
    <w:rsid w:val="00B86A11"/>
    <w:rsid w:val="00B87AD2"/>
    <w:rsid w:val="00B95B3D"/>
    <w:rsid w:val="00B95DAB"/>
    <w:rsid w:val="00B95E1E"/>
    <w:rsid w:val="00BA3F55"/>
    <w:rsid w:val="00BA71DD"/>
    <w:rsid w:val="00BB1F8F"/>
    <w:rsid w:val="00BB5C7C"/>
    <w:rsid w:val="00BC1EBF"/>
    <w:rsid w:val="00BC39CD"/>
    <w:rsid w:val="00BC431A"/>
    <w:rsid w:val="00BC7B6F"/>
    <w:rsid w:val="00BD1458"/>
    <w:rsid w:val="00BE3D98"/>
    <w:rsid w:val="00BE6729"/>
    <w:rsid w:val="00BF01BD"/>
    <w:rsid w:val="00BF28BD"/>
    <w:rsid w:val="00BF3FF0"/>
    <w:rsid w:val="00C02201"/>
    <w:rsid w:val="00C04796"/>
    <w:rsid w:val="00C13F84"/>
    <w:rsid w:val="00C141E0"/>
    <w:rsid w:val="00C14D83"/>
    <w:rsid w:val="00C15121"/>
    <w:rsid w:val="00C20819"/>
    <w:rsid w:val="00C22474"/>
    <w:rsid w:val="00C24AE6"/>
    <w:rsid w:val="00C25883"/>
    <w:rsid w:val="00C25FAE"/>
    <w:rsid w:val="00C261A3"/>
    <w:rsid w:val="00C3405F"/>
    <w:rsid w:val="00C3630E"/>
    <w:rsid w:val="00C36740"/>
    <w:rsid w:val="00C377D9"/>
    <w:rsid w:val="00C427A1"/>
    <w:rsid w:val="00C461C5"/>
    <w:rsid w:val="00C46310"/>
    <w:rsid w:val="00C5078B"/>
    <w:rsid w:val="00C5404C"/>
    <w:rsid w:val="00C5440C"/>
    <w:rsid w:val="00C6630A"/>
    <w:rsid w:val="00C67240"/>
    <w:rsid w:val="00C700AA"/>
    <w:rsid w:val="00C74C56"/>
    <w:rsid w:val="00C75A05"/>
    <w:rsid w:val="00C76D2E"/>
    <w:rsid w:val="00C774D1"/>
    <w:rsid w:val="00C867A8"/>
    <w:rsid w:val="00C9158E"/>
    <w:rsid w:val="00C92320"/>
    <w:rsid w:val="00CA0474"/>
    <w:rsid w:val="00CA1DC5"/>
    <w:rsid w:val="00CA25DF"/>
    <w:rsid w:val="00CA3500"/>
    <w:rsid w:val="00CA43DF"/>
    <w:rsid w:val="00CA56F1"/>
    <w:rsid w:val="00CB215C"/>
    <w:rsid w:val="00CB2F13"/>
    <w:rsid w:val="00CC27FE"/>
    <w:rsid w:val="00CC5CB9"/>
    <w:rsid w:val="00CC5D7D"/>
    <w:rsid w:val="00CC64E1"/>
    <w:rsid w:val="00CD437C"/>
    <w:rsid w:val="00CE4B56"/>
    <w:rsid w:val="00CE6ACD"/>
    <w:rsid w:val="00CF6F91"/>
    <w:rsid w:val="00D00315"/>
    <w:rsid w:val="00D07BFC"/>
    <w:rsid w:val="00D10424"/>
    <w:rsid w:val="00D146C7"/>
    <w:rsid w:val="00D150B9"/>
    <w:rsid w:val="00D15389"/>
    <w:rsid w:val="00D16574"/>
    <w:rsid w:val="00D23434"/>
    <w:rsid w:val="00D255E4"/>
    <w:rsid w:val="00D30B34"/>
    <w:rsid w:val="00D36743"/>
    <w:rsid w:val="00D50733"/>
    <w:rsid w:val="00D51BD2"/>
    <w:rsid w:val="00D5278A"/>
    <w:rsid w:val="00D52814"/>
    <w:rsid w:val="00D627C6"/>
    <w:rsid w:val="00D7181B"/>
    <w:rsid w:val="00D76154"/>
    <w:rsid w:val="00D8036B"/>
    <w:rsid w:val="00D82A00"/>
    <w:rsid w:val="00D853EA"/>
    <w:rsid w:val="00D90434"/>
    <w:rsid w:val="00D91D99"/>
    <w:rsid w:val="00D944DE"/>
    <w:rsid w:val="00D96180"/>
    <w:rsid w:val="00D965AF"/>
    <w:rsid w:val="00DA4941"/>
    <w:rsid w:val="00DA53A6"/>
    <w:rsid w:val="00DA61F2"/>
    <w:rsid w:val="00DA784A"/>
    <w:rsid w:val="00DB000E"/>
    <w:rsid w:val="00DB4153"/>
    <w:rsid w:val="00DB4676"/>
    <w:rsid w:val="00DB7EB1"/>
    <w:rsid w:val="00DC3F86"/>
    <w:rsid w:val="00DC652E"/>
    <w:rsid w:val="00DD037A"/>
    <w:rsid w:val="00DD1AD5"/>
    <w:rsid w:val="00DD445F"/>
    <w:rsid w:val="00DD5617"/>
    <w:rsid w:val="00DD5966"/>
    <w:rsid w:val="00DE308F"/>
    <w:rsid w:val="00DE42E7"/>
    <w:rsid w:val="00DE4AD7"/>
    <w:rsid w:val="00DF2568"/>
    <w:rsid w:val="00E00432"/>
    <w:rsid w:val="00E079B8"/>
    <w:rsid w:val="00E13E12"/>
    <w:rsid w:val="00E15303"/>
    <w:rsid w:val="00E21994"/>
    <w:rsid w:val="00E229D4"/>
    <w:rsid w:val="00E34D67"/>
    <w:rsid w:val="00E350E0"/>
    <w:rsid w:val="00E35C94"/>
    <w:rsid w:val="00E37A6A"/>
    <w:rsid w:val="00E656FC"/>
    <w:rsid w:val="00E65CD8"/>
    <w:rsid w:val="00E73678"/>
    <w:rsid w:val="00E77717"/>
    <w:rsid w:val="00E817F8"/>
    <w:rsid w:val="00E839B3"/>
    <w:rsid w:val="00E83EC3"/>
    <w:rsid w:val="00E83F5F"/>
    <w:rsid w:val="00EA01F9"/>
    <w:rsid w:val="00EA13EB"/>
    <w:rsid w:val="00EA391E"/>
    <w:rsid w:val="00EB1A18"/>
    <w:rsid w:val="00EB42D4"/>
    <w:rsid w:val="00EB4782"/>
    <w:rsid w:val="00EB4F41"/>
    <w:rsid w:val="00EB51EF"/>
    <w:rsid w:val="00EC3DE4"/>
    <w:rsid w:val="00ED275C"/>
    <w:rsid w:val="00EE1BD5"/>
    <w:rsid w:val="00EE1C22"/>
    <w:rsid w:val="00F125C4"/>
    <w:rsid w:val="00F220D6"/>
    <w:rsid w:val="00F26DC7"/>
    <w:rsid w:val="00F26FD8"/>
    <w:rsid w:val="00F3040A"/>
    <w:rsid w:val="00F31115"/>
    <w:rsid w:val="00F326AA"/>
    <w:rsid w:val="00F41780"/>
    <w:rsid w:val="00F425C4"/>
    <w:rsid w:val="00F43C40"/>
    <w:rsid w:val="00F44A72"/>
    <w:rsid w:val="00F60F86"/>
    <w:rsid w:val="00F66FB6"/>
    <w:rsid w:val="00F6770E"/>
    <w:rsid w:val="00F84928"/>
    <w:rsid w:val="00F87209"/>
    <w:rsid w:val="00F9440D"/>
    <w:rsid w:val="00F957F9"/>
    <w:rsid w:val="00F95D13"/>
    <w:rsid w:val="00F96AEB"/>
    <w:rsid w:val="00FA5B15"/>
    <w:rsid w:val="00FB128F"/>
    <w:rsid w:val="00FC09AA"/>
    <w:rsid w:val="00FC574F"/>
    <w:rsid w:val="00FC5F0E"/>
    <w:rsid w:val="00FD0E2E"/>
    <w:rsid w:val="00FE1011"/>
    <w:rsid w:val="00FE7773"/>
    <w:rsid w:val="00FF2DB1"/>
    <w:rsid w:val="00FF38B7"/>
    <w:rsid w:val="00FF4E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paragraph" w:styleId="Heading1">
    <w:name w:val="heading 1"/>
    <w:basedOn w:val="Normal"/>
    <w:link w:val="Heading1Char"/>
    <w:uiPriority w:val="9"/>
    <w:qFormat/>
    <w:rsid w:val="007853CD"/>
    <w:pPr>
      <w:widowControl w:val="0"/>
      <w:tabs>
        <w:tab w:val="clear" w:pos="720"/>
      </w:tabs>
      <w:autoSpaceDE w:val="0"/>
      <w:autoSpaceDN w:val="0"/>
      <w:spacing w:before="60" w:line="240" w:lineRule="auto"/>
      <w:ind w:left="1662"/>
      <w:outlineLvl w:val="0"/>
    </w:pPr>
    <w:rPr>
      <w:rFonts w:ascii="Times New Roman" w:eastAsia="Times New Roman" w:hAnsi="Times New Roman" w:cs="Times New Roman"/>
      <w:b/>
      <w:bCs/>
      <w:u w:val="single" w:color="000000"/>
      <w:lang w:bidi="en-US"/>
    </w:rPr>
  </w:style>
  <w:style w:type="paragraph" w:styleId="Heading2">
    <w:name w:val="heading 2"/>
    <w:basedOn w:val="Normal"/>
    <w:link w:val="Heading2Char"/>
    <w:uiPriority w:val="9"/>
    <w:semiHidden/>
    <w:unhideWhenUsed/>
    <w:qFormat/>
    <w:rsid w:val="007853CD"/>
    <w:pPr>
      <w:widowControl w:val="0"/>
      <w:tabs>
        <w:tab w:val="clear" w:pos="720"/>
      </w:tabs>
      <w:autoSpaceDE w:val="0"/>
      <w:autoSpaceDN w:val="0"/>
      <w:spacing w:line="240" w:lineRule="auto"/>
      <w:ind w:left="2000"/>
      <w:outlineLvl w:val="1"/>
    </w:pPr>
    <w:rPr>
      <w:rFonts w:ascii="Times New Roman" w:eastAsia="Times New Roman" w:hAnsi="Times New Roman" w:cs="Times New Roman"/>
      <w:b/>
      <w:bCs/>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C4"/>
    <w:pPr>
      <w:tabs>
        <w:tab w:val="center" w:pos="4680"/>
        <w:tab w:val="right" w:pos="9360"/>
      </w:tabs>
      <w:spacing w:line="240" w:lineRule="auto"/>
    </w:pPr>
  </w:style>
  <w:style w:type="character" w:customStyle="1" w:styleId="HeaderChar">
    <w:name w:val="Header Char"/>
    <w:basedOn w:val="DefaultParagraphFont"/>
    <w:link w:val="Header"/>
    <w:uiPriority w:val="99"/>
    <w:rsid w:val="00F425C4"/>
  </w:style>
  <w:style w:type="paragraph" w:styleId="Footer">
    <w:name w:val="footer"/>
    <w:basedOn w:val="Normal"/>
    <w:link w:val="FooterChar"/>
    <w:uiPriority w:val="99"/>
    <w:unhideWhenUsed/>
    <w:rsid w:val="00F425C4"/>
    <w:pPr>
      <w:tabs>
        <w:tab w:val="center" w:pos="4680"/>
        <w:tab w:val="right" w:pos="9360"/>
      </w:tabs>
      <w:spacing w:line="240" w:lineRule="auto"/>
    </w:pPr>
  </w:style>
  <w:style w:type="character" w:customStyle="1" w:styleId="FooterChar">
    <w:name w:val="Footer Char"/>
    <w:basedOn w:val="DefaultParagraphFont"/>
    <w:link w:val="Footer"/>
    <w:uiPriority w:val="99"/>
    <w:rsid w:val="00F425C4"/>
  </w:style>
  <w:style w:type="character" w:styleId="PageNumber">
    <w:name w:val="page number"/>
    <w:basedOn w:val="DefaultParagraphFont"/>
    <w:uiPriority w:val="99"/>
    <w:semiHidden/>
    <w:unhideWhenUsed/>
    <w:rsid w:val="00F425C4"/>
  </w:style>
  <w:style w:type="paragraph" w:styleId="FootnoteText">
    <w:name w:val="footnote text"/>
    <w:link w:val="FootnoteTextChar"/>
    <w:uiPriority w:val="99"/>
    <w:unhideWhenUsed/>
    <w:rsid w:val="00F425C4"/>
    <w:pPr>
      <w:spacing w:line="240" w:lineRule="auto"/>
    </w:pPr>
    <w:rPr>
      <w:szCs w:val="20"/>
    </w:rPr>
  </w:style>
  <w:style w:type="character" w:customStyle="1" w:styleId="FootnoteTextChar">
    <w:name w:val="Footnote Text Char"/>
    <w:basedOn w:val="DefaultParagraphFont"/>
    <w:link w:val="FootnoteText"/>
    <w:uiPriority w:val="99"/>
    <w:rsid w:val="00F425C4"/>
    <w:rPr>
      <w:szCs w:val="20"/>
    </w:rPr>
  </w:style>
  <w:style w:type="character" w:customStyle="1" w:styleId="Heading1Char">
    <w:name w:val="Heading 1 Char"/>
    <w:basedOn w:val="DefaultParagraphFont"/>
    <w:link w:val="Heading1"/>
    <w:uiPriority w:val="9"/>
    <w:rsid w:val="007853CD"/>
    <w:rPr>
      <w:rFonts w:ascii="Times New Roman" w:eastAsia="Times New Roman" w:hAnsi="Times New Roman" w:cs="Times New Roman"/>
      <w:b/>
      <w:bCs/>
      <w:u w:val="single" w:color="000000"/>
      <w:lang w:bidi="en-US"/>
    </w:rPr>
  </w:style>
  <w:style w:type="character" w:customStyle="1" w:styleId="Heading2Char">
    <w:name w:val="Heading 2 Char"/>
    <w:basedOn w:val="DefaultParagraphFont"/>
    <w:link w:val="Heading2"/>
    <w:uiPriority w:val="9"/>
    <w:semiHidden/>
    <w:rsid w:val="007853CD"/>
    <w:rPr>
      <w:rFonts w:ascii="Times New Roman" w:eastAsia="Times New Roman" w:hAnsi="Times New Roman" w:cs="Times New Roman"/>
      <w:b/>
      <w:bCs/>
      <w:i/>
      <w:lang w:bidi="en-US"/>
    </w:rPr>
  </w:style>
  <w:style w:type="paragraph" w:customStyle="1" w:styleId="msonormal">
    <w:name w:val="msonormal"/>
    <w:basedOn w:val="Normal"/>
    <w:rsid w:val="007853CD"/>
    <w:pPr>
      <w:tabs>
        <w:tab w:val="clear" w:pos="720"/>
      </w:tabs>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1"/>
    <w:semiHidden/>
    <w:unhideWhenUsed/>
    <w:qFormat/>
    <w:rsid w:val="007853CD"/>
    <w:pPr>
      <w:widowControl w:val="0"/>
      <w:tabs>
        <w:tab w:val="clear" w:pos="720"/>
      </w:tabs>
      <w:autoSpaceDE w:val="0"/>
      <w:autoSpaceDN w:val="0"/>
      <w:spacing w:before="142" w:line="240" w:lineRule="auto"/>
      <w:ind w:right="365"/>
      <w:jc w:val="center"/>
    </w:pPr>
    <w:rPr>
      <w:rFonts w:ascii="Times New Roman" w:eastAsia="Times New Roman" w:hAnsi="Times New Roman" w:cs="Times New Roman"/>
      <w:lang w:bidi="en-US"/>
    </w:rPr>
  </w:style>
  <w:style w:type="paragraph" w:styleId="TOC2">
    <w:name w:val="toc 2"/>
    <w:basedOn w:val="Normal"/>
    <w:autoRedefine/>
    <w:uiPriority w:val="1"/>
    <w:semiHidden/>
    <w:unhideWhenUsed/>
    <w:qFormat/>
    <w:rsid w:val="007853CD"/>
    <w:pPr>
      <w:widowControl w:val="0"/>
      <w:tabs>
        <w:tab w:val="clear" w:pos="720"/>
      </w:tabs>
      <w:autoSpaceDE w:val="0"/>
      <w:autoSpaceDN w:val="0"/>
      <w:spacing w:before="241" w:line="240" w:lineRule="auto"/>
      <w:ind w:left="2000"/>
    </w:pPr>
    <w:rPr>
      <w:rFonts w:ascii="Times New Roman" w:eastAsia="Times New Roman" w:hAnsi="Times New Roman" w:cs="Times New Roman"/>
      <w:lang w:bidi="en-US"/>
    </w:rPr>
  </w:style>
  <w:style w:type="paragraph" w:styleId="TOC3">
    <w:name w:val="toc 3"/>
    <w:basedOn w:val="Normal"/>
    <w:autoRedefine/>
    <w:uiPriority w:val="1"/>
    <w:semiHidden/>
    <w:unhideWhenUsed/>
    <w:qFormat/>
    <w:rsid w:val="007853CD"/>
    <w:pPr>
      <w:widowControl w:val="0"/>
      <w:tabs>
        <w:tab w:val="clear" w:pos="720"/>
      </w:tabs>
      <w:autoSpaceDE w:val="0"/>
      <w:autoSpaceDN w:val="0"/>
      <w:spacing w:line="299" w:lineRule="exact"/>
      <w:ind w:left="2000"/>
    </w:pPr>
    <w:rPr>
      <w:rFonts w:ascii="Times New Roman" w:eastAsia="Times New Roman" w:hAnsi="Times New Roman" w:cs="Times New Roman"/>
      <w:lang w:bidi="en-US"/>
    </w:rPr>
  </w:style>
  <w:style w:type="paragraph" w:styleId="BodyText">
    <w:name w:val="Body Text"/>
    <w:basedOn w:val="Normal"/>
    <w:link w:val="BodyTextChar"/>
    <w:uiPriority w:val="1"/>
    <w:unhideWhenUsed/>
    <w:qFormat/>
    <w:rsid w:val="007853CD"/>
    <w:pPr>
      <w:widowControl w:val="0"/>
      <w:tabs>
        <w:tab w:val="clear" w:pos="720"/>
      </w:tabs>
      <w:autoSpaceDE w:val="0"/>
      <w:autoSpaceDN w:val="0"/>
      <w:spacing w:line="240" w:lineRule="auto"/>
      <w:ind w:left="128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853CD"/>
    <w:rPr>
      <w:rFonts w:ascii="Times New Roman" w:eastAsia="Times New Roman" w:hAnsi="Times New Roman" w:cs="Times New Roman"/>
      <w:lang w:bidi="en-US"/>
    </w:rPr>
  </w:style>
  <w:style w:type="paragraph" w:styleId="ListParagraph">
    <w:name w:val="List Paragraph"/>
    <w:basedOn w:val="Normal"/>
    <w:uiPriority w:val="1"/>
    <w:qFormat/>
    <w:rsid w:val="007853CD"/>
    <w:pPr>
      <w:widowControl w:val="0"/>
      <w:tabs>
        <w:tab w:val="clear" w:pos="720"/>
      </w:tabs>
      <w:autoSpaceDE w:val="0"/>
      <w:autoSpaceDN w:val="0"/>
      <w:spacing w:line="240" w:lineRule="auto"/>
      <w:ind w:left="2000" w:hanging="720"/>
    </w:pPr>
    <w:rPr>
      <w:rFonts w:ascii="Times New Roman" w:eastAsia="Times New Roman" w:hAnsi="Times New Roman" w:cs="Times New Roman"/>
      <w:sz w:val="22"/>
      <w:szCs w:val="22"/>
      <w:lang w:bidi="en-US"/>
    </w:rPr>
  </w:style>
  <w:style w:type="paragraph" w:customStyle="1" w:styleId="TableParagraph">
    <w:name w:val="Table Paragraph"/>
    <w:basedOn w:val="Normal"/>
    <w:uiPriority w:val="1"/>
    <w:qFormat/>
    <w:rsid w:val="007853CD"/>
    <w:pPr>
      <w:widowControl w:val="0"/>
      <w:tabs>
        <w:tab w:val="clear" w:pos="720"/>
      </w:tabs>
      <w:autoSpaceDE w:val="0"/>
      <w:autoSpaceDN w:val="0"/>
      <w:spacing w:line="240" w:lineRule="auto"/>
      <w:ind w:left="15"/>
    </w:pPr>
    <w:rPr>
      <w:rFonts w:ascii="Times New Roman" w:eastAsia="Times New Roman" w:hAnsi="Times New Roman" w:cs="Times New Roman"/>
      <w:sz w:val="22"/>
      <w:szCs w:val="22"/>
      <w:lang w:bidi="en-US"/>
    </w:rPr>
  </w:style>
  <w:style w:type="character" w:customStyle="1" w:styleId="cite">
    <w:name w:val="cite"/>
    <w:basedOn w:val="DefaultParagraphFont"/>
    <w:rsid w:val="000C7BDF"/>
  </w:style>
  <w:style w:type="character" w:styleId="Hyperlink">
    <w:name w:val="Hyperlink"/>
    <w:basedOn w:val="DefaultParagraphFont"/>
    <w:uiPriority w:val="99"/>
    <w:semiHidden/>
    <w:unhideWhenUsed/>
    <w:rsid w:val="000C7BDF"/>
    <w:rPr>
      <w:color w:val="0000FF"/>
      <w:u w:val="single"/>
    </w:rPr>
  </w:style>
  <w:style w:type="paragraph" w:styleId="NormalWeb">
    <w:name w:val="Normal (Web)"/>
    <w:basedOn w:val="Normal"/>
    <w:uiPriority w:val="99"/>
    <w:unhideWhenUsed/>
    <w:rsid w:val="00890A87"/>
    <w:pPr>
      <w:tabs>
        <w:tab w:val="clear" w:pos="720"/>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headnotelink">
    <w:name w:val="ss_headnotelink"/>
    <w:basedOn w:val="DefaultParagraphFont"/>
    <w:rsid w:val="003321D9"/>
  </w:style>
  <w:style w:type="character" w:customStyle="1" w:styleId="ssit">
    <w:name w:val="ss_it"/>
    <w:basedOn w:val="DefaultParagraphFont"/>
    <w:rsid w:val="003321D9"/>
  </w:style>
  <w:style w:type="character" w:styleId="FootnoteReference">
    <w:name w:val="footnote reference"/>
    <w:basedOn w:val="DefaultParagraphFont"/>
    <w:uiPriority w:val="99"/>
    <w:semiHidden/>
    <w:unhideWhenUsed/>
    <w:rsid w:val="005D207B"/>
    <w:rPr>
      <w:vertAlign w:val="superscript"/>
    </w:rPr>
  </w:style>
  <w:style w:type="paragraph" w:styleId="Revision">
    <w:name w:val="Revision"/>
    <w:hidden/>
    <w:uiPriority w:val="99"/>
    <w:semiHidden/>
    <w:rsid w:val="00530970"/>
    <w:pPr>
      <w:spacing w:line="240" w:lineRule="auto"/>
    </w:pPr>
  </w:style>
  <w:style w:type="character" w:styleId="CommentReference">
    <w:name w:val="annotation reference"/>
    <w:basedOn w:val="DefaultParagraphFont"/>
    <w:uiPriority w:val="99"/>
    <w:semiHidden/>
    <w:unhideWhenUsed/>
    <w:rsid w:val="003835E6"/>
    <w:rPr>
      <w:sz w:val="16"/>
      <w:szCs w:val="16"/>
    </w:rPr>
  </w:style>
  <w:style w:type="paragraph" w:styleId="CommentText">
    <w:name w:val="annotation text"/>
    <w:basedOn w:val="Normal"/>
    <w:link w:val="CommentTextChar"/>
    <w:uiPriority w:val="99"/>
    <w:unhideWhenUsed/>
    <w:rsid w:val="003835E6"/>
    <w:pPr>
      <w:spacing w:line="240" w:lineRule="auto"/>
    </w:pPr>
    <w:rPr>
      <w:sz w:val="20"/>
      <w:szCs w:val="20"/>
    </w:rPr>
  </w:style>
  <w:style w:type="character" w:customStyle="1" w:styleId="CommentTextChar">
    <w:name w:val="Comment Text Char"/>
    <w:basedOn w:val="DefaultParagraphFont"/>
    <w:link w:val="CommentText"/>
    <w:uiPriority w:val="99"/>
    <w:rsid w:val="003835E6"/>
    <w:rPr>
      <w:sz w:val="20"/>
      <w:szCs w:val="20"/>
    </w:rPr>
  </w:style>
  <w:style w:type="paragraph" w:styleId="CommentSubject">
    <w:name w:val="annotation subject"/>
    <w:basedOn w:val="CommentText"/>
    <w:next w:val="CommentText"/>
    <w:link w:val="CommentSubjectChar"/>
    <w:uiPriority w:val="99"/>
    <w:semiHidden/>
    <w:unhideWhenUsed/>
    <w:rsid w:val="003835E6"/>
    <w:rPr>
      <w:b/>
      <w:bCs/>
    </w:rPr>
  </w:style>
  <w:style w:type="character" w:customStyle="1" w:styleId="CommentSubjectChar">
    <w:name w:val="Comment Subject Char"/>
    <w:basedOn w:val="CommentTextChar"/>
    <w:link w:val="CommentSubject"/>
    <w:uiPriority w:val="99"/>
    <w:semiHidden/>
    <w:rsid w:val="00383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5850</Words>
  <Characters>33347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2023-08-03T22:48:54Z</dcterms:created>
  <dcterms:modified xsi:type="dcterms:W3CDTF">2023-08-03T22:48:54Z</dcterms:modified>
</cp:coreProperties>
</file>