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B192" w14:textId="77777777" w:rsidR="006F58CB" w:rsidRPr="004B2676" w:rsidRDefault="006F58CB" w:rsidP="00412D9A">
      <w:pPr>
        <w:spacing w:line="240" w:lineRule="auto"/>
        <w:rPr>
          <w:rFonts w:ascii="Century Schoolbook" w:hAnsi="Century Schoolbook"/>
          <w:sz w:val="20"/>
        </w:rPr>
      </w:pPr>
      <w:r w:rsidRPr="004B2676">
        <w:rPr>
          <w:rFonts w:ascii="Century Schoolbook" w:hAnsi="Century Schoolbook"/>
          <w:sz w:val="20"/>
        </w:rPr>
        <w:t xml:space="preserve">Filed </w:t>
      </w:r>
      <w:r w:rsidRPr="004B2676">
        <w:rPr>
          <w:rFonts w:ascii="Century Schoolbook" w:hAnsi="Century Schoolbook"/>
          <w:sz w:val="20"/>
        </w:rPr>
        <w:t>6/21/24</w:t>
      </w:r>
    </w:p>
    <w:p w14:paraId="70A2FF69" w14:textId="77777777" w:rsidR="006F58CB" w:rsidRPr="00664598" w:rsidRDefault="006F58CB" w:rsidP="00664598">
      <w:pPr>
        <w:spacing w:line="240" w:lineRule="auto"/>
        <w:jc w:val="center"/>
        <w:rPr>
          <w:rFonts w:ascii="Century Schoolbook" w:hAnsi="Century Schoolbook"/>
        </w:rPr>
      </w:pPr>
      <w:r>
        <w:rPr>
          <w:rFonts w:ascii="Century Schoolbook" w:hAnsi="Century Schoolbook"/>
          <w:b/>
        </w:rPr>
        <w:t>CERTIFIED FOR PARTIAL PUBLICATION</w:t>
      </w:r>
      <w:r>
        <w:rPr>
          <w:rStyle w:val="FootnoteReference"/>
          <w:rFonts w:ascii="Century Schoolbook" w:hAnsi="Century Schoolbook"/>
          <w:b/>
        </w:rPr>
        <w:footnoteReference w:customMarkFollows="1" w:id="2"/>
        <w:t>*</w:t>
      </w:r>
    </w:p>
    <w:p w14:paraId="382D4306" w14:textId="77777777" w:rsidR="006F58CB" w:rsidRPr="009B7E26" w:rsidRDefault="006F58CB" w:rsidP="00412D9A">
      <w:pPr>
        <w:spacing w:line="240" w:lineRule="auto"/>
        <w:rPr>
          <w:rFonts w:ascii="Century Schoolbook" w:hAnsi="Century Schoolbook"/>
          <w:sz w:val="20"/>
        </w:rPr>
      </w:pPr>
    </w:p>
    <w:p w14:paraId="3B711BF7" w14:textId="77777777" w:rsidR="006F58CB" w:rsidRPr="000C6538" w:rsidRDefault="006F58CB" w:rsidP="00EF7C3D">
      <w:pPr>
        <w:spacing w:line="240" w:lineRule="auto"/>
        <w:jc w:val="center"/>
        <w:rPr>
          <w:rFonts w:ascii="Century Schoolbook" w:hAnsi="Century Schoolbook"/>
        </w:rPr>
      </w:pPr>
    </w:p>
    <w:p w14:paraId="7D4AA3F3" w14:textId="77777777" w:rsidR="006F58CB" w:rsidRPr="000C6538" w:rsidRDefault="006F58CB" w:rsidP="00EF7C3D">
      <w:pPr>
        <w:spacing w:line="240" w:lineRule="auto"/>
        <w:jc w:val="center"/>
        <w:rPr>
          <w:rFonts w:ascii="Century Schoolbook" w:hAnsi="Century Schoolbook"/>
        </w:rPr>
      </w:pPr>
      <w:r w:rsidRPr="000C6538">
        <w:rPr>
          <w:rFonts w:ascii="Century Schoolbook" w:hAnsi="Century Schoolbook"/>
        </w:rPr>
        <w:t>IN THE COURT OF APPEAL OF THE STATE OF CALIFORNIA</w:t>
      </w:r>
    </w:p>
    <w:p w14:paraId="33809D96" w14:textId="77777777" w:rsidR="006F58CB" w:rsidRPr="000C6538" w:rsidRDefault="006F58CB" w:rsidP="00EF7C3D">
      <w:pPr>
        <w:spacing w:line="240" w:lineRule="auto"/>
        <w:jc w:val="center"/>
        <w:rPr>
          <w:rFonts w:ascii="Century Schoolbook" w:hAnsi="Century Schoolbook"/>
        </w:rPr>
      </w:pPr>
    </w:p>
    <w:p w14:paraId="682A4427" w14:textId="77777777" w:rsidR="006F58CB" w:rsidRPr="000C6538" w:rsidRDefault="006F58CB" w:rsidP="00EF7C3D">
      <w:pPr>
        <w:spacing w:line="240" w:lineRule="auto"/>
        <w:jc w:val="center"/>
        <w:rPr>
          <w:rFonts w:ascii="Century Schoolbook" w:hAnsi="Century Schoolbook"/>
        </w:rPr>
      </w:pPr>
      <w:r w:rsidRPr="000C6538">
        <w:rPr>
          <w:rFonts w:ascii="Century Schoolbook" w:hAnsi="Century Schoolbook"/>
        </w:rPr>
        <w:t>FIRST APPELLATE DISTRICT</w:t>
      </w:r>
    </w:p>
    <w:p w14:paraId="38858301" w14:textId="77777777" w:rsidR="006F58CB" w:rsidRPr="000C6538" w:rsidRDefault="006F58CB" w:rsidP="00EF7C3D">
      <w:pPr>
        <w:spacing w:line="240" w:lineRule="auto"/>
        <w:jc w:val="center"/>
        <w:rPr>
          <w:rFonts w:ascii="Century Schoolbook" w:hAnsi="Century Schoolbook"/>
        </w:rPr>
      </w:pPr>
    </w:p>
    <w:p w14:paraId="74FF9A59" w14:textId="77777777" w:rsidR="006F58CB" w:rsidRPr="000C6538" w:rsidRDefault="006F58CB" w:rsidP="00EF7C3D">
      <w:pPr>
        <w:spacing w:line="240" w:lineRule="auto"/>
        <w:jc w:val="center"/>
        <w:rPr>
          <w:rFonts w:ascii="Century Schoolbook" w:hAnsi="Century Schoolbook"/>
        </w:rPr>
      </w:pPr>
      <w:r w:rsidRPr="000C6538">
        <w:rPr>
          <w:rFonts w:ascii="Century Schoolbook" w:hAnsi="Century Schoolbook"/>
        </w:rPr>
        <w:t>DIVISION FIVE</w:t>
      </w:r>
    </w:p>
    <w:p w14:paraId="0CD13222" w14:textId="77777777" w:rsidR="006F58CB" w:rsidRPr="000C6538" w:rsidRDefault="006F58CB" w:rsidP="00EF7C3D">
      <w:pPr>
        <w:spacing w:line="240" w:lineRule="auto"/>
        <w:jc w:val="center"/>
        <w:rPr>
          <w:rFonts w:ascii="Century Schoolbook" w:hAnsi="Century Schoolbook"/>
        </w:rPr>
      </w:pPr>
    </w:p>
    <w:p w14:paraId="507D081C" w14:textId="77777777" w:rsidR="006F58CB" w:rsidRPr="000C6538" w:rsidRDefault="006F58CB" w:rsidP="00EF7C3D">
      <w:pPr>
        <w:spacing w:line="240" w:lineRule="auto"/>
        <w:jc w:val="center"/>
        <w:rPr>
          <w:rFonts w:ascii="Century Schoolbook" w:hAnsi="Century Schoolbook"/>
        </w:rPr>
      </w:pPr>
    </w:p>
    <w:tbl>
      <w:tblPr>
        <w:tblW w:w="0" w:type="auto"/>
        <w:tblLayout w:type="fixed"/>
        <w:tblLook w:val="0000" w:firstRow="0" w:lastRow="0" w:firstColumn="0" w:lastColumn="0" w:noHBand="0" w:noVBand="0"/>
      </w:tblPr>
      <w:tblGrid>
        <w:gridCol w:w="4680"/>
        <w:gridCol w:w="4680"/>
      </w:tblGrid>
      <w:tr w:rsidR="00D8370E" w14:paraId="264DFCD9" w14:textId="77777777" w:rsidTr="00BF396C">
        <w:tc>
          <w:tcPr>
            <w:tcW w:w="4680" w:type="dxa"/>
            <w:tcBorders>
              <w:top w:val="single" w:sz="4" w:space="0" w:color="auto"/>
              <w:bottom w:val="single" w:sz="4" w:space="0" w:color="auto"/>
              <w:right w:val="single" w:sz="4" w:space="0" w:color="auto"/>
            </w:tcBorders>
            <w:shd w:val="clear" w:color="auto" w:fill="auto"/>
          </w:tcPr>
          <w:p w14:paraId="67ACF821" w14:textId="77777777" w:rsidR="006F58CB" w:rsidRPr="000C6538" w:rsidRDefault="006F58CB" w:rsidP="00EF7C3D">
            <w:pPr>
              <w:spacing w:after="120" w:line="240" w:lineRule="auto"/>
              <w:rPr>
                <w:rFonts w:ascii="Century Schoolbook" w:hAnsi="Century Schoolbook"/>
              </w:rPr>
            </w:pPr>
          </w:p>
          <w:p w14:paraId="71B801A5" w14:textId="4F32E166" w:rsidR="006F58CB" w:rsidRPr="000C6538" w:rsidRDefault="006F58CB" w:rsidP="00EF7C3D">
            <w:pPr>
              <w:spacing w:after="120" w:line="240" w:lineRule="auto"/>
              <w:rPr>
                <w:rFonts w:ascii="Century Schoolbook" w:hAnsi="Century Schoolbook"/>
              </w:rPr>
            </w:pPr>
            <w:r>
              <w:rPr>
                <w:rFonts w:ascii="Century Schoolbook" w:hAnsi="Century Schoolbook"/>
              </w:rPr>
              <w:t>JOHN DOE</w:t>
            </w:r>
            <w:r>
              <w:rPr>
                <w:rFonts w:ascii="Century Schoolbook" w:hAnsi="Century Schoolbook"/>
              </w:rPr>
              <w:t xml:space="preserve"> et al.</w:t>
            </w:r>
            <w:r w:rsidRPr="000C6538">
              <w:rPr>
                <w:rFonts w:ascii="Century Schoolbook" w:hAnsi="Century Schoolbook"/>
              </w:rPr>
              <w:t>,</w:t>
            </w:r>
          </w:p>
          <w:p w14:paraId="3B241A37" w14:textId="77777777" w:rsidR="006F58CB" w:rsidRPr="000C6538" w:rsidRDefault="006F58CB" w:rsidP="00EF7C3D">
            <w:pPr>
              <w:spacing w:after="120" w:line="240" w:lineRule="auto"/>
              <w:rPr>
                <w:rFonts w:ascii="Century Schoolbook" w:hAnsi="Century Schoolbook"/>
              </w:rPr>
            </w:pPr>
            <w:r w:rsidRPr="000C6538">
              <w:rPr>
                <w:rFonts w:ascii="Century Schoolbook" w:hAnsi="Century Schoolbook"/>
              </w:rPr>
              <w:tab/>
              <w:t>Plaintiff</w:t>
            </w:r>
            <w:r>
              <w:rPr>
                <w:rFonts w:ascii="Century Schoolbook" w:hAnsi="Century Schoolbook"/>
              </w:rPr>
              <w:t>s</w:t>
            </w:r>
            <w:r w:rsidRPr="000C6538">
              <w:rPr>
                <w:rFonts w:ascii="Century Schoolbook" w:hAnsi="Century Schoolbook"/>
              </w:rPr>
              <w:t xml:space="preserve"> and Respondent</w:t>
            </w:r>
            <w:r>
              <w:rPr>
                <w:rFonts w:ascii="Century Schoolbook" w:hAnsi="Century Schoolbook"/>
              </w:rPr>
              <w:t>s</w:t>
            </w:r>
            <w:r w:rsidRPr="000C6538">
              <w:rPr>
                <w:rFonts w:ascii="Century Schoolbook" w:hAnsi="Century Schoolbook"/>
              </w:rPr>
              <w:t>,</w:t>
            </w:r>
          </w:p>
          <w:p w14:paraId="730E92CF" w14:textId="77777777" w:rsidR="006F58CB" w:rsidRPr="000C6538" w:rsidRDefault="006F58CB" w:rsidP="00EF7C3D">
            <w:pPr>
              <w:spacing w:after="120" w:line="240" w:lineRule="auto"/>
              <w:rPr>
                <w:rFonts w:ascii="Century Schoolbook" w:hAnsi="Century Schoolbook"/>
              </w:rPr>
            </w:pPr>
            <w:r w:rsidRPr="000C6538">
              <w:rPr>
                <w:rFonts w:ascii="Century Schoolbook" w:hAnsi="Century Schoolbook"/>
              </w:rPr>
              <w:t>v.</w:t>
            </w:r>
          </w:p>
          <w:p w14:paraId="1122FF72" w14:textId="6DFDF7DE" w:rsidR="006F58CB" w:rsidRPr="000C6538" w:rsidRDefault="006F58CB" w:rsidP="00EF7C3D">
            <w:pPr>
              <w:spacing w:after="120" w:line="240" w:lineRule="auto"/>
              <w:rPr>
                <w:rFonts w:ascii="Century Schoolbook" w:hAnsi="Century Schoolbook"/>
              </w:rPr>
            </w:pPr>
            <w:r w:rsidRPr="009C639F">
              <w:rPr>
                <w:rFonts w:ascii="Century Schoolbook" w:hAnsi="Century Schoolbook"/>
              </w:rPr>
              <w:t>CALIFORNIA DEPARTMENT OF MOTOR VEHICLES</w:t>
            </w:r>
            <w:r>
              <w:rPr>
                <w:rFonts w:ascii="Century Schoolbook" w:hAnsi="Century Schoolbook"/>
              </w:rPr>
              <w:t xml:space="preserve"> et al.,</w:t>
            </w:r>
          </w:p>
          <w:p w14:paraId="06AE6FCA" w14:textId="77777777" w:rsidR="006F58CB" w:rsidRPr="000C6538" w:rsidRDefault="006F58CB" w:rsidP="00EF7C3D">
            <w:pPr>
              <w:spacing w:after="120" w:line="240" w:lineRule="auto"/>
              <w:rPr>
                <w:rFonts w:ascii="Century Schoolbook" w:hAnsi="Century Schoolbook"/>
              </w:rPr>
            </w:pPr>
            <w:r w:rsidRPr="000C6538">
              <w:rPr>
                <w:rFonts w:ascii="Century Schoolbook" w:hAnsi="Century Schoolbook"/>
              </w:rPr>
              <w:tab/>
            </w:r>
            <w:r w:rsidRPr="000C6538">
              <w:rPr>
                <w:rFonts w:ascii="Century Schoolbook" w:hAnsi="Century Schoolbook"/>
              </w:rPr>
              <w:t>Defendant</w:t>
            </w:r>
            <w:r>
              <w:rPr>
                <w:rFonts w:ascii="Century Schoolbook" w:hAnsi="Century Schoolbook"/>
              </w:rPr>
              <w:t>s</w:t>
            </w:r>
            <w:r w:rsidRPr="000C6538">
              <w:rPr>
                <w:rFonts w:ascii="Century Schoolbook" w:hAnsi="Century Schoolbook"/>
              </w:rPr>
              <w:t xml:space="preserve"> and Appellant</w:t>
            </w:r>
            <w:r>
              <w:rPr>
                <w:rFonts w:ascii="Century Schoolbook" w:hAnsi="Century Schoolbook"/>
              </w:rPr>
              <w:t>s</w:t>
            </w:r>
            <w:r w:rsidRPr="000C6538">
              <w:rPr>
                <w:rFonts w:ascii="Century Schoolbook" w:hAnsi="Century Schoolbook"/>
              </w:rPr>
              <w:t>.</w:t>
            </w:r>
          </w:p>
          <w:p w14:paraId="6D0354C6" w14:textId="77777777" w:rsidR="006F58CB" w:rsidRPr="000C6538" w:rsidRDefault="006F58CB" w:rsidP="00AB5AEA">
            <w:pPr>
              <w:spacing w:after="120" w:line="240" w:lineRule="auto"/>
              <w:rPr>
                <w:rFonts w:ascii="Century Schoolbook" w:hAnsi="Century Schoolbook"/>
              </w:rPr>
            </w:pPr>
          </w:p>
        </w:tc>
        <w:tc>
          <w:tcPr>
            <w:tcW w:w="4680" w:type="dxa"/>
            <w:tcBorders>
              <w:left w:val="single" w:sz="4" w:space="0" w:color="auto"/>
            </w:tcBorders>
            <w:shd w:val="clear" w:color="auto" w:fill="auto"/>
          </w:tcPr>
          <w:p w14:paraId="33D81934" w14:textId="77777777" w:rsidR="006F58CB" w:rsidRDefault="006F58CB" w:rsidP="00AB5AEA">
            <w:pPr>
              <w:spacing w:line="240" w:lineRule="auto"/>
              <w:rPr>
                <w:rFonts w:ascii="Century Schoolbook" w:hAnsi="Century Schoolbook"/>
              </w:rPr>
            </w:pPr>
          </w:p>
          <w:p w14:paraId="044BC1AD" w14:textId="77777777" w:rsidR="006F58CB" w:rsidRDefault="006F58CB" w:rsidP="00AB5AEA">
            <w:pPr>
              <w:spacing w:line="240" w:lineRule="auto"/>
              <w:rPr>
                <w:rFonts w:ascii="Century Schoolbook" w:hAnsi="Century Schoolbook"/>
              </w:rPr>
            </w:pPr>
          </w:p>
          <w:p w14:paraId="6951BEE5" w14:textId="77777777" w:rsidR="006F58CB" w:rsidRPr="000C6538" w:rsidRDefault="006F58CB" w:rsidP="00BF396C">
            <w:pPr>
              <w:spacing w:line="240" w:lineRule="auto"/>
              <w:rPr>
                <w:rFonts w:ascii="Century Schoolbook" w:hAnsi="Century Schoolbook"/>
              </w:rPr>
            </w:pPr>
            <w:r w:rsidRPr="000C6538">
              <w:rPr>
                <w:rFonts w:ascii="Century Schoolbook" w:hAnsi="Century Schoolbook"/>
              </w:rPr>
              <w:t xml:space="preserve">      </w:t>
            </w:r>
            <w:r w:rsidRPr="004A6724">
              <w:rPr>
                <w:rFonts w:ascii="Century Schoolbook" w:hAnsi="Century Schoolbook"/>
              </w:rPr>
              <w:t>A</w:t>
            </w:r>
            <w:r w:rsidRPr="007C51B0">
              <w:rPr>
                <w:rFonts w:ascii="Century Schoolbook" w:hAnsi="Century Schoolbook"/>
              </w:rPr>
              <w:t>164843</w:t>
            </w:r>
          </w:p>
          <w:p w14:paraId="0015481D" w14:textId="77777777" w:rsidR="006F58CB" w:rsidRPr="000C6538" w:rsidRDefault="006F58CB" w:rsidP="00BF396C">
            <w:pPr>
              <w:spacing w:line="240" w:lineRule="auto"/>
              <w:rPr>
                <w:rFonts w:ascii="Century Schoolbook" w:hAnsi="Century Schoolbook"/>
              </w:rPr>
            </w:pPr>
          </w:p>
          <w:p w14:paraId="4B7C29BF" w14:textId="77777777" w:rsidR="006F58CB" w:rsidRPr="000C6538" w:rsidRDefault="006F58CB" w:rsidP="00BF396C">
            <w:pPr>
              <w:spacing w:line="240" w:lineRule="auto"/>
              <w:rPr>
                <w:rFonts w:ascii="Century Schoolbook" w:hAnsi="Century Schoolbook"/>
              </w:rPr>
            </w:pPr>
            <w:r w:rsidRPr="000C6538">
              <w:rPr>
                <w:rFonts w:ascii="Century Schoolbook" w:hAnsi="Century Schoolbook"/>
              </w:rPr>
              <w:t xml:space="preserve">      (</w:t>
            </w:r>
            <w:r>
              <w:rPr>
                <w:rFonts w:ascii="Century Schoolbook" w:hAnsi="Century Schoolbook"/>
              </w:rPr>
              <w:t>Alameda</w:t>
            </w:r>
            <w:r>
              <w:rPr>
                <w:rFonts w:ascii="Century Schoolbook" w:hAnsi="Century Schoolbook"/>
              </w:rPr>
              <w:t xml:space="preserve"> </w:t>
            </w:r>
            <w:r w:rsidRPr="000C6538">
              <w:rPr>
                <w:rFonts w:ascii="Century Schoolbook" w:hAnsi="Century Schoolbook"/>
              </w:rPr>
              <w:t>County</w:t>
            </w:r>
          </w:p>
          <w:p w14:paraId="755A5A7A" w14:textId="77777777" w:rsidR="006F58CB" w:rsidRPr="000C6538" w:rsidRDefault="006F58CB" w:rsidP="00BF396C">
            <w:pPr>
              <w:spacing w:line="240" w:lineRule="auto"/>
              <w:rPr>
                <w:rFonts w:ascii="Century Schoolbook" w:hAnsi="Century Schoolbook"/>
              </w:rPr>
            </w:pPr>
            <w:r w:rsidRPr="000C6538">
              <w:rPr>
                <w:rFonts w:ascii="Century Schoolbook" w:hAnsi="Century Schoolbook"/>
              </w:rPr>
              <w:t xml:space="preserve">      Super. Ct. No. </w:t>
            </w:r>
            <w:r w:rsidRPr="00192D5C">
              <w:rPr>
                <w:rFonts w:ascii="Century Schoolbook" w:hAnsi="Century Schoolbook"/>
              </w:rPr>
              <w:t>RG16805013</w:t>
            </w:r>
            <w:r w:rsidRPr="000C6538">
              <w:rPr>
                <w:rFonts w:ascii="Century Schoolbook" w:hAnsi="Century Schoolbook"/>
              </w:rPr>
              <w:t>)</w:t>
            </w:r>
          </w:p>
        </w:tc>
      </w:tr>
    </w:tbl>
    <w:p w14:paraId="18E9D47F" w14:textId="77777777" w:rsidR="006F58CB" w:rsidRPr="000C6538" w:rsidRDefault="006F58CB" w:rsidP="00EF7C3D">
      <w:pPr>
        <w:spacing w:line="360" w:lineRule="auto"/>
        <w:rPr>
          <w:rFonts w:ascii="Century Schoolbook" w:hAnsi="Century Schoolbook"/>
        </w:rPr>
      </w:pPr>
    </w:p>
    <w:p w14:paraId="5D89C06F" w14:textId="77777777" w:rsidR="006F58CB" w:rsidRDefault="006F58CB" w:rsidP="00EF7C3D">
      <w:pPr>
        <w:spacing w:line="360" w:lineRule="auto"/>
        <w:rPr>
          <w:rFonts w:ascii="Century Schoolbook" w:hAnsi="Century Schoolbook"/>
        </w:rPr>
      </w:pPr>
      <w:r w:rsidRPr="000C6538">
        <w:rPr>
          <w:rFonts w:ascii="Century Schoolbook" w:hAnsi="Century Schoolbook"/>
        </w:rPr>
        <w:tab/>
      </w:r>
      <w:r>
        <w:rPr>
          <w:rFonts w:ascii="Century Schoolbook" w:hAnsi="Century Schoolbook"/>
        </w:rPr>
        <w:t xml:space="preserve">The rights to privacy </w:t>
      </w:r>
      <w:r>
        <w:rPr>
          <w:rFonts w:ascii="Century Schoolbook" w:hAnsi="Century Schoolbook"/>
        </w:rPr>
        <w:t xml:space="preserve">set out </w:t>
      </w:r>
      <w:r>
        <w:rPr>
          <w:rFonts w:ascii="Century Schoolbook" w:hAnsi="Century Schoolbook"/>
        </w:rPr>
        <w:t xml:space="preserve">in </w:t>
      </w:r>
      <w:r>
        <w:rPr>
          <w:rFonts w:ascii="Century Schoolbook" w:hAnsi="Century Schoolbook"/>
        </w:rPr>
        <w:t xml:space="preserve">our state constitution and </w:t>
      </w:r>
      <w:r>
        <w:rPr>
          <w:rFonts w:ascii="Century Schoolbook" w:hAnsi="Century Schoolbook"/>
        </w:rPr>
        <w:t>various statutes</w:t>
      </w:r>
      <w:r>
        <w:rPr>
          <w:rFonts w:ascii="Century Schoolbook" w:hAnsi="Century Schoolbook"/>
        </w:rPr>
        <w:t xml:space="preserve"> </w:t>
      </w:r>
      <w:r>
        <w:rPr>
          <w:rFonts w:ascii="Century Schoolbook" w:hAnsi="Century Schoolbook"/>
        </w:rPr>
        <w:t xml:space="preserve">are among our most cherished.  But they are not </w:t>
      </w:r>
      <w:r>
        <w:rPr>
          <w:rFonts w:ascii="Century Schoolbook" w:hAnsi="Century Schoolbook"/>
        </w:rPr>
        <w:t xml:space="preserve">without limit.  </w:t>
      </w:r>
      <w:r>
        <w:rPr>
          <w:rFonts w:ascii="Century Schoolbook" w:hAnsi="Century Schoolbook"/>
        </w:rPr>
        <w:t xml:space="preserve">We </w:t>
      </w:r>
      <w:r>
        <w:rPr>
          <w:rFonts w:ascii="Century Schoolbook" w:hAnsi="Century Schoolbook"/>
        </w:rPr>
        <w:t xml:space="preserve">consider those limits in the context of the California Department </w:t>
      </w:r>
      <w:r>
        <w:rPr>
          <w:rFonts w:ascii="Century Schoolbook" w:hAnsi="Century Schoolbook"/>
        </w:rPr>
        <w:t>of Motor Vehicles</w:t>
      </w:r>
      <w:r>
        <w:rPr>
          <w:rFonts w:ascii="Century Schoolbook" w:hAnsi="Century Schoolbook"/>
        </w:rPr>
        <w:t>’</w:t>
      </w:r>
      <w:r>
        <w:rPr>
          <w:rFonts w:ascii="Century Schoolbook" w:hAnsi="Century Schoolbook"/>
        </w:rPr>
        <w:t xml:space="preserve"> (DMV) </w:t>
      </w:r>
      <w:r>
        <w:rPr>
          <w:rFonts w:ascii="Century Schoolbook" w:hAnsi="Century Schoolbook"/>
        </w:rPr>
        <w:t>disclosure o</w:t>
      </w:r>
      <w:r>
        <w:rPr>
          <w:rFonts w:ascii="Century Schoolbook" w:hAnsi="Century Schoolbook"/>
        </w:rPr>
        <w:t>f</w:t>
      </w:r>
      <w:r>
        <w:rPr>
          <w:rFonts w:ascii="Century Schoolbook" w:hAnsi="Century Schoolbook"/>
        </w:rPr>
        <w:t xml:space="preserve"> alcohol</w:t>
      </w:r>
      <w:r>
        <w:rPr>
          <w:rFonts w:ascii="Century Schoolbook" w:hAnsi="Century Schoolbook"/>
        </w:rPr>
        <w:t>-</w:t>
      </w:r>
      <w:r>
        <w:rPr>
          <w:rFonts w:ascii="Century Schoolbook" w:hAnsi="Century Schoolbook"/>
        </w:rPr>
        <w:t xml:space="preserve">impaired </w:t>
      </w:r>
      <w:r>
        <w:rPr>
          <w:rFonts w:ascii="Century Schoolbook" w:hAnsi="Century Schoolbook"/>
        </w:rPr>
        <w:t xml:space="preserve">driving </w:t>
      </w:r>
      <w:r>
        <w:rPr>
          <w:rFonts w:ascii="Century Schoolbook" w:hAnsi="Century Schoolbook"/>
        </w:rPr>
        <w:t xml:space="preserve">license </w:t>
      </w:r>
      <w:r>
        <w:rPr>
          <w:rFonts w:ascii="Century Schoolbook" w:hAnsi="Century Schoolbook"/>
        </w:rPr>
        <w:t>suspensions and reverse the tr</w:t>
      </w:r>
      <w:r>
        <w:rPr>
          <w:rFonts w:ascii="Century Schoolbook" w:hAnsi="Century Schoolbook"/>
        </w:rPr>
        <w:t>ial</w:t>
      </w:r>
      <w:r>
        <w:rPr>
          <w:rFonts w:ascii="Century Schoolbook" w:hAnsi="Century Schoolbook"/>
        </w:rPr>
        <w:t xml:space="preserve"> court’s</w:t>
      </w:r>
      <w:r>
        <w:rPr>
          <w:rFonts w:ascii="Century Schoolbook" w:hAnsi="Century Schoolbook"/>
        </w:rPr>
        <w:t xml:space="preserve"> </w:t>
      </w:r>
      <w:r>
        <w:rPr>
          <w:rFonts w:ascii="Century Schoolbook" w:hAnsi="Century Schoolbook"/>
        </w:rPr>
        <w:t xml:space="preserve">decision restricting those disclosures.  </w:t>
      </w:r>
    </w:p>
    <w:p w14:paraId="08A85A4A" w14:textId="77777777" w:rsidR="006F58CB" w:rsidRDefault="006F58CB" w:rsidP="00EF7C3D">
      <w:pPr>
        <w:spacing w:line="360" w:lineRule="auto"/>
        <w:rPr>
          <w:rFonts w:ascii="Century Schoolbook" w:hAnsi="Century Schoolbook"/>
        </w:rPr>
      </w:pPr>
      <w:r>
        <w:rPr>
          <w:rFonts w:ascii="Century Schoolbook" w:hAnsi="Century Schoolbook"/>
        </w:rPr>
        <w:tab/>
        <w:t>The DMV</w:t>
      </w:r>
      <w:r>
        <w:rPr>
          <w:rFonts w:ascii="Century Schoolbook" w:hAnsi="Century Schoolbook"/>
        </w:rPr>
        <w:t xml:space="preserve"> </w:t>
      </w:r>
      <w:r>
        <w:rPr>
          <w:rFonts w:ascii="Century Schoolbook" w:hAnsi="Century Schoolbook"/>
        </w:rPr>
        <w:t>compiles</w:t>
      </w:r>
      <w:r>
        <w:rPr>
          <w:rFonts w:ascii="Century Schoolbook" w:hAnsi="Century Schoolbook"/>
        </w:rPr>
        <w:t xml:space="preserve"> driving record</w:t>
      </w:r>
      <w:r>
        <w:rPr>
          <w:rFonts w:ascii="Century Schoolbook" w:hAnsi="Century Schoolbook"/>
        </w:rPr>
        <w:t>s</w:t>
      </w:r>
      <w:r>
        <w:rPr>
          <w:rFonts w:ascii="Century Schoolbook" w:hAnsi="Century Schoolbook"/>
        </w:rPr>
        <w:t xml:space="preserve"> </w:t>
      </w:r>
      <w:r>
        <w:rPr>
          <w:rFonts w:ascii="Century Schoolbook" w:hAnsi="Century Schoolbook"/>
        </w:rPr>
        <w:t>and provides them</w:t>
      </w:r>
      <w:r>
        <w:rPr>
          <w:rFonts w:ascii="Century Schoolbook" w:hAnsi="Century Schoolbook"/>
        </w:rPr>
        <w:t xml:space="preserve"> to prospective or current employers, insurance companies, and a variety of other requesters</w:t>
      </w:r>
      <w:r>
        <w:rPr>
          <w:rFonts w:ascii="Century Schoolbook" w:hAnsi="Century Schoolbook"/>
        </w:rPr>
        <w:t xml:space="preserve">.  </w:t>
      </w:r>
      <w:r>
        <w:rPr>
          <w:rFonts w:ascii="Century Schoolbook" w:hAnsi="Century Schoolbook"/>
        </w:rPr>
        <w:t>L</w:t>
      </w:r>
      <w:r>
        <w:rPr>
          <w:rFonts w:ascii="Century Schoolbook" w:hAnsi="Century Schoolbook"/>
        </w:rPr>
        <w:t xml:space="preserve">icense </w:t>
      </w:r>
      <w:r>
        <w:rPr>
          <w:rFonts w:ascii="Century Schoolbook" w:hAnsi="Century Schoolbook"/>
        </w:rPr>
        <w:t xml:space="preserve">suspensions imposed </w:t>
      </w:r>
      <w:r>
        <w:rPr>
          <w:rFonts w:ascii="Century Schoolbook" w:hAnsi="Century Schoolbook"/>
        </w:rPr>
        <w:t>by DMV</w:t>
      </w:r>
      <w:r>
        <w:rPr>
          <w:rFonts w:ascii="Century Schoolbook" w:hAnsi="Century Schoolbook"/>
        </w:rPr>
        <w:t xml:space="preserve">, including </w:t>
      </w:r>
      <w:r>
        <w:rPr>
          <w:rFonts w:ascii="Century Schoolbook" w:hAnsi="Century Schoolbook"/>
        </w:rPr>
        <w:t xml:space="preserve">those </w:t>
      </w:r>
      <w:r>
        <w:rPr>
          <w:rFonts w:ascii="Century Schoolbook" w:hAnsi="Century Schoolbook"/>
        </w:rPr>
        <w:t xml:space="preserve">related to </w:t>
      </w:r>
      <w:r>
        <w:rPr>
          <w:rFonts w:ascii="Century Schoolbook" w:hAnsi="Century Schoolbook"/>
        </w:rPr>
        <w:t>alcohol</w:t>
      </w:r>
      <w:r>
        <w:rPr>
          <w:rFonts w:ascii="Century Schoolbook" w:hAnsi="Century Schoolbook"/>
        </w:rPr>
        <w:t>-</w:t>
      </w:r>
      <w:r>
        <w:rPr>
          <w:rFonts w:ascii="Century Schoolbook" w:hAnsi="Century Schoolbook"/>
        </w:rPr>
        <w:t>impaired driving</w:t>
      </w:r>
      <w:r>
        <w:rPr>
          <w:rFonts w:ascii="Century Schoolbook" w:hAnsi="Century Schoolbook"/>
        </w:rPr>
        <w:t>,</w:t>
      </w:r>
      <w:r>
        <w:rPr>
          <w:rFonts w:ascii="Century Schoolbook" w:hAnsi="Century Schoolbook"/>
        </w:rPr>
        <w:t xml:space="preserve"> </w:t>
      </w:r>
      <w:r>
        <w:rPr>
          <w:rFonts w:ascii="Century Schoolbook" w:hAnsi="Century Schoolbook"/>
        </w:rPr>
        <w:t xml:space="preserve">are </w:t>
      </w:r>
      <w:r>
        <w:rPr>
          <w:rFonts w:ascii="Century Schoolbook" w:hAnsi="Century Schoolbook"/>
        </w:rPr>
        <w:t xml:space="preserve">included </w:t>
      </w:r>
      <w:r>
        <w:rPr>
          <w:rFonts w:ascii="Century Schoolbook" w:hAnsi="Century Schoolbook"/>
        </w:rPr>
        <w:t>in these records</w:t>
      </w:r>
      <w:r>
        <w:rPr>
          <w:rFonts w:ascii="Century Schoolbook" w:hAnsi="Century Schoolbook"/>
        </w:rPr>
        <w:t xml:space="preserve">, </w:t>
      </w:r>
      <w:r>
        <w:rPr>
          <w:rFonts w:ascii="Century Schoolbook" w:hAnsi="Century Schoolbook"/>
        </w:rPr>
        <w:t xml:space="preserve">even when </w:t>
      </w:r>
      <w:r>
        <w:rPr>
          <w:rFonts w:ascii="Century Schoolbook" w:hAnsi="Century Schoolbook"/>
        </w:rPr>
        <w:t>no criminal</w:t>
      </w:r>
      <w:r>
        <w:rPr>
          <w:rFonts w:ascii="Century Schoolbook" w:hAnsi="Century Schoolbook"/>
        </w:rPr>
        <w:t xml:space="preserve"> </w:t>
      </w:r>
      <w:r>
        <w:rPr>
          <w:rFonts w:ascii="Century Schoolbook" w:hAnsi="Century Schoolbook"/>
        </w:rPr>
        <w:lastRenderedPageBreak/>
        <w:t>conviction</w:t>
      </w:r>
      <w:r>
        <w:rPr>
          <w:rFonts w:ascii="Century Schoolbook" w:hAnsi="Century Schoolbook"/>
        </w:rPr>
        <w:t xml:space="preserve"> has </w:t>
      </w:r>
      <w:proofErr w:type="gramStart"/>
      <w:r>
        <w:rPr>
          <w:rFonts w:ascii="Century Schoolbook" w:hAnsi="Century Schoolbook"/>
        </w:rPr>
        <w:t>resulted</w:t>
      </w:r>
      <w:proofErr w:type="gramEnd"/>
      <w:r>
        <w:rPr>
          <w:rFonts w:ascii="Century Schoolbook" w:hAnsi="Century Schoolbook"/>
        </w:rPr>
        <w:t xml:space="preserve">. </w:t>
      </w:r>
      <w:r>
        <w:rPr>
          <w:rFonts w:ascii="Century Schoolbook" w:hAnsi="Century Schoolbook"/>
        </w:rPr>
        <w:t xml:space="preserve"> These suspensions </w:t>
      </w:r>
      <w:r>
        <w:rPr>
          <w:rFonts w:ascii="Century Schoolbook" w:hAnsi="Century Schoolbook"/>
        </w:rPr>
        <w:t xml:space="preserve">remain </w:t>
      </w:r>
      <w:r>
        <w:rPr>
          <w:rFonts w:ascii="Century Schoolbook" w:hAnsi="Century Schoolbook"/>
        </w:rPr>
        <w:t>on the driving record</w:t>
      </w:r>
      <w:r>
        <w:rPr>
          <w:rFonts w:ascii="Century Schoolbook" w:hAnsi="Century Schoolbook"/>
        </w:rPr>
        <w:t xml:space="preserve"> for three years </w:t>
      </w:r>
      <w:r>
        <w:rPr>
          <w:rFonts w:ascii="Century Schoolbook" w:hAnsi="Century Schoolbook"/>
        </w:rPr>
        <w:t>after the suspension</w:t>
      </w:r>
      <w:r>
        <w:rPr>
          <w:rFonts w:ascii="Century Schoolbook" w:hAnsi="Century Schoolbook"/>
        </w:rPr>
        <w:t xml:space="preserve"> itself</w:t>
      </w:r>
      <w:r>
        <w:rPr>
          <w:rFonts w:ascii="Century Schoolbook" w:hAnsi="Century Schoolbook"/>
        </w:rPr>
        <w:t xml:space="preserve"> </w:t>
      </w:r>
      <w:proofErr w:type="gramStart"/>
      <w:r>
        <w:rPr>
          <w:rFonts w:ascii="Century Schoolbook" w:hAnsi="Century Schoolbook"/>
        </w:rPr>
        <w:t>ends</w:t>
      </w:r>
      <w:proofErr w:type="gramEnd"/>
      <w:r>
        <w:rPr>
          <w:rFonts w:ascii="Century Schoolbook" w:hAnsi="Century Schoolbook"/>
        </w:rPr>
        <w:t xml:space="preserve">.  </w:t>
      </w:r>
    </w:p>
    <w:p w14:paraId="3D9C74F1" w14:textId="77777777" w:rsidR="006F58CB" w:rsidRDefault="006F58CB" w:rsidP="00EF7C3D">
      <w:pPr>
        <w:spacing w:line="360" w:lineRule="auto"/>
        <w:rPr>
          <w:rFonts w:ascii="Century Schoolbook" w:hAnsi="Century Schoolbook"/>
        </w:rPr>
      </w:pPr>
      <w:r>
        <w:rPr>
          <w:rFonts w:ascii="Century Schoolbook" w:hAnsi="Century Schoolbook"/>
        </w:rPr>
        <w:tab/>
      </w:r>
      <w:r>
        <w:rPr>
          <w:rFonts w:ascii="Century Schoolbook" w:hAnsi="Century Schoolbook"/>
        </w:rPr>
        <w:t>W</w:t>
      </w:r>
      <w:r>
        <w:rPr>
          <w:rFonts w:ascii="Century Schoolbook" w:hAnsi="Century Schoolbook"/>
        </w:rPr>
        <w:t>e address</w:t>
      </w:r>
      <w:r>
        <w:rPr>
          <w:rFonts w:ascii="Century Schoolbook" w:hAnsi="Century Schoolbook"/>
        </w:rPr>
        <w:t xml:space="preserve"> whether</w:t>
      </w:r>
      <w:r>
        <w:rPr>
          <w:rFonts w:ascii="Century Schoolbook" w:hAnsi="Century Schoolbook"/>
        </w:rPr>
        <w:t xml:space="preserve"> DMV may also include on </w:t>
      </w:r>
      <w:r>
        <w:rPr>
          <w:rFonts w:ascii="Century Schoolbook" w:hAnsi="Century Schoolbook"/>
        </w:rPr>
        <w:t xml:space="preserve">this </w:t>
      </w:r>
      <w:r>
        <w:rPr>
          <w:rFonts w:ascii="Century Schoolbook" w:hAnsi="Century Schoolbook"/>
        </w:rPr>
        <w:t>publicly</w:t>
      </w:r>
      <w:r>
        <w:rPr>
          <w:rFonts w:ascii="Century Schoolbook" w:hAnsi="Century Schoolbook"/>
        </w:rPr>
        <w:t xml:space="preserve"> </w:t>
      </w:r>
      <w:r>
        <w:rPr>
          <w:rFonts w:ascii="Century Schoolbook" w:hAnsi="Century Schoolbook"/>
        </w:rPr>
        <w:t xml:space="preserve">disclosed </w:t>
      </w:r>
      <w:r>
        <w:rPr>
          <w:rFonts w:ascii="Century Schoolbook" w:hAnsi="Century Schoolbook"/>
        </w:rPr>
        <w:t>driving record</w:t>
      </w:r>
      <w:r>
        <w:rPr>
          <w:rFonts w:ascii="Century Schoolbook" w:hAnsi="Century Schoolbook"/>
        </w:rPr>
        <w:t xml:space="preserve"> the </w:t>
      </w:r>
      <w:r>
        <w:rPr>
          <w:rFonts w:ascii="Century Schoolbook" w:hAnsi="Century Schoolbook"/>
          <w:i/>
          <w:iCs/>
        </w:rPr>
        <w:t>reason</w:t>
      </w:r>
      <w:r>
        <w:rPr>
          <w:rFonts w:ascii="Century Schoolbook" w:hAnsi="Century Schoolbook"/>
        </w:rPr>
        <w:t xml:space="preserve"> for </w:t>
      </w:r>
      <w:r>
        <w:rPr>
          <w:rFonts w:ascii="Century Schoolbook" w:hAnsi="Century Schoolbook"/>
        </w:rPr>
        <w:t xml:space="preserve">such a </w:t>
      </w:r>
      <w:r>
        <w:rPr>
          <w:rFonts w:ascii="Century Schoolbook" w:hAnsi="Century Schoolbook"/>
        </w:rPr>
        <w:t>suspension</w:t>
      </w:r>
      <w:r>
        <w:rPr>
          <w:rFonts w:ascii="Century Schoolbook" w:hAnsi="Century Schoolbook"/>
        </w:rPr>
        <w:t xml:space="preserve">—for example, that </w:t>
      </w:r>
      <w:r>
        <w:rPr>
          <w:rFonts w:ascii="Century Schoolbook" w:hAnsi="Century Schoolbook"/>
        </w:rPr>
        <w:t xml:space="preserve">the driver had </w:t>
      </w:r>
      <w:r>
        <w:rPr>
          <w:rFonts w:ascii="Century Schoolbook" w:hAnsi="Century Schoolbook"/>
        </w:rPr>
        <w:t>an excessive blood-alcohol level—</w:t>
      </w:r>
      <w:r>
        <w:rPr>
          <w:rFonts w:ascii="Century Schoolbook" w:hAnsi="Century Schoolbook"/>
        </w:rPr>
        <w:t xml:space="preserve">when </w:t>
      </w:r>
      <w:r>
        <w:rPr>
          <w:rFonts w:ascii="Century Schoolbook" w:hAnsi="Century Schoolbook"/>
        </w:rPr>
        <w:t xml:space="preserve">the driver </w:t>
      </w:r>
      <w:r>
        <w:rPr>
          <w:rFonts w:ascii="Century Schoolbook" w:hAnsi="Century Schoolbook"/>
        </w:rPr>
        <w:t>h</w:t>
      </w:r>
      <w:r>
        <w:rPr>
          <w:rFonts w:ascii="Century Schoolbook" w:hAnsi="Century Schoolbook"/>
        </w:rPr>
        <w:t xml:space="preserve">as not </w:t>
      </w:r>
      <w:r>
        <w:rPr>
          <w:rFonts w:ascii="Century Schoolbook" w:hAnsi="Century Schoolbook"/>
        </w:rPr>
        <w:t xml:space="preserve">been </w:t>
      </w:r>
      <w:r>
        <w:rPr>
          <w:rFonts w:ascii="Century Schoolbook" w:hAnsi="Century Schoolbook"/>
        </w:rPr>
        <w:t>convicted</w:t>
      </w:r>
      <w:r>
        <w:rPr>
          <w:rFonts w:ascii="Century Schoolbook" w:hAnsi="Century Schoolbook"/>
        </w:rPr>
        <w:t>.</w:t>
      </w:r>
      <w:r>
        <w:rPr>
          <w:rFonts w:ascii="Century Schoolbook" w:hAnsi="Century Schoolbook"/>
        </w:rPr>
        <w:t xml:space="preserve">  </w:t>
      </w:r>
      <w:r>
        <w:rPr>
          <w:rFonts w:ascii="Century Schoolbook" w:hAnsi="Century Schoolbook"/>
        </w:rPr>
        <w:t xml:space="preserve">The plaintiffs argue </w:t>
      </w:r>
      <w:r>
        <w:rPr>
          <w:rFonts w:ascii="Century Schoolbook" w:hAnsi="Century Schoolbook"/>
        </w:rPr>
        <w:t xml:space="preserve">this practice </w:t>
      </w:r>
      <w:r>
        <w:rPr>
          <w:rFonts w:ascii="Century Schoolbook" w:hAnsi="Century Schoolbook"/>
        </w:rPr>
        <w:t xml:space="preserve">effectively </w:t>
      </w:r>
      <w:r>
        <w:rPr>
          <w:rFonts w:ascii="Century Schoolbook" w:hAnsi="Century Schoolbook"/>
        </w:rPr>
        <w:t xml:space="preserve">discloses </w:t>
      </w:r>
      <w:r>
        <w:rPr>
          <w:rFonts w:ascii="Century Schoolbook" w:hAnsi="Century Schoolbook"/>
        </w:rPr>
        <w:t xml:space="preserve">information about </w:t>
      </w:r>
      <w:r>
        <w:rPr>
          <w:rFonts w:ascii="Century Schoolbook" w:hAnsi="Century Schoolbook"/>
        </w:rPr>
        <w:t xml:space="preserve">a </w:t>
      </w:r>
      <w:proofErr w:type="spellStart"/>
      <w:r>
        <w:rPr>
          <w:rFonts w:ascii="Century Schoolbook" w:hAnsi="Century Schoolbook"/>
        </w:rPr>
        <w:t>nonconviction</w:t>
      </w:r>
      <w:proofErr w:type="spellEnd"/>
      <w:r>
        <w:rPr>
          <w:rFonts w:ascii="Century Schoolbook" w:hAnsi="Century Schoolbook"/>
        </w:rPr>
        <w:t xml:space="preserve"> arrest and, therefore, violates constitutional and statutory privacy </w:t>
      </w:r>
      <w:r>
        <w:rPr>
          <w:rFonts w:ascii="Century Schoolbook" w:hAnsi="Century Schoolbook"/>
        </w:rPr>
        <w:t>prohibitions</w:t>
      </w:r>
      <w:r>
        <w:rPr>
          <w:rFonts w:ascii="Century Schoolbook" w:hAnsi="Century Schoolbook"/>
        </w:rPr>
        <w:t xml:space="preserve">.  </w:t>
      </w:r>
      <w:r>
        <w:rPr>
          <w:rFonts w:ascii="Century Schoolbook" w:hAnsi="Century Schoolbook"/>
        </w:rPr>
        <w:t xml:space="preserve">We </w:t>
      </w:r>
      <w:r>
        <w:rPr>
          <w:rFonts w:ascii="Century Schoolbook" w:hAnsi="Century Schoolbook"/>
        </w:rPr>
        <w:t>disagree:</w:t>
      </w:r>
      <w:r>
        <w:rPr>
          <w:rFonts w:ascii="Century Schoolbook" w:hAnsi="Century Schoolbook"/>
        </w:rPr>
        <w:t xml:space="preserve"> </w:t>
      </w:r>
      <w:r>
        <w:rPr>
          <w:rFonts w:ascii="Century Schoolbook" w:hAnsi="Century Schoolbook"/>
        </w:rPr>
        <w:t xml:space="preserve">the disclosure of the reason for a DMV suspension issued </w:t>
      </w:r>
      <w:r>
        <w:rPr>
          <w:rFonts w:ascii="Century Schoolbook" w:hAnsi="Century Schoolbook"/>
        </w:rPr>
        <w:t>for alcohol</w:t>
      </w:r>
      <w:r>
        <w:rPr>
          <w:rFonts w:ascii="Century Schoolbook" w:hAnsi="Century Schoolbook"/>
        </w:rPr>
        <w:t>-</w:t>
      </w:r>
      <w:r>
        <w:rPr>
          <w:rFonts w:ascii="Century Schoolbook" w:hAnsi="Century Schoolbook"/>
        </w:rPr>
        <w:t>impaire</w:t>
      </w:r>
      <w:r>
        <w:rPr>
          <w:rFonts w:ascii="Century Schoolbook" w:hAnsi="Century Schoolbook"/>
        </w:rPr>
        <w:t>d</w:t>
      </w:r>
      <w:r>
        <w:rPr>
          <w:rFonts w:ascii="Century Schoolbook" w:hAnsi="Century Schoolbook"/>
        </w:rPr>
        <w:t xml:space="preserve"> driving</w:t>
      </w:r>
      <w:r>
        <w:rPr>
          <w:rFonts w:ascii="Century Schoolbook" w:hAnsi="Century Schoolbook"/>
        </w:rPr>
        <w:t xml:space="preserve"> </w:t>
      </w:r>
      <w:r w:rsidRPr="003206E8">
        <w:rPr>
          <w:rFonts w:ascii="Century Schoolbook" w:hAnsi="Century Schoolbook"/>
        </w:rPr>
        <w:t xml:space="preserve">does not constitute </w:t>
      </w:r>
      <w:r w:rsidRPr="003206E8">
        <w:rPr>
          <w:rFonts w:ascii="Century Schoolbook" w:hAnsi="Century Schoolbook"/>
        </w:rPr>
        <w:t xml:space="preserve">the disclosure of </w:t>
      </w:r>
      <w:r w:rsidRPr="003206E8">
        <w:rPr>
          <w:rFonts w:ascii="Century Schoolbook" w:hAnsi="Century Schoolbook"/>
        </w:rPr>
        <w:t xml:space="preserve">information about </w:t>
      </w:r>
      <w:r w:rsidRPr="003206E8">
        <w:rPr>
          <w:rFonts w:ascii="Century Schoolbook" w:hAnsi="Century Schoolbook"/>
        </w:rPr>
        <w:t xml:space="preserve">a </w:t>
      </w:r>
      <w:proofErr w:type="spellStart"/>
      <w:r w:rsidRPr="003206E8">
        <w:rPr>
          <w:rFonts w:ascii="Century Schoolbook" w:hAnsi="Century Schoolbook"/>
        </w:rPr>
        <w:t>nonconviction</w:t>
      </w:r>
      <w:proofErr w:type="spellEnd"/>
      <w:r w:rsidRPr="003206E8">
        <w:rPr>
          <w:rFonts w:ascii="Century Schoolbook" w:hAnsi="Century Schoolbook"/>
        </w:rPr>
        <w:t xml:space="preserve"> arrest </w:t>
      </w:r>
      <w:r w:rsidRPr="003206E8">
        <w:rPr>
          <w:rFonts w:ascii="Century Schoolbook" w:hAnsi="Century Schoolbook"/>
        </w:rPr>
        <w:t xml:space="preserve">within the meaning of </w:t>
      </w:r>
      <w:r w:rsidRPr="003206E8">
        <w:rPr>
          <w:rFonts w:ascii="Century Schoolbook" w:hAnsi="Century Schoolbook"/>
        </w:rPr>
        <w:t>these privacy provisions</w:t>
      </w:r>
      <w:r>
        <w:rPr>
          <w:rFonts w:ascii="Century Schoolbook" w:hAnsi="Century Schoolbook"/>
        </w:rPr>
        <w:t>.</w:t>
      </w:r>
    </w:p>
    <w:p w14:paraId="363F13E6" w14:textId="77777777" w:rsidR="006F58CB" w:rsidRDefault="006F58CB" w:rsidP="00FA0685">
      <w:pPr>
        <w:spacing w:line="360" w:lineRule="auto"/>
        <w:jc w:val="center"/>
        <w:rPr>
          <w:rFonts w:ascii="Century Schoolbook" w:hAnsi="Century Schoolbook"/>
        </w:rPr>
      </w:pPr>
      <w:r>
        <w:rPr>
          <w:rFonts w:ascii="Century Schoolbook" w:hAnsi="Century Schoolbook"/>
        </w:rPr>
        <w:t>FACTUAL AND LEGAL BACKGROUND</w:t>
      </w:r>
    </w:p>
    <w:p w14:paraId="2CEB29EF" w14:textId="77777777" w:rsidR="006F58CB" w:rsidRPr="00A10CFA" w:rsidRDefault="006F58CB" w:rsidP="00080E1B">
      <w:pPr>
        <w:spacing w:line="360" w:lineRule="auto"/>
        <w:rPr>
          <w:rFonts w:ascii="Century Schoolbook" w:hAnsi="Century Schoolbook"/>
          <w:i/>
          <w:iCs/>
        </w:rPr>
      </w:pPr>
      <w:r>
        <w:rPr>
          <w:rFonts w:ascii="Century Schoolbook" w:hAnsi="Century Schoolbook"/>
        </w:rPr>
        <w:t>A.</w:t>
      </w:r>
      <w:r>
        <w:rPr>
          <w:rFonts w:ascii="Century Schoolbook" w:hAnsi="Century Schoolbook"/>
        </w:rPr>
        <w:tab/>
      </w:r>
      <w:r>
        <w:rPr>
          <w:rFonts w:ascii="Century Schoolbook" w:hAnsi="Century Schoolbook"/>
          <w:i/>
          <w:iCs/>
        </w:rPr>
        <w:t xml:space="preserve">The </w:t>
      </w:r>
      <w:r>
        <w:rPr>
          <w:rFonts w:ascii="Century Schoolbook" w:hAnsi="Century Schoolbook"/>
          <w:i/>
          <w:iCs/>
        </w:rPr>
        <w:t xml:space="preserve">Public Driver </w:t>
      </w:r>
      <w:r>
        <w:rPr>
          <w:rFonts w:ascii="Century Schoolbook" w:hAnsi="Century Schoolbook"/>
          <w:i/>
          <w:iCs/>
        </w:rPr>
        <w:t>Record</w:t>
      </w:r>
    </w:p>
    <w:p w14:paraId="54B48552" w14:textId="77777777" w:rsidR="006F58CB" w:rsidRDefault="006F58CB" w:rsidP="00080E1B">
      <w:pPr>
        <w:spacing w:line="360" w:lineRule="auto"/>
        <w:rPr>
          <w:rFonts w:ascii="Century Schoolbook" w:hAnsi="Century Schoolbook"/>
        </w:rPr>
      </w:pPr>
      <w:r>
        <w:rPr>
          <w:rFonts w:ascii="Century Schoolbook" w:hAnsi="Century Schoolbook"/>
        </w:rPr>
        <w:tab/>
        <w:t>DMV disclose</w:t>
      </w:r>
      <w:r>
        <w:rPr>
          <w:rFonts w:ascii="Century Schoolbook" w:hAnsi="Century Schoolbook"/>
        </w:rPr>
        <w:t>s</w:t>
      </w:r>
      <w:r>
        <w:rPr>
          <w:rFonts w:ascii="Century Schoolbook" w:hAnsi="Century Schoolbook"/>
        </w:rPr>
        <w:t xml:space="preserve"> portions of a person’s </w:t>
      </w:r>
      <w:r>
        <w:rPr>
          <w:rFonts w:ascii="Century Schoolbook" w:hAnsi="Century Schoolbook"/>
        </w:rPr>
        <w:t xml:space="preserve">DMV </w:t>
      </w:r>
      <w:r>
        <w:rPr>
          <w:rFonts w:ascii="Century Schoolbook" w:hAnsi="Century Schoolbook"/>
        </w:rPr>
        <w:t xml:space="preserve">record to members of the public under certain circumstances.  We refer to this as the </w:t>
      </w:r>
      <w:r w:rsidRPr="00B04846">
        <w:rPr>
          <w:rFonts w:ascii="Century Schoolbook" w:hAnsi="Century Schoolbook"/>
        </w:rPr>
        <w:t xml:space="preserve">“public </w:t>
      </w:r>
      <w:r>
        <w:rPr>
          <w:rFonts w:ascii="Century Schoolbook" w:hAnsi="Century Schoolbook"/>
        </w:rPr>
        <w:t xml:space="preserve">driver </w:t>
      </w:r>
      <w:r w:rsidRPr="00B04846">
        <w:rPr>
          <w:rFonts w:ascii="Century Schoolbook" w:hAnsi="Century Schoolbook"/>
        </w:rPr>
        <w:t>record</w:t>
      </w:r>
      <w:r>
        <w:rPr>
          <w:rFonts w:ascii="Century Schoolbook" w:hAnsi="Century Schoolbook"/>
        </w:rPr>
        <w:t>.”</w:t>
      </w:r>
      <w:r>
        <w:rPr>
          <w:rStyle w:val="FootnoteReference"/>
          <w:rFonts w:ascii="Century Schoolbook" w:hAnsi="Century Schoolbook"/>
        </w:rPr>
        <w:footnoteReference w:id="3"/>
      </w:r>
    </w:p>
    <w:p w14:paraId="2C6B9047" w14:textId="77777777" w:rsidR="006F58CB" w:rsidRPr="008231EC" w:rsidRDefault="006F58CB" w:rsidP="00080E1B">
      <w:pPr>
        <w:spacing w:line="360" w:lineRule="auto"/>
        <w:rPr>
          <w:rFonts w:ascii="Century Schoolbook" w:hAnsi="Century Schoolbook"/>
          <w:i/>
          <w:iCs/>
        </w:rPr>
      </w:pPr>
      <w:r>
        <w:rPr>
          <w:rFonts w:ascii="Century Schoolbook" w:hAnsi="Century Schoolbook"/>
        </w:rPr>
        <w:tab/>
        <w:t>1.</w:t>
      </w:r>
      <w:r>
        <w:rPr>
          <w:rFonts w:ascii="Century Schoolbook" w:hAnsi="Century Schoolbook"/>
        </w:rPr>
        <w:tab/>
      </w:r>
      <w:r>
        <w:rPr>
          <w:rFonts w:ascii="Century Schoolbook" w:hAnsi="Century Schoolbook"/>
          <w:i/>
          <w:iCs/>
        </w:rPr>
        <w:t>Contents</w:t>
      </w:r>
    </w:p>
    <w:p w14:paraId="358AC671" w14:textId="77777777" w:rsidR="006F58CB" w:rsidRDefault="006F58CB" w:rsidP="00080E1B">
      <w:pPr>
        <w:spacing w:line="360" w:lineRule="auto"/>
        <w:rPr>
          <w:rFonts w:ascii="Century Schoolbook" w:hAnsi="Century Schoolbook"/>
        </w:rPr>
      </w:pPr>
      <w:r>
        <w:rPr>
          <w:rFonts w:ascii="Century Schoolbook" w:hAnsi="Century Schoolbook"/>
        </w:rPr>
        <w:tab/>
        <w:t xml:space="preserve">The public driver record </w:t>
      </w:r>
      <w:r>
        <w:rPr>
          <w:rFonts w:ascii="Century Schoolbook" w:hAnsi="Century Schoolbook"/>
        </w:rPr>
        <w:t>contains</w:t>
      </w:r>
      <w:r>
        <w:rPr>
          <w:rFonts w:ascii="Century Schoolbook" w:hAnsi="Century Schoolbook"/>
        </w:rPr>
        <w:t xml:space="preserve"> the driver</w:t>
      </w:r>
      <w:r>
        <w:rPr>
          <w:rFonts w:ascii="Century Schoolbook" w:hAnsi="Century Schoolbook"/>
        </w:rPr>
        <w:t>’s</w:t>
      </w:r>
      <w:r>
        <w:rPr>
          <w:rFonts w:ascii="Century Schoolbook" w:hAnsi="Century Schoolbook"/>
        </w:rPr>
        <w:t xml:space="preserve"> name</w:t>
      </w:r>
      <w:r>
        <w:rPr>
          <w:rFonts w:ascii="Century Schoolbook" w:hAnsi="Century Schoolbook"/>
        </w:rPr>
        <w:t>;</w:t>
      </w:r>
      <w:r>
        <w:rPr>
          <w:rFonts w:ascii="Century Schoolbook" w:hAnsi="Century Schoolbook"/>
        </w:rPr>
        <w:t xml:space="preserve"> identifying information such as eye color and height</w:t>
      </w:r>
      <w:r>
        <w:rPr>
          <w:rFonts w:ascii="Century Schoolbook" w:hAnsi="Century Schoolbook"/>
        </w:rPr>
        <w:t xml:space="preserve">; and </w:t>
      </w:r>
      <w:r>
        <w:rPr>
          <w:rFonts w:ascii="Century Schoolbook" w:hAnsi="Century Schoolbook"/>
        </w:rPr>
        <w:t xml:space="preserve">license number, class, and status.  It also includes sections entitled “Departmental Actions,” “Convictions,” “Failures to Appear,” and “Accidents.”  (Capitalization altered.)  </w:t>
      </w:r>
      <w:r>
        <w:rPr>
          <w:rFonts w:ascii="Century Schoolbook" w:hAnsi="Century Schoolbook"/>
        </w:rPr>
        <w:t>License s</w:t>
      </w:r>
      <w:r>
        <w:rPr>
          <w:rFonts w:ascii="Century Schoolbook" w:hAnsi="Century Schoolbook"/>
        </w:rPr>
        <w:t>uspensions are shown in the “Departmental Actions” section.</w:t>
      </w:r>
      <w:r>
        <w:rPr>
          <w:rStyle w:val="FootnoteReference"/>
          <w:rFonts w:ascii="Century Schoolbook" w:hAnsi="Century Schoolbook"/>
        </w:rPr>
        <w:footnoteReference w:id="4"/>
      </w:r>
      <w:r>
        <w:rPr>
          <w:rFonts w:ascii="Century Schoolbook" w:hAnsi="Century Schoolbook"/>
        </w:rPr>
        <w:t xml:space="preserve">  </w:t>
      </w:r>
    </w:p>
    <w:p w14:paraId="27EB9DF1" w14:textId="77777777" w:rsidR="006F58CB" w:rsidRDefault="006F58CB" w:rsidP="00080E1B">
      <w:pPr>
        <w:spacing w:line="360" w:lineRule="auto"/>
        <w:rPr>
          <w:rFonts w:ascii="Century Schoolbook" w:hAnsi="Century Schoolbook"/>
        </w:rPr>
      </w:pPr>
      <w:r>
        <w:rPr>
          <w:rFonts w:ascii="Century Schoolbook" w:hAnsi="Century Schoolbook"/>
        </w:rPr>
        <w:lastRenderedPageBreak/>
        <w:tab/>
      </w:r>
      <w:r>
        <w:rPr>
          <w:rFonts w:ascii="Century Schoolbook" w:hAnsi="Century Schoolbook"/>
        </w:rPr>
        <w:t>Driving-related c</w:t>
      </w:r>
      <w:r>
        <w:rPr>
          <w:rFonts w:ascii="Century Schoolbook" w:hAnsi="Century Schoolbook"/>
        </w:rPr>
        <w:t xml:space="preserve">onvictions, accidents, and suspensions are not disclosed on the public driver record indefinitely.  Certain convictions are disclosed for ten or seven years from the date of occurrence; for example, a </w:t>
      </w:r>
      <w:r>
        <w:rPr>
          <w:rFonts w:ascii="Century Schoolbook" w:hAnsi="Century Schoolbook"/>
        </w:rPr>
        <w:t xml:space="preserve">driving under the influence </w:t>
      </w:r>
      <w:r>
        <w:rPr>
          <w:rFonts w:ascii="Century Schoolbook" w:hAnsi="Century Schoolbook"/>
        </w:rPr>
        <w:t>(</w:t>
      </w:r>
      <w:r>
        <w:rPr>
          <w:rFonts w:ascii="Century Schoolbook" w:hAnsi="Century Schoolbook"/>
        </w:rPr>
        <w:t>DUI</w:t>
      </w:r>
      <w:r>
        <w:rPr>
          <w:rFonts w:ascii="Century Schoolbook" w:hAnsi="Century Schoolbook"/>
        </w:rPr>
        <w:t>)</w:t>
      </w:r>
      <w:r>
        <w:rPr>
          <w:rFonts w:ascii="Century Schoolbook" w:hAnsi="Century Schoolbook"/>
        </w:rPr>
        <w:t xml:space="preserve"> conviction is disclosed for ten years.  (§ 1808, subd. (b)(1)</w:t>
      </w:r>
      <w:proofErr w:type="gramStart"/>
      <w:r>
        <w:rPr>
          <w:rFonts w:ascii="Century Schoolbook" w:hAnsi="Century Schoolbook"/>
        </w:rPr>
        <w:t>–(</w:t>
      </w:r>
      <w:proofErr w:type="gramEnd"/>
      <w:r>
        <w:rPr>
          <w:rFonts w:ascii="Century Schoolbook" w:hAnsi="Century Schoolbook"/>
        </w:rPr>
        <w:t>2); see also § 1803, subds. (a)–(b) [identifying convictions required to be reported to DMV].)  All other convictions and all accident reports are disclosed for three years.  (§ 1808, subd. (b)(3).</w:t>
      </w:r>
      <w:r>
        <w:rPr>
          <w:rFonts w:ascii="Century Schoolbook" w:hAnsi="Century Schoolbook"/>
        </w:rPr>
        <w:t xml:space="preserve">)  All suspensions are disclosed while in effect.  (§ 1808, subd. (c).)  </w:t>
      </w:r>
      <w:r>
        <w:rPr>
          <w:rFonts w:ascii="Century Schoolbook" w:hAnsi="Century Schoolbook"/>
        </w:rPr>
        <w:t>Certain s</w:t>
      </w:r>
      <w:r>
        <w:rPr>
          <w:rFonts w:ascii="Century Schoolbook" w:hAnsi="Century Schoolbook"/>
        </w:rPr>
        <w:t>uspensions are no</w:t>
      </w:r>
      <w:r>
        <w:rPr>
          <w:rFonts w:ascii="Century Schoolbook" w:hAnsi="Century Schoolbook"/>
        </w:rPr>
        <w:t>t</w:t>
      </w:r>
      <w:r>
        <w:rPr>
          <w:rFonts w:ascii="Century Schoolbook" w:hAnsi="Century Schoolbook"/>
        </w:rPr>
        <w:t xml:space="preserve"> disclosed after the suspension </w:t>
      </w:r>
      <w:r>
        <w:rPr>
          <w:rFonts w:ascii="Century Schoolbook" w:hAnsi="Century Schoolbook"/>
        </w:rPr>
        <w:t>terminates</w:t>
      </w:r>
      <w:r>
        <w:rPr>
          <w:rFonts w:ascii="Century Schoolbook" w:hAnsi="Century Schoolbook"/>
        </w:rPr>
        <w:t xml:space="preserve">; </w:t>
      </w:r>
      <w:r>
        <w:rPr>
          <w:rFonts w:ascii="Century Schoolbook" w:hAnsi="Century Schoolbook"/>
        </w:rPr>
        <w:t xml:space="preserve">all </w:t>
      </w:r>
      <w:r>
        <w:rPr>
          <w:rFonts w:ascii="Century Schoolbook" w:hAnsi="Century Schoolbook"/>
        </w:rPr>
        <w:t>other</w:t>
      </w:r>
      <w:r>
        <w:rPr>
          <w:rFonts w:ascii="Century Schoolbook" w:hAnsi="Century Schoolbook"/>
        </w:rPr>
        <w:t>s</w:t>
      </w:r>
      <w:r>
        <w:rPr>
          <w:rFonts w:ascii="Century Schoolbook" w:hAnsi="Century Schoolbook"/>
        </w:rPr>
        <w:t xml:space="preserve"> are disclosed for three years after the suspension ends</w:t>
      </w:r>
      <w:r>
        <w:rPr>
          <w:rFonts w:ascii="Century Schoolbook" w:hAnsi="Century Schoolbook"/>
        </w:rPr>
        <w:t>.</w:t>
      </w:r>
      <w:r>
        <w:rPr>
          <w:rFonts w:ascii="Century Schoolbook" w:hAnsi="Century Schoolbook"/>
        </w:rPr>
        <w:t xml:space="preserve">  </w:t>
      </w:r>
      <w:r>
        <w:rPr>
          <w:rFonts w:ascii="Century Schoolbook" w:hAnsi="Century Schoolbook"/>
        </w:rPr>
        <w:t>(§ 1808, subd. (c).)</w:t>
      </w:r>
      <w:r>
        <w:rPr>
          <w:rStyle w:val="FootnoteReference"/>
          <w:rFonts w:ascii="Century Schoolbook" w:hAnsi="Century Schoolbook"/>
        </w:rPr>
        <w:footnoteReference w:id="5"/>
      </w:r>
      <w:r>
        <w:rPr>
          <w:rFonts w:ascii="Century Schoolbook" w:hAnsi="Century Schoolbook"/>
        </w:rPr>
        <w:t xml:space="preserve">  </w:t>
      </w:r>
    </w:p>
    <w:p w14:paraId="1516E592" w14:textId="77777777" w:rsidR="006F58CB" w:rsidRDefault="006F58CB" w:rsidP="00080E1B">
      <w:pPr>
        <w:spacing w:line="360" w:lineRule="auto"/>
        <w:rPr>
          <w:rFonts w:ascii="Century Schoolbook" w:hAnsi="Century Schoolbook"/>
        </w:rPr>
      </w:pPr>
      <w:r>
        <w:rPr>
          <w:rFonts w:ascii="Century Schoolbook" w:hAnsi="Century Schoolbook"/>
        </w:rPr>
        <w:tab/>
        <w:t>For each suspension disclosed, the public driver record includes the date the suspension began and, if no longer in effect, the date it ended.  It also includes the statute authorizing the suspension, for example, “13352,” referring to section 13352; and the “Reason” for the suspension, for example, “Excessive blood alcohol level.”</w:t>
      </w:r>
      <w:r>
        <w:rPr>
          <w:rStyle w:val="FootnoteReference"/>
          <w:rFonts w:ascii="Century Schoolbook" w:hAnsi="Century Schoolbook"/>
        </w:rPr>
        <w:footnoteReference w:id="6"/>
      </w:r>
      <w:r>
        <w:rPr>
          <w:rFonts w:ascii="Century Schoolbook" w:hAnsi="Century Schoolbook"/>
        </w:rPr>
        <w:t xml:space="preserve">  (Capitalization altered.) </w:t>
      </w:r>
    </w:p>
    <w:p w14:paraId="2A71BC4D" w14:textId="77777777" w:rsidR="006F58CB" w:rsidRPr="008231EC" w:rsidRDefault="006F58CB" w:rsidP="00080E1B">
      <w:pPr>
        <w:spacing w:line="360" w:lineRule="auto"/>
        <w:rPr>
          <w:rFonts w:ascii="Century Schoolbook" w:hAnsi="Century Schoolbook"/>
          <w:i/>
          <w:iCs/>
        </w:rPr>
      </w:pPr>
      <w:r>
        <w:rPr>
          <w:rFonts w:ascii="Century Schoolbook" w:hAnsi="Century Schoolbook"/>
        </w:rPr>
        <w:lastRenderedPageBreak/>
        <w:tab/>
        <w:t>2.</w:t>
      </w:r>
      <w:r>
        <w:rPr>
          <w:rFonts w:ascii="Century Schoolbook" w:hAnsi="Century Schoolbook"/>
        </w:rPr>
        <w:tab/>
      </w:r>
      <w:r>
        <w:rPr>
          <w:rFonts w:ascii="Century Schoolbook" w:hAnsi="Century Schoolbook"/>
          <w:i/>
          <w:iCs/>
        </w:rPr>
        <w:t>Authorized Recipients</w:t>
      </w:r>
    </w:p>
    <w:p w14:paraId="68519A88" w14:textId="77777777" w:rsidR="006F58CB" w:rsidRDefault="006F58CB" w:rsidP="00080E1B">
      <w:pPr>
        <w:spacing w:line="360" w:lineRule="auto"/>
        <w:rPr>
          <w:rFonts w:ascii="Century Schoolbook" w:hAnsi="Century Schoolbook"/>
        </w:rPr>
      </w:pPr>
      <w:r>
        <w:rPr>
          <w:rFonts w:ascii="Century Schoolbook" w:hAnsi="Century Schoolbook"/>
        </w:rPr>
        <w:tab/>
      </w:r>
      <w:r>
        <w:rPr>
          <w:rFonts w:ascii="Century Schoolbook" w:hAnsi="Century Schoolbook"/>
        </w:rPr>
        <w:t xml:space="preserve">There are three categories of authorized recipients of public driver records.  </w:t>
      </w:r>
    </w:p>
    <w:p w14:paraId="1DA234F7" w14:textId="77777777" w:rsidR="006F58CB" w:rsidRDefault="006F58CB" w:rsidP="00080E1B">
      <w:pPr>
        <w:spacing w:line="360" w:lineRule="auto"/>
        <w:rPr>
          <w:rFonts w:ascii="Century Schoolbook" w:hAnsi="Century Schoolbook"/>
        </w:rPr>
      </w:pPr>
      <w:r>
        <w:rPr>
          <w:rFonts w:ascii="Century Schoolbook" w:hAnsi="Century Schoolbook"/>
        </w:rPr>
        <w:tab/>
        <w:t>First, employers of certain drivers must participate in a program whereby the employer receives public driver records annually and any</w:t>
      </w:r>
      <w:r>
        <w:rPr>
          <w:rFonts w:ascii="Century Schoolbook" w:hAnsi="Century Schoolbook"/>
        </w:rPr>
        <w:t xml:space="preserve"> </w:t>
      </w:r>
      <w:r>
        <w:rPr>
          <w:rFonts w:ascii="Century Schoolbook" w:hAnsi="Century Schoolbook"/>
        </w:rPr>
        <w:t>time a conviction, accident, suspension, or other adverse license action is added.  (§ 1808.1, subds. (b)–(c).)  This program is referred to as the “Employer Pull Notice” or “EPN” program.  Driv</w:t>
      </w:r>
      <w:r>
        <w:rPr>
          <w:rFonts w:ascii="Century Schoolbook" w:hAnsi="Century Schoolbook"/>
        </w:rPr>
        <w:t xml:space="preserve">ers </w:t>
      </w:r>
      <w:r>
        <w:rPr>
          <w:rFonts w:ascii="Century Schoolbook" w:hAnsi="Century Schoolbook"/>
        </w:rPr>
        <w:t>covered by this program include tractor-trailer operators, bus drivers, taxi drivers, and drivers for rideshare companies such as Uber and Lyft.  (§ 1808.1, subd. (k); Pub. Util. Code, §§ 5431, subd. (c), 5444.)</w:t>
      </w:r>
      <w:r w:rsidRPr="006658C6">
        <w:rPr>
          <w:rFonts w:ascii="Century Schoolbook" w:hAnsi="Century Schoolbook"/>
        </w:rPr>
        <w:t xml:space="preserve"> </w:t>
      </w:r>
      <w:r>
        <w:rPr>
          <w:rFonts w:ascii="Century Schoolbook" w:hAnsi="Century Schoolbook"/>
        </w:rPr>
        <w:t xml:space="preserve"> </w:t>
      </w:r>
      <w:r>
        <w:rPr>
          <w:rFonts w:ascii="Century Schoolbook" w:hAnsi="Century Schoolbook"/>
        </w:rPr>
        <w:t>These e</w:t>
      </w:r>
      <w:r>
        <w:rPr>
          <w:rFonts w:ascii="Century Schoolbook" w:hAnsi="Century Schoolbook"/>
        </w:rPr>
        <w:t>mployers are subject to criminal penalties for employing as a driver a person with a suspende</w:t>
      </w:r>
      <w:r>
        <w:rPr>
          <w:rFonts w:ascii="Century Schoolbook" w:hAnsi="Century Schoolbook"/>
        </w:rPr>
        <w:t xml:space="preserve">d license.  (§ 1808.1, subd. (f).)  </w:t>
      </w:r>
    </w:p>
    <w:p w14:paraId="72D6AE3C" w14:textId="77777777" w:rsidR="006F58CB" w:rsidRDefault="006F58CB" w:rsidP="00080E1B">
      <w:pPr>
        <w:spacing w:line="360" w:lineRule="auto"/>
        <w:rPr>
          <w:rFonts w:ascii="Century Schoolbook" w:hAnsi="Century Schoolbook"/>
        </w:rPr>
      </w:pPr>
      <w:r>
        <w:rPr>
          <w:rFonts w:ascii="Century Schoolbook" w:hAnsi="Century Schoolbook"/>
        </w:rPr>
        <w:tab/>
        <w:t>Second, individuals or organizations with a “legitimate business need” for public driver records may establish an account with DMV to obtain these records.  (§ 1810.2, subds. (a) &amp;</w:t>
      </w:r>
      <w:r>
        <w:rPr>
          <w:rFonts w:ascii="Century Schoolbook" w:hAnsi="Century Schoolbook"/>
        </w:rPr>
        <w:t xml:space="preserve"> </w:t>
      </w:r>
      <w:r>
        <w:rPr>
          <w:rFonts w:ascii="Century Schoolbook" w:hAnsi="Century Schoolbook"/>
        </w:rPr>
        <w:t>(c).)  These account holders are referred to as “commercial requesters.”  Example</w:t>
      </w:r>
      <w:r>
        <w:rPr>
          <w:rFonts w:ascii="Century Schoolbook" w:hAnsi="Century Schoolbook"/>
        </w:rPr>
        <w:t>s</w:t>
      </w:r>
      <w:r>
        <w:rPr>
          <w:rFonts w:ascii="Century Schoolbook" w:hAnsi="Century Schoolbook"/>
        </w:rPr>
        <w:t xml:space="preserve"> of legitimate business needs include an insurance company’s need to conduct a risk analysis for a driver and an employer’s need to determine the driving record of a prospective employee whose job </w:t>
      </w:r>
      <w:r>
        <w:rPr>
          <w:rFonts w:ascii="Century Schoolbook" w:hAnsi="Century Schoolbook"/>
        </w:rPr>
        <w:t xml:space="preserve">is not covered by </w:t>
      </w:r>
      <w:r>
        <w:rPr>
          <w:rFonts w:ascii="Century Schoolbook" w:hAnsi="Century Schoolbook"/>
        </w:rPr>
        <w:t xml:space="preserve">the EPN program.  </w:t>
      </w:r>
    </w:p>
    <w:p w14:paraId="30E73114" w14:textId="77777777" w:rsidR="006F58CB" w:rsidRDefault="006F58CB" w:rsidP="00080E1B">
      <w:pPr>
        <w:spacing w:line="360" w:lineRule="auto"/>
        <w:rPr>
          <w:rFonts w:ascii="Century Schoolbook" w:hAnsi="Century Schoolbook"/>
        </w:rPr>
      </w:pPr>
      <w:r>
        <w:rPr>
          <w:rFonts w:ascii="Century Schoolbook" w:hAnsi="Century Schoolbook"/>
        </w:rPr>
        <w:tab/>
        <w:t>Finally, “casual requester</w:t>
      </w:r>
      <w:r>
        <w:rPr>
          <w:rFonts w:ascii="Century Schoolbook" w:hAnsi="Century Schoolbook"/>
        </w:rPr>
        <w:t>s</w:t>
      </w:r>
      <w:r>
        <w:rPr>
          <w:rFonts w:ascii="Century Schoolbook" w:hAnsi="Century Schoolbook"/>
        </w:rPr>
        <w:t xml:space="preserve">” </w:t>
      </w:r>
      <w:r>
        <w:rPr>
          <w:rFonts w:ascii="Century Schoolbook" w:hAnsi="Century Schoolbook"/>
        </w:rPr>
        <w:t xml:space="preserve">are all other </w:t>
      </w:r>
      <w:r>
        <w:rPr>
          <w:rFonts w:ascii="Century Schoolbook" w:hAnsi="Century Schoolbook"/>
        </w:rPr>
        <w:t>individual</w:t>
      </w:r>
      <w:r>
        <w:rPr>
          <w:rFonts w:ascii="Century Schoolbook" w:hAnsi="Century Schoolbook"/>
        </w:rPr>
        <w:t>s</w:t>
      </w:r>
      <w:r>
        <w:rPr>
          <w:rFonts w:ascii="Century Schoolbook" w:hAnsi="Century Schoolbook"/>
        </w:rPr>
        <w:t xml:space="preserve"> or organization</w:t>
      </w:r>
      <w:r>
        <w:rPr>
          <w:rFonts w:ascii="Century Schoolbook" w:hAnsi="Century Schoolbook"/>
        </w:rPr>
        <w:t>s</w:t>
      </w:r>
      <w:r>
        <w:rPr>
          <w:rFonts w:ascii="Century Schoolbook" w:hAnsi="Century Schoolbook"/>
        </w:rPr>
        <w:t xml:space="preserve"> requesting a public driver record.  (§ 1810; see also Cal. Code Regs.</w:t>
      </w:r>
      <w:r>
        <w:rPr>
          <w:rFonts w:ascii="Century Schoolbook" w:hAnsi="Century Schoolbook"/>
        </w:rPr>
        <w:t>, tit. 13,</w:t>
      </w:r>
      <w:r>
        <w:rPr>
          <w:rFonts w:ascii="Century Schoolbook" w:hAnsi="Century Schoolbook"/>
        </w:rPr>
        <w:t xml:space="preserve"> § 350.02(c).)  </w:t>
      </w:r>
      <w:proofErr w:type="gramStart"/>
      <w:r>
        <w:rPr>
          <w:rFonts w:ascii="Century Schoolbook" w:hAnsi="Century Schoolbook"/>
        </w:rPr>
        <w:t>Persons</w:t>
      </w:r>
      <w:proofErr w:type="gramEnd"/>
      <w:r>
        <w:rPr>
          <w:rFonts w:ascii="Century Schoolbook" w:hAnsi="Century Schoolbook"/>
        </w:rPr>
        <w:t xml:space="preserve"> requesting their own public driver record are casual requesters.  </w:t>
      </w:r>
      <w:r>
        <w:rPr>
          <w:rFonts w:ascii="Century Schoolbook" w:hAnsi="Century Schoolbook"/>
        </w:rPr>
        <w:t xml:space="preserve">All other </w:t>
      </w:r>
      <w:r>
        <w:rPr>
          <w:rFonts w:ascii="Century Schoolbook" w:hAnsi="Century Schoolbook"/>
        </w:rPr>
        <w:t>casual requesters must identify a permissible use before obtaining a public driver record.  Permissible uses include legitimate business uses and use</w:t>
      </w:r>
      <w:r>
        <w:rPr>
          <w:rFonts w:ascii="Century Schoolbook" w:hAnsi="Century Schoolbook"/>
        </w:rPr>
        <w:t>s</w:t>
      </w:r>
      <w:r>
        <w:rPr>
          <w:rFonts w:ascii="Century Schoolbook" w:hAnsi="Century Schoolbook"/>
        </w:rPr>
        <w:t xml:space="preserve"> in connection with a civil, criminal, administrative, or arbitral proceeding.  An example of an impermissible use, which would </w:t>
      </w:r>
      <w:r>
        <w:rPr>
          <w:rFonts w:ascii="Century Schoolbook" w:hAnsi="Century Schoolbook"/>
        </w:rPr>
        <w:t xml:space="preserve">result </w:t>
      </w:r>
      <w:r>
        <w:rPr>
          <w:rFonts w:ascii="Century Schoolbook" w:hAnsi="Century Schoolbook"/>
        </w:rPr>
        <w:lastRenderedPageBreak/>
        <w:t>in</w:t>
      </w:r>
      <w:r>
        <w:rPr>
          <w:rFonts w:ascii="Century Schoolbook" w:hAnsi="Century Schoolbook"/>
        </w:rPr>
        <w:t xml:space="preserve"> </w:t>
      </w:r>
      <w:r>
        <w:rPr>
          <w:rFonts w:ascii="Century Schoolbook" w:hAnsi="Century Schoolbook"/>
        </w:rPr>
        <w:t>DMV</w:t>
      </w:r>
      <w:r>
        <w:rPr>
          <w:rFonts w:ascii="Century Schoolbook" w:hAnsi="Century Schoolbook"/>
        </w:rPr>
        <w:t xml:space="preserve"> rejecting the record request</w:t>
      </w:r>
      <w:r>
        <w:rPr>
          <w:rFonts w:ascii="Century Schoolbook" w:hAnsi="Century Schoolbook"/>
        </w:rPr>
        <w:t xml:space="preserve">, is a desire to </w:t>
      </w:r>
      <w:r>
        <w:rPr>
          <w:rFonts w:ascii="Century Schoolbook" w:hAnsi="Century Schoolbook"/>
        </w:rPr>
        <w:t>“</w:t>
      </w:r>
      <w:r>
        <w:rPr>
          <w:rFonts w:ascii="Century Schoolbook" w:hAnsi="Century Schoolbook"/>
        </w:rPr>
        <w:t>get back at</w:t>
      </w:r>
      <w:r>
        <w:rPr>
          <w:rFonts w:ascii="Century Schoolbook" w:hAnsi="Century Schoolbook"/>
        </w:rPr>
        <w:t>”</w:t>
      </w:r>
      <w:r>
        <w:rPr>
          <w:rFonts w:ascii="Century Schoolbook" w:hAnsi="Century Schoolbook"/>
        </w:rPr>
        <w:t xml:space="preserve"> someone who cut off the requester on the freeway. </w:t>
      </w:r>
      <w:r>
        <w:rPr>
          <w:rFonts w:ascii="Century Schoolbook" w:hAnsi="Century Schoolbook"/>
        </w:rPr>
        <w:t xml:space="preserve"> </w:t>
      </w:r>
    </w:p>
    <w:p w14:paraId="30529AB8" w14:textId="77777777" w:rsidR="006F58CB" w:rsidRDefault="006F58CB" w:rsidP="00080E1B">
      <w:pPr>
        <w:spacing w:line="360" w:lineRule="auto"/>
        <w:rPr>
          <w:rFonts w:ascii="Century Schoolbook" w:hAnsi="Century Schoolbook"/>
        </w:rPr>
      </w:pPr>
      <w:r>
        <w:rPr>
          <w:rFonts w:ascii="Century Schoolbook" w:hAnsi="Century Schoolbook"/>
        </w:rPr>
        <w:tab/>
      </w:r>
      <w:proofErr w:type="gramStart"/>
      <w:r>
        <w:rPr>
          <w:rFonts w:ascii="Century Schoolbook" w:hAnsi="Century Schoolbook"/>
        </w:rPr>
        <w:t>Persons</w:t>
      </w:r>
      <w:proofErr w:type="gramEnd"/>
      <w:r>
        <w:rPr>
          <w:rFonts w:ascii="Century Schoolbook" w:hAnsi="Century Schoolbook"/>
        </w:rPr>
        <w:t xml:space="preserve"> are not notified when DMV sends their public driver record to an employer </w:t>
      </w:r>
      <w:r>
        <w:rPr>
          <w:rFonts w:ascii="Century Schoolbook" w:hAnsi="Century Schoolbook"/>
        </w:rPr>
        <w:t>as part of</w:t>
      </w:r>
      <w:r>
        <w:rPr>
          <w:rFonts w:ascii="Century Schoolbook" w:hAnsi="Century Schoolbook"/>
        </w:rPr>
        <w:t xml:space="preserve"> the EPN program or to a commercial requester.  </w:t>
      </w:r>
      <w:proofErr w:type="gramStart"/>
      <w:r>
        <w:rPr>
          <w:rFonts w:ascii="Century Schoolbook" w:hAnsi="Century Schoolbook"/>
        </w:rPr>
        <w:t>Persons</w:t>
      </w:r>
      <w:proofErr w:type="gramEnd"/>
      <w:r>
        <w:rPr>
          <w:rFonts w:ascii="Century Schoolbook" w:hAnsi="Century Schoolbook"/>
        </w:rPr>
        <w:t xml:space="preserve"> are notified when DMV sends their public driver record to a casual </w:t>
      </w:r>
      <w:proofErr w:type="gramStart"/>
      <w:r>
        <w:rPr>
          <w:rFonts w:ascii="Century Schoolbook" w:hAnsi="Century Schoolbook"/>
        </w:rPr>
        <w:t>requestor, but</w:t>
      </w:r>
      <w:proofErr w:type="gramEnd"/>
      <w:r>
        <w:rPr>
          <w:rFonts w:ascii="Century Schoolbook" w:hAnsi="Century Schoolbook"/>
        </w:rPr>
        <w:t xml:space="preserve"> are not notified in advance of the disclosure. </w:t>
      </w:r>
    </w:p>
    <w:p w14:paraId="6C063F23" w14:textId="77777777" w:rsidR="006F58CB" w:rsidRPr="005275CA" w:rsidRDefault="006F58CB" w:rsidP="00D34FB6">
      <w:pPr>
        <w:spacing w:line="360" w:lineRule="auto"/>
        <w:rPr>
          <w:rFonts w:ascii="Century Schoolbook" w:hAnsi="Century Schoolbook"/>
        </w:rPr>
      </w:pPr>
      <w:r>
        <w:rPr>
          <w:rFonts w:ascii="Century Schoolbook" w:hAnsi="Century Schoolbook"/>
        </w:rPr>
        <w:t>B.</w:t>
      </w:r>
      <w:r>
        <w:rPr>
          <w:rFonts w:ascii="Century Schoolbook" w:hAnsi="Century Schoolbook"/>
        </w:rPr>
        <w:tab/>
      </w:r>
      <w:r>
        <w:rPr>
          <w:rFonts w:ascii="Century Schoolbook" w:hAnsi="Century Schoolbook"/>
          <w:i/>
          <w:iCs/>
        </w:rPr>
        <w:t xml:space="preserve">License Suspensions </w:t>
      </w:r>
    </w:p>
    <w:p w14:paraId="46B107B1" w14:textId="77777777" w:rsidR="006F58CB" w:rsidRDefault="006F58CB" w:rsidP="00987905">
      <w:pPr>
        <w:spacing w:line="360" w:lineRule="auto"/>
        <w:rPr>
          <w:rFonts w:ascii="Century Schoolbook" w:hAnsi="Century Schoolbook"/>
        </w:rPr>
      </w:pPr>
      <w:r>
        <w:rPr>
          <w:rFonts w:ascii="Century Schoolbook" w:hAnsi="Century Schoolbook"/>
        </w:rPr>
        <w:tab/>
        <w:t xml:space="preserve">A driver’s license can be suspended by a court or by DMV.  (See </w:t>
      </w:r>
      <w:r>
        <w:rPr>
          <w:rFonts w:ascii="Century Schoolbook" w:hAnsi="Century Schoolbook"/>
        </w:rPr>
        <w:t xml:space="preserve">generally </w:t>
      </w:r>
      <w:r>
        <w:rPr>
          <w:rFonts w:ascii="Century Schoolbook" w:hAnsi="Century Schoolbook"/>
        </w:rPr>
        <w:t xml:space="preserve">§§ 13100–13559.)  DMV is authorized or required to suspend a license in </w:t>
      </w:r>
      <w:r>
        <w:rPr>
          <w:rFonts w:ascii="Century Schoolbook" w:hAnsi="Century Schoolbook"/>
        </w:rPr>
        <w:t xml:space="preserve">certain </w:t>
      </w:r>
      <w:r>
        <w:rPr>
          <w:rFonts w:ascii="Century Schoolbook" w:hAnsi="Century Schoolbook"/>
        </w:rPr>
        <w:t>circumstances.  Some of these circumstances relate to driving; for example, accruing a certain number of traffic violation “points” (</w:t>
      </w:r>
      <w:r>
        <w:rPr>
          <w:rFonts w:ascii="Century Schoolbook" w:hAnsi="Century Schoolbook"/>
        </w:rPr>
        <w:t>§</w:t>
      </w:r>
      <w:r>
        <w:rPr>
          <w:rFonts w:ascii="Century Schoolbook" w:hAnsi="Century Schoolbook"/>
        </w:rPr>
        <w:t xml:space="preserve">§ 12809, subd. (e), 12810.5, </w:t>
      </w:r>
      <w:r w:rsidRPr="00321F62">
        <w:rPr>
          <w:rFonts w:ascii="Century Schoolbook" w:hAnsi="Century Schoolbook"/>
        </w:rPr>
        <w:t>13359</w:t>
      </w:r>
      <w:r>
        <w:rPr>
          <w:rFonts w:ascii="Century Schoolbook" w:hAnsi="Century Schoolbook"/>
        </w:rPr>
        <w:t xml:space="preserve">); failing to submit to a required reexamination (§ 13801); driving without insurance (§ 16070); or being convicted of certain vehicle-related crimes (e.g., §§ 13350, 13351, 13351.5, 13352).  Others have no relation to driving; for example, </w:t>
      </w:r>
      <w:r>
        <w:rPr>
          <w:rFonts w:ascii="Century Schoolbook" w:hAnsi="Century Schoolbook"/>
        </w:rPr>
        <w:t>failing to pa</w:t>
      </w:r>
      <w:r>
        <w:rPr>
          <w:rFonts w:ascii="Century Schoolbook" w:hAnsi="Century Schoolbook"/>
        </w:rPr>
        <w:t xml:space="preserve">y fines or fees (§ 13364), </w:t>
      </w:r>
      <w:r>
        <w:rPr>
          <w:rFonts w:ascii="Century Schoolbook" w:hAnsi="Century Schoolbook"/>
        </w:rPr>
        <w:t>failing to comply with a court order (§ </w:t>
      </w:r>
      <w:r w:rsidRPr="001801A6">
        <w:rPr>
          <w:rFonts w:ascii="Century Schoolbook" w:hAnsi="Century Schoolbook"/>
        </w:rPr>
        <w:t>13365.5</w:t>
      </w:r>
      <w:r>
        <w:rPr>
          <w:rFonts w:ascii="Century Schoolbook" w:hAnsi="Century Schoolbook"/>
        </w:rPr>
        <w:t xml:space="preserve">), </w:t>
      </w:r>
      <w:r>
        <w:rPr>
          <w:rFonts w:ascii="Century Schoolbook" w:hAnsi="Century Schoolbook"/>
        </w:rPr>
        <w:t>failing to satisfy a damages judgment (§ 16370), or failing to pay child support (Fam. Code, § 17520, subds. (a)(2), (e)(3)).</w:t>
      </w:r>
      <w:r>
        <w:rPr>
          <w:rFonts w:ascii="Century Schoolbook" w:hAnsi="Century Schoolbook"/>
        </w:rPr>
        <w:t xml:space="preserve"> </w:t>
      </w:r>
    </w:p>
    <w:p w14:paraId="1080F363" w14:textId="77777777" w:rsidR="006F58CB" w:rsidRDefault="006F58CB" w:rsidP="00D34FB6">
      <w:pPr>
        <w:spacing w:line="360" w:lineRule="auto"/>
        <w:rPr>
          <w:rFonts w:ascii="Century Schoolbook" w:hAnsi="Century Schoolbook"/>
        </w:rPr>
      </w:pPr>
      <w:r>
        <w:rPr>
          <w:rFonts w:ascii="Century Schoolbook" w:hAnsi="Century Schoolbook"/>
        </w:rPr>
        <w:tab/>
        <w:t>The category of DMV suspensions at issue here</w:t>
      </w:r>
      <w:r w:rsidRPr="00BC4077">
        <w:rPr>
          <w:rFonts w:ascii="Century Schoolbook" w:hAnsi="Century Schoolbook"/>
        </w:rPr>
        <w:t xml:space="preserve"> </w:t>
      </w:r>
      <w:proofErr w:type="gramStart"/>
      <w:r>
        <w:rPr>
          <w:rFonts w:ascii="Century Schoolbook" w:hAnsi="Century Schoolbook"/>
        </w:rPr>
        <w:t>result</w:t>
      </w:r>
      <w:proofErr w:type="gramEnd"/>
      <w:r>
        <w:rPr>
          <w:rFonts w:ascii="Century Schoolbook" w:hAnsi="Century Schoolbook"/>
        </w:rPr>
        <w:t xml:space="preserve"> from driving with a certain blood</w:t>
      </w:r>
      <w:r>
        <w:rPr>
          <w:rFonts w:ascii="Century Schoolbook" w:hAnsi="Century Schoolbook"/>
        </w:rPr>
        <w:t>-</w:t>
      </w:r>
      <w:r>
        <w:rPr>
          <w:rFonts w:ascii="Century Schoolbook" w:hAnsi="Century Schoolbook"/>
        </w:rPr>
        <w:t xml:space="preserve">alcohol </w:t>
      </w:r>
      <w:r w:rsidRPr="00B000B1">
        <w:rPr>
          <w:rFonts w:ascii="Century Schoolbook" w:hAnsi="Century Schoolbook"/>
        </w:rPr>
        <w:t>concentration</w:t>
      </w:r>
      <w:r>
        <w:rPr>
          <w:rFonts w:ascii="Century Schoolbook" w:hAnsi="Century Schoolbook"/>
        </w:rPr>
        <w:t xml:space="preserve"> or refusing to submit to chemical testing.</w:t>
      </w:r>
      <w:r>
        <w:rPr>
          <w:rStyle w:val="FootnoteReference"/>
          <w:rFonts w:ascii="Century Schoolbook" w:hAnsi="Century Schoolbook"/>
        </w:rPr>
        <w:footnoteReference w:id="7"/>
      </w:r>
      <w:r>
        <w:rPr>
          <w:rFonts w:ascii="Century Schoolbook" w:hAnsi="Century Schoolbook"/>
        </w:rPr>
        <w:t xml:space="preserve">  (§§ 13353, 13353.1, 13353.2.)  </w:t>
      </w:r>
      <w:r>
        <w:rPr>
          <w:rFonts w:ascii="Century Schoolbook" w:hAnsi="Century Schoolbook"/>
        </w:rPr>
        <w:t xml:space="preserve">A suspension pursuant to these statutes </w:t>
      </w:r>
      <w:r>
        <w:rPr>
          <w:rFonts w:ascii="Century Schoolbook" w:hAnsi="Century Schoolbook"/>
        </w:rPr>
        <w:t xml:space="preserve">is </w:t>
      </w:r>
      <w:r>
        <w:rPr>
          <w:rFonts w:ascii="Century Schoolbook" w:hAnsi="Century Schoolbook"/>
        </w:rPr>
        <w:t xml:space="preserve">commonly referred to as </w:t>
      </w:r>
      <w:r>
        <w:rPr>
          <w:rFonts w:ascii="Century Schoolbook" w:hAnsi="Century Schoolbook"/>
        </w:rPr>
        <w:t xml:space="preserve">an </w:t>
      </w:r>
      <w:r>
        <w:rPr>
          <w:rFonts w:ascii="Century Schoolbook" w:hAnsi="Century Schoolbook"/>
        </w:rPr>
        <w:t>“administrative per se” or “APS” suspension</w:t>
      </w:r>
      <w:r>
        <w:rPr>
          <w:rFonts w:ascii="Century Schoolbook" w:hAnsi="Century Schoolbook"/>
        </w:rPr>
        <w:t xml:space="preserve"> “</w:t>
      </w:r>
      <w:r w:rsidRPr="00336351">
        <w:rPr>
          <w:rFonts w:ascii="Century Schoolbook" w:hAnsi="Century Schoolbook"/>
        </w:rPr>
        <w:t xml:space="preserve">because it does not impose criminal penalties, but simply </w:t>
      </w:r>
      <w:r w:rsidRPr="00336351">
        <w:rPr>
          <w:rFonts w:ascii="Century Schoolbook" w:hAnsi="Century Schoolbook"/>
        </w:rPr>
        <w:lastRenderedPageBreak/>
        <w:t>suspends a person’s driver</w:t>
      </w:r>
      <w:r>
        <w:rPr>
          <w:rFonts w:ascii="Century Schoolbook" w:hAnsi="Century Schoolbook"/>
        </w:rPr>
        <w:t>’</w:t>
      </w:r>
      <w:r w:rsidRPr="00336351">
        <w:rPr>
          <w:rFonts w:ascii="Century Schoolbook" w:hAnsi="Century Schoolbook"/>
        </w:rPr>
        <w:t>s license as an administrative matter upon a showing the person was arrested for driving with a certain blood-alcohol concentration, without additional evidence of impairment.”</w:t>
      </w:r>
      <w:r>
        <w:rPr>
          <w:rStyle w:val="FootnoteReference"/>
          <w:rFonts w:ascii="Century Schoolbook" w:hAnsi="Century Schoolbook"/>
        </w:rPr>
        <w:footnoteReference w:id="8"/>
      </w:r>
      <w:r w:rsidRPr="00336351">
        <w:rPr>
          <w:rFonts w:ascii="Century Schoolbook" w:hAnsi="Century Schoolbook"/>
        </w:rPr>
        <w:t xml:space="preserve">  (</w:t>
      </w:r>
      <w:r w:rsidRPr="00EE415B">
        <w:rPr>
          <w:rFonts w:ascii="Century Schoolbook" w:hAnsi="Century Schoolbook"/>
          <w:i/>
          <w:iCs/>
        </w:rPr>
        <w:t>MacDonald v. Gutierrez</w:t>
      </w:r>
      <w:r w:rsidRPr="00336351">
        <w:rPr>
          <w:rFonts w:ascii="Century Schoolbook" w:hAnsi="Century Schoolbook"/>
        </w:rPr>
        <w:t xml:space="preserve"> (2004) 32 Cal.4th 150, 155.)  </w:t>
      </w:r>
    </w:p>
    <w:p w14:paraId="3E05C786" w14:textId="77777777" w:rsidR="006F58CB" w:rsidRDefault="006F58CB" w:rsidP="00D34FB6">
      <w:pPr>
        <w:spacing w:line="360" w:lineRule="auto"/>
        <w:rPr>
          <w:rFonts w:ascii="Century Schoolbook" w:hAnsi="Century Schoolbook"/>
        </w:rPr>
      </w:pPr>
      <w:r>
        <w:rPr>
          <w:rFonts w:ascii="Century Schoolbook" w:hAnsi="Century Schoolbook"/>
        </w:rPr>
        <w:tab/>
      </w:r>
      <w:r>
        <w:rPr>
          <w:rFonts w:ascii="Century Schoolbook" w:hAnsi="Century Schoolbook"/>
        </w:rPr>
        <w:t xml:space="preserve">The APS suspension process begins </w:t>
      </w:r>
      <w:r>
        <w:rPr>
          <w:rFonts w:ascii="Century Schoolbook" w:hAnsi="Century Schoolbook"/>
        </w:rPr>
        <w:t>after a peace officer makes a</w:t>
      </w:r>
      <w:r>
        <w:rPr>
          <w:rFonts w:ascii="Century Schoolbook" w:hAnsi="Century Schoolbook"/>
        </w:rPr>
        <w:t xml:space="preserve"> DUI</w:t>
      </w:r>
      <w:r>
        <w:rPr>
          <w:rFonts w:ascii="Century Schoolbook" w:hAnsi="Century Schoolbook"/>
        </w:rPr>
        <w:t xml:space="preserve"> arrest</w:t>
      </w:r>
      <w:r>
        <w:rPr>
          <w:rStyle w:val="FootnoteReference"/>
          <w:rFonts w:ascii="Century Schoolbook" w:hAnsi="Century Schoolbook"/>
        </w:rPr>
        <w:footnoteReference w:id="9"/>
      </w:r>
      <w:r>
        <w:rPr>
          <w:rFonts w:ascii="Century Schoolbook" w:hAnsi="Century Schoolbook"/>
        </w:rPr>
        <w:t xml:space="preserve"> </w:t>
      </w:r>
      <w:r>
        <w:rPr>
          <w:rFonts w:ascii="Century Schoolbook" w:hAnsi="Century Schoolbook"/>
        </w:rPr>
        <w:t xml:space="preserve">and </w:t>
      </w:r>
      <w:r>
        <w:rPr>
          <w:rFonts w:ascii="Century Schoolbook" w:hAnsi="Century Schoolbook"/>
        </w:rPr>
        <w:t>submit</w:t>
      </w:r>
      <w:r>
        <w:rPr>
          <w:rFonts w:ascii="Century Schoolbook" w:hAnsi="Century Schoolbook"/>
        </w:rPr>
        <w:t>s</w:t>
      </w:r>
      <w:r>
        <w:rPr>
          <w:rFonts w:ascii="Century Schoolbook" w:hAnsi="Century Schoolbook"/>
        </w:rPr>
        <w:t xml:space="preserve"> to DMV “</w:t>
      </w:r>
      <w:r w:rsidRPr="00943C00">
        <w:rPr>
          <w:rFonts w:ascii="Century Schoolbook" w:hAnsi="Century Schoolbook"/>
        </w:rPr>
        <w:t>a sworn report</w:t>
      </w:r>
      <w:r>
        <w:rPr>
          <w:rFonts w:ascii="Century Schoolbook" w:hAnsi="Century Schoolbook"/>
        </w:rPr>
        <w:t xml:space="preserve">” </w:t>
      </w:r>
      <w:r>
        <w:rPr>
          <w:rFonts w:ascii="Century Schoolbook" w:hAnsi="Century Schoolbook"/>
        </w:rPr>
        <w:t>(§ 13380, subd. (</w:t>
      </w:r>
      <w:proofErr w:type="gramStart"/>
      <w:r>
        <w:rPr>
          <w:rFonts w:ascii="Century Schoolbook" w:hAnsi="Century Schoolbook"/>
        </w:rPr>
        <w:t>a))</w:t>
      </w:r>
      <w:proofErr w:type="gramEnd"/>
      <w:r>
        <w:rPr>
          <w:rFonts w:ascii="Century Schoolbook" w:hAnsi="Century Schoolbook"/>
        </w:rPr>
        <w:t xml:space="preserve">, using </w:t>
      </w:r>
      <w:r w:rsidRPr="0046159F">
        <w:rPr>
          <w:rFonts w:ascii="Century Schoolbook" w:hAnsi="Century Schoolbook"/>
        </w:rPr>
        <w:t xml:space="preserve">a form </w:t>
      </w:r>
      <w:r>
        <w:rPr>
          <w:rFonts w:ascii="Century Schoolbook" w:hAnsi="Century Schoolbook"/>
        </w:rPr>
        <w:t xml:space="preserve">created </w:t>
      </w:r>
      <w:r w:rsidRPr="0046159F">
        <w:rPr>
          <w:rFonts w:ascii="Century Schoolbook" w:hAnsi="Century Schoolbook"/>
        </w:rPr>
        <w:t xml:space="preserve">by DMV </w:t>
      </w:r>
      <w:r>
        <w:rPr>
          <w:rFonts w:ascii="Century Schoolbook" w:hAnsi="Century Schoolbook"/>
        </w:rPr>
        <w:t xml:space="preserve">for this purpose </w:t>
      </w:r>
      <w:r w:rsidRPr="0046159F">
        <w:rPr>
          <w:rFonts w:ascii="Century Schoolbook" w:hAnsi="Century Schoolbook"/>
        </w:rPr>
        <w:t xml:space="preserve">called the DS-367. </w:t>
      </w:r>
      <w:r>
        <w:rPr>
          <w:rFonts w:ascii="Century Schoolbook" w:hAnsi="Century Schoolbook"/>
        </w:rPr>
        <w:t xml:space="preserve"> The officer’s report includes </w:t>
      </w:r>
      <w:r>
        <w:rPr>
          <w:rFonts w:ascii="Century Schoolbook" w:hAnsi="Century Schoolbook"/>
        </w:rPr>
        <w:t>“</w:t>
      </w:r>
      <w:r w:rsidRPr="00943C00">
        <w:rPr>
          <w:rFonts w:ascii="Century Schoolbook" w:hAnsi="Century Schoolbook"/>
        </w:rPr>
        <w:t>a statement of the officer</w:t>
      </w:r>
      <w:r>
        <w:rPr>
          <w:rFonts w:ascii="Century Schoolbook" w:hAnsi="Century Schoolbook"/>
        </w:rPr>
        <w:t>’</w:t>
      </w:r>
      <w:r w:rsidRPr="00943C00">
        <w:rPr>
          <w:rFonts w:ascii="Century Schoolbook" w:hAnsi="Century Schoolbook"/>
        </w:rPr>
        <w:t>s grounds for belief that the person violated</w:t>
      </w:r>
      <w:r>
        <w:rPr>
          <w:rFonts w:ascii="Century Schoolbook" w:hAnsi="Century Schoolbook"/>
        </w:rPr>
        <w:t>” the relevant statute</w:t>
      </w:r>
      <w:r>
        <w:rPr>
          <w:rFonts w:ascii="Century Schoolbook" w:hAnsi="Century Schoolbook"/>
        </w:rPr>
        <w:t xml:space="preserve">, as well as </w:t>
      </w:r>
      <w:r>
        <w:rPr>
          <w:rFonts w:ascii="Century Schoolbook" w:hAnsi="Century Schoolbook"/>
        </w:rPr>
        <w:t xml:space="preserve">the results of any chemical testing or documentation of the person’s refusal to submit to testing.  (§ 13380, subd. (a).)  </w:t>
      </w:r>
      <w:r>
        <w:rPr>
          <w:rFonts w:ascii="Century Schoolbook" w:hAnsi="Century Schoolbook"/>
        </w:rPr>
        <w:t>At the time of the arrest</w:t>
      </w:r>
      <w:r>
        <w:rPr>
          <w:rFonts w:ascii="Century Schoolbook" w:hAnsi="Century Schoolbook"/>
        </w:rPr>
        <w:t>, t</w:t>
      </w:r>
      <w:r>
        <w:rPr>
          <w:rFonts w:ascii="Century Schoolbook" w:hAnsi="Century Schoolbook"/>
        </w:rPr>
        <w:t xml:space="preserve">he officer </w:t>
      </w:r>
      <w:r>
        <w:rPr>
          <w:rFonts w:ascii="Century Schoolbook" w:hAnsi="Century Schoolbook"/>
        </w:rPr>
        <w:t xml:space="preserve">must </w:t>
      </w:r>
      <w:r>
        <w:rPr>
          <w:rFonts w:ascii="Century Schoolbook" w:hAnsi="Century Schoolbook"/>
        </w:rPr>
        <w:t xml:space="preserve">serve the </w:t>
      </w:r>
      <w:r>
        <w:rPr>
          <w:rFonts w:ascii="Century Schoolbook" w:hAnsi="Century Schoolbook"/>
        </w:rPr>
        <w:t>person</w:t>
      </w:r>
      <w:r>
        <w:rPr>
          <w:rFonts w:ascii="Century Schoolbook" w:hAnsi="Century Schoolbook"/>
        </w:rPr>
        <w:t xml:space="preserve"> with notice of </w:t>
      </w:r>
      <w:r>
        <w:rPr>
          <w:rFonts w:ascii="Century Schoolbook" w:hAnsi="Century Schoolbook"/>
        </w:rPr>
        <w:t xml:space="preserve">an </w:t>
      </w:r>
      <w:r>
        <w:rPr>
          <w:rFonts w:ascii="Century Schoolbook" w:hAnsi="Century Schoolbook"/>
        </w:rPr>
        <w:t xml:space="preserve">order of suspension effective 30 days from service.  (§§ 13382, </w:t>
      </w:r>
      <w:r>
        <w:rPr>
          <w:rFonts w:ascii="Century Schoolbook" w:hAnsi="Century Schoolbook"/>
        </w:rPr>
        <w:t>subd</w:t>
      </w:r>
      <w:r>
        <w:rPr>
          <w:rFonts w:ascii="Century Schoolbook" w:hAnsi="Century Schoolbook"/>
        </w:rPr>
        <w:t>s</w:t>
      </w:r>
      <w:r>
        <w:rPr>
          <w:rFonts w:ascii="Century Schoolbook" w:hAnsi="Century Schoolbook"/>
        </w:rPr>
        <w:t>. </w:t>
      </w:r>
      <w:r>
        <w:rPr>
          <w:rFonts w:ascii="Century Schoolbook" w:hAnsi="Century Schoolbook"/>
        </w:rPr>
        <w:t>(a)–</w:t>
      </w:r>
      <w:r>
        <w:rPr>
          <w:rFonts w:ascii="Century Schoolbook" w:hAnsi="Century Schoolbook"/>
        </w:rPr>
        <w:t xml:space="preserve">(b), </w:t>
      </w:r>
      <w:r>
        <w:rPr>
          <w:rFonts w:ascii="Century Schoolbook" w:hAnsi="Century Schoolbook"/>
        </w:rPr>
        <w:t>13388</w:t>
      </w:r>
      <w:r>
        <w:rPr>
          <w:rFonts w:ascii="Century Schoolbook" w:hAnsi="Century Schoolbook"/>
        </w:rPr>
        <w:t>, subd. (b)</w:t>
      </w:r>
      <w:r>
        <w:rPr>
          <w:rFonts w:ascii="Century Schoolbook" w:hAnsi="Century Schoolbook"/>
        </w:rPr>
        <w:t>, 13389</w:t>
      </w:r>
      <w:r>
        <w:rPr>
          <w:rFonts w:ascii="Century Schoolbook" w:hAnsi="Century Schoolbook"/>
        </w:rPr>
        <w:t>, subd. (b)</w:t>
      </w:r>
      <w:r>
        <w:rPr>
          <w:rFonts w:ascii="Century Schoolbook" w:hAnsi="Century Schoolbook"/>
        </w:rPr>
        <w:t xml:space="preserve">.)  </w:t>
      </w:r>
    </w:p>
    <w:p w14:paraId="7EC4401C" w14:textId="77777777" w:rsidR="006F58CB" w:rsidRDefault="006F58CB" w:rsidP="00D34FB6">
      <w:pPr>
        <w:spacing w:line="360" w:lineRule="auto"/>
        <w:rPr>
          <w:rFonts w:ascii="Century Schoolbook" w:hAnsi="Century Schoolbook"/>
        </w:rPr>
      </w:pPr>
      <w:r>
        <w:rPr>
          <w:rFonts w:ascii="Century Schoolbook" w:hAnsi="Century Schoolbook"/>
        </w:rPr>
        <w:tab/>
        <w:t xml:space="preserve">When DMV receives </w:t>
      </w:r>
      <w:r>
        <w:rPr>
          <w:rFonts w:ascii="Century Schoolbook" w:hAnsi="Century Schoolbook"/>
        </w:rPr>
        <w:t>the officer’s sworn</w:t>
      </w:r>
      <w:r>
        <w:rPr>
          <w:rFonts w:ascii="Century Schoolbook" w:hAnsi="Century Schoolbook"/>
        </w:rPr>
        <w:t xml:space="preserve"> report, it conducts an administrative review of the suspension</w:t>
      </w:r>
      <w:r>
        <w:rPr>
          <w:rFonts w:ascii="Century Schoolbook" w:hAnsi="Century Schoolbook"/>
        </w:rPr>
        <w:t>, which must be concluded before the suspension’s effective date</w:t>
      </w:r>
      <w:r>
        <w:rPr>
          <w:rFonts w:ascii="Century Schoolbook" w:hAnsi="Century Schoolbook"/>
        </w:rPr>
        <w:t>.  (§§ 13553, subd. (d), 13553.1, subd. (d), 13553.2, subd. (d), 13557</w:t>
      </w:r>
      <w:r>
        <w:rPr>
          <w:rFonts w:ascii="Century Schoolbook" w:hAnsi="Century Schoolbook"/>
        </w:rPr>
        <w:t>, subd</w:t>
      </w:r>
      <w:r>
        <w:rPr>
          <w:rFonts w:ascii="Century Schoolbook" w:hAnsi="Century Schoolbook"/>
        </w:rPr>
        <w:t>s</w:t>
      </w:r>
      <w:r>
        <w:rPr>
          <w:rFonts w:ascii="Century Schoolbook" w:hAnsi="Century Schoolbook"/>
        </w:rPr>
        <w:t>. (a)</w:t>
      </w:r>
      <w:r>
        <w:rPr>
          <w:rFonts w:ascii="Century Schoolbook" w:hAnsi="Century Schoolbook"/>
        </w:rPr>
        <w:t xml:space="preserve"> &amp; (c)</w:t>
      </w:r>
      <w:r>
        <w:rPr>
          <w:rFonts w:ascii="Century Schoolbook" w:hAnsi="Century Schoolbook"/>
        </w:rPr>
        <w:t xml:space="preserve">.)  </w:t>
      </w:r>
      <w:r>
        <w:rPr>
          <w:rFonts w:ascii="Century Schoolbook" w:hAnsi="Century Schoolbook"/>
        </w:rPr>
        <w:t xml:space="preserve">DMV reviews </w:t>
      </w:r>
      <w:r>
        <w:rPr>
          <w:rFonts w:ascii="Century Schoolbook" w:hAnsi="Century Schoolbook"/>
        </w:rPr>
        <w:t xml:space="preserve">the officer’s report and </w:t>
      </w:r>
      <w:r>
        <w:rPr>
          <w:rFonts w:ascii="Century Schoolbook" w:hAnsi="Century Schoolbook"/>
        </w:rPr>
        <w:t>any evidence accompanying the report</w:t>
      </w:r>
      <w:r>
        <w:rPr>
          <w:rFonts w:ascii="Century Schoolbook" w:hAnsi="Century Schoolbook"/>
        </w:rPr>
        <w:t xml:space="preserve"> and </w:t>
      </w:r>
      <w:r>
        <w:rPr>
          <w:rFonts w:ascii="Century Schoolbook" w:hAnsi="Century Schoolbook"/>
        </w:rPr>
        <w:t>determines whether, by a preponderance of the evidence</w:t>
      </w:r>
      <w:r>
        <w:rPr>
          <w:rFonts w:ascii="Century Schoolbook" w:hAnsi="Century Schoolbook"/>
        </w:rPr>
        <w:t xml:space="preserve">, the record establishes </w:t>
      </w:r>
      <w:r>
        <w:rPr>
          <w:rFonts w:ascii="Century Schoolbook" w:hAnsi="Century Schoolbook"/>
        </w:rPr>
        <w:t xml:space="preserve">that </w:t>
      </w:r>
      <w:r>
        <w:rPr>
          <w:rFonts w:ascii="Century Schoolbook" w:hAnsi="Century Schoolbook"/>
        </w:rPr>
        <w:t xml:space="preserve">the officer had reasonable cause to believe the violation occurred; the </w:t>
      </w:r>
      <w:r>
        <w:rPr>
          <w:rFonts w:ascii="Century Schoolbook" w:hAnsi="Century Schoolbook"/>
        </w:rPr>
        <w:t>person</w:t>
      </w:r>
      <w:r>
        <w:rPr>
          <w:rFonts w:ascii="Century Schoolbook" w:hAnsi="Century Schoolbook"/>
        </w:rPr>
        <w:t xml:space="preserve"> was arrest</w:t>
      </w:r>
      <w:r>
        <w:rPr>
          <w:rFonts w:ascii="Century Schoolbook" w:hAnsi="Century Schoolbook"/>
        </w:rPr>
        <w:t>ed</w:t>
      </w:r>
      <w:r>
        <w:rPr>
          <w:rFonts w:ascii="Century Schoolbook" w:hAnsi="Century Schoolbook"/>
        </w:rPr>
        <w:t xml:space="preserve">; and either the </w:t>
      </w:r>
      <w:r>
        <w:rPr>
          <w:rFonts w:ascii="Century Schoolbook" w:hAnsi="Century Schoolbook"/>
        </w:rPr>
        <w:t xml:space="preserve">person </w:t>
      </w:r>
      <w:r>
        <w:rPr>
          <w:rFonts w:ascii="Century Schoolbook" w:hAnsi="Century Schoolbook"/>
        </w:rPr>
        <w:t>was driving with</w:t>
      </w:r>
      <w:r>
        <w:rPr>
          <w:rFonts w:ascii="Century Schoolbook" w:hAnsi="Century Schoolbook"/>
        </w:rPr>
        <w:t xml:space="preserve"> a prohibited </w:t>
      </w:r>
      <w:r>
        <w:rPr>
          <w:rFonts w:ascii="Century Schoolbook" w:hAnsi="Century Schoolbook"/>
        </w:rPr>
        <w:t>blood-alcohol</w:t>
      </w:r>
      <w:r>
        <w:rPr>
          <w:rFonts w:ascii="Century Schoolbook" w:hAnsi="Century Schoolbook"/>
        </w:rPr>
        <w:t xml:space="preserve"> level</w:t>
      </w:r>
      <w:r>
        <w:rPr>
          <w:rFonts w:ascii="Century Schoolbook" w:hAnsi="Century Schoolbook"/>
        </w:rPr>
        <w:t xml:space="preserve"> or refused to submit to a chemical test and was told refusal would result in a </w:t>
      </w:r>
      <w:r>
        <w:rPr>
          <w:rFonts w:ascii="Century Schoolbook" w:hAnsi="Century Schoolbook"/>
        </w:rPr>
        <w:lastRenderedPageBreak/>
        <w:t>suspension</w:t>
      </w:r>
      <w:r>
        <w:rPr>
          <w:rFonts w:ascii="Century Schoolbook" w:hAnsi="Century Schoolbook"/>
        </w:rPr>
        <w:t>.  (§ 13557, subd</w:t>
      </w:r>
      <w:r>
        <w:rPr>
          <w:rFonts w:ascii="Century Schoolbook" w:hAnsi="Century Schoolbook"/>
        </w:rPr>
        <w:t>s</w:t>
      </w:r>
      <w:r>
        <w:rPr>
          <w:rFonts w:ascii="Century Schoolbook" w:hAnsi="Century Schoolbook"/>
        </w:rPr>
        <w:t>.</w:t>
      </w:r>
      <w:r>
        <w:rPr>
          <w:rFonts w:ascii="Century Schoolbook" w:hAnsi="Century Schoolbook"/>
        </w:rPr>
        <w:t xml:space="preserve"> (a),</w:t>
      </w:r>
      <w:r>
        <w:rPr>
          <w:rFonts w:ascii="Century Schoolbook" w:hAnsi="Century Schoolbook"/>
        </w:rPr>
        <w:t xml:space="preserve"> (b)(1) &amp; (3).)  If DMV finds any required fact not proven by a preponderance of the evidence, it </w:t>
      </w:r>
      <w:r>
        <w:rPr>
          <w:rFonts w:ascii="Century Schoolbook" w:hAnsi="Century Schoolbook"/>
        </w:rPr>
        <w:t xml:space="preserve">must </w:t>
      </w:r>
      <w:r>
        <w:rPr>
          <w:rFonts w:ascii="Century Schoolbook" w:hAnsi="Century Schoolbook"/>
        </w:rPr>
        <w:t>rescind the order of suspension.  (§ 13557, subd. (b)(2) &amp; (4).)  If DMV finds the required facts pro</w:t>
      </w:r>
      <w:r>
        <w:rPr>
          <w:rFonts w:ascii="Century Schoolbook" w:hAnsi="Century Schoolbook"/>
        </w:rPr>
        <w:t>ven, it sustains the suspension.  (§ 13557, subd. (b)(1) &amp; (2).)</w:t>
      </w:r>
      <w:r>
        <w:rPr>
          <w:rFonts w:ascii="Century Schoolbook" w:hAnsi="Century Schoolbook"/>
        </w:rPr>
        <w:t xml:space="preserve">  Suspensions range from four months to </w:t>
      </w:r>
      <w:r>
        <w:rPr>
          <w:rFonts w:ascii="Century Schoolbook" w:hAnsi="Century Schoolbook"/>
        </w:rPr>
        <w:t>three</w:t>
      </w:r>
      <w:r>
        <w:rPr>
          <w:rFonts w:ascii="Century Schoolbook" w:hAnsi="Century Schoolbook"/>
        </w:rPr>
        <w:t xml:space="preserve"> years</w:t>
      </w:r>
      <w:r>
        <w:rPr>
          <w:rFonts w:ascii="Century Schoolbook" w:hAnsi="Century Schoolbook"/>
        </w:rPr>
        <w:t xml:space="preserve">, depending on the </w:t>
      </w:r>
      <w:r>
        <w:rPr>
          <w:rFonts w:ascii="Century Schoolbook" w:hAnsi="Century Schoolbook"/>
        </w:rPr>
        <w:t xml:space="preserve">underlying violation </w:t>
      </w:r>
      <w:r>
        <w:rPr>
          <w:rFonts w:ascii="Century Schoolbook" w:hAnsi="Century Schoolbook"/>
        </w:rPr>
        <w:t xml:space="preserve">and any prior </w:t>
      </w:r>
      <w:r>
        <w:rPr>
          <w:rFonts w:ascii="Century Schoolbook" w:hAnsi="Century Schoolbook"/>
        </w:rPr>
        <w:t>DUI convictions or APS suspensions</w:t>
      </w:r>
      <w:r>
        <w:rPr>
          <w:rFonts w:ascii="Century Schoolbook" w:hAnsi="Century Schoolbook"/>
        </w:rPr>
        <w:t>.  (</w:t>
      </w:r>
      <w:r>
        <w:rPr>
          <w:rFonts w:ascii="Century Schoolbook" w:hAnsi="Century Schoolbook"/>
        </w:rPr>
        <w:t>§§ </w:t>
      </w:r>
      <w:r>
        <w:rPr>
          <w:rFonts w:ascii="Century Schoolbook" w:hAnsi="Century Schoolbook"/>
        </w:rPr>
        <w:t>13353, subd. </w:t>
      </w:r>
      <w:r>
        <w:rPr>
          <w:rFonts w:ascii="Century Schoolbook" w:hAnsi="Century Schoolbook"/>
        </w:rPr>
        <w:t xml:space="preserve">(a), </w:t>
      </w:r>
      <w:r>
        <w:rPr>
          <w:rFonts w:ascii="Century Schoolbook" w:hAnsi="Century Schoolbook"/>
        </w:rPr>
        <w:t xml:space="preserve">13353.1, subd. (a), </w:t>
      </w:r>
      <w:r>
        <w:rPr>
          <w:rFonts w:ascii="Century Schoolbook" w:hAnsi="Century Schoolbook"/>
        </w:rPr>
        <w:t>13353.3, subd. (b)</w:t>
      </w:r>
      <w:r>
        <w:rPr>
          <w:rFonts w:ascii="Century Schoolbook" w:hAnsi="Century Schoolbook"/>
        </w:rPr>
        <w:t>.)</w:t>
      </w:r>
      <w:r>
        <w:rPr>
          <w:rStyle w:val="FootnoteReference"/>
          <w:rFonts w:ascii="Century Schoolbook" w:hAnsi="Century Schoolbook"/>
        </w:rPr>
        <w:footnoteReference w:id="10"/>
      </w:r>
      <w:r>
        <w:rPr>
          <w:rFonts w:ascii="Century Schoolbook" w:hAnsi="Century Schoolbook"/>
        </w:rPr>
        <w:t xml:space="preserve"> </w:t>
      </w:r>
    </w:p>
    <w:p w14:paraId="49DC699B" w14:textId="77777777" w:rsidR="006F58CB" w:rsidRDefault="006F58CB" w:rsidP="00C851A8">
      <w:pPr>
        <w:spacing w:line="360" w:lineRule="auto"/>
        <w:rPr>
          <w:rFonts w:ascii="Century Schoolbook" w:hAnsi="Century Schoolbook"/>
        </w:rPr>
      </w:pPr>
      <w:r>
        <w:rPr>
          <w:rFonts w:ascii="Century Schoolbook" w:hAnsi="Century Schoolbook"/>
        </w:rPr>
        <w:tab/>
        <w:t>In addition to or instead of th</w:t>
      </w:r>
      <w:r>
        <w:rPr>
          <w:rFonts w:ascii="Century Schoolbook" w:hAnsi="Century Schoolbook"/>
        </w:rPr>
        <w:t>is</w:t>
      </w:r>
      <w:r>
        <w:rPr>
          <w:rFonts w:ascii="Century Schoolbook" w:hAnsi="Century Schoolbook"/>
        </w:rPr>
        <w:t xml:space="preserve"> administrative review, the </w:t>
      </w:r>
      <w:r>
        <w:rPr>
          <w:rFonts w:ascii="Century Schoolbook" w:hAnsi="Century Schoolbook"/>
        </w:rPr>
        <w:t>person</w:t>
      </w:r>
      <w:r>
        <w:rPr>
          <w:rFonts w:ascii="Century Schoolbook" w:hAnsi="Century Schoolbook"/>
        </w:rPr>
        <w:t xml:space="preserve"> may request a</w:t>
      </w:r>
      <w:r>
        <w:rPr>
          <w:rFonts w:ascii="Century Schoolbook" w:hAnsi="Century Schoolbook"/>
        </w:rPr>
        <w:t>n administrative</w:t>
      </w:r>
      <w:r>
        <w:rPr>
          <w:rFonts w:ascii="Century Schoolbook" w:hAnsi="Century Schoolbook"/>
        </w:rPr>
        <w:t xml:space="preserve"> hearing on the same facts at issue in the administrative review.</w:t>
      </w:r>
      <w:r>
        <w:rPr>
          <w:rStyle w:val="FootnoteReference"/>
          <w:rFonts w:ascii="Century Schoolbook" w:hAnsi="Century Schoolbook"/>
        </w:rPr>
        <w:footnoteReference w:id="11"/>
      </w:r>
      <w:r>
        <w:rPr>
          <w:rFonts w:ascii="Century Schoolbook" w:hAnsi="Century Schoolbook"/>
        </w:rPr>
        <w:t xml:space="preserve">  (§ 13358, subds. (a) &amp; (c).)  If the request is made within 10 days of receiving the order of suspension, the hearing must be held before the </w:t>
      </w:r>
      <w:r>
        <w:rPr>
          <w:rFonts w:ascii="Century Schoolbook" w:hAnsi="Century Schoolbook"/>
        </w:rPr>
        <w:t xml:space="preserve">suspension’s </w:t>
      </w:r>
      <w:r>
        <w:rPr>
          <w:rFonts w:ascii="Century Schoolbook" w:hAnsi="Century Schoolbook"/>
        </w:rPr>
        <w:t>effective date.  (§ 13</w:t>
      </w:r>
      <w:r>
        <w:rPr>
          <w:rFonts w:ascii="Century Schoolbook" w:hAnsi="Century Schoolbook"/>
        </w:rPr>
        <w:t>5</w:t>
      </w:r>
      <w:r>
        <w:rPr>
          <w:rFonts w:ascii="Century Schoolbook" w:hAnsi="Century Schoolbook"/>
        </w:rPr>
        <w:t xml:space="preserve">58, subd. (d).)  </w:t>
      </w:r>
      <w:r>
        <w:rPr>
          <w:rFonts w:ascii="Century Schoolbook" w:hAnsi="Century Schoolbook"/>
        </w:rPr>
        <w:t>“</w:t>
      </w:r>
      <w:r w:rsidRPr="00C851A8">
        <w:rPr>
          <w:rFonts w:ascii="Century Schoolbook" w:hAnsi="Century Schoolbook"/>
        </w:rPr>
        <w:t>The administrative hearing is held before either the director of the DMV, a hearing board or, more usually, a department hearing officer (§ 14104.2, subd. (a)).</w:t>
      </w:r>
      <w:r>
        <w:rPr>
          <w:rFonts w:ascii="Century Schoolbook" w:hAnsi="Century Schoolbook"/>
        </w:rPr>
        <w:t>”  (</w:t>
      </w:r>
      <w:r w:rsidRPr="00E95A61">
        <w:rPr>
          <w:rFonts w:ascii="Century Schoolbook" w:hAnsi="Century Schoolbook"/>
          <w:i/>
          <w:iCs/>
        </w:rPr>
        <w:t>Lake v. Reed</w:t>
      </w:r>
      <w:r w:rsidRPr="00C851A8">
        <w:rPr>
          <w:rFonts w:ascii="Century Schoolbook" w:hAnsi="Century Schoolbook"/>
        </w:rPr>
        <w:t xml:space="preserve"> (1997) 16 Cal.4th 448, 456</w:t>
      </w:r>
      <w:r>
        <w:rPr>
          <w:rFonts w:ascii="Century Schoolbook" w:hAnsi="Century Schoolbook"/>
        </w:rPr>
        <w:t xml:space="preserve"> (</w:t>
      </w:r>
      <w:r w:rsidRPr="00E95A61">
        <w:rPr>
          <w:rFonts w:ascii="Century Schoolbook" w:hAnsi="Century Schoolbook"/>
          <w:i/>
          <w:iCs/>
        </w:rPr>
        <w:t>Lake</w:t>
      </w:r>
      <w:r>
        <w:rPr>
          <w:rFonts w:ascii="Century Schoolbook" w:hAnsi="Century Schoolbook"/>
        </w:rPr>
        <w:t>)</w:t>
      </w:r>
      <w:r>
        <w:rPr>
          <w:rFonts w:ascii="Century Schoolbook" w:hAnsi="Century Schoolbook"/>
        </w:rPr>
        <w:t xml:space="preserve">.)  </w:t>
      </w:r>
      <w:r>
        <w:rPr>
          <w:rFonts w:ascii="Century Schoolbook" w:hAnsi="Century Schoolbook"/>
        </w:rPr>
        <w:t>The driver may subpoena witnesses and documents, and present evidence.  (§§ 13</w:t>
      </w:r>
      <w:r>
        <w:rPr>
          <w:rFonts w:ascii="Century Schoolbook" w:hAnsi="Century Schoolbook"/>
        </w:rPr>
        <w:t>5</w:t>
      </w:r>
      <w:r>
        <w:rPr>
          <w:rFonts w:ascii="Century Schoolbook" w:hAnsi="Century Schoolbook"/>
        </w:rPr>
        <w:t>58, subds. (a) &amp; (b),</w:t>
      </w:r>
      <w:r>
        <w:rPr>
          <w:rFonts w:ascii="Century Schoolbook" w:hAnsi="Century Schoolbook"/>
        </w:rPr>
        <w:t xml:space="preserve"> 14104.5, 14104.7.)  If DMV sustains the suspension,</w:t>
      </w:r>
      <w:r>
        <w:rPr>
          <w:rStyle w:val="FootnoteReference"/>
          <w:rFonts w:ascii="Century Schoolbook" w:hAnsi="Century Schoolbook"/>
        </w:rPr>
        <w:footnoteReference w:id="12"/>
      </w:r>
      <w:r>
        <w:rPr>
          <w:rFonts w:ascii="Century Schoolbook" w:hAnsi="Century Schoolbook"/>
        </w:rPr>
        <w:t xml:space="preserve"> the driver may seek </w:t>
      </w:r>
      <w:r>
        <w:rPr>
          <w:rFonts w:ascii="Century Schoolbook" w:hAnsi="Century Schoolbook"/>
        </w:rPr>
        <w:t>writ</w:t>
      </w:r>
      <w:r>
        <w:rPr>
          <w:rFonts w:ascii="Century Schoolbook" w:hAnsi="Century Schoolbook"/>
        </w:rPr>
        <w:t xml:space="preserve"> review</w:t>
      </w:r>
      <w:r>
        <w:rPr>
          <w:rFonts w:ascii="Century Schoolbook" w:hAnsi="Century Schoolbook"/>
        </w:rPr>
        <w:t xml:space="preserve"> </w:t>
      </w:r>
      <w:r>
        <w:rPr>
          <w:rFonts w:ascii="Century Schoolbook" w:hAnsi="Century Schoolbook"/>
        </w:rPr>
        <w:t>(§ 13</w:t>
      </w:r>
      <w:r>
        <w:rPr>
          <w:rFonts w:ascii="Century Schoolbook" w:hAnsi="Century Schoolbook"/>
        </w:rPr>
        <w:t>5</w:t>
      </w:r>
      <w:r>
        <w:rPr>
          <w:rFonts w:ascii="Century Schoolbook" w:hAnsi="Century Schoolbook"/>
        </w:rPr>
        <w:t>59</w:t>
      </w:r>
      <w:r>
        <w:rPr>
          <w:rFonts w:ascii="Century Schoolbook" w:hAnsi="Century Schoolbook"/>
        </w:rPr>
        <w:t>, subd. (a)</w:t>
      </w:r>
      <w:r>
        <w:rPr>
          <w:rFonts w:ascii="Century Schoolbook" w:hAnsi="Century Schoolbook"/>
        </w:rPr>
        <w:t xml:space="preserve">) </w:t>
      </w:r>
      <w:r>
        <w:rPr>
          <w:rFonts w:ascii="Century Schoolbook" w:hAnsi="Century Schoolbook"/>
        </w:rPr>
        <w:t>and have the “</w:t>
      </w:r>
      <w:r w:rsidRPr="00123B8C">
        <w:rPr>
          <w:rFonts w:ascii="Century Schoolbook" w:hAnsi="Century Schoolbook"/>
        </w:rPr>
        <w:t xml:space="preserve">trial court </w:t>
      </w:r>
      <w:r>
        <w:rPr>
          <w:rFonts w:ascii="Century Schoolbook" w:hAnsi="Century Schoolbook"/>
        </w:rPr>
        <w:t xml:space="preserve">. . . </w:t>
      </w:r>
      <w:r w:rsidRPr="00123B8C">
        <w:rPr>
          <w:rFonts w:ascii="Century Schoolbook" w:hAnsi="Century Schoolbook"/>
        </w:rPr>
        <w:t xml:space="preserve">determine, based on its independent judgment, </w:t>
      </w:r>
      <w:proofErr w:type="gramStart"/>
      <w:r>
        <w:rPr>
          <w:rFonts w:ascii="Century Schoolbook" w:hAnsi="Century Schoolbook"/>
        </w:rPr>
        <w:t>‘ </w:t>
      </w:r>
      <w:r w:rsidRPr="00123B8C">
        <w:rPr>
          <w:rFonts w:ascii="Century Schoolbook" w:hAnsi="Century Schoolbook"/>
        </w:rPr>
        <w:t>“</w:t>
      </w:r>
      <w:proofErr w:type="gramEnd"/>
      <w:r w:rsidRPr="00123B8C">
        <w:rPr>
          <w:rFonts w:ascii="Century Schoolbook" w:hAnsi="Century Schoolbook"/>
        </w:rPr>
        <w:t xml:space="preserve">whether the weight of the evidence supported the </w:t>
      </w:r>
      <w:r w:rsidRPr="00123B8C">
        <w:rPr>
          <w:rFonts w:ascii="Century Schoolbook" w:hAnsi="Century Schoolbook"/>
        </w:rPr>
        <w:t>administrative decision.”</w:t>
      </w:r>
      <w:r>
        <w:rPr>
          <w:rFonts w:ascii="Century Schoolbook" w:hAnsi="Century Schoolbook"/>
        </w:rPr>
        <w:t> ’ ”  (</w:t>
      </w:r>
      <w:r w:rsidRPr="00123B8C">
        <w:rPr>
          <w:rFonts w:ascii="Century Schoolbook" w:hAnsi="Century Schoolbook"/>
          <w:i/>
          <w:iCs/>
        </w:rPr>
        <w:t>Lake</w:t>
      </w:r>
      <w:r>
        <w:rPr>
          <w:rFonts w:ascii="Century Schoolbook" w:hAnsi="Century Schoolbook"/>
          <w:i/>
          <w:iCs/>
        </w:rPr>
        <w:t>,</w:t>
      </w:r>
      <w:r w:rsidRPr="00123B8C">
        <w:rPr>
          <w:rFonts w:ascii="Century Schoolbook" w:hAnsi="Century Schoolbook"/>
          <w:i/>
          <w:iCs/>
        </w:rPr>
        <w:t xml:space="preserve"> </w:t>
      </w:r>
      <w:r w:rsidRPr="00B018C3">
        <w:rPr>
          <w:rFonts w:ascii="Century Schoolbook" w:hAnsi="Century Schoolbook"/>
        </w:rPr>
        <w:t>at p.</w:t>
      </w:r>
      <w:r>
        <w:rPr>
          <w:rFonts w:ascii="Century Schoolbook" w:hAnsi="Century Schoolbook"/>
          <w:i/>
          <w:iCs/>
        </w:rPr>
        <w:t> </w:t>
      </w:r>
      <w:r w:rsidRPr="00123B8C">
        <w:rPr>
          <w:rFonts w:ascii="Century Schoolbook" w:hAnsi="Century Schoolbook"/>
        </w:rPr>
        <w:t>456</w:t>
      </w:r>
      <w:r>
        <w:rPr>
          <w:rFonts w:ascii="Century Schoolbook" w:hAnsi="Century Schoolbook"/>
        </w:rPr>
        <w:t>.</w:t>
      </w:r>
      <w:r>
        <w:rPr>
          <w:rFonts w:ascii="Century Schoolbook" w:hAnsi="Century Schoolbook"/>
        </w:rPr>
        <w:t>)</w:t>
      </w:r>
      <w:r>
        <w:rPr>
          <w:rFonts w:ascii="Century Schoolbook" w:hAnsi="Century Schoolbook"/>
        </w:rPr>
        <w:t xml:space="preserve">  </w:t>
      </w:r>
    </w:p>
    <w:p w14:paraId="27CC4DD4" w14:textId="77777777" w:rsidR="006F58CB" w:rsidRDefault="006F58CB" w:rsidP="00D34FB6">
      <w:pPr>
        <w:spacing w:line="360" w:lineRule="auto"/>
        <w:rPr>
          <w:rFonts w:ascii="Century Schoolbook" w:hAnsi="Century Schoolbook"/>
        </w:rPr>
      </w:pPr>
      <w:r>
        <w:rPr>
          <w:rFonts w:ascii="Century Schoolbook" w:hAnsi="Century Schoolbook"/>
        </w:rPr>
        <w:lastRenderedPageBreak/>
        <w:tab/>
      </w:r>
      <w:r>
        <w:rPr>
          <w:rFonts w:ascii="Century Schoolbook" w:hAnsi="Century Schoolbook"/>
        </w:rPr>
        <w:t>D</w:t>
      </w:r>
      <w:r>
        <w:rPr>
          <w:rFonts w:ascii="Century Schoolbook" w:hAnsi="Century Schoolbook"/>
        </w:rPr>
        <w:t>eterminations made in the administrative proceeding</w:t>
      </w:r>
      <w:r>
        <w:rPr>
          <w:rFonts w:ascii="Century Schoolbook" w:hAnsi="Century Schoolbook"/>
        </w:rPr>
        <w:t xml:space="preserve"> have no collateral estoppel effect in criminal proceedings</w:t>
      </w:r>
      <w:r>
        <w:rPr>
          <w:rFonts w:ascii="Century Schoolbook" w:hAnsi="Century Schoolbook"/>
        </w:rPr>
        <w:t xml:space="preserve"> arising from the same incident</w:t>
      </w:r>
      <w:r>
        <w:rPr>
          <w:rFonts w:ascii="Century Schoolbook" w:hAnsi="Century Schoolbook"/>
        </w:rPr>
        <w:t>.</w:t>
      </w:r>
      <w:r>
        <w:rPr>
          <w:rStyle w:val="FootnoteReference"/>
          <w:rFonts w:ascii="Century Schoolbook" w:hAnsi="Century Schoolbook"/>
        </w:rPr>
        <w:footnoteReference w:id="13"/>
      </w:r>
      <w:r>
        <w:rPr>
          <w:rFonts w:ascii="Century Schoolbook" w:hAnsi="Century Schoolbook"/>
        </w:rPr>
        <w:t xml:space="preserve"> </w:t>
      </w:r>
      <w:r>
        <w:rPr>
          <w:rFonts w:ascii="Century Schoolbook" w:hAnsi="Century Schoolbook"/>
        </w:rPr>
        <w:t xml:space="preserve"> (</w:t>
      </w:r>
      <w:r>
        <w:rPr>
          <w:rFonts w:ascii="Century Schoolbook" w:hAnsi="Century Schoolbook"/>
        </w:rPr>
        <w:t>§</w:t>
      </w:r>
      <w:r w:rsidRPr="00616C2D">
        <w:rPr>
          <w:rFonts w:ascii="Century Schoolbook" w:hAnsi="Century Schoolbook"/>
        </w:rPr>
        <w:t>§</w:t>
      </w:r>
      <w:r>
        <w:rPr>
          <w:rFonts w:ascii="Century Schoolbook" w:hAnsi="Century Schoolbook"/>
        </w:rPr>
        <w:t xml:space="preserve"> 13353.2, subd. (e), 13357, subd. (f), 13358, </w:t>
      </w:r>
      <w:r>
        <w:rPr>
          <w:rFonts w:ascii="Century Schoolbook" w:hAnsi="Century Schoolbook"/>
        </w:rPr>
        <w:t>subd. (g)</w:t>
      </w:r>
      <w:r>
        <w:rPr>
          <w:rFonts w:ascii="Century Schoolbook" w:hAnsi="Century Schoolbook"/>
        </w:rPr>
        <w:t xml:space="preserve">, </w:t>
      </w:r>
      <w:r w:rsidRPr="00616C2D">
        <w:rPr>
          <w:rFonts w:ascii="Century Schoolbook" w:hAnsi="Century Schoolbook"/>
        </w:rPr>
        <w:t>13559</w:t>
      </w:r>
      <w:r>
        <w:rPr>
          <w:rFonts w:ascii="Century Schoolbook" w:hAnsi="Century Schoolbook"/>
        </w:rPr>
        <w:t>, subd. (b)</w:t>
      </w:r>
      <w:r>
        <w:rPr>
          <w:rFonts w:ascii="Century Schoolbook" w:hAnsi="Century Schoolbook"/>
        </w:rPr>
        <w:t>.)</w:t>
      </w:r>
      <w:r>
        <w:rPr>
          <w:rFonts w:ascii="Century Schoolbook" w:hAnsi="Century Schoolbook"/>
        </w:rPr>
        <w:t xml:space="preserve">  </w:t>
      </w:r>
      <w:r>
        <w:rPr>
          <w:rFonts w:ascii="Century Schoolbook" w:hAnsi="Century Schoolbook"/>
        </w:rPr>
        <w:t xml:space="preserve">Criminal proceedings, however, </w:t>
      </w:r>
      <w:r>
        <w:rPr>
          <w:rFonts w:ascii="Century Schoolbook" w:hAnsi="Century Schoolbook"/>
        </w:rPr>
        <w:t xml:space="preserve">can </w:t>
      </w:r>
      <w:r>
        <w:rPr>
          <w:rFonts w:ascii="Century Schoolbook" w:hAnsi="Century Schoolbook"/>
        </w:rPr>
        <w:t xml:space="preserve">impact an APS suspension in </w:t>
      </w:r>
      <w:r>
        <w:rPr>
          <w:rFonts w:ascii="Century Schoolbook" w:hAnsi="Century Schoolbook"/>
        </w:rPr>
        <w:t xml:space="preserve">certain </w:t>
      </w:r>
      <w:r>
        <w:rPr>
          <w:rFonts w:ascii="Century Schoolbook" w:hAnsi="Century Schoolbook"/>
        </w:rPr>
        <w:t>circumstances.  “</w:t>
      </w:r>
      <w:r w:rsidRPr="00891841">
        <w:rPr>
          <w:rFonts w:ascii="Century Schoolbook" w:hAnsi="Century Schoolbook"/>
        </w:rPr>
        <w:t>If a person is acquitted of criminal charges relating to a determination of facts</w:t>
      </w:r>
      <w:r>
        <w:rPr>
          <w:rFonts w:ascii="Century Schoolbook" w:hAnsi="Century Schoolbook"/>
        </w:rPr>
        <w:t xml:space="preserve">” regarding their </w:t>
      </w:r>
      <w:r>
        <w:rPr>
          <w:rFonts w:ascii="Century Schoolbook" w:hAnsi="Century Schoolbook"/>
        </w:rPr>
        <w:t>blood-alcohol</w:t>
      </w:r>
      <w:r>
        <w:rPr>
          <w:rFonts w:ascii="Century Schoolbook" w:hAnsi="Century Schoolbook"/>
        </w:rPr>
        <w:t xml:space="preserve"> level</w:t>
      </w:r>
      <w:r>
        <w:rPr>
          <w:rFonts w:ascii="Century Schoolbook" w:hAnsi="Century Schoolbook"/>
        </w:rPr>
        <w:t xml:space="preserve"> and whether they were driving</w:t>
      </w:r>
      <w:r>
        <w:rPr>
          <w:rFonts w:ascii="Century Schoolbook" w:hAnsi="Century Schoolbook"/>
        </w:rPr>
        <w:t>, any APS suspension in effect shall “immediately” terminate.  (§ 13353.2, subd</w:t>
      </w:r>
      <w:r>
        <w:rPr>
          <w:rFonts w:ascii="Century Schoolbook" w:hAnsi="Century Schoolbook"/>
        </w:rPr>
        <w:t>s</w:t>
      </w:r>
      <w:r>
        <w:rPr>
          <w:rFonts w:ascii="Century Schoolbook" w:hAnsi="Century Schoolbook"/>
        </w:rPr>
        <w:t>. </w:t>
      </w:r>
      <w:r>
        <w:rPr>
          <w:rFonts w:ascii="Century Schoolbook" w:hAnsi="Century Schoolbook"/>
        </w:rPr>
        <w:t xml:space="preserve">(a), </w:t>
      </w:r>
      <w:r>
        <w:rPr>
          <w:rFonts w:ascii="Century Schoolbook" w:hAnsi="Century Schoolbook"/>
        </w:rPr>
        <w:t xml:space="preserve">(e).)  </w:t>
      </w:r>
      <w:r>
        <w:rPr>
          <w:rFonts w:ascii="Century Schoolbook" w:hAnsi="Century Schoolbook"/>
        </w:rPr>
        <w:t>W</w:t>
      </w:r>
      <w:r>
        <w:rPr>
          <w:rFonts w:ascii="Century Schoolbook" w:hAnsi="Century Schoolbook"/>
        </w:rPr>
        <w:t xml:space="preserve">hen </w:t>
      </w:r>
      <w:proofErr w:type="gramStart"/>
      <w:r>
        <w:rPr>
          <w:rFonts w:ascii="Century Schoolbook" w:hAnsi="Century Schoolbook"/>
        </w:rPr>
        <w:t>DMV</w:t>
      </w:r>
      <w:proofErr w:type="gramEnd"/>
      <w:r>
        <w:rPr>
          <w:rFonts w:ascii="Century Schoolbook" w:hAnsi="Century Schoolbook"/>
        </w:rPr>
        <w:t xml:space="preserve"> receives notice of an acquittal it sets aside and nullifies the suspension. </w:t>
      </w:r>
      <w:r>
        <w:rPr>
          <w:rFonts w:ascii="Century Schoolbook" w:hAnsi="Century Schoolbook"/>
        </w:rPr>
        <w:t xml:space="preserve"> </w:t>
      </w:r>
      <w:r>
        <w:rPr>
          <w:rFonts w:ascii="Century Schoolbook" w:hAnsi="Century Schoolbook"/>
        </w:rPr>
        <w:t>In addition, if DUI charges are not filed because of a lack of evidence, or are filed and dismissed because of insufficient evidence, the person has “a renewed right to request an administrative hearing.”  (§ 13353.2, subd. (e).)</w:t>
      </w:r>
    </w:p>
    <w:p w14:paraId="63D294C8" w14:textId="77777777" w:rsidR="006F58CB" w:rsidRDefault="006F58CB" w:rsidP="00D34FB6">
      <w:pPr>
        <w:spacing w:line="360" w:lineRule="auto"/>
        <w:rPr>
          <w:rFonts w:ascii="Century Schoolbook" w:hAnsi="Century Schoolbook"/>
        </w:rPr>
      </w:pPr>
      <w:r>
        <w:rPr>
          <w:rFonts w:ascii="Century Schoolbook" w:hAnsi="Century Schoolbook"/>
        </w:rPr>
        <w:tab/>
      </w:r>
      <w:r>
        <w:rPr>
          <w:rFonts w:ascii="Century Schoolbook" w:hAnsi="Century Schoolbook"/>
        </w:rPr>
        <w:t>T</w:t>
      </w:r>
      <w:r>
        <w:rPr>
          <w:rFonts w:ascii="Century Schoolbook" w:hAnsi="Century Schoolbook"/>
        </w:rPr>
        <w:t xml:space="preserve">he disclosure of </w:t>
      </w:r>
      <w:r>
        <w:rPr>
          <w:rFonts w:ascii="Century Schoolbook" w:hAnsi="Century Schoolbook"/>
        </w:rPr>
        <w:t xml:space="preserve">the reason for </w:t>
      </w:r>
      <w:r>
        <w:rPr>
          <w:rFonts w:ascii="Century Schoolbook" w:hAnsi="Century Schoolbook"/>
        </w:rPr>
        <w:t xml:space="preserve">an </w:t>
      </w:r>
      <w:r>
        <w:rPr>
          <w:rFonts w:ascii="Century Schoolbook" w:hAnsi="Century Schoolbook"/>
        </w:rPr>
        <w:t xml:space="preserve">APS suspension on </w:t>
      </w:r>
      <w:r>
        <w:rPr>
          <w:rFonts w:ascii="Century Schoolbook" w:hAnsi="Century Schoolbook"/>
        </w:rPr>
        <w:t>a public driver record, even whe</w:t>
      </w:r>
      <w:r>
        <w:rPr>
          <w:rFonts w:ascii="Century Schoolbook" w:hAnsi="Century Schoolbook"/>
        </w:rPr>
        <w:t>n</w:t>
      </w:r>
      <w:r>
        <w:rPr>
          <w:rFonts w:ascii="Century Schoolbook" w:hAnsi="Century Schoolbook"/>
        </w:rPr>
        <w:t xml:space="preserve"> there is no corresponding conviction, </w:t>
      </w:r>
      <w:r>
        <w:rPr>
          <w:rFonts w:ascii="Century Schoolbook" w:hAnsi="Century Schoolbook"/>
        </w:rPr>
        <w:t xml:space="preserve">is frequently </w:t>
      </w:r>
      <w:r>
        <w:rPr>
          <w:rFonts w:ascii="Century Schoolbook" w:hAnsi="Century Schoolbook"/>
        </w:rPr>
        <w:t>disqualifying for a job involving driving</w:t>
      </w:r>
      <w:r>
        <w:rPr>
          <w:rFonts w:ascii="Century Schoolbook" w:hAnsi="Century Schoolbook"/>
        </w:rPr>
        <w:t>.</w:t>
      </w:r>
      <w:r>
        <w:rPr>
          <w:rFonts w:ascii="Century Schoolbook" w:hAnsi="Century Schoolbook"/>
        </w:rPr>
        <w:t xml:space="preserve">  </w:t>
      </w:r>
      <w:r>
        <w:rPr>
          <w:rFonts w:ascii="Century Schoolbook" w:hAnsi="Century Schoolbook"/>
        </w:rPr>
        <w:t>W</w:t>
      </w:r>
      <w:r>
        <w:rPr>
          <w:rFonts w:ascii="Century Schoolbook" w:hAnsi="Century Schoolbook"/>
        </w:rPr>
        <w:t xml:space="preserve">itnesses testified </w:t>
      </w:r>
      <w:r>
        <w:rPr>
          <w:rFonts w:ascii="Century Schoolbook" w:hAnsi="Century Schoolbook"/>
        </w:rPr>
        <w:t xml:space="preserve">to being </w:t>
      </w:r>
      <w:r>
        <w:rPr>
          <w:rFonts w:ascii="Century Schoolbook" w:hAnsi="Century Schoolbook"/>
        </w:rPr>
        <w:t xml:space="preserve">denied jobs </w:t>
      </w:r>
      <w:r>
        <w:rPr>
          <w:rFonts w:ascii="Century Schoolbook" w:hAnsi="Century Schoolbook"/>
        </w:rPr>
        <w:t>as a</w:t>
      </w:r>
      <w:r>
        <w:rPr>
          <w:rFonts w:ascii="Century Schoolbook" w:hAnsi="Century Schoolbook"/>
        </w:rPr>
        <w:t>n Uber</w:t>
      </w:r>
      <w:r>
        <w:rPr>
          <w:rFonts w:ascii="Century Schoolbook" w:hAnsi="Century Schoolbook"/>
        </w:rPr>
        <w:t xml:space="preserve"> driver </w:t>
      </w:r>
      <w:r>
        <w:rPr>
          <w:rFonts w:ascii="Century Schoolbook" w:hAnsi="Century Schoolbook"/>
        </w:rPr>
        <w:t xml:space="preserve">and </w:t>
      </w:r>
      <w:r>
        <w:rPr>
          <w:rFonts w:ascii="Century Schoolbook" w:hAnsi="Century Schoolbook"/>
        </w:rPr>
        <w:t>as a receptionist who</w:t>
      </w:r>
      <w:r>
        <w:rPr>
          <w:rFonts w:ascii="Century Schoolbook" w:hAnsi="Century Schoolbook"/>
        </w:rPr>
        <w:t xml:space="preserve">se job </w:t>
      </w:r>
      <w:r>
        <w:rPr>
          <w:rFonts w:ascii="Century Schoolbook" w:hAnsi="Century Schoolbook"/>
        </w:rPr>
        <w:t xml:space="preserve">duties </w:t>
      </w:r>
      <w:r>
        <w:rPr>
          <w:rFonts w:ascii="Century Schoolbook" w:hAnsi="Century Schoolbook"/>
        </w:rPr>
        <w:t xml:space="preserve">included </w:t>
      </w:r>
      <w:r>
        <w:rPr>
          <w:rFonts w:ascii="Century Schoolbook" w:hAnsi="Century Schoolbook"/>
        </w:rPr>
        <w:t>driv</w:t>
      </w:r>
      <w:r>
        <w:rPr>
          <w:rFonts w:ascii="Century Schoolbook" w:hAnsi="Century Schoolbook"/>
        </w:rPr>
        <w:t>ing</w:t>
      </w:r>
      <w:r>
        <w:rPr>
          <w:rFonts w:ascii="Century Schoolbook" w:hAnsi="Century Schoolbook"/>
        </w:rPr>
        <w:t xml:space="preserve"> </w:t>
      </w:r>
      <w:r>
        <w:rPr>
          <w:rFonts w:ascii="Century Schoolbook" w:hAnsi="Century Schoolbook"/>
        </w:rPr>
        <w:t xml:space="preserve">herself between job </w:t>
      </w:r>
      <w:r>
        <w:rPr>
          <w:rFonts w:ascii="Century Schoolbook" w:hAnsi="Century Schoolbook"/>
        </w:rPr>
        <w:t>sites, based on APS suspensions for which there was no corresponding conviction.</w:t>
      </w:r>
      <w:r>
        <w:rPr>
          <w:rFonts w:ascii="Century Schoolbook" w:hAnsi="Century Schoolbook"/>
        </w:rPr>
        <w:t xml:space="preserve"> </w:t>
      </w:r>
      <w:r>
        <w:rPr>
          <w:rFonts w:ascii="Century Schoolbook" w:hAnsi="Century Schoolbook"/>
        </w:rPr>
        <w:t xml:space="preserve"> </w:t>
      </w:r>
      <w:r>
        <w:rPr>
          <w:rFonts w:ascii="Century Schoolbook" w:hAnsi="Century Schoolbook"/>
        </w:rPr>
        <w:t>A</w:t>
      </w:r>
      <w:r>
        <w:rPr>
          <w:rFonts w:ascii="Century Schoolbook" w:hAnsi="Century Schoolbook"/>
        </w:rPr>
        <w:t xml:space="preserve"> </w:t>
      </w:r>
      <w:r>
        <w:rPr>
          <w:rFonts w:ascii="Century Schoolbook" w:hAnsi="Century Schoolbook"/>
        </w:rPr>
        <w:t>manager for a trucking company</w:t>
      </w:r>
      <w:r>
        <w:rPr>
          <w:rFonts w:ascii="Century Schoolbook" w:hAnsi="Century Schoolbook"/>
        </w:rPr>
        <w:t xml:space="preserve"> </w:t>
      </w:r>
      <w:r>
        <w:rPr>
          <w:rFonts w:ascii="Century Schoolbook" w:hAnsi="Century Schoolbook"/>
        </w:rPr>
        <w:t>testified an APS suspension within the past five years was disqualifying, even if there w</w:t>
      </w:r>
      <w:r>
        <w:rPr>
          <w:rFonts w:ascii="Century Schoolbook" w:hAnsi="Century Schoolbook"/>
        </w:rPr>
        <w:t>ere</w:t>
      </w:r>
      <w:r>
        <w:rPr>
          <w:rFonts w:ascii="Century Schoolbook" w:hAnsi="Century Schoolbook"/>
        </w:rPr>
        <w:t xml:space="preserve"> no corresponding conviction</w:t>
      </w:r>
      <w:r>
        <w:rPr>
          <w:rFonts w:ascii="Century Schoolbook" w:hAnsi="Century Schoolbook"/>
        </w:rPr>
        <w:t xml:space="preserve">, and an </w:t>
      </w:r>
      <w:r>
        <w:rPr>
          <w:rFonts w:ascii="Century Schoolbook" w:hAnsi="Century Schoolbook"/>
        </w:rPr>
        <w:t xml:space="preserve">insurance </w:t>
      </w:r>
      <w:r>
        <w:rPr>
          <w:rFonts w:ascii="Century Schoolbook" w:hAnsi="Century Schoolbook"/>
        </w:rPr>
        <w:t>broker</w:t>
      </w:r>
      <w:r>
        <w:rPr>
          <w:rFonts w:ascii="Century Schoolbook" w:hAnsi="Century Schoolbook"/>
        </w:rPr>
        <w:t xml:space="preserve"> </w:t>
      </w:r>
      <w:r>
        <w:rPr>
          <w:rFonts w:ascii="Century Schoolbook" w:hAnsi="Century Schoolbook"/>
        </w:rPr>
        <w:t xml:space="preserve">for transportation industry businesses </w:t>
      </w:r>
      <w:r>
        <w:rPr>
          <w:rFonts w:ascii="Century Schoolbook" w:hAnsi="Century Schoolbook"/>
        </w:rPr>
        <w:t>testified</w:t>
      </w:r>
      <w:r>
        <w:rPr>
          <w:rFonts w:ascii="Century Schoolbook" w:hAnsi="Century Schoolbook"/>
        </w:rPr>
        <w:t xml:space="preserve"> an APS suspension within the last </w:t>
      </w:r>
      <w:r>
        <w:rPr>
          <w:rFonts w:ascii="Century Schoolbook" w:hAnsi="Century Schoolbook"/>
        </w:rPr>
        <w:t xml:space="preserve">two to three years </w:t>
      </w:r>
      <w:r>
        <w:rPr>
          <w:rFonts w:ascii="Century Schoolbook" w:hAnsi="Century Schoolbook"/>
        </w:rPr>
        <w:t>is generally an unacceptable risk to insurance underwriters.</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The trucking company manager and insurance broker also testified that, if </w:t>
      </w:r>
      <w:r>
        <w:rPr>
          <w:rFonts w:ascii="Century Schoolbook" w:hAnsi="Century Schoolbook"/>
        </w:rPr>
        <w:t xml:space="preserve">they </w:t>
      </w:r>
      <w:r>
        <w:rPr>
          <w:rFonts w:ascii="Century Schoolbook" w:hAnsi="Century Schoolbook"/>
        </w:rPr>
        <w:lastRenderedPageBreak/>
        <w:t>learned a</w:t>
      </w:r>
      <w:r>
        <w:rPr>
          <w:rFonts w:ascii="Century Schoolbook" w:hAnsi="Century Schoolbook"/>
        </w:rPr>
        <w:t xml:space="preserve"> prospective employee had a prior suspension but the reason was not identified, </w:t>
      </w:r>
      <w:r>
        <w:rPr>
          <w:rFonts w:ascii="Century Schoolbook" w:hAnsi="Century Schoolbook"/>
        </w:rPr>
        <w:t xml:space="preserve">they would </w:t>
      </w:r>
      <w:r>
        <w:rPr>
          <w:rFonts w:ascii="Century Schoolbook" w:hAnsi="Century Schoolbook"/>
        </w:rPr>
        <w:t xml:space="preserve">assume the suspension was for alcohol-related driving. </w:t>
      </w:r>
    </w:p>
    <w:p w14:paraId="20A2A389" w14:textId="77777777" w:rsidR="006F58CB" w:rsidRDefault="006F58CB" w:rsidP="00F4768B">
      <w:pPr>
        <w:spacing w:line="360" w:lineRule="auto"/>
        <w:jc w:val="center"/>
        <w:rPr>
          <w:rFonts w:ascii="Century Schoolbook" w:hAnsi="Century Schoolbook"/>
        </w:rPr>
      </w:pPr>
      <w:r>
        <w:rPr>
          <w:rFonts w:ascii="Century Schoolbook" w:hAnsi="Century Schoolbook"/>
        </w:rPr>
        <w:t>PROCEDURAL BACKGROUND</w:t>
      </w:r>
    </w:p>
    <w:p w14:paraId="1A68814F" w14:textId="77777777" w:rsidR="006F58CB" w:rsidRDefault="006F58CB" w:rsidP="00F4768B">
      <w:pPr>
        <w:spacing w:line="360" w:lineRule="auto"/>
        <w:rPr>
          <w:rFonts w:ascii="Century Schoolbook" w:hAnsi="Century Schoolbook"/>
        </w:rPr>
      </w:pPr>
      <w:r>
        <w:rPr>
          <w:rFonts w:ascii="Century Schoolbook" w:hAnsi="Century Schoolbook"/>
        </w:rPr>
        <w:tab/>
        <w:t>In 2016, a taxpayer plaintiff and several plaintiffs proceeding under pseudonyms (collectively, Plaintiffs) sued DMV and its director.  As relevant here, Plaintiffs alleged DMV’s disclosure of the reason for an APS suspension for which there was no corresponding conviction violated the California Constitution’s right to privacy (Cal. Const., art. I, § 1) and Labor Code section 432.7, subd</w:t>
      </w:r>
      <w:r>
        <w:rPr>
          <w:rFonts w:ascii="Century Schoolbook" w:hAnsi="Century Schoolbook"/>
        </w:rPr>
        <w:t>ivision</w:t>
      </w:r>
      <w:r>
        <w:rPr>
          <w:rFonts w:ascii="Century Schoolbook" w:hAnsi="Century Schoolbook"/>
        </w:rPr>
        <w:t> (g)(2) (hereafter Lab</w:t>
      </w:r>
      <w:r>
        <w:rPr>
          <w:rFonts w:ascii="Century Schoolbook" w:hAnsi="Century Schoolbook"/>
        </w:rPr>
        <w:t>.</w:t>
      </w:r>
      <w:r>
        <w:rPr>
          <w:rFonts w:ascii="Century Schoolbook" w:hAnsi="Century Schoolbook"/>
        </w:rPr>
        <w:t xml:space="preserve"> Code, § 432.7(g)(2)).  Plaintiffs also alleged DMV violated the Information Practices Act of 1977</w:t>
      </w:r>
      <w:r>
        <w:rPr>
          <w:rFonts w:ascii="Century Schoolbook" w:hAnsi="Century Schoolbook"/>
        </w:rPr>
        <w:t xml:space="preserve"> (</w:t>
      </w:r>
      <w:r>
        <w:rPr>
          <w:rFonts w:ascii="Century Schoolbook" w:hAnsi="Century Schoolbook"/>
        </w:rPr>
        <w:t>Civ</w:t>
      </w:r>
      <w:r>
        <w:rPr>
          <w:rFonts w:ascii="Century Schoolbook" w:hAnsi="Century Schoolbook"/>
        </w:rPr>
        <w:t>.</w:t>
      </w:r>
      <w:r>
        <w:rPr>
          <w:rFonts w:ascii="Century Schoolbook" w:hAnsi="Century Schoolbook"/>
        </w:rPr>
        <w:t xml:space="preserve"> Code</w:t>
      </w:r>
      <w:r>
        <w:rPr>
          <w:rFonts w:ascii="Century Schoolbook" w:hAnsi="Century Schoolbook"/>
        </w:rPr>
        <w:t>, §§ </w:t>
      </w:r>
      <w:r>
        <w:rPr>
          <w:rFonts w:ascii="Century Schoolbook" w:hAnsi="Century Schoolbook"/>
        </w:rPr>
        <w:t>1798–1798.78</w:t>
      </w:r>
      <w:r>
        <w:rPr>
          <w:rFonts w:ascii="Century Schoolbook" w:hAnsi="Century Schoolbook"/>
        </w:rPr>
        <w:t>;</w:t>
      </w:r>
      <w:r>
        <w:rPr>
          <w:rFonts w:ascii="Century Schoolbook" w:hAnsi="Century Schoolbook"/>
        </w:rPr>
        <w:t xml:space="preserve"> hereafter Information Practices Act or IPA), by its determination that </w:t>
      </w:r>
      <w:r>
        <w:rPr>
          <w:rFonts w:ascii="Century Schoolbook" w:hAnsi="Century Schoolbook"/>
        </w:rPr>
        <w:t>criminal history</w:t>
      </w:r>
      <w:r>
        <w:rPr>
          <w:rFonts w:ascii="Century Schoolbook" w:hAnsi="Century Schoolbook"/>
        </w:rPr>
        <w:t xml:space="preserve"> and licensing actions are not governed by the IPA’s </w:t>
      </w:r>
      <w:r>
        <w:rPr>
          <w:rFonts w:ascii="Century Schoolbook" w:hAnsi="Century Schoolbook"/>
        </w:rPr>
        <w:t>record</w:t>
      </w:r>
      <w:r>
        <w:rPr>
          <w:rFonts w:ascii="Century Schoolbook" w:hAnsi="Century Schoolbook"/>
        </w:rPr>
        <w:t xml:space="preserve"> </w:t>
      </w:r>
      <w:r>
        <w:rPr>
          <w:rFonts w:ascii="Century Schoolbook" w:hAnsi="Century Schoolbook"/>
        </w:rPr>
        <w:t xml:space="preserve">correction provisions. </w:t>
      </w:r>
    </w:p>
    <w:p w14:paraId="36357291" w14:textId="77777777" w:rsidR="006F58CB" w:rsidRDefault="006F58CB" w:rsidP="00F4768B">
      <w:pPr>
        <w:spacing w:line="360" w:lineRule="auto"/>
        <w:rPr>
          <w:rFonts w:ascii="Century Schoolbook" w:hAnsi="Century Schoolbook"/>
        </w:rPr>
      </w:pPr>
      <w:r>
        <w:rPr>
          <w:rFonts w:ascii="Century Schoolbook" w:hAnsi="Century Schoolbook"/>
        </w:rPr>
        <w:tab/>
        <w:t>A bifurcated bench trial was held, reserving a balancing test relevant to the constitutional privacy claim for phase two.  The court issued written decisions after each phase.  The court found DMV’s disclosure of the reason for an APS suspension for which there was no corresponding conviction violated the constitutional right to privacy of noncommercial drivers, but not of commercial drivers, and violated Labor Code section 432.7(g)(2).  The court also found DMV violated the Information Practices Act.  The</w:t>
      </w:r>
      <w:r>
        <w:rPr>
          <w:rFonts w:ascii="Century Schoolbook" w:hAnsi="Century Schoolbook"/>
        </w:rPr>
        <w:t xml:space="preserve"> court </w:t>
      </w:r>
      <w:r>
        <w:rPr>
          <w:rFonts w:ascii="Century Schoolbook" w:hAnsi="Century Schoolbook"/>
        </w:rPr>
        <w:t>issu</w:t>
      </w:r>
      <w:r>
        <w:rPr>
          <w:rFonts w:ascii="Century Schoolbook" w:hAnsi="Century Schoolbook"/>
        </w:rPr>
        <w:t>ed</w:t>
      </w:r>
      <w:r>
        <w:rPr>
          <w:rFonts w:ascii="Century Schoolbook" w:hAnsi="Century Schoolbook"/>
        </w:rPr>
        <w:t xml:space="preserve"> a</w:t>
      </w:r>
      <w:r>
        <w:rPr>
          <w:rFonts w:ascii="Century Schoolbook" w:hAnsi="Century Schoolbook"/>
        </w:rPr>
        <w:t xml:space="preserve"> </w:t>
      </w:r>
      <w:r>
        <w:rPr>
          <w:rFonts w:ascii="Century Schoolbook" w:hAnsi="Century Schoolbook"/>
        </w:rPr>
        <w:t xml:space="preserve">judgment enjoining DMV from the </w:t>
      </w:r>
      <w:r>
        <w:rPr>
          <w:rFonts w:ascii="Century Schoolbook" w:hAnsi="Century Schoolbook"/>
        </w:rPr>
        <w:t>improper</w:t>
      </w:r>
      <w:r>
        <w:rPr>
          <w:rFonts w:ascii="Century Schoolbook" w:hAnsi="Century Schoolbook"/>
        </w:rPr>
        <w:t xml:space="preserve"> practices. </w:t>
      </w:r>
    </w:p>
    <w:p w14:paraId="3B78E75D" w14:textId="77777777" w:rsidR="006F58CB" w:rsidRDefault="006F58CB" w:rsidP="008851FD">
      <w:pPr>
        <w:spacing w:line="360" w:lineRule="auto"/>
        <w:jc w:val="center"/>
        <w:rPr>
          <w:rFonts w:ascii="Century Schoolbook" w:hAnsi="Century Schoolbook"/>
        </w:rPr>
      </w:pPr>
      <w:r>
        <w:rPr>
          <w:rFonts w:ascii="Century Schoolbook" w:hAnsi="Century Schoolbook"/>
        </w:rPr>
        <w:t>DISCUSSION</w:t>
      </w:r>
    </w:p>
    <w:p w14:paraId="2850A797" w14:textId="77777777" w:rsidR="006F58CB" w:rsidRPr="00BC3071" w:rsidRDefault="006F58CB" w:rsidP="002F2B0E">
      <w:pPr>
        <w:spacing w:line="360" w:lineRule="auto"/>
        <w:rPr>
          <w:rFonts w:ascii="Century Schoolbook" w:hAnsi="Century Schoolbook"/>
          <w:i/>
          <w:iCs/>
        </w:rPr>
      </w:pPr>
      <w:r>
        <w:rPr>
          <w:rFonts w:ascii="Century Schoolbook" w:hAnsi="Century Schoolbook"/>
        </w:rPr>
        <w:t>I</w:t>
      </w:r>
      <w:r>
        <w:rPr>
          <w:rFonts w:ascii="Century Schoolbook" w:hAnsi="Century Schoolbook"/>
        </w:rPr>
        <w:t>.</w:t>
      </w:r>
      <w:r>
        <w:rPr>
          <w:rFonts w:ascii="Century Schoolbook" w:hAnsi="Century Schoolbook"/>
        </w:rPr>
        <w:tab/>
      </w:r>
      <w:r>
        <w:rPr>
          <w:rFonts w:ascii="Century Schoolbook" w:hAnsi="Century Schoolbook"/>
          <w:i/>
          <w:iCs/>
        </w:rPr>
        <w:t>Disclos</w:t>
      </w:r>
      <w:r>
        <w:rPr>
          <w:rFonts w:ascii="Century Schoolbook" w:hAnsi="Century Schoolbook"/>
          <w:i/>
          <w:iCs/>
        </w:rPr>
        <w:t>ure of</w:t>
      </w:r>
      <w:r>
        <w:rPr>
          <w:rFonts w:ascii="Century Schoolbook" w:hAnsi="Century Schoolbook"/>
          <w:i/>
          <w:iCs/>
        </w:rPr>
        <w:t xml:space="preserve"> </w:t>
      </w:r>
      <w:r>
        <w:rPr>
          <w:rFonts w:ascii="Century Schoolbook" w:hAnsi="Century Schoolbook"/>
          <w:i/>
          <w:iCs/>
        </w:rPr>
        <w:t xml:space="preserve">the Reason for an APS Suspension </w:t>
      </w:r>
    </w:p>
    <w:p w14:paraId="393A064D" w14:textId="77777777" w:rsidR="006F58CB" w:rsidRDefault="006F58CB" w:rsidP="00000D76">
      <w:pPr>
        <w:spacing w:line="360" w:lineRule="auto"/>
        <w:rPr>
          <w:rFonts w:ascii="Century Schoolbook" w:hAnsi="Century Schoolbook"/>
        </w:rPr>
      </w:pPr>
      <w:r>
        <w:rPr>
          <w:rFonts w:ascii="Century Schoolbook" w:hAnsi="Century Schoolbook"/>
        </w:rPr>
        <w:tab/>
      </w:r>
      <w:r>
        <w:rPr>
          <w:rFonts w:ascii="Century Schoolbook" w:hAnsi="Century Schoolbook"/>
        </w:rPr>
        <w:t xml:space="preserve">The parties dispute whether </w:t>
      </w:r>
      <w:r>
        <w:rPr>
          <w:rFonts w:ascii="Century Schoolbook" w:hAnsi="Century Schoolbook"/>
        </w:rPr>
        <w:t xml:space="preserve">disclosure on the public driver record of the reason </w:t>
      </w:r>
      <w:r>
        <w:rPr>
          <w:rFonts w:ascii="Century Schoolbook" w:hAnsi="Century Schoolbook"/>
        </w:rPr>
        <w:t xml:space="preserve">for an </w:t>
      </w:r>
      <w:r>
        <w:rPr>
          <w:rFonts w:ascii="Century Schoolbook" w:hAnsi="Century Schoolbook"/>
        </w:rPr>
        <w:t>APS suspension for which there is no corresponding conviction</w:t>
      </w:r>
      <w:r>
        <w:rPr>
          <w:rFonts w:ascii="Century Schoolbook" w:hAnsi="Century Schoolbook"/>
        </w:rPr>
        <w:t xml:space="preserve"> </w:t>
      </w:r>
      <w:r>
        <w:rPr>
          <w:rFonts w:ascii="Century Schoolbook" w:hAnsi="Century Schoolbook"/>
        </w:rPr>
        <w:t>is prohibited by</w:t>
      </w:r>
      <w:r>
        <w:rPr>
          <w:rFonts w:ascii="Century Schoolbook" w:hAnsi="Century Schoolbook"/>
        </w:rPr>
        <w:t xml:space="preserve"> </w:t>
      </w:r>
      <w:r>
        <w:rPr>
          <w:rFonts w:ascii="Century Schoolbook" w:hAnsi="Century Schoolbook"/>
        </w:rPr>
        <w:t xml:space="preserve">Labor Code section 432.7(g)(2) and/or </w:t>
      </w:r>
      <w:r>
        <w:rPr>
          <w:rFonts w:ascii="Century Schoolbook" w:hAnsi="Century Schoolbook"/>
        </w:rPr>
        <w:t xml:space="preserve">the </w:t>
      </w:r>
      <w:r>
        <w:rPr>
          <w:rFonts w:ascii="Century Schoolbook" w:hAnsi="Century Schoolbook"/>
        </w:rPr>
        <w:lastRenderedPageBreak/>
        <w:t xml:space="preserve">California Constitution’s </w:t>
      </w:r>
      <w:r>
        <w:rPr>
          <w:rFonts w:ascii="Century Schoolbook" w:hAnsi="Century Schoolbook"/>
        </w:rPr>
        <w:t>right to privacy</w:t>
      </w:r>
      <w:r>
        <w:rPr>
          <w:rFonts w:ascii="Century Schoolbook" w:hAnsi="Century Schoolbook"/>
        </w:rPr>
        <w:t>.</w:t>
      </w:r>
      <w:r>
        <w:rPr>
          <w:rStyle w:val="FootnoteReference"/>
          <w:rFonts w:ascii="Century Schoolbook" w:hAnsi="Century Schoolbook"/>
        </w:rPr>
        <w:footnoteReference w:id="14"/>
      </w:r>
      <w:r>
        <w:rPr>
          <w:rFonts w:ascii="Century Schoolbook" w:hAnsi="Century Schoolbook"/>
        </w:rPr>
        <w:t xml:space="preserve">  </w:t>
      </w:r>
      <w:r>
        <w:rPr>
          <w:rFonts w:ascii="Century Schoolbook" w:hAnsi="Century Schoolbook"/>
        </w:rPr>
        <w:t xml:space="preserve">Labor Code section </w:t>
      </w:r>
      <w:r w:rsidRPr="00A82D01">
        <w:rPr>
          <w:rFonts w:ascii="Century Schoolbook" w:hAnsi="Century Schoolbook"/>
        </w:rPr>
        <w:t xml:space="preserve">432.7(g)(2) prohibits </w:t>
      </w:r>
      <w:r>
        <w:rPr>
          <w:rFonts w:ascii="Century Schoolbook" w:hAnsi="Century Schoolbook"/>
        </w:rPr>
        <w:t>a person “</w:t>
      </w:r>
      <w:r w:rsidRPr="000B45C1">
        <w:rPr>
          <w:rFonts w:ascii="Century Schoolbook" w:hAnsi="Century Schoolbook"/>
        </w:rPr>
        <w:t xml:space="preserve">authorized by law to receive criminal </w:t>
      </w:r>
      <w:r>
        <w:rPr>
          <w:rFonts w:ascii="Century Schoolbook" w:hAnsi="Century Schoolbook"/>
        </w:rPr>
        <w:t xml:space="preserve">. . . </w:t>
      </w:r>
      <w:r w:rsidRPr="000B45C1">
        <w:rPr>
          <w:rFonts w:ascii="Century Schoolbook" w:hAnsi="Century Schoolbook"/>
        </w:rPr>
        <w:t xml:space="preserve">record information maintained by a local law enforcement criminal </w:t>
      </w:r>
      <w:r>
        <w:rPr>
          <w:rFonts w:ascii="Century Schoolbook" w:hAnsi="Century Schoolbook"/>
        </w:rPr>
        <w:t xml:space="preserve">. . . </w:t>
      </w:r>
      <w:r w:rsidRPr="000B45C1">
        <w:rPr>
          <w:rFonts w:ascii="Century Schoolbook" w:hAnsi="Century Schoolbook"/>
        </w:rPr>
        <w:t>agency</w:t>
      </w:r>
      <w:r>
        <w:rPr>
          <w:rFonts w:ascii="Century Schoolbook" w:hAnsi="Century Schoolbook"/>
        </w:rPr>
        <w:t>”</w:t>
      </w:r>
      <w:r>
        <w:rPr>
          <w:rFonts w:ascii="Century Schoolbook" w:hAnsi="Century Schoolbook"/>
        </w:rPr>
        <w:t xml:space="preserve"> from disclosing </w:t>
      </w:r>
      <w:r w:rsidRPr="00A82D01">
        <w:rPr>
          <w:rFonts w:ascii="Century Schoolbook" w:hAnsi="Century Schoolbook"/>
        </w:rPr>
        <w:t xml:space="preserve">“any information received pertaining to an arrest or detention </w:t>
      </w:r>
      <w:r>
        <w:rPr>
          <w:rFonts w:ascii="Century Schoolbook" w:hAnsi="Century Schoolbook"/>
        </w:rPr>
        <w:t xml:space="preserve">. . . </w:t>
      </w:r>
      <w:r w:rsidRPr="00A82D01">
        <w:rPr>
          <w:rFonts w:ascii="Century Schoolbook" w:hAnsi="Century Schoolbook"/>
        </w:rPr>
        <w:t>that did not result in a conviction . . . to any person not authorized by law to receive that information.</w:t>
      </w:r>
      <w:r>
        <w:rPr>
          <w:rFonts w:ascii="Century Schoolbook" w:hAnsi="Century Schoolbook"/>
        </w:rPr>
        <w:t xml:space="preserve">”  </w:t>
      </w:r>
      <w:r>
        <w:rPr>
          <w:rFonts w:ascii="Century Schoolbook" w:hAnsi="Century Schoolbook"/>
        </w:rPr>
        <w:t>As relevant here, t</w:t>
      </w:r>
      <w:r>
        <w:rPr>
          <w:rFonts w:ascii="Century Schoolbook" w:hAnsi="Century Schoolbook"/>
        </w:rPr>
        <w:t xml:space="preserve">he California </w:t>
      </w:r>
      <w:r w:rsidRPr="00A82D01">
        <w:rPr>
          <w:rFonts w:ascii="Century Schoolbook" w:hAnsi="Century Schoolbook"/>
        </w:rPr>
        <w:t xml:space="preserve">Constitution’s “right of privacy applies to the official retention and dissemination of arrest records containing </w:t>
      </w:r>
      <w:proofErr w:type="spellStart"/>
      <w:r w:rsidRPr="00A82D01">
        <w:rPr>
          <w:rFonts w:ascii="Century Schoolbook" w:hAnsi="Century Schoolbook"/>
        </w:rPr>
        <w:t>nonconviction</w:t>
      </w:r>
      <w:proofErr w:type="spellEnd"/>
      <w:r w:rsidRPr="00A82D01">
        <w:rPr>
          <w:rFonts w:ascii="Century Schoolbook" w:hAnsi="Century Schoolbook"/>
        </w:rPr>
        <w:t xml:space="preserve"> data.”</w:t>
      </w:r>
      <w:r>
        <w:rPr>
          <w:rFonts w:ascii="Century Schoolbook" w:hAnsi="Century Schoolbook"/>
        </w:rPr>
        <w:t xml:space="preserve"> </w:t>
      </w:r>
      <w:r w:rsidRPr="000938E1">
        <w:rPr>
          <w:rFonts w:ascii="Century Schoolbook" w:hAnsi="Century Schoolbook"/>
        </w:rPr>
        <w:t xml:space="preserve"> </w:t>
      </w:r>
      <w:r>
        <w:rPr>
          <w:rFonts w:ascii="Century Schoolbook" w:hAnsi="Century Schoolbook"/>
        </w:rPr>
        <w:t>(</w:t>
      </w:r>
      <w:r w:rsidRPr="005232A0">
        <w:rPr>
          <w:rFonts w:ascii="Century Schoolbook" w:hAnsi="Century Schoolbook"/>
          <w:i/>
          <w:iCs/>
        </w:rPr>
        <w:t>Central Valley Chap. 7th Step Foundation v. Younger</w:t>
      </w:r>
      <w:r w:rsidRPr="000938E1">
        <w:rPr>
          <w:rFonts w:ascii="Century Schoolbook" w:hAnsi="Century Schoolbook"/>
        </w:rPr>
        <w:t xml:space="preserve"> (1979) 95 Cal.Ap</w:t>
      </w:r>
      <w:r w:rsidRPr="000938E1">
        <w:rPr>
          <w:rFonts w:ascii="Century Schoolbook" w:hAnsi="Century Schoolbook"/>
        </w:rPr>
        <w:t>p.3d 212, 236</w:t>
      </w:r>
      <w:r>
        <w:rPr>
          <w:rFonts w:ascii="Century Schoolbook" w:hAnsi="Century Schoolbook"/>
        </w:rPr>
        <w:t xml:space="preserve"> (</w:t>
      </w:r>
      <w:r>
        <w:rPr>
          <w:rFonts w:ascii="Century Schoolbook" w:hAnsi="Century Schoolbook"/>
          <w:i/>
          <w:iCs/>
        </w:rPr>
        <w:t>Central Valley I</w:t>
      </w:r>
      <w:r>
        <w:rPr>
          <w:rFonts w:ascii="Century Schoolbook" w:hAnsi="Century Schoolbook"/>
        </w:rPr>
        <w:t>)</w:t>
      </w:r>
      <w:r>
        <w:rPr>
          <w:rFonts w:ascii="Century Schoolbook" w:hAnsi="Century Schoolbook"/>
        </w:rPr>
        <w:t xml:space="preserve">; accord, </w:t>
      </w:r>
      <w:r w:rsidRPr="00250417">
        <w:rPr>
          <w:rFonts w:ascii="Century Schoolbook" w:hAnsi="Century Schoolbook"/>
          <w:i/>
          <w:iCs/>
        </w:rPr>
        <w:t>Central Valley Ch. 7th Step Foundation, Inc. v. Younger</w:t>
      </w:r>
      <w:r w:rsidRPr="00250417">
        <w:rPr>
          <w:rFonts w:ascii="Century Schoolbook" w:hAnsi="Century Schoolbook"/>
        </w:rPr>
        <w:t xml:space="preserve"> (1989) 214</w:t>
      </w:r>
      <w:r>
        <w:rPr>
          <w:rFonts w:ascii="Century Schoolbook" w:hAnsi="Century Schoolbook"/>
        </w:rPr>
        <w:t> </w:t>
      </w:r>
      <w:r w:rsidRPr="00250417">
        <w:rPr>
          <w:rFonts w:ascii="Century Schoolbook" w:hAnsi="Century Schoolbook"/>
        </w:rPr>
        <w:t>Cal.App.3d 145, 162</w:t>
      </w:r>
      <w:r>
        <w:rPr>
          <w:rFonts w:ascii="Century Schoolbook" w:hAnsi="Century Schoolbook"/>
        </w:rPr>
        <w:t xml:space="preserve"> (</w:t>
      </w:r>
      <w:r w:rsidRPr="005232A0">
        <w:rPr>
          <w:rFonts w:ascii="Century Schoolbook" w:hAnsi="Century Schoolbook"/>
          <w:i/>
          <w:iCs/>
        </w:rPr>
        <w:t>Central Valley</w:t>
      </w:r>
      <w:r>
        <w:rPr>
          <w:rFonts w:ascii="Century Schoolbook" w:hAnsi="Century Schoolbook"/>
          <w:i/>
          <w:iCs/>
        </w:rPr>
        <w:t xml:space="preserve"> II</w:t>
      </w:r>
      <w:r w:rsidRPr="00216FF3">
        <w:rPr>
          <w:rFonts w:ascii="Century Schoolbook" w:hAnsi="Century Schoolbook"/>
        </w:rPr>
        <w:t>)</w:t>
      </w:r>
      <w:r>
        <w:rPr>
          <w:rFonts w:ascii="Century Schoolbook" w:hAnsi="Century Schoolbook"/>
        </w:rPr>
        <w:t>.)</w:t>
      </w:r>
      <w:r>
        <w:rPr>
          <w:rStyle w:val="FootnoteReference"/>
          <w:rFonts w:ascii="Century Schoolbook" w:hAnsi="Century Schoolbook"/>
        </w:rPr>
        <w:footnoteReference w:id="15"/>
      </w:r>
      <w:r>
        <w:rPr>
          <w:rFonts w:ascii="Century Schoolbook" w:hAnsi="Century Schoolbook"/>
        </w:rPr>
        <w:t xml:space="preserve">  </w:t>
      </w:r>
      <w:r>
        <w:rPr>
          <w:rFonts w:ascii="Century Schoolbook" w:hAnsi="Century Schoolbook"/>
        </w:rPr>
        <w:t xml:space="preserve">Plaintiffs </w:t>
      </w:r>
      <w:r>
        <w:rPr>
          <w:rFonts w:ascii="Century Schoolbook" w:hAnsi="Century Schoolbook"/>
        </w:rPr>
        <w:t xml:space="preserve">assume </w:t>
      </w:r>
      <w:r>
        <w:rPr>
          <w:rFonts w:ascii="Century Schoolbook" w:hAnsi="Century Schoolbook"/>
        </w:rPr>
        <w:t xml:space="preserve">the scope of the statutory and constitutional prohibitions </w:t>
      </w:r>
      <w:r>
        <w:rPr>
          <w:rFonts w:ascii="Century Schoolbook" w:hAnsi="Century Schoolbook"/>
        </w:rPr>
        <w:t xml:space="preserve">are </w:t>
      </w:r>
      <w:r>
        <w:rPr>
          <w:rFonts w:ascii="Century Schoolbook" w:hAnsi="Century Schoolbook"/>
        </w:rPr>
        <w:t>the same</w:t>
      </w:r>
      <w:r>
        <w:rPr>
          <w:rFonts w:ascii="Century Schoolbook" w:hAnsi="Century Schoolbook"/>
        </w:rPr>
        <w:t xml:space="preserve"> in relevant respects; we do </w:t>
      </w:r>
      <w:r>
        <w:rPr>
          <w:rFonts w:ascii="Century Schoolbook" w:hAnsi="Century Schoolbook"/>
        </w:rPr>
        <w:t xml:space="preserve">so </w:t>
      </w:r>
      <w:r>
        <w:rPr>
          <w:rFonts w:ascii="Century Schoolbook" w:hAnsi="Century Schoolbook"/>
        </w:rPr>
        <w:t>as well.</w:t>
      </w:r>
      <w:r>
        <w:rPr>
          <w:rFonts w:ascii="Century Schoolbook" w:hAnsi="Century Schoolbook"/>
        </w:rPr>
        <w:t xml:space="preserve"> </w:t>
      </w:r>
      <w:r>
        <w:rPr>
          <w:rFonts w:ascii="Century Schoolbook" w:hAnsi="Century Schoolbook"/>
        </w:rPr>
        <w:t xml:space="preserve"> </w:t>
      </w:r>
    </w:p>
    <w:p w14:paraId="02108587" w14:textId="77777777" w:rsidR="006F58CB" w:rsidRDefault="006F58CB" w:rsidP="007534B3">
      <w:pPr>
        <w:spacing w:line="360" w:lineRule="auto"/>
        <w:rPr>
          <w:rFonts w:ascii="Century Schoolbook" w:hAnsi="Century Schoolbook"/>
        </w:rPr>
      </w:pPr>
      <w:r>
        <w:rPr>
          <w:rFonts w:ascii="Century Schoolbook" w:hAnsi="Century Schoolbook"/>
        </w:rPr>
        <w:tab/>
        <w:t xml:space="preserve">It is undisputed that a public driver record </w:t>
      </w:r>
      <w:r>
        <w:rPr>
          <w:rFonts w:ascii="Century Schoolbook" w:hAnsi="Century Schoolbook"/>
        </w:rPr>
        <w:t xml:space="preserve">revealing an APS suspension </w:t>
      </w:r>
      <w:r>
        <w:rPr>
          <w:rFonts w:ascii="Century Schoolbook" w:hAnsi="Century Schoolbook"/>
        </w:rPr>
        <w:t>does not</w:t>
      </w:r>
      <w:r>
        <w:rPr>
          <w:rFonts w:ascii="Century Schoolbook" w:hAnsi="Century Schoolbook"/>
        </w:rPr>
        <w:t>,</w:t>
      </w:r>
      <w:r>
        <w:rPr>
          <w:rFonts w:ascii="Century Schoolbook" w:hAnsi="Century Schoolbook"/>
        </w:rPr>
        <w:t xml:space="preserve"> on its face</w:t>
      </w:r>
      <w:r>
        <w:rPr>
          <w:rFonts w:ascii="Century Schoolbook" w:hAnsi="Century Schoolbook"/>
        </w:rPr>
        <w:t>,</w:t>
      </w:r>
      <w:r>
        <w:rPr>
          <w:rFonts w:ascii="Century Schoolbook" w:hAnsi="Century Schoolbook"/>
        </w:rPr>
        <w:t xml:space="preserve"> disclose that the </w:t>
      </w:r>
      <w:r>
        <w:rPr>
          <w:rFonts w:ascii="Century Schoolbook" w:hAnsi="Century Schoolbook"/>
        </w:rPr>
        <w:t xml:space="preserve">licensee </w:t>
      </w:r>
      <w:r>
        <w:rPr>
          <w:rFonts w:ascii="Century Schoolbook" w:hAnsi="Century Schoolbook"/>
        </w:rPr>
        <w:t>w</w:t>
      </w:r>
      <w:r>
        <w:rPr>
          <w:rFonts w:ascii="Century Schoolbook" w:hAnsi="Century Schoolbook"/>
        </w:rPr>
        <w:t>as arrested.</w:t>
      </w:r>
      <w:r>
        <w:rPr>
          <w:rFonts w:ascii="Century Schoolbook" w:hAnsi="Century Schoolbook"/>
        </w:rPr>
        <w:t xml:space="preserve">  </w:t>
      </w:r>
      <w:r>
        <w:rPr>
          <w:rFonts w:ascii="Century Schoolbook" w:hAnsi="Century Schoolbook"/>
        </w:rPr>
        <w:t xml:space="preserve">Instead, it discloses that the </w:t>
      </w:r>
      <w:r>
        <w:rPr>
          <w:rFonts w:ascii="Century Schoolbook" w:hAnsi="Century Schoolbook"/>
        </w:rPr>
        <w:t xml:space="preserve">suspension was for </w:t>
      </w:r>
      <w:r>
        <w:rPr>
          <w:rFonts w:ascii="Century Schoolbook" w:hAnsi="Century Schoolbook"/>
        </w:rPr>
        <w:t xml:space="preserve">“Excessive </w:t>
      </w:r>
      <w:r>
        <w:rPr>
          <w:rFonts w:ascii="Century Schoolbook" w:hAnsi="Century Schoolbook"/>
        </w:rPr>
        <w:t>B</w:t>
      </w:r>
      <w:r>
        <w:rPr>
          <w:rFonts w:ascii="Century Schoolbook" w:hAnsi="Century Schoolbook"/>
        </w:rPr>
        <w:t xml:space="preserve">lood </w:t>
      </w:r>
      <w:r>
        <w:rPr>
          <w:rFonts w:ascii="Century Schoolbook" w:hAnsi="Century Schoolbook"/>
        </w:rPr>
        <w:t>A</w:t>
      </w:r>
      <w:r>
        <w:rPr>
          <w:rFonts w:ascii="Century Schoolbook" w:hAnsi="Century Schoolbook"/>
        </w:rPr>
        <w:t xml:space="preserve">lcohol </w:t>
      </w:r>
      <w:r>
        <w:rPr>
          <w:rFonts w:ascii="Century Schoolbook" w:hAnsi="Century Schoolbook"/>
        </w:rPr>
        <w:t>L</w:t>
      </w:r>
      <w:r>
        <w:rPr>
          <w:rFonts w:ascii="Century Schoolbook" w:hAnsi="Century Schoolbook"/>
        </w:rPr>
        <w:t>evel” or “Refus</w:t>
      </w:r>
      <w:r>
        <w:rPr>
          <w:rFonts w:ascii="Century Schoolbook" w:hAnsi="Century Schoolbook"/>
        </w:rPr>
        <w:t>ed Chemical Test</w:t>
      </w:r>
      <w:r>
        <w:rPr>
          <w:rFonts w:ascii="Century Schoolbook" w:hAnsi="Century Schoolbook"/>
        </w:rPr>
        <w:t>,” and identifies the Vehicle Code section</w:t>
      </w:r>
      <w:r>
        <w:rPr>
          <w:rFonts w:ascii="Century Schoolbook" w:hAnsi="Century Schoolbook"/>
        </w:rPr>
        <w:t xml:space="preserve"> authorizing the suspension</w:t>
      </w:r>
      <w:r>
        <w:rPr>
          <w:rFonts w:ascii="Century Schoolbook" w:hAnsi="Century Schoolbook"/>
        </w:rPr>
        <w:t xml:space="preserve"> on that ground</w:t>
      </w:r>
      <w:r>
        <w:rPr>
          <w:rFonts w:ascii="Century Schoolbook" w:hAnsi="Century Schoolbook"/>
        </w:rPr>
        <w:t>.</w:t>
      </w:r>
      <w:r>
        <w:rPr>
          <w:rFonts w:ascii="Century Schoolbook" w:hAnsi="Century Schoolbook"/>
        </w:rPr>
        <w:t xml:space="preserve"> </w:t>
      </w:r>
      <w:r>
        <w:rPr>
          <w:rFonts w:ascii="Century Schoolbook" w:hAnsi="Century Schoolbook"/>
        </w:rPr>
        <w:t xml:space="preserve"> </w:t>
      </w:r>
      <w:r>
        <w:rPr>
          <w:rFonts w:ascii="Century Schoolbook" w:hAnsi="Century Schoolbook"/>
        </w:rPr>
        <w:t>Plaintiffs</w:t>
      </w:r>
      <w:r>
        <w:rPr>
          <w:rFonts w:ascii="Century Schoolbook" w:hAnsi="Century Schoolbook"/>
        </w:rPr>
        <w:t xml:space="preserve"> argue that this </w:t>
      </w:r>
      <w:r>
        <w:rPr>
          <w:rFonts w:ascii="Century Schoolbook" w:hAnsi="Century Schoolbook"/>
        </w:rPr>
        <w:lastRenderedPageBreak/>
        <w:t xml:space="preserve">nonetheless constitutes a </w:t>
      </w:r>
      <w:r>
        <w:rPr>
          <w:rFonts w:ascii="Century Schoolbook" w:hAnsi="Century Schoolbook"/>
        </w:rPr>
        <w:t xml:space="preserve">disclosure of information pertaining to or concerning an arrest </w:t>
      </w:r>
      <w:r>
        <w:rPr>
          <w:rFonts w:ascii="Century Schoolbook" w:hAnsi="Century Schoolbook"/>
        </w:rPr>
        <w:t>because</w:t>
      </w:r>
      <w:r>
        <w:rPr>
          <w:rFonts w:ascii="Century Schoolbook" w:hAnsi="Century Schoolbook"/>
        </w:rPr>
        <w:t>:</w:t>
      </w:r>
      <w:r>
        <w:rPr>
          <w:rFonts w:ascii="Century Schoolbook" w:hAnsi="Century Schoolbook"/>
        </w:rPr>
        <w:t xml:space="preserve"> </w:t>
      </w:r>
      <w:r>
        <w:rPr>
          <w:rFonts w:ascii="Century Schoolbook" w:hAnsi="Century Schoolbook"/>
        </w:rPr>
        <w:t xml:space="preserve">the APS suspension process begins with an arrest; </w:t>
      </w:r>
      <w:r>
        <w:rPr>
          <w:rFonts w:ascii="Century Schoolbook" w:hAnsi="Century Schoolbook"/>
        </w:rPr>
        <w:t xml:space="preserve">DMV obtains information about the arrest from the arresting officer; </w:t>
      </w:r>
      <w:r>
        <w:rPr>
          <w:rFonts w:ascii="Century Schoolbook" w:hAnsi="Century Schoolbook"/>
        </w:rPr>
        <w:t>a necessary requirement for an APS suspension is that the person was arrested or detained</w:t>
      </w:r>
      <w:r>
        <w:rPr>
          <w:rFonts w:ascii="Century Schoolbook" w:hAnsi="Century Schoolbook"/>
        </w:rPr>
        <w:t>;</w:t>
      </w:r>
      <w:r>
        <w:rPr>
          <w:rStyle w:val="FootnoteReference"/>
          <w:rFonts w:ascii="Century Schoolbook" w:hAnsi="Century Schoolbook"/>
        </w:rPr>
        <w:footnoteReference w:id="16"/>
      </w:r>
      <w:r>
        <w:rPr>
          <w:rFonts w:ascii="Century Schoolbook" w:hAnsi="Century Schoolbook"/>
        </w:rPr>
        <w:t xml:space="preserve"> </w:t>
      </w:r>
      <w:r>
        <w:rPr>
          <w:rFonts w:ascii="Century Schoolbook" w:hAnsi="Century Schoolbook"/>
        </w:rPr>
        <w:t xml:space="preserve">and, as </w:t>
      </w:r>
      <w:r>
        <w:rPr>
          <w:rFonts w:ascii="Century Schoolbook" w:hAnsi="Century Schoolbook"/>
        </w:rPr>
        <w:t xml:space="preserve">the trial court found, </w:t>
      </w:r>
      <w:r>
        <w:rPr>
          <w:rFonts w:ascii="Century Schoolbook" w:hAnsi="Century Schoolbook"/>
        </w:rPr>
        <w:t xml:space="preserve">a public driver record recipient </w:t>
      </w:r>
      <w:r>
        <w:rPr>
          <w:rFonts w:ascii="Century Schoolbook" w:hAnsi="Century Schoolbook"/>
        </w:rPr>
        <w:t>can determine</w:t>
      </w:r>
      <w:r>
        <w:rPr>
          <w:rFonts w:ascii="Century Schoolbook" w:hAnsi="Century Schoolbook"/>
        </w:rPr>
        <w:t xml:space="preserve"> </w:t>
      </w:r>
      <w:r>
        <w:rPr>
          <w:rFonts w:ascii="Century Schoolbook" w:hAnsi="Century Schoolbook"/>
        </w:rPr>
        <w:t xml:space="preserve">that an arrest occurred </w:t>
      </w:r>
      <w:r>
        <w:rPr>
          <w:rFonts w:ascii="Century Schoolbook" w:hAnsi="Century Schoolbook"/>
        </w:rPr>
        <w:t xml:space="preserve">by looking up the cited </w:t>
      </w:r>
      <w:r>
        <w:rPr>
          <w:rFonts w:ascii="Century Schoolbook" w:hAnsi="Century Schoolbook"/>
        </w:rPr>
        <w:t>Vehicle Code section</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While, as Plaintiffs’ argument </w:t>
      </w:r>
      <w:r>
        <w:rPr>
          <w:rFonts w:ascii="Century Schoolbook" w:hAnsi="Century Schoolbook"/>
        </w:rPr>
        <w:t xml:space="preserve">shows, an arrest is an integral part of the process leading to an APS suspension, we do not agree that </w:t>
      </w:r>
      <w:r>
        <w:rPr>
          <w:rFonts w:ascii="Century Schoolbook" w:hAnsi="Century Schoolbook"/>
        </w:rPr>
        <w:t xml:space="preserve">this </w:t>
      </w:r>
      <w:r>
        <w:rPr>
          <w:rFonts w:ascii="Century Schoolbook" w:hAnsi="Century Schoolbook"/>
        </w:rPr>
        <w:t xml:space="preserve">means DMV </w:t>
      </w:r>
      <w:r>
        <w:rPr>
          <w:rFonts w:ascii="Century Schoolbook" w:hAnsi="Century Schoolbook"/>
        </w:rPr>
        <w:t>is disclosing</w:t>
      </w:r>
      <w:r>
        <w:rPr>
          <w:rFonts w:ascii="Century Schoolbook" w:hAnsi="Century Schoolbook"/>
        </w:rPr>
        <w:t xml:space="preserve"> </w:t>
      </w:r>
      <w:r>
        <w:rPr>
          <w:rFonts w:ascii="Century Schoolbook" w:hAnsi="Century Schoolbook"/>
        </w:rPr>
        <w:t>“</w:t>
      </w:r>
      <w:r>
        <w:rPr>
          <w:rFonts w:ascii="Century Schoolbook" w:hAnsi="Century Schoolbook"/>
        </w:rPr>
        <w:t>informatio</w:t>
      </w:r>
      <w:r>
        <w:rPr>
          <w:rFonts w:ascii="Century Schoolbook" w:hAnsi="Century Schoolbook"/>
        </w:rPr>
        <w:t>n</w:t>
      </w:r>
      <w:r>
        <w:rPr>
          <w:rFonts w:ascii="Century Schoolbook" w:hAnsi="Century Schoolbook"/>
        </w:rPr>
        <w:t xml:space="preserve"> . . .</w:t>
      </w:r>
      <w:r>
        <w:rPr>
          <w:rFonts w:ascii="Century Schoolbook" w:hAnsi="Century Schoolbook"/>
        </w:rPr>
        <w:t xml:space="preserve"> pertaining to an arrest.</w:t>
      </w:r>
      <w:r>
        <w:rPr>
          <w:rFonts w:ascii="Century Schoolbook" w:hAnsi="Century Schoolbook"/>
        </w:rPr>
        <w:t>”</w:t>
      </w:r>
    </w:p>
    <w:p w14:paraId="4EDF3F71" w14:textId="77777777" w:rsidR="006F58CB" w:rsidRDefault="006F58CB" w:rsidP="004C1671">
      <w:pPr>
        <w:spacing w:line="360" w:lineRule="auto"/>
        <w:rPr>
          <w:rFonts w:ascii="Century Schoolbook" w:hAnsi="Century Schoolbook"/>
        </w:rPr>
      </w:pPr>
      <w:r>
        <w:rPr>
          <w:rFonts w:ascii="Century Schoolbook" w:hAnsi="Century Schoolbook"/>
        </w:rPr>
        <w:tab/>
      </w:r>
      <w:r>
        <w:rPr>
          <w:rFonts w:ascii="Century Schoolbook" w:hAnsi="Century Schoolbook"/>
        </w:rPr>
        <w:t>Instead</w:t>
      </w:r>
      <w:r>
        <w:rPr>
          <w:rFonts w:ascii="Century Schoolbook" w:hAnsi="Century Schoolbook"/>
        </w:rPr>
        <w:t xml:space="preserve">, </w:t>
      </w:r>
      <w:r>
        <w:rPr>
          <w:rFonts w:ascii="Century Schoolbook" w:hAnsi="Century Schoolbook"/>
        </w:rPr>
        <w:t xml:space="preserve">revealing </w:t>
      </w:r>
      <w:r>
        <w:rPr>
          <w:rFonts w:ascii="Century Schoolbook" w:hAnsi="Century Schoolbook"/>
        </w:rPr>
        <w:t xml:space="preserve">the reason for an APS suspension </w:t>
      </w:r>
      <w:r>
        <w:rPr>
          <w:rFonts w:ascii="Century Schoolbook" w:hAnsi="Century Schoolbook"/>
        </w:rPr>
        <w:t xml:space="preserve">discloses </w:t>
      </w:r>
      <w:r w:rsidRPr="00EC7C09">
        <w:rPr>
          <w:rFonts w:ascii="Century Schoolbook" w:hAnsi="Century Schoolbook"/>
          <w:i/>
          <w:iCs/>
        </w:rPr>
        <w:t xml:space="preserve">the </w:t>
      </w:r>
      <w:r>
        <w:rPr>
          <w:rFonts w:ascii="Century Schoolbook" w:hAnsi="Century Schoolbook"/>
          <w:i/>
          <w:iCs/>
        </w:rPr>
        <w:t xml:space="preserve">result </w:t>
      </w:r>
      <w:r w:rsidRPr="00EC7C09">
        <w:rPr>
          <w:rFonts w:ascii="Century Schoolbook" w:hAnsi="Century Schoolbook"/>
          <w:i/>
          <w:iCs/>
        </w:rPr>
        <w:t xml:space="preserve">of an </w:t>
      </w:r>
      <w:r>
        <w:rPr>
          <w:rFonts w:ascii="Century Schoolbook" w:hAnsi="Century Schoolbook"/>
          <w:i/>
          <w:iCs/>
        </w:rPr>
        <w:t xml:space="preserve">independent </w:t>
      </w:r>
      <w:r w:rsidRPr="00EC7C09">
        <w:rPr>
          <w:rFonts w:ascii="Century Schoolbook" w:hAnsi="Century Schoolbook"/>
          <w:i/>
          <w:iCs/>
        </w:rPr>
        <w:t>administrative adjudication</w:t>
      </w:r>
      <w:r>
        <w:rPr>
          <w:rFonts w:ascii="Century Schoolbook" w:hAnsi="Century Schoolbook"/>
        </w:rPr>
        <w:t>.</w:t>
      </w:r>
      <w:r>
        <w:rPr>
          <w:rStyle w:val="FootnoteReference"/>
          <w:rFonts w:ascii="Century Schoolbook" w:hAnsi="Century Schoolbook"/>
        </w:rPr>
        <w:footnoteReference w:id="17"/>
      </w:r>
      <w:r>
        <w:rPr>
          <w:rFonts w:ascii="Century Schoolbook" w:hAnsi="Century Schoolbook"/>
        </w:rPr>
        <w:t xml:space="preserve">  </w:t>
      </w:r>
      <w:r>
        <w:rPr>
          <w:rFonts w:ascii="Century Schoolbook" w:hAnsi="Century Schoolbook"/>
        </w:rPr>
        <w:t xml:space="preserve">The </w:t>
      </w:r>
      <w:r>
        <w:rPr>
          <w:rFonts w:ascii="Century Schoolbook" w:hAnsi="Century Schoolbook"/>
        </w:rPr>
        <w:t>materiality of th</w:t>
      </w:r>
      <w:r>
        <w:rPr>
          <w:rFonts w:ascii="Century Schoolbook" w:hAnsi="Century Schoolbook"/>
        </w:rPr>
        <w:t xml:space="preserve">is </w:t>
      </w:r>
      <w:r>
        <w:rPr>
          <w:rFonts w:ascii="Century Schoolbook" w:hAnsi="Century Schoolbook"/>
        </w:rPr>
        <w:t>d</w:t>
      </w:r>
      <w:r>
        <w:rPr>
          <w:rFonts w:ascii="Century Schoolbook" w:hAnsi="Century Schoolbook"/>
        </w:rPr>
        <w:t xml:space="preserve">istinction </w:t>
      </w:r>
      <w:r>
        <w:rPr>
          <w:rFonts w:ascii="Century Schoolbook" w:hAnsi="Century Schoolbook"/>
        </w:rPr>
        <w:t>is illu</w:t>
      </w:r>
      <w:r>
        <w:rPr>
          <w:rFonts w:ascii="Century Schoolbook" w:hAnsi="Century Schoolbook"/>
        </w:rPr>
        <w:t>minated</w:t>
      </w:r>
      <w:r>
        <w:rPr>
          <w:rFonts w:ascii="Century Schoolbook" w:hAnsi="Century Schoolbook"/>
        </w:rPr>
        <w:t xml:space="preserve"> </w:t>
      </w:r>
      <w:r>
        <w:rPr>
          <w:rFonts w:ascii="Century Schoolbook" w:hAnsi="Century Schoolbook"/>
        </w:rPr>
        <w:t xml:space="preserve">by the </w:t>
      </w:r>
      <w:r>
        <w:rPr>
          <w:rFonts w:ascii="Century Schoolbook" w:hAnsi="Century Schoolbook"/>
        </w:rPr>
        <w:t>multiple,</w:t>
      </w:r>
      <w:r>
        <w:rPr>
          <w:rFonts w:ascii="Century Schoolbook" w:hAnsi="Century Schoolbook"/>
        </w:rPr>
        <w:t xml:space="preserve"> si</w:t>
      </w:r>
      <w:r>
        <w:rPr>
          <w:rFonts w:ascii="Century Schoolbook" w:hAnsi="Century Schoolbook"/>
        </w:rPr>
        <w:t>gnificant</w:t>
      </w:r>
      <w:r>
        <w:rPr>
          <w:rFonts w:ascii="Century Schoolbook" w:hAnsi="Century Schoolbook"/>
        </w:rPr>
        <w:t xml:space="preserve"> </w:t>
      </w:r>
      <w:r>
        <w:rPr>
          <w:rFonts w:ascii="Century Schoolbook" w:hAnsi="Century Schoolbook"/>
        </w:rPr>
        <w:t xml:space="preserve">steps in between the </w:t>
      </w:r>
      <w:r>
        <w:rPr>
          <w:rFonts w:ascii="Century Schoolbook" w:hAnsi="Century Schoolbook"/>
        </w:rPr>
        <w:t>arrest and the administrative adjudication</w:t>
      </w:r>
      <w:r>
        <w:rPr>
          <w:rFonts w:ascii="Century Schoolbook" w:hAnsi="Century Schoolbook"/>
        </w:rPr>
        <w:t xml:space="preserve">.  </w:t>
      </w:r>
      <w:r>
        <w:rPr>
          <w:rFonts w:ascii="Century Schoolbook" w:hAnsi="Century Schoolbook"/>
        </w:rPr>
        <w:t xml:space="preserve">Following the arrest, the arresting officer completes a sworn </w:t>
      </w:r>
      <w:r>
        <w:rPr>
          <w:rFonts w:ascii="Century Schoolbook" w:hAnsi="Century Schoolbook"/>
        </w:rPr>
        <w:t>report for DMV</w:t>
      </w:r>
      <w:r>
        <w:rPr>
          <w:rFonts w:ascii="Century Schoolbook" w:hAnsi="Century Schoolbook"/>
        </w:rPr>
        <w:t xml:space="preserve">.  This report is on </w:t>
      </w:r>
      <w:r>
        <w:rPr>
          <w:rFonts w:ascii="Century Schoolbook" w:hAnsi="Century Schoolbook"/>
        </w:rPr>
        <w:t xml:space="preserve">DMV’s form, </w:t>
      </w:r>
      <w:r>
        <w:rPr>
          <w:rFonts w:ascii="Century Schoolbook" w:hAnsi="Century Schoolbook"/>
        </w:rPr>
        <w:t xml:space="preserve">the DS-367, and is </w:t>
      </w:r>
      <w:r>
        <w:rPr>
          <w:rFonts w:ascii="Century Schoolbook" w:hAnsi="Century Schoolbook"/>
        </w:rPr>
        <w:t>separate from any internal law enforcement arrest report arising from the same arrest</w:t>
      </w:r>
      <w:r>
        <w:rPr>
          <w:rFonts w:ascii="Century Schoolbook" w:hAnsi="Century Schoolbook"/>
        </w:rPr>
        <w:t xml:space="preserve">.  </w:t>
      </w:r>
      <w:r>
        <w:rPr>
          <w:rFonts w:ascii="Century Schoolbook" w:hAnsi="Century Schoolbook"/>
        </w:rPr>
        <w:t>W</w:t>
      </w:r>
      <w:r>
        <w:rPr>
          <w:rFonts w:ascii="Century Schoolbook" w:hAnsi="Century Schoolbook"/>
        </w:rPr>
        <w:t xml:space="preserve">hen received by DMV, </w:t>
      </w:r>
      <w:r>
        <w:rPr>
          <w:rFonts w:ascii="Century Schoolbook" w:hAnsi="Century Schoolbook"/>
        </w:rPr>
        <w:t>the DS-367</w:t>
      </w:r>
      <w:r>
        <w:rPr>
          <w:rFonts w:ascii="Century Schoolbook" w:hAnsi="Century Schoolbook"/>
        </w:rPr>
        <w:t xml:space="preserve"> </w:t>
      </w:r>
      <w:r>
        <w:rPr>
          <w:rFonts w:ascii="Century Schoolbook" w:hAnsi="Century Schoolbook"/>
        </w:rPr>
        <w:t>commences</w:t>
      </w:r>
      <w:r>
        <w:rPr>
          <w:rFonts w:ascii="Century Schoolbook" w:hAnsi="Century Schoolbook"/>
        </w:rPr>
        <w:t xml:space="preserve"> </w:t>
      </w:r>
      <w:r>
        <w:rPr>
          <w:rFonts w:ascii="Century Schoolbook" w:hAnsi="Century Schoolbook"/>
        </w:rPr>
        <w:t xml:space="preserve">the </w:t>
      </w:r>
      <w:r>
        <w:rPr>
          <w:rFonts w:ascii="Century Schoolbook" w:hAnsi="Century Schoolbook"/>
        </w:rPr>
        <w:t xml:space="preserve">administrative </w:t>
      </w:r>
      <w:r>
        <w:rPr>
          <w:rFonts w:ascii="Century Schoolbook" w:hAnsi="Century Schoolbook"/>
        </w:rPr>
        <w:t xml:space="preserve">APS suspension </w:t>
      </w:r>
      <w:r>
        <w:rPr>
          <w:rFonts w:ascii="Century Schoolbook" w:hAnsi="Century Schoolbook"/>
        </w:rPr>
        <w:t>process.  If no hearing is requested by the licensee, DMV conducts an internal administrative review</w:t>
      </w:r>
      <w:r>
        <w:rPr>
          <w:rFonts w:ascii="Century Schoolbook" w:hAnsi="Century Schoolbook"/>
        </w:rPr>
        <w:t xml:space="preserve"> </w:t>
      </w:r>
      <w:r>
        <w:rPr>
          <w:rFonts w:ascii="Century Schoolbook" w:hAnsi="Century Schoolbook"/>
        </w:rPr>
        <w:lastRenderedPageBreak/>
        <w:t xml:space="preserve">to </w:t>
      </w:r>
      <w:r>
        <w:rPr>
          <w:rFonts w:ascii="Century Schoolbook" w:hAnsi="Century Schoolbook"/>
        </w:rPr>
        <w:t>determin</w:t>
      </w:r>
      <w:r>
        <w:rPr>
          <w:rFonts w:ascii="Century Schoolbook" w:hAnsi="Century Schoolbook"/>
        </w:rPr>
        <w:t>e</w:t>
      </w:r>
      <w:r>
        <w:rPr>
          <w:rFonts w:ascii="Century Schoolbook" w:hAnsi="Century Schoolbook"/>
        </w:rPr>
        <w:t xml:space="preserve"> whether</w:t>
      </w:r>
      <w:r>
        <w:rPr>
          <w:rFonts w:ascii="Century Schoolbook" w:hAnsi="Century Schoolbook"/>
        </w:rPr>
        <w:t xml:space="preserve"> the record establishes the requisite elements, including that the person was driving with a prohibited blood-alcohol level or refused to submit to a chemical test.  (§ 13557, subds. (a), (b)(1) &amp; (3).)  </w:t>
      </w:r>
      <w:r>
        <w:rPr>
          <w:rFonts w:ascii="Century Schoolbook" w:hAnsi="Century Schoolbook"/>
        </w:rPr>
        <w:t xml:space="preserve">If </w:t>
      </w:r>
      <w:r>
        <w:rPr>
          <w:rFonts w:ascii="Century Schoolbook" w:hAnsi="Century Schoolbook"/>
        </w:rPr>
        <w:t xml:space="preserve">requested by the </w:t>
      </w:r>
      <w:r>
        <w:rPr>
          <w:rFonts w:ascii="Century Schoolbook" w:hAnsi="Century Schoolbook"/>
        </w:rPr>
        <w:t>licensee</w:t>
      </w:r>
      <w:r>
        <w:rPr>
          <w:rFonts w:ascii="Century Schoolbook" w:hAnsi="Century Schoolbook"/>
        </w:rPr>
        <w:t xml:space="preserve">, </w:t>
      </w:r>
      <w:r>
        <w:rPr>
          <w:rFonts w:ascii="Century Schoolbook" w:hAnsi="Century Schoolbook"/>
        </w:rPr>
        <w:t xml:space="preserve">DMV holds an </w:t>
      </w:r>
      <w:r>
        <w:rPr>
          <w:rFonts w:ascii="Century Schoolbook" w:hAnsi="Century Schoolbook"/>
        </w:rPr>
        <w:t xml:space="preserve">evidentiary </w:t>
      </w:r>
      <w:r>
        <w:rPr>
          <w:rFonts w:ascii="Century Schoolbook" w:hAnsi="Century Schoolbook"/>
        </w:rPr>
        <w:t>hearing</w:t>
      </w:r>
      <w:r>
        <w:rPr>
          <w:rFonts w:ascii="Century Schoolbook" w:hAnsi="Century Schoolbook"/>
        </w:rPr>
        <w:t xml:space="preserve"> </w:t>
      </w:r>
      <w:r>
        <w:rPr>
          <w:rFonts w:ascii="Century Schoolbook" w:hAnsi="Century Schoolbook"/>
        </w:rPr>
        <w:t>and</w:t>
      </w:r>
      <w:r>
        <w:rPr>
          <w:rFonts w:ascii="Century Schoolbook" w:hAnsi="Century Schoolbook"/>
        </w:rPr>
        <w:t xml:space="preserve"> consider</w:t>
      </w:r>
      <w:r>
        <w:rPr>
          <w:rFonts w:ascii="Century Schoolbook" w:hAnsi="Century Schoolbook"/>
        </w:rPr>
        <w:t>s</w:t>
      </w:r>
      <w:r>
        <w:rPr>
          <w:rFonts w:ascii="Century Schoolbook" w:hAnsi="Century Schoolbook"/>
        </w:rPr>
        <w:t xml:space="preserve"> witness testimony, documentary evidence, and argument</w:t>
      </w:r>
      <w:r>
        <w:rPr>
          <w:rFonts w:ascii="Century Schoolbook" w:hAnsi="Century Schoolbook"/>
        </w:rPr>
        <w:t xml:space="preserve"> on the same elements</w:t>
      </w:r>
      <w:r>
        <w:rPr>
          <w:rFonts w:ascii="Century Schoolbook" w:hAnsi="Century Schoolbook"/>
        </w:rPr>
        <w:t>.</w:t>
      </w:r>
      <w:r>
        <w:rPr>
          <w:rFonts w:ascii="Century Schoolbook" w:hAnsi="Century Schoolbook"/>
        </w:rPr>
        <w:t xml:space="preserve">  Following the internal review or evidentiary hearing, DMV </w:t>
      </w:r>
      <w:r>
        <w:rPr>
          <w:rFonts w:ascii="Century Schoolbook" w:hAnsi="Century Schoolbook"/>
        </w:rPr>
        <w:t>makes a final determination of whether the</w:t>
      </w:r>
      <w:r>
        <w:rPr>
          <w:rFonts w:ascii="Century Schoolbook" w:hAnsi="Century Schoolbook"/>
        </w:rPr>
        <w:t xml:space="preserve"> requirements for an APS suspension were established</w:t>
      </w:r>
      <w:r>
        <w:rPr>
          <w:rFonts w:ascii="Century Schoolbook" w:hAnsi="Century Schoolbook"/>
        </w:rPr>
        <w:t>.</w:t>
      </w:r>
      <w:r>
        <w:rPr>
          <w:rFonts w:ascii="Century Schoolbook" w:hAnsi="Century Schoolbook"/>
        </w:rPr>
        <w:t xml:space="preserve"> </w:t>
      </w:r>
      <w:r>
        <w:rPr>
          <w:rFonts w:ascii="Century Schoolbook" w:hAnsi="Century Schoolbook"/>
        </w:rPr>
        <w:t xml:space="preserve"> If writ review </w:t>
      </w:r>
      <w:r>
        <w:rPr>
          <w:rFonts w:ascii="Century Schoolbook" w:hAnsi="Century Schoolbook"/>
        </w:rPr>
        <w:t xml:space="preserve">of the resulting determination </w:t>
      </w:r>
      <w:r>
        <w:rPr>
          <w:rFonts w:ascii="Century Schoolbook" w:hAnsi="Century Schoolbook"/>
        </w:rPr>
        <w:t>is sought, DMV’s findings are reviewed by a court.</w:t>
      </w:r>
      <w:r>
        <w:rPr>
          <w:rFonts w:ascii="Century Schoolbook" w:hAnsi="Century Schoolbook"/>
        </w:rPr>
        <w:t xml:space="preserve">  </w:t>
      </w:r>
      <w:r>
        <w:rPr>
          <w:rFonts w:ascii="Century Schoolbook" w:hAnsi="Century Schoolbook"/>
        </w:rPr>
        <w:t>Thus, wh</w:t>
      </w:r>
      <w:r>
        <w:rPr>
          <w:rFonts w:ascii="Century Schoolbook" w:hAnsi="Century Schoolbook"/>
        </w:rPr>
        <w:t xml:space="preserve">ile the arrest </w:t>
      </w:r>
      <w:r>
        <w:rPr>
          <w:rFonts w:ascii="Century Schoolbook" w:hAnsi="Century Schoolbook"/>
        </w:rPr>
        <w:t xml:space="preserve">itself </w:t>
      </w:r>
      <w:r>
        <w:rPr>
          <w:rFonts w:ascii="Century Schoolbook" w:hAnsi="Century Schoolbook"/>
        </w:rPr>
        <w:t xml:space="preserve">and information </w:t>
      </w:r>
      <w:r>
        <w:rPr>
          <w:rFonts w:ascii="Century Schoolbook" w:hAnsi="Century Schoolbook"/>
        </w:rPr>
        <w:t xml:space="preserve">about it received </w:t>
      </w:r>
      <w:r>
        <w:rPr>
          <w:rFonts w:ascii="Century Schoolbook" w:hAnsi="Century Schoolbook"/>
        </w:rPr>
        <w:t xml:space="preserve">from the arresting officer are part of this </w:t>
      </w:r>
      <w:r>
        <w:rPr>
          <w:rFonts w:ascii="Century Schoolbook" w:hAnsi="Century Schoolbook"/>
        </w:rPr>
        <w:t>administrative adjudication</w:t>
      </w:r>
      <w:r>
        <w:rPr>
          <w:rFonts w:ascii="Century Schoolbook" w:hAnsi="Century Schoolbook"/>
        </w:rPr>
        <w:t xml:space="preserve">, </w:t>
      </w:r>
      <w:r>
        <w:rPr>
          <w:rFonts w:ascii="Century Schoolbook" w:hAnsi="Century Schoolbook"/>
        </w:rPr>
        <w:t xml:space="preserve">the result of </w:t>
      </w:r>
      <w:r>
        <w:rPr>
          <w:rFonts w:ascii="Century Schoolbook" w:hAnsi="Century Schoolbook"/>
        </w:rPr>
        <w:t xml:space="preserve">the </w:t>
      </w:r>
      <w:r>
        <w:rPr>
          <w:rFonts w:ascii="Century Schoolbook" w:hAnsi="Century Schoolbook"/>
        </w:rPr>
        <w:t xml:space="preserve">adjudication </w:t>
      </w:r>
      <w:r>
        <w:rPr>
          <w:rFonts w:ascii="Century Schoolbook" w:hAnsi="Century Schoolbook"/>
        </w:rPr>
        <w:t xml:space="preserve">is not </w:t>
      </w:r>
      <w:r>
        <w:rPr>
          <w:rFonts w:ascii="Century Schoolbook" w:hAnsi="Century Schoolbook"/>
        </w:rPr>
        <w:t xml:space="preserve">simply information pertaining to </w:t>
      </w:r>
      <w:r>
        <w:rPr>
          <w:rFonts w:ascii="Century Schoolbook" w:hAnsi="Century Schoolbook"/>
        </w:rPr>
        <w:t xml:space="preserve">or concerning </w:t>
      </w:r>
      <w:r>
        <w:rPr>
          <w:rFonts w:ascii="Century Schoolbook" w:hAnsi="Century Schoolbook"/>
        </w:rPr>
        <w:t>the arrest.</w:t>
      </w:r>
      <w:r>
        <w:rPr>
          <w:rFonts w:ascii="Century Schoolbook" w:hAnsi="Century Schoolbook"/>
        </w:rPr>
        <w:t xml:space="preserve">  (See </w:t>
      </w:r>
      <w:r w:rsidRPr="000D494E">
        <w:rPr>
          <w:rFonts w:ascii="Century Schoolbook" w:hAnsi="Century Schoolbook"/>
          <w:i/>
          <w:iCs/>
        </w:rPr>
        <w:t>Cranston v. City of Richmond</w:t>
      </w:r>
      <w:r w:rsidRPr="00BF0283">
        <w:rPr>
          <w:rFonts w:ascii="Century Schoolbook" w:hAnsi="Century Schoolbook"/>
        </w:rPr>
        <w:t xml:space="preserve"> (1985) 40 Cal.3d 755</w:t>
      </w:r>
      <w:r>
        <w:rPr>
          <w:rFonts w:ascii="Century Schoolbook" w:hAnsi="Century Schoolbook"/>
        </w:rPr>
        <w:t xml:space="preserve">, </w:t>
      </w:r>
      <w:r w:rsidRPr="00BF0283">
        <w:rPr>
          <w:rFonts w:ascii="Century Schoolbook" w:hAnsi="Century Schoolbook"/>
        </w:rPr>
        <w:t>773</w:t>
      </w:r>
      <w:r>
        <w:rPr>
          <w:rFonts w:ascii="Century Schoolbook" w:hAnsi="Century Schoolbook"/>
        </w:rPr>
        <w:t xml:space="preserve"> (</w:t>
      </w:r>
      <w:proofErr w:type="spellStart"/>
      <w:r>
        <w:rPr>
          <w:rFonts w:ascii="Century Schoolbook" w:hAnsi="Century Schoolbook"/>
        </w:rPr>
        <w:t>maj.</w:t>
      </w:r>
      <w:proofErr w:type="spellEnd"/>
      <w:r>
        <w:rPr>
          <w:rFonts w:ascii="Century Schoolbook" w:hAnsi="Century Schoolbook"/>
        </w:rPr>
        <w:t xml:space="preserve"> </w:t>
      </w:r>
      <w:proofErr w:type="spellStart"/>
      <w:r>
        <w:rPr>
          <w:rFonts w:ascii="Century Schoolbook" w:hAnsi="Century Schoolbook"/>
        </w:rPr>
        <w:t>opn</w:t>
      </w:r>
      <w:proofErr w:type="spellEnd"/>
      <w:r>
        <w:rPr>
          <w:rFonts w:ascii="Century Schoolbook" w:hAnsi="Century Schoolbook"/>
        </w:rPr>
        <w:t xml:space="preserve">. of </w:t>
      </w:r>
      <w:r>
        <w:rPr>
          <w:rFonts w:ascii="Century Schoolbook" w:hAnsi="Century Schoolbook"/>
        </w:rPr>
        <w:t>Grodin, J.) [</w:t>
      </w:r>
      <w:r>
        <w:rPr>
          <w:rFonts w:ascii="Century Schoolbook" w:hAnsi="Century Schoolbook"/>
        </w:rPr>
        <w:t>although the appellant was terminated after purportedly being detained, “</w:t>
      </w:r>
      <w:r w:rsidRPr="000813E9">
        <w:rPr>
          <w:rFonts w:ascii="Century Schoolbook" w:hAnsi="Century Schoolbook"/>
        </w:rPr>
        <w:t xml:space="preserve">his discharge was not based on any </w:t>
      </w:r>
      <w:r>
        <w:rPr>
          <w:rFonts w:ascii="Century Schoolbook" w:hAnsi="Century Schoolbook"/>
        </w:rPr>
        <w:t>‘</w:t>
      </w:r>
      <w:r w:rsidRPr="000813E9">
        <w:rPr>
          <w:rFonts w:ascii="Century Schoolbook" w:hAnsi="Century Schoolbook"/>
        </w:rPr>
        <w:t>record</w:t>
      </w:r>
      <w:r>
        <w:rPr>
          <w:rFonts w:ascii="Century Schoolbook" w:hAnsi="Century Schoolbook"/>
        </w:rPr>
        <w:t>’</w:t>
      </w:r>
      <w:r w:rsidRPr="000813E9">
        <w:rPr>
          <w:rFonts w:ascii="Century Schoolbook" w:hAnsi="Century Schoolbook"/>
        </w:rPr>
        <w:t xml:space="preserve"> of detention within the meaning of Labor Code section 432.7</w:t>
      </w:r>
      <w:r>
        <w:rPr>
          <w:rFonts w:ascii="Century Schoolbook" w:hAnsi="Century Schoolbook"/>
        </w:rPr>
        <w:t>[, subd. (a)</w:t>
      </w:r>
      <w:r>
        <w:rPr>
          <w:rFonts w:ascii="Century Schoolbook" w:hAnsi="Century Schoolbook"/>
        </w:rPr>
        <w:t xml:space="preserve">, prohibiting consideration of </w:t>
      </w:r>
      <w:proofErr w:type="spellStart"/>
      <w:r>
        <w:rPr>
          <w:rFonts w:ascii="Century Schoolbook" w:hAnsi="Century Schoolbook"/>
        </w:rPr>
        <w:t>nonconviction</w:t>
      </w:r>
      <w:proofErr w:type="spellEnd"/>
      <w:r>
        <w:rPr>
          <w:rFonts w:ascii="Century Schoolbook" w:hAnsi="Century Schoolbook"/>
        </w:rPr>
        <w:t xml:space="preserve"> arrest or detention in </w:t>
      </w:r>
      <w:r>
        <w:rPr>
          <w:rFonts w:ascii="Century Schoolbook" w:hAnsi="Century Schoolbook"/>
        </w:rPr>
        <w:t>decision</w:t>
      </w:r>
      <w:r>
        <w:rPr>
          <w:rFonts w:ascii="Century Schoolbook" w:hAnsi="Century Schoolbook"/>
        </w:rPr>
        <w:t xml:space="preserve"> to terminate employment</w:t>
      </w:r>
      <w:r>
        <w:rPr>
          <w:rFonts w:ascii="Century Schoolbook" w:hAnsi="Century Schoolbook"/>
        </w:rPr>
        <w:t>]</w:t>
      </w:r>
      <w:r w:rsidRPr="000813E9">
        <w:rPr>
          <w:rFonts w:ascii="Century Schoolbook" w:hAnsi="Century Schoolbook"/>
        </w:rPr>
        <w:t xml:space="preserve">. </w:t>
      </w:r>
      <w:r>
        <w:rPr>
          <w:rFonts w:ascii="Century Schoolbook" w:hAnsi="Century Schoolbook"/>
        </w:rPr>
        <w:t xml:space="preserve"> </w:t>
      </w:r>
      <w:r w:rsidRPr="000813E9">
        <w:rPr>
          <w:rFonts w:ascii="Century Schoolbook" w:hAnsi="Century Schoolbook"/>
        </w:rPr>
        <w:t>Rather, appellant</w:t>
      </w:r>
      <w:r>
        <w:rPr>
          <w:rFonts w:ascii="Century Schoolbook" w:hAnsi="Century Schoolbook"/>
        </w:rPr>
        <w:t>’</w:t>
      </w:r>
      <w:r w:rsidRPr="000813E9">
        <w:rPr>
          <w:rFonts w:ascii="Century Schoolbook" w:hAnsi="Century Schoolbook"/>
        </w:rPr>
        <w:t>s discharge was b</w:t>
      </w:r>
      <w:r w:rsidRPr="000813E9">
        <w:rPr>
          <w:rFonts w:ascii="Century Schoolbook" w:hAnsi="Century Schoolbook"/>
        </w:rPr>
        <w:t xml:space="preserve">ased on </w:t>
      </w:r>
      <w:r>
        <w:rPr>
          <w:rFonts w:ascii="Century Schoolbook" w:hAnsi="Century Schoolbook"/>
        </w:rPr>
        <w:t xml:space="preserve">[his employer’s] </w:t>
      </w:r>
      <w:r w:rsidRPr="000813E9">
        <w:rPr>
          <w:rFonts w:ascii="Century Schoolbook" w:hAnsi="Century Schoolbook"/>
        </w:rPr>
        <w:t xml:space="preserve">independent investigation of the facts surrounding the April 4 incident. </w:t>
      </w:r>
      <w:r>
        <w:rPr>
          <w:rFonts w:ascii="Century Schoolbook" w:hAnsi="Century Schoolbook"/>
        </w:rPr>
        <w:t xml:space="preserve"> </w:t>
      </w:r>
      <w:r w:rsidRPr="000813E9">
        <w:rPr>
          <w:rFonts w:ascii="Century Schoolbook" w:hAnsi="Century Schoolbook"/>
        </w:rPr>
        <w:t xml:space="preserve">The fact that this incident happened to involve a </w:t>
      </w:r>
      <w:r>
        <w:rPr>
          <w:rFonts w:ascii="Century Schoolbook" w:hAnsi="Century Schoolbook"/>
        </w:rPr>
        <w:t>‘</w:t>
      </w:r>
      <w:r w:rsidRPr="000813E9">
        <w:rPr>
          <w:rFonts w:ascii="Century Schoolbook" w:hAnsi="Century Schoolbook"/>
        </w:rPr>
        <w:t>detention</w:t>
      </w:r>
      <w:r>
        <w:rPr>
          <w:rFonts w:ascii="Century Schoolbook" w:hAnsi="Century Schoolbook"/>
        </w:rPr>
        <w:t>’</w:t>
      </w:r>
      <w:r w:rsidRPr="000813E9">
        <w:rPr>
          <w:rFonts w:ascii="Century Schoolbook" w:hAnsi="Century Schoolbook"/>
        </w:rPr>
        <w:t xml:space="preserve"> (if such it was) by police officers does not bring </w:t>
      </w:r>
      <w:r>
        <w:rPr>
          <w:rFonts w:ascii="Century Schoolbook" w:hAnsi="Century Schoolbook"/>
        </w:rPr>
        <w:t xml:space="preserve">[his employer’s] </w:t>
      </w:r>
      <w:r w:rsidRPr="000813E9">
        <w:rPr>
          <w:rFonts w:ascii="Century Schoolbook" w:hAnsi="Century Schoolbook"/>
        </w:rPr>
        <w:t>subsequent decision to terminate appellant within the proscription of Labor Code section 432.7.</w:t>
      </w:r>
      <w:r>
        <w:rPr>
          <w:rFonts w:ascii="Century Schoolbook" w:hAnsi="Century Schoolbook"/>
        </w:rPr>
        <w:t>”].)</w:t>
      </w:r>
      <w:r>
        <w:rPr>
          <w:rFonts w:ascii="Century Schoolbook" w:hAnsi="Century Schoolbook"/>
        </w:rPr>
        <w:t xml:space="preserve"> </w:t>
      </w:r>
    </w:p>
    <w:p w14:paraId="6591C31E" w14:textId="77777777" w:rsidR="006F58CB" w:rsidRDefault="006F58CB" w:rsidP="004C1671">
      <w:pPr>
        <w:spacing w:line="360" w:lineRule="auto"/>
        <w:rPr>
          <w:rFonts w:ascii="Century Schoolbook" w:hAnsi="Century Schoolbook"/>
        </w:rPr>
      </w:pPr>
      <w:r>
        <w:rPr>
          <w:rFonts w:ascii="Century Schoolbook" w:hAnsi="Century Schoolbook"/>
        </w:rPr>
        <w:tab/>
      </w:r>
      <w:r>
        <w:rPr>
          <w:rFonts w:ascii="Century Schoolbook" w:hAnsi="Century Schoolbook"/>
        </w:rPr>
        <w:t>Similarly</w:t>
      </w:r>
      <w:r>
        <w:rPr>
          <w:rFonts w:ascii="Century Schoolbook" w:hAnsi="Century Schoolbook"/>
        </w:rPr>
        <w:t xml:space="preserve">, </w:t>
      </w:r>
      <w:r>
        <w:rPr>
          <w:rFonts w:ascii="Century Schoolbook" w:hAnsi="Century Schoolbook"/>
        </w:rPr>
        <w:t xml:space="preserve">the reason for an APS suspension </w:t>
      </w:r>
      <w:r>
        <w:rPr>
          <w:rFonts w:ascii="Century Schoolbook" w:hAnsi="Century Schoolbook"/>
        </w:rPr>
        <w:t xml:space="preserve">also </w:t>
      </w:r>
      <w:r>
        <w:rPr>
          <w:rFonts w:ascii="Century Schoolbook" w:hAnsi="Century Schoolbook"/>
        </w:rPr>
        <w:t xml:space="preserve">does not </w:t>
      </w:r>
      <w:r>
        <w:rPr>
          <w:rFonts w:ascii="Century Schoolbook" w:hAnsi="Century Schoolbook"/>
        </w:rPr>
        <w:t xml:space="preserve">constitute </w:t>
      </w:r>
      <w:r w:rsidRPr="00331029">
        <w:rPr>
          <w:rFonts w:ascii="Century Schoolbook" w:hAnsi="Century Schoolbook"/>
        </w:rPr>
        <w:t>“offender record information maintained by a local law enforcement criminal .</w:t>
      </w:r>
      <w:r>
        <w:rPr>
          <w:rFonts w:ascii="Century Schoolbook" w:hAnsi="Century Schoolbook"/>
        </w:rPr>
        <w:t> </w:t>
      </w:r>
      <w:r w:rsidRPr="00331029">
        <w:rPr>
          <w:rFonts w:ascii="Century Schoolbook" w:hAnsi="Century Schoolbook"/>
        </w:rPr>
        <w:t>.</w:t>
      </w:r>
      <w:r>
        <w:rPr>
          <w:rFonts w:ascii="Century Schoolbook" w:hAnsi="Century Schoolbook"/>
        </w:rPr>
        <w:t> </w:t>
      </w:r>
      <w:r w:rsidRPr="00331029">
        <w:rPr>
          <w:rFonts w:ascii="Century Schoolbook" w:hAnsi="Century Schoolbook"/>
        </w:rPr>
        <w:t>. agency .</w:t>
      </w:r>
      <w:r>
        <w:rPr>
          <w:rFonts w:ascii="Century Schoolbook" w:hAnsi="Century Schoolbook"/>
        </w:rPr>
        <w:t> </w:t>
      </w:r>
      <w:r w:rsidRPr="00331029">
        <w:rPr>
          <w:rFonts w:ascii="Century Schoolbook" w:hAnsi="Century Schoolbook"/>
        </w:rPr>
        <w:t>.</w:t>
      </w:r>
      <w:r>
        <w:rPr>
          <w:rFonts w:ascii="Century Schoolbook" w:hAnsi="Century Schoolbook"/>
        </w:rPr>
        <w:t> </w:t>
      </w:r>
      <w:r w:rsidRPr="00331029">
        <w:rPr>
          <w:rFonts w:ascii="Century Schoolbook" w:hAnsi="Century Schoolbook"/>
        </w:rPr>
        <w:t>. pertaining to an arrest” that the DMV has “</w:t>
      </w:r>
      <w:r w:rsidRPr="00AC0825">
        <w:rPr>
          <w:rFonts w:ascii="Century Schoolbook" w:hAnsi="Century Schoolbook"/>
          <w:i/>
          <w:iCs/>
        </w:rPr>
        <w:t>received</w:t>
      </w:r>
      <w:r w:rsidRPr="00331029">
        <w:rPr>
          <w:rFonts w:ascii="Century Schoolbook" w:hAnsi="Century Schoolbook"/>
        </w:rPr>
        <w:t xml:space="preserve">.”  </w:t>
      </w:r>
      <w:r>
        <w:rPr>
          <w:rFonts w:ascii="Century Schoolbook" w:hAnsi="Century Schoolbook"/>
        </w:rPr>
        <w:t>(</w:t>
      </w:r>
      <w:r>
        <w:rPr>
          <w:rFonts w:ascii="Century Schoolbook" w:hAnsi="Century Schoolbook"/>
        </w:rPr>
        <w:t xml:space="preserve">Lab. Code, </w:t>
      </w:r>
      <w:r>
        <w:rPr>
          <w:rFonts w:ascii="Century Schoolbook" w:hAnsi="Century Schoolbook"/>
        </w:rPr>
        <w:t xml:space="preserve">§ 432.7(g)(2), italics added.)  </w:t>
      </w:r>
      <w:r>
        <w:rPr>
          <w:rFonts w:ascii="Century Schoolbook" w:hAnsi="Century Schoolbook"/>
        </w:rPr>
        <w:t xml:space="preserve">Assuming, without deciding, that the </w:t>
      </w:r>
      <w:r w:rsidRPr="00BA43C9">
        <w:rPr>
          <w:rFonts w:ascii="Century Schoolbook" w:hAnsi="Century Schoolbook"/>
        </w:rPr>
        <w:t xml:space="preserve">DS-367 forms submitted to the DMV contain such information, the DMV does not </w:t>
      </w:r>
      <w:r w:rsidRPr="00BA43C9">
        <w:rPr>
          <w:rFonts w:ascii="Century Schoolbook" w:hAnsi="Century Schoolbook"/>
        </w:rPr>
        <w:lastRenderedPageBreak/>
        <w:t>disclose that information when it discloses the alcohol-related reasons for an APS suspension</w:t>
      </w:r>
      <w:r>
        <w:rPr>
          <w:rFonts w:ascii="Century Schoolbook" w:hAnsi="Century Schoolbook"/>
        </w:rPr>
        <w:t>,</w:t>
      </w:r>
      <w:r>
        <w:rPr>
          <w:rFonts w:ascii="Century Schoolbook" w:hAnsi="Century Schoolbook"/>
        </w:rPr>
        <w:t xml:space="preserve"> </w:t>
      </w:r>
      <w:r w:rsidRPr="00BA43C9">
        <w:rPr>
          <w:rFonts w:ascii="Century Schoolbook" w:hAnsi="Century Schoolbook"/>
        </w:rPr>
        <w:t>because</w:t>
      </w:r>
      <w:r>
        <w:rPr>
          <w:rFonts w:ascii="Century Schoolbook" w:hAnsi="Century Schoolbook"/>
        </w:rPr>
        <w:t xml:space="preserve"> </w:t>
      </w:r>
      <w:r w:rsidRPr="00BA43C9">
        <w:rPr>
          <w:rFonts w:ascii="Century Schoolbook" w:hAnsi="Century Schoolbook"/>
        </w:rPr>
        <w:t xml:space="preserve">the suspension is </w:t>
      </w:r>
      <w:r w:rsidRPr="00063CFD">
        <w:rPr>
          <w:rFonts w:ascii="Century Schoolbook" w:hAnsi="Century Schoolbook"/>
        </w:rPr>
        <w:t xml:space="preserve">the result of </w:t>
      </w:r>
      <w:r w:rsidRPr="00063CFD">
        <w:rPr>
          <w:rFonts w:ascii="Century Schoolbook" w:hAnsi="Century Schoolbook"/>
        </w:rPr>
        <w:t>an independent administrative adjudication</w:t>
      </w:r>
      <w:r w:rsidRPr="00BA43C9">
        <w:rPr>
          <w:rFonts w:ascii="Century Schoolbook" w:hAnsi="Century Schoolbook"/>
        </w:rPr>
        <w:t>.</w:t>
      </w:r>
      <w:r>
        <w:rPr>
          <w:rStyle w:val="FootnoteReference"/>
          <w:rFonts w:ascii="Century Schoolbook" w:hAnsi="Century Schoolbook"/>
        </w:rPr>
        <w:footnoteReference w:id="18"/>
      </w:r>
      <w:r w:rsidRPr="00BA43C9">
        <w:rPr>
          <w:rFonts w:ascii="Century Schoolbook" w:hAnsi="Century Schoolbook"/>
        </w:rPr>
        <w:t xml:space="preserve">  </w:t>
      </w:r>
    </w:p>
    <w:p w14:paraId="23F74A6A" w14:textId="77777777" w:rsidR="006F58CB" w:rsidRDefault="006F58CB" w:rsidP="00425777">
      <w:pPr>
        <w:spacing w:line="360" w:lineRule="auto"/>
        <w:rPr>
          <w:rFonts w:ascii="Century Schoolbook" w:hAnsi="Century Schoolbook"/>
        </w:rPr>
      </w:pPr>
      <w:r>
        <w:rPr>
          <w:rFonts w:ascii="Century Schoolbook" w:hAnsi="Century Schoolbook"/>
        </w:rPr>
        <w:tab/>
        <w:t>Th</w:t>
      </w:r>
      <w:r>
        <w:rPr>
          <w:rFonts w:ascii="Century Schoolbook" w:hAnsi="Century Schoolbook"/>
        </w:rPr>
        <w:t>e</w:t>
      </w:r>
      <w:r>
        <w:rPr>
          <w:rFonts w:ascii="Century Schoolbook" w:hAnsi="Century Schoolbook"/>
        </w:rPr>
        <w:t>s</w:t>
      </w:r>
      <w:r>
        <w:rPr>
          <w:rFonts w:ascii="Century Schoolbook" w:hAnsi="Century Schoolbook"/>
        </w:rPr>
        <w:t>e</w:t>
      </w:r>
      <w:r>
        <w:rPr>
          <w:rFonts w:ascii="Century Schoolbook" w:hAnsi="Century Schoolbook"/>
        </w:rPr>
        <w:t xml:space="preserve"> </w:t>
      </w:r>
      <w:r>
        <w:rPr>
          <w:rFonts w:ascii="Century Schoolbook" w:hAnsi="Century Schoolbook"/>
        </w:rPr>
        <w:t>conclusion</w:t>
      </w:r>
      <w:r>
        <w:rPr>
          <w:rFonts w:ascii="Century Schoolbook" w:hAnsi="Century Schoolbook"/>
        </w:rPr>
        <w:t>s</w:t>
      </w:r>
      <w:r>
        <w:rPr>
          <w:rFonts w:ascii="Century Schoolbook" w:hAnsi="Century Schoolbook"/>
        </w:rPr>
        <w:t xml:space="preserve"> </w:t>
      </w:r>
      <w:r>
        <w:rPr>
          <w:rFonts w:ascii="Century Schoolbook" w:hAnsi="Century Schoolbook"/>
        </w:rPr>
        <w:t xml:space="preserve">are </w:t>
      </w:r>
      <w:r>
        <w:rPr>
          <w:rFonts w:ascii="Century Schoolbook" w:hAnsi="Century Schoolbook"/>
        </w:rPr>
        <w:t xml:space="preserve">supported by the reasons underlying the </w:t>
      </w:r>
      <w:r>
        <w:rPr>
          <w:rFonts w:ascii="Century Schoolbook" w:hAnsi="Century Schoolbook"/>
        </w:rPr>
        <w:t xml:space="preserve">statutory and constitutional privacy </w:t>
      </w:r>
      <w:r>
        <w:rPr>
          <w:rFonts w:ascii="Century Schoolbook" w:hAnsi="Century Schoolbook"/>
        </w:rPr>
        <w:t>provisions</w:t>
      </w:r>
      <w:r>
        <w:rPr>
          <w:rFonts w:ascii="Century Schoolbook" w:hAnsi="Century Schoolbook"/>
        </w:rPr>
        <w:t>.</w:t>
      </w:r>
      <w:r>
        <w:rPr>
          <w:rFonts w:ascii="Century Schoolbook" w:hAnsi="Century Schoolbook"/>
        </w:rPr>
        <w:t xml:space="preserve">  </w:t>
      </w:r>
      <w:r>
        <w:rPr>
          <w:rFonts w:ascii="Century Schoolbook" w:hAnsi="Century Schoolbook"/>
        </w:rPr>
        <w:t xml:space="preserve">As </w:t>
      </w:r>
      <w:r>
        <w:rPr>
          <w:rFonts w:ascii="Century Schoolbook" w:hAnsi="Century Schoolbook"/>
        </w:rPr>
        <w:t>P</w:t>
      </w:r>
      <w:r>
        <w:rPr>
          <w:rFonts w:ascii="Century Schoolbook" w:hAnsi="Century Schoolbook"/>
        </w:rPr>
        <w:t>laintiffs</w:t>
      </w:r>
      <w:r>
        <w:rPr>
          <w:rFonts w:ascii="Century Schoolbook" w:hAnsi="Century Schoolbook"/>
        </w:rPr>
        <w:t xml:space="preserve"> </w:t>
      </w:r>
      <w:r>
        <w:rPr>
          <w:rFonts w:ascii="Century Schoolbook" w:hAnsi="Century Schoolbook"/>
        </w:rPr>
        <w:t>recognize</w:t>
      </w:r>
      <w:r>
        <w:rPr>
          <w:rFonts w:ascii="Century Schoolbook" w:hAnsi="Century Schoolbook"/>
        </w:rPr>
        <w:t xml:space="preserve">, </w:t>
      </w:r>
      <w:r>
        <w:rPr>
          <w:rFonts w:ascii="Century Schoolbook" w:hAnsi="Century Schoolbook"/>
        </w:rPr>
        <w:t xml:space="preserve">privacy protections prevent employers and others from using </w:t>
      </w:r>
      <w:proofErr w:type="spellStart"/>
      <w:r>
        <w:rPr>
          <w:rFonts w:ascii="Century Schoolbook" w:hAnsi="Century Schoolbook"/>
        </w:rPr>
        <w:t>n</w:t>
      </w:r>
      <w:r>
        <w:rPr>
          <w:rFonts w:ascii="Century Schoolbook" w:hAnsi="Century Schoolbook"/>
        </w:rPr>
        <w:t>onconviction</w:t>
      </w:r>
      <w:proofErr w:type="spellEnd"/>
      <w:r>
        <w:rPr>
          <w:rFonts w:ascii="Century Schoolbook" w:hAnsi="Century Schoolbook"/>
        </w:rPr>
        <w:t xml:space="preserve"> arrests</w:t>
      </w:r>
      <w:r>
        <w:rPr>
          <w:rFonts w:ascii="Century Schoolbook" w:hAnsi="Century Schoolbook"/>
        </w:rPr>
        <w:t xml:space="preserve"> </w:t>
      </w:r>
      <w:r>
        <w:rPr>
          <w:rFonts w:ascii="Century Schoolbook" w:hAnsi="Century Schoolbook"/>
        </w:rPr>
        <w:t>because they</w:t>
      </w:r>
      <w:r>
        <w:rPr>
          <w:rFonts w:ascii="Century Schoolbook" w:hAnsi="Century Schoolbook"/>
        </w:rPr>
        <w:t xml:space="preserve"> </w:t>
      </w:r>
      <w:r>
        <w:rPr>
          <w:rFonts w:ascii="Century Schoolbook" w:hAnsi="Century Schoolbook"/>
        </w:rPr>
        <w:t>are unreliable indicators of wrongdoing</w:t>
      </w:r>
      <w:r>
        <w:rPr>
          <w:rFonts w:ascii="Century Schoolbook" w:hAnsi="Century Schoolbook"/>
        </w:rPr>
        <w:t>.</w:t>
      </w:r>
      <w:r>
        <w:rPr>
          <w:rFonts w:ascii="Century Schoolbook" w:hAnsi="Century Schoolbook"/>
        </w:rPr>
        <w:t xml:space="preserve"> </w:t>
      </w:r>
      <w:r>
        <w:rPr>
          <w:rFonts w:ascii="Century Schoolbook" w:hAnsi="Century Schoolbook"/>
        </w:rPr>
        <w:t xml:space="preserve"> </w:t>
      </w:r>
      <w:r>
        <w:rPr>
          <w:rFonts w:ascii="Century Schoolbook" w:hAnsi="Century Schoolbook"/>
        </w:rPr>
        <w:t>“</w:t>
      </w:r>
      <w:r w:rsidRPr="0055473C">
        <w:rPr>
          <w:rFonts w:ascii="Century Schoolbook" w:hAnsi="Century Schoolbook"/>
        </w:rPr>
        <w:t xml:space="preserve">The intent of Labor Code section 432.7 </w:t>
      </w:r>
      <w:r>
        <w:rPr>
          <w:rFonts w:ascii="Century Schoolbook" w:hAnsi="Century Schoolbook"/>
        </w:rPr>
        <w:t>‘</w:t>
      </w:r>
      <w:r w:rsidRPr="0055473C">
        <w:rPr>
          <w:rFonts w:ascii="Century Schoolbook" w:hAnsi="Century Schoolbook"/>
        </w:rPr>
        <w:t>is to prevent the adverse impact on employment opportunities of information concerning arrests where culpability cannot be proved.</w:t>
      </w:r>
      <w:proofErr w:type="gramStart"/>
      <w:r>
        <w:rPr>
          <w:rFonts w:ascii="Century Schoolbook" w:hAnsi="Century Schoolbook"/>
        </w:rPr>
        <w:t>’ </w:t>
      </w:r>
      <w:r w:rsidRPr="0055473C">
        <w:rPr>
          <w:rFonts w:ascii="Century Schoolbook" w:hAnsi="Century Schoolbook"/>
        </w:rPr>
        <w:t>”</w:t>
      </w:r>
      <w:proofErr w:type="gramEnd"/>
      <w:r>
        <w:rPr>
          <w:rFonts w:ascii="Century Schoolbook" w:hAnsi="Century Schoolbook"/>
        </w:rPr>
        <w:t xml:space="preserve">  </w:t>
      </w:r>
      <w:r>
        <w:rPr>
          <w:rFonts w:ascii="Century Schoolbook" w:hAnsi="Century Schoolbook"/>
        </w:rPr>
        <w:t>(</w:t>
      </w:r>
      <w:r w:rsidRPr="00546F13">
        <w:rPr>
          <w:rFonts w:ascii="Century Schoolbook" w:hAnsi="Century Schoolbook"/>
          <w:i/>
          <w:iCs/>
        </w:rPr>
        <w:t>Housing Authority v. Van de Kamp</w:t>
      </w:r>
      <w:r w:rsidRPr="0055473C">
        <w:rPr>
          <w:rFonts w:ascii="Century Schoolbook" w:hAnsi="Century Schoolbook"/>
        </w:rPr>
        <w:t xml:space="preserve"> (1990) </w:t>
      </w:r>
      <w:bookmarkStart w:id="1" w:name="_Hlk161230122"/>
      <w:r w:rsidRPr="0055473C">
        <w:rPr>
          <w:rFonts w:ascii="Century Schoolbook" w:hAnsi="Century Schoolbook"/>
        </w:rPr>
        <w:t>223 Cal.App.3d 109, 115</w:t>
      </w:r>
      <w:bookmarkEnd w:id="1"/>
      <w:r>
        <w:rPr>
          <w:rFonts w:ascii="Century Schoolbook" w:hAnsi="Century Schoolbook"/>
        </w:rPr>
        <w:t xml:space="preserve">.)  Similarly, </w:t>
      </w:r>
      <w:r>
        <w:rPr>
          <w:rFonts w:ascii="Century Schoolbook" w:hAnsi="Century Schoolbook"/>
        </w:rPr>
        <w:t xml:space="preserve">one of </w:t>
      </w:r>
      <w:r>
        <w:rPr>
          <w:rFonts w:ascii="Century Schoolbook" w:hAnsi="Century Schoolbook"/>
        </w:rPr>
        <w:t>“</w:t>
      </w:r>
      <w:r w:rsidRPr="0036041F">
        <w:rPr>
          <w:rFonts w:ascii="Century Schoolbook" w:hAnsi="Century Schoolbook"/>
        </w:rPr>
        <w:t xml:space="preserve">the principal </w:t>
      </w:r>
      <w:r>
        <w:rPr>
          <w:rFonts w:ascii="Century Schoolbook" w:hAnsi="Century Schoolbook"/>
        </w:rPr>
        <w:t>‘</w:t>
      </w:r>
      <w:r w:rsidRPr="0036041F">
        <w:rPr>
          <w:rFonts w:ascii="Century Schoolbook" w:hAnsi="Century Schoolbook"/>
        </w:rPr>
        <w:t>mischiefs</w:t>
      </w:r>
      <w:r>
        <w:rPr>
          <w:rFonts w:ascii="Century Schoolbook" w:hAnsi="Century Schoolbook"/>
        </w:rPr>
        <w:t>’</w:t>
      </w:r>
      <w:r w:rsidRPr="0036041F">
        <w:rPr>
          <w:rFonts w:ascii="Century Schoolbook" w:hAnsi="Century Schoolbook"/>
        </w:rPr>
        <w:t xml:space="preserve"> at which the </w:t>
      </w:r>
      <w:r>
        <w:rPr>
          <w:rFonts w:ascii="Century Schoolbook" w:hAnsi="Century Schoolbook"/>
        </w:rPr>
        <w:t xml:space="preserve">[constitutional privacy] </w:t>
      </w:r>
      <w:r w:rsidRPr="0036041F">
        <w:rPr>
          <w:rFonts w:ascii="Century Schoolbook" w:hAnsi="Century Schoolbook"/>
        </w:rPr>
        <w:t>amendment is directed</w:t>
      </w:r>
      <w:r>
        <w:rPr>
          <w:rFonts w:ascii="Century Schoolbook" w:hAnsi="Century Schoolbook"/>
        </w:rPr>
        <w:t xml:space="preserve">” </w:t>
      </w:r>
      <w:r>
        <w:rPr>
          <w:rFonts w:ascii="Century Schoolbook" w:hAnsi="Century Schoolbook"/>
        </w:rPr>
        <w:t xml:space="preserve">is </w:t>
      </w:r>
      <w:r w:rsidRPr="00A82D01">
        <w:rPr>
          <w:rFonts w:ascii="Century Schoolbook" w:hAnsi="Century Schoolbook"/>
        </w:rPr>
        <w:t>“</w:t>
      </w:r>
      <w:r w:rsidRPr="00A82D01">
        <w:rPr>
          <w:rFonts w:ascii="Century Schoolbook" w:hAnsi="Century Schoolbook"/>
        </w:rPr>
        <w:t>the improper use of information properly obtained for a specific purpose</w:t>
      </w:r>
      <w:r w:rsidRPr="00A82D01">
        <w:rPr>
          <w:rFonts w:ascii="Century Schoolbook" w:hAnsi="Century Schoolbook"/>
        </w:rPr>
        <w:t>” (</w:t>
      </w:r>
      <w:r w:rsidRPr="00B46805">
        <w:rPr>
          <w:rFonts w:ascii="Century Schoolbook" w:hAnsi="Century Schoolbook"/>
          <w:i/>
          <w:iCs/>
        </w:rPr>
        <w:t xml:space="preserve">Central Valley </w:t>
      </w:r>
      <w:r>
        <w:rPr>
          <w:rFonts w:ascii="Century Schoolbook" w:hAnsi="Century Schoolbook"/>
          <w:i/>
          <w:iCs/>
        </w:rPr>
        <w:t xml:space="preserve">II, supra, </w:t>
      </w:r>
      <w:r w:rsidRPr="00B46805">
        <w:rPr>
          <w:rFonts w:ascii="Century Schoolbook" w:hAnsi="Century Schoolbook"/>
        </w:rPr>
        <w:t xml:space="preserve">214 Cal.App.3d </w:t>
      </w:r>
      <w:r>
        <w:rPr>
          <w:rFonts w:ascii="Century Schoolbook" w:hAnsi="Century Schoolbook"/>
        </w:rPr>
        <w:t>at p. </w:t>
      </w:r>
      <w:r w:rsidRPr="00B46805">
        <w:rPr>
          <w:rFonts w:ascii="Century Schoolbook" w:hAnsi="Century Schoolbook"/>
        </w:rPr>
        <w:t>16</w:t>
      </w:r>
      <w:r>
        <w:rPr>
          <w:rFonts w:ascii="Century Schoolbook" w:hAnsi="Century Schoolbook"/>
        </w:rPr>
        <w:t xml:space="preserve">1), </w:t>
      </w:r>
      <w:r>
        <w:rPr>
          <w:rFonts w:ascii="Century Schoolbook" w:hAnsi="Century Schoolbook"/>
        </w:rPr>
        <w:t xml:space="preserve">and </w:t>
      </w:r>
      <w:r>
        <w:rPr>
          <w:rFonts w:ascii="Century Schoolbook" w:hAnsi="Century Schoolbook"/>
        </w:rPr>
        <w:t xml:space="preserve">the right to privacy </w:t>
      </w:r>
      <w:r>
        <w:rPr>
          <w:rFonts w:ascii="Century Schoolbook" w:hAnsi="Century Schoolbook"/>
        </w:rPr>
        <w:t xml:space="preserve">therefore protects </w:t>
      </w:r>
      <w:r>
        <w:rPr>
          <w:rFonts w:ascii="Century Schoolbook" w:hAnsi="Century Schoolbook"/>
        </w:rPr>
        <w:t xml:space="preserve">against </w:t>
      </w:r>
      <w:r>
        <w:rPr>
          <w:rFonts w:ascii="Century Schoolbook" w:hAnsi="Century Schoolbook"/>
        </w:rPr>
        <w:t>“</w:t>
      </w:r>
      <w:r w:rsidRPr="00E557D3">
        <w:rPr>
          <w:rFonts w:ascii="Century Schoolbook" w:hAnsi="Century Schoolbook"/>
        </w:rPr>
        <w:t xml:space="preserve">improper uses of </w:t>
      </w:r>
      <w:r>
        <w:rPr>
          <w:rFonts w:ascii="Century Schoolbook" w:hAnsi="Century Schoolbook"/>
        </w:rPr>
        <w:t>[a</w:t>
      </w:r>
      <w:r>
        <w:rPr>
          <w:rFonts w:ascii="Century Schoolbook" w:hAnsi="Century Schoolbook"/>
        </w:rPr>
        <w:t xml:space="preserve"> </w:t>
      </w:r>
      <w:proofErr w:type="spellStart"/>
      <w:r>
        <w:rPr>
          <w:rFonts w:ascii="Century Schoolbook" w:hAnsi="Century Schoolbook"/>
        </w:rPr>
        <w:t>n</w:t>
      </w:r>
      <w:r>
        <w:rPr>
          <w:rFonts w:ascii="Century Schoolbook" w:hAnsi="Century Schoolbook"/>
        </w:rPr>
        <w:t>onconviction</w:t>
      </w:r>
      <w:proofErr w:type="spellEnd"/>
      <w:r>
        <w:rPr>
          <w:rFonts w:ascii="Century Schoolbook" w:hAnsi="Century Schoolbook"/>
        </w:rPr>
        <w:t xml:space="preserve"> arrest] </w:t>
      </w:r>
      <w:r w:rsidRPr="00E557D3">
        <w:rPr>
          <w:rFonts w:ascii="Century Schoolbook" w:hAnsi="Century Schoolbook"/>
        </w:rPr>
        <w:t>record</w:t>
      </w:r>
      <w:r>
        <w:rPr>
          <w:rFonts w:ascii="Century Schoolbook" w:hAnsi="Century Schoolbook"/>
        </w:rPr>
        <w:t xml:space="preserve">,” </w:t>
      </w:r>
      <w:r>
        <w:rPr>
          <w:rFonts w:ascii="Century Schoolbook" w:hAnsi="Century Schoolbook"/>
        </w:rPr>
        <w:t xml:space="preserve">including </w:t>
      </w:r>
      <w:r>
        <w:rPr>
          <w:rFonts w:ascii="Century Schoolbook" w:hAnsi="Century Schoolbook"/>
        </w:rPr>
        <w:t>“</w:t>
      </w:r>
      <w:r w:rsidRPr="00E557D3">
        <w:rPr>
          <w:rFonts w:ascii="Century Schoolbook" w:hAnsi="Century Schoolbook"/>
        </w:rPr>
        <w:t>reliance on such records as a basis for denying the former arrestee business or professional licensing, employment, or similar opportunities for personal advancement.</w:t>
      </w:r>
      <w:r>
        <w:rPr>
          <w:rFonts w:ascii="Century Schoolbook" w:hAnsi="Century Schoolbook"/>
        </w:rPr>
        <w:t>”</w:t>
      </w:r>
      <w:r>
        <w:rPr>
          <w:rFonts w:ascii="Century Schoolbook" w:hAnsi="Century Schoolbook"/>
        </w:rPr>
        <w:t xml:space="preserve"> </w:t>
      </w:r>
      <w:r>
        <w:rPr>
          <w:rFonts w:ascii="Century Schoolbook" w:hAnsi="Century Schoolbook"/>
        </w:rPr>
        <w:t xml:space="preserve"> </w:t>
      </w:r>
      <w:r>
        <w:rPr>
          <w:rFonts w:ascii="Century Schoolbook" w:hAnsi="Century Schoolbook"/>
        </w:rPr>
        <w:t>(</w:t>
      </w:r>
      <w:r w:rsidRPr="00671E34">
        <w:rPr>
          <w:rFonts w:ascii="Century Schoolbook" w:hAnsi="Century Schoolbook"/>
          <w:i/>
          <w:iCs/>
        </w:rPr>
        <w:t xml:space="preserve">Loder v. </w:t>
      </w:r>
      <w:r w:rsidRPr="00671E34">
        <w:rPr>
          <w:rFonts w:ascii="Century Schoolbook" w:hAnsi="Century Schoolbook"/>
          <w:i/>
          <w:iCs/>
        </w:rPr>
        <w:lastRenderedPageBreak/>
        <w:t>Municipal Court</w:t>
      </w:r>
      <w:r w:rsidRPr="00036E97">
        <w:rPr>
          <w:rFonts w:ascii="Century Schoolbook" w:hAnsi="Century Schoolbook"/>
        </w:rPr>
        <w:t xml:space="preserve"> (1976) 17 Cal.3d 859, 868</w:t>
      </w:r>
      <w:r>
        <w:rPr>
          <w:rFonts w:ascii="Century Schoolbook" w:hAnsi="Century Schoolbook"/>
        </w:rPr>
        <w:t xml:space="preserve">; see also </w:t>
      </w:r>
      <w:r w:rsidRPr="00B46805">
        <w:rPr>
          <w:rFonts w:ascii="Century Schoolbook" w:hAnsi="Century Schoolbook"/>
          <w:i/>
          <w:iCs/>
        </w:rPr>
        <w:t xml:space="preserve">Central Valley </w:t>
      </w:r>
      <w:r>
        <w:rPr>
          <w:rFonts w:ascii="Century Schoolbook" w:hAnsi="Century Schoolbook"/>
          <w:i/>
          <w:iCs/>
        </w:rPr>
        <w:t xml:space="preserve">II, </w:t>
      </w:r>
      <w:r>
        <w:rPr>
          <w:rFonts w:ascii="Century Schoolbook" w:hAnsi="Century Schoolbook"/>
        </w:rPr>
        <w:t>at p. </w:t>
      </w:r>
      <w:r w:rsidRPr="00B46805">
        <w:rPr>
          <w:rFonts w:ascii="Century Schoolbook" w:hAnsi="Century Schoolbook"/>
        </w:rPr>
        <w:t>163 [</w:t>
      </w:r>
      <w:r>
        <w:rPr>
          <w:rFonts w:ascii="Century Schoolbook" w:hAnsi="Century Schoolbook"/>
        </w:rPr>
        <w:t>“</w:t>
      </w:r>
      <w:r w:rsidRPr="00B46805">
        <w:rPr>
          <w:rFonts w:ascii="Century Schoolbook" w:hAnsi="Century Schoolbook"/>
        </w:rPr>
        <w:t>it is not obvious why nonexempt agencies and licensing entities require information that apparently does not pertain to a criminal conviction</w:t>
      </w:r>
      <w:r>
        <w:rPr>
          <w:rFonts w:ascii="Century Schoolbook" w:hAnsi="Century Schoolbook"/>
        </w:rPr>
        <w:t>”].)</w:t>
      </w:r>
      <w:r>
        <w:rPr>
          <w:rFonts w:ascii="Century Schoolbook" w:hAnsi="Century Schoolbook"/>
        </w:rPr>
        <w:t xml:space="preserve"> </w:t>
      </w:r>
    </w:p>
    <w:p w14:paraId="60EE894A" w14:textId="77777777" w:rsidR="006F58CB" w:rsidRDefault="006F58CB" w:rsidP="00BF1829">
      <w:pPr>
        <w:spacing w:line="360" w:lineRule="auto"/>
        <w:rPr>
          <w:rFonts w:ascii="Century Schoolbook" w:hAnsi="Century Schoolbook"/>
        </w:rPr>
      </w:pPr>
      <w:r>
        <w:rPr>
          <w:rFonts w:ascii="Century Schoolbook" w:hAnsi="Century Schoolbook"/>
        </w:rPr>
        <w:tab/>
      </w:r>
      <w:r>
        <w:rPr>
          <w:rFonts w:ascii="Century Schoolbook" w:hAnsi="Century Schoolbook"/>
        </w:rPr>
        <w:t>T</w:t>
      </w:r>
      <w:r>
        <w:rPr>
          <w:rFonts w:ascii="Century Schoolbook" w:hAnsi="Century Schoolbook"/>
        </w:rPr>
        <w:t>he</w:t>
      </w:r>
      <w:r>
        <w:rPr>
          <w:rFonts w:ascii="Century Schoolbook" w:hAnsi="Century Schoolbook"/>
        </w:rPr>
        <w:t xml:space="preserve"> APS suspension process </w:t>
      </w:r>
      <w:r>
        <w:rPr>
          <w:rFonts w:ascii="Century Schoolbook" w:hAnsi="Century Schoolbook"/>
        </w:rPr>
        <w:t>provides</w:t>
      </w:r>
      <w:r>
        <w:rPr>
          <w:rFonts w:ascii="Century Schoolbook" w:hAnsi="Century Schoolbook"/>
        </w:rPr>
        <w:t xml:space="preserve"> </w:t>
      </w:r>
      <w:r>
        <w:rPr>
          <w:rFonts w:ascii="Century Schoolbook" w:hAnsi="Century Schoolbook"/>
        </w:rPr>
        <w:t xml:space="preserve">substantially </w:t>
      </w:r>
      <w:r>
        <w:rPr>
          <w:rFonts w:ascii="Century Schoolbook" w:hAnsi="Century Schoolbook"/>
        </w:rPr>
        <w:t>more reliable</w:t>
      </w:r>
      <w:r>
        <w:rPr>
          <w:rFonts w:ascii="Century Schoolbook" w:hAnsi="Century Schoolbook"/>
        </w:rPr>
        <w:t xml:space="preserve"> results</w:t>
      </w:r>
      <w:r>
        <w:rPr>
          <w:rFonts w:ascii="Century Schoolbook" w:hAnsi="Century Schoolbook"/>
        </w:rPr>
        <w:t>.</w:t>
      </w:r>
      <w:r>
        <w:rPr>
          <w:rFonts w:ascii="Century Schoolbook" w:hAnsi="Century Schoolbook"/>
        </w:rPr>
        <w:t xml:space="preserve">  </w:t>
      </w:r>
      <w:r>
        <w:rPr>
          <w:rFonts w:ascii="Century Schoolbook" w:hAnsi="Century Schoolbook"/>
        </w:rPr>
        <w:t>T</w:t>
      </w:r>
      <w:r>
        <w:rPr>
          <w:rFonts w:ascii="Century Schoolbook" w:hAnsi="Century Schoolbook"/>
        </w:rPr>
        <w:t>he</w:t>
      </w:r>
      <w:r>
        <w:rPr>
          <w:rFonts w:ascii="Century Schoolbook" w:hAnsi="Century Schoolbook"/>
        </w:rPr>
        <w:t xml:space="preserve"> lawfulness </w:t>
      </w:r>
      <w:r>
        <w:rPr>
          <w:rFonts w:ascii="Century Schoolbook" w:hAnsi="Century Schoolbook"/>
        </w:rPr>
        <w:t>o</w:t>
      </w:r>
      <w:r>
        <w:rPr>
          <w:rFonts w:ascii="Century Schoolbook" w:hAnsi="Century Schoolbook"/>
        </w:rPr>
        <w:t>f</w:t>
      </w:r>
      <w:r>
        <w:rPr>
          <w:rFonts w:ascii="Century Schoolbook" w:hAnsi="Century Schoolbook"/>
        </w:rPr>
        <w:t xml:space="preserve"> an arrest</w:t>
      </w:r>
      <w:r>
        <w:rPr>
          <w:rFonts w:ascii="Century Schoolbook" w:hAnsi="Century Schoolbook"/>
        </w:rPr>
        <w:t xml:space="preserve"> depends solely on</w:t>
      </w:r>
      <w:r w:rsidRPr="00D65940">
        <w:rPr>
          <w:rFonts w:ascii="Century Schoolbook" w:hAnsi="Century Schoolbook"/>
        </w:rPr>
        <w:t xml:space="preserve"> </w:t>
      </w:r>
      <w:r>
        <w:rPr>
          <w:rFonts w:ascii="Century Schoolbook" w:hAnsi="Century Schoolbook"/>
        </w:rPr>
        <w:t>“</w:t>
      </w:r>
      <w:r w:rsidRPr="00D65940">
        <w:rPr>
          <w:rFonts w:ascii="Century Schoolbook" w:hAnsi="Century Schoolbook"/>
        </w:rPr>
        <w:t xml:space="preserve">whether a </w:t>
      </w:r>
      <w:r w:rsidRPr="00D65940">
        <w:rPr>
          <w:rFonts w:ascii="Century Schoolbook" w:hAnsi="Century Schoolbook"/>
          <w:i/>
          <w:iCs/>
        </w:rPr>
        <w:t>reasonable officer</w:t>
      </w:r>
      <w:r w:rsidRPr="00D65940">
        <w:rPr>
          <w:rFonts w:ascii="Century Schoolbook" w:hAnsi="Century Schoolbook"/>
        </w:rPr>
        <w:t xml:space="preserve"> in the same position would </w:t>
      </w:r>
      <w:r w:rsidRPr="00D65940">
        <w:rPr>
          <w:rFonts w:ascii="Century Schoolbook" w:hAnsi="Century Schoolbook"/>
          <w:i/>
          <w:iCs/>
        </w:rPr>
        <w:t>objectively</w:t>
      </w:r>
      <w:r w:rsidRPr="00D65940">
        <w:rPr>
          <w:rFonts w:ascii="Century Schoolbook" w:hAnsi="Century Schoolbook"/>
        </w:rPr>
        <w:t xml:space="preserve"> conclude there was probable cause to arrest</w:t>
      </w:r>
      <w:r w:rsidRPr="00D65940">
        <w:rPr>
          <w:rFonts w:ascii="Century Schoolbook" w:hAnsi="Century Schoolbook"/>
        </w:rPr>
        <w:t>.</w:t>
      </w:r>
      <w:r>
        <w:rPr>
          <w:rFonts w:ascii="Century Schoolbook" w:hAnsi="Century Schoolbook"/>
        </w:rPr>
        <w:t>”</w:t>
      </w:r>
      <w:r>
        <w:rPr>
          <w:rFonts w:ascii="Century Schoolbook" w:hAnsi="Century Schoolbook"/>
        </w:rPr>
        <w:t xml:space="preserve"> </w:t>
      </w:r>
      <w:r>
        <w:rPr>
          <w:rFonts w:ascii="Century Schoolbook" w:hAnsi="Century Schoolbook"/>
        </w:rPr>
        <w:t xml:space="preserve"> </w:t>
      </w:r>
      <w:r>
        <w:rPr>
          <w:rFonts w:ascii="Century Schoolbook" w:hAnsi="Century Schoolbook"/>
        </w:rPr>
        <w:t>(</w:t>
      </w:r>
      <w:r w:rsidRPr="000511D2">
        <w:rPr>
          <w:rFonts w:ascii="Century Schoolbook" w:hAnsi="Century Schoolbook"/>
          <w:i/>
          <w:iCs/>
        </w:rPr>
        <w:t xml:space="preserve">Espinoza v. </w:t>
      </w:r>
      <w:proofErr w:type="spellStart"/>
      <w:r w:rsidRPr="000511D2">
        <w:rPr>
          <w:rFonts w:ascii="Century Schoolbook" w:hAnsi="Century Schoolbook"/>
          <w:i/>
          <w:iCs/>
        </w:rPr>
        <w:t>Shiomoto</w:t>
      </w:r>
      <w:proofErr w:type="spellEnd"/>
      <w:r w:rsidRPr="00A76272">
        <w:rPr>
          <w:rFonts w:ascii="Century Schoolbook" w:hAnsi="Century Schoolbook"/>
        </w:rPr>
        <w:t xml:space="preserve"> (2017) 10 Cal.App.5th 85, 10</w:t>
      </w:r>
      <w:r>
        <w:rPr>
          <w:rFonts w:ascii="Century Schoolbook" w:hAnsi="Century Schoolbook"/>
        </w:rPr>
        <w:t>3</w:t>
      </w:r>
      <w:r>
        <w:rPr>
          <w:rFonts w:ascii="Century Schoolbook" w:hAnsi="Century Schoolbook"/>
        </w:rPr>
        <w:t>.)</w:t>
      </w:r>
      <w:r>
        <w:rPr>
          <w:rFonts w:ascii="Century Schoolbook" w:hAnsi="Century Schoolbook"/>
        </w:rPr>
        <w:t xml:space="preserve">  Even where probable cause is present, </w:t>
      </w:r>
      <w:r>
        <w:rPr>
          <w:rFonts w:ascii="Century Schoolbook" w:hAnsi="Century Schoolbook"/>
        </w:rPr>
        <w:t xml:space="preserve">the facts supporting probable cause have not been </w:t>
      </w:r>
      <w:r>
        <w:rPr>
          <w:rFonts w:ascii="Century Schoolbook" w:hAnsi="Century Schoolbook"/>
        </w:rPr>
        <w:t xml:space="preserve">subject to challenge </w:t>
      </w:r>
      <w:r>
        <w:rPr>
          <w:rFonts w:ascii="Century Schoolbook" w:hAnsi="Century Schoolbook"/>
        </w:rPr>
        <w:t>before the arrest</w:t>
      </w:r>
      <w:r>
        <w:rPr>
          <w:rFonts w:ascii="Century Schoolbook" w:hAnsi="Century Schoolbook"/>
        </w:rPr>
        <w:t>.</w:t>
      </w:r>
      <w:r>
        <w:rPr>
          <w:rFonts w:ascii="Century Schoolbook" w:hAnsi="Century Schoolbook"/>
        </w:rPr>
        <w:t xml:space="preserve">  </w:t>
      </w:r>
      <w:r>
        <w:rPr>
          <w:rFonts w:ascii="Century Schoolbook" w:hAnsi="Century Schoolbook"/>
        </w:rPr>
        <w:t>While</w:t>
      </w:r>
      <w:r>
        <w:rPr>
          <w:rFonts w:ascii="Century Schoolbook" w:hAnsi="Century Schoolbook"/>
        </w:rPr>
        <w:t xml:space="preserve"> </w:t>
      </w:r>
      <w:r>
        <w:rPr>
          <w:rFonts w:ascii="Century Schoolbook" w:hAnsi="Century Schoolbook"/>
        </w:rPr>
        <w:t>an arrest record exist</w:t>
      </w:r>
      <w:r>
        <w:rPr>
          <w:rFonts w:ascii="Century Schoolbook" w:hAnsi="Century Schoolbook"/>
        </w:rPr>
        <w:t>s</w:t>
      </w:r>
      <w:r>
        <w:rPr>
          <w:rFonts w:ascii="Century Schoolbook" w:hAnsi="Century Schoolbook"/>
        </w:rPr>
        <w:t xml:space="preserve"> even </w:t>
      </w:r>
      <w:r>
        <w:rPr>
          <w:rFonts w:ascii="Century Schoolbook" w:hAnsi="Century Schoolbook"/>
        </w:rPr>
        <w:t xml:space="preserve">when </w:t>
      </w:r>
      <w:r>
        <w:rPr>
          <w:rFonts w:ascii="Century Schoolbook" w:hAnsi="Century Schoolbook"/>
        </w:rPr>
        <w:t xml:space="preserve">the arrest was unlawful, </w:t>
      </w:r>
      <w:r>
        <w:rPr>
          <w:rFonts w:ascii="Century Schoolbook" w:hAnsi="Century Schoolbook"/>
        </w:rPr>
        <w:t>“</w:t>
      </w:r>
      <w:r w:rsidRPr="00FA3A5D">
        <w:rPr>
          <w:rFonts w:ascii="Century Schoolbook" w:hAnsi="Century Schoolbook"/>
        </w:rPr>
        <w:t xml:space="preserve">for the DMV to suspend the </w:t>
      </w:r>
      <w:r w:rsidRPr="00FA3A5D">
        <w:rPr>
          <w:rFonts w:ascii="Century Schoolbook" w:hAnsi="Century Schoolbook"/>
        </w:rPr>
        <w:t>driver</w:t>
      </w:r>
      <w:r>
        <w:rPr>
          <w:rFonts w:ascii="Century Schoolbook" w:hAnsi="Century Schoolbook"/>
        </w:rPr>
        <w:t>’</w:t>
      </w:r>
      <w:r w:rsidRPr="00FA3A5D">
        <w:rPr>
          <w:rFonts w:ascii="Century Schoolbook" w:hAnsi="Century Schoolbook"/>
        </w:rPr>
        <w:t>s license</w:t>
      </w:r>
      <w:r>
        <w:rPr>
          <w:rFonts w:ascii="Century Schoolbook" w:hAnsi="Century Schoolbook"/>
        </w:rPr>
        <w:t xml:space="preserve"> [under the APS suspension statutes]</w:t>
      </w:r>
      <w:r w:rsidRPr="00FA3A5D">
        <w:rPr>
          <w:rFonts w:ascii="Century Schoolbook" w:hAnsi="Century Schoolbook"/>
        </w:rPr>
        <w:t>, the underlying arrest must have been lawful.</w:t>
      </w:r>
      <w:r>
        <w:rPr>
          <w:rFonts w:ascii="Century Schoolbook" w:hAnsi="Century Schoolbook"/>
        </w:rPr>
        <w:t>”  (</w:t>
      </w:r>
      <w:r w:rsidRPr="00FA3A5D">
        <w:rPr>
          <w:rFonts w:ascii="Century Schoolbook" w:hAnsi="Century Schoolbook"/>
          <w:i/>
          <w:iCs/>
        </w:rPr>
        <w:t>Gikas v. Zolin</w:t>
      </w:r>
      <w:r w:rsidRPr="00FA3A5D">
        <w:rPr>
          <w:rFonts w:ascii="Century Schoolbook" w:hAnsi="Century Schoolbook"/>
        </w:rPr>
        <w:t xml:space="preserve"> (1993) 6 Cal.4th 841, 847</w:t>
      </w:r>
      <w:r>
        <w:rPr>
          <w:rFonts w:ascii="Century Schoolbook" w:hAnsi="Century Schoolbook"/>
        </w:rPr>
        <w:t xml:space="preserve"> (</w:t>
      </w:r>
      <w:r w:rsidRPr="00FA3A5D">
        <w:rPr>
          <w:rFonts w:ascii="Century Schoolbook" w:hAnsi="Century Schoolbook"/>
          <w:i/>
          <w:iCs/>
        </w:rPr>
        <w:t>Gikas</w:t>
      </w:r>
      <w:r>
        <w:rPr>
          <w:rFonts w:ascii="Century Schoolbook" w:hAnsi="Century Schoolbook"/>
        </w:rPr>
        <w:t>)</w:t>
      </w:r>
      <w:r>
        <w:rPr>
          <w:rFonts w:ascii="Century Schoolbook" w:hAnsi="Century Schoolbook"/>
        </w:rPr>
        <w:t>.)</w:t>
      </w:r>
      <w:r>
        <w:rPr>
          <w:rFonts w:ascii="Century Schoolbook" w:hAnsi="Century Schoolbook"/>
        </w:rPr>
        <w:t xml:space="preserve">  </w:t>
      </w:r>
      <w:r>
        <w:rPr>
          <w:rFonts w:ascii="Century Schoolbook" w:hAnsi="Century Schoolbook"/>
        </w:rPr>
        <w:t>Moreover, t</w:t>
      </w:r>
      <w:r>
        <w:rPr>
          <w:rFonts w:ascii="Century Schoolbook" w:hAnsi="Century Schoolbook"/>
        </w:rPr>
        <w:t>he DMV must find more than just a lawful arrest to impose a suspension</w:t>
      </w:r>
      <w:r>
        <w:rPr>
          <w:rFonts w:ascii="Century Schoolbook" w:hAnsi="Century Schoolbook"/>
        </w:rPr>
        <w:t xml:space="preserve">: it must </w:t>
      </w:r>
      <w:r>
        <w:rPr>
          <w:rFonts w:ascii="Century Schoolbook" w:hAnsi="Century Schoolbook"/>
        </w:rPr>
        <w:t xml:space="preserve">also </w:t>
      </w:r>
      <w:r>
        <w:rPr>
          <w:rFonts w:ascii="Century Schoolbook" w:hAnsi="Century Schoolbook"/>
        </w:rPr>
        <w:t xml:space="preserve">find </w:t>
      </w:r>
      <w:r>
        <w:rPr>
          <w:rFonts w:ascii="Century Schoolbook" w:hAnsi="Century Schoolbook"/>
        </w:rPr>
        <w:t xml:space="preserve">the person </w:t>
      </w:r>
      <w:r>
        <w:rPr>
          <w:rFonts w:ascii="Century Schoolbook" w:hAnsi="Century Schoolbook"/>
        </w:rPr>
        <w:t xml:space="preserve">either </w:t>
      </w:r>
      <w:r>
        <w:rPr>
          <w:rFonts w:ascii="Century Schoolbook" w:hAnsi="Century Schoolbook"/>
        </w:rPr>
        <w:t xml:space="preserve">was driving with </w:t>
      </w:r>
      <w:r>
        <w:rPr>
          <w:rFonts w:ascii="Century Schoolbook" w:hAnsi="Century Schoolbook"/>
        </w:rPr>
        <w:t xml:space="preserve">a prohibited </w:t>
      </w:r>
      <w:r>
        <w:rPr>
          <w:rFonts w:ascii="Century Schoolbook" w:hAnsi="Century Schoolbook"/>
        </w:rPr>
        <w:t>blood-alcohol</w:t>
      </w:r>
      <w:r>
        <w:rPr>
          <w:rFonts w:ascii="Century Schoolbook" w:hAnsi="Century Schoolbook"/>
        </w:rPr>
        <w:t xml:space="preserve"> level</w:t>
      </w:r>
      <w:r>
        <w:rPr>
          <w:rFonts w:ascii="Century Schoolbook" w:hAnsi="Century Schoolbook"/>
        </w:rPr>
        <w:t xml:space="preserve"> or</w:t>
      </w:r>
      <w:r>
        <w:rPr>
          <w:rFonts w:ascii="Century Schoolbook" w:hAnsi="Century Schoolbook"/>
        </w:rPr>
        <w:t xml:space="preserve"> refused to test and was told </w:t>
      </w:r>
      <w:r>
        <w:rPr>
          <w:rFonts w:ascii="Century Schoolbook" w:hAnsi="Century Schoolbook"/>
        </w:rPr>
        <w:t xml:space="preserve">a </w:t>
      </w:r>
      <w:r>
        <w:rPr>
          <w:rFonts w:ascii="Century Schoolbook" w:hAnsi="Century Schoolbook"/>
        </w:rPr>
        <w:t>refusal would result in a suspension.  (§ 13557, subd</w:t>
      </w:r>
      <w:r>
        <w:rPr>
          <w:rFonts w:ascii="Century Schoolbook" w:hAnsi="Century Schoolbook"/>
        </w:rPr>
        <w:t xml:space="preserve">. </w:t>
      </w:r>
      <w:r>
        <w:rPr>
          <w:rFonts w:ascii="Century Schoolbook" w:hAnsi="Century Schoolbook"/>
        </w:rPr>
        <w:t xml:space="preserve">(b)(1) &amp; (3).)  </w:t>
      </w:r>
      <w:r>
        <w:rPr>
          <w:rFonts w:ascii="Century Schoolbook" w:hAnsi="Century Schoolbook"/>
        </w:rPr>
        <w:t xml:space="preserve">For these findings, </w:t>
      </w:r>
      <w:r>
        <w:rPr>
          <w:rFonts w:ascii="Century Schoolbook" w:hAnsi="Century Schoolbook"/>
        </w:rPr>
        <w:t>“</w:t>
      </w:r>
      <w:r>
        <w:rPr>
          <w:rFonts w:ascii="Century Schoolbook" w:hAnsi="Century Schoolbook"/>
        </w:rPr>
        <w:t>[t]</w:t>
      </w:r>
      <w:r w:rsidRPr="00D64FF3">
        <w:rPr>
          <w:rFonts w:ascii="Century Schoolbook" w:hAnsi="Century Schoolbook"/>
        </w:rPr>
        <w:t xml:space="preserve">he standard of review is preponderance of the evidence </w:t>
      </w:r>
      <w:r>
        <w:rPr>
          <w:rFonts w:ascii="Century Schoolbook" w:hAnsi="Century Schoolbook"/>
        </w:rPr>
        <w:t>[citation]</w:t>
      </w:r>
      <w:r w:rsidRPr="00D64FF3">
        <w:rPr>
          <w:rFonts w:ascii="Century Schoolbook" w:hAnsi="Century Schoolbook"/>
        </w:rPr>
        <w:t xml:space="preserve">, and the department </w:t>
      </w:r>
      <w:r>
        <w:rPr>
          <w:rFonts w:ascii="Century Schoolbook" w:hAnsi="Century Schoolbook"/>
        </w:rPr>
        <w:t xml:space="preserve">[DMV] </w:t>
      </w:r>
      <w:r w:rsidRPr="00D64FF3">
        <w:rPr>
          <w:rFonts w:ascii="Century Schoolbook" w:hAnsi="Century Schoolbook"/>
        </w:rPr>
        <w:t>bears the burden of proof</w:t>
      </w:r>
      <w:r>
        <w:rPr>
          <w:rFonts w:ascii="Century Schoolbook" w:hAnsi="Century Schoolbook"/>
        </w:rPr>
        <w:t>.”  (</w:t>
      </w:r>
      <w:r w:rsidRPr="00736A02">
        <w:rPr>
          <w:rFonts w:ascii="Century Schoolbook" w:hAnsi="Century Schoolbook"/>
          <w:i/>
          <w:iCs/>
        </w:rPr>
        <w:t>Lake</w:t>
      </w:r>
      <w:r>
        <w:rPr>
          <w:rFonts w:ascii="Century Schoolbook" w:hAnsi="Century Schoolbook"/>
          <w:i/>
          <w:iCs/>
        </w:rPr>
        <w:t>, supra,</w:t>
      </w:r>
      <w:r w:rsidRPr="00736A02">
        <w:rPr>
          <w:rFonts w:ascii="Century Schoolbook" w:hAnsi="Century Schoolbook"/>
          <w:i/>
          <w:iCs/>
        </w:rPr>
        <w:t xml:space="preserve"> </w:t>
      </w:r>
      <w:r w:rsidRPr="00D64FF3">
        <w:rPr>
          <w:rFonts w:ascii="Century Schoolbook" w:hAnsi="Century Schoolbook"/>
        </w:rPr>
        <w:t xml:space="preserve">16 Cal.4th </w:t>
      </w:r>
      <w:r>
        <w:rPr>
          <w:rFonts w:ascii="Century Schoolbook" w:hAnsi="Century Schoolbook"/>
        </w:rPr>
        <w:t>at p. </w:t>
      </w:r>
      <w:r w:rsidRPr="00D64FF3">
        <w:rPr>
          <w:rFonts w:ascii="Century Schoolbook" w:hAnsi="Century Schoolbook"/>
        </w:rPr>
        <w:t>455</w:t>
      </w:r>
      <w:r>
        <w:rPr>
          <w:rFonts w:ascii="Century Schoolbook" w:hAnsi="Century Schoolbook"/>
        </w:rPr>
        <w:t>.)</w:t>
      </w:r>
      <w:r>
        <w:rPr>
          <w:rFonts w:ascii="Century Schoolbook" w:hAnsi="Century Schoolbook"/>
        </w:rPr>
        <w:t xml:space="preserve">  Preponderance of the evidence is a higher standard than probable cause.  </w:t>
      </w:r>
      <w:r>
        <w:rPr>
          <w:rFonts w:ascii="Century Schoolbook" w:hAnsi="Century Schoolbook"/>
        </w:rPr>
        <w:t>(</w:t>
      </w:r>
      <w:r w:rsidRPr="005B556C">
        <w:rPr>
          <w:rFonts w:ascii="Century Schoolbook" w:hAnsi="Century Schoolbook"/>
          <w:i/>
          <w:iCs/>
        </w:rPr>
        <w:t>People v. Carrington</w:t>
      </w:r>
      <w:r w:rsidRPr="005B556C">
        <w:rPr>
          <w:rFonts w:ascii="Century Schoolbook" w:hAnsi="Century Schoolbook"/>
        </w:rPr>
        <w:t xml:space="preserve"> (2009) 47 Cal.4th 145, 163</w:t>
      </w:r>
      <w:r>
        <w:rPr>
          <w:rFonts w:ascii="Century Schoolbook" w:hAnsi="Century Schoolbook"/>
        </w:rPr>
        <w:t xml:space="preserve"> [</w:t>
      </w:r>
      <w:r>
        <w:rPr>
          <w:rFonts w:ascii="Century Schoolbook" w:hAnsi="Century Schoolbook"/>
        </w:rPr>
        <w:t>“</w:t>
      </w:r>
      <w:r w:rsidRPr="005B556C">
        <w:rPr>
          <w:rFonts w:ascii="Century Schoolbook" w:hAnsi="Century Schoolbook"/>
        </w:rPr>
        <w:t xml:space="preserve">The showing </w:t>
      </w:r>
      <w:r w:rsidRPr="005B556C">
        <w:rPr>
          <w:rFonts w:ascii="Century Schoolbook" w:hAnsi="Century Schoolbook"/>
        </w:rPr>
        <w:t>required in order to establish probable cause is less than a preponderance of the evidence or even a prima facie case.</w:t>
      </w:r>
      <w:r>
        <w:rPr>
          <w:rFonts w:ascii="Century Schoolbook" w:hAnsi="Century Schoolbook"/>
        </w:rPr>
        <w:t>”</w:t>
      </w:r>
      <w:r>
        <w:rPr>
          <w:rFonts w:ascii="Century Schoolbook" w:hAnsi="Century Schoolbook"/>
        </w:rPr>
        <w:t>]</w:t>
      </w:r>
      <w:r>
        <w:rPr>
          <w:rFonts w:ascii="Century Schoolbook" w:hAnsi="Century Schoolbook"/>
        </w:rPr>
        <w:t>.</w:t>
      </w:r>
      <w:r>
        <w:rPr>
          <w:rFonts w:ascii="Century Schoolbook" w:hAnsi="Century Schoolbook"/>
        </w:rPr>
        <w:t>)</w:t>
      </w:r>
      <w:r>
        <w:rPr>
          <w:rFonts w:ascii="Century Schoolbook" w:hAnsi="Century Schoolbook"/>
        </w:rPr>
        <w:t xml:space="preserve">  </w:t>
      </w:r>
    </w:p>
    <w:p w14:paraId="3A15D258" w14:textId="77777777" w:rsidR="006F58CB" w:rsidRDefault="006F58CB" w:rsidP="00857A5A">
      <w:pPr>
        <w:spacing w:line="360" w:lineRule="auto"/>
        <w:rPr>
          <w:rFonts w:ascii="Century Schoolbook" w:hAnsi="Century Schoolbook"/>
        </w:rPr>
      </w:pPr>
      <w:r>
        <w:rPr>
          <w:rFonts w:ascii="Century Schoolbook" w:hAnsi="Century Schoolbook"/>
        </w:rPr>
        <w:tab/>
      </w:r>
      <w:r>
        <w:rPr>
          <w:rFonts w:ascii="Century Schoolbook" w:hAnsi="Century Schoolbook"/>
        </w:rPr>
        <w:t>Significantly</w:t>
      </w:r>
      <w:r>
        <w:rPr>
          <w:rFonts w:ascii="Century Schoolbook" w:hAnsi="Century Schoolbook"/>
        </w:rPr>
        <w:t xml:space="preserve">, </w:t>
      </w:r>
      <w:r>
        <w:rPr>
          <w:rFonts w:ascii="Century Schoolbook" w:hAnsi="Century Schoolbook"/>
        </w:rPr>
        <w:t xml:space="preserve">while an arrestee has no opportunity to challenge </w:t>
      </w:r>
      <w:r>
        <w:rPr>
          <w:rFonts w:ascii="Century Schoolbook" w:hAnsi="Century Schoolbook"/>
        </w:rPr>
        <w:t xml:space="preserve">an arrest before it happens, </w:t>
      </w:r>
      <w:r>
        <w:rPr>
          <w:rFonts w:ascii="Century Schoolbook" w:hAnsi="Century Schoolbook"/>
        </w:rPr>
        <w:t>a</w:t>
      </w:r>
      <w:r>
        <w:rPr>
          <w:rFonts w:ascii="Century Schoolbook" w:hAnsi="Century Schoolbook"/>
        </w:rPr>
        <w:t xml:space="preserve"> licensee can challenge a</w:t>
      </w:r>
      <w:r>
        <w:rPr>
          <w:rFonts w:ascii="Century Schoolbook" w:hAnsi="Century Schoolbook"/>
        </w:rPr>
        <w:t xml:space="preserve">n APS accusation </w:t>
      </w:r>
      <w:r>
        <w:rPr>
          <w:rFonts w:ascii="Century Schoolbook" w:hAnsi="Century Schoolbook"/>
        </w:rPr>
        <w:t xml:space="preserve">before the suspension </w:t>
      </w:r>
      <w:r>
        <w:rPr>
          <w:rFonts w:ascii="Century Schoolbook" w:hAnsi="Century Schoolbook"/>
        </w:rPr>
        <w:t>takes effect</w:t>
      </w:r>
      <w:r>
        <w:rPr>
          <w:rFonts w:ascii="Century Schoolbook" w:hAnsi="Century Schoolbook"/>
        </w:rPr>
        <w:t xml:space="preserve">.  </w:t>
      </w:r>
      <w:proofErr w:type="gramStart"/>
      <w:r>
        <w:rPr>
          <w:rFonts w:ascii="Century Schoolbook" w:hAnsi="Century Schoolbook"/>
        </w:rPr>
        <w:t>“ </w:t>
      </w:r>
      <w:r w:rsidRPr="001870E4">
        <w:rPr>
          <w:rFonts w:ascii="Century Schoolbook" w:hAnsi="Century Schoolbook"/>
        </w:rPr>
        <w:t>‘</w:t>
      </w:r>
      <w:proofErr w:type="gramEnd"/>
      <w:r>
        <w:rPr>
          <w:rFonts w:ascii="Century Schoolbook" w:hAnsi="Century Schoolbook"/>
        </w:rPr>
        <w:t> “</w:t>
      </w:r>
      <w:r w:rsidRPr="001870E4">
        <w:rPr>
          <w:rFonts w:ascii="Century Schoolbook" w:hAnsi="Century Schoolbook"/>
        </w:rPr>
        <w:t>A driver</w:t>
      </w:r>
      <w:r>
        <w:rPr>
          <w:rFonts w:ascii="Century Schoolbook" w:hAnsi="Century Schoolbook"/>
        </w:rPr>
        <w:t>’</w:t>
      </w:r>
      <w:r w:rsidRPr="001870E4">
        <w:rPr>
          <w:rFonts w:ascii="Century Schoolbook" w:hAnsi="Century Schoolbook"/>
        </w:rPr>
        <w:t>s license cannot be suspended without due process of law.</w:t>
      </w:r>
      <w:r>
        <w:rPr>
          <w:rFonts w:ascii="Century Schoolbook" w:hAnsi="Century Schoolbook"/>
        </w:rPr>
        <w:t>” </w:t>
      </w:r>
      <w:r w:rsidRPr="001870E4">
        <w:rPr>
          <w:rFonts w:ascii="Century Schoolbook" w:hAnsi="Century Schoolbook"/>
        </w:rPr>
        <w:t>’</w:t>
      </w:r>
      <w:r>
        <w:rPr>
          <w:rFonts w:ascii="Century Schoolbook" w:hAnsi="Century Schoolbook"/>
        </w:rPr>
        <w:t> ”  (</w:t>
      </w:r>
      <w:r w:rsidRPr="001870E4">
        <w:rPr>
          <w:rFonts w:ascii="Century Schoolbook" w:hAnsi="Century Schoolbook"/>
          <w:i/>
          <w:iCs/>
        </w:rPr>
        <w:t xml:space="preserve">California DUI Lawyers Assn. v. Department </w:t>
      </w:r>
      <w:r w:rsidRPr="001870E4">
        <w:rPr>
          <w:rFonts w:ascii="Century Schoolbook" w:hAnsi="Century Schoolbook"/>
          <w:i/>
          <w:iCs/>
        </w:rPr>
        <w:lastRenderedPageBreak/>
        <w:t>of Motor Vehicles</w:t>
      </w:r>
      <w:r w:rsidRPr="001870E4">
        <w:rPr>
          <w:rFonts w:ascii="Century Schoolbook" w:hAnsi="Century Schoolbook"/>
        </w:rPr>
        <w:t xml:space="preserve"> (2022) 77 Cal.App.5th 517, 529</w:t>
      </w:r>
      <w:r>
        <w:rPr>
          <w:rFonts w:ascii="Century Schoolbook" w:hAnsi="Century Schoolbook"/>
        </w:rPr>
        <w:t xml:space="preserve"> (</w:t>
      </w:r>
      <w:r w:rsidRPr="001870E4">
        <w:rPr>
          <w:rFonts w:ascii="Century Schoolbook" w:hAnsi="Century Schoolbook"/>
          <w:i/>
          <w:iCs/>
        </w:rPr>
        <w:t xml:space="preserve">DUI </w:t>
      </w:r>
      <w:r w:rsidRPr="001870E4">
        <w:rPr>
          <w:rFonts w:ascii="Century Schoolbook" w:hAnsi="Century Schoolbook"/>
          <w:i/>
          <w:iCs/>
        </w:rPr>
        <w:t>Lawyers</w:t>
      </w:r>
      <w:r>
        <w:rPr>
          <w:rFonts w:ascii="Century Schoolbook" w:hAnsi="Century Schoolbook"/>
        </w:rPr>
        <w:t>)</w:t>
      </w:r>
      <w:r>
        <w:rPr>
          <w:rFonts w:ascii="Century Schoolbook" w:hAnsi="Century Schoolbook"/>
        </w:rPr>
        <w:t xml:space="preserve">; </w:t>
      </w:r>
      <w:r>
        <w:rPr>
          <w:rFonts w:ascii="Century Schoolbook" w:hAnsi="Century Schoolbook"/>
        </w:rPr>
        <w:t>see also</w:t>
      </w:r>
      <w:r w:rsidRPr="00497C52">
        <w:rPr>
          <w:rFonts w:ascii="Century Schoolbook" w:hAnsi="Century Schoolbook"/>
        </w:rPr>
        <w:t xml:space="preserve"> </w:t>
      </w:r>
      <w:r w:rsidRPr="00826B9F">
        <w:rPr>
          <w:rFonts w:ascii="Century Schoolbook" w:hAnsi="Century Schoolbook"/>
          <w:i/>
          <w:iCs/>
        </w:rPr>
        <w:t>Knudsen</w:t>
      </w:r>
      <w:r w:rsidRPr="00EB0488">
        <w:rPr>
          <w:rFonts w:ascii="Century Schoolbook" w:hAnsi="Century Schoolbook"/>
          <w:i/>
        </w:rPr>
        <w:t xml:space="preserve"> v. </w:t>
      </w:r>
      <w:r w:rsidRPr="00826B9F">
        <w:rPr>
          <w:rFonts w:ascii="Century Schoolbook" w:hAnsi="Century Schoolbook"/>
          <w:i/>
          <w:iCs/>
        </w:rPr>
        <w:t>Department of Motor Vehicles</w:t>
      </w:r>
      <w:r w:rsidRPr="00497C52">
        <w:rPr>
          <w:rFonts w:ascii="Century Schoolbook" w:hAnsi="Century Schoolbook"/>
        </w:rPr>
        <w:t xml:space="preserve"> </w:t>
      </w:r>
      <w:r w:rsidRPr="00D72AF3">
        <w:rPr>
          <w:rFonts w:ascii="Century Schoolbook" w:hAnsi="Century Schoolbook"/>
        </w:rPr>
        <w:t>(2024) 101 Cal.App.5th 186</w:t>
      </w:r>
      <w:r>
        <w:rPr>
          <w:rFonts w:ascii="Century Schoolbook" w:hAnsi="Century Schoolbook"/>
        </w:rPr>
        <w:t xml:space="preserve">, </w:t>
      </w:r>
      <w:r>
        <w:rPr>
          <w:rFonts w:ascii="Century Schoolbook" w:hAnsi="Century Schoolbook"/>
        </w:rPr>
        <w:t>198</w:t>
      </w:r>
      <w:r w:rsidRPr="00D72AF3">
        <w:rPr>
          <w:rFonts w:ascii="Century Schoolbook" w:hAnsi="Century Schoolbook"/>
        </w:rPr>
        <w:t xml:space="preserve"> </w:t>
      </w:r>
      <w:r>
        <w:rPr>
          <w:rFonts w:ascii="Century Schoolbook" w:hAnsi="Century Schoolbook"/>
        </w:rPr>
        <w:t xml:space="preserve"> </w:t>
      </w:r>
      <w:r>
        <w:rPr>
          <w:rFonts w:ascii="Century Schoolbook" w:hAnsi="Century Schoolbook"/>
        </w:rPr>
        <w:t>[</w:t>
      </w:r>
      <w:r>
        <w:rPr>
          <w:rFonts w:ascii="Century Schoolbook" w:hAnsi="Century Schoolbook"/>
        </w:rPr>
        <w:t>“</w:t>
      </w:r>
      <w:r w:rsidRPr="00497C52">
        <w:rPr>
          <w:rFonts w:ascii="Century Schoolbook" w:hAnsi="Century Schoolbook"/>
        </w:rPr>
        <w:t>once a driver</w:t>
      </w:r>
      <w:r>
        <w:rPr>
          <w:rFonts w:ascii="Century Schoolbook" w:hAnsi="Century Schoolbook"/>
        </w:rPr>
        <w:t>’</w:t>
      </w:r>
      <w:r w:rsidRPr="00497C52">
        <w:rPr>
          <w:rFonts w:ascii="Century Schoolbook" w:hAnsi="Century Schoolbook"/>
        </w:rPr>
        <w:t>s license is issued, the driver has a property right in the license, and the license cannot be revoked or suspended unless certain constitutional due process protections are followed</w:t>
      </w:r>
      <w:r>
        <w:rPr>
          <w:rFonts w:ascii="Century Schoolbook" w:hAnsi="Century Schoolbook"/>
        </w:rPr>
        <w:t>”</w:t>
      </w:r>
      <w:r>
        <w:rPr>
          <w:rFonts w:ascii="Century Schoolbook" w:hAnsi="Century Schoolbook"/>
        </w:rPr>
        <w:t>]</w:t>
      </w:r>
      <w:r>
        <w:rPr>
          <w:rFonts w:ascii="Century Schoolbook" w:hAnsi="Century Schoolbook"/>
        </w:rPr>
        <w:t xml:space="preserve">.)  </w:t>
      </w:r>
      <w:r>
        <w:rPr>
          <w:rFonts w:ascii="Century Schoolbook" w:hAnsi="Century Schoolbook"/>
        </w:rPr>
        <w:t xml:space="preserve">The licensee </w:t>
      </w:r>
      <w:r>
        <w:rPr>
          <w:rFonts w:ascii="Century Schoolbook" w:hAnsi="Century Schoolbook"/>
        </w:rPr>
        <w:t xml:space="preserve">has the right </w:t>
      </w:r>
      <w:r>
        <w:rPr>
          <w:rFonts w:ascii="Century Schoolbook" w:hAnsi="Century Schoolbook"/>
        </w:rPr>
        <w:t xml:space="preserve">to retain counsel (§ 14112; Gov. Code, § 11509), </w:t>
      </w:r>
      <w:r>
        <w:rPr>
          <w:rFonts w:ascii="Century Schoolbook" w:hAnsi="Century Schoolbook"/>
        </w:rPr>
        <w:t xml:space="preserve">to </w:t>
      </w:r>
      <w:r>
        <w:rPr>
          <w:rFonts w:ascii="Century Schoolbook" w:hAnsi="Century Schoolbook"/>
        </w:rPr>
        <w:t xml:space="preserve">obtain </w:t>
      </w:r>
      <w:r>
        <w:rPr>
          <w:rFonts w:ascii="Century Schoolbook" w:hAnsi="Century Schoolbook"/>
        </w:rPr>
        <w:t xml:space="preserve">prehearing discovery (Gov. Code, § 11507.6), to subpoena records and witnesses </w:t>
      </w:r>
      <w:r w:rsidRPr="00052D3E">
        <w:rPr>
          <w:rFonts w:ascii="Century Schoolbook" w:hAnsi="Century Schoolbook"/>
        </w:rPr>
        <w:t>(</w:t>
      </w:r>
      <w:r w:rsidRPr="00052D3E">
        <w:rPr>
          <w:rFonts w:ascii="Century Schoolbook" w:hAnsi="Century Schoolbook"/>
        </w:rPr>
        <w:t>§</w:t>
      </w:r>
      <w:r>
        <w:rPr>
          <w:rFonts w:ascii="Century Schoolbook" w:hAnsi="Century Schoolbook"/>
        </w:rPr>
        <w:t> </w:t>
      </w:r>
      <w:r w:rsidRPr="00052D3E">
        <w:rPr>
          <w:rFonts w:ascii="Century Schoolbook" w:hAnsi="Century Schoolbook"/>
        </w:rPr>
        <w:t>14104.5</w:t>
      </w:r>
      <w:r w:rsidRPr="00052D3E">
        <w:rPr>
          <w:rFonts w:ascii="Century Schoolbook" w:hAnsi="Century Schoolbook"/>
        </w:rPr>
        <w:t>)</w:t>
      </w:r>
      <w:r>
        <w:rPr>
          <w:rFonts w:ascii="Century Schoolbook" w:hAnsi="Century Schoolbook"/>
        </w:rPr>
        <w:t xml:space="preserve">, </w:t>
      </w:r>
      <w:r>
        <w:rPr>
          <w:rFonts w:ascii="Century Schoolbook" w:hAnsi="Century Schoolbook"/>
        </w:rPr>
        <w:t xml:space="preserve">and </w:t>
      </w:r>
      <w:r>
        <w:rPr>
          <w:rFonts w:ascii="Century Schoolbook" w:hAnsi="Century Schoolbook"/>
        </w:rPr>
        <w:t xml:space="preserve">to introduce </w:t>
      </w:r>
      <w:r>
        <w:rPr>
          <w:rFonts w:ascii="Century Schoolbook" w:hAnsi="Century Schoolbook"/>
        </w:rPr>
        <w:t xml:space="preserve">and rebut </w:t>
      </w:r>
      <w:r>
        <w:rPr>
          <w:rFonts w:ascii="Century Schoolbook" w:hAnsi="Century Schoolbook"/>
        </w:rPr>
        <w:t>evidence</w:t>
      </w:r>
      <w:r>
        <w:rPr>
          <w:rFonts w:ascii="Century Schoolbook" w:hAnsi="Century Schoolbook"/>
        </w:rPr>
        <w:t xml:space="preserve"> (</w:t>
      </w:r>
      <w:r>
        <w:rPr>
          <w:rFonts w:ascii="Century Schoolbook" w:hAnsi="Century Schoolbook"/>
        </w:rPr>
        <w:t>§</w:t>
      </w:r>
      <w:r>
        <w:rPr>
          <w:rFonts w:ascii="Century Schoolbook" w:hAnsi="Century Schoolbook"/>
        </w:rPr>
        <w:t>§ </w:t>
      </w:r>
      <w:r>
        <w:rPr>
          <w:rFonts w:ascii="Century Schoolbook" w:hAnsi="Century Schoolbook"/>
        </w:rPr>
        <w:t xml:space="preserve">13558, subd. (b), </w:t>
      </w:r>
      <w:r>
        <w:rPr>
          <w:rFonts w:ascii="Century Schoolbook" w:hAnsi="Century Schoolbook"/>
        </w:rPr>
        <w:t xml:space="preserve">14104.7; </w:t>
      </w:r>
      <w:r w:rsidRPr="00B5184C">
        <w:rPr>
          <w:rFonts w:ascii="Century Schoolbook" w:hAnsi="Century Schoolbook"/>
        </w:rPr>
        <w:t>Gov</w:t>
      </w:r>
      <w:r>
        <w:rPr>
          <w:rFonts w:ascii="Century Schoolbook" w:hAnsi="Century Schoolbook"/>
        </w:rPr>
        <w:t xml:space="preserve">. </w:t>
      </w:r>
      <w:r w:rsidRPr="00B5184C">
        <w:rPr>
          <w:rFonts w:ascii="Century Schoolbook" w:hAnsi="Century Schoolbook"/>
        </w:rPr>
        <w:t>Code</w:t>
      </w:r>
      <w:r>
        <w:rPr>
          <w:rFonts w:ascii="Century Schoolbook" w:hAnsi="Century Schoolbook"/>
        </w:rPr>
        <w:t>,</w:t>
      </w:r>
      <w:r w:rsidRPr="00B5184C">
        <w:rPr>
          <w:rFonts w:ascii="Century Schoolbook" w:hAnsi="Century Schoolbook"/>
        </w:rPr>
        <w:t xml:space="preserve"> §</w:t>
      </w:r>
      <w:r>
        <w:rPr>
          <w:rFonts w:ascii="Century Schoolbook" w:hAnsi="Century Schoolbook"/>
        </w:rPr>
        <w:t> </w:t>
      </w:r>
      <w:r w:rsidRPr="00B5184C">
        <w:rPr>
          <w:rFonts w:ascii="Century Schoolbook" w:hAnsi="Century Schoolbook"/>
        </w:rPr>
        <w:t>11513</w:t>
      </w:r>
      <w:r>
        <w:rPr>
          <w:rFonts w:ascii="Century Schoolbook" w:hAnsi="Century Schoolbook"/>
        </w:rPr>
        <w:t>, subd. </w:t>
      </w:r>
      <w:r w:rsidRPr="00B5184C">
        <w:rPr>
          <w:rFonts w:ascii="Century Schoolbook" w:hAnsi="Century Schoolbook"/>
        </w:rPr>
        <w:t>(b)</w:t>
      </w:r>
      <w:r>
        <w:rPr>
          <w:rFonts w:ascii="Century Schoolbook" w:hAnsi="Century Schoolbook"/>
        </w:rPr>
        <w:t>)</w:t>
      </w:r>
      <w:r>
        <w:rPr>
          <w:rFonts w:ascii="Century Schoolbook" w:hAnsi="Century Schoolbook"/>
        </w:rPr>
        <w:t>.</w:t>
      </w:r>
      <w:r>
        <w:rPr>
          <w:rStyle w:val="FootnoteReference"/>
          <w:rFonts w:ascii="Century Schoolbook" w:hAnsi="Century Schoolbook"/>
        </w:rPr>
        <w:footnoteReference w:id="19"/>
      </w:r>
      <w:r>
        <w:rPr>
          <w:rFonts w:ascii="Century Schoolbook" w:hAnsi="Century Schoolbook"/>
        </w:rPr>
        <w:t xml:space="preserve">  </w:t>
      </w:r>
      <w:r>
        <w:rPr>
          <w:rFonts w:ascii="Century Schoolbook" w:hAnsi="Century Schoolbook"/>
        </w:rPr>
        <w:t xml:space="preserve">DMV’s </w:t>
      </w:r>
      <w:r>
        <w:rPr>
          <w:rFonts w:ascii="Century Schoolbook" w:hAnsi="Century Schoolbook"/>
        </w:rPr>
        <w:t xml:space="preserve">determination </w:t>
      </w:r>
      <w:r>
        <w:rPr>
          <w:rFonts w:ascii="Century Schoolbook" w:hAnsi="Century Schoolbook"/>
        </w:rPr>
        <w:t xml:space="preserve">following an evidentiary hearing </w:t>
      </w:r>
      <w:r>
        <w:rPr>
          <w:rFonts w:ascii="Century Schoolbook" w:hAnsi="Century Schoolbook"/>
        </w:rPr>
        <w:t xml:space="preserve">is </w:t>
      </w:r>
      <w:r>
        <w:rPr>
          <w:rFonts w:ascii="Century Schoolbook" w:hAnsi="Century Schoolbook"/>
        </w:rPr>
        <w:t>made by a neutral decisionmaker.</w:t>
      </w:r>
      <w:r>
        <w:rPr>
          <w:rStyle w:val="FootnoteReference"/>
          <w:rFonts w:ascii="Century Schoolbook" w:hAnsi="Century Schoolbook"/>
        </w:rPr>
        <w:footnoteReference w:id="20"/>
      </w:r>
      <w:r>
        <w:rPr>
          <w:rFonts w:ascii="Century Schoolbook" w:hAnsi="Century Schoolbook"/>
        </w:rPr>
        <w:t xml:space="preserve">  </w:t>
      </w:r>
      <w:r>
        <w:rPr>
          <w:rFonts w:ascii="Century Schoolbook" w:hAnsi="Century Schoolbook"/>
        </w:rPr>
        <w:t>The licensee is entitled to j</w:t>
      </w:r>
      <w:r>
        <w:rPr>
          <w:rFonts w:ascii="Century Schoolbook" w:hAnsi="Century Schoolbook"/>
        </w:rPr>
        <w:t>udicial</w:t>
      </w:r>
      <w:r>
        <w:rPr>
          <w:rFonts w:ascii="Century Schoolbook" w:hAnsi="Century Schoolbook"/>
        </w:rPr>
        <w:t xml:space="preserve"> review of an adverse administrative decision</w:t>
      </w:r>
      <w:r>
        <w:rPr>
          <w:rFonts w:ascii="Century Schoolbook" w:hAnsi="Century Schoolbook"/>
        </w:rPr>
        <w:t xml:space="preserve">.  </w:t>
      </w:r>
      <w:r w:rsidRPr="00A63EAC">
        <w:rPr>
          <w:rFonts w:ascii="Century Schoolbook" w:hAnsi="Century Schoolbook"/>
        </w:rPr>
        <w:t>(</w:t>
      </w:r>
      <w:r>
        <w:rPr>
          <w:rFonts w:ascii="Century Schoolbook" w:hAnsi="Century Schoolbook"/>
        </w:rPr>
        <w:t>§ </w:t>
      </w:r>
      <w:r w:rsidRPr="00A63EAC">
        <w:rPr>
          <w:rFonts w:ascii="Century Schoolbook" w:hAnsi="Century Schoolbook"/>
        </w:rPr>
        <w:t>13559</w:t>
      </w:r>
      <w:r>
        <w:rPr>
          <w:rFonts w:ascii="Century Schoolbook" w:hAnsi="Century Schoolbook"/>
        </w:rPr>
        <w:t>.</w:t>
      </w:r>
      <w:r w:rsidRPr="00A63EAC">
        <w:rPr>
          <w:rFonts w:ascii="Century Schoolbook" w:hAnsi="Century Schoolbook"/>
        </w:rPr>
        <w:t>)</w:t>
      </w:r>
      <w:r>
        <w:rPr>
          <w:rFonts w:ascii="Century Schoolbook" w:hAnsi="Century Schoolbook"/>
        </w:rPr>
        <w:t xml:space="preserve">  </w:t>
      </w:r>
    </w:p>
    <w:p w14:paraId="72335A79" w14:textId="77777777" w:rsidR="006F58CB" w:rsidRDefault="006F58CB" w:rsidP="004F0EDD">
      <w:pPr>
        <w:spacing w:line="360" w:lineRule="auto"/>
        <w:rPr>
          <w:rFonts w:ascii="Century Schoolbook" w:hAnsi="Century Schoolbook"/>
        </w:rPr>
      </w:pPr>
      <w:r>
        <w:rPr>
          <w:rFonts w:ascii="Century Schoolbook" w:hAnsi="Century Schoolbook"/>
        </w:rPr>
        <w:tab/>
        <w:t xml:space="preserve">To be sure, </w:t>
      </w:r>
      <w:r>
        <w:rPr>
          <w:rFonts w:ascii="Century Schoolbook" w:hAnsi="Century Schoolbook"/>
        </w:rPr>
        <w:t xml:space="preserve">as Plaintiffs argue, </w:t>
      </w:r>
      <w:r>
        <w:rPr>
          <w:rFonts w:ascii="Century Schoolbook" w:hAnsi="Century Schoolbook"/>
        </w:rPr>
        <w:t xml:space="preserve">procedures at an </w:t>
      </w:r>
      <w:r>
        <w:rPr>
          <w:rFonts w:ascii="Century Schoolbook" w:hAnsi="Century Schoolbook"/>
        </w:rPr>
        <w:t xml:space="preserve">APS suspension </w:t>
      </w:r>
      <w:r>
        <w:rPr>
          <w:rFonts w:ascii="Century Schoolbook" w:hAnsi="Century Schoolbook"/>
        </w:rPr>
        <w:t xml:space="preserve">hearing </w:t>
      </w:r>
      <w:r>
        <w:rPr>
          <w:rFonts w:ascii="Century Schoolbook" w:hAnsi="Century Schoolbook"/>
        </w:rPr>
        <w:t xml:space="preserve">are not as rigorous as </w:t>
      </w:r>
      <w:r>
        <w:rPr>
          <w:rFonts w:ascii="Century Schoolbook" w:hAnsi="Century Schoolbook"/>
        </w:rPr>
        <w:t xml:space="preserve">those in </w:t>
      </w:r>
      <w:r>
        <w:rPr>
          <w:rFonts w:ascii="Century Schoolbook" w:hAnsi="Century Schoolbook"/>
        </w:rPr>
        <w:t xml:space="preserve">a criminal proceeding.  (E.g., </w:t>
      </w:r>
      <w:r w:rsidRPr="00C9234A">
        <w:rPr>
          <w:rFonts w:ascii="Century Schoolbook" w:hAnsi="Century Schoolbook"/>
          <w:i/>
          <w:iCs/>
        </w:rPr>
        <w:t>Lake</w:t>
      </w:r>
      <w:r>
        <w:rPr>
          <w:rFonts w:ascii="Century Schoolbook" w:hAnsi="Century Schoolbook"/>
          <w:i/>
          <w:iCs/>
        </w:rPr>
        <w:t>, supra,</w:t>
      </w:r>
      <w:r w:rsidRPr="00C9234A">
        <w:rPr>
          <w:rFonts w:ascii="Century Schoolbook" w:hAnsi="Century Schoolbook"/>
          <w:i/>
          <w:iCs/>
        </w:rPr>
        <w:t xml:space="preserve"> </w:t>
      </w:r>
      <w:r w:rsidRPr="00A12674">
        <w:rPr>
          <w:rFonts w:ascii="Century Schoolbook" w:hAnsi="Century Schoolbook"/>
        </w:rPr>
        <w:t xml:space="preserve">16 Cal.4th </w:t>
      </w:r>
      <w:r>
        <w:rPr>
          <w:rFonts w:ascii="Century Schoolbook" w:hAnsi="Century Schoolbook"/>
        </w:rPr>
        <w:t>at p. </w:t>
      </w:r>
      <w:r w:rsidRPr="00A12674">
        <w:rPr>
          <w:rFonts w:ascii="Century Schoolbook" w:hAnsi="Century Schoolbook"/>
        </w:rPr>
        <w:t>462 [</w:t>
      </w:r>
      <w:r>
        <w:rPr>
          <w:rFonts w:ascii="Century Schoolbook" w:hAnsi="Century Schoolbook"/>
        </w:rPr>
        <w:t>“</w:t>
      </w:r>
      <w:r w:rsidRPr="00A12674">
        <w:rPr>
          <w:rFonts w:ascii="Century Schoolbook" w:hAnsi="Century Schoolbook"/>
        </w:rPr>
        <w:t xml:space="preserve">One aspect of this accelerated procedure is a slight relaxation of the rules of evidence applicable to an administrative per se review </w:t>
      </w:r>
      <w:proofErr w:type="gramStart"/>
      <w:r w:rsidRPr="00A12674">
        <w:rPr>
          <w:rFonts w:ascii="Century Schoolbook" w:hAnsi="Century Schoolbook"/>
        </w:rPr>
        <w:t>hearing.</w:t>
      </w:r>
      <w:r>
        <w:rPr>
          <w:rFonts w:ascii="Century Schoolbook" w:hAnsi="Century Schoolbook"/>
        </w:rPr>
        <w:t>”</w:t>
      </w:r>
      <w:proofErr w:type="gramEnd"/>
      <w:r>
        <w:rPr>
          <w:rFonts w:ascii="Century Schoolbook" w:hAnsi="Century Schoolbook"/>
        </w:rPr>
        <w:t xml:space="preserve">].)  Nonetheless, </w:t>
      </w:r>
      <w:r>
        <w:rPr>
          <w:rFonts w:ascii="Century Schoolbook" w:hAnsi="Century Schoolbook"/>
        </w:rPr>
        <w:t xml:space="preserve">the Legislature </w:t>
      </w:r>
      <w:r>
        <w:rPr>
          <w:rFonts w:ascii="Century Schoolbook" w:hAnsi="Century Schoolbook"/>
        </w:rPr>
        <w:t xml:space="preserve">intentionally </w:t>
      </w:r>
      <w:r>
        <w:rPr>
          <w:rFonts w:ascii="Century Schoolbook" w:hAnsi="Century Schoolbook"/>
        </w:rPr>
        <w:t xml:space="preserve">crafted the APS suspension statutes to </w:t>
      </w:r>
      <w:r>
        <w:rPr>
          <w:rFonts w:ascii="Century Schoolbook" w:hAnsi="Century Schoolbook"/>
        </w:rPr>
        <w:t xml:space="preserve">minimize the possibility of </w:t>
      </w:r>
      <w:r>
        <w:rPr>
          <w:rFonts w:ascii="Century Schoolbook" w:hAnsi="Century Schoolbook"/>
        </w:rPr>
        <w:t xml:space="preserve">error: </w:t>
      </w:r>
      <w:r>
        <w:rPr>
          <w:rFonts w:ascii="Century Schoolbook" w:hAnsi="Century Schoolbook"/>
        </w:rPr>
        <w:t>O</w:t>
      </w:r>
      <w:r>
        <w:rPr>
          <w:rFonts w:ascii="Century Schoolbook" w:hAnsi="Century Schoolbook"/>
        </w:rPr>
        <w:t xml:space="preserve">ne of </w:t>
      </w:r>
      <w:r>
        <w:rPr>
          <w:rFonts w:ascii="Century Schoolbook" w:hAnsi="Century Schoolbook"/>
        </w:rPr>
        <w:t xml:space="preserve">the </w:t>
      </w:r>
      <w:r>
        <w:rPr>
          <w:rFonts w:ascii="Century Schoolbook" w:hAnsi="Century Schoolbook"/>
        </w:rPr>
        <w:t xml:space="preserve">express legislative purposes </w:t>
      </w:r>
      <w:r>
        <w:rPr>
          <w:rFonts w:ascii="Century Schoolbook" w:hAnsi="Century Schoolbook"/>
        </w:rPr>
        <w:t xml:space="preserve">was “[t]o guard against the potential for any erroneous deprivation of the driving privilege by providing an opportunity for </w:t>
      </w:r>
      <w:r>
        <w:rPr>
          <w:rFonts w:ascii="Century Schoolbook" w:hAnsi="Century Schoolbook"/>
        </w:rPr>
        <w:lastRenderedPageBreak/>
        <w:t>administrative review prior to the effective date of the suspension and an opportunity for a full hearing as quickly as possible after the suspension becomes effective.”</w:t>
      </w:r>
      <w:r>
        <w:rPr>
          <w:rStyle w:val="FootnoteReference"/>
          <w:rFonts w:ascii="Century Schoolbook" w:hAnsi="Century Schoolbook"/>
        </w:rPr>
        <w:footnoteReference w:id="21"/>
      </w:r>
      <w:r>
        <w:rPr>
          <w:rFonts w:ascii="Century Schoolbook" w:hAnsi="Century Schoolbook"/>
        </w:rPr>
        <w:t xml:space="preserve">  (</w:t>
      </w:r>
      <w:r w:rsidRPr="0029518B">
        <w:rPr>
          <w:rFonts w:ascii="Century Schoolbook" w:hAnsi="Century Schoolbook"/>
        </w:rPr>
        <w:t xml:space="preserve">Stats. 1989, </w:t>
      </w:r>
      <w:proofErr w:type="spellStart"/>
      <w:r w:rsidRPr="0029518B">
        <w:rPr>
          <w:rFonts w:ascii="Century Schoolbook" w:hAnsi="Century Schoolbook"/>
        </w:rPr>
        <w:t>ch.</w:t>
      </w:r>
      <w:proofErr w:type="spellEnd"/>
      <w:r w:rsidRPr="00B35E46">
        <w:rPr>
          <w:rFonts w:ascii="Century Schoolbook" w:hAnsi="Century Schoolbook"/>
        </w:rPr>
        <w:t xml:space="preserve"> 1460, § 1</w:t>
      </w:r>
      <w:r>
        <w:rPr>
          <w:rFonts w:ascii="Century Schoolbook" w:hAnsi="Century Schoolbook"/>
        </w:rPr>
        <w:t xml:space="preserve">; </w:t>
      </w:r>
      <w:r>
        <w:rPr>
          <w:rFonts w:ascii="Century Schoolbook" w:hAnsi="Century Schoolbook"/>
        </w:rPr>
        <w:t xml:space="preserve">see also </w:t>
      </w:r>
      <w:r w:rsidRPr="00AA5996">
        <w:rPr>
          <w:rFonts w:ascii="Century Schoolbook" w:hAnsi="Century Schoolbook"/>
          <w:i/>
          <w:iCs/>
        </w:rPr>
        <w:t>Robertson v. Department of Motor Vehicles</w:t>
      </w:r>
      <w:r w:rsidRPr="00AA5996">
        <w:rPr>
          <w:rFonts w:ascii="Century Schoolbook" w:hAnsi="Century Schoolbook"/>
        </w:rPr>
        <w:t xml:space="preserve"> (1992) 7 Cal.App.4th 938, 941 [</w:t>
      </w:r>
      <w:r>
        <w:rPr>
          <w:rFonts w:ascii="Century Schoolbook" w:hAnsi="Century Schoolbook"/>
        </w:rPr>
        <w:t>“</w:t>
      </w:r>
      <w:r w:rsidRPr="00AA5996">
        <w:rPr>
          <w:rFonts w:ascii="Century Schoolbook" w:hAnsi="Century Schoolbook"/>
        </w:rPr>
        <w:t xml:space="preserve">key provisions in </w:t>
      </w:r>
      <w:r>
        <w:rPr>
          <w:rFonts w:ascii="Century Schoolbook" w:hAnsi="Century Schoolbook"/>
        </w:rPr>
        <w:t xml:space="preserve">. . . </w:t>
      </w:r>
      <w:r w:rsidRPr="00AA5996">
        <w:rPr>
          <w:rFonts w:ascii="Century Schoolbook" w:hAnsi="Century Schoolbook"/>
        </w:rPr>
        <w:t xml:space="preserve">the administrative per se </w:t>
      </w:r>
      <w:proofErr w:type="gramStart"/>
      <w:r w:rsidRPr="00AA5996">
        <w:rPr>
          <w:rFonts w:ascii="Century Schoolbook" w:hAnsi="Century Schoolbook"/>
        </w:rPr>
        <w:t>laws</w:t>
      </w:r>
      <w:r>
        <w:rPr>
          <w:rFonts w:ascii="Century Schoolbook" w:hAnsi="Century Schoolbook"/>
        </w:rPr>
        <w:t>[</w:t>
      </w:r>
      <w:proofErr w:type="gramEnd"/>
      <w:r>
        <w:rPr>
          <w:rFonts w:ascii="Century Schoolbook" w:hAnsi="Century Schoolbook"/>
        </w:rPr>
        <w:t>]</w:t>
      </w:r>
      <w:r w:rsidRPr="00AA5996">
        <w:rPr>
          <w:rFonts w:ascii="Century Schoolbook" w:hAnsi="Century Schoolbook"/>
        </w:rPr>
        <w:t xml:space="preserve"> are aimed at safeguarding the driver</w:t>
      </w:r>
      <w:r>
        <w:rPr>
          <w:rFonts w:ascii="Century Schoolbook" w:hAnsi="Century Schoolbook"/>
        </w:rPr>
        <w:t>’</w:t>
      </w:r>
      <w:r w:rsidRPr="00AA5996">
        <w:rPr>
          <w:rFonts w:ascii="Century Schoolbook" w:hAnsi="Century Schoolbook"/>
        </w:rPr>
        <w:t>s rights of due process</w:t>
      </w:r>
      <w:r>
        <w:rPr>
          <w:rFonts w:ascii="Century Schoolbook" w:hAnsi="Century Schoolbook"/>
        </w:rPr>
        <w:t>”]</w:t>
      </w:r>
      <w:r>
        <w:rPr>
          <w:rFonts w:ascii="Century Schoolbook" w:hAnsi="Century Schoolbook"/>
        </w:rPr>
        <w:t>.)</w:t>
      </w:r>
      <w:r>
        <w:rPr>
          <w:rFonts w:ascii="Century Schoolbook" w:hAnsi="Century Schoolbook"/>
        </w:rPr>
        <w:t xml:space="preserve">  Our </w:t>
      </w:r>
      <w:r>
        <w:rPr>
          <w:rFonts w:ascii="Century Schoolbook" w:hAnsi="Century Schoolbook"/>
        </w:rPr>
        <w:t>Supreme Court has found the “</w:t>
      </w:r>
      <w:r w:rsidRPr="00C9240D">
        <w:rPr>
          <w:rFonts w:ascii="Century Schoolbook" w:hAnsi="Century Schoolbook"/>
        </w:rPr>
        <w:t>procedural protections</w:t>
      </w:r>
      <w:r>
        <w:rPr>
          <w:rFonts w:ascii="Century Schoolbook" w:hAnsi="Century Schoolbook"/>
        </w:rPr>
        <w:t>” in place for APS suspension proceedings render “</w:t>
      </w:r>
      <w:r w:rsidRPr="00C9240D">
        <w:rPr>
          <w:rFonts w:ascii="Century Schoolbook" w:hAnsi="Century Schoolbook"/>
        </w:rPr>
        <w:t xml:space="preserve">the threat of an erroneous administrative determination </w:t>
      </w:r>
      <w:r w:rsidRPr="00867DD1">
        <w:rPr>
          <w:rFonts w:ascii="Century Schoolbook" w:hAnsi="Century Schoolbook"/>
          <w:i/>
          <w:iCs/>
        </w:rPr>
        <w:t>minimal</w:t>
      </w:r>
      <w:r>
        <w:rPr>
          <w:rFonts w:ascii="Century Schoolbook" w:hAnsi="Century Schoolbook"/>
        </w:rPr>
        <w:t>.”  (</w:t>
      </w:r>
      <w:r w:rsidRPr="00C9240D">
        <w:rPr>
          <w:rFonts w:ascii="Century Schoolbook" w:hAnsi="Century Schoolbook"/>
          <w:i/>
          <w:iCs/>
        </w:rPr>
        <w:t>Lake</w:t>
      </w:r>
      <w:r>
        <w:rPr>
          <w:rFonts w:ascii="Century Schoolbook" w:hAnsi="Century Schoolbook"/>
          <w:i/>
          <w:iCs/>
        </w:rPr>
        <w:t>,</w:t>
      </w:r>
      <w:r w:rsidRPr="00C9240D">
        <w:rPr>
          <w:rFonts w:ascii="Century Schoolbook" w:hAnsi="Century Schoolbook"/>
          <w:i/>
          <w:iCs/>
        </w:rPr>
        <w:t xml:space="preserve"> </w:t>
      </w:r>
      <w:r w:rsidRPr="002B3E14">
        <w:rPr>
          <w:rFonts w:ascii="Century Schoolbook" w:hAnsi="Century Schoolbook"/>
        </w:rPr>
        <w:t>at p.</w:t>
      </w:r>
      <w:r>
        <w:rPr>
          <w:rFonts w:ascii="Century Schoolbook" w:hAnsi="Century Schoolbook"/>
          <w:i/>
          <w:iCs/>
        </w:rPr>
        <w:t> </w:t>
      </w:r>
      <w:r w:rsidRPr="00C9240D">
        <w:rPr>
          <w:rFonts w:ascii="Century Schoolbook" w:hAnsi="Century Schoolbook"/>
        </w:rPr>
        <w:t>463</w:t>
      </w:r>
      <w:r>
        <w:rPr>
          <w:rFonts w:ascii="Century Schoolbook" w:hAnsi="Century Schoolbook"/>
        </w:rPr>
        <w:t>,</w:t>
      </w:r>
      <w:r>
        <w:rPr>
          <w:rFonts w:ascii="Century Schoolbook" w:hAnsi="Century Schoolbook"/>
        </w:rPr>
        <w:t xml:space="preserve"> italics added</w:t>
      </w:r>
      <w:r>
        <w:rPr>
          <w:rFonts w:ascii="Century Schoolbook" w:hAnsi="Century Schoolbook"/>
        </w:rPr>
        <w:t>.)</w:t>
      </w:r>
    </w:p>
    <w:p w14:paraId="3722D25D" w14:textId="77777777" w:rsidR="006F58CB" w:rsidRDefault="006F58CB" w:rsidP="006A5C71">
      <w:pPr>
        <w:spacing w:line="360" w:lineRule="auto"/>
        <w:rPr>
          <w:rFonts w:ascii="Century Schoolbook" w:hAnsi="Century Schoolbook"/>
        </w:rPr>
      </w:pPr>
      <w:r>
        <w:rPr>
          <w:rFonts w:ascii="Century Schoolbook" w:hAnsi="Century Schoolbook"/>
        </w:rPr>
        <w:tab/>
      </w:r>
      <w:r>
        <w:rPr>
          <w:rFonts w:ascii="Century Schoolbook" w:hAnsi="Century Schoolbook"/>
        </w:rPr>
        <w:t>Indeed</w:t>
      </w:r>
      <w:r>
        <w:rPr>
          <w:rFonts w:ascii="Century Schoolbook" w:hAnsi="Century Schoolbook"/>
        </w:rPr>
        <w:t xml:space="preserve">, </w:t>
      </w:r>
      <w:r>
        <w:rPr>
          <w:rFonts w:ascii="Century Schoolbook" w:hAnsi="Century Schoolbook"/>
        </w:rPr>
        <w:t>t</w:t>
      </w:r>
      <w:r>
        <w:rPr>
          <w:rFonts w:ascii="Century Schoolbook" w:hAnsi="Century Schoolbook"/>
        </w:rPr>
        <w:t>he Legislature</w:t>
      </w:r>
      <w:r>
        <w:rPr>
          <w:rFonts w:ascii="Century Schoolbook" w:hAnsi="Century Schoolbook"/>
        </w:rPr>
        <w:t xml:space="preserve"> created</w:t>
      </w:r>
      <w:r>
        <w:rPr>
          <w:rFonts w:ascii="Century Schoolbook" w:hAnsi="Century Schoolbook"/>
        </w:rPr>
        <w:t xml:space="preserve"> </w:t>
      </w:r>
      <w:r>
        <w:rPr>
          <w:rFonts w:ascii="Century Schoolbook" w:hAnsi="Century Schoolbook"/>
        </w:rPr>
        <w:t xml:space="preserve">the </w:t>
      </w:r>
      <w:r>
        <w:rPr>
          <w:rFonts w:ascii="Century Schoolbook" w:hAnsi="Century Schoolbook"/>
        </w:rPr>
        <w:t xml:space="preserve">APS suspension process </w:t>
      </w:r>
      <w:r>
        <w:rPr>
          <w:rFonts w:ascii="Century Schoolbook" w:hAnsi="Century Schoolbook"/>
        </w:rPr>
        <w:t xml:space="preserve">as </w:t>
      </w:r>
      <w:r>
        <w:rPr>
          <w:rFonts w:ascii="Century Schoolbook" w:hAnsi="Century Schoolbook"/>
        </w:rPr>
        <w:t>a separate administrative proceeding,</w:t>
      </w:r>
      <w:r>
        <w:rPr>
          <w:rFonts w:ascii="Century Schoolbook" w:hAnsi="Century Schoolbook"/>
        </w:rPr>
        <w:t xml:space="preserve"> largely</w:t>
      </w:r>
      <w:r>
        <w:rPr>
          <w:rFonts w:ascii="Century Schoolbook" w:hAnsi="Century Schoolbook"/>
        </w:rPr>
        <w:t xml:space="preserve"> independent </w:t>
      </w:r>
      <w:r>
        <w:rPr>
          <w:rFonts w:ascii="Century Schoolbook" w:hAnsi="Century Schoolbook"/>
        </w:rPr>
        <w:t xml:space="preserve">of any </w:t>
      </w:r>
      <w:r>
        <w:rPr>
          <w:rFonts w:ascii="Century Schoolbook" w:hAnsi="Century Schoolbook"/>
        </w:rPr>
        <w:t xml:space="preserve">criminal proceedings arising from the same arrest.  </w:t>
      </w:r>
      <w:proofErr w:type="gramStart"/>
      <w:r>
        <w:rPr>
          <w:rFonts w:ascii="Century Schoolbook" w:hAnsi="Century Schoolbook"/>
        </w:rPr>
        <w:t>“ ‘</w:t>
      </w:r>
      <w:proofErr w:type="gramEnd"/>
      <w:r>
        <w:rPr>
          <w:rFonts w:ascii="Century Schoolbook" w:hAnsi="Century Schoolbook"/>
        </w:rPr>
        <w:t>T</w:t>
      </w:r>
      <w:r w:rsidRPr="004D0102">
        <w:rPr>
          <w:rFonts w:ascii="Century Schoolbook" w:hAnsi="Century Schoolbook"/>
        </w:rPr>
        <w:t xml:space="preserve">he Legislature, in enacting these </w:t>
      </w:r>
      <w:r>
        <w:rPr>
          <w:rFonts w:ascii="Century Schoolbook" w:hAnsi="Century Schoolbook"/>
        </w:rPr>
        <w:t xml:space="preserve">[APS suspension] </w:t>
      </w:r>
      <w:r w:rsidRPr="004D0102">
        <w:rPr>
          <w:rFonts w:ascii="Century Schoolbook" w:hAnsi="Century Schoolbook"/>
        </w:rPr>
        <w:t>statutes, contemplated two processes—one involving court proceedings and criminal in nature, the other involving administrative proceedings and civil in nature; and that these processes are, for the most part, intended to operate independently of each other and to provide for different dispositions.</w:t>
      </w:r>
      <w:r>
        <w:rPr>
          <w:rFonts w:ascii="Century Schoolbook" w:hAnsi="Century Schoolbook"/>
        </w:rPr>
        <w:t>’ </w:t>
      </w:r>
      <w:r w:rsidRPr="004D0102">
        <w:rPr>
          <w:rFonts w:ascii="Century Schoolbook" w:hAnsi="Century Schoolbook"/>
        </w:rPr>
        <w:t>”</w:t>
      </w:r>
      <w:r>
        <w:rPr>
          <w:rFonts w:ascii="Century Schoolbook" w:hAnsi="Century Schoolbook"/>
        </w:rPr>
        <w:t xml:space="preserve">  (</w:t>
      </w:r>
      <w:r w:rsidRPr="007C7446">
        <w:rPr>
          <w:rFonts w:ascii="Century Schoolbook" w:hAnsi="Century Schoolbook"/>
          <w:i/>
          <w:iCs/>
        </w:rPr>
        <w:t>Gikas</w:t>
      </w:r>
      <w:r>
        <w:rPr>
          <w:rFonts w:ascii="Century Schoolbook" w:hAnsi="Century Schoolbook"/>
          <w:i/>
          <w:iCs/>
        </w:rPr>
        <w:t>, supra,</w:t>
      </w:r>
      <w:r w:rsidRPr="007C7446">
        <w:rPr>
          <w:rFonts w:ascii="Century Schoolbook" w:hAnsi="Century Schoolbook"/>
          <w:i/>
          <w:iCs/>
        </w:rPr>
        <w:t xml:space="preserve"> </w:t>
      </w:r>
      <w:r w:rsidRPr="004D0102">
        <w:rPr>
          <w:rFonts w:ascii="Century Schoolbook" w:hAnsi="Century Schoolbook"/>
        </w:rPr>
        <w:t xml:space="preserve">6 Cal.4th </w:t>
      </w:r>
      <w:r>
        <w:rPr>
          <w:rFonts w:ascii="Century Schoolbook" w:hAnsi="Century Schoolbook"/>
        </w:rPr>
        <w:t>at p. </w:t>
      </w:r>
      <w:r w:rsidRPr="004D0102">
        <w:rPr>
          <w:rFonts w:ascii="Century Schoolbook" w:hAnsi="Century Schoolbook"/>
        </w:rPr>
        <w:t>847</w:t>
      </w:r>
      <w:r>
        <w:rPr>
          <w:rFonts w:ascii="Century Schoolbook" w:hAnsi="Century Schoolbook"/>
        </w:rPr>
        <w:t xml:space="preserve">; see </w:t>
      </w:r>
      <w:r>
        <w:rPr>
          <w:rFonts w:ascii="Century Schoolbook" w:hAnsi="Century Schoolbook"/>
          <w:i/>
          <w:iCs/>
        </w:rPr>
        <w:t>id.</w:t>
      </w:r>
      <w:r>
        <w:rPr>
          <w:rFonts w:ascii="Century Schoolbook" w:hAnsi="Century Schoolbook"/>
        </w:rPr>
        <w:t xml:space="preserve"> at pp. 844–845 [criminal </w:t>
      </w:r>
      <w:r>
        <w:rPr>
          <w:rFonts w:ascii="Century Schoolbook" w:hAnsi="Century Schoolbook"/>
        </w:rPr>
        <w:t>proceeding</w:t>
      </w:r>
      <w:r>
        <w:rPr>
          <w:rFonts w:ascii="Century Schoolbook" w:hAnsi="Century Schoolbook"/>
        </w:rPr>
        <w:t xml:space="preserve"> determination that arrest was illegal does not </w:t>
      </w:r>
      <w:r>
        <w:rPr>
          <w:rFonts w:ascii="Century Schoolbook" w:hAnsi="Century Schoolbook"/>
        </w:rPr>
        <w:lastRenderedPageBreak/>
        <w:t xml:space="preserve">preclude opposite finding by DMV in APS suspension proceeding].)  </w:t>
      </w:r>
      <w:r>
        <w:rPr>
          <w:rFonts w:ascii="Century Schoolbook" w:hAnsi="Century Schoolbook"/>
        </w:rPr>
        <w:t>Notably, the Legislature determined APS suspension</w:t>
      </w:r>
      <w:r>
        <w:rPr>
          <w:rFonts w:ascii="Century Schoolbook" w:hAnsi="Century Schoolbook"/>
        </w:rPr>
        <w:t>s</w:t>
      </w:r>
      <w:r>
        <w:rPr>
          <w:rFonts w:ascii="Century Schoolbook" w:hAnsi="Century Schoolbook"/>
        </w:rPr>
        <w:t xml:space="preserve"> were sufficiently reliable </w:t>
      </w:r>
      <w:r>
        <w:rPr>
          <w:rFonts w:ascii="Century Schoolbook" w:hAnsi="Century Schoolbook"/>
        </w:rPr>
        <w:t>that they should only be vacated by a</w:t>
      </w:r>
      <w:r>
        <w:rPr>
          <w:rFonts w:ascii="Century Schoolbook" w:hAnsi="Century Schoolbook"/>
        </w:rPr>
        <w:t xml:space="preserve"> criminal court</w:t>
      </w:r>
      <w:r>
        <w:rPr>
          <w:rFonts w:ascii="Century Schoolbook" w:hAnsi="Century Schoolbook"/>
        </w:rPr>
        <w:t xml:space="preserve"> acquittal</w:t>
      </w:r>
      <w:r>
        <w:rPr>
          <w:rFonts w:ascii="Century Schoolbook" w:hAnsi="Century Schoolbook"/>
        </w:rPr>
        <w:t xml:space="preserve">, and not by other </w:t>
      </w:r>
      <w:proofErr w:type="spellStart"/>
      <w:r>
        <w:rPr>
          <w:rFonts w:ascii="Century Schoolbook" w:hAnsi="Century Schoolbook"/>
        </w:rPr>
        <w:t>nonconviction</w:t>
      </w:r>
      <w:proofErr w:type="spellEnd"/>
      <w:r>
        <w:rPr>
          <w:rFonts w:ascii="Century Schoolbook" w:hAnsi="Century Schoolbook"/>
        </w:rPr>
        <w:t xml:space="preserve"> dispositions in a criminal proceeding.  </w:t>
      </w:r>
      <w:r>
        <w:rPr>
          <w:rFonts w:ascii="Century Schoolbook" w:hAnsi="Century Schoolbook"/>
        </w:rPr>
        <w:t>(</w:t>
      </w:r>
      <w:r>
        <w:rPr>
          <w:rFonts w:ascii="Century Schoolbook" w:hAnsi="Century Schoolbook"/>
          <w:i/>
          <w:iCs/>
        </w:rPr>
        <w:t>Id.</w:t>
      </w:r>
      <w:r>
        <w:rPr>
          <w:rFonts w:ascii="Century Schoolbook" w:hAnsi="Century Schoolbook"/>
        </w:rPr>
        <w:t xml:space="preserve"> at p. </w:t>
      </w:r>
      <w:r w:rsidRPr="006E4774">
        <w:rPr>
          <w:rFonts w:ascii="Century Schoolbook" w:hAnsi="Century Schoolbook"/>
        </w:rPr>
        <w:t>85</w:t>
      </w:r>
      <w:r>
        <w:rPr>
          <w:rFonts w:ascii="Century Schoolbook" w:hAnsi="Century Schoolbook"/>
        </w:rPr>
        <w:t>6</w:t>
      </w:r>
      <w:r>
        <w:rPr>
          <w:rFonts w:ascii="Century Schoolbook" w:hAnsi="Century Schoolbook"/>
        </w:rPr>
        <w:t xml:space="preserve"> </w:t>
      </w:r>
      <w:r>
        <w:rPr>
          <w:rFonts w:ascii="Century Schoolbook" w:hAnsi="Century Schoolbook"/>
        </w:rPr>
        <w:t>[</w:t>
      </w:r>
      <w:r>
        <w:rPr>
          <w:rFonts w:ascii="Century Schoolbook" w:hAnsi="Century Schoolbook"/>
        </w:rPr>
        <w:t>“[T]</w:t>
      </w:r>
      <w:r w:rsidRPr="00760331">
        <w:rPr>
          <w:rFonts w:ascii="Century Schoolbook" w:hAnsi="Century Schoolbook"/>
        </w:rPr>
        <w:t xml:space="preserve">he Legislature used precise language. </w:t>
      </w:r>
      <w:r>
        <w:rPr>
          <w:rFonts w:ascii="Century Schoolbook" w:hAnsi="Century Schoolbook"/>
        </w:rPr>
        <w:t xml:space="preserve"> </w:t>
      </w:r>
      <w:r w:rsidRPr="00760331">
        <w:rPr>
          <w:rFonts w:ascii="Century Schoolbook" w:hAnsi="Century Schoolbook"/>
        </w:rPr>
        <w:t>It chose to prevent the DMV from suspending a driver</w:t>
      </w:r>
      <w:r>
        <w:rPr>
          <w:rFonts w:ascii="Century Schoolbook" w:hAnsi="Century Schoolbook"/>
        </w:rPr>
        <w:t>’</w:t>
      </w:r>
      <w:r w:rsidRPr="00760331">
        <w:rPr>
          <w:rFonts w:ascii="Century Schoolbook" w:hAnsi="Century Schoolbook"/>
        </w:rPr>
        <w:t xml:space="preserve">s license if the criminal courts found the person in fact not guilty of </w:t>
      </w:r>
      <w:r w:rsidRPr="00760331">
        <w:rPr>
          <w:rFonts w:ascii="Century Schoolbook" w:hAnsi="Century Schoolbook"/>
        </w:rPr>
        <w:t>drunk driving, but not otherwise.</w:t>
      </w:r>
      <w:r>
        <w:rPr>
          <w:rFonts w:ascii="Century Schoolbook" w:hAnsi="Century Schoolbook"/>
        </w:rPr>
        <w:t>”</w:t>
      </w:r>
      <w:r>
        <w:rPr>
          <w:rFonts w:ascii="Century Schoolbook" w:hAnsi="Century Schoolbook"/>
        </w:rPr>
        <w:t xml:space="preserve">]; </w:t>
      </w:r>
      <w:r>
        <w:rPr>
          <w:rFonts w:ascii="Century Schoolbook" w:hAnsi="Century Schoolbook"/>
        </w:rPr>
        <w:t xml:space="preserve">see also </w:t>
      </w:r>
      <w:r w:rsidRPr="001943D0">
        <w:rPr>
          <w:rFonts w:ascii="Century Schoolbook" w:hAnsi="Century Schoolbook"/>
          <w:i/>
          <w:iCs/>
        </w:rPr>
        <w:t>Agresti v. Department of Motor Vehicles</w:t>
      </w:r>
      <w:r w:rsidRPr="001943D0">
        <w:rPr>
          <w:rFonts w:ascii="Century Schoolbook" w:hAnsi="Century Schoolbook"/>
        </w:rPr>
        <w:t xml:space="preserve"> (1992) 5 Cal.App.4th 599, 604</w:t>
      </w:r>
      <w:r>
        <w:rPr>
          <w:rFonts w:ascii="Century Schoolbook" w:hAnsi="Century Schoolbook"/>
        </w:rPr>
        <w:t xml:space="preserve"> [“</w:t>
      </w:r>
      <w:r w:rsidRPr="001943D0">
        <w:rPr>
          <w:rFonts w:ascii="Century Schoolbook" w:hAnsi="Century Schoolbook"/>
        </w:rPr>
        <w:t xml:space="preserve">A criminal case may be dismissed on any one of several grounds, some based on procedural defects, others based on the merits of the case. </w:t>
      </w:r>
      <w:r>
        <w:rPr>
          <w:rFonts w:ascii="Century Schoolbook" w:hAnsi="Century Schoolbook"/>
        </w:rPr>
        <w:t xml:space="preserve">. . . </w:t>
      </w:r>
      <w:r w:rsidRPr="001943D0">
        <w:rPr>
          <w:rFonts w:ascii="Century Schoolbook" w:hAnsi="Century Schoolbook"/>
        </w:rPr>
        <w:t>Thus, a dismissal does not necessarily involve a consideration of the merits of the cause.</w:t>
      </w:r>
      <w:r>
        <w:rPr>
          <w:rFonts w:ascii="Century Schoolbook" w:hAnsi="Century Schoolbook"/>
        </w:rPr>
        <w:t>”].)</w:t>
      </w:r>
      <w:r>
        <w:rPr>
          <w:rFonts w:ascii="Century Schoolbook" w:hAnsi="Century Schoolbook"/>
        </w:rPr>
        <w:t xml:space="preserve"> </w:t>
      </w:r>
    </w:p>
    <w:p w14:paraId="4DECFDBF" w14:textId="77777777" w:rsidR="006F58CB" w:rsidRDefault="006F58CB" w:rsidP="00691D7D">
      <w:pPr>
        <w:spacing w:line="360" w:lineRule="auto"/>
        <w:rPr>
          <w:rFonts w:ascii="Century Schoolbook" w:hAnsi="Century Schoolbook"/>
        </w:rPr>
      </w:pPr>
      <w:r>
        <w:rPr>
          <w:rFonts w:ascii="Century Schoolbook" w:hAnsi="Century Schoolbook"/>
        </w:rPr>
        <w:tab/>
      </w:r>
      <w:r>
        <w:rPr>
          <w:rFonts w:ascii="Century Schoolbook" w:hAnsi="Century Schoolbook"/>
        </w:rPr>
        <w:t>Thus</w:t>
      </w:r>
      <w:r>
        <w:rPr>
          <w:rFonts w:ascii="Century Schoolbook" w:hAnsi="Century Schoolbook"/>
        </w:rPr>
        <w:t xml:space="preserve">, </w:t>
      </w:r>
      <w:r>
        <w:rPr>
          <w:rFonts w:ascii="Century Schoolbook" w:hAnsi="Century Schoolbook"/>
        </w:rPr>
        <w:t xml:space="preserve">the low threshold </w:t>
      </w:r>
      <w:r>
        <w:rPr>
          <w:rFonts w:ascii="Century Schoolbook" w:hAnsi="Century Schoolbook"/>
        </w:rPr>
        <w:t xml:space="preserve">required </w:t>
      </w:r>
      <w:r>
        <w:rPr>
          <w:rFonts w:ascii="Century Schoolbook" w:hAnsi="Century Schoolbook"/>
        </w:rPr>
        <w:t xml:space="preserve">for </w:t>
      </w:r>
      <w:r>
        <w:rPr>
          <w:rFonts w:ascii="Century Schoolbook" w:hAnsi="Century Schoolbook"/>
        </w:rPr>
        <w:t xml:space="preserve">an </w:t>
      </w:r>
      <w:r>
        <w:rPr>
          <w:rFonts w:ascii="Century Schoolbook" w:hAnsi="Century Schoolbook"/>
        </w:rPr>
        <w:t xml:space="preserve">arrest and </w:t>
      </w:r>
      <w:r>
        <w:rPr>
          <w:rFonts w:ascii="Century Schoolbook" w:hAnsi="Century Schoolbook"/>
        </w:rPr>
        <w:t xml:space="preserve">the </w:t>
      </w:r>
      <w:r>
        <w:rPr>
          <w:rFonts w:ascii="Century Schoolbook" w:hAnsi="Century Schoolbook"/>
        </w:rPr>
        <w:t xml:space="preserve">absence of any prearrest adversarial testing renders </w:t>
      </w:r>
      <w:proofErr w:type="spellStart"/>
      <w:r>
        <w:rPr>
          <w:rFonts w:ascii="Century Schoolbook" w:hAnsi="Century Schoolbook"/>
        </w:rPr>
        <w:t>nonconviction</w:t>
      </w:r>
      <w:proofErr w:type="spellEnd"/>
      <w:r>
        <w:rPr>
          <w:rFonts w:ascii="Century Schoolbook" w:hAnsi="Century Schoolbook"/>
        </w:rPr>
        <w:t xml:space="preserve"> arrests </w:t>
      </w:r>
      <w:r>
        <w:rPr>
          <w:rFonts w:ascii="Century Schoolbook" w:hAnsi="Century Schoolbook"/>
        </w:rPr>
        <w:t>unreliable indicator</w:t>
      </w:r>
      <w:r>
        <w:rPr>
          <w:rFonts w:ascii="Century Schoolbook" w:hAnsi="Century Schoolbook"/>
        </w:rPr>
        <w:t>s</w:t>
      </w:r>
      <w:r>
        <w:rPr>
          <w:rFonts w:ascii="Century Schoolbook" w:hAnsi="Century Schoolbook"/>
        </w:rPr>
        <w:t xml:space="preserve"> of wrongdoing, and therefore</w:t>
      </w:r>
      <w:r>
        <w:rPr>
          <w:rFonts w:ascii="Century Schoolbook" w:hAnsi="Century Schoolbook"/>
        </w:rPr>
        <w:t xml:space="preserve"> </w:t>
      </w:r>
      <w:r>
        <w:rPr>
          <w:rFonts w:ascii="Century Schoolbook" w:hAnsi="Century Schoolbook"/>
        </w:rPr>
        <w:t>in need of privacy protection</w:t>
      </w:r>
      <w:r>
        <w:rPr>
          <w:rFonts w:ascii="Century Schoolbook" w:hAnsi="Century Schoolbook"/>
        </w:rPr>
        <w:t xml:space="preserve"> </w:t>
      </w:r>
      <w:r>
        <w:rPr>
          <w:rFonts w:ascii="Century Schoolbook" w:hAnsi="Century Schoolbook"/>
        </w:rPr>
        <w:t xml:space="preserve">to prevent </w:t>
      </w:r>
      <w:r>
        <w:rPr>
          <w:rFonts w:ascii="Century Schoolbook" w:hAnsi="Century Schoolbook"/>
        </w:rPr>
        <w:t xml:space="preserve">their </w:t>
      </w:r>
      <w:r>
        <w:rPr>
          <w:rFonts w:ascii="Century Schoolbook" w:hAnsi="Century Schoolbook"/>
        </w:rPr>
        <w:t>improper use</w:t>
      </w:r>
      <w:r>
        <w:rPr>
          <w:rFonts w:ascii="Century Schoolbook" w:hAnsi="Century Schoolbook"/>
        </w:rPr>
        <w:t xml:space="preserve">.  In contrast, an arrest does not </w:t>
      </w:r>
      <w:r>
        <w:rPr>
          <w:rFonts w:ascii="Century Schoolbook" w:hAnsi="Century Schoolbook"/>
        </w:rPr>
        <w:t xml:space="preserve">lead to </w:t>
      </w:r>
      <w:r>
        <w:rPr>
          <w:rFonts w:ascii="Century Schoolbook" w:hAnsi="Century Schoolbook"/>
        </w:rPr>
        <w:t>an APS suspension</w:t>
      </w:r>
      <w:r>
        <w:rPr>
          <w:rFonts w:ascii="Century Schoolbook" w:hAnsi="Century Schoolbook"/>
        </w:rPr>
        <w:t xml:space="preserve"> unless and until </w:t>
      </w:r>
      <w:r>
        <w:rPr>
          <w:rFonts w:ascii="Century Schoolbook" w:hAnsi="Century Schoolbook"/>
        </w:rPr>
        <w:t xml:space="preserve">the offense is established under </w:t>
      </w:r>
      <w:r>
        <w:rPr>
          <w:rFonts w:ascii="Century Schoolbook" w:hAnsi="Century Schoolbook"/>
        </w:rPr>
        <w:t xml:space="preserve">a higher standard and, </w:t>
      </w:r>
      <w:r>
        <w:rPr>
          <w:rFonts w:ascii="Century Schoolbook" w:hAnsi="Century Schoolbook"/>
        </w:rPr>
        <w:t xml:space="preserve">upon the </w:t>
      </w:r>
      <w:r>
        <w:rPr>
          <w:rFonts w:ascii="Century Schoolbook" w:hAnsi="Century Schoolbook"/>
        </w:rPr>
        <w:t>licensee</w:t>
      </w:r>
      <w:r>
        <w:rPr>
          <w:rFonts w:ascii="Century Schoolbook" w:hAnsi="Century Schoolbook"/>
        </w:rPr>
        <w:t>’s request</w:t>
      </w:r>
      <w:r>
        <w:rPr>
          <w:rFonts w:ascii="Century Schoolbook" w:hAnsi="Century Schoolbook"/>
        </w:rPr>
        <w:t xml:space="preserve">, the accusation is tested </w:t>
      </w:r>
      <w:r>
        <w:rPr>
          <w:rFonts w:ascii="Century Schoolbook" w:hAnsi="Century Schoolbook"/>
        </w:rPr>
        <w:t xml:space="preserve">in an </w:t>
      </w:r>
      <w:r>
        <w:rPr>
          <w:rFonts w:ascii="Century Schoolbook" w:hAnsi="Century Schoolbook"/>
        </w:rPr>
        <w:t xml:space="preserve">adversarial </w:t>
      </w:r>
      <w:r>
        <w:rPr>
          <w:rFonts w:ascii="Century Schoolbook" w:hAnsi="Century Schoolbook"/>
        </w:rPr>
        <w:t>evidentiary hearing</w:t>
      </w:r>
      <w:r>
        <w:rPr>
          <w:rFonts w:ascii="Century Schoolbook" w:hAnsi="Century Schoolbook"/>
        </w:rPr>
        <w:t>.</w:t>
      </w:r>
      <w:r>
        <w:rPr>
          <w:rFonts w:ascii="Century Schoolbook" w:hAnsi="Century Schoolbook"/>
        </w:rPr>
        <w:t xml:space="preserve">  </w:t>
      </w:r>
      <w:r>
        <w:rPr>
          <w:rFonts w:ascii="Century Schoolbook" w:hAnsi="Century Schoolbook"/>
        </w:rPr>
        <w:t xml:space="preserve">The Legislature considered this procedure sufficiently reliable to decouple the administrative process from the criminal, allowing the administrative result to stand </w:t>
      </w:r>
      <w:r>
        <w:rPr>
          <w:rFonts w:ascii="Century Schoolbook" w:hAnsi="Century Schoolbook"/>
        </w:rPr>
        <w:t xml:space="preserve">unless the criminal </w:t>
      </w:r>
      <w:r>
        <w:rPr>
          <w:rFonts w:ascii="Century Schoolbook" w:hAnsi="Century Schoolbook"/>
        </w:rPr>
        <w:t>proceeding</w:t>
      </w:r>
      <w:r>
        <w:rPr>
          <w:rFonts w:ascii="Century Schoolbook" w:hAnsi="Century Schoolbook"/>
        </w:rPr>
        <w:t xml:space="preserve"> result</w:t>
      </w:r>
      <w:r>
        <w:rPr>
          <w:rFonts w:ascii="Century Schoolbook" w:hAnsi="Century Schoolbook"/>
        </w:rPr>
        <w:t>s</w:t>
      </w:r>
      <w:r>
        <w:rPr>
          <w:rFonts w:ascii="Century Schoolbook" w:hAnsi="Century Schoolbook"/>
        </w:rPr>
        <w:t xml:space="preserve"> in a</w:t>
      </w:r>
      <w:r>
        <w:rPr>
          <w:rFonts w:ascii="Century Schoolbook" w:hAnsi="Century Schoolbook"/>
        </w:rPr>
        <w:t>n acquittal.</w:t>
      </w:r>
      <w:r>
        <w:rPr>
          <w:rFonts w:ascii="Century Schoolbook" w:hAnsi="Century Schoolbook"/>
        </w:rPr>
        <w:t xml:space="preserve">  </w:t>
      </w:r>
      <w:r>
        <w:rPr>
          <w:rFonts w:ascii="Century Schoolbook" w:hAnsi="Century Schoolbook"/>
        </w:rPr>
        <w:t xml:space="preserve">This </w:t>
      </w:r>
      <w:r>
        <w:rPr>
          <w:rFonts w:ascii="Century Schoolbook" w:hAnsi="Century Schoolbook"/>
        </w:rPr>
        <w:t>decoupling</w:t>
      </w:r>
      <w:r>
        <w:rPr>
          <w:rFonts w:ascii="Century Schoolbook" w:hAnsi="Century Schoolbook"/>
        </w:rPr>
        <w:t xml:space="preserve"> supports a </w:t>
      </w:r>
      <w:r>
        <w:rPr>
          <w:rFonts w:ascii="Century Schoolbook" w:hAnsi="Century Schoolbook"/>
        </w:rPr>
        <w:t xml:space="preserve">conclusion that </w:t>
      </w:r>
      <w:r>
        <w:rPr>
          <w:rFonts w:ascii="Century Schoolbook" w:hAnsi="Century Schoolbook"/>
        </w:rPr>
        <w:t xml:space="preserve">prohibiting </w:t>
      </w:r>
      <w:r>
        <w:rPr>
          <w:rFonts w:ascii="Century Schoolbook" w:hAnsi="Century Schoolbook"/>
        </w:rPr>
        <w:t xml:space="preserve">disclosure of the reason for an APS suspension </w:t>
      </w:r>
      <w:r>
        <w:rPr>
          <w:rFonts w:ascii="Century Schoolbook" w:hAnsi="Century Schoolbook"/>
        </w:rPr>
        <w:t>would not serve the purposes underlying the constitutional and statutory privacy provisions</w:t>
      </w:r>
      <w:r>
        <w:rPr>
          <w:rFonts w:ascii="Century Schoolbook" w:hAnsi="Century Schoolbook"/>
        </w:rPr>
        <w:t>.</w:t>
      </w:r>
      <w:r>
        <w:rPr>
          <w:rStyle w:val="FootnoteReference"/>
          <w:rFonts w:ascii="Century Schoolbook" w:hAnsi="Century Schoolbook"/>
        </w:rPr>
        <w:footnoteReference w:id="22"/>
      </w:r>
    </w:p>
    <w:p w14:paraId="17CF5890" w14:textId="77777777" w:rsidR="006F58CB" w:rsidRDefault="006F58CB" w:rsidP="002605DE">
      <w:pPr>
        <w:spacing w:line="360" w:lineRule="auto"/>
        <w:rPr>
          <w:rFonts w:ascii="Century Schoolbook" w:hAnsi="Century Schoolbook"/>
        </w:rPr>
      </w:pPr>
      <w:r>
        <w:rPr>
          <w:rFonts w:ascii="Century Schoolbook" w:hAnsi="Century Schoolbook"/>
        </w:rPr>
        <w:lastRenderedPageBreak/>
        <w:tab/>
      </w:r>
      <w:r>
        <w:rPr>
          <w:rFonts w:ascii="Century Schoolbook" w:hAnsi="Century Schoolbook"/>
        </w:rPr>
        <w:t>In sum, w</w:t>
      </w:r>
      <w:r>
        <w:rPr>
          <w:rFonts w:ascii="Century Schoolbook" w:hAnsi="Century Schoolbook"/>
        </w:rPr>
        <w:t xml:space="preserve">e hold that </w:t>
      </w:r>
      <w:r>
        <w:rPr>
          <w:rFonts w:ascii="Century Schoolbook" w:hAnsi="Century Schoolbook"/>
        </w:rPr>
        <w:t>DMV’s disclosure of the</w:t>
      </w:r>
      <w:r>
        <w:rPr>
          <w:rFonts w:ascii="Century Schoolbook" w:hAnsi="Century Schoolbook"/>
        </w:rPr>
        <w:t xml:space="preserve"> </w:t>
      </w:r>
      <w:r>
        <w:rPr>
          <w:rFonts w:ascii="Century Schoolbook" w:hAnsi="Century Schoolbook"/>
        </w:rPr>
        <w:t xml:space="preserve">reason for an </w:t>
      </w:r>
      <w:r>
        <w:rPr>
          <w:rFonts w:ascii="Century Schoolbook" w:hAnsi="Century Schoolbook"/>
        </w:rPr>
        <w:t>APS suspension</w:t>
      </w:r>
      <w:r>
        <w:rPr>
          <w:rFonts w:ascii="Century Schoolbook" w:hAnsi="Century Schoolbook"/>
        </w:rPr>
        <w:t xml:space="preserve"> </w:t>
      </w:r>
      <w:r>
        <w:rPr>
          <w:rFonts w:ascii="Century Schoolbook" w:hAnsi="Century Schoolbook"/>
        </w:rPr>
        <w:t xml:space="preserve">does not constitute disclosure of information received from law enforcement pertaining to </w:t>
      </w:r>
      <w:r>
        <w:rPr>
          <w:rFonts w:ascii="Century Schoolbook" w:hAnsi="Century Schoolbook"/>
        </w:rPr>
        <w:t xml:space="preserve">or concerning </w:t>
      </w:r>
      <w:r>
        <w:rPr>
          <w:rFonts w:ascii="Century Schoolbook" w:hAnsi="Century Schoolbook"/>
        </w:rPr>
        <w:t xml:space="preserve">an </w:t>
      </w:r>
      <w:proofErr w:type="gramStart"/>
      <w:r>
        <w:rPr>
          <w:rFonts w:ascii="Century Schoolbook" w:hAnsi="Century Schoolbook"/>
        </w:rPr>
        <w:t>arrest</w:t>
      </w:r>
      <w:r>
        <w:rPr>
          <w:rFonts w:ascii="Century Schoolbook" w:hAnsi="Century Schoolbook"/>
        </w:rPr>
        <w:t>,</w:t>
      </w:r>
      <w:r>
        <w:rPr>
          <w:rFonts w:ascii="Century Schoolbook" w:hAnsi="Century Schoolbook"/>
        </w:rPr>
        <w:t xml:space="preserve"> and</w:t>
      </w:r>
      <w:proofErr w:type="gramEnd"/>
      <w:r>
        <w:rPr>
          <w:rFonts w:ascii="Century Schoolbook" w:hAnsi="Century Schoolbook"/>
        </w:rPr>
        <w:t xml:space="preserve"> is therefore not prohibited by Labor Code section 432.7(g)(2) or the constitutional right to privacy</w:t>
      </w:r>
      <w:r>
        <w:rPr>
          <w:rFonts w:ascii="Century Schoolbook" w:hAnsi="Century Schoolbook"/>
        </w:rPr>
        <w:t>.</w:t>
      </w:r>
      <w:r>
        <w:rPr>
          <w:rStyle w:val="FootnoteReference"/>
          <w:rFonts w:ascii="Century Schoolbook" w:hAnsi="Century Schoolbook"/>
        </w:rPr>
        <w:footnoteReference w:id="23"/>
      </w:r>
      <w:r>
        <w:rPr>
          <w:rFonts w:ascii="Century Schoolbook" w:hAnsi="Century Schoolbook"/>
        </w:rPr>
        <w:t xml:space="preserve">  </w:t>
      </w:r>
    </w:p>
    <w:p w14:paraId="08854D6E" w14:textId="77777777" w:rsidR="006F58CB" w:rsidRDefault="006F58CB" w:rsidP="002F2B0E">
      <w:pPr>
        <w:spacing w:line="360" w:lineRule="auto"/>
        <w:rPr>
          <w:rFonts w:ascii="Century Schoolbook" w:hAnsi="Century Schoolbook"/>
        </w:rPr>
      </w:pPr>
      <w:r>
        <w:rPr>
          <w:rFonts w:ascii="Century Schoolbook" w:hAnsi="Century Schoolbook"/>
        </w:rPr>
        <w:t>II.</w:t>
      </w:r>
      <w:r>
        <w:rPr>
          <w:rFonts w:ascii="Century Schoolbook" w:hAnsi="Century Schoolbook"/>
        </w:rPr>
        <w:tab/>
      </w:r>
      <w:r>
        <w:rPr>
          <w:rFonts w:ascii="Century Schoolbook" w:hAnsi="Century Schoolbook"/>
          <w:i/>
          <w:iCs/>
        </w:rPr>
        <w:t>Information Practices Act</w:t>
      </w:r>
    </w:p>
    <w:p w14:paraId="7CF82284" w14:textId="77777777" w:rsidR="006F58CB" w:rsidRDefault="006F58CB" w:rsidP="002F2B0E">
      <w:pPr>
        <w:spacing w:line="360" w:lineRule="auto"/>
        <w:rPr>
          <w:rFonts w:ascii="Century Schoolbook" w:hAnsi="Century Schoolbook"/>
        </w:rPr>
      </w:pPr>
      <w:r>
        <w:rPr>
          <w:rFonts w:ascii="Century Schoolbook" w:hAnsi="Century Schoolbook"/>
        </w:rPr>
        <w:tab/>
      </w:r>
      <w:r>
        <w:rPr>
          <w:rFonts w:ascii="Century Schoolbook" w:hAnsi="Century Schoolbook"/>
        </w:rPr>
        <w:t xml:space="preserve">DMV </w:t>
      </w:r>
      <w:r>
        <w:rPr>
          <w:rFonts w:ascii="Century Schoolbook" w:hAnsi="Century Schoolbook"/>
        </w:rPr>
        <w:t xml:space="preserve">argues that </w:t>
      </w:r>
      <w:r>
        <w:rPr>
          <w:rFonts w:ascii="Century Schoolbook" w:hAnsi="Century Schoolbook"/>
        </w:rPr>
        <w:t>the Information Practices Act</w:t>
      </w:r>
      <w:r>
        <w:rPr>
          <w:rFonts w:ascii="Century Schoolbook" w:hAnsi="Century Schoolbook"/>
        </w:rPr>
        <w:t xml:space="preserve">’s </w:t>
      </w:r>
      <w:r>
        <w:rPr>
          <w:rFonts w:ascii="Century Schoolbook" w:hAnsi="Century Schoolbook"/>
        </w:rPr>
        <w:t xml:space="preserve">record </w:t>
      </w:r>
      <w:r>
        <w:rPr>
          <w:rFonts w:ascii="Century Schoolbook" w:hAnsi="Century Schoolbook"/>
        </w:rPr>
        <w:t>correction provisions do not apply to</w:t>
      </w:r>
      <w:r>
        <w:rPr>
          <w:rFonts w:ascii="Century Schoolbook" w:hAnsi="Century Schoolbook"/>
        </w:rPr>
        <w:t xml:space="preserve"> records of a driver’s </w:t>
      </w:r>
      <w:r>
        <w:rPr>
          <w:rFonts w:ascii="Century Schoolbook" w:hAnsi="Century Schoolbook"/>
        </w:rPr>
        <w:t>criminal history</w:t>
      </w:r>
      <w:r>
        <w:rPr>
          <w:rFonts w:ascii="Century Schoolbook" w:hAnsi="Century Schoolbook"/>
        </w:rPr>
        <w:t xml:space="preserve"> and licensing actions</w:t>
      </w:r>
      <w:r>
        <w:rPr>
          <w:rFonts w:ascii="Century Schoolbook" w:hAnsi="Century Schoolbook"/>
        </w:rPr>
        <w:t xml:space="preserve">.  We </w:t>
      </w:r>
      <w:r>
        <w:rPr>
          <w:rFonts w:ascii="Century Schoolbook" w:hAnsi="Century Schoolbook"/>
        </w:rPr>
        <w:t>disagree</w:t>
      </w:r>
      <w:r>
        <w:rPr>
          <w:rFonts w:ascii="Century Schoolbook" w:hAnsi="Century Schoolbook"/>
        </w:rPr>
        <w:t>.</w:t>
      </w:r>
    </w:p>
    <w:p w14:paraId="56510C93" w14:textId="77777777" w:rsidR="006F58CB" w:rsidRPr="00C33315" w:rsidRDefault="006F58CB" w:rsidP="002F2B0E">
      <w:pPr>
        <w:spacing w:line="360" w:lineRule="auto"/>
        <w:rPr>
          <w:rFonts w:ascii="Century Schoolbook" w:hAnsi="Century Schoolbook"/>
          <w:i/>
          <w:iCs/>
        </w:rPr>
      </w:pPr>
      <w:r>
        <w:rPr>
          <w:rFonts w:ascii="Century Schoolbook" w:hAnsi="Century Schoolbook"/>
        </w:rPr>
        <w:tab/>
        <w:t>A.</w:t>
      </w:r>
      <w:r>
        <w:rPr>
          <w:rFonts w:ascii="Century Schoolbook" w:hAnsi="Century Schoolbook"/>
        </w:rPr>
        <w:tab/>
      </w:r>
      <w:r>
        <w:rPr>
          <w:rFonts w:ascii="Century Schoolbook" w:hAnsi="Century Schoolbook"/>
          <w:i/>
          <w:iCs/>
        </w:rPr>
        <w:t>Additional Background</w:t>
      </w:r>
    </w:p>
    <w:p w14:paraId="7E5C4F85" w14:textId="77777777" w:rsidR="006F58CB" w:rsidRDefault="006F58CB" w:rsidP="00CD2D16">
      <w:pPr>
        <w:spacing w:line="360" w:lineRule="auto"/>
        <w:rPr>
          <w:rFonts w:ascii="Century Schoolbook" w:hAnsi="Century Schoolbook"/>
        </w:rPr>
      </w:pPr>
      <w:r>
        <w:rPr>
          <w:rFonts w:ascii="Century Schoolbook" w:hAnsi="Century Schoolbook"/>
        </w:rPr>
        <w:tab/>
      </w:r>
      <w:proofErr w:type="gramStart"/>
      <w:r w:rsidRPr="00F33B2D">
        <w:rPr>
          <w:rFonts w:ascii="Century Schoolbook" w:hAnsi="Century Schoolbook"/>
        </w:rPr>
        <w:t>“</w:t>
      </w:r>
      <w:r>
        <w:rPr>
          <w:rFonts w:ascii="Century Schoolbook" w:hAnsi="Century Schoolbook"/>
        </w:rPr>
        <w:t> ‘</w:t>
      </w:r>
      <w:proofErr w:type="gramEnd"/>
      <w:r w:rsidRPr="00F33B2D">
        <w:rPr>
          <w:rFonts w:ascii="Century Schoolbook" w:hAnsi="Century Schoolbook"/>
        </w:rPr>
        <w:t xml:space="preserve">The Information Practices Act, enacted in 1977, generally imposes limitations on the right of governmental agencies to disclose personal information about an individual. </w:t>
      </w:r>
      <w:r>
        <w:rPr>
          <w:rFonts w:ascii="Century Schoolbook" w:hAnsi="Century Schoolbook"/>
        </w:rPr>
        <w:t xml:space="preserve"> [Citations.]  “</w:t>
      </w:r>
      <w:r w:rsidRPr="00F33B2D">
        <w:rPr>
          <w:rFonts w:ascii="Century Schoolbook" w:hAnsi="Century Schoolbook"/>
        </w:rPr>
        <w:t>The statute was designed by the Legislature to prevent misuse of the increasing amount of information about citizens which government agencies amass in the course of their multifarious activities, the disclosure of which could be embarrassing or otherwise prejudicial to individuals or organizations.</w:t>
      </w:r>
      <w:proofErr w:type="gramStart"/>
      <w:r>
        <w:rPr>
          <w:rFonts w:ascii="Century Schoolbook" w:hAnsi="Century Schoolbook"/>
        </w:rPr>
        <w:t>” </w:t>
      </w:r>
      <w:r w:rsidRPr="00F33B2D">
        <w:rPr>
          <w:rFonts w:ascii="Century Schoolbook" w:hAnsi="Century Schoolbook"/>
        </w:rPr>
        <w:t>’</w:t>
      </w:r>
      <w:proofErr w:type="gramEnd"/>
      <w:r>
        <w:rPr>
          <w:rFonts w:ascii="Century Schoolbook" w:hAnsi="Century Schoolbook"/>
        </w:rPr>
        <w:t> ”  (</w:t>
      </w:r>
      <w:r w:rsidRPr="00151E63">
        <w:rPr>
          <w:rFonts w:ascii="Century Schoolbook" w:hAnsi="Century Schoolbook"/>
          <w:i/>
          <w:iCs/>
        </w:rPr>
        <w:t>Bates v. Franchise</w:t>
      </w:r>
      <w:r w:rsidRPr="00151E63">
        <w:rPr>
          <w:rFonts w:ascii="Century Schoolbook" w:hAnsi="Century Schoolbook"/>
          <w:i/>
          <w:iCs/>
        </w:rPr>
        <w:t xml:space="preserve"> Tax Bd.</w:t>
      </w:r>
      <w:r w:rsidRPr="00F33B2D">
        <w:rPr>
          <w:rFonts w:ascii="Century Schoolbook" w:hAnsi="Century Schoolbook"/>
        </w:rPr>
        <w:t xml:space="preserve"> (2004) 124 Cal.App.4th 367, 373</w:t>
      </w:r>
      <w:r>
        <w:rPr>
          <w:rFonts w:ascii="Century Schoolbook" w:hAnsi="Century Schoolbook"/>
        </w:rPr>
        <w:t xml:space="preserve"> (</w:t>
      </w:r>
      <w:r>
        <w:rPr>
          <w:rFonts w:ascii="Century Schoolbook" w:hAnsi="Century Schoolbook"/>
          <w:i/>
          <w:iCs/>
        </w:rPr>
        <w:t>Bates</w:t>
      </w:r>
      <w:r>
        <w:rPr>
          <w:rFonts w:ascii="Century Schoolbook" w:hAnsi="Century Schoolbook"/>
        </w:rPr>
        <w:t>)</w:t>
      </w:r>
      <w:r>
        <w:rPr>
          <w:rFonts w:ascii="Century Schoolbook" w:hAnsi="Century Schoolbook"/>
        </w:rPr>
        <w:t>.)</w:t>
      </w:r>
    </w:p>
    <w:p w14:paraId="3663A5A4" w14:textId="77777777" w:rsidR="006F58CB" w:rsidRDefault="006F58CB" w:rsidP="00405999">
      <w:pPr>
        <w:spacing w:line="360" w:lineRule="auto"/>
        <w:rPr>
          <w:rFonts w:ascii="Century Schoolbook" w:hAnsi="Century Schoolbook"/>
        </w:rPr>
      </w:pPr>
      <w:r>
        <w:rPr>
          <w:rFonts w:ascii="Century Schoolbook" w:hAnsi="Century Schoolbook"/>
        </w:rPr>
        <w:lastRenderedPageBreak/>
        <w:tab/>
      </w:r>
      <w:r>
        <w:rPr>
          <w:rFonts w:ascii="Century Schoolbook" w:hAnsi="Century Schoolbook"/>
        </w:rPr>
        <w:t xml:space="preserve">The IPA includes provisions </w:t>
      </w:r>
      <w:r>
        <w:rPr>
          <w:rFonts w:ascii="Century Schoolbook" w:hAnsi="Century Schoolbook"/>
        </w:rPr>
        <w:t>authorizing</w:t>
      </w:r>
      <w:r>
        <w:rPr>
          <w:rFonts w:ascii="Century Schoolbook" w:hAnsi="Century Schoolbook"/>
        </w:rPr>
        <w:t xml:space="preserve"> corrections</w:t>
      </w:r>
      <w:r>
        <w:rPr>
          <w:rFonts w:ascii="Century Schoolbook" w:hAnsi="Century Schoolbook"/>
        </w:rPr>
        <w:t xml:space="preserve">.  </w:t>
      </w:r>
      <w:r>
        <w:rPr>
          <w:rFonts w:ascii="Century Schoolbook" w:hAnsi="Century Schoolbook"/>
        </w:rPr>
        <w:t>Civil Code section 1798.</w:t>
      </w:r>
      <w:r>
        <w:rPr>
          <w:rFonts w:ascii="Century Schoolbook" w:hAnsi="Century Schoolbook"/>
        </w:rPr>
        <w:t>3</w:t>
      </w:r>
      <w:r>
        <w:rPr>
          <w:rFonts w:ascii="Century Schoolbook" w:hAnsi="Century Schoolbook"/>
        </w:rPr>
        <w:t>5 provides, “</w:t>
      </w:r>
      <w:r w:rsidRPr="00405999">
        <w:rPr>
          <w:rFonts w:ascii="Century Schoolbook" w:hAnsi="Century Schoolbook"/>
        </w:rPr>
        <w:t>Each agency shall permit an individual to request in writing an amendment of a record and, shall within 30 days of the date of receipt of such request</w:t>
      </w:r>
      <w:r>
        <w:rPr>
          <w:rFonts w:ascii="Century Schoolbook" w:hAnsi="Century Schoolbook"/>
        </w:rPr>
        <w:t>,” either “</w:t>
      </w:r>
      <w:r w:rsidRPr="00405999">
        <w:rPr>
          <w:rFonts w:ascii="Century Schoolbook" w:hAnsi="Century Schoolbook"/>
        </w:rPr>
        <w:t>Make each correction in accordance with the individual</w:t>
      </w:r>
      <w:r>
        <w:rPr>
          <w:rFonts w:ascii="Century Schoolbook" w:hAnsi="Century Schoolbook"/>
        </w:rPr>
        <w:t>’</w:t>
      </w:r>
      <w:r w:rsidRPr="00405999">
        <w:rPr>
          <w:rFonts w:ascii="Century Schoolbook" w:hAnsi="Century Schoolbook"/>
        </w:rPr>
        <w:t>s request</w:t>
      </w:r>
      <w:r>
        <w:rPr>
          <w:rFonts w:ascii="Century Schoolbook" w:hAnsi="Century Schoolbook"/>
        </w:rPr>
        <w:t>” or “</w:t>
      </w:r>
      <w:r w:rsidRPr="00405999">
        <w:rPr>
          <w:rFonts w:ascii="Century Schoolbook" w:hAnsi="Century Schoolbook"/>
        </w:rPr>
        <w:t>Inform the individual of its refusal to amend the record in accordance with such individual</w:t>
      </w:r>
      <w:r>
        <w:rPr>
          <w:rFonts w:ascii="Century Schoolbook" w:hAnsi="Century Schoolbook"/>
        </w:rPr>
        <w:t>’</w:t>
      </w:r>
      <w:r w:rsidRPr="00405999">
        <w:rPr>
          <w:rFonts w:ascii="Century Schoolbook" w:hAnsi="Century Schoolbook"/>
        </w:rPr>
        <w:t xml:space="preserve">s request, the reason for the refusal, </w:t>
      </w:r>
      <w:r>
        <w:rPr>
          <w:rFonts w:ascii="Century Schoolbook" w:hAnsi="Century Schoolbook"/>
        </w:rPr>
        <w:t xml:space="preserve">[and] </w:t>
      </w:r>
      <w:r w:rsidRPr="00405999">
        <w:rPr>
          <w:rFonts w:ascii="Century Schoolbook" w:hAnsi="Century Schoolbook"/>
        </w:rPr>
        <w:t>the procedures established by the agency for the individual to request a review</w:t>
      </w:r>
      <w:r>
        <w:rPr>
          <w:rFonts w:ascii="Century Schoolbook" w:hAnsi="Century Schoolbook"/>
        </w:rPr>
        <w:t>”</w:t>
      </w:r>
      <w:r>
        <w:rPr>
          <w:rFonts w:ascii="Century Schoolbook" w:hAnsi="Century Schoolbook"/>
        </w:rPr>
        <w:t xml:space="preserve"> by the agency.</w:t>
      </w:r>
      <w:r>
        <w:rPr>
          <w:rStyle w:val="FootnoteReference"/>
          <w:rFonts w:ascii="Century Schoolbook" w:hAnsi="Century Schoolbook"/>
        </w:rPr>
        <w:footnoteReference w:id="24"/>
      </w:r>
      <w:r>
        <w:rPr>
          <w:rFonts w:ascii="Century Schoolbook" w:hAnsi="Century Schoolbook"/>
        </w:rPr>
        <w:t xml:space="preserve">  </w:t>
      </w:r>
      <w:r>
        <w:rPr>
          <w:rFonts w:ascii="Century Schoolbook" w:hAnsi="Century Schoolbook"/>
        </w:rPr>
        <w:t>Civil Code s</w:t>
      </w:r>
      <w:r>
        <w:rPr>
          <w:rFonts w:ascii="Century Schoolbook" w:hAnsi="Century Schoolbook"/>
        </w:rPr>
        <w:t xml:space="preserve">ection 1798.36 requires agencies to </w:t>
      </w:r>
      <w:r>
        <w:rPr>
          <w:rFonts w:ascii="Century Schoolbook" w:hAnsi="Century Schoolbook"/>
        </w:rPr>
        <w:t xml:space="preserve">provide for such review </w:t>
      </w:r>
      <w:r>
        <w:rPr>
          <w:rFonts w:ascii="Century Schoolbook" w:hAnsi="Century Schoolbook"/>
        </w:rPr>
        <w:t>and establishes timelines and certain procedures.</w:t>
      </w:r>
      <w:r>
        <w:rPr>
          <w:rStyle w:val="FootnoteReference"/>
          <w:rFonts w:ascii="Century Schoolbook" w:hAnsi="Century Schoolbook"/>
        </w:rPr>
        <w:footnoteReference w:id="25"/>
      </w:r>
    </w:p>
    <w:p w14:paraId="27D65607" w14:textId="77777777" w:rsidR="006F58CB" w:rsidRDefault="006F58CB" w:rsidP="002F2B0E">
      <w:pPr>
        <w:spacing w:line="360" w:lineRule="auto"/>
        <w:rPr>
          <w:rFonts w:ascii="Century Schoolbook" w:hAnsi="Century Schoolbook"/>
        </w:rPr>
      </w:pPr>
      <w:r>
        <w:rPr>
          <w:rFonts w:ascii="Century Schoolbook" w:hAnsi="Century Schoolbook"/>
        </w:rPr>
        <w:lastRenderedPageBreak/>
        <w:tab/>
      </w:r>
      <w:r>
        <w:rPr>
          <w:rFonts w:ascii="Century Schoolbook" w:hAnsi="Century Schoolbook"/>
        </w:rPr>
        <w:t xml:space="preserve">DMV has established procedures for </w:t>
      </w:r>
      <w:r>
        <w:rPr>
          <w:rFonts w:ascii="Century Schoolbook" w:hAnsi="Century Schoolbook"/>
        </w:rPr>
        <w:t xml:space="preserve">persons </w:t>
      </w:r>
      <w:r>
        <w:rPr>
          <w:rFonts w:ascii="Century Schoolbook" w:hAnsi="Century Schoolbook"/>
        </w:rPr>
        <w:t xml:space="preserve">to exercise their rights under the IPA.  </w:t>
      </w:r>
      <w:r>
        <w:rPr>
          <w:rFonts w:ascii="Century Schoolbook" w:hAnsi="Century Schoolbook"/>
        </w:rPr>
        <w:t xml:space="preserve">But </w:t>
      </w:r>
      <w:r>
        <w:rPr>
          <w:rFonts w:ascii="Century Schoolbook" w:hAnsi="Century Schoolbook"/>
        </w:rPr>
        <w:t xml:space="preserve">DMV does not permit </w:t>
      </w:r>
      <w:r>
        <w:rPr>
          <w:rFonts w:ascii="Century Schoolbook" w:hAnsi="Century Schoolbook"/>
        </w:rPr>
        <w:t xml:space="preserve">persons to use </w:t>
      </w:r>
      <w:r>
        <w:rPr>
          <w:rFonts w:ascii="Century Schoolbook" w:hAnsi="Century Schoolbook"/>
        </w:rPr>
        <w:t>its IPA correction</w:t>
      </w:r>
      <w:r>
        <w:rPr>
          <w:rFonts w:ascii="Century Schoolbook" w:hAnsi="Century Schoolbook"/>
        </w:rPr>
        <w:t xml:space="preserve"> procedures with respect to </w:t>
      </w:r>
      <w:r>
        <w:rPr>
          <w:rFonts w:ascii="Century Schoolbook" w:hAnsi="Century Schoolbook"/>
        </w:rPr>
        <w:t>criminal history</w:t>
      </w:r>
      <w:r>
        <w:rPr>
          <w:rFonts w:ascii="Century Schoolbook" w:hAnsi="Century Schoolbook"/>
        </w:rPr>
        <w:t xml:space="preserve"> </w:t>
      </w:r>
      <w:r>
        <w:rPr>
          <w:rFonts w:ascii="Century Schoolbook" w:hAnsi="Century Schoolbook"/>
        </w:rPr>
        <w:t>or licensing action information.</w:t>
      </w:r>
      <w:r>
        <w:rPr>
          <w:rStyle w:val="FootnoteReference"/>
          <w:rFonts w:ascii="Century Schoolbook" w:hAnsi="Century Schoolbook"/>
        </w:rPr>
        <w:footnoteReference w:id="26"/>
      </w:r>
      <w:r>
        <w:rPr>
          <w:rFonts w:ascii="Century Schoolbook" w:hAnsi="Century Schoolbook"/>
        </w:rPr>
        <w:t xml:space="preserve"> </w:t>
      </w:r>
    </w:p>
    <w:p w14:paraId="64AF0F07" w14:textId="77777777" w:rsidR="006F58CB" w:rsidRDefault="006F58CB" w:rsidP="002F2B0E">
      <w:pPr>
        <w:spacing w:line="360" w:lineRule="auto"/>
        <w:rPr>
          <w:rFonts w:ascii="Century Schoolbook" w:hAnsi="Century Schoolbook"/>
        </w:rPr>
      </w:pPr>
      <w:r>
        <w:rPr>
          <w:rFonts w:ascii="Century Schoolbook" w:hAnsi="Century Schoolbook"/>
        </w:rPr>
        <w:tab/>
      </w:r>
      <w:r>
        <w:rPr>
          <w:rFonts w:ascii="Century Schoolbook" w:hAnsi="Century Schoolbook"/>
        </w:rPr>
        <w:t>B</w:t>
      </w:r>
      <w:r>
        <w:rPr>
          <w:rFonts w:ascii="Century Schoolbook" w:hAnsi="Century Schoolbook"/>
        </w:rPr>
        <w:t>.</w:t>
      </w:r>
      <w:r>
        <w:rPr>
          <w:rFonts w:ascii="Century Schoolbook" w:hAnsi="Century Schoolbook"/>
        </w:rPr>
        <w:tab/>
      </w:r>
      <w:r>
        <w:rPr>
          <w:rFonts w:ascii="Century Schoolbook" w:hAnsi="Century Schoolbook"/>
          <w:i/>
          <w:iCs/>
        </w:rPr>
        <w:t>“Records”</w:t>
      </w:r>
    </w:p>
    <w:p w14:paraId="2AE05A22" w14:textId="77777777" w:rsidR="006F58CB" w:rsidRDefault="006F58CB" w:rsidP="00294F08">
      <w:pPr>
        <w:spacing w:line="360" w:lineRule="auto"/>
        <w:rPr>
          <w:rFonts w:ascii="Century Schoolbook" w:hAnsi="Century Schoolbook"/>
        </w:rPr>
      </w:pPr>
      <w:r>
        <w:rPr>
          <w:rFonts w:ascii="Century Schoolbook" w:hAnsi="Century Schoolbook"/>
        </w:rPr>
        <w:tab/>
      </w:r>
      <w:r>
        <w:rPr>
          <w:rFonts w:ascii="Century Schoolbook" w:hAnsi="Century Schoolbook"/>
        </w:rPr>
        <w:t xml:space="preserve">DMV argues that because </w:t>
      </w:r>
      <w:r>
        <w:rPr>
          <w:rFonts w:ascii="Century Schoolbook" w:hAnsi="Century Schoolbook"/>
        </w:rPr>
        <w:t>criminal history</w:t>
      </w:r>
      <w:r>
        <w:rPr>
          <w:rFonts w:ascii="Century Schoolbook" w:hAnsi="Century Schoolbook"/>
        </w:rPr>
        <w:t xml:space="preserve"> and licensing actions are not “personal information” within the meaning of the IPA, the IPA’s correction provisions do not apply</w:t>
      </w:r>
      <w:r>
        <w:rPr>
          <w:rFonts w:ascii="Century Schoolbook" w:hAnsi="Century Schoolbook"/>
        </w:rPr>
        <w:t xml:space="preserve"> to this type of information.  </w:t>
      </w:r>
      <w:r>
        <w:rPr>
          <w:rFonts w:ascii="Century Schoolbook" w:hAnsi="Century Schoolbook"/>
        </w:rPr>
        <w:t>We disagree.</w:t>
      </w:r>
    </w:p>
    <w:p w14:paraId="7BEE94FA" w14:textId="77777777" w:rsidR="006F58CB" w:rsidRDefault="006F58CB" w:rsidP="00611053">
      <w:pPr>
        <w:spacing w:line="360" w:lineRule="auto"/>
        <w:rPr>
          <w:rFonts w:ascii="Century Schoolbook" w:hAnsi="Century Schoolbook"/>
        </w:rPr>
      </w:pPr>
      <w:r>
        <w:rPr>
          <w:rFonts w:ascii="Century Schoolbook" w:hAnsi="Century Schoolbook"/>
        </w:rPr>
        <w:tab/>
      </w:r>
      <w:r>
        <w:rPr>
          <w:rFonts w:ascii="Century Schoolbook" w:hAnsi="Century Schoolbook"/>
        </w:rPr>
        <w:t xml:space="preserve">Certain provisions of the </w:t>
      </w:r>
      <w:r>
        <w:rPr>
          <w:rFonts w:ascii="Century Schoolbook" w:hAnsi="Century Schoolbook"/>
        </w:rPr>
        <w:t xml:space="preserve">IPA </w:t>
      </w:r>
      <w:r>
        <w:rPr>
          <w:rFonts w:ascii="Century Schoolbook" w:hAnsi="Century Schoolbook"/>
        </w:rPr>
        <w:t xml:space="preserve">govern agencies’ </w:t>
      </w:r>
      <w:r>
        <w:rPr>
          <w:rFonts w:ascii="Century Schoolbook" w:hAnsi="Century Schoolbook"/>
        </w:rPr>
        <w:t>handling</w:t>
      </w:r>
      <w:r>
        <w:rPr>
          <w:rFonts w:ascii="Century Schoolbook" w:hAnsi="Century Schoolbook"/>
        </w:rPr>
        <w:t xml:space="preserve"> of </w:t>
      </w:r>
      <w:r>
        <w:rPr>
          <w:rFonts w:ascii="Century Schoolbook" w:hAnsi="Century Schoolbook"/>
        </w:rPr>
        <w:t>“personal information</w:t>
      </w:r>
      <w:r>
        <w:rPr>
          <w:rFonts w:ascii="Century Schoolbook" w:hAnsi="Century Schoolbook"/>
        </w:rPr>
        <w:t>,</w:t>
      </w:r>
      <w:r>
        <w:rPr>
          <w:rFonts w:ascii="Century Schoolbook" w:hAnsi="Century Schoolbook"/>
        </w:rPr>
        <w:t>”</w:t>
      </w:r>
      <w:r>
        <w:rPr>
          <w:rFonts w:ascii="Century Schoolbook" w:hAnsi="Century Schoolbook"/>
        </w:rPr>
        <w:t xml:space="preserve"> defined for purposes of the IPA as </w:t>
      </w:r>
      <w:r>
        <w:rPr>
          <w:rFonts w:ascii="Century Schoolbook" w:hAnsi="Century Schoolbook"/>
        </w:rPr>
        <w:t xml:space="preserve">information </w:t>
      </w:r>
      <w:r>
        <w:rPr>
          <w:rFonts w:ascii="Century Schoolbook" w:hAnsi="Century Schoolbook"/>
        </w:rPr>
        <w:t>“</w:t>
      </w:r>
      <w:r w:rsidRPr="00294F08">
        <w:rPr>
          <w:rFonts w:ascii="Century Schoolbook" w:hAnsi="Century Schoolbook"/>
        </w:rPr>
        <w:t>that identifies or describes an individual</w:t>
      </w:r>
      <w:r>
        <w:rPr>
          <w:rFonts w:ascii="Century Schoolbook" w:hAnsi="Century Schoolbook"/>
        </w:rPr>
        <w:t xml:space="preserve"> </w:t>
      </w:r>
      <w:proofErr w:type="gramStart"/>
      <w:r>
        <w:rPr>
          <w:rFonts w:ascii="Century Schoolbook" w:hAnsi="Century Schoolbook"/>
        </w:rPr>
        <w:t>. . . .</w:t>
      </w:r>
      <w:proofErr w:type="gramEnd"/>
      <w:r>
        <w:rPr>
          <w:rFonts w:ascii="Century Schoolbook" w:hAnsi="Century Schoolbook"/>
        </w:rPr>
        <w:t xml:space="preserve">”  </w:t>
      </w:r>
      <w:r>
        <w:rPr>
          <w:rFonts w:ascii="Century Schoolbook" w:hAnsi="Century Schoolbook"/>
        </w:rPr>
        <w:t>(</w:t>
      </w:r>
      <w:r w:rsidRPr="00294F08">
        <w:rPr>
          <w:rFonts w:ascii="Century Schoolbook" w:hAnsi="Century Schoolbook"/>
        </w:rPr>
        <w:t xml:space="preserve">Civ. Code, </w:t>
      </w:r>
      <w:r>
        <w:rPr>
          <w:rFonts w:ascii="Century Schoolbook" w:hAnsi="Century Schoolbook"/>
        </w:rPr>
        <w:t>§</w:t>
      </w:r>
      <w:r>
        <w:rPr>
          <w:rFonts w:ascii="Century Schoolbook" w:hAnsi="Century Schoolbook"/>
        </w:rPr>
        <w:t> </w:t>
      </w:r>
      <w:r w:rsidRPr="00294F08">
        <w:rPr>
          <w:rFonts w:ascii="Century Schoolbook" w:hAnsi="Century Schoolbook"/>
        </w:rPr>
        <w:t>1798.3</w:t>
      </w:r>
      <w:r>
        <w:rPr>
          <w:rFonts w:ascii="Century Schoolbook" w:hAnsi="Century Schoolbook"/>
        </w:rPr>
        <w:t>, subd. (a).)</w:t>
      </w:r>
      <w:r>
        <w:rPr>
          <w:rFonts w:ascii="Century Schoolbook" w:hAnsi="Century Schoolbook"/>
        </w:rPr>
        <w:t xml:space="preserve">  </w:t>
      </w:r>
      <w:r>
        <w:rPr>
          <w:rFonts w:ascii="Century Schoolbook" w:hAnsi="Century Schoolbook"/>
        </w:rPr>
        <w:t xml:space="preserve">However, the </w:t>
      </w:r>
      <w:r>
        <w:rPr>
          <w:rFonts w:ascii="Century Schoolbook" w:hAnsi="Century Schoolbook"/>
        </w:rPr>
        <w:t>correction provisions at issue here (Civ. Code, §§ </w:t>
      </w:r>
      <w:r w:rsidRPr="006754E2">
        <w:rPr>
          <w:rFonts w:ascii="Century Schoolbook" w:hAnsi="Century Schoolbook"/>
        </w:rPr>
        <w:t>1798.3</w:t>
      </w:r>
      <w:r>
        <w:rPr>
          <w:rFonts w:ascii="Century Schoolbook" w:hAnsi="Century Schoolbook"/>
        </w:rPr>
        <w:t>5,</w:t>
      </w:r>
      <w:r w:rsidRPr="006754E2">
        <w:rPr>
          <w:rFonts w:ascii="Century Schoolbook" w:hAnsi="Century Schoolbook"/>
        </w:rPr>
        <w:t xml:space="preserve"> 1798.36</w:t>
      </w:r>
      <w:r>
        <w:rPr>
          <w:rFonts w:ascii="Century Schoolbook" w:hAnsi="Century Schoolbook"/>
        </w:rPr>
        <w:t xml:space="preserve">) do not refer to personal information, </w:t>
      </w:r>
      <w:r>
        <w:rPr>
          <w:rFonts w:ascii="Century Schoolbook" w:hAnsi="Century Schoolbook"/>
        </w:rPr>
        <w:t>and instead govern requests to correct “any portion of a record</w:t>
      </w:r>
      <w:r>
        <w:rPr>
          <w:rFonts w:ascii="Century Schoolbook" w:hAnsi="Century Schoolbook"/>
        </w:rPr>
        <w:t>” (Civ. Code, § 1798.35, subd. (a)</w:t>
      </w:r>
      <w:r>
        <w:rPr>
          <w:rFonts w:ascii="Century Schoolbook" w:hAnsi="Century Schoolbook"/>
        </w:rPr>
        <w:t xml:space="preserve">; see also </w:t>
      </w:r>
      <w:r w:rsidRPr="00611053">
        <w:rPr>
          <w:rFonts w:ascii="Century Schoolbook" w:hAnsi="Century Schoolbook"/>
        </w:rPr>
        <w:t>Civ. Code, §</w:t>
      </w:r>
      <w:r>
        <w:rPr>
          <w:rFonts w:ascii="Century Schoolbook" w:hAnsi="Century Schoolbook"/>
        </w:rPr>
        <w:t> </w:t>
      </w:r>
      <w:r w:rsidRPr="00611053">
        <w:rPr>
          <w:rFonts w:ascii="Century Schoolbook" w:hAnsi="Century Schoolbook"/>
        </w:rPr>
        <w:t>1798.18</w:t>
      </w:r>
      <w:r>
        <w:rPr>
          <w:rFonts w:ascii="Century Schoolbook" w:hAnsi="Century Schoolbook"/>
        </w:rPr>
        <w:t xml:space="preserve"> [“</w:t>
      </w:r>
      <w:r w:rsidRPr="00611053">
        <w:rPr>
          <w:rFonts w:ascii="Century Schoolbook" w:hAnsi="Century Schoolbook"/>
        </w:rPr>
        <w:t xml:space="preserve">Each agency shall maintain all </w:t>
      </w:r>
      <w:r w:rsidRPr="00611053">
        <w:rPr>
          <w:rFonts w:ascii="Century Schoolbook" w:hAnsi="Century Schoolbook"/>
        </w:rPr>
        <w:t>records, to the maximum extent possible, with accuracy, relevance, timeliness, and completeness.</w:t>
      </w:r>
      <w:r>
        <w:rPr>
          <w:rFonts w:ascii="Century Schoolbook" w:hAnsi="Century Schoolbook"/>
        </w:rPr>
        <w:t>”]</w:t>
      </w:r>
      <w:r>
        <w:rPr>
          <w:rFonts w:ascii="Century Schoolbook" w:hAnsi="Century Schoolbook"/>
        </w:rPr>
        <w:t xml:space="preserve">.)  </w:t>
      </w:r>
      <w:r>
        <w:rPr>
          <w:rFonts w:ascii="Century Schoolbook" w:hAnsi="Century Schoolbook"/>
        </w:rPr>
        <w:t>“</w:t>
      </w:r>
      <w:r w:rsidRPr="00D63F1A">
        <w:rPr>
          <w:rFonts w:ascii="Century Schoolbook" w:hAnsi="Century Schoolbook"/>
        </w:rPr>
        <w:t xml:space="preserve">The term </w:t>
      </w:r>
      <w:r>
        <w:rPr>
          <w:rFonts w:ascii="Century Schoolbook" w:hAnsi="Century Schoolbook"/>
        </w:rPr>
        <w:t>‘</w:t>
      </w:r>
      <w:r w:rsidRPr="00D63F1A">
        <w:rPr>
          <w:rFonts w:ascii="Century Schoolbook" w:hAnsi="Century Schoolbook"/>
        </w:rPr>
        <w:t>record</w:t>
      </w:r>
      <w:r>
        <w:rPr>
          <w:rFonts w:ascii="Century Schoolbook" w:hAnsi="Century Schoolbook"/>
        </w:rPr>
        <w:t>’</w:t>
      </w:r>
      <w:r w:rsidRPr="00D63F1A">
        <w:rPr>
          <w:rFonts w:ascii="Century Schoolbook" w:hAnsi="Century Schoolbook"/>
        </w:rPr>
        <w:t xml:space="preserve"> means any file or grouping of information about an individual that is maintained by an agency by reference to an identifying </w:t>
      </w:r>
      <w:proofErr w:type="gramStart"/>
      <w:r w:rsidRPr="00D63F1A">
        <w:rPr>
          <w:rFonts w:ascii="Century Schoolbook" w:hAnsi="Century Schoolbook"/>
        </w:rPr>
        <w:t>particular such</w:t>
      </w:r>
      <w:proofErr w:type="gramEnd"/>
      <w:r w:rsidRPr="00D63F1A">
        <w:rPr>
          <w:rFonts w:ascii="Century Schoolbook" w:hAnsi="Century Schoolbook"/>
        </w:rPr>
        <w:t xml:space="preserve"> as the individual</w:t>
      </w:r>
      <w:r>
        <w:rPr>
          <w:rFonts w:ascii="Century Schoolbook" w:hAnsi="Century Schoolbook"/>
        </w:rPr>
        <w:t>’</w:t>
      </w:r>
      <w:r w:rsidRPr="00D63F1A">
        <w:rPr>
          <w:rFonts w:ascii="Century Schoolbook" w:hAnsi="Century Schoolbook"/>
        </w:rPr>
        <w:t>s name, photograph, finger or voice print, or a number or symbol assigned to the individual.</w:t>
      </w:r>
      <w:r>
        <w:rPr>
          <w:rFonts w:ascii="Century Schoolbook" w:hAnsi="Century Schoolbook"/>
        </w:rPr>
        <w:t>”  (</w:t>
      </w:r>
      <w:r w:rsidRPr="00D63F1A">
        <w:rPr>
          <w:rFonts w:ascii="Century Schoolbook" w:hAnsi="Century Schoolbook"/>
        </w:rPr>
        <w:t>Civ. Code, § 1798.3</w:t>
      </w:r>
      <w:r>
        <w:rPr>
          <w:rFonts w:ascii="Century Schoolbook" w:hAnsi="Century Schoolbook"/>
        </w:rPr>
        <w:t>, subd. (g).)</w:t>
      </w:r>
      <w:r>
        <w:rPr>
          <w:rFonts w:ascii="Century Schoolbook" w:hAnsi="Century Schoolbook"/>
        </w:rPr>
        <w:t xml:space="preserve">  This definition </w:t>
      </w:r>
      <w:r>
        <w:rPr>
          <w:rFonts w:ascii="Century Schoolbook" w:hAnsi="Century Schoolbook"/>
        </w:rPr>
        <w:t xml:space="preserve">of record </w:t>
      </w:r>
      <w:r>
        <w:rPr>
          <w:rFonts w:ascii="Century Schoolbook" w:hAnsi="Century Schoolbook"/>
        </w:rPr>
        <w:t xml:space="preserve">is not tethered to the definition of personal information, nor </w:t>
      </w:r>
      <w:r>
        <w:rPr>
          <w:rFonts w:ascii="Century Schoolbook" w:hAnsi="Century Schoolbook"/>
        </w:rPr>
        <w:t xml:space="preserve">are the </w:t>
      </w:r>
      <w:r>
        <w:rPr>
          <w:rFonts w:ascii="Century Schoolbook" w:hAnsi="Century Schoolbook"/>
        </w:rPr>
        <w:t>IPA’s</w:t>
      </w:r>
      <w:r>
        <w:rPr>
          <w:rFonts w:ascii="Century Schoolbook" w:hAnsi="Century Schoolbook"/>
        </w:rPr>
        <w:t xml:space="preserve"> </w:t>
      </w:r>
      <w:r>
        <w:rPr>
          <w:rFonts w:ascii="Century Schoolbook" w:hAnsi="Century Schoolbook"/>
        </w:rPr>
        <w:t xml:space="preserve">correction provisions </w:t>
      </w:r>
      <w:r>
        <w:rPr>
          <w:rFonts w:ascii="Century Schoolbook" w:hAnsi="Century Schoolbook"/>
        </w:rPr>
        <w:t>restricted to those portions of records containing</w:t>
      </w:r>
      <w:r>
        <w:rPr>
          <w:rFonts w:ascii="Century Schoolbook" w:hAnsi="Century Schoolbook"/>
        </w:rPr>
        <w:t xml:space="preserve"> personal information.  “</w:t>
      </w:r>
      <w:r w:rsidRPr="00DC3F61">
        <w:rPr>
          <w:rFonts w:ascii="Century Schoolbook" w:hAnsi="Century Schoolbook"/>
        </w:rPr>
        <w:t xml:space="preserve">The IPA expressly makes the administrative procedures for access, amendment, and correction of information applicable to </w:t>
      </w:r>
      <w:r>
        <w:rPr>
          <w:rFonts w:ascii="Century Schoolbook" w:hAnsi="Century Schoolbook"/>
        </w:rPr>
        <w:t>‘</w:t>
      </w:r>
      <w:r w:rsidRPr="00DC3F61">
        <w:rPr>
          <w:rFonts w:ascii="Century Schoolbook" w:hAnsi="Century Schoolbook"/>
        </w:rPr>
        <w:t>records</w:t>
      </w:r>
      <w:r>
        <w:rPr>
          <w:rFonts w:ascii="Century Schoolbook" w:hAnsi="Century Schoolbook"/>
        </w:rPr>
        <w:t>’</w:t>
      </w:r>
      <w:r w:rsidRPr="00DC3F61">
        <w:rPr>
          <w:rFonts w:ascii="Century Schoolbook" w:hAnsi="Century Schoolbook"/>
        </w:rPr>
        <w:t xml:space="preserve"> maintained by state agencies. </w:t>
      </w:r>
      <w:r>
        <w:rPr>
          <w:rFonts w:ascii="Century Schoolbook" w:hAnsi="Century Schoolbook"/>
        </w:rPr>
        <w:t xml:space="preserve"> </w:t>
      </w:r>
      <w:r w:rsidRPr="00DC3F61">
        <w:rPr>
          <w:rFonts w:ascii="Century Schoolbook" w:hAnsi="Century Schoolbook"/>
        </w:rPr>
        <w:t xml:space="preserve">The </w:t>
      </w:r>
      <w:r w:rsidRPr="00DC3F61">
        <w:rPr>
          <w:rFonts w:ascii="Century Schoolbook" w:hAnsi="Century Schoolbook"/>
        </w:rPr>
        <w:lastRenderedPageBreak/>
        <w:t xml:space="preserve">definition of </w:t>
      </w:r>
      <w:r>
        <w:rPr>
          <w:rFonts w:ascii="Century Schoolbook" w:hAnsi="Century Schoolbook"/>
        </w:rPr>
        <w:t>‘</w:t>
      </w:r>
      <w:r w:rsidRPr="00DC3F61">
        <w:rPr>
          <w:rFonts w:ascii="Century Schoolbook" w:hAnsi="Century Schoolbook"/>
        </w:rPr>
        <w:t>records</w:t>
      </w:r>
      <w:r>
        <w:rPr>
          <w:rFonts w:ascii="Century Schoolbook" w:hAnsi="Century Schoolbook"/>
        </w:rPr>
        <w:t>’</w:t>
      </w:r>
      <w:r w:rsidRPr="00DC3F61">
        <w:rPr>
          <w:rFonts w:ascii="Century Schoolbook" w:hAnsi="Century Schoolbook"/>
        </w:rPr>
        <w:t xml:space="preserve"> does not depend on the dichotomy between personal</w:t>
      </w:r>
      <w:r>
        <w:rPr>
          <w:rFonts w:ascii="Century Schoolbook" w:hAnsi="Century Schoolbook"/>
        </w:rPr>
        <w:t xml:space="preserve"> </w:t>
      </w:r>
      <w:r w:rsidRPr="00DC3F61">
        <w:rPr>
          <w:rFonts w:ascii="Century Schoolbook" w:hAnsi="Century Schoolbook"/>
        </w:rPr>
        <w:t>and nonpersonal information.</w:t>
      </w:r>
      <w:r>
        <w:rPr>
          <w:rFonts w:ascii="Century Schoolbook" w:hAnsi="Century Schoolbook"/>
        </w:rPr>
        <w:t>”  (</w:t>
      </w:r>
      <w:r w:rsidRPr="00DC3F61">
        <w:rPr>
          <w:rFonts w:ascii="Century Schoolbook" w:hAnsi="Century Schoolbook"/>
          <w:i/>
          <w:iCs/>
        </w:rPr>
        <w:t>Bates</w:t>
      </w:r>
      <w:r>
        <w:rPr>
          <w:rFonts w:ascii="Century Schoolbook" w:hAnsi="Century Schoolbook"/>
          <w:i/>
          <w:iCs/>
        </w:rPr>
        <w:t>, supra,</w:t>
      </w:r>
      <w:r w:rsidRPr="00DC3F61">
        <w:rPr>
          <w:rFonts w:ascii="Century Schoolbook" w:hAnsi="Century Schoolbook"/>
          <w:i/>
          <w:iCs/>
        </w:rPr>
        <w:t xml:space="preserve"> </w:t>
      </w:r>
      <w:r w:rsidRPr="00DC3F61">
        <w:rPr>
          <w:rFonts w:ascii="Century Schoolbook" w:hAnsi="Century Schoolbook"/>
        </w:rPr>
        <w:t xml:space="preserve">124 Cal.App.4th </w:t>
      </w:r>
      <w:r>
        <w:rPr>
          <w:rFonts w:ascii="Century Schoolbook" w:hAnsi="Century Schoolbook"/>
        </w:rPr>
        <w:t>at pp. </w:t>
      </w:r>
      <w:r w:rsidRPr="00DC3F61">
        <w:rPr>
          <w:rFonts w:ascii="Century Schoolbook" w:hAnsi="Century Schoolbook"/>
        </w:rPr>
        <w:t>378–379</w:t>
      </w:r>
      <w:r>
        <w:rPr>
          <w:rFonts w:ascii="Century Schoolbook" w:hAnsi="Century Schoolbook"/>
        </w:rPr>
        <w:t>.)</w:t>
      </w:r>
    </w:p>
    <w:p w14:paraId="0AD637BB" w14:textId="77777777" w:rsidR="006F58CB" w:rsidRDefault="006F58CB" w:rsidP="005C7DD8">
      <w:pPr>
        <w:spacing w:line="360" w:lineRule="auto"/>
        <w:rPr>
          <w:rFonts w:ascii="Century Schoolbook" w:hAnsi="Century Schoolbook"/>
        </w:rPr>
      </w:pPr>
      <w:r>
        <w:rPr>
          <w:rFonts w:ascii="Century Schoolbook" w:hAnsi="Century Schoolbook"/>
        </w:rPr>
        <w:tab/>
        <w:t xml:space="preserve">DMV argues </w:t>
      </w:r>
      <w:r>
        <w:rPr>
          <w:rFonts w:ascii="Century Schoolbook" w:hAnsi="Century Schoolbook"/>
        </w:rPr>
        <w:t xml:space="preserve">that, despite the plain language of the correction provisions, </w:t>
      </w:r>
      <w:r>
        <w:rPr>
          <w:rFonts w:ascii="Century Schoolbook" w:hAnsi="Century Schoolbook"/>
        </w:rPr>
        <w:t>the</w:t>
      </w:r>
      <w:r>
        <w:rPr>
          <w:rFonts w:ascii="Century Schoolbook" w:hAnsi="Century Schoolbook"/>
        </w:rPr>
        <w:t>se provisions</w:t>
      </w:r>
      <w:r>
        <w:rPr>
          <w:rFonts w:ascii="Century Schoolbook" w:hAnsi="Century Schoolbook"/>
        </w:rPr>
        <w:t xml:space="preserve"> must in fact refer to personal information because the IPA only confers the right to inspect </w:t>
      </w:r>
      <w:r>
        <w:rPr>
          <w:rFonts w:ascii="Century Schoolbook" w:hAnsi="Century Schoolbook"/>
        </w:rPr>
        <w:t xml:space="preserve">with respect to </w:t>
      </w:r>
      <w:r>
        <w:rPr>
          <w:rFonts w:ascii="Century Schoolbook" w:hAnsi="Century Schoolbook"/>
        </w:rPr>
        <w:t xml:space="preserve">personal information.  </w:t>
      </w:r>
      <w:r>
        <w:rPr>
          <w:rFonts w:ascii="Century Schoolbook" w:hAnsi="Century Schoolbook"/>
        </w:rPr>
        <w:t>However, t</w:t>
      </w:r>
      <w:r>
        <w:rPr>
          <w:rFonts w:ascii="Century Schoolbook" w:hAnsi="Century Schoolbook"/>
        </w:rPr>
        <w:t>he statute relied on by DM</w:t>
      </w:r>
      <w:r>
        <w:rPr>
          <w:rFonts w:ascii="Century Schoolbook" w:hAnsi="Century Schoolbook"/>
        </w:rPr>
        <w:t>V</w:t>
      </w:r>
      <w:r>
        <w:rPr>
          <w:rFonts w:ascii="Century Schoolbook" w:hAnsi="Century Schoolbook"/>
        </w:rPr>
        <w:t xml:space="preserve"> underscores the Legislature’s understanding that personal information and record</w:t>
      </w:r>
      <w:r>
        <w:rPr>
          <w:rFonts w:ascii="Century Schoolbook" w:hAnsi="Century Schoolbook"/>
        </w:rPr>
        <w:t xml:space="preserve">s </w:t>
      </w:r>
      <w:r>
        <w:rPr>
          <w:rFonts w:ascii="Century Schoolbook" w:hAnsi="Century Schoolbook"/>
        </w:rPr>
        <w:t xml:space="preserve">are </w:t>
      </w:r>
      <w:r>
        <w:rPr>
          <w:rFonts w:ascii="Century Schoolbook" w:hAnsi="Century Schoolbook"/>
        </w:rPr>
        <w:t>not equivalent: it requires agencies to allow persons to “</w:t>
      </w:r>
      <w:r w:rsidRPr="005C7DD8">
        <w:rPr>
          <w:rFonts w:ascii="Century Schoolbook" w:hAnsi="Century Schoolbook"/>
        </w:rPr>
        <w:t xml:space="preserve">inspect all the personal information </w:t>
      </w:r>
      <w:r w:rsidRPr="005C7DD8">
        <w:rPr>
          <w:rFonts w:ascii="Century Schoolbook" w:hAnsi="Century Schoolbook"/>
          <w:i/>
          <w:iCs/>
        </w:rPr>
        <w:t>in any record containing personal information</w:t>
      </w:r>
      <w:r>
        <w:rPr>
          <w:rFonts w:ascii="Century Schoolbook" w:hAnsi="Century Schoolbook"/>
        </w:rPr>
        <w:t xml:space="preserve"> </w:t>
      </w:r>
      <w:proofErr w:type="gramStart"/>
      <w:r>
        <w:rPr>
          <w:rFonts w:ascii="Century Schoolbook" w:hAnsi="Century Schoolbook"/>
        </w:rPr>
        <w:t>. . . .</w:t>
      </w:r>
      <w:proofErr w:type="gramEnd"/>
      <w:r>
        <w:rPr>
          <w:rFonts w:ascii="Century Schoolbook" w:hAnsi="Century Schoolbook"/>
        </w:rPr>
        <w:t>”  (</w:t>
      </w:r>
      <w:r w:rsidRPr="005C7DD8">
        <w:rPr>
          <w:rFonts w:ascii="Century Schoolbook" w:hAnsi="Century Schoolbook"/>
        </w:rPr>
        <w:t>Civ. Code, §</w:t>
      </w:r>
      <w:r>
        <w:rPr>
          <w:rFonts w:ascii="Century Schoolbook" w:hAnsi="Century Schoolbook"/>
        </w:rPr>
        <w:t> </w:t>
      </w:r>
      <w:r w:rsidRPr="005C7DD8">
        <w:rPr>
          <w:rFonts w:ascii="Century Schoolbook" w:hAnsi="Century Schoolbook"/>
        </w:rPr>
        <w:t>1798.34</w:t>
      </w:r>
      <w:r>
        <w:rPr>
          <w:rFonts w:ascii="Century Schoolbook" w:hAnsi="Century Schoolbook"/>
        </w:rPr>
        <w:t>, su</w:t>
      </w:r>
      <w:r>
        <w:rPr>
          <w:rFonts w:ascii="Century Schoolbook" w:hAnsi="Century Schoolbook"/>
        </w:rPr>
        <w:t>bd. (a)</w:t>
      </w:r>
      <w:r>
        <w:rPr>
          <w:rFonts w:ascii="Century Schoolbook" w:hAnsi="Century Schoolbook"/>
        </w:rPr>
        <w:t>, italics added</w:t>
      </w:r>
      <w:r>
        <w:rPr>
          <w:rFonts w:ascii="Century Schoolbook" w:hAnsi="Century Schoolbook"/>
        </w:rPr>
        <w:t>.)</w:t>
      </w:r>
      <w:r>
        <w:rPr>
          <w:rFonts w:ascii="Century Schoolbook" w:hAnsi="Century Schoolbook"/>
        </w:rPr>
        <w:t xml:space="preserve">  Moreover, the Legislature could reasonably determine that inspection rights should be limited to personal information, but that if </w:t>
      </w:r>
      <w:r>
        <w:rPr>
          <w:rFonts w:ascii="Century Schoolbook" w:hAnsi="Century Schoolbook"/>
        </w:rPr>
        <w:t xml:space="preserve">a person </w:t>
      </w:r>
      <w:r>
        <w:rPr>
          <w:rFonts w:ascii="Century Schoolbook" w:hAnsi="Century Schoolbook"/>
        </w:rPr>
        <w:t>learn</w:t>
      </w:r>
      <w:r>
        <w:rPr>
          <w:rFonts w:ascii="Century Schoolbook" w:hAnsi="Century Schoolbook"/>
        </w:rPr>
        <w:t>s</w:t>
      </w:r>
      <w:r>
        <w:rPr>
          <w:rFonts w:ascii="Century Schoolbook" w:hAnsi="Century Schoolbook"/>
        </w:rPr>
        <w:t xml:space="preserve"> of </w:t>
      </w:r>
      <w:r>
        <w:rPr>
          <w:rFonts w:ascii="Century Schoolbook" w:hAnsi="Century Schoolbook"/>
        </w:rPr>
        <w:t xml:space="preserve">an </w:t>
      </w:r>
      <w:r>
        <w:rPr>
          <w:rFonts w:ascii="Century Schoolbook" w:hAnsi="Century Schoolbook"/>
        </w:rPr>
        <w:t xml:space="preserve">error in </w:t>
      </w:r>
      <w:r>
        <w:rPr>
          <w:rFonts w:ascii="Century Schoolbook" w:hAnsi="Century Schoolbook"/>
        </w:rPr>
        <w:t xml:space="preserve">a </w:t>
      </w:r>
      <w:r>
        <w:rPr>
          <w:rFonts w:ascii="Century Schoolbook" w:hAnsi="Century Schoolbook"/>
        </w:rPr>
        <w:t xml:space="preserve">nonpersonal part of </w:t>
      </w:r>
      <w:r>
        <w:rPr>
          <w:rFonts w:ascii="Century Schoolbook" w:hAnsi="Century Schoolbook"/>
        </w:rPr>
        <w:t xml:space="preserve">a </w:t>
      </w:r>
      <w:r>
        <w:rPr>
          <w:rFonts w:ascii="Century Schoolbook" w:hAnsi="Century Schoolbook"/>
        </w:rPr>
        <w:t>record</w:t>
      </w:r>
      <w:r>
        <w:rPr>
          <w:rFonts w:ascii="Century Schoolbook" w:hAnsi="Century Schoolbook"/>
        </w:rPr>
        <w:t>,</w:t>
      </w:r>
      <w:r>
        <w:rPr>
          <w:rFonts w:ascii="Century Schoolbook" w:hAnsi="Century Schoolbook"/>
        </w:rPr>
        <w:t xml:space="preserve"> </w:t>
      </w:r>
      <w:r>
        <w:rPr>
          <w:rFonts w:ascii="Century Schoolbook" w:hAnsi="Century Schoolbook"/>
        </w:rPr>
        <w:t xml:space="preserve">that person </w:t>
      </w:r>
      <w:r>
        <w:rPr>
          <w:rFonts w:ascii="Century Schoolbook" w:hAnsi="Century Schoolbook"/>
        </w:rPr>
        <w:t xml:space="preserve">should be entitled to </w:t>
      </w:r>
      <w:r>
        <w:rPr>
          <w:rFonts w:ascii="Century Schoolbook" w:hAnsi="Century Schoolbook"/>
        </w:rPr>
        <w:t xml:space="preserve">request the </w:t>
      </w:r>
      <w:r>
        <w:rPr>
          <w:rFonts w:ascii="Century Schoolbook" w:hAnsi="Century Schoolbook"/>
        </w:rPr>
        <w:t>error be corrected</w:t>
      </w:r>
      <w:r>
        <w:rPr>
          <w:rFonts w:ascii="Century Schoolbook" w:hAnsi="Century Schoolbook"/>
        </w:rPr>
        <w:t>.</w:t>
      </w:r>
    </w:p>
    <w:p w14:paraId="5724AC9E" w14:textId="77777777" w:rsidR="006F58CB" w:rsidRDefault="006F58CB" w:rsidP="00DC3F61">
      <w:pPr>
        <w:spacing w:line="360" w:lineRule="auto"/>
        <w:rPr>
          <w:rFonts w:ascii="Century Schoolbook" w:hAnsi="Century Schoolbook"/>
        </w:rPr>
      </w:pPr>
      <w:r>
        <w:rPr>
          <w:rFonts w:ascii="Century Schoolbook" w:hAnsi="Century Schoolbook"/>
        </w:rPr>
        <w:tab/>
        <w:t xml:space="preserve">DMV does not dispute that </w:t>
      </w:r>
      <w:r>
        <w:rPr>
          <w:rFonts w:ascii="Century Schoolbook" w:hAnsi="Century Schoolbook"/>
        </w:rPr>
        <w:t xml:space="preserve">information </w:t>
      </w:r>
      <w:r>
        <w:rPr>
          <w:rFonts w:ascii="Century Schoolbook" w:hAnsi="Century Schoolbook"/>
        </w:rPr>
        <w:t xml:space="preserve">maintained by DMV </w:t>
      </w:r>
      <w:r>
        <w:rPr>
          <w:rFonts w:ascii="Century Schoolbook" w:hAnsi="Century Schoolbook"/>
        </w:rPr>
        <w:t xml:space="preserve">about a person’s </w:t>
      </w:r>
      <w:r>
        <w:rPr>
          <w:rFonts w:ascii="Century Schoolbook" w:hAnsi="Century Schoolbook"/>
        </w:rPr>
        <w:t>criminal history</w:t>
      </w:r>
      <w:r>
        <w:rPr>
          <w:rFonts w:ascii="Century Schoolbook" w:hAnsi="Century Schoolbook"/>
        </w:rPr>
        <w:t xml:space="preserve"> and licensing actions</w:t>
      </w:r>
      <w:r>
        <w:rPr>
          <w:rFonts w:ascii="Century Schoolbook" w:hAnsi="Century Schoolbook"/>
        </w:rPr>
        <w:t xml:space="preserve"> </w:t>
      </w:r>
      <w:r>
        <w:rPr>
          <w:rFonts w:ascii="Century Schoolbook" w:hAnsi="Century Schoolbook"/>
        </w:rPr>
        <w:t>is part of that person’s “</w:t>
      </w:r>
      <w:r>
        <w:rPr>
          <w:rFonts w:ascii="Century Schoolbook" w:hAnsi="Century Schoolbook"/>
        </w:rPr>
        <w:t>record</w:t>
      </w:r>
      <w:r>
        <w:rPr>
          <w:rFonts w:ascii="Century Schoolbook" w:hAnsi="Century Schoolbook"/>
        </w:rPr>
        <w:t>”</w:t>
      </w:r>
      <w:r>
        <w:rPr>
          <w:rFonts w:ascii="Century Schoolbook" w:hAnsi="Century Schoolbook"/>
        </w:rPr>
        <w:t xml:space="preserve"> within </w:t>
      </w:r>
      <w:r>
        <w:rPr>
          <w:rFonts w:ascii="Century Schoolbook" w:hAnsi="Century Schoolbook"/>
        </w:rPr>
        <w:t xml:space="preserve">the meaning of the IPA.  </w:t>
      </w:r>
      <w:r>
        <w:rPr>
          <w:rFonts w:ascii="Century Schoolbook" w:hAnsi="Century Schoolbook"/>
        </w:rPr>
        <w:t xml:space="preserve">We conclude </w:t>
      </w:r>
      <w:r>
        <w:rPr>
          <w:rFonts w:ascii="Century Schoolbook" w:hAnsi="Century Schoolbook"/>
        </w:rPr>
        <w:t xml:space="preserve">the IPA’s correction provisions apply to </w:t>
      </w:r>
      <w:r>
        <w:rPr>
          <w:rFonts w:ascii="Century Schoolbook" w:hAnsi="Century Schoolbook"/>
        </w:rPr>
        <w:t>this information</w:t>
      </w:r>
      <w:r>
        <w:rPr>
          <w:rFonts w:ascii="Century Schoolbook" w:hAnsi="Century Schoolbook"/>
        </w:rPr>
        <w:t>.</w:t>
      </w:r>
      <w:r>
        <w:rPr>
          <w:rStyle w:val="FootnoteReference"/>
          <w:rFonts w:ascii="Century Schoolbook" w:hAnsi="Century Schoolbook"/>
        </w:rPr>
        <w:footnoteReference w:id="27"/>
      </w:r>
      <w:r>
        <w:rPr>
          <w:rFonts w:ascii="Century Schoolbook" w:hAnsi="Century Schoolbook"/>
        </w:rPr>
        <w:t xml:space="preserve"> </w:t>
      </w:r>
    </w:p>
    <w:p w14:paraId="34FEFF44" w14:textId="77777777" w:rsidR="006F58CB" w:rsidRPr="007D624C" w:rsidRDefault="006F58CB" w:rsidP="0036143C">
      <w:pPr>
        <w:spacing w:line="360" w:lineRule="auto"/>
        <w:rPr>
          <w:rFonts w:ascii="Century Schoolbook" w:hAnsi="Century Schoolbook"/>
        </w:rPr>
      </w:pPr>
      <w:r>
        <w:rPr>
          <w:rFonts w:ascii="Century Schoolbook" w:hAnsi="Century Schoolbook"/>
        </w:rPr>
        <w:tab/>
      </w:r>
      <w:r>
        <w:rPr>
          <w:rFonts w:ascii="Century Schoolbook" w:hAnsi="Century Schoolbook"/>
        </w:rPr>
        <w:t>C</w:t>
      </w:r>
      <w:r>
        <w:rPr>
          <w:rFonts w:ascii="Century Schoolbook" w:hAnsi="Century Schoolbook"/>
        </w:rPr>
        <w:t>.</w:t>
      </w:r>
      <w:r>
        <w:rPr>
          <w:rFonts w:ascii="Century Schoolbook" w:hAnsi="Century Schoolbook"/>
        </w:rPr>
        <w:tab/>
      </w:r>
      <w:r w:rsidRPr="00430C8F">
        <w:rPr>
          <w:rFonts w:ascii="Century Schoolbook" w:hAnsi="Century Schoolbook"/>
          <w:i/>
          <w:iCs/>
        </w:rPr>
        <w:t>The Federal Driver Privacy Protection Act</w:t>
      </w:r>
    </w:p>
    <w:p w14:paraId="3593B3B0" w14:textId="77777777" w:rsidR="006F58CB" w:rsidRDefault="006F58CB" w:rsidP="0036143C">
      <w:pPr>
        <w:spacing w:line="360" w:lineRule="auto"/>
        <w:rPr>
          <w:rFonts w:ascii="Century Schoolbook" w:hAnsi="Century Schoolbook"/>
        </w:rPr>
      </w:pPr>
      <w:r>
        <w:rPr>
          <w:rFonts w:ascii="Century Schoolbook" w:hAnsi="Century Schoolbook"/>
        </w:rPr>
        <w:tab/>
        <w:t>DMV contends Plaintiffs’ construction of the IPA would “</w:t>
      </w:r>
      <w:proofErr w:type="gramStart"/>
      <w:r>
        <w:rPr>
          <w:rFonts w:ascii="Century Schoolbook" w:hAnsi="Century Schoolbook"/>
        </w:rPr>
        <w:t>conflict[</w:t>
      </w:r>
      <w:proofErr w:type="gramEnd"/>
      <w:r>
        <w:rPr>
          <w:rFonts w:ascii="Century Schoolbook" w:hAnsi="Century Schoolbook"/>
        </w:rPr>
        <w:t xml:space="preserve">]” with the federal </w:t>
      </w:r>
      <w:r w:rsidRPr="00DA0D80">
        <w:rPr>
          <w:rFonts w:ascii="Century Schoolbook" w:hAnsi="Century Schoolbook"/>
        </w:rPr>
        <w:t>Driver Privacy</w:t>
      </w:r>
      <w:r>
        <w:rPr>
          <w:rFonts w:ascii="Century Schoolbook" w:hAnsi="Century Schoolbook"/>
        </w:rPr>
        <w:t xml:space="preserve"> </w:t>
      </w:r>
      <w:r w:rsidRPr="00DA0D80">
        <w:rPr>
          <w:rFonts w:ascii="Century Schoolbook" w:hAnsi="Century Schoolbook"/>
        </w:rPr>
        <w:t>Protection Act (DPPA), 18 U.S.C. §</w:t>
      </w:r>
      <w:r>
        <w:rPr>
          <w:rFonts w:ascii="Century Schoolbook" w:hAnsi="Century Schoolbook"/>
          <w:caps/>
        </w:rPr>
        <w:t>§ </w:t>
      </w:r>
      <w:r w:rsidRPr="00DA0D80">
        <w:rPr>
          <w:rFonts w:ascii="Century Schoolbook" w:hAnsi="Century Schoolbook"/>
        </w:rPr>
        <w:t>2721</w:t>
      </w:r>
      <w:r>
        <w:rPr>
          <w:rFonts w:ascii="Century Schoolbook" w:hAnsi="Century Schoolbook"/>
        </w:rPr>
        <w:t>–</w:t>
      </w:r>
      <w:r w:rsidRPr="00DA0D80">
        <w:rPr>
          <w:rFonts w:ascii="Century Schoolbook" w:hAnsi="Century Schoolbook"/>
        </w:rPr>
        <w:t>2725</w:t>
      </w:r>
      <w:r>
        <w:rPr>
          <w:rFonts w:ascii="Century Schoolbook" w:hAnsi="Century Schoolbook"/>
        </w:rPr>
        <w:t xml:space="preserve">, </w:t>
      </w:r>
      <w:r>
        <w:rPr>
          <w:rFonts w:ascii="Century Schoolbook" w:hAnsi="Century Schoolbook"/>
        </w:rPr>
        <w:t xml:space="preserve">because the federal statute </w:t>
      </w:r>
      <w:r>
        <w:rPr>
          <w:rFonts w:ascii="Century Schoolbook" w:hAnsi="Century Schoolbook"/>
        </w:rPr>
        <w:t xml:space="preserve">expressly </w:t>
      </w:r>
      <w:r>
        <w:rPr>
          <w:rFonts w:ascii="Century Schoolbook" w:hAnsi="Century Schoolbook"/>
        </w:rPr>
        <w:t xml:space="preserve">excludes </w:t>
      </w:r>
      <w:r>
        <w:rPr>
          <w:rFonts w:ascii="Century Schoolbook" w:hAnsi="Century Schoolbook"/>
        </w:rPr>
        <w:t>“</w:t>
      </w:r>
      <w:r w:rsidRPr="00BB7859">
        <w:rPr>
          <w:rFonts w:ascii="Century Schoolbook" w:hAnsi="Century Schoolbook"/>
        </w:rPr>
        <w:t xml:space="preserve">information on vehicular accidents, </w:t>
      </w:r>
      <w:r w:rsidRPr="00E43E0E">
        <w:rPr>
          <w:rFonts w:ascii="Century Schoolbook" w:hAnsi="Century Schoolbook"/>
        </w:rPr>
        <w:t>driving violations, and driver</w:t>
      </w:r>
      <w:r>
        <w:rPr>
          <w:rFonts w:ascii="Century Schoolbook" w:hAnsi="Century Schoolbook"/>
        </w:rPr>
        <w:t>’</w:t>
      </w:r>
      <w:r w:rsidRPr="00E43E0E">
        <w:rPr>
          <w:rFonts w:ascii="Century Schoolbook" w:hAnsi="Century Schoolbook"/>
        </w:rPr>
        <w:t>s status</w:t>
      </w:r>
      <w:r>
        <w:rPr>
          <w:rFonts w:ascii="Century Schoolbook" w:hAnsi="Century Schoolbook"/>
        </w:rPr>
        <w:t>” from its definition of “personal information.”  (</w:t>
      </w:r>
      <w:r w:rsidRPr="00840030">
        <w:rPr>
          <w:rFonts w:ascii="Century Schoolbook" w:hAnsi="Century Schoolbook"/>
        </w:rPr>
        <w:t>18 U.S.C. § 2725</w:t>
      </w:r>
      <w:r>
        <w:rPr>
          <w:rFonts w:ascii="Century Schoolbook" w:hAnsi="Century Schoolbook"/>
        </w:rPr>
        <w:t>, subd. (3).)</w:t>
      </w:r>
      <w:r>
        <w:rPr>
          <w:rFonts w:ascii="Century Schoolbook" w:hAnsi="Century Schoolbook"/>
        </w:rPr>
        <w:t xml:space="preserve">  </w:t>
      </w:r>
      <w:r>
        <w:rPr>
          <w:rFonts w:ascii="Century Schoolbook" w:hAnsi="Century Schoolbook"/>
        </w:rPr>
        <w:t xml:space="preserve">As </w:t>
      </w:r>
      <w:r>
        <w:rPr>
          <w:rFonts w:ascii="Century Schoolbook" w:hAnsi="Century Schoolbook"/>
        </w:rPr>
        <w:t>discussed above</w:t>
      </w:r>
      <w:r>
        <w:rPr>
          <w:rFonts w:ascii="Century Schoolbook" w:hAnsi="Century Schoolbook"/>
        </w:rPr>
        <w:t xml:space="preserve">, the relevant provisions </w:t>
      </w:r>
      <w:r>
        <w:rPr>
          <w:rFonts w:ascii="Century Schoolbook" w:hAnsi="Century Schoolbook"/>
        </w:rPr>
        <w:t xml:space="preserve">of the IPA </w:t>
      </w:r>
      <w:r>
        <w:rPr>
          <w:rFonts w:ascii="Century Schoolbook" w:hAnsi="Century Schoolbook"/>
        </w:rPr>
        <w:t xml:space="preserve">refer to “records” rather than “personal information.”  In any event, </w:t>
      </w:r>
      <w:r>
        <w:rPr>
          <w:rFonts w:ascii="Century Schoolbook" w:hAnsi="Century Schoolbook"/>
        </w:rPr>
        <w:t xml:space="preserve">DMV does not argue </w:t>
      </w:r>
      <w:r>
        <w:rPr>
          <w:rFonts w:ascii="Century Schoolbook" w:hAnsi="Century Schoolbook"/>
        </w:rPr>
        <w:t xml:space="preserve">the IPA is preempted by the </w:t>
      </w:r>
      <w:r>
        <w:rPr>
          <w:rFonts w:ascii="Century Schoolbook" w:hAnsi="Century Schoolbook"/>
        </w:rPr>
        <w:lastRenderedPageBreak/>
        <w:t xml:space="preserve">DPPA, nor does it argue the Legislature intended the IPA </w:t>
      </w:r>
      <w:r>
        <w:rPr>
          <w:rFonts w:ascii="Century Schoolbook" w:hAnsi="Century Schoolbook"/>
        </w:rPr>
        <w:t>cover the same information as the DPPA.</w:t>
      </w:r>
      <w:r>
        <w:rPr>
          <w:rFonts w:ascii="Century Schoolbook" w:hAnsi="Century Schoolbook"/>
        </w:rPr>
        <w:t xml:space="preserve">  Its sole argument</w:t>
      </w:r>
      <w:r>
        <w:rPr>
          <w:rFonts w:ascii="Century Schoolbook" w:hAnsi="Century Schoolbook"/>
        </w:rPr>
        <w:t xml:space="preserve">, with no authority or further analysis, </w:t>
      </w:r>
      <w:r>
        <w:rPr>
          <w:rFonts w:ascii="Century Schoolbook" w:hAnsi="Century Schoolbook"/>
        </w:rPr>
        <w:t xml:space="preserve">is that </w:t>
      </w:r>
      <w:r>
        <w:rPr>
          <w:rFonts w:ascii="Century Schoolbook" w:hAnsi="Century Schoolbook"/>
        </w:rPr>
        <w:t>“[</w:t>
      </w:r>
      <w:proofErr w:type="spellStart"/>
      <w:r>
        <w:rPr>
          <w:rFonts w:ascii="Century Schoolbook" w:hAnsi="Century Schoolbook"/>
        </w:rPr>
        <w:t>i</w:t>
      </w:r>
      <w:proofErr w:type="spellEnd"/>
      <w:r>
        <w:rPr>
          <w:rFonts w:ascii="Century Schoolbook" w:hAnsi="Century Schoolbook"/>
        </w:rPr>
        <w:t>]</w:t>
      </w:r>
      <w:r w:rsidRPr="00023C5D">
        <w:rPr>
          <w:rFonts w:ascii="Century Schoolbook" w:hAnsi="Century Schoolbook"/>
        </w:rPr>
        <w:t>t makes no sense for the</w:t>
      </w:r>
      <w:r>
        <w:rPr>
          <w:rFonts w:ascii="Century Schoolbook" w:hAnsi="Century Schoolbook"/>
        </w:rPr>
        <w:t xml:space="preserve"> </w:t>
      </w:r>
      <w:r w:rsidRPr="00023C5D">
        <w:rPr>
          <w:rFonts w:ascii="Century Schoolbook" w:hAnsi="Century Schoolbook"/>
        </w:rPr>
        <w:t xml:space="preserve">same driver record information to be excluded from </w:t>
      </w:r>
      <w:r>
        <w:rPr>
          <w:rFonts w:ascii="Century Schoolbook" w:hAnsi="Century Schoolbook"/>
        </w:rPr>
        <w:t>‘</w:t>
      </w:r>
      <w:r w:rsidRPr="00023C5D">
        <w:rPr>
          <w:rFonts w:ascii="Century Schoolbook" w:hAnsi="Century Schoolbook"/>
        </w:rPr>
        <w:t>personal</w:t>
      </w:r>
      <w:r>
        <w:rPr>
          <w:rFonts w:ascii="Century Schoolbook" w:hAnsi="Century Schoolbook"/>
        </w:rPr>
        <w:t xml:space="preserve"> </w:t>
      </w:r>
      <w:r w:rsidRPr="00023C5D">
        <w:rPr>
          <w:rFonts w:ascii="Century Schoolbook" w:hAnsi="Century Schoolbook"/>
        </w:rPr>
        <w:t>information</w:t>
      </w:r>
      <w:r>
        <w:rPr>
          <w:rFonts w:ascii="Century Schoolbook" w:hAnsi="Century Schoolbook"/>
        </w:rPr>
        <w:t>’</w:t>
      </w:r>
      <w:r w:rsidRPr="00023C5D">
        <w:rPr>
          <w:rFonts w:ascii="Century Schoolbook" w:hAnsi="Century Schoolbook"/>
        </w:rPr>
        <w:t xml:space="preserve"> under federal law, but not under state law.</w:t>
      </w:r>
      <w:r>
        <w:rPr>
          <w:rFonts w:ascii="Century Schoolbook" w:hAnsi="Century Schoolbook"/>
        </w:rPr>
        <w:t xml:space="preserve">” </w:t>
      </w:r>
      <w:r>
        <w:rPr>
          <w:rFonts w:ascii="Century Schoolbook" w:hAnsi="Century Schoolbook"/>
        </w:rPr>
        <w:t xml:space="preserve"> </w:t>
      </w:r>
      <w:r>
        <w:rPr>
          <w:rFonts w:ascii="Century Schoolbook" w:hAnsi="Century Schoolbook"/>
        </w:rPr>
        <w:t>“</w:t>
      </w:r>
      <w:r w:rsidRPr="00EB68D8">
        <w:rPr>
          <w:rFonts w:ascii="Century Schoolbook" w:hAnsi="Century Schoolbook"/>
        </w:rPr>
        <w:t xml:space="preserve">When an appellant asserts a point but fails to support it with reasoned argument </w:t>
      </w:r>
      <w:r w:rsidRPr="00EB68D8">
        <w:rPr>
          <w:rFonts w:ascii="Century Schoolbook" w:hAnsi="Century Schoolbook"/>
        </w:rPr>
        <w:t>and citations to authority, we treat the point as forfeited.</w:t>
      </w:r>
      <w:r>
        <w:rPr>
          <w:rFonts w:ascii="Century Schoolbook" w:hAnsi="Century Schoolbook"/>
        </w:rPr>
        <w:t>”  (</w:t>
      </w:r>
      <w:r w:rsidRPr="00EB68D8">
        <w:rPr>
          <w:rFonts w:ascii="Century Schoolbook" w:hAnsi="Century Schoolbook"/>
          <w:i/>
          <w:iCs/>
        </w:rPr>
        <w:t>Tellez v. Rich Voss Trucking, Inc.</w:t>
      </w:r>
      <w:r w:rsidRPr="00EB68D8">
        <w:rPr>
          <w:rFonts w:ascii="Century Schoolbook" w:hAnsi="Century Schoolbook"/>
        </w:rPr>
        <w:t xml:space="preserve"> (2015) 240 Cal.App.4th 1052, 1066</w:t>
      </w:r>
      <w:r>
        <w:rPr>
          <w:rFonts w:ascii="Century Schoolbook" w:hAnsi="Century Schoolbook"/>
        </w:rPr>
        <w:t xml:space="preserve">.)  We need not and do not address this </w:t>
      </w:r>
      <w:r>
        <w:rPr>
          <w:rFonts w:ascii="Century Schoolbook" w:hAnsi="Century Schoolbook"/>
        </w:rPr>
        <w:t>contention.</w:t>
      </w:r>
    </w:p>
    <w:p w14:paraId="7E61348F" w14:textId="77777777" w:rsidR="006F58CB" w:rsidRDefault="006F58CB" w:rsidP="0036143C">
      <w:pPr>
        <w:spacing w:line="360" w:lineRule="auto"/>
        <w:rPr>
          <w:rFonts w:ascii="Century Schoolbook" w:hAnsi="Century Schoolbook"/>
        </w:rPr>
      </w:pPr>
      <w:r>
        <w:rPr>
          <w:rFonts w:ascii="Century Schoolbook" w:hAnsi="Century Schoolbook"/>
        </w:rPr>
        <w:tab/>
      </w:r>
      <w:r>
        <w:rPr>
          <w:rFonts w:ascii="Century Schoolbook" w:hAnsi="Century Schoolbook"/>
        </w:rPr>
        <w:t>D</w:t>
      </w:r>
      <w:r>
        <w:rPr>
          <w:rFonts w:ascii="Century Schoolbook" w:hAnsi="Century Schoolbook"/>
        </w:rPr>
        <w:t>.</w:t>
      </w:r>
      <w:r>
        <w:rPr>
          <w:rFonts w:ascii="Century Schoolbook" w:hAnsi="Century Schoolbook"/>
        </w:rPr>
        <w:tab/>
      </w:r>
      <w:r>
        <w:rPr>
          <w:rFonts w:ascii="Century Schoolbook" w:hAnsi="Century Schoolbook"/>
          <w:i/>
          <w:iCs/>
        </w:rPr>
        <w:t>Availability of Taxpayer Claim for Declaratory Judgment</w:t>
      </w:r>
    </w:p>
    <w:p w14:paraId="722A590B" w14:textId="77777777" w:rsidR="006F58CB" w:rsidRDefault="006F58CB" w:rsidP="0036143C">
      <w:pPr>
        <w:spacing w:line="360" w:lineRule="auto"/>
        <w:rPr>
          <w:rFonts w:ascii="Century Schoolbook" w:hAnsi="Century Schoolbook"/>
        </w:rPr>
      </w:pPr>
      <w:r>
        <w:rPr>
          <w:rFonts w:ascii="Century Schoolbook" w:hAnsi="Century Schoolbook"/>
        </w:rPr>
        <w:tab/>
      </w:r>
      <w:r>
        <w:rPr>
          <w:rFonts w:ascii="Century Schoolbook" w:hAnsi="Century Schoolbook"/>
        </w:rPr>
        <w:t xml:space="preserve">Finally, </w:t>
      </w:r>
      <w:r>
        <w:rPr>
          <w:rFonts w:ascii="Century Schoolbook" w:hAnsi="Century Schoolbook"/>
        </w:rPr>
        <w:t xml:space="preserve">DMV challenges the availability of a taxpayer claim and declaratory judgment relief.  The challenge </w:t>
      </w:r>
      <w:r>
        <w:rPr>
          <w:rFonts w:ascii="Century Schoolbook" w:hAnsi="Century Schoolbook"/>
        </w:rPr>
        <w:t>fails</w:t>
      </w:r>
      <w:r>
        <w:rPr>
          <w:rFonts w:ascii="Century Schoolbook" w:hAnsi="Century Schoolbook"/>
        </w:rPr>
        <w:t>.</w:t>
      </w:r>
    </w:p>
    <w:p w14:paraId="5DA6E804" w14:textId="77777777" w:rsidR="006F58CB" w:rsidRDefault="006F58CB" w:rsidP="0036143C">
      <w:pPr>
        <w:spacing w:line="360" w:lineRule="auto"/>
        <w:rPr>
          <w:rFonts w:ascii="Century Schoolbook" w:hAnsi="Century Schoolbook"/>
        </w:rPr>
      </w:pPr>
      <w:r>
        <w:rPr>
          <w:rFonts w:ascii="Century Schoolbook" w:hAnsi="Century Schoolbook"/>
        </w:rPr>
        <w:tab/>
        <w:t>“</w:t>
      </w:r>
      <w:r w:rsidRPr="00246E35">
        <w:rPr>
          <w:rFonts w:ascii="Century Schoolbook" w:hAnsi="Century Schoolbook"/>
        </w:rPr>
        <w:t>Code of Civil Procedure section 526a permits a taxpayer to bring an action to restrain or prevent an illegal expenditure of public money</w:t>
      </w:r>
      <w:proofErr w:type="gramStart"/>
      <w:r w:rsidRPr="00246E35">
        <w:rPr>
          <w:rFonts w:ascii="Century Schoolbook" w:hAnsi="Century Schoolbook"/>
        </w:rPr>
        <w:t xml:space="preserve">. </w:t>
      </w:r>
      <w:r>
        <w:rPr>
          <w:rFonts w:ascii="Century Schoolbook" w:hAnsi="Century Schoolbook"/>
        </w:rPr>
        <w:t>. . .</w:t>
      </w:r>
      <w:proofErr w:type="gramEnd"/>
      <w:r>
        <w:rPr>
          <w:rFonts w:ascii="Century Schoolbook" w:hAnsi="Century Schoolbook"/>
        </w:rPr>
        <w:t>  [T]</w:t>
      </w:r>
      <w:proofErr w:type="spellStart"/>
      <w:r w:rsidRPr="00246E35">
        <w:rPr>
          <w:rFonts w:ascii="Century Schoolbook" w:hAnsi="Century Schoolbook"/>
        </w:rPr>
        <w:t>axpayer</w:t>
      </w:r>
      <w:proofErr w:type="spellEnd"/>
      <w:r w:rsidRPr="00246E35">
        <w:rPr>
          <w:rFonts w:ascii="Century Schoolbook" w:hAnsi="Century Schoolbook"/>
        </w:rPr>
        <w:t xml:space="preserve"> suits provide a general citizen remedy for controlling illegal governmental activity.</w:t>
      </w:r>
      <w:r>
        <w:rPr>
          <w:rFonts w:ascii="Century Schoolbook" w:hAnsi="Century Schoolbook"/>
        </w:rPr>
        <w:t>”  (</w:t>
      </w:r>
      <w:r w:rsidRPr="000C6F5F">
        <w:rPr>
          <w:rFonts w:ascii="Century Schoolbook" w:hAnsi="Century Schoolbook"/>
          <w:i/>
          <w:iCs/>
        </w:rPr>
        <w:t>Connerly v. State Personnel Bd.</w:t>
      </w:r>
      <w:r w:rsidRPr="00246E35">
        <w:rPr>
          <w:rFonts w:ascii="Century Schoolbook" w:hAnsi="Century Schoolbook"/>
        </w:rPr>
        <w:t xml:space="preserve"> (2001) 92</w:t>
      </w:r>
      <w:r>
        <w:rPr>
          <w:rFonts w:ascii="Century Schoolbook" w:hAnsi="Century Schoolbook"/>
        </w:rPr>
        <w:t> </w:t>
      </w:r>
      <w:r w:rsidRPr="00246E35">
        <w:rPr>
          <w:rFonts w:ascii="Century Schoolbook" w:hAnsi="Century Schoolbook"/>
        </w:rPr>
        <w:t>Cal.App.4th 16, 29</w:t>
      </w:r>
      <w:r>
        <w:rPr>
          <w:rFonts w:ascii="Century Schoolbook" w:hAnsi="Century Schoolbook"/>
        </w:rPr>
        <w:t xml:space="preserve"> (</w:t>
      </w:r>
      <w:r w:rsidRPr="000C6F5F">
        <w:rPr>
          <w:rFonts w:ascii="Century Schoolbook" w:hAnsi="Century Schoolbook"/>
          <w:i/>
          <w:iCs/>
        </w:rPr>
        <w:t>Connerly</w:t>
      </w:r>
      <w:r>
        <w:rPr>
          <w:rFonts w:ascii="Century Schoolbook" w:hAnsi="Century Schoolbook"/>
        </w:rPr>
        <w:t>)</w:t>
      </w:r>
      <w:r>
        <w:rPr>
          <w:rFonts w:ascii="Century Schoolbook" w:hAnsi="Century Schoolbook"/>
        </w:rPr>
        <w:t>.)  “</w:t>
      </w:r>
      <w:r w:rsidRPr="007F0466">
        <w:rPr>
          <w:rFonts w:ascii="Century Schoolbook" w:hAnsi="Century Schoolbook"/>
        </w:rPr>
        <w:t xml:space="preserve">The statute authorizing declaratory judgments is explicitly limited to </w:t>
      </w:r>
      <w:r>
        <w:rPr>
          <w:rFonts w:ascii="Century Schoolbook" w:hAnsi="Century Schoolbook"/>
        </w:rPr>
        <w:t>‘</w:t>
      </w:r>
      <w:r w:rsidRPr="007F0466">
        <w:rPr>
          <w:rFonts w:ascii="Century Schoolbook" w:hAnsi="Century Schoolbook"/>
        </w:rPr>
        <w:t>cases of actual controversy.</w:t>
      </w:r>
      <w:r>
        <w:rPr>
          <w:rFonts w:ascii="Century Schoolbook" w:hAnsi="Century Schoolbook"/>
        </w:rPr>
        <w:t>’</w:t>
      </w:r>
      <w:r w:rsidRPr="007F0466">
        <w:rPr>
          <w:rFonts w:ascii="Century Schoolbook" w:hAnsi="Century Schoolbook"/>
        </w:rPr>
        <w:t xml:space="preserve"> </w:t>
      </w:r>
      <w:r>
        <w:rPr>
          <w:rFonts w:ascii="Century Schoolbook" w:hAnsi="Century Schoolbook"/>
        </w:rPr>
        <w:t xml:space="preserve"> </w:t>
      </w:r>
      <w:r w:rsidRPr="007F0466">
        <w:rPr>
          <w:rFonts w:ascii="Century Schoolbook" w:hAnsi="Century Schoolbook"/>
        </w:rPr>
        <w:t>(Code Civ. Proc., § 1060.)</w:t>
      </w:r>
      <w:r>
        <w:rPr>
          <w:rFonts w:ascii="Century Schoolbook" w:hAnsi="Century Schoolbook"/>
        </w:rPr>
        <w:t>”  (</w:t>
      </w:r>
      <w:r w:rsidRPr="007F0466">
        <w:rPr>
          <w:rFonts w:ascii="Century Schoolbook" w:hAnsi="Century Schoolbook"/>
          <w:i/>
          <w:iCs/>
        </w:rPr>
        <w:t>Fiske v. Gillespie</w:t>
      </w:r>
      <w:r w:rsidRPr="007F0466">
        <w:rPr>
          <w:rFonts w:ascii="Century Schoolbook" w:hAnsi="Century Schoolbook"/>
        </w:rPr>
        <w:t xml:space="preserve"> (1988) 200 Cal.App.3d 1243, 1246</w:t>
      </w:r>
      <w:r>
        <w:rPr>
          <w:rFonts w:ascii="Century Schoolbook" w:hAnsi="Century Schoolbook"/>
        </w:rPr>
        <w:t xml:space="preserve"> (</w:t>
      </w:r>
      <w:r w:rsidRPr="007F0466">
        <w:rPr>
          <w:rFonts w:ascii="Century Schoolbook" w:hAnsi="Century Schoolbook"/>
          <w:i/>
          <w:iCs/>
        </w:rPr>
        <w:t>Fiske</w:t>
      </w:r>
      <w:r>
        <w:rPr>
          <w:rFonts w:ascii="Century Schoolbook" w:hAnsi="Century Schoolbook"/>
        </w:rPr>
        <w:t>)</w:t>
      </w:r>
      <w:r>
        <w:rPr>
          <w:rFonts w:ascii="Century Schoolbook" w:hAnsi="Century Schoolbook"/>
        </w:rPr>
        <w:t>.)</w:t>
      </w:r>
    </w:p>
    <w:p w14:paraId="671FC661" w14:textId="77777777" w:rsidR="006F58CB" w:rsidRPr="00F32988" w:rsidRDefault="006F58CB" w:rsidP="0036143C">
      <w:pPr>
        <w:spacing w:line="360" w:lineRule="auto"/>
        <w:rPr>
          <w:rFonts w:ascii="Century Schoolbook" w:hAnsi="Century Schoolbook"/>
        </w:rPr>
      </w:pPr>
      <w:r>
        <w:rPr>
          <w:rFonts w:ascii="Century Schoolbook" w:hAnsi="Century Schoolbook"/>
        </w:rPr>
        <w:tab/>
        <w:t xml:space="preserve">DMV argues no actual controversy exists because there is no evidence of incorrect </w:t>
      </w:r>
      <w:r>
        <w:rPr>
          <w:rFonts w:ascii="Century Schoolbook" w:hAnsi="Century Schoolbook"/>
        </w:rPr>
        <w:t>criminal history</w:t>
      </w:r>
      <w:r>
        <w:rPr>
          <w:rFonts w:ascii="Century Schoolbook" w:hAnsi="Century Schoolbook"/>
        </w:rPr>
        <w:t xml:space="preserve"> or licensing action </w:t>
      </w:r>
      <w:r>
        <w:rPr>
          <w:rFonts w:ascii="Century Schoolbook" w:hAnsi="Century Schoolbook"/>
        </w:rPr>
        <w:t xml:space="preserve">information, and no evidence anyone requested </w:t>
      </w:r>
      <w:r>
        <w:rPr>
          <w:rFonts w:ascii="Century Schoolbook" w:hAnsi="Century Schoolbook"/>
        </w:rPr>
        <w:t xml:space="preserve">a </w:t>
      </w:r>
      <w:r>
        <w:rPr>
          <w:rFonts w:ascii="Century Schoolbook" w:hAnsi="Century Schoolbook"/>
        </w:rPr>
        <w:t>record correction.  T</w:t>
      </w:r>
      <w:r>
        <w:rPr>
          <w:rFonts w:ascii="Century Schoolbook" w:hAnsi="Century Schoolbook"/>
        </w:rPr>
        <w:t>o the contrary, t</w:t>
      </w:r>
      <w:r>
        <w:rPr>
          <w:rFonts w:ascii="Century Schoolbook" w:hAnsi="Century Schoolbook"/>
        </w:rPr>
        <w:t xml:space="preserve">here is an actual controversy: whether DMV’s position that the IPA’s correction provisions do not apply to </w:t>
      </w:r>
      <w:r>
        <w:rPr>
          <w:rFonts w:ascii="Century Schoolbook" w:hAnsi="Century Schoolbook"/>
        </w:rPr>
        <w:t>criminal history</w:t>
      </w:r>
      <w:r>
        <w:rPr>
          <w:rFonts w:ascii="Century Schoolbook" w:hAnsi="Century Schoolbook"/>
        </w:rPr>
        <w:t xml:space="preserve"> and licensing actions violate</w:t>
      </w:r>
      <w:r>
        <w:rPr>
          <w:rFonts w:ascii="Century Schoolbook" w:hAnsi="Century Schoolbook"/>
        </w:rPr>
        <w:t>s</w:t>
      </w:r>
      <w:r>
        <w:rPr>
          <w:rFonts w:ascii="Century Schoolbook" w:hAnsi="Century Schoolbook"/>
        </w:rPr>
        <w:t xml:space="preserve"> the IPA. </w:t>
      </w:r>
    </w:p>
    <w:p w14:paraId="490A6AC7" w14:textId="77777777" w:rsidR="006F58CB" w:rsidRDefault="006F58CB" w:rsidP="0036143C">
      <w:pPr>
        <w:spacing w:line="360" w:lineRule="auto"/>
        <w:rPr>
          <w:rFonts w:ascii="Century Schoolbook" w:hAnsi="Century Schoolbook"/>
        </w:rPr>
      </w:pPr>
      <w:r>
        <w:rPr>
          <w:rFonts w:ascii="Century Schoolbook" w:hAnsi="Century Schoolbook"/>
        </w:rPr>
        <w:tab/>
      </w:r>
      <w:r>
        <w:rPr>
          <w:rFonts w:ascii="Century Schoolbook" w:hAnsi="Century Schoolbook"/>
        </w:rPr>
        <w:t xml:space="preserve">DMV next contends the availability of alternative procedures to correct </w:t>
      </w:r>
      <w:r>
        <w:rPr>
          <w:rFonts w:ascii="Century Schoolbook" w:hAnsi="Century Schoolbook"/>
        </w:rPr>
        <w:t>criminal history</w:t>
      </w:r>
      <w:r>
        <w:rPr>
          <w:rFonts w:ascii="Century Schoolbook" w:hAnsi="Century Schoolbook"/>
        </w:rPr>
        <w:t xml:space="preserve"> or licensing actions and judicial review of DMV’s decisions in such procedures precludes </w:t>
      </w:r>
      <w:r>
        <w:rPr>
          <w:rFonts w:ascii="Century Schoolbook" w:hAnsi="Century Schoolbook"/>
        </w:rPr>
        <w:t>a</w:t>
      </w:r>
      <w:r>
        <w:rPr>
          <w:rFonts w:ascii="Century Schoolbook" w:hAnsi="Century Schoolbook"/>
        </w:rPr>
        <w:t xml:space="preserve"> taxpayer claim.  We agree with Plaintiffs that this argument reflects a misconception of Plaintiffs’ claim.  Plaintiffs are </w:t>
      </w:r>
      <w:r>
        <w:rPr>
          <w:rFonts w:ascii="Century Schoolbook" w:hAnsi="Century Schoolbook"/>
        </w:rPr>
        <w:lastRenderedPageBreak/>
        <w:t xml:space="preserve">challenging DMV’s </w:t>
      </w:r>
      <w:r w:rsidRPr="002D698B">
        <w:rPr>
          <w:rFonts w:ascii="Century Schoolbook" w:hAnsi="Century Schoolbook"/>
          <w:i/>
          <w:iCs/>
        </w:rPr>
        <w:t>policy</w:t>
      </w:r>
      <w:r>
        <w:rPr>
          <w:rFonts w:ascii="Century Schoolbook" w:hAnsi="Century Schoolbook"/>
        </w:rPr>
        <w:t xml:space="preserve"> of excluding </w:t>
      </w:r>
      <w:r>
        <w:rPr>
          <w:rFonts w:ascii="Century Schoolbook" w:hAnsi="Century Schoolbook"/>
        </w:rPr>
        <w:t>criminal history</w:t>
      </w:r>
      <w:r>
        <w:rPr>
          <w:rFonts w:ascii="Century Schoolbook" w:hAnsi="Century Schoolbook"/>
        </w:rPr>
        <w:t xml:space="preserve"> and licensing action information from its IPA correction procedures.  The availability of alternative procedures to correct an </w:t>
      </w:r>
      <w:r w:rsidRPr="00854E51">
        <w:rPr>
          <w:rFonts w:ascii="Century Schoolbook" w:hAnsi="Century Schoolbook"/>
        </w:rPr>
        <w:t>individual</w:t>
      </w:r>
      <w:r w:rsidRPr="00854E51">
        <w:rPr>
          <w:rFonts w:ascii="Century Schoolbook" w:hAnsi="Century Schoolbook"/>
        </w:rPr>
        <w:t>’s personal</w:t>
      </w:r>
      <w:r>
        <w:rPr>
          <w:rFonts w:ascii="Century Schoolbook" w:hAnsi="Century Schoolbook"/>
        </w:rPr>
        <w:t xml:space="preserve"> reco</w:t>
      </w:r>
      <w:r>
        <w:rPr>
          <w:rFonts w:ascii="Century Schoolbook" w:hAnsi="Century Schoolbook"/>
        </w:rPr>
        <w:t xml:space="preserve">rd does not preclude Plaintiffs’ taxpayer claim.  </w:t>
      </w:r>
      <w:r w:rsidRPr="007E6303">
        <w:rPr>
          <w:rFonts w:ascii="Century Schoolbook" w:hAnsi="Century Schoolbook"/>
          <w:i/>
          <w:iCs/>
        </w:rPr>
        <w:t>Nathan H. Schur, Inc. v. City of Santa Monica</w:t>
      </w:r>
      <w:r w:rsidRPr="007E6303">
        <w:rPr>
          <w:rFonts w:ascii="Century Schoolbook" w:hAnsi="Century Schoolbook"/>
        </w:rPr>
        <w:t xml:space="preserve"> (1956) 47 Cal.2d 11</w:t>
      </w:r>
      <w:r>
        <w:rPr>
          <w:rFonts w:ascii="Century Schoolbook" w:hAnsi="Century Schoolbook"/>
        </w:rPr>
        <w:t>, relied on by</w:t>
      </w:r>
      <w:r w:rsidRPr="007E6303">
        <w:rPr>
          <w:rFonts w:ascii="Century Schoolbook" w:hAnsi="Century Schoolbook"/>
        </w:rPr>
        <w:t xml:space="preserve"> </w:t>
      </w:r>
      <w:r>
        <w:rPr>
          <w:rFonts w:ascii="Century Schoolbook" w:hAnsi="Century Schoolbook"/>
        </w:rPr>
        <w:t>DMV</w:t>
      </w:r>
      <w:r>
        <w:rPr>
          <w:rFonts w:ascii="Century Schoolbook" w:hAnsi="Century Schoolbook"/>
        </w:rPr>
        <w:t xml:space="preserve">, </w:t>
      </w:r>
      <w:r>
        <w:rPr>
          <w:rFonts w:ascii="Century Schoolbook" w:hAnsi="Century Schoolbook"/>
        </w:rPr>
        <w:t xml:space="preserve">is not to the contrary.  </w:t>
      </w:r>
      <w:r>
        <w:rPr>
          <w:rFonts w:ascii="Century Schoolbook" w:hAnsi="Century Schoolbook"/>
        </w:rPr>
        <w:t xml:space="preserve">(See </w:t>
      </w:r>
      <w:r>
        <w:rPr>
          <w:rFonts w:ascii="Century Schoolbook" w:hAnsi="Century Schoolbook"/>
          <w:i/>
          <w:iCs/>
        </w:rPr>
        <w:t>id.</w:t>
      </w:r>
      <w:r>
        <w:rPr>
          <w:rFonts w:ascii="Century Schoolbook" w:hAnsi="Century Schoolbook"/>
        </w:rPr>
        <w:t xml:space="preserve"> at p. </w:t>
      </w:r>
      <w:r>
        <w:rPr>
          <w:rFonts w:ascii="Century Schoolbook" w:hAnsi="Century Schoolbook"/>
        </w:rPr>
        <w:t>17</w:t>
      </w:r>
      <w:r w:rsidRPr="007E6303">
        <w:rPr>
          <w:rFonts w:ascii="Century Schoolbook" w:hAnsi="Century Schoolbook"/>
        </w:rPr>
        <w:t xml:space="preserve"> [</w:t>
      </w:r>
      <w:r>
        <w:rPr>
          <w:rFonts w:ascii="Century Schoolbook" w:hAnsi="Century Schoolbook"/>
        </w:rPr>
        <w:t>where city “</w:t>
      </w:r>
      <w:r w:rsidRPr="00C72F71">
        <w:rPr>
          <w:rFonts w:ascii="Century Schoolbook" w:hAnsi="Century Schoolbook"/>
        </w:rPr>
        <w:t>hold</w:t>
      </w:r>
      <w:r>
        <w:rPr>
          <w:rFonts w:ascii="Century Schoolbook" w:hAnsi="Century Schoolbook"/>
        </w:rPr>
        <w:t>[s]</w:t>
      </w:r>
      <w:r w:rsidRPr="00C72F71">
        <w:rPr>
          <w:rFonts w:ascii="Century Schoolbook" w:hAnsi="Century Schoolbook"/>
        </w:rPr>
        <w:t xml:space="preserve"> a public hearing and </w:t>
      </w:r>
      <w:proofErr w:type="spellStart"/>
      <w:r w:rsidRPr="00C72F71">
        <w:rPr>
          <w:rFonts w:ascii="Century Schoolbook" w:hAnsi="Century Schoolbook"/>
        </w:rPr>
        <w:t>mak</w:t>
      </w:r>
      <w:proofErr w:type="spellEnd"/>
      <w:r>
        <w:rPr>
          <w:rFonts w:ascii="Century Schoolbook" w:hAnsi="Century Schoolbook"/>
        </w:rPr>
        <w:t>[es]</w:t>
      </w:r>
      <w:r w:rsidRPr="00C72F71">
        <w:rPr>
          <w:rFonts w:ascii="Century Schoolbook" w:hAnsi="Century Schoolbook"/>
        </w:rPr>
        <w:t xml:space="preserve"> a quasi-judicial determination with reference to the issuance of a license to engage in a certain business</w:t>
      </w:r>
      <w:r>
        <w:rPr>
          <w:rFonts w:ascii="Century Schoolbook" w:hAnsi="Century Schoolbook"/>
        </w:rPr>
        <w:t xml:space="preserve"> . . . </w:t>
      </w:r>
      <w:r w:rsidRPr="00F90D44">
        <w:rPr>
          <w:rFonts w:ascii="Century Schoolbook" w:hAnsi="Century Schoolbook"/>
        </w:rPr>
        <w:t>and such determination is reviewable by mandamus or certiorari</w:t>
      </w:r>
      <w:r>
        <w:rPr>
          <w:rFonts w:ascii="Century Schoolbook" w:hAnsi="Century Schoolbook"/>
        </w:rPr>
        <w:t>,” taxpayer action challenging determination is not available].)</w:t>
      </w:r>
    </w:p>
    <w:p w14:paraId="2FAF3194" w14:textId="77777777" w:rsidR="006F58CB" w:rsidRPr="002F2B0E" w:rsidRDefault="006F58CB" w:rsidP="002F2B0E">
      <w:pPr>
        <w:spacing w:line="360" w:lineRule="auto"/>
        <w:rPr>
          <w:rFonts w:ascii="Century Schoolbook" w:hAnsi="Century Schoolbook"/>
        </w:rPr>
      </w:pPr>
      <w:r>
        <w:rPr>
          <w:rFonts w:ascii="Century Schoolbook" w:hAnsi="Century Schoolbook"/>
        </w:rPr>
        <w:tab/>
      </w:r>
      <w:r>
        <w:rPr>
          <w:rFonts w:ascii="Century Schoolbook" w:hAnsi="Century Schoolbook"/>
        </w:rPr>
        <w:t>Finally, DMV argues that because a challenge to an IPA violation must show “an adverse effect” (Civ. Code, § 1798.45, subd. (</w:t>
      </w:r>
      <w:proofErr w:type="gramStart"/>
      <w:r>
        <w:rPr>
          <w:rFonts w:ascii="Century Schoolbook" w:hAnsi="Century Schoolbook"/>
        </w:rPr>
        <w:t>c))</w:t>
      </w:r>
      <w:proofErr w:type="gramEnd"/>
      <w:r>
        <w:rPr>
          <w:rFonts w:ascii="Century Schoolbook" w:hAnsi="Century Schoolbook"/>
        </w:rPr>
        <w:t xml:space="preserve">, Plaintiffs must also show an </w:t>
      </w:r>
      <w:r>
        <w:rPr>
          <w:rFonts w:ascii="Century Schoolbook" w:hAnsi="Century Schoolbook"/>
        </w:rPr>
        <w:t xml:space="preserve">adverse </w:t>
      </w:r>
      <w:r>
        <w:rPr>
          <w:rFonts w:ascii="Century Schoolbook" w:hAnsi="Century Schoolbook"/>
        </w:rPr>
        <w:t xml:space="preserve">effect in their taxpayer claim.  </w:t>
      </w:r>
      <w:r>
        <w:rPr>
          <w:rFonts w:ascii="Century Schoolbook" w:hAnsi="Century Schoolbook"/>
        </w:rPr>
        <w:t xml:space="preserve">We disagree.  </w:t>
      </w:r>
      <w:r>
        <w:rPr>
          <w:rFonts w:ascii="Century Schoolbook" w:hAnsi="Century Schoolbook"/>
        </w:rPr>
        <w:t>“</w:t>
      </w:r>
      <w:r w:rsidRPr="00B4687F">
        <w:rPr>
          <w:rFonts w:ascii="Century Schoolbook" w:hAnsi="Century Schoolbook"/>
        </w:rPr>
        <w:t>No showing of special damage to a particular taxpayer is required as a requisite for bringing a taxpayer suit.”  (</w:t>
      </w:r>
      <w:r w:rsidRPr="00E15C9C">
        <w:rPr>
          <w:rFonts w:ascii="Century Schoolbook" w:hAnsi="Century Schoolbook"/>
          <w:i/>
          <w:iCs/>
        </w:rPr>
        <w:t>Connerly</w:t>
      </w:r>
      <w:r>
        <w:rPr>
          <w:rFonts w:ascii="Century Schoolbook" w:hAnsi="Century Schoolbook"/>
          <w:i/>
          <w:iCs/>
        </w:rPr>
        <w:t>, supra,</w:t>
      </w:r>
      <w:r w:rsidRPr="00E15C9C">
        <w:rPr>
          <w:rFonts w:ascii="Century Schoolbook" w:hAnsi="Century Schoolbook"/>
          <w:i/>
          <w:iCs/>
        </w:rPr>
        <w:t xml:space="preserve"> </w:t>
      </w:r>
      <w:r w:rsidRPr="00B4687F">
        <w:rPr>
          <w:rFonts w:ascii="Century Schoolbook" w:hAnsi="Century Schoolbook"/>
        </w:rPr>
        <w:t xml:space="preserve">92 Cal.App.4th </w:t>
      </w:r>
      <w:r>
        <w:rPr>
          <w:rFonts w:ascii="Century Schoolbook" w:hAnsi="Century Schoolbook"/>
        </w:rPr>
        <w:t>at p. </w:t>
      </w:r>
      <w:r w:rsidRPr="00B4687F">
        <w:rPr>
          <w:rFonts w:ascii="Century Schoolbook" w:hAnsi="Century Schoolbook"/>
        </w:rPr>
        <w:t xml:space="preserve">29.)  </w:t>
      </w:r>
      <w:r>
        <w:rPr>
          <w:rFonts w:ascii="Century Schoolbook" w:hAnsi="Century Schoolbook"/>
        </w:rPr>
        <w:t xml:space="preserve">DMV’s authority is easily distinguishable.  </w:t>
      </w:r>
      <w:r>
        <w:rPr>
          <w:rFonts w:ascii="Century Schoolbook" w:hAnsi="Century Schoolbook"/>
        </w:rPr>
        <w:t xml:space="preserve">For example, </w:t>
      </w:r>
      <w:r>
        <w:rPr>
          <w:rFonts w:ascii="Century Schoolbook" w:hAnsi="Century Schoolbook"/>
        </w:rPr>
        <w:t>in</w:t>
      </w:r>
      <w:r>
        <w:rPr>
          <w:rFonts w:ascii="Century Schoolbook" w:hAnsi="Century Schoolbook"/>
        </w:rPr>
        <w:t xml:space="preserve"> </w:t>
      </w:r>
      <w:r w:rsidRPr="00284239">
        <w:rPr>
          <w:rFonts w:ascii="Century Schoolbook" w:hAnsi="Century Schoolbook"/>
          <w:i/>
          <w:iCs/>
        </w:rPr>
        <w:t>Reno v. Baird</w:t>
      </w:r>
      <w:r w:rsidRPr="00284239">
        <w:rPr>
          <w:rFonts w:ascii="Century Schoolbook" w:hAnsi="Century Schoolbook"/>
        </w:rPr>
        <w:t xml:space="preserve"> (1998) 18</w:t>
      </w:r>
      <w:r>
        <w:rPr>
          <w:rFonts w:ascii="Century Schoolbook" w:hAnsi="Century Schoolbook"/>
        </w:rPr>
        <w:t> </w:t>
      </w:r>
      <w:r w:rsidRPr="00284239">
        <w:rPr>
          <w:rFonts w:ascii="Century Schoolbook" w:hAnsi="Century Schoolbook"/>
        </w:rPr>
        <w:t xml:space="preserve">Cal.4th 640, </w:t>
      </w:r>
      <w:r>
        <w:rPr>
          <w:rFonts w:ascii="Century Schoolbook" w:hAnsi="Century Schoolbook"/>
        </w:rPr>
        <w:t xml:space="preserve">relied on by DMV, </w:t>
      </w:r>
      <w:r>
        <w:rPr>
          <w:rFonts w:ascii="Century Schoolbook" w:hAnsi="Century Schoolbook"/>
        </w:rPr>
        <w:t>the Supreme Court held t</w:t>
      </w:r>
      <w:r>
        <w:rPr>
          <w:rFonts w:ascii="Century Schoolbook" w:hAnsi="Century Schoolbook"/>
        </w:rPr>
        <w:t xml:space="preserve">hat a </w:t>
      </w:r>
      <w:r>
        <w:rPr>
          <w:rFonts w:ascii="Century Schoolbook" w:hAnsi="Century Schoolbook"/>
        </w:rPr>
        <w:t xml:space="preserve">claim </w:t>
      </w:r>
      <w:r>
        <w:rPr>
          <w:rFonts w:ascii="Century Schoolbook" w:hAnsi="Century Schoolbook"/>
        </w:rPr>
        <w:t>that an employment</w:t>
      </w:r>
      <w:r>
        <w:rPr>
          <w:rFonts w:ascii="Century Schoolbook" w:hAnsi="Century Schoolbook"/>
        </w:rPr>
        <w:t xml:space="preserve"> discharge </w:t>
      </w:r>
      <w:r>
        <w:rPr>
          <w:rFonts w:ascii="Century Schoolbook" w:hAnsi="Century Schoolbook"/>
        </w:rPr>
        <w:t xml:space="preserve">was </w:t>
      </w:r>
      <w:r>
        <w:rPr>
          <w:rFonts w:ascii="Century Schoolbook" w:hAnsi="Century Schoolbook"/>
        </w:rPr>
        <w:t xml:space="preserve">in violation of public policy, where </w:t>
      </w:r>
      <w:r>
        <w:rPr>
          <w:rFonts w:ascii="Century Schoolbook" w:hAnsi="Century Schoolbook"/>
        </w:rPr>
        <w:t xml:space="preserve">the only </w:t>
      </w:r>
      <w:r>
        <w:rPr>
          <w:rFonts w:ascii="Century Schoolbook" w:hAnsi="Century Schoolbook"/>
        </w:rPr>
        <w:t xml:space="preserve">public policy relied on was </w:t>
      </w:r>
      <w:r>
        <w:rPr>
          <w:rFonts w:ascii="Century Schoolbook" w:hAnsi="Century Schoolbook"/>
        </w:rPr>
        <w:t>a statute</w:t>
      </w:r>
      <w:r>
        <w:rPr>
          <w:rFonts w:ascii="Century Schoolbook" w:hAnsi="Century Schoolbook"/>
        </w:rPr>
        <w:t xml:space="preserve"> prohibiting discriminatory employment discharges</w:t>
      </w:r>
      <w:r>
        <w:rPr>
          <w:rFonts w:ascii="Century Schoolbook" w:hAnsi="Century Schoolbook"/>
        </w:rPr>
        <w:t>,</w:t>
      </w:r>
      <w:r>
        <w:rPr>
          <w:rFonts w:ascii="Century Schoolbook" w:hAnsi="Century Schoolbook"/>
        </w:rPr>
        <w:t xml:space="preserve"> was</w:t>
      </w:r>
      <w:r>
        <w:rPr>
          <w:rFonts w:ascii="Century Schoolbook" w:hAnsi="Century Schoolbook"/>
        </w:rPr>
        <w:t xml:space="preserve"> restricted by the parameters of the statute</w:t>
      </w:r>
      <w:r>
        <w:rPr>
          <w:rFonts w:ascii="Century Schoolbook" w:hAnsi="Century Schoolbook"/>
        </w:rPr>
        <w:t>.  (</w:t>
      </w:r>
      <w:r>
        <w:rPr>
          <w:rFonts w:ascii="Century Schoolbook" w:hAnsi="Century Schoolbook"/>
          <w:i/>
          <w:iCs/>
        </w:rPr>
        <w:t>Id.</w:t>
      </w:r>
      <w:r>
        <w:rPr>
          <w:rFonts w:ascii="Century Schoolbook" w:hAnsi="Century Schoolbook"/>
        </w:rPr>
        <w:t xml:space="preserve"> at pp. </w:t>
      </w:r>
      <w:r w:rsidRPr="00284239">
        <w:rPr>
          <w:rFonts w:ascii="Century Schoolbook" w:hAnsi="Century Schoolbook"/>
        </w:rPr>
        <w:t>663</w:t>
      </w:r>
      <w:r>
        <w:rPr>
          <w:rFonts w:ascii="Century Schoolbook" w:hAnsi="Century Schoolbook"/>
        </w:rPr>
        <w:t>–664.)</w:t>
      </w:r>
      <w:r>
        <w:rPr>
          <w:rFonts w:ascii="Century Schoolbook" w:hAnsi="Century Schoolbook"/>
        </w:rPr>
        <w:t xml:space="preserve"> </w:t>
      </w:r>
    </w:p>
    <w:p w14:paraId="6F0DDA12" w14:textId="77777777" w:rsidR="006F58CB" w:rsidRPr="000C6538" w:rsidRDefault="006F58CB" w:rsidP="005F53DD">
      <w:pPr>
        <w:spacing w:line="360" w:lineRule="auto"/>
        <w:jc w:val="center"/>
        <w:rPr>
          <w:rFonts w:ascii="Century Schoolbook" w:hAnsi="Century Schoolbook"/>
        </w:rPr>
      </w:pPr>
      <w:r w:rsidRPr="000C6538">
        <w:rPr>
          <w:rFonts w:ascii="Century Schoolbook" w:hAnsi="Century Schoolbook"/>
        </w:rPr>
        <w:t>DISPOSITION</w:t>
      </w:r>
    </w:p>
    <w:p w14:paraId="0173E68B" w14:textId="77777777" w:rsidR="006F58CB" w:rsidRDefault="006F58CB" w:rsidP="00EF7C3D">
      <w:pPr>
        <w:spacing w:line="360" w:lineRule="auto"/>
        <w:rPr>
          <w:rFonts w:ascii="Century Schoolbook" w:hAnsi="Century Schoolbook"/>
        </w:rPr>
      </w:pPr>
      <w:r w:rsidRPr="000C6538">
        <w:rPr>
          <w:rFonts w:ascii="Century Schoolbook" w:hAnsi="Century Schoolbook"/>
        </w:rPr>
        <w:tab/>
      </w:r>
      <w:r>
        <w:rPr>
          <w:rFonts w:ascii="Century Schoolbook" w:hAnsi="Century Schoolbook"/>
        </w:rPr>
        <w:t xml:space="preserve">The </w:t>
      </w:r>
      <w:r>
        <w:rPr>
          <w:rFonts w:ascii="Century Schoolbook" w:hAnsi="Century Schoolbook"/>
        </w:rPr>
        <w:t xml:space="preserve">portion of the </w:t>
      </w:r>
      <w:r w:rsidRPr="00AD123D">
        <w:rPr>
          <w:rFonts w:ascii="Century Schoolbook" w:hAnsi="Century Schoolbook"/>
        </w:rPr>
        <w:t xml:space="preserve">judgment </w:t>
      </w:r>
      <w:r>
        <w:rPr>
          <w:rFonts w:ascii="Century Schoolbook" w:hAnsi="Century Schoolbook"/>
        </w:rPr>
        <w:t xml:space="preserve">finding </w:t>
      </w:r>
      <w:r>
        <w:rPr>
          <w:rFonts w:ascii="Century Schoolbook" w:hAnsi="Century Schoolbook"/>
        </w:rPr>
        <w:t xml:space="preserve">in favor of </w:t>
      </w:r>
      <w:r>
        <w:rPr>
          <w:rFonts w:ascii="Century Schoolbook" w:hAnsi="Century Schoolbook"/>
        </w:rPr>
        <w:t>P</w:t>
      </w:r>
      <w:r>
        <w:rPr>
          <w:rFonts w:ascii="Century Schoolbook" w:hAnsi="Century Schoolbook"/>
        </w:rPr>
        <w:t>laintiffs on their claims for violation of the right to privacy under the California Constitution and violation of Labor Code section 432.7(g)(2)</w:t>
      </w:r>
      <w:r>
        <w:rPr>
          <w:rFonts w:ascii="Century Schoolbook" w:hAnsi="Century Schoolbook"/>
        </w:rPr>
        <w:t>,</w:t>
      </w:r>
      <w:r>
        <w:rPr>
          <w:rFonts w:ascii="Century Schoolbook" w:hAnsi="Century Schoolbook"/>
        </w:rPr>
        <w:t xml:space="preserve"> </w:t>
      </w:r>
      <w:r>
        <w:rPr>
          <w:rFonts w:ascii="Century Schoolbook" w:hAnsi="Century Schoolbook"/>
        </w:rPr>
        <w:t>and issuing injunctions based on these claims</w:t>
      </w:r>
      <w:r>
        <w:rPr>
          <w:rFonts w:ascii="Century Schoolbook" w:hAnsi="Century Schoolbook"/>
        </w:rPr>
        <w:t>,</w:t>
      </w:r>
      <w:r>
        <w:rPr>
          <w:rFonts w:ascii="Century Schoolbook" w:hAnsi="Century Schoolbook"/>
        </w:rPr>
        <w:t xml:space="preserve"> </w:t>
      </w:r>
      <w:r w:rsidRPr="00AD123D">
        <w:rPr>
          <w:rFonts w:ascii="Century Schoolbook" w:hAnsi="Century Schoolbook"/>
        </w:rPr>
        <w:t xml:space="preserve">is </w:t>
      </w:r>
      <w:r>
        <w:rPr>
          <w:rFonts w:ascii="Century Schoolbook" w:hAnsi="Century Schoolbook"/>
        </w:rPr>
        <w:t>reversed</w:t>
      </w:r>
      <w:r w:rsidRPr="00AD123D">
        <w:rPr>
          <w:rFonts w:ascii="Century Schoolbook" w:hAnsi="Century Schoolbook"/>
        </w:rPr>
        <w:t>.</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The judgment is otherwise affirmed.  </w:t>
      </w:r>
      <w:r>
        <w:rPr>
          <w:rFonts w:ascii="Century Schoolbook" w:hAnsi="Century Schoolbook"/>
        </w:rPr>
        <w:t>The parties shall bear their own costs.</w:t>
      </w:r>
    </w:p>
    <w:p w14:paraId="56601BAA" w14:textId="77777777" w:rsidR="006F58CB" w:rsidRDefault="006F58CB" w:rsidP="00EF7C3D">
      <w:pPr>
        <w:spacing w:line="360" w:lineRule="auto"/>
        <w:rPr>
          <w:rFonts w:ascii="Century Schoolbook" w:hAnsi="Century Schoolbook"/>
        </w:rPr>
      </w:pPr>
    </w:p>
    <w:p w14:paraId="4012394D" w14:textId="77777777" w:rsidR="006F58CB" w:rsidRDefault="006F58CB" w:rsidP="00257C39">
      <w:pPr>
        <w:spacing w:line="360" w:lineRule="auto"/>
        <w:rPr>
          <w:rFonts w:ascii="Century Schoolbook" w:hAnsi="Century Schoolbook"/>
        </w:rPr>
      </w:pPr>
    </w:p>
    <w:p w14:paraId="162D1D89" w14:textId="77777777" w:rsidR="006F58CB" w:rsidRDefault="006F58CB" w:rsidP="00664598">
      <w:pPr>
        <w:rPr>
          <w:rFonts w:ascii="Century Schoolbook" w:hAnsi="Century Schoolbook"/>
        </w:rPr>
      </w:pPr>
    </w:p>
    <w:p w14:paraId="5BD2CD16" w14:textId="77777777" w:rsidR="006F58CB" w:rsidRPr="0025056B" w:rsidRDefault="006F58CB" w:rsidP="00664598">
      <w:pPr>
        <w:rPr>
          <w:rFonts w:ascii="Century Schoolbook" w:hAnsi="Century Schoolbook"/>
        </w:rPr>
      </w:pPr>
    </w:p>
    <w:p w14:paraId="4112A74C" w14:textId="77777777" w:rsidR="006F58CB" w:rsidRPr="00664598" w:rsidRDefault="006F58CB" w:rsidP="0025056B">
      <w:pPr>
        <w:tabs>
          <w:tab w:val="left" w:pos="6120"/>
        </w:tabs>
        <w:spacing w:line="360" w:lineRule="auto"/>
        <w:rPr>
          <w:rFonts w:ascii="Century Schoolbook" w:hAnsi="Century Schoolbook"/>
        </w:rPr>
      </w:pPr>
    </w:p>
    <w:p w14:paraId="03A8F471" w14:textId="77777777" w:rsidR="006F58CB" w:rsidRPr="00664598" w:rsidRDefault="006F58CB" w:rsidP="0025056B">
      <w:pPr>
        <w:tabs>
          <w:tab w:val="left" w:pos="6120"/>
        </w:tabs>
        <w:spacing w:line="360" w:lineRule="auto"/>
        <w:rPr>
          <w:rFonts w:ascii="Century Schoolbook" w:hAnsi="Century Schoolbook"/>
        </w:rPr>
      </w:pPr>
      <w:r w:rsidRPr="00664598">
        <w:rPr>
          <w:rFonts w:ascii="Century Schoolbook" w:hAnsi="Century Schoolbook"/>
        </w:rPr>
        <w:tab/>
      </w:r>
      <w:r w:rsidRPr="00664598">
        <w:rPr>
          <w:rFonts w:ascii="Century Schoolbook" w:hAnsi="Century Schoolbook"/>
        </w:rPr>
        <w:tab/>
        <w:t>SIMONS, Acting P.J.</w:t>
      </w:r>
    </w:p>
    <w:p w14:paraId="03B640C3" w14:textId="77777777" w:rsidR="006F58CB" w:rsidRPr="00664598" w:rsidRDefault="006F58CB" w:rsidP="0025056B">
      <w:pPr>
        <w:tabs>
          <w:tab w:val="left" w:pos="6120"/>
        </w:tabs>
        <w:spacing w:line="360" w:lineRule="auto"/>
        <w:rPr>
          <w:rFonts w:ascii="Century Schoolbook" w:hAnsi="Century Schoolbook"/>
        </w:rPr>
      </w:pPr>
    </w:p>
    <w:p w14:paraId="01DF24AD" w14:textId="77777777" w:rsidR="006F58CB" w:rsidRPr="00664598" w:rsidRDefault="006F58CB" w:rsidP="0025056B">
      <w:pPr>
        <w:tabs>
          <w:tab w:val="left" w:pos="6120"/>
        </w:tabs>
        <w:spacing w:line="360" w:lineRule="auto"/>
        <w:rPr>
          <w:rFonts w:ascii="Century Schoolbook" w:hAnsi="Century Schoolbook"/>
        </w:rPr>
      </w:pPr>
      <w:r w:rsidRPr="00664598">
        <w:rPr>
          <w:rFonts w:ascii="Century Schoolbook" w:hAnsi="Century Schoolbook"/>
        </w:rPr>
        <w:t xml:space="preserve">We concur. </w:t>
      </w:r>
    </w:p>
    <w:p w14:paraId="688EBE49" w14:textId="77777777" w:rsidR="006F58CB" w:rsidRPr="00664598" w:rsidRDefault="006F58CB" w:rsidP="0025056B">
      <w:pPr>
        <w:tabs>
          <w:tab w:val="left" w:pos="6120"/>
        </w:tabs>
        <w:spacing w:line="360" w:lineRule="auto"/>
        <w:rPr>
          <w:rFonts w:ascii="Century Schoolbook" w:hAnsi="Century Schoolbook"/>
        </w:rPr>
      </w:pPr>
    </w:p>
    <w:p w14:paraId="4726F4A0" w14:textId="77777777" w:rsidR="006F58CB" w:rsidRPr="00664598" w:rsidRDefault="006F58CB" w:rsidP="00664598">
      <w:pPr>
        <w:tabs>
          <w:tab w:val="left" w:pos="6120"/>
        </w:tabs>
        <w:spacing w:line="240" w:lineRule="auto"/>
        <w:rPr>
          <w:rFonts w:ascii="Century Schoolbook" w:hAnsi="Century Schoolbook"/>
        </w:rPr>
      </w:pPr>
      <w:r w:rsidRPr="00664598">
        <w:rPr>
          <w:rFonts w:ascii="Century Schoolbook" w:hAnsi="Century Schoolbook"/>
        </w:rPr>
        <w:t>BURNS, J.</w:t>
      </w:r>
    </w:p>
    <w:p w14:paraId="3C838381" w14:textId="77777777" w:rsidR="006F58CB" w:rsidRPr="00664598" w:rsidRDefault="006F58CB" w:rsidP="00664598">
      <w:pPr>
        <w:tabs>
          <w:tab w:val="left" w:pos="6120"/>
        </w:tabs>
        <w:spacing w:line="240" w:lineRule="auto"/>
        <w:rPr>
          <w:rFonts w:ascii="Century Schoolbook" w:hAnsi="Century Schoolbook"/>
          <w:noProof/>
        </w:rPr>
      </w:pPr>
      <w:r w:rsidRPr="00664598">
        <w:rPr>
          <w:rFonts w:ascii="Century Schoolbook" w:hAnsi="Century Schoolbook"/>
          <w:noProof/>
        </w:rPr>
        <w:t xml:space="preserve">CHOU, J. </w:t>
      </w:r>
    </w:p>
    <w:p w14:paraId="1C58BC7D" w14:textId="77777777" w:rsidR="006F58CB" w:rsidRPr="00664598" w:rsidRDefault="006F58CB" w:rsidP="00664598">
      <w:pPr>
        <w:spacing w:line="240" w:lineRule="auto"/>
        <w:rPr>
          <w:rFonts w:ascii="Century Schoolbook" w:hAnsi="Century Schoolbook"/>
        </w:rPr>
      </w:pPr>
    </w:p>
    <w:p w14:paraId="1343CBF9" w14:textId="77777777" w:rsidR="006F58CB" w:rsidRPr="00664598" w:rsidRDefault="006F58CB" w:rsidP="0025056B">
      <w:pPr>
        <w:spacing w:line="360" w:lineRule="auto"/>
        <w:rPr>
          <w:rFonts w:ascii="Century Schoolbook" w:hAnsi="Century Schoolbook"/>
        </w:rPr>
      </w:pPr>
    </w:p>
    <w:p w14:paraId="2AF4CAA7" w14:textId="77777777" w:rsidR="006F58CB" w:rsidRPr="00664598" w:rsidRDefault="006F58CB" w:rsidP="0025056B">
      <w:pPr>
        <w:spacing w:line="360" w:lineRule="auto"/>
        <w:rPr>
          <w:rFonts w:ascii="Century Schoolbook" w:hAnsi="Century Schoolbook"/>
        </w:rPr>
      </w:pPr>
    </w:p>
    <w:p w14:paraId="0C0F2F2E" w14:textId="77777777" w:rsidR="006F58CB" w:rsidRPr="00664598" w:rsidRDefault="006F58CB" w:rsidP="0025056B">
      <w:pPr>
        <w:spacing w:line="360" w:lineRule="auto"/>
        <w:rPr>
          <w:rFonts w:ascii="Century Schoolbook" w:hAnsi="Century Schoolbook"/>
        </w:rPr>
      </w:pPr>
    </w:p>
    <w:p w14:paraId="3D91A844" w14:textId="77777777" w:rsidR="006F58CB" w:rsidRPr="00664598" w:rsidRDefault="006F58CB" w:rsidP="0025056B">
      <w:pPr>
        <w:spacing w:line="360" w:lineRule="auto"/>
        <w:rPr>
          <w:rFonts w:ascii="Century Schoolbook" w:hAnsi="Century Schoolbook"/>
        </w:rPr>
      </w:pPr>
    </w:p>
    <w:p w14:paraId="17F10728" w14:textId="77777777" w:rsidR="006F58CB" w:rsidRPr="00664598" w:rsidRDefault="006F58CB" w:rsidP="0025056B">
      <w:pPr>
        <w:spacing w:line="360" w:lineRule="auto"/>
        <w:rPr>
          <w:rFonts w:ascii="Century Schoolbook" w:hAnsi="Century Schoolbook"/>
        </w:rPr>
      </w:pPr>
    </w:p>
    <w:p w14:paraId="14AC43D4" w14:textId="77777777" w:rsidR="006F58CB" w:rsidRDefault="006F58CB" w:rsidP="0025056B">
      <w:pPr>
        <w:spacing w:line="360" w:lineRule="auto"/>
        <w:rPr>
          <w:rFonts w:ascii="Century Schoolbook" w:hAnsi="Century Schoolbook"/>
        </w:rPr>
      </w:pPr>
    </w:p>
    <w:p w14:paraId="2FB2DBA2" w14:textId="77777777" w:rsidR="006F58CB" w:rsidRDefault="006F58CB" w:rsidP="0025056B">
      <w:pPr>
        <w:spacing w:line="360" w:lineRule="auto"/>
        <w:rPr>
          <w:rFonts w:ascii="Century Schoolbook" w:hAnsi="Century Schoolbook"/>
        </w:rPr>
      </w:pPr>
    </w:p>
    <w:p w14:paraId="7BA0917E" w14:textId="77777777" w:rsidR="006F58CB" w:rsidRDefault="006F58CB" w:rsidP="0025056B">
      <w:pPr>
        <w:spacing w:line="360" w:lineRule="auto"/>
        <w:rPr>
          <w:rFonts w:ascii="Century Schoolbook" w:hAnsi="Century Schoolbook"/>
        </w:rPr>
      </w:pPr>
    </w:p>
    <w:p w14:paraId="59FA7F17" w14:textId="77777777" w:rsidR="006F58CB" w:rsidRDefault="006F58CB" w:rsidP="0025056B">
      <w:pPr>
        <w:spacing w:line="360" w:lineRule="auto"/>
        <w:rPr>
          <w:rFonts w:ascii="Century Schoolbook" w:hAnsi="Century Schoolbook"/>
        </w:rPr>
      </w:pPr>
    </w:p>
    <w:p w14:paraId="79EA79FB" w14:textId="77777777" w:rsidR="006F58CB" w:rsidRPr="00664598" w:rsidRDefault="006F58CB" w:rsidP="0025056B">
      <w:pPr>
        <w:spacing w:line="360" w:lineRule="auto"/>
        <w:rPr>
          <w:rFonts w:ascii="Century Schoolbook" w:hAnsi="Century Schoolbook"/>
        </w:rPr>
      </w:pPr>
    </w:p>
    <w:p w14:paraId="33569037" w14:textId="77777777" w:rsidR="006F58CB" w:rsidRPr="00664598" w:rsidRDefault="006F58CB" w:rsidP="0025056B">
      <w:pPr>
        <w:spacing w:line="360" w:lineRule="auto"/>
        <w:rPr>
          <w:rFonts w:ascii="Century Schoolbook" w:hAnsi="Century Schoolbook"/>
        </w:rPr>
      </w:pPr>
    </w:p>
    <w:p w14:paraId="1AE7558A" w14:textId="77777777" w:rsidR="006F58CB" w:rsidRPr="00664598" w:rsidRDefault="006F58CB" w:rsidP="0025056B">
      <w:pPr>
        <w:spacing w:line="360" w:lineRule="auto"/>
        <w:rPr>
          <w:rFonts w:ascii="Century Schoolbook" w:hAnsi="Century Schoolbook"/>
        </w:rPr>
      </w:pPr>
      <w:r>
        <w:rPr>
          <w:rFonts w:ascii="Century Schoolbook" w:hAnsi="Century Schoolbook"/>
        </w:rPr>
        <w:t>(A164843)</w:t>
      </w:r>
    </w:p>
    <w:p w14:paraId="37C95484" w14:textId="77777777" w:rsidR="006F58CB" w:rsidRPr="009A19F4" w:rsidRDefault="006F58CB" w:rsidP="0025056B"/>
    <w:p w14:paraId="41BC2D6F" w14:textId="77777777" w:rsidR="006F58CB" w:rsidRPr="0025056B" w:rsidRDefault="006F58CB" w:rsidP="00664598">
      <w:pPr>
        <w:rPr>
          <w:rFonts w:ascii="Century Schoolbook" w:hAnsi="Century Schoolbook"/>
        </w:rPr>
      </w:pPr>
    </w:p>
    <w:p w14:paraId="6B27E139" w14:textId="77777777" w:rsidR="006F58CB" w:rsidRPr="0025056B" w:rsidRDefault="006F58CB" w:rsidP="00664598">
      <w:pPr>
        <w:rPr>
          <w:rFonts w:ascii="Century Schoolbook" w:hAnsi="Century Schoolbook"/>
        </w:rPr>
      </w:pPr>
    </w:p>
    <w:p w14:paraId="73F8491B" w14:textId="77777777" w:rsidR="006F58CB" w:rsidRDefault="006F58CB" w:rsidP="00664598">
      <w:pPr>
        <w:rPr>
          <w:rFonts w:ascii="Century Schoolbook" w:hAnsi="Century Schoolbook"/>
        </w:rPr>
      </w:pPr>
    </w:p>
    <w:p w14:paraId="17198553" w14:textId="77777777" w:rsidR="006F58CB" w:rsidRDefault="006F58CB" w:rsidP="00664598">
      <w:pPr>
        <w:rPr>
          <w:rFonts w:ascii="Century Schoolbook" w:hAnsi="Century Schoolbook"/>
        </w:rPr>
      </w:pPr>
    </w:p>
    <w:p w14:paraId="491C8603" w14:textId="77777777" w:rsidR="006F58CB" w:rsidRPr="00664598" w:rsidRDefault="006F58CB" w:rsidP="0025056B">
      <w:pPr>
        <w:spacing w:line="360" w:lineRule="auto"/>
        <w:rPr>
          <w:rFonts w:ascii="Century Schoolbook" w:hAnsi="Century Schoolbook"/>
          <w:b/>
          <w:bCs/>
          <w:u w:val="single"/>
        </w:rPr>
      </w:pPr>
      <w:r>
        <w:rPr>
          <w:rFonts w:ascii="Century Schoolbook" w:hAnsi="Century Schoolbook"/>
          <w:b/>
          <w:bCs/>
          <w:u w:val="single"/>
        </w:rPr>
        <w:lastRenderedPageBreak/>
        <w:t xml:space="preserve">Doe, et </w:t>
      </w:r>
      <w:proofErr w:type="spellStart"/>
      <w:proofErr w:type="gramStart"/>
      <w:r>
        <w:rPr>
          <w:rFonts w:ascii="Century Schoolbook" w:hAnsi="Century Schoolbook"/>
          <w:b/>
          <w:bCs/>
          <w:u w:val="single"/>
        </w:rPr>
        <w:t>al.California</w:t>
      </w:r>
      <w:proofErr w:type="spellEnd"/>
      <w:proofErr w:type="gramEnd"/>
      <w:r>
        <w:rPr>
          <w:rFonts w:ascii="Century Schoolbook" w:hAnsi="Century Schoolbook"/>
          <w:b/>
          <w:bCs/>
          <w:u w:val="single"/>
        </w:rPr>
        <w:t xml:space="preserve"> Department of Motor Vehicles, et al.</w:t>
      </w:r>
      <w:r w:rsidRPr="00664598">
        <w:rPr>
          <w:rFonts w:ascii="Century Schoolbook" w:hAnsi="Century Schoolbook"/>
          <w:b/>
          <w:bCs/>
          <w:u w:val="single"/>
        </w:rPr>
        <w:t xml:space="preserve"> (</w:t>
      </w:r>
      <w:r>
        <w:rPr>
          <w:rFonts w:ascii="Century Schoolbook" w:hAnsi="Century Schoolbook"/>
          <w:b/>
          <w:bCs/>
          <w:u w:val="single"/>
        </w:rPr>
        <w:t>A164843</w:t>
      </w:r>
      <w:r w:rsidRPr="00664598">
        <w:rPr>
          <w:rFonts w:ascii="Century Schoolbook" w:hAnsi="Century Schoolbook"/>
          <w:b/>
          <w:bCs/>
          <w:u w:val="single"/>
        </w:rPr>
        <w:t>)</w:t>
      </w:r>
    </w:p>
    <w:p w14:paraId="664DF828" w14:textId="77777777" w:rsidR="006F58CB" w:rsidRPr="00664598" w:rsidRDefault="006F58CB" w:rsidP="0025056B">
      <w:pPr>
        <w:spacing w:line="360" w:lineRule="auto"/>
        <w:rPr>
          <w:rFonts w:ascii="Century Schoolbook" w:hAnsi="Century Schoolbook"/>
        </w:rPr>
      </w:pPr>
    </w:p>
    <w:p w14:paraId="5835F2EB" w14:textId="77777777" w:rsidR="006F58CB" w:rsidRPr="00664598" w:rsidRDefault="006F58CB" w:rsidP="0025056B">
      <w:pPr>
        <w:spacing w:line="360" w:lineRule="auto"/>
        <w:rPr>
          <w:rFonts w:ascii="Century Schoolbook" w:hAnsi="Century Schoolbook"/>
        </w:rPr>
      </w:pPr>
      <w:r w:rsidRPr="00664598">
        <w:rPr>
          <w:rFonts w:ascii="Century Schoolbook" w:hAnsi="Century Schoolbook"/>
        </w:rPr>
        <w:t>Trial Judge:</w:t>
      </w:r>
      <w:r w:rsidRPr="00664598">
        <w:rPr>
          <w:rFonts w:ascii="Century Schoolbook" w:hAnsi="Century Schoolbook"/>
        </w:rPr>
        <w:tab/>
        <w:t xml:space="preserve">Hon. </w:t>
      </w:r>
      <w:r>
        <w:rPr>
          <w:rFonts w:ascii="Century Schoolbook" w:hAnsi="Century Schoolbook"/>
        </w:rPr>
        <w:t>Brad Seligman</w:t>
      </w:r>
    </w:p>
    <w:p w14:paraId="28B4F9CA" w14:textId="77777777" w:rsidR="006F58CB" w:rsidRPr="00664598" w:rsidRDefault="006F58CB" w:rsidP="0025056B">
      <w:pPr>
        <w:spacing w:line="360" w:lineRule="auto"/>
        <w:rPr>
          <w:rFonts w:ascii="Century Schoolbook" w:hAnsi="Century Schoolbook"/>
        </w:rPr>
      </w:pPr>
    </w:p>
    <w:p w14:paraId="41DF7ABF" w14:textId="77777777" w:rsidR="006F58CB" w:rsidRPr="00664598" w:rsidRDefault="006F58CB" w:rsidP="0025056B">
      <w:pPr>
        <w:spacing w:line="360" w:lineRule="auto"/>
        <w:rPr>
          <w:rFonts w:ascii="Century Schoolbook" w:hAnsi="Century Schoolbook"/>
        </w:rPr>
      </w:pPr>
      <w:r w:rsidRPr="00664598">
        <w:rPr>
          <w:rFonts w:ascii="Century Schoolbook" w:hAnsi="Century Schoolbook"/>
        </w:rPr>
        <w:t xml:space="preserve">Trial Court: </w:t>
      </w:r>
      <w:r w:rsidRPr="00664598">
        <w:rPr>
          <w:rFonts w:ascii="Century Schoolbook" w:hAnsi="Century Schoolbook"/>
        </w:rPr>
        <w:tab/>
      </w:r>
      <w:r>
        <w:rPr>
          <w:rFonts w:ascii="Century Schoolbook" w:hAnsi="Century Schoolbook"/>
        </w:rPr>
        <w:t>Alameda</w:t>
      </w:r>
      <w:r w:rsidRPr="00664598">
        <w:rPr>
          <w:rFonts w:ascii="Century Schoolbook" w:hAnsi="Century Schoolbook"/>
        </w:rPr>
        <w:t xml:space="preserve"> County Superior Court</w:t>
      </w:r>
    </w:p>
    <w:p w14:paraId="3574CC5A" w14:textId="77777777" w:rsidR="006F58CB" w:rsidRPr="00664598" w:rsidRDefault="006F58CB" w:rsidP="0025056B">
      <w:pPr>
        <w:tabs>
          <w:tab w:val="left" w:pos="2160"/>
        </w:tabs>
        <w:spacing w:line="360" w:lineRule="auto"/>
        <w:rPr>
          <w:rFonts w:ascii="Century Schoolbook" w:hAnsi="Century Schoolbook"/>
        </w:rPr>
      </w:pPr>
    </w:p>
    <w:p w14:paraId="5CD05FCD" w14:textId="77777777" w:rsidR="006F58CB" w:rsidRPr="00664598" w:rsidRDefault="006F58CB" w:rsidP="0025056B">
      <w:pPr>
        <w:tabs>
          <w:tab w:val="left" w:pos="2160"/>
        </w:tabs>
        <w:spacing w:line="360" w:lineRule="auto"/>
        <w:ind w:left="2160" w:hanging="2160"/>
        <w:rPr>
          <w:rFonts w:ascii="Century Schoolbook" w:hAnsi="Century Schoolbook"/>
        </w:rPr>
      </w:pPr>
      <w:r w:rsidRPr="00664598">
        <w:rPr>
          <w:rFonts w:ascii="Century Schoolbook" w:hAnsi="Century Schoolbook"/>
        </w:rPr>
        <w:t xml:space="preserve">Attorneys: </w:t>
      </w:r>
      <w:r w:rsidRPr="00664598">
        <w:rPr>
          <w:rFonts w:ascii="Century Schoolbook" w:hAnsi="Century Schoolbook"/>
        </w:rPr>
        <w:tab/>
      </w:r>
    </w:p>
    <w:p w14:paraId="40F823C6" w14:textId="77777777" w:rsidR="006F58CB" w:rsidRPr="00664598" w:rsidRDefault="006F58CB" w:rsidP="0025056B">
      <w:pPr>
        <w:tabs>
          <w:tab w:val="clear" w:pos="720"/>
          <w:tab w:val="left" w:pos="1440"/>
        </w:tabs>
        <w:spacing w:line="240" w:lineRule="auto"/>
        <w:ind w:left="720" w:hanging="1440"/>
        <w:rPr>
          <w:rFonts w:ascii="Century Schoolbook" w:hAnsi="Century Schoolbook"/>
        </w:rPr>
      </w:pPr>
      <w:r w:rsidRPr="00664598">
        <w:rPr>
          <w:rFonts w:ascii="Century Schoolbook" w:hAnsi="Century Schoolbook"/>
        </w:rPr>
        <w:tab/>
      </w:r>
      <w:r w:rsidRPr="00664598">
        <w:rPr>
          <w:rFonts w:ascii="Century Schoolbook" w:hAnsi="Century Schoolbook"/>
        </w:rPr>
        <w:tab/>
      </w:r>
      <w:r>
        <w:rPr>
          <w:rFonts w:ascii="Century Schoolbook" w:hAnsi="Century Schoolbook"/>
        </w:rPr>
        <w:t xml:space="preserve">Rob Bonta, Attorney General, </w:t>
      </w:r>
      <w:r>
        <w:rPr>
          <w:rFonts w:ascii="Century Schoolbook" w:hAnsi="Century Schoolbook"/>
        </w:rPr>
        <w:t xml:space="preserve">Chris A. Knudsen, Senior Assistant Attorney General, </w:t>
      </w:r>
      <w:r>
        <w:rPr>
          <w:rFonts w:ascii="Century Schoolbook" w:hAnsi="Century Schoolbook"/>
        </w:rPr>
        <w:t xml:space="preserve">Fiel D. Tigno, Supervising Deputy Attorney General, </w:t>
      </w:r>
      <w:r>
        <w:rPr>
          <w:rFonts w:ascii="Century Schoolbook" w:hAnsi="Century Schoolbook"/>
        </w:rPr>
        <w:t xml:space="preserve">Christopher D. Beatty, Vincent Cheng, and </w:t>
      </w:r>
      <w:r>
        <w:rPr>
          <w:rFonts w:ascii="Century Schoolbook" w:hAnsi="Century Schoolbook"/>
        </w:rPr>
        <w:t>Joshua C. Irwin, Deputy Attorneys General,</w:t>
      </w:r>
      <w:r w:rsidRPr="00664598">
        <w:rPr>
          <w:rFonts w:ascii="Century Schoolbook" w:hAnsi="Century Schoolbook"/>
        </w:rPr>
        <w:t xml:space="preserve"> for Defendant</w:t>
      </w:r>
      <w:r>
        <w:rPr>
          <w:rFonts w:ascii="Century Schoolbook" w:hAnsi="Century Schoolbook"/>
        </w:rPr>
        <w:t>s</w:t>
      </w:r>
      <w:r w:rsidRPr="00664598">
        <w:rPr>
          <w:rFonts w:ascii="Century Schoolbook" w:hAnsi="Century Schoolbook"/>
        </w:rPr>
        <w:t xml:space="preserve"> and Appellant</w:t>
      </w:r>
      <w:r>
        <w:rPr>
          <w:rFonts w:ascii="Century Schoolbook" w:hAnsi="Century Schoolbook"/>
        </w:rPr>
        <w:t>s</w:t>
      </w:r>
      <w:r w:rsidRPr="00664598">
        <w:rPr>
          <w:rFonts w:ascii="Century Schoolbook" w:hAnsi="Century Schoolbook"/>
        </w:rPr>
        <w:t>.</w:t>
      </w:r>
    </w:p>
    <w:p w14:paraId="0A8136C7" w14:textId="77777777" w:rsidR="006F58CB" w:rsidRPr="00664598" w:rsidRDefault="006F58CB" w:rsidP="0025056B">
      <w:pPr>
        <w:tabs>
          <w:tab w:val="left" w:pos="2160"/>
        </w:tabs>
        <w:spacing w:line="240" w:lineRule="auto"/>
        <w:ind w:left="2160" w:hanging="2160"/>
        <w:rPr>
          <w:rFonts w:ascii="Century Schoolbook" w:hAnsi="Century Schoolbook"/>
        </w:rPr>
      </w:pPr>
    </w:p>
    <w:p w14:paraId="1A1F2D96" w14:textId="77777777" w:rsidR="006F58CB" w:rsidRDefault="006F58CB" w:rsidP="0025056B">
      <w:pPr>
        <w:tabs>
          <w:tab w:val="clear" w:pos="720"/>
          <w:tab w:val="left" w:pos="1440"/>
        </w:tabs>
        <w:spacing w:line="240" w:lineRule="auto"/>
        <w:ind w:left="720" w:hanging="1440"/>
        <w:rPr>
          <w:rFonts w:ascii="Century Schoolbook" w:hAnsi="Century Schoolbook"/>
        </w:rPr>
      </w:pPr>
      <w:r w:rsidRPr="00664598">
        <w:rPr>
          <w:rFonts w:ascii="Century Schoolbook" w:hAnsi="Century Schoolbook"/>
        </w:rPr>
        <w:tab/>
      </w:r>
      <w:r w:rsidRPr="00664598">
        <w:rPr>
          <w:rFonts w:ascii="Century Schoolbook" w:hAnsi="Century Schoolbook"/>
        </w:rPr>
        <w:tab/>
      </w:r>
      <w:r>
        <w:rPr>
          <w:rFonts w:ascii="Century Schoolbook" w:hAnsi="Century Schoolbook"/>
        </w:rPr>
        <w:t>East Bay Community Law Center, Miguel Soto, Jr.; Sidley Austin LLP, David R. Carpenter, Nicole M. Baade, Jaime A. Bartlett, Sara B. Brody, and Matthew Henry</w:t>
      </w:r>
      <w:r w:rsidRPr="00664598">
        <w:rPr>
          <w:rFonts w:ascii="Century Schoolbook" w:hAnsi="Century Schoolbook"/>
        </w:rPr>
        <w:t xml:space="preserve"> for Plaintiff</w:t>
      </w:r>
      <w:r>
        <w:rPr>
          <w:rFonts w:ascii="Century Schoolbook" w:hAnsi="Century Schoolbook"/>
        </w:rPr>
        <w:t>s</w:t>
      </w:r>
      <w:r w:rsidRPr="00664598">
        <w:rPr>
          <w:rFonts w:ascii="Century Schoolbook" w:hAnsi="Century Schoolbook"/>
        </w:rPr>
        <w:t xml:space="preserve"> and Respondent</w:t>
      </w:r>
      <w:r>
        <w:rPr>
          <w:rFonts w:ascii="Century Schoolbook" w:hAnsi="Century Schoolbook"/>
        </w:rPr>
        <w:t>s</w:t>
      </w:r>
      <w:r w:rsidRPr="00664598">
        <w:rPr>
          <w:rFonts w:ascii="Century Schoolbook" w:hAnsi="Century Schoolbook"/>
        </w:rPr>
        <w:t>.</w:t>
      </w:r>
    </w:p>
    <w:p w14:paraId="39249D4C" w14:textId="77777777" w:rsidR="006F58CB" w:rsidRDefault="006F58CB" w:rsidP="0025056B">
      <w:pPr>
        <w:tabs>
          <w:tab w:val="clear" w:pos="720"/>
          <w:tab w:val="left" w:pos="1440"/>
        </w:tabs>
        <w:spacing w:line="240" w:lineRule="auto"/>
        <w:ind w:left="720" w:hanging="1440"/>
        <w:rPr>
          <w:rFonts w:ascii="Century Schoolbook" w:hAnsi="Century Schoolbook"/>
        </w:rPr>
      </w:pPr>
    </w:p>
    <w:p w14:paraId="4CB3433A" w14:textId="77777777" w:rsidR="006F58CB" w:rsidRPr="00664598" w:rsidRDefault="006F58CB" w:rsidP="0025056B">
      <w:pPr>
        <w:tabs>
          <w:tab w:val="clear" w:pos="720"/>
          <w:tab w:val="left" w:pos="1440"/>
        </w:tabs>
        <w:spacing w:line="240" w:lineRule="auto"/>
        <w:ind w:left="720" w:hanging="1440"/>
        <w:rPr>
          <w:rFonts w:ascii="Century Schoolbook" w:hAnsi="Century Schoolbook"/>
        </w:rPr>
      </w:pPr>
      <w:r>
        <w:rPr>
          <w:rFonts w:ascii="Century Schoolbook" w:hAnsi="Century Schoolbook"/>
        </w:rPr>
        <w:tab/>
      </w:r>
      <w:r>
        <w:rPr>
          <w:rFonts w:ascii="Century Schoolbook" w:hAnsi="Century Schoolbook"/>
        </w:rPr>
        <w:tab/>
        <w:t xml:space="preserve">Lehotsky Keller Cohn LLP, Steven P. Lehotsky and Gabriela Gonzalez-Araiza for Lyft, Inc. as Amicus Curiae.  </w:t>
      </w:r>
    </w:p>
    <w:p w14:paraId="1426E103" w14:textId="77777777" w:rsidR="006F58CB" w:rsidRPr="00664598" w:rsidRDefault="006F58CB" w:rsidP="0025056B">
      <w:pPr>
        <w:tabs>
          <w:tab w:val="left" w:pos="1440"/>
        </w:tabs>
        <w:spacing w:line="240" w:lineRule="auto"/>
        <w:ind w:left="720" w:hanging="2160"/>
        <w:rPr>
          <w:rFonts w:ascii="Century Schoolbook" w:hAnsi="Century Schoolbook"/>
        </w:rPr>
      </w:pPr>
    </w:p>
    <w:p w14:paraId="3292FADF" w14:textId="77777777" w:rsidR="006F58CB" w:rsidRPr="0025056B" w:rsidRDefault="006F58CB" w:rsidP="00EB0488">
      <w:pPr>
        <w:tabs>
          <w:tab w:val="clear" w:pos="720"/>
          <w:tab w:val="left" w:pos="1320"/>
        </w:tabs>
        <w:rPr>
          <w:rFonts w:ascii="Century Schoolbook" w:hAnsi="Century Schoolbook"/>
        </w:rPr>
      </w:pPr>
    </w:p>
    <w:sectPr w:rsidR="0025056B" w:rsidRPr="0025056B" w:rsidSect="00A27A5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A561E" w14:textId="77777777" w:rsidR="006F58CB" w:rsidRDefault="006F58CB">
      <w:pPr>
        <w:spacing w:line="240" w:lineRule="auto"/>
      </w:pPr>
      <w:r>
        <w:separator/>
      </w:r>
    </w:p>
  </w:endnote>
  <w:endnote w:type="continuationSeparator" w:id="0">
    <w:p w14:paraId="016FD1EE" w14:textId="77777777" w:rsidR="006F58CB" w:rsidRDefault="006F5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8AAD" w14:textId="77777777" w:rsidR="006F58CB" w:rsidRDefault="006F58CB" w:rsidP="002D57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05DDAC" w14:textId="77777777" w:rsidR="006F58CB" w:rsidRDefault="006F58CB" w:rsidP="002D57F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15EC9E" w14:textId="77777777" w:rsidR="006F58CB" w:rsidRDefault="006F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3961" w14:textId="77777777" w:rsidR="006F58CB" w:rsidRPr="00C463C5" w:rsidRDefault="006F58CB" w:rsidP="00EF7C3D">
    <w:pPr>
      <w:pStyle w:val="Footer"/>
      <w:framePr w:wrap="around" w:vAnchor="text" w:hAnchor="margin" w:xAlign="center" w:y="1"/>
      <w:rPr>
        <w:rStyle w:val="PageNumber"/>
        <w:rFonts w:ascii="Century Schoolbook" w:hAnsi="Century Schoolbook"/>
      </w:rPr>
    </w:pPr>
    <w:r w:rsidRPr="00C463C5">
      <w:rPr>
        <w:rStyle w:val="PageNumber"/>
        <w:rFonts w:ascii="Century Schoolbook" w:hAnsi="Century Schoolbook"/>
      </w:rPr>
      <w:fldChar w:fldCharType="begin"/>
    </w:r>
    <w:r w:rsidRPr="00C463C5">
      <w:rPr>
        <w:rStyle w:val="PageNumber"/>
        <w:rFonts w:ascii="Century Schoolbook" w:hAnsi="Century Schoolbook"/>
      </w:rPr>
      <w:instrText xml:space="preserve"> PAGE </w:instrText>
    </w:r>
    <w:r w:rsidRPr="00C463C5">
      <w:rPr>
        <w:rStyle w:val="PageNumber"/>
        <w:rFonts w:ascii="Century Schoolbook" w:hAnsi="Century Schoolbook"/>
      </w:rPr>
      <w:fldChar w:fldCharType="separate"/>
    </w:r>
    <w:r w:rsidRPr="00C463C5">
      <w:rPr>
        <w:rStyle w:val="PageNumber"/>
        <w:rFonts w:ascii="Century Schoolbook" w:hAnsi="Century Schoolbook"/>
        <w:noProof/>
      </w:rPr>
      <w:t>16</w:t>
    </w:r>
    <w:r w:rsidRPr="00C463C5">
      <w:rPr>
        <w:rStyle w:val="PageNumber"/>
        <w:rFonts w:ascii="Century Schoolbook" w:hAnsi="Century Schoolbook"/>
      </w:rPr>
      <w:fldChar w:fldCharType="end"/>
    </w:r>
  </w:p>
  <w:p w14:paraId="7D702AE2" w14:textId="77777777" w:rsidR="006F58CB" w:rsidRDefault="006F5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512D5" w14:textId="77777777" w:rsidR="006F58CB" w:rsidRDefault="006F58CB" w:rsidP="00EF7C3D">
      <w:pPr>
        <w:spacing w:line="240" w:lineRule="auto"/>
      </w:pPr>
      <w:r>
        <w:separator/>
      </w:r>
    </w:p>
  </w:footnote>
  <w:footnote w:type="continuationSeparator" w:id="0">
    <w:p w14:paraId="41A1412F" w14:textId="77777777" w:rsidR="006F58CB" w:rsidRDefault="006F58CB" w:rsidP="00EF7C3D">
      <w:pPr>
        <w:spacing w:line="240" w:lineRule="auto"/>
      </w:pPr>
      <w:r>
        <w:continuationSeparator/>
      </w:r>
    </w:p>
  </w:footnote>
  <w:footnote w:type="continuationNotice" w:id="1">
    <w:p w14:paraId="784B1487" w14:textId="77777777" w:rsidR="006F58CB" w:rsidRDefault="006F58CB">
      <w:pPr>
        <w:spacing w:line="240" w:lineRule="auto"/>
      </w:pPr>
    </w:p>
  </w:footnote>
  <w:footnote w:id="2">
    <w:p w14:paraId="607ED6C1" w14:textId="77777777" w:rsidR="006F58CB" w:rsidRDefault="006F58CB">
      <w:pPr>
        <w:pStyle w:val="FootnoteText"/>
      </w:pPr>
      <w:r>
        <w:rPr>
          <w:rStyle w:val="FootnoteReference"/>
        </w:rPr>
        <w:t>*</w:t>
      </w:r>
      <w:r>
        <w:t xml:space="preserve"> Pursuant to California Rules of Court, rules 8.1105(b) and 8.1110, this opinion is certified for publication </w:t>
      </w:r>
      <w:proofErr w:type="gramStart"/>
      <w:r>
        <w:t>with the exception of</w:t>
      </w:r>
      <w:proofErr w:type="gramEnd"/>
      <w:r>
        <w:t xml:space="preserve"> part II</w:t>
      </w:r>
      <w:r>
        <w:t>.C–D</w:t>
      </w:r>
      <w:r>
        <w:t>.</w:t>
      </w:r>
    </w:p>
  </w:footnote>
  <w:footnote w:id="3">
    <w:p w14:paraId="7D019688" w14:textId="77777777" w:rsidR="006F58CB" w:rsidRDefault="006F58CB">
      <w:pPr>
        <w:pStyle w:val="FootnoteText"/>
      </w:pPr>
      <w:r>
        <w:rPr>
          <w:rStyle w:val="FootnoteReference"/>
        </w:rPr>
        <w:footnoteRef/>
      </w:r>
      <w:r>
        <w:t xml:space="preserve"> DMV produces public driver records in formats referred to as “K4” or “DL 414,” which each contain identical information. </w:t>
      </w:r>
    </w:p>
  </w:footnote>
  <w:footnote w:id="4">
    <w:p w14:paraId="40F8D93D" w14:textId="77777777" w:rsidR="006F58CB" w:rsidRDefault="006F58CB" w:rsidP="005977C0">
      <w:pPr>
        <w:pStyle w:val="FootnoteText"/>
      </w:pPr>
      <w:r>
        <w:rPr>
          <w:rStyle w:val="FootnoteReference"/>
        </w:rPr>
        <w:footnoteRef/>
      </w:r>
      <w:r>
        <w:t xml:space="preserve"> For convenience, we use the term “suspension</w:t>
      </w:r>
      <w:r>
        <w:t>s</w:t>
      </w:r>
      <w:r>
        <w:t>” to refer to both suspension</w:t>
      </w:r>
      <w:r>
        <w:t>s</w:t>
      </w:r>
      <w:r>
        <w:t xml:space="preserve"> and revocation</w:t>
      </w:r>
      <w:r>
        <w:t>s</w:t>
      </w:r>
      <w:r>
        <w:t>.  (</w:t>
      </w:r>
      <w:r>
        <w:t>Veh. Code</w:t>
      </w:r>
      <w:r>
        <w:t>,</w:t>
      </w:r>
      <w:r>
        <w:t xml:space="preserve"> §</w:t>
      </w:r>
      <w:r>
        <w:t>§ 13102 [“When used in reference to a driver’s license, ‘suspension’ means that the person’s privilege to drive a motor vehicle is temporarily withdrawn.”]</w:t>
      </w:r>
      <w:r>
        <w:t>,</w:t>
      </w:r>
      <w:r>
        <w:t xml:space="preserve"> 13101 [“When used in reference to a driver’s license, ‘revocation’ means that the person’s privilege to drive a motor vehicle is terminated and a new driver’s license may be obtained after the period of revocation.”].) </w:t>
      </w:r>
      <w:r>
        <w:t xml:space="preserve"> </w:t>
      </w:r>
      <w:r w:rsidRPr="005339B8">
        <w:t>All undesignated section re</w:t>
      </w:r>
      <w:r w:rsidRPr="005339B8">
        <w:t xml:space="preserve">ferences are to the </w:t>
      </w:r>
      <w:r>
        <w:t>Vehicle</w:t>
      </w:r>
      <w:r w:rsidRPr="005339B8">
        <w:t xml:space="preserve"> Code.</w:t>
      </w:r>
    </w:p>
  </w:footnote>
  <w:footnote w:id="5">
    <w:p w14:paraId="25B2E07D" w14:textId="77777777" w:rsidR="006F58CB" w:rsidRDefault="006F58CB" w:rsidP="00FF752E">
      <w:pPr>
        <w:pStyle w:val="FootnoteText"/>
      </w:pPr>
      <w:r>
        <w:rPr>
          <w:rStyle w:val="FootnoteReference"/>
        </w:rPr>
        <w:footnoteRef/>
      </w:r>
      <w:r>
        <w:t xml:space="preserve"> The suspensions not disclosed after termination are those imposed for failure to pay a child support order (Fam. Code, § </w:t>
      </w:r>
      <w:r w:rsidRPr="00D674AA">
        <w:t>17520</w:t>
      </w:r>
      <w:r>
        <w:t xml:space="preserve">; former Welf. &amp; Inst. Code, § 11350.6, repealed by Stats. 1999, </w:t>
      </w:r>
      <w:proofErr w:type="spellStart"/>
      <w:r>
        <w:t>ch.</w:t>
      </w:r>
      <w:proofErr w:type="spellEnd"/>
      <w:r>
        <w:t xml:space="preserve"> 478, § 14, eff. Jan. 1, 2000); by a juvenile hearing officer (Welf. &amp; Inst. Code</w:t>
      </w:r>
      <w:r>
        <w:t>,</w:t>
      </w:r>
      <w:r>
        <w:t xml:space="preserve"> § 256); and pursuant to former statutes requiring license suspensions for certain vandalism offenses and </w:t>
      </w:r>
      <w:r>
        <w:t xml:space="preserve">for </w:t>
      </w:r>
      <w:r>
        <w:t>minors who are habitual truants (former § </w:t>
      </w:r>
      <w:r w:rsidRPr="00985180">
        <w:t>13202.6</w:t>
      </w:r>
      <w:r>
        <w:t>, r</w:t>
      </w:r>
      <w:r w:rsidRPr="00985180">
        <w:t>epealed by Stats.</w:t>
      </w:r>
      <w:r>
        <w:t xml:space="preserve"> </w:t>
      </w:r>
      <w:r w:rsidRPr="00985180">
        <w:t xml:space="preserve">2019, </w:t>
      </w:r>
      <w:proofErr w:type="spellStart"/>
      <w:r w:rsidRPr="00985180">
        <w:t>c</w:t>
      </w:r>
      <w:r>
        <w:t>h</w:t>
      </w:r>
      <w:r w:rsidRPr="00985180">
        <w:t>.</w:t>
      </w:r>
      <w:proofErr w:type="spellEnd"/>
      <w:r w:rsidRPr="00985180">
        <w:t xml:space="preserve"> 505, </w:t>
      </w:r>
      <w:r w:rsidRPr="00985180">
        <w:rPr>
          <w:rFonts w:cs="Century Schoolbook"/>
        </w:rPr>
        <w:t>§</w:t>
      </w:r>
      <w:r>
        <w:rPr>
          <w:rFonts w:cs="Century Schoolbook"/>
        </w:rPr>
        <w:t> </w:t>
      </w:r>
      <w:r w:rsidRPr="00985180">
        <w:t>13, eff. Jan. 1, 2020</w:t>
      </w:r>
      <w:r>
        <w:t>; former § 13202.</w:t>
      </w:r>
      <w:r>
        <w:t xml:space="preserve">7, repealed by </w:t>
      </w:r>
      <w:r w:rsidRPr="00F61AC2">
        <w:t>Stats.</w:t>
      </w:r>
      <w:r>
        <w:t xml:space="preserve"> </w:t>
      </w:r>
      <w:r w:rsidRPr="00F61AC2">
        <w:t xml:space="preserve">2018, </w:t>
      </w:r>
      <w:proofErr w:type="spellStart"/>
      <w:r w:rsidRPr="00F61AC2">
        <w:t>c</w:t>
      </w:r>
      <w:r>
        <w:t>h</w:t>
      </w:r>
      <w:r w:rsidRPr="00F61AC2">
        <w:t>.</w:t>
      </w:r>
      <w:proofErr w:type="spellEnd"/>
      <w:r>
        <w:t> </w:t>
      </w:r>
      <w:r w:rsidRPr="00F61AC2">
        <w:t>717, §</w:t>
      </w:r>
      <w:r>
        <w:t> </w:t>
      </w:r>
      <w:r w:rsidRPr="00F61AC2">
        <w:t>1, eff. Jan. 1, 2019</w:t>
      </w:r>
      <w:r>
        <w:t xml:space="preserve">).  </w:t>
      </w:r>
    </w:p>
  </w:footnote>
  <w:footnote w:id="6">
    <w:p w14:paraId="5A5AE164" w14:textId="77777777" w:rsidR="006F58CB" w:rsidRDefault="006F58CB">
      <w:pPr>
        <w:pStyle w:val="FootnoteText"/>
      </w:pPr>
      <w:r>
        <w:rPr>
          <w:rStyle w:val="FootnoteReference"/>
        </w:rPr>
        <w:footnoteRef/>
      </w:r>
      <w:r>
        <w:t xml:space="preserve"> </w:t>
      </w:r>
      <w:r>
        <w:t xml:space="preserve">When discussing the “reason” for a suspension, we </w:t>
      </w:r>
      <w:r>
        <w:t xml:space="preserve">refer to both the statutory authority and the phrase describing the </w:t>
      </w:r>
      <w:r>
        <w:t>reason</w:t>
      </w:r>
      <w:r>
        <w:t>.</w:t>
      </w:r>
    </w:p>
  </w:footnote>
  <w:footnote w:id="7">
    <w:p w14:paraId="6B85AC31" w14:textId="77777777" w:rsidR="006F58CB" w:rsidRDefault="006F58CB" w:rsidP="004C4ADA">
      <w:pPr>
        <w:pStyle w:val="FootnoteText"/>
      </w:pPr>
      <w:r>
        <w:rPr>
          <w:rStyle w:val="FootnoteReference"/>
        </w:rPr>
        <w:footnoteRef/>
      </w:r>
      <w:r>
        <w:t xml:space="preserve"> The prohibited </w:t>
      </w:r>
      <w:r>
        <w:t>blood-alcohol</w:t>
      </w:r>
      <w:r>
        <w:t xml:space="preserve"> concentrations are: (1) 0.08 percent or more; (2) if under 21 years old, 0.01 percent or more; (3) if driving a vehicle that requires a commercial driver’s license, 0.04 percent or more; and (4) if on probation for a DUI, 0.01 percent or more.  (§ 13353.2, subd. (a).)</w:t>
      </w:r>
    </w:p>
  </w:footnote>
  <w:footnote w:id="8">
    <w:p w14:paraId="022BBF1A" w14:textId="77777777" w:rsidR="006F58CB" w:rsidRDefault="006F58CB" w:rsidP="00EE415B">
      <w:pPr>
        <w:pStyle w:val="FootnoteText"/>
      </w:pPr>
      <w:r>
        <w:rPr>
          <w:rStyle w:val="FootnoteReference"/>
        </w:rPr>
        <w:footnoteRef/>
      </w:r>
      <w:r>
        <w:t xml:space="preserve"> We also use “administrative per se” </w:t>
      </w:r>
      <w:r>
        <w:t xml:space="preserve">or “APS” </w:t>
      </w:r>
      <w:r>
        <w:t>to refer to suspensions arising from a person’s refusal to test.</w:t>
      </w:r>
    </w:p>
  </w:footnote>
  <w:footnote w:id="9">
    <w:p w14:paraId="634F001D" w14:textId="77777777" w:rsidR="006F58CB" w:rsidRDefault="006F58CB">
      <w:pPr>
        <w:pStyle w:val="FootnoteText"/>
      </w:pPr>
      <w:r>
        <w:rPr>
          <w:rStyle w:val="FootnoteReference"/>
        </w:rPr>
        <w:footnoteRef/>
      </w:r>
      <w:r>
        <w:t xml:space="preserve"> For convenience, we use the term </w:t>
      </w:r>
      <w:r>
        <w:t xml:space="preserve">“arrest” to include detentions pursuant to </w:t>
      </w:r>
      <w:r>
        <w:t xml:space="preserve">section </w:t>
      </w:r>
      <w:r>
        <w:t>23136</w:t>
      </w:r>
      <w:r>
        <w:t xml:space="preserve">, prohibiting </w:t>
      </w:r>
      <w:r>
        <w:t xml:space="preserve">blood-alcohol concentrations of </w:t>
      </w:r>
      <w:r>
        <w:t xml:space="preserve">0.01 percent or more in persons under 21 years old. </w:t>
      </w:r>
    </w:p>
  </w:footnote>
  <w:footnote w:id="10">
    <w:p w14:paraId="68C4572A" w14:textId="77777777" w:rsidR="006F58CB" w:rsidRDefault="006F58CB" w:rsidP="00C30416">
      <w:pPr>
        <w:pStyle w:val="FootnoteText"/>
      </w:pPr>
      <w:r>
        <w:rPr>
          <w:rStyle w:val="FootnoteReference"/>
        </w:rPr>
        <w:footnoteRef/>
      </w:r>
      <w:r>
        <w:t xml:space="preserve"> Suspensions may be longer for commercial driver’s licenses.  (See § </w:t>
      </w:r>
      <w:r w:rsidRPr="0049646A">
        <w:t>13353</w:t>
      </w:r>
      <w:r>
        <w:t>, subd. (b).)</w:t>
      </w:r>
    </w:p>
  </w:footnote>
  <w:footnote w:id="11">
    <w:p w14:paraId="4F50D60D" w14:textId="77777777" w:rsidR="006F58CB" w:rsidRDefault="006F58CB" w:rsidP="00F96269">
      <w:pPr>
        <w:pStyle w:val="FootnoteText"/>
      </w:pPr>
      <w:r>
        <w:rPr>
          <w:rStyle w:val="FootnoteReference"/>
        </w:rPr>
        <w:footnoteRef/>
      </w:r>
      <w:r>
        <w:t xml:space="preserve"> If the </w:t>
      </w:r>
      <w:r>
        <w:t>person</w:t>
      </w:r>
      <w:r>
        <w:t xml:space="preserve"> requests a hearing before completion of th</w:t>
      </w:r>
      <w:r>
        <w:t>e</w:t>
      </w:r>
      <w:r>
        <w:t xml:space="preserve"> administrative review, the administrative review is not required.  (§ 13557, subd. (e).)</w:t>
      </w:r>
    </w:p>
  </w:footnote>
  <w:footnote w:id="12">
    <w:p w14:paraId="6B308ADC" w14:textId="77777777" w:rsidR="006F58CB" w:rsidRDefault="006F58CB" w:rsidP="00C7492F">
      <w:pPr>
        <w:pStyle w:val="FootnoteText"/>
      </w:pPr>
      <w:r>
        <w:rPr>
          <w:rStyle w:val="FootnoteReference"/>
        </w:rPr>
        <w:footnoteRef/>
      </w:r>
      <w:r>
        <w:t xml:space="preserve"> A DMV witness testified in 20</w:t>
      </w:r>
      <w:r>
        <w:t>20</w:t>
      </w:r>
      <w:r>
        <w:t xml:space="preserve"> that in “most recent years,” APS suspensions were administratively vacated in approximately 10 percent of APS actions. </w:t>
      </w:r>
    </w:p>
  </w:footnote>
  <w:footnote w:id="13">
    <w:p w14:paraId="404C0778" w14:textId="77777777" w:rsidR="006F58CB" w:rsidRDefault="006F58CB" w:rsidP="003A5E59">
      <w:pPr>
        <w:pStyle w:val="FootnoteText"/>
      </w:pPr>
      <w:r>
        <w:rPr>
          <w:rStyle w:val="FootnoteReference"/>
        </w:rPr>
        <w:footnoteRef/>
      </w:r>
      <w:r>
        <w:t xml:space="preserve"> A DMV witness testified that in 2014 and 2015, approximately 80 percent of APS suspensions had a corresponding DUI conviction, and </w:t>
      </w:r>
      <w:r>
        <w:t>an additional</w:t>
      </w:r>
      <w:r>
        <w:t xml:space="preserve"> 10 percent had a corresponding </w:t>
      </w:r>
      <w:r>
        <w:t>conviction for alcohol-related reckless driving</w:t>
      </w:r>
      <w:r>
        <w:t xml:space="preserve"> </w:t>
      </w:r>
      <w:r>
        <w:t>(§§</w:t>
      </w:r>
      <w:r>
        <w:t> </w:t>
      </w:r>
      <w:r>
        <w:t xml:space="preserve">23103 &amp; </w:t>
      </w:r>
      <w:r>
        <w:t>23103.5)</w:t>
      </w:r>
      <w:r>
        <w:t xml:space="preserve">. </w:t>
      </w:r>
    </w:p>
  </w:footnote>
  <w:footnote w:id="14">
    <w:p w14:paraId="3FC74FA6" w14:textId="77777777" w:rsidR="006F58CB" w:rsidRDefault="006F58CB" w:rsidP="00B60A89">
      <w:pPr>
        <w:pStyle w:val="FootnoteText"/>
      </w:pPr>
      <w:r>
        <w:rPr>
          <w:rStyle w:val="FootnoteReference"/>
        </w:rPr>
        <w:footnoteRef/>
      </w:r>
      <w:r>
        <w:t xml:space="preserve"> We note that as to some portion of APS suspensions with no corresponding conviction, the criminal process is still pending.  Evidence at trial was that criminal DUI proceedings can take two or more years.  The parties have not expressly addressed whether the statutory and/or constitutional privacy analysis for these APS suspensions is different than for APS suspensions as to which criminal charges have been dismissed or have not been filed, and we therefore assume it is the same. </w:t>
      </w:r>
    </w:p>
  </w:footnote>
  <w:footnote w:id="15">
    <w:p w14:paraId="5C4770F7" w14:textId="77777777" w:rsidR="006F58CB" w:rsidRDefault="006F58CB" w:rsidP="005B1DC7">
      <w:pPr>
        <w:pStyle w:val="FootnoteText"/>
      </w:pPr>
      <w:r>
        <w:rPr>
          <w:rStyle w:val="FootnoteReference"/>
        </w:rPr>
        <w:footnoteRef/>
      </w:r>
      <w:r>
        <w:t xml:space="preserve"> While some cases </w:t>
      </w:r>
      <w:r>
        <w:t xml:space="preserve">discussing the constitutional provision </w:t>
      </w:r>
      <w:r>
        <w:t>characterize the prohibited disclosure as “arrest records” (</w:t>
      </w:r>
      <w:r w:rsidRPr="005232A0">
        <w:rPr>
          <w:i/>
          <w:iCs/>
        </w:rPr>
        <w:t xml:space="preserve">Central Valley </w:t>
      </w:r>
      <w:r>
        <w:rPr>
          <w:i/>
          <w:iCs/>
        </w:rPr>
        <w:t xml:space="preserve">I, supra, </w:t>
      </w:r>
      <w:r w:rsidRPr="000938E1">
        <w:t>95</w:t>
      </w:r>
      <w:r>
        <w:t> </w:t>
      </w:r>
      <w:r w:rsidRPr="000938E1">
        <w:t xml:space="preserve">Cal.App.3d </w:t>
      </w:r>
      <w:r>
        <w:t>at p. </w:t>
      </w:r>
      <w:r w:rsidRPr="000938E1">
        <w:t>236</w:t>
      </w:r>
      <w:r>
        <w:t>), others refer more broadly to “</w:t>
      </w:r>
      <w:r w:rsidRPr="008A18B8">
        <w:t>information regarding arrests</w:t>
      </w:r>
      <w:r>
        <w:t>” (</w:t>
      </w:r>
      <w:r w:rsidRPr="00155AA3">
        <w:rPr>
          <w:i/>
          <w:iCs/>
        </w:rPr>
        <w:t>Central Valley</w:t>
      </w:r>
      <w:r>
        <w:rPr>
          <w:i/>
          <w:iCs/>
        </w:rPr>
        <w:t xml:space="preserve"> II, supra,</w:t>
      </w:r>
      <w:r w:rsidRPr="008A18B8">
        <w:t xml:space="preserve"> 214 Cal.App.3d </w:t>
      </w:r>
      <w:r>
        <w:t>at p. </w:t>
      </w:r>
      <w:r w:rsidRPr="008A18B8">
        <w:t>165</w:t>
      </w:r>
      <w:r>
        <w:t>).  We assume, without deciding, that the broader characterization controls.</w:t>
      </w:r>
    </w:p>
  </w:footnote>
  <w:footnote w:id="16">
    <w:p w14:paraId="3BC58F85" w14:textId="77777777" w:rsidR="006F58CB" w:rsidRDefault="006F58CB" w:rsidP="006134FB">
      <w:pPr>
        <w:pStyle w:val="FootnoteText"/>
      </w:pPr>
      <w:r>
        <w:rPr>
          <w:rStyle w:val="FootnoteReference"/>
        </w:rPr>
        <w:footnoteRef/>
      </w:r>
      <w:r>
        <w:t xml:space="preserve"> (§ 13557, subd. (b)(1)(B) &amp; (3)(B) [before DMV can impose an APS suspension, it must find, by a preponderance of the evidence, that “[t]</w:t>
      </w:r>
      <w:proofErr w:type="gramStart"/>
      <w:r w:rsidRPr="00470804">
        <w:t>he</w:t>
      </w:r>
      <w:proofErr w:type="gramEnd"/>
      <w:r w:rsidRPr="00470804">
        <w:t xml:space="preserve"> person was placed under arrest or, if the alleged violation was of Section 23136</w:t>
      </w:r>
      <w:r>
        <w:t xml:space="preserve"> [the zero tolerance law]</w:t>
      </w:r>
      <w:r w:rsidRPr="00470804">
        <w:t>, that the person was lawfully detained</w:t>
      </w:r>
      <w:r>
        <w:t xml:space="preserve">”].)  Neither party contends the constitutional privacy or Labor Code 432.7(g)(2) analyses are different for detentions, and we therefore assume there is no material difference.  </w:t>
      </w:r>
    </w:p>
  </w:footnote>
  <w:footnote w:id="17">
    <w:p w14:paraId="251FA85A" w14:textId="77777777" w:rsidR="006F58CB" w:rsidRDefault="006F58CB" w:rsidP="00AC3638">
      <w:pPr>
        <w:pStyle w:val="FootnoteText"/>
      </w:pPr>
      <w:r>
        <w:rPr>
          <w:rStyle w:val="FootnoteReference"/>
        </w:rPr>
        <w:footnoteRef/>
      </w:r>
      <w:r>
        <w:t xml:space="preserve"> We note that t</w:t>
      </w:r>
      <w:r w:rsidRPr="006F40E8">
        <w:t xml:space="preserve">he conduct considered critical by the trucking company manager and insurance broker who testified below was DMV’s administrative determination to suspend a license for driving with a prohibited blood-alcohol level or refusing to test, not that the person </w:t>
      </w:r>
      <w:r>
        <w:t xml:space="preserve">had been </w:t>
      </w:r>
      <w:r w:rsidRPr="006F40E8">
        <w:t>arrested on suspicion of doing so.</w:t>
      </w:r>
      <w:r>
        <w:t xml:space="preserve"> </w:t>
      </w:r>
    </w:p>
  </w:footnote>
  <w:footnote w:id="18">
    <w:p w14:paraId="4A8A3FAA" w14:textId="77777777" w:rsidR="006F58CB" w:rsidRDefault="006F58CB">
      <w:pPr>
        <w:pStyle w:val="FootnoteText"/>
      </w:pPr>
      <w:bookmarkStart w:id="0" w:name="_Hlk169772265"/>
      <w:r>
        <w:rPr>
          <w:rStyle w:val="FootnoteReference"/>
        </w:rPr>
        <w:footnoteRef/>
      </w:r>
      <w:r>
        <w:t xml:space="preserve"> </w:t>
      </w:r>
      <w:r>
        <w:t xml:space="preserve">Even if </w:t>
      </w:r>
      <w:r>
        <w:t xml:space="preserve">DMV’s </w:t>
      </w:r>
      <w:r>
        <w:t>reliance on t</w:t>
      </w:r>
      <w:r>
        <w:t xml:space="preserve">he information in the DS-367 form </w:t>
      </w:r>
      <w:r>
        <w:t xml:space="preserve">during the administrative adjudication process </w:t>
      </w:r>
      <w:r>
        <w:t xml:space="preserve">was material to the privacy issue, </w:t>
      </w:r>
      <w:r>
        <w:t xml:space="preserve">it is not the case that DMV </w:t>
      </w:r>
      <w:r>
        <w:t xml:space="preserve">so relies in </w:t>
      </w:r>
      <w:r>
        <w:t>every APS suspension</w:t>
      </w:r>
      <w:r>
        <w:t>.</w:t>
      </w:r>
      <w:r w:rsidRPr="00664B5B">
        <w:t xml:space="preserve">  Additional evidence may be adduced at the administrative hearing to support the suspension (see §§ 13558, subds. (a) &amp; (b); 14104.5</w:t>
      </w:r>
      <w:r>
        <w:t>;</w:t>
      </w:r>
      <w:r w:rsidRPr="00664B5B">
        <w:t xml:space="preserve"> 14104.7), and there is no easy way for the recipient of the DMV’s disclosure to determine whether the DMV did, in fact, rely on the information in the DS-367 form.  Moreover, whenever a person fails to request a hearing to challenge the suspension, that person has forfeited any challenge to the information in the form.  As a result, the person has implicitly conceded that the information is accurate.  (See </w:t>
      </w:r>
      <w:r w:rsidRPr="0090767D">
        <w:rPr>
          <w:i/>
          <w:iCs/>
        </w:rPr>
        <w:t>Ross v. Superior Court</w:t>
      </w:r>
      <w:r w:rsidRPr="00664B5B">
        <w:t xml:space="preserve"> (2022) 77</w:t>
      </w:r>
      <w:r>
        <w:t> </w:t>
      </w:r>
      <w:r w:rsidRPr="00664B5B">
        <w:t>Cal.App.5th 667, 681 [failure to respond may be construed as an impl</w:t>
      </w:r>
      <w:r w:rsidRPr="00664B5B">
        <w:t xml:space="preserve">icit concession].)  In that circumstance, the DMV is relying on that implicit concession, rather than </w:t>
      </w:r>
      <w:r>
        <w:t>on the DS-367.</w:t>
      </w:r>
      <w:bookmarkEnd w:id="0"/>
    </w:p>
  </w:footnote>
  <w:footnote w:id="19">
    <w:p w14:paraId="34B934BA" w14:textId="77777777" w:rsidR="006F58CB" w:rsidRDefault="006F58CB">
      <w:pPr>
        <w:pStyle w:val="FootnoteText"/>
      </w:pPr>
      <w:r>
        <w:rPr>
          <w:rStyle w:val="FootnoteReference"/>
        </w:rPr>
        <w:footnoteRef/>
      </w:r>
      <w:r>
        <w:t xml:space="preserve"> Among the issues a person can raise at an APS suspension hearing is the reliability of any chemical test results, which </w:t>
      </w:r>
      <w:r w:rsidRPr="00620CCC">
        <w:t xml:space="preserve">Plaintiffs’ expert </w:t>
      </w:r>
      <w:r>
        <w:t xml:space="preserve">on blood-alcohol testing </w:t>
      </w:r>
      <w:r w:rsidRPr="00620CCC">
        <w:t xml:space="preserve">testified </w:t>
      </w:r>
      <w:r>
        <w:t xml:space="preserve">was inaccurate </w:t>
      </w:r>
      <w:r w:rsidRPr="00620CCC">
        <w:t>between 5 and 10 percent of the time</w:t>
      </w:r>
      <w:r>
        <w:t xml:space="preserve">. </w:t>
      </w:r>
      <w:r>
        <w:t xml:space="preserve"> </w:t>
      </w:r>
    </w:p>
  </w:footnote>
  <w:footnote w:id="20">
    <w:p w14:paraId="4028807D" w14:textId="77777777" w:rsidR="006F58CB" w:rsidRDefault="006F58CB" w:rsidP="0018620E">
      <w:pPr>
        <w:pStyle w:val="FootnoteText"/>
      </w:pPr>
      <w:r>
        <w:rPr>
          <w:rStyle w:val="FootnoteReference"/>
        </w:rPr>
        <w:footnoteRef/>
      </w:r>
      <w:r>
        <w:t xml:space="preserve"> </w:t>
      </w:r>
      <w:r>
        <w:t xml:space="preserve">In </w:t>
      </w:r>
      <w:r w:rsidRPr="002879F9">
        <w:rPr>
          <w:i/>
          <w:iCs/>
        </w:rPr>
        <w:t>DUI Lawyers</w:t>
      </w:r>
      <w:r>
        <w:rPr>
          <w:i/>
          <w:iCs/>
        </w:rPr>
        <w:t>, supra,</w:t>
      </w:r>
      <w:r w:rsidRPr="002879F9">
        <w:rPr>
          <w:i/>
          <w:iCs/>
        </w:rPr>
        <w:t xml:space="preserve"> </w:t>
      </w:r>
      <w:r>
        <w:t xml:space="preserve">77 Cal.App.5th 517, the Court of Appeal held DMV’s then-current practice </w:t>
      </w:r>
      <w:r>
        <w:t>whereby “</w:t>
      </w:r>
      <w:r w:rsidRPr="00845E31">
        <w:t>the APS hearing officers</w:t>
      </w:r>
      <w:r>
        <w:t>[] [held]</w:t>
      </w:r>
      <w:r w:rsidRPr="00845E31">
        <w:t xml:space="preserve"> dual roles of advocate and trier of fact</w:t>
      </w:r>
      <w:r>
        <w:t xml:space="preserve">” violated due process </w:t>
      </w:r>
      <w:r>
        <w:t>because “</w:t>
      </w:r>
      <w:r>
        <w:t>[t]he irreconcilable conflict between advocating for the agency on one hand, and being an impartial decisionmaker on the other, presents a ‘ “particular combination of circumstances creating an unacceptable risk of bias.” ’ ”  (</w:t>
      </w:r>
      <w:r>
        <w:rPr>
          <w:i/>
          <w:iCs/>
        </w:rPr>
        <w:t>Id.</w:t>
      </w:r>
      <w:r>
        <w:t xml:space="preserve"> at pp. 530, 532.)</w:t>
      </w:r>
    </w:p>
  </w:footnote>
  <w:footnote w:id="21">
    <w:p w14:paraId="6CD608BC" w14:textId="77777777" w:rsidR="006F58CB" w:rsidRDefault="006F58CB" w:rsidP="00D533A7">
      <w:pPr>
        <w:pStyle w:val="FootnoteText"/>
      </w:pPr>
      <w:r>
        <w:rPr>
          <w:rStyle w:val="FootnoteReference"/>
        </w:rPr>
        <w:footnoteRef/>
      </w:r>
      <w:r>
        <w:t xml:space="preserve"> </w:t>
      </w:r>
      <w:r>
        <w:t xml:space="preserve">The procedural protections were balanced against the Legislature’s desire for an expedited suspension process: </w:t>
      </w:r>
      <w:r>
        <w:t>“</w:t>
      </w:r>
      <w:r w:rsidRPr="004D0102">
        <w:t xml:space="preserve">The legislative history </w:t>
      </w:r>
      <w:r>
        <w:t xml:space="preserve">[of the APS suspension statutes] </w:t>
      </w:r>
      <w:r w:rsidRPr="004D0102">
        <w:t xml:space="preserve">reveals that </w:t>
      </w:r>
      <w:r>
        <w:t>‘</w:t>
      </w:r>
      <w:r w:rsidRPr="004D0102">
        <w:t xml:space="preserve">[t]he need for the administrative per se statutes arose from the fact that </w:t>
      </w:r>
      <w:r>
        <w:t>“</w:t>
      </w:r>
      <w:r w:rsidRPr="004D0102">
        <w:t>[t]he legal process leading to imposition of a suspension sometimes [took] years from the time of arrest.</w:t>
      </w:r>
      <w:r>
        <w:t>”</w:t>
      </w:r>
      <w:r w:rsidRPr="004D0102">
        <w:t xml:space="preserve"> </w:t>
      </w:r>
      <w:r>
        <w:t xml:space="preserve"> </w:t>
      </w:r>
      <w:r w:rsidRPr="004D0102">
        <w:t xml:space="preserve">[Citation.] </w:t>
      </w:r>
      <w:r>
        <w:t xml:space="preserve"> “</w:t>
      </w:r>
      <w:r w:rsidRPr="004D0102">
        <w:t>Many drivers with high chemical test results fail[ed] to have sanctions taken against their driving privilege because of reduction</w:t>
      </w:r>
      <w:r w:rsidRPr="004D0102">
        <w:t xml:space="preserve"> in charges as the result of </w:t>
      </w:r>
      <w:r>
        <w:t>‘</w:t>
      </w:r>
      <w:r w:rsidRPr="004D0102">
        <w:t>plea-bargaining</w:t>
      </w:r>
      <w:r>
        <w:t>’</w:t>
      </w:r>
      <w:r w:rsidRPr="004D0102">
        <w:t xml:space="preserve"> or pre-trial diversion programs.</w:t>
      </w:r>
      <w:r>
        <w:t xml:space="preserve">” </w:t>
      </w:r>
      <w:r w:rsidRPr="004D0102">
        <w:t xml:space="preserve"> [Citation.] </w:t>
      </w:r>
      <w:r>
        <w:t xml:space="preserve"> </w:t>
      </w:r>
      <w:r w:rsidRPr="004D0102">
        <w:t xml:space="preserve">In enacting the administrative per se law, the Legislature intended to establish </w:t>
      </w:r>
      <w:r>
        <w:t>“</w:t>
      </w:r>
      <w:r w:rsidRPr="004D0102">
        <w:t>an expedited driver</w:t>
      </w:r>
      <w:r>
        <w:t>’</w:t>
      </w:r>
      <w:r w:rsidRPr="004D0102">
        <w:t xml:space="preserve">s </w:t>
      </w:r>
      <w:r w:rsidRPr="004D0102">
        <w:t>license suspension system</w:t>
      </w:r>
      <w:r>
        <w:t>”</w:t>
      </w:r>
      <w:r w:rsidRPr="004D0102">
        <w:t xml:space="preserve"> [citation] that would </w:t>
      </w:r>
      <w:r>
        <w:t>“</w:t>
      </w:r>
      <w:r w:rsidRPr="004D0102">
        <w:t xml:space="preserve">reduce court delays. </w:t>
      </w:r>
      <w:r>
        <w:t xml:space="preserve"> </w:t>
      </w:r>
      <w:r w:rsidRPr="004D0102">
        <w:t>The suspension will be swift and certain and will be more effective as a deterrent....</w:t>
      </w:r>
      <w:proofErr w:type="gramStart"/>
      <w:r>
        <w:t>” ’</w:t>
      </w:r>
      <w:proofErr w:type="gramEnd"/>
      <w:r>
        <w:t> ”</w:t>
      </w:r>
      <w:r w:rsidRPr="004D0102">
        <w:t xml:space="preserve"> </w:t>
      </w:r>
      <w:r>
        <w:t xml:space="preserve"> (</w:t>
      </w:r>
      <w:r w:rsidRPr="00AE52CC">
        <w:rPr>
          <w:i/>
          <w:iCs/>
        </w:rPr>
        <w:t>Gikas</w:t>
      </w:r>
      <w:r>
        <w:rPr>
          <w:i/>
          <w:iCs/>
        </w:rPr>
        <w:t>, supra,</w:t>
      </w:r>
      <w:r w:rsidRPr="00AE52CC">
        <w:rPr>
          <w:i/>
          <w:iCs/>
        </w:rPr>
        <w:t xml:space="preserve"> </w:t>
      </w:r>
      <w:r w:rsidRPr="004D0102">
        <w:t xml:space="preserve">6 Cal.4th </w:t>
      </w:r>
      <w:r>
        <w:t>at p. </w:t>
      </w:r>
      <w:r w:rsidRPr="004D0102">
        <w:t>847</w:t>
      </w:r>
      <w:r>
        <w:t>.)</w:t>
      </w:r>
    </w:p>
  </w:footnote>
  <w:footnote w:id="22">
    <w:p w14:paraId="6A19FF84" w14:textId="77777777" w:rsidR="006F58CB" w:rsidRDefault="006F58CB">
      <w:pPr>
        <w:pStyle w:val="FootnoteText"/>
      </w:pPr>
      <w:r>
        <w:rPr>
          <w:rStyle w:val="FootnoteReference"/>
        </w:rPr>
        <w:footnoteRef/>
      </w:r>
      <w:r>
        <w:t xml:space="preserve"> Additional </w:t>
      </w:r>
      <w:r>
        <w:t xml:space="preserve">support </w:t>
      </w:r>
      <w:r>
        <w:t>is provided by the evidence that</w:t>
      </w:r>
      <w:r>
        <w:t xml:space="preserve"> at least some</w:t>
      </w:r>
      <w:r>
        <w:t xml:space="preserve"> employers and insurers would, if a public driver record did not disclose reasons for suspensions, treat all suspensions as </w:t>
      </w:r>
      <w:proofErr w:type="gramStart"/>
      <w:r>
        <w:t>alcohol-related</w:t>
      </w:r>
      <w:proofErr w:type="gramEnd"/>
      <w:r>
        <w:t xml:space="preserve">.  (See </w:t>
      </w:r>
      <w:r>
        <w:rPr>
          <w:i/>
          <w:iCs/>
        </w:rPr>
        <w:t>ante</w:t>
      </w:r>
      <w:r>
        <w:t>, p</w:t>
      </w:r>
      <w:r>
        <w:t>p</w:t>
      </w:r>
      <w:r>
        <w:t>. 8</w:t>
      </w:r>
      <w:r w:rsidRPr="00DC3F61">
        <w:t>–</w:t>
      </w:r>
      <w:r>
        <w:t>9</w:t>
      </w:r>
      <w:r>
        <w:t xml:space="preserve">.)  Such an outcome could benefit more dangerous drivers at the expense of </w:t>
      </w:r>
      <w:r>
        <w:t xml:space="preserve">those </w:t>
      </w:r>
      <w:r>
        <w:t xml:space="preserve">less dangerous. </w:t>
      </w:r>
    </w:p>
  </w:footnote>
  <w:footnote w:id="23">
    <w:p w14:paraId="026C6876" w14:textId="77777777" w:rsidR="006F58CB" w:rsidRDefault="006F58CB">
      <w:pPr>
        <w:pStyle w:val="FootnoteText"/>
      </w:pPr>
      <w:r>
        <w:rPr>
          <w:rStyle w:val="FootnoteReference"/>
        </w:rPr>
        <w:footnoteRef/>
      </w:r>
      <w:r>
        <w:t xml:space="preserve"> Plaintiffs have asserted no other </w:t>
      </w:r>
      <w:r>
        <w:t>basis for finding the disclosure prohibited.</w:t>
      </w:r>
      <w:r>
        <w:t xml:space="preserve">  </w:t>
      </w:r>
      <w:r>
        <w:t>W</w:t>
      </w:r>
      <w:r>
        <w:t xml:space="preserve">e need not and do not decide whether, as DMV contends, DMV is </w:t>
      </w:r>
      <w:r w:rsidRPr="00181A6F">
        <w:t>required</w:t>
      </w:r>
      <w:r>
        <w:t xml:space="preserve"> to disclose the reason for suspensions under section 1808, subdivision (c); </w:t>
      </w:r>
      <w:r>
        <w:t xml:space="preserve">and </w:t>
      </w:r>
      <w:r>
        <w:t xml:space="preserve">we also need not decide how any such requirement would impact the constitutional privacy and Labor Code section </w:t>
      </w:r>
      <w:r w:rsidRPr="00A82D01">
        <w:t>432.7(g)(2)</w:t>
      </w:r>
      <w:r>
        <w:t xml:space="preserve"> analyses.  (See § 1808, subd. (c) [DMV “</w:t>
      </w:r>
      <w:r w:rsidRPr="00030479">
        <w:t>shall make available or disclose suspensions and revocations of the driving privilege”</w:t>
      </w:r>
      <w:r>
        <w:t>].)</w:t>
      </w:r>
      <w:r>
        <w:t xml:space="preserve">  In an amicus brief, a ri</w:t>
      </w:r>
      <w:r>
        <w:t>deshare company sought clarification about the trial court’s distinction between commercial and noncommercial drivers.  Because we are reversing the trial court</w:t>
      </w:r>
      <w:r>
        <w:t xml:space="preserve">’s ruling on the </w:t>
      </w:r>
      <w:r>
        <w:t>privacy</w:t>
      </w:r>
      <w:r>
        <w:t xml:space="preserve"> claims</w:t>
      </w:r>
      <w:r>
        <w:t>, the request for clarification is moot.</w:t>
      </w:r>
    </w:p>
  </w:footnote>
  <w:footnote w:id="24">
    <w:p w14:paraId="13F033DD" w14:textId="77777777" w:rsidR="006F58CB" w:rsidRDefault="006F58CB" w:rsidP="00203ECD">
      <w:pPr>
        <w:pStyle w:val="FootnoteText"/>
      </w:pPr>
      <w:r>
        <w:rPr>
          <w:rStyle w:val="FootnoteReference"/>
        </w:rPr>
        <w:footnoteRef/>
      </w:r>
      <w:r>
        <w:t xml:space="preserve"> In its entirety, Civil Code section 1798.35 provides, “</w:t>
      </w:r>
      <w:r>
        <w:t>Each agency shall permit an individual to request in writing an amendment of a record and, shall within 30 days of the date of receipt of such request: [¶] (a) Make each correction in accordance with the individual’s request of any portion of a record which the individual believes is not accurate, relevant, timely, or complete and inform the individual of the corrections made in accordance with their request; or [¶] (b) Inform the individual of its ref</w:t>
      </w:r>
      <w:r>
        <w:t>usal to amend the record in accordance with such individual’s request, the reason for the refusal, the procedures established by the agency for the individual to request a review by the head of the agency or an official specifically designated by the head of the agency of the refusal to amend, and the name, title, and business address of the reviewing official.”</w:t>
      </w:r>
    </w:p>
  </w:footnote>
  <w:footnote w:id="25">
    <w:p w14:paraId="01025339" w14:textId="77777777" w:rsidR="006F58CB" w:rsidRDefault="006F58CB">
      <w:pPr>
        <w:pStyle w:val="FootnoteText"/>
      </w:pPr>
      <w:r>
        <w:rPr>
          <w:rStyle w:val="FootnoteReference"/>
        </w:rPr>
        <w:footnoteRef/>
      </w:r>
      <w:r>
        <w:t xml:space="preserve"> In its entirety, Civil Code section </w:t>
      </w:r>
      <w:r>
        <w:t>1798.36 provides, “</w:t>
      </w:r>
      <w:r w:rsidRPr="009E18A4">
        <w:t>Each agency shall permit any individual who disagrees with the refusal of the agency to amend a record to request a review of such refusal by the head of the agency or an official specifically designated by the head of such agency, and, not later than 30 days from the date on which the individual requests such review, complete such review and make a final determination unless, for good cause shown, the head of the agency extends such review period by 3</w:t>
      </w:r>
      <w:r w:rsidRPr="009E18A4">
        <w:t>0 days.</w:t>
      </w:r>
      <w:r>
        <w:t xml:space="preserve"> </w:t>
      </w:r>
      <w:r w:rsidRPr="009E18A4">
        <w:t xml:space="preserve"> If, after such review, the reviewing official refuses to amend the record in accordance with the request, the agency shall permit the individual to file with the agency a statement of reasonable length setting forth the reasons for the individual</w:t>
      </w:r>
      <w:r>
        <w:t>’</w:t>
      </w:r>
      <w:r w:rsidRPr="009E18A4">
        <w:t>s disagreement.</w:t>
      </w:r>
      <w:r>
        <w:t>”</w:t>
      </w:r>
    </w:p>
  </w:footnote>
  <w:footnote w:id="26">
    <w:p w14:paraId="513F6316" w14:textId="77777777" w:rsidR="006F58CB" w:rsidRDefault="006F58CB">
      <w:pPr>
        <w:pStyle w:val="FootnoteText"/>
      </w:pPr>
      <w:r>
        <w:rPr>
          <w:rStyle w:val="FootnoteReference"/>
        </w:rPr>
        <w:footnoteRef/>
      </w:r>
      <w:r>
        <w:t xml:space="preserve"> DMV asserts it has alternative methods </w:t>
      </w:r>
      <w:r>
        <w:t xml:space="preserve">to correct </w:t>
      </w:r>
      <w:r>
        <w:t xml:space="preserve">such </w:t>
      </w:r>
      <w:proofErr w:type="gramStart"/>
      <w:r>
        <w:t>information, but</w:t>
      </w:r>
      <w:proofErr w:type="gramEnd"/>
      <w:r>
        <w:t xml:space="preserve"> does not contend these methods comply with the IPA. </w:t>
      </w:r>
    </w:p>
  </w:footnote>
  <w:footnote w:id="27">
    <w:p w14:paraId="07C9115F" w14:textId="77777777" w:rsidR="006F58CB" w:rsidRDefault="006F58CB">
      <w:pPr>
        <w:pStyle w:val="FootnoteText"/>
      </w:pPr>
      <w:r>
        <w:rPr>
          <w:rStyle w:val="FootnoteReference"/>
        </w:rPr>
        <w:footnoteRef/>
      </w:r>
      <w:r>
        <w:t xml:space="preserve"> We therefore need not decide whether </w:t>
      </w:r>
      <w:r>
        <w:t>criminal history</w:t>
      </w:r>
      <w:r>
        <w:t xml:space="preserve"> and licensing actions also constitute “personal information,” as Plaintiffs contend.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0E"/>
    <w:rsid w:val="000B5F70"/>
    <w:rsid w:val="0029149C"/>
    <w:rsid w:val="004B2676"/>
    <w:rsid w:val="006D210A"/>
    <w:rsid w:val="006F58CB"/>
    <w:rsid w:val="00D83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C02"/>
    <w:pPr>
      <w:tabs>
        <w:tab w:val="left" w:pos="720"/>
      </w:tabs>
      <w:spacing w:after="0" w:line="480" w:lineRule="atLeast"/>
    </w:pPr>
    <w:rPr>
      <w:rFonts w:ascii="Times New Roman" w:eastAsiaTheme="minorEastAsia" w:hAnsi="Times New Roman" w:cs="Times New Roman"/>
      <w:sz w:val="26"/>
      <w:lang w:bidi="en-US"/>
    </w:rPr>
  </w:style>
  <w:style w:type="paragraph" w:styleId="Heading1">
    <w:name w:val="heading 1"/>
    <w:basedOn w:val="Normal"/>
    <w:next w:val="Normal"/>
    <w:link w:val="Heading1Char"/>
    <w:uiPriority w:val="9"/>
    <w:qFormat/>
    <w:rsid w:val="00543A0B"/>
    <w:pPr>
      <w:contextualSpacing/>
      <w:outlineLvl w:val="0"/>
    </w:pPr>
    <w:rPr>
      <w:rFonts w:eastAsiaTheme="majorEastAsia" w:cstheme="majorBidi"/>
      <w:bCs/>
      <w:sz w:val="28"/>
      <w:szCs w:val="28"/>
    </w:rPr>
  </w:style>
  <w:style w:type="paragraph" w:styleId="Heading2">
    <w:name w:val="heading 2"/>
    <w:basedOn w:val="Normal"/>
    <w:next w:val="Normal"/>
    <w:link w:val="Heading2Char"/>
    <w:uiPriority w:val="9"/>
    <w:unhideWhenUsed/>
    <w:qFormat/>
    <w:rsid w:val="00543A0B"/>
    <w:pPr>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543A0B"/>
    <w:pPr>
      <w:outlineLvl w:val="2"/>
    </w:pPr>
    <w:rPr>
      <w:rFonts w:eastAsiaTheme="majorEastAsia" w:cstheme="majorBidi"/>
      <w:bCs/>
      <w:sz w:val="28"/>
      <w:szCs w:val="28"/>
    </w:rPr>
  </w:style>
  <w:style w:type="paragraph" w:styleId="Heading4">
    <w:name w:val="heading 4"/>
    <w:basedOn w:val="Normal"/>
    <w:next w:val="Normal"/>
    <w:link w:val="Heading4Char"/>
    <w:uiPriority w:val="9"/>
    <w:unhideWhenUsed/>
    <w:qFormat/>
    <w:rsid w:val="00543A0B"/>
    <w:pPr>
      <w:outlineLvl w:val="3"/>
    </w:pPr>
    <w:rPr>
      <w:rFonts w:eastAsiaTheme="majorEastAsia" w:cstheme="majorBidi"/>
      <w:bCs/>
      <w:iCs/>
      <w:sz w:val="28"/>
      <w:szCs w:val="28"/>
    </w:rPr>
  </w:style>
  <w:style w:type="paragraph" w:styleId="Heading5">
    <w:name w:val="heading 5"/>
    <w:basedOn w:val="Normal"/>
    <w:next w:val="Normal"/>
    <w:link w:val="Heading5Char"/>
    <w:uiPriority w:val="9"/>
    <w:unhideWhenUsed/>
    <w:qFormat/>
    <w:rsid w:val="00543A0B"/>
    <w:pPr>
      <w:outlineLvl w:val="4"/>
    </w:pPr>
    <w:rPr>
      <w:rFonts w:eastAsiaTheme="majorEastAsia" w:cstheme="majorBidi"/>
      <w:bCs/>
      <w:sz w:val="28"/>
      <w:szCs w:val="28"/>
    </w:rPr>
  </w:style>
  <w:style w:type="paragraph" w:styleId="Heading6">
    <w:name w:val="heading 6"/>
    <w:basedOn w:val="Heading5"/>
    <w:next w:val="Normal"/>
    <w:link w:val="Heading6Char"/>
    <w:uiPriority w:val="9"/>
    <w:unhideWhenUsed/>
    <w:qFormat/>
    <w:rsid w:val="00543A0B"/>
    <w:pPr>
      <w:outlineLvl w:val="5"/>
    </w:pPr>
  </w:style>
  <w:style w:type="paragraph" w:styleId="Heading7">
    <w:name w:val="heading 7"/>
    <w:basedOn w:val="Heading5"/>
    <w:next w:val="Normal"/>
    <w:link w:val="Heading7Char"/>
    <w:uiPriority w:val="9"/>
    <w:unhideWhenUsed/>
    <w:qFormat/>
    <w:rsid w:val="00543A0B"/>
    <w:pPr>
      <w:outlineLvl w:val="6"/>
    </w:pPr>
  </w:style>
  <w:style w:type="paragraph" w:styleId="Heading8">
    <w:name w:val="heading 8"/>
    <w:basedOn w:val="Heading5"/>
    <w:next w:val="Normal"/>
    <w:link w:val="Heading8Char"/>
    <w:uiPriority w:val="9"/>
    <w:unhideWhenUsed/>
    <w:qFormat/>
    <w:rsid w:val="00543A0B"/>
    <w:pPr>
      <w:outlineLvl w:val="7"/>
    </w:pPr>
  </w:style>
  <w:style w:type="paragraph" w:styleId="Heading9">
    <w:name w:val="heading 9"/>
    <w:basedOn w:val="Normal"/>
    <w:next w:val="Normal"/>
    <w:link w:val="Heading9Char"/>
    <w:uiPriority w:val="9"/>
    <w:semiHidden/>
    <w:unhideWhenUsed/>
    <w:qFormat/>
    <w:rsid w:val="00543A0B"/>
    <w:pPr>
      <w:outlineLvl w:val="8"/>
    </w:pPr>
    <w:rPr>
      <w:rFonts w:eastAsiaTheme="majorEastAsia" w:cstheme="majorBidi"/>
      <w:i/>
      <w:iCs/>
      <w:spacing w:val="5"/>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543A0B"/>
    <w:rPr>
      <w:rFonts w:ascii="Times New Roman" w:eastAsiaTheme="majorEastAsia" w:hAnsi="Times New Roman" w:cstheme="majorBidi"/>
      <w:i/>
      <w:iCs/>
      <w:spacing w:val="5"/>
      <w:sz w:val="28"/>
      <w:szCs w:val="20"/>
      <w:lang w:bidi="en-US"/>
    </w:rPr>
  </w:style>
  <w:style w:type="character" w:customStyle="1" w:styleId="Heading1Char">
    <w:name w:val="Heading 1 Char"/>
    <w:basedOn w:val="DefaultParagraphFont"/>
    <w:link w:val="Heading1"/>
    <w:uiPriority w:val="9"/>
    <w:rsid w:val="00543A0B"/>
    <w:rPr>
      <w:rFonts w:ascii="Times New Roman" w:eastAsiaTheme="majorEastAsia" w:hAnsi="Times New Roman" w:cstheme="majorBidi"/>
      <w:bCs/>
      <w:sz w:val="28"/>
      <w:szCs w:val="28"/>
      <w:lang w:bidi="en-US"/>
    </w:rPr>
  </w:style>
  <w:style w:type="character" w:customStyle="1" w:styleId="Heading2Char">
    <w:name w:val="Heading 2 Char"/>
    <w:basedOn w:val="DefaultParagraphFont"/>
    <w:link w:val="Heading2"/>
    <w:uiPriority w:val="9"/>
    <w:rsid w:val="00543A0B"/>
    <w:rPr>
      <w:rFonts w:ascii="Times New Roman" w:eastAsiaTheme="majorEastAsia" w:hAnsi="Times New Roman" w:cstheme="majorBidi"/>
      <w:bCs/>
      <w:sz w:val="28"/>
      <w:szCs w:val="28"/>
      <w:lang w:bidi="en-US"/>
    </w:rPr>
  </w:style>
  <w:style w:type="character" w:customStyle="1" w:styleId="Heading3Char">
    <w:name w:val="Heading 3 Char"/>
    <w:basedOn w:val="DefaultParagraphFont"/>
    <w:link w:val="Heading3"/>
    <w:uiPriority w:val="9"/>
    <w:rsid w:val="00543A0B"/>
    <w:rPr>
      <w:rFonts w:ascii="Times New Roman" w:eastAsiaTheme="majorEastAsia" w:hAnsi="Times New Roman" w:cstheme="majorBidi"/>
      <w:bCs/>
      <w:sz w:val="28"/>
      <w:szCs w:val="28"/>
      <w:lang w:bidi="en-US"/>
    </w:rPr>
  </w:style>
  <w:style w:type="character" w:customStyle="1" w:styleId="Heading4Char">
    <w:name w:val="Heading 4 Char"/>
    <w:basedOn w:val="DefaultParagraphFont"/>
    <w:link w:val="Heading4"/>
    <w:uiPriority w:val="9"/>
    <w:rsid w:val="00543A0B"/>
    <w:rPr>
      <w:rFonts w:ascii="Times New Roman" w:eastAsiaTheme="majorEastAsia" w:hAnsi="Times New Roman" w:cstheme="majorBidi"/>
      <w:bCs/>
      <w:iCs/>
      <w:sz w:val="28"/>
      <w:szCs w:val="28"/>
      <w:lang w:bidi="en-US"/>
    </w:rPr>
  </w:style>
  <w:style w:type="character" w:customStyle="1" w:styleId="Heading5Char">
    <w:name w:val="Heading 5 Char"/>
    <w:basedOn w:val="DefaultParagraphFont"/>
    <w:link w:val="Heading5"/>
    <w:uiPriority w:val="9"/>
    <w:rsid w:val="00543A0B"/>
    <w:rPr>
      <w:rFonts w:ascii="Times New Roman" w:eastAsiaTheme="majorEastAsia" w:hAnsi="Times New Roman" w:cstheme="majorBidi"/>
      <w:bCs/>
      <w:sz w:val="28"/>
      <w:szCs w:val="28"/>
      <w:lang w:bidi="en-US"/>
    </w:rPr>
  </w:style>
  <w:style w:type="character" w:customStyle="1" w:styleId="Heading6Char">
    <w:name w:val="Heading 6 Char"/>
    <w:basedOn w:val="DefaultParagraphFont"/>
    <w:link w:val="Heading6"/>
    <w:uiPriority w:val="9"/>
    <w:rsid w:val="00543A0B"/>
    <w:rPr>
      <w:rFonts w:ascii="Times New Roman" w:eastAsiaTheme="majorEastAsia" w:hAnsi="Times New Roman" w:cstheme="majorBidi"/>
      <w:bCs/>
      <w:sz w:val="28"/>
      <w:szCs w:val="28"/>
      <w:lang w:bidi="en-US"/>
    </w:rPr>
  </w:style>
  <w:style w:type="character" w:customStyle="1" w:styleId="Heading7Char">
    <w:name w:val="Heading 7 Char"/>
    <w:basedOn w:val="DefaultParagraphFont"/>
    <w:link w:val="Heading7"/>
    <w:uiPriority w:val="9"/>
    <w:rsid w:val="00543A0B"/>
    <w:rPr>
      <w:rFonts w:ascii="Times New Roman" w:eastAsiaTheme="majorEastAsia" w:hAnsi="Times New Roman" w:cstheme="majorBidi"/>
      <w:bCs/>
      <w:sz w:val="28"/>
      <w:szCs w:val="28"/>
      <w:lang w:bidi="en-US"/>
    </w:rPr>
  </w:style>
  <w:style w:type="character" w:customStyle="1" w:styleId="Heading8Char">
    <w:name w:val="Heading 8 Char"/>
    <w:basedOn w:val="DefaultParagraphFont"/>
    <w:link w:val="Heading8"/>
    <w:uiPriority w:val="9"/>
    <w:rsid w:val="00543A0B"/>
    <w:rPr>
      <w:rFonts w:ascii="Times New Roman" w:eastAsiaTheme="majorEastAsia" w:hAnsi="Times New Roman" w:cstheme="majorBidi"/>
      <w:bCs/>
      <w:sz w:val="28"/>
      <w:szCs w:val="28"/>
      <w:lang w:bidi="en-US"/>
    </w:rPr>
  </w:style>
  <w:style w:type="paragraph" w:styleId="Title">
    <w:name w:val="Title"/>
    <w:basedOn w:val="Normal"/>
    <w:next w:val="Normal"/>
    <w:link w:val="TitleChar"/>
    <w:uiPriority w:val="10"/>
    <w:qFormat/>
    <w:rsid w:val="00543A0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A0B"/>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543A0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A0B"/>
    <w:rPr>
      <w:rFonts w:asciiTheme="majorHAnsi" w:eastAsiaTheme="majorEastAsia" w:hAnsiTheme="majorHAnsi" w:cstheme="majorBidi"/>
      <w:i/>
      <w:iCs/>
      <w:spacing w:val="13"/>
      <w:sz w:val="24"/>
      <w:szCs w:val="24"/>
      <w:lang w:bidi="en-US"/>
    </w:rPr>
  </w:style>
  <w:style w:type="character" w:styleId="Strong">
    <w:name w:val="Strong"/>
    <w:uiPriority w:val="22"/>
    <w:qFormat/>
    <w:rsid w:val="00543A0B"/>
    <w:rPr>
      <w:b/>
      <w:bCs/>
    </w:rPr>
  </w:style>
  <w:style w:type="character" w:styleId="Emphasis">
    <w:name w:val="Emphasis"/>
    <w:uiPriority w:val="20"/>
    <w:qFormat/>
    <w:rsid w:val="00543A0B"/>
    <w:rPr>
      <w:b/>
      <w:bCs/>
      <w:i/>
      <w:iCs/>
      <w:spacing w:val="10"/>
      <w:bdr w:val="none" w:sz="0" w:space="0" w:color="auto"/>
      <w:shd w:val="clear" w:color="auto" w:fill="auto"/>
    </w:rPr>
  </w:style>
  <w:style w:type="paragraph" w:styleId="DocumentMap">
    <w:name w:val="Document Map"/>
    <w:basedOn w:val="Normal"/>
    <w:link w:val="DocumentMapChar"/>
    <w:uiPriority w:val="99"/>
    <w:semiHidden/>
    <w:unhideWhenUsed/>
    <w:rsid w:val="00543A0B"/>
    <w:rPr>
      <w:rFonts w:ascii="Tahoma" w:hAnsi="Tahoma" w:cs="Tahoma"/>
      <w:sz w:val="16"/>
      <w:szCs w:val="16"/>
    </w:rPr>
  </w:style>
  <w:style w:type="character" w:customStyle="1" w:styleId="DocumentMapChar">
    <w:name w:val="Document Map Char"/>
    <w:basedOn w:val="DefaultParagraphFont"/>
    <w:link w:val="DocumentMap"/>
    <w:uiPriority w:val="99"/>
    <w:semiHidden/>
    <w:rsid w:val="00543A0B"/>
    <w:rPr>
      <w:rFonts w:ascii="Tahoma" w:eastAsiaTheme="minorEastAsia" w:hAnsi="Tahoma" w:cs="Tahoma"/>
      <w:sz w:val="16"/>
      <w:szCs w:val="16"/>
      <w:lang w:bidi="en-US"/>
    </w:rPr>
  </w:style>
  <w:style w:type="paragraph" w:styleId="NoSpacing">
    <w:name w:val="No Spacing"/>
    <w:basedOn w:val="Normal"/>
    <w:uiPriority w:val="1"/>
    <w:qFormat/>
    <w:rsid w:val="00543A0B"/>
  </w:style>
  <w:style w:type="paragraph" w:styleId="ListParagraph">
    <w:name w:val="List Paragraph"/>
    <w:basedOn w:val="Normal"/>
    <w:uiPriority w:val="34"/>
    <w:qFormat/>
    <w:rsid w:val="00543A0B"/>
    <w:pPr>
      <w:ind w:left="720"/>
      <w:contextualSpacing/>
    </w:pPr>
  </w:style>
  <w:style w:type="paragraph" w:styleId="Quote">
    <w:name w:val="Quote"/>
    <w:basedOn w:val="Normal"/>
    <w:next w:val="Normal"/>
    <w:link w:val="QuoteChar"/>
    <w:uiPriority w:val="29"/>
    <w:qFormat/>
    <w:rsid w:val="00543A0B"/>
    <w:pPr>
      <w:spacing w:before="200"/>
      <w:ind w:left="360" w:right="360"/>
    </w:pPr>
    <w:rPr>
      <w:rFonts w:asciiTheme="minorHAnsi" w:hAnsiTheme="minorHAnsi"/>
      <w:i/>
      <w:iCs/>
      <w:sz w:val="22"/>
    </w:rPr>
  </w:style>
  <w:style w:type="character" w:customStyle="1" w:styleId="QuoteChar">
    <w:name w:val="Quote Char"/>
    <w:basedOn w:val="DefaultParagraphFont"/>
    <w:link w:val="Quote"/>
    <w:uiPriority w:val="29"/>
    <w:rsid w:val="00543A0B"/>
    <w:rPr>
      <w:rFonts w:eastAsiaTheme="minorEastAsia"/>
      <w:i/>
      <w:iCs/>
      <w:lang w:bidi="en-US"/>
    </w:rPr>
  </w:style>
  <w:style w:type="paragraph" w:styleId="IntenseQuote">
    <w:name w:val="Intense Quote"/>
    <w:basedOn w:val="Normal"/>
    <w:next w:val="Normal"/>
    <w:link w:val="IntenseQuoteChar"/>
    <w:uiPriority w:val="30"/>
    <w:qFormat/>
    <w:rsid w:val="00543A0B"/>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543A0B"/>
    <w:rPr>
      <w:rFonts w:eastAsiaTheme="minorEastAsia"/>
      <w:b/>
      <w:bCs/>
      <w:i/>
      <w:iCs/>
      <w:lang w:bidi="en-US"/>
    </w:rPr>
  </w:style>
  <w:style w:type="character" w:styleId="SubtleEmphasis">
    <w:name w:val="Subtle Emphasis"/>
    <w:uiPriority w:val="19"/>
    <w:qFormat/>
    <w:rsid w:val="00543A0B"/>
    <w:rPr>
      <w:i/>
      <w:iCs/>
    </w:rPr>
  </w:style>
  <w:style w:type="character" w:styleId="IntenseEmphasis">
    <w:name w:val="Intense Emphasis"/>
    <w:uiPriority w:val="21"/>
    <w:qFormat/>
    <w:rsid w:val="00543A0B"/>
    <w:rPr>
      <w:b/>
      <w:bCs/>
    </w:rPr>
  </w:style>
  <w:style w:type="character" w:styleId="SubtleReference">
    <w:name w:val="Subtle Reference"/>
    <w:uiPriority w:val="31"/>
    <w:qFormat/>
    <w:rsid w:val="00543A0B"/>
    <w:rPr>
      <w:smallCaps/>
    </w:rPr>
  </w:style>
  <w:style w:type="character" w:styleId="IntenseReference">
    <w:name w:val="Intense Reference"/>
    <w:uiPriority w:val="32"/>
    <w:qFormat/>
    <w:rsid w:val="00543A0B"/>
    <w:rPr>
      <w:smallCaps/>
      <w:spacing w:val="5"/>
      <w:u w:val="single"/>
    </w:rPr>
  </w:style>
  <w:style w:type="character" w:styleId="BookTitle">
    <w:name w:val="Book Title"/>
    <w:uiPriority w:val="33"/>
    <w:qFormat/>
    <w:rsid w:val="00543A0B"/>
    <w:rPr>
      <w:i/>
      <w:iCs/>
      <w:smallCaps/>
      <w:spacing w:val="5"/>
    </w:rPr>
  </w:style>
  <w:style w:type="paragraph" w:styleId="TOCHeading">
    <w:name w:val="TOC Heading"/>
    <w:basedOn w:val="Heading1"/>
    <w:next w:val="Normal"/>
    <w:uiPriority w:val="39"/>
    <w:semiHidden/>
    <w:unhideWhenUsed/>
    <w:qFormat/>
    <w:rsid w:val="00543A0B"/>
    <w:pPr>
      <w:outlineLvl w:val="9"/>
    </w:pPr>
    <w:rPr>
      <w:sz w:val="26"/>
    </w:rPr>
  </w:style>
  <w:style w:type="paragraph" w:styleId="Header">
    <w:name w:val="header"/>
    <w:basedOn w:val="Normal"/>
    <w:link w:val="HeaderChar"/>
    <w:uiPriority w:val="99"/>
    <w:unhideWhenUsed/>
    <w:rsid w:val="00EF7C3D"/>
    <w:pPr>
      <w:tabs>
        <w:tab w:val="center" w:pos="4680"/>
        <w:tab w:val="right" w:pos="9360"/>
      </w:tabs>
    </w:pPr>
  </w:style>
  <w:style w:type="character" w:customStyle="1" w:styleId="HeaderChar">
    <w:name w:val="Header Char"/>
    <w:basedOn w:val="DefaultParagraphFont"/>
    <w:link w:val="Header"/>
    <w:uiPriority w:val="99"/>
    <w:rsid w:val="00EF7C3D"/>
    <w:rPr>
      <w:rFonts w:ascii="Times New Roman" w:eastAsiaTheme="minorEastAsia" w:hAnsi="Times New Roman"/>
      <w:sz w:val="26"/>
      <w:lang w:bidi="en-US"/>
    </w:rPr>
  </w:style>
  <w:style w:type="paragraph" w:styleId="Footer">
    <w:name w:val="footer"/>
    <w:basedOn w:val="Normal"/>
    <w:link w:val="FooterChar"/>
    <w:uiPriority w:val="99"/>
    <w:unhideWhenUsed/>
    <w:rsid w:val="00EF7C3D"/>
    <w:pPr>
      <w:tabs>
        <w:tab w:val="center" w:pos="4680"/>
        <w:tab w:val="right" w:pos="9360"/>
      </w:tabs>
    </w:pPr>
  </w:style>
  <w:style w:type="character" w:customStyle="1" w:styleId="FooterChar">
    <w:name w:val="Footer Char"/>
    <w:basedOn w:val="DefaultParagraphFont"/>
    <w:link w:val="Footer"/>
    <w:uiPriority w:val="99"/>
    <w:rsid w:val="00EF7C3D"/>
    <w:rPr>
      <w:rFonts w:ascii="Times New Roman" w:eastAsiaTheme="minorEastAsia" w:hAnsi="Times New Roman"/>
      <w:sz w:val="26"/>
      <w:lang w:bidi="en-US"/>
    </w:rPr>
  </w:style>
  <w:style w:type="character" w:styleId="PageNumber">
    <w:name w:val="page number"/>
    <w:basedOn w:val="DefaultParagraphFont"/>
    <w:uiPriority w:val="99"/>
    <w:semiHidden/>
    <w:unhideWhenUsed/>
    <w:rsid w:val="00EF7C3D"/>
  </w:style>
  <w:style w:type="paragraph" w:styleId="FootnoteText">
    <w:name w:val="footnote text"/>
    <w:link w:val="FootnoteTextChar"/>
    <w:uiPriority w:val="99"/>
    <w:unhideWhenUsed/>
    <w:rsid w:val="0028750A"/>
    <w:pPr>
      <w:spacing w:line="240" w:lineRule="auto"/>
      <w:ind w:firstLine="720"/>
    </w:pPr>
    <w:rPr>
      <w:rFonts w:ascii="Century Schoolbook" w:eastAsiaTheme="minorEastAsia" w:hAnsi="Century Schoolbook" w:cs="Times New Roman"/>
      <w:sz w:val="26"/>
      <w:szCs w:val="20"/>
      <w:lang w:bidi="en-US"/>
    </w:rPr>
  </w:style>
  <w:style w:type="character" w:customStyle="1" w:styleId="FootnoteTextChar">
    <w:name w:val="Footnote Text Char"/>
    <w:basedOn w:val="DefaultParagraphFont"/>
    <w:link w:val="FootnoteText"/>
    <w:uiPriority w:val="99"/>
    <w:rsid w:val="0028750A"/>
    <w:rPr>
      <w:rFonts w:ascii="Century Schoolbook" w:eastAsiaTheme="minorEastAsia" w:hAnsi="Century Schoolbook" w:cs="Times New Roman"/>
      <w:sz w:val="26"/>
      <w:szCs w:val="20"/>
      <w:lang w:bidi="en-US"/>
    </w:rPr>
  </w:style>
  <w:style w:type="character" w:styleId="FootnoteReference">
    <w:name w:val="footnote reference"/>
    <w:basedOn w:val="DefaultParagraphFont"/>
    <w:uiPriority w:val="99"/>
    <w:unhideWhenUsed/>
    <w:rsid w:val="00AC4741"/>
    <w:rPr>
      <w:vertAlign w:val="superscript"/>
    </w:rPr>
  </w:style>
  <w:style w:type="paragraph" w:styleId="BalloonText">
    <w:name w:val="Balloon Text"/>
    <w:basedOn w:val="Normal"/>
    <w:link w:val="BalloonTextChar"/>
    <w:uiPriority w:val="99"/>
    <w:semiHidden/>
    <w:unhideWhenUsed/>
    <w:rsid w:val="006A14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5D"/>
    <w:rPr>
      <w:rFonts w:ascii="Segoe UI" w:eastAsiaTheme="minorEastAsia" w:hAnsi="Segoe UI" w:cs="Segoe UI"/>
      <w:sz w:val="18"/>
      <w:szCs w:val="18"/>
      <w:lang w:bidi="en-US"/>
    </w:rPr>
  </w:style>
  <w:style w:type="paragraph" w:styleId="Revision">
    <w:name w:val="Revision"/>
    <w:hidden/>
    <w:uiPriority w:val="99"/>
    <w:semiHidden/>
    <w:rsid w:val="00A82D01"/>
    <w:pPr>
      <w:spacing w:after="0" w:line="240" w:lineRule="auto"/>
    </w:pPr>
    <w:rPr>
      <w:rFonts w:ascii="Times New Roman" w:eastAsiaTheme="minorEastAsia" w:hAnsi="Times New Roman" w:cs="Times New Roman"/>
      <w:sz w:val="26"/>
      <w:lang w:bidi="en-US"/>
    </w:rPr>
  </w:style>
  <w:style w:type="character" w:styleId="CommentReference">
    <w:name w:val="annotation reference"/>
    <w:basedOn w:val="DefaultParagraphFont"/>
    <w:uiPriority w:val="99"/>
    <w:semiHidden/>
    <w:unhideWhenUsed/>
    <w:rsid w:val="00B80B48"/>
    <w:rPr>
      <w:sz w:val="16"/>
      <w:szCs w:val="16"/>
    </w:rPr>
  </w:style>
  <w:style w:type="paragraph" w:styleId="CommentText">
    <w:name w:val="annotation text"/>
    <w:basedOn w:val="Normal"/>
    <w:link w:val="CommentTextChar"/>
    <w:uiPriority w:val="99"/>
    <w:unhideWhenUsed/>
    <w:rsid w:val="00B80B48"/>
    <w:pPr>
      <w:tabs>
        <w:tab w:val="clear" w:pos="720"/>
      </w:tabs>
      <w:spacing w:line="240" w:lineRule="auto"/>
    </w:pPr>
    <w:rPr>
      <w:rFonts w:ascii="Century Schoolbook" w:eastAsiaTheme="minorHAnsi" w:hAnsi="Century Schoolbook" w:cstheme="minorBidi"/>
      <w:kern w:val="2"/>
      <w:sz w:val="20"/>
      <w:szCs w:val="20"/>
      <w:lang w:bidi="ar-SA"/>
      <w14:ligatures w14:val="standardContextual"/>
    </w:rPr>
  </w:style>
  <w:style w:type="character" w:customStyle="1" w:styleId="CommentTextChar">
    <w:name w:val="Comment Text Char"/>
    <w:basedOn w:val="DefaultParagraphFont"/>
    <w:link w:val="CommentText"/>
    <w:uiPriority w:val="99"/>
    <w:rsid w:val="00B80B48"/>
    <w:rPr>
      <w:rFonts w:ascii="Century Schoolbook" w:hAnsi="Century Schoolbook"/>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63B68"/>
    <w:pPr>
      <w:tabs>
        <w:tab w:val="left" w:pos="720"/>
      </w:tabs>
    </w:pPr>
    <w:rPr>
      <w:rFonts w:ascii="Times New Roman" w:eastAsiaTheme="minorEastAsia" w:hAnsi="Times New Roman" w:cs="Times New Roman"/>
      <w:b/>
      <w:bCs/>
      <w:kern w:val="0"/>
      <w:lang w:bidi="en-US"/>
      <w14:ligatures w14:val="none"/>
    </w:rPr>
  </w:style>
  <w:style w:type="character" w:customStyle="1" w:styleId="CommentSubjectChar">
    <w:name w:val="Comment Subject Char"/>
    <w:basedOn w:val="CommentTextChar"/>
    <w:link w:val="CommentSubject"/>
    <w:uiPriority w:val="99"/>
    <w:semiHidden/>
    <w:rsid w:val="00563B68"/>
    <w:rPr>
      <w:rFonts w:ascii="Times New Roman" w:eastAsiaTheme="minorEastAsia" w:hAnsi="Times New Roman" w:cs="Times New Roman"/>
      <w:b/>
      <w:bCs/>
      <w:kern w:val="2"/>
      <w:sz w:val="20"/>
      <w:szCs w:val="20"/>
      <w:lang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5372</Words>
  <Characters>29622</Characters>
  <Application>Microsoft Office Word</Application>
  <DocSecurity>0</DocSecurity>
  <Lines>559</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2024-06-21T19:39:00Z</dcterms:created>
  <dcterms:modified xsi:type="dcterms:W3CDTF">2024-06-21T19:39:00Z</dcterms:modified>
  <cp:category/>
</cp:coreProperties>
</file>