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F8273C" w:rsidP="00F8273C" w14:paraId="3FB2D665" w14:textId="68D2149F">
      <w:pPr>
        <w:tabs>
          <w:tab w:val="clear" w:pos="720"/>
        </w:tabs>
        <w:spacing w:line="240" w:lineRule="auto"/>
        <w:rPr>
          <w:sz w:val="20"/>
        </w:rPr>
      </w:pPr>
      <w:r>
        <w:rPr>
          <w:sz w:val="20"/>
        </w:rPr>
        <w:t xml:space="preserve">Filed </w:t>
      </w:r>
      <w:r w:rsidR="00054629">
        <w:rPr>
          <w:sz w:val="20"/>
        </w:rPr>
        <w:t>2/1/24</w:t>
      </w:r>
    </w:p>
    <w:p w:rsidR="00F8273C" w:rsidP="00F8273C" w14:paraId="5109CDBF" w14:textId="77777777">
      <w:pPr>
        <w:tabs>
          <w:tab w:val="clear" w:pos="720"/>
        </w:tabs>
        <w:spacing w:line="240" w:lineRule="auto"/>
        <w:jc w:val="center"/>
        <w:rPr>
          <w:b/>
        </w:rPr>
      </w:pPr>
      <w:r>
        <w:rPr>
          <w:b/>
        </w:rPr>
        <w:t>CERTIFIED FOR PUBLICATION</w:t>
      </w:r>
    </w:p>
    <w:p w:rsidR="00F8273C" w:rsidP="00F8273C" w14:paraId="71020E6C" w14:textId="77777777">
      <w:pPr>
        <w:tabs>
          <w:tab w:val="clear" w:pos="720"/>
        </w:tabs>
        <w:spacing w:line="240" w:lineRule="auto"/>
        <w:jc w:val="center"/>
      </w:pPr>
    </w:p>
    <w:p w:rsidR="008C69C3" w:rsidRPr="003F08AD" w:rsidP="00F8273C" w14:paraId="1B48EF8B" w14:textId="0026F142">
      <w:pPr>
        <w:tabs>
          <w:tab w:val="clear" w:pos="720"/>
        </w:tabs>
        <w:spacing w:line="240" w:lineRule="auto"/>
        <w:jc w:val="center"/>
      </w:pPr>
      <w:r w:rsidRPr="003F08AD">
        <w:t>IN THE COURT OF APPEAL OF THE STATE OF CALIFORNIA</w:t>
      </w:r>
    </w:p>
    <w:p w:rsidR="007236A6" w:rsidRPr="003F08AD" w:rsidP="00B30517" w14:paraId="72A96F6C" w14:textId="69247938">
      <w:pPr>
        <w:tabs>
          <w:tab w:val="clear" w:pos="720"/>
        </w:tabs>
        <w:spacing w:line="240" w:lineRule="auto"/>
        <w:jc w:val="center"/>
      </w:pPr>
    </w:p>
    <w:p w:rsidR="007236A6" w:rsidRPr="003F08AD" w:rsidP="00B30517" w14:paraId="374B4444" w14:textId="1670BEDA">
      <w:pPr>
        <w:tabs>
          <w:tab w:val="clear" w:pos="720"/>
        </w:tabs>
        <w:spacing w:line="240" w:lineRule="auto"/>
        <w:jc w:val="center"/>
      </w:pPr>
      <w:r w:rsidRPr="003F08AD">
        <w:t>FIRST APPELLATE DISTRICT</w:t>
      </w:r>
    </w:p>
    <w:p w:rsidR="007236A6" w:rsidRPr="003F08AD" w:rsidP="00B30517" w14:paraId="7E5661BF" w14:textId="52F0D133">
      <w:pPr>
        <w:tabs>
          <w:tab w:val="clear" w:pos="720"/>
        </w:tabs>
        <w:spacing w:line="240" w:lineRule="auto"/>
        <w:jc w:val="center"/>
      </w:pPr>
    </w:p>
    <w:p w:rsidR="007236A6" w:rsidRPr="003F08AD" w:rsidP="00B30517" w14:paraId="7B967242" w14:textId="7EA34DC4">
      <w:pPr>
        <w:tabs>
          <w:tab w:val="clear" w:pos="720"/>
        </w:tabs>
        <w:spacing w:line="240" w:lineRule="auto"/>
        <w:jc w:val="center"/>
      </w:pPr>
      <w:r w:rsidRPr="003F08AD">
        <w:t>DIVISION FIVE</w:t>
      </w:r>
    </w:p>
    <w:p w:rsidR="007236A6" w:rsidRPr="003F08AD" w:rsidP="00B30517" w14:paraId="59EB56D5" w14:textId="346F0252">
      <w:pPr>
        <w:tabs>
          <w:tab w:val="clear" w:pos="720"/>
        </w:tabs>
        <w:spacing w:line="240" w:lineRule="auto"/>
        <w:jc w:val="center"/>
      </w:pPr>
    </w:p>
    <w:p w:rsidR="007236A6" w:rsidRPr="003F08AD" w:rsidP="00B30517" w14:paraId="21B8CE92" w14:textId="49D97528">
      <w:pPr>
        <w:tabs>
          <w:tab w:val="clear" w:pos="720"/>
        </w:tabs>
        <w:spacing w:line="240" w:lineRule="auto"/>
        <w:jc w:val="center"/>
      </w:pPr>
    </w:p>
    <w:tbl>
      <w:tblPr>
        <w:tblW w:w="9540" w:type="dxa"/>
        <w:tblLayout w:type="fixed"/>
        <w:tblLook w:val="0000"/>
      </w:tblPr>
      <w:tblGrid>
        <w:gridCol w:w="4770"/>
        <w:gridCol w:w="4770"/>
      </w:tblGrid>
      <w:tr w14:paraId="54B324F0" w14:textId="77777777" w:rsidTr="00CC6399">
        <w:tblPrEx>
          <w:tblW w:w="9540" w:type="dxa"/>
          <w:tblLayout w:type="fixed"/>
          <w:tblLook w:val="0000"/>
        </w:tblPrEx>
        <w:tc>
          <w:tcPr>
            <w:tcW w:w="4770" w:type="dxa"/>
            <w:tcBorders>
              <w:bottom w:val="single" w:sz="4" w:space="0" w:color="auto"/>
              <w:right w:val="single" w:sz="4" w:space="0" w:color="auto"/>
            </w:tcBorders>
            <w:shd w:val="clear" w:color="auto" w:fill="auto"/>
          </w:tcPr>
          <w:p w:rsidR="007236A6" w:rsidRPr="003F08AD" w:rsidP="00B30517" w14:paraId="19BDFA29" w14:textId="0746949C">
            <w:pPr>
              <w:tabs>
                <w:tab w:val="clear" w:pos="720"/>
              </w:tabs>
              <w:spacing w:after="120" w:line="240" w:lineRule="auto"/>
            </w:pPr>
            <w:r>
              <w:t>GOPAL</w:t>
            </w:r>
            <w:r w:rsidRPr="003F08AD">
              <w:t xml:space="preserve"> BALAKRISHNAN,</w:t>
            </w:r>
          </w:p>
          <w:p w:rsidR="007236A6" w:rsidRPr="003F08AD" w:rsidP="00B30517" w14:paraId="00651D34" w14:textId="33A06C08">
            <w:pPr>
              <w:tabs>
                <w:tab w:val="clear" w:pos="720"/>
              </w:tabs>
              <w:spacing w:after="120" w:line="240" w:lineRule="auto"/>
            </w:pPr>
            <w:r w:rsidRPr="003F08AD">
              <w:tab/>
            </w:r>
            <w:r w:rsidR="00466394">
              <w:t>Plaintiff and Appellant</w:t>
            </w:r>
            <w:r w:rsidRPr="003F08AD">
              <w:t>,</w:t>
            </w:r>
          </w:p>
          <w:p w:rsidR="007236A6" w:rsidRPr="003F08AD" w:rsidP="00B30517" w14:paraId="7813CD01" w14:textId="3FEF4C68">
            <w:pPr>
              <w:tabs>
                <w:tab w:val="clear" w:pos="720"/>
              </w:tabs>
              <w:spacing w:after="120" w:line="240" w:lineRule="auto"/>
            </w:pPr>
            <w:r w:rsidRPr="003F08AD">
              <w:t>v.</w:t>
            </w:r>
          </w:p>
          <w:p w:rsidR="007236A6" w:rsidRPr="003F08AD" w:rsidP="00B30517" w14:paraId="48DE0868" w14:textId="34247337">
            <w:pPr>
              <w:tabs>
                <w:tab w:val="clear" w:pos="720"/>
              </w:tabs>
              <w:spacing w:after="120" w:line="240" w:lineRule="auto"/>
            </w:pPr>
            <w:r>
              <w:t xml:space="preserve">THE </w:t>
            </w:r>
            <w:r w:rsidRPr="003F08AD">
              <w:t>REGENTS OF THE UNIVERSITY OF CALIFORNIA,</w:t>
            </w:r>
          </w:p>
          <w:p w:rsidR="007236A6" w:rsidRPr="003F08AD" w:rsidP="00B30517" w14:paraId="0466D6DD" w14:textId="14508744">
            <w:pPr>
              <w:tabs>
                <w:tab w:val="clear" w:pos="720"/>
              </w:tabs>
              <w:spacing w:after="120" w:line="240" w:lineRule="auto"/>
            </w:pPr>
            <w:r w:rsidRPr="003F08AD">
              <w:tab/>
            </w:r>
            <w:r w:rsidR="00BF2596">
              <w:t>Defendant and Respondent</w:t>
            </w:r>
            <w:r w:rsidRPr="003F08AD">
              <w:t>.</w:t>
            </w:r>
          </w:p>
        </w:tc>
        <w:tc>
          <w:tcPr>
            <w:tcW w:w="4770" w:type="dxa"/>
            <w:tcBorders>
              <w:left w:val="single" w:sz="4" w:space="0" w:color="auto"/>
            </w:tcBorders>
            <w:shd w:val="clear" w:color="auto" w:fill="auto"/>
          </w:tcPr>
          <w:p w:rsidR="007236A6" w:rsidRPr="003F08AD" w:rsidP="00617FD8" w14:paraId="18863BBE" w14:textId="77777777">
            <w:pPr>
              <w:tabs>
                <w:tab w:val="clear" w:pos="720"/>
              </w:tabs>
              <w:spacing w:after="120" w:line="240" w:lineRule="auto"/>
            </w:pPr>
          </w:p>
          <w:p w:rsidR="007236A6" w:rsidP="0061790A" w14:paraId="4DCBEC7E" w14:textId="77777777">
            <w:pPr>
              <w:tabs>
                <w:tab w:val="clear" w:pos="720"/>
              </w:tabs>
              <w:spacing w:after="120" w:line="240" w:lineRule="auto"/>
            </w:pPr>
            <w:r w:rsidRPr="003F08AD">
              <w:t xml:space="preserve">      A164480</w:t>
            </w:r>
          </w:p>
          <w:p w:rsidR="0061790A" w:rsidRPr="003F08AD" w:rsidP="0061790A" w14:paraId="106B9EE8" w14:textId="77777777">
            <w:pPr>
              <w:tabs>
                <w:tab w:val="clear" w:pos="720"/>
              </w:tabs>
              <w:spacing w:after="120" w:line="240" w:lineRule="auto"/>
            </w:pPr>
          </w:p>
          <w:p w:rsidR="007236A6" w:rsidRPr="003F08AD" w:rsidP="00B30517" w14:paraId="5697251C" w14:textId="77777777">
            <w:pPr>
              <w:tabs>
                <w:tab w:val="clear" w:pos="720"/>
              </w:tabs>
              <w:spacing w:line="240" w:lineRule="auto"/>
            </w:pPr>
            <w:r w:rsidRPr="003F08AD">
              <w:t xml:space="preserve">      (Alameda County</w:t>
            </w:r>
          </w:p>
          <w:p w:rsidR="007236A6" w:rsidRPr="003F08AD" w:rsidP="00617FD8" w14:paraId="784D9DFF" w14:textId="13AD8B22">
            <w:pPr>
              <w:tabs>
                <w:tab w:val="clear" w:pos="720"/>
              </w:tabs>
              <w:spacing w:after="120" w:line="240" w:lineRule="auto"/>
            </w:pPr>
            <w:r w:rsidRPr="003F08AD">
              <w:t xml:space="preserve">      Super. Ct. No. </w:t>
            </w:r>
            <w:r w:rsidRPr="003F08AD" w:rsidR="001B3B56">
              <w:t>RG19018682</w:t>
            </w:r>
            <w:r w:rsidRPr="003F08AD">
              <w:t>)</w:t>
            </w:r>
          </w:p>
        </w:tc>
      </w:tr>
    </w:tbl>
    <w:p w:rsidR="007236A6" w:rsidRPr="003F08AD" w:rsidP="0061790A" w14:paraId="36704943" w14:textId="648DD523">
      <w:pPr>
        <w:tabs>
          <w:tab w:val="clear" w:pos="720"/>
        </w:tabs>
        <w:spacing w:line="360" w:lineRule="auto"/>
      </w:pPr>
    </w:p>
    <w:p w:rsidR="007F2DD1" w:rsidRPr="003F08AD" w:rsidP="0061790A" w14:paraId="7664A978" w14:textId="3D64A95A">
      <w:pPr>
        <w:tabs>
          <w:tab w:val="clear" w:pos="720"/>
        </w:tabs>
        <w:spacing w:line="360" w:lineRule="auto"/>
      </w:pPr>
      <w:r w:rsidRPr="003F08AD">
        <w:tab/>
        <w:t>This appeal addresses the authority of a public university to discipline a faculty member for certain off-campus behavior.  We conclude the University of California, Santa Cruz (University or UCSC)</w:t>
      </w:r>
      <w:r w:rsidR="006E1EDD">
        <w:t>,</w:t>
      </w:r>
      <w:r w:rsidRPr="003F08AD">
        <w:t xml:space="preserve"> could permissibly find</w:t>
      </w:r>
      <w:r w:rsidR="006E1EDD">
        <w:t>,</w:t>
      </w:r>
      <w:r w:rsidRPr="003F08AD">
        <w:t xml:space="preserve"> based on the plain language of its internal policies, rules and regulations</w:t>
      </w:r>
      <w:r w:rsidR="00C43776">
        <w:t>,</w:t>
      </w:r>
      <w:r w:rsidRPr="003F08AD">
        <w:t xml:space="preserve"> that a tenured professor could be dismissed and denied </w:t>
      </w:r>
      <w:r w:rsidR="00C43776">
        <w:t>emeritus</w:t>
      </w:r>
      <w:r w:rsidRPr="003F08AD">
        <w:t xml:space="preserve"> status for sexually </w:t>
      </w:r>
      <w:r w:rsidR="00D4375B">
        <w:t>abusing</w:t>
      </w:r>
      <w:r w:rsidRPr="003F08AD">
        <w:t xml:space="preserve"> </w:t>
      </w:r>
      <w:r w:rsidR="00C43776">
        <w:t>(1) a</w:t>
      </w:r>
      <w:r w:rsidRPr="003F08AD">
        <w:t xml:space="preserve"> fellow academic at an event held in connection with an off-campus academic conference and </w:t>
      </w:r>
      <w:r w:rsidR="00C12034">
        <w:t>(2) a</w:t>
      </w:r>
      <w:r w:rsidRPr="003F08AD">
        <w:t xml:space="preserve"> UCSC student </w:t>
      </w:r>
      <w:r w:rsidR="002320FB">
        <w:t>whom</w:t>
      </w:r>
      <w:r w:rsidRPr="003F08AD">
        <w:t xml:space="preserve"> he volunteered to walk home from an off-campus graduation party</w:t>
      </w:r>
      <w:r w:rsidR="002320FB">
        <w:t>,</w:t>
      </w:r>
      <w:r w:rsidRPr="003F08AD">
        <w:t xml:space="preserve"> two days after she walked in her graduation ceremony.</w:t>
      </w:r>
    </w:p>
    <w:p w:rsidR="00C22EC1" w:rsidRPr="003F08AD" w:rsidP="0061790A" w14:paraId="165CDE46" w14:textId="04413D62">
      <w:pPr>
        <w:tabs>
          <w:tab w:val="clear" w:pos="720"/>
        </w:tabs>
        <w:spacing w:line="360" w:lineRule="auto"/>
      </w:pPr>
      <w:r w:rsidRPr="003F08AD">
        <w:tab/>
      </w:r>
      <w:r w:rsidR="00006582">
        <w:t>Plaintiff, Dr. Gopal</w:t>
      </w:r>
      <w:r w:rsidRPr="003F08AD" w:rsidR="007236A6">
        <w:t xml:space="preserve"> Balakrishnan</w:t>
      </w:r>
      <w:r w:rsidRPr="003F08AD" w:rsidR="00D42CA9">
        <w:t xml:space="preserve">, a </w:t>
      </w:r>
      <w:r w:rsidRPr="003F08AD">
        <w:t xml:space="preserve">former </w:t>
      </w:r>
      <w:r w:rsidRPr="003F08AD" w:rsidR="00D42CA9">
        <w:t xml:space="preserve">tenured </w:t>
      </w:r>
      <w:r w:rsidRPr="003F08AD">
        <w:t xml:space="preserve">UCSC </w:t>
      </w:r>
      <w:r w:rsidRPr="003F08AD" w:rsidR="00D42CA9">
        <w:t>professor,</w:t>
      </w:r>
      <w:r w:rsidRPr="003F08AD" w:rsidR="007236A6">
        <w:t xml:space="preserve"> </w:t>
      </w:r>
      <w:r w:rsidR="00720DFA">
        <w:t>appeals from a judgment denying his petition for</w:t>
      </w:r>
      <w:r w:rsidRPr="003F08AD" w:rsidR="007236A6">
        <w:t xml:space="preserve"> a writ of </w:t>
      </w:r>
      <w:r w:rsidRPr="003F08AD" w:rsidR="00904CD9">
        <w:t xml:space="preserve">administrative </w:t>
      </w:r>
      <w:r w:rsidRPr="003F08AD" w:rsidR="007236A6">
        <w:t>manda</w:t>
      </w:r>
      <w:r w:rsidRPr="003F08AD" w:rsidR="000C0E5E">
        <w:t>te</w:t>
      </w:r>
      <w:r w:rsidRPr="003F08AD" w:rsidR="007236A6">
        <w:t xml:space="preserve"> </w:t>
      </w:r>
      <w:r w:rsidRPr="003F08AD" w:rsidR="00D42CA9">
        <w:t xml:space="preserve">under </w:t>
      </w:r>
      <w:r w:rsidRPr="003F08AD" w:rsidR="007236A6">
        <w:t>Code of Civ</w:t>
      </w:r>
      <w:r w:rsidRPr="003F08AD" w:rsidR="00D42CA9">
        <w:t>il</w:t>
      </w:r>
      <w:r w:rsidRPr="003F08AD" w:rsidR="007236A6">
        <w:t xml:space="preserve"> Proc</w:t>
      </w:r>
      <w:r w:rsidRPr="003F08AD" w:rsidR="00D42CA9">
        <w:t>edure section </w:t>
      </w:r>
      <w:r w:rsidRPr="003F08AD" w:rsidR="007236A6">
        <w:t>1094.5</w:t>
      </w:r>
      <w:r>
        <w:rPr>
          <w:rStyle w:val="FootnoteReference"/>
        </w:rPr>
        <w:footnoteReference w:id="2"/>
      </w:r>
      <w:r w:rsidRPr="003F08AD" w:rsidR="007236A6">
        <w:t xml:space="preserve"> to set aside the </w:t>
      </w:r>
      <w:r w:rsidRPr="003F08AD" w:rsidR="007236A6">
        <w:t xml:space="preserve">findings and decision </w:t>
      </w:r>
      <w:r w:rsidRPr="003F08AD">
        <w:t xml:space="preserve">of </w:t>
      </w:r>
      <w:r w:rsidR="001D0001">
        <w:t>defendant, The</w:t>
      </w:r>
      <w:r w:rsidRPr="003F08AD">
        <w:t xml:space="preserve"> Regents of the University of California (Regents)</w:t>
      </w:r>
      <w:r w:rsidR="001D0001">
        <w:t>,</w:t>
      </w:r>
      <w:r w:rsidRPr="003F08AD">
        <w:t xml:space="preserve"> </w:t>
      </w:r>
      <w:r w:rsidRPr="003F08AD" w:rsidR="007236A6">
        <w:t xml:space="preserve">to terminate his employment and deny him </w:t>
      </w:r>
      <w:r w:rsidR="001D0001">
        <w:t>emeritus</w:t>
      </w:r>
      <w:r w:rsidRPr="003F08AD" w:rsidR="007236A6">
        <w:t xml:space="preserve"> status. </w:t>
      </w:r>
      <w:r w:rsidRPr="003F08AD" w:rsidR="00F33B67">
        <w:t xml:space="preserve"> </w:t>
      </w:r>
      <w:r w:rsidRPr="003F08AD" w:rsidR="003B3F03">
        <w:t xml:space="preserve">In so doing, </w:t>
      </w:r>
      <w:r w:rsidR="00422A72">
        <w:t>plaintiff</w:t>
      </w:r>
      <w:r w:rsidRPr="003F08AD" w:rsidR="00F33B67">
        <w:t xml:space="preserve"> does not dispute the </w:t>
      </w:r>
      <w:r w:rsidRPr="003F08AD">
        <w:t>University’s</w:t>
      </w:r>
      <w:r w:rsidRPr="003F08AD" w:rsidR="00D42CA9">
        <w:t xml:space="preserve"> </w:t>
      </w:r>
      <w:r w:rsidRPr="003F08AD" w:rsidR="00F33B67">
        <w:t>evidentiary finding that he sexual</w:t>
      </w:r>
      <w:r w:rsidRPr="003F08AD" w:rsidR="00D42CA9">
        <w:t>ly</w:t>
      </w:r>
      <w:r w:rsidRPr="003F08AD" w:rsidR="00F33B67">
        <w:t xml:space="preserve"> </w:t>
      </w:r>
      <w:r w:rsidR="007B71E3">
        <w:t>abused</w:t>
      </w:r>
      <w:r w:rsidRPr="003F08AD" w:rsidR="00D42CA9">
        <w:t xml:space="preserve"> two women</w:t>
      </w:r>
      <w:r w:rsidRPr="003F08AD" w:rsidR="00F33B67">
        <w:t xml:space="preserve">.  Rather, </w:t>
      </w:r>
      <w:r w:rsidRPr="003F08AD" w:rsidR="00D42CA9">
        <w:t>he</w:t>
      </w:r>
      <w:r w:rsidRPr="003F08AD" w:rsidR="00F33B67">
        <w:t xml:space="preserve"> contends</w:t>
      </w:r>
      <w:r w:rsidRPr="003F08AD" w:rsidR="00D42CA9">
        <w:t xml:space="preserve">: </w:t>
      </w:r>
      <w:r w:rsidR="00422A72">
        <w:t>(1) the</w:t>
      </w:r>
      <w:r w:rsidRPr="003F08AD" w:rsidR="00F33B67">
        <w:t xml:space="preserve"> University lacked jurisdiction </w:t>
      </w:r>
      <w:r w:rsidRPr="003F08AD" w:rsidR="003B3F03">
        <w:t xml:space="preserve">to </w:t>
      </w:r>
      <w:r w:rsidRPr="003F08AD" w:rsidR="00F33B67">
        <w:t>discipline</w:t>
      </w:r>
      <w:r w:rsidRPr="003F08AD" w:rsidR="00D42CA9">
        <w:t xml:space="preserve"> him </w:t>
      </w:r>
      <w:r w:rsidRPr="003F08AD" w:rsidR="00F33B67">
        <w:t xml:space="preserve">because </w:t>
      </w:r>
      <w:r w:rsidRPr="003F08AD" w:rsidR="00D42CA9">
        <w:t>the</w:t>
      </w:r>
      <w:r w:rsidRPr="003F08AD" w:rsidR="00F33B67">
        <w:t xml:space="preserve"> victims did not qualify as University students, </w:t>
      </w:r>
      <w:r w:rsidR="00422A72">
        <w:t>(2) the</w:t>
      </w:r>
      <w:r w:rsidRPr="003F08AD" w:rsidR="00F33B67">
        <w:t xml:space="preserve"> University mis</w:t>
      </w:r>
      <w:r w:rsidRPr="003F08AD" w:rsidR="00D74647">
        <w:t>interpreted and misapplied</w:t>
      </w:r>
      <w:r w:rsidRPr="003F08AD" w:rsidR="00D42CA9">
        <w:t xml:space="preserve"> </w:t>
      </w:r>
      <w:r w:rsidRPr="003F08AD" w:rsidR="00F33B67">
        <w:t xml:space="preserve">its own regulations and policies, </w:t>
      </w:r>
      <w:r w:rsidR="00422A72">
        <w:t>(3) he</w:t>
      </w:r>
      <w:r w:rsidRPr="003F08AD" w:rsidR="0079096A">
        <w:t xml:space="preserve"> did not receive notice of all charges, and </w:t>
      </w:r>
      <w:r w:rsidR="00AB26F2">
        <w:t>(4) the</w:t>
      </w:r>
      <w:r w:rsidRPr="003F08AD" w:rsidR="0079096A">
        <w:t xml:space="preserve"> sanction</w:t>
      </w:r>
      <w:r w:rsidRPr="003F08AD" w:rsidR="003B3F03">
        <w:t>s were</w:t>
      </w:r>
      <w:r w:rsidRPr="003F08AD" w:rsidR="0079096A">
        <w:t xml:space="preserve"> excessive.</w:t>
      </w:r>
    </w:p>
    <w:p w:rsidR="007236A6" w:rsidRPr="003F08AD" w:rsidP="0061790A" w14:paraId="4D21866B" w14:textId="1CDE11C8">
      <w:pPr>
        <w:tabs>
          <w:tab w:val="clear" w:pos="720"/>
        </w:tabs>
        <w:spacing w:line="360" w:lineRule="auto"/>
      </w:pPr>
      <w:r w:rsidRPr="003F08AD">
        <w:tab/>
      </w:r>
      <w:r w:rsidRPr="003F08AD" w:rsidR="0079096A">
        <w:t xml:space="preserve">We reject these contentions and affirm the trial court’s judgment </w:t>
      </w:r>
      <w:r w:rsidRPr="003F08AD" w:rsidR="00D42CA9">
        <w:t xml:space="preserve">to </w:t>
      </w:r>
      <w:r w:rsidRPr="003F08AD" w:rsidR="0079096A">
        <w:t>deny his writ petition.</w:t>
      </w:r>
    </w:p>
    <w:p w:rsidR="007236A6" w:rsidRPr="003F08AD" w:rsidP="007B0DE3" w14:paraId="063BF5C3" w14:textId="16F58F90">
      <w:pPr>
        <w:keepNext/>
        <w:tabs>
          <w:tab w:val="clear" w:pos="720"/>
        </w:tabs>
        <w:spacing w:line="360" w:lineRule="auto"/>
        <w:jc w:val="center"/>
        <w:rPr>
          <w:b/>
          <w:bCs/>
        </w:rPr>
      </w:pPr>
      <w:r w:rsidRPr="003F08AD">
        <w:rPr>
          <w:b/>
          <w:bCs/>
        </w:rPr>
        <w:t>FACTUAL AND PROCEDURAL BACKGROUND</w:t>
      </w:r>
    </w:p>
    <w:p w:rsidR="007236A6" w:rsidRPr="003F08AD" w:rsidP="007B0DE3" w14:paraId="659141E8" w14:textId="56A697F1">
      <w:pPr>
        <w:tabs>
          <w:tab w:val="clear" w:pos="720"/>
        </w:tabs>
        <w:spacing w:line="360" w:lineRule="auto"/>
      </w:pPr>
      <w:r w:rsidRPr="003F08AD">
        <w:tab/>
      </w:r>
      <w:r w:rsidR="001B60CF">
        <w:t>Plaintiff</w:t>
      </w:r>
      <w:r w:rsidRPr="003F08AD" w:rsidR="007F2DD1">
        <w:t xml:space="preserve"> </w:t>
      </w:r>
      <w:r w:rsidRPr="003F08AD" w:rsidR="006A2073">
        <w:t xml:space="preserve">attended Cornell University.  </w:t>
      </w:r>
      <w:r w:rsidRPr="003F08AD" w:rsidR="007F2DD1">
        <w:t xml:space="preserve">He </w:t>
      </w:r>
      <w:r w:rsidRPr="003F08AD" w:rsidR="006A2073">
        <w:t>earned a Ph</w:t>
      </w:r>
      <w:r w:rsidRPr="003F08AD" w:rsidR="003B3F03">
        <w:t>.</w:t>
      </w:r>
      <w:r w:rsidRPr="003F08AD" w:rsidR="006A2073">
        <w:t xml:space="preserve">D. from </w:t>
      </w:r>
      <w:r w:rsidR="00565F14">
        <w:t xml:space="preserve">the </w:t>
      </w:r>
      <w:r w:rsidRPr="003F08AD" w:rsidR="006A2073">
        <w:t>University of California, Los Angeles</w:t>
      </w:r>
      <w:r w:rsidR="00091051">
        <w:t>,</w:t>
      </w:r>
      <w:r w:rsidRPr="003F08AD" w:rsidR="006A2073">
        <w:t xml:space="preserve"> and, in 2000, published a well-received scholarly book entitled </w:t>
      </w:r>
      <w:r w:rsidR="00DB78F3">
        <w:t>The Enemy: An Intellectual Portrait of Carl Schmitt</w:t>
      </w:r>
      <w:r w:rsidRPr="003F08AD" w:rsidR="006A2073">
        <w:t xml:space="preserve">.  </w:t>
      </w:r>
      <w:r w:rsidRPr="003F08AD" w:rsidR="00E026B3">
        <w:t>In 2006, a</w:t>
      </w:r>
      <w:r w:rsidRPr="003F08AD" w:rsidR="006A2073">
        <w:t xml:space="preserve">fter </w:t>
      </w:r>
      <w:r w:rsidRPr="003F08AD" w:rsidR="00D42CA9">
        <w:t xml:space="preserve">holding </w:t>
      </w:r>
      <w:r w:rsidRPr="003F08AD" w:rsidR="006A2073">
        <w:t xml:space="preserve">several teaching </w:t>
      </w:r>
      <w:r w:rsidRPr="003F08AD" w:rsidR="00D42CA9">
        <w:t xml:space="preserve">positions </w:t>
      </w:r>
      <w:r w:rsidRPr="003F08AD" w:rsidR="006A2073">
        <w:t>at</w:t>
      </w:r>
      <w:r w:rsidRPr="003F08AD" w:rsidR="00D42CA9">
        <w:t xml:space="preserve"> </w:t>
      </w:r>
      <w:r w:rsidRPr="003F08AD" w:rsidR="003B3F03">
        <w:t xml:space="preserve">higher learning </w:t>
      </w:r>
      <w:r w:rsidRPr="003F08AD" w:rsidR="006A2073">
        <w:t xml:space="preserve">institutions in the United States and abroad, </w:t>
      </w:r>
      <w:r w:rsidR="00C4687A">
        <w:t>plaintiff</w:t>
      </w:r>
      <w:r w:rsidRPr="003F08AD" w:rsidR="006A2073">
        <w:t xml:space="preserve"> became a</w:t>
      </w:r>
      <w:r w:rsidRPr="003F08AD" w:rsidR="003B3F03">
        <w:t>n</w:t>
      </w:r>
      <w:r w:rsidRPr="003F08AD" w:rsidR="006A2073">
        <w:t xml:space="preserve"> </w:t>
      </w:r>
      <w:r w:rsidRPr="003F08AD" w:rsidR="00E026B3">
        <w:t>a</w:t>
      </w:r>
      <w:r w:rsidRPr="003F08AD" w:rsidR="006A2073">
        <w:t xml:space="preserve">ssociate </w:t>
      </w:r>
      <w:r w:rsidRPr="003F08AD" w:rsidR="00E026B3">
        <w:t>p</w:t>
      </w:r>
      <w:r w:rsidRPr="003F08AD" w:rsidR="006A2073">
        <w:t xml:space="preserve">rofessor </w:t>
      </w:r>
      <w:r w:rsidRPr="003F08AD" w:rsidR="00D42CA9">
        <w:t>in</w:t>
      </w:r>
      <w:r w:rsidRPr="003F08AD" w:rsidR="006A2073">
        <w:t xml:space="preserve"> UCSC</w:t>
      </w:r>
      <w:r w:rsidRPr="003F08AD" w:rsidR="00D42CA9">
        <w:t>’s</w:t>
      </w:r>
      <w:r w:rsidRPr="003F08AD" w:rsidR="006A2073">
        <w:t xml:space="preserve"> History of Consciousness </w:t>
      </w:r>
      <w:r w:rsidRPr="003F08AD" w:rsidR="00E026B3">
        <w:t>D</w:t>
      </w:r>
      <w:r w:rsidRPr="003F08AD" w:rsidR="006A2073">
        <w:t>epartment</w:t>
      </w:r>
      <w:r w:rsidRPr="003F08AD" w:rsidR="00974768">
        <w:t>.</w:t>
      </w:r>
      <w:r w:rsidRPr="003F08AD" w:rsidR="006A2073">
        <w:t xml:space="preserve">  </w:t>
      </w:r>
      <w:r w:rsidRPr="003F08AD" w:rsidR="003B3F03">
        <w:t>I</w:t>
      </w:r>
      <w:r w:rsidRPr="003F08AD" w:rsidR="006A2073">
        <w:t xml:space="preserve">n 2015, </w:t>
      </w:r>
      <w:r w:rsidRPr="003F08AD" w:rsidR="003B3F03">
        <w:t>he</w:t>
      </w:r>
      <w:r w:rsidRPr="003F08AD" w:rsidR="006A2073">
        <w:t xml:space="preserve"> was promoted to</w:t>
      </w:r>
      <w:r w:rsidRPr="003F08AD" w:rsidR="00E026B3">
        <w:t xml:space="preserve"> tenured p</w:t>
      </w:r>
      <w:r w:rsidRPr="003F08AD" w:rsidR="006A2073">
        <w:t>rofessor.</w:t>
      </w:r>
    </w:p>
    <w:p w:rsidR="00974768" w:rsidRPr="003F08AD" w:rsidP="007B0DE3" w14:paraId="0556690A" w14:textId="10051C13">
      <w:pPr>
        <w:tabs>
          <w:tab w:val="clear" w:pos="720"/>
        </w:tabs>
        <w:spacing w:line="360" w:lineRule="auto"/>
      </w:pPr>
      <w:r w:rsidRPr="003F08AD">
        <w:tab/>
      </w:r>
      <w:r w:rsidRPr="003F08AD" w:rsidR="003E4D0B">
        <w:t>I</w:t>
      </w:r>
      <w:r w:rsidRPr="003F08AD">
        <w:t xml:space="preserve">n </w:t>
      </w:r>
      <w:r w:rsidRPr="003F08AD" w:rsidR="003E4D0B">
        <w:t>201</w:t>
      </w:r>
      <w:r w:rsidRPr="003F08AD" w:rsidR="00905EDA">
        <w:t>7</w:t>
      </w:r>
      <w:r w:rsidRPr="003F08AD">
        <w:t>, an anonymous letter was published</w:t>
      </w:r>
      <w:r w:rsidRPr="003F08AD" w:rsidR="003E4D0B">
        <w:t xml:space="preserve"> online</w:t>
      </w:r>
      <w:r w:rsidR="00DA6DF4">
        <w:t>,</w:t>
      </w:r>
      <w:r w:rsidRPr="003F08AD" w:rsidR="003E4D0B">
        <w:t xml:space="preserve"> a</w:t>
      </w:r>
      <w:r w:rsidRPr="003F08AD" w:rsidR="00624A4B">
        <w:t>ccusing</w:t>
      </w:r>
      <w:r w:rsidRPr="003F08AD" w:rsidR="003E4D0B">
        <w:t xml:space="preserve"> </w:t>
      </w:r>
      <w:r w:rsidR="00323E62">
        <w:t>plaintiff</w:t>
      </w:r>
      <w:r w:rsidRPr="003F08AD" w:rsidR="003E4D0B">
        <w:t xml:space="preserve"> </w:t>
      </w:r>
      <w:r w:rsidRPr="003F08AD" w:rsidR="00624A4B">
        <w:t>of</w:t>
      </w:r>
      <w:r w:rsidRPr="003F08AD" w:rsidR="003E4D0B">
        <w:t xml:space="preserve"> engag</w:t>
      </w:r>
      <w:r w:rsidRPr="003F08AD" w:rsidR="00624A4B">
        <w:t>ing</w:t>
      </w:r>
      <w:r w:rsidRPr="003F08AD" w:rsidR="003E4D0B">
        <w:t xml:space="preserve"> in a pattern of </w:t>
      </w:r>
      <w:r w:rsidRPr="003F08AD" w:rsidR="00905EDA">
        <w:t xml:space="preserve">sexual intimidation, </w:t>
      </w:r>
      <w:r w:rsidRPr="003F08AD" w:rsidR="00F05EB8">
        <w:t>harassment,</w:t>
      </w:r>
      <w:r w:rsidRPr="003F08AD" w:rsidR="00905EDA">
        <w:t xml:space="preserve"> and </w:t>
      </w:r>
      <w:r w:rsidRPr="003F08AD" w:rsidR="003E4D0B">
        <w:t xml:space="preserve">assault </w:t>
      </w:r>
      <w:r w:rsidRPr="003F08AD" w:rsidR="00905EDA">
        <w:t xml:space="preserve">against </w:t>
      </w:r>
      <w:r w:rsidRPr="003F08AD" w:rsidR="003E4D0B">
        <w:t>young women</w:t>
      </w:r>
      <w:r w:rsidRPr="003F08AD" w:rsidR="00E026B3">
        <w:t xml:space="preserve"> and</w:t>
      </w:r>
      <w:r w:rsidRPr="003F08AD" w:rsidR="003E4D0B">
        <w:t xml:space="preserve"> </w:t>
      </w:r>
      <w:r w:rsidRPr="003F08AD" w:rsidR="00E026B3">
        <w:t xml:space="preserve">gender nonconforming people </w:t>
      </w:r>
      <w:r w:rsidRPr="003F08AD" w:rsidR="00905EDA">
        <w:t xml:space="preserve">during his </w:t>
      </w:r>
      <w:r w:rsidR="009F47EA">
        <w:t>time as a UCSC</w:t>
      </w:r>
      <w:r w:rsidRPr="003F08AD" w:rsidR="00905EDA">
        <w:t xml:space="preserve"> professor.</w:t>
      </w:r>
      <w:r w:rsidRPr="003F08AD" w:rsidR="003E4D0B">
        <w:t xml:space="preserve">  </w:t>
      </w:r>
      <w:r w:rsidRPr="003F08AD" w:rsidR="00624A4B">
        <w:t>Th</w:t>
      </w:r>
      <w:r w:rsidRPr="003F08AD" w:rsidR="00E026B3">
        <w:t>e</w:t>
      </w:r>
      <w:r w:rsidRPr="003F08AD" w:rsidR="00624A4B">
        <w:t xml:space="preserve"> letter contained seven anonymous </w:t>
      </w:r>
      <w:r w:rsidR="006B23D1">
        <w:t>firsthand</w:t>
      </w:r>
      <w:r w:rsidRPr="003F08AD" w:rsidR="00624A4B">
        <w:t xml:space="preserve"> accounts of </w:t>
      </w:r>
      <w:r w:rsidR="006B23D1">
        <w:t>plaintiff’s</w:t>
      </w:r>
      <w:r w:rsidRPr="003F08AD" w:rsidR="00624A4B">
        <w:t xml:space="preserve"> </w:t>
      </w:r>
      <w:r w:rsidR="00114BA1">
        <w:t xml:space="preserve">alleged </w:t>
      </w:r>
      <w:r w:rsidRPr="003F08AD" w:rsidR="00624A4B">
        <w:t xml:space="preserve">abuse and </w:t>
      </w:r>
      <w:r w:rsidRPr="003F08AD" w:rsidR="003E4D0B">
        <w:t>call</w:t>
      </w:r>
      <w:r w:rsidRPr="003F08AD" w:rsidR="00624A4B">
        <w:t>ed</w:t>
      </w:r>
      <w:r w:rsidRPr="003F08AD" w:rsidR="003E4D0B">
        <w:t xml:space="preserve"> on the University to </w:t>
      </w:r>
      <w:r w:rsidRPr="003F08AD" w:rsidR="00E026B3">
        <w:t>act</w:t>
      </w:r>
      <w:r w:rsidRPr="003F08AD" w:rsidR="003E4D0B">
        <w:t xml:space="preserve">. </w:t>
      </w:r>
      <w:r w:rsidRPr="003F08AD" w:rsidR="00624A4B">
        <w:t xml:space="preserve"> Over 150 people </w:t>
      </w:r>
      <w:r w:rsidRPr="003F08AD" w:rsidR="00E026B3">
        <w:t xml:space="preserve">signed </w:t>
      </w:r>
      <w:r w:rsidRPr="003F08AD" w:rsidR="00624A4B">
        <w:t>this letter</w:t>
      </w:r>
      <w:r w:rsidRPr="003F08AD" w:rsidR="00E026B3">
        <w:t xml:space="preserve"> </w:t>
      </w:r>
      <w:r w:rsidRPr="003F08AD" w:rsidR="003B3F03">
        <w:t>to</w:t>
      </w:r>
      <w:r w:rsidRPr="003F08AD" w:rsidR="00E026B3">
        <w:t xml:space="preserve"> show</w:t>
      </w:r>
      <w:r w:rsidRPr="003F08AD" w:rsidR="003B3F03">
        <w:t xml:space="preserve"> their</w:t>
      </w:r>
      <w:r w:rsidRPr="003F08AD" w:rsidR="00E026B3">
        <w:t xml:space="preserve"> support</w:t>
      </w:r>
      <w:r w:rsidRPr="003F08AD" w:rsidR="00624A4B">
        <w:t>.</w:t>
      </w:r>
    </w:p>
    <w:p w:rsidR="00905EDA" w:rsidRPr="003F08AD" w:rsidP="007B0DE3" w14:paraId="590354F9" w14:textId="133DCD26">
      <w:pPr>
        <w:tabs>
          <w:tab w:val="clear" w:pos="720"/>
        </w:tabs>
        <w:spacing w:line="360" w:lineRule="auto"/>
      </w:pPr>
      <w:r w:rsidRPr="003F08AD">
        <w:tab/>
      </w:r>
      <w:r w:rsidR="00174C9F">
        <w:t>Plaintiff</w:t>
      </w:r>
      <w:r w:rsidRPr="003F08AD" w:rsidR="00234CD0">
        <w:t xml:space="preserve"> publicly denied the a</w:t>
      </w:r>
      <w:r w:rsidRPr="003F08AD" w:rsidR="00624A4B">
        <w:t>ccusations</w:t>
      </w:r>
      <w:r w:rsidRPr="003F08AD" w:rsidR="00234CD0">
        <w:t xml:space="preserve"> in the anonymous letter and blamed </w:t>
      </w:r>
      <w:r w:rsidR="00174C9F">
        <w:t>“ ‘the</w:t>
      </w:r>
      <w:r w:rsidRPr="003F08AD" w:rsidR="00234CD0">
        <w:t xml:space="preserve"> current context of national indignation around the issue of sexual </w:t>
      </w:r>
      <w:r w:rsidR="00174C9F">
        <w:t>harassment . . . .’ ”</w:t>
      </w:r>
      <w:r w:rsidRPr="003F08AD" w:rsidR="00234CD0">
        <w:t xml:space="preserve">  </w:t>
      </w:r>
      <w:r w:rsidRPr="003F08AD">
        <w:t xml:space="preserve">In response, the University </w:t>
      </w:r>
      <w:r w:rsidRPr="003F08AD" w:rsidR="00234CD0">
        <w:t xml:space="preserve">issued a statement </w:t>
      </w:r>
      <w:r w:rsidRPr="003F08AD" w:rsidR="00234CD0">
        <w:t xml:space="preserve">that it was aware of the </w:t>
      </w:r>
      <w:r w:rsidRPr="003F08AD" w:rsidR="00624A4B">
        <w:t>letter</w:t>
      </w:r>
      <w:r w:rsidRPr="003F08AD" w:rsidR="00234CD0">
        <w:t xml:space="preserve"> and ask</w:t>
      </w:r>
      <w:r w:rsidRPr="003F08AD" w:rsidR="00624A4B">
        <w:t>ed</w:t>
      </w:r>
      <w:r w:rsidRPr="003F08AD" w:rsidR="00234CD0">
        <w:t xml:space="preserve"> </w:t>
      </w:r>
      <w:r w:rsidRPr="003F08AD" w:rsidR="00624A4B">
        <w:t>individuals</w:t>
      </w:r>
      <w:r w:rsidRPr="003F08AD" w:rsidR="00234CD0">
        <w:t xml:space="preserve"> with </w:t>
      </w:r>
      <w:r w:rsidRPr="003F08AD" w:rsidR="00624A4B">
        <w:t>relevant</w:t>
      </w:r>
      <w:r w:rsidRPr="003F08AD" w:rsidR="00234CD0">
        <w:t xml:space="preserve"> information to </w:t>
      </w:r>
      <w:r w:rsidRPr="003F08AD" w:rsidR="00624A4B">
        <w:t xml:space="preserve">contact the </w:t>
      </w:r>
      <w:r w:rsidR="00CB0986">
        <w:t>Title IX office</w:t>
      </w:r>
      <w:r w:rsidRPr="003F08AD" w:rsidR="00624A4B">
        <w:t xml:space="preserve"> to assist</w:t>
      </w:r>
      <w:r w:rsidRPr="003F08AD" w:rsidR="003B3F03">
        <w:t xml:space="preserve"> </w:t>
      </w:r>
      <w:r w:rsidRPr="003F08AD" w:rsidR="00624A4B">
        <w:t xml:space="preserve">its </w:t>
      </w:r>
      <w:r w:rsidRPr="003F08AD" w:rsidR="00234CD0">
        <w:t>investigat</w:t>
      </w:r>
      <w:r w:rsidRPr="003F08AD" w:rsidR="00624A4B">
        <w:t>ion</w:t>
      </w:r>
      <w:r w:rsidRPr="003F08AD">
        <w:t>.</w:t>
      </w:r>
      <w:r>
        <w:rPr>
          <w:rStyle w:val="FootnoteReference"/>
        </w:rPr>
        <w:footnoteReference w:id="3"/>
      </w:r>
    </w:p>
    <w:p w:rsidR="002D61B8" w:rsidRPr="003F08AD" w:rsidP="007B0DE3" w14:paraId="3122182C" w14:textId="61E9B382">
      <w:pPr>
        <w:tabs>
          <w:tab w:val="clear" w:pos="720"/>
        </w:tabs>
        <w:spacing w:line="360" w:lineRule="auto"/>
      </w:pPr>
      <w:r w:rsidRPr="003F08AD">
        <w:tab/>
        <w:t xml:space="preserve">The University received multiple complaints about </w:t>
      </w:r>
      <w:r w:rsidR="007630B6">
        <w:t>plaintiff’s</w:t>
      </w:r>
      <w:r w:rsidRPr="003F08AD">
        <w:t xml:space="preserve"> conduct.  One of the more serious complaint</w:t>
      </w:r>
      <w:r w:rsidRPr="003F08AD" w:rsidR="00624A4B">
        <w:t>s</w:t>
      </w:r>
      <w:r w:rsidR="007630B6">
        <w:t>,</w:t>
      </w:r>
      <w:r w:rsidRPr="003F08AD" w:rsidR="00624A4B">
        <w:t xml:space="preserve"> </w:t>
      </w:r>
      <w:r w:rsidRPr="003F08AD">
        <w:t>involv</w:t>
      </w:r>
      <w:r w:rsidRPr="003F08AD" w:rsidR="00E026B3">
        <w:t>ing</w:t>
      </w:r>
      <w:r w:rsidRPr="003F08AD">
        <w:t xml:space="preserve"> </w:t>
      </w:r>
      <w:r w:rsidRPr="003F08AD" w:rsidR="00E026B3">
        <w:t xml:space="preserve">Jane </w:t>
      </w:r>
      <w:r w:rsidRPr="003F08AD">
        <w:t>Doe</w:t>
      </w:r>
      <w:r w:rsidRPr="003F08AD" w:rsidR="006C0A1B">
        <w:t>, an academic,</w:t>
      </w:r>
      <w:r w:rsidRPr="003F08AD">
        <w:t xml:space="preserve"> came in anonymously</w:t>
      </w:r>
      <w:r w:rsidRPr="003F08AD" w:rsidR="00624A4B">
        <w:t xml:space="preserve">.  </w:t>
      </w:r>
      <w:r w:rsidRPr="003F08AD">
        <w:t>Since Doe did not wish to participate in a formal investigation</w:t>
      </w:r>
      <w:r w:rsidRPr="003F08AD" w:rsidR="00624A4B">
        <w:t xml:space="preserve">, </w:t>
      </w:r>
      <w:r w:rsidRPr="003F08AD">
        <w:t xml:space="preserve">the </w:t>
      </w:r>
      <w:r w:rsidR="00416CA6">
        <w:t>Title IX office</w:t>
      </w:r>
      <w:r w:rsidRPr="003F08AD">
        <w:t xml:space="preserve"> </w:t>
      </w:r>
      <w:r w:rsidRPr="003F08AD" w:rsidR="00624A4B">
        <w:t xml:space="preserve">relied on </w:t>
      </w:r>
      <w:r w:rsidRPr="003F08AD">
        <w:t xml:space="preserve">information </w:t>
      </w:r>
      <w:r w:rsidRPr="003F08AD" w:rsidR="00E026B3">
        <w:t xml:space="preserve">she </w:t>
      </w:r>
      <w:r w:rsidRPr="003F08AD" w:rsidR="003B3F03">
        <w:t>gave</w:t>
      </w:r>
      <w:r w:rsidRPr="003F08AD">
        <w:t xml:space="preserve"> to a news </w:t>
      </w:r>
      <w:r w:rsidR="00416CA6">
        <w:t>Web site</w:t>
      </w:r>
      <w:r w:rsidRPr="003F08AD" w:rsidR="00624A4B">
        <w:t xml:space="preserve"> </w:t>
      </w:r>
      <w:r w:rsidRPr="003F08AD">
        <w:t xml:space="preserve">to identify </w:t>
      </w:r>
      <w:r w:rsidRPr="003F08AD" w:rsidR="00624A4B">
        <w:t xml:space="preserve">an </w:t>
      </w:r>
      <w:r w:rsidRPr="003F08AD">
        <w:t>eyewitness</w:t>
      </w:r>
      <w:r w:rsidRPr="003F08AD" w:rsidR="00E026B3">
        <w:t xml:space="preserve"> w</w:t>
      </w:r>
      <w:r w:rsidRPr="003F08AD" w:rsidR="0093196F">
        <w:t>h</w:t>
      </w:r>
      <w:r w:rsidRPr="003F08AD" w:rsidR="00E026B3">
        <w:t xml:space="preserve">o was willing to </w:t>
      </w:r>
      <w:r w:rsidRPr="003F08AD" w:rsidR="0093196F">
        <w:t>speak</w:t>
      </w:r>
      <w:r w:rsidRPr="003F08AD">
        <w:t xml:space="preserve">. </w:t>
      </w:r>
      <w:r w:rsidRPr="003F08AD" w:rsidR="003B3F03">
        <w:t xml:space="preserve"> </w:t>
      </w:r>
      <w:r w:rsidRPr="003F08AD">
        <w:t xml:space="preserve">The </w:t>
      </w:r>
      <w:r w:rsidR="00416CA6">
        <w:t>Title IX office</w:t>
      </w:r>
      <w:r w:rsidRPr="003F08AD">
        <w:t xml:space="preserve"> also decided to investigate complaints from three </w:t>
      </w:r>
      <w:r w:rsidRPr="003F08AD" w:rsidR="00DC478C">
        <w:t>other</w:t>
      </w:r>
      <w:r w:rsidRPr="003F08AD">
        <w:t xml:space="preserve"> individuals</w:t>
      </w:r>
      <w:r w:rsidRPr="003F08AD" w:rsidR="00120525">
        <w:t>:</w:t>
      </w:r>
      <w:r w:rsidRPr="003F08AD">
        <w:t xml:space="preserve"> </w:t>
      </w:r>
      <w:r w:rsidR="00C355B2">
        <w:t xml:space="preserve"> </w:t>
      </w:r>
      <w:r w:rsidR="00416CA6">
        <w:t>Brian G., Anneliese H. and Patrick M.</w:t>
      </w:r>
    </w:p>
    <w:p w:rsidR="007236A6" w:rsidRPr="003F08AD" w:rsidP="007B0DE3" w14:paraId="4670F463" w14:textId="5D987F21">
      <w:pPr>
        <w:tabs>
          <w:tab w:val="clear" w:pos="720"/>
        </w:tabs>
        <w:spacing w:line="360" w:lineRule="auto"/>
      </w:pPr>
      <w:r w:rsidRPr="003F08AD">
        <w:tab/>
      </w:r>
      <w:r w:rsidRPr="003F08AD" w:rsidR="00F7207F">
        <w:t xml:space="preserve">On </w:t>
      </w:r>
      <w:r w:rsidR="0064786D">
        <w:t>February 7</w:t>
      </w:r>
      <w:r w:rsidRPr="003F08AD" w:rsidR="00F7207F">
        <w:t xml:space="preserve">, 2018, Executive </w:t>
      </w:r>
      <w:r w:rsidR="0064786D">
        <w:t>Vice-Chancellor</w:t>
      </w:r>
      <w:r w:rsidRPr="003F08AD" w:rsidR="006253CA">
        <w:t xml:space="preserve"> (EVC)</w:t>
      </w:r>
      <w:r w:rsidRPr="003F08AD" w:rsidR="00F7207F">
        <w:t xml:space="preserve"> Marlene Tromp notified </w:t>
      </w:r>
      <w:r w:rsidR="007A47B6">
        <w:t>plaintiff</w:t>
      </w:r>
      <w:r w:rsidRPr="003F08AD" w:rsidR="00F7207F">
        <w:t xml:space="preserve"> </w:t>
      </w:r>
      <w:r w:rsidRPr="003F08AD">
        <w:t xml:space="preserve">that </w:t>
      </w:r>
      <w:r w:rsidRPr="003F08AD" w:rsidR="00F7207F">
        <w:t xml:space="preserve">a single investigation of all </w:t>
      </w:r>
      <w:r w:rsidRPr="003F08AD" w:rsidR="00120525">
        <w:t>four complaints</w:t>
      </w:r>
      <w:r w:rsidRPr="003F08AD" w:rsidR="00F7207F">
        <w:t xml:space="preserve"> would go forward</w:t>
      </w:r>
      <w:r w:rsidRPr="003F08AD" w:rsidR="006253CA">
        <w:t xml:space="preserve"> under the </w:t>
      </w:r>
      <w:r w:rsidR="00BA5854">
        <w:t>Title IX office’s</w:t>
      </w:r>
      <w:r w:rsidRPr="003F08AD" w:rsidR="006253CA">
        <w:t xml:space="preserve"> supervision</w:t>
      </w:r>
      <w:r w:rsidRPr="003F08AD" w:rsidR="00F7207F">
        <w:t>.</w:t>
      </w:r>
      <w:r w:rsidRPr="003F08AD" w:rsidR="003B3F03">
        <w:t xml:space="preserve"> </w:t>
      </w:r>
      <w:r w:rsidRPr="003F08AD" w:rsidR="00F7207F">
        <w:t xml:space="preserve"> </w:t>
      </w:r>
      <w:r w:rsidRPr="003F08AD" w:rsidR="00120525">
        <w:t>T</w:t>
      </w:r>
      <w:r w:rsidRPr="003F08AD" w:rsidR="001C38CC">
        <w:t>he</w:t>
      </w:r>
      <w:r w:rsidRPr="003F08AD" w:rsidR="00120525">
        <w:t xml:space="preserve"> </w:t>
      </w:r>
      <w:r w:rsidR="00A21538">
        <w:t>Title IX office</w:t>
      </w:r>
      <w:r w:rsidRPr="003F08AD" w:rsidR="001C38CC">
        <w:t xml:space="preserve"> </w:t>
      </w:r>
      <w:r w:rsidRPr="003F08AD" w:rsidR="00120525">
        <w:t>the</w:t>
      </w:r>
      <w:r w:rsidRPr="003F08AD" w:rsidR="006253CA">
        <w:t xml:space="preserve">reafter </w:t>
      </w:r>
      <w:r w:rsidRPr="003F08AD" w:rsidR="001C38CC">
        <w:t xml:space="preserve">engaged </w:t>
      </w:r>
      <w:r w:rsidRPr="003F08AD" w:rsidR="009916B3">
        <w:t xml:space="preserve">an </w:t>
      </w:r>
      <w:r w:rsidRPr="003F08AD" w:rsidR="003F018E">
        <w:t xml:space="preserve">outside </w:t>
      </w:r>
      <w:r w:rsidRPr="003F08AD" w:rsidR="009916B3">
        <w:t>i</w:t>
      </w:r>
      <w:r w:rsidRPr="003F08AD" w:rsidR="001C38CC">
        <w:t xml:space="preserve">nvestigator to conduct </w:t>
      </w:r>
      <w:r w:rsidRPr="003F08AD" w:rsidR="00F7207F">
        <w:t>th</w:t>
      </w:r>
      <w:r w:rsidRPr="003F08AD" w:rsidR="003F018E">
        <w:t>e</w:t>
      </w:r>
      <w:r w:rsidRPr="003F08AD" w:rsidR="001C38CC">
        <w:t xml:space="preserve"> investigation</w:t>
      </w:r>
      <w:r w:rsidRPr="003F08AD" w:rsidR="00661561">
        <w:t xml:space="preserve"> and draft an investigative report</w:t>
      </w:r>
      <w:r w:rsidRPr="003F08AD" w:rsidR="00F7207F">
        <w:t xml:space="preserve">, </w:t>
      </w:r>
      <w:r w:rsidRPr="003F08AD" w:rsidR="00661561">
        <w:t xml:space="preserve">a process </w:t>
      </w:r>
      <w:r w:rsidR="00A21538">
        <w:t>that took over</w:t>
      </w:r>
      <w:r w:rsidRPr="003F08AD" w:rsidR="00120525">
        <w:t xml:space="preserve"> </w:t>
      </w:r>
      <w:r w:rsidRPr="003F08AD" w:rsidR="001C38CC">
        <w:t>six month</w:t>
      </w:r>
      <w:r w:rsidRPr="003F08AD" w:rsidR="00F7207F">
        <w:t>s</w:t>
      </w:r>
      <w:r w:rsidRPr="003F08AD" w:rsidR="001C38CC">
        <w:t>.</w:t>
      </w:r>
      <w:r>
        <w:rPr>
          <w:rStyle w:val="FootnoteReference"/>
        </w:rPr>
        <w:footnoteReference w:id="4"/>
      </w:r>
    </w:p>
    <w:p w:rsidR="009B3B6A" w:rsidRPr="007A47B6" w:rsidP="007A47B6" w14:paraId="1BEB0668" w14:textId="07F925D1">
      <w:pPr>
        <w:pStyle w:val="ListParagraph"/>
        <w:keepNext/>
        <w:numPr>
          <w:ilvl w:val="0"/>
          <w:numId w:val="1"/>
        </w:numPr>
        <w:tabs>
          <w:tab w:val="clear" w:pos="720"/>
        </w:tabs>
        <w:spacing w:line="360" w:lineRule="auto"/>
        <w:ind w:hanging="720"/>
        <w:rPr>
          <w:b/>
          <w:bCs/>
          <w:i/>
          <w:iCs/>
        </w:rPr>
      </w:pPr>
      <w:r w:rsidRPr="007A47B6">
        <w:rPr>
          <w:b/>
          <w:bCs/>
          <w:i/>
          <w:iCs/>
        </w:rPr>
        <w:t xml:space="preserve">The Allegations </w:t>
      </w:r>
      <w:r w:rsidRPr="003D08E9" w:rsidR="00A21538">
        <w:rPr>
          <w:b/>
          <w:bCs/>
          <w:i/>
          <w:iCs/>
        </w:rPr>
        <w:t>and</w:t>
      </w:r>
      <w:r w:rsidRPr="007A47B6">
        <w:rPr>
          <w:b/>
          <w:bCs/>
          <w:i/>
          <w:iCs/>
        </w:rPr>
        <w:t xml:space="preserve"> Investigative Findings.</w:t>
      </w:r>
    </w:p>
    <w:p w:rsidR="009B3B6A" w:rsidRPr="007A47B6" w:rsidP="003D08E9" w14:paraId="5D976A6F" w14:textId="19858520">
      <w:pPr>
        <w:pStyle w:val="ListParagraph"/>
        <w:keepNext/>
        <w:numPr>
          <w:ilvl w:val="1"/>
          <w:numId w:val="1"/>
        </w:numPr>
        <w:tabs>
          <w:tab w:val="clear" w:pos="720"/>
        </w:tabs>
        <w:spacing w:line="360" w:lineRule="auto"/>
        <w:ind w:left="1440"/>
        <w:rPr>
          <w:b/>
          <w:bCs/>
        </w:rPr>
      </w:pPr>
      <w:r w:rsidRPr="007A47B6">
        <w:rPr>
          <w:b/>
          <w:bCs/>
        </w:rPr>
        <w:t>Jane Doe.</w:t>
      </w:r>
    </w:p>
    <w:p w:rsidR="00925E79" w:rsidRPr="003F08AD" w:rsidP="007A47B6" w14:paraId="1878B8EF" w14:textId="2FA350C9">
      <w:pPr>
        <w:tabs>
          <w:tab w:val="clear" w:pos="720"/>
        </w:tabs>
        <w:spacing w:line="360" w:lineRule="auto"/>
      </w:pPr>
      <w:r w:rsidRPr="003F08AD">
        <w:tab/>
      </w:r>
      <w:r w:rsidRPr="003F08AD" w:rsidR="00306D7F">
        <w:t xml:space="preserve">Jane </w:t>
      </w:r>
      <w:r w:rsidRPr="003F08AD">
        <w:t xml:space="preserve">Doe, a poet and academic from the East Coast, met </w:t>
      </w:r>
      <w:r w:rsidR="002E0CAA">
        <w:t>plaintiff</w:t>
      </w:r>
      <w:r w:rsidRPr="003F08AD">
        <w:t xml:space="preserve"> when she traveled to Berkeley in 2013 to attend the </w:t>
      </w:r>
      <w:r w:rsidRPr="003F08AD" w:rsidR="007E4D67">
        <w:t xml:space="preserve">three-day </w:t>
      </w:r>
      <w:r w:rsidRPr="003F08AD">
        <w:t>East Bay Poetry Summit (Poetry Summit)</w:t>
      </w:r>
      <w:r w:rsidRPr="003F08AD" w:rsidR="006C0A1B">
        <w:t xml:space="preserve">, which </w:t>
      </w:r>
      <w:r w:rsidR="003E65A0">
        <w:t>plaintiff</w:t>
      </w:r>
      <w:r w:rsidRPr="003F08AD" w:rsidR="006C0A1B">
        <w:t xml:space="preserve"> also attended</w:t>
      </w:r>
      <w:r w:rsidRPr="003F08AD">
        <w:t xml:space="preserve">.  </w:t>
      </w:r>
      <w:r w:rsidRPr="003F08AD" w:rsidR="007E4D67">
        <w:t>Doe, a</w:t>
      </w:r>
      <w:r w:rsidRPr="003F08AD" w:rsidR="0093196F">
        <w:t>long with</w:t>
      </w:r>
      <w:r w:rsidRPr="003F08AD" w:rsidR="007E4D67">
        <w:t xml:space="preserve"> a</w:t>
      </w:r>
      <w:r w:rsidRPr="003F08AD" w:rsidR="006C0A1B">
        <w:t xml:space="preserve"> friend and professor</w:t>
      </w:r>
      <w:r w:rsidRPr="003F08AD" w:rsidR="001C2F94">
        <w:t xml:space="preserve"> (</w:t>
      </w:r>
      <w:r w:rsidR="001E05A5">
        <w:t>Witness 1</w:t>
      </w:r>
      <w:r w:rsidRPr="003F08AD" w:rsidR="001C2F94">
        <w:t>)</w:t>
      </w:r>
      <w:r w:rsidRPr="003F08AD" w:rsidR="007E4D67">
        <w:t xml:space="preserve">, </w:t>
      </w:r>
      <w:r w:rsidRPr="003F08AD" w:rsidR="0093196F">
        <w:t>were</w:t>
      </w:r>
      <w:r w:rsidRPr="003F08AD" w:rsidR="007E4D67">
        <w:t xml:space="preserve"> invited to stay </w:t>
      </w:r>
      <w:r w:rsidRPr="003F08AD" w:rsidR="0093196F">
        <w:t>overnight at</w:t>
      </w:r>
      <w:r w:rsidRPr="003F08AD" w:rsidR="007E4D67">
        <w:t xml:space="preserve"> the </w:t>
      </w:r>
      <w:r w:rsidRPr="003F08AD" w:rsidR="0093196F">
        <w:t>home</w:t>
      </w:r>
      <w:r w:rsidRPr="003F08AD" w:rsidR="007E4D67">
        <w:t xml:space="preserve"> of the professor who was hosting the Poetry Summit.  One evening, </w:t>
      </w:r>
      <w:r w:rsidRPr="003F08AD" w:rsidR="0093196F">
        <w:t xml:space="preserve">after the Poetry Summit ended for the day, the professor </w:t>
      </w:r>
      <w:r w:rsidRPr="003F08AD" w:rsidR="007E4D67">
        <w:t>held a</w:t>
      </w:r>
      <w:r w:rsidRPr="003F08AD" w:rsidR="0093196F">
        <w:t xml:space="preserve"> party for attendees at her home.  I</w:t>
      </w:r>
      <w:r w:rsidRPr="003F08AD" w:rsidR="007E4D67">
        <w:t xml:space="preserve">t </w:t>
      </w:r>
      <w:r w:rsidRPr="003F08AD" w:rsidR="0093196F">
        <w:t xml:space="preserve">was a festive affair.  At some point, </w:t>
      </w:r>
      <w:r w:rsidRPr="003F08AD">
        <w:t xml:space="preserve">Doe and </w:t>
      </w:r>
      <w:r w:rsidR="00206786">
        <w:t>plaintiff</w:t>
      </w:r>
      <w:r w:rsidRPr="003F08AD">
        <w:t xml:space="preserve"> were observed kissing. </w:t>
      </w:r>
      <w:r w:rsidRPr="003F08AD" w:rsidR="007E4D67">
        <w:t xml:space="preserve"> After midnight, </w:t>
      </w:r>
      <w:r w:rsidRPr="003F08AD" w:rsidR="0093196F">
        <w:t xml:space="preserve">however, </w:t>
      </w:r>
      <w:r w:rsidRPr="003F08AD">
        <w:t xml:space="preserve">Doe </w:t>
      </w:r>
      <w:r w:rsidRPr="003F08AD" w:rsidR="007E4D67">
        <w:t xml:space="preserve">and </w:t>
      </w:r>
      <w:r w:rsidR="001843F6">
        <w:t>Witness 1</w:t>
      </w:r>
      <w:r w:rsidRPr="003F08AD" w:rsidR="007E4D67">
        <w:t xml:space="preserve"> </w:t>
      </w:r>
      <w:r w:rsidRPr="003F08AD">
        <w:t xml:space="preserve">retired </w:t>
      </w:r>
      <w:r w:rsidRPr="003F08AD" w:rsidR="000718E4">
        <w:t xml:space="preserve">for the evening </w:t>
      </w:r>
      <w:r w:rsidRPr="003F08AD">
        <w:t xml:space="preserve">to the study </w:t>
      </w:r>
      <w:r w:rsidRPr="003F08AD" w:rsidR="0093196F">
        <w:t>where they were s</w:t>
      </w:r>
      <w:r w:rsidRPr="003F08AD" w:rsidR="000718E4">
        <w:t>haring a bed</w:t>
      </w:r>
      <w:r w:rsidRPr="003F08AD" w:rsidR="0093196F">
        <w:t xml:space="preserve">.  </w:t>
      </w:r>
      <w:r w:rsidRPr="003F08AD" w:rsidR="000718E4">
        <w:t>A s</w:t>
      </w:r>
      <w:r w:rsidRPr="003F08AD" w:rsidR="0093196F">
        <w:t>hor</w:t>
      </w:r>
      <w:r w:rsidRPr="003F08AD" w:rsidR="000718E4">
        <w:t>t while later</w:t>
      </w:r>
      <w:r w:rsidRPr="003F08AD">
        <w:t xml:space="preserve">, </w:t>
      </w:r>
      <w:r w:rsidRPr="003F08AD" w:rsidR="001C2F94">
        <w:t>Doe</w:t>
      </w:r>
      <w:r w:rsidRPr="003F08AD">
        <w:t xml:space="preserve"> </w:t>
      </w:r>
      <w:r w:rsidRPr="003F08AD" w:rsidR="001C2F94">
        <w:t>woke up</w:t>
      </w:r>
      <w:r w:rsidRPr="003F08AD">
        <w:t xml:space="preserve"> to find </w:t>
      </w:r>
      <w:r w:rsidR="00761844">
        <w:t>plaintiff</w:t>
      </w:r>
      <w:r w:rsidRPr="003F08AD">
        <w:t xml:space="preserve"> </w:t>
      </w:r>
      <w:r w:rsidRPr="003F08AD" w:rsidR="007E4D67">
        <w:t xml:space="preserve">in </w:t>
      </w:r>
      <w:r w:rsidRPr="003F08AD" w:rsidR="0093196F">
        <w:t>t</w:t>
      </w:r>
      <w:r w:rsidRPr="003F08AD" w:rsidR="007E4D67">
        <w:t>he</w:t>
      </w:r>
      <w:r w:rsidRPr="003F08AD" w:rsidR="0093196F">
        <w:t xml:space="preserve"> </w:t>
      </w:r>
      <w:r w:rsidRPr="003F08AD" w:rsidR="000718E4">
        <w:t>study</w:t>
      </w:r>
      <w:r w:rsidR="00761844">
        <w:t>,</w:t>
      </w:r>
      <w:r w:rsidRPr="003F08AD" w:rsidR="00D13DBF">
        <w:t xml:space="preserve"> drunkenly trying to get in bed and asking </w:t>
      </w:r>
      <w:r w:rsidRPr="003F08AD" w:rsidR="000718E4">
        <w:t xml:space="preserve">to </w:t>
      </w:r>
      <w:r w:rsidRPr="003F08AD" w:rsidR="00D13DBF">
        <w:t>have sex with h</w:t>
      </w:r>
      <w:r w:rsidRPr="003F08AD" w:rsidR="000718E4">
        <w:t>er</w:t>
      </w:r>
      <w:r w:rsidRPr="003F08AD" w:rsidR="00D13DBF">
        <w:t>.</w:t>
      </w:r>
      <w:r w:rsidRPr="003F08AD">
        <w:t xml:space="preserve">  She </w:t>
      </w:r>
      <w:r w:rsidRPr="003F08AD" w:rsidR="0093196F">
        <w:t>told</w:t>
      </w:r>
      <w:r w:rsidRPr="003F08AD">
        <w:t xml:space="preserve"> </w:t>
      </w:r>
      <w:r w:rsidR="00D33053">
        <w:t>plaintiff</w:t>
      </w:r>
      <w:r w:rsidRPr="003F08AD">
        <w:t xml:space="preserve"> that she was not interested in sexual activity and </w:t>
      </w:r>
      <w:r w:rsidR="00D33053">
        <w:t>“ ‘shooed’ ”</w:t>
      </w:r>
      <w:r w:rsidRPr="003F08AD">
        <w:t xml:space="preserve"> him from the room.  </w:t>
      </w:r>
      <w:r w:rsidRPr="003F08AD" w:rsidR="0093196F">
        <w:t>Nonetheless, a</w:t>
      </w:r>
      <w:r w:rsidRPr="003F08AD" w:rsidR="007E4D67">
        <w:t xml:space="preserve">round </w:t>
      </w:r>
      <w:r w:rsidR="00D33053">
        <w:t>2:00 a.m.</w:t>
      </w:r>
      <w:r w:rsidRPr="003F08AD">
        <w:t xml:space="preserve">, Doe </w:t>
      </w:r>
      <w:r w:rsidRPr="003F08AD" w:rsidR="0093196F">
        <w:t>woke up</w:t>
      </w:r>
      <w:r w:rsidRPr="003F08AD">
        <w:t xml:space="preserve"> again to find </w:t>
      </w:r>
      <w:r w:rsidR="00D33053">
        <w:t>plaintiff</w:t>
      </w:r>
      <w:r w:rsidRPr="003F08AD">
        <w:t xml:space="preserve"> naked</w:t>
      </w:r>
      <w:r w:rsidRPr="003F08AD" w:rsidR="0093196F">
        <w:t xml:space="preserve"> and</w:t>
      </w:r>
      <w:r w:rsidRPr="003F08AD">
        <w:t xml:space="preserve"> “loom[ing] over her while she lay in bed.”  </w:t>
      </w:r>
      <w:r w:rsidR="00C432FB">
        <w:t>Plaintiff</w:t>
      </w:r>
      <w:r w:rsidRPr="003F08AD" w:rsidR="00D13DBF">
        <w:t xml:space="preserve"> climbed in</w:t>
      </w:r>
      <w:r w:rsidRPr="003F08AD" w:rsidR="00B402B1">
        <w:t>to</w:t>
      </w:r>
      <w:r w:rsidRPr="003F08AD" w:rsidR="00D13DBF">
        <w:t xml:space="preserve"> bed, and Doe could feel his penis poking into her side.  </w:t>
      </w:r>
      <w:r w:rsidRPr="003F08AD">
        <w:t xml:space="preserve">Doe and </w:t>
      </w:r>
      <w:r w:rsidR="00C432FB">
        <w:t>Witness 1</w:t>
      </w:r>
      <w:r w:rsidRPr="003F08AD" w:rsidR="006C0A1B">
        <w:t xml:space="preserve"> forced</w:t>
      </w:r>
      <w:r w:rsidRPr="003F08AD" w:rsidR="00B402B1">
        <w:t xml:space="preserve"> </w:t>
      </w:r>
      <w:r w:rsidR="00C432FB">
        <w:t>plaintiff</w:t>
      </w:r>
      <w:r w:rsidRPr="003F08AD">
        <w:t xml:space="preserve"> </w:t>
      </w:r>
      <w:r w:rsidRPr="003F08AD" w:rsidR="007E4D67">
        <w:t>from</w:t>
      </w:r>
      <w:r w:rsidRPr="003F08AD">
        <w:t xml:space="preserve"> the room</w:t>
      </w:r>
      <w:r w:rsidRPr="003F08AD" w:rsidR="0093196F">
        <w:t xml:space="preserve"> and</w:t>
      </w:r>
      <w:r w:rsidRPr="003F08AD">
        <w:t>, this time</w:t>
      </w:r>
      <w:r w:rsidRPr="003F08AD" w:rsidR="0093196F">
        <w:t>,</w:t>
      </w:r>
      <w:r w:rsidRPr="003F08AD">
        <w:t xml:space="preserve"> barricad</w:t>
      </w:r>
      <w:r w:rsidRPr="003F08AD" w:rsidR="0093196F">
        <w:t>ed</w:t>
      </w:r>
      <w:r w:rsidRPr="003F08AD">
        <w:t xml:space="preserve"> the door with furniture so he could not return.</w:t>
      </w:r>
    </w:p>
    <w:p w:rsidR="00E45FF9" w:rsidRPr="003F08AD" w:rsidP="007A47B6" w14:paraId="713997AC" w14:textId="6D683DA1">
      <w:pPr>
        <w:tabs>
          <w:tab w:val="clear" w:pos="720"/>
        </w:tabs>
        <w:spacing w:line="360" w:lineRule="auto"/>
      </w:pPr>
      <w:r w:rsidRPr="003F08AD">
        <w:tab/>
      </w:r>
      <w:r w:rsidRPr="003F08AD" w:rsidR="001872B8">
        <w:t xml:space="preserve">After </w:t>
      </w:r>
      <w:r w:rsidRPr="003F08AD" w:rsidR="006C0A1B">
        <w:t xml:space="preserve">completing the Doe </w:t>
      </w:r>
      <w:r w:rsidRPr="003F08AD" w:rsidR="001872B8">
        <w:t xml:space="preserve">investigation, the investigator found </w:t>
      </w:r>
      <w:r w:rsidR="00A73DE4">
        <w:t>plaintiff</w:t>
      </w:r>
      <w:r w:rsidRPr="003F08AD" w:rsidR="001872B8">
        <w:t xml:space="preserve"> engaged in “unwelcome physical conduct of a sexual nature which is conduct that falls squarely within the definition of prohibited conduct under the University of California Policy on Sexual Harassment dated </w:t>
      </w:r>
      <w:r w:rsidR="00A73DE4">
        <w:t>February 10</w:t>
      </w:r>
      <w:r w:rsidRPr="003F08AD" w:rsidR="001872B8">
        <w:t xml:space="preserve">, 2006, the policy in effect at the time of the incident.”  However, </w:t>
      </w:r>
      <w:r w:rsidRPr="003F08AD" w:rsidR="00B402B1">
        <w:t>the investigator could not substantiate a</w:t>
      </w:r>
      <w:r w:rsidRPr="003F08AD" w:rsidR="001872B8">
        <w:t xml:space="preserve"> violation of this policy</w:t>
      </w:r>
      <w:r w:rsidRPr="003F08AD" w:rsidR="00B402B1">
        <w:t xml:space="preserve"> because it only applied to</w:t>
      </w:r>
      <w:r w:rsidRPr="003F08AD" w:rsidR="001872B8">
        <w:t xml:space="preserve"> </w:t>
      </w:r>
      <w:r w:rsidR="008342A4">
        <w:t>“ ‘member[s]</w:t>
      </w:r>
      <w:r w:rsidRPr="003F08AD" w:rsidR="001872B8">
        <w:t xml:space="preserve"> of the University </w:t>
      </w:r>
      <w:r w:rsidR="008342A4">
        <w:t>community.’ ”</w:t>
      </w:r>
    </w:p>
    <w:p w:rsidR="00DC38CA" w:rsidRPr="00CE7CFE" w:rsidP="00CE7CFE" w14:paraId="31B7194D" w14:textId="6847E7CC">
      <w:pPr>
        <w:pStyle w:val="ListParagraph"/>
        <w:keepNext/>
        <w:numPr>
          <w:ilvl w:val="1"/>
          <w:numId w:val="1"/>
        </w:numPr>
        <w:tabs>
          <w:tab w:val="clear" w:pos="720"/>
        </w:tabs>
        <w:spacing w:line="360" w:lineRule="auto"/>
        <w:ind w:left="1440"/>
        <w:rPr>
          <w:b/>
          <w:bCs/>
        </w:rPr>
      </w:pPr>
      <w:r>
        <w:rPr>
          <w:b/>
          <w:bCs/>
        </w:rPr>
        <w:t>Anneliese H.</w:t>
      </w:r>
    </w:p>
    <w:p w:rsidR="00394B03" w:rsidRPr="003F08AD" w:rsidP="00CE7CFE" w14:paraId="4398E117" w14:textId="7C51B1F8">
      <w:pPr>
        <w:tabs>
          <w:tab w:val="clear" w:pos="720"/>
        </w:tabs>
        <w:spacing w:line="360" w:lineRule="auto"/>
      </w:pPr>
      <w:r w:rsidRPr="003F08AD">
        <w:tab/>
      </w:r>
      <w:r w:rsidR="008342A4">
        <w:t>Anneliese H.</w:t>
      </w:r>
      <w:r w:rsidRPr="003F08AD" w:rsidR="00DC38CA">
        <w:t xml:space="preserve"> </w:t>
      </w:r>
      <w:r w:rsidRPr="003F08AD" w:rsidR="006C0A1B">
        <w:t xml:space="preserve">walked in her UCSC class </w:t>
      </w:r>
      <w:r w:rsidRPr="003F08AD" w:rsidR="00EB12B4">
        <w:t>graduat</w:t>
      </w:r>
      <w:r w:rsidRPr="003F08AD" w:rsidR="006C0A1B">
        <w:t>ion</w:t>
      </w:r>
      <w:r w:rsidRPr="003F08AD" w:rsidR="00EB12B4">
        <w:t xml:space="preserve"> on </w:t>
      </w:r>
      <w:r w:rsidR="00DA6FAB">
        <w:t>June 16</w:t>
      </w:r>
      <w:r w:rsidRPr="003F08AD" w:rsidR="00EB12B4">
        <w:t>, 2013</w:t>
      </w:r>
      <w:r w:rsidRPr="003F08AD" w:rsidR="00DC38CA">
        <w:t>.</w:t>
      </w:r>
      <w:r w:rsidRPr="003F08AD" w:rsidR="00E02D1B">
        <w:t xml:space="preserve"> </w:t>
      </w:r>
      <w:r w:rsidRPr="003F08AD" w:rsidR="00EB12B4">
        <w:t xml:space="preserve"> </w:t>
      </w:r>
      <w:r w:rsidRPr="003F08AD" w:rsidR="006E66D2">
        <w:t>D</w:t>
      </w:r>
      <w:r w:rsidRPr="003F08AD" w:rsidR="00EB12B4">
        <w:t xml:space="preserve">ays later, </w:t>
      </w:r>
      <w:r w:rsidRPr="003F08AD" w:rsidR="00D04AA8">
        <w:t xml:space="preserve">on </w:t>
      </w:r>
      <w:r w:rsidR="00C40A4B">
        <w:t>June 18</w:t>
      </w:r>
      <w:r w:rsidRPr="003F08AD" w:rsidR="00D04AA8">
        <w:t>, 20</w:t>
      </w:r>
      <w:r w:rsidRPr="003F08AD" w:rsidR="006E66D2">
        <w:t>1</w:t>
      </w:r>
      <w:r w:rsidRPr="003F08AD" w:rsidR="00D04AA8">
        <w:t xml:space="preserve">3, </w:t>
      </w:r>
      <w:r w:rsidR="003B6EDF">
        <w:t>Anneliese</w:t>
      </w:r>
      <w:r w:rsidRPr="003F08AD" w:rsidR="00EB12B4">
        <w:t xml:space="preserve"> attended a graduation party </w:t>
      </w:r>
      <w:r w:rsidRPr="003F08AD" w:rsidR="006E66D2">
        <w:t>at the off-campus apartment of</w:t>
      </w:r>
      <w:r w:rsidRPr="003F08AD" w:rsidR="00EB12B4">
        <w:t xml:space="preserve"> </w:t>
      </w:r>
      <w:r w:rsidRPr="003F08AD" w:rsidR="00CF63F6">
        <w:t>he</w:t>
      </w:r>
      <w:r w:rsidRPr="003F08AD" w:rsidR="006E66D2">
        <w:t>r friend and neighbor</w:t>
      </w:r>
      <w:r w:rsidRPr="003F08AD" w:rsidR="00862C8B">
        <w:t>, who was a UCSC student</w:t>
      </w:r>
      <w:r w:rsidRPr="003F08AD" w:rsidR="00CF63F6">
        <w:t xml:space="preserve"> </w:t>
      </w:r>
      <w:r w:rsidR="00E35FF0">
        <w:t>(Friend 1)</w:t>
      </w:r>
      <w:r w:rsidRPr="003F08AD" w:rsidR="006E66D2">
        <w:t xml:space="preserve">.  There, she met </w:t>
      </w:r>
      <w:r w:rsidR="001E7FB3">
        <w:t>plaintiff</w:t>
      </w:r>
      <w:r w:rsidRPr="003F08AD" w:rsidR="006E66D2">
        <w:t xml:space="preserve"> for the first time</w:t>
      </w:r>
      <w:r w:rsidRPr="003F08AD" w:rsidR="00D37C02">
        <w:t xml:space="preserve"> without realizing he was a professor</w:t>
      </w:r>
      <w:r w:rsidRPr="003F08AD" w:rsidR="006E66D2">
        <w:t>.</w:t>
      </w:r>
      <w:r w:rsidRPr="003F08AD" w:rsidR="00D37C02">
        <w:t xml:space="preserve"> </w:t>
      </w:r>
      <w:r w:rsidRPr="003F08AD" w:rsidR="006E66D2">
        <w:t xml:space="preserve"> </w:t>
      </w:r>
      <w:r w:rsidR="001E7FB3">
        <w:t>Friend 1</w:t>
      </w:r>
      <w:r w:rsidRPr="003F08AD" w:rsidR="006E66D2">
        <w:t xml:space="preserve"> had audited one of </w:t>
      </w:r>
      <w:r w:rsidR="003F1808">
        <w:t>plaintiff’s</w:t>
      </w:r>
      <w:r w:rsidRPr="003F08AD" w:rsidR="006E66D2">
        <w:t xml:space="preserve"> classes and invited him to the party in an effort to obtain his mentorship.  As the evening progressed, </w:t>
      </w:r>
      <w:r w:rsidR="003F1808">
        <w:t>plaintiff</w:t>
      </w:r>
      <w:r w:rsidRPr="003F08AD" w:rsidR="00B676EE">
        <w:t xml:space="preserve"> </w:t>
      </w:r>
      <w:r w:rsidRPr="003F08AD" w:rsidR="00B26E9E">
        <w:t xml:space="preserve">danced and flirted with both </w:t>
      </w:r>
      <w:r w:rsidR="003F1808">
        <w:t>Anneliese and Friend 1</w:t>
      </w:r>
      <w:r w:rsidRPr="003F08AD" w:rsidR="00B26E9E">
        <w:t xml:space="preserve">.  </w:t>
      </w:r>
      <w:r w:rsidR="003F1808">
        <w:t>Ann</w:t>
      </w:r>
      <w:r w:rsidR="00426983">
        <w:t>e</w:t>
      </w:r>
      <w:r w:rsidR="003F1808">
        <w:t>liese</w:t>
      </w:r>
      <w:r w:rsidRPr="003F08AD" w:rsidR="006E66D2">
        <w:t xml:space="preserve">, who was quite intoxicated, </w:t>
      </w:r>
      <w:r w:rsidRPr="003F08AD" w:rsidR="00D04AA8">
        <w:t xml:space="preserve">began to feel nauseous and </w:t>
      </w:r>
      <w:r w:rsidR="00273B2C">
        <w:t>“ ‘on</w:t>
      </w:r>
      <w:r w:rsidRPr="003F08AD" w:rsidR="00D04AA8">
        <w:t xml:space="preserve"> the verge of blacking out or browning </w:t>
      </w:r>
      <w:r w:rsidR="00273B2C">
        <w:t>out.’ ”  Plaintiff</w:t>
      </w:r>
      <w:r w:rsidRPr="003F08AD">
        <w:t xml:space="preserve"> offered to walk </w:t>
      </w:r>
      <w:r w:rsidRPr="003F08AD" w:rsidR="00B676EE">
        <w:t>her</w:t>
      </w:r>
      <w:r w:rsidRPr="003F08AD">
        <w:t xml:space="preserve"> home.  </w:t>
      </w:r>
      <w:r w:rsidR="00273B2C">
        <w:t>Ann</w:t>
      </w:r>
      <w:r w:rsidR="00426983">
        <w:t>e</w:t>
      </w:r>
      <w:r w:rsidR="00273B2C">
        <w:t>liese</w:t>
      </w:r>
      <w:r w:rsidRPr="003F08AD" w:rsidR="006E66D2">
        <w:t xml:space="preserve"> agreed and, after </w:t>
      </w:r>
      <w:r w:rsidRPr="003F08AD">
        <w:t>arriv</w:t>
      </w:r>
      <w:r w:rsidRPr="003F08AD" w:rsidR="006E66D2">
        <w:t>ing</w:t>
      </w:r>
      <w:r w:rsidRPr="003F08AD">
        <w:t xml:space="preserve"> at her </w:t>
      </w:r>
      <w:r w:rsidR="00F77E90">
        <w:t>home</w:t>
      </w:r>
      <w:r w:rsidRPr="003F08AD">
        <w:t xml:space="preserve">, </w:t>
      </w:r>
      <w:r w:rsidRPr="003F08AD" w:rsidR="00862C8B">
        <w:t xml:space="preserve">she </w:t>
      </w:r>
      <w:r w:rsidRPr="003F08AD">
        <w:t xml:space="preserve">invited </w:t>
      </w:r>
      <w:r w:rsidRPr="003F08AD" w:rsidR="006E66D2">
        <w:t>him</w:t>
      </w:r>
      <w:r w:rsidRPr="003F08AD">
        <w:t xml:space="preserve"> inside.  </w:t>
      </w:r>
      <w:r w:rsidR="00F77E90">
        <w:t>Plaintiff</w:t>
      </w:r>
      <w:r w:rsidRPr="003F08AD">
        <w:t xml:space="preserve"> initiated sexual activity, but </w:t>
      </w:r>
      <w:r w:rsidR="00F77E90">
        <w:t>Ann</w:t>
      </w:r>
      <w:r w:rsidR="00426983">
        <w:t>e</w:t>
      </w:r>
      <w:r w:rsidR="00F77E90">
        <w:t>liese</w:t>
      </w:r>
      <w:r w:rsidRPr="003F08AD">
        <w:t xml:space="preserve"> insisted she only wanted to talk</w:t>
      </w:r>
      <w:r w:rsidRPr="003F08AD" w:rsidR="00B676EE">
        <w:t xml:space="preserve"> to him</w:t>
      </w:r>
      <w:r w:rsidRPr="003F08AD">
        <w:t xml:space="preserve">.  </w:t>
      </w:r>
      <w:r w:rsidRPr="003F08AD" w:rsidR="006E66D2">
        <w:t>Although</w:t>
      </w:r>
      <w:r w:rsidRPr="003F08AD" w:rsidR="00B676EE">
        <w:t xml:space="preserve"> </w:t>
      </w:r>
      <w:r w:rsidR="00F77E90">
        <w:t>Ann</w:t>
      </w:r>
      <w:r w:rsidR="00426983">
        <w:t>e</w:t>
      </w:r>
      <w:r w:rsidR="00F77E90">
        <w:t>liese</w:t>
      </w:r>
      <w:r w:rsidRPr="003F08AD" w:rsidR="00B676EE">
        <w:t xml:space="preserve"> </w:t>
      </w:r>
      <w:r w:rsidRPr="003F08AD" w:rsidR="006E66D2">
        <w:t xml:space="preserve">acknowledged </w:t>
      </w:r>
      <w:r w:rsidRPr="003F08AD" w:rsidR="00C36D95">
        <w:t>experienc</w:t>
      </w:r>
      <w:r w:rsidRPr="003F08AD" w:rsidR="006E66D2">
        <w:t>ing</w:t>
      </w:r>
      <w:r w:rsidRPr="003F08AD" w:rsidR="00B676EE">
        <w:t xml:space="preserve"> </w:t>
      </w:r>
      <w:r w:rsidRPr="003F08AD" w:rsidR="00D04AA8">
        <w:t>memory lapses</w:t>
      </w:r>
      <w:r w:rsidRPr="003F08AD" w:rsidR="00B676EE">
        <w:t xml:space="preserve"> </w:t>
      </w:r>
      <w:r w:rsidRPr="003F08AD" w:rsidR="00C36D95">
        <w:t>after arriving home, she</w:t>
      </w:r>
      <w:r w:rsidRPr="003F08AD" w:rsidR="00D04AA8">
        <w:t xml:space="preserve"> </w:t>
      </w:r>
      <w:r w:rsidRPr="003F08AD">
        <w:t xml:space="preserve">recalled </w:t>
      </w:r>
      <w:r w:rsidRPr="003F08AD" w:rsidR="00D04AA8">
        <w:t xml:space="preserve">being undressed in bed </w:t>
      </w:r>
      <w:r w:rsidRPr="003F08AD" w:rsidR="00862C8B">
        <w:t xml:space="preserve">and </w:t>
      </w:r>
      <w:r w:rsidRPr="003F08AD" w:rsidR="00D04AA8">
        <w:t xml:space="preserve">kissing </w:t>
      </w:r>
      <w:r w:rsidR="00F77E90">
        <w:t>plaintiff</w:t>
      </w:r>
      <w:r w:rsidRPr="003F08AD" w:rsidR="00D04AA8">
        <w:t>.  The</w:t>
      </w:r>
      <w:r w:rsidRPr="003F08AD" w:rsidR="006E66D2">
        <w:t xml:space="preserve">n, after another memory lapse, </w:t>
      </w:r>
      <w:r w:rsidRPr="003F08AD" w:rsidR="00D04AA8">
        <w:t xml:space="preserve">she </w:t>
      </w:r>
      <w:r w:rsidR="00395A84">
        <w:t>“ ‘came to,’ ”</w:t>
      </w:r>
      <w:r w:rsidRPr="003F08AD">
        <w:t xml:space="preserve"> </w:t>
      </w:r>
      <w:r w:rsidRPr="003F08AD" w:rsidR="006E66D2">
        <w:t>to</w:t>
      </w:r>
      <w:r w:rsidRPr="003F08AD">
        <w:t xml:space="preserve"> f</w:t>
      </w:r>
      <w:r w:rsidRPr="003F08AD" w:rsidR="00946842">
        <w:t>ind</w:t>
      </w:r>
      <w:r w:rsidRPr="003F08AD">
        <w:t xml:space="preserve"> </w:t>
      </w:r>
      <w:r w:rsidR="00395A84">
        <w:t>plaintiff</w:t>
      </w:r>
      <w:r w:rsidRPr="003F08AD">
        <w:t xml:space="preserve"> on top of her</w:t>
      </w:r>
      <w:r w:rsidR="00395A84">
        <w:t>,</w:t>
      </w:r>
      <w:r w:rsidRPr="003F08AD">
        <w:t xml:space="preserve"> </w:t>
      </w:r>
      <w:r w:rsidRPr="003F08AD" w:rsidR="004B372D">
        <w:t>performing</w:t>
      </w:r>
      <w:r w:rsidRPr="003F08AD">
        <w:t xml:space="preserve"> </w:t>
      </w:r>
      <w:r w:rsidRPr="003F08AD" w:rsidR="00C36D95">
        <w:t xml:space="preserve">oral </w:t>
      </w:r>
      <w:r w:rsidRPr="003F08AD">
        <w:t xml:space="preserve">sex.  </w:t>
      </w:r>
      <w:r w:rsidR="00395A84">
        <w:t>Ann</w:t>
      </w:r>
      <w:r w:rsidR="00426983">
        <w:t>e</w:t>
      </w:r>
      <w:r w:rsidR="00395A84">
        <w:t>liese</w:t>
      </w:r>
      <w:r w:rsidRPr="003F08AD">
        <w:t xml:space="preserve"> </w:t>
      </w:r>
      <w:r w:rsidRPr="003F08AD" w:rsidR="00D37C02">
        <w:t xml:space="preserve">repeatedly </w:t>
      </w:r>
      <w:r w:rsidRPr="003F08AD">
        <w:t xml:space="preserve">told </w:t>
      </w:r>
      <w:r w:rsidR="002929E7">
        <w:t>plaintiff, “ ‘You need to leave,’ ” and</w:t>
      </w:r>
      <w:r w:rsidR="00BF43B2">
        <w:t>,</w:t>
      </w:r>
      <w:r w:rsidR="002929E7">
        <w:t xml:space="preserve"> “ ‘I</w:t>
      </w:r>
      <w:r w:rsidRPr="003F08AD" w:rsidR="00F22BD6">
        <w:t xml:space="preserve"> do not want to have sex with </w:t>
      </w:r>
      <w:r w:rsidR="002929E7">
        <w:t>you,’ ”</w:t>
      </w:r>
      <w:r w:rsidRPr="003F08AD" w:rsidR="00C36D95">
        <w:t xml:space="preserve"> yet he</w:t>
      </w:r>
      <w:r w:rsidRPr="003F08AD">
        <w:t xml:space="preserve"> persisted</w:t>
      </w:r>
      <w:r w:rsidRPr="003F08AD" w:rsidR="00C36D95">
        <w:t xml:space="preserve">.  </w:t>
      </w:r>
      <w:r w:rsidR="00D96913">
        <w:t>Plaintiff told Ann</w:t>
      </w:r>
      <w:r w:rsidR="00426983">
        <w:t>e</w:t>
      </w:r>
      <w:r w:rsidR="00D96913">
        <w:t>liese</w:t>
      </w:r>
      <w:r w:rsidRPr="003F08AD">
        <w:t xml:space="preserve"> that he wanted to have </w:t>
      </w:r>
      <w:r w:rsidRPr="003F08AD" w:rsidR="00D37C02">
        <w:t>anal sex</w:t>
      </w:r>
      <w:r w:rsidRPr="003F08AD">
        <w:t xml:space="preserve"> with her.  </w:t>
      </w:r>
      <w:r w:rsidR="00D96913">
        <w:t>Ann</w:t>
      </w:r>
      <w:r w:rsidR="00426983">
        <w:t>e</w:t>
      </w:r>
      <w:r w:rsidR="00D96913">
        <w:t>liese</w:t>
      </w:r>
      <w:r w:rsidRPr="003F08AD" w:rsidR="00F22BD6">
        <w:t xml:space="preserve"> was scared</w:t>
      </w:r>
      <w:r w:rsidRPr="003F08AD" w:rsidR="00D37C02">
        <w:t>, as</w:t>
      </w:r>
      <w:r w:rsidRPr="003F08AD" w:rsidR="00946842">
        <w:t xml:space="preserve"> </w:t>
      </w:r>
      <w:r w:rsidR="00D96913">
        <w:t>plaintiff</w:t>
      </w:r>
      <w:r w:rsidRPr="003F08AD" w:rsidR="00F22BD6">
        <w:t xml:space="preserve"> was bigger and stronger</w:t>
      </w:r>
      <w:r w:rsidRPr="003F08AD" w:rsidR="00D37C02">
        <w:t xml:space="preserve"> than her</w:t>
      </w:r>
      <w:r w:rsidRPr="003F08AD" w:rsidR="00F22BD6">
        <w:t xml:space="preserve">.  </w:t>
      </w:r>
      <w:r w:rsidRPr="003F08AD">
        <w:t xml:space="preserve">Finally, </w:t>
      </w:r>
      <w:r w:rsidRPr="003F08AD" w:rsidR="00682AFB">
        <w:t xml:space="preserve">after </w:t>
      </w:r>
      <w:r w:rsidR="00D96913">
        <w:t>Ann</w:t>
      </w:r>
      <w:r w:rsidR="00426983">
        <w:t>e</w:t>
      </w:r>
      <w:r w:rsidR="00D96913">
        <w:t>liese</w:t>
      </w:r>
      <w:r w:rsidRPr="003F08AD" w:rsidR="001D60B2">
        <w:t xml:space="preserve"> </w:t>
      </w:r>
      <w:r w:rsidRPr="003F08AD" w:rsidR="00682AFB">
        <w:t>push</w:t>
      </w:r>
      <w:r w:rsidRPr="003F08AD" w:rsidR="001D60B2">
        <w:t>ed</w:t>
      </w:r>
      <w:r w:rsidRPr="003F08AD" w:rsidR="00682AFB">
        <w:t xml:space="preserve"> him away several times, </w:t>
      </w:r>
      <w:r w:rsidR="00D96913">
        <w:t>plaintiff</w:t>
      </w:r>
      <w:r w:rsidRPr="003F08AD">
        <w:t xml:space="preserve"> </w:t>
      </w:r>
      <w:r w:rsidRPr="003F08AD" w:rsidR="001D60B2">
        <w:t xml:space="preserve">got </w:t>
      </w:r>
      <w:r w:rsidRPr="003F08AD" w:rsidR="00D37C02">
        <w:t>up</w:t>
      </w:r>
      <w:r w:rsidRPr="003F08AD" w:rsidR="001D60B2">
        <w:t xml:space="preserve"> and</w:t>
      </w:r>
      <w:r w:rsidRPr="003F08AD">
        <w:t xml:space="preserve"> le</w:t>
      </w:r>
      <w:r w:rsidRPr="003F08AD" w:rsidR="001D60B2">
        <w:t>ft</w:t>
      </w:r>
      <w:r w:rsidRPr="003F08AD">
        <w:t>.</w:t>
      </w:r>
    </w:p>
    <w:p w:rsidR="00957D6C" w:rsidRPr="003F08AD" w:rsidP="00CE7CFE" w14:paraId="6F4F8BD8" w14:textId="3CFAF660">
      <w:pPr>
        <w:tabs>
          <w:tab w:val="clear" w:pos="720"/>
        </w:tabs>
        <w:spacing w:line="360" w:lineRule="auto"/>
      </w:pPr>
      <w:r w:rsidRPr="003F08AD">
        <w:tab/>
        <w:t xml:space="preserve">The next day, </w:t>
      </w:r>
      <w:r w:rsidR="00D96913">
        <w:t>Ann</w:t>
      </w:r>
      <w:r w:rsidR="00426983">
        <w:t>e</w:t>
      </w:r>
      <w:r w:rsidR="00D96913">
        <w:t>liese</w:t>
      </w:r>
      <w:r w:rsidRPr="003F08AD">
        <w:t xml:space="preserve"> </w:t>
      </w:r>
      <w:r w:rsidRPr="003F08AD" w:rsidR="00C36D95">
        <w:t>woke up</w:t>
      </w:r>
      <w:r w:rsidRPr="003F08AD">
        <w:t xml:space="preserve"> devastated</w:t>
      </w:r>
      <w:r w:rsidRPr="003F08AD" w:rsidR="00C36D95">
        <w:t xml:space="preserve"> by what </w:t>
      </w:r>
      <w:r w:rsidR="00D96913">
        <w:t xml:space="preserve">happened with plaintiff.  </w:t>
      </w:r>
      <w:r w:rsidR="001B3819">
        <w:t>Ann</w:t>
      </w:r>
      <w:r w:rsidR="00426983">
        <w:t>e</w:t>
      </w:r>
      <w:r w:rsidR="001B3819">
        <w:t>liese’s friend (Friend 2)</w:t>
      </w:r>
      <w:r w:rsidRPr="003F08AD" w:rsidR="00682AFB">
        <w:t xml:space="preserve">, also a UCSC student, </w:t>
      </w:r>
      <w:r w:rsidR="001B3819">
        <w:t>went to Ann</w:t>
      </w:r>
      <w:r w:rsidR="00D83D66">
        <w:t>e</w:t>
      </w:r>
      <w:r w:rsidR="001B3819">
        <w:t>liese’s</w:t>
      </w:r>
      <w:r w:rsidR="006728EB">
        <w:t xml:space="preserve"> h</w:t>
      </w:r>
      <w:r w:rsidR="00CE2CE0">
        <w:t>ome</w:t>
      </w:r>
      <w:r w:rsidR="006728EB">
        <w:t>,</w:t>
      </w:r>
      <w:r w:rsidRPr="003F08AD" w:rsidR="00682AFB">
        <w:t xml:space="preserve"> and they discussed </w:t>
      </w:r>
      <w:r w:rsidRPr="003F08AD" w:rsidR="008C2DC6">
        <w:t>the incident</w:t>
      </w:r>
      <w:r w:rsidRPr="003F08AD" w:rsidR="00682AFB">
        <w:t xml:space="preserve">.  </w:t>
      </w:r>
      <w:r w:rsidRPr="003F08AD" w:rsidR="00B402B1">
        <w:t xml:space="preserve">When </w:t>
      </w:r>
      <w:r w:rsidR="006728EB">
        <w:t>Friend 2 told Ann</w:t>
      </w:r>
      <w:r w:rsidR="00D83D66">
        <w:t>e</w:t>
      </w:r>
      <w:r w:rsidR="006728EB">
        <w:t>liese that plaintiff</w:t>
      </w:r>
      <w:r w:rsidRPr="003F08AD" w:rsidR="00682AFB">
        <w:t xml:space="preserve"> may have been </w:t>
      </w:r>
      <w:r w:rsidRPr="003F08AD" w:rsidR="00B402B1">
        <w:t>a</w:t>
      </w:r>
      <w:r w:rsidRPr="003F08AD" w:rsidR="00682AFB">
        <w:t xml:space="preserve"> professor</w:t>
      </w:r>
      <w:r w:rsidRPr="003F08AD" w:rsidR="008C2DC6">
        <w:t xml:space="preserve">, </w:t>
      </w:r>
      <w:r w:rsidRPr="003F08AD" w:rsidR="00B402B1">
        <w:t>she was</w:t>
      </w:r>
      <w:r w:rsidRPr="003F08AD" w:rsidR="008C2DC6">
        <w:t xml:space="preserve"> </w:t>
      </w:r>
      <w:r w:rsidR="006728EB">
        <w:t>“ ‘traumatized.’ ”</w:t>
      </w:r>
    </w:p>
    <w:p w:rsidR="008C2DC6" w:rsidRPr="003F08AD" w:rsidP="00CE7CFE" w14:paraId="596B911F" w14:textId="07795098">
      <w:pPr>
        <w:tabs>
          <w:tab w:val="clear" w:pos="720"/>
        </w:tabs>
        <w:spacing w:line="360" w:lineRule="auto"/>
      </w:pPr>
      <w:r w:rsidRPr="003F08AD">
        <w:tab/>
      </w:r>
      <w:r w:rsidRPr="003F08AD" w:rsidR="00B402B1">
        <w:t xml:space="preserve">About </w:t>
      </w:r>
      <w:r w:rsidRPr="003F08AD" w:rsidR="00682AFB">
        <w:t>a week</w:t>
      </w:r>
      <w:r w:rsidRPr="003F08AD" w:rsidR="00B402B1">
        <w:t xml:space="preserve"> later</w:t>
      </w:r>
      <w:r w:rsidRPr="003F08AD">
        <w:t xml:space="preserve">, </w:t>
      </w:r>
      <w:r w:rsidR="006728EB">
        <w:t>Ann</w:t>
      </w:r>
      <w:r w:rsidR="00D83D66">
        <w:t>e</w:t>
      </w:r>
      <w:r w:rsidR="006728EB">
        <w:t>liese told Friend 1</w:t>
      </w:r>
      <w:r w:rsidRPr="003F08AD">
        <w:t xml:space="preserve"> w</w:t>
      </w:r>
      <w:r w:rsidRPr="003F08AD" w:rsidR="00682AFB">
        <w:t xml:space="preserve">hat happened with </w:t>
      </w:r>
      <w:r w:rsidR="006728EB">
        <w:t>plaintiff.</w:t>
      </w:r>
      <w:r w:rsidRPr="003F08AD" w:rsidR="00925E79">
        <w:t xml:space="preserve"> </w:t>
      </w:r>
      <w:r w:rsidRPr="003F08AD" w:rsidR="009B3B6A">
        <w:t xml:space="preserve"> </w:t>
      </w:r>
      <w:r w:rsidR="006728EB">
        <w:t>Friend 1</w:t>
      </w:r>
      <w:r w:rsidRPr="003F08AD">
        <w:t xml:space="preserve"> then shared</w:t>
      </w:r>
      <w:r w:rsidRPr="003F08AD" w:rsidR="005F275A">
        <w:t xml:space="preserve"> that on the night of her </w:t>
      </w:r>
      <w:r w:rsidR="0009381B">
        <w:t>party plaintiff</w:t>
      </w:r>
      <w:r w:rsidRPr="003F08AD" w:rsidR="005F275A">
        <w:t xml:space="preserve"> bought her several drinks despite knowing that she was </w:t>
      </w:r>
      <w:r w:rsidR="0009381B">
        <w:t>underage</w:t>
      </w:r>
      <w:r w:rsidRPr="003F08AD" w:rsidR="005F275A">
        <w:t xml:space="preserve">.  Later, </w:t>
      </w:r>
      <w:r w:rsidRPr="003F08AD" w:rsidR="00B402B1">
        <w:t xml:space="preserve">however, </w:t>
      </w:r>
      <w:r w:rsidR="00121CC5">
        <w:t>Friend 1 told plaintiff</w:t>
      </w:r>
      <w:r w:rsidRPr="003F08AD" w:rsidR="005F275A">
        <w:t xml:space="preserve"> that she was not interested in him</w:t>
      </w:r>
      <w:r w:rsidR="00A907A9">
        <w:t>,</w:t>
      </w:r>
      <w:r w:rsidRPr="003F08AD" w:rsidR="005F275A">
        <w:t xml:space="preserve"> </w:t>
      </w:r>
      <w:r w:rsidRPr="003F08AD" w:rsidR="00B402B1">
        <w:t>after being</w:t>
      </w:r>
      <w:r w:rsidRPr="003F08AD" w:rsidR="00946842">
        <w:t xml:space="preserve"> </w:t>
      </w:r>
      <w:r w:rsidR="00121CC5">
        <w:t>“ ‘shocked’ ”</w:t>
      </w:r>
      <w:r w:rsidRPr="003F08AD" w:rsidR="00946842">
        <w:t xml:space="preserve"> to </w:t>
      </w:r>
      <w:r w:rsidRPr="003F08AD" w:rsidR="00D37C02">
        <w:t>learn</w:t>
      </w:r>
      <w:r w:rsidRPr="003F08AD" w:rsidR="00946842">
        <w:t xml:space="preserve"> he was 48 years</w:t>
      </w:r>
      <w:r w:rsidRPr="003F08AD" w:rsidR="002508A1">
        <w:t xml:space="preserve"> </w:t>
      </w:r>
      <w:r w:rsidRPr="003F08AD" w:rsidR="00946842">
        <w:t>old.  A</w:t>
      </w:r>
      <w:r w:rsidRPr="003F08AD" w:rsidR="005F275A">
        <w:t xml:space="preserve">t </w:t>
      </w:r>
      <w:r w:rsidRPr="003F08AD" w:rsidR="00946842">
        <w:t>that</w:t>
      </w:r>
      <w:r w:rsidRPr="003F08AD" w:rsidR="005F275A">
        <w:t xml:space="preserve"> point</w:t>
      </w:r>
      <w:r w:rsidRPr="003F08AD" w:rsidR="00946842">
        <w:t>,</w:t>
      </w:r>
      <w:r w:rsidRPr="003F08AD" w:rsidR="005F275A">
        <w:t xml:space="preserve"> </w:t>
      </w:r>
      <w:r w:rsidR="00121CC5">
        <w:t>plaintiff</w:t>
      </w:r>
      <w:r w:rsidRPr="003F08AD" w:rsidR="005F275A">
        <w:t xml:space="preserve"> </w:t>
      </w:r>
      <w:r w:rsidRPr="003F08AD" w:rsidR="00946842">
        <w:t xml:space="preserve">appeared to </w:t>
      </w:r>
      <w:r w:rsidRPr="003F08AD" w:rsidR="005F275A">
        <w:t xml:space="preserve">redirect his focus to </w:t>
      </w:r>
      <w:r w:rsidR="00121CC5">
        <w:t>Ann</w:t>
      </w:r>
      <w:r w:rsidR="00D83D66">
        <w:t>e</w:t>
      </w:r>
      <w:r w:rsidR="00121CC5">
        <w:t>liese</w:t>
      </w:r>
      <w:r w:rsidRPr="003F08AD" w:rsidR="005F275A">
        <w:t>.</w:t>
      </w:r>
    </w:p>
    <w:p w:rsidR="00C36D95" w:rsidRPr="003F08AD" w:rsidP="00CE7CFE" w14:paraId="561DF256" w14:textId="2F27051E">
      <w:pPr>
        <w:tabs>
          <w:tab w:val="clear" w:pos="720"/>
        </w:tabs>
        <w:spacing w:line="360" w:lineRule="auto"/>
      </w:pPr>
      <w:r w:rsidRPr="003F08AD">
        <w:tab/>
      </w:r>
      <w:r w:rsidRPr="003F08AD" w:rsidR="00B402B1">
        <w:t>Shortly thereafter</w:t>
      </w:r>
      <w:r w:rsidRPr="003F08AD" w:rsidR="005F275A">
        <w:t xml:space="preserve">, </w:t>
      </w:r>
      <w:r w:rsidR="00121CC5">
        <w:t>Ann</w:t>
      </w:r>
      <w:r w:rsidR="00D83D66">
        <w:t>e</w:t>
      </w:r>
      <w:r w:rsidR="00121CC5">
        <w:t>liese obtained plaintiff’s</w:t>
      </w:r>
      <w:r w:rsidRPr="003F08AD" w:rsidR="005F275A">
        <w:t xml:space="preserve"> phone number from </w:t>
      </w:r>
      <w:r w:rsidR="00121CC5">
        <w:t>Friend 1</w:t>
      </w:r>
      <w:r w:rsidRPr="003F08AD" w:rsidR="005F275A">
        <w:t xml:space="preserve"> and called </w:t>
      </w:r>
      <w:r w:rsidR="00121CC5">
        <w:t>“ ‘to confront him.’ ”  Friend 2 was with Ann</w:t>
      </w:r>
      <w:r w:rsidR="00D83D66">
        <w:t>e</w:t>
      </w:r>
      <w:r w:rsidR="00121CC5">
        <w:t>liese</w:t>
      </w:r>
      <w:r w:rsidRPr="003F08AD" w:rsidR="005F275A">
        <w:t xml:space="preserve"> when she made the call and </w:t>
      </w:r>
      <w:r w:rsidRPr="003F08AD" w:rsidR="00B402B1">
        <w:t>over</w:t>
      </w:r>
      <w:r w:rsidRPr="003F08AD" w:rsidR="005F275A">
        <w:t>hear</w:t>
      </w:r>
      <w:r w:rsidRPr="003F08AD" w:rsidR="00B402B1">
        <w:t>d</w:t>
      </w:r>
      <w:r w:rsidRPr="003F08AD" w:rsidR="005F275A">
        <w:t xml:space="preserve"> the conversation </w:t>
      </w:r>
      <w:r w:rsidRPr="003F08AD" w:rsidR="008C2DC6">
        <w:t xml:space="preserve">on </w:t>
      </w:r>
      <w:r w:rsidR="006B7CDC">
        <w:t>speakerphone</w:t>
      </w:r>
      <w:r w:rsidRPr="003F08AD" w:rsidR="005F275A">
        <w:t xml:space="preserve">. </w:t>
      </w:r>
      <w:r w:rsidRPr="003F08AD" w:rsidR="008C2DC6">
        <w:t xml:space="preserve"> When </w:t>
      </w:r>
      <w:r w:rsidR="006B7CDC">
        <w:t>plaintiff</w:t>
      </w:r>
      <w:r w:rsidRPr="003F08AD" w:rsidR="008C2DC6">
        <w:t xml:space="preserve"> answered, </w:t>
      </w:r>
      <w:r w:rsidR="006B7CDC">
        <w:t>Ann</w:t>
      </w:r>
      <w:r w:rsidR="00D83D66">
        <w:t>e</w:t>
      </w:r>
      <w:r w:rsidR="006B7CDC">
        <w:t>liese</w:t>
      </w:r>
      <w:r w:rsidRPr="003F08AD" w:rsidR="005F275A">
        <w:t xml:space="preserve"> identified herself</w:t>
      </w:r>
      <w:r w:rsidRPr="003F08AD" w:rsidR="008C2DC6">
        <w:t xml:space="preserve">.  At </w:t>
      </w:r>
      <w:r w:rsidRPr="003F08AD" w:rsidR="005F275A">
        <w:t xml:space="preserve">first, </w:t>
      </w:r>
      <w:r w:rsidR="006B7CDC">
        <w:t>plaintiff</w:t>
      </w:r>
      <w:r w:rsidRPr="003F08AD" w:rsidR="008C2DC6">
        <w:t xml:space="preserve"> flirted with her and </w:t>
      </w:r>
      <w:r w:rsidRPr="003F08AD" w:rsidR="007D7AF4">
        <w:t>a</w:t>
      </w:r>
      <w:r w:rsidRPr="003F08AD" w:rsidR="008C2DC6">
        <w:t>sked whether she wanted to meet</w:t>
      </w:r>
      <w:r w:rsidRPr="003F08AD" w:rsidR="005F275A">
        <w:t xml:space="preserve">. </w:t>
      </w:r>
      <w:r w:rsidRPr="003F08AD" w:rsidR="008C2DC6">
        <w:t xml:space="preserve"> </w:t>
      </w:r>
      <w:r w:rsidR="006B7CDC">
        <w:t>Ann</w:t>
      </w:r>
      <w:r w:rsidR="00D83D66">
        <w:t>e</w:t>
      </w:r>
      <w:r w:rsidR="006B7CDC">
        <w:t>liese</w:t>
      </w:r>
      <w:r w:rsidRPr="003F08AD" w:rsidR="008C2DC6">
        <w:t xml:space="preserve"> </w:t>
      </w:r>
      <w:r w:rsidRPr="003F08AD" w:rsidR="005F275A">
        <w:t xml:space="preserve">responded, </w:t>
      </w:r>
      <w:r w:rsidR="00301192">
        <w:t>“ That</w:t>
      </w:r>
      <w:r w:rsidRPr="003F08AD" w:rsidR="005F275A">
        <w:t xml:space="preserve"> is not why I am calling. </w:t>
      </w:r>
      <w:r w:rsidR="00301192">
        <w:t xml:space="preserve"> </w:t>
      </w:r>
      <w:r w:rsidRPr="003F08AD" w:rsidR="005F275A">
        <w:t xml:space="preserve">I need to let you know what happened the other night was not OK. </w:t>
      </w:r>
      <w:r w:rsidR="00301192">
        <w:t xml:space="preserve"> </w:t>
      </w:r>
      <w:r w:rsidRPr="003F08AD" w:rsidR="005F275A">
        <w:t xml:space="preserve">I was nearly blacked out. </w:t>
      </w:r>
      <w:r w:rsidR="00301192">
        <w:t xml:space="preserve"> </w:t>
      </w:r>
      <w:r w:rsidRPr="003F08AD" w:rsidR="005F275A">
        <w:t xml:space="preserve">You did not have my consent. </w:t>
      </w:r>
      <w:r w:rsidR="00301192">
        <w:t xml:space="preserve"> </w:t>
      </w:r>
      <w:r w:rsidRPr="003F08AD" w:rsidR="005F275A">
        <w:t xml:space="preserve">That is considered rape and it is not </w:t>
      </w:r>
      <w:r w:rsidR="00301192">
        <w:t>OK.’ ”  At</w:t>
      </w:r>
      <w:r w:rsidRPr="003F08AD" w:rsidR="00B55045">
        <w:t xml:space="preserve"> that point, </w:t>
      </w:r>
      <w:r w:rsidR="00301192">
        <w:t>plaintiff</w:t>
      </w:r>
      <w:r w:rsidRPr="003F08AD" w:rsidR="005F275A">
        <w:t xml:space="preserve"> became defensive</w:t>
      </w:r>
      <w:r w:rsidRPr="003F08AD" w:rsidR="007D7AF4">
        <w:t xml:space="preserve">, telling </w:t>
      </w:r>
      <w:r w:rsidR="00301192">
        <w:t>Ann</w:t>
      </w:r>
      <w:r w:rsidR="00D83D66">
        <w:t>e</w:t>
      </w:r>
      <w:r w:rsidR="00301192">
        <w:t>liese</w:t>
      </w:r>
      <w:r w:rsidRPr="003F08AD" w:rsidR="007D7AF4">
        <w:t xml:space="preserve"> that</w:t>
      </w:r>
      <w:r w:rsidRPr="003F08AD" w:rsidR="005F275A">
        <w:t xml:space="preserve"> it was not a good time to talk and that he </w:t>
      </w:r>
      <w:r w:rsidRPr="003F08AD" w:rsidR="007D7AF4">
        <w:t xml:space="preserve">had no idea she had been </w:t>
      </w:r>
      <w:r w:rsidRPr="003F08AD" w:rsidR="005F275A">
        <w:t>so intoxicated</w:t>
      </w:r>
      <w:r w:rsidRPr="003F08AD" w:rsidR="007D7AF4">
        <w:t xml:space="preserve">.  </w:t>
      </w:r>
      <w:r w:rsidR="00C96A32">
        <w:t>Plaintiff</w:t>
      </w:r>
      <w:r w:rsidRPr="003F08AD" w:rsidR="007D7AF4">
        <w:t xml:space="preserve"> also accused </w:t>
      </w:r>
      <w:r w:rsidR="00C96A32">
        <w:t>Ann</w:t>
      </w:r>
      <w:r w:rsidR="00D83D66">
        <w:t>e</w:t>
      </w:r>
      <w:r w:rsidR="00C96A32">
        <w:t>liese</w:t>
      </w:r>
      <w:r w:rsidRPr="003F08AD" w:rsidR="007D7AF4">
        <w:t xml:space="preserve"> of </w:t>
      </w:r>
      <w:r w:rsidR="00C96A32">
        <w:t>“ ‘forc[ing]</w:t>
      </w:r>
      <w:r w:rsidRPr="003F08AD" w:rsidR="005F275A">
        <w:t xml:space="preserve"> herself on him or seduc</w:t>
      </w:r>
      <w:r w:rsidRPr="003F08AD" w:rsidR="007D7AF4">
        <w:t>[ing]</w:t>
      </w:r>
      <w:r w:rsidRPr="003F08AD" w:rsidR="005F275A">
        <w:t xml:space="preserve"> </w:t>
      </w:r>
      <w:r w:rsidR="00C96A32">
        <w:t>him.’ ”  Ann</w:t>
      </w:r>
      <w:r w:rsidR="00D83D66">
        <w:t>e</w:t>
      </w:r>
      <w:r w:rsidR="00C96A32">
        <w:t>liese responded, “ ‘That</w:t>
      </w:r>
      <w:r w:rsidRPr="003F08AD" w:rsidR="005F275A">
        <w:t xml:space="preserve"> is not OK. </w:t>
      </w:r>
      <w:r w:rsidR="00C96A32">
        <w:t xml:space="preserve"> </w:t>
      </w:r>
      <w:r w:rsidRPr="003F08AD" w:rsidR="005F275A">
        <w:t xml:space="preserve">You knew how drunk I </w:t>
      </w:r>
      <w:r w:rsidR="00C96A32">
        <w:t>was.’ ”</w:t>
      </w:r>
      <w:r w:rsidRPr="003F08AD" w:rsidR="005F275A">
        <w:t xml:space="preserve"> </w:t>
      </w:r>
      <w:r w:rsidRPr="003F08AD" w:rsidR="007D7AF4">
        <w:t xml:space="preserve"> The call ended after </w:t>
      </w:r>
      <w:r w:rsidRPr="003F08AD" w:rsidR="005F275A">
        <w:t xml:space="preserve">five to </w:t>
      </w:r>
      <w:r w:rsidR="00E83E75">
        <w:t>10 minutes;</w:t>
      </w:r>
      <w:r w:rsidRPr="003F08AD" w:rsidR="007D7AF4">
        <w:t xml:space="preserve"> however, </w:t>
      </w:r>
      <w:r w:rsidR="00E83E75">
        <w:t>plaintiff</w:t>
      </w:r>
      <w:r w:rsidRPr="003F08AD" w:rsidR="007D7AF4">
        <w:t xml:space="preserve"> later called </w:t>
      </w:r>
      <w:r w:rsidR="00E83E75">
        <w:t>Ann</w:t>
      </w:r>
      <w:r w:rsidR="0079525D">
        <w:t>e</w:t>
      </w:r>
      <w:r w:rsidR="00E83E75">
        <w:t>liese</w:t>
      </w:r>
      <w:r w:rsidRPr="003F08AD" w:rsidR="007D7AF4">
        <w:t xml:space="preserve"> </w:t>
      </w:r>
      <w:r w:rsidRPr="003F08AD" w:rsidR="005F275A">
        <w:t xml:space="preserve">back and left a message. </w:t>
      </w:r>
      <w:r w:rsidRPr="003F08AD" w:rsidR="002508A1">
        <w:t xml:space="preserve"> She</w:t>
      </w:r>
      <w:r w:rsidRPr="003F08AD" w:rsidR="007D7AF4">
        <w:t xml:space="preserve"> deleted the message without listening to it.</w:t>
      </w:r>
    </w:p>
    <w:p w:rsidR="00E01BE9" w:rsidRPr="003F08AD" w:rsidP="00CE7CFE" w14:paraId="1D43848C" w14:textId="1D680646">
      <w:pPr>
        <w:tabs>
          <w:tab w:val="clear" w:pos="720"/>
        </w:tabs>
        <w:spacing w:line="360" w:lineRule="auto"/>
      </w:pPr>
      <w:r w:rsidRPr="003F08AD">
        <w:tab/>
      </w:r>
      <w:r w:rsidRPr="003F08AD" w:rsidR="00CA09DD">
        <w:t xml:space="preserve">In </w:t>
      </w:r>
      <w:r w:rsidR="00E83E75">
        <w:t>2018, Ann</w:t>
      </w:r>
      <w:r w:rsidR="0079525D">
        <w:t>e</w:t>
      </w:r>
      <w:r w:rsidR="00E83E75">
        <w:t>liese</w:t>
      </w:r>
      <w:r w:rsidRPr="003F08AD" w:rsidR="00CA09DD">
        <w:t xml:space="preserve"> contacted the </w:t>
      </w:r>
      <w:r w:rsidR="00E83E75">
        <w:t>Title IX office</w:t>
      </w:r>
      <w:r w:rsidRPr="003F08AD" w:rsidR="00CA09DD">
        <w:t xml:space="preserve"> after receiving a call from </w:t>
      </w:r>
      <w:r w:rsidR="00E83E75">
        <w:t>Friend 1</w:t>
      </w:r>
      <w:r w:rsidRPr="003F08AD" w:rsidR="00CA09DD">
        <w:t xml:space="preserve">, who told her about </w:t>
      </w:r>
      <w:r w:rsidRPr="003F08AD" w:rsidR="00B402B1">
        <w:t xml:space="preserve">the accusations that </w:t>
      </w:r>
      <w:r w:rsidRPr="003F08AD" w:rsidR="00CA09DD">
        <w:t xml:space="preserve">had been </w:t>
      </w:r>
      <w:r w:rsidRPr="003F08AD" w:rsidR="00B402B1">
        <w:t xml:space="preserve">publicly </w:t>
      </w:r>
      <w:r w:rsidRPr="003F08AD" w:rsidR="00CA09DD">
        <w:t xml:space="preserve">raised against </w:t>
      </w:r>
      <w:r w:rsidR="00E83E75">
        <w:t>plaintiff.  Ann</w:t>
      </w:r>
      <w:r w:rsidR="0079525D">
        <w:t>e</w:t>
      </w:r>
      <w:r w:rsidR="00E83E75">
        <w:t>liese</w:t>
      </w:r>
      <w:r w:rsidRPr="003F08AD" w:rsidR="00CA09DD">
        <w:t xml:space="preserve"> </w:t>
      </w:r>
      <w:r w:rsidRPr="003F08AD">
        <w:t xml:space="preserve">was </w:t>
      </w:r>
      <w:r w:rsidRPr="003F08AD" w:rsidR="00D37C02">
        <w:t xml:space="preserve">enraged </w:t>
      </w:r>
      <w:r w:rsidRPr="003F08AD" w:rsidR="00CA09DD">
        <w:t xml:space="preserve">that </w:t>
      </w:r>
      <w:r w:rsidR="00E83E75">
        <w:t>plaintiff</w:t>
      </w:r>
      <w:r w:rsidRPr="003F08AD" w:rsidR="00CA09DD">
        <w:t xml:space="preserve"> was denying the a</w:t>
      </w:r>
      <w:r w:rsidRPr="003F08AD">
        <w:t>ccusations</w:t>
      </w:r>
      <w:r w:rsidRPr="003F08AD" w:rsidR="00CA09DD">
        <w:t xml:space="preserve"> and blaming the </w:t>
      </w:r>
      <w:r w:rsidR="00E83E75">
        <w:t>“ ‘political’ ”</w:t>
      </w:r>
      <w:r w:rsidRPr="003F08AD" w:rsidR="00CA09DD">
        <w:t xml:space="preserve"> environment.</w:t>
      </w:r>
    </w:p>
    <w:p w:rsidR="00974768" w:rsidRPr="003F08AD" w:rsidP="00CE7CFE" w14:paraId="63B6ABDE" w14:textId="395F9F79">
      <w:pPr>
        <w:tabs>
          <w:tab w:val="clear" w:pos="720"/>
        </w:tabs>
        <w:spacing w:line="360" w:lineRule="auto"/>
      </w:pPr>
      <w:r w:rsidRPr="003F08AD">
        <w:tab/>
        <w:t xml:space="preserve">The </w:t>
      </w:r>
      <w:r w:rsidR="00E83E75">
        <w:t>Title IX</w:t>
      </w:r>
      <w:r w:rsidRPr="003F08AD">
        <w:t xml:space="preserve"> investigator</w:t>
      </w:r>
      <w:r w:rsidRPr="003F08AD" w:rsidR="002508A1">
        <w:t xml:space="preserve"> </w:t>
      </w:r>
      <w:r w:rsidRPr="003F08AD">
        <w:t xml:space="preserve">interviewed </w:t>
      </w:r>
      <w:r w:rsidR="00E83E75">
        <w:t>Ann</w:t>
      </w:r>
      <w:r w:rsidR="0079525D">
        <w:t>e</w:t>
      </w:r>
      <w:r w:rsidR="00E83E75">
        <w:t>liese</w:t>
      </w:r>
      <w:r w:rsidRPr="003F08AD">
        <w:t xml:space="preserve">, her mother, </w:t>
      </w:r>
      <w:r w:rsidR="00E83E75">
        <w:t>Friend 1, Friend 2, and plaintiff</w:t>
      </w:r>
      <w:r w:rsidRPr="003F08AD">
        <w:t xml:space="preserve"> regarding </w:t>
      </w:r>
      <w:r w:rsidR="00E83E75">
        <w:t>Anneliese’s</w:t>
      </w:r>
      <w:r w:rsidRPr="003F08AD">
        <w:t xml:space="preserve"> allegations.  </w:t>
      </w:r>
      <w:r w:rsidR="00E83E75">
        <w:t>Plaintiff</w:t>
      </w:r>
      <w:r w:rsidRPr="003F08AD">
        <w:t xml:space="preserve"> recall</w:t>
      </w:r>
      <w:r w:rsidRPr="003F08AD" w:rsidR="00923CDC">
        <w:t>ed</w:t>
      </w:r>
      <w:r w:rsidRPr="003F08AD">
        <w:t xml:space="preserve"> attending </w:t>
      </w:r>
      <w:r w:rsidR="00E83E75">
        <w:t>Friend 1’s</w:t>
      </w:r>
      <w:r w:rsidRPr="003F08AD">
        <w:t xml:space="preserve"> party in June 2013 and</w:t>
      </w:r>
      <w:r w:rsidRPr="003F08AD" w:rsidR="00923CDC">
        <w:t xml:space="preserve"> me</w:t>
      </w:r>
      <w:r w:rsidRPr="003F08AD">
        <w:t>e</w:t>
      </w:r>
      <w:r w:rsidRPr="003F08AD" w:rsidR="00923CDC">
        <w:t>t</w:t>
      </w:r>
      <w:r w:rsidRPr="003F08AD">
        <w:t>ing</w:t>
      </w:r>
      <w:r w:rsidRPr="003F08AD" w:rsidR="00D37C02">
        <w:t xml:space="preserve"> </w:t>
      </w:r>
      <w:r w:rsidR="00A833D7">
        <w:t>Ann</w:t>
      </w:r>
      <w:r w:rsidR="0079525D">
        <w:t>e</w:t>
      </w:r>
      <w:r w:rsidR="00A833D7">
        <w:t>liese</w:t>
      </w:r>
      <w:r w:rsidRPr="003F08AD" w:rsidR="00923CDC">
        <w:t xml:space="preserve"> for the first time</w:t>
      </w:r>
      <w:r w:rsidRPr="003F08AD">
        <w:t xml:space="preserve">. </w:t>
      </w:r>
      <w:r w:rsidRPr="003F08AD" w:rsidR="00923CDC">
        <w:t xml:space="preserve"> </w:t>
      </w:r>
      <w:r w:rsidR="00A833D7">
        <w:t>Plaintiff</w:t>
      </w:r>
      <w:r w:rsidRPr="003F08AD" w:rsidR="00923CDC">
        <w:t xml:space="preserve"> claimed that he</w:t>
      </w:r>
      <w:r w:rsidRPr="003F08AD">
        <w:t xml:space="preserve"> left the party alone and was walking to </w:t>
      </w:r>
      <w:r w:rsidRPr="003F08AD" w:rsidR="00923CDC">
        <w:t>his</w:t>
      </w:r>
      <w:r w:rsidRPr="003F08AD">
        <w:t xml:space="preserve"> </w:t>
      </w:r>
      <w:r w:rsidRPr="003F08AD" w:rsidR="00F05EB8">
        <w:t>car when</w:t>
      </w:r>
      <w:r w:rsidRPr="003F08AD">
        <w:t xml:space="preserve"> </w:t>
      </w:r>
      <w:r w:rsidR="00A833D7">
        <w:t>Ann</w:t>
      </w:r>
      <w:r w:rsidR="0079525D">
        <w:t>e</w:t>
      </w:r>
      <w:r w:rsidR="00A833D7">
        <w:t>liese</w:t>
      </w:r>
      <w:r w:rsidRPr="003F08AD">
        <w:t xml:space="preserve"> came out of her apartment</w:t>
      </w:r>
      <w:r w:rsidRPr="003F08AD" w:rsidR="00923CDC">
        <w:t xml:space="preserve">.  According to </w:t>
      </w:r>
      <w:r w:rsidR="00A833D7">
        <w:t>plaintiff, Ann</w:t>
      </w:r>
      <w:r w:rsidR="0079525D">
        <w:t>e</w:t>
      </w:r>
      <w:r w:rsidR="00A833D7">
        <w:t>liese</w:t>
      </w:r>
      <w:r w:rsidRPr="003F08AD">
        <w:t xml:space="preserve"> pulled </w:t>
      </w:r>
      <w:r w:rsidRPr="003F08AD" w:rsidR="00923CDC">
        <w:t>him</w:t>
      </w:r>
      <w:r w:rsidRPr="003F08AD">
        <w:t xml:space="preserve"> </w:t>
      </w:r>
      <w:r w:rsidRPr="003F08AD" w:rsidR="00D37C02">
        <w:t>toward</w:t>
      </w:r>
      <w:r w:rsidRPr="003F08AD">
        <w:t xml:space="preserve"> </w:t>
      </w:r>
      <w:r w:rsidRPr="003F08AD" w:rsidR="00D37C02">
        <w:t xml:space="preserve">her </w:t>
      </w:r>
      <w:r w:rsidRPr="003F08AD">
        <w:t xml:space="preserve">apartment and </w:t>
      </w:r>
      <w:r w:rsidRPr="003F08AD" w:rsidR="00923CDC">
        <w:t>he</w:t>
      </w:r>
      <w:r w:rsidRPr="003F08AD">
        <w:t xml:space="preserve"> </w:t>
      </w:r>
      <w:r w:rsidRPr="003F08AD" w:rsidR="00923CDC">
        <w:t>“</w:t>
      </w:r>
      <w:r w:rsidRPr="003F08AD">
        <w:t>reluctantly went in.</w:t>
      </w:r>
      <w:r w:rsidRPr="003F08AD" w:rsidR="00923CDC">
        <w:t>”</w:t>
      </w:r>
      <w:r w:rsidRPr="003F08AD">
        <w:t xml:space="preserve"> </w:t>
      </w:r>
      <w:r w:rsidRPr="003F08AD" w:rsidR="00923CDC">
        <w:t xml:space="preserve"> After </w:t>
      </w:r>
      <w:r w:rsidRPr="003F08AD">
        <w:t>talk</w:t>
      </w:r>
      <w:r w:rsidRPr="003F08AD" w:rsidR="00923CDC">
        <w:t>ing</w:t>
      </w:r>
      <w:r w:rsidRPr="003F08AD">
        <w:t xml:space="preserve"> briefly</w:t>
      </w:r>
      <w:r w:rsidRPr="003F08AD" w:rsidR="00923CDC">
        <w:t xml:space="preserve">, </w:t>
      </w:r>
      <w:r w:rsidR="00A833D7">
        <w:t>Ann</w:t>
      </w:r>
      <w:r w:rsidR="0079525D">
        <w:t>e</w:t>
      </w:r>
      <w:r w:rsidR="00A833D7">
        <w:t>liese</w:t>
      </w:r>
      <w:r w:rsidRPr="003F08AD">
        <w:t xml:space="preserve"> suggested </w:t>
      </w:r>
      <w:r w:rsidRPr="003F08AD" w:rsidR="00D37C02">
        <w:t>sexual activity</w:t>
      </w:r>
      <w:r w:rsidRPr="003F08AD" w:rsidR="00923CDC">
        <w:t>, which</w:t>
      </w:r>
      <w:r w:rsidRPr="003F08AD">
        <w:t xml:space="preserve"> surprised </w:t>
      </w:r>
      <w:r w:rsidRPr="003F08AD" w:rsidR="00923CDC">
        <w:t>him</w:t>
      </w:r>
      <w:r w:rsidRPr="003F08AD">
        <w:t xml:space="preserve">. </w:t>
      </w:r>
      <w:r w:rsidRPr="003F08AD" w:rsidR="00923CDC">
        <w:t xml:space="preserve"> </w:t>
      </w:r>
      <w:r w:rsidRPr="003F08AD" w:rsidR="00D37C02">
        <w:t>However, because</w:t>
      </w:r>
      <w:r w:rsidRPr="003F08AD" w:rsidR="00923CDC">
        <w:t xml:space="preserve"> </w:t>
      </w:r>
      <w:r w:rsidR="0079525D">
        <w:t>Anneliese</w:t>
      </w:r>
      <w:r w:rsidRPr="003F08AD" w:rsidR="00923CDC">
        <w:t xml:space="preserve"> </w:t>
      </w:r>
      <w:r w:rsidRPr="003F08AD">
        <w:t>was highly intoxicated</w:t>
      </w:r>
      <w:r w:rsidRPr="003F08AD" w:rsidR="00923CDC">
        <w:t xml:space="preserve">, </w:t>
      </w:r>
      <w:r w:rsidR="00426983">
        <w:t>plaintiff</w:t>
      </w:r>
      <w:r w:rsidRPr="003F08AD" w:rsidR="00923CDC">
        <w:t xml:space="preserve"> “</w:t>
      </w:r>
      <w:r w:rsidRPr="003F08AD">
        <w:t xml:space="preserve">extricated </w:t>
      </w:r>
      <w:r w:rsidRPr="003F08AD" w:rsidR="00923CDC">
        <w:t>[him]</w:t>
      </w:r>
      <w:r w:rsidRPr="003F08AD">
        <w:t>self from the interaction and left her apartment and went home.</w:t>
      </w:r>
      <w:r w:rsidRPr="003F08AD" w:rsidR="00923CDC">
        <w:t xml:space="preserve">”  He denied </w:t>
      </w:r>
      <w:r w:rsidRPr="003F08AD" w:rsidR="00D52F85">
        <w:t>being</w:t>
      </w:r>
      <w:r w:rsidRPr="003F08AD" w:rsidR="00923CDC">
        <w:t xml:space="preserve"> </w:t>
      </w:r>
      <w:r w:rsidRPr="003F08AD">
        <w:t>naked</w:t>
      </w:r>
      <w:r w:rsidRPr="003F08AD" w:rsidR="00D52F85">
        <w:t xml:space="preserve"> </w:t>
      </w:r>
      <w:r w:rsidRPr="003F08AD" w:rsidR="00685463">
        <w:t xml:space="preserve">or </w:t>
      </w:r>
      <w:r w:rsidRPr="003F08AD">
        <w:t>attempt</w:t>
      </w:r>
      <w:r w:rsidRPr="003F08AD" w:rsidR="00685463">
        <w:t>ing</w:t>
      </w:r>
      <w:r w:rsidRPr="003F08AD">
        <w:t xml:space="preserve"> to have </w:t>
      </w:r>
      <w:r w:rsidRPr="003F08AD" w:rsidR="00685463">
        <w:t>sex</w:t>
      </w:r>
      <w:r w:rsidRPr="003F08AD">
        <w:t xml:space="preserve"> with her.</w:t>
      </w:r>
      <w:r w:rsidRPr="003F08AD" w:rsidR="00685463">
        <w:t xml:space="preserve"> </w:t>
      </w:r>
      <w:r w:rsidRPr="003F08AD" w:rsidR="00E02D1B">
        <w:t xml:space="preserve"> </w:t>
      </w:r>
      <w:r w:rsidRPr="003F08AD" w:rsidR="002508A1">
        <w:t>A</w:t>
      </w:r>
      <w:r w:rsidRPr="003F08AD" w:rsidR="00D52F85">
        <w:t xml:space="preserve">ccording to </w:t>
      </w:r>
      <w:r w:rsidR="00330773">
        <w:t>plaintiff, when Anneliese</w:t>
      </w:r>
      <w:r w:rsidRPr="003F08AD" w:rsidR="002508A1">
        <w:t xml:space="preserve"> </w:t>
      </w:r>
      <w:r w:rsidRPr="003F08AD" w:rsidR="00E02D1B">
        <w:t xml:space="preserve">called </w:t>
      </w:r>
      <w:r w:rsidRPr="003F08AD" w:rsidR="00D52F85">
        <w:t>him</w:t>
      </w:r>
      <w:r w:rsidRPr="003F08AD" w:rsidR="00E02D1B">
        <w:t xml:space="preserve"> about a month later</w:t>
      </w:r>
      <w:r w:rsidRPr="003F08AD" w:rsidR="00D52F85">
        <w:t>, she</w:t>
      </w:r>
      <w:r w:rsidRPr="003F08AD" w:rsidR="00E02D1B">
        <w:t xml:space="preserve"> “clearly indicated” </w:t>
      </w:r>
      <w:r w:rsidRPr="003F08AD" w:rsidR="00D52F85">
        <w:t>having</w:t>
      </w:r>
      <w:r w:rsidRPr="003F08AD" w:rsidR="00E02D1B">
        <w:t xml:space="preserve"> no memory of what </w:t>
      </w:r>
      <w:r w:rsidR="00330773">
        <w:t>transpired</w:t>
      </w:r>
      <w:r w:rsidRPr="003F08AD" w:rsidR="00E02D1B">
        <w:t xml:space="preserve"> between them that evening.</w:t>
      </w:r>
    </w:p>
    <w:p w:rsidR="007236A6" w:rsidRPr="003F08AD" w:rsidP="00CE7CFE" w14:paraId="4ACCB316" w14:textId="05987A5E">
      <w:pPr>
        <w:tabs>
          <w:tab w:val="clear" w:pos="720"/>
        </w:tabs>
        <w:spacing w:line="360" w:lineRule="auto"/>
      </w:pPr>
      <w:r w:rsidRPr="003F08AD">
        <w:tab/>
        <w:t>A</w:t>
      </w:r>
      <w:r w:rsidRPr="003F08AD" w:rsidR="00D52F85">
        <w:t>fter</w:t>
      </w:r>
      <w:r w:rsidRPr="003F08AD">
        <w:t xml:space="preserve"> conclu</w:t>
      </w:r>
      <w:r w:rsidRPr="003F08AD" w:rsidR="00D52F85">
        <w:t xml:space="preserve">ding </w:t>
      </w:r>
      <w:r w:rsidRPr="003F08AD" w:rsidR="00622BD9">
        <w:t>t</w:t>
      </w:r>
      <w:r w:rsidRPr="003F08AD" w:rsidR="00D52F85">
        <w:t>he</w:t>
      </w:r>
      <w:r w:rsidRPr="003F08AD" w:rsidR="00622BD9">
        <w:t xml:space="preserve"> </w:t>
      </w:r>
      <w:r w:rsidR="00330773">
        <w:t>Anneliese</w:t>
      </w:r>
      <w:r w:rsidRPr="003F08AD">
        <w:t xml:space="preserve"> investigation, the investigator</w:t>
      </w:r>
      <w:r w:rsidRPr="003F08AD" w:rsidR="00CA09DD">
        <w:t xml:space="preserve"> </w:t>
      </w:r>
      <w:r w:rsidRPr="003F08AD" w:rsidR="00622BD9">
        <w:t>found</w:t>
      </w:r>
      <w:r w:rsidRPr="003F08AD" w:rsidR="00823310">
        <w:t xml:space="preserve"> </w:t>
      </w:r>
      <w:r w:rsidRPr="003F08AD" w:rsidR="001D60B2">
        <w:t xml:space="preserve">“it is more likely than not that </w:t>
      </w:r>
      <w:r w:rsidR="004A4A98">
        <w:t>[plaintiff]</w:t>
      </w:r>
      <w:r w:rsidRPr="003F08AD" w:rsidR="001D60B2">
        <w:t xml:space="preserve"> engaged in unwelcome physical conduct of a sexual nature which is conduct that falls squarely within the definition of prohibited conduct under the University of California Policy on Sexual Harassment Policy</w:t>
      </w:r>
      <w:r w:rsidR="004A4A98">
        <w:t> [</w:t>
      </w:r>
      <w:r w:rsidR="004A4A98">
        <w:rPr>
          <w:i/>
          <w:iCs/>
        </w:rPr>
        <w:t>sic</w:t>
      </w:r>
      <w:r w:rsidR="004A4A98">
        <w:t>]</w:t>
      </w:r>
      <w:r w:rsidRPr="003F08AD" w:rsidR="001D60B2">
        <w:t xml:space="preserve"> dated </w:t>
      </w:r>
      <w:r w:rsidR="004A4A98">
        <w:t>February 10</w:t>
      </w:r>
      <w:r w:rsidRPr="003F08AD" w:rsidR="001D60B2">
        <w:t xml:space="preserve">, 2006, the policy in effect at the time of the </w:t>
      </w:r>
      <w:r w:rsidR="004A4A98">
        <w:t>incident . . . .</w:t>
      </w:r>
      <w:r w:rsidRPr="003F08AD" w:rsidR="001D60B2">
        <w:t xml:space="preserve">”  </w:t>
      </w:r>
      <w:r w:rsidRPr="003F08AD" w:rsidR="00622BD9">
        <w:t>T</w:t>
      </w:r>
      <w:r w:rsidRPr="003F08AD" w:rsidR="00837683">
        <w:t>his “</w:t>
      </w:r>
      <w:r w:rsidRPr="003F08AD" w:rsidR="001D60B2">
        <w:t xml:space="preserve">unwelcome sexual activity occurred on </w:t>
      </w:r>
      <w:r w:rsidR="00F8143B">
        <w:t>June 18</w:t>
      </w:r>
      <w:r w:rsidRPr="003F08AD" w:rsidR="001D60B2">
        <w:t xml:space="preserve">, 2013 after </w:t>
      </w:r>
      <w:r w:rsidR="00F8143B">
        <w:t>[Anneliese]</w:t>
      </w:r>
      <w:r w:rsidRPr="003F08AD" w:rsidR="001D60B2">
        <w:t xml:space="preserve"> had completed her course work and participated in commencement but before her degree was conferred</w:t>
      </w:r>
      <w:r w:rsidRPr="003F08AD" w:rsidR="00D52F85">
        <w:t>.</w:t>
      </w:r>
      <w:r w:rsidRPr="003F08AD" w:rsidR="00837683">
        <w:t>”</w:t>
      </w:r>
    </w:p>
    <w:p w:rsidR="003F28B2" w:rsidRPr="00CA5210" w:rsidP="00CA5210" w14:paraId="56372380" w14:textId="0093D59F">
      <w:pPr>
        <w:pStyle w:val="ListParagraph"/>
        <w:keepNext/>
        <w:numPr>
          <w:ilvl w:val="1"/>
          <w:numId w:val="1"/>
        </w:numPr>
        <w:tabs>
          <w:tab w:val="clear" w:pos="720"/>
        </w:tabs>
        <w:spacing w:line="360" w:lineRule="auto"/>
        <w:ind w:left="1440"/>
        <w:rPr>
          <w:b/>
          <w:bCs/>
        </w:rPr>
      </w:pPr>
      <w:r>
        <w:rPr>
          <w:b/>
          <w:bCs/>
        </w:rPr>
        <w:t>Brian G. and Patrick M.</w:t>
      </w:r>
    </w:p>
    <w:p w:rsidR="003F28B2" w:rsidRPr="003F08AD" w:rsidP="00CA5210" w14:paraId="0CB00AE3" w14:textId="37ACDFB7">
      <w:pPr>
        <w:tabs>
          <w:tab w:val="clear" w:pos="720"/>
        </w:tabs>
        <w:spacing w:line="360" w:lineRule="auto"/>
      </w:pPr>
      <w:r w:rsidRPr="003F08AD">
        <w:tab/>
      </w:r>
      <w:r w:rsidRPr="003F08AD" w:rsidR="00B4016E">
        <w:t xml:space="preserve">Former UCSC student </w:t>
      </w:r>
      <w:r w:rsidR="00CA40E4">
        <w:t>Brian G.</w:t>
      </w:r>
      <w:r w:rsidRPr="003F08AD">
        <w:t xml:space="preserve"> </w:t>
      </w:r>
      <w:r w:rsidRPr="003F08AD" w:rsidR="00E01BE9">
        <w:t>reported</w:t>
      </w:r>
      <w:r w:rsidRPr="003F08AD">
        <w:t xml:space="preserve"> that, during the fall or winter of 2009, when he was </w:t>
      </w:r>
      <w:r w:rsidRPr="003F08AD" w:rsidR="00F05EB8">
        <w:t>18</w:t>
      </w:r>
      <w:r w:rsidRPr="003F08AD" w:rsidR="00D52F85">
        <w:t xml:space="preserve"> </w:t>
      </w:r>
      <w:r w:rsidRPr="003F08AD" w:rsidR="00F05EB8">
        <w:t>year</w:t>
      </w:r>
      <w:r w:rsidRPr="003F08AD" w:rsidR="00D52F85">
        <w:t xml:space="preserve">s </w:t>
      </w:r>
      <w:r w:rsidRPr="003F08AD" w:rsidR="00F05EB8">
        <w:t>old</w:t>
      </w:r>
      <w:r w:rsidRPr="003F08AD">
        <w:t xml:space="preserve">, </w:t>
      </w:r>
      <w:r w:rsidRPr="003F08AD" w:rsidR="00B4016E">
        <w:t xml:space="preserve">he attended a </w:t>
      </w:r>
      <w:r w:rsidRPr="003F08AD" w:rsidR="00CD7201">
        <w:t xml:space="preserve">small </w:t>
      </w:r>
      <w:r w:rsidRPr="003F08AD" w:rsidR="00B4016E">
        <w:t xml:space="preserve">party at </w:t>
      </w:r>
      <w:r w:rsidR="00CA40E4">
        <w:t>plaintiff’s</w:t>
      </w:r>
      <w:r w:rsidRPr="003F08AD">
        <w:t xml:space="preserve"> residence.  </w:t>
      </w:r>
      <w:r w:rsidR="00CA40E4">
        <w:t>Brian knew plaintiff</w:t>
      </w:r>
      <w:r w:rsidRPr="003F08AD" w:rsidR="00E96B4B">
        <w:t xml:space="preserve"> through </w:t>
      </w:r>
      <w:r w:rsidRPr="003F08AD" w:rsidR="00D74647">
        <w:t>campus activities</w:t>
      </w:r>
      <w:r w:rsidRPr="003F08AD" w:rsidR="00E96B4B">
        <w:t xml:space="preserve"> but was not his student. </w:t>
      </w:r>
      <w:r w:rsidRPr="003F08AD" w:rsidR="00B4016E">
        <w:t xml:space="preserve"> </w:t>
      </w:r>
      <w:r w:rsidRPr="003F08AD" w:rsidR="00D52F85">
        <w:t>A</w:t>
      </w:r>
      <w:r w:rsidRPr="003F08AD">
        <w:t>t</w:t>
      </w:r>
      <w:r w:rsidRPr="003F08AD" w:rsidR="00B4016E">
        <w:t xml:space="preserve"> t</w:t>
      </w:r>
      <w:r w:rsidRPr="003F08AD">
        <w:t>h</w:t>
      </w:r>
      <w:r w:rsidRPr="003F08AD" w:rsidR="00D52F85">
        <w:t>is</w:t>
      </w:r>
      <w:r w:rsidRPr="003F08AD" w:rsidR="00B4016E">
        <w:t xml:space="preserve"> party</w:t>
      </w:r>
      <w:r w:rsidRPr="003F08AD">
        <w:t xml:space="preserve">, </w:t>
      </w:r>
      <w:r w:rsidR="00CA40E4">
        <w:t>plaintiff</w:t>
      </w:r>
      <w:r w:rsidRPr="003F08AD">
        <w:t xml:space="preserve"> </w:t>
      </w:r>
      <w:r w:rsidRPr="003F08AD" w:rsidR="00E01BE9">
        <w:t>gave</w:t>
      </w:r>
      <w:r w:rsidRPr="003F08AD">
        <w:t xml:space="preserve"> Brian</w:t>
      </w:r>
      <w:r w:rsidRPr="003F08AD" w:rsidR="00E01BE9">
        <w:t xml:space="preserve"> </w:t>
      </w:r>
      <w:r w:rsidRPr="003F08AD" w:rsidR="00F52BED">
        <w:t xml:space="preserve">and other </w:t>
      </w:r>
      <w:r w:rsidRPr="003F08AD" w:rsidR="0099363D">
        <w:t>attendees</w:t>
      </w:r>
      <w:r w:rsidRPr="003F08AD" w:rsidR="00E01BE9">
        <w:t xml:space="preserve"> </w:t>
      </w:r>
      <w:r w:rsidRPr="003F08AD">
        <w:t xml:space="preserve">cocaine and </w:t>
      </w:r>
      <w:r w:rsidR="00CA40E4">
        <w:t>alcohol, and</w:t>
      </w:r>
      <w:r w:rsidR="00381417">
        <w:t xml:space="preserve"> afterward</w:t>
      </w:r>
      <w:r w:rsidRPr="003F08AD">
        <w:t xml:space="preserve"> </w:t>
      </w:r>
      <w:r w:rsidRPr="003F08AD" w:rsidR="00E01BE9">
        <w:t xml:space="preserve">he </w:t>
      </w:r>
      <w:r w:rsidRPr="003F08AD">
        <w:t xml:space="preserve">drove </w:t>
      </w:r>
      <w:r w:rsidRPr="003F08AD" w:rsidR="00E01BE9">
        <w:t>Brian</w:t>
      </w:r>
      <w:r w:rsidRPr="003F08AD">
        <w:t xml:space="preserve"> home while under the influence of alcohol and drugs.  </w:t>
      </w:r>
      <w:r w:rsidRPr="003F08AD" w:rsidR="0099363D">
        <w:t xml:space="preserve">Brian </w:t>
      </w:r>
      <w:r w:rsidRPr="003F08AD" w:rsidR="00B4016E">
        <w:t>also</w:t>
      </w:r>
      <w:r w:rsidRPr="003F08AD">
        <w:t xml:space="preserve"> </w:t>
      </w:r>
      <w:r w:rsidRPr="003F08AD" w:rsidR="0099363D">
        <w:t>re</w:t>
      </w:r>
      <w:r w:rsidRPr="003F08AD" w:rsidR="00D74647">
        <w:t>called</w:t>
      </w:r>
      <w:r w:rsidRPr="003F08AD" w:rsidR="00E01BE9">
        <w:t xml:space="preserve"> </w:t>
      </w:r>
      <w:r w:rsidRPr="003F08AD">
        <w:t>other occasions during this time period</w:t>
      </w:r>
      <w:r w:rsidRPr="003F08AD" w:rsidR="00B4016E">
        <w:t xml:space="preserve"> when</w:t>
      </w:r>
      <w:r w:rsidRPr="003F08AD">
        <w:t xml:space="preserve"> </w:t>
      </w:r>
      <w:r w:rsidR="00381417">
        <w:t>plaintiff</w:t>
      </w:r>
      <w:r w:rsidRPr="003F08AD">
        <w:t xml:space="preserve"> </w:t>
      </w:r>
      <w:r w:rsidRPr="003F08AD" w:rsidR="0099363D">
        <w:t>bought him</w:t>
      </w:r>
      <w:r w:rsidRPr="003F08AD">
        <w:t xml:space="preserve"> alcohol at local bars </w:t>
      </w:r>
      <w:r w:rsidRPr="003F08AD" w:rsidR="00B4016E">
        <w:t xml:space="preserve">although he </w:t>
      </w:r>
      <w:r w:rsidRPr="003F08AD" w:rsidR="00D52F85">
        <w:t xml:space="preserve">was </w:t>
      </w:r>
      <w:r w:rsidRPr="003F08AD" w:rsidR="00871B25">
        <w:t>underage</w:t>
      </w:r>
      <w:r w:rsidRPr="003F08AD">
        <w:t xml:space="preserve">. </w:t>
      </w:r>
      <w:r w:rsidRPr="003F08AD" w:rsidR="00CD7201">
        <w:t xml:space="preserve"> Brian contacted the </w:t>
      </w:r>
      <w:r w:rsidR="00381417">
        <w:t>Title IX office</w:t>
      </w:r>
      <w:r w:rsidRPr="003F08AD" w:rsidR="00CD7201">
        <w:t xml:space="preserve"> after </w:t>
      </w:r>
      <w:r w:rsidRPr="003F08AD" w:rsidR="0099363D">
        <w:t xml:space="preserve">learning </w:t>
      </w:r>
      <w:r w:rsidRPr="003F08AD" w:rsidR="00E01BE9">
        <w:t>of the public accusations that had been raised against</w:t>
      </w:r>
      <w:r w:rsidRPr="003F08AD" w:rsidR="0099363D">
        <w:t xml:space="preserve"> </w:t>
      </w:r>
      <w:r w:rsidR="00381417">
        <w:t>plaintiff</w:t>
      </w:r>
      <w:r w:rsidRPr="003F08AD" w:rsidR="0099363D">
        <w:t xml:space="preserve"> because he </w:t>
      </w:r>
      <w:r w:rsidRPr="003F08AD" w:rsidR="00CD7201">
        <w:t>believ</w:t>
      </w:r>
      <w:r w:rsidRPr="003F08AD" w:rsidR="0099363D">
        <w:t>ed</w:t>
      </w:r>
      <w:r w:rsidRPr="003F08AD" w:rsidR="00CD7201">
        <w:t xml:space="preserve"> his experiences w</w:t>
      </w:r>
      <w:r w:rsidRPr="003F08AD" w:rsidR="0099363D">
        <w:t>ere</w:t>
      </w:r>
      <w:r w:rsidRPr="003F08AD" w:rsidR="00CD7201">
        <w:t xml:space="preserve"> relevant.</w:t>
      </w:r>
    </w:p>
    <w:p w:rsidR="003F28B2" w:rsidRPr="003F08AD" w:rsidP="00CA5210" w14:paraId="22F237D9" w14:textId="29B954C4">
      <w:pPr>
        <w:tabs>
          <w:tab w:val="clear" w:pos="720"/>
        </w:tabs>
        <w:spacing w:line="360" w:lineRule="auto"/>
      </w:pPr>
      <w:r w:rsidRPr="003F08AD">
        <w:tab/>
        <w:t xml:space="preserve">Following </w:t>
      </w:r>
      <w:r w:rsidRPr="003F08AD" w:rsidR="00D74647">
        <w:t xml:space="preserve">an </w:t>
      </w:r>
      <w:r w:rsidRPr="003F08AD">
        <w:t xml:space="preserve">investigation, the investigator found by a preponderance of evidence that </w:t>
      </w:r>
      <w:r w:rsidR="00381417">
        <w:t>plaintiff gave Brian G.</w:t>
      </w:r>
      <w:r w:rsidRPr="003F08AD" w:rsidR="00F52BED">
        <w:t xml:space="preserve"> alcohol and cocaine at a party and b</w:t>
      </w:r>
      <w:r w:rsidRPr="003F08AD" w:rsidR="0099363D">
        <w:t>ought</w:t>
      </w:r>
      <w:r w:rsidRPr="003F08AD" w:rsidR="00F52BED">
        <w:t xml:space="preserve"> him alcohol at least twice at local bars despite know</w:t>
      </w:r>
      <w:r w:rsidRPr="003F08AD" w:rsidR="0099363D">
        <w:t>ing he</w:t>
      </w:r>
      <w:r w:rsidRPr="003F08AD" w:rsidR="00F52BED">
        <w:t xml:space="preserve"> was under age</w:t>
      </w:r>
      <w:r w:rsidR="00AC3C3A">
        <w:t> </w:t>
      </w:r>
      <w:r w:rsidRPr="003F08AD" w:rsidR="00F52BED">
        <w:t>21</w:t>
      </w:r>
      <w:r w:rsidRPr="003F08AD">
        <w:t>.</w:t>
      </w:r>
    </w:p>
    <w:p w:rsidR="006D4334" w:rsidRPr="003F08AD" w:rsidP="00CA5210" w14:paraId="691CBF8E" w14:textId="0907EF5F">
      <w:pPr>
        <w:tabs>
          <w:tab w:val="clear" w:pos="720"/>
        </w:tabs>
        <w:spacing w:line="360" w:lineRule="auto"/>
      </w:pPr>
      <w:r w:rsidRPr="003F08AD">
        <w:tab/>
      </w:r>
      <w:r w:rsidR="0004127E">
        <w:t>Patrick M.</w:t>
      </w:r>
      <w:r w:rsidRPr="003F08AD" w:rsidR="001F45C2">
        <w:t xml:space="preserve"> was a</w:t>
      </w:r>
      <w:r w:rsidRPr="003F08AD">
        <w:t xml:space="preserve"> Ph.D. candidate in </w:t>
      </w:r>
      <w:r w:rsidRPr="003F08AD" w:rsidR="00D52F85">
        <w:t>the History of Human Consciousness D</w:t>
      </w:r>
      <w:r w:rsidRPr="003F08AD">
        <w:t xml:space="preserve">epartment </w:t>
      </w:r>
      <w:r w:rsidRPr="003F08AD" w:rsidR="00D52F85">
        <w:t>in</w:t>
      </w:r>
      <w:r w:rsidRPr="003F08AD" w:rsidR="001F45C2">
        <w:t xml:space="preserve"> 2015</w:t>
      </w:r>
      <w:r w:rsidR="00AC3C3A">
        <w:t>,</w:t>
      </w:r>
      <w:r w:rsidRPr="003F08AD" w:rsidR="00E835A3">
        <w:t xml:space="preserve"> and </w:t>
      </w:r>
      <w:r w:rsidR="0004127E">
        <w:t>plaintiff</w:t>
      </w:r>
      <w:r w:rsidRPr="003F08AD" w:rsidR="000C2BE4">
        <w:t xml:space="preserve"> was his </w:t>
      </w:r>
      <w:r w:rsidR="0004127E">
        <w:t>adviser</w:t>
      </w:r>
      <w:r w:rsidRPr="003F08AD" w:rsidR="000C2BE4">
        <w:t xml:space="preserve">.  According to Patrick, </w:t>
      </w:r>
      <w:r w:rsidRPr="003F08AD" w:rsidR="00D929DB">
        <w:t xml:space="preserve">one afternoon </w:t>
      </w:r>
      <w:r w:rsidRPr="003F08AD" w:rsidR="001F45C2">
        <w:t xml:space="preserve">he visited </w:t>
      </w:r>
      <w:r w:rsidR="00427235">
        <w:t>plaintiff’s</w:t>
      </w:r>
      <w:r w:rsidRPr="003F08AD" w:rsidR="001F45C2">
        <w:t xml:space="preserve"> office to discuss </w:t>
      </w:r>
      <w:r w:rsidRPr="003F08AD">
        <w:t xml:space="preserve">his dissertation.  </w:t>
      </w:r>
      <w:r w:rsidRPr="003F08AD" w:rsidR="00E835A3">
        <w:t>The pair engaged in a heated dis</w:t>
      </w:r>
      <w:r w:rsidRPr="003F08AD" w:rsidR="001F45C2">
        <w:t>cussion</w:t>
      </w:r>
      <w:r w:rsidRPr="003F08AD" w:rsidR="00E835A3">
        <w:t xml:space="preserve"> regarding the appropriate direction of</w:t>
      </w:r>
      <w:r w:rsidRPr="003F08AD" w:rsidR="001F45C2">
        <w:t xml:space="preserve"> </w:t>
      </w:r>
      <w:r w:rsidRPr="003F08AD" w:rsidR="00D929DB">
        <w:t>Patrick</w:t>
      </w:r>
      <w:r w:rsidRPr="003F08AD" w:rsidR="00E835A3">
        <w:t xml:space="preserve">’s </w:t>
      </w:r>
      <w:r w:rsidRPr="003F08AD" w:rsidR="00D929DB">
        <w:t xml:space="preserve">dissertation.  </w:t>
      </w:r>
      <w:r w:rsidRPr="003F08AD" w:rsidR="00E835A3">
        <w:t xml:space="preserve">At some point, </w:t>
      </w:r>
      <w:r w:rsidR="00427235">
        <w:t>plaintiff</w:t>
      </w:r>
      <w:r w:rsidRPr="003F08AD" w:rsidR="00D52F85">
        <w:t xml:space="preserve"> </w:t>
      </w:r>
      <w:r w:rsidRPr="003F08AD" w:rsidR="001F45C2">
        <w:t>became verbally and physically aggressive</w:t>
      </w:r>
      <w:r w:rsidRPr="003F08AD" w:rsidR="00D929DB">
        <w:t xml:space="preserve">.  Patrick </w:t>
      </w:r>
      <w:r w:rsidRPr="003F08AD" w:rsidR="00D52F85">
        <w:t xml:space="preserve">protested and </w:t>
      </w:r>
      <w:r w:rsidRPr="003F08AD" w:rsidR="00D929DB">
        <w:t xml:space="preserve">tried to leave, </w:t>
      </w:r>
      <w:r w:rsidRPr="003F08AD" w:rsidR="00D52F85">
        <w:t xml:space="preserve">but </w:t>
      </w:r>
      <w:r w:rsidR="00427235">
        <w:t>plaintiff</w:t>
      </w:r>
      <w:r w:rsidRPr="003F08AD" w:rsidR="00D929DB">
        <w:t xml:space="preserve"> b</w:t>
      </w:r>
      <w:r w:rsidRPr="003F08AD" w:rsidR="001F45C2">
        <w:t xml:space="preserve">locked </w:t>
      </w:r>
      <w:r w:rsidRPr="003F08AD" w:rsidR="00D929DB">
        <w:t xml:space="preserve">him by </w:t>
      </w:r>
      <w:r w:rsidRPr="003F08AD" w:rsidR="001F45C2">
        <w:t>lung</w:t>
      </w:r>
      <w:r w:rsidRPr="003F08AD" w:rsidR="00D929DB">
        <w:t>ing</w:t>
      </w:r>
      <w:r w:rsidRPr="003F08AD" w:rsidR="001F45C2">
        <w:t xml:space="preserve"> </w:t>
      </w:r>
      <w:r w:rsidRPr="003F08AD" w:rsidR="00D929DB">
        <w:t xml:space="preserve">at </w:t>
      </w:r>
      <w:r w:rsidRPr="003F08AD" w:rsidR="00D52F85">
        <w:t xml:space="preserve">him </w:t>
      </w:r>
      <w:r w:rsidRPr="003F08AD" w:rsidR="00D929DB">
        <w:t>and</w:t>
      </w:r>
      <w:r w:rsidRPr="003F08AD" w:rsidR="001F45C2">
        <w:t xml:space="preserve"> aggressively grabb</w:t>
      </w:r>
      <w:r w:rsidRPr="003F08AD" w:rsidR="00D929DB">
        <w:t>ing</w:t>
      </w:r>
      <w:r w:rsidRPr="003F08AD" w:rsidR="001F45C2">
        <w:t xml:space="preserve"> him.</w:t>
      </w:r>
    </w:p>
    <w:p w:rsidR="00A21763" w:rsidRPr="003F08AD" w:rsidP="00CA5210" w14:paraId="6B84B9C9" w14:textId="79D701C1">
      <w:pPr>
        <w:tabs>
          <w:tab w:val="clear" w:pos="720"/>
        </w:tabs>
        <w:spacing w:line="360" w:lineRule="auto"/>
      </w:pPr>
      <w:r w:rsidRPr="003F08AD">
        <w:tab/>
        <w:t>Patrick reported th</w:t>
      </w:r>
      <w:r w:rsidRPr="003F08AD" w:rsidR="00376F46">
        <w:t>is</w:t>
      </w:r>
      <w:r w:rsidRPr="003F08AD">
        <w:t xml:space="preserve"> incident to Professor Dean Mathiowetz </w:t>
      </w:r>
      <w:r w:rsidRPr="003F08AD" w:rsidR="00376F46">
        <w:t xml:space="preserve">in November 2015 </w:t>
      </w:r>
      <w:r w:rsidRPr="003F08AD">
        <w:t>and later discussed it with</w:t>
      </w:r>
      <w:r w:rsidRPr="003F08AD" w:rsidR="00B40B50">
        <w:t xml:space="preserve"> the</w:t>
      </w:r>
      <w:r w:rsidRPr="003F08AD">
        <w:t xml:space="preserve"> </w:t>
      </w:r>
      <w:r w:rsidR="008C2D1B">
        <w:t>department’s chair</w:t>
      </w:r>
      <w:r w:rsidRPr="003F08AD" w:rsidR="00D929DB">
        <w:t xml:space="preserve">, </w:t>
      </w:r>
      <w:r w:rsidRPr="003F08AD" w:rsidR="00640408">
        <w:t>David</w:t>
      </w:r>
      <w:r w:rsidRPr="003F08AD">
        <w:t xml:space="preserve"> Marriott.  </w:t>
      </w:r>
      <w:r w:rsidR="00BB076B">
        <w:t>Marriott secured plaintiff’s</w:t>
      </w:r>
      <w:r w:rsidRPr="003F08AD">
        <w:t xml:space="preserve"> commitment </w:t>
      </w:r>
      <w:r w:rsidRPr="003F08AD" w:rsidR="00D929DB">
        <w:t>to</w:t>
      </w:r>
      <w:r w:rsidRPr="003F08AD">
        <w:t xml:space="preserve"> have </w:t>
      </w:r>
      <w:r w:rsidRPr="003F08AD" w:rsidR="00D929DB">
        <w:t xml:space="preserve">no </w:t>
      </w:r>
      <w:r w:rsidRPr="003F08AD">
        <w:t xml:space="preserve">contact with Patrick and assigned Patrick a new adviser. </w:t>
      </w:r>
      <w:r w:rsidRPr="003F08AD" w:rsidR="00867FC0">
        <w:t xml:space="preserve"> Despite this informal resolution, Patrick </w:t>
      </w:r>
      <w:r w:rsidRPr="003F08AD" w:rsidR="00E835A3">
        <w:t>ca</w:t>
      </w:r>
      <w:r w:rsidRPr="003F08AD" w:rsidR="00867FC0">
        <w:t>me forward with an official complaint after reading the publicity</w:t>
      </w:r>
      <w:r w:rsidR="00BB076B">
        <w:t>,</w:t>
      </w:r>
      <w:r w:rsidRPr="003F08AD" w:rsidR="00867FC0">
        <w:t xml:space="preserve"> in 2017</w:t>
      </w:r>
      <w:r w:rsidR="00BB076B">
        <w:t>,</w:t>
      </w:r>
      <w:r w:rsidRPr="003F08AD" w:rsidR="00867FC0">
        <w:t xml:space="preserve"> about </w:t>
      </w:r>
      <w:r w:rsidR="00BB076B">
        <w:t>plaintiff’s</w:t>
      </w:r>
      <w:r w:rsidRPr="003F08AD" w:rsidR="00867FC0">
        <w:t xml:space="preserve"> pattern of abus</w:t>
      </w:r>
      <w:r w:rsidRPr="003F08AD" w:rsidR="00B40B50">
        <w:t>ive behavior</w:t>
      </w:r>
      <w:r w:rsidRPr="003F08AD" w:rsidR="00867FC0">
        <w:t>.</w:t>
      </w:r>
    </w:p>
    <w:p w:rsidR="003F28B2" w:rsidRPr="003F08AD" w:rsidP="00CA5210" w14:paraId="06670378" w14:textId="486B40C6">
      <w:pPr>
        <w:tabs>
          <w:tab w:val="clear" w:pos="720"/>
        </w:tabs>
        <w:spacing w:line="360" w:lineRule="auto"/>
      </w:pPr>
      <w:r w:rsidRPr="003F08AD">
        <w:tab/>
      </w:r>
      <w:r w:rsidRPr="003F08AD" w:rsidR="00376F46">
        <w:t>T</w:t>
      </w:r>
      <w:r w:rsidRPr="003F08AD" w:rsidR="001F45C2">
        <w:t>he investigat</w:t>
      </w:r>
      <w:r w:rsidRPr="003F08AD" w:rsidR="00376F46">
        <w:t>or</w:t>
      </w:r>
      <w:r w:rsidRPr="003F08AD" w:rsidR="00E835A3">
        <w:t xml:space="preserve"> again</w:t>
      </w:r>
      <w:r w:rsidRPr="003F08AD" w:rsidR="009D2E0F">
        <w:t xml:space="preserve"> </w:t>
      </w:r>
      <w:r w:rsidRPr="003F08AD" w:rsidR="001F45C2">
        <w:t xml:space="preserve">found by a preponderance of the evidence that </w:t>
      </w:r>
      <w:r w:rsidR="006176A5">
        <w:t>plaintiff</w:t>
      </w:r>
      <w:r w:rsidRPr="003F08AD" w:rsidR="001F45C2">
        <w:t xml:space="preserve"> engaged in the alleged misconduct. </w:t>
      </w:r>
      <w:r w:rsidRPr="003F08AD" w:rsidR="000C2BE4">
        <w:t xml:space="preserve"> While </w:t>
      </w:r>
      <w:r w:rsidR="006176A5">
        <w:t>plaintiff’s</w:t>
      </w:r>
      <w:r w:rsidRPr="003F08AD" w:rsidR="000C2BE4">
        <w:t xml:space="preserve"> “overall intent may have been benign,” his </w:t>
      </w:r>
      <w:r w:rsidRPr="003F08AD" w:rsidR="00E54051">
        <w:t>advising approach</w:t>
      </w:r>
      <w:r w:rsidRPr="003F08AD" w:rsidR="000C2BE4">
        <w:t xml:space="preserve"> was detrimental to Patrick</w:t>
      </w:r>
      <w:r w:rsidRPr="003F08AD" w:rsidR="00622BD9">
        <w:t>.  Further,</w:t>
      </w:r>
      <w:r w:rsidRPr="003F08AD" w:rsidR="000C2BE4">
        <w:t xml:space="preserve"> Patrick</w:t>
      </w:r>
      <w:r w:rsidRPr="003F08AD" w:rsidR="00E54051">
        <w:t xml:space="preserve"> </w:t>
      </w:r>
      <w:r w:rsidRPr="003F08AD" w:rsidR="000C2BE4">
        <w:t xml:space="preserve">reasonably </w:t>
      </w:r>
      <w:r w:rsidRPr="003F08AD" w:rsidR="00E835A3">
        <w:t>viewed</w:t>
      </w:r>
      <w:r w:rsidRPr="003F08AD" w:rsidR="000C2BE4">
        <w:t xml:space="preserve"> </w:t>
      </w:r>
      <w:r w:rsidR="006176A5">
        <w:t>plaintiff’s</w:t>
      </w:r>
      <w:r w:rsidRPr="003F08AD" w:rsidR="00E54051">
        <w:t xml:space="preserve"> conduct as</w:t>
      </w:r>
      <w:r w:rsidRPr="003F08AD" w:rsidR="00122163">
        <w:t xml:space="preserve"> unwelcome</w:t>
      </w:r>
      <w:r w:rsidRPr="003F08AD" w:rsidR="00E54051">
        <w:t xml:space="preserve"> and</w:t>
      </w:r>
      <w:r w:rsidRPr="003F08AD" w:rsidR="00122163">
        <w:t xml:space="preserve"> physically aggressive.</w:t>
      </w:r>
    </w:p>
    <w:p w:rsidR="00991A78" w:rsidRPr="00EB1B04" w:rsidP="003D08E9" w14:paraId="537E2896" w14:textId="3CBBAEC9">
      <w:pPr>
        <w:pStyle w:val="ListParagraph"/>
        <w:keepNext/>
        <w:numPr>
          <w:ilvl w:val="0"/>
          <w:numId w:val="1"/>
        </w:numPr>
        <w:tabs>
          <w:tab w:val="clear" w:pos="720"/>
        </w:tabs>
        <w:spacing w:line="360" w:lineRule="auto"/>
        <w:ind w:hanging="720"/>
        <w:rPr>
          <w:b/>
          <w:bCs/>
          <w:i/>
          <w:iCs/>
        </w:rPr>
      </w:pPr>
      <w:r w:rsidRPr="00EB1B04">
        <w:rPr>
          <w:b/>
          <w:bCs/>
          <w:i/>
          <w:iCs/>
        </w:rPr>
        <w:t xml:space="preserve">The </w:t>
      </w:r>
      <w:r w:rsidRPr="00EB1B04" w:rsidR="00622BD9">
        <w:rPr>
          <w:b/>
          <w:bCs/>
          <w:i/>
          <w:iCs/>
        </w:rPr>
        <w:t xml:space="preserve">Four </w:t>
      </w:r>
      <w:r w:rsidRPr="00EB1B04">
        <w:rPr>
          <w:b/>
          <w:bCs/>
          <w:i/>
          <w:iCs/>
        </w:rPr>
        <w:t>Charges</w:t>
      </w:r>
      <w:r w:rsidRPr="00EB1B04" w:rsidR="00E54051">
        <w:rPr>
          <w:b/>
          <w:bCs/>
          <w:i/>
          <w:iCs/>
        </w:rPr>
        <w:t xml:space="preserve"> and </w:t>
      </w:r>
      <w:r w:rsidRPr="00EB1B04" w:rsidR="000C0E5E">
        <w:rPr>
          <w:b/>
          <w:bCs/>
          <w:i/>
          <w:iCs/>
        </w:rPr>
        <w:t>Administrative</w:t>
      </w:r>
      <w:r w:rsidRPr="00EB1B04" w:rsidR="00EE141C">
        <w:rPr>
          <w:b/>
          <w:bCs/>
          <w:i/>
          <w:iCs/>
        </w:rPr>
        <w:t xml:space="preserve"> Hearing</w:t>
      </w:r>
      <w:r w:rsidRPr="00EB1B04">
        <w:rPr>
          <w:b/>
          <w:bCs/>
          <w:i/>
          <w:iCs/>
        </w:rPr>
        <w:t>.</w:t>
      </w:r>
    </w:p>
    <w:p w:rsidR="000B550B" w:rsidRPr="003F08AD" w:rsidP="00EB1B04" w14:paraId="641943B5" w14:textId="6DE3D3EF">
      <w:pPr>
        <w:tabs>
          <w:tab w:val="clear" w:pos="720"/>
        </w:tabs>
        <w:spacing w:line="360" w:lineRule="auto"/>
      </w:pPr>
      <w:r w:rsidRPr="003F08AD">
        <w:tab/>
      </w:r>
      <w:r w:rsidRPr="003F08AD" w:rsidR="007D27CB">
        <w:t xml:space="preserve">The investigation reports were forwarded to the University’s </w:t>
      </w:r>
      <w:r w:rsidR="00104DD8">
        <w:t>Charges Committee</w:t>
      </w:r>
      <w:r w:rsidRPr="003F08AD" w:rsidR="007D27CB">
        <w:t xml:space="preserve"> to </w:t>
      </w:r>
      <w:r w:rsidRPr="003F08AD" w:rsidR="00376F46">
        <w:t>assess</w:t>
      </w:r>
      <w:r w:rsidRPr="003F08AD" w:rsidR="007D27CB">
        <w:t xml:space="preserve"> whether </w:t>
      </w:r>
      <w:r w:rsidRPr="003F08AD" w:rsidR="00EE141C">
        <w:t xml:space="preserve">there was </w:t>
      </w:r>
      <w:r w:rsidRPr="003F08AD" w:rsidR="007D27CB">
        <w:t>sufficient evidence to initiat</w:t>
      </w:r>
      <w:r w:rsidRPr="003F08AD" w:rsidR="00EE141C">
        <w:t>e</w:t>
      </w:r>
      <w:r w:rsidRPr="003F08AD" w:rsidR="007D27CB">
        <w:t xml:space="preserve"> disciplinary action.</w:t>
      </w:r>
    </w:p>
    <w:p w:rsidR="00032BD5" w:rsidRPr="003F08AD" w:rsidP="00EB1B04" w14:paraId="6FC35B74" w14:textId="06B541FB">
      <w:pPr>
        <w:tabs>
          <w:tab w:val="clear" w:pos="720"/>
        </w:tabs>
        <w:spacing w:line="360" w:lineRule="auto"/>
      </w:pPr>
      <w:r w:rsidRPr="003F08AD">
        <w:tab/>
      </w:r>
      <w:r w:rsidRPr="003F08AD" w:rsidR="00991A78">
        <w:t xml:space="preserve">On </w:t>
      </w:r>
      <w:r w:rsidR="00FF1E44">
        <w:t>November 9</w:t>
      </w:r>
      <w:r w:rsidRPr="003F08AD">
        <w:t>, 2018</w:t>
      </w:r>
      <w:r w:rsidRPr="003F08AD" w:rsidR="00991A78">
        <w:t xml:space="preserve">, the </w:t>
      </w:r>
      <w:r w:rsidR="00FF1E44">
        <w:t>Charges Committee</w:t>
      </w:r>
      <w:r w:rsidRPr="003F08AD" w:rsidR="00991A78">
        <w:t xml:space="preserve"> </w:t>
      </w:r>
      <w:r w:rsidRPr="003F08AD" w:rsidR="00EE141C">
        <w:t>found probable cause as to each</w:t>
      </w:r>
      <w:r w:rsidRPr="003F08AD" w:rsidR="00F05EB8">
        <w:t xml:space="preserve"> </w:t>
      </w:r>
      <w:r w:rsidRPr="003F08AD" w:rsidR="00EE141C">
        <w:t>complain</w:t>
      </w:r>
      <w:r w:rsidRPr="003F08AD" w:rsidR="006253CA">
        <w:t>an</w:t>
      </w:r>
      <w:r w:rsidRPr="003F08AD" w:rsidR="00EE141C">
        <w:t>t</w:t>
      </w:r>
      <w:r w:rsidRPr="003F08AD" w:rsidR="006253CA">
        <w:t>:</w:t>
      </w:r>
      <w:r w:rsidRPr="003F08AD" w:rsidR="00EE141C">
        <w:t xml:space="preserve"> </w:t>
      </w:r>
      <w:r w:rsidR="00FF1E44">
        <w:t xml:space="preserve"> </w:t>
      </w:r>
      <w:r w:rsidRPr="003F08AD" w:rsidR="001872B8">
        <w:t xml:space="preserve">Jane </w:t>
      </w:r>
      <w:r w:rsidRPr="003F08AD" w:rsidR="00EE141C">
        <w:t xml:space="preserve">Doe, </w:t>
      </w:r>
      <w:r w:rsidR="00D54A7F">
        <w:t>Anneliese H., Brian G., and Patrick M.</w:t>
      </w:r>
      <w:r w:rsidRPr="003F08AD" w:rsidR="00763971">
        <w:t xml:space="preserve"> </w:t>
      </w:r>
      <w:r w:rsidRPr="003F08AD" w:rsidR="001872B8">
        <w:t xml:space="preserve"> With respect to </w:t>
      </w:r>
      <w:r w:rsidRPr="003F08AD" w:rsidR="00EC30C9">
        <w:t xml:space="preserve">Doe, the </w:t>
      </w:r>
      <w:r w:rsidR="00047247">
        <w:t>Charges Committee</w:t>
      </w:r>
      <w:r w:rsidRPr="003F08AD" w:rsidR="00EC30C9">
        <w:t xml:space="preserve"> acknowledged the investigator did not substantiate a violation of the </w:t>
      </w:r>
      <w:r w:rsidR="00047247">
        <w:t>UCSC sexual harassment policy</w:t>
      </w:r>
      <w:r w:rsidRPr="003F08AD" w:rsidR="00EC30C9">
        <w:t xml:space="preserve"> because </w:t>
      </w:r>
      <w:r w:rsidRPr="003F08AD" w:rsidR="00C92F95">
        <w:t>Doe</w:t>
      </w:r>
      <w:r w:rsidRPr="003F08AD" w:rsidR="00EC30C9">
        <w:t xml:space="preserve"> was not a member of the University community.  </w:t>
      </w:r>
      <w:r w:rsidRPr="003F08AD" w:rsidR="00C92F95">
        <w:t>T</w:t>
      </w:r>
      <w:r w:rsidRPr="003F08AD" w:rsidR="00EC30C9">
        <w:t xml:space="preserve">he </w:t>
      </w:r>
      <w:r w:rsidR="00047247">
        <w:t>committee</w:t>
      </w:r>
      <w:r w:rsidRPr="003F08AD" w:rsidR="00EC30C9">
        <w:t xml:space="preserve"> </w:t>
      </w:r>
      <w:r w:rsidRPr="003F08AD" w:rsidR="00C92F95">
        <w:t xml:space="preserve">nonetheless </w:t>
      </w:r>
      <w:r w:rsidRPr="003F08AD" w:rsidR="00EC30C9">
        <w:t xml:space="preserve">found probable cause </w:t>
      </w:r>
      <w:r w:rsidRPr="003F08AD" w:rsidR="00C92F95">
        <w:t xml:space="preserve">under </w:t>
      </w:r>
      <w:r w:rsidR="007502C7">
        <w:t>part II of the University’s</w:t>
      </w:r>
      <w:r w:rsidRPr="003F08AD" w:rsidR="00C92F95">
        <w:t xml:space="preserve"> </w:t>
      </w:r>
      <w:r w:rsidRPr="003F08AD">
        <w:t>Faculty Code of Conduct</w:t>
      </w:r>
      <w:r w:rsidRPr="003F08AD" w:rsidR="00C92F95">
        <w:t xml:space="preserve"> </w:t>
      </w:r>
      <w:r w:rsidR="007502C7">
        <w:t>(APM</w:t>
      </w:r>
      <w:r w:rsidR="007502C7">
        <w:noBreakHyphen/>
        <w:t>015)</w:t>
      </w:r>
      <w:r w:rsidR="0094312E">
        <w:t>,</w:t>
      </w:r>
      <w:r>
        <w:rPr>
          <w:rStyle w:val="FootnoteReference"/>
        </w:rPr>
        <w:footnoteReference w:id="5"/>
      </w:r>
      <w:r w:rsidRPr="003F08AD">
        <w:t xml:space="preserve"> </w:t>
      </w:r>
      <w:r w:rsidRPr="009D33CD">
        <w:rPr>
          <w:i/>
          <w:iCs/>
        </w:rPr>
        <w:t>Professional Responsibilities, Ethical Principles, and Unacceptable Faculty Conduct</w:t>
      </w:r>
      <w:r w:rsidRPr="003F08AD">
        <w:t xml:space="preserve"> (</w:t>
      </w:r>
      <w:r w:rsidRPr="003F08AD" w:rsidR="00C92F95">
        <w:t xml:space="preserve">hereinafter, </w:t>
      </w:r>
      <w:r w:rsidRPr="003F08AD">
        <w:t xml:space="preserve">Faculty Code of Conduct, </w:t>
      </w:r>
      <w:r w:rsidR="00252565">
        <w:t>Part II</w:t>
      </w:r>
      <w:r w:rsidRPr="003F08AD">
        <w:t xml:space="preserve">), which permits faculty members to be disciplined </w:t>
      </w:r>
      <w:r w:rsidR="00544470">
        <w:t>“ ‘for</w:t>
      </w:r>
      <w:r w:rsidRPr="003F08AD">
        <w:t xml:space="preserve"> conduct which is not justified by the ethical principles</w:t>
      </w:r>
      <w:r w:rsidRPr="003F08AD" w:rsidR="00DD2AEB">
        <w:t>,</w:t>
      </w:r>
      <w:r w:rsidRPr="003F08AD">
        <w:t xml:space="preserve"> and which significantly impairs the University’s central functions as set forth in the </w:t>
      </w:r>
      <w:r w:rsidR="00544470">
        <w:t>Preamble.’ . . . ‘Other</w:t>
      </w:r>
      <w:r w:rsidRPr="003F08AD">
        <w:t xml:space="preserve"> types of serious misconduct, not specifically enumerated herein, may nonetheless be the basis for disciplinary action [if they also meet the preceding </w:t>
      </w:r>
      <w:r w:rsidR="00B44AFF">
        <w:t>standards] . . . .</w:t>
      </w:r>
      <w:r w:rsidRPr="003F08AD">
        <w:t>”</w:t>
      </w:r>
      <w:r>
        <w:rPr>
          <w:rStyle w:val="FootnoteReference"/>
        </w:rPr>
        <w:footnoteReference w:id="6"/>
      </w:r>
    </w:p>
    <w:p w:rsidR="007234ED" w:rsidRPr="003F08AD" w:rsidP="00EB1B04" w14:paraId="0F8E0B86" w14:textId="208F7E58">
      <w:pPr>
        <w:tabs>
          <w:tab w:val="clear" w:pos="720"/>
        </w:tabs>
        <w:spacing w:line="360" w:lineRule="auto"/>
      </w:pPr>
      <w:r w:rsidRPr="003F08AD">
        <w:tab/>
      </w:r>
      <w:r w:rsidRPr="003F08AD" w:rsidR="00376F46">
        <w:t>Accordingly, o</w:t>
      </w:r>
      <w:r w:rsidRPr="003F08AD" w:rsidR="00307B75">
        <w:t xml:space="preserve">n </w:t>
      </w:r>
      <w:r w:rsidR="00D31542">
        <w:t>November 14</w:t>
      </w:r>
      <w:r w:rsidRPr="003F08AD" w:rsidR="00307B75">
        <w:t xml:space="preserve">, 2018, </w:t>
      </w:r>
      <w:r w:rsidR="00D31542">
        <w:t>EVC Tromp issued plaintiff a notice of intent to discipline</w:t>
      </w:r>
      <w:r w:rsidRPr="003F08AD" w:rsidR="00307B75">
        <w:t>.  In th</w:t>
      </w:r>
      <w:r w:rsidRPr="003F08AD">
        <w:t xml:space="preserve">e </w:t>
      </w:r>
      <w:r w:rsidR="00D31542">
        <w:t>notice, EVC Tromp</w:t>
      </w:r>
      <w:r w:rsidRPr="003F08AD" w:rsidR="00307B75">
        <w:t xml:space="preserve"> proposed </w:t>
      </w:r>
      <w:r w:rsidRPr="003F08AD">
        <w:t xml:space="preserve">that </w:t>
      </w:r>
      <w:r w:rsidR="00982734">
        <w:t>plaintiff</w:t>
      </w:r>
      <w:r w:rsidRPr="003F08AD">
        <w:t xml:space="preserve"> be dismissed and denied </w:t>
      </w:r>
      <w:r w:rsidR="00982734">
        <w:t>emeritus</w:t>
      </w:r>
      <w:r w:rsidRPr="003F08AD">
        <w:t xml:space="preserve"> status </w:t>
      </w:r>
      <w:r w:rsidRPr="003F08AD" w:rsidR="00307B75">
        <w:t>“based on the egregious nature of [</w:t>
      </w:r>
      <w:r w:rsidRPr="003F08AD">
        <w:t>his</w:t>
      </w:r>
      <w:r w:rsidRPr="003F08AD" w:rsidR="00307B75">
        <w:t xml:space="preserve">] </w:t>
      </w:r>
      <w:r w:rsidR="00B81450">
        <w:t>misconduct . . . .</w:t>
      </w:r>
      <w:r w:rsidRPr="003F08AD">
        <w:t xml:space="preserve">”  </w:t>
      </w:r>
      <w:r w:rsidRPr="003F08AD" w:rsidR="00307B75">
        <w:t xml:space="preserve">She also advised </w:t>
      </w:r>
      <w:r w:rsidR="00B81450">
        <w:t>plaintiff</w:t>
      </w:r>
      <w:r w:rsidRPr="003F08AD" w:rsidR="00307B75">
        <w:t xml:space="preserve"> </w:t>
      </w:r>
      <w:r w:rsidRPr="003F08AD" w:rsidR="00376F46">
        <w:t xml:space="preserve">of his </w:t>
      </w:r>
      <w:r w:rsidRPr="003F08AD" w:rsidR="00307B75">
        <w:t xml:space="preserve">right to a formal hearing </w:t>
      </w:r>
      <w:r w:rsidRPr="003F08AD" w:rsidR="005730A8">
        <w:t xml:space="preserve">under </w:t>
      </w:r>
      <w:r w:rsidR="00B81450">
        <w:t>academic senate bylaw 336</w:t>
      </w:r>
      <w:r w:rsidRPr="003F08AD" w:rsidR="005730A8">
        <w:t xml:space="preserve"> </w:t>
      </w:r>
      <w:r w:rsidRPr="003F08AD" w:rsidR="00307B75">
        <w:t xml:space="preserve">before the Committee on Privileges </w:t>
      </w:r>
      <w:r w:rsidR="003C26CA">
        <w:t>and Tenure (PT Committee)</w:t>
      </w:r>
      <w:r w:rsidRPr="003F08AD" w:rsidR="00307B75">
        <w:t xml:space="preserve"> </w:t>
      </w:r>
      <w:r w:rsidRPr="003F08AD">
        <w:t>prior to the imposition of any disciplinary sanction</w:t>
      </w:r>
      <w:r w:rsidRPr="003F08AD" w:rsidR="00307B75">
        <w:t>.</w:t>
      </w:r>
    </w:p>
    <w:p w:rsidR="001650EA" w:rsidRPr="003F08AD" w:rsidP="00EB1B04" w14:paraId="429D6365" w14:textId="726371BD">
      <w:pPr>
        <w:tabs>
          <w:tab w:val="clear" w:pos="720"/>
        </w:tabs>
        <w:spacing w:line="360" w:lineRule="auto"/>
      </w:pPr>
      <w:r w:rsidRPr="003F08AD">
        <w:tab/>
        <w:t>Th</w:t>
      </w:r>
      <w:r w:rsidRPr="003F08AD" w:rsidR="00B86556">
        <w:t>is formal</w:t>
      </w:r>
      <w:r w:rsidRPr="003F08AD">
        <w:t xml:space="preserve"> </w:t>
      </w:r>
      <w:r w:rsidRPr="003F08AD" w:rsidR="0006310F">
        <w:t xml:space="preserve">administrative </w:t>
      </w:r>
      <w:r w:rsidRPr="003F08AD">
        <w:t xml:space="preserve">hearing took place over five days in May 2019.  </w:t>
      </w:r>
      <w:r w:rsidRPr="003F08AD" w:rsidR="0006310F">
        <w:t>Initially</w:t>
      </w:r>
      <w:r w:rsidRPr="003F08AD">
        <w:t xml:space="preserve">, the </w:t>
      </w:r>
      <w:r w:rsidR="00531689">
        <w:t>PT Committee</w:t>
      </w:r>
      <w:r w:rsidRPr="003F08AD" w:rsidR="00375089">
        <w:t xml:space="preserve">, </w:t>
      </w:r>
      <w:r w:rsidRPr="003F08AD" w:rsidR="0006310F">
        <w:t xml:space="preserve">made up </w:t>
      </w:r>
      <w:r w:rsidRPr="003F08AD" w:rsidR="00375089">
        <w:t xml:space="preserve">of three </w:t>
      </w:r>
      <w:r w:rsidRPr="003F08AD" w:rsidR="0006310F">
        <w:t>U</w:t>
      </w:r>
      <w:r w:rsidRPr="003F08AD" w:rsidR="007234ED">
        <w:t>CSC</w:t>
      </w:r>
      <w:r w:rsidRPr="003F08AD" w:rsidR="0006310F">
        <w:t xml:space="preserve"> </w:t>
      </w:r>
      <w:r w:rsidRPr="003F08AD" w:rsidR="00375089">
        <w:t>professors,</w:t>
      </w:r>
      <w:r w:rsidRPr="003F08AD">
        <w:t xml:space="preserve"> heard and denied 12 </w:t>
      </w:r>
      <w:r w:rsidR="00531689">
        <w:t>prehearing</w:t>
      </w:r>
      <w:r w:rsidRPr="003F08AD">
        <w:t xml:space="preserve"> motions brought by </w:t>
      </w:r>
      <w:r w:rsidR="00AF1878">
        <w:t>plaintiff’s</w:t>
      </w:r>
      <w:r w:rsidRPr="003F08AD">
        <w:t xml:space="preserve"> counsel. </w:t>
      </w:r>
      <w:r w:rsidRPr="003F08AD" w:rsidR="007F42C4">
        <w:t xml:space="preserve"> </w:t>
      </w:r>
      <w:r w:rsidRPr="003F08AD" w:rsidR="0032493A">
        <w:t>The</w:t>
      </w:r>
      <w:r w:rsidRPr="003F08AD" w:rsidR="0006310F">
        <w:t xml:space="preserve"> </w:t>
      </w:r>
      <w:r w:rsidR="00682E0D">
        <w:t>committee</w:t>
      </w:r>
      <w:r w:rsidRPr="003F08AD" w:rsidR="0006310F">
        <w:t xml:space="preserve"> then heard</w:t>
      </w:r>
      <w:r w:rsidRPr="003F08AD" w:rsidR="0032493A">
        <w:t xml:space="preserve"> from 11 </w:t>
      </w:r>
      <w:r w:rsidRPr="003F08AD" w:rsidR="00EE141C">
        <w:t xml:space="preserve">University </w:t>
      </w:r>
      <w:r w:rsidRPr="003F08AD" w:rsidR="0032493A">
        <w:t>witnesses</w:t>
      </w:r>
      <w:r w:rsidRPr="003F08AD" w:rsidR="00D13DBF">
        <w:t>,</w:t>
      </w:r>
      <w:r>
        <w:rPr>
          <w:rStyle w:val="FootnoteReference"/>
        </w:rPr>
        <w:footnoteReference w:id="7"/>
      </w:r>
      <w:r w:rsidRPr="003F08AD" w:rsidR="007F42C4">
        <w:t xml:space="preserve"> </w:t>
      </w:r>
      <w:r w:rsidRPr="003F08AD" w:rsidR="00D13DBF">
        <w:t xml:space="preserve">including </w:t>
      </w:r>
      <w:r w:rsidR="00682E0D">
        <w:t>Witness 1</w:t>
      </w:r>
      <w:r w:rsidRPr="003F08AD" w:rsidR="00D3348B">
        <w:t xml:space="preserve"> in the Jane Doe case and </w:t>
      </w:r>
      <w:r w:rsidR="00682E0D">
        <w:t>Anneliese H.</w:t>
      </w:r>
      <w:r w:rsidRPr="003F08AD" w:rsidR="00D3348B">
        <w:t xml:space="preserve">, </w:t>
      </w:r>
      <w:r w:rsidRPr="003F08AD" w:rsidR="0006310F">
        <w:t xml:space="preserve">before </w:t>
      </w:r>
      <w:r w:rsidRPr="003F08AD" w:rsidR="0032493A">
        <w:t>issu</w:t>
      </w:r>
      <w:r w:rsidRPr="003F08AD" w:rsidR="0006310F">
        <w:t>ing</w:t>
      </w:r>
      <w:r w:rsidRPr="003F08AD" w:rsidR="0032493A">
        <w:t xml:space="preserve"> </w:t>
      </w:r>
      <w:r w:rsidRPr="003F08AD" w:rsidR="006E27F9">
        <w:t xml:space="preserve">its final </w:t>
      </w:r>
      <w:r w:rsidRPr="003F08AD" w:rsidR="0006310F">
        <w:t xml:space="preserve">report </w:t>
      </w:r>
      <w:r w:rsidRPr="003F08AD" w:rsidR="0032493A">
        <w:t xml:space="preserve">on </w:t>
      </w:r>
      <w:r w:rsidR="00682E0D">
        <w:t>July 18</w:t>
      </w:r>
      <w:r w:rsidRPr="003F08AD" w:rsidR="0032493A">
        <w:t>, 2019</w:t>
      </w:r>
      <w:r w:rsidRPr="003F08AD" w:rsidR="007F42C4">
        <w:t>.</w:t>
      </w:r>
    </w:p>
    <w:p w:rsidR="007F42C4" w:rsidRPr="003F08AD" w:rsidP="00EB1B04" w14:paraId="55B3D643" w14:textId="5E8FD629">
      <w:pPr>
        <w:tabs>
          <w:tab w:val="clear" w:pos="720"/>
        </w:tabs>
        <w:spacing w:line="360" w:lineRule="auto"/>
      </w:pPr>
      <w:r w:rsidRPr="003F08AD">
        <w:tab/>
        <w:t xml:space="preserve">With respect to </w:t>
      </w:r>
      <w:r w:rsidRPr="003F08AD" w:rsidR="00376F46">
        <w:t xml:space="preserve">Jane </w:t>
      </w:r>
      <w:r w:rsidRPr="003F08AD">
        <w:t xml:space="preserve">Doe, the </w:t>
      </w:r>
      <w:r w:rsidR="000C02DD">
        <w:t>PT Committee</w:t>
      </w:r>
      <w:r w:rsidRPr="003F08AD">
        <w:t xml:space="preserve"> found clear and convincing evidence that </w:t>
      </w:r>
      <w:r w:rsidR="00307DD5">
        <w:t>plaintiff</w:t>
      </w:r>
      <w:r w:rsidRPr="003F08AD">
        <w:t xml:space="preserve"> violated </w:t>
      </w:r>
      <w:r w:rsidRPr="003F08AD" w:rsidR="006671B9">
        <w:t xml:space="preserve">the </w:t>
      </w:r>
      <w:r w:rsidRPr="003F08AD">
        <w:t xml:space="preserve">Faculty Code of Conduct, </w:t>
      </w:r>
      <w:r w:rsidR="00307DD5">
        <w:t>Part II</w:t>
      </w:r>
      <w:r w:rsidRPr="003F08AD" w:rsidR="000B550B">
        <w:t>,</w:t>
      </w:r>
      <w:r w:rsidRPr="003F08AD">
        <w:t xml:space="preserve"> </w:t>
      </w:r>
      <w:r w:rsidRPr="003F08AD" w:rsidR="000B550B">
        <w:t>as there</w:t>
      </w:r>
      <w:r w:rsidRPr="003F08AD" w:rsidR="009A648B">
        <w:t xml:space="preserve"> was “no </w:t>
      </w:r>
      <w:r w:rsidRPr="003F08AD" w:rsidR="006E27F9">
        <w:t>question</w:t>
      </w:r>
      <w:r w:rsidRPr="003F08AD" w:rsidR="009A648B">
        <w:t xml:space="preserve">” his conduct toward Doe </w:t>
      </w:r>
      <w:r w:rsidRPr="003F08AD" w:rsidR="00E83E0A">
        <w:t xml:space="preserve">at an academic event </w:t>
      </w:r>
      <w:r w:rsidRPr="003F08AD" w:rsidR="009A648B">
        <w:t xml:space="preserve">was </w:t>
      </w:r>
      <w:r w:rsidRPr="003F08AD" w:rsidR="00376F46">
        <w:t xml:space="preserve">not </w:t>
      </w:r>
      <w:r w:rsidRPr="003F08AD" w:rsidR="009A648B">
        <w:t>justified by ethical principles</w:t>
      </w:r>
      <w:r w:rsidRPr="003F08AD" w:rsidR="00376F46">
        <w:t xml:space="preserve"> and </w:t>
      </w:r>
      <w:r w:rsidRPr="003F08AD" w:rsidR="009A648B">
        <w:t xml:space="preserve">undermined the University’s central function to </w:t>
      </w:r>
      <w:r w:rsidRPr="003F08AD" w:rsidR="006E27F9">
        <w:t xml:space="preserve">provide an environment </w:t>
      </w:r>
      <w:r w:rsidR="00307DD5">
        <w:t>“ ‘conducive</w:t>
      </w:r>
      <w:r w:rsidRPr="003F08AD" w:rsidR="006E27F9">
        <w:t xml:space="preserve"> to sharing, extending, and critically examining knowledge and values, and to furthering the search for </w:t>
      </w:r>
      <w:r w:rsidR="00307DD5">
        <w:t>wisdom.’ ”</w:t>
      </w:r>
    </w:p>
    <w:p w:rsidR="00675ADA" w:rsidRPr="003F08AD" w:rsidP="00EB1B04" w14:paraId="180DA3BA" w14:textId="62406799">
      <w:pPr>
        <w:tabs>
          <w:tab w:val="clear" w:pos="720"/>
        </w:tabs>
        <w:spacing w:line="360" w:lineRule="auto"/>
      </w:pPr>
      <w:r w:rsidRPr="003F08AD">
        <w:tab/>
      </w:r>
      <w:r w:rsidRPr="003F08AD" w:rsidR="00EE141C">
        <w:t>As to</w:t>
      </w:r>
      <w:r w:rsidRPr="003F08AD">
        <w:t xml:space="preserve"> </w:t>
      </w:r>
      <w:r w:rsidR="00F6642D">
        <w:t>Anneliese H., the PT </w:t>
      </w:r>
      <w:r w:rsidR="001F64C8">
        <w:t>Committee</w:t>
      </w:r>
      <w:r w:rsidRPr="003F08AD">
        <w:t xml:space="preserve"> found by clear and convincing evidence that </w:t>
      </w:r>
      <w:r w:rsidR="002A727B">
        <w:t>plaintiff’s</w:t>
      </w:r>
      <w:r w:rsidRPr="003F08AD" w:rsidR="00EE141C">
        <w:t xml:space="preserve"> conduct</w:t>
      </w:r>
      <w:r w:rsidRPr="003F08AD">
        <w:t xml:space="preserve"> violated</w:t>
      </w:r>
      <w:r w:rsidRPr="003F08AD" w:rsidR="00E45FF9">
        <w:t xml:space="preserve"> “</w:t>
      </w:r>
      <w:r w:rsidR="00C575DB">
        <w:t>APM 015 II.C.7:</w:t>
      </w:r>
      <w:r w:rsidR="007250D7">
        <w:t xml:space="preserve">  Serious</w:t>
      </w:r>
      <w:r w:rsidRPr="003F08AD" w:rsidR="00E45FF9">
        <w:t xml:space="preserve"> violation of University policies governing the professional conduct of faculty (specifically, the University Policy on Sexual Harassment, 2006)</w:t>
      </w:r>
      <w:r w:rsidRPr="003F08AD" w:rsidR="000B550B">
        <w:t>.</w:t>
      </w:r>
      <w:r w:rsidRPr="003F08AD" w:rsidR="00E45FF9">
        <w:t>”</w:t>
      </w:r>
      <w:r>
        <w:rPr>
          <w:rStyle w:val="FootnoteReference"/>
        </w:rPr>
        <w:footnoteReference w:id="8"/>
      </w:r>
      <w:r w:rsidRPr="003F08AD" w:rsidR="00E45FF9">
        <w:t xml:space="preserve">  </w:t>
      </w:r>
      <w:r w:rsidRPr="003F08AD" w:rsidR="00376F46">
        <w:t>It also found</w:t>
      </w:r>
      <w:r w:rsidRPr="003F08AD">
        <w:t xml:space="preserve"> “a close nexus” between </w:t>
      </w:r>
      <w:r w:rsidR="007250D7">
        <w:t>plaintiff</w:t>
      </w:r>
      <w:r w:rsidRPr="003F08AD">
        <w:t xml:space="preserve"> in his role as University representative and his conduct</w:t>
      </w:r>
      <w:r w:rsidRPr="003F08AD" w:rsidR="00640408">
        <w:t xml:space="preserve">, </w:t>
      </w:r>
      <w:r w:rsidRPr="003F08AD" w:rsidR="00376F46">
        <w:t>since</w:t>
      </w:r>
      <w:r w:rsidRPr="003F08AD">
        <w:t xml:space="preserve"> he was invited to the graduation party where he met </w:t>
      </w:r>
      <w:r w:rsidR="005D6F36">
        <w:t>Anneliese</w:t>
      </w:r>
      <w:r w:rsidRPr="003F08AD">
        <w:t xml:space="preserve"> by a student who </w:t>
      </w:r>
      <w:r w:rsidR="005D6F36">
        <w:t>sought</w:t>
      </w:r>
      <w:r w:rsidRPr="003F08AD">
        <w:t xml:space="preserve"> to foster his mentorship.  </w:t>
      </w:r>
      <w:r w:rsidRPr="003F08AD" w:rsidR="00640408">
        <w:t>Then</w:t>
      </w:r>
      <w:r w:rsidRPr="003F08AD">
        <w:t xml:space="preserve">, after using his professor status to </w:t>
      </w:r>
      <w:r w:rsidRPr="003F08AD" w:rsidR="00F05EB8">
        <w:t>connect</w:t>
      </w:r>
      <w:r w:rsidRPr="003F08AD">
        <w:t xml:space="preserve"> with these women, </w:t>
      </w:r>
      <w:r w:rsidR="0050322C">
        <w:t>plaintiff treated Anneliese</w:t>
      </w:r>
      <w:r w:rsidRPr="003F08AD">
        <w:t xml:space="preserve"> in an “unwelcome, deeply harm[ful]” </w:t>
      </w:r>
      <w:r w:rsidR="0050322C">
        <w:t>manner—conduct</w:t>
      </w:r>
      <w:r w:rsidRPr="003F08AD">
        <w:t xml:space="preserve"> </w:t>
      </w:r>
      <w:r w:rsidRPr="003F08AD" w:rsidR="000774FF">
        <w:t xml:space="preserve">that </w:t>
      </w:r>
      <w:r w:rsidRPr="003F08AD">
        <w:t xml:space="preserve">constituted a </w:t>
      </w:r>
      <w:r w:rsidR="0050322C">
        <w:t>“ ‘serious</w:t>
      </w:r>
      <w:r w:rsidRPr="003F08AD">
        <w:t xml:space="preserve"> violation of University policies governing the professional conduct of </w:t>
      </w:r>
      <w:r w:rsidR="0050322C">
        <w:t>faculty’</w:t>
      </w:r>
      <w:r w:rsidRPr="003F08AD">
        <w:t xml:space="preserve"> within the meaning of the </w:t>
      </w:r>
      <w:r w:rsidRPr="003F08AD" w:rsidR="000774FF">
        <w:t>[</w:t>
      </w:r>
      <w:r w:rsidRPr="003F08AD">
        <w:t>F</w:t>
      </w:r>
      <w:r w:rsidRPr="003F08AD" w:rsidR="000774FF">
        <w:t xml:space="preserve">aculty </w:t>
      </w:r>
      <w:r w:rsidRPr="003F08AD">
        <w:t>C</w:t>
      </w:r>
      <w:r w:rsidRPr="003F08AD" w:rsidR="000774FF">
        <w:t xml:space="preserve">ode of </w:t>
      </w:r>
      <w:r w:rsidRPr="003F08AD">
        <w:t>C</w:t>
      </w:r>
      <w:r w:rsidRPr="003F08AD" w:rsidR="000774FF">
        <w:t>onduct]</w:t>
      </w:r>
      <w:r w:rsidRPr="003F08AD">
        <w:t xml:space="preserve">, </w:t>
      </w:r>
      <w:r w:rsidR="0050322C">
        <w:t>APM 015 II.C.7.</w:t>
      </w:r>
      <w:r w:rsidRPr="003F08AD" w:rsidR="000774FF">
        <w:t>”</w:t>
      </w:r>
    </w:p>
    <w:p w:rsidR="005E13C5" w:rsidRPr="003F08AD" w:rsidP="00EB1B04" w14:paraId="1706C636" w14:textId="5BD33651">
      <w:pPr>
        <w:tabs>
          <w:tab w:val="clear" w:pos="720"/>
        </w:tabs>
        <w:spacing w:line="360" w:lineRule="auto"/>
      </w:pPr>
      <w:r w:rsidRPr="003F08AD">
        <w:tab/>
      </w:r>
      <w:r w:rsidRPr="003F08AD" w:rsidR="00EE141C">
        <w:t>T</w:t>
      </w:r>
      <w:r w:rsidRPr="003F08AD">
        <w:t xml:space="preserve">he </w:t>
      </w:r>
      <w:r w:rsidR="00B77671">
        <w:t>PT Committee</w:t>
      </w:r>
      <w:r w:rsidRPr="003F08AD">
        <w:t xml:space="preserve"> </w:t>
      </w:r>
      <w:r w:rsidRPr="003F08AD" w:rsidR="00EE141C">
        <w:t xml:space="preserve">also </w:t>
      </w:r>
      <w:r w:rsidRPr="003F08AD">
        <w:t xml:space="preserve">found </w:t>
      </w:r>
      <w:r w:rsidR="00B77671">
        <w:t>plaintiff’s</w:t>
      </w:r>
      <w:r w:rsidRPr="003F08AD">
        <w:t xml:space="preserve"> conduct independently violated </w:t>
      </w:r>
      <w:r w:rsidRPr="003F08AD" w:rsidR="00640408">
        <w:t xml:space="preserve">other </w:t>
      </w:r>
      <w:r w:rsidRPr="003F08AD">
        <w:t>Faculty Code of Conduct</w:t>
      </w:r>
      <w:r w:rsidRPr="003F08AD" w:rsidR="00640408">
        <w:t xml:space="preserve"> provisions</w:t>
      </w:r>
      <w:r w:rsidRPr="003F08AD">
        <w:t xml:space="preserve">.  As in the case of </w:t>
      </w:r>
      <w:r w:rsidRPr="003F08AD" w:rsidR="006671B9">
        <w:t xml:space="preserve">Jane </w:t>
      </w:r>
      <w:r w:rsidRPr="003F08AD">
        <w:t xml:space="preserve">Doe, his </w:t>
      </w:r>
      <w:r w:rsidRPr="003F08AD" w:rsidR="006671B9">
        <w:t>sexual abuse</w:t>
      </w:r>
      <w:r w:rsidRPr="003F08AD">
        <w:t xml:space="preserve"> of </w:t>
      </w:r>
      <w:r w:rsidR="00991C4D">
        <w:t>Anneliese</w:t>
      </w:r>
      <w:r w:rsidRPr="003F08AD">
        <w:t xml:space="preserve"> was not justified by ethical principles and significantly impaired the University’s central functions</w:t>
      </w:r>
      <w:r w:rsidRPr="003F08AD" w:rsidR="006671B9">
        <w:t xml:space="preserve"> and, as such, violated the Faculty Code of Conduct, </w:t>
      </w:r>
      <w:r w:rsidR="00991C4D">
        <w:t>Part II</w:t>
      </w:r>
      <w:r w:rsidRPr="003F08AD">
        <w:t>.</w:t>
      </w:r>
    </w:p>
    <w:p w:rsidR="0079504B" w:rsidRPr="003F08AD" w:rsidP="00EB1B04" w14:paraId="781496CF" w14:textId="4B283D2D">
      <w:pPr>
        <w:tabs>
          <w:tab w:val="clear" w:pos="720"/>
        </w:tabs>
        <w:spacing w:line="360" w:lineRule="auto"/>
      </w:pPr>
      <w:r w:rsidRPr="003F08AD">
        <w:tab/>
      </w:r>
      <w:r w:rsidRPr="003F08AD" w:rsidR="009A648B">
        <w:t>With respect to</w:t>
      </w:r>
      <w:r w:rsidRPr="003F08AD">
        <w:t xml:space="preserve"> </w:t>
      </w:r>
      <w:r w:rsidR="00991C4D">
        <w:t>Brian G., the PT Committee</w:t>
      </w:r>
      <w:r w:rsidRPr="003F08AD">
        <w:t xml:space="preserve"> </w:t>
      </w:r>
      <w:r w:rsidRPr="003F08AD" w:rsidR="00640408">
        <w:t>found</w:t>
      </w:r>
      <w:r w:rsidRPr="003F08AD" w:rsidR="00E66141">
        <w:t xml:space="preserve"> evidence </w:t>
      </w:r>
      <w:r w:rsidRPr="003F08AD">
        <w:t xml:space="preserve">that </w:t>
      </w:r>
      <w:r w:rsidR="00991C4D">
        <w:t>plaintiff</w:t>
      </w:r>
      <w:r w:rsidRPr="003F08AD">
        <w:t xml:space="preserve"> violated the </w:t>
      </w:r>
      <w:r w:rsidRPr="003F08AD" w:rsidR="00E66141">
        <w:t>U</w:t>
      </w:r>
      <w:r w:rsidRPr="003F08AD">
        <w:t xml:space="preserve">niversity’s </w:t>
      </w:r>
      <w:r w:rsidR="00991C4D">
        <w:t>policy on substance abuse</w:t>
      </w:r>
      <w:r w:rsidRPr="003F08AD">
        <w:t xml:space="preserve"> </w:t>
      </w:r>
      <w:r w:rsidRPr="003F08AD" w:rsidR="009A648B">
        <w:t>by</w:t>
      </w:r>
      <w:r w:rsidRPr="003F08AD">
        <w:t xml:space="preserve"> knowingly provid</w:t>
      </w:r>
      <w:r w:rsidRPr="003F08AD" w:rsidR="009A648B">
        <w:t>ing</w:t>
      </w:r>
      <w:r w:rsidRPr="003F08AD">
        <w:t xml:space="preserve"> </w:t>
      </w:r>
      <w:r w:rsidRPr="003F08AD" w:rsidR="00640408">
        <w:t xml:space="preserve">him </w:t>
      </w:r>
      <w:r w:rsidRPr="003F08AD">
        <w:t xml:space="preserve">alcohol and cocaine.  </w:t>
      </w:r>
      <w:r w:rsidRPr="003F08AD" w:rsidR="006E27F9">
        <w:t xml:space="preserve">However, </w:t>
      </w:r>
      <w:r w:rsidRPr="003F08AD" w:rsidR="00E66141">
        <w:t xml:space="preserve">it concluded the evidence presented at the hearing did not meet the </w:t>
      </w:r>
      <w:r w:rsidRPr="003F08AD" w:rsidR="006E27F9">
        <w:t xml:space="preserve">clear and convincing </w:t>
      </w:r>
      <w:r w:rsidRPr="003F08AD" w:rsidR="00E66141">
        <w:t>standard since Brian was vague as to key information</w:t>
      </w:r>
      <w:r w:rsidRPr="003F08AD" w:rsidR="00640408">
        <w:t>, including t</w:t>
      </w:r>
      <w:r w:rsidRPr="003F08AD" w:rsidR="00E66141">
        <w:t xml:space="preserve">imes, </w:t>
      </w:r>
      <w:r w:rsidRPr="003F08AD" w:rsidR="00F05EB8">
        <w:t>persons,</w:t>
      </w:r>
      <w:r w:rsidRPr="003F08AD" w:rsidR="00E66141">
        <w:t xml:space="preserve"> and dates</w:t>
      </w:r>
      <w:r w:rsidRPr="003F08AD" w:rsidR="006E27F9">
        <w:t xml:space="preserve">. </w:t>
      </w:r>
      <w:r w:rsidRPr="003F08AD" w:rsidR="00E66141">
        <w:t xml:space="preserve"> Accordingly, this charge was dismissed.</w:t>
      </w:r>
    </w:p>
    <w:p w:rsidR="0079504B" w:rsidRPr="003F08AD" w:rsidP="00EB1B04" w14:paraId="25E01F19" w14:textId="61BFCA2D">
      <w:pPr>
        <w:tabs>
          <w:tab w:val="clear" w:pos="720"/>
        </w:tabs>
        <w:spacing w:line="360" w:lineRule="auto"/>
      </w:pPr>
      <w:r w:rsidRPr="003F08AD">
        <w:tab/>
      </w:r>
      <w:r w:rsidRPr="003F08AD" w:rsidR="00EC1823">
        <w:t xml:space="preserve">Lastly, the </w:t>
      </w:r>
      <w:r w:rsidR="000962D4">
        <w:t>PT Committee</w:t>
      </w:r>
      <w:r w:rsidRPr="003F08AD">
        <w:t xml:space="preserve"> </w:t>
      </w:r>
      <w:r w:rsidRPr="003F08AD" w:rsidR="0050570B">
        <w:t xml:space="preserve">dismissed the charge </w:t>
      </w:r>
      <w:r w:rsidRPr="003F08AD" w:rsidR="007234ED">
        <w:t xml:space="preserve">relating to </w:t>
      </w:r>
      <w:r w:rsidR="000962D4">
        <w:t>Patrick M.</w:t>
      </w:r>
      <w:r w:rsidRPr="003F08AD" w:rsidR="007234ED">
        <w:t xml:space="preserve"> </w:t>
      </w:r>
      <w:r w:rsidRPr="003F08AD" w:rsidR="0050570B">
        <w:t xml:space="preserve">based on the three-year </w:t>
      </w:r>
      <w:r w:rsidR="000962D4">
        <w:t>limitations period</w:t>
      </w:r>
      <w:r w:rsidRPr="003F08AD" w:rsidR="0050570B">
        <w:t xml:space="preserve"> set forth in the</w:t>
      </w:r>
      <w:r w:rsidRPr="003F08AD">
        <w:t xml:space="preserve"> </w:t>
      </w:r>
      <w:r w:rsidRPr="003F08AD" w:rsidR="00EC1823">
        <w:t>Faculty Code of Conduct</w:t>
      </w:r>
      <w:r w:rsidRPr="003F08AD" w:rsidR="0050570B">
        <w:t>.</w:t>
      </w:r>
      <w:r>
        <w:rPr>
          <w:rStyle w:val="FootnoteReference"/>
        </w:rPr>
        <w:footnoteReference w:id="9"/>
      </w:r>
    </w:p>
    <w:p w:rsidR="0079504B" w:rsidRPr="003F08AD" w:rsidP="00EB1B04" w14:paraId="170E8D92" w14:textId="15BC1098">
      <w:pPr>
        <w:tabs>
          <w:tab w:val="clear" w:pos="720"/>
        </w:tabs>
        <w:spacing w:line="360" w:lineRule="auto"/>
      </w:pPr>
      <w:r w:rsidRPr="003F08AD">
        <w:tab/>
      </w:r>
      <w:r w:rsidRPr="003F08AD" w:rsidR="00640408">
        <w:t xml:space="preserve">Thus, </w:t>
      </w:r>
      <w:r w:rsidRPr="003F08AD" w:rsidR="00D75D8B">
        <w:t xml:space="preserve">having </w:t>
      </w:r>
      <w:r w:rsidRPr="003F08AD" w:rsidR="006710DE">
        <w:t xml:space="preserve">unanimously </w:t>
      </w:r>
      <w:r w:rsidRPr="003F08AD" w:rsidR="001C2F94">
        <w:t xml:space="preserve">found </w:t>
      </w:r>
      <w:r w:rsidR="006A05DF">
        <w:t>plaintiff</w:t>
      </w:r>
      <w:r w:rsidRPr="003F08AD" w:rsidR="0054066E">
        <w:t xml:space="preserve"> committed</w:t>
      </w:r>
      <w:r w:rsidRPr="003F08AD" w:rsidR="001C2F94">
        <w:t xml:space="preserve"> </w:t>
      </w:r>
      <w:r w:rsidRPr="003F08AD" w:rsidR="0054066E">
        <w:t>serious</w:t>
      </w:r>
      <w:r w:rsidRPr="003F08AD">
        <w:t xml:space="preserve"> violat</w:t>
      </w:r>
      <w:r w:rsidRPr="003F08AD" w:rsidR="0054066E">
        <w:t xml:space="preserve">ions of </w:t>
      </w:r>
      <w:r w:rsidRPr="003F08AD">
        <w:t>the F</w:t>
      </w:r>
      <w:r w:rsidRPr="003F08AD" w:rsidR="0054066E">
        <w:t xml:space="preserve">aculty </w:t>
      </w:r>
      <w:r w:rsidRPr="003F08AD">
        <w:t>C</w:t>
      </w:r>
      <w:r w:rsidRPr="003F08AD" w:rsidR="0054066E">
        <w:t xml:space="preserve">ode of </w:t>
      </w:r>
      <w:r w:rsidRPr="003F08AD">
        <w:t>C</w:t>
      </w:r>
      <w:r w:rsidRPr="003F08AD" w:rsidR="0054066E">
        <w:t>onduct</w:t>
      </w:r>
      <w:r w:rsidRPr="003F08AD" w:rsidR="00640408">
        <w:t xml:space="preserve"> in the cases of Doe and </w:t>
      </w:r>
      <w:r w:rsidR="006A05DF">
        <w:t>Anneliese H., the PT Committee</w:t>
      </w:r>
      <w:r w:rsidRPr="003F08AD" w:rsidR="00D75D8B">
        <w:t xml:space="preserve"> recommended </w:t>
      </w:r>
      <w:r w:rsidRPr="003F08AD" w:rsidR="007234ED">
        <w:t xml:space="preserve">his </w:t>
      </w:r>
      <w:r w:rsidRPr="003F08AD">
        <w:t xml:space="preserve">dismissal and denial of </w:t>
      </w:r>
      <w:r w:rsidR="006A05DF">
        <w:t>emeritus</w:t>
      </w:r>
      <w:r w:rsidRPr="003F08AD">
        <w:t xml:space="preserve"> status.</w:t>
      </w:r>
    </w:p>
    <w:p w:rsidR="0054066E" w:rsidRPr="00D85411" w:rsidP="00FE47AA" w14:paraId="585EEB5F" w14:textId="75E65F56">
      <w:pPr>
        <w:pStyle w:val="ListParagraph"/>
        <w:keepNext/>
        <w:numPr>
          <w:ilvl w:val="0"/>
          <w:numId w:val="1"/>
        </w:numPr>
        <w:tabs>
          <w:tab w:val="clear" w:pos="720"/>
        </w:tabs>
        <w:spacing w:line="360" w:lineRule="auto"/>
        <w:ind w:hanging="720"/>
        <w:rPr>
          <w:b/>
          <w:bCs/>
          <w:i/>
          <w:iCs/>
        </w:rPr>
      </w:pPr>
      <w:r w:rsidRPr="00D85411">
        <w:rPr>
          <w:b/>
          <w:bCs/>
          <w:i/>
          <w:iCs/>
        </w:rPr>
        <w:t>Plaintiff’s</w:t>
      </w:r>
      <w:r w:rsidRPr="00D85411" w:rsidR="0098161E">
        <w:rPr>
          <w:b/>
          <w:bCs/>
          <w:i/>
          <w:iCs/>
        </w:rPr>
        <w:t xml:space="preserve"> Dismissal and Denial of Emeritus Status.</w:t>
      </w:r>
    </w:p>
    <w:p w:rsidR="00D352F7" w:rsidRPr="003F08AD" w:rsidP="00FE47AA" w14:paraId="10BD445D" w14:textId="5BE1D6E5">
      <w:pPr>
        <w:tabs>
          <w:tab w:val="clear" w:pos="720"/>
        </w:tabs>
        <w:spacing w:line="360" w:lineRule="auto"/>
      </w:pPr>
      <w:r w:rsidRPr="003F08AD">
        <w:tab/>
      </w:r>
      <w:r w:rsidRPr="003F08AD" w:rsidR="0098161E">
        <w:t xml:space="preserve">On </w:t>
      </w:r>
      <w:r w:rsidR="006A05DF">
        <w:t>August 15</w:t>
      </w:r>
      <w:r w:rsidRPr="003F08AD" w:rsidR="0098161E">
        <w:t>, 2019, U</w:t>
      </w:r>
      <w:r w:rsidRPr="003F08AD" w:rsidR="006710DE">
        <w:t>CSC</w:t>
      </w:r>
      <w:r w:rsidRPr="003F08AD" w:rsidR="0098161E">
        <w:t xml:space="preserve"> Chancellor </w:t>
      </w:r>
      <w:r w:rsidR="00350F6B">
        <w:t>Cynthia K.</w:t>
      </w:r>
      <w:r w:rsidRPr="003F08AD" w:rsidR="0098161E">
        <w:t xml:space="preserve"> Larive</w:t>
      </w:r>
      <w:r w:rsidRPr="003F08AD" w:rsidR="00F33B67">
        <w:t xml:space="preserve"> </w:t>
      </w:r>
      <w:r w:rsidR="00350F6B">
        <w:t xml:space="preserve">notified plaintiff that she had </w:t>
      </w:r>
      <w:r w:rsidRPr="003F08AD" w:rsidR="0098161E">
        <w:t>adopted the unanimous findings and recommendation</w:t>
      </w:r>
      <w:r w:rsidRPr="003F08AD" w:rsidR="00827372">
        <w:t>s</w:t>
      </w:r>
      <w:r w:rsidRPr="003F08AD" w:rsidR="0098161E">
        <w:t xml:space="preserve"> of </w:t>
      </w:r>
      <w:r w:rsidRPr="003F08AD" w:rsidR="00827372">
        <w:t xml:space="preserve">dismissal and denial of </w:t>
      </w:r>
      <w:r w:rsidR="00350F6B">
        <w:t>emeritus</w:t>
      </w:r>
      <w:r w:rsidRPr="003F08AD" w:rsidR="00827372">
        <w:t xml:space="preserve"> status </w:t>
      </w:r>
      <w:r w:rsidRPr="003F08AD" w:rsidR="0098161E">
        <w:t>set forth in th</w:t>
      </w:r>
      <w:r w:rsidRPr="003F08AD" w:rsidR="0006310F">
        <w:t>e</w:t>
      </w:r>
      <w:r w:rsidRPr="003F08AD" w:rsidR="0098161E">
        <w:t xml:space="preserve"> </w:t>
      </w:r>
      <w:r w:rsidR="00350F6B">
        <w:t>PT Committee’s</w:t>
      </w:r>
      <w:r w:rsidRPr="003F08AD" w:rsidR="00827372">
        <w:t xml:space="preserve"> </w:t>
      </w:r>
      <w:r w:rsidRPr="003F08AD" w:rsidR="0098161E">
        <w:t>July 2019</w:t>
      </w:r>
      <w:r w:rsidRPr="003F08AD" w:rsidR="0006310F">
        <w:t xml:space="preserve"> report</w:t>
      </w:r>
      <w:r w:rsidRPr="003F08AD" w:rsidR="0098161E">
        <w:t xml:space="preserve">.  Chancellor Larive </w:t>
      </w:r>
      <w:r w:rsidRPr="003F08AD" w:rsidR="0006310F">
        <w:t>also</w:t>
      </w:r>
      <w:r w:rsidRPr="003F08AD" w:rsidR="0098161E">
        <w:t xml:space="preserve"> imposed the </w:t>
      </w:r>
      <w:r w:rsidRPr="003F08AD" w:rsidR="006253CA">
        <w:t xml:space="preserve">interim </w:t>
      </w:r>
      <w:r w:rsidRPr="003F08AD" w:rsidR="0098161E">
        <w:t xml:space="preserve">sanction of </w:t>
      </w:r>
      <w:r w:rsidRPr="003F08AD" w:rsidR="006253CA">
        <w:t>“</w:t>
      </w:r>
      <w:r w:rsidRPr="003F08AD" w:rsidR="0098161E">
        <w:t xml:space="preserve">suspension without pay effective with the date of this letter until the earlier of either: </w:t>
      </w:r>
      <w:r w:rsidR="000C1206">
        <w:t>1) dismissal</w:t>
      </w:r>
      <w:r w:rsidRPr="003F08AD" w:rsidR="0098161E">
        <w:t xml:space="preserve"> pursuant to my recommendation; or </w:t>
      </w:r>
      <w:r w:rsidR="000C1206">
        <w:t>2) twenty (20)</w:t>
      </w:r>
      <w:r w:rsidRPr="003F08AD" w:rsidR="0098161E">
        <w:t xml:space="preserve"> years.”  </w:t>
      </w:r>
      <w:r w:rsidRPr="003F08AD" w:rsidR="00827372">
        <w:t xml:space="preserve">In doing so, </w:t>
      </w:r>
      <w:r w:rsidRPr="003F08AD" w:rsidR="0098161E">
        <w:t xml:space="preserve">Chancellor Larive </w:t>
      </w:r>
      <w:r w:rsidRPr="003F08AD" w:rsidR="00827372">
        <w:t xml:space="preserve">informed </w:t>
      </w:r>
      <w:r w:rsidR="00206786">
        <w:t>plaintiff</w:t>
      </w:r>
      <w:r w:rsidRPr="003F08AD" w:rsidR="0098161E">
        <w:t xml:space="preserve"> that, while “not relevant to my recommendations to the President and Regents, or the exercise of my authority under [the </w:t>
      </w:r>
      <w:r w:rsidR="000C1206">
        <w:t>academic senate bylaws</w:t>
      </w:r>
      <w:r w:rsidRPr="003F08AD" w:rsidR="0098161E">
        <w:t xml:space="preserve">], it is notable that the record before me is devoid of any acknowledgement from </w:t>
      </w:r>
      <w:r w:rsidRPr="003F08AD" w:rsidR="006253CA">
        <w:t>you</w:t>
      </w:r>
      <w:r w:rsidRPr="003F08AD" w:rsidR="0098161E">
        <w:t xml:space="preserve"> about </w:t>
      </w:r>
      <w:r w:rsidRPr="003F08AD" w:rsidR="006253CA">
        <w:t>your</w:t>
      </w:r>
      <w:r w:rsidRPr="003F08AD" w:rsidR="0098161E">
        <w:t xml:space="preserve"> behavior or the detrimental impacts of </w:t>
      </w:r>
      <w:r w:rsidRPr="003F08AD" w:rsidR="006253CA">
        <w:t>your</w:t>
      </w:r>
      <w:r w:rsidRPr="003F08AD" w:rsidR="0098161E">
        <w:t xml:space="preserve"> misconduct on the direct victims or the University.”</w:t>
      </w:r>
    </w:p>
    <w:p w:rsidR="00D73D01" w:rsidRPr="003F08AD" w:rsidP="00FE47AA" w14:paraId="4288F5EA" w14:textId="6302A793">
      <w:pPr>
        <w:tabs>
          <w:tab w:val="clear" w:pos="720"/>
        </w:tabs>
        <w:spacing w:line="360" w:lineRule="auto"/>
      </w:pPr>
      <w:r w:rsidRPr="003F08AD">
        <w:tab/>
        <w:t xml:space="preserve">On </w:t>
      </w:r>
      <w:r w:rsidR="00BD31F5">
        <w:t>August 23</w:t>
      </w:r>
      <w:r w:rsidRPr="003F08AD" w:rsidR="002E63EB">
        <w:t xml:space="preserve">, 2019, University </w:t>
      </w:r>
      <w:r w:rsidRPr="003F08AD" w:rsidR="006253CA">
        <w:t xml:space="preserve">of California </w:t>
      </w:r>
      <w:r w:rsidRPr="003F08AD" w:rsidR="002E63EB">
        <w:t xml:space="preserve">President Janet Napolitano </w:t>
      </w:r>
      <w:r w:rsidRPr="003F08AD" w:rsidR="006253CA">
        <w:t>issued a decision</w:t>
      </w:r>
      <w:r w:rsidR="00BD31F5">
        <w:t>,</w:t>
      </w:r>
      <w:r w:rsidRPr="003F08AD" w:rsidR="006253CA">
        <w:t xml:space="preserve"> based on her </w:t>
      </w:r>
      <w:r w:rsidRPr="003F08AD" w:rsidR="00827372">
        <w:t xml:space="preserve">own </w:t>
      </w:r>
      <w:r w:rsidRPr="003F08AD" w:rsidR="006253CA">
        <w:t>independent review of the record</w:t>
      </w:r>
      <w:r w:rsidR="00BD31F5">
        <w:t>,</w:t>
      </w:r>
      <w:r w:rsidRPr="003F08AD" w:rsidR="006253CA">
        <w:t xml:space="preserve"> </w:t>
      </w:r>
      <w:r w:rsidRPr="003F08AD" w:rsidR="002E63EB">
        <w:t>recommend</w:t>
      </w:r>
      <w:r w:rsidRPr="003F08AD" w:rsidR="006253CA">
        <w:t>ing</w:t>
      </w:r>
      <w:r w:rsidRPr="003F08AD" w:rsidR="002E63EB">
        <w:t xml:space="preserve"> t</w:t>
      </w:r>
      <w:r w:rsidRPr="003F08AD" w:rsidR="00B94682">
        <w:t>hat</w:t>
      </w:r>
      <w:r w:rsidRPr="003F08AD" w:rsidR="002E63EB">
        <w:t xml:space="preserve"> </w:t>
      </w:r>
      <w:r w:rsidR="00ED7960">
        <w:t>the</w:t>
      </w:r>
      <w:r w:rsidRPr="003F08AD" w:rsidR="002E63EB">
        <w:t xml:space="preserve"> Regents </w:t>
      </w:r>
      <w:r w:rsidRPr="003F08AD" w:rsidR="00B94682">
        <w:t xml:space="preserve">dismiss </w:t>
      </w:r>
      <w:r w:rsidR="00BD31F5">
        <w:t>plaintiff</w:t>
      </w:r>
      <w:r w:rsidRPr="003F08AD" w:rsidR="002E63EB">
        <w:t xml:space="preserve"> from the </w:t>
      </w:r>
      <w:r w:rsidRPr="003F08AD" w:rsidR="006253CA">
        <w:t xml:space="preserve">University’s </w:t>
      </w:r>
      <w:r w:rsidRPr="003F08AD" w:rsidR="002E63EB">
        <w:t>employ.</w:t>
      </w:r>
      <w:r>
        <w:rPr>
          <w:rStyle w:val="FootnoteReference"/>
        </w:rPr>
        <w:footnoteReference w:id="10"/>
      </w:r>
    </w:p>
    <w:p w:rsidR="00611B83" w:rsidRPr="003F08AD" w:rsidP="00FE47AA" w14:paraId="119079A8" w14:textId="1011287C">
      <w:pPr>
        <w:tabs>
          <w:tab w:val="clear" w:pos="720"/>
        </w:tabs>
        <w:spacing w:line="360" w:lineRule="auto"/>
      </w:pPr>
      <w:r w:rsidRPr="003F08AD">
        <w:tab/>
      </w:r>
      <w:r w:rsidRPr="003F08AD" w:rsidR="00AD0734">
        <w:t xml:space="preserve">In September 2019, </w:t>
      </w:r>
      <w:r w:rsidR="00ED7960">
        <w:t>the</w:t>
      </w:r>
      <w:r w:rsidRPr="003F08AD" w:rsidR="00AD0734">
        <w:t xml:space="preserve"> Regents held a meeting </w:t>
      </w:r>
      <w:r w:rsidRPr="003F08AD" w:rsidR="006253CA">
        <w:t>to</w:t>
      </w:r>
      <w:r w:rsidRPr="003F08AD" w:rsidR="00AD0734">
        <w:t xml:space="preserve"> consider President Napolitano’s recommendation </w:t>
      </w:r>
      <w:r w:rsidRPr="003F08AD" w:rsidR="003F692C">
        <w:t>of</w:t>
      </w:r>
      <w:r w:rsidRPr="003F08AD" w:rsidR="00AD0734">
        <w:t xml:space="preserve"> dismiss</w:t>
      </w:r>
      <w:r w:rsidRPr="003F08AD" w:rsidR="003F692C">
        <w:t>al</w:t>
      </w:r>
      <w:r w:rsidRPr="003F08AD" w:rsidR="00AD0734">
        <w:t xml:space="preserve">.  </w:t>
      </w:r>
      <w:r w:rsidR="00744270">
        <w:t>Plaintiff</w:t>
      </w:r>
      <w:r w:rsidRPr="003F08AD" w:rsidR="00522494">
        <w:t xml:space="preserve"> did not avail himself of the opportunity to appear personally or through </w:t>
      </w:r>
      <w:r w:rsidRPr="003F08AD" w:rsidR="003F692C">
        <w:t>counsel</w:t>
      </w:r>
      <w:r w:rsidRPr="003F08AD" w:rsidR="00522494">
        <w:t>.  H</w:t>
      </w:r>
      <w:r w:rsidRPr="003F08AD" w:rsidR="006253CA">
        <w:t>e did, h</w:t>
      </w:r>
      <w:r w:rsidRPr="003F08AD" w:rsidR="00522494">
        <w:t>owever</w:t>
      </w:r>
      <w:r w:rsidRPr="003F08AD" w:rsidR="00AD0734">
        <w:t xml:space="preserve">, </w:t>
      </w:r>
      <w:r w:rsidRPr="003F08AD">
        <w:t>submit a written statement argu</w:t>
      </w:r>
      <w:r w:rsidRPr="003F08AD" w:rsidR="006253CA">
        <w:t>ing that</w:t>
      </w:r>
      <w:r w:rsidRPr="003F08AD">
        <w:t xml:space="preserve"> the University lacked jurisdiction to pursue either incident of sexual misconduct because the</w:t>
      </w:r>
      <w:r w:rsidRPr="003F08AD" w:rsidR="003F692C">
        <w:t>y</w:t>
      </w:r>
      <w:r w:rsidRPr="003F08AD">
        <w:t xml:space="preserve"> occurred off campus and involved </w:t>
      </w:r>
      <w:r w:rsidRPr="003F08AD" w:rsidR="003F692C">
        <w:t>nonstudents</w:t>
      </w:r>
      <w:r w:rsidRPr="003F08AD">
        <w:t xml:space="preserve">. </w:t>
      </w:r>
      <w:r w:rsidRPr="003F08AD" w:rsidR="00522494">
        <w:t xml:space="preserve"> At the meeting’s conclusion, </w:t>
      </w:r>
      <w:r w:rsidR="00ED7960">
        <w:t>the</w:t>
      </w:r>
      <w:r w:rsidRPr="003F08AD" w:rsidR="005730A8">
        <w:t xml:space="preserve"> Regents unanimously voted in favor of </w:t>
      </w:r>
      <w:r w:rsidR="00744270">
        <w:t>plaintiff’s</w:t>
      </w:r>
      <w:r w:rsidRPr="003F08AD" w:rsidR="005730A8">
        <w:t xml:space="preserve"> dismissal</w:t>
      </w:r>
      <w:r w:rsidRPr="003F08AD" w:rsidR="006253CA">
        <w:t xml:space="preserve"> and denial of </w:t>
      </w:r>
      <w:r w:rsidR="00744270">
        <w:t>emeritus</w:t>
      </w:r>
      <w:r w:rsidRPr="003F08AD" w:rsidR="006253CA">
        <w:t xml:space="preserve"> status</w:t>
      </w:r>
      <w:r w:rsidRPr="003F08AD" w:rsidR="005730A8">
        <w:t>.</w:t>
      </w:r>
    </w:p>
    <w:p w:rsidR="00611B83" w:rsidRPr="00ED7960" w:rsidP="003D08E9" w14:paraId="544A6B74" w14:textId="64A4EE3F">
      <w:pPr>
        <w:pStyle w:val="ListParagraph"/>
        <w:keepNext/>
        <w:numPr>
          <w:ilvl w:val="0"/>
          <w:numId w:val="1"/>
        </w:numPr>
        <w:tabs>
          <w:tab w:val="clear" w:pos="720"/>
        </w:tabs>
        <w:spacing w:line="360" w:lineRule="auto"/>
        <w:ind w:hanging="720"/>
        <w:rPr>
          <w:b/>
          <w:bCs/>
          <w:i/>
          <w:iCs/>
        </w:rPr>
      </w:pPr>
      <w:r w:rsidRPr="00ED7960">
        <w:rPr>
          <w:b/>
          <w:bCs/>
          <w:i/>
          <w:iCs/>
        </w:rPr>
        <w:t xml:space="preserve">Petition for </w:t>
      </w:r>
      <w:r w:rsidRPr="00ED7960" w:rsidR="00904CD9">
        <w:rPr>
          <w:b/>
          <w:bCs/>
          <w:i/>
          <w:iCs/>
        </w:rPr>
        <w:t>Writ of Administrative Manda</w:t>
      </w:r>
      <w:r w:rsidRPr="00ED7960" w:rsidR="006253CA">
        <w:rPr>
          <w:b/>
          <w:bCs/>
          <w:i/>
          <w:iCs/>
        </w:rPr>
        <w:t>te</w:t>
      </w:r>
      <w:r w:rsidRPr="00ED7960">
        <w:rPr>
          <w:b/>
          <w:bCs/>
          <w:i/>
          <w:iCs/>
        </w:rPr>
        <w:t>.</w:t>
      </w:r>
    </w:p>
    <w:p w:rsidR="0054066E" w:rsidRPr="003F08AD" w:rsidP="00C0144F" w14:paraId="47DE3C78" w14:textId="04EE95E9">
      <w:pPr>
        <w:tabs>
          <w:tab w:val="clear" w:pos="720"/>
        </w:tabs>
        <w:spacing w:line="360" w:lineRule="auto"/>
      </w:pPr>
      <w:r w:rsidRPr="003F08AD">
        <w:tab/>
        <w:t xml:space="preserve">On </w:t>
      </w:r>
      <w:r w:rsidR="00F51FEA">
        <w:t>October 2, 2020, plaintiff</w:t>
      </w:r>
      <w:r w:rsidRPr="003F08AD">
        <w:t xml:space="preserve"> filed </w:t>
      </w:r>
      <w:r w:rsidRPr="003F08AD" w:rsidR="00904CD9">
        <w:t xml:space="preserve">the operative third amended </w:t>
      </w:r>
      <w:r w:rsidRPr="003F08AD">
        <w:t xml:space="preserve">petition for </w:t>
      </w:r>
      <w:r w:rsidRPr="003F08AD" w:rsidR="00904CD9">
        <w:t>writ of administrative</w:t>
      </w:r>
      <w:r w:rsidRPr="003F08AD">
        <w:t xml:space="preserve"> manda</w:t>
      </w:r>
      <w:r w:rsidRPr="003F08AD" w:rsidR="006253CA">
        <w:t>te</w:t>
      </w:r>
      <w:r w:rsidRPr="003F08AD">
        <w:t xml:space="preserve"> in Alameda Superior Court.  </w:t>
      </w:r>
      <w:r w:rsidRPr="003F08AD" w:rsidR="003F692C">
        <w:t>A</w:t>
      </w:r>
      <w:r w:rsidRPr="003F08AD">
        <w:t xml:space="preserve"> hearing was held on </w:t>
      </w:r>
      <w:r w:rsidR="00F51FEA">
        <w:t>September 1</w:t>
      </w:r>
      <w:r w:rsidRPr="003F08AD" w:rsidR="00904CD9">
        <w:t>, 2021</w:t>
      </w:r>
      <w:r w:rsidRPr="003F08AD">
        <w:t xml:space="preserve">. </w:t>
      </w:r>
      <w:r w:rsidRPr="003F08AD" w:rsidR="00904CD9">
        <w:t xml:space="preserve"> </w:t>
      </w:r>
      <w:r w:rsidRPr="003F08AD" w:rsidR="003F692C">
        <w:t>Afterward, t</w:t>
      </w:r>
      <w:r w:rsidRPr="003F08AD">
        <w:t xml:space="preserve">he court denied </w:t>
      </w:r>
      <w:r w:rsidRPr="003F08AD" w:rsidR="003F692C">
        <w:t xml:space="preserve">the </w:t>
      </w:r>
      <w:r w:rsidR="00DF0F16">
        <w:t>petition, declining to set aside the administrative findings or sanction</w:t>
      </w:r>
      <w:r w:rsidRPr="003F08AD">
        <w:t>.  This timely appeal followed.</w:t>
      </w:r>
    </w:p>
    <w:p w:rsidR="005D5CFB" w:rsidRPr="003F08AD" w:rsidP="00C0144F" w14:paraId="1E8AE0ED" w14:textId="3C916FBD">
      <w:pPr>
        <w:keepNext/>
        <w:tabs>
          <w:tab w:val="clear" w:pos="720"/>
        </w:tabs>
        <w:spacing w:line="360" w:lineRule="auto"/>
        <w:jc w:val="center"/>
        <w:rPr>
          <w:b/>
          <w:bCs/>
        </w:rPr>
      </w:pPr>
      <w:r w:rsidRPr="003F08AD">
        <w:rPr>
          <w:b/>
          <w:bCs/>
        </w:rPr>
        <w:t>DISCUSSION</w:t>
      </w:r>
    </w:p>
    <w:p w:rsidR="006D345B" w:rsidRPr="003F08AD" w:rsidP="00C0144F" w14:paraId="1EFD6A8E" w14:textId="662A7F58">
      <w:pPr>
        <w:tabs>
          <w:tab w:val="clear" w:pos="720"/>
        </w:tabs>
        <w:spacing w:line="360" w:lineRule="auto"/>
      </w:pPr>
      <w:r w:rsidRPr="003F08AD">
        <w:tab/>
      </w:r>
      <w:r w:rsidR="00236569">
        <w:t>Plaintiff</w:t>
      </w:r>
      <w:r w:rsidRPr="003F08AD">
        <w:t xml:space="preserve"> </w:t>
      </w:r>
      <w:r w:rsidRPr="003F08AD" w:rsidR="00083DF4">
        <w:t>contends</w:t>
      </w:r>
      <w:r w:rsidRPr="003F08AD">
        <w:t xml:space="preserve"> on appeal: </w:t>
      </w:r>
      <w:r w:rsidR="00236569">
        <w:t>(1) the</w:t>
      </w:r>
      <w:r w:rsidRPr="003F08AD" w:rsidR="00083DF4">
        <w:t xml:space="preserve"> University lacked jurisdiction to discipline him </w:t>
      </w:r>
      <w:r w:rsidRPr="003F08AD">
        <w:t>with respect to</w:t>
      </w:r>
      <w:r w:rsidRPr="003F08AD" w:rsidR="00083DF4">
        <w:t xml:space="preserve"> Jane Doe or </w:t>
      </w:r>
      <w:r w:rsidR="00236569">
        <w:t>Anneliese H.</w:t>
      </w:r>
      <w:r w:rsidRPr="003F08AD" w:rsidR="00083DF4">
        <w:t xml:space="preserve"> </w:t>
      </w:r>
      <w:r w:rsidRPr="003F08AD">
        <w:t>because they were not University students</w:t>
      </w:r>
      <w:r w:rsidR="00EC1701">
        <w:t>; (2) in</w:t>
      </w:r>
      <w:r w:rsidRPr="003F08AD" w:rsidR="00C82CD0">
        <w:t xml:space="preserve"> the case of Jane Doe, </w:t>
      </w:r>
      <w:r w:rsidRPr="003F08AD" w:rsidR="006A452B">
        <w:t>he</w:t>
      </w:r>
      <w:r w:rsidRPr="003F08AD" w:rsidR="00083DF4">
        <w:t xml:space="preserve"> </w:t>
      </w:r>
      <w:r w:rsidRPr="003F08AD" w:rsidR="00C82CD0">
        <w:t xml:space="preserve">cannot be disciplined for </w:t>
      </w:r>
      <w:r w:rsidRPr="003F08AD" w:rsidR="00083DF4">
        <w:t>violat</w:t>
      </w:r>
      <w:r w:rsidRPr="003F08AD" w:rsidR="00C82CD0">
        <w:t>ing</w:t>
      </w:r>
      <w:r w:rsidRPr="003F08AD" w:rsidR="00083DF4">
        <w:t xml:space="preserve"> general ethical principles </w:t>
      </w:r>
      <w:r w:rsidRPr="003F08AD" w:rsidR="00C82CD0">
        <w:t>and there was no evidence his conduct</w:t>
      </w:r>
      <w:r w:rsidRPr="003F08AD" w:rsidR="00083DF4">
        <w:t xml:space="preserve"> significantly impaired the University’s central functions</w:t>
      </w:r>
      <w:r w:rsidR="00EC1701">
        <w:t>; (3) in</w:t>
      </w:r>
      <w:r w:rsidRPr="003F08AD" w:rsidR="00C82CD0">
        <w:t xml:space="preserve"> the case of</w:t>
      </w:r>
      <w:r w:rsidRPr="003F08AD" w:rsidR="00083DF4">
        <w:t xml:space="preserve"> </w:t>
      </w:r>
      <w:r w:rsidR="00EC1701">
        <w:t>Anneliese H.</w:t>
      </w:r>
      <w:r w:rsidRPr="003F08AD" w:rsidR="00C82CD0">
        <w:t>, he cannot be disciplined for</w:t>
      </w:r>
      <w:r w:rsidRPr="003F08AD" w:rsidR="00083DF4">
        <w:t xml:space="preserve"> violat</w:t>
      </w:r>
      <w:r w:rsidRPr="003F08AD" w:rsidR="00C82CD0">
        <w:t>ing</w:t>
      </w:r>
      <w:r w:rsidRPr="003F08AD" w:rsidR="00083DF4">
        <w:t xml:space="preserve"> </w:t>
      </w:r>
      <w:r w:rsidRPr="003F08AD" w:rsidR="006A452B">
        <w:t xml:space="preserve">uncharged </w:t>
      </w:r>
      <w:r w:rsidRPr="003F08AD" w:rsidR="00083DF4">
        <w:t>provisions of the Faculty Code of Conduct</w:t>
      </w:r>
      <w:r w:rsidRPr="003F08AD" w:rsidR="00761CF9">
        <w:t xml:space="preserve"> for which he </w:t>
      </w:r>
      <w:r w:rsidRPr="003F08AD" w:rsidR="00D74647">
        <w:t>did not receive</w:t>
      </w:r>
      <w:r w:rsidRPr="003F08AD" w:rsidR="00761CF9">
        <w:t xml:space="preserve"> notice</w:t>
      </w:r>
      <w:r w:rsidR="00614D10">
        <w:t>; and (4) the</w:t>
      </w:r>
      <w:r w:rsidRPr="003F08AD" w:rsidR="00083DF4">
        <w:t xml:space="preserve"> sanctions of dismissal and denial of </w:t>
      </w:r>
      <w:r w:rsidR="00614D10">
        <w:t>emeritus</w:t>
      </w:r>
      <w:r w:rsidRPr="003F08AD" w:rsidR="00083DF4">
        <w:t xml:space="preserve"> status </w:t>
      </w:r>
      <w:r w:rsidRPr="003F08AD" w:rsidR="00B94682">
        <w:t>we</w:t>
      </w:r>
      <w:r w:rsidRPr="003F08AD" w:rsidR="00C82CD0">
        <w:t>re</w:t>
      </w:r>
      <w:r w:rsidRPr="003F08AD" w:rsidR="00083DF4">
        <w:t xml:space="preserve"> excessive.</w:t>
      </w:r>
      <w:r w:rsidRPr="003F08AD">
        <w:t xml:space="preserve">  We address these contentions </w:t>
      </w:r>
      <w:r w:rsidRPr="003F08AD" w:rsidR="00B94682">
        <w:rPr>
          <w:i/>
          <w:iCs/>
        </w:rPr>
        <w:t>post</w:t>
      </w:r>
      <w:r w:rsidR="00614D10">
        <w:t>,</w:t>
      </w:r>
      <w:r w:rsidRPr="003F08AD" w:rsidR="00B94682">
        <w:t xml:space="preserve"> </w:t>
      </w:r>
      <w:r w:rsidRPr="003F08AD">
        <w:t xml:space="preserve">in </w:t>
      </w:r>
      <w:r w:rsidRPr="003F08AD" w:rsidR="002D32C6">
        <w:t>appropriate order</w:t>
      </w:r>
      <w:r w:rsidRPr="003F08AD">
        <w:t>.</w:t>
      </w:r>
      <w:r>
        <w:rPr>
          <w:rStyle w:val="FootnoteReference"/>
        </w:rPr>
        <w:footnoteReference w:id="11"/>
      </w:r>
    </w:p>
    <w:p w:rsidR="00365079" w:rsidRPr="00C0144F" w:rsidP="009A06D3" w14:paraId="3DCEF95A" w14:textId="098A796D">
      <w:pPr>
        <w:pStyle w:val="ListParagraph"/>
        <w:keepNext/>
        <w:numPr>
          <w:ilvl w:val="0"/>
          <w:numId w:val="3"/>
        </w:numPr>
        <w:tabs>
          <w:tab w:val="clear" w:pos="720"/>
        </w:tabs>
        <w:spacing w:line="360" w:lineRule="auto"/>
        <w:ind w:left="720"/>
        <w:rPr>
          <w:i/>
          <w:iCs/>
          <w:shd w:val="clear" w:color="auto" w:fill="FFFFFF"/>
        </w:rPr>
      </w:pPr>
      <w:r w:rsidRPr="00C0144F">
        <w:rPr>
          <w:b/>
          <w:bCs/>
          <w:i/>
          <w:iCs/>
          <w:shd w:val="clear" w:color="auto" w:fill="FFFFFF"/>
        </w:rPr>
        <w:t>Administrative Mandate: Standard of Review.</w:t>
      </w:r>
    </w:p>
    <w:p w:rsidR="00365079" w:rsidRPr="00C0144F" w:rsidP="00C0144F" w14:paraId="785A1D9C" w14:textId="4430E708">
      <w:pPr>
        <w:tabs>
          <w:tab w:val="clear" w:pos="720"/>
        </w:tabs>
        <w:spacing w:line="360" w:lineRule="auto"/>
        <w:rPr>
          <w:rStyle w:val="ssit"/>
          <w:i/>
          <w:iCs/>
          <w:bdr w:val="none" w:sz="0" w:space="0" w:color="auto" w:frame="1"/>
          <w:shd w:val="clear" w:color="auto" w:fill="FFFFFF"/>
        </w:rPr>
      </w:pPr>
      <w:r w:rsidRPr="00C0144F">
        <w:rPr>
          <w:shd w:val="clear" w:color="auto" w:fill="FFFFFF"/>
        </w:rPr>
        <w:tab/>
      </w:r>
      <w:r w:rsidRPr="00C0144F" w:rsidR="007842A3">
        <w:rPr>
          <w:shd w:val="clear" w:color="auto" w:fill="FFFFFF"/>
        </w:rPr>
        <w:t xml:space="preserve">“To prevail, a petitioner seeking a writ of administrative mandate must show the agency (in this case, </w:t>
      </w:r>
      <w:r w:rsidR="00A05575">
        <w:rPr>
          <w:shd w:val="clear" w:color="auto" w:fill="FFFFFF"/>
        </w:rPr>
        <w:t>[the University]</w:t>
      </w:r>
      <w:r w:rsidRPr="00C0144F" w:rsidR="00DD2AEB">
        <w:rPr>
          <w:shd w:val="clear" w:color="auto" w:fill="FFFFFF"/>
        </w:rPr>
        <w:t>)</w:t>
      </w:r>
      <w:r w:rsidRPr="00C0144F" w:rsidR="007842A3">
        <w:rPr>
          <w:shd w:val="clear" w:color="auto" w:fill="FFFFFF"/>
        </w:rPr>
        <w:t xml:space="preserve"> </w:t>
      </w:r>
      <w:r w:rsidR="00F36889">
        <w:rPr>
          <w:shd w:val="clear" w:color="auto" w:fill="FFFFFF"/>
        </w:rPr>
        <w:t>(1) acted</w:t>
      </w:r>
      <w:r w:rsidRPr="00C0144F" w:rsidR="007842A3">
        <w:rPr>
          <w:shd w:val="clear" w:color="auto" w:fill="FFFFFF"/>
        </w:rPr>
        <w:t xml:space="preserve"> without, or in excess of, its jurisdiction; </w:t>
      </w:r>
      <w:r w:rsidR="00D955AC">
        <w:rPr>
          <w:shd w:val="clear" w:color="auto" w:fill="FFFFFF"/>
        </w:rPr>
        <w:t>(2) deprived</w:t>
      </w:r>
      <w:r w:rsidRPr="00C0144F" w:rsidR="007842A3">
        <w:rPr>
          <w:shd w:val="clear" w:color="auto" w:fill="FFFFFF"/>
        </w:rPr>
        <w:t xml:space="preserve"> the petitioner of a fair administrative hearing; or </w:t>
      </w:r>
      <w:r w:rsidR="00D955AC">
        <w:rPr>
          <w:shd w:val="clear" w:color="auto" w:fill="FFFFFF"/>
        </w:rPr>
        <w:t>(3) committed</w:t>
      </w:r>
      <w:r w:rsidRPr="00C0144F" w:rsidR="007842A3">
        <w:rPr>
          <w:shd w:val="clear" w:color="auto" w:fill="FFFFFF"/>
        </w:rPr>
        <w:t xml:space="preserve"> a prejudicial abuse of discretion. </w:t>
      </w:r>
      <w:r w:rsidR="00D955AC">
        <w:rPr>
          <w:shd w:val="clear" w:color="auto" w:fill="FFFFFF"/>
        </w:rPr>
        <w:t xml:space="preserve"> </w:t>
      </w:r>
      <w:r w:rsidRPr="00C0144F" w:rsidR="007842A3">
        <w:rPr>
          <w:shd w:val="clear" w:color="auto" w:fill="FFFFFF"/>
        </w:rPr>
        <w:t xml:space="preserve">(§ 1094.5, subd. </w:t>
      </w:r>
      <w:r w:rsidR="00D955AC">
        <w:rPr>
          <w:shd w:val="clear" w:color="auto" w:fill="FFFFFF"/>
        </w:rPr>
        <w:t xml:space="preserve">(b); </w:t>
      </w:r>
      <w:r w:rsidR="00D955AC">
        <w:rPr>
          <w:i/>
          <w:iCs/>
          <w:shd w:val="clear" w:color="auto" w:fill="FFFFFF"/>
        </w:rPr>
        <w:t>Doe</w:t>
      </w:r>
      <w:r w:rsidRPr="00C0144F" w:rsidR="007842A3">
        <w:rPr>
          <w:i/>
          <w:iCs/>
          <w:shd w:val="clear" w:color="auto" w:fill="FFFFFF"/>
        </w:rPr>
        <w:t xml:space="preserve"> v. University of Southern California</w:t>
      </w:r>
      <w:r w:rsidRPr="00C0144F" w:rsidR="007842A3">
        <w:rPr>
          <w:shd w:val="clear" w:color="auto" w:fill="FFFFFF"/>
        </w:rPr>
        <w:t xml:space="preserve"> (2016) 246 Cal.App.4th 221, 239 [200 Cal.Rptr.3d 851] (</w:t>
      </w:r>
      <w:r w:rsidRPr="00C0144F" w:rsidR="007842A3">
        <w:rPr>
          <w:i/>
          <w:iCs/>
          <w:shd w:val="clear" w:color="auto" w:fill="FFFFFF"/>
        </w:rPr>
        <w:t xml:space="preserve">Southern </w:t>
      </w:r>
      <w:r w:rsidR="00D955AC">
        <w:rPr>
          <w:i/>
          <w:iCs/>
          <w:shd w:val="clear" w:color="auto" w:fill="FFFFFF"/>
        </w:rPr>
        <w:t>California I</w:t>
      </w:r>
      <w:r w:rsidR="00D955AC">
        <w:rPr>
          <w:shd w:val="clear" w:color="auto" w:fill="FFFFFF"/>
        </w:rPr>
        <w:t>) [</w:t>
      </w:r>
      <w:r w:rsidRPr="006A30DA" w:rsidR="00D955AC">
        <w:rPr>
          <w:shd w:val="clear" w:color="auto" w:fill="FFFFFF"/>
        </w:rPr>
        <w:t>§</w:t>
      </w:r>
      <w:r w:rsidR="00D955AC">
        <w:rPr>
          <w:shd w:val="clear" w:color="auto" w:fill="FFFFFF"/>
        </w:rPr>
        <w:t> 1094.5’s</w:t>
      </w:r>
      <w:r w:rsidRPr="00C0144F" w:rsidR="007842A3">
        <w:rPr>
          <w:shd w:val="clear" w:color="auto" w:fill="FFFFFF"/>
        </w:rPr>
        <w:t xml:space="preserve"> ‘fair trial’ requirement means there must be a fair administrative hearing].) </w:t>
      </w:r>
      <w:r w:rsidR="003C1581">
        <w:rPr>
          <w:shd w:val="clear" w:color="auto" w:fill="FFFFFF"/>
        </w:rPr>
        <w:t xml:space="preserve"> </w:t>
      </w:r>
      <w:r w:rsidRPr="00C0144F" w:rsidR="007842A3">
        <w:rPr>
          <w:shd w:val="clear" w:color="auto" w:fill="FFFFFF"/>
        </w:rPr>
        <w:t xml:space="preserve">[Fn. </w:t>
      </w:r>
      <w:r w:rsidR="00AF77CB">
        <w:rPr>
          <w:shd w:val="clear" w:color="auto" w:fill="FFFFFF"/>
        </w:rPr>
        <w:t xml:space="preserve">omitted.] </w:t>
      </w:r>
      <w:r w:rsidR="003C1581">
        <w:rPr>
          <w:shd w:val="clear" w:color="auto" w:fill="FFFFFF"/>
        </w:rPr>
        <w:t xml:space="preserve"> </w:t>
      </w:r>
      <w:r w:rsidR="00AF77CB">
        <w:rPr>
          <w:shd w:val="clear" w:color="auto" w:fill="FFFFFF"/>
        </w:rPr>
        <w:t>‘ “Abuse</w:t>
      </w:r>
      <w:r w:rsidRPr="00C0144F" w:rsidR="007842A3">
        <w:rPr>
          <w:shd w:val="clear" w:color="auto" w:fill="FFFFFF"/>
        </w:rPr>
        <w:t xml:space="preserve"> of discretion is established if the [agency] has not proceeded in the manner required by law, the order or decision is not supported by the findings, or the findings are not supported by the </w:t>
      </w:r>
      <w:r w:rsidR="00833232">
        <w:rPr>
          <w:shd w:val="clear" w:color="auto" w:fill="FFFFFF"/>
        </w:rPr>
        <w:t>evidence.” ’  [Citations.]</w:t>
      </w:r>
      <w:r w:rsidR="00A52ED7">
        <w:rPr>
          <w:shd w:val="clear" w:color="auto" w:fill="FFFFFF"/>
        </w:rPr>
        <w:t>”  (</w:t>
      </w:r>
      <w:r w:rsidR="00A52ED7">
        <w:rPr>
          <w:i/>
          <w:iCs/>
          <w:shd w:val="clear" w:color="auto" w:fill="FFFFFF"/>
        </w:rPr>
        <w:t>Doe</w:t>
      </w:r>
      <w:r w:rsidRPr="00C0144F" w:rsidR="007842A3">
        <w:rPr>
          <w:i/>
          <w:iCs/>
          <w:shd w:val="clear" w:color="auto" w:fill="FFFFFF"/>
        </w:rPr>
        <w:t xml:space="preserve"> v. Regents of University of California</w:t>
      </w:r>
      <w:r w:rsidRPr="00C0144F" w:rsidR="007842A3">
        <w:rPr>
          <w:shd w:val="clear" w:color="auto" w:fill="FFFFFF"/>
        </w:rPr>
        <w:t xml:space="preserve"> </w:t>
      </w:r>
      <w:r w:rsidR="00A52ED7">
        <w:rPr>
          <w:shd w:val="clear" w:color="auto" w:fill="FFFFFF"/>
        </w:rPr>
        <w:t>(2021)</w:t>
      </w:r>
      <w:r w:rsidRPr="00C0144F" w:rsidR="007842A3">
        <w:rPr>
          <w:shd w:val="clear" w:color="auto" w:fill="FFFFFF"/>
        </w:rPr>
        <w:t xml:space="preserve"> 70 Cal.App.5th 521, 532.)</w:t>
      </w:r>
    </w:p>
    <w:p w:rsidR="007842A3" w:rsidRPr="00EF554A" w:rsidP="00C0144F" w14:paraId="1354D2DD" w14:textId="0A873066">
      <w:pPr>
        <w:tabs>
          <w:tab w:val="clear" w:pos="720"/>
        </w:tabs>
        <w:spacing w:line="360" w:lineRule="auto"/>
        <w:rPr>
          <w:shd w:val="clear" w:color="auto" w:fill="FFFFFF"/>
        </w:rPr>
      </w:pPr>
      <w:r w:rsidRPr="00C0144F">
        <w:rPr>
          <w:rStyle w:val="ssit"/>
          <w:bdr w:val="none" w:sz="0" w:space="0" w:color="auto" w:frame="1"/>
          <w:shd w:val="clear" w:color="auto" w:fill="FFFFFF"/>
        </w:rPr>
        <w:tab/>
      </w:r>
      <w:r w:rsidRPr="00C0144F">
        <w:rPr>
          <w:shd w:val="clear" w:color="auto" w:fill="FFFFFF"/>
        </w:rPr>
        <w:t>Whe</w:t>
      </w:r>
      <w:r w:rsidRPr="00C0144F" w:rsidR="00B05034">
        <w:rPr>
          <w:shd w:val="clear" w:color="auto" w:fill="FFFFFF"/>
        </w:rPr>
        <w:t>re</w:t>
      </w:r>
      <w:r w:rsidRPr="00C0144F">
        <w:rPr>
          <w:shd w:val="clear" w:color="auto" w:fill="FFFFFF"/>
        </w:rPr>
        <w:t>, as here, an administrative decision involve</w:t>
      </w:r>
      <w:r w:rsidRPr="00C0144F" w:rsidR="00B05034">
        <w:rPr>
          <w:shd w:val="clear" w:color="auto" w:fill="FFFFFF"/>
        </w:rPr>
        <w:t>s</w:t>
      </w:r>
      <w:r w:rsidRPr="00C0144F">
        <w:rPr>
          <w:shd w:val="clear" w:color="auto" w:fill="FFFFFF"/>
        </w:rPr>
        <w:t xml:space="preserve"> a fundamental vested right</w:t>
      </w:r>
      <w:r w:rsidRPr="00C0144F" w:rsidR="00B05034">
        <w:rPr>
          <w:shd w:val="clear" w:color="auto" w:fill="FFFFFF"/>
        </w:rPr>
        <w:t xml:space="preserve"> to employment</w:t>
      </w:r>
      <w:r w:rsidRPr="00C0144F">
        <w:rPr>
          <w:shd w:val="clear" w:color="auto" w:fill="FFFFFF"/>
        </w:rPr>
        <w:t xml:space="preserve">, </w:t>
      </w:r>
      <w:r w:rsidRPr="003D08E9" w:rsidR="002D2480">
        <w:rPr>
          <w:rStyle w:val="ssrfcpassagedeactivated"/>
          <w:bdr w:val="none" w:sz="0" w:space="0" w:color="auto" w:frame="1"/>
          <w:shd w:val="clear" w:color="auto" w:fill="FFFFFF"/>
        </w:rPr>
        <w:t xml:space="preserve">the trial court “independently review[s] the record to determine whether the weight of evidence supports a factual finding, whereas the substantial evidence test applies when a fundamental </w:t>
      </w:r>
      <w:r w:rsidRPr="003C1581" w:rsidR="002D2480">
        <w:rPr>
          <w:rStyle w:val="ssrfcpassagedeactivated"/>
          <w:bdr w:val="none" w:sz="0" w:space="0" w:color="auto" w:frame="1"/>
          <w:shd w:val="clear" w:color="auto" w:fill="FFFFFF"/>
        </w:rPr>
        <w:t xml:space="preserve">right is not at issue.  </w:t>
      </w:r>
      <w:r w:rsidRPr="003C1581" w:rsidR="002D2480">
        <w:rPr>
          <w:rStyle w:val="ssrfcsection"/>
          <w:bdr w:val="none" w:sz="0" w:space="0" w:color="auto" w:frame="1"/>
          <w:shd w:val="clear" w:color="auto" w:fill="FFFFFF"/>
        </w:rPr>
        <w:t>(</w:t>
      </w:r>
      <w:r w:rsidRPr="003C1581" w:rsidR="002D2480">
        <w:rPr>
          <w:rStyle w:val="ssit"/>
          <w:i/>
          <w:iCs/>
          <w:bdr w:val="none" w:sz="0" w:space="0" w:color="auto" w:frame="1"/>
          <w:shd w:val="clear" w:color="auto" w:fill="FFFFFF"/>
        </w:rPr>
        <w:t>Wences v. City of Los Angeles</w:t>
      </w:r>
      <w:r w:rsidRPr="003C1581" w:rsidR="002D2480">
        <w:rPr>
          <w:bdr w:val="none" w:sz="0" w:space="0" w:color="auto" w:frame="1"/>
          <w:shd w:val="clear" w:color="auto" w:fill="FFFFFF"/>
        </w:rPr>
        <w:t xml:space="preserve"> (2009) 177 Cal.App.4th 305, 313 [99 Cal.Rptr.3d 199] (</w:t>
      </w:r>
      <w:r w:rsidRPr="003C1581" w:rsidR="002D2480">
        <w:rPr>
          <w:rStyle w:val="ssit"/>
          <w:i/>
          <w:iCs/>
          <w:bdr w:val="none" w:sz="0" w:space="0" w:color="auto" w:frame="1"/>
          <w:shd w:val="clear" w:color="auto" w:fill="FFFFFF"/>
        </w:rPr>
        <w:t>Wences</w:t>
      </w:r>
      <w:r w:rsidRPr="003C1581" w:rsidR="002D2480">
        <w:rPr>
          <w:bdr w:val="none" w:sz="0" w:space="0" w:color="auto" w:frame="1"/>
          <w:shd w:val="clear" w:color="auto" w:fill="FFFFFF"/>
        </w:rPr>
        <w:t>)</w:t>
      </w:r>
      <w:r w:rsidRPr="003C1581" w:rsidR="002D2480">
        <w:rPr>
          <w:rStyle w:val="ssrfcsection"/>
          <w:bdr w:val="none" w:sz="0" w:space="0" w:color="auto" w:frame="1"/>
          <w:shd w:val="clear" w:color="auto" w:fill="FFFFFF"/>
        </w:rPr>
        <w:t>.)  But</w:t>
      </w:r>
      <w:r w:rsidRPr="003C1581" w:rsidR="002D2480">
        <w:rPr>
          <w:rStyle w:val="ssrfcpassagedeactivated"/>
          <w:bdr w:val="none" w:sz="0" w:space="0" w:color="auto" w:frame="1"/>
          <w:shd w:val="clear" w:color="auto" w:fill="FFFFFF"/>
        </w:rPr>
        <w:t xml:space="preserve"> [as] the appellate court[, we] appl[y] a substantial evidence test, regardless of whether a fundamental right is involved.  </w:t>
      </w:r>
      <w:r w:rsidRPr="003C1581" w:rsidR="002D2480">
        <w:rPr>
          <w:rStyle w:val="ssrfcsection"/>
          <w:bdr w:val="none" w:sz="0" w:space="0" w:color="auto" w:frame="1"/>
          <w:shd w:val="clear" w:color="auto" w:fill="FFFFFF"/>
        </w:rPr>
        <w:t>(</w:t>
      </w:r>
      <w:r w:rsidRPr="003C1581" w:rsidR="002D2480">
        <w:rPr>
          <w:rStyle w:val="ssit"/>
          <w:i/>
          <w:iCs/>
          <w:bdr w:val="none" w:sz="0" w:space="0" w:color="auto" w:frame="1"/>
          <w:shd w:val="clear" w:color="auto" w:fill="FFFFFF"/>
        </w:rPr>
        <w:t>Fukuda v. City of Angels</w:t>
      </w:r>
      <w:r w:rsidRPr="003C1581" w:rsidR="002D2480">
        <w:rPr>
          <w:bdr w:val="none" w:sz="0" w:space="0" w:color="auto" w:frame="1"/>
          <w:shd w:val="clear" w:color="auto" w:fill="FFFFFF"/>
        </w:rPr>
        <w:t xml:space="preserve"> (1999) 20 Cal.4th 805, 824 [85 Cal.Rptr.2d 696, 977 P.2d 693]</w:t>
      </w:r>
      <w:r w:rsidRPr="003C1581" w:rsidR="002D2480">
        <w:rPr>
          <w:rStyle w:val="ssrfcsection"/>
          <w:bdr w:val="none" w:sz="0" w:space="0" w:color="auto" w:frame="1"/>
          <w:shd w:val="clear" w:color="auto" w:fill="FFFFFF"/>
        </w:rPr>
        <w:t>.)”  (</w:t>
      </w:r>
      <w:r w:rsidRPr="003C1581" w:rsidR="002D2480">
        <w:rPr>
          <w:rStyle w:val="ssrfcsection"/>
          <w:i/>
          <w:iCs/>
          <w:bdr w:val="none" w:sz="0" w:space="0" w:color="auto" w:frame="1"/>
          <w:shd w:val="clear" w:color="auto" w:fill="FFFFFF"/>
        </w:rPr>
        <w:t>O’Brien v. Regents of University of</w:t>
      </w:r>
      <w:r w:rsidRPr="003E48FB" w:rsidR="002D2480">
        <w:rPr>
          <w:rStyle w:val="ssrfcsection"/>
          <w:i/>
          <w:iCs/>
          <w:bdr w:val="none" w:sz="0" w:space="0" w:color="auto" w:frame="1"/>
          <w:shd w:val="clear" w:color="auto" w:fill="FFFFFF"/>
        </w:rPr>
        <w:t xml:space="preserve"> California</w:t>
      </w:r>
      <w:r w:rsidRPr="003E48FB" w:rsidR="002D2480">
        <w:rPr>
          <w:rStyle w:val="ssrfcsection"/>
          <w:bdr w:val="none" w:sz="0" w:space="0" w:color="auto" w:frame="1"/>
          <w:shd w:val="clear" w:color="auto" w:fill="FFFFFF"/>
        </w:rPr>
        <w:t xml:space="preserve"> (2023) 92 Cal.App.5th 1099, 1116.)  Further, as always, we</w:t>
      </w:r>
      <w:r w:rsidRPr="00882DC2" w:rsidR="00536AF8">
        <w:rPr>
          <w:rStyle w:val="ssrfcsection"/>
          <w:bdr w:val="none" w:sz="0" w:space="0" w:color="auto" w:frame="1"/>
          <w:shd w:val="clear" w:color="auto" w:fill="FFFFFF"/>
        </w:rPr>
        <w:t xml:space="preserve"> exercise independent judgment on legal issues</w:t>
      </w:r>
      <w:r w:rsidRPr="00882DC2" w:rsidR="00D40527">
        <w:rPr>
          <w:rStyle w:val="ssrfcsection"/>
          <w:bdr w:val="none" w:sz="0" w:space="0" w:color="auto" w:frame="1"/>
          <w:shd w:val="clear" w:color="auto" w:fill="FFFFFF"/>
        </w:rPr>
        <w:t>.</w:t>
      </w:r>
      <w:r w:rsidRPr="00882DC2" w:rsidR="00536AF8">
        <w:rPr>
          <w:rStyle w:val="ssrfcpassagedeactivated"/>
          <w:bdr w:val="none" w:sz="0" w:space="0" w:color="auto" w:frame="1"/>
          <w:shd w:val="clear" w:color="auto" w:fill="FFFFFF"/>
        </w:rPr>
        <w:t xml:space="preserve">  (</w:t>
      </w:r>
      <w:r w:rsidRPr="00882DC2" w:rsidR="00536AF8">
        <w:rPr>
          <w:rStyle w:val="ssrfcpassagedeactivated"/>
          <w:i/>
          <w:iCs/>
          <w:bdr w:val="none" w:sz="0" w:space="0" w:color="auto" w:frame="1"/>
          <w:shd w:val="clear" w:color="auto" w:fill="FFFFFF"/>
        </w:rPr>
        <w:t xml:space="preserve">Manderson-Saleh v. Regents of </w:t>
      </w:r>
      <w:r w:rsidR="00EF3830">
        <w:rPr>
          <w:rStyle w:val="ssrfcpassagedeactivated"/>
          <w:i/>
          <w:iCs/>
          <w:bdr w:val="none" w:sz="0" w:space="0" w:color="auto" w:frame="1"/>
          <w:shd w:val="clear" w:color="auto" w:fill="FFFFFF"/>
        </w:rPr>
        <w:t>University</w:t>
      </w:r>
      <w:r w:rsidRPr="00EF554A" w:rsidR="00536AF8">
        <w:rPr>
          <w:rStyle w:val="ssrfcpassagedeactivated"/>
          <w:i/>
          <w:iCs/>
          <w:bdr w:val="none" w:sz="0" w:space="0" w:color="auto" w:frame="1"/>
          <w:shd w:val="clear" w:color="auto" w:fill="FFFFFF"/>
        </w:rPr>
        <w:t xml:space="preserve"> of California</w:t>
      </w:r>
      <w:r w:rsidRPr="00EF554A" w:rsidR="00536AF8">
        <w:rPr>
          <w:rStyle w:val="ssrfcpassagedeactivated"/>
          <w:bdr w:val="none" w:sz="0" w:space="0" w:color="auto" w:frame="1"/>
          <w:shd w:val="clear" w:color="auto" w:fill="FFFFFF"/>
        </w:rPr>
        <w:t xml:space="preserve"> (2021) 60 Cal.App.5th 674, 693 (</w:t>
      </w:r>
      <w:r w:rsidRPr="00EF554A" w:rsidR="00536AF8">
        <w:rPr>
          <w:rStyle w:val="ssrfcpassagedeactivated"/>
          <w:i/>
          <w:iCs/>
          <w:bdr w:val="none" w:sz="0" w:space="0" w:color="auto" w:frame="1"/>
          <w:shd w:val="clear" w:color="auto" w:fill="FFFFFF"/>
        </w:rPr>
        <w:t>Manderson-Saleh</w:t>
      </w:r>
      <w:r w:rsidRPr="00EF554A" w:rsidR="00536AF8">
        <w:rPr>
          <w:rStyle w:val="ssrfcpassagedeactivated"/>
          <w:bdr w:val="none" w:sz="0" w:space="0" w:color="auto" w:frame="1"/>
          <w:shd w:val="clear" w:color="auto" w:fill="FFFFFF"/>
        </w:rPr>
        <w:t>).)</w:t>
      </w:r>
    </w:p>
    <w:p w:rsidR="006D345B" w:rsidRPr="00EF554A" w:rsidP="003E48FB" w14:paraId="4BD7FCA5" w14:textId="066ECCD3">
      <w:pPr>
        <w:pStyle w:val="ListParagraph"/>
        <w:keepNext/>
        <w:numPr>
          <w:ilvl w:val="0"/>
          <w:numId w:val="3"/>
        </w:numPr>
        <w:tabs>
          <w:tab w:val="clear" w:pos="720"/>
        </w:tabs>
        <w:spacing w:line="360" w:lineRule="auto"/>
        <w:ind w:left="720"/>
        <w:rPr>
          <w:b/>
          <w:bCs/>
          <w:i/>
          <w:iCs/>
          <w:shd w:val="clear" w:color="auto" w:fill="FFFFFF"/>
        </w:rPr>
      </w:pPr>
      <w:r w:rsidRPr="00EF554A">
        <w:rPr>
          <w:b/>
          <w:bCs/>
          <w:i/>
          <w:iCs/>
          <w:shd w:val="clear" w:color="auto" w:fill="FFFFFF"/>
        </w:rPr>
        <w:t>The University’s Findings as to Jane Doe Stand.</w:t>
      </w:r>
    </w:p>
    <w:p w:rsidR="00D601DF" w:rsidRPr="00EF554A" w:rsidP="00EF554A" w14:paraId="6599D8C6" w14:textId="1465AEAE">
      <w:pPr>
        <w:pStyle w:val="ListParagraph"/>
        <w:keepNext/>
        <w:numPr>
          <w:ilvl w:val="1"/>
          <w:numId w:val="3"/>
        </w:numPr>
        <w:tabs>
          <w:tab w:val="clear" w:pos="720"/>
        </w:tabs>
        <w:spacing w:line="360" w:lineRule="auto"/>
        <w:ind w:left="1440"/>
        <w:rPr>
          <w:b/>
          <w:bCs/>
          <w:shd w:val="clear" w:color="auto" w:fill="FFFFFF"/>
        </w:rPr>
      </w:pPr>
      <w:r>
        <w:rPr>
          <w:b/>
          <w:bCs/>
          <w:shd w:val="clear" w:color="auto" w:fill="FFFFFF"/>
        </w:rPr>
        <w:t>Plaintiff’s</w:t>
      </w:r>
      <w:r w:rsidRPr="00EF554A" w:rsidR="00514547">
        <w:rPr>
          <w:b/>
          <w:bCs/>
          <w:shd w:val="clear" w:color="auto" w:fill="FFFFFF"/>
        </w:rPr>
        <w:t xml:space="preserve"> J</w:t>
      </w:r>
      <w:r w:rsidRPr="00EF554A" w:rsidR="002D32C6">
        <w:rPr>
          <w:b/>
          <w:bCs/>
          <w:shd w:val="clear" w:color="auto" w:fill="FFFFFF"/>
        </w:rPr>
        <w:t>urisdiction</w:t>
      </w:r>
      <w:r w:rsidRPr="00EF554A" w:rsidR="00514547">
        <w:rPr>
          <w:b/>
          <w:bCs/>
          <w:shd w:val="clear" w:color="auto" w:fill="FFFFFF"/>
        </w:rPr>
        <w:t xml:space="preserve"> Argument Fails</w:t>
      </w:r>
      <w:r w:rsidRPr="00EF554A" w:rsidR="00306D7F">
        <w:rPr>
          <w:b/>
          <w:bCs/>
          <w:shd w:val="clear" w:color="auto" w:fill="FFFFFF"/>
        </w:rPr>
        <w:t>.</w:t>
      </w:r>
    </w:p>
    <w:p w:rsidR="002D32C6" w:rsidRPr="00EF554A" w:rsidP="00EF554A" w14:paraId="5EE5CCB8" w14:textId="3825DF47">
      <w:pPr>
        <w:tabs>
          <w:tab w:val="clear" w:pos="720"/>
        </w:tabs>
        <w:spacing w:line="360" w:lineRule="auto"/>
        <w:rPr>
          <w:b/>
          <w:bCs/>
          <w:shd w:val="clear" w:color="auto" w:fill="FFFFFF"/>
        </w:rPr>
      </w:pPr>
      <w:r w:rsidRPr="00EF554A">
        <w:rPr>
          <w:shd w:val="clear" w:color="auto" w:fill="FFFFFF"/>
        </w:rPr>
        <w:tab/>
      </w:r>
      <w:r w:rsidR="0079617C">
        <w:rPr>
          <w:shd w:val="clear" w:color="auto" w:fill="FFFFFF"/>
        </w:rPr>
        <w:t>Plaintiff</w:t>
      </w:r>
      <w:r w:rsidRPr="00EF554A">
        <w:rPr>
          <w:shd w:val="clear" w:color="auto" w:fill="FFFFFF"/>
        </w:rPr>
        <w:t xml:space="preserve"> </w:t>
      </w:r>
      <w:r w:rsidRPr="00EF554A" w:rsidR="00EA5F36">
        <w:rPr>
          <w:shd w:val="clear" w:color="auto" w:fill="FFFFFF"/>
        </w:rPr>
        <w:t>contends</w:t>
      </w:r>
      <w:r w:rsidRPr="00EF554A">
        <w:rPr>
          <w:shd w:val="clear" w:color="auto" w:fill="FFFFFF"/>
        </w:rPr>
        <w:t xml:space="preserve"> </w:t>
      </w:r>
      <w:r w:rsidRPr="00EF554A" w:rsidR="00514547">
        <w:rPr>
          <w:shd w:val="clear" w:color="auto" w:fill="FFFFFF"/>
        </w:rPr>
        <w:t xml:space="preserve">the </w:t>
      </w:r>
      <w:r w:rsidRPr="00EF554A" w:rsidR="00EA5F36">
        <w:rPr>
          <w:shd w:val="clear" w:color="auto" w:fill="FFFFFF"/>
        </w:rPr>
        <w:t xml:space="preserve">Jane Doe findings must be set aside because the </w:t>
      </w:r>
      <w:r w:rsidRPr="00EF554A">
        <w:rPr>
          <w:shd w:val="clear" w:color="auto" w:fill="FFFFFF"/>
        </w:rPr>
        <w:t xml:space="preserve">University </w:t>
      </w:r>
      <w:r w:rsidRPr="00EF554A" w:rsidR="00514547">
        <w:rPr>
          <w:shd w:val="clear" w:color="auto" w:fill="FFFFFF"/>
        </w:rPr>
        <w:t>cannot</w:t>
      </w:r>
      <w:r w:rsidRPr="00EF554A">
        <w:rPr>
          <w:shd w:val="clear" w:color="auto" w:fill="FFFFFF"/>
        </w:rPr>
        <w:t xml:space="preserve"> “exercise limitless jurisdiction by policing and prosecuting faculty for conduct that occurs off campus after hours, separate and apart </w:t>
      </w:r>
      <w:r w:rsidR="002D7D22">
        <w:rPr>
          <w:shd w:val="clear" w:color="auto" w:fill="FFFFFF"/>
        </w:rPr>
        <w:t>from</w:t>
      </w:r>
      <w:r w:rsidRPr="00EF554A">
        <w:rPr>
          <w:shd w:val="clear" w:color="auto" w:fill="FFFFFF"/>
        </w:rPr>
        <w:t xml:space="preserve"> the faculty member’s professional role at UCSC.”  </w:t>
      </w:r>
      <w:r w:rsidRPr="00EF554A" w:rsidR="00514547">
        <w:rPr>
          <w:shd w:val="clear" w:color="auto" w:fill="FFFFFF"/>
        </w:rPr>
        <w:t>T</w:t>
      </w:r>
      <w:r w:rsidRPr="00EF554A" w:rsidR="00A76557">
        <w:rPr>
          <w:shd w:val="clear" w:color="auto" w:fill="FFFFFF"/>
        </w:rPr>
        <w:t xml:space="preserve">he following </w:t>
      </w:r>
      <w:r w:rsidRPr="00EF554A" w:rsidR="00EA5F36">
        <w:rPr>
          <w:shd w:val="clear" w:color="auto" w:fill="FFFFFF"/>
        </w:rPr>
        <w:t>rules</w:t>
      </w:r>
      <w:r w:rsidRPr="00EF554A" w:rsidR="00B15FCB">
        <w:rPr>
          <w:shd w:val="clear" w:color="auto" w:fill="FFFFFF"/>
        </w:rPr>
        <w:t xml:space="preserve"> appl</w:t>
      </w:r>
      <w:r w:rsidRPr="00EF554A" w:rsidR="00EA5F36">
        <w:rPr>
          <w:shd w:val="clear" w:color="auto" w:fill="FFFFFF"/>
        </w:rPr>
        <w:t>y</w:t>
      </w:r>
      <w:r w:rsidRPr="00EF554A" w:rsidR="00A76557">
        <w:rPr>
          <w:shd w:val="clear" w:color="auto" w:fill="FFFFFF"/>
        </w:rPr>
        <w:t>.</w:t>
      </w:r>
    </w:p>
    <w:p w:rsidR="002C0D60" w:rsidRPr="00EF554A" w:rsidP="00EF554A" w14:paraId="3C07D3A4" w14:textId="206A7BBF">
      <w:pPr>
        <w:tabs>
          <w:tab w:val="clear" w:pos="720"/>
        </w:tabs>
        <w:spacing w:line="360" w:lineRule="auto"/>
        <w:rPr>
          <w:shd w:val="clear" w:color="auto" w:fill="FFFFFF"/>
        </w:rPr>
      </w:pPr>
      <w:r w:rsidRPr="00EF554A">
        <w:rPr>
          <w:shd w:val="clear" w:color="auto" w:fill="FFFFFF"/>
        </w:rPr>
        <w:tab/>
        <w:t xml:space="preserve">“The University is a statewide administrative agency with constitutionally derived powers. </w:t>
      </w:r>
      <w:r w:rsidR="002D7D22">
        <w:rPr>
          <w:shd w:val="clear" w:color="auto" w:fill="FFFFFF"/>
        </w:rPr>
        <w:t xml:space="preserve"> </w:t>
      </w:r>
      <w:r w:rsidRPr="00EF554A">
        <w:rPr>
          <w:shd w:val="clear" w:color="auto" w:fill="FFFFFF"/>
        </w:rPr>
        <w:t>(</w:t>
      </w:r>
      <w:r w:rsidRPr="00EF554A">
        <w:rPr>
          <w:rStyle w:val="ssrfcsection"/>
          <w:bdr w:val="none" w:sz="0" w:space="0" w:color="auto" w:frame="1"/>
          <w:shd w:val="clear" w:color="auto" w:fill="FFFFFF"/>
        </w:rPr>
        <w:t>Cal. Const., art.</w:t>
      </w:r>
      <w:r w:rsidR="00BB7624">
        <w:rPr>
          <w:rStyle w:val="ssrfcsection"/>
          <w:bdr w:val="none" w:sz="0" w:space="0" w:color="auto" w:frame="1"/>
          <w:shd w:val="clear" w:color="auto" w:fill="FFFFFF"/>
        </w:rPr>
        <w:t xml:space="preserve"> </w:t>
      </w:r>
      <w:r w:rsidRPr="00EF554A">
        <w:rPr>
          <w:rStyle w:val="ssrfcsection"/>
          <w:bdr w:val="none" w:sz="0" w:space="0" w:color="auto" w:frame="1"/>
          <w:shd w:val="clear" w:color="auto" w:fill="FFFFFF"/>
        </w:rPr>
        <w:t xml:space="preserve">IX, § 9, subd. </w:t>
      </w:r>
      <w:r w:rsidR="00CB1968">
        <w:rPr>
          <w:shd w:val="clear" w:color="auto" w:fill="FFFFFF"/>
        </w:rPr>
        <w:t>(a); [citation].)  Its</w:t>
      </w:r>
      <w:r w:rsidRPr="00EF554A">
        <w:rPr>
          <w:shd w:val="clear" w:color="auto" w:fill="FFFFFF"/>
        </w:rPr>
        <w:t xml:space="preserve"> employees are public employees. </w:t>
      </w:r>
      <w:r w:rsidR="00CB1968">
        <w:rPr>
          <w:shd w:val="clear" w:color="auto" w:fill="FFFFFF"/>
        </w:rPr>
        <w:t xml:space="preserve"> [Citation.]  The</w:t>
      </w:r>
      <w:r w:rsidRPr="00EF554A">
        <w:rPr>
          <w:shd w:val="clear" w:color="auto" w:fill="FFFFFF"/>
        </w:rPr>
        <w:t xml:space="preserve"> University is administered by the Regents. </w:t>
      </w:r>
      <w:r w:rsidR="00CB1968">
        <w:rPr>
          <w:shd w:val="clear" w:color="auto" w:fill="FFFFFF"/>
        </w:rPr>
        <w:t xml:space="preserve"> </w:t>
      </w:r>
      <w:r w:rsidRPr="00EF554A">
        <w:rPr>
          <w:shd w:val="clear" w:color="auto" w:fill="FFFFFF"/>
        </w:rPr>
        <w:t>(</w:t>
      </w:r>
      <w:r w:rsidRPr="00EF554A">
        <w:rPr>
          <w:rStyle w:val="ssrfcsection"/>
          <w:bdr w:val="none" w:sz="0" w:space="0" w:color="auto" w:frame="1"/>
          <w:shd w:val="clear" w:color="auto" w:fill="FFFFFF"/>
        </w:rPr>
        <w:t xml:space="preserve">Cal. Const., </w:t>
      </w:r>
      <w:r w:rsidR="00950705">
        <w:rPr>
          <w:rStyle w:val="ssrfcsection"/>
          <w:bdr w:val="none" w:sz="0" w:space="0" w:color="auto" w:frame="1"/>
          <w:shd w:val="clear" w:color="auto" w:fill="FFFFFF"/>
        </w:rPr>
        <w:t>art.</w:t>
      </w:r>
      <w:r w:rsidR="00BB7624">
        <w:rPr>
          <w:rStyle w:val="ssrfcsection"/>
          <w:bdr w:val="none" w:sz="0" w:space="0" w:color="auto" w:frame="1"/>
          <w:shd w:val="clear" w:color="auto" w:fill="FFFFFF"/>
        </w:rPr>
        <w:t xml:space="preserve"> </w:t>
      </w:r>
      <w:r w:rsidR="00950705">
        <w:rPr>
          <w:rStyle w:val="ssrfcsection"/>
          <w:bdr w:val="none" w:sz="0" w:space="0" w:color="auto" w:frame="1"/>
          <w:shd w:val="clear" w:color="auto" w:fill="FFFFFF"/>
        </w:rPr>
        <w:t>IX</w:t>
      </w:r>
      <w:r w:rsidRPr="00EF554A">
        <w:rPr>
          <w:rStyle w:val="ssrfcsection"/>
          <w:bdr w:val="none" w:sz="0" w:space="0" w:color="auto" w:frame="1"/>
          <w:shd w:val="clear" w:color="auto" w:fill="FFFFFF"/>
        </w:rPr>
        <w:t>, § 9, subd. (a)</w:t>
      </w:r>
      <w:r w:rsidRPr="00EF554A">
        <w:rPr>
          <w:shd w:val="clear" w:color="auto" w:fill="FFFFFF"/>
        </w:rPr>
        <w:t xml:space="preserve">.) </w:t>
      </w:r>
      <w:r w:rsidR="00950705">
        <w:rPr>
          <w:shd w:val="clear" w:color="auto" w:fill="FFFFFF"/>
        </w:rPr>
        <w:t xml:space="preserve"> </w:t>
      </w:r>
      <w:r w:rsidRPr="00EF554A">
        <w:rPr>
          <w:shd w:val="clear" w:color="auto" w:fill="FFFFFF"/>
        </w:rPr>
        <w:t xml:space="preserve">Regents have rulemaking and policymaking power in regard to </w:t>
      </w:r>
      <w:r w:rsidR="00950705">
        <w:rPr>
          <w:shd w:val="clear" w:color="auto" w:fill="FFFFFF"/>
        </w:rPr>
        <w:t>the University</w:t>
      </w:r>
      <w:r w:rsidRPr="00EF554A">
        <w:rPr>
          <w:shd w:val="clear" w:color="auto" w:fill="FFFFFF"/>
        </w:rPr>
        <w:t>; their policies and procedures have the force and effect of statute.”  (</w:t>
      </w:r>
      <w:r w:rsidRPr="00EF554A">
        <w:rPr>
          <w:i/>
          <w:iCs/>
          <w:shd w:val="clear" w:color="auto" w:fill="FFFFFF"/>
        </w:rPr>
        <w:t xml:space="preserve">Kim v. Regents of </w:t>
      </w:r>
      <w:r w:rsidR="00950705">
        <w:rPr>
          <w:i/>
          <w:iCs/>
          <w:shd w:val="clear" w:color="auto" w:fill="FFFFFF"/>
        </w:rPr>
        <w:t>University</w:t>
      </w:r>
      <w:r w:rsidRPr="00EF554A">
        <w:rPr>
          <w:i/>
          <w:iCs/>
          <w:shd w:val="clear" w:color="auto" w:fill="FFFFFF"/>
        </w:rPr>
        <w:t xml:space="preserve"> of California</w:t>
      </w:r>
      <w:r w:rsidRPr="00EF554A">
        <w:rPr>
          <w:shd w:val="clear" w:color="auto" w:fill="FFFFFF"/>
        </w:rPr>
        <w:t xml:space="preserve"> (2000) 80 Cal.App.4th 160, 165.)  </w:t>
      </w:r>
      <w:r w:rsidRPr="00EF554A">
        <w:rPr>
          <w:rStyle w:val="ssrfcsection"/>
          <w:bdr w:val="none" w:sz="0" w:space="0" w:color="auto" w:frame="1"/>
          <w:shd w:val="clear" w:color="auto" w:fill="FFFFFF"/>
        </w:rPr>
        <w:t xml:space="preserve">Generally, the rules that govern statutory interpretation also govern interpretation of administrative </w:t>
      </w:r>
      <w:r w:rsidR="000D106D">
        <w:rPr>
          <w:shd w:val="clear" w:color="auto" w:fill="FFFFFF"/>
        </w:rPr>
        <w:t>regulations.  (</w:t>
      </w:r>
      <w:r w:rsidR="000D106D">
        <w:rPr>
          <w:i/>
          <w:iCs/>
          <w:shd w:val="clear" w:color="auto" w:fill="FFFFFF"/>
        </w:rPr>
        <w:t>Akella</w:t>
      </w:r>
      <w:r w:rsidRPr="00EF554A">
        <w:rPr>
          <w:i/>
          <w:iCs/>
          <w:shd w:val="clear" w:color="auto" w:fill="FFFFFF"/>
        </w:rPr>
        <w:t xml:space="preserve"> v. Regents of </w:t>
      </w:r>
      <w:r w:rsidR="000D106D">
        <w:rPr>
          <w:i/>
          <w:iCs/>
          <w:shd w:val="clear" w:color="auto" w:fill="FFFFFF"/>
        </w:rPr>
        <w:t>University</w:t>
      </w:r>
      <w:r w:rsidRPr="00EF554A">
        <w:rPr>
          <w:i/>
          <w:iCs/>
          <w:shd w:val="clear" w:color="auto" w:fill="FFFFFF"/>
        </w:rPr>
        <w:t xml:space="preserve"> of California</w:t>
      </w:r>
      <w:r w:rsidRPr="00EF554A">
        <w:rPr>
          <w:shd w:val="clear" w:color="auto" w:fill="FFFFFF"/>
        </w:rPr>
        <w:t xml:space="preserve"> (2021) 61 Cal.App.5th 801, 817 </w:t>
      </w:r>
      <w:r w:rsidR="000D106D">
        <w:rPr>
          <w:shd w:val="clear" w:color="auto" w:fill="FFFFFF"/>
        </w:rPr>
        <w:t>(</w:t>
      </w:r>
      <w:r w:rsidR="000D106D">
        <w:rPr>
          <w:i/>
          <w:iCs/>
          <w:shd w:val="clear" w:color="auto" w:fill="FFFFFF"/>
        </w:rPr>
        <w:t>Akella</w:t>
      </w:r>
      <w:r w:rsidR="000D106D">
        <w:rPr>
          <w:shd w:val="clear" w:color="auto" w:fill="FFFFFF"/>
        </w:rPr>
        <w:t>).)  “Further, policies</w:t>
      </w:r>
      <w:r w:rsidRPr="00EF554A" w:rsidR="0009104A">
        <w:rPr>
          <w:shd w:val="clear" w:color="auto" w:fill="FFFFFF"/>
        </w:rPr>
        <w:t xml:space="preserve"> established by the Regents according to their constitutionally derived rulemaking and policymaking power, like the Academic Personnel </w:t>
      </w:r>
      <w:r w:rsidR="000D106D">
        <w:rPr>
          <w:shd w:val="clear" w:color="auto" w:fill="FFFFFF"/>
        </w:rPr>
        <w:t>Manual</w:t>
      </w:r>
      <w:r w:rsidRPr="00EF554A" w:rsidR="0009104A">
        <w:rPr>
          <w:shd w:val="clear" w:color="auto" w:fill="FFFFFF"/>
        </w:rPr>
        <w:t xml:space="preserve">, have the force and effect of statute.” </w:t>
      </w:r>
      <w:r w:rsidR="000D106D">
        <w:rPr>
          <w:shd w:val="clear" w:color="auto" w:fill="FFFFFF"/>
        </w:rPr>
        <w:t xml:space="preserve"> </w:t>
      </w:r>
      <w:r w:rsidRPr="00EF554A" w:rsidR="0009104A">
        <w:rPr>
          <w:shd w:val="clear" w:color="auto" w:fill="FFFFFF"/>
        </w:rPr>
        <w:t>(</w:t>
      </w:r>
      <w:r w:rsidRPr="00EF554A" w:rsidR="0009104A">
        <w:rPr>
          <w:i/>
          <w:iCs/>
          <w:shd w:val="clear" w:color="auto" w:fill="FFFFFF"/>
        </w:rPr>
        <w:t>Ibid.</w:t>
      </w:r>
      <w:r w:rsidRPr="00EF554A" w:rsidR="0009104A">
        <w:rPr>
          <w:shd w:val="clear" w:color="auto" w:fill="FFFFFF"/>
        </w:rPr>
        <w:t>)</w:t>
      </w:r>
    </w:p>
    <w:p w:rsidR="00306D7F" w:rsidRPr="00D32EC3" w:rsidP="00EF554A" w14:paraId="07452BCB" w14:textId="1E558E07">
      <w:pPr>
        <w:tabs>
          <w:tab w:val="clear" w:pos="720"/>
        </w:tabs>
        <w:spacing w:line="360" w:lineRule="auto"/>
        <w:rPr>
          <w:shd w:val="clear" w:color="auto" w:fill="FFFFFF"/>
        </w:rPr>
      </w:pPr>
      <w:r w:rsidRPr="00EF554A">
        <w:rPr>
          <w:shd w:val="clear" w:color="auto" w:fill="FFFFFF"/>
        </w:rPr>
        <w:tab/>
      </w:r>
      <w:r w:rsidRPr="00EF554A" w:rsidR="00D40527">
        <w:rPr>
          <w:shd w:val="clear" w:color="auto" w:fill="FFFFFF"/>
        </w:rPr>
        <w:t>“</w:t>
      </w:r>
      <w:r w:rsidRPr="00EF554A" w:rsidR="00D40527">
        <w:rPr>
          <w:rStyle w:val="ssrfcsection"/>
          <w:bdr w:val="none" w:sz="0" w:space="0" w:color="auto" w:frame="1"/>
          <w:shd w:val="clear" w:color="auto" w:fill="FFFFFF"/>
        </w:rPr>
        <w:t xml:space="preserve">Generally, the </w:t>
      </w:r>
      <w:r w:rsidR="000A347F">
        <w:rPr>
          <w:rStyle w:val="ssrfcsection"/>
          <w:bdr w:val="none" w:sz="0" w:space="0" w:color="auto" w:frame="1"/>
          <w:shd w:val="clear" w:color="auto" w:fill="FFFFFF"/>
        </w:rPr>
        <w:t>interpretation</w:t>
      </w:r>
      <w:r w:rsidR="00D32EC3">
        <w:rPr>
          <w:rStyle w:val="ssrfcsection"/>
          <w:bdr w:val="none" w:sz="0" w:space="0" w:color="auto" w:frame="1"/>
          <w:shd w:val="clear" w:color="auto" w:fill="FFFFFF"/>
        </w:rPr>
        <w:t xml:space="preserve"> of</w:t>
      </w:r>
      <w:r w:rsidRPr="00D32EC3" w:rsidR="00D40527">
        <w:rPr>
          <w:rStyle w:val="ssrfcsection"/>
          <w:bdr w:val="none" w:sz="0" w:space="0" w:color="auto" w:frame="1"/>
          <w:shd w:val="clear" w:color="auto" w:fill="FFFFFF"/>
        </w:rPr>
        <w:t xml:space="preserve"> a regulati</w:t>
      </w:r>
      <w:r w:rsidRPr="00D32EC3" w:rsidR="00A76557">
        <w:rPr>
          <w:rStyle w:val="ssrfcsection"/>
          <w:bdr w:val="none" w:sz="0" w:space="0" w:color="auto" w:frame="1"/>
          <w:shd w:val="clear" w:color="auto" w:fill="FFFFFF"/>
        </w:rPr>
        <w:t>on [or statute]</w:t>
      </w:r>
      <w:r w:rsidRPr="00D32EC3" w:rsidR="00D40527">
        <w:rPr>
          <w:rStyle w:val="ssrfcsection"/>
          <w:bdr w:val="none" w:sz="0" w:space="0" w:color="auto" w:frame="1"/>
          <w:shd w:val="clear" w:color="auto" w:fill="FFFFFF"/>
        </w:rPr>
        <w:t xml:space="preserve"> </w:t>
      </w:r>
      <w:r w:rsidR="000A347F">
        <w:rPr>
          <w:rStyle w:val="ssrfcsection"/>
          <w:bdr w:val="none" w:sz="0" w:space="0" w:color="auto" w:frame="1"/>
          <w:shd w:val="clear" w:color="auto" w:fill="FFFFFF"/>
        </w:rPr>
        <w:t>‘ “is . . . a</w:t>
      </w:r>
      <w:r w:rsidRPr="00D32EC3" w:rsidR="00D40527">
        <w:rPr>
          <w:rStyle w:val="ssrfcsection"/>
          <w:bdr w:val="none" w:sz="0" w:space="0" w:color="auto" w:frame="1"/>
          <w:shd w:val="clear" w:color="auto" w:fill="FFFFFF"/>
        </w:rPr>
        <w:t xml:space="preserve"> question of law” and </w:t>
      </w:r>
      <w:r w:rsidR="00615237">
        <w:rPr>
          <w:rStyle w:val="ssrfcsection"/>
          <w:bdr w:val="none" w:sz="0" w:space="0" w:color="auto" w:frame="1"/>
          <w:shd w:val="clear" w:color="auto" w:fill="FFFFFF"/>
        </w:rPr>
        <w:t>is . . . subject to de novo review.’  [Citation.]  However</w:t>
      </w:r>
      <w:r w:rsidRPr="00D32EC3" w:rsidR="00D40527">
        <w:rPr>
          <w:rStyle w:val="ssrfcsection"/>
          <w:bdr w:val="none" w:sz="0" w:space="0" w:color="auto" w:frame="1"/>
          <w:shd w:val="clear" w:color="auto" w:fill="FFFFFF"/>
        </w:rPr>
        <w:t xml:space="preserve">, a reviewing court accords an administrative agency’s interpretation of its own regulation great weight and deference, unless the interpretation is unauthorized or clearly erroneous. </w:t>
      </w:r>
      <w:r w:rsidR="00864BD3">
        <w:rPr>
          <w:rStyle w:val="ssrfcsection"/>
          <w:bdr w:val="none" w:sz="0" w:space="0" w:color="auto" w:frame="1"/>
          <w:shd w:val="clear" w:color="auto" w:fill="FFFFFF"/>
        </w:rPr>
        <w:t xml:space="preserve"> [Citations.]  This</w:t>
      </w:r>
      <w:r w:rsidRPr="00D32EC3" w:rsidR="00D40527">
        <w:rPr>
          <w:rStyle w:val="ssrfcsection"/>
          <w:bdr w:val="none" w:sz="0" w:space="0" w:color="auto" w:frame="1"/>
          <w:shd w:val="clear" w:color="auto" w:fill="FFFFFF"/>
        </w:rPr>
        <w:t xml:space="preserve"> rule recognizes that an ‘agency has developed a level of “expertise” in light of its familiarity with the legal and regulatory issues.’ </w:t>
      </w:r>
      <w:r w:rsidR="00F25C18">
        <w:rPr>
          <w:rStyle w:val="ssrfcpassagedeactivated"/>
          <w:bdr w:val="none" w:sz="0" w:space="0" w:color="auto" w:frame="1"/>
          <w:shd w:val="clear" w:color="auto" w:fill="FFFFFF"/>
        </w:rPr>
        <w:t xml:space="preserve"> [Citation.]  Courts are particularly deferential</w:t>
      </w:r>
      <w:r w:rsidRPr="00D32EC3" w:rsidR="00D40527">
        <w:rPr>
          <w:rStyle w:val="ssrfcpassagedeactivated"/>
          <w:bdr w:val="none" w:sz="0" w:space="0" w:color="auto" w:frame="1"/>
          <w:shd w:val="clear" w:color="auto" w:fill="FFFFFF"/>
        </w:rPr>
        <w:t xml:space="preserve"> of the Regents’ determinations because of its role as a state constitutional </w:t>
      </w:r>
      <w:r w:rsidR="003F4E3C">
        <w:rPr>
          <w:rStyle w:val="ssrfcpassagedeactivated"/>
          <w:bdr w:val="none" w:sz="0" w:space="0" w:color="auto" w:frame="1"/>
          <w:shd w:val="clear" w:color="auto" w:fill="FFFFFF"/>
        </w:rPr>
        <w:t>entity.  [Citations.]  Thus</w:t>
      </w:r>
      <w:r w:rsidRPr="00D32EC3" w:rsidR="00D40527">
        <w:rPr>
          <w:rStyle w:val="ssrfcpassagedeactivated"/>
          <w:bdr w:val="none" w:sz="0" w:space="0" w:color="auto" w:frame="1"/>
          <w:shd w:val="clear" w:color="auto" w:fill="FFFFFF"/>
        </w:rPr>
        <w:t xml:space="preserve">, although we are not bound by the Regents’ interpretation, we give it great weight under the circumstances. </w:t>
      </w:r>
      <w:r w:rsidR="003F4E3C">
        <w:rPr>
          <w:rStyle w:val="ssrfcpassagedeactivated"/>
          <w:bdr w:val="none" w:sz="0" w:space="0" w:color="auto" w:frame="1"/>
          <w:shd w:val="clear" w:color="auto" w:fill="FFFFFF"/>
        </w:rPr>
        <w:t xml:space="preserve"> </w:t>
      </w:r>
      <w:r w:rsidRPr="00D32EC3" w:rsidR="00D40527">
        <w:rPr>
          <w:rStyle w:val="ssrfcpassagedeactivated"/>
          <w:bdr w:val="none" w:sz="0" w:space="0" w:color="auto" w:frame="1"/>
          <w:shd w:val="clear" w:color="auto" w:fill="FFFFFF"/>
        </w:rPr>
        <w:t>(</w:t>
      </w:r>
      <w:r w:rsidR="003F4E3C">
        <w:rPr>
          <w:rStyle w:val="ssrfcpassagedeactivated"/>
          <w:bdr w:val="none" w:sz="0" w:space="0" w:color="auto" w:frame="1"/>
          <w:shd w:val="clear" w:color="auto" w:fill="FFFFFF"/>
        </w:rPr>
        <w:t xml:space="preserve">See </w:t>
      </w:r>
      <w:r w:rsidR="003F4E3C">
        <w:rPr>
          <w:rStyle w:val="ssrfcpassagedeactivated"/>
          <w:i/>
          <w:iCs/>
          <w:bdr w:val="none" w:sz="0" w:space="0" w:color="auto" w:frame="1"/>
          <w:shd w:val="clear" w:color="auto" w:fill="FFFFFF"/>
        </w:rPr>
        <w:t>Yamaha</w:t>
      </w:r>
      <w:r w:rsidRPr="00D32EC3" w:rsidR="00D40527">
        <w:rPr>
          <w:rStyle w:val="ssrfcpassagedeactivated"/>
          <w:i/>
          <w:iCs/>
          <w:bdr w:val="none" w:sz="0" w:space="0" w:color="auto" w:frame="1"/>
          <w:shd w:val="clear" w:color="auto" w:fill="FFFFFF"/>
        </w:rPr>
        <w:t xml:space="preserve"> Corp. of America v. State Bd. of Equalization</w:t>
      </w:r>
      <w:r w:rsidRPr="00D32EC3" w:rsidR="00D40527">
        <w:rPr>
          <w:rStyle w:val="ssrfcpassagedeactivated"/>
          <w:bdr w:val="none" w:sz="0" w:space="0" w:color="auto" w:frame="1"/>
          <w:shd w:val="clear" w:color="auto" w:fill="FFFFFF"/>
        </w:rPr>
        <w:t xml:space="preserve"> (1998) 19 Cal.4th 1, 12</w:t>
      </w:r>
      <w:r w:rsidRPr="00D32EC3" w:rsidR="00317B83">
        <w:rPr>
          <w:rStyle w:val="ssrfcpassagedeactivated"/>
          <w:bdr w:val="none" w:sz="0" w:space="0" w:color="auto" w:frame="1"/>
          <w:shd w:val="clear" w:color="auto" w:fill="FFFFFF"/>
        </w:rPr>
        <w:t xml:space="preserve"> </w:t>
      </w:r>
      <w:r w:rsidR="003F4E3C">
        <w:rPr>
          <w:rStyle w:val="ssrfcpassagedeactivated"/>
          <w:bdr w:val="none" w:sz="0" w:space="0" w:color="auto" w:frame="1"/>
          <w:shd w:val="clear" w:color="auto" w:fill="FFFFFF"/>
        </w:rPr>
        <w:t>[citations]; [citation].</w:t>
      </w:r>
      <w:r w:rsidRPr="00D32EC3" w:rsidR="00D40527">
        <w:rPr>
          <w:rStyle w:val="ssrfcpassagedeactivated"/>
          <w:bdr w:val="none" w:sz="0" w:space="0" w:color="auto" w:frame="1"/>
          <w:shd w:val="clear" w:color="auto" w:fill="FFFFFF"/>
        </w:rPr>
        <w:t>)</w:t>
      </w:r>
      <w:r w:rsidRPr="00D32EC3" w:rsidR="00D40527">
        <w:rPr>
          <w:shd w:val="clear" w:color="auto" w:fill="FFFFFF"/>
        </w:rPr>
        <w:t>”  (</w:t>
      </w:r>
      <w:r w:rsidRPr="00D32EC3" w:rsidR="00D40527">
        <w:rPr>
          <w:i/>
          <w:iCs/>
          <w:shd w:val="clear" w:color="auto" w:fill="FFFFFF"/>
        </w:rPr>
        <w:t>Manderson-Saleh, supra</w:t>
      </w:r>
      <w:r w:rsidRPr="00D32EC3" w:rsidR="00D40527">
        <w:rPr>
          <w:shd w:val="clear" w:color="auto" w:fill="FFFFFF"/>
        </w:rPr>
        <w:t>, 60 Cal.App.5th at p. 697</w:t>
      </w:r>
      <w:r w:rsidRPr="00D32EC3" w:rsidR="00DB4328">
        <w:rPr>
          <w:shd w:val="clear" w:color="auto" w:fill="FFFFFF"/>
        </w:rPr>
        <w:t xml:space="preserve">; </w:t>
      </w:r>
      <w:r w:rsidRPr="00D32EC3" w:rsidR="00317B83">
        <w:rPr>
          <w:shd w:val="clear" w:color="auto" w:fill="FFFFFF"/>
        </w:rPr>
        <w:t xml:space="preserve">accord, </w:t>
      </w:r>
      <w:r w:rsidRPr="00D32EC3" w:rsidR="00317B83">
        <w:rPr>
          <w:i/>
          <w:iCs/>
          <w:shd w:val="clear" w:color="auto" w:fill="FFFFFF"/>
        </w:rPr>
        <w:t>Akella</w:t>
      </w:r>
      <w:r w:rsidRPr="00D32EC3">
        <w:rPr>
          <w:i/>
          <w:iCs/>
          <w:shd w:val="clear" w:color="auto" w:fill="FFFFFF"/>
        </w:rPr>
        <w:t>, supra</w:t>
      </w:r>
      <w:r w:rsidRPr="00D32EC3">
        <w:rPr>
          <w:shd w:val="clear" w:color="auto" w:fill="FFFFFF"/>
        </w:rPr>
        <w:t>,</w:t>
      </w:r>
      <w:r w:rsidRPr="00D32EC3" w:rsidR="00317B83">
        <w:rPr>
          <w:shd w:val="clear" w:color="auto" w:fill="FFFFFF"/>
        </w:rPr>
        <w:t xml:space="preserve"> 61 Cal.App.5th </w:t>
      </w:r>
      <w:r w:rsidRPr="00D32EC3">
        <w:rPr>
          <w:shd w:val="clear" w:color="auto" w:fill="FFFFFF"/>
        </w:rPr>
        <w:t>at p.</w:t>
      </w:r>
      <w:r w:rsidRPr="00D32EC3" w:rsidR="00317B83">
        <w:rPr>
          <w:shd w:val="clear" w:color="auto" w:fill="FFFFFF"/>
        </w:rPr>
        <w:t xml:space="preserve"> 817 [“</w:t>
      </w:r>
      <w:r w:rsidRPr="00D32EC3" w:rsidR="00317B83">
        <w:rPr>
          <w:rStyle w:val="ssrfcsection"/>
          <w:bdr w:val="none" w:sz="0" w:space="0" w:color="auto" w:frame="1"/>
          <w:shd w:val="clear" w:color="auto" w:fill="FFFFFF"/>
        </w:rPr>
        <w:t>considering it is well within the Regents’ constitutionally delegated authority</w:t>
      </w:r>
      <w:r w:rsidRPr="00D32EC3">
        <w:rPr>
          <w:rStyle w:val="ssrfcsection"/>
          <w:bdr w:val="none" w:sz="0" w:space="0" w:color="auto" w:frame="1"/>
          <w:shd w:val="clear" w:color="auto" w:fill="FFFFFF"/>
        </w:rPr>
        <w:t xml:space="preserve"> </w:t>
      </w:r>
      <w:r w:rsidR="009B6D2D">
        <w:rPr>
          <w:rStyle w:val="ssrfcsection"/>
          <w:bdr w:val="none" w:sz="0" w:space="0" w:color="auto" w:frame="1"/>
          <w:shd w:val="clear" w:color="auto" w:fill="FFFFFF"/>
        </w:rPr>
        <w:t>[citation]</w:t>
      </w:r>
      <w:r w:rsidRPr="00D32EC3" w:rsidR="00317B83">
        <w:rPr>
          <w:rStyle w:val="ssrfcsection"/>
          <w:bdr w:val="none" w:sz="0" w:space="0" w:color="auto" w:frame="1"/>
          <w:shd w:val="clear" w:color="auto" w:fill="FFFFFF"/>
        </w:rPr>
        <w:t xml:space="preserve"> to hear and resolve disputes related to the administration of the university</w:t>
      </w:r>
      <w:r w:rsidRPr="00D32EC3">
        <w:rPr>
          <w:rStyle w:val="ssrfcsection"/>
          <w:bdr w:val="none" w:sz="0" w:space="0" w:color="auto" w:frame="1"/>
          <w:shd w:val="clear" w:color="auto" w:fill="FFFFFF"/>
        </w:rPr>
        <w:t>’</w:t>
      </w:r>
      <w:r w:rsidRPr="00D32EC3" w:rsidR="00317B83">
        <w:rPr>
          <w:rStyle w:val="ssrfcsection"/>
          <w:bdr w:val="none" w:sz="0" w:space="0" w:color="auto" w:frame="1"/>
          <w:shd w:val="clear" w:color="auto" w:fill="FFFFFF"/>
        </w:rPr>
        <w:t xml:space="preserve">s academic affairs ‘by applying University policies to particular cases’ [citation], we conclude that Privilege &amp; Tenure’s interpretation is entitled to a reasonable degree of judicial </w:t>
      </w:r>
      <w:r w:rsidR="00FF1FC8">
        <w:rPr>
          <w:shd w:val="clear" w:color="auto" w:fill="FFFFFF"/>
        </w:rPr>
        <w:t>deference”].)</w:t>
      </w:r>
      <w:r>
        <w:rPr>
          <w:rStyle w:val="FootnoteReference"/>
          <w:shd w:val="clear" w:color="auto" w:fill="FFFFFF"/>
        </w:rPr>
        <w:footnoteReference w:id="12"/>
      </w:r>
    </w:p>
    <w:p w:rsidR="00612C01" w:rsidRPr="003F08AD" w:rsidP="003E48FB" w14:paraId="74687CD4" w14:textId="3FA6EE62">
      <w:pPr>
        <w:tabs>
          <w:tab w:val="clear" w:pos="720"/>
        </w:tabs>
        <w:spacing w:line="360" w:lineRule="auto"/>
      </w:pPr>
      <w:r w:rsidRPr="00D32EC3">
        <w:rPr>
          <w:shd w:val="clear" w:color="auto" w:fill="FFFFFF"/>
        </w:rPr>
        <w:tab/>
      </w:r>
      <w:r w:rsidR="00CA45FA">
        <w:rPr>
          <w:shd w:val="clear" w:color="auto" w:fill="FFFFFF"/>
        </w:rPr>
        <w:t>In</w:t>
      </w:r>
      <w:r w:rsidRPr="00D32EC3" w:rsidR="00A76557">
        <w:rPr>
          <w:shd w:val="clear" w:color="auto" w:fill="FFFFFF"/>
        </w:rPr>
        <w:t xml:space="preserve"> de</w:t>
      </w:r>
      <w:r w:rsidRPr="00D32EC3" w:rsidR="00EA5F36">
        <w:rPr>
          <w:shd w:val="clear" w:color="auto" w:fill="FFFFFF"/>
        </w:rPr>
        <w:t xml:space="preserve">termining that </w:t>
      </w:r>
      <w:r w:rsidR="00CA45FA">
        <w:rPr>
          <w:shd w:val="clear" w:color="auto" w:fill="FFFFFF"/>
        </w:rPr>
        <w:t>plaintiff’s</w:t>
      </w:r>
      <w:r w:rsidRPr="00D32EC3" w:rsidR="00A76557">
        <w:rPr>
          <w:shd w:val="clear" w:color="auto" w:fill="FFFFFF"/>
        </w:rPr>
        <w:t xml:space="preserve"> conduct toward Jane Doe was subject to discipline, the </w:t>
      </w:r>
      <w:r w:rsidRPr="00D32EC3" w:rsidR="00AB7617">
        <w:rPr>
          <w:shd w:val="clear" w:color="auto" w:fill="FFFFFF"/>
        </w:rPr>
        <w:t xml:space="preserve">University relied on </w:t>
      </w:r>
      <w:r w:rsidRPr="003F08AD" w:rsidR="00D601DF">
        <w:t xml:space="preserve">Faculty Code of Conduct, </w:t>
      </w:r>
      <w:r w:rsidR="00CA45FA">
        <w:t>Part II</w:t>
      </w:r>
      <w:r w:rsidRPr="003F08AD" w:rsidR="00AB7617">
        <w:t xml:space="preserve">. </w:t>
      </w:r>
      <w:r w:rsidRPr="003F08AD" w:rsidR="00D601DF">
        <w:t xml:space="preserve"> </w:t>
      </w:r>
      <w:r w:rsidRPr="003F08AD" w:rsidR="00AB7617">
        <w:t>Th</w:t>
      </w:r>
      <w:r w:rsidRPr="003F08AD" w:rsidR="00EA5F36">
        <w:t>e relevant</w:t>
      </w:r>
      <w:r w:rsidRPr="003F08AD" w:rsidR="00AB7617">
        <w:t xml:space="preserve"> provision</w:t>
      </w:r>
      <w:r w:rsidRPr="003F08AD" w:rsidR="00D601DF">
        <w:t xml:space="preserve"> states: </w:t>
      </w:r>
      <w:r w:rsidR="00CA45FA">
        <w:t xml:space="preserve"> </w:t>
      </w:r>
      <w:r w:rsidRPr="003F08AD" w:rsidR="00D601DF">
        <w:t>“</w:t>
      </w:r>
      <w:r w:rsidRPr="003F08AD">
        <w:t>Th</w:t>
      </w:r>
      <w:r w:rsidRPr="003F08AD" w:rsidR="00EA5F36">
        <w:t>[e]</w:t>
      </w:r>
      <w:r w:rsidRPr="003F08AD">
        <w:t xml:space="preserve"> listing of faculty responsibilities, ethical principles, and types of unacceptable behavior is organized around the individual faculty member’s relation to teaching and students, to scholarship, to the University, to colleagues, and to the community. </w:t>
      </w:r>
      <w:r w:rsidR="0033745A">
        <w:t xml:space="preserve"> </w:t>
      </w:r>
      <w:r w:rsidRPr="003F08AD">
        <w:t xml:space="preserve">Since University discipline, as distinguished from other forms of reproval or administrative actions, should be reserved for faculty misconduct that is either serious in itself or is made serious through its repetition, or its consequences, the following general principle is intended to govern all instances of its application: </w:t>
      </w:r>
      <w:r w:rsidR="0033745A">
        <w:t>[¶] </w:t>
      </w:r>
      <w:r w:rsidR="00C84E8C">
        <w:t>University</w:t>
      </w:r>
      <w:r w:rsidRPr="003F08AD" w:rsidR="00D601DF">
        <w:t xml:space="preserve"> discipline under this Code may be imposed on a faculty member only for conduct which is not justified by the ethical principles and which significantly impairs the University’s central functions as set forth in the </w:t>
      </w:r>
      <w:r w:rsidR="00C84E8C">
        <w:t>Preamble. . . .  The</w:t>
      </w:r>
      <w:r w:rsidRPr="003F08AD" w:rsidR="00B77675">
        <w:t xml:space="preserve"> Types of Unacceptable Conduct listed below in Sections </w:t>
      </w:r>
      <w:r w:rsidR="00C84E8C">
        <w:t>A through E</w:t>
      </w:r>
      <w:r w:rsidRPr="003F08AD" w:rsidR="00B77675">
        <w:t xml:space="preserve"> are examples of types of conduct which meet the preceding standards and hence are presumptively subject to University discipline. </w:t>
      </w:r>
      <w:r w:rsidR="00C84E8C">
        <w:t xml:space="preserve"> </w:t>
      </w:r>
      <w:r w:rsidRPr="003F08AD" w:rsidR="00D601DF">
        <w:t xml:space="preserve">Other types of serious misconduct, not specifically enumerated herein, may nonetheless be the basis for disciplinary action if they also meet the preceding </w:t>
      </w:r>
      <w:r w:rsidR="004A5AEC">
        <w:t>standards.”  (Italics omitted.)</w:t>
      </w:r>
    </w:p>
    <w:p w:rsidR="00514547" w:rsidRPr="003F08AD" w:rsidP="00D32EC3" w14:paraId="26C0A873" w14:textId="581AF729">
      <w:pPr>
        <w:tabs>
          <w:tab w:val="clear" w:pos="720"/>
        </w:tabs>
        <w:spacing w:line="360" w:lineRule="auto"/>
      </w:pPr>
      <w:r w:rsidRPr="003F08AD">
        <w:tab/>
      </w:r>
      <w:r w:rsidRPr="003F08AD" w:rsidR="00612C01">
        <w:t xml:space="preserve">According to </w:t>
      </w:r>
      <w:r w:rsidR="007854E6">
        <w:t>plaintiff</w:t>
      </w:r>
      <w:r w:rsidRPr="003F08AD" w:rsidR="00612C01">
        <w:t>, this language permits</w:t>
      </w:r>
      <w:r w:rsidRPr="003F08AD" w:rsidR="00EA5F36">
        <w:t xml:space="preserve"> faculty members to be </w:t>
      </w:r>
      <w:r w:rsidRPr="003F08AD" w:rsidR="00612C01">
        <w:t>discipline</w:t>
      </w:r>
      <w:r w:rsidRPr="003F08AD" w:rsidR="00EA5F36">
        <w:t>d</w:t>
      </w:r>
      <w:r w:rsidRPr="003F08AD" w:rsidR="00BB6CAE">
        <w:t xml:space="preserve"> </w:t>
      </w:r>
      <w:r w:rsidRPr="003F08AD" w:rsidR="00612C01">
        <w:t xml:space="preserve">only </w:t>
      </w:r>
      <w:r w:rsidRPr="003F08AD" w:rsidR="00EA5F36">
        <w:t>as</w:t>
      </w:r>
      <w:r w:rsidRPr="003F08AD">
        <w:t xml:space="preserve"> to</w:t>
      </w:r>
      <w:r w:rsidRPr="003F08AD" w:rsidR="00612C01">
        <w:t xml:space="preserve"> matter</w:t>
      </w:r>
      <w:r w:rsidRPr="003F08AD">
        <w:t>s</w:t>
      </w:r>
      <w:r w:rsidRPr="003F08AD" w:rsidR="00612C01">
        <w:t xml:space="preserve"> </w:t>
      </w:r>
      <w:r w:rsidRPr="003F08AD">
        <w:t xml:space="preserve">“in the scope of their professional roles, not after they have hung up their coat and kicked off their shoes at the end of the day, and certainly not after an after-party for an </w:t>
      </w:r>
      <w:r w:rsidRPr="003F08AD" w:rsidR="00F05EB8">
        <w:t>off-campus</w:t>
      </w:r>
      <w:r w:rsidRPr="003F08AD">
        <w:t xml:space="preserve"> poetry summit </w:t>
      </w:r>
      <w:r w:rsidR="007854E6">
        <w:t>[unaffiliated] with UCSC</w:t>
      </w:r>
      <w:r w:rsidRPr="003F08AD">
        <w:t>.”</w:t>
      </w:r>
    </w:p>
    <w:p w:rsidR="007B5108" w:rsidP="003F08AD" w14:paraId="2A612BB2" w14:textId="653777FC">
      <w:pPr>
        <w:tabs>
          <w:tab w:val="clear" w:pos="720"/>
        </w:tabs>
        <w:spacing w:line="360" w:lineRule="auto"/>
      </w:pPr>
      <w:r w:rsidRPr="003F08AD">
        <w:tab/>
        <w:t>I</w:t>
      </w:r>
      <w:r w:rsidRPr="003F08AD" w:rsidR="00BB6CAE">
        <w:t>n its final report,</w:t>
      </w:r>
      <w:r w:rsidRPr="003F08AD">
        <w:t xml:space="preserve"> however,</w:t>
      </w:r>
      <w:r w:rsidRPr="003F08AD" w:rsidR="00BB6CAE">
        <w:t xml:space="preserve"> </w:t>
      </w:r>
      <w:r w:rsidRPr="003F08AD" w:rsidR="00864890">
        <w:t xml:space="preserve">the </w:t>
      </w:r>
      <w:r w:rsidR="007D574D">
        <w:t>PT Committee</w:t>
      </w:r>
      <w:r w:rsidRPr="003F08AD" w:rsidR="00864890">
        <w:t xml:space="preserve"> interpreted th</w:t>
      </w:r>
      <w:r w:rsidRPr="003F08AD">
        <w:t>is provision</w:t>
      </w:r>
      <w:r w:rsidRPr="003F08AD" w:rsidR="00BB6CAE">
        <w:t xml:space="preserve"> </w:t>
      </w:r>
      <w:r w:rsidRPr="003F08AD" w:rsidR="00864890">
        <w:t xml:space="preserve">otherwise: </w:t>
      </w:r>
      <w:r w:rsidR="007D574D">
        <w:t xml:space="preserve"> </w:t>
      </w:r>
      <w:r w:rsidRPr="003F08AD" w:rsidR="00864890">
        <w:t>“</w:t>
      </w:r>
      <w:r w:rsidRPr="003F08AD" w:rsidR="006E27F9">
        <w:t xml:space="preserve">The </w:t>
      </w:r>
      <w:r w:rsidRPr="003F08AD">
        <w:t>[</w:t>
      </w:r>
      <w:r w:rsidRPr="003F08AD" w:rsidR="006E27F9">
        <w:t>F</w:t>
      </w:r>
      <w:r w:rsidRPr="003F08AD">
        <w:t xml:space="preserve">aculty </w:t>
      </w:r>
      <w:r w:rsidRPr="003F08AD" w:rsidR="006E27F9">
        <w:t>C</w:t>
      </w:r>
      <w:r w:rsidRPr="003F08AD">
        <w:t xml:space="preserve">ode of </w:t>
      </w:r>
      <w:r w:rsidRPr="003F08AD" w:rsidR="006E27F9">
        <w:t>C</w:t>
      </w:r>
      <w:r w:rsidRPr="003F08AD">
        <w:t>onduct]</w:t>
      </w:r>
      <w:r w:rsidRPr="003F08AD" w:rsidR="006E27F9">
        <w:t xml:space="preserve"> does in fact extend to interactions between faculty and </w:t>
      </w:r>
      <w:r w:rsidRPr="003F08AD" w:rsidR="00864890">
        <w:t>‘</w:t>
      </w:r>
      <w:r w:rsidRPr="003F08AD" w:rsidR="006E27F9">
        <w:t>the community</w:t>
      </w:r>
      <w:r w:rsidRPr="003F08AD" w:rsidR="00864890">
        <w:t>’</w:t>
      </w:r>
      <w:r w:rsidRPr="003F08AD" w:rsidR="006E27F9">
        <w:t xml:space="preserve">: </w:t>
      </w:r>
      <w:r w:rsidR="007D574D">
        <w:t xml:space="preserve"> </w:t>
      </w:r>
      <w:r w:rsidRPr="003F08AD" w:rsidR="00864890">
        <w:t>‘</w:t>
      </w:r>
      <w:r w:rsidRPr="003F08AD" w:rsidR="006E27F9">
        <w:t>This listing of faculty responsibilities, ethical principles, and types of unacceptable behavior is organized around the individual faculty member’s relation to teaching and students, to scholarship, to the University, to colleagues, and to the community</w:t>
      </w:r>
      <w:r w:rsidRPr="003F08AD" w:rsidR="00864890">
        <w:t>’</w:t>
      </w:r>
      <w:r w:rsidRPr="003F08AD" w:rsidR="006E27F9">
        <w:t xml:space="preserve">. </w:t>
      </w:r>
      <w:r w:rsidR="007D574D">
        <w:t xml:space="preserve"> </w:t>
      </w:r>
      <w:r w:rsidR="00CA44D7">
        <w:t>(APM 015, Part II.)  The</w:t>
      </w:r>
      <w:r w:rsidRPr="003F08AD" w:rsidR="006E27F9">
        <w:t xml:space="preserve"> </w:t>
      </w:r>
      <w:r w:rsidRPr="003F08AD" w:rsidR="00864890">
        <w:t>‘</w:t>
      </w:r>
      <w:r w:rsidRPr="003F08AD" w:rsidR="006E27F9">
        <w:t>community</w:t>
      </w:r>
      <w:r w:rsidRPr="003F08AD" w:rsidR="00864890">
        <w:t>’</w:t>
      </w:r>
      <w:r w:rsidRPr="003F08AD" w:rsidR="006E27F9">
        <w:t xml:space="preserve"> meant here is clearly not the University community, but the community at large. </w:t>
      </w:r>
      <w:r w:rsidR="00CA44D7">
        <w:t xml:space="preserve"> </w:t>
      </w:r>
      <w:r w:rsidRPr="003F08AD" w:rsidR="006E27F9">
        <w:t xml:space="preserve">It is not true that the conduct in question had no relation to the University. </w:t>
      </w:r>
      <w:r w:rsidR="00CA44D7">
        <w:t xml:space="preserve"> </w:t>
      </w:r>
      <w:r w:rsidRPr="003F08AD" w:rsidR="006E27F9">
        <w:t xml:space="preserve">The poetry summit was an academic conference (testimony by </w:t>
      </w:r>
      <w:r w:rsidR="00CA44D7">
        <w:t>[Witness 1], HT p. 272</w:t>
      </w:r>
      <w:r w:rsidRPr="003F08AD" w:rsidR="006E27F9">
        <w:t xml:space="preserve">), and </w:t>
      </w:r>
      <w:r w:rsidR="00EF6356">
        <w:t>[plaintiff’s]</w:t>
      </w:r>
      <w:r w:rsidRPr="003F08AD" w:rsidR="006E27F9">
        <w:t xml:space="preserve"> presence at it was clearly related to his status as a Professor at the University. </w:t>
      </w:r>
      <w:r>
        <w:t xml:space="preserve"> </w:t>
      </w:r>
      <w:r w:rsidRPr="003F08AD" w:rsidR="006E27F9">
        <w:t xml:space="preserve">The question before us, then, is whether </w:t>
      </w:r>
      <w:r>
        <w:t>[</w:t>
      </w:r>
      <w:r w:rsidR="00EF6356">
        <w:t>plaintiff</w:t>
      </w:r>
      <w:r>
        <w:t>’s]</w:t>
      </w:r>
      <w:r w:rsidRPr="003F08AD" w:rsidR="006E27F9">
        <w:t xml:space="preserve"> conduct in the </w:t>
      </w:r>
      <w:r w:rsidRPr="003F08AD" w:rsidR="00864890">
        <w:t>[Jane Doe]</w:t>
      </w:r>
      <w:r w:rsidRPr="003F08AD" w:rsidR="006E27F9">
        <w:t xml:space="preserve"> incident was conduct which </w:t>
      </w:r>
      <w:r w:rsidRPr="003F08AD" w:rsidR="00864890">
        <w:t>‘</w:t>
      </w:r>
      <w:bookmarkStart w:id="0" w:name="_Hlk143866633"/>
      <w:r w:rsidRPr="003F08AD" w:rsidR="006E27F9">
        <w:t>is not justified by the Ethical Principles and which significantly impairs the University’s central functions</w:t>
      </w:r>
      <w:bookmarkEnd w:id="0"/>
      <w:r w:rsidRPr="003F08AD" w:rsidR="006E27F9">
        <w:t xml:space="preserve"> as set forth in the Preamble</w:t>
      </w:r>
      <w:r w:rsidRPr="003F08AD" w:rsidR="00864890">
        <w:t>’</w:t>
      </w:r>
      <w:r w:rsidRPr="003F08AD" w:rsidR="006E27F9">
        <w:t>.</w:t>
      </w:r>
    </w:p>
    <w:p w:rsidR="00D601DF" w:rsidRPr="003F08AD" w:rsidP="00D32EC3" w14:paraId="56868B74" w14:textId="63E442A8">
      <w:pPr>
        <w:tabs>
          <w:tab w:val="clear" w:pos="720"/>
        </w:tabs>
        <w:spacing w:line="360" w:lineRule="auto"/>
        <w:ind w:firstLine="720"/>
      </w:pPr>
      <w:r>
        <w:t>“There</w:t>
      </w:r>
      <w:r w:rsidRPr="003F08AD" w:rsidR="006E27F9">
        <w:t xml:space="preserve"> is no question that the behavior was not justified by the Ethical Principles. </w:t>
      </w:r>
      <w:r w:rsidR="00524460">
        <w:t xml:space="preserve"> </w:t>
      </w:r>
      <w:r w:rsidRPr="003F08AD" w:rsidR="006E27F9">
        <w:t xml:space="preserve">We also find that it significantly impairs the University’s central functions. </w:t>
      </w:r>
      <w:r w:rsidR="00524460">
        <w:t xml:space="preserve"> </w:t>
      </w:r>
      <w:r w:rsidRPr="003F08AD" w:rsidR="006E27F9">
        <w:t xml:space="preserve">The Preamble states: </w:t>
      </w:r>
      <w:r w:rsidR="00524460">
        <w:t xml:space="preserve"> </w:t>
      </w:r>
      <w:r w:rsidRPr="003F08AD" w:rsidR="00864890">
        <w:t>‘</w:t>
      </w:r>
      <w:r w:rsidRPr="003F08AD" w:rsidR="006E27F9">
        <w:t>The University seeks to provide and sustain an environment conducive to sharing, extending, and critically examining knowledge and values, and to furthering the search for wisdom.</w:t>
      </w:r>
      <w:r w:rsidRPr="003F08AD" w:rsidR="00864890">
        <w:t>’</w:t>
      </w:r>
      <w:r w:rsidRPr="003F08AD" w:rsidR="006E27F9">
        <w:t xml:space="preserve"> </w:t>
      </w:r>
      <w:r w:rsidR="00524460">
        <w:t xml:space="preserve"> </w:t>
      </w:r>
      <w:r w:rsidRPr="003F08AD" w:rsidR="006E27F9">
        <w:t xml:space="preserve">The University is impaired in this function if its faculty, without consequence or sanction, engage in behavior in the context of professional events that would not be tolerated on campus because of their clear incompatibility with sustaining an environment </w:t>
      </w:r>
      <w:r w:rsidRPr="003F08AD" w:rsidR="00864890">
        <w:t>‘</w:t>
      </w:r>
      <w:r w:rsidRPr="003F08AD" w:rsidR="006E27F9">
        <w:t>conducive to sharing, extending, and critically examining knowledge and values, and to furthering the search for wisdom</w:t>
      </w:r>
      <w:r w:rsidRPr="003F08AD" w:rsidR="00864890">
        <w:t>’</w:t>
      </w:r>
      <w:r w:rsidRPr="003F08AD" w:rsidR="006E27F9">
        <w:t xml:space="preserve">. </w:t>
      </w:r>
      <w:r w:rsidR="00524460">
        <w:t xml:space="preserve"> </w:t>
      </w:r>
      <w:r w:rsidRPr="003F08AD" w:rsidR="006E27F9">
        <w:t xml:space="preserve">For example, it is to be expected that neither </w:t>
      </w:r>
      <w:r w:rsidR="00524460">
        <w:t>Ms. [Doe] nor [Witness 1]</w:t>
      </w:r>
      <w:r w:rsidRPr="003F08AD" w:rsidR="006E27F9">
        <w:t xml:space="preserve"> (nor potentially others who became aware of the behavior) would want to work with </w:t>
      </w:r>
      <w:r w:rsidR="00EF6356">
        <w:t>[plaintiff]</w:t>
      </w:r>
      <w:r w:rsidRPr="003F08AD" w:rsidR="00514547">
        <w:t xml:space="preserve"> </w:t>
      </w:r>
      <w:r w:rsidRPr="003F08AD" w:rsidR="006E27F9">
        <w:t xml:space="preserve">(or even with anyone from UCSC) in the future, if they see that this behavior has no consequences. </w:t>
      </w:r>
      <w:r w:rsidR="00966503">
        <w:t xml:space="preserve"> </w:t>
      </w:r>
      <w:r w:rsidRPr="003F08AD" w:rsidR="006E27F9">
        <w:t>In other words: only a safe environment is an environment conducive to sharing knowledge and values.</w:t>
      </w:r>
      <w:r w:rsidRPr="003F08AD" w:rsidR="00864890">
        <w:t>”</w:t>
      </w:r>
    </w:p>
    <w:p w:rsidR="003314E7" w:rsidRPr="00127C05" w:rsidP="00127C05" w14:paraId="46118108" w14:textId="46DE1FE4">
      <w:pPr>
        <w:tabs>
          <w:tab w:val="clear" w:pos="720"/>
        </w:tabs>
        <w:spacing w:line="360" w:lineRule="auto"/>
        <w:rPr>
          <w:rStyle w:val="ssrfcsection"/>
          <w:bdr w:val="none" w:sz="0" w:space="0" w:color="auto" w:frame="1"/>
          <w:shd w:val="clear" w:color="auto" w:fill="FFFFFF"/>
        </w:rPr>
      </w:pPr>
      <w:r w:rsidRPr="003F08AD">
        <w:tab/>
      </w:r>
      <w:r w:rsidR="00A44B08">
        <w:rPr>
          <w:rStyle w:val="ssrfcpassagedeactivated"/>
          <w:bdr w:val="none" w:sz="0" w:space="0" w:color="auto" w:frame="1"/>
          <w:shd w:val="clear" w:color="auto" w:fill="FFFFFF"/>
        </w:rPr>
        <w:t>Applying the above stated</w:t>
      </w:r>
      <w:r w:rsidRPr="00127C05" w:rsidR="00EA5F36">
        <w:rPr>
          <w:rStyle w:val="ssrfcpassagedeactivated"/>
          <w:bdr w:val="none" w:sz="0" w:space="0" w:color="auto" w:frame="1"/>
          <w:shd w:val="clear" w:color="auto" w:fill="FFFFFF"/>
        </w:rPr>
        <w:t xml:space="preserve"> rules</w:t>
      </w:r>
      <w:r w:rsidRPr="00127C05" w:rsidR="00611284">
        <w:rPr>
          <w:rStyle w:val="ssrfcpassagedeactivated"/>
          <w:bdr w:val="none" w:sz="0" w:space="0" w:color="auto" w:frame="1"/>
          <w:shd w:val="clear" w:color="auto" w:fill="FFFFFF"/>
        </w:rPr>
        <w:t xml:space="preserve"> </w:t>
      </w:r>
      <w:r w:rsidRPr="00127C05" w:rsidR="00BB6CAE">
        <w:rPr>
          <w:rStyle w:val="ssrfcpassagedeactivated"/>
          <w:bdr w:val="none" w:sz="0" w:space="0" w:color="auto" w:frame="1"/>
          <w:shd w:val="clear" w:color="auto" w:fill="FFFFFF"/>
        </w:rPr>
        <w:t xml:space="preserve">of statutory interpretation, we conclude the </w:t>
      </w:r>
      <w:r w:rsidR="00A44B08">
        <w:rPr>
          <w:rStyle w:val="ssrfcpassagedeactivated"/>
          <w:bdr w:val="none" w:sz="0" w:space="0" w:color="auto" w:frame="1"/>
          <w:shd w:val="clear" w:color="auto" w:fill="FFFFFF"/>
        </w:rPr>
        <w:t>PT Committee’s</w:t>
      </w:r>
      <w:r w:rsidRPr="00127C05" w:rsidR="00BB6CAE">
        <w:rPr>
          <w:rStyle w:val="ssrfcpassagedeactivated"/>
          <w:bdr w:val="none" w:sz="0" w:space="0" w:color="auto" w:frame="1"/>
          <w:shd w:val="clear" w:color="auto" w:fill="FFFFFF"/>
        </w:rPr>
        <w:t xml:space="preserve"> </w:t>
      </w:r>
      <w:r w:rsidRPr="00127C05" w:rsidR="00EA5F36">
        <w:rPr>
          <w:rStyle w:val="ssrfcpassagedeactivated"/>
          <w:bdr w:val="none" w:sz="0" w:space="0" w:color="auto" w:frame="1"/>
          <w:shd w:val="clear" w:color="auto" w:fill="FFFFFF"/>
        </w:rPr>
        <w:t>reading</w:t>
      </w:r>
      <w:r w:rsidRPr="00127C05" w:rsidR="00BB6CAE">
        <w:rPr>
          <w:rStyle w:val="ssrfcpassagedeactivated"/>
          <w:bdr w:val="none" w:sz="0" w:space="0" w:color="auto" w:frame="1"/>
          <w:shd w:val="clear" w:color="auto" w:fill="FFFFFF"/>
        </w:rPr>
        <w:t xml:space="preserve"> of the Faculty Code of Conduct</w:t>
      </w:r>
      <w:r w:rsidRPr="00127C05" w:rsidR="00514547">
        <w:rPr>
          <w:rStyle w:val="ssrfcpassagedeactivated"/>
          <w:bdr w:val="none" w:sz="0" w:space="0" w:color="auto" w:frame="1"/>
          <w:shd w:val="clear" w:color="auto" w:fill="FFFFFF"/>
        </w:rPr>
        <w:t xml:space="preserve"> </w:t>
      </w:r>
      <w:r w:rsidRPr="00127C05" w:rsidR="00EA5F36">
        <w:rPr>
          <w:rStyle w:val="ssrfcpassagedeactivated"/>
          <w:bdr w:val="none" w:sz="0" w:space="0" w:color="auto" w:frame="1"/>
          <w:shd w:val="clear" w:color="auto" w:fill="FFFFFF"/>
        </w:rPr>
        <w:t>wa</w:t>
      </w:r>
      <w:r w:rsidRPr="00127C05" w:rsidR="00514547">
        <w:rPr>
          <w:rStyle w:val="ssrfcpassagedeactivated"/>
          <w:bdr w:val="none" w:sz="0" w:space="0" w:color="auto" w:frame="1"/>
          <w:shd w:val="clear" w:color="auto" w:fill="FFFFFF"/>
        </w:rPr>
        <w:t>s consistent</w:t>
      </w:r>
      <w:r w:rsidRPr="00127C05" w:rsidR="00BB6CAE">
        <w:rPr>
          <w:rStyle w:val="ssrfcpassagedeactivated"/>
          <w:bdr w:val="none" w:sz="0" w:space="0" w:color="auto" w:frame="1"/>
          <w:shd w:val="clear" w:color="auto" w:fill="FFFFFF"/>
        </w:rPr>
        <w:t xml:space="preserve"> with the plain and commonsense meaning</w:t>
      </w:r>
      <w:r w:rsidRPr="00127C05" w:rsidR="003E7AA5">
        <w:rPr>
          <w:rStyle w:val="ssrfcpassagedeactivated"/>
          <w:bdr w:val="none" w:sz="0" w:space="0" w:color="auto" w:frame="1"/>
          <w:shd w:val="clear" w:color="auto" w:fill="FFFFFF"/>
        </w:rPr>
        <w:t xml:space="preserve"> of the Code’s language</w:t>
      </w:r>
      <w:r w:rsidRPr="00127C05" w:rsidR="00BB6CAE">
        <w:rPr>
          <w:rStyle w:val="ssrfcpassagedeactivated"/>
          <w:bdr w:val="none" w:sz="0" w:space="0" w:color="auto" w:frame="1"/>
          <w:shd w:val="clear" w:color="auto" w:fill="FFFFFF"/>
        </w:rPr>
        <w:t>.  (</w:t>
      </w:r>
      <w:r w:rsidRPr="00127C05" w:rsidR="00BB6CAE">
        <w:rPr>
          <w:rStyle w:val="ssrfcpassagedeactivated"/>
          <w:i/>
          <w:iCs/>
          <w:bdr w:val="none" w:sz="0" w:space="0" w:color="auto" w:frame="1"/>
          <w:shd w:val="clear" w:color="auto" w:fill="FFFFFF"/>
        </w:rPr>
        <w:t>Akella, supra</w:t>
      </w:r>
      <w:r w:rsidRPr="00127C05" w:rsidR="00BB6CAE">
        <w:rPr>
          <w:rStyle w:val="ssrfcpassagedeactivated"/>
          <w:bdr w:val="none" w:sz="0" w:space="0" w:color="auto" w:frame="1"/>
          <w:shd w:val="clear" w:color="auto" w:fill="FFFFFF"/>
        </w:rPr>
        <w:t xml:space="preserve">, 61 Cal.App.5th at pp. </w:t>
      </w:r>
      <w:r w:rsidR="00F14CC6">
        <w:rPr>
          <w:rStyle w:val="ssrfcpassagedeactivated"/>
          <w:bdr w:val="none" w:sz="0" w:space="0" w:color="auto" w:frame="1"/>
          <w:shd w:val="clear" w:color="auto" w:fill="FFFFFF"/>
        </w:rPr>
        <w:t>817–818</w:t>
      </w:r>
      <w:r w:rsidRPr="00127C05" w:rsidR="00BB6CAE">
        <w:rPr>
          <w:rStyle w:val="ssrfcpassagedeactivated"/>
          <w:bdr w:val="none" w:sz="0" w:space="0" w:color="auto" w:frame="1"/>
          <w:shd w:val="clear" w:color="auto" w:fill="FFFFFF"/>
        </w:rPr>
        <w:t xml:space="preserve">.)  </w:t>
      </w:r>
      <w:r w:rsidRPr="00127C05" w:rsidR="003E7AA5">
        <w:rPr>
          <w:rStyle w:val="ssrfcpassagedeactivated"/>
          <w:bdr w:val="none" w:sz="0" w:space="0" w:color="auto" w:frame="1"/>
          <w:shd w:val="clear" w:color="auto" w:fill="FFFFFF"/>
        </w:rPr>
        <w:t>T</w:t>
      </w:r>
      <w:r w:rsidRPr="00127C05" w:rsidR="00BB6CAE">
        <w:rPr>
          <w:rStyle w:val="ssrfcpassagedeactivated"/>
          <w:bdr w:val="none" w:sz="0" w:space="0" w:color="auto" w:frame="1"/>
          <w:shd w:val="clear" w:color="auto" w:fill="FFFFFF"/>
        </w:rPr>
        <w:t xml:space="preserve">he </w:t>
      </w:r>
      <w:r w:rsidR="00F14CC6">
        <w:rPr>
          <w:rStyle w:val="ssrfcpassagedeactivated"/>
          <w:bdr w:val="none" w:sz="0" w:space="0" w:color="auto" w:frame="1"/>
          <w:shd w:val="clear" w:color="auto" w:fill="FFFFFF"/>
        </w:rPr>
        <w:t>PT Committee’s</w:t>
      </w:r>
      <w:r w:rsidRPr="00127C05" w:rsidR="00BB6CAE">
        <w:rPr>
          <w:rStyle w:val="ssrfcpassagedeactivated"/>
          <w:bdr w:val="none" w:sz="0" w:space="0" w:color="auto" w:frame="1"/>
          <w:shd w:val="clear" w:color="auto" w:fill="FFFFFF"/>
        </w:rPr>
        <w:t xml:space="preserve"> interpretation </w:t>
      </w:r>
      <w:r w:rsidRPr="00127C05" w:rsidR="003E7AA5">
        <w:rPr>
          <w:rStyle w:val="ssrfcpassagedeactivated"/>
          <w:bdr w:val="none" w:sz="0" w:space="0" w:color="auto" w:frame="1"/>
          <w:shd w:val="clear" w:color="auto" w:fill="FFFFFF"/>
        </w:rPr>
        <w:t>also</w:t>
      </w:r>
      <w:r w:rsidRPr="00127C05" w:rsidR="00BB6CAE">
        <w:rPr>
          <w:rStyle w:val="ssrfcpassagedeactivated"/>
          <w:bdr w:val="none" w:sz="0" w:space="0" w:color="auto" w:frame="1"/>
          <w:shd w:val="clear" w:color="auto" w:fill="FFFFFF"/>
        </w:rPr>
        <w:t xml:space="preserve"> g</w:t>
      </w:r>
      <w:r w:rsidRPr="00127C05" w:rsidR="00C51B06">
        <w:rPr>
          <w:rStyle w:val="ssrfcpassagedeactivated"/>
          <w:bdr w:val="none" w:sz="0" w:space="0" w:color="auto" w:frame="1"/>
          <w:shd w:val="clear" w:color="auto" w:fill="FFFFFF"/>
        </w:rPr>
        <w:t>ave</w:t>
      </w:r>
      <w:r w:rsidRPr="00127C05" w:rsidR="00BB6CAE">
        <w:rPr>
          <w:rStyle w:val="ssrfcpassagedeactivated"/>
          <w:bdr w:val="none" w:sz="0" w:space="0" w:color="auto" w:frame="1"/>
          <w:shd w:val="clear" w:color="auto" w:fill="FFFFFF"/>
        </w:rPr>
        <w:t xml:space="preserve"> meaning to the </w:t>
      </w:r>
      <w:r w:rsidRPr="00127C05" w:rsidR="00DC6F9F">
        <w:rPr>
          <w:rStyle w:val="ssrfcpassagedeactivated"/>
          <w:bdr w:val="none" w:sz="0" w:space="0" w:color="auto" w:frame="1"/>
          <w:shd w:val="clear" w:color="auto" w:fill="FFFFFF"/>
        </w:rPr>
        <w:t>provision</w:t>
      </w:r>
      <w:r w:rsidRPr="00127C05" w:rsidR="00BB6CAE">
        <w:rPr>
          <w:rStyle w:val="ssrfcpassagedeactivated"/>
          <w:bdr w:val="none" w:sz="0" w:space="0" w:color="auto" w:frame="1"/>
          <w:shd w:val="clear" w:color="auto" w:fill="FFFFFF"/>
        </w:rPr>
        <w:t xml:space="preserve"> </w:t>
      </w:r>
      <w:r w:rsidRPr="00127C05" w:rsidR="00A856EA">
        <w:rPr>
          <w:rStyle w:val="ssrfcpassagedeactivated"/>
          <w:bdr w:val="none" w:sz="0" w:space="0" w:color="auto" w:frame="1"/>
          <w:shd w:val="clear" w:color="auto" w:fill="FFFFFF"/>
        </w:rPr>
        <w:t>“</w:t>
      </w:r>
      <w:r w:rsidRPr="00127C05" w:rsidR="00B859D0">
        <w:rPr>
          <w:shd w:val="clear" w:color="auto" w:fill="FFFFFF"/>
        </w:rPr>
        <w:t xml:space="preserve">as a whole, giving effect to all of its </w:t>
      </w:r>
      <w:r w:rsidR="00F14CC6">
        <w:rPr>
          <w:rStyle w:val="ssrfcpassagedeactivated"/>
          <w:bdr w:val="none" w:sz="0" w:space="0" w:color="auto" w:frame="1"/>
          <w:shd w:val="clear" w:color="auto" w:fill="FFFFFF"/>
        </w:rPr>
        <w:t>parts . . . .</w:t>
      </w:r>
      <w:r w:rsidR="00326FD6">
        <w:rPr>
          <w:rStyle w:val="ssrfcpassagedeactivated"/>
          <w:bdr w:val="none" w:sz="0" w:space="0" w:color="auto" w:frame="1"/>
          <w:shd w:val="clear" w:color="auto" w:fill="FFFFFF"/>
        </w:rPr>
        <w:t>”  (</w:t>
      </w:r>
      <w:r w:rsidR="00326FD6">
        <w:rPr>
          <w:rStyle w:val="ssrfcpassagedeactivated"/>
          <w:i/>
          <w:iCs/>
          <w:bdr w:val="none" w:sz="0" w:space="0" w:color="auto" w:frame="1"/>
          <w:shd w:val="clear" w:color="auto" w:fill="FFFFFF"/>
        </w:rPr>
        <w:t>Id.</w:t>
      </w:r>
      <w:r w:rsidR="00326FD6">
        <w:rPr>
          <w:rStyle w:val="ssrfcpassagedeactivated"/>
          <w:bdr w:val="none" w:sz="0" w:space="0" w:color="auto" w:frame="1"/>
          <w:shd w:val="clear" w:color="auto" w:fill="FFFFFF"/>
        </w:rPr>
        <w:t xml:space="preserve"> at p. 818.)  And lastly, the PT Committee’s</w:t>
      </w:r>
      <w:r w:rsidRPr="00127C05" w:rsidR="003E7AA5">
        <w:rPr>
          <w:rStyle w:val="ssrfcsection"/>
          <w:bdr w:val="none" w:sz="0" w:space="0" w:color="auto" w:frame="1"/>
          <w:shd w:val="clear" w:color="auto" w:fill="FFFFFF"/>
        </w:rPr>
        <w:t xml:space="preserve"> interpretation</w:t>
      </w:r>
      <w:r w:rsidRPr="00127C05" w:rsidR="001E1CE3">
        <w:rPr>
          <w:rStyle w:val="ssrfcsection"/>
          <w:bdr w:val="none" w:sz="0" w:space="0" w:color="auto" w:frame="1"/>
          <w:shd w:val="clear" w:color="auto" w:fill="FFFFFF"/>
        </w:rPr>
        <w:t xml:space="preserve"> </w:t>
      </w:r>
      <w:r w:rsidRPr="00127C05" w:rsidR="003E7AA5">
        <w:rPr>
          <w:rStyle w:val="ssrfcsection"/>
          <w:bdr w:val="none" w:sz="0" w:space="0" w:color="auto" w:frame="1"/>
          <w:shd w:val="clear" w:color="auto" w:fill="FFFFFF"/>
        </w:rPr>
        <w:t>respect</w:t>
      </w:r>
      <w:r w:rsidRPr="00127C05" w:rsidR="00C51B06">
        <w:rPr>
          <w:rStyle w:val="ssrfcsection"/>
          <w:bdr w:val="none" w:sz="0" w:space="0" w:color="auto" w:frame="1"/>
          <w:shd w:val="clear" w:color="auto" w:fill="FFFFFF"/>
        </w:rPr>
        <w:t>ed</w:t>
      </w:r>
      <w:r w:rsidRPr="00127C05" w:rsidR="003E7AA5">
        <w:rPr>
          <w:rStyle w:val="ssrfcsection"/>
          <w:bdr w:val="none" w:sz="0" w:space="0" w:color="auto" w:frame="1"/>
          <w:shd w:val="clear" w:color="auto" w:fill="FFFFFF"/>
        </w:rPr>
        <w:t xml:space="preserve"> the</w:t>
      </w:r>
      <w:r w:rsidRPr="00127C05" w:rsidR="001E1CE3">
        <w:rPr>
          <w:rStyle w:val="ssrfcsection"/>
          <w:bdr w:val="none" w:sz="0" w:space="0" w:color="auto" w:frame="1"/>
          <w:shd w:val="clear" w:color="auto" w:fill="FFFFFF"/>
        </w:rPr>
        <w:t xml:space="preserve"> University’s</w:t>
      </w:r>
      <w:r w:rsidRPr="00127C05" w:rsidR="00B859D0">
        <w:rPr>
          <w:rStyle w:val="ssrfcsection"/>
          <w:bdr w:val="none" w:sz="0" w:space="0" w:color="auto" w:frame="1"/>
          <w:shd w:val="clear" w:color="auto" w:fill="FFFFFF"/>
        </w:rPr>
        <w:t xml:space="preserve"> </w:t>
      </w:r>
      <w:r w:rsidRPr="00127C05" w:rsidR="003E7AA5">
        <w:rPr>
          <w:rStyle w:val="ssrfcsection"/>
          <w:bdr w:val="none" w:sz="0" w:space="0" w:color="auto" w:frame="1"/>
          <w:shd w:val="clear" w:color="auto" w:fill="FFFFFF"/>
        </w:rPr>
        <w:t xml:space="preserve">underlying </w:t>
      </w:r>
      <w:r w:rsidRPr="00127C05" w:rsidR="00B859D0">
        <w:rPr>
          <w:rStyle w:val="ssrfcsection"/>
          <w:bdr w:val="none" w:sz="0" w:space="0" w:color="auto" w:frame="1"/>
          <w:shd w:val="clear" w:color="auto" w:fill="FFFFFF"/>
        </w:rPr>
        <w:t xml:space="preserve">intent </w:t>
      </w:r>
      <w:r w:rsidRPr="00127C05" w:rsidR="00C51B06">
        <w:rPr>
          <w:rStyle w:val="ssrfcsection"/>
          <w:bdr w:val="none" w:sz="0" w:space="0" w:color="auto" w:frame="1"/>
          <w:shd w:val="clear" w:color="auto" w:fill="FFFFFF"/>
        </w:rPr>
        <w:t>in</w:t>
      </w:r>
      <w:r w:rsidRPr="00127C05" w:rsidR="001E1CE3">
        <w:rPr>
          <w:rStyle w:val="ssrfcsection"/>
          <w:bdr w:val="none" w:sz="0" w:space="0" w:color="auto" w:frame="1"/>
          <w:shd w:val="clear" w:color="auto" w:fill="FFFFFF"/>
        </w:rPr>
        <w:t xml:space="preserve"> prohibiting faculty </w:t>
      </w:r>
      <w:r w:rsidRPr="00127C05" w:rsidR="00B859D0">
        <w:rPr>
          <w:rStyle w:val="ssrfcsection"/>
          <w:bdr w:val="none" w:sz="0" w:space="0" w:color="auto" w:frame="1"/>
          <w:shd w:val="clear" w:color="auto" w:fill="FFFFFF"/>
        </w:rPr>
        <w:t xml:space="preserve">conduct </w:t>
      </w:r>
      <w:r w:rsidRPr="00127C05" w:rsidR="001E1CE3">
        <w:rPr>
          <w:rStyle w:val="ssrfcsection"/>
          <w:bdr w:val="none" w:sz="0" w:space="0" w:color="auto" w:frame="1"/>
          <w:shd w:val="clear" w:color="auto" w:fill="FFFFFF"/>
        </w:rPr>
        <w:t>“</w:t>
      </w:r>
      <w:r w:rsidRPr="003F08AD" w:rsidR="00B859D0">
        <w:t>not justified by the Ethical Principles and which significantly impairs the University’s central functions</w:t>
      </w:r>
      <w:r w:rsidRPr="003F08AD" w:rsidR="003E7AA5">
        <w:t>.</w:t>
      </w:r>
      <w:r w:rsidRPr="003F08AD" w:rsidR="00B859D0">
        <w:t xml:space="preserve">” </w:t>
      </w:r>
      <w:r w:rsidRPr="003F08AD" w:rsidR="003E7AA5">
        <w:t xml:space="preserve"> (</w:t>
      </w:r>
      <w:r w:rsidRPr="003F08AD" w:rsidR="003E7AA5">
        <w:rPr>
          <w:i/>
          <w:iCs/>
        </w:rPr>
        <w:t>Ibid.</w:t>
      </w:r>
      <w:r w:rsidRPr="003F08AD" w:rsidR="003E7AA5">
        <w:t xml:space="preserve">)  As explained in </w:t>
      </w:r>
      <w:r w:rsidRPr="003F08AD" w:rsidR="00DC6F9F">
        <w:t xml:space="preserve">the </w:t>
      </w:r>
      <w:r w:rsidR="00FB4F90">
        <w:t>PT Committee’s</w:t>
      </w:r>
      <w:r w:rsidRPr="003F08AD" w:rsidR="003E7AA5">
        <w:t xml:space="preserve"> final report, </w:t>
      </w:r>
      <w:r w:rsidRPr="003F08AD" w:rsidR="00B859D0">
        <w:t xml:space="preserve">“only a safe environment is an environment conducive to sharing knowledge and values.”  Climbing </w:t>
      </w:r>
      <w:r w:rsidRPr="003F08AD" w:rsidR="002F504B">
        <w:t>naked</w:t>
      </w:r>
      <w:r w:rsidRPr="003F08AD" w:rsidR="00D3348B">
        <w:t xml:space="preserve"> and</w:t>
      </w:r>
      <w:r w:rsidRPr="003F08AD" w:rsidR="00B15FCB">
        <w:t xml:space="preserve"> </w:t>
      </w:r>
      <w:r w:rsidRPr="003F08AD" w:rsidR="0043770D">
        <w:t>uninvited</w:t>
      </w:r>
      <w:r w:rsidRPr="003F08AD" w:rsidR="00A856EA">
        <w:t xml:space="preserve"> into bed</w:t>
      </w:r>
      <w:r w:rsidRPr="003F08AD" w:rsidR="002F504B">
        <w:t xml:space="preserve"> </w:t>
      </w:r>
      <w:r w:rsidRPr="003F08AD" w:rsidR="00D3348B">
        <w:t xml:space="preserve">with and pressing his genitalia against </w:t>
      </w:r>
      <w:r w:rsidRPr="003F08AD" w:rsidR="00B859D0">
        <w:t xml:space="preserve">a </w:t>
      </w:r>
      <w:r w:rsidRPr="003F08AD" w:rsidR="002F504B">
        <w:t xml:space="preserve">female </w:t>
      </w:r>
      <w:r w:rsidRPr="003F08AD" w:rsidR="00761CF9">
        <w:t>academic</w:t>
      </w:r>
      <w:r w:rsidRPr="003F08AD" w:rsidR="00B859D0">
        <w:t xml:space="preserve"> attending the same academic conference at </w:t>
      </w:r>
      <w:r w:rsidRPr="003F08AD" w:rsidR="00A856EA">
        <w:t>a</w:t>
      </w:r>
      <w:r w:rsidRPr="003F08AD" w:rsidR="00B15FCB">
        <w:t xml:space="preserve"> </w:t>
      </w:r>
      <w:r w:rsidRPr="003F08AD" w:rsidR="00A856EA">
        <w:t xml:space="preserve">party </w:t>
      </w:r>
      <w:r w:rsidRPr="003F08AD" w:rsidR="00DC6F9F">
        <w:t>given by</w:t>
      </w:r>
      <w:r w:rsidRPr="003F08AD" w:rsidR="00A856EA">
        <w:t xml:space="preserve"> </w:t>
      </w:r>
      <w:r w:rsidRPr="003F08AD" w:rsidR="00B859D0">
        <w:t xml:space="preserve">the </w:t>
      </w:r>
      <w:r w:rsidRPr="003F08AD" w:rsidR="00A856EA">
        <w:t>conference host (also a professor)</w:t>
      </w:r>
      <w:r w:rsidRPr="003F08AD" w:rsidR="00B859D0">
        <w:t xml:space="preserve"> </w:t>
      </w:r>
      <w:r w:rsidRPr="003F08AD" w:rsidR="002F504B">
        <w:t>clearly create</w:t>
      </w:r>
      <w:r w:rsidRPr="003F08AD" w:rsidR="00C51B06">
        <w:t>d</w:t>
      </w:r>
      <w:r w:rsidRPr="003F08AD" w:rsidR="002F504B">
        <w:t xml:space="preserve"> a</w:t>
      </w:r>
      <w:r w:rsidRPr="003F08AD" w:rsidR="00DC6F9F">
        <w:t>n</w:t>
      </w:r>
      <w:r w:rsidRPr="003F08AD" w:rsidR="002F504B">
        <w:t xml:space="preserve"> unsafe environment not conducive to the sharing of knowledge and values.</w:t>
      </w:r>
      <w:r>
        <w:rPr>
          <w:rStyle w:val="FootnoteReference"/>
        </w:rPr>
        <w:footnoteReference w:id="13"/>
      </w:r>
    </w:p>
    <w:p w:rsidR="00864890" w:rsidRPr="00127C05" w:rsidP="00127C05" w14:paraId="1FF45548" w14:textId="23F643C2">
      <w:pPr>
        <w:tabs>
          <w:tab w:val="clear" w:pos="720"/>
        </w:tabs>
        <w:spacing w:line="360" w:lineRule="auto"/>
        <w:rPr>
          <w:rStyle w:val="ssrfcpassagedeactivated"/>
          <w:bdr w:val="none" w:sz="0" w:space="0" w:color="auto" w:frame="1"/>
          <w:shd w:val="clear" w:color="auto" w:fill="FFFFFF"/>
        </w:rPr>
      </w:pPr>
      <w:r w:rsidRPr="00127C05">
        <w:rPr>
          <w:rStyle w:val="ssrfcsection"/>
          <w:bdr w:val="none" w:sz="0" w:space="0" w:color="auto" w:frame="1"/>
          <w:shd w:val="clear" w:color="auto" w:fill="FFFFFF"/>
        </w:rPr>
        <w:tab/>
      </w:r>
      <w:r w:rsidRPr="00127C05" w:rsidR="002F504B">
        <w:rPr>
          <w:rStyle w:val="ssrfcsection"/>
          <w:bdr w:val="none" w:sz="0" w:space="0" w:color="auto" w:frame="1"/>
          <w:shd w:val="clear" w:color="auto" w:fill="FFFFFF"/>
        </w:rPr>
        <w:t xml:space="preserve">We hasten to add this </w:t>
      </w:r>
      <w:r w:rsidRPr="00127C05" w:rsidR="00DC6F9F">
        <w:rPr>
          <w:rStyle w:val="ssrfcsection"/>
          <w:bdr w:val="none" w:sz="0" w:space="0" w:color="auto" w:frame="1"/>
          <w:shd w:val="clear" w:color="auto" w:fill="FFFFFF"/>
        </w:rPr>
        <w:t xml:space="preserve">interpretation of the </w:t>
      </w:r>
      <w:r w:rsidRPr="00127C05" w:rsidR="002F504B">
        <w:rPr>
          <w:rStyle w:val="ssrfcsection"/>
          <w:bdr w:val="none" w:sz="0" w:space="0" w:color="auto" w:frame="1"/>
          <w:shd w:val="clear" w:color="auto" w:fill="FFFFFF"/>
        </w:rPr>
        <w:t xml:space="preserve">Faculty Code of Conduct was made by a committee comprised of three of </w:t>
      </w:r>
      <w:r w:rsidR="00DA4DAD">
        <w:rPr>
          <w:rStyle w:val="ssrfcsection"/>
          <w:bdr w:val="none" w:sz="0" w:space="0" w:color="auto" w:frame="1"/>
          <w:shd w:val="clear" w:color="auto" w:fill="FFFFFF"/>
        </w:rPr>
        <w:t>plaintiff’s</w:t>
      </w:r>
      <w:r w:rsidRPr="00127C05" w:rsidR="002F504B">
        <w:rPr>
          <w:rStyle w:val="ssrfcsection"/>
          <w:bdr w:val="none" w:sz="0" w:space="0" w:color="auto" w:frame="1"/>
          <w:shd w:val="clear" w:color="auto" w:fill="FFFFFF"/>
        </w:rPr>
        <w:t xml:space="preserve"> fellow UCSC professors, adding to its evidentiary weight.  As recognized by numerous courts</w:t>
      </w:r>
      <w:r w:rsidRPr="00127C05" w:rsidR="007F0679">
        <w:rPr>
          <w:rStyle w:val="ssrfcsection"/>
          <w:bdr w:val="none" w:sz="0" w:space="0" w:color="auto" w:frame="1"/>
          <w:shd w:val="clear" w:color="auto" w:fill="FFFFFF"/>
        </w:rPr>
        <w:t>, “</w:t>
      </w:r>
      <w:r w:rsidRPr="00127C05" w:rsidR="002F504B">
        <w:rPr>
          <w:rStyle w:val="ssrfcsection"/>
          <w:bdr w:val="none" w:sz="0" w:space="0" w:color="auto" w:frame="1"/>
          <w:shd w:val="clear" w:color="auto" w:fill="FFFFFF"/>
        </w:rPr>
        <w:t>c</w:t>
      </w:r>
      <w:r w:rsidRPr="00127C05">
        <w:rPr>
          <w:rStyle w:val="ssrfcsection"/>
          <w:bdr w:val="none" w:sz="0" w:space="0" w:color="auto" w:frame="1"/>
          <w:shd w:val="clear" w:color="auto" w:fill="FFFFFF"/>
        </w:rPr>
        <w:t xml:space="preserve">ontextual familiarity matters. </w:t>
      </w:r>
      <w:r w:rsidRPr="00127C05" w:rsidR="002F504B">
        <w:rPr>
          <w:rStyle w:val="ssrfcsection"/>
          <w:bdr w:val="none" w:sz="0" w:space="0" w:color="auto" w:frame="1"/>
          <w:shd w:val="clear" w:color="auto" w:fill="FFFFFF"/>
        </w:rPr>
        <w:t xml:space="preserve"> </w:t>
      </w:r>
      <w:r w:rsidRPr="00127C05">
        <w:rPr>
          <w:rStyle w:val="ssrfcsection"/>
          <w:bdr w:val="none" w:sz="0" w:space="0" w:color="auto" w:frame="1"/>
          <w:shd w:val="clear" w:color="auto" w:fill="FFFFFF"/>
        </w:rPr>
        <w:t xml:space="preserve">The disputed policy language, while not complex or technical, should be interpreted in a manner that is both knowledgeable of and sensitive to the needs of </w:t>
      </w:r>
      <w:r w:rsidR="006F75EA">
        <w:rPr>
          <w:rStyle w:val="ssrfcsection"/>
          <w:bdr w:val="none" w:sz="0" w:space="0" w:color="auto" w:frame="1"/>
          <w:shd w:val="clear" w:color="auto" w:fill="FFFFFF"/>
        </w:rPr>
        <w:t xml:space="preserve">[the] </w:t>
      </w:r>
      <w:r w:rsidRPr="00127C05">
        <w:rPr>
          <w:rStyle w:val="ssrfcsection"/>
          <w:bdr w:val="none" w:sz="0" w:space="0" w:color="auto" w:frame="1"/>
          <w:shd w:val="clear" w:color="auto" w:fill="FFFFFF"/>
        </w:rPr>
        <w:t xml:space="preserve">department and university population to which it </w:t>
      </w:r>
      <w:r w:rsidR="006F75EA">
        <w:rPr>
          <w:rStyle w:val="ssrfcsection"/>
          <w:bdr w:val="none" w:sz="0" w:space="0" w:color="auto" w:frame="1"/>
          <w:shd w:val="clear" w:color="auto" w:fill="FFFFFF"/>
        </w:rPr>
        <w:t xml:space="preserve">applies.  (See </w:t>
      </w:r>
      <w:r w:rsidR="006F75EA">
        <w:rPr>
          <w:rStyle w:val="ssrfcsection"/>
          <w:i/>
          <w:iCs/>
          <w:bdr w:val="none" w:sz="0" w:space="0" w:color="auto" w:frame="1"/>
          <w:shd w:val="clear" w:color="auto" w:fill="FFFFFF"/>
        </w:rPr>
        <w:t>Simi</w:t>
      </w:r>
      <w:r w:rsidRPr="00127C05" w:rsidR="007F0679">
        <w:rPr>
          <w:rStyle w:val="ssrfcpassagedeactivated"/>
          <w:i/>
          <w:iCs/>
          <w:bdr w:val="none" w:sz="0" w:space="0" w:color="auto" w:frame="1"/>
          <w:shd w:val="clear" w:color="auto" w:fill="FFFFFF"/>
        </w:rPr>
        <w:t xml:space="preserve"> Corp. v. Garamendi</w:t>
      </w:r>
      <w:r w:rsidRPr="00127C05" w:rsidR="007F0679">
        <w:rPr>
          <w:rStyle w:val="ssrfcpassagedeactivated"/>
          <w:bdr w:val="none" w:sz="0" w:space="0" w:color="auto" w:frame="1"/>
          <w:shd w:val="clear" w:color="auto" w:fill="FFFFFF"/>
        </w:rPr>
        <w:t xml:space="preserve"> (2003) 109 Cal.App.4th 1496, 1505 </w:t>
      </w:r>
      <w:r w:rsidR="006F75EA">
        <w:rPr>
          <w:rStyle w:val="ssrfcpassagedeactivated"/>
          <w:bdr w:val="none" w:sz="0" w:space="0" w:color="auto" w:frame="1"/>
          <w:shd w:val="clear" w:color="auto" w:fill="FFFFFF"/>
        </w:rPr>
        <w:t>[citation]</w:t>
      </w:r>
      <w:r w:rsidRPr="00127C05" w:rsidR="007F0679">
        <w:rPr>
          <w:rStyle w:val="ssrfcpassagedeactivated"/>
          <w:bdr w:val="none" w:sz="0" w:space="0" w:color="auto" w:frame="1"/>
          <w:shd w:val="clear" w:color="auto" w:fill="FFFFFF"/>
        </w:rPr>
        <w:t xml:space="preserve"> [</w:t>
      </w:r>
      <w:r w:rsidRPr="00127C05">
        <w:rPr>
          <w:rStyle w:val="ssrfcpassagedeactivated"/>
          <w:bdr w:val="none" w:sz="0" w:space="0" w:color="auto" w:frame="1"/>
          <w:shd w:val="clear" w:color="auto" w:fill="FFFFFF"/>
        </w:rPr>
        <w:t xml:space="preserve">noting the </w:t>
      </w:r>
      <w:r w:rsidRPr="00127C05" w:rsidR="007F0679">
        <w:rPr>
          <w:rStyle w:val="ssrfcpassagedeactivated"/>
          <w:bdr w:val="none" w:sz="0" w:space="0" w:color="auto" w:frame="1"/>
          <w:shd w:val="clear" w:color="auto" w:fill="FFFFFF"/>
        </w:rPr>
        <w:t>‘</w:t>
      </w:r>
      <w:r w:rsidRPr="00127C05">
        <w:rPr>
          <w:rStyle w:val="ssrfcpassagedeactivated"/>
          <w:bdr w:val="none" w:sz="0" w:space="0" w:color="auto" w:frame="1"/>
          <w:shd w:val="clear" w:color="auto" w:fill="FFFFFF"/>
        </w:rPr>
        <w:t>particular expertise</w:t>
      </w:r>
      <w:r w:rsidRPr="00127C05" w:rsidR="007F0679">
        <w:rPr>
          <w:rStyle w:val="ssrfcpassagedeactivated"/>
          <w:bdr w:val="none" w:sz="0" w:space="0" w:color="auto" w:frame="1"/>
          <w:shd w:val="clear" w:color="auto" w:fill="FFFFFF"/>
        </w:rPr>
        <w:t>’</w:t>
      </w:r>
      <w:r w:rsidRPr="00127C05">
        <w:rPr>
          <w:rStyle w:val="ssrfcpassagedeactivated"/>
          <w:bdr w:val="none" w:sz="0" w:space="0" w:color="auto" w:frame="1"/>
          <w:shd w:val="clear" w:color="auto" w:fill="FFFFFF"/>
        </w:rPr>
        <w:t xml:space="preserve"> of the agency</w:t>
      </w:r>
      <w:r w:rsidRPr="00127C05" w:rsidR="007F0679">
        <w:rPr>
          <w:rStyle w:val="ssrfcpassagedeactivated"/>
          <w:bdr w:val="none" w:sz="0" w:space="0" w:color="auto" w:frame="1"/>
          <w:shd w:val="clear" w:color="auto" w:fill="FFFFFF"/>
        </w:rPr>
        <w:t>’</w:t>
      </w:r>
      <w:r w:rsidRPr="00127C05">
        <w:rPr>
          <w:rStyle w:val="ssrfcpassagedeactivated"/>
          <w:bdr w:val="none" w:sz="0" w:space="0" w:color="auto" w:frame="1"/>
          <w:shd w:val="clear" w:color="auto" w:fill="FFFFFF"/>
        </w:rPr>
        <w:t xml:space="preserve">s commissioner in that case was a </w:t>
      </w:r>
      <w:r w:rsidRPr="00127C05" w:rsidR="007F0679">
        <w:rPr>
          <w:rStyle w:val="ssrfcpassagedeactivated"/>
          <w:bdr w:val="none" w:sz="0" w:space="0" w:color="auto" w:frame="1"/>
          <w:shd w:val="clear" w:color="auto" w:fill="FFFFFF"/>
        </w:rPr>
        <w:t>‘</w:t>
      </w:r>
      <w:r w:rsidRPr="00127C05">
        <w:rPr>
          <w:rStyle w:val="ssrfcpassagedeactivated"/>
          <w:bdr w:val="none" w:sz="0" w:space="0" w:color="auto" w:frame="1"/>
          <w:shd w:val="clear" w:color="auto" w:fill="FFFFFF"/>
        </w:rPr>
        <w:t xml:space="preserve">deep understanding of </w:t>
      </w:r>
      <w:r w:rsidR="009F7D0D">
        <w:rPr>
          <w:rStyle w:val="ssrfcpassagedeactivated"/>
          <w:bdr w:val="none" w:sz="0" w:space="0" w:color="auto" w:frame="1"/>
          <w:shd w:val="clear" w:color="auto" w:fill="FFFFFF"/>
        </w:rPr>
        <w:t xml:space="preserve">the </w:t>
      </w:r>
      <w:r w:rsidR="009F7D0D">
        <w:rPr>
          <w:rStyle w:val="ssrfcpassagedeactivated"/>
          <w:i/>
          <w:iCs/>
          <w:bdr w:val="none" w:sz="0" w:space="0" w:color="auto" w:frame="1"/>
          <w:shd w:val="clear" w:color="auto" w:fill="FFFFFF"/>
        </w:rPr>
        <w:t>context</w:t>
      </w:r>
      <w:r w:rsidR="009F7D0D">
        <w:rPr>
          <w:rStyle w:val="ssrfcpassagedeactivated"/>
          <w:bdr w:val="none" w:sz="0" w:space="0" w:color="auto" w:frame="1"/>
          <w:shd w:val="clear" w:color="auto" w:fill="FFFFFF"/>
        </w:rPr>
        <w:t xml:space="preserve"> in</w:t>
      </w:r>
      <w:r w:rsidRPr="00127C05">
        <w:rPr>
          <w:rStyle w:val="ssrfcpassagedeactivated"/>
          <w:bdr w:val="none" w:sz="0" w:space="0" w:color="auto" w:frame="1"/>
          <w:shd w:val="clear" w:color="auto" w:fill="FFFFFF"/>
        </w:rPr>
        <w:t xml:space="preserve"> which the regulation </w:t>
      </w:r>
      <w:r w:rsidR="009F7D0D">
        <w:rPr>
          <w:rStyle w:val="ssrfcpassagedeactivated"/>
          <w:bdr w:val="none" w:sz="0" w:space="0" w:color="auto" w:frame="1"/>
          <w:shd w:val="clear" w:color="auto" w:fill="FFFFFF"/>
        </w:rPr>
        <w:t xml:space="preserve">exists’]; </w:t>
      </w:r>
      <w:r w:rsidR="009F7D0D">
        <w:rPr>
          <w:rStyle w:val="ssrfcpassagedeactivated"/>
          <w:i/>
          <w:iCs/>
          <w:bdr w:val="none" w:sz="0" w:space="0" w:color="auto" w:frame="1"/>
          <w:shd w:val="clear" w:color="auto" w:fill="FFFFFF"/>
        </w:rPr>
        <w:t>Berman</w:t>
      </w:r>
      <w:r w:rsidRPr="00127C05" w:rsidR="007F0679">
        <w:rPr>
          <w:rStyle w:val="ssrfcpassagedeactivated"/>
          <w:bdr w:val="none" w:sz="0" w:space="0" w:color="auto" w:frame="1"/>
          <w:shd w:val="clear" w:color="auto" w:fill="FFFFFF"/>
        </w:rPr>
        <w:t xml:space="preserve"> [</w:t>
      </w:r>
      <w:r w:rsidRPr="00127C05" w:rsidR="007F0679">
        <w:rPr>
          <w:rStyle w:val="ssrfcpassagedeactivated"/>
          <w:i/>
          <w:iCs/>
          <w:bdr w:val="none" w:sz="0" w:space="0" w:color="auto" w:frame="1"/>
          <w:shd w:val="clear" w:color="auto" w:fill="FFFFFF"/>
        </w:rPr>
        <w:t xml:space="preserve">v. Regents of </w:t>
      </w:r>
      <w:r w:rsidR="009F7D0D">
        <w:rPr>
          <w:rStyle w:val="ssrfcpassagedeactivated"/>
          <w:i/>
          <w:iCs/>
          <w:bdr w:val="none" w:sz="0" w:space="0" w:color="auto" w:frame="1"/>
          <w:shd w:val="clear" w:color="auto" w:fill="FFFFFF"/>
        </w:rPr>
        <w:t>University</w:t>
      </w:r>
      <w:r w:rsidRPr="00127C05" w:rsidR="007F0679">
        <w:rPr>
          <w:rStyle w:val="ssrfcpassagedeactivated"/>
          <w:i/>
          <w:iCs/>
          <w:bdr w:val="none" w:sz="0" w:space="0" w:color="auto" w:frame="1"/>
          <w:shd w:val="clear" w:color="auto" w:fill="FFFFFF"/>
        </w:rPr>
        <w:t xml:space="preserve"> of California</w:t>
      </w:r>
      <w:r w:rsidRPr="00127C05" w:rsidR="007F0679">
        <w:rPr>
          <w:rStyle w:val="ssrfcpassagedeactivated"/>
          <w:bdr w:val="none" w:sz="0" w:space="0" w:color="auto" w:frame="1"/>
          <w:shd w:val="clear" w:color="auto" w:fill="FFFFFF"/>
        </w:rPr>
        <w:t xml:space="preserve"> (2014)] 229 Cal.App.4th [1265,] </w:t>
      </w:r>
      <w:r w:rsidR="009F7D0D">
        <w:rPr>
          <w:rStyle w:val="ssrfcpassagedeactivated"/>
          <w:bdr w:val="none" w:sz="0" w:space="0" w:color="auto" w:frame="1"/>
          <w:shd w:val="clear" w:color="auto" w:fill="FFFFFF"/>
        </w:rPr>
        <w:t>1271–1272 [explaining</w:t>
      </w:r>
      <w:r w:rsidRPr="00127C05">
        <w:rPr>
          <w:rStyle w:val="ssrfcpassagedeactivated"/>
          <w:bdr w:val="none" w:sz="0" w:space="0" w:color="auto" w:frame="1"/>
          <w:shd w:val="clear" w:color="auto" w:fill="FFFFFF"/>
        </w:rPr>
        <w:t xml:space="preserve"> that the court accords great weight and respect to the administration</w:t>
      </w:r>
      <w:r w:rsidRPr="00127C05" w:rsidR="007F0679">
        <w:rPr>
          <w:rStyle w:val="ssrfcpassagedeactivated"/>
          <w:bdr w:val="none" w:sz="0" w:space="0" w:color="auto" w:frame="1"/>
          <w:shd w:val="clear" w:color="auto" w:fill="FFFFFF"/>
        </w:rPr>
        <w:t>’</w:t>
      </w:r>
      <w:r w:rsidRPr="00127C05">
        <w:rPr>
          <w:rStyle w:val="ssrfcpassagedeactivated"/>
          <w:bdr w:val="none" w:sz="0" w:space="0" w:color="auto" w:frame="1"/>
          <w:shd w:val="clear" w:color="auto" w:fill="FFFFFF"/>
        </w:rPr>
        <w:t>s construction of the university</w:t>
      </w:r>
      <w:r w:rsidRPr="00127C05" w:rsidR="00BB6CAE">
        <w:rPr>
          <w:rStyle w:val="ssrfcpassagedeactivated"/>
          <w:bdr w:val="none" w:sz="0" w:space="0" w:color="auto" w:frame="1"/>
          <w:shd w:val="clear" w:color="auto" w:fill="FFFFFF"/>
        </w:rPr>
        <w:t>’</w:t>
      </w:r>
      <w:r w:rsidRPr="00127C05">
        <w:rPr>
          <w:rStyle w:val="ssrfcpassagedeactivated"/>
          <w:bdr w:val="none" w:sz="0" w:space="0" w:color="auto" w:frame="1"/>
          <w:shd w:val="clear" w:color="auto" w:fill="FFFFFF"/>
        </w:rPr>
        <w:t xml:space="preserve">s student conduct code based on its expertise </w:t>
      </w:r>
      <w:r w:rsidR="002E248C">
        <w:rPr>
          <w:rStyle w:val="ssrfcpassagedeactivated"/>
          <w:bdr w:val="none" w:sz="0" w:space="0" w:color="auto" w:frame="1"/>
          <w:shd w:val="clear" w:color="auto" w:fill="FFFFFF"/>
        </w:rPr>
        <w:t>and familiarity</w:t>
      </w:r>
      <w:r w:rsidRPr="00127C05">
        <w:rPr>
          <w:rStyle w:val="ssrfcpassagedeactivated"/>
          <w:bdr w:val="none" w:sz="0" w:space="0" w:color="auto" w:frame="1"/>
          <w:shd w:val="clear" w:color="auto" w:fill="FFFFFF"/>
        </w:rPr>
        <w:t xml:space="preserve"> with the legal and regulatory issues].)</w:t>
      </w:r>
      <w:r w:rsidRPr="00127C05" w:rsidR="007F0679">
        <w:rPr>
          <w:rStyle w:val="ssrfcpassagedeactivated"/>
          <w:bdr w:val="none" w:sz="0" w:space="0" w:color="auto" w:frame="1"/>
          <w:shd w:val="clear" w:color="auto" w:fill="FFFFFF"/>
        </w:rPr>
        <w:t>”  (</w:t>
      </w:r>
      <w:r w:rsidRPr="00127C05" w:rsidR="007F0679">
        <w:rPr>
          <w:rStyle w:val="ssrfcpassagedeactivated"/>
          <w:i/>
          <w:iCs/>
          <w:bdr w:val="none" w:sz="0" w:space="0" w:color="auto" w:frame="1"/>
          <w:shd w:val="clear" w:color="auto" w:fill="FFFFFF"/>
        </w:rPr>
        <w:t>Akella, supra</w:t>
      </w:r>
      <w:r w:rsidRPr="00127C05" w:rsidR="007F0679">
        <w:rPr>
          <w:rStyle w:val="ssrfcpassagedeactivated"/>
          <w:bdr w:val="none" w:sz="0" w:space="0" w:color="auto" w:frame="1"/>
          <w:shd w:val="clear" w:color="auto" w:fill="FFFFFF"/>
        </w:rPr>
        <w:t>, 61 Cal.App.5th at p. 817.)</w:t>
      </w:r>
      <w:r w:rsidRPr="00127C05" w:rsidR="00DC6F9F">
        <w:rPr>
          <w:rStyle w:val="ssrfcpassagedeactivated"/>
          <w:bdr w:val="none" w:sz="0" w:space="0" w:color="auto" w:frame="1"/>
          <w:shd w:val="clear" w:color="auto" w:fill="FFFFFF"/>
        </w:rPr>
        <w:t xml:space="preserve">  There is no evidence calling into question the </w:t>
      </w:r>
      <w:r w:rsidR="002E248C">
        <w:rPr>
          <w:rStyle w:val="ssrfcpassagedeactivated"/>
          <w:bdr w:val="none" w:sz="0" w:space="0" w:color="auto" w:frame="1"/>
          <w:shd w:val="clear" w:color="auto" w:fill="FFFFFF"/>
        </w:rPr>
        <w:t>PT Committee’s</w:t>
      </w:r>
      <w:r w:rsidRPr="00127C05" w:rsidR="00DC6F9F">
        <w:rPr>
          <w:rStyle w:val="ssrfcpassagedeactivated"/>
          <w:bdr w:val="none" w:sz="0" w:space="0" w:color="auto" w:frame="1"/>
          <w:shd w:val="clear" w:color="auto" w:fill="FFFFFF"/>
        </w:rPr>
        <w:t xml:space="preserve"> familiarity with both the Faculty Code of Conduct as a legal document and the significance </w:t>
      </w:r>
      <w:r w:rsidRPr="00127C05" w:rsidR="00C51B06">
        <w:rPr>
          <w:rStyle w:val="ssrfcpassagedeactivated"/>
          <w:bdr w:val="none" w:sz="0" w:space="0" w:color="auto" w:frame="1"/>
          <w:shd w:val="clear" w:color="auto" w:fill="FFFFFF"/>
        </w:rPr>
        <w:t>that</w:t>
      </w:r>
      <w:r w:rsidRPr="00127C05" w:rsidR="00DC6F9F">
        <w:rPr>
          <w:rStyle w:val="ssrfcpassagedeactivated"/>
          <w:bdr w:val="none" w:sz="0" w:space="0" w:color="auto" w:frame="1"/>
          <w:shd w:val="clear" w:color="auto" w:fill="FFFFFF"/>
        </w:rPr>
        <w:t xml:space="preserve"> its enforcement </w:t>
      </w:r>
      <w:r w:rsidRPr="00127C05" w:rsidR="00C51B06">
        <w:rPr>
          <w:rStyle w:val="ssrfcpassagedeactivated"/>
          <w:bdr w:val="none" w:sz="0" w:space="0" w:color="auto" w:frame="1"/>
          <w:shd w:val="clear" w:color="auto" w:fill="FFFFFF"/>
        </w:rPr>
        <w:t xml:space="preserve">has </w:t>
      </w:r>
      <w:r w:rsidRPr="00127C05" w:rsidR="00DC6F9F">
        <w:rPr>
          <w:rStyle w:val="ssrfcpassagedeactivated"/>
          <w:bdr w:val="none" w:sz="0" w:space="0" w:color="auto" w:frame="1"/>
          <w:shd w:val="clear" w:color="auto" w:fill="FFFFFF"/>
        </w:rPr>
        <w:t>within the University community.</w:t>
      </w:r>
    </w:p>
    <w:p w:rsidR="007F0679" w:rsidRPr="00127C05" w:rsidP="00127C05" w14:paraId="4401D115" w14:textId="7B027F71">
      <w:pPr>
        <w:tabs>
          <w:tab w:val="clear" w:pos="720"/>
        </w:tabs>
        <w:spacing w:line="360" w:lineRule="auto"/>
        <w:rPr>
          <w:rStyle w:val="ssrfcpassagedeactivated"/>
          <w:bdr w:val="none" w:sz="0" w:space="0" w:color="auto" w:frame="1"/>
          <w:shd w:val="clear" w:color="auto" w:fill="FFFFFF"/>
        </w:rPr>
      </w:pPr>
      <w:r w:rsidRPr="00127C05">
        <w:rPr>
          <w:rStyle w:val="ssrfcpassagedeactivated"/>
          <w:bdr w:val="none" w:sz="0" w:space="0" w:color="auto" w:frame="1"/>
          <w:shd w:val="clear" w:color="auto" w:fill="FFFFFF"/>
        </w:rPr>
        <w:tab/>
      </w:r>
      <w:r w:rsidRPr="00127C05" w:rsidR="007832B6">
        <w:rPr>
          <w:rStyle w:val="ssrfcpassagedeactivated"/>
          <w:bdr w:val="none" w:sz="0" w:space="0" w:color="auto" w:frame="1"/>
          <w:shd w:val="clear" w:color="auto" w:fill="FFFFFF"/>
        </w:rPr>
        <w:t>For t</w:t>
      </w:r>
      <w:r w:rsidRPr="00127C05">
        <w:rPr>
          <w:rStyle w:val="ssrfcpassagedeactivated"/>
          <w:bdr w:val="none" w:sz="0" w:space="0" w:color="auto" w:frame="1"/>
          <w:shd w:val="clear" w:color="auto" w:fill="FFFFFF"/>
        </w:rPr>
        <w:t xml:space="preserve">he </w:t>
      </w:r>
      <w:r w:rsidRPr="00127C05" w:rsidR="007832B6">
        <w:rPr>
          <w:rStyle w:val="ssrfcpassagedeactivated"/>
          <w:bdr w:val="none" w:sz="0" w:space="0" w:color="auto" w:frame="1"/>
          <w:shd w:val="clear" w:color="auto" w:fill="FFFFFF"/>
        </w:rPr>
        <w:t>foregoing reasons</w:t>
      </w:r>
      <w:r w:rsidRPr="00127C05">
        <w:rPr>
          <w:rStyle w:val="ssrfcpassagedeactivated"/>
          <w:bdr w:val="none" w:sz="0" w:space="0" w:color="auto" w:frame="1"/>
          <w:shd w:val="clear" w:color="auto" w:fill="FFFFFF"/>
        </w:rPr>
        <w:t xml:space="preserve">, we uphold the University’s finding that </w:t>
      </w:r>
      <w:r w:rsidR="002E248C">
        <w:rPr>
          <w:rStyle w:val="ssrfcpassagedeactivated"/>
          <w:bdr w:val="none" w:sz="0" w:space="0" w:color="auto" w:frame="1"/>
          <w:shd w:val="clear" w:color="auto" w:fill="FFFFFF"/>
        </w:rPr>
        <w:t>plaintiff’s</w:t>
      </w:r>
      <w:r w:rsidR="002905FA">
        <w:rPr>
          <w:rStyle w:val="ssrfcpassagedeactivated"/>
          <w:bdr w:val="none" w:sz="0" w:space="0" w:color="auto" w:frame="1"/>
          <w:shd w:val="clear" w:color="auto" w:fill="FFFFFF"/>
        </w:rPr>
        <w:t xml:space="preserve"> conduct toward</w:t>
      </w:r>
      <w:r w:rsidRPr="00127C05">
        <w:rPr>
          <w:rStyle w:val="ssrfcpassagedeactivated"/>
          <w:bdr w:val="none" w:sz="0" w:space="0" w:color="auto" w:frame="1"/>
          <w:shd w:val="clear" w:color="auto" w:fill="FFFFFF"/>
        </w:rPr>
        <w:t xml:space="preserve"> Jane Doe at a</w:t>
      </w:r>
      <w:r w:rsidRPr="00127C05" w:rsidR="002F504B">
        <w:rPr>
          <w:rStyle w:val="ssrfcpassagedeactivated"/>
          <w:bdr w:val="none" w:sz="0" w:space="0" w:color="auto" w:frame="1"/>
          <w:shd w:val="clear" w:color="auto" w:fill="FFFFFF"/>
        </w:rPr>
        <w:t xml:space="preserve"> party held in connection with a</w:t>
      </w:r>
      <w:r w:rsidRPr="00127C05">
        <w:rPr>
          <w:rStyle w:val="ssrfcpassagedeactivated"/>
          <w:bdr w:val="none" w:sz="0" w:space="0" w:color="auto" w:frame="1"/>
          <w:shd w:val="clear" w:color="auto" w:fill="FFFFFF"/>
        </w:rPr>
        <w:t xml:space="preserve">n </w:t>
      </w:r>
      <w:r w:rsidRPr="00127C05" w:rsidR="002F504B">
        <w:rPr>
          <w:rStyle w:val="ssrfcpassagedeactivated"/>
          <w:bdr w:val="none" w:sz="0" w:space="0" w:color="auto" w:frame="1"/>
          <w:shd w:val="clear" w:color="auto" w:fill="FFFFFF"/>
        </w:rPr>
        <w:t xml:space="preserve">off-campus </w:t>
      </w:r>
      <w:r w:rsidRPr="00127C05">
        <w:rPr>
          <w:rStyle w:val="ssrfcpassagedeactivated"/>
          <w:bdr w:val="none" w:sz="0" w:space="0" w:color="auto" w:frame="1"/>
          <w:shd w:val="clear" w:color="auto" w:fill="FFFFFF"/>
        </w:rPr>
        <w:t>academic conference</w:t>
      </w:r>
      <w:r w:rsidRPr="00127C05" w:rsidR="002F504B">
        <w:rPr>
          <w:rStyle w:val="ssrfcpassagedeactivated"/>
          <w:bdr w:val="none" w:sz="0" w:space="0" w:color="auto" w:frame="1"/>
          <w:shd w:val="clear" w:color="auto" w:fill="FFFFFF"/>
        </w:rPr>
        <w:t xml:space="preserve"> </w:t>
      </w:r>
      <w:r w:rsidRPr="00127C05" w:rsidR="007832B6">
        <w:rPr>
          <w:rStyle w:val="ssrfcpassagedeactivated"/>
          <w:bdr w:val="none" w:sz="0" w:space="0" w:color="auto" w:frame="1"/>
          <w:shd w:val="clear" w:color="auto" w:fill="FFFFFF"/>
        </w:rPr>
        <w:t>was subject to discipline under the</w:t>
      </w:r>
      <w:r w:rsidRPr="00127C05" w:rsidR="002F504B">
        <w:rPr>
          <w:rStyle w:val="ssrfcpassagedeactivated"/>
          <w:bdr w:val="none" w:sz="0" w:space="0" w:color="auto" w:frame="1"/>
          <w:shd w:val="clear" w:color="auto" w:fill="FFFFFF"/>
        </w:rPr>
        <w:t xml:space="preserve"> Faculty Code of Conduct.</w:t>
      </w:r>
    </w:p>
    <w:p w:rsidR="002F504B" w:rsidRPr="00127C05" w:rsidP="00127C05" w14:paraId="09B7163A" w14:textId="75406EE3">
      <w:pPr>
        <w:pStyle w:val="ListParagraph"/>
        <w:keepNext/>
        <w:numPr>
          <w:ilvl w:val="1"/>
          <w:numId w:val="3"/>
        </w:numPr>
        <w:tabs>
          <w:tab w:val="clear" w:pos="720"/>
        </w:tabs>
        <w:spacing w:after="120" w:line="240" w:lineRule="auto"/>
        <w:ind w:left="1440"/>
        <w:rPr>
          <w:rStyle w:val="ssrfcpassagedeactivated"/>
          <w:b/>
          <w:bCs/>
          <w:bdr w:val="none" w:sz="0" w:space="0" w:color="auto" w:frame="1"/>
          <w:shd w:val="clear" w:color="auto" w:fill="FFFFFF"/>
        </w:rPr>
      </w:pPr>
      <w:r w:rsidRPr="00127C05">
        <w:rPr>
          <w:rStyle w:val="ssrfcpassagedeactivated"/>
          <w:b/>
          <w:bCs/>
          <w:bdr w:val="none" w:sz="0" w:space="0" w:color="auto" w:frame="1"/>
          <w:shd w:val="clear" w:color="auto" w:fill="FFFFFF"/>
        </w:rPr>
        <w:t xml:space="preserve">Petitioner </w:t>
      </w:r>
      <w:r w:rsidRPr="00127C05" w:rsidR="009319CB">
        <w:rPr>
          <w:rStyle w:val="ssrfcpassagedeactivated"/>
          <w:b/>
          <w:bCs/>
          <w:bdr w:val="none" w:sz="0" w:space="0" w:color="auto" w:frame="1"/>
          <w:shd w:val="clear" w:color="auto" w:fill="FFFFFF"/>
        </w:rPr>
        <w:t>Violat</w:t>
      </w:r>
      <w:r w:rsidRPr="00127C05">
        <w:rPr>
          <w:rStyle w:val="ssrfcpassagedeactivated"/>
          <w:b/>
          <w:bCs/>
          <w:bdr w:val="none" w:sz="0" w:space="0" w:color="auto" w:frame="1"/>
          <w:shd w:val="clear" w:color="auto" w:fill="FFFFFF"/>
        </w:rPr>
        <w:t>ed</w:t>
      </w:r>
      <w:r w:rsidRPr="00127C05" w:rsidR="009319CB">
        <w:rPr>
          <w:rStyle w:val="ssrfcpassagedeactivated"/>
          <w:b/>
          <w:bCs/>
          <w:bdr w:val="none" w:sz="0" w:space="0" w:color="auto" w:frame="1"/>
          <w:shd w:val="clear" w:color="auto" w:fill="FFFFFF"/>
        </w:rPr>
        <w:t xml:space="preserve"> </w:t>
      </w:r>
      <w:r w:rsidRPr="00127C05" w:rsidR="00EE4FE6">
        <w:rPr>
          <w:rStyle w:val="ssrfcpassagedeactivated"/>
          <w:b/>
          <w:bCs/>
          <w:bdr w:val="none" w:sz="0" w:space="0" w:color="auto" w:frame="1"/>
          <w:shd w:val="clear" w:color="auto" w:fill="FFFFFF"/>
        </w:rPr>
        <w:t>Ethical Principles that Significantly Impaired the University’s Central Functions.</w:t>
      </w:r>
    </w:p>
    <w:p w:rsidR="007832B6" w:rsidRPr="00127C05" w:rsidP="00127C05" w14:paraId="5CAAF1C7" w14:textId="748B50C7">
      <w:pPr>
        <w:tabs>
          <w:tab w:val="clear" w:pos="720"/>
        </w:tabs>
        <w:spacing w:line="360" w:lineRule="auto"/>
        <w:rPr>
          <w:rStyle w:val="ssrfcpassagedeactivated"/>
          <w:bdr w:val="none" w:sz="0" w:space="0" w:color="auto" w:frame="1"/>
          <w:shd w:val="clear" w:color="auto" w:fill="FFFFFF"/>
        </w:rPr>
      </w:pPr>
      <w:r w:rsidRPr="00127C05">
        <w:rPr>
          <w:rStyle w:val="ssrfcpassagedeactivated"/>
          <w:b/>
          <w:bCs/>
          <w:bdr w:val="none" w:sz="0" w:space="0" w:color="auto" w:frame="1"/>
          <w:shd w:val="clear" w:color="auto" w:fill="FFFFFF"/>
        </w:rPr>
        <w:tab/>
      </w:r>
      <w:r w:rsidR="00E27B12">
        <w:rPr>
          <w:rStyle w:val="ssrfcpassagedeactivated"/>
          <w:bdr w:val="none" w:sz="0" w:space="0" w:color="auto" w:frame="1"/>
          <w:shd w:val="clear" w:color="auto" w:fill="FFFFFF"/>
        </w:rPr>
        <w:t>Plaintiff</w:t>
      </w:r>
      <w:r w:rsidRPr="00127C05" w:rsidR="00D43DA2">
        <w:rPr>
          <w:rStyle w:val="ssrfcpassagedeactivated"/>
          <w:bdr w:val="none" w:sz="0" w:space="0" w:color="auto" w:frame="1"/>
          <w:shd w:val="clear" w:color="auto" w:fill="FFFFFF"/>
        </w:rPr>
        <w:t xml:space="preserve"> </w:t>
      </w:r>
      <w:r w:rsidRPr="00127C05">
        <w:rPr>
          <w:rStyle w:val="ssrfcpassagedeactivated"/>
          <w:bdr w:val="none" w:sz="0" w:space="0" w:color="auto" w:frame="1"/>
          <w:shd w:val="clear" w:color="auto" w:fill="FFFFFF"/>
        </w:rPr>
        <w:t xml:space="preserve">next </w:t>
      </w:r>
      <w:r w:rsidRPr="00127C05" w:rsidR="00D43DA2">
        <w:rPr>
          <w:rStyle w:val="ssrfcpassagedeactivated"/>
          <w:bdr w:val="none" w:sz="0" w:space="0" w:color="auto" w:frame="1"/>
          <w:shd w:val="clear" w:color="auto" w:fill="FFFFFF"/>
        </w:rPr>
        <w:t xml:space="preserve">contends the University lacked authority to discipline him for conduct not enumerated as </w:t>
      </w:r>
      <w:r w:rsidR="00E27B12">
        <w:rPr>
          <w:rStyle w:val="ssrfcpassagedeactivated"/>
          <w:bdr w:val="none" w:sz="0" w:space="0" w:color="auto" w:frame="1"/>
          <w:shd w:val="clear" w:color="auto" w:fill="FFFFFF"/>
        </w:rPr>
        <w:t>“ ‘unacceptable conduct’ ”</w:t>
      </w:r>
      <w:r w:rsidRPr="00127C05" w:rsidR="00D43DA2">
        <w:rPr>
          <w:rStyle w:val="ssrfcpassagedeactivated"/>
          <w:bdr w:val="none" w:sz="0" w:space="0" w:color="auto" w:frame="1"/>
          <w:shd w:val="clear" w:color="auto" w:fill="FFFFFF"/>
        </w:rPr>
        <w:t xml:space="preserve"> in the Faculty Code of Conduct. </w:t>
      </w:r>
      <w:r w:rsidRPr="00127C05" w:rsidR="00B77675">
        <w:rPr>
          <w:rStyle w:val="ssrfcpassagedeactivated"/>
          <w:bdr w:val="none" w:sz="0" w:space="0" w:color="auto" w:frame="1"/>
          <w:shd w:val="clear" w:color="auto" w:fill="FFFFFF"/>
        </w:rPr>
        <w:t xml:space="preserve"> A plain, commonsense reading of </w:t>
      </w:r>
      <w:r w:rsidR="001C1A49">
        <w:rPr>
          <w:rStyle w:val="ssrfcpassagedeactivated"/>
          <w:bdr w:val="none" w:sz="0" w:space="0" w:color="auto" w:frame="1"/>
          <w:shd w:val="clear" w:color="auto" w:fill="FFFFFF"/>
        </w:rPr>
        <w:t>the Faculty Code of Conduct, Part II, defeats plaintiff’s contention.</w:t>
      </w:r>
    </w:p>
    <w:p w:rsidR="00B77675" w:rsidRPr="003F08AD" w:rsidP="00127C05" w14:paraId="13ECEB29" w14:textId="020B5246">
      <w:pPr>
        <w:tabs>
          <w:tab w:val="clear" w:pos="720"/>
        </w:tabs>
        <w:spacing w:line="360" w:lineRule="auto"/>
      </w:pPr>
      <w:r w:rsidRPr="00127C05">
        <w:rPr>
          <w:rStyle w:val="ssrfcpassagedeactivated"/>
          <w:bdr w:val="none" w:sz="0" w:space="0" w:color="auto" w:frame="1"/>
          <w:shd w:val="clear" w:color="auto" w:fill="FFFFFF"/>
        </w:rPr>
        <w:tab/>
        <w:t xml:space="preserve">The relevant provision, </w:t>
      </w:r>
      <w:r w:rsidRPr="00127C05" w:rsidR="00B15FCB">
        <w:rPr>
          <w:rStyle w:val="ssrfcpassagedeactivated"/>
          <w:bdr w:val="none" w:sz="0" w:space="0" w:color="auto" w:frame="1"/>
          <w:shd w:val="clear" w:color="auto" w:fill="FFFFFF"/>
        </w:rPr>
        <w:t>discussed</w:t>
      </w:r>
      <w:r w:rsidRPr="00127C05">
        <w:rPr>
          <w:rStyle w:val="ssrfcpassagedeactivated"/>
          <w:bdr w:val="none" w:sz="0" w:space="0" w:color="auto" w:frame="1"/>
          <w:shd w:val="clear" w:color="auto" w:fill="FFFFFF"/>
        </w:rPr>
        <w:t xml:space="preserve"> </w:t>
      </w:r>
      <w:r w:rsidR="000555F4">
        <w:rPr>
          <w:rStyle w:val="ssrfcpassagedeactivated"/>
          <w:i/>
          <w:iCs/>
          <w:bdr w:val="none" w:sz="0" w:space="0" w:color="auto" w:frame="1"/>
          <w:shd w:val="clear" w:color="auto" w:fill="FFFFFF"/>
        </w:rPr>
        <w:t>ante</w:t>
      </w:r>
      <w:r w:rsidRPr="00127C05">
        <w:rPr>
          <w:rStyle w:val="ssrfcpassagedeactivated"/>
          <w:bdr w:val="none" w:sz="0" w:space="0" w:color="auto" w:frame="1"/>
          <w:shd w:val="clear" w:color="auto" w:fill="FFFFFF"/>
        </w:rPr>
        <w:t xml:space="preserve">, states: </w:t>
      </w:r>
      <w:r w:rsidR="000555F4">
        <w:rPr>
          <w:rStyle w:val="ssrfcpassagedeactivated"/>
          <w:bdr w:val="none" w:sz="0" w:space="0" w:color="auto" w:frame="1"/>
          <w:shd w:val="clear" w:color="auto" w:fill="FFFFFF"/>
        </w:rPr>
        <w:t xml:space="preserve"> </w:t>
      </w:r>
      <w:r w:rsidRPr="00127C05">
        <w:rPr>
          <w:rStyle w:val="ssrfcpassagedeactivated"/>
          <w:bdr w:val="none" w:sz="0" w:space="0" w:color="auto" w:frame="1"/>
          <w:shd w:val="clear" w:color="auto" w:fill="FFFFFF"/>
        </w:rPr>
        <w:t>“</w:t>
      </w:r>
      <w:r w:rsidRPr="003F08AD">
        <w:t xml:space="preserve">The </w:t>
      </w:r>
      <w:r w:rsidRPr="00127C05">
        <w:rPr>
          <w:i/>
          <w:iCs/>
        </w:rPr>
        <w:t>Types of Unacceptable Conduct</w:t>
      </w:r>
      <w:r w:rsidRPr="003F08AD">
        <w:t xml:space="preserve"> listed below in Sections </w:t>
      </w:r>
      <w:r w:rsidR="000555F4">
        <w:t>A through E</w:t>
      </w:r>
      <w:r w:rsidRPr="003F08AD">
        <w:t xml:space="preserve"> are examples of types of conduct which meet the preceding standards and hence are presumptively subject to University discipline. </w:t>
      </w:r>
      <w:r w:rsidR="00A14488">
        <w:t xml:space="preserve"> </w:t>
      </w:r>
      <w:r w:rsidRPr="003F08AD">
        <w:rPr>
          <w:i/>
          <w:iCs/>
        </w:rPr>
        <w:t>Other types of serious misconduct, not specifically enumerated herein, may nonetheless be the basis for disciplinary action</w:t>
      </w:r>
      <w:r w:rsidRPr="00577E88">
        <w:rPr>
          <w:i/>
          <w:iCs/>
        </w:rPr>
        <w:t>.</w:t>
      </w:r>
      <w:r w:rsidRPr="003F08AD">
        <w:t>”</w:t>
      </w:r>
      <w:r w:rsidR="00A14488">
        <w:t xml:space="preserve">  (2d italics added.)</w:t>
      </w:r>
      <w:r w:rsidRPr="003F08AD">
        <w:t xml:space="preserve"> </w:t>
      </w:r>
      <w:r w:rsidRPr="003F08AD" w:rsidR="003A7140">
        <w:t xml:space="preserve"> Th</w:t>
      </w:r>
      <w:r w:rsidRPr="003F08AD">
        <w:t xml:space="preserve">is language reflects the </w:t>
      </w:r>
      <w:r w:rsidRPr="003F08AD" w:rsidR="003A7140">
        <w:t>University</w:t>
      </w:r>
      <w:r w:rsidRPr="003F08AD">
        <w:t>’s clear intent</w:t>
      </w:r>
      <w:r w:rsidRPr="003F08AD" w:rsidR="003A7140">
        <w:t xml:space="preserve"> to authorize discipline for conduct not specifically laid out in the Faculty Code of Conduct</w:t>
      </w:r>
      <w:r w:rsidRPr="003F08AD" w:rsidR="00C51B06">
        <w:t xml:space="preserve">, </w:t>
      </w:r>
      <w:r w:rsidR="00A14488">
        <w:t>Part II,</w:t>
      </w:r>
      <w:r w:rsidRPr="003F08AD" w:rsidR="003A7140">
        <w:t xml:space="preserve"> if it otherwise meets the standard of violating “ethical principles and </w:t>
      </w:r>
      <w:r w:rsidR="00A14488">
        <w:t>. . .</w:t>
      </w:r>
      <w:r w:rsidRPr="003F08AD" w:rsidR="003A7140">
        <w:t xml:space="preserve"> significantly impair[ing] the University’s central </w:t>
      </w:r>
      <w:r w:rsidR="00A14488">
        <w:t>functions . . . .</w:t>
      </w:r>
      <w:r w:rsidRPr="003F08AD" w:rsidR="003A7140">
        <w:t>”  A</w:t>
      </w:r>
      <w:r w:rsidRPr="003F08AD" w:rsidR="00B15FCB">
        <w:t>gain</w:t>
      </w:r>
      <w:r w:rsidRPr="003F08AD" w:rsidR="003A7140">
        <w:t xml:space="preserve">, the </w:t>
      </w:r>
      <w:r w:rsidR="00A14488">
        <w:t>PT Committee’s</w:t>
      </w:r>
      <w:r w:rsidRPr="003F08AD" w:rsidR="003A7140">
        <w:t xml:space="preserve"> interpretation of this language is reasonabl</w:t>
      </w:r>
      <w:r w:rsidRPr="003F08AD" w:rsidR="004E31CC">
        <w:t>e</w:t>
      </w:r>
      <w:r w:rsidRPr="003F08AD" w:rsidR="003A7140">
        <w:t xml:space="preserve"> and entitled to our deference.  (</w:t>
      </w:r>
      <w:r w:rsidRPr="003F08AD" w:rsidR="003A7140">
        <w:rPr>
          <w:i/>
          <w:iCs/>
        </w:rPr>
        <w:t>Akella, supra</w:t>
      </w:r>
      <w:r w:rsidRPr="003F08AD" w:rsidR="003A7140">
        <w:t xml:space="preserve">, 61 Cal.App.5th at pp. </w:t>
      </w:r>
      <w:r w:rsidR="007B2492">
        <w:t>817–818</w:t>
      </w:r>
      <w:r w:rsidRPr="003F08AD" w:rsidR="003A7140">
        <w:t xml:space="preserve">; </w:t>
      </w:r>
      <w:r w:rsidRPr="003F08AD" w:rsidR="003A7140">
        <w:rPr>
          <w:i/>
          <w:iCs/>
        </w:rPr>
        <w:t>Manderson-Saleh, supra</w:t>
      </w:r>
      <w:r w:rsidRPr="003F08AD" w:rsidR="003A7140">
        <w:t>, 60 Cal.App.5th at p. 697 [</w:t>
      </w:r>
      <w:r w:rsidRPr="00127C05" w:rsidR="003A7140">
        <w:rPr>
          <w:shd w:val="clear" w:color="auto" w:fill="FFFFFF"/>
        </w:rPr>
        <w:t>court</w:t>
      </w:r>
      <w:r w:rsidRPr="00127C05" w:rsidR="00C51B06">
        <w:rPr>
          <w:shd w:val="clear" w:color="auto" w:fill="FFFFFF"/>
        </w:rPr>
        <w:t>s</w:t>
      </w:r>
      <w:r w:rsidRPr="00127C05" w:rsidR="003A7140">
        <w:rPr>
          <w:shd w:val="clear" w:color="auto" w:fill="FFFFFF"/>
        </w:rPr>
        <w:t xml:space="preserve"> accord an administrative agency’s interpretation of its own regulation great weight and deference, unless the interpretation </w:t>
      </w:r>
      <w:r w:rsidRPr="00127C05" w:rsidR="00C51B06">
        <w:rPr>
          <w:shd w:val="clear" w:color="auto" w:fill="FFFFFF"/>
        </w:rPr>
        <w:t>i</w:t>
      </w:r>
      <w:r w:rsidRPr="00127C05" w:rsidR="003A7140">
        <w:rPr>
          <w:shd w:val="clear" w:color="auto" w:fill="FFFFFF"/>
        </w:rPr>
        <w:t xml:space="preserve">s </w:t>
      </w:r>
      <w:r w:rsidRPr="00127C05" w:rsidR="00C51B06">
        <w:rPr>
          <w:shd w:val="clear" w:color="auto" w:fill="FFFFFF"/>
        </w:rPr>
        <w:t>“</w:t>
      </w:r>
      <w:r w:rsidRPr="00127C05" w:rsidR="003A7140">
        <w:rPr>
          <w:shd w:val="clear" w:color="auto" w:fill="FFFFFF"/>
        </w:rPr>
        <w:t>unauthorized or clearly erroneous”</w:t>
      </w:r>
      <w:r w:rsidRPr="003F08AD" w:rsidR="003A7140">
        <w:t>].)</w:t>
      </w:r>
    </w:p>
    <w:p w:rsidR="004E31CC" w:rsidRPr="00127C05" w:rsidP="00127C05" w14:paraId="624E9ED2" w14:textId="3D4C6A33">
      <w:pPr>
        <w:tabs>
          <w:tab w:val="clear" w:pos="720"/>
        </w:tabs>
        <w:spacing w:line="360" w:lineRule="auto"/>
        <w:rPr>
          <w:rStyle w:val="ssrfcpassagedeactivated"/>
          <w:bdr w:val="none" w:sz="0" w:space="0" w:color="auto" w:frame="1"/>
          <w:shd w:val="clear" w:color="auto" w:fill="FFFFFF"/>
        </w:rPr>
      </w:pPr>
      <w:r w:rsidRPr="003F08AD">
        <w:tab/>
      </w:r>
      <w:r w:rsidR="007B2492">
        <w:t>Plaintiff</w:t>
      </w:r>
      <w:r w:rsidRPr="003F08AD">
        <w:t xml:space="preserve"> deflects with a fairness argument, insisting he had no notice the University would seek to regulate faculty behavior at a non-University event with respect to conduct not articulated in the Faculty Code of Conduct.  We disagree.  The regulated conduct was in fact set forth in the </w:t>
      </w:r>
      <w:r w:rsidR="00CD41AB">
        <w:t>code</w:t>
      </w:r>
      <w:r w:rsidRPr="003F08AD">
        <w:t xml:space="preserve">, providing notice to him and other faculty members as to what was not </w:t>
      </w:r>
      <w:r w:rsidR="00CD41AB">
        <w:t>acceptable—to</w:t>
      </w:r>
      <w:r w:rsidRPr="003F08AD">
        <w:t xml:space="preserve"> wit, “conduct which is not justified by the ethical principles and which significantly impairs the University’s central </w:t>
      </w:r>
      <w:r w:rsidR="00CD41AB">
        <w:t>functions . . . .</w:t>
      </w:r>
      <w:r w:rsidRPr="003F08AD">
        <w:t xml:space="preserve">”  The </w:t>
      </w:r>
      <w:r w:rsidR="00CD41AB">
        <w:t>code’s</w:t>
      </w:r>
      <w:r w:rsidRPr="003F08AD" w:rsidR="00D3348B">
        <w:t xml:space="preserve"> failure to enumerate every type of conduct mee</w:t>
      </w:r>
      <w:r w:rsidRPr="003F08AD" w:rsidR="00C51B06">
        <w:t>ting</w:t>
      </w:r>
      <w:r w:rsidRPr="003F08AD" w:rsidR="00D3348B">
        <w:t xml:space="preserve"> this standard does not render th</w:t>
      </w:r>
      <w:r w:rsidRPr="003F08AD" w:rsidR="00C51B06">
        <w:t>is provision</w:t>
      </w:r>
      <w:r w:rsidRPr="003F08AD">
        <w:t xml:space="preserve"> unenforceable.</w:t>
      </w:r>
    </w:p>
    <w:p w:rsidR="00406056" w:rsidRPr="00127C05" w:rsidP="00127C05" w14:paraId="49FB58B0" w14:textId="379303F7">
      <w:pPr>
        <w:tabs>
          <w:tab w:val="clear" w:pos="720"/>
        </w:tabs>
        <w:spacing w:line="360" w:lineRule="auto"/>
        <w:rPr>
          <w:rStyle w:val="ssrfcpassagedeactivated"/>
          <w:bdr w:val="none" w:sz="0" w:space="0" w:color="auto" w:frame="1"/>
          <w:shd w:val="clear" w:color="auto" w:fill="FFFFFF"/>
        </w:rPr>
      </w:pPr>
      <w:r w:rsidRPr="00127C05">
        <w:rPr>
          <w:rStyle w:val="ssrfcpassagedeactivated"/>
          <w:bdr w:val="none" w:sz="0" w:space="0" w:color="auto" w:frame="1"/>
          <w:shd w:val="clear" w:color="auto" w:fill="FFFFFF"/>
        </w:rPr>
        <w:tab/>
      </w:r>
      <w:r w:rsidRPr="00127C05" w:rsidR="004E31CC">
        <w:rPr>
          <w:rStyle w:val="ssrfcpassagedeactivated"/>
          <w:bdr w:val="none" w:sz="0" w:space="0" w:color="auto" w:frame="1"/>
          <w:shd w:val="clear" w:color="auto" w:fill="FFFFFF"/>
        </w:rPr>
        <w:t>Finally</w:t>
      </w:r>
      <w:r w:rsidRPr="00127C05">
        <w:rPr>
          <w:rStyle w:val="ssrfcpassagedeactivated"/>
          <w:bdr w:val="none" w:sz="0" w:space="0" w:color="auto" w:frame="1"/>
          <w:shd w:val="clear" w:color="auto" w:fill="FFFFFF"/>
        </w:rPr>
        <w:t xml:space="preserve">, </w:t>
      </w:r>
      <w:r w:rsidR="00CD41AB">
        <w:rPr>
          <w:rStyle w:val="ssrfcpassagedeactivated"/>
          <w:bdr w:val="none" w:sz="0" w:space="0" w:color="auto" w:frame="1"/>
          <w:shd w:val="clear" w:color="auto" w:fill="FFFFFF"/>
        </w:rPr>
        <w:t>plaintiff</w:t>
      </w:r>
      <w:r w:rsidRPr="00127C05">
        <w:rPr>
          <w:rStyle w:val="ssrfcpassagedeactivated"/>
          <w:bdr w:val="none" w:sz="0" w:space="0" w:color="auto" w:frame="1"/>
          <w:shd w:val="clear" w:color="auto" w:fill="FFFFFF"/>
        </w:rPr>
        <w:t xml:space="preserve"> </w:t>
      </w:r>
      <w:r w:rsidRPr="00127C05" w:rsidR="005A7849">
        <w:rPr>
          <w:rStyle w:val="ssrfcpassagedeactivated"/>
          <w:bdr w:val="none" w:sz="0" w:space="0" w:color="auto" w:frame="1"/>
          <w:shd w:val="clear" w:color="auto" w:fill="FFFFFF"/>
        </w:rPr>
        <w:t>claims</w:t>
      </w:r>
      <w:r w:rsidRPr="00127C05">
        <w:rPr>
          <w:rStyle w:val="ssrfcpassagedeactivated"/>
          <w:bdr w:val="none" w:sz="0" w:space="0" w:color="auto" w:frame="1"/>
          <w:shd w:val="clear" w:color="auto" w:fill="FFFFFF"/>
        </w:rPr>
        <w:t xml:space="preserve"> the University “postulat</w:t>
      </w:r>
      <w:r w:rsidRPr="00127C05" w:rsidR="005A7849">
        <w:rPr>
          <w:rStyle w:val="ssrfcpassagedeactivated"/>
          <w:bdr w:val="none" w:sz="0" w:space="0" w:color="auto" w:frame="1"/>
          <w:shd w:val="clear" w:color="auto" w:fill="FFFFFF"/>
        </w:rPr>
        <w:t>ed</w:t>
      </w:r>
      <w:r w:rsidRPr="00127C05">
        <w:rPr>
          <w:rStyle w:val="ssrfcpassagedeactivated"/>
          <w:bdr w:val="none" w:sz="0" w:space="0" w:color="auto" w:frame="1"/>
          <w:shd w:val="clear" w:color="auto" w:fill="FFFFFF"/>
        </w:rPr>
        <w:t xml:space="preserve"> without support that anytime a faculty member engages in conduct that would not be tolerated </w:t>
      </w:r>
      <w:r w:rsidR="00FA72B1">
        <w:rPr>
          <w:rStyle w:val="ssrfcpassagedeactivated"/>
          <w:bdr w:val="none" w:sz="0" w:space="0" w:color="auto" w:frame="1"/>
          <w:shd w:val="clear" w:color="auto" w:fill="FFFFFF"/>
        </w:rPr>
        <w:t>on</w:t>
      </w:r>
      <w:r w:rsidRPr="00127C05">
        <w:rPr>
          <w:rStyle w:val="ssrfcpassagedeactivated"/>
          <w:bdr w:val="none" w:sz="0" w:space="0" w:color="auto" w:frame="1"/>
          <w:shd w:val="clear" w:color="auto" w:fill="FFFFFF"/>
        </w:rPr>
        <w:t xml:space="preserve"> campus, the University’s central functions are impaired.”  Not so.</w:t>
      </w:r>
    </w:p>
    <w:p w:rsidR="00406056" w:rsidRPr="003F08AD" w:rsidP="00127C05" w14:paraId="49E6B4B3" w14:textId="72B06557">
      <w:pPr>
        <w:tabs>
          <w:tab w:val="clear" w:pos="720"/>
        </w:tabs>
        <w:spacing w:line="360" w:lineRule="auto"/>
      </w:pPr>
      <w:r w:rsidRPr="00127C05">
        <w:rPr>
          <w:rStyle w:val="ssrfcpassagedeactivated"/>
          <w:bdr w:val="none" w:sz="0" w:space="0" w:color="auto" w:frame="1"/>
          <w:shd w:val="clear" w:color="auto" w:fill="FFFFFF"/>
        </w:rPr>
        <w:tab/>
      </w:r>
      <w:r w:rsidRPr="00127C05" w:rsidR="005A7849">
        <w:rPr>
          <w:rStyle w:val="ssrfcpassagedeactivated"/>
          <w:bdr w:val="none" w:sz="0" w:space="0" w:color="auto" w:frame="1"/>
          <w:shd w:val="clear" w:color="auto" w:fill="FFFFFF"/>
        </w:rPr>
        <w:t>T</w:t>
      </w:r>
      <w:r w:rsidRPr="00127C05">
        <w:rPr>
          <w:rStyle w:val="ssrfcpassagedeactivated"/>
          <w:bdr w:val="none" w:sz="0" w:space="0" w:color="auto" w:frame="1"/>
          <w:shd w:val="clear" w:color="auto" w:fill="FFFFFF"/>
        </w:rPr>
        <w:t xml:space="preserve">he </w:t>
      </w:r>
      <w:r w:rsidR="00BF6099">
        <w:rPr>
          <w:rStyle w:val="ssrfcpassagedeactivated"/>
          <w:bdr w:val="none" w:sz="0" w:space="0" w:color="auto" w:frame="1"/>
          <w:shd w:val="clear" w:color="auto" w:fill="FFFFFF"/>
        </w:rPr>
        <w:t>PT Committee</w:t>
      </w:r>
      <w:r w:rsidRPr="00127C05">
        <w:rPr>
          <w:rStyle w:val="ssrfcpassagedeactivated"/>
          <w:bdr w:val="none" w:sz="0" w:space="0" w:color="auto" w:frame="1"/>
          <w:shd w:val="clear" w:color="auto" w:fill="FFFFFF"/>
        </w:rPr>
        <w:t xml:space="preserve"> explained its Jane Doe finding as follows: </w:t>
      </w:r>
      <w:r w:rsidR="00BF6099">
        <w:rPr>
          <w:rStyle w:val="ssrfcpassagedeactivated"/>
          <w:bdr w:val="none" w:sz="0" w:space="0" w:color="auto" w:frame="1"/>
          <w:shd w:val="clear" w:color="auto" w:fill="FFFFFF"/>
        </w:rPr>
        <w:t xml:space="preserve"> </w:t>
      </w:r>
      <w:r w:rsidRPr="00127C05">
        <w:rPr>
          <w:rStyle w:val="ssrfcpassagedeactivated"/>
          <w:bdr w:val="none" w:sz="0" w:space="0" w:color="auto" w:frame="1"/>
          <w:shd w:val="clear" w:color="auto" w:fill="FFFFFF"/>
        </w:rPr>
        <w:t>“</w:t>
      </w:r>
      <w:r w:rsidRPr="003F08AD">
        <w:t xml:space="preserve">The University is impaired in this function if its faculty, without consequence or sanction, engage in behavior in the context of professional events that would not be tolerated on campus because of their clear incompatibility with sustaining an environment ‘conducive to sharing, extending, and critically examining knowledge and values, and to furthering the search for </w:t>
      </w:r>
      <w:r w:rsidR="00BF29DB">
        <w:t>wisdom.’  For</w:t>
      </w:r>
      <w:r w:rsidRPr="003F08AD">
        <w:t xml:space="preserve"> example, it is to be expected that neither [</w:t>
      </w:r>
      <w:r w:rsidRPr="003F08AD" w:rsidR="005A7849">
        <w:t xml:space="preserve">Jane </w:t>
      </w:r>
      <w:r w:rsidRPr="003F08AD">
        <w:t xml:space="preserve">Doe] nor </w:t>
      </w:r>
      <w:r w:rsidR="00BF29DB">
        <w:t>[Witness 1]</w:t>
      </w:r>
      <w:r w:rsidRPr="003F08AD">
        <w:t xml:space="preserve"> (nor potentially others who became aware of the behavior) would want to work with Professor Balakrishnan (or even with anyone from UCSC) in the future, if they see that this behavior has no consequences. </w:t>
      </w:r>
      <w:r w:rsidR="007A037C">
        <w:t xml:space="preserve"> </w:t>
      </w:r>
      <w:r w:rsidRPr="003F08AD">
        <w:t xml:space="preserve">In other words: </w:t>
      </w:r>
      <w:r w:rsidR="007A037C">
        <w:t xml:space="preserve"> </w:t>
      </w:r>
      <w:r w:rsidRPr="003F08AD">
        <w:t>only a safe environment is an environment conducive to sharing knowledge and values.”</w:t>
      </w:r>
    </w:p>
    <w:p w:rsidR="00EE4FE6" w:rsidRPr="003F08AD" w:rsidP="00127C05" w14:paraId="48E2D93D" w14:textId="20A0D1E0">
      <w:pPr>
        <w:tabs>
          <w:tab w:val="clear" w:pos="720"/>
        </w:tabs>
        <w:spacing w:line="360" w:lineRule="auto"/>
      </w:pPr>
      <w:r w:rsidRPr="003F08AD">
        <w:tab/>
      </w:r>
      <w:r w:rsidR="007A037C">
        <w:t>Plaintiff’s</w:t>
      </w:r>
      <w:r w:rsidRPr="003F08AD">
        <w:t xml:space="preserve"> attempt to paint this explanation as mere postulating underscores his ongoing failure to recognize the </w:t>
      </w:r>
      <w:r w:rsidRPr="003F08AD" w:rsidR="00A171E8">
        <w:t>gravity of</w:t>
      </w:r>
      <w:r w:rsidRPr="003F08AD">
        <w:t xml:space="preserve"> his conduct.  He sexually </w:t>
      </w:r>
      <w:r w:rsidRPr="003F08AD" w:rsidR="00D3348B">
        <w:t>abused</w:t>
      </w:r>
      <w:r w:rsidRPr="003F08AD">
        <w:t xml:space="preserve"> a fellow </w:t>
      </w:r>
      <w:r w:rsidRPr="003F08AD" w:rsidR="00761CF9">
        <w:t>academic</w:t>
      </w:r>
      <w:r w:rsidRPr="003F08AD">
        <w:t>, Jane Doe</w:t>
      </w:r>
      <w:r w:rsidRPr="003F08AD" w:rsidR="00A171E8">
        <w:t>, at an academic conference</w:t>
      </w:r>
      <w:r w:rsidRPr="003F08AD">
        <w:t xml:space="preserve">, and when she escorted him from the room, he returned </w:t>
      </w:r>
      <w:r w:rsidRPr="003F08AD" w:rsidR="00A171E8">
        <w:t xml:space="preserve">later </w:t>
      </w:r>
      <w:r w:rsidRPr="003F08AD" w:rsidR="00D3348B">
        <w:t xml:space="preserve">and </w:t>
      </w:r>
      <w:r w:rsidRPr="003F08AD" w:rsidR="00C51B06">
        <w:t xml:space="preserve">abused her </w:t>
      </w:r>
      <w:r w:rsidRPr="003F08AD" w:rsidR="00D3348B">
        <w:t>again</w:t>
      </w:r>
      <w:r w:rsidRPr="003F08AD" w:rsidR="00A171E8">
        <w:t>.  In response</w:t>
      </w:r>
      <w:r w:rsidRPr="003F08AD">
        <w:t xml:space="preserve">, Doe and </w:t>
      </w:r>
      <w:r w:rsidR="00790464">
        <w:t>Witness 1</w:t>
      </w:r>
      <w:r w:rsidRPr="003F08AD">
        <w:t xml:space="preserve"> </w:t>
      </w:r>
      <w:r w:rsidRPr="003F08AD" w:rsidR="00A171E8">
        <w:t xml:space="preserve">were forced </w:t>
      </w:r>
      <w:r w:rsidRPr="003F08AD">
        <w:t xml:space="preserve">to barricade the door for their safety.  </w:t>
      </w:r>
      <w:r w:rsidR="00790464">
        <w:t>Plaintiff’s</w:t>
      </w:r>
      <w:r w:rsidRPr="003F08AD">
        <w:t xml:space="preserve"> colleagues on the </w:t>
      </w:r>
      <w:r w:rsidR="00790464">
        <w:t>PT Committee</w:t>
      </w:r>
      <w:r w:rsidRPr="003F08AD">
        <w:t xml:space="preserve"> </w:t>
      </w:r>
      <w:r w:rsidR="001360D1">
        <w:t>appropriately</w:t>
      </w:r>
      <w:r w:rsidRPr="003F08AD">
        <w:t xml:space="preserve"> determined </w:t>
      </w:r>
      <w:r w:rsidRPr="003F08AD" w:rsidR="00C05D94">
        <w:t xml:space="preserve">that </w:t>
      </w:r>
      <w:r w:rsidRPr="003F08AD">
        <w:t xml:space="preserve">his conduct presented a serious risk to the safety of others in the community and </w:t>
      </w:r>
      <w:r w:rsidRPr="003F08AD" w:rsidR="00A171E8">
        <w:t xml:space="preserve">that </w:t>
      </w:r>
      <w:r w:rsidRPr="003F08AD">
        <w:t xml:space="preserve">his </w:t>
      </w:r>
      <w:r w:rsidRPr="003F08AD" w:rsidR="00A171E8">
        <w:t xml:space="preserve">continued association with </w:t>
      </w:r>
      <w:r w:rsidRPr="003F08AD" w:rsidR="00C05D94">
        <w:t>UCSC</w:t>
      </w:r>
      <w:r w:rsidRPr="003F08AD">
        <w:t xml:space="preserve"> would </w:t>
      </w:r>
      <w:r w:rsidRPr="003F08AD" w:rsidR="00A171E8">
        <w:t xml:space="preserve">likely </w:t>
      </w:r>
      <w:r w:rsidRPr="003F08AD">
        <w:t xml:space="preserve">discourage students and professors alike </w:t>
      </w:r>
      <w:r w:rsidRPr="003F08AD" w:rsidR="00A171E8">
        <w:t xml:space="preserve">from participating in academic events where he might </w:t>
      </w:r>
      <w:r w:rsidRPr="003F08AD" w:rsidR="00C51B06">
        <w:t>be</w:t>
      </w:r>
      <w:r w:rsidRPr="003F08AD" w:rsidR="00761CF9">
        <w:t xml:space="preserve"> present</w:t>
      </w:r>
      <w:r w:rsidRPr="003F08AD" w:rsidR="00A171E8">
        <w:t xml:space="preserve">.  </w:t>
      </w:r>
      <w:r w:rsidRPr="003F08AD" w:rsidR="00C05D94">
        <w:t>T</w:t>
      </w:r>
      <w:r w:rsidRPr="003F08AD" w:rsidR="00A171E8">
        <w:t xml:space="preserve">he </w:t>
      </w:r>
      <w:r w:rsidRPr="003F08AD" w:rsidR="004F1C35">
        <w:t xml:space="preserve">2017 </w:t>
      </w:r>
      <w:r w:rsidRPr="003F08AD" w:rsidR="00B15FCB">
        <w:t>open</w:t>
      </w:r>
      <w:r w:rsidRPr="003F08AD" w:rsidR="00A171E8">
        <w:t xml:space="preserve"> letter</w:t>
      </w:r>
      <w:r w:rsidRPr="003F08AD" w:rsidR="00B15FCB">
        <w:t xml:space="preserve"> </w:t>
      </w:r>
      <w:r w:rsidRPr="003F08AD" w:rsidR="00A171E8">
        <w:t xml:space="preserve">calling </w:t>
      </w:r>
      <w:r w:rsidRPr="003F08AD" w:rsidR="00111A56">
        <w:t>on</w:t>
      </w:r>
      <w:r w:rsidRPr="003F08AD" w:rsidR="00A171E8">
        <w:t xml:space="preserve"> the University to </w:t>
      </w:r>
      <w:r w:rsidRPr="003F08AD" w:rsidR="00111A56">
        <w:t>discipline</w:t>
      </w:r>
      <w:r w:rsidRPr="003F08AD" w:rsidR="00A171E8">
        <w:t xml:space="preserve"> </w:t>
      </w:r>
      <w:r w:rsidR="0000249F">
        <w:t>plaintiff</w:t>
      </w:r>
      <w:r w:rsidRPr="003F08AD" w:rsidR="00111A56">
        <w:t xml:space="preserve"> for his pattern of </w:t>
      </w:r>
      <w:r w:rsidRPr="003F08AD" w:rsidR="00B15FCB">
        <w:t>abusive behavior</w:t>
      </w:r>
      <w:r w:rsidRPr="003F08AD" w:rsidR="00A171E8">
        <w:t>, signed by over 1</w:t>
      </w:r>
      <w:r w:rsidRPr="003F08AD" w:rsidR="00111A56">
        <w:t>5</w:t>
      </w:r>
      <w:r w:rsidRPr="003F08AD" w:rsidR="00A171E8">
        <w:t xml:space="preserve">0 </w:t>
      </w:r>
      <w:r w:rsidR="002B5DBB">
        <w:t>people</w:t>
      </w:r>
      <w:r w:rsidRPr="003F08AD" w:rsidR="00A171E8">
        <w:t>, confirms</w:t>
      </w:r>
      <w:r w:rsidRPr="003F08AD" w:rsidR="009A0FC9">
        <w:t xml:space="preserve"> </w:t>
      </w:r>
      <w:r w:rsidRPr="003F08AD" w:rsidR="00A171E8">
        <w:t xml:space="preserve">the </w:t>
      </w:r>
      <w:r w:rsidR="0000249F">
        <w:t>PT Committee’s</w:t>
      </w:r>
      <w:r w:rsidRPr="003F08AD" w:rsidR="00A171E8">
        <w:t xml:space="preserve"> determination was well founded</w:t>
      </w:r>
      <w:r w:rsidRPr="003F08AD" w:rsidR="00111A56">
        <w:t xml:space="preserve">, as does </w:t>
      </w:r>
      <w:r w:rsidR="0000249F">
        <w:t>Witness 1’s</w:t>
      </w:r>
      <w:r w:rsidRPr="003F08AD" w:rsidR="00111A56">
        <w:t xml:space="preserve"> testimony about </w:t>
      </w:r>
      <w:r w:rsidRPr="003F08AD" w:rsidR="00D3348B">
        <w:t xml:space="preserve">the trauma </w:t>
      </w:r>
      <w:r w:rsidRPr="003F08AD" w:rsidR="00111A56">
        <w:t>Doe</w:t>
      </w:r>
      <w:r w:rsidRPr="003F08AD" w:rsidR="00D3348B">
        <w:t xml:space="preserve"> suffered from his a</w:t>
      </w:r>
      <w:r w:rsidRPr="003F08AD" w:rsidR="00EC4E02">
        <w:t>buse</w:t>
      </w:r>
      <w:r w:rsidRPr="003F08AD" w:rsidR="00A171E8">
        <w:t>.</w:t>
      </w:r>
      <w:r w:rsidRPr="003F08AD" w:rsidR="00111A56">
        <w:t xml:space="preserve"> </w:t>
      </w:r>
      <w:r w:rsidR="0000249F">
        <w:t xml:space="preserve"> </w:t>
      </w:r>
      <w:r w:rsidRPr="003F08AD" w:rsidR="00A171E8">
        <w:t xml:space="preserve">Accordingly, the University’s </w:t>
      </w:r>
      <w:r w:rsidRPr="003F08AD" w:rsidR="00EC4E02">
        <w:t xml:space="preserve">Jane Doe </w:t>
      </w:r>
      <w:r w:rsidRPr="003F08AD" w:rsidR="00A171E8">
        <w:t xml:space="preserve">findings </w:t>
      </w:r>
      <w:r w:rsidRPr="003F08AD" w:rsidR="00EC4E02">
        <w:t>stand</w:t>
      </w:r>
      <w:r w:rsidRPr="003F08AD" w:rsidR="00A171E8">
        <w:t>.</w:t>
      </w:r>
    </w:p>
    <w:p w:rsidR="00181C66" w:rsidRPr="00127C05" w:rsidP="00127C05" w14:paraId="1E2677C6" w14:textId="1DB3DC82">
      <w:pPr>
        <w:pStyle w:val="ListParagraph"/>
        <w:keepNext/>
        <w:numPr>
          <w:ilvl w:val="0"/>
          <w:numId w:val="3"/>
        </w:numPr>
        <w:tabs>
          <w:tab w:val="clear" w:pos="720"/>
        </w:tabs>
        <w:spacing w:line="360" w:lineRule="auto"/>
        <w:ind w:left="720"/>
        <w:rPr>
          <w:b/>
          <w:bCs/>
          <w:i/>
          <w:iCs/>
        </w:rPr>
      </w:pPr>
      <w:r w:rsidRPr="00127C05">
        <w:rPr>
          <w:b/>
          <w:bCs/>
          <w:i/>
          <w:iCs/>
        </w:rPr>
        <w:t xml:space="preserve">The University’s Findings as to </w:t>
      </w:r>
      <w:r w:rsidR="0000249F">
        <w:rPr>
          <w:b/>
          <w:bCs/>
          <w:i/>
          <w:iCs/>
        </w:rPr>
        <w:t>Anneliese H.</w:t>
      </w:r>
      <w:r w:rsidRPr="00127C05">
        <w:rPr>
          <w:b/>
          <w:bCs/>
          <w:i/>
          <w:iCs/>
        </w:rPr>
        <w:t xml:space="preserve"> Stand.</w:t>
      </w:r>
    </w:p>
    <w:p w:rsidR="00114147" w:rsidRPr="00127C05" w:rsidP="00127C05" w14:paraId="1B274BD0" w14:textId="5E369390">
      <w:pPr>
        <w:pStyle w:val="ListParagraph"/>
        <w:keepNext/>
        <w:numPr>
          <w:ilvl w:val="1"/>
          <w:numId w:val="3"/>
        </w:numPr>
        <w:tabs>
          <w:tab w:val="clear" w:pos="720"/>
        </w:tabs>
        <w:spacing w:line="360" w:lineRule="auto"/>
        <w:ind w:left="1440"/>
        <w:rPr>
          <w:b/>
          <w:bCs/>
        </w:rPr>
      </w:pPr>
      <w:r w:rsidRPr="00127C05">
        <w:rPr>
          <w:b/>
          <w:bCs/>
          <w:shd w:val="clear" w:color="auto" w:fill="FFFFFF"/>
        </w:rPr>
        <w:t>Petitioner’s Jurisdiction Challenge Fails.</w:t>
      </w:r>
    </w:p>
    <w:p w:rsidR="00A75188" w:rsidRPr="003F08AD" w:rsidP="00127C05" w14:paraId="311CF4BC" w14:textId="01E3F636">
      <w:pPr>
        <w:tabs>
          <w:tab w:val="clear" w:pos="720"/>
        </w:tabs>
        <w:spacing w:line="360" w:lineRule="auto"/>
      </w:pPr>
      <w:r w:rsidRPr="003F08AD">
        <w:tab/>
      </w:r>
      <w:r w:rsidR="0000249F">
        <w:t>Plaintiff</w:t>
      </w:r>
      <w:r w:rsidRPr="003F08AD" w:rsidR="00181C66">
        <w:t xml:space="preserve"> contends </w:t>
      </w:r>
      <w:r w:rsidRPr="003F08AD">
        <w:t xml:space="preserve">the University had no jurisdiction over </w:t>
      </w:r>
      <w:r w:rsidR="006A2231">
        <w:t>Anneliese H.’s</w:t>
      </w:r>
      <w:r w:rsidRPr="003F08AD">
        <w:t xml:space="preserve"> complaint because she was not a student or member of the University community when he </w:t>
      </w:r>
      <w:r w:rsidR="00D46FE1">
        <w:t>sexually harassed</w:t>
      </w:r>
      <w:r w:rsidRPr="003F08AD" w:rsidR="004A0BCC">
        <w:t xml:space="preserve"> her</w:t>
      </w:r>
      <w:r w:rsidRPr="003F08AD" w:rsidR="00181C66">
        <w:t>.</w:t>
      </w:r>
      <w:r w:rsidRPr="003F08AD">
        <w:t xml:space="preserve">  </w:t>
      </w:r>
      <w:r w:rsidR="006A2231">
        <w:t>Plaintiff</w:t>
      </w:r>
      <w:r w:rsidRPr="003F08AD" w:rsidR="004D456D">
        <w:t xml:space="preserve"> relies upon the definition of “student” in the </w:t>
      </w:r>
      <w:r w:rsidR="006A2231">
        <w:t>University’s</w:t>
      </w:r>
      <w:r w:rsidRPr="003F08AD" w:rsidR="004D456D">
        <w:t xml:space="preserve"> Policies Applying to Campus Activities, Organizations and </w:t>
      </w:r>
      <w:r w:rsidR="004977ED">
        <w:t>Students, part III, section 14.00,</w:t>
      </w:r>
      <w:r w:rsidRPr="003F08AD" w:rsidR="006B4384">
        <w:t xml:space="preserve"> DEFINITIONS</w:t>
      </w:r>
      <w:r w:rsidRPr="003F08AD" w:rsidR="004D456D">
        <w:t xml:space="preserve">, which </w:t>
      </w:r>
      <w:r w:rsidR="004977ED">
        <w:t>states:  A “ ‘student’ ”</w:t>
      </w:r>
      <w:r w:rsidRPr="003F08AD" w:rsidR="004D456D">
        <w:t xml:space="preserve"> is “an individual for whom the University maintains student records and who: </w:t>
      </w:r>
      <w:r w:rsidR="00BB35DA">
        <w:t>(a) is</w:t>
      </w:r>
      <w:r w:rsidRPr="003F08AD" w:rsidR="004D456D">
        <w:t xml:space="preserve"> enrolled in or registered with an academic program of the University; </w:t>
      </w:r>
      <w:r w:rsidR="00BB35DA">
        <w:t>(b) has</w:t>
      </w:r>
      <w:r w:rsidRPr="003F08AD" w:rsidR="004D456D">
        <w:t xml:space="preserve"> completed the immediately preceding term, is not presently enrolled, and is eligible for </w:t>
      </w:r>
      <w:r w:rsidR="00BB35DA">
        <w:t>re-enrollment; or (c) is</w:t>
      </w:r>
      <w:r w:rsidRPr="003F08AD" w:rsidR="004D456D">
        <w:t xml:space="preserve"> on an approved educational leave or other approved leave status, or is on filing-fee status.”  </w:t>
      </w:r>
      <w:r w:rsidRPr="003F08AD">
        <w:t xml:space="preserve">According to </w:t>
      </w:r>
      <w:r w:rsidR="00BB35DA">
        <w:t>plaintiff, Anneliese</w:t>
      </w:r>
      <w:r w:rsidRPr="003F08AD">
        <w:t xml:space="preserve"> was a graduate who did not meet this definition, such that the </w:t>
      </w:r>
      <w:r w:rsidR="00BB35DA">
        <w:t>University’s sexual harassment policy</w:t>
      </w:r>
      <w:r w:rsidRPr="003F08AD">
        <w:t xml:space="preserve"> did not apply to her.  Not so.</w:t>
      </w:r>
    </w:p>
    <w:p w:rsidR="00114147" w:rsidRPr="003F08AD" w:rsidP="00127C05" w14:paraId="74F55894" w14:textId="1F98EF1F">
      <w:pPr>
        <w:tabs>
          <w:tab w:val="clear" w:pos="720"/>
        </w:tabs>
        <w:spacing w:line="360" w:lineRule="auto"/>
      </w:pPr>
      <w:r w:rsidRPr="003F08AD">
        <w:tab/>
      </w:r>
      <w:r w:rsidRPr="003F08AD" w:rsidR="004D456D">
        <w:t xml:space="preserve">The evidence demonstrated that </w:t>
      </w:r>
      <w:r w:rsidR="00214C9B">
        <w:t>Anneliese</w:t>
      </w:r>
      <w:r w:rsidRPr="003F08AD" w:rsidR="004D456D">
        <w:t xml:space="preserve"> walked in the UCSC graduation ceremony on </w:t>
      </w:r>
      <w:r w:rsidR="00214C9B">
        <w:t>June 16</w:t>
      </w:r>
      <w:r w:rsidRPr="003F08AD" w:rsidR="004D456D">
        <w:t xml:space="preserve">, 2018, about two days before attending the party after which </w:t>
      </w:r>
      <w:r w:rsidR="00214C9B">
        <w:t>plaintiff</w:t>
      </w:r>
      <w:r w:rsidRPr="003F08AD" w:rsidR="004D456D">
        <w:t xml:space="preserve"> </w:t>
      </w:r>
      <w:r w:rsidR="0025791D">
        <w:t>sexually harassed</w:t>
      </w:r>
      <w:r w:rsidRPr="003F08AD" w:rsidR="004D456D">
        <w:t xml:space="preserve"> her.  </w:t>
      </w:r>
      <w:r w:rsidRPr="003F08AD">
        <w:t xml:space="preserve">In fact, she attended this party in part to celebrate her graduation.  </w:t>
      </w:r>
      <w:r w:rsidRPr="003F08AD" w:rsidR="004A0BCC">
        <w:t>At that time</w:t>
      </w:r>
      <w:r w:rsidRPr="003F08AD" w:rsidR="004D456D">
        <w:t xml:space="preserve">, </w:t>
      </w:r>
      <w:r w:rsidRPr="003F08AD">
        <w:t xml:space="preserve">the University had not yet audited </w:t>
      </w:r>
      <w:r w:rsidR="006D4D51">
        <w:t>Anneliese’s</w:t>
      </w:r>
      <w:r w:rsidRPr="003F08AD">
        <w:t xml:space="preserve"> grades </w:t>
      </w:r>
      <w:r w:rsidRPr="003F08AD" w:rsidR="006671B9">
        <w:t>or</w:t>
      </w:r>
      <w:r w:rsidRPr="003F08AD">
        <w:t xml:space="preserve"> conferred h</w:t>
      </w:r>
      <w:r w:rsidRPr="003F08AD" w:rsidR="004D456D">
        <w:t>e</w:t>
      </w:r>
      <w:r w:rsidRPr="003F08AD">
        <w:t xml:space="preserve">r </w:t>
      </w:r>
      <w:r w:rsidRPr="003F08AD" w:rsidR="004D456D">
        <w:t>d</w:t>
      </w:r>
      <w:r w:rsidRPr="003F08AD">
        <w:t xml:space="preserve">egree, which </w:t>
      </w:r>
      <w:r w:rsidRPr="003F08AD" w:rsidR="006671B9">
        <w:t>did not</w:t>
      </w:r>
      <w:r w:rsidRPr="003F08AD">
        <w:t xml:space="preserve"> occur until July 2018.  Under these circumstances, we conclude the evidence supports a finding that </w:t>
      </w:r>
      <w:r w:rsidR="006D4D51">
        <w:t>Anneliese</w:t>
      </w:r>
      <w:r w:rsidRPr="003F08AD">
        <w:t xml:space="preserve"> was in fact a student</w:t>
      </w:r>
      <w:r w:rsidRPr="003F08AD" w:rsidR="004A0BCC">
        <w:t xml:space="preserve"> under the </w:t>
      </w:r>
      <w:r w:rsidR="006D4D51">
        <w:t>University’s policies.</w:t>
      </w:r>
    </w:p>
    <w:p w:rsidR="00B779E0" w:rsidRPr="003F08AD" w:rsidP="00127C05" w14:paraId="4784E66F" w14:textId="5E7A97B6">
      <w:pPr>
        <w:tabs>
          <w:tab w:val="clear" w:pos="720"/>
        </w:tabs>
        <w:spacing w:line="360" w:lineRule="auto"/>
      </w:pPr>
      <w:r w:rsidRPr="003F08AD">
        <w:tab/>
      </w:r>
      <w:r w:rsidRPr="003F08AD" w:rsidR="00A75188">
        <w:t xml:space="preserve">In any event, as the </w:t>
      </w:r>
      <w:r w:rsidR="00952697">
        <w:t>PT Committee</w:t>
      </w:r>
      <w:r w:rsidRPr="003F08AD" w:rsidR="00A75188">
        <w:t xml:space="preserve"> pointed out, the </w:t>
      </w:r>
      <w:r w:rsidR="00952697">
        <w:t>University’s sexual harassment policy</w:t>
      </w:r>
      <w:r w:rsidR="00065A62">
        <w:t xml:space="preserve"> dated February 1, 2006, page 1, states</w:t>
      </w:r>
      <w:r w:rsidRPr="003F08AD" w:rsidR="00A75188">
        <w:t xml:space="preserve">, “Sexual harassment may include incidents between any members of the University community, including faculty and other academic appointees, staff, coaches, </w:t>
      </w:r>
      <w:r w:rsidR="00065A62">
        <w:t>housestaff</w:t>
      </w:r>
      <w:r w:rsidRPr="003F08AD" w:rsidR="00A75188">
        <w:t xml:space="preserve">, students, and </w:t>
      </w:r>
      <w:r w:rsidR="00065A62">
        <w:t>non-student</w:t>
      </w:r>
      <w:r w:rsidRPr="003F08AD" w:rsidR="00A75188">
        <w:t xml:space="preserve"> or non-employee participants in University programs, such as vendors, contractors, visitors and patients.” </w:t>
      </w:r>
      <w:r w:rsidRPr="003F08AD" w:rsidR="003755A7">
        <w:t xml:space="preserve"> </w:t>
      </w:r>
      <w:r w:rsidRPr="003F08AD" w:rsidR="004A0BCC">
        <w:t>Given this broad standard</w:t>
      </w:r>
      <w:r w:rsidRPr="003F08AD" w:rsidR="003755A7">
        <w:t>, “</w:t>
      </w:r>
      <w:r w:rsidRPr="003F08AD" w:rsidR="00864890">
        <w:t xml:space="preserve">it is </w:t>
      </w:r>
      <w:r w:rsidRPr="003F08AD" w:rsidR="004A0BCC">
        <w:t xml:space="preserve">not </w:t>
      </w:r>
      <w:r w:rsidRPr="003F08AD" w:rsidR="00864890">
        <w:t xml:space="preserve">necessary to quibble over the exact moment when </w:t>
      </w:r>
      <w:r w:rsidR="00F80C9F">
        <w:t>[Anneliese H.]</w:t>
      </w:r>
      <w:r w:rsidRPr="003F08AD" w:rsidR="00864890">
        <w:t xml:space="preserve"> ceased being a student. </w:t>
      </w:r>
      <w:r w:rsidR="00F80C9F">
        <w:t xml:space="preserve"> </w:t>
      </w:r>
      <w:r w:rsidRPr="003F08AD" w:rsidR="00864890">
        <w:t xml:space="preserve">The Sexual Harassment policy prohibits Sexual Harassment of any member of the University </w:t>
      </w:r>
      <w:r w:rsidR="00F80C9F">
        <w:t>community. . . .  There</w:t>
      </w:r>
      <w:r w:rsidRPr="003F08AD" w:rsidR="00864890">
        <w:t xml:space="preserve"> may be some question whether alumni remain members of the University community for the rest of their lives, but certainly a graduating senior does not cease to be a member of the University community on the last day of the final quarter. </w:t>
      </w:r>
      <w:r w:rsidR="00F80C9F">
        <w:t xml:space="preserve"> </w:t>
      </w:r>
      <w:r w:rsidRPr="003F08AD" w:rsidR="00864890">
        <w:t xml:space="preserve">For this reason, we believe that the University Sexual Harassment policy does prohibit the behavior committed by Professor Balakrishnan on this occasion, and thus that this behavior was a violation of the Sexual Harassment policy, and consequently a violation of the </w:t>
      </w:r>
      <w:r w:rsidR="00F80C9F">
        <w:t>FCC</w:t>
      </w:r>
      <w:r w:rsidR="00EB62EA">
        <w:t> </w:t>
      </w:r>
      <w:r w:rsidR="00F80C9F">
        <w:t>(APM 015.II.C.7)</w:t>
      </w:r>
      <w:r w:rsidRPr="003F08AD" w:rsidR="003755A7">
        <w:t>.”</w:t>
      </w:r>
    </w:p>
    <w:p w:rsidR="00864890" w:rsidRPr="003F08AD" w:rsidP="00127C05" w14:paraId="335D013F" w14:textId="7C788D9E">
      <w:pPr>
        <w:tabs>
          <w:tab w:val="clear" w:pos="720"/>
        </w:tabs>
        <w:spacing w:line="360" w:lineRule="auto"/>
      </w:pPr>
      <w:r w:rsidRPr="003F08AD">
        <w:tab/>
      </w:r>
      <w:r w:rsidRPr="003F08AD" w:rsidR="003755A7">
        <w:t xml:space="preserve">We </w:t>
      </w:r>
      <w:r w:rsidRPr="003F08AD" w:rsidR="004A0BCC">
        <w:t>conclude</w:t>
      </w:r>
      <w:r w:rsidRPr="003F08AD" w:rsidR="003755A7">
        <w:t xml:space="preserve"> the </w:t>
      </w:r>
      <w:r w:rsidR="00EB62EA">
        <w:t>PT Committee’s</w:t>
      </w:r>
      <w:r w:rsidRPr="003F08AD" w:rsidR="003755A7">
        <w:t xml:space="preserve"> interpretation </w:t>
      </w:r>
      <w:r w:rsidRPr="003F08AD" w:rsidR="004A0BCC">
        <w:t xml:space="preserve">was consistent with both the language and purpose </w:t>
      </w:r>
      <w:r w:rsidRPr="003F08AD" w:rsidR="003755A7">
        <w:t xml:space="preserve">of the </w:t>
      </w:r>
      <w:r w:rsidR="00EB62EA">
        <w:t>sexual harassment policy</w:t>
      </w:r>
      <w:r w:rsidRPr="003F08AD" w:rsidR="003755A7">
        <w:t>.</w:t>
      </w:r>
      <w:r w:rsidRPr="003F08AD" w:rsidR="004A0BCC">
        <w:t xml:space="preserve">  </w:t>
      </w:r>
      <w:r w:rsidRPr="00490550" w:rsidR="004A0BCC">
        <w:rPr>
          <w:rStyle w:val="ssrfcpassagedeactivated"/>
          <w:bdr w:val="none" w:sz="0" w:space="0" w:color="auto" w:frame="1"/>
          <w:shd w:val="clear" w:color="auto" w:fill="FFFFFF"/>
        </w:rPr>
        <w:t>Moreover, a</w:t>
      </w:r>
      <w:r w:rsidRPr="003F08AD" w:rsidR="00F07E13">
        <w:t xml:space="preserve">s stated before, the </w:t>
      </w:r>
      <w:r w:rsidR="00EB62EA">
        <w:t>PT Committee</w:t>
      </w:r>
      <w:r w:rsidRPr="003F08AD" w:rsidR="00F07E13">
        <w:t xml:space="preserve"> was comprised of three of </w:t>
      </w:r>
      <w:r w:rsidR="00EB62EA">
        <w:t>plaintiff’s</w:t>
      </w:r>
      <w:r w:rsidRPr="003F08AD" w:rsidR="00F07E13">
        <w:t xml:space="preserve"> professor colleagues who were individually and collectively “</w:t>
      </w:r>
      <w:r w:rsidRPr="00490550" w:rsidR="00F07E13">
        <w:rPr>
          <w:rStyle w:val="ssrfcsection"/>
          <w:bdr w:val="none" w:sz="0" w:space="0" w:color="auto" w:frame="1"/>
          <w:shd w:val="clear" w:color="auto" w:fill="FFFFFF"/>
        </w:rPr>
        <w:t xml:space="preserve">knowledgeable of and sensitive to the needs </w:t>
      </w:r>
      <w:r w:rsidR="00E553D2">
        <w:rPr>
          <w:rStyle w:val="ssrfcsection"/>
          <w:bdr w:val="none" w:sz="0" w:space="0" w:color="auto" w:frame="1"/>
          <w:shd w:val="clear" w:color="auto" w:fill="FFFFFF"/>
        </w:rPr>
        <w:t>of [the] . . .</w:t>
      </w:r>
      <w:r w:rsidR="006E21C9">
        <w:rPr>
          <w:rStyle w:val="ssrfcsection"/>
          <w:bdr w:val="none" w:sz="0" w:space="0" w:color="auto" w:frame="1"/>
          <w:shd w:val="clear" w:color="auto" w:fill="FFFFFF"/>
        </w:rPr>
        <w:t xml:space="preserve"> university</w:t>
      </w:r>
      <w:r w:rsidRPr="00490550" w:rsidR="00F07E13">
        <w:rPr>
          <w:rStyle w:val="ssrfcsection"/>
          <w:bdr w:val="none" w:sz="0" w:space="0" w:color="auto" w:frame="1"/>
          <w:shd w:val="clear" w:color="auto" w:fill="FFFFFF"/>
        </w:rPr>
        <w:t xml:space="preserve"> population to which [the policy] </w:t>
      </w:r>
      <w:r w:rsidR="00EB62EA">
        <w:rPr>
          <w:rStyle w:val="ssrfcsection"/>
          <w:bdr w:val="none" w:sz="0" w:space="0" w:color="auto" w:frame="1"/>
          <w:shd w:val="clear" w:color="auto" w:fill="FFFFFF"/>
        </w:rPr>
        <w:t>applies.”  (</w:t>
      </w:r>
      <w:r w:rsidR="00EB62EA">
        <w:rPr>
          <w:rStyle w:val="ssrfcsection"/>
          <w:i/>
          <w:iCs/>
          <w:bdr w:val="none" w:sz="0" w:space="0" w:color="auto" w:frame="1"/>
          <w:shd w:val="clear" w:color="auto" w:fill="FFFFFF"/>
        </w:rPr>
        <w:t>Akella</w:t>
      </w:r>
      <w:r w:rsidRPr="00490550" w:rsidR="00F07E13">
        <w:rPr>
          <w:rStyle w:val="ssrfcpassagedeactivated"/>
          <w:i/>
          <w:iCs/>
          <w:bdr w:val="none" w:sz="0" w:space="0" w:color="auto" w:frame="1"/>
          <w:shd w:val="clear" w:color="auto" w:fill="FFFFFF"/>
        </w:rPr>
        <w:t>, supra</w:t>
      </w:r>
      <w:r w:rsidRPr="00490550" w:rsidR="00F07E13">
        <w:rPr>
          <w:rStyle w:val="ssrfcpassagedeactivated"/>
          <w:bdr w:val="none" w:sz="0" w:space="0" w:color="auto" w:frame="1"/>
          <w:shd w:val="clear" w:color="auto" w:fill="FFFFFF"/>
        </w:rPr>
        <w:t xml:space="preserve">, 61 Cal.App.5th at p. 817, citing </w:t>
      </w:r>
      <w:r w:rsidRPr="00490550" w:rsidR="00F07E13">
        <w:rPr>
          <w:rStyle w:val="ssrfcpassagedeactivated"/>
          <w:i/>
          <w:iCs/>
          <w:bdr w:val="none" w:sz="0" w:space="0" w:color="auto" w:frame="1"/>
          <w:shd w:val="clear" w:color="auto" w:fill="FFFFFF"/>
        </w:rPr>
        <w:t>Simi Corp. v. Garamendi, supra</w:t>
      </w:r>
      <w:r w:rsidRPr="00490550" w:rsidR="00F07E13">
        <w:rPr>
          <w:rStyle w:val="ssrfcpassagedeactivated"/>
          <w:bdr w:val="none" w:sz="0" w:space="0" w:color="auto" w:frame="1"/>
          <w:shd w:val="clear" w:color="auto" w:fill="FFFFFF"/>
        </w:rPr>
        <w:t xml:space="preserve">, 109 Cal.App.4th at p. </w:t>
      </w:r>
      <w:r w:rsidR="008D7507">
        <w:rPr>
          <w:rStyle w:val="ssrfcpassagedeactivated"/>
          <w:bdr w:val="none" w:sz="0" w:space="0" w:color="auto" w:frame="1"/>
          <w:shd w:val="clear" w:color="auto" w:fill="FFFFFF"/>
        </w:rPr>
        <w:t xml:space="preserve">1505, and </w:t>
      </w:r>
      <w:r w:rsidR="008D7507">
        <w:rPr>
          <w:rStyle w:val="ssrfcpassagedeactivated"/>
          <w:i/>
          <w:iCs/>
          <w:bdr w:val="none" w:sz="0" w:space="0" w:color="auto" w:frame="1"/>
          <w:shd w:val="clear" w:color="auto" w:fill="FFFFFF"/>
        </w:rPr>
        <w:t>Berman v. Regents of University of California</w:t>
      </w:r>
      <w:r w:rsidRPr="00490550" w:rsidR="00F07E13">
        <w:rPr>
          <w:rStyle w:val="ssrfcpassagedeactivated"/>
          <w:i/>
          <w:iCs/>
          <w:bdr w:val="none" w:sz="0" w:space="0" w:color="auto" w:frame="1"/>
          <w:shd w:val="clear" w:color="auto" w:fill="FFFFFF"/>
        </w:rPr>
        <w:t>, supra,</w:t>
      </w:r>
      <w:r w:rsidRPr="00490550" w:rsidR="00F07E13">
        <w:rPr>
          <w:rStyle w:val="ssrfcpassagedeactivated"/>
          <w:bdr w:val="none" w:sz="0" w:space="0" w:color="auto" w:frame="1"/>
          <w:shd w:val="clear" w:color="auto" w:fill="FFFFFF"/>
        </w:rPr>
        <w:t xml:space="preserve"> 229 Cal.App.4th at pp. </w:t>
      </w:r>
      <w:r w:rsidR="008D7507">
        <w:rPr>
          <w:rStyle w:val="ssrfcpassagedeactivated"/>
          <w:bdr w:val="none" w:sz="0" w:space="0" w:color="auto" w:frame="1"/>
          <w:shd w:val="clear" w:color="auto" w:fill="FFFFFF"/>
        </w:rPr>
        <w:t>1271–1272</w:t>
      </w:r>
      <w:r w:rsidRPr="00490550" w:rsidR="00F07E13">
        <w:rPr>
          <w:rStyle w:val="ssrfcpassagedeactivated"/>
          <w:bdr w:val="none" w:sz="0" w:space="0" w:color="auto" w:frame="1"/>
          <w:shd w:val="clear" w:color="auto" w:fill="FFFFFF"/>
        </w:rPr>
        <w:t xml:space="preserve">.)  </w:t>
      </w:r>
      <w:r w:rsidRPr="00490550" w:rsidR="00740812">
        <w:rPr>
          <w:rStyle w:val="ssrfcpassagedeactivated"/>
          <w:bdr w:val="none" w:sz="0" w:space="0" w:color="auto" w:frame="1"/>
          <w:shd w:val="clear" w:color="auto" w:fill="FFFFFF"/>
        </w:rPr>
        <w:t>Relevant here,</w:t>
      </w:r>
      <w:r w:rsidRPr="00490550" w:rsidR="00F07E13">
        <w:rPr>
          <w:rStyle w:val="ssrfcpassagedeactivated"/>
          <w:bdr w:val="none" w:sz="0" w:space="0" w:color="auto" w:frame="1"/>
          <w:shd w:val="clear" w:color="auto" w:fill="FFFFFF"/>
        </w:rPr>
        <w:t xml:space="preserve"> </w:t>
      </w:r>
      <w:r w:rsidRPr="00490550" w:rsidR="00740812">
        <w:rPr>
          <w:rStyle w:val="ssrfcpassagedeactivated"/>
          <w:bdr w:val="none" w:sz="0" w:space="0" w:color="auto" w:frame="1"/>
          <w:shd w:val="clear" w:color="auto" w:fill="FFFFFF"/>
        </w:rPr>
        <w:t xml:space="preserve">as the </w:t>
      </w:r>
      <w:r w:rsidR="00EA0B83">
        <w:rPr>
          <w:rStyle w:val="ssrfcpassagedeactivated"/>
          <w:bdr w:val="none" w:sz="0" w:space="0" w:color="auto" w:frame="1"/>
          <w:shd w:val="clear" w:color="auto" w:fill="FFFFFF"/>
        </w:rPr>
        <w:t>PT Committee found, Friend 1 invited plaintiff</w:t>
      </w:r>
      <w:r w:rsidRPr="003F08AD">
        <w:t xml:space="preserve"> to her graduation weekend party after having audited one of his classes because she w</w:t>
      </w:r>
      <w:r w:rsidRPr="003F08AD" w:rsidR="00740812">
        <w:t>as seeking</w:t>
      </w:r>
      <w:r w:rsidRPr="003F08AD">
        <w:t xml:space="preserve"> his mentorship.  </w:t>
      </w:r>
      <w:r w:rsidR="00EA0B83">
        <w:t>Anneliese knew Friend 1</w:t>
      </w:r>
      <w:r w:rsidRPr="003F08AD">
        <w:t xml:space="preserve"> because they were both UCSC students liv</w:t>
      </w:r>
      <w:r w:rsidRPr="003F08AD" w:rsidR="00740812">
        <w:t>ing</w:t>
      </w:r>
      <w:r w:rsidRPr="003F08AD">
        <w:t xml:space="preserve"> with other students in off-campus housing.  </w:t>
      </w:r>
      <w:r w:rsidR="00EA0B83">
        <w:t>Anneliese met plaintiff at Friend 1’s</w:t>
      </w:r>
      <w:r w:rsidRPr="003F08AD">
        <w:t xml:space="preserve"> party and was </w:t>
      </w:r>
      <w:r w:rsidR="00D92230">
        <w:t>sexually abused</w:t>
      </w:r>
      <w:r w:rsidRPr="003F08AD">
        <w:t xml:space="preserve"> by him after he volunteered to walk her home</w:t>
      </w:r>
      <w:r w:rsidR="00EA0B83">
        <w:t>,</w:t>
      </w:r>
      <w:r w:rsidRPr="003F08AD">
        <w:t xml:space="preserve"> when she fe</w:t>
      </w:r>
      <w:r w:rsidRPr="003F08AD" w:rsidR="00740812">
        <w:t>ll</w:t>
      </w:r>
      <w:r w:rsidRPr="003F08AD">
        <w:t xml:space="preserve"> ill due to having consumed to</w:t>
      </w:r>
      <w:r w:rsidRPr="003F08AD" w:rsidR="00740812">
        <w:t>o</w:t>
      </w:r>
      <w:r w:rsidRPr="003F08AD">
        <w:t xml:space="preserve"> much alcohol.  </w:t>
      </w:r>
      <w:r w:rsidRPr="003F08AD" w:rsidR="004F1C35">
        <w:t>In</w:t>
      </w:r>
      <w:r w:rsidRPr="003F08AD">
        <w:t xml:space="preserve"> these circumstances, </w:t>
      </w:r>
      <w:r w:rsidR="00EA0B83">
        <w:t>plaintiff’s</w:t>
      </w:r>
      <w:r w:rsidRPr="003F08AD">
        <w:t xml:space="preserve"> claim that </w:t>
      </w:r>
      <w:r w:rsidR="00EA0B83">
        <w:t>Anneliese</w:t>
      </w:r>
      <w:r w:rsidRPr="003F08AD">
        <w:t xml:space="preserve"> </w:t>
      </w:r>
      <w:r w:rsidRPr="003F08AD" w:rsidR="00740812">
        <w:t xml:space="preserve">had </w:t>
      </w:r>
      <w:r w:rsidRPr="003F08AD">
        <w:t xml:space="preserve">ceased </w:t>
      </w:r>
      <w:r w:rsidRPr="003F08AD" w:rsidR="00F07E13">
        <w:t xml:space="preserve">to </w:t>
      </w:r>
      <w:r w:rsidRPr="003F08AD">
        <w:t>be a member of the University community</w:t>
      </w:r>
      <w:r w:rsidRPr="003F08AD" w:rsidR="00F07E13">
        <w:t xml:space="preserve"> entitled to protection under the</w:t>
      </w:r>
      <w:r w:rsidRPr="003F08AD" w:rsidR="006671B9">
        <w:t xml:space="preserve"> </w:t>
      </w:r>
      <w:r w:rsidR="00D24B17">
        <w:t>sexual harassment policy</w:t>
      </w:r>
      <w:r w:rsidRPr="003F08AD" w:rsidR="00740812">
        <w:t xml:space="preserve"> two days before </w:t>
      </w:r>
      <w:r w:rsidR="009F73AB">
        <w:t>he abused her</w:t>
      </w:r>
      <w:r w:rsidRPr="003F08AD" w:rsidR="00740812">
        <w:t xml:space="preserve"> rings hollow</w:t>
      </w:r>
      <w:r w:rsidRPr="003F08AD">
        <w:t>.</w:t>
      </w:r>
    </w:p>
    <w:p w:rsidR="00181C66" w:rsidRPr="00490550" w:rsidP="00490550" w14:paraId="10B463F8" w14:textId="1B192D69">
      <w:pPr>
        <w:pStyle w:val="ListParagraph"/>
        <w:keepNext/>
        <w:numPr>
          <w:ilvl w:val="1"/>
          <w:numId w:val="3"/>
        </w:numPr>
        <w:tabs>
          <w:tab w:val="clear" w:pos="720"/>
        </w:tabs>
        <w:spacing w:line="360" w:lineRule="auto"/>
        <w:ind w:left="1440"/>
        <w:rPr>
          <w:b/>
          <w:bCs/>
        </w:rPr>
      </w:pPr>
      <w:r>
        <w:rPr>
          <w:b/>
          <w:bCs/>
        </w:rPr>
        <w:t>Plaintiff</w:t>
      </w:r>
      <w:r w:rsidRPr="00490550" w:rsidR="00114147">
        <w:rPr>
          <w:b/>
          <w:bCs/>
        </w:rPr>
        <w:t xml:space="preserve"> Had Notice of </w:t>
      </w:r>
      <w:r w:rsidR="001079AD">
        <w:rPr>
          <w:b/>
          <w:bCs/>
        </w:rPr>
        <w:t>the</w:t>
      </w:r>
      <w:r w:rsidRPr="00490550">
        <w:rPr>
          <w:b/>
          <w:bCs/>
        </w:rPr>
        <w:t xml:space="preserve"> </w:t>
      </w:r>
      <w:r w:rsidRPr="00490550" w:rsidR="00114147">
        <w:rPr>
          <w:b/>
          <w:bCs/>
        </w:rPr>
        <w:t>Charge</w:t>
      </w:r>
      <w:r w:rsidRPr="00490550">
        <w:rPr>
          <w:b/>
          <w:bCs/>
        </w:rPr>
        <w:t>.</w:t>
      </w:r>
    </w:p>
    <w:p w:rsidR="00181C66" w:rsidRPr="003F08AD" w:rsidP="00490550" w14:paraId="020E14E4" w14:textId="1F581415">
      <w:pPr>
        <w:tabs>
          <w:tab w:val="clear" w:pos="720"/>
        </w:tabs>
        <w:spacing w:line="360" w:lineRule="auto"/>
      </w:pPr>
      <w:r w:rsidRPr="003F08AD">
        <w:tab/>
      </w:r>
      <w:r w:rsidR="00D24B17">
        <w:t>Plaintiff</w:t>
      </w:r>
      <w:r w:rsidRPr="003F08AD">
        <w:t xml:space="preserve"> contends </w:t>
      </w:r>
      <w:r w:rsidRPr="003F08AD" w:rsidR="00EC1B44">
        <w:t xml:space="preserve">he had no notice of one of the two charges against him </w:t>
      </w:r>
      <w:r w:rsidRPr="003F08AD" w:rsidR="00FE0006">
        <w:t>in</w:t>
      </w:r>
      <w:r w:rsidRPr="003F08AD" w:rsidR="00EC1B44">
        <w:t xml:space="preserve"> the </w:t>
      </w:r>
      <w:r w:rsidRPr="003F08AD" w:rsidR="00E3284D">
        <w:t xml:space="preserve">case of </w:t>
      </w:r>
      <w:r w:rsidR="00D24B17">
        <w:t>Anneliese H.</w:t>
      </w:r>
      <w:r w:rsidRPr="003F08AD" w:rsidR="00EC1B44">
        <w:t xml:space="preserve">  The first charge, discussed </w:t>
      </w:r>
      <w:r w:rsidR="00D24B17">
        <w:rPr>
          <w:i/>
          <w:iCs/>
        </w:rPr>
        <w:t>ante</w:t>
      </w:r>
      <w:r w:rsidRPr="003F08AD" w:rsidR="00EC1B44">
        <w:t xml:space="preserve">, was for violation of the </w:t>
      </w:r>
      <w:r w:rsidR="001079AD">
        <w:t>University’s sexual harassment policy</w:t>
      </w:r>
      <w:r w:rsidRPr="003F08AD" w:rsidR="00EC1B44">
        <w:t xml:space="preserve">.  The second charge, of which </w:t>
      </w:r>
      <w:r w:rsidR="001079AD">
        <w:t>plaintiff</w:t>
      </w:r>
      <w:r w:rsidRPr="003F08AD" w:rsidR="00EC1B44">
        <w:t xml:space="preserve"> claims he had no notice, was for </w:t>
      </w:r>
      <w:r w:rsidRPr="003F08AD" w:rsidR="006671B9">
        <w:t xml:space="preserve">a </w:t>
      </w:r>
      <w:r w:rsidRPr="003F08AD" w:rsidR="00EC1B44">
        <w:t>violation of</w:t>
      </w:r>
      <w:r w:rsidRPr="003F08AD" w:rsidR="000B550B">
        <w:t xml:space="preserve"> the </w:t>
      </w:r>
      <w:r w:rsidRPr="003F08AD" w:rsidR="00EC1B44">
        <w:t>Faculty Code of Conduct</w:t>
      </w:r>
      <w:r w:rsidRPr="003F08AD" w:rsidR="000B550B">
        <w:t xml:space="preserve">, </w:t>
      </w:r>
      <w:r w:rsidR="001079AD">
        <w:t>Part II</w:t>
      </w:r>
      <w:r w:rsidRPr="003F08AD" w:rsidR="00EC1B44">
        <w:t xml:space="preserve">. </w:t>
      </w:r>
      <w:r w:rsidRPr="003F08AD" w:rsidR="00FE0006">
        <w:t xml:space="preserve"> We reject this contention.</w:t>
      </w:r>
    </w:p>
    <w:p w:rsidR="00A74F87" w:rsidRPr="003F08AD" w:rsidP="00490550" w14:paraId="673EDCB0" w14:textId="274D82A2">
      <w:pPr>
        <w:tabs>
          <w:tab w:val="clear" w:pos="720"/>
        </w:tabs>
        <w:spacing w:line="360" w:lineRule="auto"/>
      </w:pPr>
      <w:r w:rsidRPr="003F08AD">
        <w:tab/>
      </w:r>
      <w:r w:rsidR="00FF6EF0">
        <w:t>Plaintiff</w:t>
      </w:r>
      <w:r w:rsidRPr="003F08AD">
        <w:t xml:space="preserve"> is correct the </w:t>
      </w:r>
      <w:r w:rsidR="00FF6EF0">
        <w:t>notice of intent to discipline</w:t>
      </w:r>
      <w:r w:rsidRPr="003F08AD">
        <w:t xml:space="preserve"> </w:t>
      </w:r>
      <w:r w:rsidRPr="003F08AD" w:rsidR="00E3284D">
        <w:t>issued by</w:t>
      </w:r>
      <w:r w:rsidRPr="003F08AD">
        <w:t xml:space="preserve"> the University identified one charge relat</w:t>
      </w:r>
      <w:r w:rsidRPr="003F08AD" w:rsidR="00E3284D">
        <w:t>ing</w:t>
      </w:r>
      <w:r w:rsidRPr="003F08AD">
        <w:t xml:space="preserve"> to </w:t>
      </w:r>
      <w:r w:rsidR="00FF6EF0">
        <w:t>Anneliese H.:  “Alleged</w:t>
      </w:r>
      <w:r w:rsidRPr="003F08AD">
        <w:t xml:space="preserve"> violation: </w:t>
      </w:r>
      <w:r w:rsidR="00FF6EF0">
        <w:t xml:space="preserve"> APM 015 II.C.7:  Serious</w:t>
      </w:r>
      <w:r w:rsidRPr="003F08AD">
        <w:t xml:space="preserve"> violation of University policies governing the professional conduct of faculty (specifically, the University </w:t>
      </w:r>
      <w:r w:rsidRPr="003F08AD" w:rsidR="00E3284D">
        <w:t>P</w:t>
      </w:r>
      <w:r w:rsidRPr="003F08AD">
        <w:t xml:space="preserve">olicy on Sexual Harassment, 2006).”  </w:t>
      </w:r>
      <w:r w:rsidRPr="003F08AD" w:rsidR="007206DB">
        <w:t>F</w:t>
      </w:r>
      <w:r w:rsidRPr="003F08AD">
        <w:t xml:space="preserve">ollowing </w:t>
      </w:r>
      <w:r w:rsidRPr="003F08AD" w:rsidR="006671B9">
        <w:t>the</w:t>
      </w:r>
      <w:r w:rsidRPr="003F08AD">
        <w:t xml:space="preserve"> hearing, the </w:t>
      </w:r>
      <w:r w:rsidR="0005077C">
        <w:t>PT Committee</w:t>
      </w:r>
      <w:r w:rsidRPr="003F08AD">
        <w:t xml:space="preserve"> </w:t>
      </w:r>
      <w:r w:rsidRPr="003F08AD" w:rsidR="007206DB">
        <w:t xml:space="preserve">found a violation of the </w:t>
      </w:r>
      <w:r w:rsidR="0005077C">
        <w:t>sexual harassment policy and, thus, APM 015 II.C.7</w:t>
      </w:r>
      <w:r w:rsidRPr="003F08AD" w:rsidR="00C712AE">
        <w:t>,</w:t>
      </w:r>
      <w:r w:rsidRPr="003F08AD" w:rsidR="007206DB">
        <w:t xml:space="preserve"> with respect to </w:t>
      </w:r>
      <w:r w:rsidR="00EF79CD">
        <w:t>plaintiff’s</w:t>
      </w:r>
      <w:r w:rsidRPr="003F08AD" w:rsidR="007206DB">
        <w:t xml:space="preserve"> conduct toward </w:t>
      </w:r>
      <w:r w:rsidR="00EF79CD">
        <w:t>Anneliese</w:t>
      </w:r>
      <w:r w:rsidRPr="003F08AD" w:rsidR="007206DB">
        <w:t xml:space="preserve">.  In addition, the </w:t>
      </w:r>
      <w:r w:rsidR="00EF79CD">
        <w:t>committee</w:t>
      </w:r>
      <w:r w:rsidRPr="003F08AD" w:rsidR="007206DB">
        <w:t xml:space="preserve"> found his conduct “independently violated the [Faculty Code of Conduct],” which “prohibits</w:t>
      </w:r>
      <w:r w:rsidR="00EF79CD">
        <w:t>,</w:t>
      </w:r>
      <w:r w:rsidRPr="003F08AD" w:rsidR="007206DB">
        <w:t xml:space="preserve"> in general</w:t>
      </w:r>
      <w:r w:rsidR="00EF79CD">
        <w:t>,</w:t>
      </w:r>
      <w:r w:rsidRPr="003F08AD" w:rsidR="007206DB">
        <w:t xml:space="preserve"> faculty conduct that is unacceptable because it is ‘not justified by the Ethical Principles and significantly impairs the University’s central functions as set </w:t>
      </w:r>
      <w:r w:rsidR="00A05DB0">
        <w:t>forth</w:t>
      </w:r>
      <w:r w:rsidRPr="003F08AD" w:rsidR="007206DB">
        <w:t xml:space="preserve"> in the Preamble’ </w:t>
      </w:r>
      <w:r w:rsidR="00A05DB0">
        <w:t>(APM 015, Preamble).</w:t>
      </w:r>
      <w:r w:rsidRPr="003F08AD" w:rsidR="007206DB">
        <w:t>”</w:t>
      </w:r>
      <w:r w:rsidRPr="003F08AD">
        <w:t xml:space="preserve">  The </w:t>
      </w:r>
      <w:r w:rsidR="00D32708">
        <w:t>committee</w:t>
      </w:r>
      <w:r w:rsidRPr="003F08AD">
        <w:t xml:space="preserve"> reasoned</w:t>
      </w:r>
      <w:r w:rsidRPr="003F08AD" w:rsidR="00E3284D">
        <w:t>:</w:t>
      </w:r>
      <w:r w:rsidRPr="003F08AD">
        <w:t xml:space="preserve"> </w:t>
      </w:r>
      <w:r w:rsidR="00D32708">
        <w:t xml:space="preserve"> </w:t>
      </w:r>
      <w:r w:rsidRPr="003F08AD">
        <w:t>“Students have a right to expect that the University does not tolerate faculty who attempt to rape people.  The University has an obligation to honor that right.”</w:t>
      </w:r>
    </w:p>
    <w:p w:rsidR="00E3284D" w:rsidRPr="003F08AD" w:rsidP="00490550" w14:paraId="000F5653" w14:textId="022D19C5">
      <w:pPr>
        <w:tabs>
          <w:tab w:val="clear" w:pos="720"/>
        </w:tabs>
        <w:spacing w:line="360" w:lineRule="auto"/>
      </w:pPr>
      <w:r w:rsidRPr="003F08AD">
        <w:tab/>
        <w:t xml:space="preserve">The </w:t>
      </w:r>
      <w:r w:rsidR="00F142D3">
        <w:t>PT Committee’s</w:t>
      </w:r>
      <w:r w:rsidRPr="003F08AD">
        <w:t xml:space="preserve"> findings and recommendations were then reviewed by Chancellor Larive, who determined</w:t>
      </w:r>
      <w:r w:rsidR="00670A65">
        <w:t>,</w:t>
      </w:r>
      <w:r w:rsidRPr="003F08AD">
        <w:t xml:space="preserve"> based on her own review of the evidence</w:t>
      </w:r>
      <w:r w:rsidR="00670A65">
        <w:t>,</w:t>
      </w:r>
      <w:r w:rsidRPr="003F08AD">
        <w:t xml:space="preserve"> that </w:t>
      </w:r>
      <w:r w:rsidR="00670A65">
        <w:t>plaintiff</w:t>
      </w:r>
      <w:r w:rsidRPr="003F08AD">
        <w:t xml:space="preserve"> violated the </w:t>
      </w:r>
      <w:r w:rsidR="00670A65">
        <w:t>University’s sexual harassment policy (and, thus, APM 015 II.C.7).</w:t>
      </w:r>
      <w:r w:rsidRPr="003F08AD">
        <w:t xml:space="preserve">  Chancellor Larive made no mention of</w:t>
      </w:r>
      <w:r w:rsidRPr="003F08AD" w:rsidR="00EA05E6">
        <w:t>,</w:t>
      </w:r>
      <w:r w:rsidRPr="003F08AD">
        <w:t xml:space="preserve"> or finding as to</w:t>
      </w:r>
      <w:r w:rsidRPr="003F08AD" w:rsidR="00EA05E6">
        <w:t>,</w:t>
      </w:r>
      <w:r w:rsidRPr="003F08AD">
        <w:t xml:space="preserve"> the Faculty Code of Conduct, </w:t>
      </w:r>
      <w:r w:rsidR="00390B47">
        <w:t>Part II,</w:t>
      </w:r>
      <w:r w:rsidRPr="003F08AD">
        <w:t xml:space="preserve"> before submitting her recommendation of </w:t>
      </w:r>
      <w:r w:rsidRPr="003F08AD" w:rsidR="00EA05E6">
        <w:t>dismissal</w:t>
      </w:r>
      <w:r w:rsidRPr="003F08AD">
        <w:t xml:space="preserve"> and denial of </w:t>
      </w:r>
      <w:r w:rsidR="00390B47">
        <w:t>emeritus</w:t>
      </w:r>
      <w:r w:rsidRPr="003F08AD">
        <w:t xml:space="preserve"> status to </w:t>
      </w:r>
      <w:r w:rsidR="00390B47">
        <w:t>University</w:t>
      </w:r>
      <w:r w:rsidRPr="003F08AD">
        <w:t xml:space="preserve"> President Napolitano.</w:t>
      </w:r>
    </w:p>
    <w:p w:rsidR="00C712AE" w:rsidRPr="003F08AD" w:rsidP="00490550" w14:paraId="246844CB" w14:textId="72F2E5DF">
      <w:pPr>
        <w:tabs>
          <w:tab w:val="clear" w:pos="720"/>
        </w:tabs>
        <w:spacing w:line="360" w:lineRule="auto"/>
      </w:pPr>
      <w:r w:rsidRPr="003F08AD">
        <w:tab/>
        <w:t xml:space="preserve">After her own review, </w:t>
      </w:r>
      <w:r w:rsidR="001C1C53">
        <w:t>University</w:t>
      </w:r>
      <w:r w:rsidRPr="003F08AD">
        <w:t xml:space="preserve"> President Napolitano adopted the same finding of a violation of the </w:t>
      </w:r>
      <w:r w:rsidR="001C1C53">
        <w:t>University’s sexual harassment policy in</w:t>
      </w:r>
      <w:r w:rsidRPr="003F08AD">
        <w:t xml:space="preserve"> submitting her recommendation </w:t>
      </w:r>
      <w:r w:rsidRPr="003F08AD" w:rsidR="00EA05E6">
        <w:t xml:space="preserve">of dismissal </w:t>
      </w:r>
      <w:r w:rsidRPr="003F08AD">
        <w:t xml:space="preserve">to </w:t>
      </w:r>
      <w:r w:rsidR="0055323D">
        <w:t>the</w:t>
      </w:r>
      <w:r w:rsidRPr="003F08AD">
        <w:t xml:space="preserve"> Regents, which </w:t>
      </w:r>
      <w:r w:rsidR="0055323D">
        <w:t>the</w:t>
      </w:r>
      <w:r w:rsidRPr="003F08AD">
        <w:t xml:space="preserve"> Regents then </w:t>
      </w:r>
      <w:r w:rsidR="001D6890">
        <w:t>approved—the</w:t>
      </w:r>
      <w:r w:rsidRPr="003F08AD">
        <w:t xml:space="preserve"> administrative decision challenged by this writ petition.</w:t>
      </w:r>
    </w:p>
    <w:p w:rsidR="00EC1B44" w:rsidRPr="003F08AD" w:rsidP="00490550" w14:paraId="48A92BA0" w14:textId="7C01E65F">
      <w:pPr>
        <w:tabs>
          <w:tab w:val="clear" w:pos="720"/>
        </w:tabs>
        <w:spacing w:line="360" w:lineRule="auto"/>
      </w:pPr>
      <w:r w:rsidRPr="003F08AD">
        <w:tab/>
      </w:r>
      <w:r w:rsidR="001D6890">
        <w:t>Plaintiff’s</w:t>
      </w:r>
      <w:r w:rsidRPr="003F08AD" w:rsidR="00EA05E6">
        <w:t xml:space="preserve"> </w:t>
      </w:r>
      <w:r w:rsidRPr="003F08AD" w:rsidR="003C357B">
        <w:t>lack-of-notice</w:t>
      </w:r>
      <w:r w:rsidRPr="003F08AD" w:rsidR="00EA05E6">
        <w:t xml:space="preserve"> </w:t>
      </w:r>
      <w:r w:rsidRPr="003F08AD" w:rsidR="003C357B">
        <w:t xml:space="preserve">claim thus </w:t>
      </w:r>
      <w:r w:rsidRPr="003F08AD" w:rsidR="00EA05E6">
        <w:t>fail</w:t>
      </w:r>
      <w:r w:rsidRPr="003F08AD" w:rsidR="003C357B">
        <w:t xml:space="preserve">s.  In the case of </w:t>
      </w:r>
      <w:r w:rsidR="001D6890">
        <w:t>Anneliese H.</w:t>
      </w:r>
      <w:r w:rsidR="00D02E21">
        <w:t>, he was charged with—and disciplined for—only the serious violation of the University’s sexual harassment policy.</w:t>
      </w:r>
    </w:p>
    <w:p w:rsidR="00181C66" w:rsidRPr="00490550" w:rsidP="003E48FB" w14:paraId="5D9A1F5F" w14:textId="65307E91">
      <w:pPr>
        <w:pStyle w:val="ListParagraph"/>
        <w:keepNext/>
        <w:numPr>
          <w:ilvl w:val="0"/>
          <w:numId w:val="3"/>
        </w:numPr>
        <w:tabs>
          <w:tab w:val="clear" w:pos="720"/>
        </w:tabs>
        <w:spacing w:line="360" w:lineRule="auto"/>
        <w:ind w:left="720"/>
        <w:rPr>
          <w:b/>
          <w:bCs/>
          <w:i/>
          <w:iCs/>
        </w:rPr>
      </w:pPr>
      <w:r w:rsidRPr="00490550">
        <w:rPr>
          <w:b/>
          <w:bCs/>
          <w:i/>
          <w:iCs/>
        </w:rPr>
        <w:t>The Sanctions Imposed Were Not Excessive.</w:t>
      </w:r>
    </w:p>
    <w:p w:rsidR="00181C66" w:rsidRPr="003F08AD" w:rsidP="00490550" w14:paraId="571BBDA5" w14:textId="5825AF65">
      <w:pPr>
        <w:tabs>
          <w:tab w:val="clear" w:pos="720"/>
        </w:tabs>
        <w:spacing w:line="360" w:lineRule="auto"/>
      </w:pPr>
      <w:r w:rsidRPr="003F08AD">
        <w:tab/>
        <w:t xml:space="preserve">Lastly, </w:t>
      </w:r>
      <w:r w:rsidR="00D02E21">
        <w:t>plaintiff</w:t>
      </w:r>
      <w:r w:rsidRPr="003F08AD">
        <w:t xml:space="preserve"> contends </w:t>
      </w:r>
      <w:r w:rsidRPr="003F08AD" w:rsidR="00393AA8">
        <w:t xml:space="preserve">dismissal of a tenured professor and denial of </w:t>
      </w:r>
      <w:r w:rsidR="00D02E21">
        <w:t>emeritus</w:t>
      </w:r>
      <w:r w:rsidRPr="003F08AD" w:rsidR="00393AA8">
        <w:t xml:space="preserve"> status for conduct that was never criminally charged</w:t>
      </w:r>
      <w:r w:rsidRPr="003F08AD" w:rsidR="00D340CE">
        <w:t>,</w:t>
      </w:r>
      <w:r w:rsidRPr="003F08AD" w:rsidR="00393AA8">
        <w:t xml:space="preserve"> result</w:t>
      </w:r>
      <w:r w:rsidRPr="003F08AD" w:rsidR="00D340CE">
        <w:t>ing</w:t>
      </w:r>
      <w:r w:rsidRPr="003F08AD" w:rsidR="00393AA8">
        <w:t xml:space="preserve"> in a loss of “upwards of a million dollars” in salary and benefits</w:t>
      </w:r>
      <w:r w:rsidRPr="003F08AD" w:rsidR="00D340CE">
        <w:t>,</w:t>
      </w:r>
      <w:r w:rsidRPr="003F08AD" w:rsidR="00E45FF9">
        <w:t xml:space="preserve"> </w:t>
      </w:r>
      <w:r w:rsidRPr="003F08AD" w:rsidR="00393AA8">
        <w:t xml:space="preserve">is constitutionally excessive (Cal. Const., </w:t>
      </w:r>
      <w:r w:rsidR="00D02E21">
        <w:t>art.</w:t>
      </w:r>
      <w:r w:rsidR="00DC002D">
        <w:t xml:space="preserve"> </w:t>
      </w:r>
      <w:r w:rsidR="00D02E21">
        <w:t>I</w:t>
      </w:r>
      <w:r w:rsidRPr="003F08AD" w:rsidR="00393AA8">
        <w:t>, § 17)</w:t>
      </w:r>
      <w:r w:rsidRPr="003F08AD">
        <w:t>.  We disagree.</w:t>
      </w:r>
    </w:p>
    <w:p w:rsidR="00181C66" w:rsidRPr="003F08AD" w:rsidP="00490550" w14:paraId="745A2DB7" w14:textId="32363D59">
      <w:pPr>
        <w:tabs>
          <w:tab w:val="clear" w:pos="720"/>
        </w:tabs>
        <w:spacing w:line="360" w:lineRule="auto"/>
      </w:pPr>
      <w:r w:rsidRPr="003F08AD">
        <w:tab/>
        <w:t>“</w:t>
      </w:r>
      <w:r w:rsidRPr="00490550">
        <w:rPr>
          <w:shd w:val="clear" w:color="auto" w:fill="FFFFFF"/>
        </w:rPr>
        <w:t xml:space="preserve">We review the penalty imposed by an administrative body for an abuse of discretion. </w:t>
      </w:r>
      <w:r w:rsidR="006A244B">
        <w:rPr>
          <w:shd w:val="clear" w:color="auto" w:fill="FFFFFF"/>
        </w:rPr>
        <w:t xml:space="preserve"> </w:t>
      </w:r>
      <w:r w:rsidRPr="00490550">
        <w:rPr>
          <w:shd w:val="clear" w:color="auto" w:fill="FFFFFF"/>
        </w:rPr>
        <w:t xml:space="preserve">[Citation.] </w:t>
      </w:r>
      <w:r w:rsidR="006A244B">
        <w:rPr>
          <w:shd w:val="clear" w:color="auto" w:fill="FFFFFF"/>
        </w:rPr>
        <w:t xml:space="preserve"> </w:t>
      </w:r>
      <w:r w:rsidRPr="00490550">
        <w:rPr>
          <w:shd w:val="clear" w:color="auto" w:fill="FFFFFF"/>
        </w:rPr>
        <w:t xml:space="preserve">This court cannot ‘substitute its discretion for that of the administrative agency concerning the degree of punishment imposed.’ </w:t>
      </w:r>
      <w:r w:rsidR="00853D16">
        <w:rPr>
          <w:shd w:val="clear" w:color="auto" w:fill="FFFFFF"/>
        </w:rPr>
        <w:t xml:space="preserve"> [Citation.]  Moreover</w:t>
      </w:r>
      <w:r w:rsidRPr="00490550">
        <w:rPr>
          <w:shd w:val="clear" w:color="auto" w:fill="FFFFFF"/>
        </w:rPr>
        <w:t xml:space="preserve">, ‘[i]t is only in the exceptional case, when it is shown that reasonable minds cannot differ on the propriety of the penalty, that an abuse of discretion is shown.’ </w:t>
      </w:r>
      <w:r w:rsidR="006A244B">
        <w:rPr>
          <w:shd w:val="clear" w:color="auto" w:fill="FFFFFF"/>
        </w:rPr>
        <w:t xml:space="preserve"> </w:t>
      </w:r>
      <w:r w:rsidRPr="00490550">
        <w:rPr>
          <w:shd w:val="clear" w:color="auto" w:fill="FFFFFF"/>
        </w:rPr>
        <w:t>[Citation.]</w:t>
      </w:r>
      <w:r w:rsidRPr="003F08AD">
        <w:t>”  (</w:t>
      </w:r>
      <w:r w:rsidRPr="003F08AD">
        <w:rPr>
          <w:i/>
          <w:iCs/>
        </w:rPr>
        <w:t xml:space="preserve">Doe v. Regents of </w:t>
      </w:r>
      <w:r w:rsidR="005C6B4E">
        <w:rPr>
          <w:i/>
          <w:iCs/>
        </w:rPr>
        <w:t>University</w:t>
      </w:r>
      <w:r w:rsidR="00D03DF1">
        <w:rPr>
          <w:i/>
          <w:iCs/>
        </w:rPr>
        <w:t xml:space="preserve"> of California </w:t>
      </w:r>
      <w:r w:rsidR="00D03DF1">
        <w:t>(</w:t>
      </w:r>
      <w:r w:rsidR="00565576">
        <w:t>2016)</w:t>
      </w:r>
      <w:r w:rsidRPr="003F08AD">
        <w:t xml:space="preserve"> 5 Cal.App.5th </w:t>
      </w:r>
      <w:r w:rsidR="00565576">
        <w:t>1055, 1106</w:t>
      </w:r>
      <w:r w:rsidR="001A6DB5">
        <w:t xml:space="preserve">; </w:t>
      </w:r>
      <w:r w:rsidRPr="003F08AD" w:rsidR="00E550BD">
        <w:rPr>
          <w:i/>
          <w:iCs/>
        </w:rPr>
        <w:t xml:space="preserve">Hughes v. </w:t>
      </w:r>
      <w:r w:rsidR="001A6DB5">
        <w:rPr>
          <w:i/>
          <w:iCs/>
        </w:rPr>
        <w:t>Bd.</w:t>
      </w:r>
      <w:r w:rsidRPr="003F08AD" w:rsidR="00E550BD">
        <w:rPr>
          <w:i/>
          <w:iCs/>
        </w:rPr>
        <w:t xml:space="preserve"> of Architectural Examiners</w:t>
      </w:r>
      <w:r w:rsidRPr="003F08AD" w:rsidR="00E550BD">
        <w:t xml:space="preserve"> (1998) 68 Cal.App.4th 685, 692 [courts </w:t>
      </w:r>
      <w:r w:rsidR="00663C27">
        <w:t>“ ‘pay</w:t>
      </w:r>
      <w:r w:rsidRPr="003F08AD" w:rsidR="00E550BD">
        <w:t xml:space="preserve"> great deference to the expertise of the </w:t>
      </w:r>
      <w:r w:rsidR="00663C27">
        <w:t>administrative agency</w:t>
      </w:r>
      <w:r w:rsidRPr="003F08AD" w:rsidR="00E550BD">
        <w:t xml:space="preserve"> in determining the appropriate penalty to be </w:t>
      </w:r>
      <w:r w:rsidR="00663C27">
        <w:t>imposed’ ”].)</w:t>
      </w:r>
    </w:p>
    <w:p w:rsidR="00D340CE" w:rsidRPr="00490550" w:rsidP="003F08AD" w14:paraId="153FB522" w14:textId="6CB10A81">
      <w:pPr>
        <w:pStyle w:val="NormalWeb"/>
        <w:shd w:val="clear" w:color="auto" w:fill="FFFFFF"/>
        <w:spacing w:before="0" w:beforeAutospacing="0" w:after="0" w:afterAutospacing="0" w:line="360" w:lineRule="auto"/>
        <w:textAlignment w:val="baseline"/>
        <w:rPr>
          <w:rFonts w:ascii="Century Schoolbook" w:hAnsi="Century Schoolbook"/>
          <w:sz w:val="26"/>
          <w:szCs w:val="26"/>
        </w:rPr>
      </w:pPr>
      <w:r w:rsidRPr="003F08AD">
        <w:rPr>
          <w:rFonts w:ascii="Century Schoolbook" w:hAnsi="Century Schoolbook"/>
          <w:sz w:val="26"/>
          <w:szCs w:val="26"/>
        </w:rPr>
        <w:tab/>
      </w:r>
      <w:r w:rsidRPr="003F08AD" w:rsidR="00E379C7">
        <w:rPr>
          <w:rFonts w:ascii="Century Schoolbook" w:hAnsi="Century Schoolbook"/>
          <w:sz w:val="26"/>
          <w:szCs w:val="26"/>
        </w:rPr>
        <w:t xml:space="preserve">The University found clear and convincing evidence that </w:t>
      </w:r>
      <w:r w:rsidR="00337897">
        <w:rPr>
          <w:rFonts w:ascii="Century Schoolbook" w:hAnsi="Century Schoolbook"/>
          <w:sz w:val="26"/>
          <w:szCs w:val="26"/>
        </w:rPr>
        <w:t>plaintiff</w:t>
      </w:r>
      <w:r w:rsidRPr="003F08AD" w:rsidR="00E45FF9">
        <w:rPr>
          <w:rFonts w:ascii="Century Schoolbook" w:hAnsi="Century Schoolbook"/>
          <w:sz w:val="26"/>
          <w:szCs w:val="26"/>
        </w:rPr>
        <w:t xml:space="preserve"> </w:t>
      </w:r>
      <w:r w:rsidRPr="003F08AD" w:rsidR="00E379C7">
        <w:rPr>
          <w:rFonts w:ascii="Century Schoolbook" w:hAnsi="Century Schoolbook"/>
          <w:sz w:val="26"/>
          <w:szCs w:val="26"/>
        </w:rPr>
        <w:t xml:space="preserve">egregiously sexually </w:t>
      </w:r>
      <w:r w:rsidR="009F73AB">
        <w:rPr>
          <w:rFonts w:ascii="Century Schoolbook" w:hAnsi="Century Schoolbook"/>
          <w:sz w:val="26"/>
          <w:szCs w:val="26"/>
        </w:rPr>
        <w:t>abused</w:t>
      </w:r>
      <w:r w:rsidRPr="003F08AD" w:rsidR="00E45FF9">
        <w:rPr>
          <w:rFonts w:ascii="Century Schoolbook" w:hAnsi="Century Schoolbook"/>
          <w:sz w:val="26"/>
          <w:szCs w:val="26"/>
        </w:rPr>
        <w:t xml:space="preserve"> both</w:t>
      </w:r>
      <w:r w:rsidRPr="003F08AD" w:rsidR="00E379C7">
        <w:rPr>
          <w:rFonts w:ascii="Century Schoolbook" w:hAnsi="Century Schoolbook"/>
          <w:sz w:val="26"/>
          <w:szCs w:val="26"/>
        </w:rPr>
        <w:t xml:space="preserve"> Jane Doe and </w:t>
      </w:r>
      <w:r w:rsidR="00337897">
        <w:rPr>
          <w:rFonts w:ascii="Century Schoolbook" w:hAnsi="Century Schoolbook"/>
          <w:sz w:val="26"/>
          <w:szCs w:val="26"/>
        </w:rPr>
        <w:t>Anneliese</w:t>
      </w:r>
      <w:r w:rsidRPr="003F08AD" w:rsidR="00E379C7">
        <w:rPr>
          <w:rFonts w:ascii="Century Schoolbook" w:hAnsi="Century Schoolbook"/>
          <w:sz w:val="26"/>
          <w:szCs w:val="26"/>
        </w:rPr>
        <w:t xml:space="preserve">.  As to the latter, in particular, </w:t>
      </w:r>
      <w:r w:rsidR="00337897">
        <w:rPr>
          <w:rFonts w:ascii="Century Schoolbook" w:hAnsi="Century Schoolbook"/>
          <w:sz w:val="26"/>
          <w:szCs w:val="26"/>
        </w:rPr>
        <w:t>plaintiff</w:t>
      </w:r>
      <w:r w:rsidRPr="003F08AD" w:rsidR="00E379C7">
        <w:rPr>
          <w:rFonts w:ascii="Century Schoolbook" w:hAnsi="Century Schoolbook"/>
          <w:sz w:val="26"/>
          <w:szCs w:val="26"/>
        </w:rPr>
        <w:t xml:space="preserve"> took advantage of </w:t>
      </w:r>
      <w:r w:rsidR="00337897">
        <w:rPr>
          <w:rFonts w:ascii="Century Schoolbook" w:hAnsi="Century Schoolbook"/>
          <w:sz w:val="26"/>
          <w:szCs w:val="26"/>
        </w:rPr>
        <w:t>Anneliese’s</w:t>
      </w:r>
      <w:r w:rsidRPr="003F08AD" w:rsidR="00E379C7">
        <w:rPr>
          <w:rFonts w:ascii="Century Schoolbook" w:hAnsi="Century Schoolbook"/>
          <w:sz w:val="26"/>
          <w:szCs w:val="26"/>
        </w:rPr>
        <w:t xml:space="preserve"> extreme intoxication to enter her home and attempt to rape her.  Rather than challenge this evidence, </w:t>
      </w:r>
      <w:r w:rsidR="00337897">
        <w:rPr>
          <w:rFonts w:ascii="Century Schoolbook" w:hAnsi="Century Schoolbook"/>
          <w:sz w:val="26"/>
          <w:szCs w:val="26"/>
        </w:rPr>
        <w:t>plaintiff</w:t>
      </w:r>
      <w:r w:rsidRPr="003F08AD" w:rsidR="00E379C7">
        <w:rPr>
          <w:rFonts w:ascii="Century Schoolbook" w:hAnsi="Century Schoolbook"/>
          <w:sz w:val="26"/>
          <w:szCs w:val="26"/>
        </w:rPr>
        <w:t xml:space="preserve"> attempts to </w:t>
      </w:r>
      <w:r w:rsidRPr="00490550" w:rsidR="00E550BD">
        <w:rPr>
          <w:rFonts w:ascii="Century Schoolbook" w:hAnsi="Century Schoolbook"/>
          <w:sz w:val="26"/>
          <w:szCs w:val="26"/>
        </w:rPr>
        <w:t>minimize</w:t>
      </w:r>
      <w:r w:rsidRPr="00490550" w:rsidR="00E379C7">
        <w:rPr>
          <w:rFonts w:ascii="Century Schoolbook" w:hAnsi="Century Schoolbook"/>
          <w:sz w:val="26"/>
          <w:szCs w:val="26"/>
        </w:rPr>
        <w:t xml:space="preserve"> its significance</w:t>
      </w:r>
      <w:r w:rsidRPr="00490550" w:rsidR="00E550BD">
        <w:rPr>
          <w:rFonts w:ascii="Century Schoolbook" w:hAnsi="Century Schoolbook"/>
          <w:sz w:val="26"/>
          <w:szCs w:val="26"/>
        </w:rPr>
        <w:t xml:space="preserve">. </w:t>
      </w:r>
      <w:r w:rsidRPr="00490550" w:rsidR="00E379C7">
        <w:rPr>
          <w:rFonts w:ascii="Century Schoolbook" w:hAnsi="Century Schoolbook"/>
          <w:sz w:val="26"/>
          <w:szCs w:val="26"/>
        </w:rPr>
        <w:t xml:space="preserve"> However, as</w:t>
      </w:r>
      <w:r w:rsidRPr="00490550" w:rsidR="00796E80">
        <w:rPr>
          <w:rFonts w:ascii="Century Schoolbook" w:hAnsi="Century Schoolbook"/>
          <w:sz w:val="26"/>
          <w:szCs w:val="26"/>
        </w:rPr>
        <w:t xml:space="preserve"> the University’s</w:t>
      </w:r>
      <w:r w:rsidRPr="00490550" w:rsidR="00E379C7">
        <w:rPr>
          <w:rFonts w:ascii="Century Schoolbook" w:hAnsi="Century Schoolbook"/>
          <w:sz w:val="26"/>
          <w:szCs w:val="26"/>
        </w:rPr>
        <w:t xml:space="preserve"> </w:t>
      </w:r>
      <w:r w:rsidR="00337897">
        <w:rPr>
          <w:rFonts w:ascii="Century Schoolbook" w:hAnsi="Century Schoolbook"/>
          <w:sz w:val="26"/>
          <w:szCs w:val="26"/>
        </w:rPr>
        <w:t>chancellor</w:t>
      </w:r>
      <w:r w:rsidRPr="00490550" w:rsidR="00694D5D">
        <w:rPr>
          <w:rFonts w:ascii="Century Schoolbook" w:hAnsi="Century Schoolbook"/>
          <w:sz w:val="26"/>
          <w:szCs w:val="26"/>
        </w:rPr>
        <w:t xml:space="preserve"> found, given the nature and severity of </w:t>
      </w:r>
      <w:r w:rsidR="005B38BE">
        <w:rPr>
          <w:rFonts w:ascii="Century Schoolbook" w:hAnsi="Century Schoolbook"/>
          <w:sz w:val="26"/>
          <w:szCs w:val="26"/>
        </w:rPr>
        <w:t>plaintiff’s</w:t>
      </w:r>
      <w:r w:rsidRPr="00490550" w:rsidR="00694D5D">
        <w:rPr>
          <w:rFonts w:ascii="Century Schoolbook" w:hAnsi="Century Schoolbook"/>
          <w:sz w:val="26"/>
          <w:szCs w:val="26"/>
        </w:rPr>
        <w:t xml:space="preserve"> conduct, the harm to the victims, and the harm to the University, his dismissal and denial of </w:t>
      </w:r>
      <w:r w:rsidR="005B38BE">
        <w:rPr>
          <w:rFonts w:ascii="Century Schoolbook" w:hAnsi="Century Schoolbook"/>
          <w:sz w:val="26"/>
          <w:szCs w:val="26"/>
        </w:rPr>
        <w:t>emeritus status were</w:t>
      </w:r>
      <w:r w:rsidRPr="00490550" w:rsidR="00694D5D">
        <w:rPr>
          <w:rFonts w:ascii="Century Schoolbook" w:hAnsi="Century Schoolbook"/>
          <w:sz w:val="26"/>
          <w:szCs w:val="26"/>
        </w:rPr>
        <w:t xml:space="preserve"> warranted </w:t>
      </w:r>
      <w:r w:rsidRPr="00490550" w:rsidR="00796E80">
        <w:rPr>
          <w:rFonts w:ascii="Century Schoolbook" w:hAnsi="Century Schoolbook"/>
          <w:sz w:val="26"/>
          <w:szCs w:val="26"/>
        </w:rPr>
        <w:t xml:space="preserve">on the basis of either </w:t>
      </w:r>
      <w:r w:rsidRPr="00490550" w:rsidR="00796E80">
        <w:rPr>
          <w:rFonts w:ascii="Century Schoolbook" w:hAnsi="Century Schoolbook"/>
          <w:i/>
          <w:iCs/>
          <w:sz w:val="26"/>
          <w:szCs w:val="26"/>
        </w:rPr>
        <w:t>or</w:t>
      </w:r>
      <w:r w:rsidRPr="00490550" w:rsidR="00796E80">
        <w:rPr>
          <w:rFonts w:ascii="Century Schoolbook" w:hAnsi="Century Schoolbook"/>
          <w:sz w:val="26"/>
          <w:szCs w:val="26"/>
        </w:rPr>
        <w:t xml:space="preserve"> both incidents. </w:t>
      </w:r>
      <w:r w:rsidRPr="00490550" w:rsidR="00E550BD">
        <w:rPr>
          <w:rFonts w:ascii="Century Schoolbook" w:hAnsi="Century Schoolbook"/>
          <w:sz w:val="26"/>
          <w:szCs w:val="26"/>
        </w:rPr>
        <w:t xml:space="preserve"> The </w:t>
      </w:r>
      <w:r w:rsidRPr="00490550" w:rsidR="00796E80">
        <w:rPr>
          <w:rFonts w:ascii="Century Schoolbook" w:hAnsi="Century Schoolbook"/>
          <w:sz w:val="26"/>
          <w:szCs w:val="26"/>
        </w:rPr>
        <w:t xml:space="preserve">University’s </w:t>
      </w:r>
      <w:r w:rsidRPr="00490550" w:rsidR="00E550BD">
        <w:rPr>
          <w:rFonts w:ascii="Century Schoolbook" w:hAnsi="Century Schoolbook"/>
          <w:sz w:val="26"/>
          <w:szCs w:val="26"/>
        </w:rPr>
        <w:t>decision</w:t>
      </w:r>
      <w:r w:rsidRPr="00490550" w:rsidR="00796E80">
        <w:rPr>
          <w:rFonts w:ascii="Century Schoolbook" w:hAnsi="Century Schoolbook"/>
          <w:sz w:val="26"/>
          <w:szCs w:val="26"/>
        </w:rPr>
        <w:t>s</w:t>
      </w:r>
      <w:r w:rsidRPr="00490550" w:rsidR="00E550BD">
        <w:rPr>
          <w:rFonts w:ascii="Century Schoolbook" w:hAnsi="Century Schoolbook"/>
          <w:sz w:val="26"/>
          <w:szCs w:val="26"/>
        </w:rPr>
        <w:t xml:space="preserve"> </w:t>
      </w:r>
      <w:r w:rsidRPr="00490550" w:rsidR="00796E80">
        <w:rPr>
          <w:rFonts w:ascii="Century Schoolbook" w:hAnsi="Century Schoolbook"/>
          <w:sz w:val="26"/>
          <w:szCs w:val="26"/>
        </w:rPr>
        <w:t>were</w:t>
      </w:r>
      <w:r w:rsidRPr="00490550" w:rsidR="00E550BD">
        <w:rPr>
          <w:rFonts w:ascii="Century Schoolbook" w:hAnsi="Century Schoolbook"/>
          <w:sz w:val="26"/>
          <w:szCs w:val="26"/>
        </w:rPr>
        <w:t xml:space="preserve"> well within its discretion.</w:t>
      </w:r>
    </w:p>
    <w:p w:rsidR="00D601DF" w:rsidRPr="003F08AD" w:rsidP="00490550" w14:paraId="6CBEAF02" w14:textId="70907054">
      <w:pPr>
        <w:keepNext/>
        <w:tabs>
          <w:tab w:val="clear" w:pos="720"/>
        </w:tabs>
        <w:spacing w:line="360" w:lineRule="auto"/>
        <w:jc w:val="center"/>
        <w:rPr>
          <w:b/>
          <w:bCs/>
        </w:rPr>
      </w:pPr>
      <w:r w:rsidRPr="003F08AD">
        <w:rPr>
          <w:b/>
          <w:bCs/>
        </w:rPr>
        <w:t>DISPOSITION</w:t>
      </w:r>
    </w:p>
    <w:p w:rsidR="00E366EF" w:rsidRPr="003F08AD" w:rsidP="003E333C" w14:paraId="517E0B18" w14:textId="01DAD854">
      <w:pPr>
        <w:tabs>
          <w:tab w:val="clear" w:pos="720"/>
        </w:tabs>
        <w:spacing w:line="360" w:lineRule="auto"/>
      </w:pPr>
      <w:r w:rsidRPr="003F08AD">
        <w:tab/>
        <w:t xml:space="preserve">The </w:t>
      </w:r>
      <w:r w:rsidR="005B38BE">
        <w:t>judgment is affirmed</w:t>
      </w:r>
      <w:r w:rsidRPr="003F08AD">
        <w:t>.</w:t>
      </w:r>
    </w:p>
    <w:p w:rsidR="00B05034" w:rsidP="00547370" w14:paraId="22332D25" w14:textId="3E45D60F">
      <w:pPr>
        <w:tabs>
          <w:tab w:val="clear" w:pos="720"/>
        </w:tabs>
        <w:spacing w:line="240" w:lineRule="auto"/>
      </w:pPr>
    </w:p>
    <w:p w:rsidR="00547370" w:rsidP="00547370" w14:paraId="4CC292A3" w14:textId="77777777">
      <w:pPr>
        <w:tabs>
          <w:tab w:val="clear" w:pos="720"/>
        </w:tabs>
        <w:spacing w:line="240" w:lineRule="auto"/>
      </w:pPr>
    </w:p>
    <w:p w:rsidR="00FA26B3" w:rsidP="00547370" w14:paraId="610D529B" w14:textId="00CD2AF6">
      <w:pPr>
        <w:tabs>
          <w:tab w:val="clear" w:pos="720"/>
        </w:tabs>
        <w:spacing w:line="240" w:lineRule="auto"/>
      </w:pPr>
      <w:r>
        <w:tab/>
      </w:r>
      <w:r>
        <w:tab/>
      </w:r>
      <w:r>
        <w:tab/>
      </w:r>
      <w:r>
        <w:tab/>
      </w:r>
      <w:r>
        <w:tab/>
      </w:r>
      <w:r>
        <w:tab/>
      </w:r>
      <w:r>
        <w:tab/>
        <w:t>Jackson,</w:t>
      </w:r>
      <w:r w:rsidR="00547370">
        <w:t> </w:t>
      </w:r>
      <w:r>
        <w:t>P.</w:t>
      </w:r>
      <w:r w:rsidR="00547370">
        <w:t> </w:t>
      </w:r>
      <w:r>
        <w:t>J.</w:t>
      </w:r>
    </w:p>
    <w:p w:rsidR="00FA26B3" w:rsidP="00547370" w14:paraId="76B790C2" w14:textId="77777777">
      <w:pPr>
        <w:tabs>
          <w:tab w:val="clear" w:pos="720"/>
        </w:tabs>
        <w:spacing w:line="240" w:lineRule="auto"/>
      </w:pPr>
    </w:p>
    <w:p w:rsidR="00FA26B3" w:rsidP="00547370" w14:paraId="74C1DDA0" w14:textId="4C603398">
      <w:pPr>
        <w:tabs>
          <w:tab w:val="clear" w:pos="720"/>
        </w:tabs>
        <w:spacing w:line="240" w:lineRule="auto"/>
      </w:pPr>
      <w:r>
        <w:t>WE CONCUR:</w:t>
      </w:r>
    </w:p>
    <w:p w:rsidR="00FA26B3" w:rsidP="00547370" w14:paraId="490A70A8" w14:textId="77777777">
      <w:pPr>
        <w:tabs>
          <w:tab w:val="clear" w:pos="720"/>
        </w:tabs>
        <w:spacing w:line="240" w:lineRule="auto"/>
      </w:pPr>
    </w:p>
    <w:p w:rsidR="00FA26B3" w:rsidP="00547370" w14:paraId="66C43EA7" w14:textId="457E6776">
      <w:pPr>
        <w:tabs>
          <w:tab w:val="clear" w:pos="720"/>
        </w:tabs>
        <w:spacing w:line="240" w:lineRule="auto"/>
      </w:pPr>
      <w:r>
        <w:t>Burns,</w:t>
      </w:r>
      <w:r w:rsidR="00547370">
        <w:t> </w:t>
      </w:r>
      <w:r>
        <w:t>J.</w:t>
      </w:r>
    </w:p>
    <w:p w:rsidR="00FA26B3" w:rsidP="00547370" w14:paraId="55999406" w14:textId="3ABEA126">
      <w:pPr>
        <w:tabs>
          <w:tab w:val="clear" w:pos="720"/>
        </w:tabs>
        <w:spacing w:line="240" w:lineRule="auto"/>
      </w:pPr>
      <w:r>
        <w:t>Chou,</w:t>
      </w:r>
      <w:r w:rsidR="00547370">
        <w:t> </w:t>
      </w:r>
      <w:r>
        <w:t>J.</w:t>
      </w:r>
    </w:p>
    <w:p w:rsidR="00FA26B3" w14:paraId="37E41A03" w14:textId="10E529B6">
      <w:pPr>
        <w:tabs>
          <w:tab w:val="clear" w:pos="720"/>
        </w:tabs>
        <w:spacing w:line="360" w:lineRule="auto"/>
      </w:pPr>
      <w:r>
        <w:br w:type="page"/>
      </w:r>
    </w:p>
    <w:p w:rsidR="003B1BB1" w:rsidRPr="000A6C75" w:rsidP="003B1BB1" w14:paraId="5763D6A9" w14:textId="12FAF628">
      <w:pPr>
        <w:tabs>
          <w:tab w:val="clear" w:pos="720"/>
        </w:tabs>
        <w:spacing w:line="240" w:lineRule="auto"/>
        <w:rPr>
          <w:u w:val="single"/>
        </w:rPr>
      </w:pPr>
      <w:r w:rsidRPr="000A6C75">
        <w:rPr>
          <w:u w:val="single"/>
        </w:rPr>
        <w:t>A16</w:t>
      </w:r>
      <w:r w:rsidRPr="000A6C75" w:rsidR="000A6C75">
        <w:rPr>
          <w:u w:val="single"/>
        </w:rPr>
        <w:t>4480</w:t>
      </w:r>
      <w:r w:rsidRPr="000A6C75">
        <w:rPr>
          <w:u w:val="single"/>
        </w:rPr>
        <w:t>/</w:t>
      </w:r>
      <w:r w:rsidRPr="000A6C75" w:rsidR="000A6C75">
        <w:rPr>
          <w:u w:val="single"/>
        </w:rPr>
        <w:t>Balakrishnan v. Regents of University of California</w:t>
      </w:r>
    </w:p>
    <w:p w:rsidR="003B1BB1" w:rsidP="003B1BB1" w14:paraId="2C2EE4B7" w14:textId="77777777">
      <w:pPr>
        <w:tabs>
          <w:tab w:val="clear" w:pos="720"/>
        </w:tabs>
        <w:spacing w:line="240" w:lineRule="auto"/>
      </w:pPr>
    </w:p>
    <w:tbl>
      <w:tblPr>
        <w:tblW w:w="9450" w:type="dxa"/>
        <w:tblLayout w:type="fixed"/>
        <w:tblLook w:val="06A0"/>
      </w:tblPr>
      <w:tblGrid>
        <w:gridCol w:w="2250"/>
        <w:gridCol w:w="7200"/>
      </w:tblGrid>
      <w:tr w14:paraId="6E637221" w14:textId="77777777" w:rsidTr="00DB2077">
        <w:tblPrEx>
          <w:tblW w:w="9450" w:type="dxa"/>
          <w:tblLayout w:type="fixed"/>
          <w:tblLook w:val="06A0"/>
        </w:tblPrEx>
        <w:tc>
          <w:tcPr>
            <w:tcW w:w="2250" w:type="dxa"/>
            <w:shd w:val="clear" w:color="auto" w:fill="auto"/>
          </w:tcPr>
          <w:p w:rsidR="003B1BB1" w:rsidRPr="006D25AC" w:rsidP="00DB2077" w14:paraId="1E0919B9" w14:textId="77777777">
            <w:pPr>
              <w:tabs>
                <w:tab w:val="clear" w:pos="720"/>
              </w:tabs>
              <w:spacing w:line="240" w:lineRule="auto"/>
              <w:ind w:left="-106"/>
              <w:rPr>
                <w:rFonts w:eastAsia="Century Schoolbook" w:cs="Century Schoolbook"/>
              </w:rPr>
            </w:pPr>
            <w:r w:rsidRPr="006D25AC">
              <w:rPr>
                <w:rFonts w:eastAsia="Century Schoolbook" w:cs="Century Schoolbook"/>
              </w:rPr>
              <w:t>Trial Court:</w:t>
            </w:r>
          </w:p>
        </w:tc>
        <w:tc>
          <w:tcPr>
            <w:tcW w:w="7200" w:type="dxa"/>
            <w:shd w:val="clear" w:color="auto" w:fill="auto"/>
          </w:tcPr>
          <w:p w:rsidR="003B1BB1" w:rsidRPr="006D25AC" w:rsidP="00DB2077" w14:paraId="5E2C8E7E" w14:textId="2C97E7D8">
            <w:pPr>
              <w:tabs>
                <w:tab w:val="clear" w:pos="720"/>
              </w:tabs>
              <w:spacing w:line="240" w:lineRule="auto"/>
              <w:rPr>
                <w:rFonts w:eastAsia="Century Schoolbook" w:cs="Century Schoolbook"/>
              </w:rPr>
            </w:pPr>
            <w:r w:rsidRPr="006D25AC">
              <w:rPr>
                <w:rFonts w:eastAsia="Century Schoolbook" w:cs="Century Schoolbook"/>
              </w:rPr>
              <w:t xml:space="preserve">Superior Court </w:t>
            </w:r>
            <w:r>
              <w:rPr>
                <w:rFonts w:eastAsia="Century Schoolbook" w:cs="Century Schoolbook"/>
              </w:rPr>
              <w:t xml:space="preserve">of the County of </w:t>
            </w:r>
            <w:r w:rsidR="000A6C75">
              <w:rPr>
                <w:rFonts w:eastAsia="Century Schoolbook" w:cs="Century Schoolbook"/>
              </w:rPr>
              <w:t>Alameda</w:t>
            </w:r>
          </w:p>
        </w:tc>
      </w:tr>
      <w:tr w14:paraId="4DA773BE" w14:textId="77777777" w:rsidTr="00DB2077">
        <w:tblPrEx>
          <w:tblW w:w="9450" w:type="dxa"/>
          <w:tblLayout w:type="fixed"/>
          <w:tblLook w:val="06A0"/>
        </w:tblPrEx>
        <w:tc>
          <w:tcPr>
            <w:tcW w:w="2250" w:type="dxa"/>
            <w:shd w:val="clear" w:color="auto" w:fill="auto"/>
          </w:tcPr>
          <w:p w:rsidR="003B1BB1" w:rsidRPr="006D25AC" w:rsidP="00DB2077" w14:paraId="781E4D94" w14:textId="77777777">
            <w:pPr>
              <w:tabs>
                <w:tab w:val="clear" w:pos="720"/>
              </w:tabs>
              <w:spacing w:line="240" w:lineRule="auto"/>
              <w:ind w:left="-106"/>
              <w:rPr>
                <w:rFonts w:eastAsia="Century Schoolbook" w:cs="Century Schoolbook"/>
              </w:rPr>
            </w:pPr>
          </w:p>
        </w:tc>
        <w:tc>
          <w:tcPr>
            <w:tcW w:w="7200" w:type="dxa"/>
            <w:shd w:val="clear" w:color="auto" w:fill="auto"/>
          </w:tcPr>
          <w:p w:rsidR="003B1BB1" w:rsidRPr="006D25AC" w:rsidP="00DB2077" w14:paraId="3D930EB1" w14:textId="77777777">
            <w:pPr>
              <w:tabs>
                <w:tab w:val="clear" w:pos="720"/>
              </w:tabs>
              <w:spacing w:line="240" w:lineRule="auto"/>
              <w:rPr>
                <w:rFonts w:eastAsia="Century Schoolbook" w:cs="Century Schoolbook"/>
              </w:rPr>
            </w:pPr>
          </w:p>
        </w:tc>
      </w:tr>
      <w:tr w14:paraId="54E0A3D0" w14:textId="77777777" w:rsidTr="00DB2077">
        <w:tblPrEx>
          <w:tblW w:w="9450" w:type="dxa"/>
          <w:tblLayout w:type="fixed"/>
          <w:tblLook w:val="06A0"/>
        </w:tblPrEx>
        <w:tc>
          <w:tcPr>
            <w:tcW w:w="2250" w:type="dxa"/>
            <w:shd w:val="clear" w:color="auto" w:fill="auto"/>
          </w:tcPr>
          <w:p w:rsidR="003B1BB1" w:rsidRPr="006D25AC" w:rsidP="00DB2077" w14:paraId="2C1018E4" w14:textId="77777777">
            <w:pPr>
              <w:tabs>
                <w:tab w:val="clear" w:pos="720"/>
              </w:tabs>
              <w:spacing w:line="240" w:lineRule="auto"/>
              <w:ind w:left="-106"/>
              <w:rPr>
                <w:rFonts w:eastAsia="Century Schoolbook" w:cs="Century Schoolbook"/>
              </w:rPr>
            </w:pPr>
            <w:r w:rsidRPr="006D25AC">
              <w:rPr>
                <w:rFonts w:eastAsia="Century Schoolbook" w:cs="Century Schoolbook"/>
              </w:rPr>
              <w:t>Trial Judge:</w:t>
            </w:r>
          </w:p>
        </w:tc>
        <w:tc>
          <w:tcPr>
            <w:tcW w:w="7200" w:type="dxa"/>
            <w:shd w:val="clear" w:color="auto" w:fill="auto"/>
          </w:tcPr>
          <w:p w:rsidR="003B1BB1" w:rsidRPr="006D25AC" w:rsidP="00DB2077" w14:paraId="0097A6A4" w14:textId="77632608">
            <w:pPr>
              <w:tabs>
                <w:tab w:val="clear" w:pos="720"/>
              </w:tabs>
              <w:spacing w:line="240" w:lineRule="auto"/>
              <w:rPr>
                <w:rFonts w:eastAsia="Century Schoolbook" w:cs="Century Schoolbook"/>
              </w:rPr>
            </w:pPr>
            <w:r>
              <w:rPr>
                <w:rFonts w:eastAsia="Century Schoolbook" w:cs="Century Schoolbook"/>
              </w:rPr>
              <w:t>Paul Herbert</w:t>
            </w:r>
          </w:p>
        </w:tc>
      </w:tr>
      <w:tr w14:paraId="00FE9909" w14:textId="77777777" w:rsidTr="00DB2077">
        <w:tblPrEx>
          <w:tblW w:w="9450" w:type="dxa"/>
          <w:tblLayout w:type="fixed"/>
          <w:tblLook w:val="06A0"/>
        </w:tblPrEx>
        <w:tc>
          <w:tcPr>
            <w:tcW w:w="2250" w:type="dxa"/>
            <w:shd w:val="clear" w:color="auto" w:fill="auto"/>
          </w:tcPr>
          <w:p w:rsidR="003B1BB1" w:rsidRPr="006D25AC" w:rsidP="00DB2077" w14:paraId="48F95248" w14:textId="77777777">
            <w:pPr>
              <w:tabs>
                <w:tab w:val="clear" w:pos="720"/>
              </w:tabs>
              <w:spacing w:line="240" w:lineRule="auto"/>
              <w:ind w:left="-106"/>
              <w:rPr>
                <w:rFonts w:eastAsia="Century Schoolbook" w:cs="Century Schoolbook"/>
              </w:rPr>
            </w:pPr>
          </w:p>
        </w:tc>
        <w:tc>
          <w:tcPr>
            <w:tcW w:w="7200" w:type="dxa"/>
            <w:shd w:val="clear" w:color="auto" w:fill="auto"/>
          </w:tcPr>
          <w:p w:rsidR="003B1BB1" w:rsidRPr="006D25AC" w:rsidP="00DB2077" w14:paraId="1FD672CB" w14:textId="77777777">
            <w:pPr>
              <w:tabs>
                <w:tab w:val="clear" w:pos="720"/>
              </w:tabs>
              <w:spacing w:line="240" w:lineRule="auto"/>
              <w:rPr>
                <w:rFonts w:eastAsia="Century Schoolbook" w:cs="Century Schoolbook"/>
              </w:rPr>
            </w:pPr>
          </w:p>
        </w:tc>
      </w:tr>
      <w:tr w14:paraId="6D41944D" w14:textId="77777777" w:rsidTr="00DB2077">
        <w:tblPrEx>
          <w:tblW w:w="9450" w:type="dxa"/>
          <w:tblLayout w:type="fixed"/>
          <w:tblLook w:val="06A0"/>
        </w:tblPrEx>
        <w:tc>
          <w:tcPr>
            <w:tcW w:w="2250" w:type="dxa"/>
            <w:shd w:val="clear" w:color="auto" w:fill="auto"/>
          </w:tcPr>
          <w:p w:rsidR="003B1BB1" w:rsidRPr="006D25AC" w:rsidP="00DB2077" w14:paraId="4241A617" w14:textId="77777777">
            <w:pPr>
              <w:tabs>
                <w:tab w:val="clear" w:pos="720"/>
              </w:tabs>
              <w:spacing w:line="240" w:lineRule="auto"/>
              <w:ind w:left="-106"/>
              <w:rPr>
                <w:rFonts w:eastAsia="Century Schoolbook" w:cs="Century Schoolbook"/>
              </w:rPr>
            </w:pPr>
            <w:r w:rsidRPr="006D25AC">
              <w:rPr>
                <w:rFonts w:eastAsia="Century Schoolbook" w:cs="Century Schoolbook"/>
              </w:rPr>
              <w:t>Counsel:</w:t>
            </w:r>
          </w:p>
        </w:tc>
        <w:tc>
          <w:tcPr>
            <w:tcW w:w="7200" w:type="dxa"/>
            <w:shd w:val="clear" w:color="auto" w:fill="auto"/>
          </w:tcPr>
          <w:p w:rsidR="003B1BB1" w:rsidP="00DB2077" w14:paraId="6B8DA68E" w14:textId="0ABD4605">
            <w:pPr>
              <w:tabs>
                <w:tab w:val="clear" w:pos="720"/>
              </w:tabs>
              <w:spacing w:line="240" w:lineRule="auto"/>
              <w:ind w:left="615" w:hanging="615"/>
              <w:rPr>
                <w:rFonts w:eastAsia="Century Schoolbook" w:cs="Century Schoolbook"/>
              </w:rPr>
            </w:pPr>
            <w:r>
              <w:rPr>
                <w:rFonts w:eastAsia="Century Schoolbook" w:cs="Century Schoolbook"/>
              </w:rPr>
              <w:t xml:space="preserve">Hathaway Parker, </w:t>
            </w:r>
            <w:r w:rsidR="0056356B">
              <w:rPr>
                <w:rFonts w:eastAsia="Century Schoolbook" w:cs="Century Schoolbook"/>
              </w:rPr>
              <w:t>Mark M. Hathaway and Jenna E. Parker, for Plaintiff and Appellant</w:t>
            </w:r>
            <w:r>
              <w:rPr>
                <w:rFonts w:eastAsia="Century Schoolbook" w:cs="Century Schoolbook"/>
              </w:rPr>
              <w:t>.</w:t>
            </w:r>
          </w:p>
          <w:p w:rsidR="003B1BB1" w:rsidRPr="006D25AC" w:rsidP="00DB2077" w14:paraId="343B97F6" w14:textId="77777777">
            <w:pPr>
              <w:tabs>
                <w:tab w:val="clear" w:pos="720"/>
              </w:tabs>
              <w:spacing w:line="240" w:lineRule="auto"/>
              <w:rPr>
                <w:rFonts w:eastAsia="Century Schoolbook" w:cs="Century Schoolbook"/>
              </w:rPr>
            </w:pPr>
          </w:p>
        </w:tc>
      </w:tr>
      <w:tr w14:paraId="23F46115" w14:textId="77777777" w:rsidTr="00DB2077">
        <w:tblPrEx>
          <w:tblW w:w="9450" w:type="dxa"/>
          <w:tblLayout w:type="fixed"/>
          <w:tblLook w:val="06A0"/>
        </w:tblPrEx>
        <w:tc>
          <w:tcPr>
            <w:tcW w:w="2250" w:type="dxa"/>
            <w:shd w:val="clear" w:color="auto" w:fill="auto"/>
          </w:tcPr>
          <w:p w:rsidR="003B1BB1" w:rsidRPr="006D25AC" w:rsidP="00DB2077" w14:paraId="07E3494F" w14:textId="77777777">
            <w:pPr>
              <w:tabs>
                <w:tab w:val="clear" w:pos="720"/>
              </w:tabs>
              <w:spacing w:line="240" w:lineRule="auto"/>
              <w:ind w:left="-106"/>
              <w:rPr>
                <w:rFonts w:eastAsia="Century Schoolbook" w:cs="Century Schoolbook"/>
              </w:rPr>
            </w:pPr>
          </w:p>
        </w:tc>
        <w:tc>
          <w:tcPr>
            <w:tcW w:w="7200" w:type="dxa"/>
            <w:shd w:val="clear" w:color="auto" w:fill="auto"/>
          </w:tcPr>
          <w:p w:rsidR="003B1BB1" w:rsidP="00DB2077" w14:paraId="35800E94" w14:textId="39E335E5">
            <w:pPr>
              <w:tabs>
                <w:tab w:val="clear" w:pos="720"/>
              </w:tabs>
              <w:spacing w:line="240" w:lineRule="auto"/>
              <w:ind w:left="615" w:hanging="615"/>
              <w:rPr>
                <w:rFonts w:eastAsia="Century Schoolbook" w:cs="Century Schoolbook"/>
              </w:rPr>
            </w:pPr>
            <w:r>
              <w:rPr>
                <w:rFonts w:eastAsia="Century Schoolbook" w:cs="Century Schoolbook"/>
              </w:rPr>
              <w:t>University of California Office of the General Counsel</w:t>
            </w:r>
            <w:r w:rsidR="00053D03">
              <w:rPr>
                <w:rFonts w:eastAsia="Century Schoolbook" w:cs="Century Schoolbook"/>
              </w:rPr>
              <w:t xml:space="preserve"> and</w:t>
            </w:r>
            <w:r>
              <w:rPr>
                <w:rFonts w:eastAsia="Century Schoolbook" w:cs="Century Schoolbook"/>
              </w:rPr>
              <w:t xml:space="preserve"> Katharine Essick; </w:t>
            </w:r>
            <w:r w:rsidR="00CD5278">
              <w:rPr>
                <w:rFonts w:eastAsia="Century Schoolbook" w:cs="Century Schoolbook"/>
              </w:rPr>
              <w:t xml:space="preserve">Munger, Tolles &amp; Olson, Hailyn J. Chen and </w:t>
            </w:r>
            <w:r w:rsidR="00CA4F0D">
              <w:rPr>
                <w:rFonts w:eastAsia="Century Schoolbook" w:cs="Century Schoolbook"/>
              </w:rPr>
              <w:t>Rebecca L. Sciarrino</w:t>
            </w:r>
            <w:r>
              <w:rPr>
                <w:rFonts w:eastAsia="Century Schoolbook" w:cs="Century Schoolbook"/>
              </w:rPr>
              <w:t xml:space="preserve">, for </w:t>
            </w:r>
            <w:r w:rsidR="00BC1535">
              <w:rPr>
                <w:rFonts w:eastAsia="Century Schoolbook" w:cs="Century Schoolbook"/>
              </w:rPr>
              <w:t>Defendant</w:t>
            </w:r>
            <w:r>
              <w:rPr>
                <w:rFonts w:eastAsia="Century Schoolbook" w:cs="Century Schoolbook"/>
              </w:rPr>
              <w:t xml:space="preserve"> and Respondent.</w:t>
            </w:r>
          </w:p>
          <w:p w:rsidR="003B1BB1" w:rsidRPr="006D25AC" w:rsidP="00DB2077" w14:paraId="0CBC040F" w14:textId="77777777">
            <w:pPr>
              <w:tabs>
                <w:tab w:val="clear" w:pos="720"/>
              </w:tabs>
              <w:spacing w:line="240" w:lineRule="auto"/>
              <w:ind w:left="720" w:hanging="720"/>
              <w:rPr>
                <w:rFonts w:eastAsia="Century Schoolbook" w:cs="Century Schoolbook"/>
              </w:rPr>
            </w:pPr>
          </w:p>
        </w:tc>
      </w:tr>
    </w:tbl>
    <w:p w:rsidR="003B1BB1" w:rsidRPr="00F174B7" w:rsidP="003B1BB1" w14:paraId="713D2DDB" w14:textId="77777777">
      <w:pPr>
        <w:tabs>
          <w:tab w:val="clear" w:pos="720"/>
        </w:tabs>
        <w:spacing w:line="240" w:lineRule="auto"/>
      </w:pPr>
    </w:p>
    <w:sectPr w:rsidSect="00405979">
      <w:headerReference w:type="default" r:id="rId6"/>
      <w:footerReference w:type="even" r:id="rId7"/>
      <w:footerReference w:type="default" r:id="rId8"/>
      <w:head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6A6" w:rsidP="004E784D" w14:paraId="4FE9E750" w14:textId="6D4F68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236A6" w:rsidP="004E784D" w14:paraId="62DA6CE8" w14:textId="0F5135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236A6" w14:paraId="1DC0886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36A6" w:rsidRPr="00F8273C" w:rsidP="00F8273C" w14:paraId="7090E37C" w14:textId="591B669F">
    <w:pPr>
      <w:pStyle w:val="Footer"/>
      <w:framePr w:wrap="around" w:vAnchor="text" w:hAnchor="margin" w:xAlign="center" w:y="1"/>
      <w:tabs>
        <w:tab w:val="clear" w:pos="720"/>
        <w:tab w:val="clear" w:pos="4680"/>
        <w:tab w:val="clear" w:pos="9360"/>
      </w:tabs>
      <w:rPr>
        <w:rStyle w:val="PageNumber"/>
      </w:rPr>
    </w:pPr>
    <w:r w:rsidRPr="00F8273C">
      <w:rPr>
        <w:rStyle w:val="PageNumber"/>
      </w:rPr>
      <w:fldChar w:fldCharType="begin"/>
    </w:r>
    <w:r w:rsidRPr="00F8273C">
      <w:rPr>
        <w:rStyle w:val="PageNumber"/>
      </w:rPr>
      <w:instrText xml:space="preserve"> PAGE </w:instrText>
    </w:r>
    <w:r w:rsidRPr="00F8273C">
      <w:rPr>
        <w:rStyle w:val="PageNumber"/>
      </w:rPr>
      <w:fldChar w:fldCharType="separate"/>
    </w:r>
    <w:r w:rsidRPr="00F8273C">
      <w:rPr>
        <w:rStyle w:val="PageNumber"/>
      </w:rPr>
      <w:t>27</w:t>
    </w:r>
    <w:r w:rsidRPr="00F8273C">
      <w:rPr>
        <w:rStyle w:val="PageNumber"/>
      </w:rPr>
      <w:fldChar w:fldCharType="end"/>
    </w:r>
  </w:p>
  <w:p w:rsidR="007236A6" w:rsidRPr="00F8273C" w:rsidP="00F8273C" w14:paraId="19488D67" w14:textId="77777777">
    <w:pPr>
      <w:pStyle w:val="Footer"/>
      <w:tabs>
        <w:tab w:val="clear" w:pos="720"/>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159D0" w:rsidP="007236A6" w14:paraId="565CCBE3" w14:textId="77777777">
      <w:pPr>
        <w:spacing w:line="240" w:lineRule="auto"/>
      </w:pPr>
      <w:r>
        <w:separator/>
      </w:r>
    </w:p>
  </w:footnote>
  <w:footnote w:type="continuationSeparator" w:id="1">
    <w:p w:rsidR="001159D0" w:rsidP="007236A6" w14:paraId="360148AE" w14:textId="77777777">
      <w:pPr>
        <w:spacing w:line="240" w:lineRule="auto"/>
      </w:pPr>
      <w:r>
        <w:continuationSeparator/>
      </w:r>
    </w:p>
  </w:footnote>
  <w:footnote w:id="2">
    <w:p w:rsidR="007236A6" w:rsidRPr="003F08AD" w:rsidP="00490550" w14:paraId="180C86B3" w14:textId="329ABC40">
      <w:pPr>
        <w:pStyle w:val="FootnoteText"/>
        <w:spacing w:after="120"/>
        <w:ind w:firstLine="720"/>
        <w:rPr>
          <w:szCs w:val="26"/>
        </w:rPr>
      </w:pPr>
      <w:r w:rsidRPr="003F08AD">
        <w:rPr>
          <w:rStyle w:val="FootnoteReference"/>
          <w:szCs w:val="26"/>
        </w:rPr>
        <w:footnoteRef/>
      </w:r>
      <w:r w:rsidRPr="003F08AD">
        <w:rPr>
          <w:szCs w:val="26"/>
        </w:rPr>
        <w:t xml:space="preserve"> Unless otherwise stated, all statutory citations herein are to the Code of Civil Procedure.</w:t>
      </w:r>
    </w:p>
  </w:footnote>
  <w:footnote w:id="3">
    <w:p w:rsidR="00661561" w:rsidRPr="003F08AD" w:rsidP="00490550" w14:paraId="3196B2DB" w14:textId="154B0E49">
      <w:pPr>
        <w:pStyle w:val="FootnoteText"/>
        <w:spacing w:after="120"/>
        <w:ind w:firstLine="720"/>
        <w:rPr>
          <w:szCs w:val="26"/>
        </w:rPr>
      </w:pPr>
      <w:r w:rsidRPr="003F08AD">
        <w:rPr>
          <w:rStyle w:val="FootnoteReference"/>
          <w:szCs w:val="26"/>
        </w:rPr>
        <w:footnoteRef/>
      </w:r>
      <w:r w:rsidRPr="003F08AD">
        <w:rPr>
          <w:szCs w:val="26"/>
        </w:rPr>
        <w:t xml:space="preserve"> </w:t>
      </w:r>
      <w:r w:rsidRPr="00490550" w:rsidR="00B94ECC">
        <w:rPr>
          <w:szCs w:val="26"/>
          <w:shd w:val="clear" w:color="auto" w:fill="FFFFFF"/>
        </w:rPr>
        <w:t>R</w:t>
      </w:r>
      <w:r w:rsidRPr="00490550">
        <w:rPr>
          <w:szCs w:val="26"/>
          <w:shd w:val="clear" w:color="auto" w:fill="FFFFFF"/>
        </w:rPr>
        <w:t>eports of sexual violence and sexual harassment</w:t>
      </w:r>
      <w:r w:rsidRPr="00490550" w:rsidR="00B94ECC">
        <w:rPr>
          <w:szCs w:val="26"/>
          <w:shd w:val="clear" w:color="auto" w:fill="FFFFFF"/>
        </w:rPr>
        <w:t xml:space="preserve"> at the University are handled by the </w:t>
      </w:r>
      <w:r w:rsidR="00E557E3">
        <w:rPr>
          <w:szCs w:val="26"/>
          <w:shd w:val="clear" w:color="auto" w:fill="FFFFFF"/>
        </w:rPr>
        <w:t xml:space="preserve">Title IX office. </w:t>
      </w:r>
      <w:r w:rsidR="009E3B46">
        <w:rPr>
          <w:szCs w:val="26"/>
          <w:shd w:val="clear" w:color="auto" w:fill="FFFFFF"/>
        </w:rPr>
        <w:t xml:space="preserve"> When an investigation</w:t>
      </w:r>
      <w:r w:rsidRPr="00490550">
        <w:rPr>
          <w:szCs w:val="26"/>
          <w:shd w:val="clear" w:color="auto" w:fill="FFFFFF"/>
        </w:rPr>
        <w:t xml:space="preserve"> is warranted, the </w:t>
      </w:r>
      <w:r w:rsidR="009E3B46">
        <w:rPr>
          <w:szCs w:val="26"/>
          <w:shd w:val="clear" w:color="auto" w:fill="FFFFFF"/>
        </w:rPr>
        <w:t>Title IX office</w:t>
      </w:r>
      <w:r w:rsidRPr="00490550">
        <w:rPr>
          <w:szCs w:val="26"/>
          <w:shd w:val="clear" w:color="auto" w:fill="FFFFFF"/>
        </w:rPr>
        <w:t xml:space="preserve"> appoints an investigator to conduct the investigation by interviewing witnesses and gathering evidence and then preparing a written report with findings of fact and a recommendation as to whether any University policy was violated.</w:t>
      </w:r>
    </w:p>
  </w:footnote>
  <w:footnote w:id="4">
    <w:p w:rsidR="009916B3" w:rsidRPr="003F08AD" w:rsidP="00490550" w14:paraId="5D2B2A4E" w14:textId="7B6FD677">
      <w:pPr>
        <w:pStyle w:val="FootnoteText"/>
        <w:spacing w:after="120"/>
        <w:ind w:firstLine="720"/>
        <w:rPr>
          <w:szCs w:val="26"/>
        </w:rPr>
      </w:pPr>
      <w:r w:rsidRPr="003F08AD">
        <w:rPr>
          <w:rStyle w:val="FootnoteReference"/>
          <w:szCs w:val="26"/>
        </w:rPr>
        <w:footnoteRef/>
      </w:r>
      <w:r w:rsidRPr="003F08AD">
        <w:rPr>
          <w:szCs w:val="26"/>
        </w:rPr>
        <w:t xml:space="preserve"> </w:t>
      </w:r>
      <w:r w:rsidR="00CE4F47">
        <w:rPr>
          <w:szCs w:val="26"/>
        </w:rPr>
        <w:t>On February 1</w:t>
      </w:r>
      <w:r w:rsidRPr="003F08AD">
        <w:rPr>
          <w:szCs w:val="26"/>
        </w:rPr>
        <w:t xml:space="preserve">, 2018, </w:t>
      </w:r>
      <w:r w:rsidR="00CE4F47">
        <w:rPr>
          <w:szCs w:val="26"/>
        </w:rPr>
        <w:t>EVC Tromp</w:t>
      </w:r>
      <w:r w:rsidRPr="003F08AD">
        <w:rPr>
          <w:szCs w:val="26"/>
        </w:rPr>
        <w:t xml:space="preserve"> placed </w:t>
      </w:r>
      <w:r w:rsidR="00CE4F47">
        <w:rPr>
          <w:szCs w:val="26"/>
        </w:rPr>
        <w:t>plaintiff</w:t>
      </w:r>
      <w:r w:rsidRPr="003F08AD">
        <w:rPr>
          <w:szCs w:val="26"/>
        </w:rPr>
        <w:t xml:space="preserve"> on involuntary leave due to the egregiousness of the allegations against him and for his own protection.</w:t>
      </w:r>
    </w:p>
  </w:footnote>
  <w:footnote w:id="5">
    <w:p w:rsidR="0029287B" w:rsidP="00490550" w14:paraId="1780673B" w14:textId="0B5DFEB2">
      <w:pPr>
        <w:pStyle w:val="FootnoteText"/>
        <w:spacing w:after="120"/>
        <w:ind w:firstLine="720"/>
      </w:pPr>
      <w:r>
        <w:rPr>
          <w:rStyle w:val="FootnoteReference"/>
        </w:rPr>
        <w:footnoteRef/>
      </w:r>
      <w:r>
        <w:t xml:space="preserve"> See footnote 5, </w:t>
      </w:r>
      <w:r>
        <w:rPr>
          <w:i/>
          <w:iCs/>
        </w:rPr>
        <w:t>post</w:t>
      </w:r>
      <w:r>
        <w:t xml:space="preserve">, </w:t>
      </w:r>
      <w:r w:rsidR="00F8050A">
        <w:t>page 9</w:t>
      </w:r>
      <w:r w:rsidR="00D4313E">
        <w:t>.</w:t>
      </w:r>
    </w:p>
  </w:footnote>
  <w:footnote w:id="6">
    <w:p w:rsidR="00C92F95" w:rsidRPr="003F08AD" w:rsidP="00490550" w14:paraId="21E6D8C1" w14:textId="0C9FDEA8">
      <w:pPr>
        <w:pStyle w:val="FootnoteText"/>
        <w:spacing w:after="120"/>
        <w:ind w:firstLine="720"/>
        <w:rPr>
          <w:szCs w:val="26"/>
        </w:rPr>
      </w:pPr>
      <w:r w:rsidRPr="003F08AD">
        <w:rPr>
          <w:rStyle w:val="FootnoteReference"/>
          <w:szCs w:val="26"/>
        </w:rPr>
        <w:footnoteRef/>
      </w:r>
      <w:r w:rsidRPr="003F08AD">
        <w:rPr>
          <w:szCs w:val="26"/>
        </w:rPr>
        <w:t xml:space="preserve"> “APM” refers to the </w:t>
      </w:r>
      <w:r w:rsidR="001A287C">
        <w:rPr>
          <w:szCs w:val="26"/>
        </w:rPr>
        <w:t xml:space="preserve">University’s </w:t>
      </w:r>
      <w:r w:rsidRPr="003F08AD">
        <w:rPr>
          <w:szCs w:val="26"/>
        </w:rPr>
        <w:t xml:space="preserve">Academic Personnel Manual. </w:t>
      </w:r>
      <w:r w:rsidR="001A287C">
        <w:rPr>
          <w:szCs w:val="26"/>
          <w:shd w:val="clear" w:color="auto" w:fill="FFFFFF"/>
        </w:rPr>
        <w:t xml:space="preserve">  The</w:t>
      </w:r>
      <w:r w:rsidRPr="00490550">
        <w:rPr>
          <w:szCs w:val="26"/>
          <w:shd w:val="clear" w:color="auto" w:fill="FFFFFF"/>
        </w:rPr>
        <w:t xml:space="preserve"> Faculty Code of Conduct is found at </w:t>
      </w:r>
      <w:r w:rsidR="00D31542">
        <w:rPr>
          <w:szCs w:val="26"/>
          <w:shd w:val="clear" w:color="auto" w:fill="FFFFFF"/>
        </w:rPr>
        <w:t>APM</w:t>
      </w:r>
      <w:r w:rsidR="00D31542">
        <w:rPr>
          <w:szCs w:val="26"/>
          <w:shd w:val="clear" w:color="auto" w:fill="FFFFFF"/>
        </w:rPr>
        <w:noBreakHyphen/>
        <w:t>015</w:t>
      </w:r>
      <w:r w:rsidRPr="00490550">
        <w:rPr>
          <w:szCs w:val="26"/>
          <w:shd w:val="clear" w:color="auto" w:fill="FFFFFF"/>
        </w:rPr>
        <w:t xml:space="preserve">. </w:t>
      </w:r>
    </w:p>
  </w:footnote>
  <w:footnote w:id="7">
    <w:p w:rsidR="0032493A" w:rsidRPr="003F08AD" w:rsidP="00490550" w14:paraId="1E4E8413" w14:textId="6C0F4E7A">
      <w:pPr>
        <w:pStyle w:val="FootnoteText"/>
        <w:spacing w:after="120"/>
        <w:ind w:firstLine="720"/>
        <w:rPr>
          <w:szCs w:val="26"/>
        </w:rPr>
      </w:pPr>
      <w:r w:rsidRPr="003F08AD">
        <w:rPr>
          <w:rStyle w:val="FootnoteReference"/>
          <w:szCs w:val="26"/>
        </w:rPr>
        <w:footnoteRef/>
      </w:r>
      <w:r w:rsidRPr="003F08AD">
        <w:rPr>
          <w:szCs w:val="26"/>
        </w:rPr>
        <w:t xml:space="preserve"> </w:t>
      </w:r>
      <w:r w:rsidR="00D31542">
        <w:rPr>
          <w:szCs w:val="26"/>
        </w:rPr>
        <w:t>Plaintiff</w:t>
      </w:r>
      <w:r w:rsidRPr="003F08AD">
        <w:rPr>
          <w:szCs w:val="26"/>
        </w:rPr>
        <w:t xml:space="preserve"> and his counsel declined to participate in the hearing before the </w:t>
      </w:r>
      <w:r w:rsidR="00D31542">
        <w:rPr>
          <w:szCs w:val="26"/>
        </w:rPr>
        <w:t>PT Committee</w:t>
      </w:r>
      <w:r w:rsidRPr="003F08AD">
        <w:rPr>
          <w:szCs w:val="26"/>
        </w:rPr>
        <w:t>.</w:t>
      </w:r>
    </w:p>
  </w:footnote>
  <w:footnote w:id="8">
    <w:p w:rsidR="00E45FF9" w:rsidRPr="003F08AD" w:rsidP="00490550" w14:paraId="2D2D50AE" w14:textId="4B287F60">
      <w:pPr>
        <w:pStyle w:val="FootnoteText"/>
        <w:spacing w:after="120"/>
        <w:ind w:firstLine="720"/>
        <w:rPr>
          <w:szCs w:val="26"/>
        </w:rPr>
      </w:pPr>
      <w:r w:rsidRPr="003F08AD">
        <w:rPr>
          <w:rStyle w:val="FootnoteReference"/>
          <w:szCs w:val="26"/>
        </w:rPr>
        <w:footnoteRef/>
      </w:r>
      <w:r w:rsidRPr="003F08AD">
        <w:rPr>
          <w:szCs w:val="26"/>
        </w:rPr>
        <w:t xml:space="preserve"> </w:t>
      </w:r>
      <w:r w:rsidR="002A727B">
        <w:rPr>
          <w:szCs w:val="26"/>
        </w:rPr>
        <w:t>The sexual harassment policy</w:t>
      </w:r>
      <w:r w:rsidR="00FF7697">
        <w:rPr>
          <w:szCs w:val="26"/>
        </w:rPr>
        <w:t xml:space="preserve"> defines “[s]exual harassment”</w:t>
      </w:r>
      <w:r w:rsidRPr="003F08AD">
        <w:rPr>
          <w:szCs w:val="26"/>
        </w:rPr>
        <w:t xml:space="preserve"> as “unwelcome sexual advances, requests for sexual favors, and other verbal or physical conduct of a sexual nature, when submission to or rejection of this conduct explicitly or implicitly affects a person’s </w:t>
      </w:r>
      <w:r w:rsidR="006A72AA">
        <w:rPr>
          <w:szCs w:val="26"/>
        </w:rPr>
        <w:t>. . .</w:t>
      </w:r>
      <w:r w:rsidRPr="003F08AD">
        <w:rPr>
          <w:szCs w:val="26"/>
        </w:rPr>
        <w:t xml:space="preserve"> education, unreasonably interferes with a person’s work or educational performance, or creates an intimidating</w:t>
      </w:r>
      <w:r w:rsidR="006A72AA">
        <w:rPr>
          <w:szCs w:val="26"/>
        </w:rPr>
        <w:t>, hostile</w:t>
      </w:r>
      <w:r w:rsidRPr="003F08AD">
        <w:rPr>
          <w:szCs w:val="26"/>
        </w:rPr>
        <w:t xml:space="preserve"> or offensive working or learning </w:t>
      </w:r>
      <w:r w:rsidR="003021E1">
        <w:rPr>
          <w:szCs w:val="26"/>
        </w:rPr>
        <w:t>environment. . . . [¶] . . . [¶]</w:t>
      </w:r>
      <w:r w:rsidR="001D13DB">
        <w:rPr>
          <w:szCs w:val="26"/>
        </w:rPr>
        <w:t xml:space="preserve"> In determining</w:t>
      </w:r>
      <w:r w:rsidRPr="003F08AD">
        <w:rPr>
          <w:szCs w:val="26"/>
        </w:rPr>
        <w:t xml:space="preserve"> whether the reported conduct constitutes sexual harassment, consideration shall be given to the record of the conduct as a whole and to the totality of the circumstances, including the context in which the conduct occurred.”</w:t>
      </w:r>
    </w:p>
  </w:footnote>
  <w:footnote w:id="9">
    <w:p w:rsidR="007234ED" w:rsidRPr="003F08AD" w:rsidP="00490550" w14:paraId="2BEDFC08" w14:textId="46B9AAFF">
      <w:pPr>
        <w:pStyle w:val="FootnoteText"/>
        <w:spacing w:after="120"/>
        <w:ind w:firstLine="720"/>
        <w:rPr>
          <w:szCs w:val="26"/>
        </w:rPr>
      </w:pPr>
      <w:r w:rsidRPr="003F08AD">
        <w:rPr>
          <w:rStyle w:val="FootnoteReference"/>
          <w:szCs w:val="26"/>
        </w:rPr>
        <w:footnoteRef/>
      </w:r>
      <w:r w:rsidRPr="003F08AD">
        <w:rPr>
          <w:szCs w:val="26"/>
        </w:rPr>
        <w:t xml:space="preserve"> Department </w:t>
      </w:r>
      <w:r w:rsidR="005D5B00">
        <w:rPr>
          <w:szCs w:val="26"/>
        </w:rPr>
        <w:t>chair</w:t>
      </w:r>
      <w:r w:rsidRPr="003F08AD">
        <w:rPr>
          <w:szCs w:val="26"/>
        </w:rPr>
        <w:t xml:space="preserve"> David Marriott testified that he knew of the alleged incident as of November </w:t>
      </w:r>
      <w:r w:rsidR="00787A22">
        <w:rPr>
          <w:szCs w:val="26"/>
        </w:rPr>
        <w:t>1 or 2</w:t>
      </w:r>
      <w:r w:rsidRPr="003F08AD">
        <w:rPr>
          <w:szCs w:val="26"/>
        </w:rPr>
        <w:t xml:space="preserve">, 2015, the day of or after it occurred.  Yet, Patrick did not file a formal complaint until 2018, and </w:t>
      </w:r>
      <w:r w:rsidR="00787A22">
        <w:rPr>
          <w:szCs w:val="26"/>
        </w:rPr>
        <w:t>plaintiff</w:t>
      </w:r>
      <w:r w:rsidRPr="003F08AD">
        <w:rPr>
          <w:szCs w:val="26"/>
        </w:rPr>
        <w:t xml:space="preserve"> did not receive notice of the University’s intent to discipline him until </w:t>
      </w:r>
      <w:r w:rsidR="00787A22">
        <w:rPr>
          <w:szCs w:val="26"/>
        </w:rPr>
        <w:t>November 14</w:t>
      </w:r>
      <w:r w:rsidRPr="003F08AD">
        <w:rPr>
          <w:szCs w:val="26"/>
        </w:rPr>
        <w:t xml:space="preserve">, 2018, about two weeks past the </w:t>
      </w:r>
      <w:r w:rsidR="00787A22">
        <w:rPr>
          <w:szCs w:val="26"/>
        </w:rPr>
        <w:t>limitations period</w:t>
      </w:r>
      <w:r w:rsidRPr="003F08AD">
        <w:rPr>
          <w:szCs w:val="26"/>
        </w:rPr>
        <w:t>.</w:t>
      </w:r>
    </w:p>
  </w:footnote>
  <w:footnote w:id="10">
    <w:p w:rsidR="00827372" w:rsidRPr="003F08AD" w:rsidP="00490550" w14:paraId="71297AA7" w14:textId="3D45C167">
      <w:pPr>
        <w:pStyle w:val="FootnoteText"/>
        <w:spacing w:after="120"/>
        <w:ind w:firstLine="720"/>
        <w:rPr>
          <w:szCs w:val="26"/>
        </w:rPr>
      </w:pPr>
      <w:r w:rsidRPr="003F08AD">
        <w:rPr>
          <w:rStyle w:val="FootnoteReference"/>
          <w:szCs w:val="26"/>
        </w:rPr>
        <w:footnoteRef/>
      </w:r>
      <w:r w:rsidRPr="003F08AD">
        <w:rPr>
          <w:szCs w:val="26"/>
        </w:rPr>
        <w:t xml:space="preserve"> President Napolitano deferred decision on denial of </w:t>
      </w:r>
      <w:r w:rsidR="00610294">
        <w:rPr>
          <w:szCs w:val="26"/>
        </w:rPr>
        <w:t>emeritus</w:t>
      </w:r>
      <w:r w:rsidRPr="003F08AD">
        <w:rPr>
          <w:szCs w:val="26"/>
        </w:rPr>
        <w:t xml:space="preserve"> status pending </w:t>
      </w:r>
      <w:r w:rsidR="00600648">
        <w:rPr>
          <w:szCs w:val="26"/>
        </w:rPr>
        <w:t>the</w:t>
      </w:r>
      <w:r w:rsidRPr="003F08AD">
        <w:rPr>
          <w:szCs w:val="26"/>
        </w:rPr>
        <w:t xml:space="preserve"> Regents’ decision on her dismissal recommendation.</w:t>
      </w:r>
    </w:p>
  </w:footnote>
  <w:footnote w:id="11">
    <w:p w:rsidR="00C82CD0" w:rsidRPr="003F08AD" w:rsidP="00490550" w14:paraId="68671D44" w14:textId="62AA8866">
      <w:pPr>
        <w:pStyle w:val="FootnoteText"/>
        <w:spacing w:after="120"/>
        <w:ind w:firstLine="720"/>
        <w:rPr>
          <w:szCs w:val="26"/>
        </w:rPr>
      </w:pPr>
      <w:r w:rsidRPr="003F08AD">
        <w:rPr>
          <w:rStyle w:val="FootnoteReference"/>
          <w:szCs w:val="26"/>
        </w:rPr>
        <w:footnoteRef/>
      </w:r>
      <w:r w:rsidRPr="003F08AD">
        <w:rPr>
          <w:szCs w:val="26"/>
        </w:rPr>
        <w:t xml:space="preserve"> </w:t>
      </w:r>
      <w:r w:rsidR="002B4F76">
        <w:rPr>
          <w:szCs w:val="26"/>
        </w:rPr>
        <w:t>Plaintiff</w:t>
      </w:r>
      <w:r w:rsidRPr="003F08AD">
        <w:rPr>
          <w:szCs w:val="26"/>
        </w:rPr>
        <w:t xml:space="preserve"> raises two additional contentions that we decline to consider: </w:t>
      </w:r>
      <w:r w:rsidR="00431264">
        <w:rPr>
          <w:szCs w:val="26"/>
        </w:rPr>
        <w:t>(1) the</w:t>
      </w:r>
      <w:r w:rsidRPr="003F08AD">
        <w:rPr>
          <w:szCs w:val="26"/>
        </w:rPr>
        <w:t xml:space="preserve"> University’s consolidation of two unrelated complaints was prejudicial and </w:t>
      </w:r>
      <w:r w:rsidR="002E312B">
        <w:rPr>
          <w:szCs w:val="26"/>
        </w:rPr>
        <w:t>(2) the</w:t>
      </w:r>
      <w:r w:rsidRPr="003F08AD">
        <w:rPr>
          <w:szCs w:val="26"/>
        </w:rPr>
        <w:t xml:space="preserve"> denial of his request for a continuance of the administrative hearing was unfair.  We deem these contentions forfeited due to </w:t>
      </w:r>
      <w:r w:rsidR="002E312B">
        <w:rPr>
          <w:szCs w:val="26"/>
        </w:rPr>
        <w:t>plaintiff’s failure,</w:t>
      </w:r>
      <w:r w:rsidRPr="003F08AD">
        <w:rPr>
          <w:szCs w:val="26"/>
        </w:rPr>
        <w:t xml:space="preserve"> in his </w:t>
      </w:r>
      <w:r w:rsidR="002E312B">
        <w:rPr>
          <w:szCs w:val="26"/>
        </w:rPr>
        <w:t>opening brief,</w:t>
      </w:r>
      <w:r w:rsidRPr="003F08AD">
        <w:rPr>
          <w:szCs w:val="26"/>
        </w:rPr>
        <w:t xml:space="preserve"> to support them with reasoned legal argument.  (</w:t>
      </w:r>
      <w:r w:rsidR="009522C3">
        <w:rPr>
          <w:szCs w:val="26"/>
        </w:rPr>
        <w:t>See</w:t>
      </w:r>
      <w:r w:rsidR="009522C3">
        <w:rPr>
          <w:szCs w:val="26"/>
          <w:shd w:val="clear" w:color="auto" w:fill="FFFFFF"/>
        </w:rPr>
        <w:t xml:space="preserve"> </w:t>
      </w:r>
      <w:r w:rsidR="009522C3">
        <w:rPr>
          <w:i/>
          <w:iCs/>
          <w:szCs w:val="26"/>
          <w:shd w:val="clear" w:color="auto" w:fill="FFFFFF"/>
        </w:rPr>
        <w:t>People</w:t>
      </w:r>
      <w:r w:rsidRPr="00490550">
        <w:rPr>
          <w:i/>
          <w:iCs/>
          <w:szCs w:val="26"/>
          <w:shd w:val="clear" w:color="auto" w:fill="FFFFFF"/>
        </w:rPr>
        <w:t xml:space="preserve"> v. Guzman</w:t>
      </w:r>
      <w:r w:rsidRPr="00490550">
        <w:rPr>
          <w:szCs w:val="26"/>
          <w:shd w:val="clear" w:color="auto" w:fill="FFFFFF"/>
        </w:rPr>
        <w:t xml:space="preserve"> (2019) 8 Cal.5th</w:t>
      </w:r>
      <w:r w:rsidRPr="00AC4836">
        <w:rPr>
          <w:szCs w:val="26"/>
          <w:shd w:val="clear" w:color="auto" w:fill="FFFFFF"/>
        </w:rPr>
        <w:t xml:space="preserve"> 673, 683, fn. </w:t>
      </w:r>
      <w:r w:rsidR="009522C3">
        <w:rPr>
          <w:szCs w:val="26"/>
          <w:shd w:val="clear" w:color="auto" w:fill="FFFFFF"/>
        </w:rPr>
        <w:t>7 [appellant</w:t>
      </w:r>
      <w:r w:rsidRPr="00AC4836">
        <w:rPr>
          <w:szCs w:val="26"/>
          <w:shd w:val="clear" w:color="auto" w:fill="FFFFFF"/>
        </w:rPr>
        <w:t xml:space="preserve"> forfeited due process claim by failing to “develop </w:t>
      </w:r>
      <w:r w:rsidR="00256C8C">
        <w:rPr>
          <w:szCs w:val="26"/>
          <w:shd w:val="clear" w:color="auto" w:fill="FFFFFF"/>
        </w:rPr>
        <w:t xml:space="preserve">the argument”]; </w:t>
      </w:r>
      <w:r w:rsidR="00256C8C">
        <w:rPr>
          <w:i/>
          <w:iCs/>
          <w:szCs w:val="26"/>
          <w:shd w:val="clear" w:color="auto" w:fill="FFFFFF"/>
        </w:rPr>
        <w:t>In re Phoenix H.</w:t>
      </w:r>
      <w:r w:rsidR="00256C8C">
        <w:rPr>
          <w:szCs w:val="26"/>
          <w:shd w:val="clear" w:color="auto" w:fill="FFFFFF"/>
        </w:rPr>
        <w:t xml:space="preserve"> (2009) 47 Cal.4th </w:t>
      </w:r>
      <w:r w:rsidR="00C2146A">
        <w:rPr>
          <w:szCs w:val="26"/>
          <w:shd w:val="clear" w:color="auto" w:fill="FFFFFF"/>
        </w:rPr>
        <w:t>835</w:t>
      </w:r>
      <w:r w:rsidR="000360B0">
        <w:rPr>
          <w:szCs w:val="26"/>
          <w:shd w:val="clear" w:color="auto" w:fill="FFFFFF"/>
        </w:rPr>
        <w:t>, 845</w:t>
      </w:r>
      <w:r w:rsidR="0089656D">
        <w:rPr>
          <w:szCs w:val="26"/>
          <w:shd w:val="clear" w:color="auto" w:fill="FFFFFF"/>
        </w:rPr>
        <w:t xml:space="preserve"> [“ ‘ “Contentions</w:t>
      </w:r>
      <w:r w:rsidRPr="00AC4836">
        <w:rPr>
          <w:szCs w:val="26"/>
          <w:shd w:val="clear" w:color="auto" w:fill="FFFFFF"/>
        </w:rPr>
        <w:t xml:space="preserve"> supported neither </w:t>
      </w:r>
      <w:r w:rsidR="00CD1424">
        <w:rPr>
          <w:szCs w:val="26"/>
          <w:shd w:val="clear" w:color="auto" w:fill="FFFFFF"/>
        </w:rPr>
        <w:t>by argument nor</w:t>
      </w:r>
      <w:r w:rsidRPr="00AC4836">
        <w:rPr>
          <w:szCs w:val="26"/>
          <w:shd w:val="clear" w:color="auto" w:fill="FFFFFF"/>
        </w:rPr>
        <w:t xml:space="preserve"> by citation of authority are deemed to be without foundation and to have been </w:t>
      </w:r>
      <w:r w:rsidR="00CD1424">
        <w:rPr>
          <w:szCs w:val="26"/>
          <w:shd w:val="clear" w:color="auto" w:fill="FFFFFF"/>
        </w:rPr>
        <w:t>abandoned” ’ ”</w:t>
      </w:r>
      <w:r w:rsidRPr="00AC4836">
        <w:rPr>
          <w:szCs w:val="26"/>
          <w:shd w:val="clear" w:color="auto" w:fill="FFFFFF"/>
        </w:rPr>
        <w:t>].)</w:t>
      </w:r>
    </w:p>
  </w:footnote>
  <w:footnote w:id="12">
    <w:p w:rsidR="002D32C6" w:rsidRPr="003F08AD" w:rsidP="00490550" w14:paraId="71D62470" w14:textId="0E3B1522">
      <w:pPr>
        <w:pStyle w:val="FootnoteText"/>
        <w:spacing w:after="120"/>
        <w:ind w:firstLine="720"/>
        <w:rPr>
          <w:szCs w:val="26"/>
        </w:rPr>
      </w:pPr>
      <w:r w:rsidRPr="003F08AD">
        <w:rPr>
          <w:rStyle w:val="FootnoteReference"/>
          <w:szCs w:val="26"/>
        </w:rPr>
        <w:footnoteRef/>
      </w:r>
      <w:r w:rsidRPr="003F08AD">
        <w:rPr>
          <w:szCs w:val="26"/>
        </w:rPr>
        <w:t xml:space="preserve"> The </w:t>
      </w:r>
      <w:r w:rsidRPr="003F08AD">
        <w:rPr>
          <w:i/>
          <w:iCs/>
          <w:szCs w:val="26"/>
        </w:rPr>
        <w:t>Akella</w:t>
      </w:r>
      <w:r w:rsidRPr="003F08AD">
        <w:rPr>
          <w:szCs w:val="26"/>
        </w:rPr>
        <w:t xml:space="preserve"> court recognized the degree of deference owed the University in interpreting one of its policies depends on the interpreter’s familiarity with the policy at issue, whether the University has adhered consistently to the interpretation at issue</w:t>
      </w:r>
      <w:r w:rsidR="000C067B">
        <w:rPr>
          <w:szCs w:val="26"/>
        </w:rPr>
        <w:t>,</w:t>
      </w:r>
      <w:r w:rsidRPr="003F08AD">
        <w:rPr>
          <w:szCs w:val="26"/>
        </w:rPr>
        <w:t xml:space="preserve"> and whether there was an opportunity for comment to be made on the interpretation.  (</w:t>
      </w:r>
      <w:r w:rsidR="000C067B">
        <w:rPr>
          <w:i/>
          <w:iCs/>
          <w:szCs w:val="26"/>
        </w:rPr>
        <w:t>Akella, supra</w:t>
      </w:r>
      <w:r w:rsidR="000C067B">
        <w:rPr>
          <w:szCs w:val="26"/>
        </w:rPr>
        <w:t xml:space="preserve">, </w:t>
      </w:r>
      <w:r w:rsidRPr="003F08AD">
        <w:rPr>
          <w:szCs w:val="26"/>
        </w:rPr>
        <w:t xml:space="preserve">61 Cal.App.5th at </w:t>
      </w:r>
      <w:r w:rsidR="00CA45FA">
        <w:rPr>
          <w:szCs w:val="26"/>
        </w:rPr>
        <w:t>pp. 816–817</w:t>
      </w:r>
      <w:r w:rsidRPr="003F08AD">
        <w:rPr>
          <w:szCs w:val="26"/>
        </w:rPr>
        <w:t>.)</w:t>
      </w:r>
    </w:p>
  </w:footnote>
  <w:footnote w:id="13">
    <w:p w:rsidR="00A856EA" w:rsidRPr="003F08AD" w:rsidP="00490550" w14:paraId="71E6192E" w14:textId="6BAB57B2">
      <w:pPr>
        <w:pStyle w:val="FootnoteText"/>
        <w:spacing w:after="120"/>
        <w:ind w:firstLine="720"/>
        <w:rPr>
          <w:szCs w:val="26"/>
        </w:rPr>
      </w:pPr>
      <w:r w:rsidRPr="003F08AD">
        <w:rPr>
          <w:rStyle w:val="FootnoteReference"/>
          <w:szCs w:val="26"/>
        </w:rPr>
        <w:footnoteRef/>
      </w:r>
      <w:r w:rsidRPr="003F08AD">
        <w:rPr>
          <w:szCs w:val="26"/>
        </w:rPr>
        <w:t xml:space="preserve"> We reject </w:t>
      </w:r>
      <w:r w:rsidR="00D44AB2">
        <w:rPr>
          <w:szCs w:val="26"/>
        </w:rPr>
        <w:t>plaintiff’s</w:t>
      </w:r>
      <w:r w:rsidRPr="003F08AD">
        <w:rPr>
          <w:szCs w:val="26"/>
        </w:rPr>
        <w:t xml:space="preserve"> suggestion in his reply brief that there was no evidence he attended the </w:t>
      </w:r>
      <w:r w:rsidR="009542AB">
        <w:rPr>
          <w:szCs w:val="26"/>
        </w:rPr>
        <w:t>poetry summit</w:t>
      </w:r>
      <w:r w:rsidRPr="003F08AD">
        <w:rPr>
          <w:szCs w:val="26"/>
        </w:rPr>
        <w:t xml:space="preserve"> in his professional capacity.  </w:t>
      </w:r>
      <w:r w:rsidR="009542AB">
        <w:rPr>
          <w:szCs w:val="26"/>
        </w:rPr>
        <w:t>Witness 1</w:t>
      </w:r>
      <w:r w:rsidRPr="003F08AD">
        <w:rPr>
          <w:szCs w:val="26"/>
        </w:rPr>
        <w:t xml:space="preserve"> testified at the administrative hearing that the </w:t>
      </w:r>
      <w:r w:rsidR="009542AB">
        <w:rPr>
          <w:szCs w:val="26"/>
        </w:rPr>
        <w:t>poetry</w:t>
      </w:r>
      <w:r w:rsidR="00C14D73">
        <w:rPr>
          <w:szCs w:val="26"/>
        </w:rPr>
        <w:t xml:space="preserve"> summit was an offsite “academic</w:t>
      </w:r>
      <w:r w:rsidRPr="003F08AD">
        <w:rPr>
          <w:szCs w:val="26"/>
        </w:rPr>
        <w:t xml:space="preserve"> conference” </w:t>
      </w:r>
      <w:r w:rsidRPr="003F08AD" w:rsidR="00E62B9A">
        <w:rPr>
          <w:szCs w:val="26"/>
        </w:rPr>
        <w:t xml:space="preserve">organized by “poets, professors, and members of the community in the East Bay” </w:t>
      </w:r>
      <w:r w:rsidRPr="003F08AD">
        <w:rPr>
          <w:szCs w:val="26"/>
        </w:rPr>
        <w:t xml:space="preserve">and that </w:t>
      </w:r>
      <w:r w:rsidRPr="003F08AD" w:rsidR="001E1CE3">
        <w:rPr>
          <w:szCs w:val="26"/>
        </w:rPr>
        <w:t xml:space="preserve">conference </w:t>
      </w:r>
      <w:r w:rsidRPr="003F08AD" w:rsidR="00E62B9A">
        <w:rPr>
          <w:szCs w:val="26"/>
        </w:rPr>
        <w:t>participants</w:t>
      </w:r>
      <w:r w:rsidRPr="003F08AD">
        <w:rPr>
          <w:szCs w:val="26"/>
        </w:rPr>
        <w:t xml:space="preserve"> knew and respected </w:t>
      </w:r>
      <w:r w:rsidR="006A5B7E">
        <w:rPr>
          <w:szCs w:val="26"/>
        </w:rPr>
        <w:t>plaintiff</w:t>
      </w:r>
      <w:r w:rsidRPr="003F08AD">
        <w:rPr>
          <w:szCs w:val="26"/>
        </w:rPr>
        <w:t xml:space="preserve"> as a </w:t>
      </w:r>
      <w:r w:rsidRPr="003F08AD" w:rsidR="00D13DBF">
        <w:rPr>
          <w:szCs w:val="26"/>
        </w:rPr>
        <w:t>histor</w:t>
      </w:r>
      <w:r w:rsidRPr="003F08AD" w:rsidR="00C51B06">
        <w:rPr>
          <w:szCs w:val="26"/>
        </w:rPr>
        <w:t>ian</w:t>
      </w:r>
      <w:r w:rsidRPr="003F08AD" w:rsidR="00D13DBF">
        <w:rPr>
          <w:szCs w:val="26"/>
        </w:rPr>
        <w:t xml:space="preserve"> of consciousness</w:t>
      </w:r>
      <w:r w:rsidRPr="003F08AD">
        <w:rPr>
          <w:szCs w:val="26"/>
        </w:rPr>
        <w:t xml:space="preserve">. </w:t>
      </w:r>
      <w:r w:rsidRPr="003F08AD" w:rsidR="001E1CE3">
        <w:rPr>
          <w:szCs w:val="26"/>
        </w:rPr>
        <w:t xml:space="preserve"> </w:t>
      </w:r>
      <w:r w:rsidR="006A5B7E">
        <w:rPr>
          <w:szCs w:val="26"/>
        </w:rPr>
        <w:t>Plaintiff</w:t>
      </w:r>
      <w:r w:rsidRPr="003F08AD" w:rsidR="001E1CE3">
        <w:rPr>
          <w:szCs w:val="26"/>
        </w:rPr>
        <w:t xml:space="preserve"> chose not to participate in the hearing</w:t>
      </w:r>
      <w:r w:rsidRPr="003F08AD" w:rsidR="00D13DBF">
        <w:rPr>
          <w:szCs w:val="26"/>
        </w:rPr>
        <w:t xml:space="preserve"> and, thus,</w:t>
      </w:r>
      <w:r w:rsidRPr="003F08AD" w:rsidR="001E1CE3">
        <w:rPr>
          <w:szCs w:val="26"/>
        </w:rPr>
        <w:t xml:space="preserve"> presented no contrary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5979" w:rsidRPr="00F8273C" w:rsidP="00F8273C" w14:paraId="4AC6DC69" w14:textId="77777777">
    <w:pPr>
      <w:pStyle w:val="Header"/>
      <w:tabs>
        <w:tab w:val="clear" w:pos="720"/>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0CC5" w:rsidRPr="00A033E6" w:rsidP="00490550" w14:paraId="5C22C0D2" w14:textId="3EA884A7">
    <w:pPr>
      <w:pStyle w:val="Header"/>
      <w:tabs>
        <w:tab w:val="clear" w:pos="720"/>
        <w:tab w:val="clear" w:pos="4680"/>
        <w:tab w:val="clear" w:pos="9360"/>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5C752F"/>
    <w:multiLevelType w:val="hybridMultilevel"/>
    <w:tmpl w:val="7A9ACE24"/>
    <w:lvl w:ilvl="0">
      <w:start w:val="1"/>
      <w:numFmt w:val="upperRoman"/>
      <w:lvlText w:val="%1."/>
      <w:lvlJc w:val="left"/>
      <w:pPr>
        <w:ind w:left="720" w:hanging="360"/>
      </w:pPr>
      <w:rPr>
        <w:rFonts w:hint="default"/>
        <w:i w:val="0"/>
        <w:iCs w:val="0"/>
      </w:rPr>
    </w:lvl>
    <w:lvl w:ilvl="1">
      <w:start w:val="1"/>
      <w:numFmt w:val="upp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AE75637"/>
    <w:multiLevelType w:val="hybridMultilevel"/>
    <w:tmpl w:val="5510CE4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70665FA"/>
    <w:multiLevelType w:val="hybridMultilevel"/>
    <w:tmpl w:val="DB8893C2"/>
    <w:lvl w:ilvl="0">
      <w:start w:val="1"/>
      <w:numFmt w:val="upperRoman"/>
      <w:lvlText w:val="%1."/>
      <w:lvlJc w:val="left"/>
      <w:pPr>
        <w:ind w:left="1080" w:hanging="720"/>
      </w:pPr>
      <w:rPr>
        <w:rFonts w:hint="default"/>
        <w:b/>
        <w:i w:val="0"/>
        <w:iCs w:val="0"/>
      </w:rPr>
    </w:lvl>
    <w:lvl w:ilvl="1">
      <w:start w:val="1"/>
      <w:numFmt w:val="upp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A6"/>
    <w:rsid w:val="0000249F"/>
    <w:rsid w:val="0000259F"/>
    <w:rsid w:val="00006582"/>
    <w:rsid w:val="0002689C"/>
    <w:rsid w:val="00032BD5"/>
    <w:rsid w:val="000360B0"/>
    <w:rsid w:val="0004127E"/>
    <w:rsid w:val="00043E64"/>
    <w:rsid w:val="00047247"/>
    <w:rsid w:val="0005077C"/>
    <w:rsid w:val="00053D03"/>
    <w:rsid w:val="00054629"/>
    <w:rsid w:val="000555F4"/>
    <w:rsid w:val="0006310F"/>
    <w:rsid w:val="00065A62"/>
    <w:rsid w:val="00070540"/>
    <w:rsid w:val="00070DB4"/>
    <w:rsid w:val="00071158"/>
    <w:rsid w:val="000718E4"/>
    <w:rsid w:val="000774FF"/>
    <w:rsid w:val="00083DF4"/>
    <w:rsid w:val="0009104A"/>
    <w:rsid w:val="00091051"/>
    <w:rsid w:val="0009381B"/>
    <w:rsid w:val="000962D4"/>
    <w:rsid w:val="000A347F"/>
    <w:rsid w:val="000A6C75"/>
    <w:rsid w:val="000B2507"/>
    <w:rsid w:val="000B550B"/>
    <w:rsid w:val="000C02DD"/>
    <w:rsid w:val="000C067B"/>
    <w:rsid w:val="000C0E5E"/>
    <w:rsid w:val="000C1206"/>
    <w:rsid w:val="000C2BE4"/>
    <w:rsid w:val="000C359F"/>
    <w:rsid w:val="000D106D"/>
    <w:rsid w:val="000D27E0"/>
    <w:rsid w:val="000E3718"/>
    <w:rsid w:val="00104DD8"/>
    <w:rsid w:val="001079AD"/>
    <w:rsid w:val="00111A56"/>
    <w:rsid w:val="00114147"/>
    <w:rsid w:val="00114BA1"/>
    <w:rsid w:val="001159D0"/>
    <w:rsid w:val="00120525"/>
    <w:rsid w:val="00121CC5"/>
    <w:rsid w:val="00122163"/>
    <w:rsid w:val="00127C05"/>
    <w:rsid w:val="001360D1"/>
    <w:rsid w:val="00137B9B"/>
    <w:rsid w:val="00146372"/>
    <w:rsid w:val="00153BCE"/>
    <w:rsid w:val="00155974"/>
    <w:rsid w:val="00160AC0"/>
    <w:rsid w:val="001650EA"/>
    <w:rsid w:val="00174C9F"/>
    <w:rsid w:val="00181C66"/>
    <w:rsid w:val="001843F6"/>
    <w:rsid w:val="001872B8"/>
    <w:rsid w:val="001A287C"/>
    <w:rsid w:val="001A6DB5"/>
    <w:rsid w:val="001B17C8"/>
    <w:rsid w:val="001B3819"/>
    <w:rsid w:val="001B3B56"/>
    <w:rsid w:val="001B60CF"/>
    <w:rsid w:val="001C1A49"/>
    <w:rsid w:val="001C1C53"/>
    <w:rsid w:val="001C1D03"/>
    <w:rsid w:val="001C2F94"/>
    <w:rsid w:val="001C38CC"/>
    <w:rsid w:val="001D0001"/>
    <w:rsid w:val="001D13DB"/>
    <w:rsid w:val="001D14FA"/>
    <w:rsid w:val="001D60B2"/>
    <w:rsid w:val="001D6890"/>
    <w:rsid w:val="001E05A5"/>
    <w:rsid w:val="001E1CE3"/>
    <w:rsid w:val="001E7A44"/>
    <w:rsid w:val="001E7FB3"/>
    <w:rsid w:val="001F45C2"/>
    <w:rsid w:val="001F64C8"/>
    <w:rsid w:val="002058E1"/>
    <w:rsid w:val="00206786"/>
    <w:rsid w:val="00214C9B"/>
    <w:rsid w:val="00221E05"/>
    <w:rsid w:val="002264F9"/>
    <w:rsid w:val="002320FB"/>
    <w:rsid w:val="00232F27"/>
    <w:rsid w:val="00234CD0"/>
    <w:rsid w:val="00234CE9"/>
    <w:rsid w:val="00236569"/>
    <w:rsid w:val="002374ED"/>
    <w:rsid w:val="00243CB6"/>
    <w:rsid w:val="002508A1"/>
    <w:rsid w:val="00252565"/>
    <w:rsid w:val="00256C8C"/>
    <w:rsid w:val="0025791D"/>
    <w:rsid w:val="002714B3"/>
    <w:rsid w:val="00273B2C"/>
    <w:rsid w:val="00274F6D"/>
    <w:rsid w:val="002767E8"/>
    <w:rsid w:val="00284B6C"/>
    <w:rsid w:val="002905FA"/>
    <w:rsid w:val="00290F5C"/>
    <w:rsid w:val="0029287B"/>
    <w:rsid w:val="002929E7"/>
    <w:rsid w:val="002A0058"/>
    <w:rsid w:val="002A727B"/>
    <w:rsid w:val="002B4F76"/>
    <w:rsid w:val="002B5BCF"/>
    <w:rsid w:val="002B5DBB"/>
    <w:rsid w:val="002C0D60"/>
    <w:rsid w:val="002D2480"/>
    <w:rsid w:val="002D32C6"/>
    <w:rsid w:val="002D61B8"/>
    <w:rsid w:val="002D7D22"/>
    <w:rsid w:val="002E0CAA"/>
    <w:rsid w:val="002E248C"/>
    <w:rsid w:val="002E312B"/>
    <w:rsid w:val="002E63EB"/>
    <w:rsid w:val="002F504B"/>
    <w:rsid w:val="00301192"/>
    <w:rsid w:val="003021E1"/>
    <w:rsid w:val="00306D7F"/>
    <w:rsid w:val="00307B75"/>
    <w:rsid w:val="00307DD5"/>
    <w:rsid w:val="00317B83"/>
    <w:rsid w:val="00323E62"/>
    <w:rsid w:val="0032493A"/>
    <w:rsid w:val="00326FD6"/>
    <w:rsid w:val="00330773"/>
    <w:rsid w:val="003314E7"/>
    <w:rsid w:val="0033745A"/>
    <w:rsid w:val="00337897"/>
    <w:rsid w:val="0035061F"/>
    <w:rsid w:val="00350F6B"/>
    <w:rsid w:val="0035568F"/>
    <w:rsid w:val="0036224F"/>
    <w:rsid w:val="00365079"/>
    <w:rsid w:val="00375089"/>
    <w:rsid w:val="003755A7"/>
    <w:rsid w:val="00376F46"/>
    <w:rsid w:val="00381417"/>
    <w:rsid w:val="00390B47"/>
    <w:rsid w:val="00393AA8"/>
    <w:rsid w:val="00394B03"/>
    <w:rsid w:val="00395A84"/>
    <w:rsid w:val="003A0788"/>
    <w:rsid w:val="003A62E8"/>
    <w:rsid w:val="003A7140"/>
    <w:rsid w:val="003B1BB1"/>
    <w:rsid w:val="003B3F03"/>
    <w:rsid w:val="003B6EDF"/>
    <w:rsid w:val="003C1581"/>
    <w:rsid w:val="003C26CA"/>
    <w:rsid w:val="003C357B"/>
    <w:rsid w:val="003D08E9"/>
    <w:rsid w:val="003E333C"/>
    <w:rsid w:val="003E48FB"/>
    <w:rsid w:val="003E4D0B"/>
    <w:rsid w:val="003E65A0"/>
    <w:rsid w:val="003E7AA5"/>
    <w:rsid w:val="003F018E"/>
    <w:rsid w:val="003F08AD"/>
    <w:rsid w:val="003F1808"/>
    <w:rsid w:val="003F28B2"/>
    <w:rsid w:val="003F4E3C"/>
    <w:rsid w:val="003F692C"/>
    <w:rsid w:val="00405979"/>
    <w:rsid w:val="00406056"/>
    <w:rsid w:val="004156EF"/>
    <w:rsid w:val="00416CA6"/>
    <w:rsid w:val="00417D16"/>
    <w:rsid w:val="00422A72"/>
    <w:rsid w:val="00426983"/>
    <w:rsid w:val="00427235"/>
    <w:rsid w:val="00431264"/>
    <w:rsid w:val="00435CA1"/>
    <w:rsid w:val="0043770D"/>
    <w:rsid w:val="00466394"/>
    <w:rsid w:val="00490550"/>
    <w:rsid w:val="0049075C"/>
    <w:rsid w:val="004977ED"/>
    <w:rsid w:val="004978D8"/>
    <w:rsid w:val="004A0BCC"/>
    <w:rsid w:val="004A4A98"/>
    <w:rsid w:val="004A5AEC"/>
    <w:rsid w:val="004B372D"/>
    <w:rsid w:val="004D456D"/>
    <w:rsid w:val="004D772A"/>
    <w:rsid w:val="004E31CC"/>
    <w:rsid w:val="004E784D"/>
    <w:rsid w:val="004F1C35"/>
    <w:rsid w:val="0050322C"/>
    <w:rsid w:val="0050443E"/>
    <w:rsid w:val="0050570B"/>
    <w:rsid w:val="00514547"/>
    <w:rsid w:val="00522494"/>
    <w:rsid w:val="00524460"/>
    <w:rsid w:val="00531689"/>
    <w:rsid w:val="00536AF8"/>
    <w:rsid w:val="0054066E"/>
    <w:rsid w:val="00544470"/>
    <w:rsid w:val="00547370"/>
    <w:rsid w:val="0055323D"/>
    <w:rsid w:val="00557B17"/>
    <w:rsid w:val="0056356B"/>
    <w:rsid w:val="00565576"/>
    <w:rsid w:val="00565F14"/>
    <w:rsid w:val="00572EED"/>
    <w:rsid w:val="005730A8"/>
    <w:rsid w:val="00577E88"/>
    <w:rsid w:val="00584801"/>
    <w:rsid w:val="00593874"/>
    <w:rsid w:val="005A7849"/>
    <w:rsid w:val="005B38BE"/>
    <w:rsid w:val="005C6B4E"/>
    <w:rsid w:val="005C7368"/>
    <w:rsid w:val="005D09E7"/>
    <w:rsid w:val="005D5B00"/>
    <w:rsid w:val="005D5CFB"/>
    <w:rsid w:val="005D6F36"/>
    <w:rsid w:val="005D7311"/>
    <w:rsid w:val="005E13C5"/>
    <w:rsid w:val="005F275A"/>
    <w:rsid w:val="00600648"/>
    <w:rsid w:val="00610294"/>
    <w:rsid w:val="00611284"/>
    <w:rsid w:val="00611B83"/>
    <w:rsid w:val="00612C01"/>
    <w:rsid w:val="00614D10"/>
    <w:rsid w:val="0061508B"/>
    <w:rsid w:val="00615237"/>
    <w:rsid w:val="006176A5"/>
    <w:rsid w:val="0061790A"/>
    <w:rsid w:val="00617FD8"/>
    <w:rsid w:val="00622BD9"/>
    <w:rsid w:val="00624A4B"/>
    <w:rsid w:val="00624EB4"/>
    <w:rsid w:val="006253CA"/>
    <w:rsid w:val="00640408"/>
    <w:rsid w:val="00640BAD"/>
    <w:rsid w:val="0064786D"/>
    <w:rsid w:val="00661561"/>
    <w:rsid w:val="00663C27"/>
    <w:rsid w:val="006671B9"/>
    <w:rsid w:val="00670A65"/>
    <w:rsid w:val="006710DE"/>
    <w:rsid w:val="00671A3E"/>
    <w:rsid w:val="006728EB"/>
    <w:rsid w:val="00675ADA"/>
    <w:rsid w:val="00682AFB"/>
    <w:rsid w:val="00682E0D"/>
    <w:rsid w:val="00685463"/>
    <w:rsid w:val="006946FE"/>
    <w:rsid w:val="00694D5D"/>
    <w:rsid w:val="006A05DF"/>
    <w:rsid w:val="006A2073"/>
    <w:rsid w:val="006A2231"/>
    <w:rsid w:val="006A244B"/>
    <w:rsid w:val="006A30DA"/>
    <w:rsid w:val="006A452B"/>
    <w:rsid w:val="006A5B7E"/>
    <w:rsid w:val="006A72AA"/>
    <w:rsid w:val="006B00A9"/>
    <w:rsid w:val="006B23D1"/>
    <w:rsid w:val="006B4384"/>
    <w:rsid w:val="006B7CDC"/>
    <w:rsid w:val="006C0A1B"/>
    <w:rsid w:val="006D25AC"/>
    <w:rsid w:val="006D345B"/>
    <w:rsid w:val="006D4334"/>
    <w:rsid w:val="006D4D51"/>
    <w:rsid w:val="006E1EDD"/>
    <w:rsid w:val="006E21C9"/>
    <w:rsid w:val="006E27F9"/>
    <w:rsid w:val="006E2F4D"/>
    <w:rsid w:val="006E66D2"/>
    <w:rsid w:val="006F75EA"/>
    <w:rsid w:val="00705772"/>
    <w:rsid w:val="007117E6"/>
    <w:rsid w:val="007206DB"/>
    <w:rsid w:val="00720DFA"/>
    <w:rsid w:val="007234ED"/>
    <w:rsid w:val="007236A6"/>
    <w:rsid w:val="007250D7"/>
    <w:rsid w:val="00740812"/>
    <w:rsid w:val="00744270"/>
    <w:rsid w:val="007502C7"/>
    <w:rsid w:val="00761844"/>
    <w:rsid w:val="00761CF9"/>
    <w:rsid w:val="007630B6"/>
    <w:rsid w:val="0076321A"/>
    <w:rsid w:val="00763971"/>
    <w:rsid w:val="00772BC7"/>
    <w:rsid w:val="00774D10"/>
    <w:rsid w:val="00776AA4"/>
    <w:rsid w:val="007771E9"/>
    <w:rsid w:val="007832B6"/>
    <w:rsid w:val="007842A3"/>
    <w:rsid w:val="007854E6"/>
    <w:rsid w:val="007870CA"/>
    <w:rsid w:val="00787971"/>
    <w:rsid w:val="00787A22"/>
    <w:rsid w:val="00790464"/>
    <w:rsid w:val="0079096A"/>
    <w:rsid w:val="0079504B"/>
    <w:rsid w:val="0079525D"/>
    <w:rsid w:val="0079617C"/>
    <w:rsid w:val="00796E80"/>
    <w:rsid w:val="007A037C"/>
    <w:rsid w:val="007A47B6"/>
    <w:rsid w:val="007A7F7E"/>
    <w:rsid w:val="007B0DE3"/>
    <w:rsid w:val="007B2492"/>
    <w:rsid w:val="007B5108"/>
    <w:rsid w:val="007B71E3"/>
    <w:rsid w:val="007C5530"/>
    <w:rsid w:val="007D27CB"/>
    <w:rsid w:val="007D574D"/>
    <w:rsid w:val="007D7AF4"/>
    <w:rsid w:val="007E42CD"/>
    <w:rsid w:val="007E4D67"/>
    <w:rsid w:val="007F0679"/>
    <w:rsid w:val="007F1AE8"/>
    <w:rsid w:val="007F2DD1"/>
    <w:rsid w:val="007F42C4"/>
    <w:rsid w:val="00806832"/>
    <w:rsid w:val="00823310"/>
    <w:rsid w:val="00827372"/>
    <w:rsid w:val="00833232"/>
    <w:rsid w:val="008342A4"/>
    <w:rsid w:val="00837683"/>
    <w:rsid w:val="008411BB"/>
    <w:rsid w:val="00845CF6"/>
    <w:rsid w:val="008476E2"/>
    <w:rsid w:val="00853D16"/>
    <w:rsid w:val="00862C8B"/>
    <w:rsid w:val="00864890"/>
    <w:rsid w:val="00864BD3"/>
    <w:rsid w:val="00867FC0"/>
    <w:rsid w:val="00871B25"/>
    <w:rsid w:val="00882DC2"/>
    <w:rsid w:val="0089656D"/>
    <w:rsid w:val="008A0816"/>
    <w:rsid w:val="008B2E50"/>
    <w:rsid w:val="008C0E03"/>
    <w:rsid w:val="008C2D1B"/>
    <w:rsid w:val="008C2DC6"/>
    <w:rsid w:val="008C69C3"/>
    <w:rsid w:val="008D7507"/>
    <w:rsid w:val="008E5FDD"/>
    <w:rsid w:val="008F4787"/>
    <w:rsid w:val="008F68A0"/>
    <w:rsid w:val="00904CD9"/>
    <w:rsid w:val="00905EDA"/>
    <w:rsid w:val="00910DCC"/>
    <w:rsid w:val="00913D9D"/>
    <w:rsid w:val="00915027"/>
    <w:rsid w:val="00920282"/>
    <w:rsid w:val="00923CDC"/>
    <w:rsid w:val="00924E84"/>
    <w:rsid w:val="00925E79"/>
    <w:rsid w:val="0093196F"/>
    <w:rsid w:val="009319CB"/>
    <w:rsid w:val="0094312E"/>
    <w:rsid w:val="00946842"/>
    <w:rsid w:val="00950705"/>
    <w:rsid w:val="009522C3"/>
    <w:rsid w:val="00952697"/>
    <w:rsid w:val="009542AB"/>
    <w:rsid w:val="00957D6C"/>
    <w:rsid w:val="00966503"/>
    <w:rsid w:val="00974768"/>
    <w:rsid w:val="009773BC"/>
    <w:rsid w:val="0098161E"/>
    <w:rsid w:val="00982734"/>
    <w:rsid w:val="009916B3"/>
    <w:rsid w:val="00991A78"/>
    <w:rsid w:val="00991C4D"/>
    <w:rsid w:val="0099363D"/>
    <w:rsid w:val="009949FF"/>
    <w:rsid w:val="009A06D3"/>
    <w:rsid w:val="009A0FC9"/>
    <w:rsid w:val="009A648B"/>
    <w:rsid w:val="009B138C"/>
    <w:rsid w:val="009B3B6A"/>
    <w:rsid w:val="009B6D2D"/>
    <w:rsid w:val="009C2E21"/>
    <w:rsid w:val="009D2E0F"/>
    <w:rsid w:val="009D33CD"/>
    <w:rsid w:val="009E3B46"/>
    <w:rsid w:val="009F47EA"/>
    <w:rsid w:val="009F73AB"/>
    <w:rsid w:val="009F7D0D"/>
    <w:rsid w:val="00A033E6"/>
    <w:rsid w:val="00A05575"/>
    <w:rsid w:val="00A05DB0"/>
    <w:rsid w:val="00A14488"/>
    <w:rsid w:val="00A171E8"/>
    <w:rsid w:val="00A21538"/>
    <w:rsid w:val="00A21763"/>
    <w:rsid w:val="00A21D23"/>
    <w:rsid w:val="00A44B08"/>
    <w:rsid w:val="00A52ED7"/>
    <w:rsid w:val="00A52FF1"/>
    <w:rsid w:val="00A5674B"/>
    <w:rsid w:val="00A73DE4"/>
    <w:rsid w:val="00A74F87"/>
    <w:rsid w:val="00A75188"/>
    <w:rsid w:val="00A76557"/>
    <w:rsid w:val="00A779CB"/>
    <w:rsid w:val="00A833D7"/>
    <w:rsid w:val="00A856EA"/>
    <w:rsid w:val="00A907A9"/>
    <w:rsid w:val="00A94CB1"/>
    <w:rsid w:val="00AB26F2"/>
    <w:rsid w:val="00AB5795"/>
    <w:rsid w:val="00AB7617"/>
    <w:rsid w:val="00AC342C"/>
    <w:rsid w:val="00AC3449"/>
    <w:rsid w:val="00AC3C3A"/>
    <w:rsid w:val="00AC4836"/>
    <w:rsid w:val="00AD0734"/>
    <w:rsid w:val="00AF1878"/>
    <w:rsid w:val="00AF77CB"/>
    <w:rsid w:val="00B05034"/>
    <w:rsid w:val="00B12258"/>
    <w:rsid w:val="00B15FCB"/>
    <w:rsid w:val="00B16A33"/>
    <w:rsid w:val="00B26E9E"/>
    <w:rsid w:val="00B30517"/>
    <w:rsid w:val="00B4016E"/>
    <w:rsid w:val="00B402B1"/>
    <w:rsid w:val="00B40B50"/>
    <w:rsid w:val="00B44AFF"/>
    <w:rsid w:val="00B55045"/>
    <w:rsid w:val="00B55FCF"/>
    <w:rsid w:val="00B676EE"/>
    <w:rsid w:val="00B74FED"/>
    <w:rsid w:val="00B77671"/>
    <w:rsid w:val="00B77675"/>
    <w:rsid w:val="00B779E0"/>
    <w:rsid w:val="00B81450"/>
    <w:rsid w:val="00B83DCA"/>
    <w:rsid w:val="00B8576A"/>
    <w:rsid w:val="00B859D0"/>
    <w:rsid w:val="00B86556"/>
    <w:rsid w:val="00B94682"/>
    <w:rsid w:val="00B94ECC"/>
    <w:rsid w:val="00B96017"/>
    <w:rsid w:val="00BA4CC5"/>
    <w:rsid w:val="00BA5854"/>
    <w:rsid w:val="00BB076B"/>
    <w:rsid w:val="00BB0DD5"/>
    <w:rsid w:val="00BB2798"/>
    <w:rsid w:val="00BB35DA"/>
    <w:rsid w:val="00BB6CAE"/>
    <w:rsid w:val="00BB7624"/>
    <w:rsid w:val="00BC1535"/>
    <w:rsid w:val="00BC470B"/>
    <w:rsid w:val="00BD31F5"/>
    <w:rsid w:val="00BF0017"/>
    <w:rsid w:val="00BF2596"/>
    <w:rsid w:val="00BF29DB"/>
    <w:rsid w:val="00BF43B2"/>
    <w:rsid w:val="00BF6099"/>
    <w:rsid w:val="00BF6939"/>
    <w:rsid w:val="00C0144F"/>
    <w:rsid w:val="00C05D94"/>
    <w:rsid w:val="00C12034"/>
    <w:rsid w:val="00C14D73"/>
    <w:rsid w:val="00C2146A"/>
    <w:rsid w:val="00C22EC1"/>
    <w:rsid w:val="00C2758B"/>
    <w:rsid w:val="00C355B2"/>
    <w:rsid w:val="00C36D95"/>
    <w:rsid w:val="00C40A4B"/>
    <w:rsid w:val="00C432FB"/>
    <w:rsid w:val="00C43776"/>
    <w:rsid w:val="00C4687A"/>
    <w:rsid w:val="00C51B06"/>
    <w:rsid w:val="00C575DB"/>
    <w:rsid w:val="00C712AE"/>
    <w:rsid w:val="00C72401"/>
    <w:rsid w:val="00C74694"/>
    <w:rsid w:val="00C82CD0"/>
    <w:rsid w:val="00C84E8C"/>
    <w:rsid w:val="00C929AC"/>
    <w:rsid w:val="00C92F95"/>
    <w:rsid w:val="00C96A32"/>
    <w:rsid w:val="00CA09DD"/>
    <w:rsid w:val="00CA40E4"/>
    <w:rsid w:val="00CA44D7"/>
    <w:rsid w:val="00CA45FA"/>
    <w:rsid w:val="00CA4F0D"/>
    <w:rsid w:val="00CA5210"/>
    <w:rsid w:val="00CB0986"/>
    <w:rsid w:val="00CB1968"/>
    <w:rsid w:val="00CC6399"/>
    <w:rsid w:val="00CD1424"/>
    <w:rsid w:val="00CD3574"/>
    <w:rsid w:val="00CD41AB"/>
    <w:rsid w:val="00CD5278"/>
    <w:rsid w:val="00CD7201"/>
    <w:rsid w:val="00CE2CE0"/>
    <w:rsid w:val="00CE4F47"/>
    <w:rsid w:val="00CE52A6"/>
    <w:rsid w:val="00CE7CFE"/>
    <w:rsid w:val="00CF63F6"/>
    <w:rsid w:val="00D02E21"/>
    <w:rsid w:val="00D03DF1"/>
    <w:rsid w:val="00D0450F"/>
    <w:rsid w:val="00D04AA8"/>
    <w:rsid w:val="00D13DBF"/>
    <w:rsid w:val="00D24B17"/>
    <w:rsid w:val="00D31542"/>
    <w:rsid w:val="00D32708"/>
    <w:rsid w:val="00D32EBF"/>
    <w:rsid w:val="00D32EC3"/>
    <w:rsid w:val="00D33053"/>
    <w:rsid w:val="00D3348B"/>
    <w:rsid w:val="00D340CE"/>
    <w:rsid w:val="00D352F7"/>
    <w:rsid w:val="00D37C02"/>
    <w:rsid w:val="00D40527"/>
    <w:rsid w:val="00D42CA9"/>
    <w:rsid w:val="00D4313E"/>
    <w:rsid w:val="00D4375B"/>
    <w:rsid w:val="00D43DA2"/>
    <w:rsid w:val="00D44AB2"/>
    <w:rsid w:val="00D46FE1"/>
    <w:rsid w:val="00D52F85"/>
    <w:rsid w:val="00D5424B"/>
    <w:rsid w:val="00D54A7F"/>
    <w:rsid w:val="00D601DF"/>
    <w:rsid w:val="00D727C9"/>
    <w:rsid w:val="00D73D01"/>
    <w:rsid w:val="00D74647"/>
    <w:rsid w:val="00D75D8B"/>
    <w:rsid w:val="00D83D66"/>
    <w:rsid w:val="00D85411"/>
    <w:rsid w:val="00D92230"/>
    <w:rsid w:val="00D929DB"/>
    <w:rsid w:val="00D955AC"/>
    <w:rsid w:val="00D96913"/>
    <w:rsid w:val="00DA4DAD"/>
    <w:rsid w:val="00DA6DF4"/>
    <w:rsid w:val="00DA6FAB"/>
    <w:rsid w:val="00DB2077"/>
    <w:rsid w:val="00DB4328"/>
    <w:rsid w:val="00DB78F3"/>
    <w:rsid w:val="00DC002D"/>
    <w:rsid w:val="00DC38CA"/>
    <w:rsid w:val="00DC478C"/>
    <w:rsid w:val="00DC6F9F"/>
    <w:rsid w:val="00DD2AEB"/>
    <w:rsid w:val="00DF084C"/>
    <w:rsid w:val="00DF0F16"/>
    <w:rsid w:val="00DF25E1"/>
    <w:rsid w:val="00DF6C7D"/>
    <w:rsid w:val="00E01BE9"/>
    <w:rsid w:val="00E026B3"/>
    <w:rsid w:val="00E02D1B"/>
    <w:rsid w:val="00E27B12"/>
    <w:rsid w:val="00E3003C"/>
    <w:rsid w:val="00E3284D"/>
    <w:rsid w:val="00E34C16"/>
    <w:rsid w:val="00E35FF0"/>
    <w:rsid w:val="00E366EF"/>
    <w:rsid w:val="00E36AA0"/>
    <w:rsid w:val="00E379C7"/>
    <w:rsid w:val="00E44941"/>
    <w:rsid w:val="00E44947"/>
    <w:rsid w:val="00E45FF9"/>
    <w:rsid w:val="00E54051"/>
    <w:rsid w:val="00E550BD"/>
    <w:rsid w:val="00E553D2"/>
    <w:rsid w:val="00E557E3"/>
    <w:rsid w:val="00E61E5F"/>
    <w:rsid w:val="00E62B9A"/>
    <w:rsid w:val="00E66141"/>
    <w:rsid w:val="00E835A3"/>
    <w:rsid w:val="00E83E0A"/>
    <w:rsid w:val="00E83E75"/>
    <w:rsid w:val="00E96B4B"/>
    <w:rsid w:val="00EA05E6"/>
    <w:rsid w:val="00EA0B83"/>
    <w:rsid w:val="00EA56C0"/>
    <w:rsid w:val="00EA5F36"/>
    <w:rsid w:val="00EB12B4"/>
    <w:rsid w:val="00EB1B04"/>
    <w:rsid w:val="00EB62EA"/>
    <w:rsid w:val="00EB6D8F"/>
    <w:rsid w:val="00EC0F85"/>
    <w:rsid w:val="00EC1701"/>
    <w:rsid w:val="00EC1823"/>
    <w:rsid w:val="00EC1B44"/>
    <w:rsid w:val="00EC30C9"/>
    <w:rsid w:val="00EC4E02"/>
    <w:rsid w:val="00ED0CC5"/>
    <w:rsid w:val="00ED71CE"/>
    <w:rsid w:val="00ED7843"/>
    <w:rsid w:val="00ED7960"/>
    <w:rsid w:val="00EE141C"/>
    <w:rsid w:val="00EE4FE6"/>
    <w:rsid w:val="00EE5E17"/>
    <w:rsid w:val="00EF3830"/>
    <w:rsid w:val="00EF554A"/>
    <w:rsid w:val="00EF6356"/>
    <w:rsid w:val="00EF79CD"/>
    <w:rsid w:val="00F05EB8"/>
    <w:rsid w:val="00F07E13"/>
    <w:rsid w:val="00F142D3"/>
    <w:rsid w:val="00F14CC6"/>
    <w:rsid w:val="00F174B7"/>
    <w:rsid w:val="00F20943"/>
    <w:rsid w:val="00F22BD6"/>
    <w:rsid w:val="00F23E82"/>
    <w:rsid w:val="00F25C18"/>
    <w:rsid w:val="00F33B67"/>
    <w:rsid w:val="00F3402A"/>
    <w:rsid w:val="00F3590D"/>
    <w:rsid w:val="00F36889"/>
    <w:rsid w:val="00F51FEA"/>
    <w:rsid w:val="00F52BED"/>
    <w:rsid w:val="00F6642D"/>
    <w:rsid w:val="00F7207F"/>
    <w:rsid w:val="00F77E90"/>
    <w:rsid w:val="00F8050A"/>
    <w:rsid w:val="00F80C9F"/>
    <w:rsid w:val="00F8143B"/>
    <w:rsid w:val="00F8273C"/>
    <w:rsid w:val="00F96DC5"/>
    <w:rsid w:val="00FA26B3"/>
    <w:rsid w:val="00FA72B1"/>
    <w:rsid w:val="00FB4F90"/>
    <w:rsid w:val="00FC5343"/>
    <w:rsid w:val="00FE0006"/>
    <w:rsid w:val="00FE47AA"/>
    <w:rsid w:val="00FE75B3"/>
    <w:rsid w:val="00FF179A"/>
    <w:rsid w:val="00FF1E44"/>
    <w:rsid w:val="00FF1FC8"/>
    <w:rsid w:val="00FF41AD"/>
    <w:rsid w:val="00FF6B17"/>
    <w:rsid w:val="00FF6EF0"/>
    <w:rsid w:val="00FF76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6A6"/>
    <w:pPr>
      <w:tabs>
        <w:tab w:val="center" w:pos="4680"/>
        <w:tab w:val="right" w:pos="9360"/>
      </w:tabs>
      <w:spacing w:line="240" w:lineRule="auto"/>
    </w:pPr>
  </w:style>
  <w:style w:type="character" w:customStyle="1" w:styleId="HeaderChar">
    <w:name w:val="Header Char"/>
    <w:basedOn w:val="DefaultParagraphFont"/>
    <w:link w:val="Header"/>
    <w:uiPriority w:val="99"/>
    <w:rsid w:val="007236A6"/>
  </w:style>
  <w:style w:type="paragraph" w:styleId="Footer">
    <w:name w:val="footer"/>
    <w:basedOn w:val="Normal"/>
    <w:link w:val="FooterChar"/>
    <w:uiPriority w:val="99"/>
    <w:unhideWhenUsed/>
    <w:rsid w:val="007236A6"/>
    <w:pPr>
      <w:tabs>
        <w:tab w:val="center" w:pos="4680"/>
        <w:tab w:val="right" w:pos="9360"/>
      </w:tabs>
      <w:spacing w:line="240" w:lineRule="auto"/>
    </w:pPr>
  </w:style>
  <w:style w:type="character" w:customStyle="1" w:styleId="FooterChar">
    <w:name w:val="Footer Char"/>
    <w:basedOn w:val="DefaultParagraphFont"/>
    <w:link w:val="Footer"/>
    <w:uiPriority w:val="99"/>
    <w:rsid w:val="007236A6"/>
  </w:style>
  <w:style w:type="character" w:styleId="PageNumber">
    <w:name w:val="page number"/>
    <w:basedOn w:val="DefaultParagraphFont"/>
    <w:uiPriority w:val="99"/>
    <w:semiHidden/>
    <w:unhideWhenUsed/>
    <w:rsid w:val="007236A6"/>
  </w:style>
  <w:style w:type="paragraph" w:styleId="FootnoteText">
    <w:name w:val="footnote text"/>
    <w:link w:val="FootnoteTextChar"/>
    <w:uiPriority w:val="99"/>
    <w:unhideWhenUsed/>
    <w:rsid w:val="007236A6"/>
    <w:pPr>
      <w:spacing w:line="240" w:lineRule="auto"/>
    </w:pPr>
    <w:rPr>
      <w:szCs w:val="20"/>
    </w:rPr>
  </w:style>
  <w:style w:type="character" w:customStyle="1" w:styleId="FootnoteTextChar">
    <w:name w:val="Footnote Text Char"/>
    <w:basedOn w:val="DefaultParagraphFont"/>
    <w:link w:val="FootnoteText"/>
    <w:uiPriority w:val="99"/>
    <w:rsid w:val="007236A6"/>
    <w:rPr>
      <w:szCs w:val="20"/>
    </w:rPr>
  </w:style>
  <w:style w:type="character" w:styleId="FootnoteReference">
    <w:name w:val="footnote reference"/>
    <w:basedOn w:val="DefaultParagraphFont"/>
    <w:uiPriority w:val="99"/>
    <w:semiHidden/>
    <w:unhideWhenUsed/>
    <w:rsid w:val="007236A6"/>
    <w:rPr>
      <w:vertAlign w:val="superscript"/>
    </w:rPr>
  </w:style>
  <w:style w:type="character" w:styleId="Hyperlink">
    <w:name w:val="Hyperlink"/>
    <w:basedOn w:val="DefaultParagraphFont"/>
    <w:uiPriority w:val="99"/>
    <w:semiHidden/>
    <w:unhideWhenUsed/>
    <w:rsid w:val="005D5CFB"/>
    <w:rPr>
      <w:color w:val="0000FF"/>
      <w:u w:val="single"/>
    </w:rPr>
  </w:style>
  <w:style w:type="character" w:customStyle="1" w:styleId="ssit">
    <w:name w:val="ss_it"/>
    <w:basedOn w:val="DefaultParagraphFont"/>
    <w:rsid w:val="005D5CFB"/>
  </w:style>
  <w:style w:type="character" w:customStyle="1" w:styleId="sssh">
    <w:name w:val="ss_sh"/>
    <w:basedOn w:val="DefaultParagraphFont"/>
    <w:rsid w:val="005D5CFB"/>
  </w:style>
  <w:style w:type="character" w:customStyle="1" w:styleId="ssheadnotelink">
    <w:name w:val="ss_headnotelink"/>
    <w:basedOn w:val="DefaultParagraphFont"/>
    <w:rsid w:val="005D5CFB"/>
  </w:style>
  <w:style w:type="character" w:customStyle="1" w:styleId="ssrfcpassagedeactivated">
    <w:name w:val="ss_rfcpassage_deactivated"/>
    <w:basedOn w:val="DefaultParagraphFont"/>
    <w:rsid w:val="008F68A0"/>
  </w:style>
  <w:style w:type="character" w:customStyle="1" w:styleId="ssrfcsection">
    <w:name w:val="ss_rfcsection"/>
    <w:basedOn w:val="DefaultParagraphFont"/>
    <w:rsid w:val="008F68A0"/>
  </w:style>
  <w:style w:type="character" w:customStyle="1" w:styleId="ssbf">
    <w:name w:val="ss_bf"/>
    <w:basedOn w:val="DefaultParagraphFont"/>
    <w:rsid w:val="00D40527"/>
  </w:style>
  <w:style w:type="paragraph" w:styleId="NormalWeb">
    <w:name w:val="Normal (Web)"/>
    <w:basedOn w:val="Normal"/>
    <w:uiPriority w:val="99"/>
    <w:unhideWhenUsed/>
    <w:rsid w:val="00E550BD"/>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15027"/>
    <w:pPr>
      <w:spacing w:line="240" w:lineRule="auto"/>
    </w:pPr>
  </w:style>
  <w:style w:type="paragraph" w:styleId="ListParagraph">
    <w:name w:val="List Paragraph"/>
    <w:basedOn w:val="Normal"/>
    <w:uiPriority w:val="34"/>
    <w:qFormat/>
    <w:rsid w:val="00A2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E9B82-F371-402B-A96B-17F8688A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6521</Words>
  <Characters>37172</Characters>
  <Application>Microsoft Office Word</Application>
  <DocSecurity>0</DocSecurity>
  <Lines>309</Lines>
  <Paragraphs>87</Paragraphs>
  <ScaleCrop>false</ScaleCrop>
  <Company/>
  <LinksUpToDate>false</LinksUpToDate>
  <CharactersWithSpaces>43606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2024-02-01T17:07:19Z</dcterms:created>
  <dcterms:modified xsi:type="dcterms:W3CDTF">2024-02-01T17:07:19Z</dcterms:modified>
</cp:coreProperties>
</file>