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F44C0" w:rsidP="00BB2E70" w14:paraId="08219A88" w14:textId="129BC029">
      <w:pPr>
        <w:spacing w:line="240" w:lineRule="auto"/>
        <w:rPr>
          <w:rFonts w:ascii="Century Schoolbook" w:hAnsi="Century Schoolbook"/>
          <w:bCs/>
          <w:sz w:val="20"/>
          <w:szCs w:val="24"/>
        </w:rPr>
      </w:pPr>
      <w:r>
        <w:rPr>
          <w:rFonts w:ascii="Century Schoolbook" w:hAnsi="Century Schoolbook"/>
          <w:bCs/>
          <w:sz w:val="20"/>
          <w:szCs w:val="24"/>
        </w:rPr>
        <w:t xml:space="preserve">Filed </w:t>
      </w:r>
      <w:r w:rsidR="006871B2">
        <w:rPr>
          <w:rFonts w:ascii="Century Schoolbook" w:hAnsi="Century Schoolbook"/>
          <w:bCs/>
          <w:sz w:val="20"/>
          <w:szCs w:val="24"/>
        </w:rPr>
        <w:t>2/3/23</w:t>
      </w:r>
    </w:p>
    <w:p w:rsidR="00BB2E70" w:rsidRPr="00BB2E70" w:rsidP="00BB2E70" w14:paraId="6BE80B2E" w14:textId="4001E423">
      <w:pPr>
        <w:spacing w:line="240" w:lineRule="auto"/>
        <w:jc w:val="center"/>
        <w:rPr>
          <w:rFonts w:ascii="Century Schoolbook" w:hAnsi="Century Schoolbook"/>
          <w:b/>
          <w:bCs/>
          <w:szCs w:val="24"/>
        </w:rPr>
      </w:pPr>
      <w:r>
        <w:rPr>
          <w:rFonts w:ascii="Century Schoolbook" w:hAnsi="Century Schoolbook"/>
          <w:b/>
          <w:bCs/>
          <w:szCs w:val="24"/>
        </w:rPr>
        <w:t>CERTIFIED FOR PUBLICATION</w:t>
      </w:r>
    </w:p>
    <w:p w:rsidR="0043662A" w:rsidRPr="0043662A" w:rsidP="005A236B" w14:paraId="6100D719" w14:textId="77777777">
      <w:pPr>
        <w:spacing w:line="240" w:lineRule="auto"/>
        <w:jc w:val="center"/>
        <w:rPr>
          <w:rFonts w:ascii="Century Schoolbook" w:hAnsi="Century Schoolbook"/>
          <w:b/>
          <w:bCs/>
          <w:sz w:val="24"/>
          <w:szCs w:val="24"/>
        </w:rPr>
      </w:pPr>
    </w:p>
    <w:p w:rsidR="000B1558" w:rsidRPr="00307460" w:rsidP="005A236B" w14:paraId="0E5F65EB" w14:textId="24A0890D">
      <w:pPr>
        <w:spacing w:line="240" w:lineRule="auto"/>
        <w:jc w:val="center"/>
        <w:rPr>
          <w:rFonts w:ascii="Century Schoolbook" w:hAnsi="Century Schoolbook"/>
        </w:rPr>
      </w:pPr>
      <w:r w:rsidRPr="00307460">
        <w:rPr>
          <w:rFonts w:ascii="Century Schoolbook" w:hAnsi="Century Schoolbook"/>
        </w:rPr>
        <w:t>IN THE COURT OF APPEAL OF THE STATE OF CALIFORNIA</w:t>
      </w:r>
    </w:p>
    <w:p w:rsidR="005A236B" w:rsidRPr="00307460" w:rsidP="005A236B" w14:paraId="7CD5AB5B" w14:textId="77777777">
      <w:pPr>
        <w:spacing w:line="240" w:lineRule="auto"/>
        <w:jc w:val="center"/>
        <w:rPr>
          <w:rFonts w:ascii="Century Schoolbook" w:hAnsi="Century Schoolbook"/>
        </w:rPr>
      </w:pPr>
    </w:p>
    <w:p w:rsidR="005A236B" w:rsidRPr="00307460" w:rsidP="005A236B" w14:paraId="2C1BAABC" w14:textId="77777777">
      <w:pPr>
        <w:spacing w:line="240" w:lineRule="auto"/>
        <w:jc w:val="center"/>
        <w:rPr>
          <w:rFonts w:ascii="Century Schoolbook" w:hAnsi="Century Schoolbook"/>
        </w:rPr>
      </w:pPr>
      <w:r w:rsidRPr="00307460">
        <w:rPr>
          <w:rFonts w:ascii="Century Schoolbook" w:hAnsi="Century Schoolbook"/>
        </w:rPr>
        <w:t>FIRST APPELLATE DISTRICT</w:t>
      </w:r>
    </w:p>
    <w:p w:rsidR="005A236B" w:rsidRPr="00307460" w:rsidP="005A236B" w14:paraId="3C71BEB2" w14:textId="77777777">
      <w:pPr>
        <w:spacing w:line="240" w:lineRule="auto"/>
        <w:jc w:val="center"/>
        <w:rPr>
          <w:rFonts w:ascii="Century Schoolbook" w:hAnsi="Century Schoolbook"/>
        </w:rPr>
      </w:pPr>
    </w:p>
    <w:p w:rsidR="005A236B" w:rsidRPr="00307460" w:rsidP="005A236B" w14:paraId="72AD88AE" w14:textId="5351F924">
      <w:pPr>
        <w:spacing w:line="240" w:lineRule="auto"/>
        <w:jc w:val="center"/>
        <w:rPr>
          <w:rFonts w:ascii="Century Schoolbook" w:hAnsi="Century Schoolbook"/>
        </w:rPr>
      </w:pPr>
      <w:r w:rsidRPr="00307460">
        <w:rPr>
          <w:rFonts w:ascii="Century Schoolbook" w:hAnsi="Century Schoolbook"/>
        </w:rPr>
        <w:t xml:space="preserve">DIVISION </w:t>
      </w:r>
      <w:r w:rsidRPr="00307460" w:rsidR="0092542F">
        <w:rPr>
          <w:rFonts w:ascii="Century Schoolbook" w:hAnsi="Century Schoolbook"/>
        </w:rPr>
        <w:t>FIVE</w:t>
      </w:r>
    </w:p>
    <w:p w:rsidR="005A236B" w:rsidRPr="00307460" w:rsidP="005A236B" w14:paraId="06616922" w14:textId="77777777">
      <w:pPr>
        <w:spacing w:line="240" w:lineRule="auto"/>
        <w:jc w:val="center"/>
        <w:rPr>
          <w:rFonts w:ascii="Century Schoolbook" w:hAnsi="Century Schoolbook"/>
        </w:rPr>
      </w:pPr>
    </w:p>
    <w:p w:rsidR="005A236B" w:rsidRPr="00307460" w:rsidP="005A236B" w14:paraId="620B02CF" w14:textId="77777777">
      <w:pPr>
        <w:spacing w:line="240" w:lineRule="auto"/>
        <w:jc w:val="center"/>
        <w:rPr>
          <w:rFonts w:ascii="Century Schoolbook" w:hAnsi="Century Schoolbook"/>
        </w:rPr>
      </w:pPr>
    </w:p>
    <w:tbl>
      <w:tblPr>
        <w:tblW w:w="0" w:type="auto"/>
        <w:tblInd w:w="0" w:type="dxa"/>
        <w:tblLayout w:type="fixed"/>
        <w:tblCellMar>
          <w:top w:w="0" w:type="dxa"/>
          <w:left w:w="108" w:type="dxa"/>
          <w:bottom w:w="0" w:type="dxa"/>
          <w:right w:w="108" w:type="dxa"/>
        </w:tblCellMar>
        <w:tblLook w:val="0000"/>
      </w:tblPr>
      <w:tblGrid>
        <w:gridCol w:w="4680"/>
        <w:gridCol w:w="4680"/>
      </w:tblGrid>
      <w:tr w14:paraId="090C1929" w14:textId="77777777" w:rsidTr="005A236B">
        <w:tblPrEx>
          <w:tblW w:w="0" w:type="auto"/>
          <w:tblInd w:w="0" w:type="dxa"/>
          <w:tblLayout w:type="fixed"/>
          <w:tblCellMar>
            <w:top w:w="0" w:type="dxa"/>
            <w:left w:w="108" w:type="dxa"/>
            <w:bottom w:w="0" w:type="dxa"/>
            <w:right w:w="108" w:type="dxa"/>
          </w:tblCellMar>
          <w:tblLook w:val="0000"/>
        </w:tblPrEx>
        <w:tc>
          <w:tcPr>
            <w:tcW w:w="4680" w:type="dxa"/>
            <w:tcBorders>
              <w:bottom w:val="single" w:sz="4" w:space="0" w:color="auto"/>
              <w:right w:val="single" w:sz="4" w:space="0" w:color="auto"/>
            </w:tcBorders>
            <w:shd w:val="clear" w:color="auto" w:fill="auto"/>
          </w:tcPr>
          <w:p w:rsidR="005A236B" w:rsidRPr="00307460" w:rsidP="00322B31" w14:paraId="18676D17" w14:textId="44E5A7E8">
            <w:pPr>
              <w:tabs>
                <w:tab w:val="left" w:pos="720"/>
              </w:tabs>
              <w:spacing w:after="120" w:line="360" w:lineRule="auto"/>
              <w:rPr>
                <w:rStyle w:val="DefaultParagraphFont"/>
                <w:rFonts w:ascii="Century Schoolbook" w:hAnsi="Century Schoolbook" w:eastAsiaTheme="minorHAnsi" w:cs="Times New Roman"/>
                <w:sz w:val="26"/>
                <w:szCs w:val="26"/>
                <w:lang w:val="en-US" w:eastAsia="en-US" w:bidi="ar-SA"/>
              </w:rPr>
            </w:pPr>
            <w:r>
              <w:rPr>
                <w:rFonts w:ascii="Century Schoolbook" w:hAnsi="Century Schoolbook" w:eastAsiaTheme="minorHAnsi" w:cs="Times New Roman"/>
                <w:sz w:val="26"/>
                <w:szCs w:val="26"/>
                <w:lang w:val="en-US" w:eastAsia="en-US" w:bidi="ar-SA"/>
              </w:rPr>
              <w:t>TAMELIN STONE et al.,</w:t>
            </w:r>
          </w:p>
          <w:p w:rsidR="005A236B" w:rsidRPr="00307460" w:rsidP="005A236B" w14:paraId="52D0C067" w14:textId="3BB39EC1">
            <w:pPr>
              <w:tabs>
                <w:tab w:val="left" w:pos="720"/>
              </w:tabs>
              <w:spacing w:after="120" w:line="240" w:lineRule="auto"/>
              <w:rPr>
                <w:rStyle w:val="DefaultParagraphFont"/>
                <w:rFonts w:ascii="Century Schoolbook" w:hAnsi="Century Schoolbook" w:eastAsiaTheme="minorHAnsi" w:cs="Times New Roman"/>
                <w:sz w:val="26"/>
                <w:szCs w:val="26"/>
                <w:lang w:val="en-US" w:eastAsia="en-US" w:bidi="ar-SA"/>
              </w:rPr>
            </w:pPr>
            <w:r w:rsidRPr="00307460">
              <w:rPr>
                <w:rFonts w:ascii="Century Schoolbook" w:hAnsi="Century Schoolbook" w:eastAsiaTheme="minorHAnsi" w:cs="Times New Roman"/>
                <w:sz w:val="26"/>
                <w:szCs w:val="26"/>
                <w:lang w:val="en-US" w:eastAsia="en-US" w:bidi="ar-SA"/>
              </w:rPr>
              <w:tab/>
            </w:r>
            <w:r w:rsidRPr="00307460" w:rsidR="0027309C">
              <w:rPr>
                <w:rFonts w:ascii="Century Schoolbook" w:hAnsi="Century Schoolbook" w:eastAsiaTheme="minorHAnsi" w:cs="Times New Roman"/>
                <w:sz w:val="26"/>
                <w:szCs w:val="26"/>
                <w:lang w:val="en-US" w:eastAsia="en-US" w:bidi="ar-SA"/>
              </w:rPr>
              <w:t>Plaintiff</w:t>
            </w:r>
            <w:r w:rsidR="00140EE7">
              <w:rPr>
                <w:rFonts w:ascii="Century Schoolbook" w:hAnsi="Century Schoolbook" w:eastAsiaTheme="minorHAnsi" w:cs="Times New Roman"/>
                <w:sz w:val="26"/>
                <w:szCs w:val="26"/>
                <w:lang w:val="en-US" w:eastAsia="en-US" w:bidi="ar-SA"/>
              </w:rPr>
              <w:t>s</w:t>
            </w:r>
            <w:r w:rsidRPr="00307460" w:rsidR="0027309C">
              <w:rPr>
                <w:rFonts w:ascii="Century Schoolbook" w:hAnsi="Century Schoolbook" w:eastAsiaTheme="minorHAnsi" w:cs="Times New Roman"/>
                <w:sz w:val="26"/>
                <w:szCs w:val="26"/>
                <w:lang w:val="en-US" w:eastAsia="en-US" w:bidi="ar-SA"/>
              </w:rPr>
              <w:t xml:space="preserve"> and </w:t>
            </w:r>
            <w:r w:rsidR="00140EE7">
              <w:rPr>
                <w:rFonts w:ascii="Century Schoolbook" w:hAnsi="Century Schoolbook" w:eastAsiaTheme="minorHAnsi" w:cs="Times New Roman"/>
                <w:sz w:val="26"/>
                <w:szCs w:val="26"/>
                <w:lang w:val="en-US" w:eastAsia="en-US" w:bidi="ar-SA"/>
              </w:rPr>
              <w:t>Appellants</w:t>
            </w:r>
            <w:r w:rsidRPr="00307460">
              <w:rPr>
                <w:rFonts w:ascii="Century Schoolbook" w:hAnsi="Century Schoolbook" w:eastAsiaTheme="minorHAnsi" w:cs="Times New Roman"/>
                <w:sz w:val="26"/>
                <w:szCs w:val="26"/>
                <w:lang w:val="en-US" w:eastAsia="en-US" w:bidi="ar-SA"/>
              </w:rPr>
              <w:t>,</w:t>
            </w:r>
          </w:p>
          <w:p w:rsidR="005A236B" w:rsidRPr="00307460" w:rsidP="005A236B" w14:paraId="2D722056" w14:textId="77777777">
            <w:pPr>
              <w:tabs>
                <w:tab w:val="left" w:pos="720"/>
              </w:tabs>
              <w:spacing w:after="120" w:line="240" w:lineRule="auto"/>
              <w:rPr>
                <w:rStyle w:val="DefaultParagraphFont"/>
                <w:rFonts w:ascii="Century Schoolbook" w:hAnsi="Century Schoolbook" w:eastAsiaTheme="minorHAnsi" w:cs="Times New Roman"/>
                <w:sz w:val="26"/>
                <w:szCs w:val="26"/>
                <w:lang w:val="en-US" w:eastAsia="en-US" w:bidi="ar-SA"/>
              </w:rPr>
            </w:pPr>
            <w:r w:rsidRPr="00307460">
              <w:rPr>
                <w:rFonts w:ascii="Century Schoolbook" w:hAnsi="Century Schoolbook" w:eastAsiaTheme="minorHAnsi" w:cs="Times New Roman"/>
                <w:sz w:val="26"/>
                <w:szCs w:val="26"/>
                <w:lang w:val="en-US" w:eastAsia="en-US" w:bidi="ar-SA"/>
              </w:rPr>
              <w:t>v.</w:t>
            </w:r>
          </w:p>
          <w:p w:rsidR="005A236B" w:rsidRPr="00307460" w:rsidP="005A236B" w14:paraId="0E4F52D2" w14:textId="4C3635CA">
            <w:pPr>
              <w:tabs>
                <w:tab w:val="left" w:pos="720"/>
              </w:tabs>
              <w:spacing w:after="120" w:line="240" w:lineRule="auto"/>
              <w:rPr>
                <w:rStyle w:val="DefaultParagraphFont"/>
                <w:rFonts w:ascii="Century Schoolbook" w:hAnsi="Century Schoolbook" w:eastAsiaTheme="minorHAnsi" w:cs="Times New Roman"/>
                <w:sz w:val="26"/>
                <w:szCs w:val="26"/>
                <w:lang w:val="en-US" w:eastAsia="en-US" w:bidi="ar-SA"/>
              </w:rPr>
            </w:pPr>
            <w:r>
              <w:rPr>
                <w:rFonts w:ascii="Century Schoolbook" w:hAnsi="Century Schoolbook" w:eastAsiaTheme="minorHAnsi" w:cs="Times New Roman"/>
                <w:sz w:val="26"/>
                <w:szCs w:val="26"/>
                <w:lang w:val="en-US" w:eastAsia="en-US" w:bidi="ar-SA"/>
              </w:rPr>
              <w:t>ALAMEDA HEALTH SYSTEM</w:t>
            </w:r>
            <w:r w:rsidRPr="00307460">
              <w:rPr>
                <w:rFonts w:ascii="Century Schoolbook" w:hAnsi="Century Schoolbook" w:eastAsiaTheme="minorHAnsi" w:cs="Times New Roman"/>
                <w:sz w:val="26"/>
                <w:szCs w:val="26"/>
                <w:lang w:val="en-US" w:eastAsia="en-US" w:bidi="ar-SA"/>
              </w:rPr>
              <w:t>,</w:t>
            </w:r>
          </w:p>
          <w:p w:rsidR="005A236B" w:rsidRPr="00307460" w:rsidP="0027309C" w14:paraId="1428F205" w14:textId="76DD99B9">
            <w:pPr>
              <w:tabs>
                <w:tab w:val="left" w:pos="720"/>
              </w:tabs>
              <w:spacing w:after="120" w:line="240" w:lineRule="auto"/>
              <w:rPr>
                <w:rStyle w:val="DefaultParagraphFont"/>
                <w:rFonts w:ascii="Century Schoolbook" w:hAnsi="Century Schoolbook" w:eastAsiaTheme="minorHAnsi" w:cs="Times New Roman"/>
                <w:sz w:val="26"/>
                <w:szCs w:val="26"/>
                <w:lang w:val="en-US" w:eastAsia="en-US" w:bidi="ar-SA"/>
              </w:rPr>
            </w:pPr>
            <w:r w:rsidRPr="00307460">
              <w:rPr>
                <w:rFonts w:ascii="Century Schoolbook" w:hAnsi="Century Schoolbook" w:eastAsiaTheme="minorHAnsi" w:cs="Times New Roman"/>
                <w:sz w:val="26"/>
                <w:szCs w:val="26"/>
                <w:lang w:val="en-US" w:eastAsia="en-US" w:bidi="ar-SA"/>
              </w:rPr>
              <w:tab/>
            </w:r>
            <w:r w:rsidRPr="00307460" w:rsidR="0027309C">
              <w:rPr>
                <w:rFonts w:ascii="Century Schoolbook" w:hAnsi="Century Schoolbook" w:eastAsiaTheme="minorHAnsi" w:cs="Times New Roman"/>
                <w:sz w:val="26"/>
                <w:szCs w:val="26"/>
                <w:lang w:val="en-US" w:eastAsia="en-US" w:bidi="ar-SA"/>
              </w:rPr>
              <w:t xml:space="preserve">Defendant and </w:t>
            </w:r>
            <w:r w:rsidR="00140EE7">
              <w:rPr>
                <w:rFonts w:ascii="Century Schoolbook" w:hAnsi="Century Schoolbook" w:eastAsiaTheme="minorHAnsi" w:cs="Times New Roman"/>
                <w:sz w:val="26"/>
                <w:szCs w:val="26"/>
                <w:lang w:val="en-US" w:eastAsia="en-US" w:bidi="ar-SA"/>
              </w:rPr>
              <w:t>Responde</w:t>
            </w:r>
            <w:r w:rsidRPr="00307460" w:rsidR="0027309C">
              <w:rPr>
                <w:rFonts w:ascii="Century Schoolbook" w:hAnsi="Century Schoolbook" w:eastAsiaTheme="minorHAnsi" w:cs="Times New Roman"/>
                <w:sz w:val="26"/>
                <w:szCs w:val="26"/>
                <w:lang w:val="en-US" w:eastAsia="en-US" w:bidi="ar-SA"/>
              </w:rPr>
              <w:t>nt</w:t>
            </w:r>
            <w:r w:rsidRPr="00307460">
              <w:rPr>
                <w:rFonts w:ascii="Century Schoolbook" w:hAnsi="Century Schoolbook" w:eastAsiaTheme="minorHAnsi" w:cs="Times New Roman"/>
                <w:sz w:val="26"/>
                <w:szCs w:val="26"/>
                <w:lang w:val="en-US" w:eastAsia="en-US" w:bidi="ar-SA"/>
              </w:rPr>
              <w:t>.</w:t>
            </w:r>
          </w:p>
        </w:tc>
        <w:tc>
          <w:tcPr>
            <w:tcW w:w="4680" w:type="dxa"/>
            <w:tcBorders>
              <w:left w:val="single" w:sz="4" w:space="0" w:color="auto"/>
            </w:tcBorders>
            <w:shd w:val="clear" w:color="auto" w:fill="auto"/>
          </w:tcPr>
          <w:p w:rsidR="005A236B" w:rsidRPr="00307460" w:rsidP="005A236B" w14:paraId="01D97858" w14:textId="77777777">
            <w:pPr>
              <w:tabs>
                <w:tab w:val="left" w:pos="720"/>
              </w:tabs>
              <w:spacing w:after="0" w:line="240" w:lineRule="auto"/>
              <w:rPr>
                <w:rStyle w:val="DefaultParagraphFont"/>
                <w:rFonts w:ascii="Century Schoolbook" w:hAnsi="Century Schoolbook" w:eastAsiaTheme="minorHAnsi" w:cs="Times New Roman"/>
                <w:sz w:val="26"/>
                <w:szCs w:val="26"/>
                <w:lang w:val="en-US" w:eastAsia="en-US" w:bidi="ar-SA"/>
              </w:rPr>
            </w:pPr>
          </w:p>
          <w:p w:rsidR="005A236B" w:rsidRPr="00307460" w:rsidP="005A236B" w14:paraId="0EEA893C" w14:textId="77777777">
            <w:pPr>
              <w:tabs>
                <w:tab w:val="left" w:pos="720"/>
              </w:tabs>
              <w:spacing w:after="0" w:line="240" w:lineRule="auto"/>
              <w:rPr>
                <w:rStyle w:val="DefaultParagraphFont"/>
                <w:rFonts w:ascii="Century Schoolbook" w:hAnsi="Century Schoolbook" w:eastAsiaTheme="minorHAnsi" w:cs="Times New Roman"/>
                <w:sz w:val="26"/>
                <w:szCs w:val="26"/>
                <w:lang w:val="en-US" w:eastAsia="en-US" w:bidi="ar-SA"/>
              </w:rPr>
            </w:pPr>
          </w:p>
          <w:p w:rsidR="005A236B" w:rsidRPr="00307460" w:rsidP="005A236B" w14:paraId="569F7E4B" w14:textId="529A63D2">
            <w:pPr>
              <w:tabs>
                <w:tab w:val="left" w:pos="720"/>
              </w:tabs>
              <w:spacing w:after="0" w:line="240" w:lineRule="auto"/>
              <w:rPr>
                <w:rStyle w:val="DefaultParagraphFont"/>
                <w:rFonts w:ascii="Century Schoolbook" w:hAnsi="Century Schoolbook" w:eastAsiaTheme="minorHAnsi" w:cs="Times New Roman"/>
                <w:sz w:val="26"/>
                <w:szCs w:val="26"/>
                <w:lang w:val="en-US" w:eastAsia="en-US" w:bidi="ar-SA"/>
              </w:rPr>
            </w:pPr>
            <w:r w:rsidRPr="00307460">
              <w:rPr>
                <w:rFonts w:ascii="Century Schoolbook" w:hAnsi="Century Schoolbook" w:eastAsiaTheme="minorHAnsi" w:cs="Times New Roman"/>
                <w:sz w:val="26"/>
                <w:szCs w:val="26"/>
                <w:lang w:val="en-US" w:eastAsia="en-US" w:bidi="ar-SA"/>
              </w:rPr>
              <w:t xml:space="preserve">      </w:t>
            </w:r>
            <w:r w:rsidR="00140EE7">
              <w:rPr>
                <w:rFonts w:ascii="Century Schoolbook" w:hAnsi="Century Schoolbook" w:eastAsiaTheme="minorHAnsi" w:cs="Times New Roman"/>
                <w:sz w:val="26"/>
                <w:szCs w:val="26"/>
                <w:lang w:val="en-US" w:eastAsia="en-US" w:bidi="ar-SA"/>
              </w:rPr>
              <w:t>A164021</w:t>
            </w:r>
          </w:p>
          <w:p w:rsidR="005A236B" w:rsidRPr="00307460" w:rsidP="005A236B" w14:paraId="3FBCD644" w14:textId="77777777">
            <w:pPr>
              <w:tabs>
                <w:tab w:val="left" w:pos="720"/>
              </w:tabs>
              <w:spacing w:after="0" w:line="240" w:lineRule="auto"/>
              <w:rPr>
                <w:rStyle w:val="DefaultParagraphFont"/>
                <w:rFonts w:ascii="Century Schoolbook" w:hAnsi="Century Schoolbook" w:eastAsiaTheme="minorHAnsi" w:cs="Times New Roman"/>
                <w:sz w:val="26"/>
                <w:szCs w:val="26"/>
                <w:lang w:val="en-US" w:eastAsia="en-US" w:bidi="ar-SA"/>
              </w:rPr>
            </w:pPr>
          </w:p>
          <w:p w:rsidR="005A236B" w:rsidRPr="00307460" w:rsidP="005A236B" w14:paraId="4A74D26F" w14:textId="0367BE3F">
            <w:pPr>
              <w:tabs>
                <w:tab w:val="left" w:pos="720"/>
              </w:tabs>
              <w:spacing w:after="0" w:line="240" w:lineRule="auto"/>
              <w:rPr>
                <w:rStyle w:val="DefaultParagraphFont"/>
                <w:rFonts w:ascii="Century Schoolbook" w:hAnsi="Century Schoolbook" w:eastAsiaTheme="minorHAnsi" w:cs="Times New Roman"/>
                <w:sz w:val="26"/>
                <w:szCs w:val="26"/>
                <w:lang w:val="en-US" w:eastAsia="en-US" w:bidi="ar-SA"/>
              </w:rPr>
            </w:pPr>
            <w:r w:rsidRPr="00307460">
              <w:rPr>
                <w:rFonts w:ascii="Century Schoolbook" w:hAnsi="Century Schoolbook" w:eastAsiaTheme="minorHAnsi" w:cs="Times New Roman"/>
                <w:sz w:val="26"/>
                <w:szCs w:val="26"/>
                <w:lang w:val="en-US" w:eastAsia="en-US" w:bidi="ar-SA"/>
              </w:rPr>
              <w:t xml:space="preserve">      (</w:t>
            </w:r>
            <w:r w:rsidR="00140EE7">
              <w:rPr>
                <w:rFonts w:ascii="Century Schoolbook" w:hAnsi="Century Schoolbook" w:eastAsiaTheme="minorHAnsi" w:cs="Times New Roman"/>
                <w:sz w:val="26"/>
                <w:szCs w:val="26"/>
                <w:lang w:val="en-US" w:eastAsia="en-US" w:bidi="ar-SA"/>
              </w:rPr>
              <w:t>Alameda</w:t>
            </w:r>
            <w:r w:rsidRPr="00307460">
              <w:rPr>
                <w:rFonts w:ascii="Century Schoolbook" w:hAnsi="Century Schoolbook" w:eastAsiaTheme="minorHAnsi" w:cs="Times New Roman"/>
                <w:sz w:val="26"/>
                <w:szCs w:val="26"/>
                <w:lang w:val="en-US" w:eastAsia="en-US" w:bidi="ar-SA"/>
              </w:rPr>
              <w:t xml:space="preserve"> County</w:t>
            </w:r>
            <w:r w:rsidRPr="00307460" w:rsidR="0092542F">
              <w:rPr>
                <w:rFonts w:ascii="Century Schoolbook" w:hAnsi="Century Schoolbook" w:eastAsiaTheme="minorHAnsi" w:cs="Times New Roman"/>
                <w:sz w:val="26"/>
                <w:szCs w:val="26"/>
                <w:lang w:val="en-US" w:eastAsia="en-US" w:bidi="ar-SA"/>
              </w:rPr>
              <w:t xml:space="preserve"> Super Ct.</w:t>
            </w:r>
          </w:p>
          <w:p w:rsidR="005A236B" w:rsidRPr="00307460" w:rsidP="005A236B" w14:paraId="7EB9BD18" w14:textId="364114D4">
            <w:pPr>
              <w:tabs>
                <w:tab w:val="left" w:pos="720"/>
              </w:tabs>
              <w:spacing w:after="0" w:line="240" w:lineRule="auto"/>
              <w:rPr>
                <w:rStyle w:val="DefaultParagraphFont"/>
                <w:rFonts w:ascii="Century Schoolbook" w:hAnsi="Century Schoolbook" w:eastAsiaTheme="minorHAnsi" w:cs="Times New Roman"/>
                <w:sz w:val="26"/>
                <w:szCs w:val="26"/>
                <w:lang w:val="en-US" w:eastAsia="en-US" w:bidi="ar-SA"/>
              </w:rPr>
            </w:pPr>
            <w:r w:rsidRPr="00307460">
              <w:rPr>
                <w:rFonts w:ascii="Century Schoolbook" w:hAnsi="Century Schoolbook" w:eastAsiaTheme="minorHAnsi" w:cs="Times New Roman"/>
                <w:sz w:val="26"/>
                <w:szCs w:val="26"/>
                <w:lang w:val="en-US" w:eastAsia="en-US" w:bidi="ar-SA"/>
              </w:rPr>
              <w:t xml:space="preserve">      </w:t>
            </w:r>
            <w:r w:rsidRPr="00307460" w:rsidR="00307460">
              <w:rPr>
                <w:rFonts w:ascii="Century Schoolbook" w:hAnsi="Century Schoolbook" w:eastAsiaTheme="minorHAnsi" w:cs="Times New Roman"/>
                <w:sz w:val="26"/>
                <w:szCs w:val="26"/>
                <w:lang w:val="en-US" w:eastAsia="en-US" w:bidi="ar-SA"/>
              </w:rPr>
              <w:t xml:space="preserve">No. </w:t>
            </w:r>
            <w:r w:rsidR="00140EE7">
              <w:rPr>
                <w:rFonts w:ascii="Century Schoolbook" w:hAnsi="Century Schoolbook" w:eastAsiaTheme="minorHAnsi" w:cs="Times New Roman"/>
                <w:sz w:val="26"/>
                <w:szCs w:val="26"/>
                <w:lang w:val="en-US" w:eastAsia="en-US" w:bidi="ar-SA"/>
              </w:rPr>
              <w:t>RG21092734</w:t>
            </w:r>
            <w:r w:rsidRPr="00307460">
              <w:rPr>
                <w:rFonts w:ascii="Century Schoolbook" w:hAnsi="Century Schoolbook" w:eastAsiaTheme="minorHAnsi" w:cs="Times New Roman"/>
                <w:sz w:val="26"/>
                <w:szCs w:val="26"/>
                <w:lang w:val="en-US" w:eastAsia="en-US" w:bidi="ar-SA"/>
              </w:rPr>
              <w:t>)</w:t>
            </w:r>
          </w:p>
          <w:p w:rsidR="005A236B" w:rsidRPr="00307460" w:rsidP="005A236B" w14:paraId="36983A94" w14:textId="77777777">
            <w:pPr>
              <w:tabs>
                <w:tab w:val="left" w:pos="720"/>
              </w:tabs>
              <w:spacing w:after="0" w:line="240" w:lineRule="auto"/>
              <w:rPr>
                <w:rStyle w:val="DefaultParagraphFont"/>
                <w:rFonts w:ascii="Century Schoolbook" w:hAnsi="Century Schoolbook" w:eastAsiaTheme="minorHAnsi" w:cs="Times New Roman"/>
                <w:sz w:val="26"/>
                <w:szCs w:val="26"/>
                <w:lang w:val="en-US" w:eastAsia="en-US" w:bidi="ar-SA"/>
              </w:rPr>
            </w:pPr>
          </w:p>
        </w:tc>
      </w:tr>
    </w:tbl>
    <w:p w:rsidR="005A236B" w:rsidRPr="00307460" w:rsidP="005A236B" w14:paraId="302DE1C2" w14:textId="77777777">
      <w:pPr>
        <w:spacing w:line="360" w:lineRule="auto"/>
        <w:rPr>
          <w:rFonts w:ascii="Century Schoolbook" w:hAnsi="Century Schoolbook"/>
        </w:rPr>
      </w:pPr>
    </w:p>
    <w:p w:rsidR="004736E6" w:rsidP="004736E6" w14:paraId="605CA115" w14:textId="4CE75441">
      <w:pPr>
        <w:spacing w:line="360" w:lineRule="auto"/>
        <w:rPr>
          <w:rFonts w:ascii="Century Schoolbook" w:hAnsi="Century Schoolbook"/>
        </w:rPr>
      </w:pPr>
      <w:r w:rsidRPr="00307460">
        <w:rPr>
          <w:rFonts w:ascii="Century Schoolbook" w:hAnsi="Century Schoolbook"/>
        </w:rPr>
        <w:tab/>
      </w:r>
      <w:r>
        <w:rPr>
          <w:rFonts w:ascii="Century Schoolbook" w:hAnsi="Century Schoolbook"/>
        </w:rPr>
        <w:t>In this appeal from an order sustaining a demurrer</w:t>
      </w:r>
      <w:r w:rsidR="00EA34C8">
        <w:rPr>
          <w:rFonts w:ascii="Century Schoolbook" w:hAnsi="Century Schoolbook"/>
        </w:rPr>
        <w:t xml:space="preserve"> without leave to amend</w:t>
      </w:r>
      <w:r>
        <w:rPr>
          <w:rFonts w:ascii="Century Schoolbook" w:hAnsi="Century Schoolbook"/>
        </w:rPr>
        <w:t>, we are called upon to decide whether seven claims for violations of the Labor Code</w:t>
      </w:r>
      <w:r>
        <w:rPr>
          <w:rStyle w:val="FootnoteReference"/>
          <w:rFonts w:ascii="Century Schoolbook" w:hAnsi="Century Schoolbook"/>
        </w:rPr>
        <w:footnoteReference w:id="2"/>
      </w:r>
      <w:r>
        <w:rPr>
          <w:rFonts w:ascii="Century Schoolbook" w:hAnsi="Century Schoolbook"/>
        </w:rPr>
        <w:t xml:space="preserve"> lie against respondent </w:t>
      </w:r>
      <w:bookmarkStart w:id="0" w:name="_Hlk126322227"/>
      <w:r>
        <w:rPr>
          <w:rFonts w:ascii="Century Schoolbook" w:hAnsi="Century Schoolbook"/>
        </w:rPr>
        <w:t>Alameda Health System</w:t>
      </w:r>
      <w:bookmarkEnd w:id="0"/>
      <w:r>
        <w:rPr>
          <w:rFonts w:ascii="Century Schoolbook" w:hAnsi="Century Schoolbook"/>
        </w:rPr>
        <w:t xml:space="preserve">.  In answering that call, we address the following issues: (1) whether the “sovereign powers” doctrine renders respondent liable for certain Labor Code violations, notwithstanding the </w:t>
      </w:r>
      <w:r w:rsidRPr="00FF3D51">
        <w:rPr>
          <w:rFonts w:ascii="Century Schoolbook" w:hAnsi="Century Schoolbook"/>
          <w:bCs/>
        </w:rPr>
        <w:t xml:space="preserve">general rule of statutory construction </w:t>
      </w:r>
      <w:r>
        <w:rPr>
          <w:rFonts w:ascii="Century Schoolbook" w:hAnsi="Century Schoolbook"/>
          <w:bCs/>
        </w:rPr>
        <w:t xml:space="preserve">exempting </w:t>
      </w:r>
      <w:r w:rsidRPr="00FF3D51">
        <w:rPr>
          <w:rFonts w:ascii="Century Schoolbook" w:hAnsi="Century Schoolbook"/>
          <w:bCs/>
        </w:rPr>
        <w:t>government agencies</w:t>
      </w:r>
      <w:r>
        <w:rPr>
          <w:rFonts w:ascii="Century Schoolbook" w:hAnsi="Century Schoolbook"/>
          <w:bCs/>
        </w:rPr>
        <w:t xml:space="preserve"> from such liability; (2) whether respondent is an exempt “municipal corporation” under section 220, subdivision (b); (3) whether respondent is an exempt “governmental entity” under section 226, subdivision (i); and (4) whether respondent can be sued under </w:t>
      </w:r>
      <w:r w:rsidRPr="00CF14F4">
        <w:rPr>
          <w:rFonts w:ascii="Century Schoolbook" w:hAnsi="Century Schoolbook"/>
        </w:rPr>
        <w:t>the Private Attorneys General Act</w:t>
      </w:r>
      <w:r>
        <w:rPr>
          <w:rFonts w:ascii="Century Schoolbook" w:hAnsi="Century Schoolbook"/>
        </w:rPr>
        <w:t xml:space="preserve"> </w:t>
      </w:r>
      <w:r w:rsidRPr="00CF14F4">
        <w:rPr>
          <w:rFonts w:ascii="Century Schoolbook" w:hAnsi="Century Schoolbook"/>
        </w:rPr>
        <w:t xml:space="preserve">(PAGA, </w:t>
      </w:r>
      <w:r w:rsidRPr="00CF14F4">
        <w:rPr>
          <w:rFonts w:ascii="Century Schoolbook" w:hAnsi="Century Schoolbook"/>
          <w:bCs/>
        </w:rPr>
        <w:t>§ 2698 et seq.</w:t>
      </w:r>
      <w:r w:rsidRPr="00CF14F4">
        <w:rPr>
          <w:rFonts w:ascii="Century Schoolbook" w:hAnsi="Century Schoolbook"/>
        </w:rPr>
        <w:t>)</w:t>
      </w:r>
      <w:r>
        <w:rPr>
          <w:rFonts w:ascii="Century Schoolbook" w:hAnsi="Century Schoolbook"/>
        </w:rPr>
        <w:t>.</w:t>
      </w:r>
    </w:p>
    <w:p w:rsidR="00AE18EC" w:rsidP="004736E6" w14:paraId="1155FBD8" w14:textId="293D6608">
      <w:pPr>
        <w:spacing w:line="360" w:lineRule="auto"/>
        <w:rPr>
          <w:rFonts w:ascii="Century Schoolbook" w:hAnsi="Century Schoolbook"/>
        </w:rPr>
      </w:pPr>
      <w:r>
        <w:rPr>
          <w:rFonts w:ascii="Century Schoolbook" w:hAnsi="Century Schoolbook"/>
        </w:rPr>
        <w:tab/>
        <w:t xml:space="preserve">Observing that respondent conspicuously lacks many of the hallmarks of sovereignty, we </w:t>
      </w:r>
      <w:r w:rsidR="00EA34C8">
        <w:rPr>
          <w:rFonts w:ascii="Century Schoolbook" w:hAnsi="Century Schoolbook"/>
        </w:rPr>
        <w:t>hol</w:t>
      </w:r>
      <w:r>
        <w:rPr>
          <w:rFonts w:ascii="Century Schoolbook" w:hAnsi="Century Schoolbook"/>
        </w:rPr>
        <w:t xml:space="preserve">d that the sovereign powers doctrine applies.  For </w:t>
      </w:r>
      <w:r>
        <w:rPr>
          <w:rFonts w:ascii="Century Schoolbook" w:hAnsi="Century Schoolbook"/>
        </w:rPr>
        <w:t xml:space="preserve">similar reasons, we are guided by precedent to </w:t>
      </w:r>
      <w:r w:rsidR="00EA34C8">
        <w:rPr>
          <w:rFonts w:ascii="Century Schoolbook" w:hAnsi="Century Schoolbook"/>
        </w:rPr>
        <w:t>conclude</w:t>
      </w:r>
      <w:r>
        <w:rPr>
          <w:rFonts w:ascii="Century Schoolbook" w:hAnsi="Century Schoolbook"/>
        </w:rPr>
        <w:t xml:space="preserve"> that respondent is not a “municipal corporation.”  (</w:t>
      </w:r>
      <w:r w:rsidRPr="00CF14F4">
        <w:rPr>
          <w:rFonts w:ascii="Century Schoolbook" w:hAnsi="Century Schoolbook"/>
          <w:bCs/>
        </w:rPr>
        <w:t>§</w:t>
      </w:r>
      <w:r>
        <w:rPr>
          <w:rFonts w:ascii="Century Schoolbook" w:hAnsi="Century Schoolbook"/>
          <w:bCs/>
        </w:rPr>
        <w:t xml:space="preserve"> </w:t>
      </w:r>
      <w:r>
        <w:rPr>
          <w:rFonts w:ascii="Century Schoolbook" w:hAnsi="Century Schoolbook"/>
        </w:rPr>
        <w:t>220, subd. (b).)  However, in the absence of such precedent, we do not exclude respondent from the category of “government</w:t>
      </w:r>
      <w:r w:rsidR="00975FD7">
        <w:rPr>
          <w:rFonts w:ascii="Century Schoolbook" w:hAnsi="Century Schoolbook"/>
        </w:rPr>
        <w:t>al</w:t>
      </w:r>
      <w:r>
        <w:rPr>
          <w:rFonts w:ascii="Century Schoolbook" w:hAnsi="Century Schoolbook"/>
        </w:rPr>
        <w:t xml:space="preserve"> entit[ies].”  (</w:t>
      </w:r>
      <w:r w:rsidRPr="00CF14F4">
        <w:rPr>
          <w:rFonts w:ascii="Century Schoolbook" w:hAnsi="Century Schoolbook"/>
          <w:bCs/>
        </w:rPr>
        <w:t>§</w:t>
      </w:r>
      <w:r>
        <w:rPr>
          <w:rFonts w:ascii="Century Schoolbook" w:hAnsi="Century Schoolbook"/>
          <w:bCs/>
        </w:rPr>
        <w:t xml:space="preserve"> </w:t>
      </w:r>
      <w:r>
        <w:rPr>
          <w:rFonts w:ascii="Century Schoolbook" w:hAnsi="Century Schoolbook"/>
        </w:rPr>
        <w:t xml:space="preserve">226, subd. (i).)  Finally, we hold that there are at least some Labor Code violations for which a PAGA suit against respondent may </w:t>
      </w:r>
      <w:r w:rsidR="0098689A">
        <w:rPr>
          <w:rFonts w:ascii="Century Schoolbook" w:hAnsi="Century Schoolbook"/>
        </w:rPr>
        <w:t>proceed</w:t>
      </w:r>
      <w:r>
        <w:rPr>
          <w:rFonts w:ascii="Century Schoolbook" w:hAnsi="Century Schoolbook"/>
        </w:rPr>
        <w:t>.</w:t>
      </w:r>
    </w:p>
    <w:p w:rsidR="006B335B" w:rsidP="004736E6" w14:paraId="313936BC" w14:textId="2AAB34F5">
      <w:pPr>
        <w:spacing w:line="360" w:lineRule="auto"/>
        <w:rPr>
          <w:rFonts w:ascii="Century Schoolbook" w:hAnsi="Century Schoolbook"/>
        </w:rPr>
      </w:pPr>
      <w:r>
        <w:rPr>
          <w:rFonts w:ascii="Century Schoolbook" w:hAnsi="Century Schoolbook"/>
        </w:rPr>
        <w:tab/>
      </w:r>
      <w:r w:rsidRPr="00CF14F4" w:rsidR="004408D8">
        <w:rPr>
          <w:rFonts w:ascii="Century Schoolbook" w:hAnsi="Century Schoolbook"/>
        </w:rPr>
        <w:t xml:space="preserve">In their first amended complaint against respondent Alameda Health System, appellants Tamelin Stone and Amanda Kunwar </w:t>
      </w:r>
      <w:r w:rsidR="00EA34C8">
        <w:rPr>
          <w:rFonts w:ascii="Century Schoolbook" w:hAnsi="Century Schoolbook"/>
        </w:rPr>
        <w:t>alleged</w:t>
      </w:r>
      <w:r w:rsidRPr="00CF14F4" w:rsidR="004408D8">
        <w:rPr>
          <w:rFonts w:ascii="Century Schoolbook" w:hAnsi="Century Schoolbook"/>
        </w:rPr>
        <w:t xml:space="preserve"> seven class action claims related to wages and hours</w:t>
      </w:r>
      <w:r w:rsidRPr="00CF14F4" w:rsidR="00CF14F4">
        <w:rPr>
          <w:rFonts w:ascii="Century Schoolbook" w:hAnsi="Century Schoolbook"/>
        </w:rPr>
        <w:t>,</w:t>
      </w:r>
      <w:r w:rsidRPr="00CF14F4" w:rsidR="004408D8">
        <w:rPr>
          <w:rFonts w:ascii="Century Schoolbook" w:hAnsi="Century Schoolbook"/>
        </w:rPr>
        <w:t xml:space="preserve"> and six individual claims for race and sex discrimination.</w:t>
      </w:r>
      <w:r>
        <w:rPr>
          <w:rStyle w:val="FootnoteReference"/>
          <w:rFonts w:ascii="Century Schoolbook" w:hAnsi="Century Schoolbook"/>
        </w:rPr>
        <w:footnoteReference w:id="3"/>
      </w:r>
      <w:r w:rsidRPr="00CF14F4" w:rsidR="004408D8">
        <w:rPr>
          <w:rFonts w:ascii="Century Schoolbook" w:hAnsi="Century Schoolbook"/>
        </w:rPr>
        <w:t xml:space="preserve">  When respondent demurred, the trial court sustained the demurrer as to </w:t>
      </w:r>
      <w:r w:rsidRPr="00CF14F4" w:rsidR="008403E4">
        <w:rPr>
          <w:rFonts w:ascii="Century Schoolbook" w:hAnsi="Century Schoolbook"/>
        </w:rPr>
        <w:t>all</w:t>
      </w:r>
      <w:r w:rsidRPr="00CF14F4" w:rsidR="004408D8">
        <w:rPr>
          <w:rFonts w:ascii="Century Schoolbook" w:hAnsi="Century Schoolbook"/>
        </w:rPr>
        <w:t xml:space="preserve"> seven class action claims</w:t>
      </w:r>
      <w:r w:rsidRPr="00CF14F4" w:rsidR="008403E4">
        <w:rPr>
          <w:rFonts w:ascii="Century Schoolbook" w:hAnsi="Century Schoolbook"/>
        </w:rPr>
        <w:t>.  With respect to the first six, the trial court</w:t>
      </w:r>
      <w:r w:rsidRPr="00CF14F4" w:rsidR="004408D8">
        <w:rPr>
          <w:rFonts w:ascii="Century Schoolbook" w:hAnsi="Century Schoolbook"/>
        </w:rPr>
        <w:t xml:space="preserve"> reason</w:t>
      </w:r>
      <w:r w:rsidRPr="00CF14F4" w:rsidR="008403E4">
        <w:rPr>
          <w:rFonts w:ascii="Century Schoolbook" w:hAnsi="Century Schoolbook"/>
        </w:rPr>
        <w:t>ed</w:t>
      </w:r>
      <w:r w:rsidRPr="00CF14F4" w:rsidR="004408D8">
        <w:rPr>
          <w:rFonts w:ascii="Century Schoolbook" w:hAnsi="Century Schoolbook"/>
        </w:rPr>
        <w:t xml:space="preserve"> that respondent was a “statutorily created public agency”</w:t>
      </w:r>
      <w:r w:rsidRPr="00CF14F4" w:rsidR="008403E4">
        <w:rPr>
          <w:rFonts w:ascii="Century Schoolbook" w:hAnsi="Century Schoolbook"/>
        </w:rPr>
        <w:t xml:space="preserve"> beyond the reach of the Labor Code</w:t>
      </w:r>
      <w:r>
        <w:rPr>
          <w:rStyle w:val="FootnoteReference"/>
          <w:rFonts w:ascii="Century Schoolbook" w:hAnsi="Century Schoolbook"/>
        </w:rPr>
        <w:footnoteReference w:id="4"/>
      </w:r>
      <w:r w:rsidRPr="00CF14F4" w:rsidR="008403E4">
        <w:rPr>
          <w:rFonts w:ascii="Century Schoolbook" w:hAnsi="Century Schoolbook"/>
        </w:rPr>
        <w:t xml:space="preserve"> sections and Industrial Welfare Commission</w:t>
      </w:r>
      <w:r w:rsidRPr="00CF14F4" w:rsidR="00492B4F">
        <w:rPr>
          <w:rFonts w:ascii="Century Schoolbook" w:hAnsi="Century Schoolbook"/>
        </w:rPr>
        <w:t xml:space="preserve"> (IWC)</w:t>
      </w:r>
      <w:r w:rsidRPr="00CF14F4" w:rsidR="008403E4">
        <w:rPr>
          <w:rFonts w:ascii="Century Schoolbook" w:hAnsi="Century Schoolbook"/>
        </w:rPr>
        <w:t xml:space="preserve"> Wage Order invoked in the complaint.  As to the seventh, </w:t>
      </w:r>
      <w:r w:rsidRPr="00CF14F4" w:rsidR="00492B4F">
        <w:rPr>
          <w:rFonts w:ascii="Century Schoolbook" w:hAnsi="Century Schoolbook"/>
        </w:rPr>
        <w:t xml:space="preserve">a </w:t>
      </w:r>
      <w:r w:rsidR="006945C9">
        <w:rPr>
          <w:rFonts w:ascii="Century Schoolbook" w:hAnsi="Century Schoolbook"/>
        </w:rPr>
        <w:t xml:space="preserve">PAGA </w:t>
      </w:r>
      <w:r w:rsidRPr="00CF14F4" w:rsidR="00492B4F">
        <w:rPr>
          <w:rFonts w:ascii="Century Schoolbook" w:hAnsi="Century Schoolbook"/>
        </w:rPr>
        <w:t xml:space="preserve">claim (PAGA, </w:t>
      </w:r>
      <w:r w:rsidRPr="00CF14F4" w:rsidR="00492B4F">
        <w:rPr>
          <w:rFonts w:ascii="Century Schoolbook" w:hAnsi="Century Schoolbook"/>
          <w:bCs/>
        </w:rPr>
        <w:t>§ 2698 et seq.</w:t>
      </w:r>
      <w:r w:rsidRPr="00CF14F4" w:rsidR="00492B4F">
        <w:rPr>
          <w:rFonts w:ascii="Century Schoolbook" w:hAnsi="Century Schoolbook"/>
        </w:rPr>
        <w:t xml:space="preserve">), the trial court held that such an action </w:t>
      </w:r>
      <w:r w:rsidRPr="00CF14F4" w:rsidR="00CF14F4">
        <w:rPr>
          <w:rFonts w:ascii="Century Schoolbook" w:hAnsi="Century Schoolbook"/>
        </w:rPr>
        <w:t>would</w:t>
      </w:r>
      <w:r w:rsidRPr="00CF14F4" w:rsidR="00492B4F">
        <w:rPr>
          <w:rFonts w:ascii="Century Schoolbook" w:hAnsi="Century Schoolbook"/>
        </w:rPr>
        <w:t xml:space="preserve"> not lie because respondent is not a “person” within the meaning of section 18, </w:t>
      </w:r>
      <w:r w:rsidRPr="00CF14F4" w:rsidR="00CF14F4">
        <w:rPr>
          <w:rFonts w:ascii="Century Schoolbook" w:hAnsi="Century Schoolbook"/>
        </w:rPr>
        <w:t xml:space="preserve">there was no underlying statutory violation from which the </w:t>
      </w:r>
      <w:r w:rsidRPr="00CF14F4" w:rsidR="00492B4F">
        <w:rPr>
          <w:rFonts w:ascii="Century Schoolbook" w:hAnsi="Century Schoolbook"/>
        </w:rPr>
        <w:t xml:space="preserve">PAGA claim </w:t>
      </w:r>
      <w:r w:rsidRPr="00CF14F4" w:rsidR="00CF14F4">
        <w:rPr>
          <w:rFonts w:ascii="Century Schoolbook" w:hAnsi="Century Schoolbook"/>
        </w:rPr>
        <w:t>could</w:t>
      </w:r>
      <w:r w:rsidRPr="00CF14F4" w:rsidR="00492B4F">
        <w:rPr>
          <w:rFonts w:ascii="Century Schoolbook" w:hAnsi="Century Schoolbook"/>
        </w:rPr>
        <w:t xml:space="preserve"> derive</w:t>
      </w:r>
      <w:r w:rsidRPr="00CF14F4" w:rsidR="00CF14F4">
        <w:rPr>
          <w:rFonts w:ascii="Century Schoolbook" w:hAnsi="Century Schoolbook"/>
        </w:rPr>
        <w:t xml:space="preserve">, and respondent’s “public agency” status exempted it from paying punitive damages. </w:t>
      </w:r>
    </w:p>
    <w:p w:rsidR="00E94D02" w:rsidRPr="00D450B2" w:rsidP="009125AC" w14:paraId="4F3EDD20" w14:textId="673A9BE5">
      <w:pPr>
        <w:spacing w:line="360" w:lineRule="auto"/>
        <w:rPr>
          <w:rFonts w:ascii="Century Schoolbook" w:hAnsi="Century Schoolbook"/>
          <w:highlight w:val="yellow"/>
        </w:rPr>
      </w:pPr>
      <w:r>
        <w:rPr>
          <w:rFonts w:ascii="Century Schoolbook" w:hAnsi="Century Schoolbook"/>
        </w:rPr>
        <w:tab/>
      </w:r>
      <w:r w:rsidRPr="00CF14F4" w:rsidR="00CF14F4">
        <w:rPr>
          <w:rFonts w:ascii="Century Schoolbook" w:hAnsi="Century Schoolbook"/>
        </w:rPr>
        <w:t>We disagree with th</w:t>
      </w:r>
      <w:r w:rsidR="001A4C0C">
        <w:rPr>
          <w:rFonts w:ascii="Century Schoolbook" w:hAnsi="Century Schoolbook"/>
        </w:rPr>
        <w:t>at</w:t>
      </w:r>
      <w:r w:rsidRPr="00CF14F4" w:rsidR="00CF14F4">
        <w:rPr>
          <w:rFonts w:ascii="Century Schoolbook" w:hAnsi="Century Schoolbook"/>
        </w:rPr>
        <w:t xml:space="preserve"> reasoning and therefore reverse the order as to the first, second, third, fifth, sixth</w:t>
      </w:r>
      <w:r w:rsidR="001A6B60">
        <w:rPr>
          <w:rFonts w:ascii="Century Schoolbook" w:hAnsi="Century Schoolbook"/>
        </w:rPr>
        <w:t>, and seventh</w:t>
      </w:r>
      <w:r w:rsidRPr="00CF14F4" w:rsidR="00CF14F4">
        <w:rPr>
          <w:rFonts w:ascii="Century Schoolbook" w:hAnsi="Century Schoolbook"/>
        </w:rPr>
        <w:t xml:space="preserve"> causes of action.  For the reasons given below, we affirm the order </w:t>
      </w:r>
      <w:r w:rsidR="009F7E32">
        <w:rPr>
          <w:rFonts w:ascii="Century Schoolbook" w:hAnsi="Century Schoolbook"/>
        </w:rPr>
        <w:t xml:space="preserve">sustaining the demurrer </w:t>
      </w:r>
      <w:r w:rsidRPr="00CF14F4" w:rsidR="00CF14F4">
        <w:rPr>
          <w:rFonts w:ascii="Century Schoolbook" w:hAnsi="Century Schoolbook"/>
        </w:rPr>
        <w:t>as to appellant’s fourth claim.</w:t>
      </w:r>
    </w:p>
    <w:p w:rsidR="008C77C9" w:rsidRPr="00DF16B3" w:rsidP="002C7AC5" w14:paraId="1D14FAB8" w14:textId="6D109E6C">
      <w:pPr>
        <w:keepNext/>
        <w:keepLines/>
        <w:spacing w:line="360" w:lineRule="auto"/>
        <w:jc w:val="center"/>
        <w:rPr>
          <w:rFonts w:ascii="Century Schoolbook" w:hAnsi="Century Schoolbook"/>
          <w:b/>
        </w:rPr>
      </w:pPr>
      <w:r w:rsidRPr="00DF16B3">
        <w:rPr>
          <w:rFonts w:ascii="Century Schoolbook" w:hAnsi="Century Schoolbook"/>
          <w:b/>
        </w:rPr>
        <w:t xml:space="preserve">I. </w:t>
      </w:r>
      <w:r w:rsidRPr="00DF16B3" w:rsidR="00FA7F49">
        <w:rPr>
          <w:rFonts w:ascii="Century Schoolbook" w:hAnsi="Century Schoolbook"/>
          <w:b/>
          <w:u w:val="single"/>
        </w:rPr>
        <w:t>BACKGROUND</w:t>
      </w:r>
    </w:p>
    <w:p w:rsidR="00294B36" w:rsidP="002C7AC5" w14:paraId="1657FF30" w14:textId="524A8FB3">
      <w:pPr>
        <w:keepNext/>
        <w:keepLines/>
        <w:spacing w:line="360" w:lineRule="auto"/>
        <w:rPr>
          <w:rFonts w:ascii="Century Schoolbook" w:hAnsi="Century Schoolbook"/>
        </w:rPr>
      </w:pPr>
      <w:r w:rsidRPr="00DF16B3">
        <w:rPr>
          <w:rFonts w:ascii="Century Schoolbook" w:hAnsi="Century Schoolbook"/>
        </w:rPr>
        <w:tab/>
      </w:r>
      <w:r w:rsidR="00453849">
        <w:rPr>
          <w:rFonts w:ascii="Century Schoolbook" w:hAnsi="Century Schoolbook"/>
        </w:rPr>
        <w:t xml:space="preserve">In response to “the challenges facing the Alameda County Medical Center </w:t>
      </w:r>
      <w:r w:rsidRPr="00453849" w:rsidR="00453849">
        <w:rPr>
          <w:rFonts w:ascii="Century Schoolbook" w:hAnsi="Century Schoolbook"/>
        </w:rPr>
        <w:t>arising from changes in the public and private health industries</w:t>
      </w:r>
      <w:r w:rsidR="00453849">
        <w:rPr>
          <w:rFonts w:ascii="Century Schoolbook" w:hAnsi="Century Schoolbook"/>
        </w:rPr>
        <w:t>,” the Legislature in 1997 enacted Health and Safety Code section 101850, authorizing the Alameda County Board of Supervisors “to create a hospital authority.”  (</w:t>
      </w:r>
      <w:r w:rsidR="00453849">
        <w:rPr>
          <w:rFonts w:ascii="Century Schoolbook" w:hAnsi="Century Schoolbook"/>
          <w:bCs/>
        </w:rPr>
        <w:t xml:space="preserve">Health &amp; Saf. Code, </w:t>
      </w:r>
      <w:r w:rsidRPr="00CF14F4" w:rsidR="00453849">
        <w:rPr>
          <w:rFonts w:ascii="Century Schoolbook" w:hAnsi="Century Schoolbook"/>
          <w:bCs/>
        </w:rPr>
        <w:t>§</w:t>
      </w:r>
      <w:r w:rsidR="00453849">
        <w:rPr>
          <w:rFonts w:ascii="Century Schoolbook" w:hAnsi="Century Schoolbook"/>
          <w:bCs/>
        </w:rPr>
        <w:t xml:space="preserve"> 101850,</w:t>
      </w:r>
      <w:r>
        <w:rPr>
          <w:rStyle w:val="FootnoteReference"/>
          <w:rFonts w:ascii="Century Schoolbook" w:hAnsi="Century Schoolbook"/>
          <w:bCs/>
        </w:rPr>
        <w:footnoteReference w:id="5"/>
      </w:r>
      <w:r w:rsidR="00453849">
        <w:rPr>
          <w:rFonts w:ascii="Century Schoolbook" w:hAnsi="Century Schoolbook"/>
          <w:bCs/>
        </w:rPr>
        <w:t xml:space="preserve"> subd. (a)(1).)  In turn, the Board of Supervisors created respondent</w:t>
      </w:r>
      <w:r w:rsidR="00300D29">
        <w:rPr>
          <w:rFonts w:ascii="Century Schoolbook" w:hAnsi="Century Schoolbook"/>
          <w:bCs/>
        </w:rPr>
        <w:t xml:space="preserve"> hospital authority</w:t>
      </w:r>
      <w:r w:rsidR="00497EBF">
        <w:rPr>
          <w:rFonts w:ascii="Century Schoolbook" w:hAnsi="Century Schoolbook"/>
          <w:bCs/>
        </w:rPr>
        <w:t xml:space="preserve"> to govern the various hospital facilities formerly known as the Alameda County Medical Center.</w:t>
      </w:r>
      <w:r>
        <w:rPr>
          <w:rStyle w:val="FootnoteReference"/>
          <w:rFonts w:ascii="Century Schoolbook" w:hAnsi="Century Schoolbook"/>
          <w:bCs/>
        </w:rPr>
        <w:footnoteReference w:id="6"/>
      </w:r>
      <w:r w:rsidR="00497EBF">
        <w:rPr>
          <w:rFonts w:ascii="Century Schoolbook" w:hAnsi="Century Schoolbook"/>
          <w:bCs/>
        </w:rPr>
        <w:t xml:space="preserve">  In so doing, the board deemed respondent “a public agency for purposes of eligibility with respect to grants and other funding and loan guarantee programs pursuant to” the enabling statute.</w:t>
      </w:r>
      <w:r w:rsidR="00300D29">
        <w:rPr>
          <w:rFonts w:ascii="Century Schoolbook" w:hAnsi="Century Schoolbook"/>
          <w:bCs/>
        </w:rPr>
        <w:t xml:space="preserve"> </w:t>
      </w:r>
    </w:p>
    <w:p w:rsidR="00497EBF" w:rsidRPr="00DD3B05" w:rsidP="00F26B78" w14:paraId="2F740926" w14:textId="70152376">
      <w:pPr>
        <w:spacing w:line="360" w:lineRule="auto"/>
        <w:rPr>
          <w:rFonts w:ascii="Century Schoolbook" w:hAnsi="Century Schoolbook"/>
        </w:rPr>
      </w:pPr>
      <w:r>
        <w:rPr>
          <w:rFonts w:ascii="Century Schoolbook" w:hAnsi="Century Schoolbook"/>
        </w:rPr>
        <w:tab/>
      </w:r>
      <w:r w:rsidR="00F512E0">
        <w:rPr>
          <w:rFonts w:ascii="Century Schoolbook" w:hAnsi="Century Schoolbook"/>
        </w:rPr>
        <w:t>A</w:t>
      </w:r>
      <w:r w:rsidRPr="00DF16B3" w:rsidR="00DF16B3">
        <w:rPr>
          <w:rFonts w:ascii="Century Schoolbook" w:hAnsi="Century Schoolbook"/>
        </w:rPr>
        <w:t xml:space="preserve">ppellants Stone and Kunwar worked </w:t>
      </w:r>
      <w:r>
        <w:rPr>
          <w:rFonts w:ascii="Century Schoolbook" w:hAnsi="Century Schoolbook"/>
        </w:rPr>
        <w:t xml:space="preserve">for respondent </w:t>
      </w:r>
      <w:r w:rsidRPr="00DF16B3" w:rsidR="00DF16B3">
        <w:rPr>
          <w:rFonts w:ascii="Century Schoolbook" w:hAnsi="Century Schoolbook"/>
        </w:rPr>
        <w:t xml:space="preserve">as a medical assistant and a </w:t>
      </w:r>
      <w:r w:rsidR="00504991">
        <w:rPr>
          <w:rFonts w:ascii="Century Schoolbook" w:hAnsi="Century Schoolbook"/>
        </w:rPr>
        <w:t>l</w:t>
      </w:r>
      <w:r w:rsidRPr="00DF16B3" w:rsidR="00504991">
        <w:rPr>
          <w:rFonts w:ascii="Century Schoolbook" w:hAnsi="Century Schoolbook"/>
        </w:rPr>
        <w:t xml:space="preserve">icensed </w:t>
      </w:r>
      <w:r w:rsidR="00504991">
        <w:rPr>
          <w:rFonts w:ascii="Century Schoolbook" w:hAnsi="Century Schoolbook"/>
        </w:rPr>
        <w:t>v</w:t>
      </w:r>
      <w:r w:rsidRPr="00DF16B3" w:rsidR="00504991">
        <w:rPr>
          <w:rFonts w:ascii="Century Schoolbook" w:hAnsi="Century Schoolbook"/>
        </w:rPr>
        <w:t xml:space="preserve">ocational </w:t>
      </w:r>
      <w:r w:rsidR="00504991">
        <w:rPr>
          <w:rFonts w:ascii="Century Schoolbook" w:hAnsi="Century Schoolbook"/>
        </w:rPr>
        <w:t>n</w:t>
      </w:r>
      <w:r w:rsidRPr="00DF16B3" w:rsidR="00504991">
        <w:rPr>
          <w:rFonts w:ascii="Century Schoolbook" w:hAnsi="Century Schoolbook"/>
        </w:rPr>
        <w:t>urse</w:t>
      </w:r>
      <w:r>
        <w:rPr>
          <w:rFonts w:ascii="Century Schoolbook" w:hAnsi="Century Schoolbook"/>
        </w:rPr>
        <w:t>, respectively</w:t>
      </w:r>
      <w:r w:rsidRPr="00DF16B3" w:rsidR="00DF16B3">
        <w:rPr>
          <w:rFonts w:ascii="Century Schoolbook" w:hAnsi="Century Schoolbook"/>
        </w:rPr>
        <w:t xml:space="preserve">.  </w:t>
      </w:r>
      <w:r w:rsidR="00D2453E">
        <w:rPr>
          <w:rFonts w:ascii="Century Schoolbook" w:hAnsi="Century Schoolbook"/>
        </w:rPr>
        <w:t>Their</w:t>
      </w:r>
      <w:r w:rsidR="00DF16B3">
        <w:rPr>
          <w:rFonts w:ascii="Century Schoolbook" w:hAnsi="Century Schoolbook"/>
        </w:rPr>
        <w:t xml:space="preserve"> </w:t>
      </w:r>
      <w:r w:rsidR="004420F2">
        <w:rPr>
          <w:rFonts w:ascii="Century Schoolbook" w:hAnsi="Century Schoolbook"/>
        </w:rPr>
        <w:t xml:space="preserve">first amended </w:t>
      </w:r>
      <w:r w:rsidR="00DF16B3">
        <w:rPr>
          <w:rFonts w:ascii="Century Schoolbook" w:hAnsi="Century Schoolbook"/>
        </w:rPr>
        <w:t xml:space="preserve">complaint </w:t>
      </w:r>
      <w:r w:rsidR="005E509E">
        <w:rPr>
          <w:rFonts w:ascii="Century Schoolbook" w:hAnsi="Century Schoolbook"/>
        </w:rPr>
        <w:t>alleged that</w:t>
      </w:r>
      <w:r w:rsidR="006B444F">
        <w:rPr>
          <w:rFonts w:ascii="Century Schoolbook" w:hAnsi="Century Schoolbook"/>
        </w:rPr>
        <w:t xml:space="preserve"> </w:t>
      </w:r>
      <w:r w:rsidR="00C977D1">
        <w:rPr>
          <w:rFonts w:ascii="Century Schoolbook" w:hAnsi="Century Schoolbook"/>
        </w:rPr>
        <w:t>respondent “automatically deducted ½ hour from each workday”</w:t>
      </w:r>
      <w:r w:rsidR="00F512E0">
        <w:rPr>
          <w:rFonts w:ascii="Century Schoolbook" w:hAnsi="Century Schoolbook"/>
        </w:rPr>
        <w:t xml:space="preserve"> as if to account for a meal period, when in fact, employees “were not allowed or discouraged from clocking out for meal periods.” </w:t>
      </w:r>
      <w:r w:rsidR="006E3017">
        <w:rPr>
          <w:rFonts w:ascii="Century Schoolbook" w:hAnsi="Century Schoolbook"/>
        </w:rPr>
        <w:t xml:space="preserve"> </w:t>
      </w:r>
      <w:r w:rsidR="00F512E0">
        <w:rPr>
          <w:rFonts w:ascii="Century Schoolbook" w:hAnsi="Century Schoolbook"/>
        </w:rPr>
        <w:t>This alleged conduct formed the basis of seven class action claims: (1)</w:t>
      </w:r>
      <w:r w:rsidR="00A931F8">
        <w:rPr>
          <w:rFonts w:ascii="Century Schoolbook" w:hAnsi="Century Schoolbook"/>
        </w:rPr>
        <w:t xml:space="preserve"> f</w:t>
      </w:r>
      <w:r w:rsidRPr="00A931F8" w:rsidR="00A931F8">
        <w:rPr>
          <w:rFonts w:ascii="Century Schoolbook" w:hAnsi="Century Schoolbook"/>
        </w:rPr>
        <w:t xml:space="preserve">ailure to </w:t>
      </w:r>
      <w:r w:rsidR="00A931F8">
        <w:rPr>
          <w:rFonts w:ascii="Century Schoolbook" w:hAnsi="Century Schoolbook"/>
        </w:rPr>
        <w:t>p</w:t>
      </w:r>
      <w:r w:rsidRPr="00A931F8" w:rsidR="00A931F8">
        <w:rPr>
          <w:rFonts w:ascii="Century Schoolbook" w:hAnsi="Century Schoolbook"/>
        </w:rPr>
        <w:t xml:space="preserve">rovide </w:t>
      </w:r>
      <w:r w:rsidR="00A931F8">
        <w:rPr>
          <w:rFonts w:ascii="Century Schoolbook" w:hAnsi="Century Schoolbook"/>
        </w:rPr>
        <w:t>o</w:t>
      </w:r>
      <w:r w:rsidRPr="00A931F8" w:rsidR="00A931F8">
        <w:rPr>
          <w:rFonts w:ascii="Century Schoolbook" w:hAnsi="Century Schoolbook"/>
        </w:rPr>
        <w:t>ff-</w:t>
      </w:r>
      <w:r w:rsidR="00A931F8">
        <w:rPr>
          <w:rFonts w:ascii="Century Schoolbook" w:hAnsi="Century Schoolbook"/>
        </w:rPr>
        <w:t>d</w:t>
      </w:r>
      <w:r w:rsidRPr="00A931F8" w:rsidR="00A931F8">
        <w:rPr>
          <w:rFonts w:ascii="Century Schoolbook" w:hAnsi="Century Schoolbook"/>
        </w:rPr>
        <w:t xml:space="preserve">uty </w:t>
      </w:r>
      <w:r w:rsidR="00A931F8">
        <w:rPr>
          <w:rFonts w:ascii="Century Schoolbook" w:hAnsi="Century Schoolbook"/>
        </w:rPr>
        <w:t>m</w:t>
      </w:r>
      <w:r w:rsidRPr="00A931F8" w:rsidR="00A931F8">
        <w:rPr>
          <w:rFonts w:ascii="Century Schoolbook" w:hAnsi="Century Schoolbook"/>
        </w:rPr>
        <w:t>eal</w:t>
      </w:r>
      <w:r w:rsidR="00A931F8">
        <w:rPr>
          <w:rFonts w:ascii="Century Schoolbook" w:hAnsi="Century Schoolbook"/>
        </w:rPr>
        <w:t xml:space="preserve"> p</w:t>
      </w:r>
      <w:r w:rsidRPr="00A931F8" w:rsidR="00A931F8">
        <w:rPr>
          <w:rFonts w:ascii="Century Schoolbook" w:hAnsi="Century Schoolbook"/>
        </w:rPr>
        <w:t>eriods (</w:t>
      </w:r>
      <w:r w:rsidRPr="00CF14F4" w:rsidR="00A931F8">
        <w:rPr>
          <w:rFonts w:ascii="Century Schoolbook" w:hAnsi="Century Schoolbook"/>
          <w:bCs/>
        </w:rPr>
        <w:t>§§</w:t>
      </w:r>
      <w:r w:rsidRPr="00A931F8" w:rsidR="00A931F8">
        <w:rPr>
          <w:rFonts w:ascii="Century Schoolbook" w:hAnsi="Century Schoolbook"/>
        </w:rPr>
        <w:t xml:space="preserve"> 226.7, 512; IWC Wage Order 5</w:t>
      </w:r>
      <w:r w:rsidR="00C96434">
        <w:rPr>
          <w:rFonts w:ascii="Century Schoolbook" w:hAnsi="Century Schoolbook"/>
        </w:rPr>
        <w:t xml:space="preserve"> (Wage Order)</w:t>
      </w:r>
      <w:r w:rsidRPr="00A931F8" w:rsidR="00A931F8">
        <w:rPr>
          <w:rFonts w:ascii="Century Schoolbook" w:hAnsi="Century Schoolbook"/>
        </w:rPr>
        <w:t>);</w:t>
      </w:r>
      <w:r w:rsidR="00A931F8">
        <w:rPr>
          <w:rFonts w:ascii="Century Schoolbook" w:hAnsi="Century Schoolbook"/>
        </w:rPr>
        <w:t xml:space="preserve"> (2) f</w:t>
      </w:r>
      <w:r w:rsidRPr="00A931F8" w:rsidR="00A931F8">
        <w:rPr>
          <w:rFonts w:ascii="Century Schoolbook" w:hAnsi="Century Schoolbook"/>
        </w:rPr>
        <w:t xml:space="preserve">ailure to </w:t>
      </w:r>
      <w:r w:rsidR="00A931F8">
        <w:rPr>
          <w:rFonts w:ascii="Century Schoolbook" w:hAnsi="Century Schoolbook"/>
        </w:rPr>
        <w:t>p</w:t>
      </w:r>
      <w:r w:rsidRPr="00A931F8" w:rsidR="00A931F8">
        <w:rPr>
          <w:rFonts w:ascii="Century Schoolbook" w:hAnsi="Century Schoolbook"/>
        </w:rPr>
        <w:t xml:space="preserve">rovide </w:t>
      </w:r>
      <w:r w:rsidR="00A931F8">
        <w:rPr>
          <w:rFonts w:ascii="Century Schoolbook" w:hAnsi="Century Schoolbook"/>
        </w:rPr>
        <w:t>o</w:t>
      </w:r>
      <w:r w:rsidRPr="00A931F8" w:rsidR="00A931F8">
        <w:rPr>
          <w:rFonts w:ascii="Century Schoolbook" w:hAnsi="Century Schoolbook"/>
        </w:rPr>
        <w:t>ff-</w:t>
      </w:r>
      <w:r w:rsidR="00A931F8">
        <w:rPr>
          <w:rFonts w:ascii="Century Schoolbook" w:hAnsi="Century Schoolbook"/>
        </w:rPr>
        <w:t>d</w:t>
      </w:r>
      <w:r w:rsidRPr="00A931F8" w:rsidR="00A931F8">
        <w:rPr>
          <w:rFonts w:ascii="Century Schoolbook" w:hAnsi="Century Schoolbook"/>
        </w:rPr>
        <w:t xml:space="preserve">uty </w:t>
      </w:r>
      <w:r w:rsidR="00A931F8">
        <w:rPr>
          <w:rFonts w:ascii="Century Schoolbook" w:hAnsi="Century Schoolbook"/>
        </w:rPr>
        <w:t>r</w:t>
      </w:r>
      <w:r w:rsidRPr="00A931F8" w:rsidR="00A931F8">
        <w:rPr>
          <w:rFonts w:ascii="Century Schoolbook" w:hAnsi="Century Schoolbook"/>
        </w:rPr>
        <w:t xml:space="preserve">est </w:t>
      </w:r>
      <w:r w:rsidR="00A931F8">
        <w:rPr>
          <w:rFonts w:ascii="Century Schoolbook" w:hAnsi="Century Schoolbook"/>
        </w:rPr>
        <w:t>b</w:t>
      </w:r>
      <w:r w:rsidRPr="00A931F8" w:rsidR="00A931F8">
        <w:rPr>
          <w:rFonts w:ascii="Century Schoolbook" w:hAnsi="Century Schoolbook"/>
        </w:rPr>
        <w:t>reaks</w:t>
      </w:r>
      <w:r w:rsidR="00A931F8">
        <w:rPr>
          <w:rFonts w:ascii="Century Schoolbook" w:hAnsi="Century Schoolbook"/>
        </w:rPr>
        <w:t xml:space="preserve"> </w:t>
      </w:r>
      <w:r w:rsidRPr="00A931F8" w:rsidR="00A931F8">
        <w:rPr>
          <w:rFonts w:ascii="Century Schoolbook" w:hAnsi="Century Schoolbook"/>
        </w:rPr>
        <w:t>(</w:t>
      </w:r>
      <w:r w:rsidRPr="00CF14F4" w:rsidR="00A931F8">
        <w:rPr>
          <w:rFonts w:ascii="Century Schoolbook" w:hAnsi="Century Schoolbook"/>
          <w:bCs/>
        </w:rPr>
        <w:t>§</w:t>
      </w:r>
      <w:r w:rsidR="00AE1BF7">
        <w:rPr>
          <w:rFonts w:ascii="Century Schoolbook" w:hAnsi="Century Schoolbook"/>
          <w:bCs/>
        </w:rPr>
        <w:t xml:space="preserve"> </w:t>
      </w:r>
      <w:r w:rsidRPr="00A931F8" w:rsidR="00A931F8">
        <w:rPr>
          <w:rFonts w:ascii="Century Schoolbook" w:hAnsi="Century Schoolbook"/>
        </w:rPr>
        <w:t>226.7, Wage Order);</w:t>
      </w:r>
      <w:r w:rsidR="00A931F8">
        <w:rPr>
          <w:rFonts w:ascii="Century Schoolbook" w:hAnsi="Century Schoolbook"/>
        </w:rPr>
        <w:t xml:space="preserve"> (3)</w:t>
      </w:r>
      <w:r w:rsidRPr="00A931F8" w:rsidR="00A931F8">
        <w:rPr>
          <w:rFonts w:ascii="Century Schoolbook" w:hAnsi="Century Schoolbook"/>
        </w:rPr>
        <w:t xml:space="preserve"> </w:t>
      </w:r>
      <w:r w:rsidR="00A931F8">
        <w:rPr>
          <w:rFonts w:ascii="Century Schoolbook" w:hAnsi="Century Schoolbook"/>
        </w:rPr>
        <w:t>f</w:t>
      </w:r>
      <w:r w:rsidRPr="00A931F8" w:rsidR="00A931F8">
        <w:rPr>
          <w:rFonts w:ascii="Century Schoolbook" w:hAnsi="Century Schoolbook"/>
        </w:rPr>
        <w:t xml:space="preserve">ailure to </w:t>
      </w:r>
      <w:r w:rsidR="00A931F8">
        <w:rPr>
          <w:rFonts w:ascii="Century Schoolbook" w:hAnsi="Century Schoolbook"/>
        </w:rPr>
        <w:t>k</w:t>
      </w:r>
      <w:r w:rsidRPr="00A931F8" w:rsidR="00A931F8">
        <w:rPr>
          <w:rFonts w:ascii="Century Schoolbook" w:hAnsi="Century Schoolbook"/>
        </w:rPr>
        <w:t xml:space="preserve">eep </w:t>
      </w:r>
      <w:r w:rsidR="00A931F8">
        <w:rPr>
          <w:rFonts w:ascii="Century Schoolbook" w:hAnsi="Century Schoolbook"/>
        </w:rPr>
        <w:t>a</w:t>
      </w:r>
      <w:r w:rsidRPr="00A931F8" w:rsidR="00A931F8">
        <w:rPr>
          <w:rFonts w:ascii="Century Schoolbook" w:hAnsi="Century Schoolbook"/>
        </w:rPr>
        <w:t xml:space="preserve">ccurate </w:t>
      </w:r>
      <w:r w:rsidR="00A931F8">
        <w:rPr>
          <w:rFonts w:ascii="Century Schoolbook" w:hAnsi="Century Schoolbook"/>
        </w:rPr>
        <w:t>p</w:t>
      </w:r>
      <w:r w:rsidRPr="00A931F8" w:rsidR="00A931F8">
        <w:rPr>
          <w:rFonts w:ascii="Century Schoolbook" w:hAnsi="Century Schoolbook"/>
        </w:rPr>
        <w:t xml:space="preserve">ayroll </w:t>
      </w:r>
      <w:r w:rsidR="00A931F8">
        <w:rPr>
          <w:rFonts w:ascii="Century Schoolbook" w:hAnsi="Century Schoolbook"/>
        </w:rPr>
        <w:t>r</w:t>
      </w:r>
      <w:r w:rsidRPr="00A931F8" w:rsidR="00A931F8">
        <w:rPr>
          <w:rFonts w:ascii="Century Schoolbook" w:hAnsi="Century Schoolbook"/>
        </w:rPr>
        <w:t>ecords</w:t>
      </w:r>
      <w:r w:rsidR="00A931F8">
        <w:rPr>
          <w:rFonts w:ascii="Century Schoolbook" w:hAnsi="Century Schoolbook"/>
        </w:rPr>
        <w:t xml:space="preserve"> (</w:t>
      </w:r>
      <w:r w:rsidRPr="00CF14F4" w:rsidR="00A931F8">
        <w:rPr>
          <w:rFonts w:ascii="Century Schoolbook" w:hAnsi="Century Schoolbook"/>
          <w:bCs/>
        </w:rPr>
        <w:t>§§</w:t>
      </w:r>
      <w:r w:rsidR="00A931F8">
        <w:rPr>
          <w:rFonts w:ascii="Century Schoolbook" w:hAnsi="Century Schoolbook"/>
          <w:bCs/>
        </w:rPr>
        <w:t xml:space="preserve"> </w:t>
      </w:r>
      <w:r w:rsidRPr="00A931F8" w:rsidR="00A931F8">
        <w:rPr>
          <w:rFonts w:ascii="Century Schoolbook" w:hAnsi="Century Schoolbook"/>
        </w:rPr>
        <w:t xml:space="preserve">1174, 1174.5, 1175; </w:t>
      </w:r>
      <w:r w:rsidR="00C0731D">
        <w:rPr>
          <w:rFonts w:ascii="Century Schoolbook" w:hAnsi="Century Schoolbook"/>
        </w:rPr>
        <w:t>Cal. Code Regs., tit. 8</w:t>
      </w:r>
      <w:r w:rsidR="00AE1BF7">
        <w:rPr>
          <w:rFonts w:ascii="Century Schoolbook" w:hAnsi="Century Schoolbook"/>
        </w:rPr>
        <w:t>,</w:t>
      </w:r>
      <w:r w:rsidR="005B7EE5">
        <w:rPr>
          <w:rFonts w:ascii="Century Schoolbook" w:hAnsi="Century Schoolbook"/>
        </w:rPr>
        <w:t xml:space="preserve"> </w:t>
      </w:r>
      <w:r w:rsidRPr="00A931F8" w:rsidR="00A931F8">
        <w:rPr>
          <w:rFonts w:ascii="Century Schoolbook" w:hAnsi="Century Schoolbook"/>
        </w:rPr>
        <w:t>§</w:t>
      </w:r>
      <w:r w:rsidR="00AE1BF7">
        <w:rPr>
          <w:rFonts w:ascii="Century Schoolbook" w:hAnsi="Century Schoolbook"/>
        </w:rPr>
        <w:t> </w:t>
      </w:r>
      <w:r w:rsidRPr="00A931F8" w:rsidR="00A931F8">
        <w:rPr>
          <w:rFonts w:ascii="Century Schoolbook" w:hAnsi="Century Schoolbook"/>
        </w:rPr>
        <w:t xml:space="preserve">11050); </w:t>
      </w:r>
      <w:r w:rsidR="00A931F8">
        <w:rPr>
          <w:rFonts w:ascii="Century Schoolbook" w:hAnsi="Century Schoolbook"/>
        </w:rPr>
        <w:t>(4)</w:t>
      </w:r>
      <w:r w:rsidRPr="00A931F8" w:rsidR="00A931F8">
        <w:rPr>
          <w:rFonts w:ascii="Century Schoolbook" w:hAnsi="Century Schoolbook"/>
        </w:rPr>
        <w:t xml:space="preserve"> </w:t>
      </w:r>
      <w:r w:rsidR="00A931F8">
        <w:rPr>
          <w:rFonts w:ascii="Century Schoolbook" w:hAnsi="Century Schoolbook"/>
        </w:rPr>
        <w:t>f</w:t>
      </w:r>
      <w:r w:rsidRPr="00A931F8" w:rsidR="00A931F8">
        <w:rPr>
          <w:rFonts w:ascii="Century Schoolbook" w:hAnsi="Century Schoolbook"/>
        </w:rPr>
        <w:t>ailure to</w:t>
      </w:r>
      <w:r w:rsidR="00A931F8">
        <w:rPr>
          <w:rFonts w:ascii="Century Schoolbook" w:hAnsi="Century Schoolbook"/>
        </w:rPr>
        <w:t xml:space="preserve"> p</w:t>
      </w:r>
      <w:r w:rsidRPr="00A931F8" w:rsidR="00A931F8">
        <w:rPr>
          <w:rFonts w:ascii="Century Schoolbook" w:hAnsi="Century Schoolbook"/>
        </w:rPr>
        <w:t xml:space="preserve">rovide </w:t>
      </w:r>
      <w:r w:rsidR="00A931F8">
        <w:rPr>
          <w:rFonts w:ascii="Century Schoolbook" w:hAnsi="Century Schoolbook"/>
        </w:rPr>
        <w:t>a</w:t>
      </w:r>
      <w:r w:rsidRPr="00A931F8" w:rsidR="00A931F8">
        <w:rPr>
          <w:rFonts w:ascii="Century Schoolbook" w:hAnsi="Century Schoolbook"/>
        </w:rPr>
        <w:t xml:space="preserve">ccurate </w:t>
      </w:r>
      <w:r w:rsidR="00A931F8">
        <w:rPr>
          <w:rFonts w:ascii="Century Schoolbook" w:hAnsi="Century Schoolbook"/>
        </w:rPr>
        <w:t>i</w:t>
      </w:r>
      <w:r w:rsidRPr="00A931F8" w:rsidR="00A931F8">
        <w:rPr>
          <w:rFonts w:ascii="Century Schoolbook" w:hAnsi="Century Schoolbook"/>
        </w:rPr>
        <w:t xml:space="preserve">temized </w:t>
      </w:r>
      <w:r w:rsidR="00A931F8">
        <w:rPr>
          <w:rFonts w:ascii="Century Schoolbook" w:hAnsi="Century Schoolbook"/>
        </w:rPr>
        <w:t>w</w:t>
      </w:r>
      <w:r w:rsidRPr="00A931F8" w:rsidR="00A931F8">
        <w:rPr>
          <w:rFonts w:ascii="Century Schoolbook" w:hAnsi="Century Schoolbook"/>
        </w:rPr>
        <w:t xml:space="preserve">age </w:t>
      </w:r>
      <w:r w:rsidR="00A931F8">
        <w:rPr>
          <w:rFonts w:ascii="Century Schoolbook" w:hAnsi="Century Schoolbook"/>
        </w:rPr>
        <w:t>s</w:t>
      </w:r>
      <w:r w:rsidRPr="00A931F8" w:rsidR="00A931F8">
        <w:rPr>
          <w:rFonts w:ascii="Century Schoolbook" w:hAnsi="Century Schoolbook"/>
        </w:rPr>
        <w:t>tatement</w:t>
      </w:r>
      <w:r w:rsidR="004420F2">
        <w:rPr>
          <w:rFonts w:ascii="Century Schoolbook" w:hAnsi="Century Schoolbook"/>
        </w:rPr>
        <w:t>s</w:t>
      </w:r>
      <w:r w:rsidRPr="00A931F8" w:rsidR="00A931F8">
        <w:rPr>
          <w:rFonts w:ascii="Century Schoolbook" w:hAnsi="Century Schoolbook"/>
        </w:rPr>
        <w:t xml:space="preserve"> (</w:t>
      </w:r>
      <w:r w:rsidRPr="00CF14F4" w:rsidR="00A931F8">
        <w:rPr>
          <w:rFonts w:ascii="Century Schoolbook" w:hAnsi="Century Schoolbook"/>
          <w:bCs/>
        </w:rPr>
        <w:t>§§</w:t>
      </w:r>
      <w:r w:rsidRPr="00A931F8" w:rsidR="00A931F8">
        <w:rPr>
          <w:rFonts w:ascii="Century Schoolbook" w:hAnsi="Century Schoolbook"/>
        </w:rPr>
        <w:t xml:space="preserve"> 226</w:t>
      </w:r>
      <w:r w:rsidR="005B7EE5">
        <w:rPr>
          <w:rFonts w:ascii="Century Schoolbook" w:hAnsi="Century Schoolbook"/>
        </w:rPr>
        <w:t xml:space="preserve">, </w:t>
      </w:r>
      <w:r w:rsidRPr="00A931F8" w:rsidR="00A931F8">
        <w:rPr>
          <w:rFonts w:ascii="Century Schoolbook" w:hAnsi="Century Schoolbook"/>
        </w:rPr>
        <w:t xml:space="preserve">226.3); </w:t>
      </w:r>
      <w:r w:rsidR="00A931F8">
        <w:rPr>
          <w:rFonts w:ascii="Century Schoolbook" w:hAnsi="Century Schoolbook"/>
        </w:rPr>
        <w:t>(5)</w:t>
      </w:r>
      <w:r w:rsidRPr="00A931F8" w:rsidR="00A931F8">
        <w:rPr>
          <w:rFonts w:ascii="Century Schoolbook" w:hAnsi="Century Schoolbook"/>
        </w:rPr>
        <w:t xml:space="preserve"> </w:t>
      </w:r>
      <w:r w:rsidR="00A931F8">
        <w:rPr>
          <w:rFonts w:ascii="Century Schoolbook" w:hAnsi="Century Schoolbook"/>
        </w:rPr>
        <w:t>u</w:t>
      </w:r>
      <w:r w:rsidRPr="00A931F8" w:rsidR="00A931F8">
        <w:rPr>
          <w:rFonts w:ascii="Century Schoolbook" w:hAnsi="Century Schoolbook"/>
        </w:rPr>
        <w:t xml:space="preserve">nlawful </w:t>
      </w:r>
      <w:r w:rsidR="00A931F8">
        <w:rPr>
          <w:rFonts w:ascii="Century Schoolbook" w:hAnsi="Century Schoolbook"/>
        </w:rPr>
        <w:t>f</w:t>
      </w:r>
      <w:r w:rsidRPr="00A931F8" w:rsidR="00A931F8">
        <w:rPr>
          <w:rFonts w:ascii="Century Schoolbook" w:hAnsi="Century Schoolbook"/>
        </w:rPr>
        <w:t xml:space="preserve">ailure to </w:t>
      </w:r>
      <w:r w:rsidR="00A931F8">
        <w:rPr>
          <w:rFonts w:ascii="Century Schoolbook" w:hAnsi="Century Schoolbook"/>
        </w:rPr>
        <w:t>p</w:t>
      </w:r>
      <w:r w:rsidRPr="00A931F8" w:rsidR="00A931F8">
        <w:rPr>
          <w:rFonts w:ascii="Century Schoolbook" w:hAnsi="Century Schoolbook"/>
        </w:rPr>
        <w:t>ay</w:t>
      </w:r>
      <w:r w:rsidR="00A931F8">
        <w:rPr>
          <w:rFonts w:ascii="Century Schoolbook" w:hAnsi="Century Schoolbook"/>
        </w:rPr>
        <w:t xml:space="preserve"> w</w:t>
      </w:r>
      <w:r w:rsidRPr="00A931F8" w:rsidR="00A931F8">
        <w:rPr>
          <w:rFonts w:ascii="Century Schoolbook" w:hAnsi="Century Schoolbook"/>
        </w:rPr>
        <w:t>ages (</w:t>
      </w:r>
      <w:r w:rsidRPr="00CF14F4" w:rsidR="00A931F8">
        <w:rPr>
          <w:rFonts w:ascii="Century Schoolbook" w:hAnsi="Century Schoolbook"/>
          <w:bCs/>
        </w:rPr>
        <w:t>§§</w:t>
      </w:r>
      <w:r w:rsidRPr="00A931F8" w:rsidR="00A931F8">
        <w:rPr>
          <w:rFonts w:ascii="Century Schoolbook" w:hAnsi="Century Schoolbook"/>
        </w:rPr>
        <w:t xml:space="preserve"> 204, 222, 223, 225.5, 218.6, 218.5, 510, 1194,</w:t>
      </w:r>
      <w:r w:rsidR="00A931F8">
        <w:rPr>
          <w:rFonts w:ascii="Century Schoolbook" w:hAnsi="Century Schoolbook"/>
        </w:rPr>
        <w:t xml:space="preserve"> </w:t>
      </w:r>
      <w:r w:rsidRPr="00A931F8" w:rsidR="00A931F8">
        <w:rPr>
          <w:rFonts w:ascii="Century Schoolbook" w:hAnsi="Century Schoolbook"/>
        </w:rPr>
        <w:t>1194.2</w:t>
      </w:r>
      <w:r w:rsidR="005B7EE5">
        <w:rPr>
          <w:rFonts w:ascii="Century Schoolbook" w:hAnsi="Century Schoolbook"/>
        </w:rPr>
        <w:t>,</w:t>
      </w:r>
      <w:r w:rsidRPr="00A931F8" w:rsidR="00A931F8">
        <w:rPr>
          <w:rFonts w:ascii="Century Schoolbook" w:hAnsi="Century Schoolbook"/>
        </w:rPr>
        <w:t xml:space="preserve"> and 1198); </w:t>
      </w:r>
      <w:r w:rsidR="00A931F8">
        <w:rPr>
          <w:rFonts w:ascii="Century Schoolbook" w:hAnsi="Century Schoolbook"/>
        </w:rPr>
        <w:t>(6) f</w:t>
      </w:r>
      <w:r w:rsidRPr="00A931F8" w:rsidR="00A931F8">
        <w:rPr>
          <w:rFonts w:ascii="Century Schoolbook" w:hAnsi="Century Schoolbook"/>
        </w:rPr>
        <w:t xml:space="preserve">ailure to </w:t>
      </w:r>
      <w:r w:rsidR="00A931F8">
        <w:rPr>
          <w:rFonts w:ascii="Century Schoolbook" w:hAnsi="Century Schoolbook"/>
        </w:rPr>
        <w:t>t</w:t>
      </w:r>
      <w:r w:rsidRPr="00A931F8" w:rsidR="00A931F8">
        <w:rPr>
          <w:rFonts w:ascii="Century Schoolbook" w:hAnsi="Century Schoolbook"/>
        </w:rPr>
        <w:t xml:space="preserve">imely </w:t>
      </w:r>
      <w:r w:rsidR="00A931F8">
        <w:rPr>
          <w:rFonts w:ascii="Century Schoolbook" w:hAnsi="Century Schoolbook"/>
        </w:rPr>
        <w:t>p</w:t>
      </w:r>
      <w:r w:rsidRPr="00A931F8" w:rsidR="00A931F8">
        <w:rPr>
          <w:rFonts w:ascii="Century Schoolbook" w:hAnsi="Century Schoolbook"/>
        </w:rPr>
        <w:t>ay</w:t>
      </w:r>
      <w:r w:rsidR="005B7EE5">
        <w:rPr>
          <w:rFonts w:ascii="Century Schoolbook" w:hAnsi="Century Schoolbook"/>
        </w:rPr>
        <w:t xml:space="preserve"> </w:t>
      </w:r>
      <w:r w:rsidR="00A931F8">
        <w:rPr>
          <w:rFonts w:ascii="Century Schoolbook" w:hAnsi="Century Schoolbook"/>
        </w:rPr>
        <w:t>w</w:t>
      </w:r>
      <w:r w:rsidRPr="00A931F8" w:rsidR="00A931F8">
        <w:rPr>
          <w:rFonts w:ascii="Century Schoolbook" w:hAnsi="Century Schoolbook"/>
        </w:rPr>
        <w:t>ages (</w:t>
      </w:r>
      <w:r w:rsidRPr="00CF14F4" w:rsidR="00A931F8">
        <w:rPr>
          <w:rFonts w:ascii="Century Schoolbook" w:hAnsi="Century Schoolbook"/>
          <w:bCs/>
        </w:rPr>
        <w:t>§§</w:t>
      </w:r>
      <w:r w:rsidRPr="00A931F8" w:rsidR="00A931F8">
        <w:rPr>
          <w:rFonts w:ascii="Century Schoolbook" w:hAnsi="Century Schoolbook"/>
        </w:rPr>
        <w:t xml:space="preserve"> 204, 210, 222, 223, 225.5, 218.6, 218.5);</w:t>
      </w:r>
      <w:r w:rsidR="00A931F8">
        <w:rPr>
          <w:rFonts w:ascii="Century Schoolbook" w:hAnsi="Century Schoolbook"/>
        </w:rPr>
        <w:t xml:space="preserve"> and (7) </w:t>
      </w:r>
      <w:r w:rsidR="005B7EE5">
        <w:rPr>
          <w:rFonts w:ascii="Century Schoolbook" w:hAnsi="Century Schoolbook"/>
        </w:rPr>
        <w:t>PAGA (</w:t>
      </w:r>
      <w:r w:rsidRPr="00CF14F4" w:rsidR="005B7EE5">
        <w:rPr>
          <w:rFonts w:ascii="Century Schoolbook" w:hAnsi="Century Schoolbook"/>
          <w:bCs/>
        </w:rPr>
        <w:t>§ 2698 et seq.</w:t>
      </w:r>
      <w:r w:rsidR="005B7EE5">
        <w:rPr>
          <w:rFonts w:ascii="Century Schoolbook" w:hAnsi="Century Schoolbook"/>
          <w:bCs/>
        </w:rPr>
        <w:t>).</w:t>
      </w:r>
      <w:r w:rsidR="004420F2">
        <w:rPr>
          <w:rFonts w:ascii="Century Schoolbook" w:hAnsi="Century Schoolbook"/>
          <w:bCs/>
        </w:rPr>
        <w:t xml:space="preserve"> </w:t>
      </w:r>
    </w:p>
    <w:p w:rsidR="00A931F8" w:rsidP="00F26B78" w14:paraId="54FE420C" w14:textId="40FDB0F6">
      <w:pPr>
        <w:spacing w:line="360" w:lineRule="auto"/>
        <w:rPr>
          <w:rFonts w:ascii="Century Schoolbook" w:hAnsi="Century Schoolbook"/>
        </w:rPr>
      </w:pPr>
      <w:r w:rsidRPr="00DD3B05">
        <w:rPr>
          <w:rFonts w:ascii="Century Schoolbook" w:hAnsi="Century Schoolbook"/>
        </w:rPr>
        <w:tab/>
      </w:r>
      <w:r w:rsidRPr="00DD3B05" w:rsidR="005B7EE5">
        <w:rPr>
          <w:rFonts w:ascii="Century Schoolbook" w:hAnsi="Century Schoolbook"/>
        </w:rPr>
        <w:t xml:space="preserve">Respondent </w:t>
      </w:r>
      <w:r w:rsidRPr="00DD3B05" w:rsidR="004420F2">
        <w:rPr>
          <w:rFonts w:ascii="Century Schoolbook" w:hAnsi="Century Schoolbook"/>
        </w:rPr>
        <w:t xml:space="preserve">demurred, arguing that the first six claims </w:t>
      </w:r>
      <w:r w:rsidRPr="00DD3B05" w:rsidR="00D2453E">
        <w:rPr>
          <w:rFonts w:ascii="Century Schoolbook" w:hAnsi="Century Schoolbook"/>
        </w:rPr>
        <w:t xml:space="preserve">were </w:t>
      </w:r>
      <w:r w:rsidRPr="00DD3B05" w:rsidR="004420F2">
        <w:rPr>
          <w:rFonts w:ascii="Century Schoolbook" w:hAnsi="Century Schoolbook"/>
        </w:rPr>
        <w:t xml:space="preserve">“not authorized against public entities under any of the cited Labor Code sections.”  </w:t>
      </w:r>
      <w:r w:rsidR="004420F2">
        <w:rPr>
          <w:rFonts w:ascii="Century Schoolbook" w:hAnsi="Century Schoolbook"/>
        </w:rPr>
        <w:t xml:space="preserve">As to the seventh claim, respondent contended that it was not a “person” capable of being sued under PAGA, that the “PAGA claim [was] derivative of” the first six </w:t>
      </w:r>
      <w:r w:rsidR="006E3017">
        <w:rPr>
          <w:rFonts w:ascii="Century Schoolbook" w:hAnsi="Century Schoolbook"/>
        </w:rPr>
        <w:t xml:space="preserve">unauthorized </w:t>
      </w:r>
      <w:r w:rsidR="004420F2">
        <w:rPr>
          <w:rFonts w:ascii="Century Schoolbook" w:hAnsi="Century Schoolbook"/>
        </w:rPr>
        <w:t>claims</w:t>
      </w:r>
      <w:r w:rsidR="006E3017">
        <w:rPr>
          <w:rFonts w:ascii="Century Schoolbook" w:hAnsi="Century Schoolbook"/>
        </w:rPr>
        <w:t xml:space="preserve">, and that Government Code section 818 exempted respondent from liability.  </w:t>
      </w:r>
      <w:r w:rsidR="00294B36">
        <w:rPr>
          <w:rFonts w:ascii="Century Schoolbook" w:hAnsi="Century Schoolbook"/>
        </w:rPr>
        <w:t xml:space="preserve">Crediting </w:t>
      </w:r>
      <w:r w:rsidR="00D2453E">
        <w:rPr>
          <w:rFonts w:ascii="Century Schoolbook" w:hAnsi="Century Schoolbook"/>
        </w:rPr>
        <w:t>respondent’s</w:t>
      </w:r>
      <w:r w:rsidR="00294B36">
        <w:rPr>
          <w:rFonts w:ascii="Century Schoolbook" w:hAnsi="Century Schoolbook"/>
        </w:rPr>
        <w:t xml:space="preserve"> arguments</w:t>
      </w:r>
      <w:r w:rsidR="006E3017">
        <w:rPr>
          <w:rFonts w:ascii="Century Schoolbook" w:hAnsi="Century Schoolbook"/>
        </w:rPr>
        <w:t xml:space="preserve">, the trial court ultimately sustained the demurrer as to all seven class action </w:t>
      </w:r>
      <w:r w:rsidR="00A90D47">
        <w:rPr>
          <w:rFonts w:ascii="Century Schoolbook" w:hAnsi="Century Schoolbook"/>
        </w:rPr>
        <w:t xml:space="preserve">Labor Code </w:t>
      </w:r>
      <w:r w:rsidR="006E3017">
        <w:rPr>
          <w:rFonts w:ascii="Century Schoolbook" w:hAnsi="Century Schoolbook"/>
        </w:rPr>
        <w:t xml:space="preserve">claims, leaving </w:t>
      </w:r>
      <w:r w:rsidR="00D2453E">
        <w:rPr>
          <w:rFonts w:ascii="Century Schoolbook" w:hAnsi="Century Schoolbook"/>
        </w:rPr>
        <w:t xml:space="preserve">intact </w:t>
      </w:r>
      <w:r w:rsidR="006E3017">
        <w:rPr>
          <w:rFonts w:ascii="Century Schoolbook" w:hAnsi="Century Schoolbook"/>
        </w:rPr>
        <w:t xml:space="preserve">only </w:t>
      </w:r>
      <w:r w:rsidR="00D2453E">
        <w:rPr>
          <w:rFonts w:ascii="Century Schoolbook" w:hAnsi="Century Schoolbook"/>
        </w:rPr>
        <w:t>a few</w:t>
      </w:r>
      <w:r w:rsidR="006E3017">
        <w:rPr>
          <w:rFonts w:ascii="Century Schoolbook" w:hAnsi="Century Schoolbook"/>
        </w:rPr>
        <w:t xml:space="preserve"> of the complaint’s individual </w:t>
      </w:r>
      <w:r w:rsidR="00A90D47">
        <w:rPr>
          <w:rFonts w:ascii="Century Schoolbook" w:hAnsi="Century Schoolbook"/>
        </w:rPr>
        <w:t xml:space="preserve">race and sex discrimination </w:t>
      </w:r>
      <w:r w:rsidR="006E3017">
        <w:rPr>
          <w:rFonts w:ascii="Century Schoolbook" w:hAnsi="Century Schoolbook"/>
        </w:rPr>
        <w:t xml:space="preserve">claims. </w:t>
      </w:r>
    </w:p>
    <w:p w:rsidR="006E3017" w:rsidP="00F26B78" w14:paraId="6CC2AE97" w14:textId="6F402040">
      <w:pPr>
        <w:spacing w:line="360" w:lineRule="auto"/>
        <w:rPr>
          <w:rFonts w:ascii="Century Schoolbook" w:hAnsi="Century Schoolbook"/>
        </w:rPr>
      </w:pPr>
      <w:r>
        <w:rPr>
          <w:rFonts w:ascii="Century Schoolbook" w:hAnsi="Century Schoolbook"/>
        </w:rPr>
        <w:tab/>
        <w:t>This appeal followed.</w:t>
      </w:r>
    </w:p>
    <w:p w:rsidR="00C1723E" w:rsidRPr="00727626" w:rsidP="00505E8B" w14:paraId="74114641" w14:textId="03F19A40">
      <w:pPr>
        <w:pStyle w:val="ListParagraph"/>
        <w:keepNext/>
        <w:spacing w:line="360" w:lineRule="auto"/>
        <w:ind w:left="360"/>
        <w:jc w:val="center"/>
        <w:rPr>
          <w:rFonts w:ascii="Century Schoolbook" w:hAnsi="Century Schoolbook"/>
          <w:b/>
          <w:u w:val="single"/>
        </w:rPr>
      </w:pPr>
      <w:r w:rsidRPr="00727626">
        <w:rPr>
          <w:rFonts w:ascii="Century Schoolbook" w:hAnsi="Century Schoolbook"/>
          <w:b/>
        </w:rPr>
        <w:t xml:space="preserve">II. </w:t>
      </w:r>
      <w:r w:rsidRPr="00727626">
        <w:rPr>
          <w:rFonts w:ascii="Century Schoolbook" w:hAnsi="Century Schoolbook"/>
          <w:b/>
          <w:u w:val="single"/>
        </w:rPr>
        <w:t>DISCUSSION</w:t>
      </w:r>
    </w:p>
    <w:p w:rsidR="00F918AD" w:rsidP="00505E8B" w14:paraId="7C0D18CC" w14:textId="670D45DB">
      <w:pPr>
        <w:keepNext/>
        <w:spacing w:line="360" w:lineRule="auto"/>
        <w:rPr>
          <w:rFonts w:ascii="Century Schoolbook" w:hAnsi="Century Schoolbook"/>
          <w:b/>
          <w:bCs/>
        </w:rPr>
      </w:pPr>
      <w:r w:rsidRPr="00727626">
        <w:rPr>
          <w:rFonts w:ascii="Century Schoolbook" w:hAnsi="Century Schoolbook"/>
          <w:b/>
          <w:bCs/>
        </w:rPr>
        <w:tab/>
      </w:r>
      <w:r w:rsidRPr="00C24650">
        <w:rPr>
          <w:rFonts w:ascii="Century Schoolbook" w:hAnsi="Century Schoolbook"/>
          <w:b/>
          <w:bCs/>
        </w:rPr>
        <w:t>A</w:t>
      </w:r>
      <w:r w:rsidRPr="00C24650" w:rsidR="00B617B3">
        <w:rPr>
          <w:rFonts w:ascii="Century Schoolbook" w:hAnsi="Century Schoolbook"/>
          <w:b/>
          <w:bCs/>
        </w:rPr>
        <w:t>.</w:t>
      </w:r>
      <w:r w:rsidRPr="00C24650">
        <w:rPr>
          <w:rFonts w:ascii="Century Schoolbook" w:hAnsi="Century Schoolbook"/>
          <w:b/>
          <w:bCs/>
        </w:rPr>
        <w:t xml:space="preserve">  </w:t>
      </w:r>
      <w:r w:rsidRPr="00C24650">
        <w:rPr>
          <w:rFonts w:ascii="Century Schoolbook" w:hAnsi="Century Schoolbook"/>
          <w:b/>
          <w:bCs/>
          <w:u w:val="single"/>
        </w:rPr>
        <w:t>Appealability</w:t>
      </w:r>
    </w:p>
    <w:p w:rsidR="00A90D47" w:rsidP="004C1084" w14:paraId="043A869D" w14:textId="1CE0B291">
      <w:pPr>
        <w:spacing w:line="360" w:lineRule="auto"/>
        <w:rPr>
          <w:rFonts w:ascii="Century Schoolbook" w:hAnsi="Century Schoolbook"/>
        </w:rPr>
      </w:pPr>
      <w:r>
        <w:rPr>
          <w:rFonts w:ascii="Century Schoolbook" w:hAnsi="Century Schoolbook"/>
          <w:b/>
          <w:bCs/>
        </w:rPr>
        <w:tab/>
      </w:r>
      <w:r>
        <w:rPr>
          <w:rFonts w:ascii="Century Schoolbook" w:hAnsi="Century Schoolbook"/>
        </w:rPr>
        <w:t xml:space="preserve">Under the “death knell” doctrine, </w:t>
      </w:r>
      <w:r w:rsidR="00D06EA0">
        <w:rPr>
          <w:rFonts w:ascii="Century Schoolbook" w:hAnsi="Century Schoolbook"/>
        </w:rPr>
        <w:t>“a</w:t>
      </w:r>
      <w:r w:rsidRPr="00D06EA0" w:rsidR="00D06EA0">
        <w:rPr>
          <w:rFonts w:ascii="Century Schoolbook" w:hAnsi="Century Schoolbook"/>
        </w:rPr>
        <w:t xml:space="preserve">n order is appealable when </w:t>
      </w:r>
      <w:r w:rsidR="00D06EA0">
        <w:rPr>
          <w:rFonts w:ascii="Century Schoolbook" w:hAnsi="Century Schoolbook"/>
        </w:rPr>
        <w:t>‘</w:t>
      </w:r>
      <w:r w:rsidRPr="00D06EA0" w:rsidR="00D06EA0">
        <w:rPr>
          <w:rFonts w:ascii="Century Schoolbook" w:hAnsi="Century Schoolbook"/>
        </w:rPr>
        <w:t xml:space="preserve">it effectively terminates the entire action as to [a] class, in legal effect being </w:t>
      </w:r>
      <w:r w:rsidR="00D06EA0">
        <w:rPr>
          <w:rFonts w:ascii="Century Schoolbook" w:hAnsi="Century Schoolbook"/>
        </w:rPr>
        <w:t>“</w:t>
      </w:r>
      <w:r w:rsidRPr="00D06EA0" w:rsidR="00D06EA0">
        <w:rPr>
          <w:rFonts w:ascii="Century Schoolbook" w:hAnsi="Century Schoolbook"/>
        </w:rPr>
        <w:t>tantamount to a dismissal of the action as to all members of the class other than plaintiff.</w:t>
      </w:r>
      <w:r w:rsidR="00D06EA0">
        <w:rPr>
          <w:rFonts w:ascii="Century Schoolbook" w:hAnsi="Century Schoolbook"/>
        </w:rPr>
        <w:t>”</w:t>
      </w:r>
      <w:r w:rsidR="00997CDA">
        <w:rPr>
          <w:rFonts w:ascii="Century Schoolbook" w:hAnsi="Century Schoolbook"/>
        </w:rPr>
        <w:t> </w:t>
      </w:r>
      <w:r w:rsidR="00D06EA0">
        <w:rPr>
          <w:rFonts w:ascii="Century Schoolbook" w:hAnsi="Century Schoolbook"/>
        </w:rPr>
        <w:t>’</w:t>
      </w:r>
      <w:r w:rsidR="00997CDA">
        <w:rPr>
          <w:rFonts w:ascii="Century Schoolbook" w:hAnsi="Century Schoolbook"/>
        </w:rPr>
        <w:t> </w:t>
      </w:r>
      <w:r w:rsidR="00D06EA0">
        <w:rPr>
          <w:rFonts w:ascii="Century Schoolbook" w:hAnsi="Century Schoolbook"/>
        </w:rPr>
        <w:t>”  (</w:t>
      </w:r>
      <w:r w:rsidRPr="00D06EA0" w:rsidR="00D06EA0">
        <w:rPr>
          <w:rFonts w:ascii="Century Schoolbook" w:hAnsi="Century Schoolbook"/>
          <w:i/>
          <w:iCs/>
        </w:rPr>
        <w:t>Williams v. Impax Laboratories, Inc.</w:t>
      </w:r>
      <w:r w:rsidR="00D06EA0">
        <w:rPr>
          <w:rFonts w:ascii="Century Schoolbook" w:hAnsi="Century Schoolbook"/>
        </w:rPr>
        <w:t xml:space="preserve"> (2019)</w:t>
      </w:r>
      <w:r w:rsidRPr="00D06EA0" w:rsidR="00D06EA0">
        <w:rPr>
          <w:rFonts w:ascii="Century Schoolbook" w:hAnsi="Century Schoolbook"/>
        </w:rPr>
        <w:t xml:space="preserve"> 41</w:t>
      </w:r>
      <w:r w:rsidR="00D06EA0">
        <w:rPr>
          <w:rFonts w:ascii="Century Schoolbook" w:hAnsi="Century Schoolbook"/>
        </w:rPr>
        <w:t xml:space="preserve"> </w:t>
      </w:r>
      <w:r w:rsidRPr="00D06EA0" w:rsidR="00D06EA0">
        <w:rPr>
          <w:rFonts w:ascii="Century Schoolbook" w:hAnsi="Century Schoolbook"/>
        </w:rPr>
        <w:t>Cal.App.5th 1060, 1066</w:t>
      </w:r>
      <w:r w:rsidR="00D06EA0">
        <w:rPr>
          <w:rFonts w:ascii="Century Schoolbook" w:hAnsi="Century Schoolbook"/>
        </w:rPr>
        <w:t>.</w:t>
      </w:r>
      <w:r w:rsidRPr="00D06EA0" w:rsidR="00D06EA0">
        <w:rPr>
          <w:rFonts w:ascii="Century Schoolbook" w:hAnsi="Century Schoolbook"/>
        </w:rPr>
        <w:t>)</w:t>
      </w:r>
      <w:r w:rsidR="00D06EA0">
        <w:rPr>
          <w:rFonts w:ascii="Century Schoolbook" w:hAnsi="Century Schoolbook"/>
        </w:rPr>
        <w:t xml:space="preserve">  Here, although appellants’ individual claims for race and sex discrimination survive, the trial court’s order sustaining respondent’s demurrer as to all seven class action claims under the Labor Code terminated </w:t>
      </w:r>
      <w:r w:rsidR="004C1084">
        <w:rPr>
          <w:rFonts w:ascii="Century Schoolbook" w:hAnsi="Century Schoolbook"/>
        </w:rPr>
        <w:t>the action as to all members of the class, rendering the order directly appealable.</w:t>
      </w:r>
      <w:r w:rsidR="00B0031E">
        <w:rPr>
          <w:rFonts w:ascii="Century Schoolbook" w:hAnsi="Century Schoolbook"/>
        </w:rPr>
        <w:t xml:space="preserve"> </w:t>
      </w:r>
    </w:p>
    <w:p w:rsidR="004C1084" w:rsidP="004C1084" w14:paraId="1CBD24CF" w14:textId="6ADF7997">
      <w:pPr>
        <w:spacing w:line="360" w:lineRule="auto"/>
        <w:rPr>
          <w:rFonts w:ascii="Century Schoolbook" w:hAnsi="Century Schoolbook"/>
        </w:rPr>
      </w:pPr>
      <w:r>
        <w:rPr>
          <w:rFonts w:ascii="Century Schoolbook" w:hAnsi="Century Schoolbook"/>
        </w:rPr>
        <w:tab/>
        <w:t xml:space="preserve">In support of its argument against applying the death knell doctrine, respondent cites </w:t>
      </w:r>
      <w:r w:rsidRPr="004C1084">
        <w:rPr>
          <w:rFonts w:ascii="Century Schoolbook" w:hAnsi="Century Schoolbook"/>
          <w:i/>
          <w:iCs/>
        </w:rPr>
        <w:t>Young v. RemX, Inc.</w:t>
      </w:r>
      <w:r>
        <w:rPr>
          <w:rFonts w:ascii="Century Schoolbook" w:hAnsi="Century Schoolbook"/>
          <w:i/>
          <w:iCs/>
        </w:rPr>
        <w:t xml:space="preserve"> </w:t>
      </w:r>
      <w:r w:rsidRPr="004C1084">
        <w:rPr>
          <w:rFonts w:ascii="Century Schoolbook" w:hAnsi="Century Schoolbook"/>
        </w:rPr>
        <w:t xml:space="preserve">(2016) 2 Cal.App.5th 630, </w:t>
      </w:r>
      <w:r w:rsidRPr="004C1084">
        <w:rPr>
          <w:rFonts w:ascii="Century Schoolbook" w:hAnsi="Century Schoolbook"/>
          <w:i/>
          <w:iCs/>
        </w:rPr>
        <w:t>Munoz v. Chipotle</w:t>
      </w:r>
      <w:r>
        <w:rPr>
          <w:rFonts w:ascii="Century Schoolbook" w:hAnsi="Century Schoolbook"/>
          <w:i/>
          <w:iCs/>
        </w:rPr>
        <w:t xml:space="preserve"> </w:t>
      </w:r>
      <w:r w:rsidRPr="004C1084">
        <w:rPr>
          <w:rFonts w:ascii="Century Schoolbook" w:hAnsi="Century Schoolbook"/>
          <w:i/>
          <w:iCs/>
        </w:rPr>
        <w:t>Mexican Grill, Inc.</w:t>
      </w:r>
      <w:r w:rsidRPr="004C1084">
        <w:rPr>
          <w:rFonts w:ascii="Century Schoolbook" w:hAnsi="Century Schoolbook"/>
        </w:rPr>
        <w:t xml:space="preserve"> (2015) 238 Cal.App.4th 291</w:t>
      </w:r>
      <w:r>
        <w:rPr>
          <w:rFonts w:ascii="Century Schoolbook" w:hAnsi="Century Schoolbook"/>
        </w:rPr>
        <w:t xml:space="preserve">, and </w:t>
      </w:r>
      <w:r w:rsidRPr="004C1084">
        <w:rPr>
          <w:rFonts w:ascii="Century Schoolbook" w:hAnsi="Century Schoolbook"/>
          <w:i/>
          <w:iCs/>
        </w:rPr>
        <w:t>Haro v. City of Rosemead</w:t>
      </w:r>
      <w:r>
        <w:rPr>
          <w:rFonts w:ascii="Century Schoolbook" w:hAnsi="Century Schoolbook"/>
        </w:rPr>
        <w:t xml:space="preserve"> </w:t>
      </w:r>
      <w:r w:rsidRPr="004C1084">
        <w:rPr>
          <w:rFonts w:ascii="Century Schoolbook" w:hAnsi="Century Schoolbook"/>
        </w:rPr>
        <w:t>(2009)</w:t>
      </w:r>
      <w:r>
        <w:rPr>
          <w:rFonts w:ascii="Century Schoolbook" w:hAnsi="Century Schoolbook"/>
        </w:rPr>
        <w:t xml:space="preserve"> </w:t>
      </w:r>
      <w:r w:rsidRPr="004C1084">
        <w:rPr>
          <w:rFonts w:ascii="Century Schoolbook" w:hAnsi="Century Schoolbook"/>
        </w:rPr>
        <w:t>174 Cal.App.4th 1067</w:t>
      </w:r>
      <w:r>
        <w:rPr>
          <w:rFonts w:ascii="Century Schoolbook" w:hAnsi="Century Schoolbook"/>
        </w:rPr>
        <w:t xml:space="preserve">, all of which are distinguishable.  In those cases, specific causes of action that appeared in the complaint as class action claims survived to be litigated as individual claims.  Here, no cause of action that was pleaded as </w:t>
      </w:r>
      <w:r w:rsidR="0092244A">
        <w:rPr>
          <w:rFonts w:ascii="Century Schoolbook" w:hAnsi="Century Schoolbook"/>
        </w:rPr>
        <w:t xml:space="preserve">a </w:t>
      </w:r>
      <w:r>
        <w:rPr>
          <w:rFonts w:ascii="Century Schoolbook" w:hAnsi="Century Schoolbook"/>
        </w:rPr>
        <w:t>class action claim remains in any form.</w:t>
      </w:r>
      <w:r w:rsidR="00EC5E88">
        <w:rPr>
          <w:rFonts w:ascii="Century Schoolbook" w:hAnsi="Century Schoolbook"/>
        </w:rPr>
        <w:t xml:space="preserve">  </w:t>
      </w:r>
      <w:r w:rsidR="00B0031E">
        <w:rPr>
          <w:rFonts w:ascii="Century Schoolbook" w:hAnsi="Century Schoolbook"/>
        </w:rPr>
        <w:t>Th</w:t>
      </w:r>
      <w:r>
        <w:rPr>
          <w:rFonts w:ascii="Century Schoolbook" w:hAnsi="Century Schoolbook"/>
        </w:rPr>
        <w:t>us, if appellant</w:t>
      </w:r>
      <w:r w:rsidR="00EC5E88">
        <w:rPr>
          <w:rFonts w:ascii="Century Schoolbook" w:hAnsi="Century Schoolbook"/>
        </w:rPr>
        <w:t>s</w:t>
      </w:r>
      <w:r>
        <w:rPr>
          <w:rFonts w:ascii="Century Schoolbook" w:hAnsi="Century Schoolbook"/>
        </w:rPr>
        <w:t xml:space="preserve"> had “fail[ed] to appeal from” this order</w:t>
      </w:r>
      <w:r w:rsidR="00EC5E88">
        <w:rPr>
          <w:rFonts w:ascii="Century Schoolbook" w:hAnsi="Century Schoolbook"/>
        </w:rPr>
        <w:t xml:space="preserve"> sustaining the demurrer to their Labor Code claims</w:t>
      </w:r>
      <w:r>
        <w:rPr>
          <w:rFonts w:ascii="Century Schoolbook" w:hAnsi="Century Schoolbook"/>
        </w:rPr>
        <w:t xml:space="preserve">, </w:t>
      </w:r>
      <w:r w:rsidR="00EC5E88">
        <w:rPr>
          <w:rFonts w:ascii="Century Schoolbook" w:hAnsi="Century Schoolbook"/>
        </w:rPr>
        <w:t>t</w:t>
      </w:r>
      <w:r>
        <w:rPr>
          <w:rFonts w:ascii="Century Schoolbook" w:hAnsi="Century Schoolbook"/>
        </w:rPr>
        <w:t>he</w:t>
      </w:r>
      <w:r w:rsidR="00EC5E88">
        <w:rPr>
          <w:rFonts w:ascii="Century Schoolbook" w:hAnsi="Century Schoolbook"/>
        </w:rPr>
        <w:t>y</w:t>
      </w:r>
      <w:r>
        <w:rPr>
          <w:rFonts w:ascii="Century Schoolbook" w:hAnsi="Century Schoolbook"/>
        </w:rPr>
        <w:t xml:space="preserve"> would have “los[t] forever the right to attack it.”  (</w:t>
      </w:r>
      <w:r w:rsidRPr="00BA3155">
        <w:rPr>
          <w:rFonts w:ascii="Century Schoolbook" w:hAnsi="Century Schoolbook"/>
          <w:i/>
          <w:iCs/>
        </w:rPr>
        <w:t>Stephen v. Enterprise Rent-A-Car</w:t>
      </w:r>
      <w:r w:rsidRPr="00A90D47">
        <w:rPr>
          <w:rFonts w:ascii="Century Schoolbook" w:hAnsi="Century Schoolbook"/>
        </w:rPr>
        <w:t xml:space="preserve"> (1991) 235 Cal.App.3d 806, 811</w:t>
      </w:r>
      <w:r>
        <w:rPr>
          <w:rFonts w:ascii="Century Schoolbook" w:hAnsi="Century Schoolbook"/>
        </w:rPr>
        <w:t>.)</w:t>
      </w:r>
    </w:p>
    <w:p w:rsidR="00EC5E88" w:rsidP="004C1084" w14:paraId="14223B31" w14:textId="196FCDDD">
      <w:pPr>
        <w:spacing w:line="360" w:lineRule="auto"/>
        <w:rPr>
          <w:rFonts w:ascii="Century Schoolbook" w:hAnsi="Century Schoolbook"/>
        </w:rPr>
      </w:pPr>
      <w:r>
        <w:rPr>
          <w:rFonts w:ascii="Century Schoolbook" w:hAnsi="Century Schoolbook"/>
        </w:rPr>
        <w:tab/>
        <w:t>In sum, the death knell doctrine applies</w:t>
      </w:r>
      <w:r w:rsidR="004E24E3">
        <w:rPr>
          <w:rFonts w:ascii="Century Schoolbook" w:hAnsi="Century Schoolbook"/>
        </w:rPr>
        <w:t>.</w:t>
      </w:r>
    </w:p>
    <w:p w:rsidR="00F918AD" w:rsidRPr="00F918AD" w:rsidP="00411EA0" w14:paraId="71B42CD3" w14:textId="50BE5497">
      <w:pPr>
        <w:spacing w:line="360" w:lineRule="auto"/>
        <w:rPr>
          <w:rFonts w:ascii="Century Schoolbook" w:hAnsi="Century Schoolbook"/>
          <w:b/>
          <w:bCs/>
        </w:rPr>
      </w:pPr>
      <w:r>
        <w:rPr>
          <w:rFonts w:ascii="Century Schoolbook" w:hAnsi="Century Schoolbook"/>
          <w:b/>
          <w:bCs/>
        </w:rPr>
        <w:tab/>
        <w:t xml:space="preserve">B.  </w:t>
      </w:r>
      <w:r>
        <w:rPr>
          <w:rFonts w:ascii="Century Schoolbook" w:hAnsi="Century Schoolbook"/>
          <w:b/>
          <w:bCs/>
          <w:u w:val="single"/>
        </w:rPr>
        <w:t>Merits</w:t>
      </w:r>
    </w:p>
    <w:p w:rsidR="00B617B3" w:rsidRPr="00F918AD" w:rsidP="00F918AD" w14:paraId="225087F6" w14:textId="6F6ED52B">
      <w:pPr>
        <w:spacing w:line="360" w:lineRule="auto"/>
        <w:jc w:val="center"/>
        <w:rPr>
          <w:rFonts w:ascii="Century Schoolbook" w:hAnsi="Century Schoolbook"/>
          <w:b/>
          <w:bCs/>
          <w:highlight w:val="yellow"/>
        </w:rPr>
      </w:pPr>
      <w:r>
        <w:rPr>
          <w:rFonts w:ascii="Century Schoolbook" w:hAnsi="Century Schoolbook"/>
          <w:b/>
          <w:bCs/>
        </w:rPr>
        <w:t xml:space="preserve">1.  </w:t>
      </w:r>
      <w:r w:rsidRPr="00F918AD" w:rsidR="00411EA0">
        <w:rPr>
          <w:rFonts w:ascii="Century Schoolbook" w:hAnsi="Century Schoolbook"/>
          <w:b/>
          <w:bCs/>
          <w:i/>
          <w:iCs/>
        </w:rPr>
        <w:t>S</w:t>
      </w:r>
      <w:r w:rsidRPr="00F918AD" w:rsidR="00727626">
        <w:rPr>
          <w:rFonts w:ascii="Century Schoolbook" w:hAnsi="Century Schoolbook"/>
          <w:b/>
          <w:bCs/>
          <w:i/>
          <w:iCs/>
        </w:rPr>
        <w:t>tandard of Review</w:t>
      </w:r>
    </w:p>
    <w:p w:rsidR="00D60FD5" w:rsidP="00727626" w14:paraId="43439EC2" w14:textId="6BF1235E">
      <w:pPr>
        <w:spacing w:line="360" w:lineRule="auto"/>
        <w:rPr>
          <w:rFonts w:ascii="Century Schoolbook" w:hAnsi="Century Schoolbook"/>
          <w:bCs/>
        </w:rPr>
      </w:pPr>
      <w:r>
        <w:rPr>
          <w:rFonts w:ascii="Century Schoolbook" w:hAnsi="Century Schoolbook"/>
          <w:b/>
        </w:rPr>
        <w:tab/>
      </w:r>
      <w:r w:rsidRPr="00727626">
        <w:rPr>
          <w:rFonts w:ascii="Century Schoolbook" w:hAnsi="Century Schoolbook"/>
          <w:bCs/>
        </w:rPr>
        <w:t xml:space="preserve">“In determining whether plaintiffs properly stated a claim for relief, our standard of review is clear: </w:t>
      </w:r>
      <w:r>
        <w:rPr>
          <w:rFonts w:ascii="Century Schoolbook" w:hAnsi="Century Schoolbook"/>
          <w:bCs/>
        </w:rPr>
        <w:t>‘</w:t>
      </w:r>
      <w:r w:rsidR="00997CDA">
        <w:rPr>
          <w:rFonts w:ascii="Century Schoolbook" w:hAnsi="Century Schoolbook"/>
          <w:bCs/>
        </w:rPr>
        <w:t> </w:t>
      </w:r>
      <w:r>
        <w:rPr>
          <w:rFonts w:ascii="Century Schoolbook" w:hAnsi="Century Schoolbook"/>
          <w:bCs/>
        </w:rPr>
        <w:t>“</w:t>
      </w:r>
      <w:r w:rsidRPr="00727626">
        <w:rPr>
          <w:rFonts w:ascii="Century Schoolbook" w:hAnsi="Century Schoolbook"/>
          <w:bCs/>
        </w:rPr>
        <w:t>We treat the demurrer as admitting all material facts properly pleaded, but not contentions, deductions or conclusions of fact or law.</w:t>
      </w:r>
      <w:r w:rsidR="005333CB">
        <w:rPr>
          <w:rFonts w:ascii="Century Schoolbook" w:hAnsi="Century Schoolbook"/>
          <w:bCs/>
        </w:rPr>
        <w:t xml:space="preserve"> </w:t>
      </w:r>
      <w:r w:rsidRPr="00727626">
        <w:rPr>
          <w:rFonts w:ascii="Century Schoolbook" w:hAnsi="Century Schoolbook"/>
          <w:bCs/>
        </w:rPr>
        <w:t xml:space="preserve"> [Citation.] </w:t>
      </w:r>
      <w:r w:rsidR="005333CB">
        <w:rPr>
          <w:rFonts w:ascii="Century Schoolbook" w:hAnsi="Century Schoolbook"/>
          <w:bCs/>
        </w:rPr>
        <w:t xml:space="preserve"> </w:t>
      </w:r>
      <w:r w:rsidRPr="00727626">
        <w:rPr>
          <w:rFonts w:ascii="Century Schoolbook" w:hAnsi="Century Schoolbook"/>
          <w:bCs/>
        </w:rPr>
        <w:t>We also consider matters which may be judicially noticed.</w:t>
      </w:r>
      <w:r>
        <w:rPr>
          <w:rFonts w:ascii="Century Schoolbook" w:hAnsi="Century Schoolbook"/>
          <w:bCs/>
        </w:rPr>
        <w:t>”</w:t>
      </w:r>
      <w:r w:rsidR="00C0731D">
        <w:rPr>
          <w:rFonts w:ascii="Century Schoolbook" w:hAnsi="Century Schoolbook"/>
          <w:bCs/>
        </w:rPr>
        <w:t xml:space="preserve"> </w:t>
      </w:r>
      <w:r w:rsidRPr="00727626">
        <w:rPr>
          <w:rFonts w:ascii="Century Schoolbook" w:hAnsi="Century Schoolbook"/>
          <w:bCs/>
        </w:rPr>
        <w:t xml:space="preserve"> [Citation.] </w:t>
      </w:r>
      <w:r w:rsidR="00C0731D">
        <w:rPr>
          <w:rFonts w:ascii="Century Schoolbook" w:hAnsi="Century Schoolbook"/>
          <w:bCs/>
        </w:rPr>
        <w:t xml:space="preserve"> </w:t>
      </w:r>
      <w:r w:rsidRPr="00727626">
        <w:rPr>
          <w:rFonts w:ascii="Century Schoolbook" w:hAnsi="Century Schoolbook"/>
          <w:bCs/>
        </w:rPr>
        <w:t xml:space="preserve">Further, we give the complaint a reasonable interpretation, reading it as a whole and its parts in their context. </w:t>
      </w:r>
      <w:r w:rsidR="00C0731D">
        <w:rPr>
          <w:rFonts w:ascii="Century Schoolbook" w:hAnsi="Century Schoolbook"/>
          <w:bCs/>
        </w:rPr>
        <w:t xml:space="preserve"> </w:t>
      </w:r>
      <w:r w:rsidRPr="00727626">
        <w:rPr>
          <w:rFonts w:ascii="Century Schoolbook" w:hAnsi="Century Schoolbook"/>
          <w:bCs/>
        </w:rPr>
        <w:t>[Citation.]</w:t>
      </w:r>
      <w:r w:rsidR="00C0731D">
        <w:rPr>
          <w:rFonts w:ascii="Century Schoolbook" w:hAnsi="Century Schoolbook"/>
          <w:bCs/>
        </w:rPr>
        <w:t xml:space="preserve"> </w:t>
      </w:r>
      <w:r w:rsidRPr="00727626">
        <w:rPr>
          <w:rFonts w:ascii="Century Schoolbook" w:hAnsi="Century Schoolbook"/>
          <w:bCs/>
        </w:rPr>
        <w:t xml:space="preserve"> When a demurrer is sustained, we determine whether the complaint states facts sufficient to constitute a cause of action. </w:t>
      </w:r>
      <w:r w:rsidR="005333CB">
        <w:rPr>
          <w:rFonts w:ascii="Century Schoolbook" w:hAnsi="Century Schoolbook"/>
          <w:bCs/>
        </w:rPr>
        <w:t xml:space="preserve"> </w:t>
      </w:r>
      <w:r w:rsidRPr="00727626">
        <w:rPr>
          <w:rFonts w:ascii="Century Schoolbook" w:hAnsi="Century Schoolbook"/>
          <w:bCs/>
        </w:rPr>
        <w:t>[Citation.]</w:t>
      </w:r>
      <w:r w:rsidR="005333CB">
        <w:rPr>
          <w:rFonts w:ascii="Century Schoolbook" w:hAnsi="Century Schoolbook"/>
          <w:bCs/>
        </w:rPr>
        <w:t xml:space="preserve"> </w:t>
      </w:r>
      <w:r w:rsidRPr="00727626">
        <w:rPr>
          <w:rFonts w:ascii="Century Schoolbook" w:hAnsi="Century Schoolbook"/>
          <w:bCs/>
        </w:rPr>
        <w:t xml:space="preserve"> And when it is sustained without leave to amend, we decide whether there is a reasonable possibility that the defect can be cured by amendment: if it can be, the trial court has abused its discretion and we reverse; if not, there has been no abuse of discretion and we affirm. </w:t>
      </w:r>
      <w:r w:rsidR="005333CB">
        <w:rPr>
          <w:rFonts w:ascii="Century Schoolbook" w:hAnsi="Century Schoolbook"/>
          <w:bCs/>
        </w:rPr>
        <w:t xml:space="preserve"> </w:t>
      </w:r>
      <w:r w:rsidRPr="00727626">
        <w:rPr>
          <w:rFonts w:ascii="Century Schoolbook" w:hAnsi="Century Schoolbook"/>
          <w:bCs/>
        </w:rPr>
        <w:t>[Citations.]</w:t>
      </w:r>
      <w:r w:rsidR="005333CB">
        <w:rPr>
          <w:rFonts w:ascii="Century Schoolbook" w:hAnsi="Century Schoolbook"/>
          <w:bCs/>
        </w:rPr>
        <w:t xml:space="preserve"> </w:t>
      </w:r>
      <w:r w:rsidRPr="00727626">
        <w:rPr>
          <w:rFonts w:ascii="Century Schoolbook" w:hAnsi="Century Schoolbook"/>
          <w:bCs/>
        </w:rPr>
        <w:t xml:space="preserve"> The burden of proving such reasonable possibility is squarely on the plaintiff.</w:t>
      </w:r>
      <w:r>
        <w:rPr>
          <w:rFonts w:ascii="Century Schoolbook" w:hAnsi="Century Schoolbook"/>
          <w:bCs/>
        </w:rPr>
        <w:t>’</w:t>
      </w:r>
      <w:r w:rsidR="005333CB">
        <w:rPr>
          <w:rFonts w:ascii="Century Schoolbook" w:hAnsi="Century Schoolbook"/>
          <w:bCs/>
        </w:rPr>
        <w:t> </w:t>
      </w:r>
      <w:r>
        <w:rPr>
          <w:rFonts w:ascii="Century Schoolbook" w:hAnsi="Century Schoolbook"/>
          <w:bCs/>
        </w:rPr>
        <w:t>”  (</w:t>
      </w:r>
      <w:r w:rsidRPr="00D60FD5">
        <w:rPr>
          <w:rFonts w:ascii="Century Schoolbook" w:hAnsi="Century Schoolbook"/>
          <w:bCs/>
          <w:i/>
          <w:iCs/>
        </w:rPr>
        <w:t>Zelig v. C</w:t>
      </w:r>
      <w:r w:rsidR="005333CB">
        <w:rPr>
          <w:rFonts w:ascii="Century Schoolbook" w:hAnsi="Century Schoolbook"/>
          <w:bCs/>
          <w:i/>
          <w:iCs/>
        </w:rPr>
        <w:t>ou</w:t>
      </w:r>
      <w:r w:rsidRPr="00D60FD5">
        <w:rPr>
          <w:rFonts w:ascii="Century Schoolbook" w:hAnsi="Century Schoolbook"/>
          <w:bCs/>
          <w:i/>
          <w:iCs/>
        </w:rPr>
        <w:t>nty of Los Angeles</w:t>
      </w:r>
      <w:r>
        <w:rPr>
          <w:rFonts w:ascii="Century Schoolbook" w:hAnsi="Century Schoolbook"/>
          <w:bCs/>
        </w:rPr>
        <w:t xml:space="preserve"> (2002)</w:t>
      </w:r>
      <w:r w:rsidRPr="00727626">
        <w:rPr>
          <w:rFonts w:ascii="Century Schoolbook" w:hAnsi="Century Schoolbook"/>
          <w:bCs/>
        </w:rPr>
        <w:t xml:space="preserve"> 27 Cal.4th 1112, 1126, </w:t>
      </w:r>
      <w:r>
        <w:rPr>
          <w:rFonts w:ascii="Century Schoolbook" w:hAnsi="Century Schoolbook"/>
          <w:bCs/>
        </w:rPr>
        <w:t xml:space="preserve">quoting </w:t>
      </w:r>
      <w:r w:rsidRPr="00D60FD5">
        <w:rPr>
          <w:rFonts w:ascii="Century Schoolbook" w:hAnsi="Century Schoolbook"/>
          <w:bCs/>
          <w:i/>
          <w:iCs/>
        </w:rPr>
        <w:t>Blank v. Kirwan</w:t>
      </w:r>
      <w:r w:rsidRPr="00D60FD5">
        <w:rPr>
          <w:rFonts w:ascii="Century Schoolbook" w:hAnsi="Century Schoolbook"/>
          <w:bCs/>
        </w:rPr>
        <w:t xml:space="preserve"> (1985) 39 Cal.3d 311, 318</w:t>
      </w:r>
      <w:r>
        <w:rPr>
          <w:rFonts w:ascii="Century Schoolbook" w:hAnsi="Century Schoolbook"/>
          <w:bCs/>
        </w:rPr>
        <w:t>.</w:t>
      </w:r>
      <w:r w:rsidRPr="00727626">
        <w:rPr>
          <w:rFonts w:ascii="Century Schoolbook" w:hAnsi="Century Schoolbook"/>
          <w:bCs/>
        </w:rPr>
        <w:t>)</w:t>
      </w:r>
    </w:p>
    <w:p w:rsidR="00DF7FEF" w:rsidRPr="00D60FD5" w:rsidP="00E36668" w14:paraId="1D91EBBD" w14:textId="7397E53B">
      <w:pPr>
        <w:spacing w:line="360" w:lineRule="auto"/>
        <w:rPr>
          <w:rFonts w:ascii="Century Schoolbook" w:hAnsi="Century Schoolbook"/>
          <w:bCs/>
        </w:rPr>
      </w:pPr>
      <w:r>
        <w:rPr>
          <w:rFonts w:ascii="Century Schoolbook" w:hAnsi="Century Schoolbook"/>
          <w:bCs/>
        </w:rPr>
        <w:tab/>
      </w:r>
      <w:r w:rsidRPr="00D60FD5">
        <w:rPr>
          <w:rFonts w:ascii="Century Schoolbook" w:hAnsi="Century Schoolbook"/>
          <w:bCs/>
        </w:rPr>
        <w:t>“</w:t>
      </w:r>
      <w:r w:rsidR="005333CB">
        <w:rPr>
          <w:rFonts w:ascii="Century Schoolbook" w:hAnsi="Century Schoolbook"/>
          <w:bCs/>
        </w:rPr>
        <w:t> ‘</w:t>
      </w:r>
      <w:r w:rsidRPr="00D60FD5">
        <w:rPr>
          <w:rFonts w:ascii="Century Schoolbook" w:hAnsi="Century Schoolbook"/>
          <w:bCs/>
        </w:rPr>
        <w:t>We apply the usual rules of statutory interpretation to the</w:t>
      </w:r>
      <w:r>
        <w:rPr>
          <w:rFonts w:ascii="Century Schoolbook" w:hAnsi="Century Schoolbook"/>
          <w:bCs/>
        </w:rPr>
        <w:t xml:space="preserve"> </w:t>
      </w:r>
      <w:r w:rsidRPr="00D60FD5">
        <w:rPr>
          <w:rFonts w:ascii="Century Schoolbook" w:hAnsi="Century Schoolbook"/>
          <w:bCs/>
        </w:rPr>
        <w:t>Labor Code, beginning with and focusing on the text as the</w:t>
      </w:r>
      <w:r>
        <w:rPr>
          <w:rFonts w:ascii="Century Schoolbook" w:hAnsi="Century Schoolbook"/>
          <w:bCs/>
        </w:rPr>
        <w:t xml:space="preserve"> </w:t>
      </w:r>
      <w:r w:rsidRPr="00D60FD5">
        <w:rPr>
          <w:rFonts w:ascii="Century Schoolbook" w:hAnsi="Century Schoolbook"/>
          <w:bCs/>
        </w:rPr>
        <w:t xml:space="preserve">best indicator of legislative purpose. </w:t>
      </w:r>
      <w:r w:rsidR="005333CB">
        <w:rPr>
          <w:rFonts w:ascii="Century Schoolbook" w:hAnsi="Century Schoolbook"/>
          <w:bCs/>
        </w:rPr>
        <w:t xml:space="preserve"> </w:t>
      </w:r>
      <w:r w:rsidRPr="00D60FD5">
        <w:rPr>
          <w:rFonts w:ascii="Century Schoolbook" w:hAnsi="Century Schoolbook"/>
          <w:bCs/>
        </w:rPr>
        <w:t xml:space="preserve">[Citation.] </w:t>
      </w:r>
      <w:r w:rsidR="005333CB">
        <w:rPr>
          <w:rFonts w:ascii="Century Schoolbook" w:hAnsi="Century Schoolbook"/>
          <w:bCs/>
        </w:rPr>
        <w:t xml:space="preserve"> “</w:t>
      </w:r>
      <w:r w:rsidR="00C0731D">
        <w:rPr>
          <w:rFonts w:ascii="Century Schoolbook" w:hAnsi="Century Schoolbook"/>
          <w:bCs/>
        </w:rPr>
        <w:t> </w:t>
      </w:r>
      <w:r w:rsidRPr="00D60FD5">
        <w:rPr>
          <w:rFonts w:ascii="Century Schoolbook" w:hAnsi="Century Schoolbook"/>
          <w:bCs/>
        </w:rPr>
        <w:t>[I]n light of</w:t>
      </w:r>
      <w:r>
        <w:rPr>
          <w:rFonts w:ascii="Century Schoolbook" w:hAnsi="Century Schoolbook"/>
          <w:bCs/>
        </w:rPr>
        <w:t xml:space="preserve"> </w:t>
      </w:r>
      <w:r w:rsidRPr="00D60FD5">
        <w:rPr>
          <w:rFonts w:ascii="Century Schoolbook" w:hAnsi="Century Schoolbook"/>
          <w:bCs/>
        </w:rPr>
        <w:t>the remedial nature of the legislative enactments authorizing</w:t>
      </w:r>
      <w:r>
        <w:rPr>
          <w:rFonts w:ascii="Century Schoolbook" w:hAnsi="Century Schoolbook"/>
          <w:bCs/>
        </w:rPr>
        <w:t xml:space="preserve"> </w:t>
      </w:r>
      <w:r w:rsidRPr="00D60FD5">
        <w:rPr>
          <w:rFonts w:ascii="Century Schoolbook" w:hAnsi="Century Schoolbook"/>
          <w:bCs/>
        </w:rPr>
        <w:t>the regulation of wages, hours and working conditions for the</w:t>
      </w:r>
      <w:r>
        <w:rPr>
          <w:rFonts w:ascii="Century Schoolbook" w:hAnsi="Century Schoolbook"/>
          <w:bCs/>
        </w:rPr>
        <w:t xml:space="preserve"> </w:t>
      </w:r>
      <w:r w:rsidRPr="00D60FD5">
        <w:rPr>
          <w:rFonts w:ascii="Century Schoolbook" w:hAnsi="Century Schoolbook"/>
          <w:bCs/>
        </w:rPr>
        <w:t>protection and benefit of employees, the statutory provisions</w:t>
      </w:r>
      <w:r>
        <w:rPr>
          <w:rFonts w:ascii="Century Schoolbook" w:hAnsi="Century Schoolbook"/>
          <w:bCs/>
        </w:rPr>
        <w:t xml:space="preserve"> </w:t>
      </w:r>
      <w:r w:rsidRPr="00D60FD5">
        <w:rPr>
          <w:rFonts w:ascii="Century Schoolbook" w:hAnsi="Century Schoolbook"/>
          <w:bCs/>
        </w:rPr>
        <w:t>are to be liberally construed with an eye to promoting such</w:t>
      </w:r>
      <w:r>
        <w:rPr>
          <w:rFonts w:ascii="Century Schoolbook" w:hAnsi="Century Schoolbook"/>
          <w:bCs/>
        </w:rPr>
        <w:t xml:space="preserve"> </w:t>
      </w:r>
      <w:r w:rsidRPr="00D60FD5">
        <w:rPr>
          <w:rFonts w:ascii="Century Schoolbook" w:hAnsi="Century Schoolbook"/>
          <w:bCs/>
        </w:rPr>
        <w:t>protection.</w:t>
      </w:r>
      <w:r w:rsidR="005333CB">
        <w:rPr>
          <w:rFonts w:ascii="Century Schoolbook" w:hAnsi="Century Schoolbook"/>
          <w:bCs/>
        </w:rPr>
        <w:t>” </w:t>
      </w:r>
      <w:r w:rsidRPr="00D60FD5">
        <w:rPr>
          <w:rFonts w:ascii="Century Schoolbook" w:hAnsi="Century Schoolbook"/>
          <w:bCs/>
        </w:rPr>
        <w:t>’</w:t>
      </w:r>
      <w:r w:rsidR="005333CB">
        <w:rPr>
          <w:rFonts w:ascii="Century Schoolbook" w:hAnsi="Century Schoolbook"/>
          <w:bCs/>
        </w:rPr>
        <w:t> </w:t>
      </w:r>
      <w:r w:rsidRPr="00D60FD5">
        <w:rPr>
          <w:rFonts w:ascii="Century Schoolbook" w:hAnsi="Century Schoolbook"/>
          <w:bCs/>
        </w:rPr>
        <w:t>” (</w:t>
      </w:r>
      <w:r w:rsidRPr="00D60FD5">
        <w:rPr>
          <w:rFonts w:ascii="Century Schoolbook" w:hAnsi="Century Schoolbook"/>
          <w:bCs/>
          <w:i/>
          <w:iCs/>
        </w:rPr>
        <w:t>McLean v. State of California</w:t>
      </w:r>
      <w:r w:rsidRPr="00D60FD5">
        <w:rPr>
          <w:rFonts w:ascii="Century Schoolbook" w:hAnsi="Century Schoolbook"/>
          <w:bCs/>
        </w:rPr>
        <w:t xml:space="preserve"> (2016) 1 Cal.5th</w:t>
      </w:r>
      <w:r>
        <w:rPr>
          <w:rFonts w:ascii="Century Schoolbook" w:hAnsi="Century Schoolbook"/>
          <w:bCs/>
        </w:rPr>
        <w:t xml:space="preserve"> </w:t>
      </w:r>
      <w:r w:rsidRPr="00D60FD5">
        <w:rPr>
          <w:rFonts w:ascii="Century Schoolbook" w:hAnsi="Century Schoolbook"/>
          <w:bCs/>
        </w:rPr>
        <w:t xml:space="preserve">615, 622, </w:t>
      </w:r>
      <w:r w:rsidR="00FF1F16">
        <w:rPr>
          <w:rFonts w:ascii="Century Schoolbook" w:hAnsi="Century Schoolbook"/>
          <w:bCs/>
        </w:rPr>
        <w:t>quoting</w:t>
      </w:r>
      <w:r w:rsidRPr="00D60FD5">
        <w:rPr>
          <w:rFonts w:ascii="Century Schoolbook" w:hAnsi="Century Schoolbook"/>
          <w:bCs/>
        </w:rPr>
        <w:t xml:space="preserve"> </w:t>
      </w:r>
      <w:r w:rsidRPr="00D60FD5">
        <w:rPr>
          <w:rFonts w:ascii="Century Schoolbook" w:hAnsi="Century Schoolbook"/>
          <w:bCs/>
          <w:i/>
          <w:iCs/>
        </w:rPr>
        <w:t>Brinker Restaurant Corp. v. Superior Court</w:t>
      </w:r>
      <w:r>
        <w:rPr>
          <w:rFonts w:ascii="Century Schoolbook" w:hAnsi="Century Schoolbook"/>
          <w:bCs/>
        </w:rPr>
        <w:t xml:space="preserve"> </w:t>
      </w:r>
      <w:r w:rsidRPr="00D60FD5">
        <w:rPr>
          <w:rFonts w:ascii="Century Schoolbook" w:hAnsi="Century Schoolbook"/>
          <w:bCs/>
        </w:rPr>
        <w:t>(2012) 53 Cal.4th 1004, 1026–1027</w:t>
      </w:r>
      <w:r>
        <w:rPr>
          <w:rFonts w:ascii="Century Schoolbook" w:hAnsi="Century Schoolbook"/>
          <w:bCs/>
        </w:rPr>
        <w:t>.</w:t>
      </w:r>
      <w:r w:rsidRPr="00D60FD5">
        <w:rPr>
          <w:rFonts w:ascii="Century Schoolbook" w:hAnsi="Century Schoolbook"/>
          <w:bCs/>
        </w:rPr>
        <w:t>)</w:t>
      </w:r>
    </w:p>
    <w:p w:rsidR="00EA1867" w:rsidRPr="00FF1F16" w:rsidP="00F918AD" w14:paraId="2CF34748" w14:textId="6B693F0A">
      <w:pPr>
        <w:spacing w:line="360" w:lineRule="auto"/>
        <w:jc w:val="center"/>
        <w:rPr>
          <w:rFonts w:ascii="Century Schoolbook" w:hAnsi="Century Schoolbook"/>
          <w:b/>
        </w:rPr>
      </w:pPr>
      <w:r>
        <w:rPr>
          <w:rFonts w:ascii="Century Schoolbook" w:hAnsi="Century Schoolbook"/>
          <w:b/>
        </w:rPr>
        <w:t>2</w:t>
      </w:r>
      <w:r w:rsidRPr="00FF1F16">
        <w:rPr>
          <w:rFonts w:ascii="Century Schoolbook" w:hAnsi="Century Schoolbook"/>
          <w:b/>
        </w:rPr>
        <w:t xml:space="preserve">.  </w:t>
      </w:r>
      <w:r w:rsidRPr="00F918AD" w:rsidR="00FF1F16">
        <w:rPr>
          <w:rFonts w:ascii="Century Schoolbook" w:hAnsi="Century Schoolbook"/>
          <w:b/>
          <w:i/>
          <w:iCs/>
        </w:rPr>
        <w:t xml:space="preserve">First, Second, </w:t>
      </w:r>
      <w:r w:rsidRPr="00F918AD" w:rsidR="003E0356">
        <w:rPr>
          <w:rFonts w:ascii="Century Schoolbook" w:hAnsi="Century Schoolbook"/>
          <w:b/>
          <w:i/>
          <w:iCs/>
        </w:rPr>
        <w:t xml:space="preserve">and </w:t>
      </w:r>
      <w:r w:rsidRPr="00F918AD" w:rsidR="00FF1F16">
        <w:rPr>
          <w:rFonts w:ascii="Century Schoolbook" w:hAnsi="Century Schoolbook"/>
          <w:b/>
          <w:i/>
          <w:iCs/>
        </w:rPr>
        <w:t>Third</w:t>
      </w:r>
      <w:r w:rsidRPr="00F918AD" w:rsidR="003E0356">
        <w:rPr>
          <w:rFonts w:ascii="Century Schoolbook" w:hAnsi="Century Schoolbook"/>
          <w:b/>
          <w:i/>
          <w:iCs/>
        </w:rPr>
        <w:t xml:space="preserve"> </w:t>
      </w:r>
      <w:r w:rsidRPr="00F918AD" w:rsidR="00FF1F16">
        <w:rPr>
          <w:rFonts w:ascii="Century Schoolbook" w:hAnsi="Century Schoolbook"/>
          <w:b/>
          <w:i/>
          <w:iCs/>
        </w:rPr>
        <w:t>Causes of Action</w:t>
      </w:r>
    </w:p>
    <w:p w:rsidR="00E74C12" w:rsidP="00EA1867" w14:paraId="57BCAA3F" w14:textId="7F778A88">
      <w:pPr>
        <w:spacing w:line="360" w:lineRule="auto"/>
        <w:rPr>
          <w:rFonts w:ascii="Century Schoolbook" w:hAnsi="Century Schoolbook"/>
          <w:bCs/>
        </w:rPr>
      </w:pPr>
      <w:r w:rsidRPr="00FF1F16">
        <w:rPr>
          <w:rFonts w:ascii="Century Schoolbook" w:hAnsi="Century Schoolbook"/>
          <w:bCs/>
        </w:rPr>
        <w:tab/>
        <w:t>Appellant</w:t>
      </w:r>
      <w:r w:rsidR="00746565">
        <w:rPr>
          <w:rFonts w:ascii="Century Schoolbook" w:hAnsi="Century Schoolbook"/>
          <w:bCs/>
        </w:rPr>
        <w:t>s</w:t>
      </w:r>
      <w:r w:rsidRPr="00FF1F16">
        <w:rPr>
          <w:rFonts w:ascii="Century Schoolbook" w:hAnsi="Century Schoolbook"/>
          <w:bCs/>
        </w:rPr>
        <w:t xml:space="preserve"> argue that</w:t>
      </w:r>
      <w:r w:rsidR="00FF1F16">
        <w:rPr>
          <w:rFonts w:ascii="Century Schoolbook" w:hAnsi="Century Schoolbook"/>
          <w:bCs/>
        </w:rPr>
        <w:t xml:space="preserve"> the court erred </w:t>
      </w:r>
      <w:r>
        <w:rPr>
          <w:rFonts w:ascii="Century Schoolbook" w:hAnsi="Century Schoolbook"/>
          <w:bCs/>
        </w:rPr>
        <w:t>by</w:t>
      </w:r>
      <w:r w:rsidR="00FF1F16">
        <w:rPr>
          <w:rFonts w:ascii="Century Schoolbook" w:hAnsi="Century Schoolbook"/>
          <w:bCs/>
        </w:rPr>
        <w:t xml:space="preserve"> sustaining the demurrer as to the first, second, </w:t>
      </w:r>
      <w:r w:rsidR="00B0031E">
        <w:rPr>
          <w:rFonts w:ascii="Century Schoolbook" w:hAnsi="Century Schoolbook"/>
          <w:bCs/>
        </w:rPr>
        <w:t xml:space="preserve">and </w:t>
      </w:r>
      <w:r w:rsidR="00FF1F16">
        <w:rPr>
          <w:rFonts w:ascii="Century Schoolbook" w:hAnsi="Century Schoolbook"/>
          <w:bCs/>
        </w:rPr>
        <w:t>third</w:t>
      </w:r>
      <w:r w:rsidR="00291723">
        <w:rPr>
          <w:rFonts w:ascii="Century Schoolbook" w:hAnsi="Century Schoolbook"/>
          <w:bCs/>
        </w:rPr>
        <w:t xml:space="preserve"> </w:t>
      </w:r>
      <w:r w:rsidR="00FF1F16">
        <w:rPr>
          <w:rFonts w:ascii="Century Schoolbook" w:hAnsi="Century Schoolbook"/>
          <w:bCs/>
        </w:rPr>
        <w:t xml:space="preserve">causes of action </w:t>
      </w:r>
      <w:r>
        <w:rPr>
          <w:rFonts w:ascii="Century Schoolbook" w:hAnsi="Century Schoolbook"/>
          <w:bCs/>
        </w:rPr>
        <w:t>because respondent is not a sovereign governmental entity</w:t>
      </w:r>
      <w:r w:rsidR="00692889">
        <w:rPr>
          <w:rFonts w:ascii="Century Schoolbook" w:hAnsi="Century Schoolbook"/>
          <w:bCs/>
        </w:rPr>
        <w:t xml:space="preserve"> </w:t>
      </w:r>
      <w:r>
        <w:rPr>
          <w:rFonts w:ascii="Century Schoolbook" w:hAnsi="Century Schoolbook"/>
          <w:bCs/>
        </w:rPr>
        <w:t>fall</w:t>
      </w:r>
      <w:r w:rsidR="000E6049">
        <w:rPr>
          <w:rFonts w:ascii="Century Schoolbook" w:hAnsi="Century Schoolbook"/>
          <w:bCs/>
        </w:rPr>
        <w:t>ing</w:t>
      </w:r>
      <w:r>
        <w:rPr>
          <w:rFonts w:ascii="Century Schoolbook" w:hAnsi="Century Schoolbook"/>
          <w:bCs/>
        </w:rPr>
        <w:t xml:space="preserve"> within an exception to “the general rule of statutory construction [whereby] government</w:t>
      </w:r>
      <w:r w:rsidR="005333CB">
        <w:rPr>
          <w:rFonts w:ascii="Century Schoolbook" w:hAnsi="Century Schoolbook"/>
          <w:bCs/>
        </w:rPr>
        <w:t>al</w:t>
      </w:r>
      <w:r>
        <w:rPr>
          <w:rFonts w:ascii="Century Schoolbook" w:hAnsi="Century Schoolbook"/>
          <w:bCs/>
        </w:rPr>
        <w:t xml:space="preserve"> agencies are not liable unless [that is] expressly stated.”  We agree.</w:t>
      </w:r>
    </w:p>
    <w:p w:rsidR="005B4961" w:rsidP="005B4961" w14:paraId="78C612B0" w14:textId="59833A4A">
      <w:pPr>
        <w:spacing w:line="360" w:lineRule="auto"/>
        <w:rPr>
          <w:rFonts w:ascii="Century Schoolbook" w:hAnsi="Century Schoolbook"/>
          <w:bCs/>
        </w:rPr>
      </w:pPr>
      <w:r>
        <w:rPr>
          <w:rFonts w:ascii="Century Schoolbook" w:hAnsi="Century Schoolbook"/>
          <w:bCs/>
        </w:rPr>
        <w:tab/>
        <w:t>“[T]</w:t>
      </w:r>
      <w:r w:rsidRPr="00E74C12">
        <w:rPr>
          <w:rFonts w:ascii="Century Schoolbook" w:hAnsi="Century Schoolbook"/>
          <w:bCs/>
        </w:rPr>
        <w:t xml:space="preserve">raditionally, </w:t>
      </w:r>
      <w:r>
        <w:rPr>
          <w:rFonts w:ascii="Century Schoolbook" w:hAnsi="Century Schoolbook"/>
          <w:bCs/>
        </w:rPr>
        <w:t>‘</w:t>
      </w:r>
      <w:r w:rsidRPr="00E74C12">
        <w:rPr>
          <w:rFonts w:ascii="Century Schoolbook" w:hAnsi="Century Schoolbook"/>
          <w:bCs/>
        </w:rPr>
        <w:t>absent express words to the contrary, governmental agencies are not included within the general words of a statute.</w:t>
      </w:r>
      <w:r>
        <w:rPr>
          <w:rFonts w:ascii="Century Schoolbook" w:hAnsi="Century Schoolbook"/>
          <w:bCs/>
        </w:rPr>
        <w:t>’</w:t>
      </w:r>
      <w:r w:rsidR="005333CB">
        <w:rPr>
          <w:rFonts w:ascii="Century Schoolbook" w:hAnsi="Century Schoolbook"/>
          <w:bCs/>
        </w:rPr>
        <w:t> </w:t>
      </w:r>
      <w:r w:rsidRPr="00E74C12">
        <w:rPr>
          <w:rFonts w:ascii="Century Schoolbook" w:hAnsi="Century Schoolbook"/>
          <w:bCs/>
        </w:rPr>
        <w:t>”</w:t>
      </w:r>
      <w:r>
        <w:rPr>
          <w:rFonts w:ascii="Century Schoolbook" w:hAnsi="Century Schoolbook"/>
          <w:bCs/>
        </w:rPr>
        <w:t xml:space="preserve">  (</w:t>
      </w:r>
      <w:r w:rsidRPr="00E74C12">
        <w:rPr>
          <w:rFonts w:ascii="Century Schoolbook" w:hAnsi="Century Schoolbook"/>
          <w:bCs/>
          <w:i/>
          <w:iCs/>
        </w:rPr>
        <w:t>Johnson v. Arvin-Edison Water Storage Dist.</w:t>
      </w:r>
      <w:r>
        <w:rPr>
          <w:rFonts w:ascii="Century Schoolbook" w:hAnsi="Century Schoolbook"/>
          <w:bCs/>
        </w:rPr>
        <w:t xml:space="preserve"> (2009)</w:t>
      </w:r>
      <w:r w:rsidRPr="00E74C12">
        <w:rPr>
          <w:rFonts w:ascii="Century Schoolbook" w:hAnsi="Century Schoolbook"/>
          <w:bCs/>
        </w:rPr>
        <w:t xml:space="preserve"> 174 Cal.App.4th 729, 736</w:t>
      </w:r>
      <w:r w:rsidR="00F510E7">
        <w:rPr>
          <w:rFonts w:ascii="Century Schoolbook" w:hAnsi="Century Schoolbook"/>
          <w:bCs/>
        </w:rPr>
        <w:t xml:space="preserve"> (</w:t>
      </w:r>
      <w:r w:rsidRPr="00F510E7" w:rsidR="00F510E7">
        <w:rPr>
          <w:rFonts w:ascii="Century Schoolbook" w:hAnsi="Century Schoolbook"/>
          <w:bCs/>
          <w:i/>
          <w:iCs/>
        </w:rPr>
        <w:t>Johnson</w:t>
      </w:r>
      <w:r w:rsidR="00F510E7">
        <w:rPr>
          <w:rFonts w:ascii="Century Schoolbook" w:hAnsi="Century Schoolbook"/>
          <w:bCs/>
        </w:rPr>
        <w:t>)</w:t>
      </w:r>
      <w:r>
        <w:rPr>
          <w:rFonts w:ascii="Century Schoolbook" w:hAnsi="Century Schoolbook"/>
          <w:bCs/>
        </w:rPr>
        <w:t xml:space="preserve">, quoting </w:t>
      </w:r>
      <w:r w:rsidRPr="00E74C12">
        <w:rPr>
          <w:rFonts w:ascii="Century Schoolbook" w:hAnsi="Century Schoolbook"/>
          <w:bCs/>
          <w:i/>
          <w:iCs/>
        </w:rPr>
        <w:t>Wells v. One2One Learning Foundation</w:t>
      </w:r>
      <w:r w:rsidRPr="00E74C12">
        <w:rPr>
          <w:rFonts w:ascii="Century Schoolbook" w:hAnsi="Century Schoolbook"/>
          <w:bCs/>
        </w:rPr>
        <w:t xml:space="preserve"> (2006) 39 Cal.4th 1164, 1192</w:t>
      </w:r>
      <w:r>
        <w:rPr>
          <w:rFonts w:ascii="Century Schoolbook" w:hAnsi="Century Schoolbook"/>
          <w:bCs/>
        </w:rPr>
        <w:t xml:space="preserve"> (</w:t>
      </w:r>
      <w:r>
        <w:rPr>
          <w:rFonts w:ascii="Century Schoolbook" w:hAnsi="Century Schoolbook"/>
          <w:bCs/>
          <w:i/>
          <w:iCs/>
        </w:rPr>
        <w:t>Wells</w:t>
      </w:r>
      <w:r>
        <w:rPr>
          <w:rFonts w:ascii="Century Schoolbook" w:hAnsi="Century Schoolbook"/>
          <w:bCs/>
        </w:rPr>
        <w:t>)</w:t>
      </w:r>
      <w:r w:rsidRPr="00E74C12">
        <w:rPr>
          <w:rFonts w:ascii="Century Schoolbook" w:hAnsi="Century Schoolbook"/>
          <w:bCs/>
        </w:rPr>
        <w:t>.)</w:t>
      </w:r>
      <w:r>
        <w:rPr>
          <w:rFonts w:ascii="Century Schoolbook" w:hAnsi="Century Schoolbook"/>
          <w:bCs/>
        </w:rPr>
        <w:t xml:space="preserve">  “</w:t>
      </w:r>
      <w:r w:rsidRPr="005B4961">
        <w:rPr>
          <w:rFonts w:ascii="Century Schoolbook" w:hAnsi="Century Schoolbook"/>
          <w:bCs/>
        </w:rPr>
        <w:t xml:space="preserve">However, under the </w:t>
      </w:r>
      <w:r>
        <w:rPr>
          <w:rFonts w:ascii="Century Schoolbook" w:hAnsi="Century Schoolbook"/>
          <w:bCs/>
        </w:rPr>
        <w:t>‘</w:t>
      </w:r>
      <w:r w:rsidRPr="005B4961">
        <w:rPr>
          <w:rFonts w:ascii="Century Schoolbook" w:hAnsi="Century Schoolbook"/>
          <w:bCs/>
        </w:rPr>
        <w:t>sovereign powers</w:t>
      </w:r>
      <w:r>
        <w:rPr>
          <w:rFonts w:ascii="Century Schoolbook" w:hAnsi="Century Schoolbook"/>
          <w:bCs/>
        </w:rPr>
        <w:t>’</w:t>
      </w:r>
      <w:r w:rsidRPr="005B4961">
        <w:rPr>
          <w:rFonts w:ascii="Century Schoolbook" w:hAnsi="Century Schoolbook"/>
          <w:bCs/>
        </w:rPr>
        <w:t xml:space="preserve"> maxim, government agencies are excluded only if their inclusion would result in an infringement upon sovereign governmental powers.</w:t>
      </w:r>
      <w:r>
        <w:rPr>
          <w:rFonts w:ascii="Century Schoolbook" w:hAnsi="Century Schoolbook"/>
          <w:bCs/>
        </w:rPr>
        <w:t>”</w:t>
      </w:r>
      <w:r w:rsidRPr="005B4961">
        <w:rPr>
          <w:rFonts w:ascii="Century Schoolbook" w:hAnsi="Century Schoolbook"/>
          <w:bCs/>
        </w:rPr>
        <w:t xml:space="preserve"> </w:t>
      </w:r>
      <w:r w:rsidR="005333CB">
        <w:rPr>
          <w:rFonts w:ascii="Century Schoolbook" w:hAnsi="Century Schoolbook"/>
          <w:bCs/>
          <w:i/>
          <w:iCs/>
        </w:rPr>
        <w:t xml:space="preserve"> </w:t>
      </w:r>
      <w:r w:rsidR="00217979">
        <w:rPr>
          <w:rFonts w:ascii="Century Schoolbook" w:hAnsi="Century Schoolbook"/>
          <w:bCs/>
        </w:rPr>
        <w:t>(</w:t>
      </w:r>
      <w:r w:rsidRPr="005333CB" w:rsidR="005333CB">
        <w:rPr>
          <w:rFonts w:ascii="Century Schoolbook" w:hAnsi="Century Schoolbook"/>
          <w:bCs/>
          <w:i/>
          <w:iCs/>
        </w:rPr>
        <w:t>Johnson</w:t>
      </w:r>
      <w:r w:rsidR="005333CB">
        <w:rPr>
          <w:rFonts w:ascii="Century Schoolbook" w:hAnsi="Century Schoolbook"/>
          <w:bCs/>
        </w:rPr>
        <w:t>,</w:t>
      </w:r>
      <w:r>
        <w:rPr>
          <w:rFonts w:ascii="Century Schoolbook" w:hAnsi="Century Schoolbook"/>
          <w:bCs/>
        </w:rPr>
        <w:t xml:space="preserve"> at p.</w:t>
      </w:r>
      <w:r w:rsidR="00217979">
        <w:rPr>
          <w:rFonts w:ascii="Century Schoolbook" w:hAnsi="Century Schoolbook"/>
          <w:bCs/>
        </w:rPr>
        <w:t> </w:t>
      </w:r>
      <w:r>
        <w:rPr>
          <w:rFonts w:ascii="Century Schoolbook" w:hAnsi="Century Schoolbook"/>
          <w:bCs/>
        </w:rPr>
        <w:t>738.</w:t>
      </w:r>
      <w:r w:rsidRPr="005B4961">
        <w:rPr>
          <w:rFonts w:ascii="Century Schoolbook" w:hAnsi="Century Schoolbook"/>
          <w:bCs/>
        </w:rPr>
        <w:t xml:space="preserve">)  </w:t>
      </w:r>
      <w:r>
        <w:rPr>
          <w:rFonts w:ascii="Century Schoolbook" w:hAnsi="Century Schoolbook"/>
          <w:bCs/>
        </w:rPr>
        <w:t>“</w:t>
      </w:r>
      <w:r w:rsidR="005333CB">
        <w:rPr>
          <w:rFonts w:ascii="Century Schoolbook" w:hAnsi="Century Schoolbook"/>
          <w:bCs/>
        </w:rPr>
        <w:t> </w:t>
      </w:r>
      <w:r>
        <w:rPr>
          <w:rFonts w:ascii="Century Schoolbook" w:hAnsi="Century Schoolbook"/>
          <w:bCs/>
        </w:rPr>
        <w:t>‘</w:t>
      </w:r>
      <w:r w:rsidR="005333CB">
        <w:rPr>
          <w:rFonts w:ascii="Century Schoolbook" w:hAnsi="Century Schoolbook"/>
          <w:bCs/>
        </w:rPr>
        <w:t> “ ‘</w:t>
      </w:r>
      <w:r w:rsidRPr="005B4961">
        <w:rPr>
          <w:rFonts w:ascii="Century Schoolbook" w:hAnsi="Century Schoolbook"/>
          <w:bCs/>
        </w:rPr>
        <w:t>Where</w:t>
      </w:r>
      <w:r w:rsidR="00217979">
        <w:rPr>
          <w:rFonts w:ascii="Century Schoolbook" w:hAnsi="Century Schoolbook"/>
          <w:bCs/>
        </w:rPr>
        <w:t> </w:t>
      </w:r>
      <w:r w:rsidR="005333CB">
        <w:rPr>
          <w:rFonts w:ascii="Century Schoolbook" w:hAnsi="Century Schoolbook"/>
          <w:bCs/>
        </w:rPr>
        <w:t>. . . </w:t>
      </w:r>
      <w:r w:rsidRPr="005B4961">
        <w:rPr>
          <w:rFonts w:ascii="Century Schoolbook" w:hAnsi="Century Schoolbook"/>
          <w:bCs/>
        </w:rPr>
        <w:t>no impairment of sovereign powers would result, the reason underlying this rule of construction ceases to exist and the Legislature may properly be held to have intended that the statute apply to governmental bodies even though it used general statutory language</w:t>
      </w:r>
      <w:r w:rsidR="005333CB">
        <w:rPr>
          <w:rFonts w:ascii="Century Schoolbook" w:hAnsi="Century Schoolbook"/>
          <w:bCs/>
        </w:rPr>
        <w:t>. . . .</w:t>
      </w:r>
      <w:r>
        <w:rPr>
          <w:rFonts w:ascii="Century Schoolbook" w:hAnsi="Century Schoolbook"/>
          <w:bCs/>
        </w:rPr>
        <w:t>’</w:t>
      </w:r>
      <w:r w:rsidR="005333CB">
        <w:rPr>
          <w:rFonts w:ascii="Century Schoolbook" w:hAnsi="Century Schoolbook"/>
          <w:bCs/>
        </w:rPr>
        <w:t> </w:t>
      </w:r>
      <w:r>
        <w:rPr>
          <w:rFonts w:ascii="Century Schoolbook" w:hAnsi="Century Schoolbook"/>
          <w:bCs/>
        </w:rPr>
        <w:t>”</w:t>
      </w:r>
      <w:r w:rsidR="005333CB">
        <w:rPr>
          <w:rFonts w:ascii="Century Schoolbook" w:hAnsi="Century Schoolbook"/>
          <w:bCs/>
        </w:rPr>
        <w:t> </w:t>
      </w:r>
      <w:r>
        <w:rPr>
          <w:rFonts w:ascii="Century Schoolbook" w:hAnsi="Century Schoolbook"/>
          <w:bCs/>
        </w:rPr>
        <w:t>’</w:t>
      </w:r>
      <w:r w:rsidR="005333CB">
        <w:rPr>
          <w:rFonts w:ascii="Century Schoolbook" w:hAnsi="Century Schoolbook"/>
          <w:bCs/>
        </w:rPr>
        <w:t> </w:t>
      </w:r>
      <w:r>
        <w:rPr>
          <w:rFonts w:ascii="Century Schoolbook" w:hAnsi="Century Schoolbook"/>
          <w:bCs/>
        </w:rPr>
        <w:t xml:space="preserve">” </w:t>
      </w:r>
      <w:r w:rsidR="00C0731D">
        <w:rPr>
          <w:rFonts w:ascii="Century Schoolbook" w:hAnsi="Century Schoolbook"/>
          <w:bCs/>
        </w:rPr>
        <w:t xml:space="preserve"> </w:t>
      </w:r>
      <w:r>
        <w:rPr>
          <w:rFonts w:ascii="Century Schoolbook" w:hAnsi="Century Schoolbook"/>
          <w:bCs/>
        </w:rPr>
        <w:t>(</w:t>
      </w:r>
      <w:r>
        <w:rPr>
          <w:rFonts w:ascii="Century Schoolbook" w:hAnsi="Century Schoolbook"/>
          <w:bCs/>
          <w:i/>
          <w:iCs/>
        </w:rPr>
        <w:t>Ibid</w:t>
      </w:r>
      <w:r>
        <w:rPr>
          <w:rFonts w:ascii="Century Schoolbook" w:hAnsi="Century Schoolbook"/>
          <w:bCs/>
        </w:rPr>
        <w:t xml:space="preserve">., quoting </w:t>
      </w:r>
      <w:r w:rsidRPr="005B4961">
        <w:rPr>
          <w:rFonts w:ascii="Century Schoolbook" w:hAnsi="Century Schoolbook"/>
          <w:bCs/>
          <w:i/>
          <w:iCs/>
        </w:rPr>
        <w:t>Regents of University of California v. Superior Court</w:t>
      </w:r>
      <w:r w:rsidRPr="005B4961">
        <w:rPr>
          <w:rFonts w:ascii="Century Schoolbook" w:hAnsi="Century Schoolbook"/>
          <w:bCs/>
        </w:rPr>
        <w:t xml:space="preserve"> (1976) 17 Cal.3d 533, 536</w:t>
      </w:r>
      <w:r>
        <w:rPr>
          <w:rFonts w:ascii="Century Schoolbook" w:hAnsi="Century Schoolbook"/>
          <w:bCs/>
        </w:rPr>
        <w:t xml:space="preserve">.)  </w:t>
      </w:r>
      <w:r w:rsidR="00064F18">
        <w:rPr>
          <w:rFonts w:ascii="Century Schoolbook" w:hAnsi="Century Schoolbook"/>
          <w:bCs/>
        </w:rPr>
        <w:t>“</w:t>
      </w:r>
      <w:r w:rsidRPr="005B4961">
        <w:rPr>
          <w:rFonts w:ascii="Century Schoolbook" w:hAnsi="Century Schoolbook"/>
          <w:bCs/>
        </w:rPr>
        <w:t xml:space="preserve">Nevertheless, </w:t>
      </w:r>
      <w:r w:rsidR="00064F18">
        <w:rPr>
          <w:rFonts w:ascii="Century Schoolbook" w:hAnsi="Century Schoolbook"/>
          <w:bCs/>
        </w:rPr>
        <w:t>‘</w:t>
      </w:r>
      <w:r w:rsidRPr="005B4961">
        <w:rPr>
          <w:rFonts w:ascii="Century Schoolbook" w:hAnsi="Century Schoolbook"/>
          <w:bCs/>
        </w:rPr>
        <w:t xml:space="preserve">[w]hile the </w:t>
      </w:r>
      <w:r w:rsidR="00064F18">
        <w:rPr>
          <w:rFonts w:ascii="Century Schoolbook" w:hAnsi="Century Schoolbook"/>
          <w:bCs/>
        </w:rPr>
        <w:t>“</w:t>
      </w:r>
      <w:r w:rsidRPr="005B4961">
        <w:rPr>
          <w:rFonts w:ascii="Century Schoolbook" w:hAnsi="Century Schoolbook"/>
          <w:bCs/>
        </w:rPr>
        <w:t>sovereign powers</w:t>
      </w:r>
      <w:r w:rsidR="00064F18">
        <w:rPr>
          <w:rFonts w:ascii="Century Schoolbook" w:hAnsi="Century Schoolbook"/>
          <w:bCs/>
        </w:rPr>
        <w:t>”</w:t>
      </w:r>
      <w:r w:rsidRPr="005B4961">
        <w:rPr>
          <w:rFonts w:ascii="Century Schoolbook" w:hAnsi="Century Schoolbook"/>
          <w:bCs/>
        </w:rPr>
        <w:t xml:space="preserve"> principle can help resolve an unclear legislative intent, it cannot override positive indicia of a contrary legislative intent.</w:t>
      </w:r>
      <w:r w:rsidR="00064F18">
        <w:rPr>
          <w:rFonts w:ascii="Century Schoolbook" w:hAnsi="Century Schoolbook"/>
          <w:bCs/>
        </w:rPr>
        <w:t>’</w:t>
      </w:r>
      <w:r w:rsidR="00C0731D">
        <w:rPr>
          <w:rFonts w:ascii="Century Schoolbook" w:hAnsi="Century Schoolbook"/>
          <w:bCs/>
        </w:rPr>
        <w:t> </w:t>
      </w:r>
      <w:r w:rsidRPr="005B4961">
        <w:rPr>
          <w:rFonts w:ascii="Century Schoolbook" w:hAnsi="Century Schoolbook"/>
          <w:bCs/>
        </w:rPr>
        <w:t xml:space="preserve">” </w:t>
      </w:r>
      <w:r w:rsidR="00C0731D">
        <w:rPr>
          <w:rFonts w:ascii="Century Schoolbook" w:hAnsi="Century Schoolbook"/>
          <w:bCs/>
        </w:rPr>
        <w:t xml:space="preserve"> </w:t>
      </w:r>
      <w:r w:rsidRPr="005B4961">
        <w:rPr>
          <w:rFonts w:ascii="Century Schoolbook" w:hAnsi="Century Schoolbook"/>
          <w:bCs/>
        </w:rPr>
        <w:t>(</w:t>
      </w:r>
      <w:r w:rsidRPr="005B4961">
        <w:rPr>
          <w:rFonts w:ascii="Century Schoolbook" w:hAnsi="Century Schoolbook"/>
          <w:bCs/>
          <w:i/>
          <w:iCs/>
        </w:rPr>
        <w:t>Ibid.</w:t>
      </w:r>
      <w:r>
        <w:rPr>
          <w:rFonts w:ascii="Century Schoolbook" w:hAnsi="Century Schoolbook"/>
          <w:bCs/>
        </w:rPr>
        <w:t xml:space="preserve">, quoting </w:t>
      </w:r>
      <w:r w:rsidRPr="005B4961">
        <w:rPr>
          <w:rFonts w:ascii="Century Schoolbook" w:hAnsi="Century Schoolbook"/>
          <w:bCs/>
          <w:i/>
          <w:iCs/>
        </w:rPr>
        <w:t>Wells</w:t>
      </w:r>
      <w:r>
        <w:rPr>
          <w:rFonts w:ascii="Century Schoolbook" w:hAnsi="Century Schoolbook"/>
          <w:bCs/>
        </w:rPr>
        <w:t>,</w:t>
      </w:r>
      <w:r w:rsidRPr="005B4961">
        <w:rPr>
          <w:rFonts w:ascii="Century Schoolbook" w:hAnsi="Century Schoolbook"/>
          <w:bCs/>
        </w:rPr>
        <w:t xml:space="preserve"> </w:t>
      </w:r>
      <w:r w:rsidRPr="005B4961">
        <w:rPr>
          <w:rFonts w:ascii="Century Schoolbook" w:hAnsi="Century Schoolbook"/>
          <w:bCs/>
          <w:i/>
          <w:iCs/>
        </w:rPr>
        <w:t>supra</w:t>
      </w:r>
      <w:r w:rsidRPr="005B4961">
        <w:rPr>
          <w:rFonts w:ascii="Century Schoolbook" w:hAnsi="Century Schoolbook"/>
          <w:bCs/>
        </w:rPr>
        <w:t>, 39 Cal.4th at p.</w:t>
      </w:r>
      <w:r w:rsidR="00217979">
        <w:rPr>
          <w:rFonts w:ascii="Century Schoolbook" w:hAnsi="Century Schoolbook"/>
          <w:bCs/>
        </w:rPr>
        <w:t> </w:t>
      </w:r>
      <w:r w:rsidRPr="005B4961">
        <w:rPr>
          <w:rFonts w:ascii="Century Schoolbook" w:hAnsi="Century Schoolbook"/>
          <w:bCs/>
        </w:rPr>
        <w:t>119</w:t>
      </w:r>
      <w:r w:rsidR="005333CB">
        <w:rPr>
          <w:rFonts w:ascii="Century Schoolbook" w:hAnsi="Century Schoolbook"/>
          <w:bCs/>
        </w:rPr>
        <w:t>2</w:t>
      </w:r>
      <w:r>
        <w:rPr>
          <w:rFonts w:ascii="Century Schoolbook" w:hAnsi="Century Schoolbook"/>
          <w:bCs/>
        </w:rPr>
        <w:t>.</w:t>
      </w:r>
      <w:r w:rsidRPr="005B4961">
        <w:rPr>
          <w:rFonts w:ascii="Century Schoolbook" w:hAnsi="Century Schoolbook"/>
          <w:bCs/>
        </w:rPr>
        <w:t>)</w:t>
      </w:r>
    </w:p>
    <w:p w:rsidR="006239A5" w:rsidP="00170DEF" w14:paraId="1D64EB3A" w14:textId="2622AE6F">
      <w:pPr>
        <w:spacing w:line="360" w:lineRule="auto"/>
        <w:rPr>
          <w:rFonts w:ascii="Century Schoolbook" w:hAnsi="Century Schoolbook"/>
          <w:bCs/>
        </w:rPr>
      </w:pPr>
      <w:r>
        <w:rPr>
          <w:rFonts w:ascii="Century Schoolbook" w:hAnsi="Century Schoolbook"/>
          <w:bCs/>
        </w:rPr>
        <w:tab/>
      </w:r>
      <w:r w:rsidR="00BA3155">
        <w:rPr>
          <w:rFonts w:ascii="Century Schoolbook" w:hAnsi="Century Schoolbook"/>
          <w:bCs/>
        </w:rPr>
        <w:t xml:space="preserve">Following </w:t>
      </w:r>
      <w:r w:rsidR="00BA3155">
        <w:rPr>
          <w:rFonts w:ascii="Century Schoolbook" w:hAnsi="Century Schoolbook"/>
          <w:bCs/>
          <w:i/>
          <w:iCs/>
        </w:rPr>
        <w:t>Johnson</w:t>
      </w:r>
      <w:r w:rsidR="00BA3155">
        <w:rPr>
          <w:rFonts w:ascii="Century Schoolbook" w:hAnsi="Century Schoolbook"/>
          <w:bCs/>
        </w:rPr>
        <w:t>, we</w:t>
      </w:r>
      <w:r>
        <w:rPr>
          <w:rFonts w:ascii="Century Schoolbook" w:hAnsi="Century Schoolbook"/>
          <w:bCs/>
        </w:rPr>
        <w:t xml:space="preserve"> conduct a three-part inquiry.  First, we </w:t>
      </w:r>
      <w:r w:rsidR="00C2698E">
        <w:rPr>
          <w:rFonts w:ascii="Century Schoolbook" w:hAnsi="Century Schoolbook"/>
          <w:bCs/>
        </w:rPr>
        <w:t>look</w:t>
      </w:r>
      <w:r>
        <w:rPr>
          <w:rFonts w:ascii="Century Schoolbook" w:hAnsi="Century Schoolbook"/>
          <w:bCs/>
        </w:rPr>
        <w:t xml:space="preserve"> </w:t>
      </w:r>
      <w:r w:rsidR="00C2698E">
        <w:rPr>
          <w:rFonts w:ascii="Century Schoolbook" w:hAnsi="Century Schoolbook"/>
          <w:bCs/>
        </w:rPr>
        <w:t xml:space="preserve">for “express words” that </w:t>
      </w:r>
      <w:r>
        <w:rPr>
          <w:rFonts w:ascii="Century Schoolbook" w:hAnsi="Century Schoolbook"/>
          <w:bCs/>
        </w:rPr>
        <w:t>include governmental agencies</w:t>
      </w:r>
      <w:r w:rsidR="00C2698E">
        <w:rPr>
          <w:rFonts w:ascii="Century Schoolbook" w:hAnsi="Century Schoolbook"/>
          <w:bCs/>
        </w:rPr>
        <w:t xml:space="preserve"> “within the general words of” the relevant statutes</w:t>
      </w:r>
      <w:r>
        <w:rPr>
          <w:rFonts w:ascii="Century Schoolbook" w:hAnsi="Century Schoolbook"/>
          <w:bCs/>
        </w:rPr>
        <w:t xml:space="preserve">.  </w:t>
      </w:r>
      <w:r w:rsidR="00EA4168">
        <w:rPr>
          <w:rFonts w:ascii="Century Schoolbook" w:hAnsi="Century Schoolbook"/>
          <w:bCs/>
        </w:rPr>
        <w:t>(</w:t>
      </w:r>
      <w:r w:rsidR="00EA4168">
        <w:rPr>
          <w:rFonts w:ascii="Century Schoolbook" w:hAnsi="Century Schoolbook"/>
          <w:bCs/>
          <w:i/>
          <w:iCs/>
        </w:rPr>
        <w:t>Wells</w:t>
      </w:r>
      <w:r w:rsidR="00EA4168">
        <w:rPr>
          <w:rFonts w:ascii="Century Schoolbook" w:hAnsi="Century Schoolbook"/>
          <w:bCs/>
        </w:rPr>
        <w:t>,</w:t>
      </w:r>
      <w:r w:rsidR="00EA4168">
        <w:rPr>
          <w:rFonts w:ascii="Century Schoolbook" w:hAnsi="Century Schoolbook"/>
          <w:bCs/>
          <w:i/>
          <w:iCs/>
        </w:rPr>
        <w:t xml:space="preserve"> supra</w:t>
      </w:r>
      <w:r w:rsidR="00EA4168">
        <w:rPr>
          <w:rFonts w:ascii="Century Schoolbook" w:hAnsi="Century Schoolbook"/>
          <w:bCs/>
        </w:rPr>
        <w:t>, 39 Cal.4</w:t>
      </w:r>
      <w:r w:rsidRPr="00EA4168" w:rsidR="00EA4168">
        <w:rPr>
          <w:rFonts w:ascii="Century Schoolbook" w:hAnsi="Century Schoolbook"/>
          <w:bCs/>
        </w:rPr>
        <w:t>th</w:t>
      </w:r>
      <w:r w:rsidR="00EA4168">
        <w:rPr>
          <w:rFonts w:ascii="Century Schoolbook" w:hAnsi="Century Schoolbook"/>
          <w:bCs/>
        </w:rPr>
        <w:t xml:space="preserve"> at p.</w:t>
      </w:r>
      <w:r w:rsidR="00217979">
        <w:rPr>
          <w:rFonts w:ascii="Century Schoolbook" w:hAnsi="Century Schoolbook"/>
          <w:bCs/>
        </w:rPr>
        <w:t> </w:t>
      </w:r>
      <w:r w:rsidR="00EA4168">
        <w:rPr>
          <w:rFonts w:ascii="Century Schoolbook" w:hAnsi="Century Schoolbook"/>
          <w:bCs/>
        </w:rPr>
        <w:t xml:space="preserve">1193.)  </w:t>
      </w:r>
      <w:r>
        <w:rPr>
          <w:rFonts w:ascii="Century Schoolbook" w:hAnsi="Century Schoolbook"/>
          <w:bCs/>
        </w:rPr>
        <w:t xml:space="preserve">If not, we look for </w:t>
      </w:r>
      <w:r w:rsidR="00C2698E">
        <w:rPr>
          <w:rFonts w:ascii="Century Schoolbook" w:hAnsi="Century Schoolbook"/>
          <w:bCs/>
        </w:rPr>
        <w:t>“</w:t>
      </w:r>
      <w:r>
        <w:rPr>
          <w:rFonts w:ascii="Century Schoolbook" w:hAnsi="Century Schoolbook"/>
          <w:bCs/>
        </w:rPr>
        <w:t>positive indicia</w:t>
      </w:r>
      <w:r w:rsidR="00C2698E">
        <w:rPr>
          <w:rFonts w:ascii="Century Schoolbook" w:hAnsi="Century Schoolbook"/>
          <w:bCs/>
        </w:rPr>
        <w:t>”</w:t>
      </w:r>
      <w:r>
        <w:rPr>
          <w:rFonts w:ascii="Century Schoolbook" w:hAnsi="Century Schoolbook"/>
          <w:bCs/>
        </w:rPr>
        <w:t xml:space="preserve"> of a legislative intent to </w:t>
      </w:r>
      <w:r w:rsidRPr="00327E0F">
        <w:rPr>
          <w:rFonts w:ascii="Century Schoolbook" w:hAnsi="Century Schoolbook"/>
          <w:bCs/>
          <w:i/>
          <w:iCs/>
        </w:rPr>
        <w:t>exempt</w:t>
      </w:r>
      <w:r>
        <w:rPr>
          <w:rFonts w:ascii="Century Schoolbook" w:hAnsi="Century Schoolbook"/>
          <w:bCs/>
        </w:rPr>
        <w:t xml:space="preserve"> such agencies from th</w:t>
      </w:r>
      <w:r w:rsidR="00EA4168">
        <w:rPr>
          <w:rFonts w:ascii="Century Schoolbook" w:hAnsi="Century Schoolbook"/>
          <w:bCs/>
        </w:rPr>
        <w:t>os</w:t>
      </w:r>
      <w:r>
        <w:rPr>
          <w:rFonts w:ascii="Century Schoolbook" w:hAnsi="Century Schoolbook"/>
          <w:bCs/>
        </w:rPr>
        <w:t>e statute</w:t>
      </w:r>
      <w:r w:rsidR="00EA4168">
        <w:rPr>
          <w:rFonts w:ascii="Century Schoolbook" w:hAnsi="Century Schoolbook"/>
          <w:bCs/>
        </w:rPr>
        <w:t>s</w:t>
      </w:r>
      <w:r>
        <w:rPr>
          <w:rFonts w:ascii="Century Schoolbook" w:hAnsi="Century Schoolbook"/>
          <w:bCs/>
        </w:rPr>
        <w:t xml:space="preserve">.  </w:t>
      </w:r>
      <w:r w:rsidR="00EA4168">
        <w:rPr>
          <w:rFonts w:ascii="Century Schoolbook" w:hAnsi="Century Schoolbook"/>
          <w:bCs/>
        </w:rPr>
        <w:t>(</w:t>
      </w:r>
      <w:r w:rsidR="00EA4168">
        <w:rPr>
          <w:rFonts w:ascii="Century Schoolbook" w:hAnsi="Century Schoolbook"/>
          <w:bCs/>
          <w:i/>
          <w:iCs/>
        </w:rPr>
        <w:t>Ibid</w:t>
      </w:r>
      <w:r w:rsidR="00EA4168">
        <w:rPr>
          <w:rFonts w:ascii="Century Schoolbook" w:hAnsi="Century Schoolbook"/>
          <w:bCs/>
        </w:rPr>
        <w:t xml:space="preserve">.)  </w:t>
      </w:r>
      <w:r w:rsidR="00511D3C">
        <w:rPr>
          <w:rFonts w:ascii="Century Schoolbook" w:hAnsi="Century Schoolbook"/>
          <w:bCs/>
        </w:rPr>
        <w:t>Then, i</w:t>
      </w:r>
      <w:r>
        <w:rPr>
          <w:rFonts w:ascii="Century Schoolbook" w:hAnsi="Century Schoolbook"/>
          <w:bCs/>
        </w:rPr>
        <w:t>f no such indicia appear, we a</w:t>
      </w:r>
      <w:r w:rsidR="00BA3155">
        <w:rPr>
          <w:rFonts w:ascii="Century Schoolbook" w:hAnsi="Century Schoolbook"/>
          <w:bCs/>
        </w:rPr>
        <w:t xml:space="preserve">sk whether applying the statutes to respondent </w:t>
      </w:r>
      <w:r w:rsidR="00EA4168">
        <w:rPr>
          <w:rFonts w:ascii="Century Schoolbook" w:hAnsi="Century Schoolbook"/>
          <w:bCs/>
        </w:rPr>
        <w:t>“</w:t>
      </w:r>
      <w:r w:rsidR="00BA3155">
        <w:rPr>
          <w:rFonts w:ascii="Century Schoolbook" w:hAnsi="Century Schoolbook"/>
          <w:bCs/>
        </w:rPr>
        <w:t>would result in an infringement upon sovereign governmental powers</w:t>
      </w:r>
      <w:r>
        <w:rPr>
          <w:rFonts w:ascii="Century Schoolbook" w:hAnsi="Century Schoolbook"/>
          <w:bCs/>
        </w:rPr>
        <w:t>.</w:t>
      </w:r>
      <w:r w:rsidR="00EA4168">
        <w:rPr>
          <w:rFonts w:ascii="Century Schoolbook" w:hAnsi="Century Schoolbook"/>
          <w:bCs/>
        </w:rPr>
        <w:t>”</w:t>
      </w:r>
      <w:r w:rsidR="00511D3C">
        <w:rPr>
          <w:rFonts w:ascii="Century Schoolbook" w:hAnsi="Century Schoolbook"/>
          <w:bCs/>
        </w:rPr>
        <w:t xml:space="preserve">  </w:t>
      </w:r>
      <w:r w:rsidR="00EA4168">
        <w:rPr>
          <w:rFonts w:ascii="Century Schoolbook" w:hAnsi="Century Schoolbook"/>
          <w:bCs/>
        </w:rPr>
        <w:t>(</w:t>
      </w:r>
      <w:r w:rsidRPr="005333CB" w:rsidR="00EA4168">
        <w:rPr>
          <w:rFonts w:ascii="Century Schoolbook" w:hAnsi="Century Schoolbook"/>
          <w:bCs/>
          <w:i/>
          <w:iCs/>
        </w:rPr>
        <w:t>I</w:t>
      </w:r>
      <w:r w:rsidRPr="005333CB" w:rsidR="005333CB">
        <w:rPr>
          <w:rFonts w:ascii="Century Schoolbook" w:hAnsi="Century Schoolbook"/>
          <w:bCs/>
          <w:i/>
          <w:iCs/>
        </w:rPr>
        <w:t>d</w:t>
      </w:r>
      <w:r w:rsidR="005333CB">
        <w:rPr>
          <w:rFonts w:ascii="Century Schoolbook" w:hAnsi="Century Schoolbook"/>
          <w:bCs/>
        </w:rPr>
        <w:t>. at p.</w:t>
      </w:r>
      <w:r w:rsidR="00217979">
        <w:rPr>
          <w:rFonts w:ascii="Century Schoolbook" w:hAnsi="Century Schoolbook"/>
          <w:bCs/>
        </w:rPr>
        <w:t> </w:t>
      </w:r>
      <w:r w:rsidR="005333CB">
        <w:rPr>
          <w:rFonts w:ascii="Century Schoolbook" w:hAnsi="Century Schoolbook"/>
          <w:bCs/>
        </w:rPr>
        <w:t>1192</w:t>
      </w:r>
      <w:r w:rsidR="00EA4168">
        <w:rPr>
          <w:rFonts w:ascii="Century Schoolbook" w:hAnsi="Century Schoolbook"/>
          <w:bCs/>
        </w:rPr>
        <w:t xml:space="preserve">.)  </w:t>
      </w:r>
      <w:r w:rsidR="00BA3155">
        <w:rPr>
          <w:rFonts w:ascii="Century Schoolbook" w:hAnsi="Century Schoolbook"/>
          <w:bCs/>
        </w:rPr>
        <w:t>Accordingly</w:t>
      </w:r>
      <w:r w:rsidR="00511D3C">
        <w:rPr>
          <w:rFonts w:ascii="Century Schoolbook" w:hAnsi="Century Schoolbook"/>
          <w:bCs/>
        </w:rPr>
        <w:t>, because the statutes underlying the first, second, and third causes of action</w:t>
      </w:r>
      <w:r>
        <w:rPr>
          <w:rStyle w:val="FootnoteReference"/>
          <w:rFonts w:ascii="Century Schoolbook" w:hAnsi="Century Schoolbook"/>
          <w:bCs/>
        </w:rPr>
        <w:footnoteReference w:id="7"/>
      </w:r>
      <w:r w:rsidR="00511D3C">
        <w:rPr>
          <w:rFonts w:ascii="Century Schoolbook" w:hAnsi="Century Schoolbook"/>
          <w:bCs/>
        </w:rPr>
        <w:t xml:space="preserve"> </w:t>
      </w:r>
      <w:r w:rsidR="00842EEB">
        <w:rPr>
          <w:rFonts w:ascii="Century Schoolbook" w:hAnsi="Century Schoolbook"/>
          <w:bCs/>
        </w:rPr>
        <w:t>do not expressly include governmental agencies</w:t>
      </w:r>
      <w:r w:rsidR="00511D3C">
        <w:rPr>
          <w:rFonts w:ascii="Century Schoolbook" w:hAnsi="Century Schoolbook"/>
          <w:bCs/>
        </w:rPr>
        <w:t xml:space="preserve">, we proceed to the second part of </w:t>
      </w:r>
      <w:r w:rsidR="00842EEB">
        <w:rPr>
          <w:rFonts w:ascii="Century Schoolbook" w:hAnsi="Century Schoolbook"/>
          <w:bCs/>
        </w:rPr>
        <w:t xml:space="preserve">the </w:t>
      </w:r>
      <w:r w:rsidR="00842EEB">
        <w:rPr>
          <w:rFonts w:ascii="Century Schoolbook" w:hAnsi="Century Schoolbook"/>
          <w:bCs/>
          <w:i/>
          <w:iCs/>
        </w:rPr>
        <w:t xml:space="preserve">Johnson </w:t>
      </w:r>
      <w:r w:rsidR="00511D3C">
        <w:rPr>
          <w:rFonts w:ascii="Century Schoolbook" w:hAnsi="Century Schoolbook"/>
          <w:bCs/>
        </w:rPr>
        <w:t>inquiry</w:t>
      </w:r>
      <w:r w:rsidR="00EA4168">
        <w:rPr>
          <w:rFonts w:ascii="Century Schoolbook" w:hAnsi="Century Schoolbook"/>
          <w:bCs/>
        </w:rPr>
        <w:t>: askin</w:t>
      </w:r>
      <w:r w:rsidR="00163798">
        <w:rPr>
          <w:rFonts w:ascii="Century Schoolbook" w:hAnsi="Century Schoolbook"/>
          <w:bCs/>
        </w:rPr>
        <w:t>g</w:t>
      </w:r>
      <w:r w:rsidR="00842EEB">
        <w:rPr>
          <w:rFonts w:ascii="Century Schoolbook" w:hAnsi="Century Schoolbook"/>
          <w:bCs/>
        </w:rPr>
        <w:t xml:space="preserve"> whether there </w:t>
      </w:r>
      <w:r w:rsidR="00EA4168">
        <w:rPr>
          <w:rFonts w:ascii="Century Schoolbook" w:hAnsi="Century Schoolbook"/>
          <w:bCs/>
        </w:rPr>
        <w:t>are</w:t>
      </w:r>
      <w:r w:rsidR="00842EEB">
        <w:rPr>
          <w:rFonts w:ascii="Century Schoolbook" w:hAnsi="Century Schoolbook"/>
          <w:bCs/>
        </w:rPr>
        <w:t xml:space="preserve"> “positive indicia” of legislative intent to exempt respondent</w:t>
      </w:r>
      <w:r w:rsidR="00511D3C">
        <w:rPr>
          <w:rFonts w:ascii="Century Schoolbook" w:hAnsi="Century Schoolbook"/>
          <w:bCs/>
        </w:rPr>
        <w:t>.</w:t>
      </w:r>
    </w:p>
    <w:p w:rsidR="006239A5" w:rsidRPr="00A97732" w:rsidP="006239A5" w14:paraId="30FF34E8" w14:textId="77777777">
      <w:pPr>
        <w:spacing w:line="360" w:lineRule="auto"/>
        <w:rPr>
          <w:rFonts w:ascii="Century Schoolbook" w:hAnsi="Century Schoolbook"/>
          <w:b/>
        </w:rPr>
      </w:pPr>
      <w:r>
        <w:rPr>
          <w:rFonts w:ascii="Century Schoolbook" w:hAnsi="Century Schoolbook"/>
          <w:b/>
        </w:rPr>
        <w:tab/>
      </w:r>
      <w:r w:rsidRPr="00A97732">
        <w:rPr>
          <w:rFonts w:ascii="Century Schoolbook" w:hAnsi="Century Schoolbook"/>
          <w:b/>
        </w:rPr>
        <w:t>a. Positive Indicia of Contrary Legislative Intent</w:t>
      </w:r>
    </w:p>
    <w:p w:rsidR="00877763" w:rsidP="005B4961" w14:paraId="5893319A" w14:textId="79852991">
      <w:pPr>
        <w:spacing w:line="360" w:lineRule="auto"/>
        <w:rPr>
          <w:rFonts w:ascii="Century Schoolbook" w:hAnsi="Century Schoolbook"/>
          <w:bCs/>
        </w:rPr>
      </w:pPr>
      <w:r>
        <w:rPr>
          <w:rFonts w:ascii="Century Schoolbook" w:hAnsi="Century Schoolbook"/>
        </w:rPr>
        <w:tab/>
      </w:r>
      <w:r>
        <w:rPr>
          <w:rFonts w:ascii="Century Schoolbook" w:hAnsi="Century Schoolbook"/>
          <w:bCs/>
        </w:rPr>
        <w:t>Respondent discerns such indicia in subdivision</w:t>
      </w:r>
      <w:r w:rsidR="006239A5">
        <w:rPr>
          <w:rFonts w:ascii="Century Schoolbook" w:hAnsi="Century Schoolbook"/>
          <w:bCs/>
        </w:rPr>
        <w:t>s</w:t>
      </w:r>
      <w:r>
        <w:rPr>
          <w:rFonts w:ascii="Century Schoolbook" w:hAnsi="Century Schoolbook"/>
          <w:bCs/>
        </w:rPr>
        <w:t xml:space="preserve"> (a)(2)(C)</w:t>
      </w:r>
      <w:r w:rsidR="006239A5">
        <w:rPr>
          <w:rFonts w:ascii="Century Schoolbook" w:hAnsi="Century Schoolbook"/>
          <w:bCs/>
        </w:rPr>
        <w:t xml:space="preserve"> and (m)</w:t>
      </w:r>
      <w:r w:rsidR="006B335B">
        <w:rPr>
          <w:rFonts w:ascii="Century Schoolbook" w:hAnsi="Century Schoolbook"/>
          <w:bCs/>
        </w:rPr>
        <w:t xml:space="preserve"> of the enabling statute</w:t>
      </w:r>
      <w:r w:rsidR="006239A5">
        <w:rPr>
          <w:rFonts w:ascii="Century Schoolbook" w:hAnsi="Century Schoolbook"/>
          <w:bCs/>
        </w:rPr>
        <w:t xml:space="preserve">: The former </w:t>
      </w:r>
      <w:r>
        <w:rPr>
          <w:rFonts w:ascii="Century Schoolbook" w:hAnsi="Century Schoolbook"/>
          <w:bCs/>
        </w:rPr>
        <w:t xml:space="preserve">defines “[h]ospital authority” as a “public agency,” and </w:t>
      </w:r>
      <w:r w:rsidR="006239A5">
        <w:rPr>
          <w:rFonts w:ascii="Century Schoolbook" w:hAnsi="Century Schoolbook"/>
          <w:bCs/>
        </w:rPr>
        <w:t>the latter</w:t>
      </w:r>
      <w:r w:rsidR="00394AE6">
        <w:rPr>
          <w:rFonts w:ascii="Century Schoolbook" w:hAnsi="Century Schoolbook"/>
          <w:bCs/>
        </w:rPr>
        <w:t xml:space="preserve"> </w:t>
      </w:r>
      <w:r>
        <w:rPr>
          <w:rFonts w:ascii="Century Schoolbook" w:hAnsi="Century Schoolbook"/>
          <w:bCs/>
        </w:rPr>
        <w:t>provides that “</w:t>
      </w:r>
      <w:r w:rsidRPr="00877763">
        <w:rPr>
          <w:rFonts w:ascii="Century Schoolbook" w:hAnsi="Century Schoolbook"/>
          <w:bCs/>
        </w:rPr>
        <w:t>a transfer of control or ownership of the medical center shall confer onto the hospital authority all the rights and duties set forth in state law with respect to hospitals owned or operated by a county.</w:t>
      </w:r>
      <w:r>
        <w:rPr>
          <w:rFonts w:ascii="Century Schoolbook" w:hAnsi="Century Schoolbook"/>
          <w:bCs/>
        </w:rPr>
        <w:t>”</w:t>
      </w:r>
      <w:r w:rsidR="003607D2">
        <w:rPr>
          <w:rFonts w:ascii="Century Schoolbook" w:hAnsi="Century Schoolbook"/>
          <w:bCs/>
        </w:rPr>
        <w:t xml:space="preserve"> </w:t>
      </w:r>
    </w:p>
    <w:p w:rsidR="003607D2" w:rsidP="005B4961" w14:paraId="2F0E810D" w14:textId="25E6FB7C">
      <w:pPr>
        <w:spacing w:line="360" w:lineRule="auto"/>
        <w:rPr>
          <w:rFonts w:ascii="Century Schoolbook" w:hAnsi="Century Schoolbook"/>
          <w:bCs/>
        </w:rPr>
      </w:pPr>
      <w:r>
        <w:rPr>
          <w:rFonts w:ascii="Century Schoolbook" w:hAnsi="Century Schoolbook"/>
          <w:bCs/>
        </w:rPr>
        <w:tab/>
      </w:r>
      <w:r w:rsidR="00F61FC1">
        <w:rPr>
          <w:rFonts w:ascii="Century Schoolbook" w:hAnsi="Century Schoolbook"/>
          <w:bCs/>
        </w:rPr>
        <w:t xml:space="preserve">However, </w:t>
      </w:r>
      <w:r w:rsidRPr="00486D38" w:rsidR="00486D38">
        <w:rPr>
          <w:rFonts w:ascii="Century Schoolbook" w:hAnsi="Century Schoolbook"/>
          <w:bCs/>
        </w:rPr>
        <w:t>subdivision (j)</w:t>
      </w:r>
      <w:r w:rsidR="00486D38">
        <w:rPr>
          <w:rFonts w:ascii="Century Schoolbook" w:hAnsi="Century Schoolbook"/>
          <w:bCs/>
        </w:rPr>
        <w:t xml:space="preserve"> of the enabling statute designates respondent as “</w:t>
      </w:r>
      <w:r w:rsidRPr="00394AE6" w:rsidR="00486D38">
        <w:rPr>
          <w:rFonts w:ascii="Century Schoolbook" w:hAnsi="Century Schoolbook"/>
          <w:bCs/>
        </w:rPr>
        <w:t>a government entity separate and apart from the county,</w:t>
      </w:r>
      <w:r w:rsidR="00217979">
        <w:rPr>
          <w:rFonts w:ascii="Century Schoolbook" w:hAnsi="Century Schoolbook"/>
          <w:bCs/>
        </w:rPr>
        <w:t> </w:t>
      </w:r>
      <w:r w:rsidR="00486D38">
        <w:rPr>
          <w:rFonts w:ascii="Century Schoolbook" w:hAnsi="Century Schoolbook"/>
          <w:bCs/>
        </w:rPr>
        <w:t>.</w:t>
      </w:r>
      <w:r w:rsidR="00217979">
        <w:rPr>
          <w:rFonts w:ascii="Century Schoolbook" w:hAnsi="Century Schoolbook"/>
          <w:bCs/>
        </w:rPr>
        <w:t> </w:t>
      </w:r>
      <w:r w:rsidR="00486D38">
        <w:rPr>
          <w:rFonts w:ascii="Century Schoolbook" w:hAnsi="Century Schoolbook"/>
          <w:bCs/>
        </w:rPr>
        <w:t>.</w:t>
      </w:r>
      <w:r w:rsidR="00217979">
        <w:rPr>
          <w:rFonts w:ascii="Century Schoolbook" w:hAnsi="Century Schoolbook"/>
          <w:bCs/>
        </w:rPr>
        <w:t> </w:t>
      </w:r>
      <w:r w:rsidR="00486D38">
        <w:rPr>
          <w:rFonts w:ascii="Century Schoolbook" w:hAnsi="Century Schoolbook"/>
          <w:bCs/>
        </w:rPr>
        <w:t>.</w:t>
      </w:r>
      <w:r w:rsidR="00217979">
        <w:rPr>
          <w:rFonts w:ascii="Century Schoolbook" w:hAnsi="Century Schoolbook"/>
          <w:bCs/>
        </w:rPr>
        <w:t> </w:t>
      </w:r>
      <w:r w:rsidRPr="00394AE6" w:rsidR="00486D38">
        <w:rPr>
          <w:rFonts w:ascii="Century Schoolbook" w:hAnsi="Century Schoolbook"/>
          <w:bCs/>
        </w:rPr>
        <w:t xml:space="preserve">not </w:t>
      </w:r>
      <w:r w:rsidR="00486D38">
        <w:rPr>
          <w:rFonts w:ascii="Century Schoolbook" w:hAnsi="Century Schoolbook"/>
          <w:bCs/>
        </w:rPr>
        <w:t xml:space="preserve">[to] </w:t>
      </w:r>
      <w:r w:rsidRPr="00394AE6" w:rsidR="00486D38">
        <w:rPr>
          <w:rFonts w:ascii="Century Schoolbook" w:hAnsi="Century Schoolbook"/>
          <w:bCs/>
        </w:rPr>
        <w:t>be considered to be an agency, division, or department of the county.</w:t>
      </w:r>
      <w:r w:rsidR="00486D38">
        <w:rPr>
          <w:rFonts w:ascii="Century Schoolbook" w:hAnsi="Century Schoolbook"/>
          <w:bCs/>
        </w:rPr>
        <w:t xml:space="preserve">”  </w:t>
      </w:r>
      <w:r w:rsidR="00523741">
        <w:rPr>
          <w:rFonts w:ascii="Century Schoolbook" w:hAnsi="Century Schoolbook"/>
          <w:bCs/>
        </w:rPr>
        <w:t xml:space="preserve">(Health &amp; Saf. Code, § 101850, subd. (j).)  </w:t>
      </w:r>
      <w:r w:rsidR="00486D38">
        <w:rPr>
          <w:rFonts w:ascii="Century Schoolbook" w:hAnsi="Century Schoolbook"/>
          <w:bCs/>
        </w:rPr>
        <w:t>This stands in stark contrast to agencies found</w:t>
      </w:r>
      <w:r w:rsidR="00E70F20">
        <w:rPr>
          <w:rFonts w:ascii="Century Schoolbook" w:hAnsi="Century Schoolbook"/>
          <w:bCs/>
        </w:rPr>
        <w:t xml:space="preserve"> in previous cases</w:t>
      </w:r>
      <w:r w:rsidR="00486D38">
        <w:rPr>
          <w:rFonts w:ascii="Century Schoolbook" w:hAnsi="Century Schoolbook"/>
          <w:bCs/>
        </w:rPr>
        <w:t xml:space="preserve"> to be </w:t>
      </w:r>
      <w:r w:rsidRPr="00E46106" w:rsidR="00486D38">
        <w:rPr>
          <w:rFonts w:ascii="Century Schoolbook" w:hAnsi="Century Schoolbook"/>
          <w:bCs/>
        </w:rPr>
        <w:t xml:space="preserve">outside the ambit of the sovereign powers </w:t>
      </w:r>
      <w:r w:rsidRPr="00E70F20" w:rsidR="00486D38">
        <w:rPr>
          <w:rFonts w:ascii="Century Schoolbook" w:hAnsi="Century Schoolbook"/>
          <w:bCs/>
        </w:rPr>
        <w:t>doctrine</w:t>
      </w:r>
      <w:r w:rsidRPr="00E46106" w:rsidR="00486D38">
        <w:rPr>
          <w:rFonts w:ascii="Century Schoolbook" w:hAnsi="Century Schoolbook"/>
          <w:bCs/>
        </w:rPr>
        <w:t>.</w:t>
      </w:r>
      <w:r w:rsidR="00E70F20">
        <w:rPr>
          <w:rFonts w:ascii="Century Schoolbook" w:hAnsi="Century Schoolbook"/>
          <w:bCs/>
        </w:rPr>
        <w:t xml:space="preserve">  For example, the respondent water storage district in </w:t>
      </w:r>
      <w:r w:rsidRPr="00E74C12" w:rsidR="00E70F20">
        <w:rPr>
          <w:rFonts w:ascii="Century Schoolbook" w:hAnsi="Century Schoolbook"/>
          <w:bCs/>
          <w:i/>
          <w:iCs/>
        </w:rPr>
        <w:t>Johnson</w:t>
      </w:r>
      <w:r w:rsidR="00E70F20">
        <w:rPr>
          <w:rFonts w:ascii="Century Schoolbook" w:hAnsi="Century Schoolbook"/>
          <w:bCs/>
        </w:rPr>
        <w:t xml:space="preserve">, </w:t>
      </w:r>
      <w:r w:rsidR="00E70F20">
        <w:rPr>
          <w:rFonts w:ascii="Century Schoolbook" w:hAnsi="Century Schoolbook"/>
          <w:bCs/>
          <w:i/>
          <w:iCs/>
        </w:rPr>
        <w:t>supra</w:t>
      </w:r>
      <w:r w:rsidR="00E70F20">
        <w:rPr>
          <w:rFonts w:ascii="Century Schoolbook" w:hAnsi="Century Schoolbook"/>
          <w:bCs/>
        </w:rPr>
        <w:t xml:space="preserve">, </w:t>
      </w:r>
      <w:r w:rsidRPr="00E74C12" w:rsidR="00E70F20">
        <w:rPr>
          <w:rFonts w:ascii="Century Schoolbook" w:hAnsi="Century Schoolbook"/>
          <w:bCs/>
        </w:rPr>
        <w:t xml:space="preserve">174 Cal.App.4th </w:t>
      </w:r>
      <w:r w:rsidR="00E70F20">
        <w:rPr>
          <w:rFonts w:ascii="Century Schoolbook" w:hAnsi="Century Schoolbook"/>
          <w:bCs/>
        </w:rPr>
        <w:t xml:space="preserve">at </w:t>
      </w:r>
      <w:r w:rsidR="005333CB">
        <w:rPr>
          <w:rFonts w:ascii="Century Schoolbook" w:hAnsi="Century Schoolbook"/>
          <w:bCs/>
        </w:rPr>
        <w:t>page</w:t>
      </w:r>
      <w:r w:rsidR="00E70F20">
        <w:rPr>
          <w:rFonts w:ascii="Century Schoolbook" w:hAnsi="Century Schoolbook"/>
          <w:bCs/>
        </w:rPr>
        <w:t xml:space="preserve"> 733, was “</w:t>
      </w:r>
      <w:r w:rsidR="005333CB">
        <w:rPr>
          <w:rFonts w:ascii="Century Schoolbook" w:hAnsi="Century Schoolbook"/>
          <w:bCs/>
        </w:rPr>
        <w:t> ‘</w:t>
      </w:r>
      <w:r w:rsidR="00E70F20">
        <w:rPr>
          <w:rFonts w:ascii="Century Schoolbook" w:hAnsi="Century Schoolbook"/>
          <w:bCs/>
        </w:rPr>
        <w:t xml:space="preserve">a public agency </w:t>
      </w:r>
      <w:r w:rsidRPr="003607D2" w:rsidR="00E70F20">
        <w:rPr>
          <w:rFonts w:ascii="Century Schoolbook" w:hAnsi="Century Schoolbook"/>
          <w:bCs/>
          <w:i/>
          <w:iCs/>
        </w:rPr>
        <w:t>of the state of California</w:t>
      </w:r>
      <w:r w:rsidR="00E70F20">
        <w:rPr>
          <w:rFonts w:ascii="Century Schoolbook" w:hAnsi="Century Schoolbook"/>
          <w:bCs/>
        </w:rPr>
        <w:t>.</w:t>
      </w:r>
      <w:r w:rsidR="005333CB">
        <w:rPr>
          <w:rFonts w:ascii="Century Schoolbook" w:hAnsi="Century Schoolbook"/>
          <w:bCs/>
        </w:rPr>
        <w:t>’ </w:t>
      </w:r>
      <w:r w:rsidR="00E70F20">
        <w:rPr>
          <w:rFonts w:ascii="Century Schoolbook" w:hAnsi="Century Schoolbook"/>
          <w:bCs/>
        </w:rPr>
        <w:t xml:space="preserve">”  (Italics added.)  The same is true for the California Department of Corrections and Rehabilitation—another </w:t>
      </w:r>
      <w:r w:rsidRPr="003607D2" w:rsidR="00E70F20">
        <w:rPr>
          <w:rFonts w:ascii="Century Schoolbook" w:hAnsi="Century Schoolbook"/>
          <w:bCs/>
          <w:i/>
          <w:iCs/>
        </w:rPr>
        <w:t>state</w:t>
      </w:r>
      <w:r w:rsidR="00E70F20">
        <w:rPr>
          <w:rFonts w:ascii="Century Schoolbook" w:hAnsi="Century Schoolbook"/>
          <w:bCs/>
        </w:rPr>
        <w:t xml:space="preserve"> agency.  (</w:t>
      </w:r>
      <w:r w:rsidR="00E70F20">
        <w:rPr>
          <w:rFonts w:ascii="Century Schoolbook" w:hAnsi="Century Schoolbook"/>
          <w:bCs/>
          <w:i/>
          <w:iCs/>
        </w:rPr>
        <w:t>California Correctional Peace Officers’ Assn. v. State of California</w:t>
      </w:r>
      <w:r w:rsidR="00E70F20">
        <w:rPr>
          <w:rFonts w:ascii="Century Schoolbook" w:hAnsi="Century Schoolbook"/>
          <w:bCs/>
        </w:rPr>
        <w:t xml:space="preserve"> (2010) 188 Cal.App.4th 646.)  </w:t>
      </w:r>
      <w:r w:rsidR="00D4511F">
        <w:rPr>
          <w:rFonts w:ascii="Century Schoolbook" w:hAnsi="Century Schoolbook"/>
          <w:bCs/>
        </w:rPr>
        <w:t xml:space="preserve">Here, far from identifying respondent with the state (or one of its political subdivisions), respondent’s enabling statute actively </w:t>
      </w:r>
      <w:r w:rsidRPr="00486D38" w:rsidR="00D4511F">
        <w:rPr>
          <w:rFonts w:ascii="Century Schoolbook" w:hAnsi="Century Schoolbook"/>
          <w:bCs/>
          <w:i/>
          <w:iCs/>
        </w:rPr>
        <w:t>discourages</w:t>
      </w:r>
      <w:r w:rsidR="00D4511F">
        <w:rPr>
          <w:rFonts w:ascii="Century Schoolbook" w:hAnsi="Century Schoolbook"/>
          <w:bCs/>
        </w:rPr>
        <w:t xml:space="preserve"> such an identification.  For that reason, we find in the portions of the enabling statute cited by respondent no “positive indicia of a contrary legislative intent.”  </w:t>
      </w:r>
      <w:bookmarkStart w:id="1" w:name="_Hlk124436399"/>
      <w:r w:rsidR="00D4511F">
        <w:rPr>
          <w:rFonts w:ascii="Century Schoolbook" w:hAnsi="Century Schoolbook"/>
          <w:bCs/>
        </w:rPr>
        <w:t>(</w:t>
      </w:r>
      <w:r w:rsidR="00D4511F">
        <w:rPr>
          <w:rFonts w:ascii="Century Schoolbook" w:hAnsi="Century Schoolbook"/>
          <w:bCs/>
          <w:i/>
          <w:iCs/>
        </w:rPr>
        <w:t>Wells</w:t>
      </w:r>
      <w:r w:rsidR="00D4511F">
        <w:rPr>
          <w:rFonts w:ascii="Century Schoolbook" w:hAnsi="Century Schoolbook"/>
          <w:bCs/>
        </w:rPr>
        <w:t xml:space="preserve">, </w:t>
      </w:r>
      <w:r w:rsidR="00D4511F">
        <w:rPr>
          <w:rFonts w:ascii="Century Schoolbook" w:hAnsi="Century Schoolbook"/>
          <w:bCs/>
          <w:i/>
          <w:iCs/>
        </w:rPr>
        <w:t>supra</w:t>
      </w:r>
      <w:r w:rsidR="00D4511F">
        <w:rPr>
          <w:rFonts w:ascii="Century Schoolbook" w:hAnsi="Century Schoolbook"/>
          <w:bCs/>
        </w:rPr>
        <w:t>, 39 Cal.4th at p.</w:t>
      </w:r>
      <w:r w:rsidR="00217979">
        <w:rPr>
          <w:rFonts w:ascii="Century Schoolbook" w:hAnsi="Century Schoolbook"/>
          <w:bCs/>
        </w:rPr>
        <w:t> </w:t>
      </w:r>
      <w:r w:rsidR="00D4511F">
        <w:rPr>
          <w:rFonts w:ascii="Century Schoolbook" w:hAnsi="Century Schoolbook"/>
          <w:bCs/>
        </w:rPr>
        <w:t>1193.)</w:t>
      </w:r>
      <w:bookmarkEnd w:id="1"/>
      <w:r>
        <w:rPr>
          <w:rFonts w:ascii="Century Schoolbook" w:hAnsi="Century Schoolbook"/>
          <w:bCs/>
        </w:rPr>
        <w:t xml:space="preserve">    </w:t>
      </w:r>
    </w:p>
    <w:p w:rsidR="009F0AE2" w:rsidP="005B4961" w14:paraId="7D987FBE" w14:textId="6BEACB6E">
      <w:pPr>
        <w:spacing w:line="360" w:lineRule="auto"/>
        <w:rPr>
          <w:rFonts w:ascii="Century Schoolbook" w:hAnsi="Century Schoolbook"/>
        </w:rPr>
      </w:pPr>
      <w:r>
        <w:rPr>
          <w:rFonts w:ascii="Century Schoolbook" w:hAnsi="Century Schoolbook"/>
          <w:bCs/>
        </w:rPr>
        <w:tab/>
        <w:t>As for the Wage Order, it provides an exemption for “</w:t>
      </w:r>
      <w:r w:rsidRPr="00170DEF">
        <w:rPr>
          <w:rFonts w:ascii="Century Schoolbook" w:hAnsi="Century Schoolbook"/>
          <w:bCs/>
        </w:rPr>
        <w:t>employees directly employed by the State or any</w:t>
      </w:r>
      <w:r>
        <w:rPr>
          <w:rFonts w:ascii="Century Schoolbook" w:hAnsi="Century Schoolbook"/>
          <w:bCs/>
        </w:rPr>
        <w:t xml:space="preserve"> </w:t>
      </w:r>
      <w:r w:rsidRPr="00170DEF">
        <w:rPr>
          <w:rFonts w:ascii="Century Schoolbook" w:hAnsi="Century Schoolbook"/>
          <w:bCs/>
        </w:rPr>
        <w:t>political subdivision thereof, including any city, county, or special</w:t>
      </w:r>
      <w:r>
        <w:rPr>
          <w:rFonts w:ascii="Century Schoolbook" w:hAnsi="Century Schoolbook"/>
          <w:bCs/>
        </w:rPr>
        <w:t xml:space="preserve"> </w:t>
      </w:r>
      <w:r w:rsidRPr="00170DEF">
        <w:rPr>
          <w:rFonts w:ascii="Century Schoolbook" w:hAnsi="Century Schoolbook"/>
          <w:bCs/>
        </w:rPr>
        <w:t>district.”</w:t>
      </w:r>
      <w:r>
        <w:rPr>
          <w:rFonts w:ascii="Century Schoolbook" w:hAnsi="Century Schoolbook"/>
          <w:bCs/>
        </w:rPr>
        <w:t xml:space="preserve"> (</w:t>
      </w:r>
      <w:r w:rsidR="003A26CB">
        <w:rPr>
          <w:rFonts w:ascii="Century Schoolbook" w:hAnsi="Century Schoolbook"/>
        </w:rPr>
        <w:t>Cal.</w:t>
      </w:r>
      <w:r w:rsidR="00217979">
        <w:rPr>
          <w:rFonts w:ascii="Century Schoolbook" w:hAnsi="Century Schoolbook"/>
        </w:rPr>
        <w:t xml:space="preserve"> </w:t>
      </w:r>
      <w:r>
        <w:rPr>
          <w:rFonts w:ascii="Century Schoolbook" w:hAnsi="Century Schoolbook"/>
        </w:rPr>
        <w:t>Code of Reg</w:t>
      </w:r>
      <w:r w:rsidR="003A26CB">
        <w:rPr>
          <w:rFonts w:ascii="Century Schoolbook" w:hAnsi="Century Schoolbook"/>
        </w:rPr>
        <w:t>s., tit. 8,</w:t>
      </w:r>
      <w:r>
        <w:rPr>
          <w:rFonts w:ascii="Century Schoolbook" w:hAnsi="Century Schoolbook"/>
        </w:rPr>
        <w:t xml:space="preserve"> </w:t>
      </w:r>
      <w:r w:rsidRPr="00A931F8">
        <w:rPr>
          <w:rFonts w:ascii="Century Schoolbook" w:hAnsi="Century Schoolbook"/>
        </w:rPr>
        <w:t>§ 11050</w:t>
      </w:r>
      <w:r>
        <w:rPr>
          <w:rFonts w:ascii="Century Schoolbook" w:hAnsi="Century Schoolbook"/>
        </w:rPr>
        <w:t xml:space="preserve">, subd. (1)(C).)  But respondent’s employees are not employed </w:t>
      </w:r>
      <w:r w:rsidRPr="008D622F">
        <w:rPr>
          <w:rFonts w:ascii="Century Schoolbook" w:hAnsi="Century Schoolbook"/>
          <w:i/>
          <w:iCs/>
        </w:rPr>
        <w:t>directly</w:t>
      </w:r>
      <w:r>
        <w:rPr>
          <w:rFonts w:ascii="Century Schoolbook" w:hAnsi="Century Schoolbook"/>
        </w:rPr>
        <w:t xml:space="preserve"> by the state or the county; they are employed by “a hospital authority” created by the county under authorization from the state.  (</w:t>
      </w:r>
      <w:r w:rsidR="00F83F02">
        <w:rPr>
          <w:rFonts w:ascii="Century Schoolbook" w:hAnsi="Century Schoolbook"/>
          <w:bCs/>
        </w:rPr>
        <w:t>Health &amp; Saf. Code, § 101850</w:t>
      </w:r>
      <w:r>
        <w:rPr>
          <w:rFonts w:ascii="Century Schoolbook" w:hAnsi="Century Schoolbook"/>
        </w:rPr>
        <w:t xml:space="preserve">, subd. (a)(1).)  Nor is respondent a special district like the “health care district[s]” authorized by Health and Safety Code sections 32000 et seq.  Indeed, respondent’s enabling statute distinguishes respondent from </w:t>
      </w:r>
      <w:r w:rsidR="006B2224">
        <w:rPr>
          <w:rFonts w:ascii="Century Schoolbook" w:hAnsi="Century Schoolbook"/>
        </w:rPr>
        <w:t>these</w:t>
      </w:r>
      <w:r>
        <w:rPr>
          <w:rFonts w:ascii="Century Schoolbook" w:hAnsi="Century Schoolbook"/>
        </w:rPr>
        <w:t xml:space="preserve"> districts by observing “that </w:t>
      </w:r>
      <w:r w:rsidRPr="00ED56AF">
        <w:rPr>
          <w:rFonts w:ascii="Century Schoolbook" w:hAnsi="Century Schoolbook"/>
        </w:rPr>
        <w:t xml:space="preserve">there is no general law under which </w:t>
      </w:r>
      <w:r>
        <w:rPr>
          <w:rFonts w:ascii="Century Schoolbook" w:hAnsi="Century Schoolbook"/>
        </w:rPr>
        <w:t>[respondent]</w:t>
      </w:r>
      <w:r w:rsidRPr="00ED56AF">
        <w:rPr>
          <w:rFonts w:ascii="Century Schoolbook" w:hAnsi="Century Schoolbook"/>
        </w:rPr>
        <w:t xml:space="preserve"> </w:t>
      </w:r>
      <w:r>
        <w:rPr>
          <w:rFonts w:ascii="Century Schoolbook" w:hAnsi="Century Schoolbook"/>
        </w:rPr>
        <w:t xml:space="preserve">authority </w:t>
      </w:r>
      <w:r w:rsidRPr="00ED56AF">
        <w:rPr>
          <w:rFonts w:ascii="Century Schoolbook" w:hAnsi="Century Schoolbook"/>
        </w:rPr>
        <w:t>could be formed</w:t>
      </w:r>
      <w:r>
        <w:rPr>
          <w:rFonts w:ascii="Century Schoolbook" w:hAnsi="Century Schoolbook"/>
        </w:rPr>
        <w:t>.”  (</w:t>
      </w:r>
      <w:r w:rsidR="003A26CB">
        <w:rPr>
          <w:rFonts w:ascii="Century Schoolbook" w:hAnsi="Century Schoolbook"/>
          <w:bCs/>
        </w:rPr>
        <w:t>Health &amp; Saf. Code, § 101850, subd. (a)(1).</w:t>
      </w:r>
      <w:r>
        <w:rPr>
          <w:rFonts w:ascii="Century Schoolbook" w:hAnsi="Century Schoolbook"/>
        </w:rPr>
        <w:t xml:space="preserve">)  In short, the </w:t>
      </w:r>
      <w:r w:rsidR="006945C9">
        <w:rPr>
          <w:rFonts w:ascii="Century Schoolbook" w:hAnsi="Century Schoolbook"/>
        </w:rPr>
        <w:t xml:space="preserve">Wage Order’s </w:t>
      </w:r>
      <w:r>
        <w:rPr>
          <w:rFonts w:ascii="Century Schoolbook" w:hAnsi="Century Schoolbook"/>
        </w:rPr>
        <w:t>express exemptions</w:t>
      </w:r>
      <w:r w:rsidR="00246764">
        <w:rPr>
          <w:rFonts w:ascii="Century Schoolbook" w:hAnsi="Century Schoolbook"/>
        </w:rPr>
        <w:t>, mentioned above,</w:t>
      </w:r>
      <w:r>
        <w:rPr>
          <w:rFonts w:ascii="Century Schoolbook" w:hAnsi="Century Schoolbook"/>
        </w:rPr>
        <w:t xml:space="preserve"> are not indicia of the Legislature’s intent to exempt respondent from liability under the Wage Order.</w:t>
      </w:r>
    </w:p>
    <w:p w:rsidR="00BA3155" w:rsidRPr="006B2224" w:rsidP="005B4961" w14:paraId="37AE7135" w14:textId="0964BA92">
      <w:pPr>
        <w:spacing w:line="360" w:lineRule="auto"/>
        <w:rPr>
          <w:rFonts w:ascii="Century Schoolbook" w:hAnsi="Century Schoolbook"/>
        </w:rPr>
      </w:pPr>
      <w:r>
        <w:rPr>
          <w:rFonts w:ascii="Century Schoolbook" w:hAnsi="Century Schoolbook"/>
        </w:rPr>
        <w:tab/>
        <w:t>Thus, because there are no “positive indicia of a contrary legislative intent” in either the statutes or the Wage Order, we turn to the task of applying the sovereign powers doctrine to respondent.</w:t>
      </w:r>
      <w:r w:rsidR="0028499B">
        <w:rPr>
          <w:rFonts w:ascii="Century Schoolbook" w:hAnsi="Century Schoolbook"/>
        </w:rPr>
        <w:t xml:space="preserve">  (</w:t>
      </w:r>
      <w:r w:rsidR="0028499B">
        <w:rPr>
          <w:rFonts w:ascii="Century Schoolbook" w:hAnsi="Century Schoolbook"/>
          <w:bCs/>
          <w:i/>
          <w:iCs/>
        </w:rPr>
        <w:t>Wells</w:t>
      </w:r>
      <w:r w:rsidR="0028499B">
        <w:rPr>
          <w:rFonts w:ascii="Century Schoolbook" w:hAnsi="Century Schoolbook"/>
          <w:bCs/>
        </w:rPr>
        <w:t xml:space="preserve">, </w:t>
      </w:r>
      <w:r w:rsidR="0028499B">
        <w:rPr>
          <w:rFonts w:ascii="Century Schoolbook" w:hAnsi="Century Schoolbook"/>
          <w:bCs/>
          <w:i/>
          <w:iCs/>
        </w:rPr>
        <w:t>supra</w:t>
      </w:r>
      <w:r w:rsidR="0028499B">
        <w:rPr>
          <w:rFonts w:ascii="Century Schoolbook" w:hAnsi="Century Schoolbook"/>
          <w:bCs/>
        </w:rPr>
        <w:t>, 39 Cal.4th at p.</w:t>
      </w:r>
      <w:r w:rsidR="00B84F3D">
        <w:rPr>
          <w:rFonts w:ascii="Century Schoolbook" w:hAnsi="Century Schoolbook"/>
          <w:bCs/>
        </w:rPr>
        <w:t> </w:t>
      </w:r>
      <w:r w:rsidR="0028499B">
        <w:rPr>
          <w:rFonts w:ascii="Century Schoolbook" w:hAnsi="Century Schoolbook"/>
          <w:bCs/>
        </w:rPr>
        <w:t>1193.)</w:t>
      </w:r>
    </w:p>
    <w:p w:rsidR="00BA3155" w:rsidRPr="00BA3155" w:rsidP="00F8712B" w14:paraId="69C22A6D" w14:textId="5957052C">
      <w:pPr>
        <w:spacing w:line="360" w:lineRule="auto"/>
        <w:rPr>
          <w:rFonts w:ascii="Century Schoolbook" w:hAnsi="Century Schoolbook"/>
          <w:b/>
        </w:rPr>
      </w:pPr>
      <w:r>
        <w:rPr>
          <w:rFonts w:ascii="Century Schoolbook" w:hAnsi="Century Schoolbook"/>
          <w:b/>
        </w:rPr>
        <w:tab/>
      </w:r>
      <w:r w:rsidRPr="00BA3155">
        <w:rPr>
          <w:rFonts w:ascii="Century Schoolbook" w:hAnsi="Century Schoolbook"/>
          <w:b/>
        </w:rPr>
        <w:t xml:space="preserve">b.  Infringement </w:t>
      </w:r>
      <w:r w:rsidR="00AD5CC6">
        <w:rPr>
          <w:rFonts w:ascii="Century Schoolbook" w:hAnsi="Century Schoolbook"/>
          <w:b/>
        </w:rPr>
        <w:t>Upon</w:t>
      </w:r>
      <w:r w:rsidRPr="00BA3155">
        <w:rPr>
          <w:rFonts w:ascii="Century Schoolbook" w:hAnsi="Century Schoolbook"/>
          <w:b/>
        </w:rPr>
        <w:t xml:space="preserve"> Sovereign Governmental Powers</w:t>
      </w:r>
    </w:p>
    <w:p w:rsidR="003607D2" w:rsidP="00F8712B" w14:paraId="05AA8AAC" w14:textId="55E0981A">
      <w:pPr>
        <w:spacing w:line="360" w:lineRule="auto"/>
        <w:rPr>
          <w:rFonts w:ascii="Century Schoolbook" w:hAnsi="Century Schoolbook"/>
        </w:rPr>
      </w:pPr>
      <w:r>
        <w:rPr>
          <w:rFonts w:ascii="Century Schoolbook" w:hAnsi="Century Schoolbook"/>
          <w:bCs/>
        </w:rPr>
        <w:tab/>
      </w:r>
      <w:r w:rsidR="00E811AA">
        <w:rPr>
          <w:rFonts w:ascii="Century Schoolbook" w:hAnsi="Century Schoolbook"/>
          <w:bCs/>
        </w:rPr>
        <w:t xml:space="preserve">Finally, there is the matter of whether any </w:t>
      </w:r>
      <w:r w:rsidR="00284279">
        <w:rPr>
          <w:rFonts w:ascii="Century Schoolbook" w:hAnsi="Century Schoolbook"/>
          <w:bCs/>
        </w:rPr>
        <w:t xml:space="preserve">“infringement of </w:t>
      </w:r>
      <w:r w:rsidR="00E811AA">
        <w:rPr>
          <w:rFonts w:ascii="Century Schoolbook" w:hAnsi="Century Schoolbook"/>
          <w:bCs/>
        </w:rPr>
        <w:t>sovereign governmental powers</w:t>
      </w:r>
      <w:r w:rsidR="0028499B">
        <w:rPr>
          <w:rFonts w:ascii="Century Schoolbook" w:hAnsi="Century Schoolbook"/>
          <w:bCs/>
        </w:rPr>
        <w:t>”</w:t>
      </w:r>
      <w:r w:rsidR="00E811AA">
        <w:rPr>
          <w:rFonts w:ascii="Century Schoolbook" w:hAnsi="Century Schoolbook"/>
          <w:bCs/>
        </w:rPr>
        <w:t xml:space="preserve"> would </w:t>
      </w:r>
      <w:r w:rsidR="0028499B">
        <w:rPr>
          <w:rFonts w:ascii="Century Schoolbook" w:hAnsi="Century Schoolbook"/>
          <w:bCs/>
        </w:rPr>
        <w:t>result from</w:t>
      </w:r>
      <w:r w:rsidR="00E811AA">
        <w:rPr>
          <w:rFonts w:ascii="Century Schoolbook" w:hAnsi="Century Schoolbook"/>
          <w:bCs/>
        </w:rPr>
        <w:t xml:space="preserve"> subjecting respondent to the Wage Order or sections 226.7, 512, 1174, 1174.5, or 1175.</w:t>
      </w:r>
      <w:r w:rsidR="00A63A55">
        <w:rPr>
          <w:rFonts w:ascii="Century Schoolbook" w:hAnsi="Century Schoolbook"/>
          <w:bCs/>
        </w:rPr>
        <w:t xml:space="preserve">  (</w:t>
      </w:r>
      <w:r w:rsidR="00A63A55">
        <w:rPr>
          <w:rFonts w:ascii="Century Schoolbook" w:hAnsi="Century Schoolbook"/>
          <w:bCs/>
          <w:i/>
          <w:iCs/>
        </w:rPr>
        <w:t>Wells</w:t>
      </w:r>
      <w:r w:rsidR="00A63A55">
        <w:rPr>
          <w:rFonts w:ascii="Century Schoolbook" w:hAnsi="Century Schoolbook"/>
          <w:bCs/>
        </w:rPr>
        <w:t xml:space="preserve">, </w:t>
      </w:r>
      <w:r w:rsidR="00A63A55">
        <w:rPr>
          <w:rFonts w:ascii="Century Schoolbook" w:hAnsi="Century Schoolbook"/>
          <w:bCs/>
          <w:i/>
          <w:iCs/>
        </w:rPr>
        <w:t>supra</w:t>
      </w:r>
      <w:r w:rsidR="00A63A55">
        <w:rPr>
          <w:rFonts w:ascii="Century Schoolbook" w:hAnsi="Century Schoolbook"/>
          <w:bCs/>
        </w:rPr>
        <w:t>, 39 Cal.4th at p.</w:t>
      </w:r>
      <w:r w:rsidR="00B84F3D">
        <w:rPr>
          <w:rFonts w:ascii="Century Schoolbook" w:hAnsi="Century Schoolbook"/>
          <w:bCs/>
        </w:rPr>
        <w:t> </w:t>
      </w:r>
      <w:r w:rsidR="00A63A55">
        <w:rPr>
          <w:rFonts w:ascii="Century Schoolbook" w:hAnsi="Century Schoolbook"/>
          <w:bCs/>
        </w:rPr>
        <w:t>119</w:t>
      </w:r>
      <w:r w:rsidR="003A26CB">
        <w:rPr>
          <w:rFonts w:ascii="Century Schoolbook" w:hAnsi="Century Schoolbook"/>
          <w:bCs/>
        </w:rPr>
        <w:t>2</w:t>
      </w:r>
      <w:r w:rsidR="00A63A55">
        <w:rPr>
          <w:rFonts w:ascii="Century Schoolbook" w:hAnsi="Century Schoolbook"/>
          <w:bCs/>
        </w:rPr>
        <w:t>.)</w:t>
      </w:r>
      <w:r w:rsidR="00C3367C">
        <w:rPr>
          <w:rFonts w:ascii="Century Schoolbook" w:hAnsi="Century Schoolbook"/>
          <w:bCs/>
        </w:rPr>
        <w:t xml:space="preserve">  </w:t>
      </w:r>
      <w:r w:rsidR="00F8712B">
        <w:rPr>
          <w:rFonts w:ascii="Century Schoolbook" w:hAnsi="Century Schoolbook"/>
          <w:bCs/>
        </w:rPr>
        <w:t xml:space="preserve">Citing its enabling statute, respondent argues that doing so would infringe </w:t>
      </w:r>
      <w:r w:rsidR="00975086">
        <w:rPr>
          <w:rFonts w:ascii="Century Schoolbook" w:hAnsi="Century Schoolbook"/>
          <w:bCs/>
        </w:rPr>
        <w:t xml:space="preserve">upon </w:t>
      </w:r>
      <w:r w:rsidR="00F8712B">
        <w:rPr>
          <w:rFonts w:ascii="Century Schoolbook" w:hAnsi="Century Schoolbook"/>
          <w:bCs/>
        </w:rPr>
        <w:t xml:space="preserve">the county’s ability to “fulfill its commitment </w:t>
      </w:r>
      <w:r w:rsidRPr="00F8712B" w:rsidR="00F8712B">
        <w:rPr>
          <w:rFonts w:ascii="Century Schoolbook" w:hAnsi="Century Schoolbook"/>
          <w:bCs/>
        </w:rPr>
        <w:t>to the medically indigent, special needs, and general populations of Alameda County</w:t>
      </w:r>
      <w:r w:rsidR="00F8712B">
        <w:rPr>
          <w:rFonts w:ascii="Century Schoolbook" w:hAnsi="Century Schoolbook"/>
          <w:bCs/>
        </w:rPr>
        <w:t xml:space="preserve">,” “in a manner consistent with the county’s obligations under Section 17000 of the Welfare and Institutions Code.”  </w:t>
      </w:r>
      <w:r w:rsidR="00F8712B">
        <w:rPr>
          <w:rFonts w:ascii="Century Schoolbook" w:hAnsi="Century Schoolbook"/>
        </w:rPr>
        <w:t>(</w:t>
      </w:r>
      <w:r w:rsidR="00F83F02">
        <w:rPr>
          <w:rFonts w:ascii="Century Schoolbook" w:hAnsi="Century Schoolbook"/>
          <w:bCs/>
        </w:rPr>
        <w:t>Health &amp; Saf. Code, § 101850</w:t>
      </w:r>
      <w:r w:rsidR="00F8712B">
        <w:rPr>
          <w:rFonts w:ascii="Century Schoolbook" w:hAnsi="Century Schoolbook"/>
        </w:rPr>
        <w:t>, subd. (a)(1).)  The latter law requires counties to “</w:t>
      </w:r>
      <w:r w:rsidRPr="00F8712B" w:rsidR="00F8712B">
        <w:rPr>
          <w:rFonts w:ascii="Century Schoolbook" w:hAnsi="Century Schoolbook"/>
        </w:rPr>
        <w:t>relieve and support all incompetent, poor, indigent persons, and those incapacitated by age, disease, or accident, lawfully resident therein, when such persons are not supported and relieved by their relatives or friends, by their own means, or by state hospitals or other state or private institutions.</w:t>
      </w:r>
      <w:r w:rsidR="00F8712B">
        <w:rPr>
          <w:rFonts w:ascii="Century Schoolbook" w:hAnsi="Century Schoolbook"/>
        </w:rPr>
        <w:t>”  (</w:t>
      </w:r>
      <w:r w:rsidRPr="00F8712B" w:rsidR="00F8712B">
        <w:rPr>
          <w:rFonts w:ascii="Century Schoolbook" w:hAnsi="Century Schoolbook"/>
        </w:rPr>
        <w:t>Welf. &amp; Inst. Code</w:t>
      </w:r>
      <w:r w:rsidR="00F8712B">
        <w:rPr>
          <w:rFonts w:ascii="Century Schoolbook" w:hAnsi="Century Schoolbook"/>
        </w:rPr>
        <w:t>,</w:t>
      </w:r>
      <w:r w:rsidRPr="00F8712B" w:rsidR="00F8712B">
        <w:rPr>
          <w:rFonts w:ascii="Century Schoolbook" w:hAnsi="Century Schoolbook"/>
        </w:rPr>
        <w:t xml:space="preserve"> § 1700</w:t>
      </w:r>
      <w:r w:rsidR="00F8712B">
        <w:rPr>
          <w:rFonts w:ascii="Century Schoolbook" w:hAnsi="Century Schoolbook"/>
        </w:rPr>
        <w:t>0.)</w:t>
      </w:r>
    </w:p>
    <w:p w:rsidR="003E3C19" w:rsidP="0046106D" w14:paraId="279C9A85" w14:textId="706429C0">
      <w:pPr>
        <w:spacing w:line="360" w:lineRule="auto"/>
        <w:rPr>
          <w:rFonts w:ascii="Century Schoolbook" w:hAnsi="Century Schoolbook"/>
        </w:rPr>
      </w:pPr>
      <w:r>
        <w:rPr>
          <w:rFonts w:ascii="Century Schoolbook" w:hAnsi="Century Schoolbook"/>
        </w:rPr>
        <w:tab/>
      </w:r>
      <w:r w:rsidR="0046106D">
        <w:rPr>
          <w:rFonts w:ascii="Century Schoolbook" w:hAnsi="Century Schoolbook"/>
        </w:rPr>
        <w:t>As our colleagues in the Third District recently observed, however, “[p]</w:t>
      </w:r>
      <w:r w:rsidRPr="0046106D" w:rsidR="0046106D">
        <w:rPr>
          <w:rFonts w:ascii="Century Schoolbook" w:hAnsi="Century Schoolbook"/>
        </w:rPr>
        <w:t>overty alleviation</w:t>
      </w:r>
      <w:r w:rsidR="0046106D">
        <w:rPr>
          <w:rFonts w:ascii="Century Schoolbook" w:hAnsi="Century Schoolbook"/>
        </w:rPr>
        <w:t>”</w:t>
      </w:r>
      <w:r w:rsidRPr="0046106D" w:rsidR="0046106D">
        <w:rPr>
          <w:rFonts w:ascii="Century Schoolbook" w:hAnsi="Century Schoolbook"/>
        </w:rPr>
        <w:t xml:space="preserve"> </w:t>
      </w:r>
      <w:r w:rsidR="0046106D">
        <w:rPr>
          <w:rFonts w:ascii="Century Schoolbook" w:hAnsi="Century Schoolbook"/>
        </w:rPr>
        <w:t>under Welfare and Institutions Code section 17000</w:t>
      </w:r>
      <w:r w:rsidRPr="0046106D" w:rsidR="0046106D">
        <w:rPr>
          <w:rFonts w:ascii="Century Schoolbook" w:hAnsi="Century Schoolbook"/>
        </w:rPr>
        <w:t xml:space="preserve"> </w:t>
      </w:r>
      <w:r w:rsidR="0046106D">
        <w:rPr>
          <w:rFonts w:ascii="Century Schoolbook" w:hAnsi="Century Schoolbook"/>
        </w:rPr>
        <w:t>“</w:t>
      </w:r>
      <w:r w:rsidRPr="0046106D" w:rsidR="0046106D">
        <w:rPr>
          <w:rFonts w:ascii="Century Schoolbook" w:hAnsi="Century Schoolbook"/>
        </w:rPr>
        <w:t xml:space="preserve">is </w:t>
      </w:r>
      <w:r w:rsidRPr="00C2698E" w:rsidR="0046106D">
        <w:rPr>
          <w:rFonts w:ascii="Century Schoolbook" w:hAnsi="Century Schoolbook"/>
          <w:i/>
          <w:iCs/>
        </w:rPr>
        <w:t>not</w:t>
      </w:r>
      <w:r w:rsidRPr="0046106D" w:rsidR="0046106D">
        <w:rPr>
          <w:rFonts w:ascii="Century Schoolbook" w:hAnsi="Century Schoolbook"/>
        </w:rPr>
        <w:t xml:space="preserve"> a core government function that cannot be delegated to the private sector.</w:t>
      </w:r>
      <w:r w:rsidR="0046106D">
        <w:rPr>
          <w:rFonts w:ascii="Century Schoolbook" w:hAnsi="Century Schoolbook"/>
        </w:rPr>
        <w:t>”  (</w:t>
      </w:r>
      <w:r w:rsidRPr="0012705A" w:rsidR="003A26CB">
        <w:rPr>
          <w:rFonts w:ascii="Century Schoolbook" w:hAnsi="Century Schoolbook"/>
          <w:i/>
          <w:iCs/>
        </w:rPr>
        <w:t>The</w:t>
      </w:r>
      <w:r w:rsidR="003A26CB">
        <w:rPr>
          <w:rFonts w:ascii="Century Schoolbook" w:hAnsi="Century Schoolbook"/>
        </w:rPr>
        <w:t xml:space="preserve"> </w:t>
      </w:r>
      <w:r w:rsidRPr="0046106D" w:rsidR="0046106D">
        <w:rPr>
          <w:rFonts w:ascii="Century Schoolbook" w:hAnsi="Century Schoolbook"/>
          <w:i/>
          <w:iCs/>
        </w:rPr>
        <w:t>Community Action Agency of Butte County. v. Superior Court</w:t>
      </w:r>
      <w:r w:rsidR="0046106D">
        <w:rPr>
          <w:rFonts w:ascii="Century Schoolbook" w:hAnsi="Century Schoolbook"/>
        </w:rPr>
        <w:t xml:space="preserve"> (2022)</w:t>
      </w:r>
      <w:r w:rsidRPr="0046106D" w:rsidR="0046106D">
        <w:rPr>
          <w:rFonts w:ascii="Century Schoolbook" w:hAnsi="Century Schoolbook"/>
        </w:rPr>
        <w:t xml:space="preserve"> 79 Cal.App.5th 221, 239</w:t>
      </w:r>
      <w:r w:rsidR="0046106D">
        <w:rPr>
          <w:rFonts w:ascii="Century Schoolbook" w:hAnsi="Century Schoolbook"/>
        </w:rPr>
        <w:t>.</w:t>
      </w:r>
      <w:r w:rsidRPr="0046106D" w:rsidR="0046106D">
        <w:rPr>
          <w:rFonts w:ascii="Century Schoolbook" w:hAnsi="Century Schoolbook"/>
        </w:rPr>
        <w:t>)</w:t>
      </w:r>
      <w:r w:rsidR="0046106D">
        <w:rPr>
          <w:rFonts w:ascii="Century Schoolbook" w:hAnsi="Century Schoolbook"/>
        </w:rPr>
        <w:t xml:space="preserve"> </w:t>
      </w:r>
      <w:r>
        <w:rPr>
          <w:rFonts w:ascii="Century Schoolbook" w:hAnsi="Century Schoolbook"/>
        </w:rPr>
        <w:t xml:space="preserve"> </w:t>
      </w:r>
      <w:r w:rsidR="00EC3964">
        <w:rPr>
          <w:rFonts w:ascii="Century Schoolbook" w:hAnsi="Century Schoolbook"/>
        </w:rPr>
        <w:t>Although</w:t>
      </w:r>
      <w:r>
        <w:rPr>
          <w:rFonts w:ascii="Century Schoolbook" w:hAnsi="Century Schoolbook"/>
        </w:rPr>
        <w:t xml:space="preserve"> </w:t>
      </w:r>
      <w:r w:rsidR="00D67DBB">
        <w:rPr>
          <w:rFonts w:ascii="Century Schoolbook" w:hAnsi="Century Schoolbook"/>
        </w:rPr>
        <w:t>Welfare and Institutions Code section 17000</w:t>
      </w:r>
      <w:r w:rsidR="0046106D">
        <w:rPr>
          <w:rFonts w:ascii="Century Schoolbook" w:hAnsi="Century Schoolbook"/>
        </w:rPr>
        <w:t xml:space="preserve"> refer</w:t>
      </w:r>
      <w:r w:rsidR="00EC3964">
        <w:rPr>
          <w:rFonts w:ascii="Century Schoolbook" w:hAnsi="Century Schoolbook"/>
        </w:rPr>
        <w:t>s</w:t>
      </w:r>
      <w:r w:rsidR="0046106D">
        <w:rPr>
          <w:rFonts w:ascii="Century Schoolbook" w:hAnsi="Century Schoolbook"/>
        </w:rPr>
        <w:t xml:space="preserve"> to “state hospitals”</w:t>
      </w:r>
      <w:r w:rsidR="00EC3964">
        <w:rPr>
          <w:rFonts w:ascii="Century Schoolbook" w:hAnsi="Century Schoolbook"/>
        </w:rPr>
        <w:t xml:space="preserve"> as well,</w:t>
      </w:r>
      <w:r w:rsidR="0046106D">
        <w:rPr>
          <w:rFonts w:ascii="Century Schoolbook" w:hAnsi="Century Schoolbook"/>
        </w:rPr>
        <w:t xml:space="preserve"> </w:t>
      </w:r>
      <w:r w:rsidR="00D67DBB">
        <w:rPr>
          <w:rFonts w:ascii="Century Schoolbook" w:hAnsi="Century Schoolbook"/>
        </w:rPr>
        <w:t>it</w:t>
      </w:r>
      <w:r w:rsidR="0046106D">
        <w:rPr>
          <w:rFonts w:ascii="Century Schoolbook" w:hAnsi="Century Schoolbook"/>
        </w:rPr>
        <w:t xml:space="preserve"> presupposes that much poverty will be alleviated by</w:t>
      </w:r>
      <w:r w:rsidR="00526408">
        <w:rPr>
          <w:rFonts w:ascii="Century Schoolbook" w:hAnsi="Century Schoolbook"/>
        </w:rPr>
        <w:t xml:space="preserve"> a</w:t>
      </w:r>
      <w:r w:rsidR="0046106D">
        <w:rPr>
          <w:rFonts w:ascii="Century Schoolbook" w:hAnsi="Century Schoolbook"/>
        </w:rPr>
        <w:t xml:space="preserve"> variety of </w:t>
      </w:r>
      <w:r w:rsidRPr="0046106D" w:rsidR="0046106D">
        <w:rPr>
          <w:rFonts w:ascii="Century Schoolbook" w:hAnsi="Century Schoolbook"/>
          <w:i/>
          <w:iCs/>
        </w:rPr>
        <w:t>non-governmental</w:t>
      </w:r>
      <w:r w:rsidR="0046106D">
        <w:rPr>
          <w:rFonts w:ascii="Century Schoolbook" w:hAnsi="Century Schoolbook"/>
        </w:rPr>
        <w:t xml:space="preserve"> actors—relatives, friends, </w:t>
      </w:r>
      <w:r>
        <w:rPr>
          <w:rFonts w:ascii="Century Schoolbook" w:hAnsi="Century Schoolbook"/>
        </w:rPr>
        <w:t xml:space="preserve">and private institutions—before any remaining poverty is to be addressed by the county.  </w:t>
      </w:r>
      <w:r w:rsidR="009B7109">
        <w:rPr>
          <w:rFonts w:ascii="Century Schoolbook" w:hAnsi="Century Schoolbook"/>
        </w:rPr>
        <w:t xml:space="preserve">Respondent has failed to draw any principled distinction between </w:t>
      </w:r>
      <w:r w:rsidR="00746565">
        <w:rPr>
          <w:rFonts w:ascii="Century Schoolbook" w:hAnsi="Century Schoolbook"/>
        </w:rPr>
        <w:t xml:space="preserve">powers wielded by </w:t>
      </w:r>
      <w:r w:rsidR="009B7109">
        <w:rPr>
          <w:rFonts w:ascii="Century Schoolbook" w:hAnsi="Century Schoolbook"/>
        </w:rPr>
        <w:t xml:space="preserve">itself, on one hand, and </w:t>
      </w:r>
      <w:r w:rsidR="00746565">
        <w:rPr>
          <w:rFonts w:ascii="Century Schoolbook" w:hAnsi="Century Schoolbook"/>
        </w:rPr>
        <w:t xml:space="preserve">those that might be wielded by </w:t>
      </w:r>
      <w:r w:rsidR="009B7109">
        <w:rPr>
          <w:rFonts w:ascii="Century Schoolbook" w:hAnsi="Century Schoolbook"/>
        </w:rPr>
        <w:t>a private institution to whom the county has delegated its function of poverty alleviation, on the other.</w:t>
      </w:r>
      <w:r w:rsidR="00893EE2">
        <w:rPr>
          <w:rFonts w:ascii="Century Schoolbook" w:hAnsi="Century Schoolbook"/>
        </w:rPr>
        <w:t xml:space="preserve">  </w:t>
      </w:r>
      <w:r w:rsidR="006C26CF">
        <w:rPr>
          <w:rFonts w:ascii="Century Schoolbook" w:hAnsi="Century Schoolbook"/>
        </w:rPr>
        <w:t>I</w:t>
      </w:r>
      <w:r w:rsidR="00893EE2">
        <w:rPr>
          <w:rFonts w:ascii="Century Schoolbook" w:hAnsi="Century Schoolbook"/>
        </w:rPr>
        <w:t xml:space="preserve">t has </w:t>
      </w:r>
      <w:r w:rsidR="006C26CF">
        <w:rPr>
          <w:rFonts w:ascii="Century Schoolbook" w:hAnsi="Century Schoolbook"/>
        </w:rPr>
        <w:t xml:space="preserve">therefore </w:t>
      </w:r>
      <w:r w:rsidR="00893EE2">
        <w:rPr>
          <w:rFonts w:ascii="Century Schoolbook" w:hAnsi="Century Schoolbook"/>
        </w:rPr>
        <w:t>failed to implicate any sovereign governmental powers.</w:t>
      </w:r>
    </w:p>
    <w:p w:rsidR="009B7109" w:rsidP="009B7109" w14:paraId="5818263C" w14:textId="7E324DE0">
      <w:pPr>
        <w:spacing w:line="360" w:lineRule="auto"/>
        <w:rPr>
          <w:rFonts w:ascii="Century Schoolbook" w:hAnsi="Century Schoolbook"/>
        </w:rPr>
      </w:pPr>
      <w:r>
        <w:rPr>
          <w:rFonts w:ascii="Century Schoolbook" w:hAnsi="Century Schoolbook"/>
        </w:rPr>
        <w:tab/>
        <w:t xml:space="preserve">In sum, subjecting respondent to liability for the first, second, and third </w:t>
      </w:r>
      <w:r w:rsidRPr="00C93E84">
        <w:rPr>
          <w:rFonts w:ascii="Century Schoolbook" w:hAnsi="Century Schoolbook"/>
        </w:rPr>
        <w:t>cause</w:t>
      </w:r>
      <w:r w:rsidRPr="00C93E84" w:rsidR="00526408">
        <w:rPr>
          <w:rFonts w:ascii="Century Schoolbook" w:hAnsi="Century Schoolbook"/>
        </w:rPr>
        <w:t>s</w:t>
      </w:r>
      <w:r w:rsidRPr="00C93E84">
        <w:rPr>
          <w:rFonts w:ascii="Century Schoolbook" w:hAnsi="Century Schoolbook"/>
        </w:rPr>
        <w:t xml:space="preserve"> of action would not infringe</w:t>
      </w:r>
      <w:r w:rsidRPr="00C93E84" w:rsidR="00D67DBB">
        <w:rPr>
          <w:rFonts w:ascii="Century Schoolbook" w:hAnsi="Century Schoolbook"/>
        </w:rPr>
        <w:t xml:space="preserve"> upon</w:t>
      </w:r>
      <w:r w:rsidRPr="00C93E84">
        <w:rPr>
          <w:rFonts w:ascii="Century Schoolbook" w:hAnsi="Century Schoolbook"/>
        </w:rPr>
        <w:t xml:space="preserve"> any sovereign governmental powers.  </w:t>
      </w:r>
      <w:r w:rsidRPr="00C93E84" w:rsidR="00291723">
        <w:rPr>
          <w:rFonts w:ascii="Century Schoolbook" w:hAnsi="Century Schoolbook"/>
        </w:rPr>
        <w:t>Thus</w:t>
      </w:r>
      <w:r w:rsidRPr="00C93E84">
        <w:rPr>
          <w:rFonts w:ascii="Century Schoolbook" w:hAnsi="Century Schoolbook"/>
        </w:rPr>
        <w:t xml:space="preserve">, </w:t>
      </w:r>
      <w:r w:rsidRPr="00C93E84" w:rsidR="00C93E84">
        <w:rPr>
          <w:rFonts w:ascii="Century Schoolbook" w:hAnsi="Century Schoolbook"/>
        </w:rPr>
        <w:t xml:space="preserve">the trial court erred </w:t>
      </w:r>
      <w:r w:rsidRPr="00C93E84" w:rsidR="00526408">
        <w:rPr>
          <w:rFonts w:ascii="Century Schoolbook" w:hAnsi="Century Schoolbook"/>
        </w:rPr>
        <w:t xml:space="preserve">by </w:t>
      </w:r>
      <w:r w:rsidR="006945C9">
        <w:rPr>
          <w:rFonts w:ascii="Century Schoolbook" w:hAnsi="Century Schoolbook"/>
        </w:rPr>
        <w:t>fin</w:t>
      </w:r>
      <w:r w:rsidRPr="00C93E84" w:rsidR="006945C9">
        <w:rPr>
          <w:rFonts w:ascii="Century Schoolbook" w:hAnsi="Century Schoolbook"/>
        </w:rPr>
        <w:t xml:space="preserve">ding </w:t>
      </w:r>
      <w:r w:rsidRPr="00C93E84" w:rsidR="00C93E84">
        <w:rPr>
          <w:rFonts w:ascii="Century Schoolbook" w:hAnsi="Century Schoolbook"/>
        </w:rPr>
        <w:t xml:space="preserve">that respondent was not included within the statutes underlying those causes of action and </w:t>
      </w:r>
      <w:r w:rsidRPr="00C93E84">
        <w:rPr>
          <w:rFonts w:ascii="Century Schoolbook" w:hAnsi="Century Schoolbook"/>
        </w:rPr>
        <w:t xml:space="preserve">in sustaining the demurrer as to </w:t>
      </w:r>
      <w:r w:rsidRPr="00D04962">
        <w:rPr>
          <w:rFonts w:ascii="Century Schoolbook" w:hAnsi="Century Schoolbook"/>
        </w:rPr>
        <w:t xml:space="preserve">those </w:t>
      </w:r>
      <w:r w:rsidRPr="008D6271">
        <w:rPr>
          <w:rFonts w:ascii="Century Schoolbook" w:hAnsi="Century Schoolbook"/>
        </w:rPr>
        <w:t>claims.</w:t>
      </w:r>
      <w:r w:rsidRPr="006945C9" w:rsidR="006945C9">
        <w:rPr>
          <w:rStyle w:val="FootnoteReference"/>
          <w:rFonts w:ascii="Century Schoolbook" w:hAnsi="Century Schoolbook"/>
        </w:rPr>
        <w:t xml:space="preserve"> </w:t>
      </w:r>
      <w:r>
        <w:rPr>
          <w:rStyle w:val="FootnoteReference"/>
          <w:rFonts w:ascii="Century Schoolbook" w:hAnsi="Century Schoolbook"/>
        </w:rPr>
        <w:footnoteReference w:id="8"/>
      </w:r>
    </w:p>
    <w:p w:rsidR="009B7109" w:rsidRPr="009B7109" w:rsidP="0012705A" w14:paraId="2AA14028" w14:textId="77777777">
      <w:pPr>
        <w:keepNext/>
        <w:spacing w:line="360" w:lineRule="auto"/>
        <w:jc w:val="center"/>
        <w:rPr>
          <w:rFonts w:ascii="Century Schoolbook" w:hAnsi="Century Schoolbook"/>
          <w:b/>
          <w:bCs/>
        </w:rPr>
      </w:pPr>
      <w:r w:rsidRPr="009B7109">
        <w:rPr>
          <w:rFonts w:ascii="Century Schoolbook" w:hAnsi="Century Schoolbook"/>
          <w:b/>
          <w:bCs/>
        </w:rPr>
        <w:t xml:space="preserve">3.  </w:t>
      </w:r>
      <w:r w:rsidRPr="009B7109">
        <w:rPr>
          <w:rFonts w:ascii="Century Schoolbook" w:hAnsi="Century Schoolbook"/>
          <w:b/>
          <w:bCs/>
          <w:i/>
          <w:iCs/>
        </w:rPr>
        <w:t>The Fifth and Sixth Causes of Action</w:t>
      </w:r>
    </w:p>
    <w:p w:rsidR="007B5B88" w:rsidP="0012705A" w14:paraId="33C15802" w14:textId="3B4A2F5A">
      <w:pPr>
        <w:keepNext/>
        <w:spacing w:line="360" w:lineRule="auto"/>
        <w:rPr>
          <w:rFonts w:ascii="Century Schoolbook" w:hAnsi="Century Schoolbook"/>
          <w:bCs/>
        </w:rPr>
      </w:pPr>
      <w:r>
        <w:rPr>
          <w:rFonts w:ascii="Century Schoolbook" w:hAnsi="Century Schoolbook"/>
        </w:rPr>
        <w:tab/>
      </w:r>
      <w:r w:rsidR="003363ED">
        <w:rPr>
          <w:rFonts w:ascii="Century Schoolbook" w:hAnsi="Century Schoolbook"/>
          <w:bCs/>
        </w:rPr>
        <w:t xml:space="preserve"> </w:t>
      </w:r>
      <w:r w:rsidR="00746565">
        <w:rPr>
          <w:rFonts w:ascii="Century Schoolbook" w:hAnsi="Century Schoolbook"/>
          <w:bCs/>
        </w:rPr>
        <w:t xml:space="preserve">Appellants argue that the trial court erred in sustaining the demurrer as to their fifth and sixth causes of action </w:t>
      </w:r>
      <w:r>
        <w:rPr>
          <w:rFonts w:ascii="Century Schoolbook" w:hAnsi="Century Schoolbook"/>
          <w:bCs/>
        </w:rPr>
        <w:t xml:space="preserve">because respondent is not an exempt “municipal corporation” </w:t>
      </w:r>
      <w:r w:rsidR="00D67DBB">
        <w:rPr>
          <w:rFonts w:ascii="Century Schoolbook" w:hAnsi="Century Schoolbook"/>
          <w:bCs/>
        </w:rPr>
        <w:t xml:space="preserve">for the purposes of </w:t>
      </w:r>
      <w:r>
        <w:rPr>
          <w:rFonts w:ascii="Century Schoolbook" w:hAnsi="Century Schoolbook"/>
          <w:bCs/>
        </w:rPr>
        <w:t xml:space="preserve">section 204 </w:t>
      </w:r>
      <w:r w:rsidR="00C93E84">
        <w:rPr>
          <w:rFonts w:ascii="Century Schoolbook" w:hAnsi="Century Schoolbook"/>
          <w:bCs/>
        </w:rPr>
        <w:t>(</w:t>
      </w:r>
      <w:r>
        <w:rPr>
          <w:rFonts w:ascii="Century Schoolbook" w:hAnsi="Century Schoolbook"/>
          <w:bCs/>
        </w:rPr>
        <w:t>requiring that employers timely pay wages semimonthly</w:t>
      </w:r>
      <w:r w:rsidR="00C93E84">
        <w:rPr>
          <w:rFonts w:ascii="Century Schoolbook" w:hAnsi="Century Schoolbook"/>
          <w:bCs/>
        </w:rPr>
        <w:t>)</w:t>
      </w:r>
      <w:r>
        <w:rPr>
          <w:rFonts w:ascii="Century Schoolbook" w:hAnsi="Century Schoolbook"/>
          <w:bCs/>
        </w:rPr>
        <w:t>.  We agree.</w:t>
      </w:r>
    </w:p>
    <w:p w:rsidR="00893EE2" w:rsidP="009B7109" w14:paraId="78F44C41" w14:textId="2E308B3C">
      <w:pPr>
        <w:spacing w:line="360" w:lineRule="auto"/>
        <w:rPr>
          <w:rFonts w:ascii="Century Schoolbook" w:hAnsi="Century Schoolbook"/>
          <w:bCs/>
        </w:rPr>
      </w:pPr>
      <w:r>
        <w:rPr>
          <w:rFonts w:ascii="Century Schoolbook" w:hAnsi="Century Schoolbook"/>
          <w:bCs/>
        </w:rPr>
        <w:tab/>
        <w:t xml:space="preserve">Section 220, subdivision (b), provides that section 204 </w:t>
      </w:r>
      <w:r w:rsidRPr="007B5B88">
        <w:rPr>
          <w:rFonts w:ascii="Century Schoolbook" w:hAnsi="Century Schoolbook"/>
          <w:bCs/>
        </w:rPr>
        <w:t>do</w:t>
      </w:r>
      <w:r>
        <w:rPr>
          <w:rFonts w:ascii="Century Schoolbook" w:hAnsi="Century Schoolbook"/>
          <w:bCs/>
        </w:rPr>
        <w:t>es</w:t>
      </w:r>
      <w:r w:rsidRPr="007B5B88">
        <w:rPr>
          <w:rFonts w:ascii="Century Schoolbook" w:hAnsi="Century Schoolbook"/>
          <w:bCs/>
        </w:rPr>
        <w:t xml:space="preserve"> </w:t>
      </w:r>
      <w:r>
        <w:rPr>
          <w:rFonts w:ascii="Century Schoolbook" w:hAnsi="Century Schoolbook"/>
          <w:bCs/>
        </w:rPr>
        <w:t>“</w:t>
      </w:r>
      <w:r w:rsidRPr="007B5B88">
        <w:rPr>
          <w:rFonts w:ascii="Century Schoolbook" w:hAnsi="Century Schoolbook"/>
          <w:bCs/>
        </w:rPr>
        <w:t>not apply to the payment of wages of employees directly employed by any county, incorporated city, or town or other municipal corporation.</w:t>
      </w:r>
      <w:r>
        <w:rPr>
          <w:rFonts w:ascii="Century Schoolbook" w:hAnsi="Century Schoolbook"/>
          <w:bCs/>
        </w:rPr>
        <w:t>”</w:t>
      </w:r>
      <w:r w:rsidRPr="007B5B88">
        <w:rPr>
          <w:rFonts w:ascii="Century Schoolbook" w:hAnsi="Century Schoolbook"/>
          <w:bCs/>
        </w:rPr>
        <w:t xml:space="preserve"> </w:t>
      </w:r>
      <w:r>
        <w:rPr>
          <w:rFonts w:ascii="Century Schoolbook" w:hAnsi="Century Schoolbook"/>
          <w:bCs/>
        </w:rPr>
        <w:t xml:space="preserve"> Because it is </w:t>
      </w:r>
      <w:r w:rsidR="008A3EDA">
        <w:rPr>
          <w:rFonts w:ascii="Century Schoolbook" w:hAnsi="Century Schoolbook"/>
          <w:bCs/>
        </w:rPr>
        <w:t>beyond</w:t>
      </w:r>
      <w:r w:rsidR="00526408">
        <w:rPr>
          <w:rFonts w:ascii="Century Schoolbook" w:hAnsi="Century Schoolbook"/>
          <w:bCs/>
        </w:rPr>
        <w:t xml:space="preserve"> dispute </w:t>
      </w:r>
      <w:r>
        <w:rPr>
          <w:rFonts w:ascii="Century Schoolbook" w:hAnsi="Century Schoolbook"/>
          <w:bCs/>
        </w:rPr>
        <w:t>that respondent is not a county, incorporated city, or town, we turn to the question of whether it is a “municipal corporation” in the relevant sense.</w:t>
      </w:r>
    </w:p>
    <w:p w:rsidR="006C26CF" w:rsidP="006C26CF" w14:paraId="5636DAD4" w14:textId="28807450">
      <w:pPr>
        <w:spacing w:line="360" w:lineRule="auto"/>
        <w:rPr>
          <w:rFonts w:ascii="Century Schoolbook" w:hAnsi="Century Schoolbook"/>
          <w:bCs/>
        </w:rPr>
      </w:pPr>
      <w:r>
        <w:rPr>
          <w:rFonts w:ascii="Century Schoolbook" w:hAnsi="Century Schoolbook"/>
          <w:bCs/>
        </w:rPr>
        <w:tab/>
        <w:t xml:space="preserve">In </w:t>
      </w:r>
      <w:r w:rsidRPr="00893EE2">
        <w:rPr>
          <w:rFonts w:ascii="Century Schoolbook" w:hAnsi="Century Schoolbook"/>
          <w:bCs/>
          <w:i/>
          <w:iCs/>
        </w:rPr>
        <w:t>Gateway Community Charters v. Spiess</w:t>
      </w:r>
      <w:r>
        <w:rPr>
          <w:rFonts w:ascii="Century Schoolbook" w:hAnsi="Century Schoolbook"/>
          <w:bCs/>
        </w:rPr>
        <w:t xml:space="preserve"> (2017)</w:t>
      </w:r>
      <w:r w:rsidRPr="00893EE2">
        <w:rPr>
          <w:rFonts w:ascii="Century Schoolbook" w:hAnsi="Century Schoolbook"/>
          <w:bCs/>
        </w:rPr>
        <w:t xml:space="preserve"> 9 Cal.App.5th 499, 506</w:t>
      </w:r>
      <w:r>
        <w:rPr>
          <w:rFonts w:ascii="Century Schoolbook" w:hAnsi="Century Schoolbook"/>
          <w:bCs/>
        </w:rPr>
        <w:t>, the Third District set forth “</w:t>
      </w:r>
      <w:r w:rsidRPr="00893EE2">
        <w:rPr>
          <w:rFonts w:ascii="Century Schoolbook" w:hAnsi="Century Schoolbook"/>
          <w:bCs/>
        </w:rPr>
        <w:t>multiple crucial characteristics that are common to municipal and quasi-municipal corporations</w:t>
      </w:r>
      <w:r>
        <w:rPr>
          <w:rFonts w:ascii="Century Schoolbook" w:hAnsi="Century Schoolbook"/>
          <w:bCs/>
        </w:rPr>
        <w:t>.”  These include “</w:t>
      </w:r>
      <w:r w:rsidRPr="00893EE2">
        <w:rPr>
          <w:rFonts w:ascii="Century Schoolbook" w:hAnsi="Century Schoolbook"/>
          <w:bCs/>
        </w:rPr>
        <w:t>the power to acquire property through eminent domain</w:t>
      </w:r>
      <w:r>
        <w:rPr>
          <w:rFonts w:ascii="Century Schoolbook" w:hAnsi="Century Schoolbook"/>
          <w:bCs/>
        </w:rPr>
        <w:t>,” possession of a geographical jurisdiction and</w:t>
      </w:r>
      <w:r w:rsidRPr="00893EE2">
        <w:rPr>
          <w:rFonts w:ascii="Century Schoolbook" w:hAnsi="Century Schoolbook"/>
          <w:bCs/>
        </w:rPr>
        <w:t xml:space="preserve"> </w:t>
      </w:r>
      <w:r>
        <w:rPr>
          <w:rFonts w:ascii="Century Schoolbook" w:hAnsi="Century Schoolbook"/>
          <w:bCs/>
        </w:rPr>
        <w:t>the power to “</w:t>
      </w:r>
      <w:r w:rsidRPr="00893EE2">
        <w:rPr>
          <w:rFonts w:ascii="Century Schoolbook" w:hAnsi="Century Schoolbook"/>
          <w:bCs/>
        </w:rPr>
        <w:t>impose taxes and fees upon those who live within</w:t>
      </w:r>
      <w:r w:rsidR="00713E5C">
        <w:rPr>
          <w:rFonts w:ascii="Century Schoolbook" w:hAnsi="Century Schoolbook"/>
          <w:bCs/>
        </w:rPr>
        <w:t>” it,</w:t>
      </w:r>
      <w:r w:rsidRPr="00893EE2">
        <w:rPr>
          <w:rFonts w:ascii="Century Schoolbook" w:hAnsi="Century Schoolbook"/>
          <w:bCs/>
        </w:rPr>
        <w:t xml:space="preserve"> </w:t>
      </w:r>
      <w:r w:rsidR="00713E5C">
        <w:rPr>
          <w:rFonts w:ascii="Century Schoolbook" w:hAnsi="Century Schoolbook"/>
          <w:bCs/>
        </w:rPr>
        <w:t>“</w:t>
      </w:r>
      <w:r w:rsidRPr="00893EE2">
        <w:rPr>
          <w:rFonts w:ascii="Century Schoolbook" w:hAnsi="Century Schoolbook"/>
          <w:bCs/>
        </w:rPr>
        <w:t>independent regulatory or police powers</w:t>
      </w:r>
      <w:r w:rsidR="00713E5C">
        <w:rPr>
          <w:rFonts w:ascii="Century Schoolbook" w:hAnsi="Century Schoolbook"/>
          <w:bCs/>
        </w:rPr>
        <w:t>,”</w:t>
      </w:r>
      <w:r w:rsidRPr="00893EE2">
        <w:rPr>
          <w:rFonts w:ascii="Century Schoolbook" w:hAnsi="Century Schoolbook"/>
          <w:bCs/>
        </w:rPr>
        <w:t xml:space="preserve"> </w:t>
      </w:r>
      <w:r w:rsidR="00713E5C">
        <w:rPr>
          <w:rFonts w:ascii="Century Schoolbook" w:hAnsi="Century Schoolbook"/>
          <w:bCs/>
        </w:rPr>
        <w:t>and a</w:t>
      </w:r>
      <w:r w:rsidRPr="00893EE2">
        <w:rPr>
          <w:rFonts w:ascii="Century Schoolbook" w:hAnsi="Century Schoolbook"/>
          <w:bCs/>
        </w:rPr>
        <w:t xml:space="preserve"> </w:t>
      </w:r>
      <w:r w:rsidR="00713E5C">
        <w:rPr>
          <w:rFonts w:ascii="Century Schoolbook" w:hAnsi="Century Schoolbook"/>
          <w:bCs/>
        </w:rPr>
        <w:t>“</w:t>
      </w:r>
      <w:r w:rsidRPr="00893EE2">
        <w:rPr>
          <w:rFonts w:ascii="Century Schoolbook" w:hAnsi="Century Schoolbook"/>
          <w:bCs/>
        </w:rPr>
        <w:t>board of directors</w:t>
      </w:r>
      <w:r w:rsidR="00B84F3D">
        <w:rPr>
          <w:rFonts w:ascii="Century Schoolbook" w:hAnsi="Century Schoolbook"/>
          <w:bCs/>
        </w:rPr>
        <w:t> </w:t>
      </w:r>
      <w:r w:rsidR="00713E5C">
        <w:rPr>
          <w:rFonts w:ascii="Century Schoolbook" w:hAnsi="Century Schoolbook"/>
          <w:bCs/>
        </w:rPr>
        <w:t>.</w:t>
      </w:r>
      <w:r w:rsidR="00B84F3D">
        <w:rPr>
          <w:rFonts w:ascii="Century Schoolbook" w:hAnsi="Century Schoolbook"/>
          <w:bCs/>
        </w:rPr>
        <w:t> </w:t>
      </w:r>
      <w:r w:rsidR="00713E5C">
        <w:rPr>
          <w:rFonts w:ascii="Century Schoolbook" w:hAnsi="Century Schoolbook"/>
          <w:bCs/>
        </w:rPr>
        <w:t>.</w:t>
      </w:r>
      <w:r w:rsidR="00B84F3D">
        <w:rPr>
          <w:rFonts w:ascii="Century Schoolbook" w:hAnsi="Century Schoolbook"/>
          <w:bCs/>
        </w:rPr>
        <w:t> </w:t>
      </w:r>
      <w:r w:rsidR="00713E5C">
        <w:rPr>
          <w:rFonts w:ascii="Century Schoolbook" w:hAnsi="Century Schoolbook"/>
          <w:bCs/>
        </w:rPr>
        <w:t>.</w:t>
      </w:r>
      <w:r w:rsidR="00B84F3D">
        <w:rPr>
          <w:rFonts w:ascii="Century Schoolbook" w:hAnsi="Century Schoolbook"/>
          <w:bCs/>
        </w:rPr>
        <w:t> </w:t>
      </w:r>
      <w:r w:rsidRPr="00893EE2">
        <w:rPr>
          <w:rFonts w:ascii="Century Schoolbook" w:hAnsi="Century Schoolbook"/>
          <w:bCs/>
        </w:rPr>
        <w:t>elected by the public.</w:t>
      </w:r>
      <w:r w:rsidR="00713E5C">
        <w:rPr>
          <w:rFonts w:ascii="Century Schoolbook" w:hAnsi="Century Schoolbook"/>
          <w:bCs/>
        </w:rPr>
        <w:t>”  (</w:t>
      </w:r>
      <w:r w:rsidR="00713E5C">
        <w:rPr>
          <w:rFonts w:ascii="Century Schoolbook" w:hAnsi="Century Schoolbook"/>
          <w:bCs/>
          <w:i/>
          <w:iCs/>
        </w:rPr>
        <w:t>Ibid</w:t>
      </w:r>
      <w:r w:rsidR="00713E5C">
        <w:rPr>
          <w:rFonts w:ascii="Century Schoolbook" w:hAnsi="Century Schoolbook"/>
          <w:bCs/>
        </w:rPr>
        <w:t xml:space="preserve">.)  </w:t>
      </w:r>
      <w:r>
        <w:rPr>
          <w:rFonts w:ascii="Century Schoolbook" w:hAnsi="Century Schoolbook"/>
          <w:bCs/>
        </w:rPr>
        <w:t xml:space="preserve">The respondent </w:t>
      </w:r>
      <w:r w:rsidR="00F510E7">
        <w:rPr>
          <w:rFonts w:ascii="Century Schoolbook" w:hAnsi="Century Schoolbook"/>
          <w:bCs/>
        </w:rPr>
        <w:t xml:space="preserve">water storage district </w:t>
      </w:r>
      <w:r>
        <w:rPr>
          <w:rFonts w:ascii="Century Schoolbook" w:hAnsi="Century Schoolbook"/>
          <w:bCs/>
        </w:rPr>
        <w:t xml:space="preserve">in </w:t>
      </w:r>
      <w:r w:rsidRPr="006C26CF">
        <w:rPr>
          <w:rFonts w:ascii="Century Schoolbook" w:hAnsi="Century Schoolbook"/>
          <w:bCs/>
          <w:i/>
          <w:iCs/>
        </w:rPr>
        <w:t>Johnson</w:t>
      </w:r>
      <w:r w:rsidRPr="006C26CF">
        <w:rPr>
          <w:rFonts w:ascii="Century Schoolbook" w:hAnsi="Century Schoolbook"/>
          <w:bCs/>
        </w:rPr>
        <w:t xml:space="preserve">, </w:t>
      </w:r>
      <w:r w:rsidRPr="006C26CF">
        <w:rPr>
          <w:rFonts w:ascii="Century Schoolbook" w:hAnsi="Century Schoolbook"/>
          <w:bCs/>
          <w:i/>
          <w:iCs/>
        </w:rPr>
        <w:t>supra</w:t>
      </w:r>
      <w:r>
        <w:rPr>
          <w:rFonts w:ascii="Century Schoolbook" w:hAnsi="Century Schoolbook"/>
          <w:bCs/>
        </w:rPr>
        <w:t xml:space="preserve">, </w:t>
      </w:r>
      <w:r w:rsidRPr="006C26CF">
        <w:rPr>
          <w:rFonts w:ascii="Century Schoolbook" w:hAnsi="Century Schoolbook"/>
          <w:bCs/>
        </w:rPr>
        <w:t xml:space="preserve">174 Cal.App.4th </w:t>
      </w:r>
      <w:r>
        <w:rPr>
          <w:rFonts w:ascii="Century Schoolbook" w:hAnsi="Century Schoolbook"/>
          <w:bCs/>
        </w:rPr>
        <w:t>at p</w:t>
      </w:r>
      <w:r w:rsidR="003A26CB">
        <w:rPr>
          <w:rFonts w:ascii="Century Schoolbook" w:hAnsi="Century Schoolbook"/>
          <w:bCs/>
        </w:rPr>
        <w:t>age</w:t>
      </w:r>
      <w:r>
        <w:rPr>
          <w:rFonts w:ascii="Century Schoolbook" w:hAnsi="Century Schoolbook"/>
          <w:bCs/>
        </w:rPr>
        <w:t xml:space="preserve"> </w:t>
      </w:r>
      <w:r w:rsidRPr="006C26CF">
        <w:rPr>
          <w:rFonts w:ascii="Century Schoolbook" w:hAnsi="Century Schoolbook"/>
          <w:bCs/>
        </w:rPr>
        <w:t>741,</w:t>
      </w:r>
      <w:r>
        <w:rPr>
          <w:rFonts w:ascii="Century Schoolbook" w:hAnsi="Century Schoolbook"/>
          <w:bCs/>
        </w:rPr>
        <w:t xml:space="preserve"> qualified as a municipal corporation in part because its “</w:t>
      </w:r>
      <w:r w:rsidRPr="006C26CF">
        <w:rPr>
          <w:rFonts w:ascii="Century Schoolbook" w:hAnsi="Century Schoolbook"/>
          <w:bCs/>
        </w:rPr>
        <w:t>powers include</w:t>
      </w:r>
      <w:r>
        <w:rPr>
          <w:rFonts w:ascii="Century Schoolbook" w:hAnsi="Century Schoolbook"/>
          <w:bCs/>
        </w:rPr>
        <w:t>[d]</w:t>
      </w:r>
      <w:r w:rsidRPr="006C26CF">
        <w:rPr>
          <w:rFonts w:ascii="Century Schoolbook" w:hAnsi="Century Schoolbook"/>
          <w:bCs/>
        </w:rPr>
        <w:t xml:space="preserve"> setting tolls and charges for the use of water, issuing bonds, and acquiring property through eminent </w:t>
      </w:r>
      <w:r w:rsidRPr="00D04962">
        <w:rPr>
          <w:rFonts w:ascii="Century Schoolbook" w:hAnsi="Century Schoolbook"/>
          <w:bCs/>
        </w:rPr>
        <w:t xml:space="preserve">domain.”  Respondent has none of the characteristics discussed in </w:t>
      </w:r>
      <w:r w:rsidRPr="008D6271">
        <w:rPr>
          <w:rFonts w:ascii="Century Schoolbook" w:hAnsi="Century Schoolbook"/>
          <w:bCs/>
          <w:i/>
          <w:iCs/>
        </w:rPr>
        <w:t>Gateway</w:t>
      </w:r>
      <w:r w:rsidRPr="008D6271">
        <w:rPr>
          <w:rFonts w:ascii="Century Schoolbook" w:hAnsi="Century Schoolbook"/>
          <w:bCs/>
        </w:rPr>
        <w:t xml:space="preserve"> and</w:t>
      </w:r>
      <w:r w:rsidRPr="001E19F5">
        <w:rPr>
          <w:rFonts w:ascii="Century Schoolbook" w:hAnsi="Century Schoolbook"/>
          <w:bCs/>
        </w:rPr>
        <w:t xml:space="preserve"> </w:t>
      </w:r>
      <w:r w:rsidRPr="001E19F5" w:rsidR="00057D19">
        <w:rPr>
          <w:rFonts w:ascii="Century Schoolbook" w:hAnsi="Century Schoolbook"/>
          <w:bCs/>
        </w:rPr>
        <w:t>l</w:t>
      </w:r>
      <w:r w:rsidRPr="00581F24" w:rsidR="00057D19">
        <w:rPr>
          <w:rFonts w:ascii="Century Schoolbook" w:hAnsi="Century Schoolbook"/>
          <w:bCs/>
        </w:rPr>
        <w:t xml:space="preserve">acks </w:t>
      </w:r>
      <w:r w:rsidRPr="00D04962" w:rsidR="00D04962">
        <w:rPr>
          <w:rFonts w:ascii="Century Schoolbook" w:hAnsi="Century Schoolbook"/>
          <w:bCs/>
        </w:rPr>
        <w:t>any</w:t>
      </w:r>
      <w:r w:rsidRPr="00D04962">
        <w:rPr>
          <w:rFonts w:ascii="Century Schoolbook" w:hAnsi="Century Schoolbook"/>
          <w:bCs/>
        </w:rPr>
        <w:t xml:space="preserve"> powers analogous to the ones </w:t>
      </w:r>
      <w:r w:rsidRPr="00D04962" w:rsidR="00526408">
        <w:rPr>
          <w:rFonts w:ascii="Century Schoolbook" w:hAnsi="Century Schoolbook"/>
          <w:bCs/>
        </w:rPr>
        <w:t>discussed in</w:t>
      </w:r>
      <w:r w:rsidRPr="00D04962" w:rsidR="00D04962">
        <w:rPr>
          <w:rFonts w:ascii="Century Schoolbook" w:hAnsi="Century Schoolbook"/>
          <w:bCs/>
        </w:rPr>
        <w:t xml:space="preserve"> </w:t>
      </w:r>
      <w:r w:rsidRPr="00D04962">
        <w:rPr>
          <w:rFonts w:ascii="Century Schoolbook" w:hAnsi="Century Schoolbook"/>
          <w:bCs/>
          <w:i/>
          <w:iCs/>
        </w:rPr>
        <w:t>Johnson</w:t>
      </w:r>
      <w:r w:rsidRPr="00D04962">
        <w:rPr>
          <w:rFonts w:ascii="Century Schoolbook" w:hAnsi="Century Schoolbook"/>
          <w:bCs/>
        </w:rPr>
        <w:t>.  In short, there is no reason to ascribe to respondent the status of a “municipal corporation” within the meaning of section 220</w:t>
      </w:r>
      <w:r w:rsidRPr="00D04962" w:rsidR="00057D19">
        <w:rPr>
          <w:rFonts w:ascii="Century Schoolbook" w:hAnsi="Century Schoolbook"/>
          <w:bCs/>
        </w:rPr>
        <w:t xml:space="preserve">, </w:t>
      </w:r>
      <w:r w:rsidRPr="00D04962" w:rsidR="00D04962">
        <w:rPr>
          <w:rFonts w:ascii="Century Schoolbook" w:hAnsi="Century Schoolbook"/>
          <w:bCs/>
        </w:rPr>
        <w:t>subdivision (b)</w:t>
      </w:r>
      <w:r w:rsidRPr="00D04962">
        <w:rPr>
          <w:rFonts w:ascii="Century Schoolbook" w:hAnsi="Century Schoolbook"/>
          <w:bCs/>
        </w:rPr>
        <w:t>.</w:t>
      </w:r>
    </w:p>
    <w:p w:rsidR="005B268B" w:rsidP="006C26CF" w14:paraId="7ABAE390" w14:textId="071C8ED0">
      <w:pPr>
        <w:spacing w:line="360" w:lineRule="auto"/>
        <w:rPr>
          <w:rFonts w:ascii="Century Schoolbook" w:hAnsi="Century Schoolbook"/>
          <w:bCs/>
        </w:rPr>
      </w:pPr>
      <w:r>
        <w:rPr>
          <w:rFonts w:ascii="Century Schoolbook" w:hAnsi="Century Schoolbook"/>
          <w:bCs/>
        </w:rPr>
        <w:tab/>
        <w:t>In sum, the trial court erred in sustaining the demurrer as to the fifth and sixth causes of action.</w:t>
      </w:r>
      <w:r>
        <w:rPr>
          <w:rStyle w:val="FootnoteReference"/>
          <w:rFonts w:ascii="Century Schoolbook" w:hAnsi="Century Schoolbook"/>
          <w:bCs/>
        </w:rPr>
        <w:footnoteReference w:id="9"/>
      </w:r>
    </w:p>
    <w:p w:rsidR="005B268B" w:rsidRPr="006979D9" w:rsidP="00042F86" w14:paraId="6D9F7350" w14:textId="76D3EA01">
      <w:pPr>
        <w:keepNext/>
        <w:keepLines/>
        <w:spacing w:line="360" w:lineRule="auto"/>
        <w:jc w:val="center"/>
        <w:rPr>
          <w:b/>
        </w:rPr>
      </w:pPr>
      <w:r w:rsidRPr="006979D9">
        <w:rPr>
          <w:rFonts w:ascii="Century Schoolbook" w:hAnsi="Century Schoolbook"/>
          <w:b/>
        </w:rPr>
        <w:t xml:space="preserve">4.  </w:t>
      </w:r>
      <w:r w:rsidRPr="006979D9">
        <w:rPr>
          <w:rFonts w:ascii="Century Schoolbook" w:hAnsi="Century Schoolbook"/>
          <w:b/>
          <w:i/>
          <w:iCs/>
        </w:rPr>
        <w:t>Fourth Cause of Action</w:t>
      </w:r>
    </w:p>
    <w:p w:rsidR="006C26CF" w:rsidRPr="006C26CF" w:rsidP="00042F86" w14:paraId="1175EAC8" w14:textId="40D49454">
      <w:pPr>
        <w:keepNext/>
        <w:keepLines/>
        <w:spacing w:line="360" w:lineRule="auto"/>
        <w:rPr>
          <w:rFonts w:ascii="Century Schoolbook" w:hAnsi="Century Schoolbook"/>
          <w:bCs/>
        </w:rPr>
      </w:pPr>
      <w:r>
        <w:rPr>
          <w:rFonts w:ascii="Century Schoolbook" w:hAnsi="Century Schoolbook"/>
          <w:bCs/>
        </w:rPr>
        <w:tab/>
        <w:t xml:space="preserve">Appellants argue that the trial court erred in sustaining the demurrer as to the fourth cause of action because respondent is not an “other governmental entity” within the meaning of section 226.  </w:t>
      </w:r>
      <w:r w:rsidR="00186C4C">
        <w:rPr>
          <w:rFonts w:ascii="Century Schoolbook" w:hAnsi="Century Schoolbook"/>
          <w:bCs/>
        </w:rPr>
        <w:t>W</w:t>
      </w:r>
      <w:r>
        <w:rPr>
          <w:rFonts w:ascii="Century Schoolbook" w:hAnsi="Century Schoolbook"/>
          <w:bCs/>
        </w:rPr>
        <w:t>e disagree.</w:t>
      </w:r>
    </w:p>
    <w:p w:rsidR="00974E9F" w:rsidP="00974E9F" w14:paraId="2607B776" w14:textId="69A17FAD">
      <w:pPr>
        <w:spacing w:line="360" w:lineRule="auto"/>
        <w:rPr>
          <w:rFonts w:ascii="Century Schoolbook" w:hAnsi="Century Schoolbook"/>
        </w:rPr>
      </w:pPr>
      <w:r>
        <w:rPr>
          <w:rFonts w:ascii="Century Schoolbook" w:hAnsi="Century Schoolbook"/>
          <w:bCs/>
        </w:rPr>
        <w:tab/>
        <w:t>Section 226, subdivision (a), requires employers to provide employees with “</w:t>
      </w:r>
      <w:r w:rsidRPr="006979D9">
        <w:rPr>
          <w:rFonts w:ascii="Century Schoolbook" w:hAnsi="Century Schoolbook"/>
          <w:bCs/>
        </w:rPr>
        <w:t>an accurate itemized statement in writing</w:t>
      </w:r>
      <w:r>
        <w:rPr>
          <w:rFonts w:ascii="Century Schoolbook" w:hAnsi="Century Schoolbook"/>
          <w:bCs/>
        </w:rPr>
        <w:t xml:space="preserve"> showing” the employee’s wages and hours worked, along with other information.  Subdivision (i) exempts from this requirement “</w:t>
      </w:r>
      <w:r w:rsidRPr="006979D9">
        <w:rPr>
          <w:rFonts w:ascii="Century Schoolbook" w:hAnsi="Century Schoolbook"/>
          <w:bCs/>
        </w:rPr>
        <w:t>the state,</w:t>
      </w:r>
      <w:r w:rsidR="00B84F3D">
        <w:rPr>
          <w:rFonts w:ascii="Century Schoolbook" w:hAnsi="Century Schoolbook"/>
          <w:bCs/>
        </w:rPr>
        <w:t> </w:t>
      </w:r>
      <w:r>
        <w:rPr>
          <w:rFonts w:ascii="Century Schoolbook" w:hAnsi="Century Schoolbook"/>
          <w:bCs/>
        </w:rPr>
        <w:t>.</w:t>
      </w:r>
      <w:r w:rsidR="00B84F3D">
        <w:rPr>
          <w:rFonts w:ascii="Century Schoolbook" w:hAnsi="Century Schoolbook"/>
          <w:bCs/>
        </w:rPr>
        <w:t> </w:t>
      </w:r>
      <w:r>
        <w:rPr>
          <w:rFonts w:ascii="Century Schoolbook" w:hAnsi="Century Schoolbook"/>
          <w:bCs/>
        </w:rPr>
        <w:t>.</w:t>
      </w:r>
      <w:r w:rsidR="00B84F3D">
        <w:rPr>
          <w:rFonts w:ascii="Century Schoolbook" w:hAnsi="Century Schoolbook"/>
          <w:bCs/>
        </w:rPr>
        <w:t> </w:t>
      </w:r>
      <w:r>
        <w:rPr>
          <w:rFonts w:ascii="Century Schoolbook" w:hAnsi="Century Schoolbook"/>
          <w:bCs/>
        </w:rPr>
        <w:t>.</w:t>
      </w:r>
      <w:r w:rsidR="00B84F3D">
        <w:rPr>
          <w:rFonts w:ascii="Century Schoolbook" w:hAnsi="Century Schoolbook"/>
          <w:bCs/>
        </w:rPr>
        <w:t> </w:t>
      </w:r>
      <w:r w:rsidRPr="006979D9">
        <w:rPr>
          <w:rFonts w:ascii="Century Schoolbook" w:hAnsi="Century Schoolbook"/>
          <w:bCs/>
        </w:rPr>
        <w:t xml:space="preserve">any city, county, city and county, district, </w:t>
      </w:r>
      <w:r>
        <w:rPr>
          <w:rFonts w:ascii="Century Schoolbook" w:hAnsi="Century Schoolbook"/>
          <w:bCs/>
        </w:rPr>
        <w:t>and “</w:t>
      </w:r>
      <w:r w:rsidRPr="006979D9">
        <w:rPr>
          <w:rFonts w:ascii="Century Schoolbook" w:hAnsi="Century Schoolbook"/>
          <w:bCs/>
        </w:rPr>
        <w:t>any other governmental entity</w:t>
      </w:r>
      <w:r>
        <w:rPr>
          <w:rFonts w:ascii="Century Schoolbook" w:hAnsi="Century Schoolbook"/>
          <w:bCs/>
        </w:rPr>
        <w:t>.”  (</w:t>
      </w:r>
      <w:r w:rsidRPr="006979D9">
        <w:rPr>
          <w:rFonts w:ascii="Century Schoolbook" w:hAnsi="Century Schoolbook"/>
          <w:bCs/>
        </w:rPr>
        <w:t>§ 226</w:t>
      </w:r>
      <w:r>
        <w:rPr>
          <w:rFonts w:ascii="Century Schoolbook" w:hAnsi="Century Schoolbook"/>
          <w:bCs/>
        </w:rPr>
        <w:t xml:space="preserve">.)  </w:t>
      </w:r>
    </w:p>
    <w:p w:rsidR="00893EE2" w:rsidP="00974E9F" w14:paraId="70239E05" w14:textId="1BFD8903">
      <w:pPr>
        <w:spacing w:line="360" w:lineRule="auto"/>
        <w:rPr>
          <w:rFonts w:ascii="Century Schoolbook" w:hAnsi="Century Schoolbook"/>
        </w:rPr>
      </w:pPr>
      <w:r>
        <w:rPr>
          <w:rFonts w:ascii="Century Schoolbook" w:hAnsi="Century Schoolbook"/>
        </w:rPr>
        <w:tab/>
        <w:t>“</w:t>
      </w:r>
      <w:r w:rsidR="003A26CB">
        <w:rPr>
          <w:rFonts w:ascii="Century Schoolbook" w:hAnsi="Century Schoolbook"/>
        </w:rPr>
        <w:t> </w:t>
      </w:r>
      <w:r>
        <w:rPr>
          <w:rFonts w:ascii="Century Schoolbook" w:hAnsi="Century Schoolbook"/>
        </w:rPr>
        <w:t>‘</w:t>
      </w:r>
      <w:r w:rsidRPr="00DD1C74">
        <w:rPr>
          <w:rFonts w:ascii="Century Schoolbook" w:hAnsi="Century Schoolbook"/>
        </w:rPr>
        <w:t>Under settled canons of statutory construction, in construing a statute we ascertain the Legislature</w:t>
      </w:r>
      <w:r>
        <w:rPr>
          <w:rFonts w:ascii="Century Schoolbook" w:hAnsi="Century Schoolbook"/>
        </w:rPr>
        <w:t>’</w:t>
      </w:r>
      <w:r w:rsidRPr="00DD1C74">
        <w:rPr>
          <w:rFonts w:ascii="Century Schoolbook" w:hAnsi="Century Schoolbook"/>
        </w:rPr>
        <w:t>s intent in order to effectuate the law</w:t>
      </w:r>
      <w:r w:rsidR="00901B23">
        <w:rPr>
          <w:rFonts w:ascii="Century Schoolbook" w:hAnsi="Century Schoolbook"/>
        </w:rPr>
        <w:t>’</w:t>
      </w:r>
      <w:r w:rsidRPr="00DD1C74">
        <w:rPr>
          <w:rFonts w:ascii="Century Schoolbook" w:hAnsi="Century Schoolbook"/>
        </w:rPr>
        <w:t xml:space="preserve">s purpose. </w:t>
      </w:r>
      <w:r w:rsidR="00B84F3D">
        <w:rPr>
          <w:rFonts w:ascii="Century Schoolbook" w:hAnsi="Century Schoolbook"/>
        </w:rPr>
        <w:t xml:space="preserve"> </w:t>
      </w:r>
      <w:r w:rsidRPr="00DD1C74">
        <w:rPr>
          <w:rFonts w:ascii="Century Schoolbook" w:hAnsi="Century Schoolbook"/>
        </w:rPr>
        <w:t xml:space="preserve">[Citation.] </w:t>
      </w:r>
      <w:r w:rsidR="00B84F3D">
        <w:rPr>
          <w:rFonts w:ascii="Century Schoolbook" w:hAnsi="Century Schoolbook"/>
        </w:rPr>
        <w:t xml:space="preserve"> </w:t>
      </w:r>
      <w:r w:rsidRPr="00DD1C74">
        <w:rPr>
          <w:rFonts w:ascii="Century Schoolbook" w:hAnsi="Century Schoolbook"/>
        </w:rPr>
        <w:t>We must look to the statute</w:t>
      </w:r>
      <w:r>
        <w:rPr>
          <w:rFonts w:ascii="Century Schoolbook" w:hAnsi="Century Schoolbook"/>
        </w:rPr>
        <w:t>’</w:t>
      </w:r>
      <w:r w:rsidRPr="00DD1C74">
        <w:rPr>
          <w:rFonts w:ascii="Century Schoolbook" w:hAnsi="Century Schoolbook"/>
        </w:rPr>
        <w:t xml:space="preserve">s words and give them </w:t>
      </w:r>
      <w:r>
        <w:rPr>
          <w:rFonts w:ascii="Century Schoolbook" w:hAnsi="Century Schoolbook"/>
        </w:rPr>
        <w:t>“</w:t>
      </w:r>
      <w:r w:rsidRPr="00DD1C74">
        <w:rPr>
          <w:rFonts w:ascii="Century Schoolbook" w:hAnsi="Century Schoolbook"/>
        </w:rPr>
        <w:t>their usual and ordinary meaning.</w:t>
      </w:r>
      <w:r>
        <w:rPr>
          <w:rFonts w:ascii="Century Schoolbook" w:hAnsi="Century Schoolbook"/>
        </w:rPr>
        <w:t>”</w:t>
      </w:r>
      <w:r w:rsidRPr="00DD1C74">
        <w:rPr>
          <w:rFonts w:ascii="Century Schoolbook" w:hAnsi="Century Schoolbook"/>
        </w:rPr>
        <w:t xml:space="preserve"> </w:t>
      </w:r>
      <w:r w:rsidR="00B84F3D">
        <w:rPr>
          <w:rFonts w:ascii="Century Schoolbook" w:hAnsi="Century Schoolbook"/>
        </w:rPr>
        <w:t xml:space="preserve"> </w:t>
      </w:r>
      <w:r w:rsidRPr="00DD1C74">
        <w:rPr>
          <w:rFonts w:ascii="Century Schoolbook" w:hAnsi="Century Schoolbook"/>
        </w:rPr>
        <w:t>[Citation.]</w:t>
      </w:r>
      <w:r w:rsidR="00B84F3D">
        <w:rPr>
          <w:rFonts w:ascii="Century Schoolbook" w:hAnsi="Century Schoolbook"/>
        </w:rPr>
        <w:t xml:space="preserve"> </w:t>
      </w:r>
      <w:r w:rsidRPr="00DD1C74">
        <w:rPr>
          <w:rFonts w:ascii="Century Schoolbook" w:hAnsi="Century Schoolbook"/>
        </w:rPr>
        <w:t xml:space="preserve"> </w:t>
      </w:r>
      <w:r>
        <w:rPr>
          <w:rFonts w:ascii="Century Schoolbook" w:hAnsi="Century Schoolbook"/>
        </w:rPr>
        <w:t>“</w:t>
      </w:r>
      <w:r w:rsidRPr="00DD1C74">
        <w:rPr>
          <w:rFonts w:ascii="Century Schoolbook" w:hAnsi="Century Schoolbook"/>
        </w:rPr>
        <w:t xml:space="preserve">The </w:t>
      </w:r>
      <w:r w:rsidRPr="00586061">
        <w:rPr>
          <w:rFonts w:ascii="Century Schoolbook" w:hAnsi="Century Schoolbook"/>
        </w:rPr>
        <w:t>statute’s plain meaning controls the court</w:t>
      </w:r>
      <w:r>
        <w:rPr>
          <w:rFonts w:ascii="Century Schoolbook" w:hAnsi="Century Schoolbook"/>
        </w:rPr>
        <w:t>’</w:t>
      </w:r>
      <w:r w:rsidRPr="00586061">
        <w:rPr>
          <w:rFonts w:ascii="Century Schoolbook" w:hAnsi="Century Schoolbook"/>
        </w:rPr>
        <w:t>s interpretation unless its words are ambiguous.” [Citations.]</w:t>
      </w:r>
      <w:r>
        <w:rPr>
          <w:rFonts w:ascii="Century Schoolbook" w:hAnsi="Century Schoolbook"/>
        </w:rPr>
        <w:t>’</w:t>
      </w:r>
      <w:r w:rsidR="00871458">
        <w:rPr>
          <w:rFonts w:ascii="Century Schoolbook" w:hAnsi="Century Schoolbook"/>
        </w:rPr>
        <w:t> </w:t>
      </w:r>
      <w:r>
        <w:rPr>
          <w:rFonts w:ascii="Century Schoolbook" w:hAnsi="Century Schoolbook"/>
        </w:rPr>
        <w:t xml:space="preserve">”  </w:t>
      </w:r>
      <w:r w:rsidRPr="00E72EA8">
        <w:rPr>
          <w:rFonts w:ascii="Century Schoolbook" w:hAnsi="Century Schoolbook"/>
        </w:rPr>
        <w:t>(</w:t>
      </w:r>
      <w:r w:rsidRPr="00E72EA8">
        <w:rPr>
          <w:rFonts w:ascii="Century Schoolbook" w:hAnsi="Century Schoolbook"/>
          <w:i/>
          <w:iCs/>
        </w:rPr>
        <w:t>Reid v. Google, Inc.</w:t>
      </w:r>
      <w:r w:rsidRPr="00E72EA8">
        <w:rPr>
          <w:rFonts w:ascii="Century Schoolbook" w:hAnsi="Century Schoolbook"/>
        </w:rPr>
        <w:t xml:space="preserve"> (2010) 50 Cal.4th 512, 527.)</w:t>
      </w:r>
    </w:p>
    <w:p w:rsidR="00974E9F" w:rsidP="00974E9F" w14:paraId="21F75AA5" w14:textId="0D92DC38">
      <w:pPr>
        <w:spacing w:line="360" w:lineRule="auto"/>
        <w:rPr>
          <w:rFonts w:ascii="Century Schoolbook" w:hAnsi="Century Schoolbook"/>
        </w:rPr>
      </w:pPr>
      <w:r>
        <w:rPr>
          <w:rFonts w:ascii="Century Schoolbook" w:hAnsi="Century Schoolbook"/>
        </w:rPr>
        <w:tab/>
      </w:r>
      <w:r w:rsidR="00EA34C8">
        <w:rPr>
          <w:rFonts w:ascii="Century Schoolbook" w:hAnsi="Century Schoolbook"/>
        </w:rPr>
        <w:t>T</w:t>
      </w:r>
      <w:r w:rsidR="00901B23">
        <w:rPr>
          <w:rFonts w:ascii="Century Schoolbook" w:hAnsi="Century Schoolbook"/>
        </w:rPr>
        <w:t xml:space="preserve">he plain meaning of “other governmental </w:t>
      </w:r>
      <w:r w:rsidR="00F510E7">
        <w:rPr>
          <w:rFonts w:ascii="Century Schoolbook" w:hAnsi="Century Schoolbook"/>
        </w:rPr>
        <w:t>entit</w:t>
      </w:r>
      <w:r w:rsidR="00901B23">
        <w:rPr>
          <w:rFonts w:ascii="Century Schoolbook" w:hAnsi="Century Schoolbook"/>
        </w:rPr>
        <w:t>y” is expansive</w:t>
      </w:r>
      <w:r w:rsidR="001A6E49">
        <w:rPr>
          <w:rFonts w:ascii="Century Schoolbook" w:hAnsi="Century Schoolbook"/>
        </w:rPr>
        <w:t>:  A</w:t>
      </w:r>
      <w:r w:rsidR="008D6271">
        <w:rPr>
          <w:rFonts w:ascii="Century Schoolbook" w:hAnsi="Century Schoolbook"/>
        </w:rPr>
        <w:t xml:space="preserve">n entity is </w:t>
      </w:r>
      <w:r w:rsidR="001A6E49">
        <w:rPr>
          <w:rFonts w:ascii="Century Schoolbook" w:hAnsi="Century Schoolbook"/>
        </w:rPr>
        <w:t xml:space="preserve">anything </w:t>
      </w:r>
      <w:r w:rsidR="008D6271">
        <w:rPr>
          <w:rFonts w:ascii="Century Schoolbook" w:hAnsi="Century Schoolbook"/>
        </w:rPr>
        <w:t>“that has a real existence,” while “governmental” means “[o]f or relating to (a) government.”  (Oxford English Dict. (2d ed. 1989).)</w:t>
      </w:r>
      <w:r w:rsidR="00901B23">
        <w:rPr>
          <w:rFonts w:ascii="Century Schoolbook" w:hAnsi="Century Schoolbook"/>
        </w:rPr>
        <w:t xml:space="preserve">  </w:t>
      </w:r>
      <w:r w:rsidR="001A6E49">
        <w:rPr>
          <w:rFonts w:ascii="Century Schoolbook" w:hAnsi="Century Schoolbook"/>
        </w:rPr>
        <w:t>Here, there is little doubt as to respondent’s existence.  As for its relationship to the government, respondent was established by the government of Alameda County, an act which required special authorization from the state Legislature.  (</w:t>
      </w:r>
      <w:r w:rsidR="003A26CB">
        <w:rPr>
          <w:rFonts w:ascii="Century Schoolbook" w:hAnsi="Century Schoolbook"/>
          <w:bCs/>
        </w:rPr>
        <w:t>Health &amp; Saf. Code, § 101850</w:t>
      </w:r>
      <w:r w:rsidR="001A6E49">
        <w:rPr>
          <w:rFonts w:ascii="Century Schoolbook" w:hAnsi="Century Schoolbook"/>
          <w:bCs/>
        </w:rPr>
        <w:t xml:space="preserve">.)  </w:t>
      </w:r>
      <w:r w:rsidR="001A6E49">
        <w:rPr>
          <w:rFonts w:ascii="Century Schoolbook" w:hAnsi="Century Schoolbook"/>
        </w:rPr>
        <w:t>It also bears “</w:t>
      </w:r>
      <w:r w:rsidRPr="00901B23" w:rsidR="001A6E49">
        <w:rPr>
          <w:rFonts w:ascii="Century Schoolbook" w:hAnsi="Century Schoolbook"/>
        </w:rPr>
        <w:t>all the rights and duties set forth in state law with respect to hospitals owned or operated by a county.</w:t>
      </w:r>
      <w:r w:rsidR="001A6E49">
        <w:rPr>
          <w:rFonts w:ascii="Century Schoolbook" w:hAnsi="Century Schoolbook"/>
        </w:rPr>
        <w:t xml:space="preserve">” </w:t>
      </w:r>
      <w:r w:rsidR="006C09DD">
        <w:rPr>
          <w:rFonts w:ascii="Century Schoolbook" w:hAnsi="Century Schoolbook"/>
        </w:rPr>
        <w:t>(</w:t>
      </w:r>
      <w:r w:rsidRPr="0012705A" w:rsidR="003A26CB">
        <w:rPr>
          <w:rFonts w:ascii="Century Schoolbook" w:hAnsi="Century Schoolbook"/>
          <w:bCs/>
          <w:i/>
          <w:iCs/>
        </w:rPr>
        <w:t>Id</w:t>
      </w:r>
      <w:r w:rsidR="003A26CB">
        <w:rPr>
          <w:rFonts w:ascii="Century Schoolbook" w:hAnsi="Century Schoolbook"/>
          <w:bCs/>
        </w:rPr>
        <w:t>.</w:t>
      </w:r>
      <w:r w:rsidR="006C09DD">
        <w:rPr>
          <w:rFonts w:ascii="Century Schoolbook" w:hAnsi="Century Schoolbook"/>
        </w:rPr>
        <w:t>, subd. (m).</w:t>
      </w:r>
      <w:r w:rsidR="001A6E49">
        <w:rPr>
          <w:rFonts w:ascii="Century Schoolbook" w:hAnsi="Century Schoolbook"/>
        </w:rPr>
        <w:t xml:space="preserve">)  </w:t>
      </w:r>
      <w:r w:rsidR="00692889">
        <w:rPr>
          <w:rFonts w:ascii="Century Schoolbook" w:hAnsi="Century Schoolbook"/>
        </w:rPr>
        <w:t>Consequently</w:t>
      </w:r>
      <w:r w:rsidR="001A6E49">
        <w:rPr>
          <w:rFonts w:ascii="Century Schoolbook" w:hAnsi="Century Schoolbook"/>
        </w:rPr>
        <w:t xml:space="preserve">, </w:t>
      </w:r>
      <w:r w:rsidR="00901B23">
        <w:rPr>
          <w:rFonts w:ascii="Century Schoolbook" w:hAnsi="Century Schoolbook"/>
        </w:rPr>
        <w:t xml:space="preserve">while </w:t>
      </w:r>
      <w:r>
        <w:rPr>
          <w:rFonts w:ascii="Century Schoolbook" w:hAnsi="Century Schoolbook"/>
        </w:rPr>
        <w:t xml:space="preserve">we have held that respondent </w:t>
      </w:r>
      <w:r w:rsidR="00F510E7">
        <w:rPr>
          <w:rFonts w:ascii="Century Schoolbook" w:hAnsi="Century Schoolbook"/>
        </w:rPr>
        <w:t>is not a sovereign</w:t>
      </w:r>
      <w:r w:rsidR="008D6271">
        <w:rPr>
          <w:rFonts w:ascii="Century Schoolbook" w:hAnsi="Century Schoolbook"/>
        </w:rPr>
        <w:t xml:space="preserve"> governmental</w:t>
      </w:r>
      <w:r w:rsidR="00F510E7">
        <w:rPr>
          <w:rFonts w:ascii="Century Schoolbook" w:hAnsi="Century Schoolbook"/>
        </w:rPr>
        <w:t xml:space="preserve"> agency</w:t>
      </w:r>
      <w:r>
        <w:rPr>
          <w:rFonts w:ascii="Century Schoolbook" w:hAnsi="Century Schoolbook"/>
        </w:rPr>
        <w:t xml:space="preserve"> or a “municipal corporation” under section 2</w:t>
      </w:r>
      <w:r w:rsidR="00F510E7">
        <w:rPr>
          <w:rFonts w:ascii="Century Schoolbook" w:hAnsi="Century Schoolbook"/>
        </w:rPr>
        <w:t>20</w:t>
      </w:r>
      <w:r w:rsidR="00901B23">
        <w:rPr>
          <w:rFonts w:ascii="Century Schoolbook" w:hAnsi="Century Schoolbook"/>
        </w:rPr>
        <w:t>,</w:t>
      </w:r>
      <w:r>
        <w:rPr>
          <w:rFonts w:ascii="Century Schoolbook" w:hAnsi="Century Schoolbook"/>
        </w:rPr>
        <w:t xml:space="preserve"> there is no reason to doubt that it is a “government</w:t>
      </w:r>
      <w:r w:rsidR="00057D19">
        <w:rPr>
          <w:rFonts w:ascii="Century Schoolbook" w:hAnsi="Century Schoolbook"/>
        </w:rPr>
        <w:t>al</w:t>
      </w:r>
      <w:r>
        <w:rPr>
          <w:rFonts w:ascii="Century Schoolbook" w:hAnsi="Century Schoolbook"/>
        </w:rPr>
        <w:t xml:space="preserve"> entity” </w:t>
      </w:r>
      <w:r w:rsidRPr="00901B23">
        <w:rPr>
          <w:rFonts w:ascii="Century Schoolbook" w:hAnsi="Century Schoolbook"/>
        </w:rPr>
        <w:t>of some kind</w:t>
      </w:r>
      <w:r>
        <w:rPr>
          <w:rFonts w:ascii="Century Schoolbook" w:hAnsi="Century Schoolbook"/>
        </w:rPr>
        <w:t xml:space="preserve">.  </w:t>
      </w:r>
    </w:p>
    <w:p w:rsidR="006979D9" w:rsidP="006979D9" w14:paraId="78FDFE93" w14:textId="692DDBF4">
      <w:pPr>
        <w:spacing w:line="360" w:lineRule="auto"/>
        <w:rPr>
          <w:rFonts w:ascii="Century Schoolbook" w:hAnsi="Century Schoolbook"/>
        </w:rPr>
      </w:pPr>
      <w:r>
        <w:rPr>
          <w:rFonts w:ascii="Century Schoolbook" w:hAnsi="Century Schoolbook"/>
        </w:rPr>
        <w:tab/>
        <w:t>Appellant</w:t>
      </w:r>
      <w:r w:rsidR="00F510E7">
        <w:rPr>
          <w:rFonts w:ascii="Century Schoolbook" w:hAnsi="Century Schoolbook"/>
        </w:rPr>
        <w:t>s</w:t>
      </w:r>
      <w:r>
        <w:rPr>
          <w:rFonts w:ascii="Century Schoolbook" w:hAnsi="Century Schoolbook"/>
        </w:rPr>
        <w:t xml:space="preserve"> urge us to read the term “other governmental entity” to “include only sovereign governing entities</w:t>
      </w:r>
      <w:r w:rsidR="00F510E7">
        <w:rPr>
          <w:rFonts w:ascii="Century Schoolbook" w:hAnsi="Century Schoolbook"/>
        </w:rPr>
        <w:t>,</w:t>
      </w:r>
      <w:r>
        <w:rPr>
          <w:rFonts w:ascii="Century Schoolbook" w:hAnsi="Century Schoolbook"/>
        </w:rPr>
        <w:t xml:space="preserve">” </w:t>
      </w:r>
      <w:r w:rsidR="00F510E7">
        <w:rPr>
          <w:rFonts w:ascii="Century Schoolbook" w:hAnsi="Century Schoolbook"/>
        </w:rPr>
        <w:t>but cites no authority that would justify this departure from</w:t>
      </w:r>
      <w:r w:rsidR="00E6518A">
        <w:rPr>
          <w:rFonts w:ascii="Century Schoolbook" w:hAnsi="Century Schoolbook"/>
        </w:rPr>
        <w:t xml:space="preserve"> applying</w:t>
      </w:r>
      <w:r w:rsidR="00F510E7">
        <w:rPr>
          <w:rFonts w:ascii="Century Schoolbook" w:hAnsi="Century Schoolbook"/>
        </w:rPr>
        <w:t xml:space="preserve"> the </w:t>
      </w:r>
      <w:r w:rsidR="00264F4B">
        <w:rPr>
          <w:rFonts w:ascii="Century Schoolbook" w:hAnsi="Century Schoolbook"/>
        </w:rPr>
        <w:t xml:space="preserve">broader </w:t>
      </w:r>
      <w:r w:rsidR="00F510E7">
        <w:rPr>
          <w:rFonts w:ascii="Century Schoolbook" w:hAnsi="Century Schoolbook"/>
        </w:rPr>
        <w:t xml:space="preserve">plain meaning.  As </w:t>
      </w:r>
      <w:r w:rsidR="00E6518A">
        <w:rPr>
          <w:rFonts w:ascii="Century Schoolbook" w:hAnsi="Century Schoolbook"/>
        </w:rPr>
        <w:t>appellants</w:t>
      </w:r>
      <w:r w:rsidR="00F510E7">
        <w:rPr>
          <w:rFonts w:ascii="Century Schoolbook" w:hAnsi="Century Schoolbook"/>
        </w:rPr>
        <w:t xml:space="preserve"> acknowledge, </w:t>
      </w:r>
      <w:r w:rsidRPr="00F510E7" w:rsidR="00F510E7">
        <w:rPr>
          <w:rFonts w:ascii="Century Schoolbook" w:hAnsi="Century Schoolbook"/>
          <w:i/>
          <w:iCs/>
        </w:rPr>
        <w:t>Gateway</w:t>
      </w:r>
      <w:r w:rsidR="00F510E7">
        <w:rPr>
          <w:rFonts w:ascii="Century Schoolbook" w:hAnsi="Century Schoolbook"/>
        </w:rPr>
        <w:t xml:space="preserve">, </w:t>
      </w:r>
      <w:r w:rsidRPr="00F510E7" w:rsidR="00F510E7">
        <w:rPr>
          <w:rFonts w:ascii="Century Schoolbook" w:hAnsi="Century Schoolbook"/>
          <w:i/>
          <w:iCs/>
        </w:rPr>
        <w:t>supra</w:t>
      </w:r>
      <w:r w:rsidR="00F510E7">
        <w:rPr>
          <w:rFonts w:ascii="Century Schoolbook" w:hAnsi="Century Schoolbook"/>
        </w:rPr>
        <w:t>, 9 Cal.App.5th at p</w:t>
      </w:r>
      <w:r w:rsidR="003A26CB">
        <w:rPr>
          <w:rFonts w:ascii="Century Schoolbook" w:hAnsi="Century Schoolbook"/>
        </w:rPr>
        <w:t xml:space="preserve">age </w:t>
      </w:r>
      <w:r w:rsidR="00F510E7">
        <w:rPr>
          <w:rFonts w:ascii="Century Schoolbook" w:hAnsi="Century Schoolbook"/>
        </w:rPr>
        <w:t>502, was concerned with the meaning of “other municipal corporation” under section 220, not “other governmental entity” under section 204.</w:t>
      </w:r>
      <w:r w:rsidR="004869B4">
        <w:rPr>
          <w:rFonts w:ascii="Century Schoolbook" w:hAnsi="Century Schoolbook"/>
        </w:rPr>
        <w:t xml:space="preserve">  Because the plain meaning of </w:t>
      </w:r>
      <w:r w:rsidR="001A6E49">
        <w:rPr>
          <w:rFonts w:ascii="Century Schoolbook" w:hAnsi="Century Schoolbook"/>
        </w:rPr>
        <w:t>“other governmental agency”</w:t>
      </w:r>
      <w:r w:rsidR="004869B4">
        <w:rPr>
          <w:rFonts w:ascii="Century Schoolbook" w:hAnsi="Century Schoolbook"/>
        </w:rPr>
        <w:t xml:space="preserve"> is more </w:t>
      </w:r>
      <w:r w:rsidR="001A6E49">
        <w:rPr>
          <w:rFonts w:ascii="Century Schoolbook" w:hAnsi="Century Schoolbook"/>
        </w:rPr>
        <w:t>capacious</w:t>
      </w:r>
      <w:r w:rsidR="004869B4">
        <w:rPr>
          <w:rFonts w:ascii="Century Schoolbook" w:hAnsi="Century Schoolbook"/>
        </w:rPr>
        <w:t xml:space="preserve"> than that of </w:t>
      </w:r>
      <w:r w:rsidR="001A6E49">
        <w:rPr>
          <w:rFonts w:ascii="Century Schoolbook" w:hAnsi="Century Schoolbook"/>
        </w:rPr>
        <w:t>“other municipal corporation</w:t>
      </w:r>
      <w:r w:rsidR="004869B4">
        <w:rPr>
          <w:rFonts w:ascii="Century Schoolbook" w:hAnsi="Century Schoolbook"/>
        </w:rPr>
        <w:t>,</w:t>
      </w:r>
      <w:r w:rsidR="001A6E49">
        <w:rPr>
          <w:rFonts w:ascii="Century Schoolbook" w:hAnsi="Century Schoolbook"/>
        </w:rPr>
        <w:t>”</w:t>
      </w:r>
      <w:r w:rsidR="004869B4">
        <w:rPr>
          <w:rFonts w:ascii="Century Schoolbook" w:hAnsi="Century Schoolbook"/>
        </w:rPr>
        <w:t xml:space="preserve"> we decline appellants’ invitation to conflate the two.</w:t>
      </w:r>
    </w:p>
    <w:p w:rsidR="004869B4" w:rsidRPr="004869B4" w:rsidP="006979D9" w14:paraId="4CD1E6F7" w14:textId="7FDCA24B">
      <w:pPr>
        <w:spacing w:line="360" w:lineRule="auto"/>
        <w:rPr>
          <w:rFonts w:ascii="Century Schoolbook" w:hAnsi="Century Schoolbook"/>
        </w:rPr>
      </w:pPr>
      <w:r>
        <w:rPr>
          <w:rFonts w:ascii="Century Schoolbook" w:hAnsi="Century Schoolbook"/>
        </w:rPr>
        <w:tab/>
        <w:t>In sum, the demurrer was properly sustained as to the fourth cause of action.</w:t>
      </w:r>
    </w:p>
    <w:p w:rsidR="006979D9" w:rsidRPr="0019260B" w:rsidP="0019260B" w14:paraId="2EE88FEC" w14:textId="5DFD102F">
      <w:pPr>
        <w:spacing w:line="360" w:lineRule="auto"/>
        <w:jc w:val="center"/>
        <w:rPr>
          <w:rFonts w:ascii="Century Schoolbook" w:hAnsi="Century Schoolbook"/>
          <w:b/>
        </w:rPr>
      </w:pPr>
      <w:r w:rsidRPr="0019260B">
        <w:rPr>
          <w:rFonts w:ascii="Century Schoolbook" w:hAnsi="Century Schoolbook"/>
          <w:b/>
        </w:rPr>
        <w:t xml:space="preserve">5.  </w:t>
      </w:r>
      <w:r w:rsidRPr="0019260B">
        <w:rPr>
          <w:rFonts w:ascii="Century Schoolbook" w:hAnsi="Century Schoolbook"/>
          <w:b/>
          <w:i/>
          <w:iCs/>
        </w:rPr>
        <w:t>Seventh Cause of Action</w:t>
      </w:r>
      <w:r w:rsidR="001E19F5">
        <w:rPr>
          <w:rFonts w:ascii="Century Schoolbook" w:hAnsi="Century Schoolbook"/>
          <w:b/>
          <w:i/>
          <w:iCs/>
        </w:rPr>
        <w:t xml:space="preserve"> (PAGA)</w:t>
      </w:r>
    </w:p>
    <w:p w:rsidR="00CD713F" w:rsidP="0077220B" w14:paraId="1C8F6EB1" w14:textId="2E674EB3">
      <w:pPr>
        <w:spacing w:line="360" w:lineRule="auto"/>
        <w:rPr>
          <w:rFonts w:ascii="Century Schoolbook" w:hAnsi="Century Schoolbook"/>
          <w:bCs/>
        </w:rPr>
      </w:pPr>
      <w:r>
        <w:rPr>
          <w:rFonts w:ascii="Century Schoolbook" w:hAnsi="Century Schoolbook"/>
          <w:bCs/>
        </w:rPr>
        <w:tab/>
      </w:r>
      <w:r w:rsidR="00EC3964">
        <w:rPr>
          <w:rFonts w:ascii="Century Schoolbook" w:hAnsi="Century Schoolbook"/>
          <w:bCs/>
        </w:rPr>
        <w:t>R</w:t>
      </w:r>
      <w:r w:rsidR="007A2574">
        <w:rPr>
          <w:rFonts w:ascii="Century Schoolbook" w:hAnsi="Century Schoolbook"/>
          <w:bCs/>
        </w:rPr>
        <w:t>espondent’s</w:t>
      </w:r>
      <w:r w:rsidR="001E19F5">
        <w:rPr>
          <w:rFonts w:ascii="Century Schoolbook" w:hAnsi="Century Schoolbook"/>
          <w:bCs/>
        </w:rPr>
        <w:t xml:space="preserve"> </w:t>
      </w:r>
      <w:r w:rsidR="007A2574">
        <w:rPr>
          <w:rFonts w:ascii="Century Schoolbook" w:hAnsi="Century Schoolbook"/>
          <w:bCs/>
        </w:rPr>
        <w:t>demurrer as to the PAGA claim</w:t>
      </w:r>
      <w:r w:rsidR="00EC3964">
        <w:rPr>
          <w:rFonts w:ascii="Century Schoolbook" w:hAnsi="Century Schoolbook"/>
          <w:bCs/>
        </w:rPr>
        <w:t xml:space="preserve"> was</w:t>
      </w:r>
      <w:r w:rsidR="007A2574">
        <w:rPr>
          <w:rFonts w:ascii="Century Schoolbook" w:hAnsi="Century Schoolbook"/>
          <w:bCs/>
        </w:rPr>
        <w:t xml:space="preserve"> sustained by the trial court on three grounds: (1) “</w:t>
      </w:r>
      <w:r w:rsidRPr="007A2574" w:rsidR="007A2574">
        <w:rPr>
          <w:rFonts w:ascii="Century Schoolbook" w:hAnsi="Century Schoolbook"/>
          <w:bCs/>
        </w:rPr>
        <w:t xml:space="preserve">PAGA applies to claims against a </w:t>
      </w:r>
      <w:r w:rsidR="007A2574">
        <w:rPr>
          <w:rFonts w:ascii="Century Schoolbook" w:hAnsi="Century Schoolbook"/>
          <w:bCs/>
        </w:rPr>
        <w:t>‘</w:t>
      </w:r>
      <w:r w:rsidRPr="007A2574" w:rsidR="007A2574">
        <w:rPr>
          <w:rFonts w:ascii="Century Schoolbook" w:hAnsi="Century Schoolbook"/>
          <w:bCs/>
        </w:rPr>
        <w:t>person</w:t>
      </w:r>
      <w:r w:rsidR="007A2574">
        <w:rPr>
          <w:rFonts w:ascii="Century Schoolbook" w:hAnsi="Century Schoolbook"/>
          <w:bCs/>
        </w:rPr>
        <w:t>’</w:t>
      </w:r>
      <w:r w:rsidRPr="007A2574" w:rsidR="007A2574">
        <w:rPr>
          <w:rFonts w:ascii="Century Schoolbook" w:hAnsi="Century Schoolbook"/>
          <w:bCs/>
        </w:rPr>
        <w:t>,</w:t>
      </w:r>
      <w:r w:rsidR="007A2574">
        <w:rPr>
          <w:rFonts w:ascii="Century Schoolbook" w:hAnsi="Century Schoolbook"/>
          <w:bCs/>
        </w:rPr>
        <w:t>” a category from which section 18 excludes respondent; (2) “</w:t>
      </w:r>
      <w:r w:rsidRPr="007A2574" w:rsidR="007A2574">
        <w:rPr>
          <w:rFonts w:ascii="Century Schoolbook" w:hAnsi="Century Schoolbook"/>
          <w:bCs/>
        </w:rPr>
        <w:t>a PAGA claim is derivative of the underlying statutory violation</w:t>
      </w:r>
      <w:r w:rsidR="007A2574">
        <w:rPr>
          <w:rFonts w:ascii="Century Schoolbook" w:hAnsi="Century Schoolbook"/>
          <w:bCs/>
        </w:rPr>
        <w:t xml:space="preserve">,” but respondent’s “public agency” status exempts it from the relevant statutes; and (3) </w:t>
      </w:r>
      <w:r w:rsidR="001E3626">
        <w:rPr>
          <w:rFonts w:ascii="Century Schoolbook" w:hAnsi="Century Schoolbook"/>
          <w:bCs/>
        </w:rPr>
        <w:t>“</w:t>
      </w:r>
      <w:r w:rsidRPr="007A2574" w:rsidR="007A2574">
        <w:rPr>
          <w:rFonts w:ascii="Century Schoolbook" w:hAnsi="Century Schoolbook"/>
          <w:bCs/>
        </w:rPr>
        <w:t>as a public agency,</w:t>
      </w:r>
      <w:r w:rsidR="00C2698E">
        <w:rPr>
          <w:rFonts w:ascii="Century Schoolbook" w:hAnsi="Century Schoolbook"/>
          <w:bCs/>
        </w:rPr>
        <w:t>”</w:t>
      </w:r>
      <w:r w:rsidRPr="007A2574" w:rsidR="007A2574">
        <w:rPr>
          <w:rFonts w:ascii="Century Schoolbook" w:hAnsi="Century Schoolbook"/>
          <w:bCs/>
        </w:rPr>
        <w:t xml:space="preserve"> </w:t>
      </w:r>
      <w:r w:rsidR="00C2698E">
        <w:rPr>
          <w:rFonts w:ascii="Century Schoolbook" w:hAnsi="Century Schoolbook"/>
          <w:bCs/>
        </w:rPr>
        <w:t xml:space="preserve">respondent </w:t>
      </w:r>
      <w:r w:rsidRPr="007A2574" w:rsidR="007A2574">
        <w:rPr>
          <w:rFonts w:ascii="Century Schoolbook" w:hAnsi="Century Schoolbook"/>
          <w:bCs/>
        </w:rPr>
        <w:t xml:space="preserve">is </w:t>
      </w:r>
      <w:r w:rsidR="003A26CB">
        <w:rPr>
          <w:rFonts w:ascii="Century Schoolbook" w:hAnsi="Century Schoolbook"/>
          <w:bCs/>
        </w:rPr>
        <w:t>“</w:t>
      </w:r>
      <w:r w:rsidRPr="007A2574" w:rsidR="007A2574">
        <w:rPr>
          <w:rFonts w:ascii="Century Schoolbook" w:hAnsi="Century Schoolbook"/>
          <w:bCs/>
        </w:rPr>
        <w:t>not liable for damages imposed by way of punishing the</w:t>
      </w:r>
      <w:r w:rsidR="001E3626">
        <w:rPr>
          <w:rFonts w:ascii="Century Schoolbook" w:hAnsi="Century Schoolbook"/>
          <w:bCs/>
        </w:rPr>
        <w:t xml:space="preserve"> </w:t>
      </w:r>
      <w:r w:rsidRPr="007A2574" w:rsidR="007A2574">
        <w:rPr>
          <w:rFonts w:ascii="Century Schoolbook" w:hAnsi="Century Schoolbook"/>
          <w:bCs/>
        </w:rPr>
        <w:t>defendant, such as PAGA civil penalties. (See Government Code</w:t>
      </w:r>
      <w:r w:rsidR="00871458">
        <w:rPr>
          <w:rFonts w:ascii="Century Schoolbook" w:hAnsi="Century Schoolbook"/>
          <w:bCs/>
        </w:rPr>
        <w:t>,</w:t>
      </w:r>
      <w:r w:rsidRPr="007A2574" w:rsidR="007A2574">
        <w:rPr>
          <w:rFonts w:ascii="Century Schoolbook" w:hAnsi="Century Schoolbook"/>
          <w:bCs/>
        </w:rPr>
        <w:t xml:space="preserve"> § 818.)</w:t>
      </w:r>
      <w:r w:rsidR="001E3626">
        <w:rPr>
          <w:rFonts w:ascii="Century Schoolbook" w:hAnsi="Century Schoolbook"/>
          <w:bCs/>
        </w:rPr>
        <w:t>”</w:t>
      </w:r>
      <w:r w:rsidR="00E95144">
        <w:rPr>
          <w:rFonts w:ascii="Century Schoolbook" w:hAnsi="Century Schoolbook"/>
          <w:bCs/>
        </w:rPr>
        <w:t xml:space="preserve"> </w:t>
      </w:r>
      <w:r w:rsidR="00773AF3">
        <w:rPr>
          <w:rFonts w:ascii="Century Schoolbook" w:hAnsi="Century Schoolbook"/>
          <w:bCs/>
        </w:rPr>
        <w:t xml:space="preserve"> </w:t>
      </w:r>
      <w:r w:rsidR="00665419">
        <w:rPr>
          <w:rFonts w:ascii="Century Schoolbook" w:hAnsi="Century Schoolbook"/>
          <w:bCs/>
        </w:rPr>
        <w:t xml:space="preserve">As we </w:t>
      </w:r>
      <w:r w:rsidR="00773AF3">
        <w:rPr>
          <w:rFonts w:ascii="Century Schoolbook" w:hAnsi="Century Schoolbook"/>
          <w:bCs/>
        </w:rPr>
        <w:t>have already shown</w:t>
      </w:r>
      <w:r w:rsidR="00665419">
        <w:rPr>
          <w:rFonts w:ascii="Century Schoolbook" w:hAnsi="Century Schoolbook"/>
          <w:bCs/>
        </w:rPr>
        <w:t xml:space="preserve">, </w:t>
      </w:r>
      <w:r>
        <w:rPr>
          <w:rFonts w:ascii="Century Schoolbook" w:hAnsi="Century Schoolbook"/>
          <w:bCs/>
        </w:rPr>
        <w:t xml:space="preserve">the trial court’s order is mistaken as to </w:t>
      </w:r>
      <w:r w:rsidR="003721A3">
        <w:rPr>
          <w:rFonts w:ascii="Century Schoolbook" w:hAnsi="Century Schoolbook"/>
          <w:bCs/>
        </w:rPr>
        <w:t xml:space="preserve">the </w:t>
      </w:r>
      <w:r>
        <w:rPr>
          <w:rFonts w:ascii="Century Schoolbook" w:hAnsi="Century Schoolbook"/>
          <w:bCs/>
        </w:rPr>
        <w:t xml:space="preserve">second ground because </w:t>
      </w:r>
      <w:r w:rsidR="00D4511F">
        <w:rPr>
          <w:rFonts w:ascii="Century Schoolbook" w:hAnsi="Century Schoolbook"/>
          <w:bCs/>
        </w:rPr>
        <w:t xml:space="preserve">respondent’s public agency status does not shield it from </w:t>
      </w:r>
      <w:r>
        <w:rPr>
          <w:rFonts w:ascii="Century Schoolbook" w:hAnsi="Century Schoolbook"/>
          <w:bCs/>
        </w:rPr>
        <w:t>liability for at least five of the statutory violations alleged in the first amended complaint.</w:t>
      </w:r>
      <w:r w:rsidR="00665419">
        <w:rPr>
          <w:rFonts w:ascii="Century Schoolbook" w:hAnsi="Century Schoolbook"/>
          <w:bCs/>
        </w:rPr>
        <w:t xml:space="preserve"> </w:t>
      </w:r>
      <w:r>
        <w:rPr>
          <w:rFonts w:ascii="Century Schoolbook" w:hAnsi="Century Schoolbook"/>
          <w:bCs/>
        </w:rPr>
        <w:t xml:space="preserve"> T</w:t>
      </w:r>
      <w:r w:rsidR="0013504F">
        <w:rPr>
          <w:rFonts w:ascii="Century Schoolbook" w:hAnsi="Century Schoolbook"/>
          <w:bCs/>
        </w:rPr>
        <w:t xml:space="preserve">herefore, </w:t>
      </w:r>
      <w:r w:rsidR="00773AF3">
        <w:rPr>
          <w:rFonts w:ascii="Century Schoolbook" w:hAnsi="Century Schoolbook"/>
          <w:bCs/>
        </w:rPr>
        <w:t>only the</w:t>
      </w:r>
      <w:r w:rsidR="00665419">
        <w:rPr>
          <w:rFonts w:ascii="Century Schoolbook" w:hAnsi="Century Schoolbook"/>
          <w:bCs/>
        </w:rPr>
        <w:t xml:space="preserve"> trial court’s</w:t>
      </w:r>
      <w:r w:rsidR="00773AF3">
        <w:rPr>
          <w:rFonts w:ascii="Century Schoolbook" w:hAnsi="Century Schoolbook"/>
          <w:bCs/>
        </w:rPr>
        <w:t xml:space="preserve"> first and third ground</w:t>
      </w:r>
      <w:r w:rsidR="00CE5EF6">
        <w:rPr>
          <w:rFonts w:ascii="Century Schoolbook" w:hAnsi="Century Schoolbook"/>
          <w:bCs/>
        </w:rPr>
        <w:t>s</w:t>
      </w:r>
      <w:r w:rsidR="00773AF3">
        <w:rPr>
          <w:rFonts w:ascii="Century Schoolbook" w:hAnsi="Century Schoolbook"/>
          <w:bCs/>
        </w:rPr>
        <w:t xml:space="preserve"> </w:t>
      </w:r>
      <w:r w:rsidR="00665419">
        <w:rPr>
          <w:rFonts w:ascii="Century Schoolbook" w:hAnsi="Century Schoolbook"/>
          <w:bCs/>
        </w:rPr>
        <w:t xml:space="preserve">remain </w:t>
      </w:r>
      <w:r w:rsidR="00773AF3">
        <w:rPr>
          <w:rFonts w:ascii="Century Schoolbook" w:hAnsi="Century Schoolbook"/>
          <w:bCs/>
        </w:rPr>
        <w:t>to be addressed</w:t>
      </w:r>
      <w:r w:rsidR="00B43B46">
        <w:rPr>
          <w:rFonts w:ascii="Century Schoolbook" w:hAnsi="Century Schoolbook"/>
          <w:bCs/>
        </w:rPr>
        <w:t xml:space="preserve"> below</w:t>
      </w:r>
      <w:r w:rsidR="0010425D">
        <w:rPr>
          <w:rFonts w:ascii="Century Schoolbook" w:hAnsi="Century Schoolbook"/>
          <w:bCs/>
        </w:rPr>
        <w:t>.</w:t>
      </w:r>
    </w:p>
    <w:p w:rsidR="0013504F" w:rsidRPr="0077220B" w:rsidP="0077220B" w14:paraId="6A8430B5" w14:textId="10C97B64">
      <w:pPr>
        <w:spacing w:line="360" w:lineRule="auto"/>
        <w:rPr>
          <w:rFonts w:ascii="Century Schoolbook" w:hAnsi="Century Schoolbook"/>
          <w:b/>
        </w:rPr>
      </w:pPr>
      <w:r>
        <w:rPr>
          <w:rFonts w:ascii="Century Schoolbook" w:hAnsi="Century Schoolbook"/>
          <w:b/>
        </w:rPr>
        <w:tab/>
        <w:t xml:space="preserve">a.  </w:t>
      </w:r>
      <w:r w:rsidRPr="0077220B" w:rsidR="001E19F5">
        <w:rPr>
          <w:rFonts w:ascii="Century Schoolbook" w:hAnsi="Century Schoolbook"/>
          <w:b/>
        </w:rPr>
        <w:t>Section 18</w:t>
      </w:r>
    </w:p>
    <w:p w:rsidR="001A4025" w:rsidP="001A4025" w14:paraId="7AD060B5" w14:textId="368D8359">
      <w:pPr>
        <w:spacing w:line="360" w:lineRule="auto"/>
        <w:rPr>
          <w:rFonts w:ascii="Century Schoolbook" w:hAnsi="Century Schoolbook"/>
          <w:bCs/>
        </w:rPr>
      </w:pPr>
      <w:r>
        <w:rPr>
          <w:rFonts w:ascii="Century Schoolbook" w:hAnsi="Century Schoolbook"/>
          <w:bCs/>
        </w:rPr>
        <w:tab/>
        <w:t>“</w:t>
      </w:r>
      <w:r w:rsidRPr="0013504F">
        <w:rPr>
          <w:rFonts w:ascii="Century Schoolbook" w:hAnsi="Century Schoolbook"/>
          <w:bCs/>
        </w:rPr>
        <w:t xml:space="preserve">In 2003, citing inadequate funding for enforcement of labor laws, the Legislature enacted PAGA to </w:t>
      </w:r>
      <w:r>
        <w:rPr>
          <w:rFonts w:ascii="Century Schoolbook" w:hAnsi="Century Schoolbook"/>
          <w:bCs/>
        </w:rPr>
        <w:t>‘</w:t>
      </w:r>
      <w:r w:rsidRPr="0013504F">
        <w:rPr>
          <w:rFonts w:ascii="Century Schoolbook" w:hAnsi="Century Schoolbook"/>
          <w:bCs/>
        </w:rPr>
        <w:t>authorize[ ] an employee to bring an action for civil penalties on behalf of the state against his or her employer for Labor Code violations committed against the employee and fellow employees, with most of the proceeds of that litigation going to the state.</w:t>
      </w:r>
      <w:r>
        <w:rPr>
          <w:rFonts w:ascii="Century Schoolbook" w:hAnsi="Century Schoolbook"/>
          <w:bCs/>
        </w:rPr>
        <w:t>’</w:t>
      </w:r>
      <w:r w:rsidRPr="0013504F">
        <w:rPr>
          <w:rFonts w:ascii="Century Schoolbook" w:hAnsi="Century Schoolbook"/>
          <w:bCs/>
        </w:rPr>
        <w:t xml:space="preserve"> (</w:t>
      </w:r>
      <w:r w:rsidRPr="001E19F5">
        <w:rPr>
          <w:rFonts w:ascii="Century Schoolbook" w:hAnsi="Century Schoolbook"/>
          <w:bCs/>
          <w:i/>
          <w:iCs/>
        </w:rPr>
        <w:t>Iskanian v. CLS Transportation Los Angeles, LLC</w:t>
      </w:r>
      <w:r w:rsidRPr="0013504F">
        <w:rPr>
          <w:rFonts w:ascii="Century Schoolbook" w:hAnsi="Century Schoolbook"/>
          <w:bCs/>
        </w:rPr>
        <w:t xml:space="preserve"> (2014) 59 Cal.4</w:t>
      </w:r>
      <w:r w:rsidRPr="0077220B">
        <w:rPr>
          <w:rFonts w:ascii="Century Schoolbook" w:hAnsi="Century Schoolbook"/>
          <w:bCs/>
        </w:rPr>
        <w:t>th</w:t>
      </w:r>
      <w:r w:rsidRPr="0013504F">
        <w:rPr>
          <w:rFonts w:ascii="Century Schoolbook" w:hAnsi="Century Schoolbook"/>
          <w:bCs/>
        </w:rPr>
        <w:t xml:space="preserve"> 348, 360</w:t>
      </w:r>
      <w:r w:rsidR="002E6F80">
        <w:rPr>
          <w:rFonts w:ascii="Century Schoolbook" w:hAnsi="Century Schoolbook"/>
          <w:bCs/>
        </w:rPr>
        <w:t xml:space="preserve"> [abrogated on another ground by </w:t>
      </w:r>
      <w:r w:rsidRPr="00C2698E" w:rsidR="002E6F80">
        <w:rPr>
          <w:rFonts w:ascii="Century Schoolbook" w:hAnsi="Century Schoolbook"/>
          <w:bCs/>
          <w:i/>
          <w:iCs/>
        </w:rPr>
        <w:t>Viking River Cruises, Inc. v. Moriana</w:t>
      </w:r>
      <w:r w:rsidRPr="002E6F80" w:rsidR="002E6F80">
        <w:rPr>
          <w:rFonts w:ascii="Century Schoolbook" w:hAnsi="Century Schoolbook"/>
          <w:bCs/>
        </w:rPr>
        <w:t xml:space="preserve"> (2022) 142 S. Ct. 1906, 1924</w:t>
      </w:r>
      <w:r w:rsidR="002E6F80">
        <w:rPr>
          <w:rFonts w:ascii="Century Schoolbook" w:hAnsi="Century Schoolbook"/>
          <w:bCs/>
        </w:rPr>
        <w:t>]</w:t>
      </w:r>
      <w:r w:rsidRPr="0013504F">
        <w:rPr>
          <w:rFonts w:ascii="Century Schoolbook" w:hAnsi="Century Schoolbook"/>
          <w:bCs/>
        </w:rPr>
        <w:t xml:space="preserve">.) </w:t>
      </w:r>
      <w:r w:rsidR="00871458">
        <w:rPr>
          <w:rFonts w:ascii="Century Schoolbook" w:hAnsi="Century Schoolbook"/>
          <w:bCs/>
        </w:rPr>
        <w:t xml:space="preserve"> </w:t>
      </w:r>
      <w:r w:rsidRPr="0013504F">
        <w:rPr>
          <w:rFonts w:ascii="Century Schoolbook" w:hAnsi="Century Schoolbook"/>
          <w:bCs/>
        </w:rPr>
        <w:t xml:space="preserve">The statute was intended </w:t>
      </w:r>
      <w:r>
        <w:rPr>
          <w:rFonts w:ascii="Century Schoolbook" w:hAnsi="Century Schoolbook"/>
          <w:bCs/>
        </w:rPr>
        <w:t>‘</w:t>
      </w:r>
      <w:r w:rsidR="00871458">
        <w:rPr>
          <w:rFonts w:ascii="Century Schoolbook" w:hAnsi="Century Schoolbook"/>
          <w:bCs/>
        </w:rPr>
        <w:t> </w:t>
      </w:r>
      <w:r>
        <w:rPr>
          <w:rFonts w:ascii="Century Schoolbook" w:hAnsi="Century Schoolbook"/>
          <w:bCs/>
        </w:rPr>
        <w:t>“</w:t>
      </w:r>
      <w:r w:rsidRPr="0013504F">
        <w:rPr>
          <w:rFonts w:ascii="Century Schoolbook" w:hAnsi="Century Schoolbook"/>
          <w:bCs/>
        </w:rPr>
        <w:t>to punish and deter employer practices that violate the rights of numerous employees under the Labor Code.</w:t>
      </w:r>
      <w:r>
        <w:rPr>
          <w:rFonts w:ascii="Century Schoolbook" w:hAnsi="Century Schoolbook"/>
          <w:bCs/>
        </w:rPr>
        <w:t>”</w:t>
      </w:r>
      <w:r w:rsidR="00871458">
        <w:rPr>
          <w:rFonts w:ascii="Century Schoolbook" w:hAnsi="Century Schoolbook"/>
          <w:bCs/>
        </w:rPr>
        <w:t> </w:t>
      </w:r>
      <w:r>
        <w:rPr>
          <w:rFonts w:ascii="Century Schoolbook" w:hAnsi="Century Schoolbook"/>
          <w:bCs/>
        </w:rPr>
        <w:t>’</w:t>
      </w:r>
      <w:r w:rsidR="00871458">
        <w:rPr>
          <w:rFonts w:ascii="Century Schoolbook" w:hAnsi="Century Schoolbook"/>
          <w:bCs/>
        </w:rPr>
        <w:t> </w:t>
      </w:r>
      <w:r w:rsidR="003A26CB">
        <w:rPr>
          <w:rFonts w:ascii="Century Schoolbook" w:hAnsi="Century Schoolbook"/>
          <w:bCs/>
        </w:rPr>
        <w:t>.</w:t>
      </w:r>
      <w:r w:rsidR="00871458">
        <w:rPr>
          <w:rFonts w:ascii="Century Schoolbook" w:hAnsi="Century Schoolbook"/>
          <w:bCs/>
        </w:rPr>
        <w:t> </w:t>
      </w:r>
      <w:r w:rsidR="003A26CB">
        <w:rPr>
          <w:rFonts w:ascii="Century Schoolbook" w:hAnsi="Century Schoolbook"/>
          <w:bCs/>
        </w:rPr>
        <w:t>.</w:t>
      </w:r>
      <w:r w:rsidR="00871458">
        <w:rPr>
          <w:rFonts w:ascii="Century Schoolbook" w:hAnsi="Century Schoolbook"/>
          <w:bCs/>
        </w:rPr>
        <w:t> </w:t>
      </w:r>
      <w:r w:rsidR="003A26CB">
        <w:rPr>
          <w:rFonts w:ascii="Century Schoolbook" w:hAnsi="Century Schoolbook"/>
          <w:bCs/>
        </w:rPr>
        <w:t>.</w:t>
      </w:r>
      <w:r w:rsidR="00871458">
        <w:rPr>
          <w:rFonts w:ascii="Century Schoolbook" w:hAnsi="Century Schoolbook"/>
          <w:bCs/>
        </w:rPr>
        <w:t> </w:t>
      </w:r>
      <w:r w:rsidRPr="0013504F">
        <w:rPr>
          <w:rFonts w:ascii="Century Schoolbook" w:hAnsi="Century Schoolbook"/>
          <w:bCs/>
        </w:rPr>
        <w:t>(</w:t>
      </w:r>
      <w:r w:rsidR="00BF5B8C">
        <w:rPr>
          <w:rFonts w:ascii="Century Schoolbook" w:hAnsi="Century Schoolbook"/>
          <w:bCs/>
        </w:rPr>
        <w:t>[</w:t>
      </w:r>
      <w:r w:rsidRPr="001E19F5" w:rsidR="003A26CB">
        <w:rPr>
          <w:rFonts w:ascii="Century Schoolbook" w:hAnsi="Century Schoolbook"/>
          <w:bCs/>
          <w:i/>
          <w:iCs/>
        </w:rPr>
        <w:t>Iskanian</w:t>
      </w:r>
      <w:r w:rsidR="003A26CB">
        <w:rPr>
          <w:rFonts w:ascii="Century Schoolbook" w:hAnsi="Century Schoolbook"/>
          <w:bCs/>
          <w:i/>
          <w:iCs/>
        </w:rPr>
        <w:t xml:space="preserve">, </w:t>
      </w:r>
      <w:r w:rsidRPr="0013504F">
        <w:rPr>
          <w:rFonts w:ascii="Century Schoolbook" w:hAnsi="Century Schoolbook"/>
          <w:bCs/>
        </w:rPr>
        <w:t xml:space="preserve">at </w:t>
      </w:r>
      <w:r w:rsidR="003A26CB">
        <w:rPr>
          <w:rFonts w:ascii="Century Schoolbook" w:hAnsi="Century Schoolbook"/>
          <w:bCs/>
        </w:rPr>
        <w:t xml:space="preserve">p. </w:t>
      </w:r>
      <w:r w:rsidRPr="0013504F">
        <w:rPr>
          <w:rFonts w:ascii="Century Schoolbook" w:hAnsi="Century Schoolbook"/>
          <w:bCs/>
        </w:rPr>
        <w:t>3</w:t>
      </w:r>
      <w:r w:rsidR="00BF5B8C">
        <w:rPr>
          <w:rFonts w:ascii="Century Schoolbook" w:hAnsi="Century Schoolbook"/>
          <w:bCs/>
        </w:rPr>
        <w:t>60</w:t>
      </w:r>
      <w:r w:rsidRPr="0013504F">
        <w:rPr>
          <w:rFonts w:ascii="Century Schoolbook" w:hAnsi="Century Schoolbook"/>
          <w:bCs/>
        </w:rPr>
        <w:t>, 173 Cal.Rptr.3d 289, 327 P.3d 129</w:t>
      </w:r>
      <w:r w:rsidR="00BF5B8C">
        <w:rPr>
          <w:rFonts w:ascii="Century Schoolbook" w:hAnsi="Century Schoolbook"/>
          <w:bCs/>
        </w:rPr>
        <w:t>]</w:t>
      </w:r>
      <w:r w:rsidRPr="0013504F">
        <w:rPr>
          <w:rFonts w:ascii="Century Schoolbook" w:hAnsi="Century Schoolbook"/>
          <w:bCs/>
        </w:rPr>
        <w:t>.)</w:t>
      </w:r>
      <w:r>
        <w:rPr>
          <w:rFonts w:ascii="Century Schoolbook" w:hAnsi="Century Schoolbook"/>
          <w:bCs/>
        </w:rPr>
        <w:t>”  (</w:t>
      </w:r>
      <w:r w:rsidRPr="00A97732">
        <w:rPr>
          <w:rFonts w:ascii="Century Schoolbook" w:hAnsi="Century Schoolbook"/>
          <w:bCs/>
          <w:i/>
          <w:iCs/>
        </w:rPr>
        <w:t>Wesson v. Staples the Office Superstore, LLC</w:t>
      </w:r>
      <w:r>
        <w:rPr>
          <w:rFonts w:ascii="Century Schoolbook" w:hAnsi="Century Schoolbook"/>
          <w:bCs/>
        </w:rPr>
        <w:t xml:space="preserve"> (2021)</w:t>
      </w:r>
      <w:r w:rsidRPr="0013504F">
        <w:rPr>
          <w:rFonts w:ascii="Century Schoolbook" w:hAnsi="Century Schoolbook"/>
          <w:bCs/>
        </w:rPr>
        <w:t xml:space="preserve"> 68 Cal.App.5</w:t>
      </w:r>
      <w:r w:rsidRPr="0077220B">
        <w:rPr>
          <w:rFonts w:ascii="Century Schoolbook" w:hAnsi="Century Schoolbook"/>
          <w:bCs/>
        </w:rPr>
        <w:t>th</w:t>
      </w:r>
      <w:r w:rsidRPr="0013504F">
        <w:rPr>
          <w:rFonts w:ascii="Century Schoolbook" w:hAnsi="Century Schoolbook"/>
          <w:bCs/>
        </w:rPr>
        <w:t xml:space="preserve"> 746, 759–</w:t>
      </w:r>
      <w:r w:rsidR="00BF5B8C">
        <w:rPr>
          <w:rFonts w:ascii="Century Schoolbook" w:hAnsi="Century Schoolbook"/>
          <w:bCs/>
        </w:rPr>
        <w:t>7</w:t>
      </w:r>
      <w:r w:rsidRPr="0013504F">
        <w:rPr>
          <w:rFonts w:ascii="Century Schoolbook" w:hAnsi="Century Schoolbook"/>
          <w:bCs/>
        </w:rPr>
        <w:t>60</w:t>
      </w:r>
      <w:r>
        <w:rPr>
          <w:rFonts w:ascii="Century Schoolbook" w:hAnsi="Century Schoolbook"/>
          <w:bCs/>
        </w:rPr>
        <w:t>.</w:t>
      </w:r>
      <w:r w:rsidRPr="0013504F">
        <w:rPr>
          <w:rFonts w:ascii="Century Schoolbook" w:hAnsi="Century Schoolbook"/>
          <w:bCs/>
        </w:rPr>
        <w:t>)</w:t>
      </w:r>
    </w:p>
    <w:p w:rsidR="0060564E" w:rsidRPr="0060564E" w:rsidP="0060564E" w14:paraId="57DE6137" w14:textId="30CB0F21">
      <w:pPr>
        <w:spacing w:line="360" w:lineRule="auto"/>
        <w:rPr>
          <w:rFonts w:ascii="Century Schoolbook" w:hAnsi="Century Schoolbook"/>
          <w:bCs/>
        </w:rPr>
      </w:pPr>
      <w:r>
        <w:rPr>
          <w:rFonts w:ascii="Century Schoolbook" w:hAnsi="Century Schoolbook"/>
          <w:bCs/>
        </w:rPr>
        <w:tab/>
      </w:r>
      <w:r w:rsidR="00581F24">
        <w:rPr>
          <w:rFonts w:ascii="Century Schoolbook" w:hAnsi="Century Schoolbook"/>
          <w:bCs/>
        </w:rPr>
        <w:t xml:space="preserve">To that end, </w:t>
      </w:r>
      <w:r>
        <w:rPr>
          <w:rFonts w:ascii="Century Schoolbook" w:hAnsi="Century Schoolbook"/>
          <w:bCs/>
        </w:rPr>
        <w:t>“</w:t>
      </w:r>
      <w:r w:rsidR="00581F24">
        <w:rPr>
          <w:rFonts w:ascii="Century Schoolbook" w:hAnsi="Century Schoolbook"/>
          <w:bCs/>
        </w:rPr>
        <w:t>[f]</w:t>
      </w:r>
      <w:r w:rsidRPr="0060564E">
        <w:rPr>
          <w:rFonts w:ascii="Century Schoolbook" w:hAnsi="Century Schoolbook"/>
          <w:bCs/>
        </w:rPr>
        <w:t xml:space="preserve">or all provisions of </w:t>
      </w:r>
      <w:r>
        <w:rPr>
          <w:rFonts w:ascii="Century Schoolbook" w:hAnsi="Century Schoolbook"/>
          <w:bCs/>
        </w:rPr>
        <w:t>[the Labor Code]</w:t>
      </w:r>
      <w:r w:rsidRPr="0060564E">
        <w:rPr>
          <w:rFonts w:ascii="Century Schoolbook" w:hAnsi="Century Schoolbook"/>
          <w:bCs/>
        </w:rPr>
        <w:t xml:space="preserve"> </w:t>
      </w:r>
      <w:r w:rsidRPr="004D13B0">
        <w:rPr>
          <w:rFonts w:ascii="Century Schoolbook" w:hAnsi="Century Schoolbook"/>
          <w:bCs/>
          <w:i/>
          <w:iCs/>
        </w:rPr>
        <w:t>except those for which a civil penalty is specifically provided</w:t>
      </w:r>
      <w:r w:rsidRPr="0060564E">
        <w:rPr>
          <w:rFonts w:ascii="Century Schoolbook" w:hAnsi="Century Schoolbook"/>
          <w:bCs/>
        </w:rPr>
        <w:t>,</w:t>
      </w:r>
      <w:r w:rsidR="0010425D">
        <w:rPr>
          <w:rFonts w:ascii="Century Schoolbook" w:hAnsi="Century Schoolbook"/>
          <w:bCs/>
        </w:rPr>
        <w:t>”</w:t>
      </w:r>
      <w:r w:rsidRPr="0060564E">
        <w:rPr>
          <w:rFonts w:ascii="Century Schoolbook" w:hAnsi="Century Schoolbook"/>
          <w:bCs/>
        </w:rPr>
        <w:t xml:space="preserve"> </w:t>
      </w:r>
      <w:r w:rsidR="0010425D">
        <w:rPr>
          <w:rFonts w:ascii="Century Schoolbook" w:hAnsi="Century Schoolbook"/>
          <w:bCs/>
        </w:rPr>
        <w:t xml:space="preserve">section 2699, subdivision (f), </w:t>
      </w:r>
      <w:r w:rsidRPr="0060564E">
        <w:rPr>
          <w:rFonts w:ascii="Century Schoolbook" w:hAnsi="Century Schoolbook"/>
          <w:bCs/>
        </w:rPr>
        <w:t>establishe</w:t>
      </w:r>
      <w:r w:rsidR="0010425D">
        <w:rPr>
          <w:rFonts w:ascii="Century Schoolbook" w:hAnsi="Century Schoolbook"/>
          <w:bCs/>
        </w:rPr>
        <w:t>s</w:t>
      </w:r>
      <w:r w:rsidRPr="0060564E">
        <w:rPr>
          <w:rFonts w:ascii="Century Schoolbook" w:hAnsi="Century Schoolbook"/>
          <w:bCs/>
        </w:rPr>
        <w:t xml:space="preserve"> </w:t>
      </w:r>
      <w:r w:rsidR="0010425D">
        <w:rPr>
          <w:rFonts w:ascii="Century Schoolbook" w:hAnsi="Century Schoolbook"/>
          <w:bCs/>
        </w:rPr>
        <w:t>“</w:t>
      </w:r>
      <w:r w:rsidRPr="0060564E">
        <w:rPr>
          <w:rFonts w:ascii="Century Schoolbook" w:hAnsi="Century Schoolbook"/>
          <w:bCs/>
        </w:rPr>
        <w:t>a civil penalty for a violation of these provisions, as follows:</w:t>
      </w:r>
      <w:r w:rsidR="0010425D">
        <w:rPr>
          <w:rFonts w:ascii="Century Schoolbook" w:hAnsi="Century Schoolbook"/>
          <w:bCs/>
        </w:rPr>
        <w:t xml:space="preserve"> [</w:t>
      </w:r>
      <w:r w:rsidRPr="0010425D" w:rsidR="0010425D">
        <w:rPr>
          <w:rFonts w:ascii="Century Schoolbook" w:hAnsi="Century Schoolbook"/>
          <w:bCs/>
        </w:rPr>
        <w:t>¶</w:t>
      </w:r>
      <w:r w:rsidR="0010425D">
        <w:rPr>
          <w:rFonts w:ascii="Century Schoolbook" w:hAnsi="Century Schoolbook"/>
          <w:bCs/>
        </w:rPr>
        <w:t xml:space="preserve">] </w:t>
      </w:r>
      <w:r w:rsidRPr="0060564E">
        <w:rPr>
          <w:rFonts w:ascii="Century Schoolbook" w:hAnsi="Century Schoolbook"/>
          <w:bCs/>
        </w:rPr>
        <w:t>(1) If, at the time of the alleged violation, the person does not employ one or more employees, the civil penalty is five hundred dollars ($500).</w:t>
      </w:r>
      <w:r w:rsidR="0010425D">
        <w:rPr>
          <w:rFonts w:ascii="Century Schoolbook" w:hAnsi="Century Schoolbook"/>
          <w:bCs/>
        </w:rPr>
        <w:t xml:space="preserve"> [</w:t>
      </w:r>
      <w:r w:rsidRPr="0010425D" w:rsidR="0010425D">
        <w:rPr>
          <w:rFonts w:ascii="Century Schoolbook" w:hAnsi="Century Schoolbook"/>
          <w:bCs/>
        </w:rPr>
        <w:t>¶</w:t>
      </w:r>
      <w:r w:rsidR="0010425D">
        <w:rPr>
          <w:rFonts w:ascii="Century Schoolbook" w:hAnsi="Century Schoolbook"/>
          <w:bCs/>
        </w:rPr>
        <w:t xml:space="preserve">] </w:t>
      </w:r>
      <w:r w:rsidRPr="0060564E">
        <w:rPr>
          <w:rFonts w:ascii="Century Schoolbook" w:hAnsi="Century Schoolbook"/>
          <w:bCs/>
        </w:rPr>
        <w:t>(2) If, at the time of the alleged violation, the person employs one or more employees, the civil penalty is one hundred dollars ($100) for each aggrieved employee per pay period for the initial violation and two hundred dollars ($200) for each aggrieved employee per pay period for each subsequent violation.</w:t>
      </w:r>
      <w:r w:rsidR="0010425D">
        <w:rPr>
          <w:rFonts w:ascii="Century Schoolbook" w:hAnsi="Century Schoolbook"/>
          <w:bCs/>
        </w:rPr>
        <w:t xml:space="preserve"> [</w:t>
      </w:r>
      <w:r w:rsidRPr="0010425D" w:rsidR="0010425D">
        <w:rPr>
          <w:rFonts w:ascii="Century Schoolbook" w:hAnsi="Century Schoolbook"/>
          <w:bCs/>
        </w:rPr>
        <w:t>¶</w:t>
      </w:r>
      <w:r w:rsidR="0010425D">
        <w:rPr>
          <w:rFonts w:ascii="Century Schoolbook" w:hAnsi="Century Schoolbook"/>
          <w:bCs/>
        </w:rPr>
        <w:t xml:space="preserve">] </w:t>
      </w:r>
    </w:p>
    <w:p w:rsidR="001E19F5" w:rsidP="0010425D" w14:paraId="5E55DBA2" w14:textId="5EDC65F9">
      <w:pPr>
        <w:spacing w:line="360" w:lineRule="auto"/>
        <w:rPr>
          <w:rFonts w:ascii="Century Schoolbook" w:hAnsi="Century Schoolbook"/>
          <w:bCs/>
        </w:rPr>
      </w:pPr>
      <w:r w:rsidRPr="0060564E">
        <w:rPr>
          <w:rFonts w:ascii="Century Schoolbook" w:hAnsi="Century Schoolbook"/>
          <w:bCs/>
        </w:rPr>
        <w:t>(3) If the alleged violation is a failure to act by the Labor and Workplace Development Agency, or any of its departments, divisions, commissions, boards, agencies, or employees, there shall be no civil penalty.</w:t>
      </w:r>
      <w:r w:rsidR="0010425D">
        <w:rPr>
          <w:rFonts w:ascii="Century Schoolbook" w:hAnsi="Century Schoolbook"/>
          <w:bCs/>
        </w:rPr>
        <w:t xml:space="preserve">”  </w:t>
      </w:r>
      <w:r w:rsidR="00327E0F">
        <w:rPr>
          <w:rFonts w:ascii="Century Schoolbook" w:hAnsi="Century Schoolbook"/>
          <w:bCs/>
        </w:rPr>
        <w:t>(</w:t>
      </w:r>
      <w:r w:rsidRPr="0060564E" w:rsidR="00BF5B8C">
        <w:rPr>
          <w:rFonts w:ascii="Century Schoolbook" w:hAnsi="Century Schoolbook"/>
          <w:bCs/>
        </w:rPr>
        <w:t>§ 2699</w:t>
      </w:r>
      <w:r w:rsidR="00BF5B8C">
        <w:rPr>
          <w:rFonts w:ascii="Century Schoolbook" w:hAnsi="Century Schoolbook"/>
          <w:bCs/>
        </w:rPr>
        <w:t>, subd. (f), i</w:t>
      </w:r>
      <w:r w:rsidR="00327E0F">
        <w:rPr>
          <w:rFonts w:ascii="Century Schoolbook" w:hAnsi="Century Schoolbook"/>
          <w:bCs/>
        </w:rPr>
        <w:t xml:space="preserve">talics added.)  </w:t>
      </w:r>
      <w:r w:rsidR="0010425D">
        <w:rPr>
          <w:rFonts w:ascii="Century Schoolbook" w:hAnsi="Century Schoolbook"/>
          <w:bCs/>
        </w:rPr>
        <w:t>“</w:t>
      </w:r>
      <w:r w:rsidRPr="0010425D" w:rsidR="0010425D">
        <w:rPr>
          <w:rFonts w:ascii="Century Schoolbook" w:hAnsi="Century Schoolbook"/>
          <w:bCs/>
        </w:rPr>
        <w:t xml:space="preserve">For purposes of this part, </w:t>
      </w:r>
      <w:r w:rsidR="0010425D">
        <w:rPr>
          <w:rFonts w:ascii="Century Schoolbook" w:hAnsi="Century Schoolbook"/>
          <w:bCs/>
        </w:rPr>
        <w:t>‘</w:t>
      </w:r>
      <w:r w:rsidRPr="0010425D" w:rsidR="0010425D">
        <w:rPr>
          <w:rFonts w:ascii="Century Schoolbook" w:hAnsi="Century Schoolbook"/>
          <w:bCs/>
        </w:rPr>
        <w:t>person</w:t>
      </w:r>
      <w:r w:rsidR="0010425D">
        <w:rPr>
          <w:rFonts w:ascii="Century Schoolbook" w:hAnsi="Century Schoolbook"/>
          <w:bCs/>
        </w:rPr>
        <w:t>’</w:t>
      </w:r>
      <w:r w:rsidRPr="0010425D" w:rsidR="0010425D">
        <w:rPr>
          <w:rFonts w:ascii="Century Schoolbook" w:hAnsi="Century Schoolbook"/>
          <w:bCs/>
        </w:rPr>
        <w:t xml:space="preserve"> has the same meaning as defined in Section 18.</w:t>
      </w:r>
      <w:r w:rsidR="0010425D">
        <w:rPr>
          <w:rFonts w:ascii="Century Schoolbook" w:hAnsi="Century Schoolbook"/>
          <w:bCs/>
        </w:rPr>
        <w:t>”  (</w:t>
      </w:r>
      <w:r w:rsidRPr="00505E8B" w:rsidR="00BF5B8C">
        <w:rPr>
          <w:rFonts w:ascii="Century Schoolbook" w:hAnsi="Century Schoolbook"/>
          <w:bCs/>
          <w:i/>
          <w:iCs/>
        </w:rPr>
        <w:t>Id</w:t>
      </w:r>
      <w:r w:rsidR="00BF5B8C">
        <w:rPr>
          <w:rFonts w:ascii="Century Schoolbook" w:hAnsi="Century Schoolbook"/>
          <w:bCs/>
        </w:rPr>
        <w:t>.</w:t>
      </w:r>
      <w:r w:rsidR="0010425D">
        <w:rPr>
          <w:rFonts w:ascii="Century Schoolbook" w:hAnsi="Century Schoolbook"/>
          <w:bCs/>
        </w:rPr>
        <w:t>, subd. (b).)</w:t>
      </w:r>
      <w:r>
        <w:rPr>
          <w:rFonts w:ascii="Century Schoolbook" w:hAnsi="Century Schoolbook"/>
          <w:bCs/>
        </w:rPr>
        <w:t xml:space="preserve">  </w:t>
      </w:r>
    </w:p>
    <w:p w:rsidR="00581F24" w:rsidP="00513C00" w14:paraId="3C787D6E" w14:textId="24EB1ED8">
      <w:pPr>
        <w:spacing w:line="360" w:lineRule="auto"/>
        <w:rPr>
          <w:rFonts w:ascii="Century Schoolbook" w:hAnsi="Century Schoolbook"/>
          <w:bCs/>
        </w:rPr>
      </w:pPr>
      <w:r>
        <w:rPr>
          <w:rFonts w:ascii="Century Schoolbook" w:hAnsi="Century Schoolbook"/>
          <w:bCs/>
        </w:rPr>
        <w:tab/>
      </w:r>
      <w:r w:rsidR="00513C00">
        <w:rPr>
          <w:rFonts w:ascii="Century Schoolbook" w:hAnsi="Century Schoolbook"/>
          <w:bCs/>
        </w:rPr>
        <w:t>Under section 18, a</w:t>
      </w:r>
      <w:r w:rsidRPr="00513C00" w:rsidR="00513C00">
        <w:rPr>
          <w:rFonts w:ascii="Century Schoolbook" w:hAnsi="Century Schoolbook"/>
          <w:bCs/>
        </w:rPr>
        <w:t xml:space="preserve"> “person” </w:t>
      </w:r>
      <w:r w:rsidR="00513C00">
        <w:rPr>
          <w:rFonts w:ascii="Century Schoolbook" w:hAnsi="Century Schoolbook"/>
          <w:bCs/>
        </w:rPr>
        <w:t>i</w:t>
      </w:r>
      <w:r w:rsidRPr="00513C00" w:rsidR="00513C00">
        <w:rPr>
          <w:rFonts w:ascii="Century Schoolbook" w:hAnsi="Century Schoolbook"/>
          <w:bCs/>
        </w:rPr>
        <w:t>s “any person, association, organization, partnership, business trust, limited liability company, or corporation.”</w:t>
      </w:r>
      <w:r w:rsidR="00513C00">
        <w:rPr>
          <w:rFonts w:ascii="Century Schoolbook" w:hAnsi="Century Schoolbook"/>
          <w:bCs/>
        </w:rPr>
        <w:t xml:space="preserve">  Where a defendant is a “public entity,” it “does not fit this definition of person.”  (</w:t>
      </w:r>
      <w:r w:rsidRPr="00513C00" w:rsidR="00513C00">
        <w:rPr>
          <w:rFonts w:ascii="Century Schoolbook" w:hAnsi="Century Schoolbook"/>
          <w:bCs/>
          <w:i/>
          <w:iCs/>
        </w:rPr>
        <w:t>Sargent v. Board of Trustees of California State Univ.</w:t>
      </w:r>
      <w:r w:rsidR="00513C00">
        <w:rPr>
          <w:rFonts w:ascii="Century Schoolbook" w:hAnsi="Century Schoolbook"/>
          <w:bCs/>
        </w:rPr>
        <w:t xml:space="preserve"> (2021)</w:t>
      </w:r>
      <w:r w:rsidRPr="00513C00" w:rsidR="00513C00">
        <w:rPr>
          <w:rFonts w:ascii="Century Schoolbook" w:hAnsi="Century Schoolbook"/>
          <w:bCs/>
        </w:rPr>
        <w:t xml:space="preserve"> 61 Cal.App.5</w:t>
      </w:r>
      <w:r w:rsidRPr="0077220B" w:rsidR="00513C00">
        <w:rPr>
          <w:rFonts w:ascii="Century Schoolbook" w:hAnsi="Century Schoolbook"/>
          <w:bCs/>
        </w:rPr>
        <w:t>th</w:t>
      </w:r>
      <w:r w:rsidRPr="00513C00" w:rsidR="00513C00">
        <w:rPr>
          <w:rFonts w:ascii="Century Schoolbook" w:hAnsi="Century Schoolbook"/>
          <w:bCs/>
        </w:rPr>
        <w:t xml:space="preserve"> 658, 672</w:t>
      </w:r>
      <w:r w:rsidR="00513C00">
        <w:rPr>
          <w:rFonts w:ascii="Century Schoolbook" w:hAnsi="Century Schoolbook"/>
          <w:bCs/>
        </w:rPr>
        <w:t>.</w:t>
      </w:r>
      <w:r w:rsidRPr="00513C00" w:rsidR="00513C00">
        <w:rPr>
          <w:rFonts w:ascii="Century Schoolbook" w:hAnsi="Century Schoolbook"/>
          <w:bCs/>
        </w:rPr>
        <w:t>)</w:t>
      </w:r>
      <w:r w:rsidR="00513C00">
        <w:rPr>
          <w:rFonts w:ascii="Century Schoolbook" w:hAnsi="Century Schoolbook"/>
          <w:bCs/>
        </w:rPr>
        <w:t xml:space="preserve">  Here, as discussed above, respondent is a public entity of some sort and therefore is not a “person” for purposes of PAGA.  However, PAGA’s “person” requirement is limited to statutory violations subject to the default penalties </w:t>
      </w:r>
      <w:r>
        <w:rPr>
          <w:rFonts w:ascii="Century Schoolbook" w:hAnsi="Century Schoolbook"/>
          <w:bCs/>
        </w:rPr>
        <w:t xml:space="preserve">set forth above in </w:t>
      </w:r>
      <w:r w:rsidR="00513C00">
        <w:rPr>
          <w:rFonts w:ascii="Century Schoolbook" w:hAnsi="Century Schoolbook"/>
          <w:bCs/>
        </w:rPr>
        <w:t xml:space="preserve">section </w:t>
      </w:r>
      <w:r w:rsidRPr="00581F24" w:rsidR="00513C00">
        <w:rPr>
          <w:rFonts w:ascii="Century Schoolbook" w:hAnsi="Century Schoolbook"/>
          <w:bCs/>
        </w:rPr>
        <w:t>2699, subdivision (f)</w:t>
      </w:r>
      <w:r w:rsidR="00513C00">
        <w:rPr>
          <w:rFonts w:ascii="Century Schoolbook" w:hAnsi="Century Schoolbook"/>
          <w:bCs/>
        </w:rPr>
        <w:t xml:space="preserve">; it does </w:t>
      </w:r>
      <w:r w:rsidRPr="00327E0F" w:rsidR="00513C00">
        <w:rPr>
          <w:rFonts w:ascii="Century Schoolbook" w:hAnsi="Century Schoolbook"/>
          <w:bCs/>
          <w:i/>
          <w:iCs/>
        </w:rPr>
        <w:t>not</w:t>
      </w:r>
      <w:r w:rsidR="00513C00">
        <w:rPr>
          <w:rFonts w:ascii="Century Schoolbook" w:hAnsi="Century Schoolbook"/>
          <w:bCs/>
        </w:rPr>
        <w:t xml:space="preserve"> apply to those statutory violations</w:t>
      </w:r>
      <w:r w:rsidR="00D83047">
        <w:rPr>
          <w:rFonts w:ascii="Century Schoolbook" w:hAnsi="Century Schoolbook"/>
          <w:bCs/>
        </w:rPr>
        <w:t xml:space="preserve"> “</w:t>
      </w:r>
      <w:r w:rsidRPr="00D83047" w:rsidR="00D83047">
        <w:rPr>
          <w:rFonts w:ascii="Century Schoolbook" w:hAnsi="Century Schoolbook"/>
          <w:bCs/>
        </w:rPr>
        <w:t>for which a civil penalty is specifically provided</w:t>
      </w:r>
      <w:r w:rsidR="00D83047">
        <w:rPr>
          <w:rFonts w:ascii="Century Schoolbook" w:hAnsi="Century Schoolbook"/>
          <w:bCs/>
        </w:rPr>
        <w:t>.”</w:t>
      </w:r>
    </w:p>
    <w:p w:rsidR="00D83047" w:rsidP="00513C00" w14:paraId="1853DE1C" w14:textId="46EE2C37">
      <w:pPr>
        <w:spacing w:line="360" w:lineRule="auto"/>
        <w:rPr>
          <w:rFonts w:ascii="Century Schoolbook" w:hAnsi="Century Schoolbook"/>
          <w:bCs/>
        </w:rPr>
      </w:pPr>
      <w:r>
        <w:rPr>
          <w:rFonts w:ascii="Century Schoolbook" w:hAnsi="Century Schoolbook"/>
          <w:bCs/>
        </w:rPr>
        <w:tab/>
        <w:t>Here, a civil penalty is specifically provided for</w:t>
      </w:r>
      <w:r w:rsidR="00EC3964">
        <w:rPr>
          <w:rFonts w:ascii="Century Schoolbook" w:hAnsi="Century Schoolbook"/>
          <w:bCs/>
        </w:rPr>
        <w:t xml:space="preserve"> by</w:t>
      </w:r>
      <w:r>
        <w:rPr>
          <w:rFonts w:ascii="Century Schoolbook" w:hAnsi="Century Schoolbook"/>
          <w:bCs/>
        </w:rPr>
        <w:t xml:space="preserve"> at least t</w:t>
      </w:r>
      <w:r w:rsidR="00EC3964">
        <w:rPr>
          <w:rFonts w:ascii="Century Schoolbook" w:hAnsi="Century Schoolbook"/>
          <w:bCs/>
        </w:rPr>
        <w:t>wo</w:t>
      </w:r>
      <w:r>
        <w:rPr>
          <w:rFonts w:ascii="Century Schoolbook" w:hAnsi="Century Schoolbook"/>
          <w:bCs/>
        </w:rPr>
        <w:t xml:space="preserve"> of the statutes underlying appellants’ class action claims.  </w:t>
      </w:r>
      <w:r w:rsidR="00484151">
        <w:rPr>
          <w:rFonts w:ascii="Century Schoolbook" w:hAnsi="Century Schoolbook"/>
          <w:bCs/>
        </w:rPr>
        <w:t>S</w:t>
      </w:r>
      <w:r>
        <w:rPr>
          <w:rFonts w:ascii="Century Schoolbook" w:hAnsi="Century Schoolbook"/>
          <w:bCs/>
        </w:rPr>
        <w:t>ection 210</w:t>
      </w:r>
      <w:r w:rsidR="00484151">
        <w:rPr>
          <w:rFonts w:ascii="Century Schoolbook" w:hAnsi="Century Schoolbook"/>
          <w:bCs/>
        </w:rPr>
        <w:t>, subdivision (a)(1), for example</w:t>
      </w:r>
      <w:r>
        <w:rPr>
          <w:rFonts w:ascii="Century Schoolbook" w:hAnsi="Century Schoolbook"/>
          <w:bCs/>
        </w:rPr>
        <w:t xml:space="preserve"> prescribes</w:t>
      </w:r>
      <w:r w:rsidR="00484151">
        <w:rPr>
          <w:rFonts w:ascii="Century Schoolbook" w:hAnsi="Century Schoolbook"/>
          <w:bCs/>
        </w:rPr>
        <w:t xml:space="preserve"> “[f]or any initial violation,”</w:t>
      </w:r>
      <w:r>
        <w:rPr>
          <w:rFonts w:ascii="Century Schoolbook" w:hAnsi="Century Schoolbook"/>
          <w:bCs/>
        </w:rPr>
        <w:t xml:space="preserve"> a civil penalty of </w:t>
      </w:r>
      <w:r w:rsidR="00BF5B8C">
        <w:rPr>
          <w:rFonts w:ascii="Century Schoolbook" w:hAnsi="Century Schoolbook"/>
          <w:bCs/>
        </w:rPr>
        <w:t>“</w:t>
      </w:r>
      <w:r w:rsidR="00484151">
        <w:rPr>
          <w:rFonts w:ascii="Century Schoolbook" w:hAnsi="Century Schoolbook"/>
          <w:bCs/>
        </w:rPr>
        <w:t>one hundred dollars (</w:t>
      </w:r>
      <w:r>
        <w:rPr>
          <w:rFonts w:ascii="Century Schoolbook" w:hAnsi="Century Schoolbook"/>
          <w:bCs/>
        </w:rPr>
        <w:t>$100</w:t>
      </w:r>
      <w:r w:rsidR="00484151">
        <w:rPr>
          <w:rFonts w:ascii="Century Schoolbook" w:hAnsi="Century Schoolbook"/>
          <w:bCs/>
        </w:rPr>
        <w:t>) for each failure to pay each employee.”</w:t>
      </w:r>
      <w:r>
        <w:rPr>
          <w:rFonts w:ascii="Century Schoolbook" w:hAnsi="Century Schoolbook"/>
          <w:bCs/>
        </w:rPr>
        <w:t xml:space="preserve">  </w:t>
      </w:r>
      <w:r w:rsidR="00484151">
        <w:rPr>
          <w:rFonts w:ascii="Century Schoolbook" w:hAnsi="Century Schoolbook"/>
          <w:bCs/>
        </w:rPr>
        <w:t xml:space="preserve">Section 225.5, subdivision (a), is nearly identical in this respect, establishing “[f]or any initial violation” a $100 civil penalty “for each failure to pay each employee.”  </w:t>
      </w:r>
      <w:r w:rsidR="00EC3964">
        <w:rPr>
          <w:rFonts w:ascii="Century Schoolbook" w:hAnsi="Century Schoolbook"/>
          <w:bCs/>
        </w:rPr>
        <w:t>Notwithstanding section 18, then, a PAGA claim would lie for at least two of the statutory violations alleged in the first amended complaint.</w:t>
      </w:r>
      <w:r>
        <w:rPr>
          <w:rStyle w:val="FootnoteReference"/>
          <w:rFonts w:ascii="Century Schoolbook" w:hAnsi="Century Schoolbook"/>
          <w:bCs/>
        </w:rPr>
        <w:footnoteReference w:id="10"/>
      </w:r>
      <w:r w:rsidR="00750C95">
        <w:rPr>
          <w:rFonts w:ascii="Century Schoolbook" w:hAnsi="Century Schoolbook"/>
          <w:bCs/>
        </w:rPr>
        <w:t xml:space="preserve">  For that reason, section 18 provides no ground for sustaining the demurrer as to the seventh cause of action.</w:t>
      </w:r>
    </w:p>
    <w:p w:rsidR="00D077DA" w:rsidRPr="00D077DA" w:rsidP="009710C5" w14:paraId="23ECD79E" w14:textId="290157C5">
      <w:pPr>
        <w:keepNext/>
        <w:keepLines/>
        <w:spacing w:line="360" w:lineRule="auto"/>
        <w:rPr>
          <w:rFonts w:ascii="Century Schoolbook" w:hAnsi="Century Schoolbook"/>
          <w:b/>
        </w:rPr>
      </w:pPr>
      <w:r>
        <w:rPr>
          <w:rFonts w:ascii="Century Schoolbook" w:hAnsi="Century Schoolbook"/>
          <w:b/>
        </w:rPr>
        <w:tab/>
      </w:r>
      <w:r w:rsidRPr="00D077DA">
        <w:rPr>
          <w:rFonts w:ascii="Century Schoolbook" w:hAnsi="Century Schoolbook"/>
          <w:b/>
        </w:rPr>
        <w:t xml:space="preserve">b.  </w:t>
      </w:r>
      <w:r w:rsidR="00EA34C8">
        <w:rPr>
          <w:rFonts w:ascii="Century Schoolbook" w:hAnsi="Century Schoolbook"/>
          <w:b/>
        </w:rPr>
        <w:t xml:space="preserve">Government Code </w:t>
      </w:r>
      <w:r w:rsidRPr="00D077DA">
        <w:rPr>
          <w:rFonts w:ascii="Century Schoolbook" w:hAnsi="Century Schoolbook"/>
          <w:b/>
        </w:rPr>
        <w:t>Section 818</w:t>
      </w:r>
    </w:p>
    <w:p w:rsidR="00692889" w:rsidP="009710C5" w14:paraId="2ECBBBD0" w14:textId="18D997F3">
      <w:pPr>
        <w:keepNext/>
        <w:keepLines/>
        <w:spacing w:line="360" w:lineRule="auto"/>
        <w:rPr>
          <w:rFonts w:ascii="Century Schoolbook" w:hAnsi="Century Schoolbook"/>
          <w:bCs/>
        </w:rPr>
      </w:pPr>
      <w:r>
        <w:rPr>
          <w:rFonts w:ascii="Century Schoolbook" w:hAnsi="Century Schoolbook"/>
          <w:bCs/>
        </w:rPr>
        <w:tab/>
        <w:t>Finally, there is the trial court’s citation of Government Code section 818, which provides that “</w:t>
      </w:r>
      <w:r w:rsidRPr="00EC3964">
        <w:rPr>
          <w:rFonts w:ascii="Century Schoolbook" w:hAnsi="Century Schoolbook"/>
          <w:bCs/>
        </w:rPr>
        <w:t xml:space="preserve">a public entity is not liable for </w:t>
      </w:r>
      <w:r>
        <w:rPr>
          <w:rFonts w:ascii="Century Schoolbook" w:hAnsi="Century Schoolbook"/>
          <w:bCs/>
        </w:rPr>
        <w:t>. . .</w:t>
      </w:r>
      <w:r w:rsidRPr="00EC3964">
        <w:rPr>
          <w:rFonts w:ascii="Century Schoolbook" w:hAnsi="Century Schoolbook"/>
          <w:bCs/>
        </w:rPr>
        <w:t xml:space="preserve"> damages imposed primarily for the sake of example and by way of punishing the defendant.</w:t>
      </w:r>
      <w:r>
        <w:rPr>
          <w:rFonts w:ascii="Century Schoolbook" w:hAnsi="Century Schoolbook"/>
          <w:bCs/>
        </w:rPr>
        <w:t xml:space="preserve">”  </w:t>
      </w:r>
      <w:r w:rsidR="009E6189">
        <w:rPr>
          <w:rFonts w:ascii="Century Schoolbook" w:hAnsi="Century Schoolbook"/>
          <w:bCs/>
        </w:rPr>
        <w:t xml:space="preserve">As appellant rightly notes, however, PAGA penalties are not punitive damages.  </w:t>
      </w:r>
      <w:r w:rsidR="000C6FFA">
        <w:rPr>
          <w:rFonts w:ascii="Century Schoolbook" w:hAnsi="Century Schoolbook"/>
          <w:bCs/>
        </w:rPr>
        <w:t xml:space="preserve">Like the Civil Code section 52 penalties found not to be punitive damages in </w:t>
      </w:r>
      <w:r w:rsidRPr="000C6FFA" w:rsidR="000C6FFA">
        <w:rPr>
          <w:rFonts w:ascii="Century Schoolbook" w:hAnsi="Century Schoolbook"/>
          <w:bCs/>
          <w:i/>
          <w:iCs/>
        </w:rPr>
        <w:t>Los Angeles County Metro. Transportation Auth. v. Superior Court</w:t>
      </w:r>
      <w:r w:rsidR="000C6FFA">
        <w:rPr>
          <w:rFonts w:ascii="Century Schoolbook" w:hAnsi="Century Schoolbook"/>
          <w:bCs/>
        </w:rPr>
        <w:t xml:space="preserve"> (2004)</w:t>
      </w:r>
      <w:r w:rsidRPr="000C6FFA" w:rsidR="000C6FFA">
        <w:rPr>
          <w:rFonts w:ascii="Century Schoolbook" w:hAnsi="Century Schoolbook"/>
          <w:bCs/>
        </w:rPr>
        <w:t xml:space="preserve"> 123 Cal.App.4th 261, 271,</w:t>
      </w:r>
      <w:r w:rsidR="000C6FFA">
        <w:rPr>
          <w:rFonts w:ascii="Century Schoolbook" w:hAnsi="Century Schoolbook"/>
          <w:bCs/>
        </w:rPr>
        <w:t xml:space="preserve"> PAGA penalties provide an “</w:t>
      </w:r>
      <w:r w:rsidRPr="000C6FFA" w:rsidR="000C6FFA">
        <w:rPr>
          <w:rFonts w:ascii="Century Schoolbook" w:hAnsi="Century Schoolbook"/>
          <w:bCs/>
        </w:rPr>
        <w:t>economic incentive</w:t>
      </w:r>
      <w:r w:rsidR="000C6FFA">
        <w:rPr>
          <w:rFonts w:ascii="Century Schoolbook" w:hAnsi="Century Schoolbook"/>
          <w:bCs/>
        </w:rPr>
        <w:t>”</w:t>
      </w:r>
      <w:r w:rsidRPr="000C6FFA" w:rsidR="000C6FFA">
        <w:rPr>
          <w:rFonts w:ascii="Century Schoolbook" w:hAnsi="Century Schoolbook"/>
          <w:bCs/>
        </w:rPr>
        <w:t xml:space="preserve"> </w:t>
      </w:r>
      <w:r w:rsidR="000C6FFA">
        <w:rPr>
          <w:rFonts w:ascii="Century Schoolbook" w:hAnsi="Century Schoolbook"/>
          <w:bCs/>
        </w:rPr>
        <w:t>and “</w:t>
      </w:r>
      <w:r w:rsidRPr="000C6FFA" w:rsidR="000C6FFA">
        <w:rPr>
          <w:rFonts w:ascii="Century Schoolbook" w:hAnsi="Century Schoolbook"/>
          <w:bCs/>
        </w:rPr>
        <w:t>the means to retain counsel to pursue perpetrators under the statute</w:t>
      </w:r>
      <w:r w:rsidR="000C6FFA">
        <w:rPr>
          <w:rFonts w:ascii="Century Schoolbook" w:hAnsi="Century Schoolbook"/>
          <w:bCs/>
        </w:rPr>
        <w:t>.”</w:t>
      </w:r>
      <w:r w:rsidR="002D14ED">
        <w:rPr>
          <w:rFonts w:ascii="Century Schoolbook" w:hAnsi="Century Schoolbook"/>
          <w:bCs/>
        </w:rPr>
        <w:t xml:space="preserve">  More generally, the “</w:t>
      </w:r>
      <w:r w:rsidRPr="002D14ED" w:rsidR="002D14ED">
        <w:rPr>
          <w:rFonts w:ascii="Century Schoolbook" w:hAnsi="Century Schoolbook"/>
          <w:bCs/>
        </w:rPr>
        <w:t>primary purpose</w:t>
      </w:r>
      <w:r w:rsidR="002D14ED">
        <w:rPr>
          <w:rFonts w:ascii="Century Schoolbook" w:hAnsi="Century Schoolbook"/>
          <w:bCs/>
        </w:rPr>
        <w:t>” of civil penalties</w:t>
      </w:r>
      <w:r w:rsidRPr="002D14ED" w:rsidR="002D14ED">
        <w:rPr>
          <w:rFonts w:ascii="Century Schoolbook" w:hAnsi="Century Schoolbook"/>
          <w:bCs/>
        </w:rPr>
        <w:t xml:space="preserve"> </w:t>
      </w:r>
      <w:r w:rsidR="002D14ED">
        <w:rPr>
          <w:rFonts w:ascii="Century Schoolbook" w:hAnsi="Century Schoolbook"/>
          <w:bCs/>
        </w:rPr>
        <w:t>“</w:t>
      </w:r>
      <w:r w:rsidRPr="002D14ED" w:rsidR="002D14ED">
        <w:rPr>
          <w:rFonts w:ascii="Century Schoolbook" w:hAnsi="Century Schoolbook"/>
          <w:bCs/>
        </w:rPr>
        <w:t>is to secure obedience to statutes and regulations imposed to assure important public policy objectives.</w:t>
      </w:r>
      <w:r w:rsidR="002D14ED">
        <w:rPr>
          <w:rFonts w:ascii="Century Schoolbook" w:hAnsi="Century Schoolbook"/>
          <w:bCs/>
        </w:rPr>
        <w:t>”  (</w:t>
      </w:r>
      <w:r w:rsidRPr="002D14ED" w:rsidR="002D14ED">
        <w:rPr>
          <w:rFonts w:ascii="Century Schoolbook" w:hAnsi="Century Schoolbook"/>
          <w:bCs/>
          <w:i/>
          <w:iCs/>
        </w:rPr>
        <w:t>Kizer v. County of San Mateo</w:t>
      </w:r>
      <w:r w:rsidR="002D14ED">
        <w:rPr>
          <w:rFonts w:ascii="Century Schoolbook" w:hAnsi="Century Schoolbook"/>
          <w:bCs/>
        </w:rPr>
        <w:t xml:space="preserve"> (1991)</w:t>
      </w:r>
      <w:r w:rsidRPr="002D14ED" w:rsidR="002D14ED">
        <w:rPr>
          <w:rFonts w:ascii="Century Schoolbook" w:hAnsi="Century Schoolbook"/>
          <w:bCs/>
        </w:rPr>
        <w:t xml:space="preserve"> 53 Cal.3d 139, 147–</w:t>
      </w:r>
      <w:r w:rsidR="00BF5B8C">
        <w:rPr>
          <w:rFonts w:ascii="Century Schoolbook" w:hAnsi="Century Schoolbook"/>
          <w:bCs/>
        </w:rPr>
        <w:t>1</w:t>
      </w:r>
      <w:r w:rsidRPr="002D14ED" w:rsidR="002D14ED">
        <w:rPr>
          <w:rFonts w:ascii="Century Schoolbook" w:hAnsi="Century Schoolbook"/>
          <w:bCs/>
        </w:rPr>
        <w:t>48</w:t>
      </w:r>
      <w:r w:rsidR="002D14ED">
        <w:rPr>
          <w:rFonts w:ascii="Century Schoolbook" w:hAnsi="Century Schoolbook"/>
          <w:bCs/>
        </w:rPr>
        <w:t>.</w:t>
      </w:r>
      <w:r w:rsidRPr="002D14ED" w:rsidR="002D14ED">
        <w:rPr>
          <w:rFonts w:ascii="Century Schoolbook" w:hAnsi="Century Schoolbook"/>
          <w:bCs/>
        </w:rPr>
        <w:t>)</w:t>
      </w:r>
      <w:r>
        <w:rPr>
          <w:rFonts w:ascii="Century Schoolbook" w:hAnsi="Century Schoolbook"/>
          <w:bCs/>
        </w:rPr>
        <w:t xml:space="preserve">  A meritorious PAGA claim serves precisely the same purpose because the “PAGA plaintiff acts ‘</w:t>
      </w:r>
      <w:r w:rsidRPr="00BC4C52" w:rsidR="00BC4C52">
        <w:rPr>
          <w:rFonts w:ascii="Century Schoolbook" w:hAnsi="Century Schoolbook"/>
          <w:bCs/>
        </w:rPr>
        <w:t>as the proxy or agent of the state</w:t>
      </w:r>
      <w:r>
        <w:rPr>
          <w:rFonts w:ascii="Century Schoolbook" w:hAnsi="Century Schoolbook"/>
          <w:bCs/>
        </w:rPr>
        <w:t>’</w:t>
      </w:r>
      <w:r w:rsidRPr="00BC4C52" w:rsidR="00BC4C52">
        <w:rPr>
          <w:rFonts w:ascii="Century Schoolbook" w:hAnsi="Century Schoolbook"/>
          <w:bCs/>
        </w:rPr>
        <w:t>s labor law enforcement agencies.</w:t>
      </w:r>
      <w:r>
        <w:rPr>
          <w:rFonts w:ascii="Century Schoolbook" w:hAnsi="Century Schoolbook"/>
          <w:bCs/>
        </w:rPr>
        <w:t>’</w:t>
      </w:r>
      <w:r w:rsidR="00BF5B8C">
        <w:rPr>
          <w:rFonts w:ascii="Century Schoolbook" w:hAnsi="Century Schoolbook"/>
          <w:bCs/>
        </w:rPr>
        <w:t> </w:t>
      </w:r>
      <w:r>
        <w:rPr>
          <w:rFonts w:ascii="Century Schoolbook" w:hAnsi="Century Schoolbook"/>
          <w:bCs/>
        </w:rPr>
        <w:t>”</w:t>
      </w:r>
      <w:r w:rsidRPr="00BC4C52" w:rsidR="00BC4C52">
        <w:rPr>
          <w:rFonts w:ascii="Century Schoolbook" w:hAnsi="Century Schoolbook"/>
          <w:bCs/>
        </w:rPr>
        <w:t xml:space="preserve"> </w:t>
      </w:r>
      <w:r w:rsidR="009710C5">
        <w:rPr>
          <w:rFonts w:ascii="Century Schoolbook" w:hAnsi="Century Schoolbook"/>
          <w:bCs/>
        </w:rPr>
        <w:t xml:space="preserve"> </w:t>
      </w:r>
      <w:r w:rsidRPr="00BC4C52" w:rsidR="00BC4C52">
        <w:rPr>
          <w:rFonts w:ascii="Century Schoolbook" w:hAnsi="Century Schoolbook"/>
          <w:bCs/>
        </w:rPr>
        <w:t>(</w:t>
      </w:r>
      <w:r w:rsidRPr="00692889">
        <w:rPr>
          <w:rFonts w:ascii="Century Schoolbook" w:hAnsi="Century Schoolbook"/>
          <w:bCs/>
          <w:i/>
          <w:iCs/>
        </w:rPr>
        <w:t>Wesson v. Staples the Office Superstore, LLC</w:t>
      </w:r>
      <w:r w:rsidRPr="00BC4C52">
        <w:rPr>
          <w:rFonts w:ascii="Century Schoolbook" w:hAnsi="Century Schoolbook"/>
          <w:bCs/>
        </w:rPr>
        <w:t xml:space="preserve">, </w:t>
      </w:r>
      <w:r w:rsidRPr="00692889">
        <w:rPr>
          <w:rFonts w:ascii="Century Schoolbook" w:hAnsi="Century Schoolbook"/>
          <w:bCs/>
          <w:i/>
          <w:iCs/>
        </w:rPr>
        <w:t>supra</w:t>
      </w:r>
      <w:r>
        <w:rPr>
          <w:rFonts w:ascii="Century Schoolbook" w:hAnsi="Century Schoolbook"/>
          <w:bCs/>
        </w:rPr>
        <w:t xml:space="preserve">, </w:t>
      </w:r>
      <w:r w:rsidRPr="00BC4C52">
        <w:rPr>
          <w:rFonts w:ascii="Century Schoolbook" w:hAnsi="Century Schoolbook"/>
          <w:bCs/>
        </w:rPr>
        <w:t xml:space="preserve">68 Cal.App.5th </w:t>
      </w:r>
      <w:r>
        <w:rPr>
          <w:rFonts w:ascii="Century Schoolbook" w:hAnsi="Century Schoolbook"/>
          <w:bCs/>
        </w:rPr>
        <w:t>at p</w:t>
      </w:r>
      <w:r w:rsidR="00BF5B8C">
        <w:rPr>
          <w:rFonts w:ascii="Century Schoolbook" w:hAnsi="Century Schoolbook"/>
          <w:bCs/>
        </w:rPr>
        <w:t>age</w:t>
      </w:r>
      <w:r>
        <w:rPr>
          <w:rFonts w:ascii="Century Schoolbook" w:hAnsi="Century Schoolbook"/>
          <w:bCs/>
        </w:rPr>
        <w:t xml:space="preserve"> </w:t>
      </w:r>
      <w:r w:rsidRPr="00BC4C52">
        <w:rPr>
          <w:rFonts w:ascii="Century Schoolbook" w:hAnsi="Century Schoolbook"/>
          <w:bCs/>
        </w:rPr>
        <w:t>760</w:t>
      </w:r>
      <w:r>
        <w:rPr>
          <w:rFonts w:ascii="Century Schoolbook" w:hAnsi="Century Schoolbook"/>
          <w:bCs/>
        </w:rPr>
        <w:t xml:space="preserve">, quoting </w:t>
      </w:r>
      <w:r w:rsidRPr="00692889" w:rsidR="00BC4C52">
        <w:rPr>
          <w:rFonts w:ascii="Century Schoolbook" w:hAnsi="Century Schoolbook"/>
          <w:bCs/>
          <w:i/>
          <w:iCs/>
        </w:rPr>
        <w:t>Arias</w:t>
      </w:r>
      <w:r>
        <w:rPr>
          <w:rFonts w:ascii="Century Schoolbook" w:hAnsi="Century Schoolbook"/>
          <w:bCs/>
        </w:rPr>
        <w:t xml:space="preserve"> </w:t>
      </w:r>
      <w:r w:rsidRPr="00692889">
        <w:rPr>
          <w:rFonts w:ascii="Century Schoolbook" w:hAnsi="Century Schoolbook"/>
          <w:bCs/>
          <w:i/>
          <w:iCs/>
        </w:rPr>
        <w:t>v. Superior Court</w:t>
      </w:r>
      <w:r>
        <w:rPr>
          <w:rFonts w:ascii="Century Schoolbook" w:hAnsi="Century Schoolbook"/>
          <w:bCs/>
        </w:rPr>
        <w:t xml:space="preserve"> (2009) 46 Cal.4th 969,</w:t>
      </w:r>
      <w:r w:rsidRPr="00BC4C52" w:rsidR="00BC4C52">
        <w:rPr>
          <w:rFonts w:ascii="Century Schoolbook" w:hAnsi="Century Schoolbook"/>
          <w:bCs/>
        </w:rPr>
        <w:t xml:space="preserve"> 986</w:t>
      </w:r>
      <w:r>
        <w:rPr>
          <w:rFonts w:ascii="Century Schoolbook" w:hAnsi="Century Schoolbook"/>
          <w:bCs/>
        </w:rPr>
        <w:t>.)</w:t>
      </w:r>
    </w:p>
    <w:p w:rsidR="000C6FFA" w:rsidRPr="000C6FFA" w:rsidP="00692889" w14:paraId="057829F7" w14:textId="376B99BC">
      <w:pPr>
        <w:spacing w:line="360" w:lineRule="auto"/>
        <w:rPr>
          <w:rFonts w:ascii="Century Schoolbook" w:hAnsi="Century Schoolbook"/>
          <w:bCs/>
        </w:rPr>
      </w:pPr>
      <w:r>
        <w:rPr>
          <w:rFonts w:ascii="Century Schoolbook" w:hAnsi="Century Schoolbook"/>
          <w:bCs/>
        </w:rPr>
        <w:tab/>
        <w:t>Consequently, because PAGA penalties are not punitive damages</w:t>
      </w:r>
      <w:r w:rsidR="002D14ED">
        <w:rPr>
          <w:rFonts w:ascii="Century Schoolbook" w:hAnsi="Century Schoolbook"/>
          <w:bCs/>
        </w:rPr>
        <w:t xml:space="preserve">, section 818 presents no obstacle to appellants’ </w:t>
      </w:r>
      <w:r>
        <w:rPr>
          <w:rFonts w:ascii="Century Schoolbook" w:hAnsi="Century Schoolbook"/>
          <w:bCs/>
        </w:rPr>
        <w:t xml:space="preserve">seventh class action </w:t>
      </w:r>
      <w:r w:rsidR="002D14ED">
        <w:rPr>
          <w:rFonts w:ascii="Century Schoolbook" w:hAnsi="Century Schoolbook"/>
          <w:bCs/>
        </w:rPr>
        <w:t>claim.</w:t>
      </w:r>
    </w:p>
    <w:p w:rsidR="003D48FB" w:rsidRPr="00307460" w:rsidP="003B7C0F" w14:paraId="607E4CCD" w14:textId="719DD764">
      <w:pPr>
        <w:keepNext/>
        <w:spacing w:line="360" w:lineRule="auto"/>
        <w:jc w:val="center"/>
        <w:rPr>
          <w:rFonts w:ascii="Century Schoolbook" w:hAnsi="Century Schoolbook"/>
          <w:b/>
        </w:rPr>
      </w:pPr>
      <w:r>
        <w:rPr>
          <w:rFonts w:ascii="Century Schoolbook" w:hAnsi="Century Schoolbook"/>
          <w:b/>
        </w:rPr>
        <w:t xml:space="preserve">III. </w:t>
      </w:r>
      <w:r w:rsidRPr="00307460">
        <w:rPr>
          <w:rFonts w:ascii="Century Schoolbook" w:hAnsi="Century Schoolbook"/>
          <w:b/>
        </w:rPr>
        <w:t>D</w:t>
      </w:r>
      <w:r w:rsidRPr="00307460" w:rsidR="00A72F6B">
        <w:rPr>
          <w:rFonts w:ascii="Century Schoolbook" w:hAnsi="Century Schoolbook"/>
          <w:b/>
        </w:rPr>
        <w:t>ISPOSITION</w:t>
      </w:r>
    </w:p>
    <w:p w:rsidR="003D48FB" w:rsidRPr="00307460" w:rsidP="003B7C0F" w14:paraId="68553AF9" w14:textId="35F597D7">
      <w:pPr>
        <w:spacing w:line="360" w:lineRule="auto"/>
        <w:rPr>
          <w:rFonts w:ascii="Century Schoolbook" w:hAnsi="Century Schoolbook"/>
        </w:rPr>
      </w:pPr>
      <w:r w:rsidRPr="00307460">
        <w:rPr>
          <w:rFonts w:ascii="Century Schoolbook" w:hAnsi="Century Schoolbook"/>
        </w:rPr>
        <w:tab/>
      </w:r>
      <w:r w:rsidRPr="00195450" w:rsidR="00376CDF">
        <w:rPr>
          <w:rFonts w:ascii="Century Schoolbook" w:hAnsi="Century Schoolbook"/>
        </w:rPr>
        <w:t>We affirm t</w:t>
      </w:r>
      <w:r w:rsidRPr="00195450" w:rsidR="003557FC">
        <w:rPr>
          <w:rFonts w:ascii="Century Schoolbook" w:hAnsi="Century Schoolbook"/>
        </w:rPr>
        <w:t xml:space="preserve">he </w:t>
      </w:r>
      <w:r w:rsidR="00873374">
        <w:rPr>
          <w:rFonts w:ascii="Century Schoolbook" w:hAnsi="Century Schoolbook"/>
        </w:rPr>
        <w:t>order</w:t>
      </w:r>
      <w:r w:rsidRPr="00195450" w:rsidR="00AB131A">
        <w:rPr>
          <w:rFonts w:ascii="Century Schoolbook" w:hAnsi="Century Schoolbook"/>
        </w:rPr>
        <w:t xml:space="preserve"> a</w:t>
      </w:r>
      <w:r w:rsidR="00D450B2">
        <w:rPr>
          <w:rFonts w:ascii="Century Schoolbook" w:hAnsi="Century Schoolbook"/>
        </w:rPr>
        <w:t xml:space="preserve">s to the fourth cause of action and reverse it as to the first, second, third, fifth, sixth, and seventh.  </w:t>
      </w:r>
      <w:r w:rsidR="00873374">
        <w:rPr>
          <w:rFonts w:ascii="Century Schoolbook" w:hAnsi="Century Schoolbook"/>
        </w:rPr>
        <w:t>On remand, the trial court shall enter a new order overruling</w:t>
      </w:r>
      <w:r w:rsidR="00D042B6">
        <w:rPr>
          <w:rFonts w:ascii="Century Schoolbook" w:hAnsi="Century Schoolbook"/>
        </w:rPr>
        <w:t xml:space="preserve"> the demurrer as to the first, second, third, fifth, sixth, and seventh causes of action in the first amended complaint</w:t>
      </w:r>
      <w:r w:rsidR="00873374">
        <w:rPr>
          <w:rFonts w:ascii="Century Schoolbook" w:hAnsi="Century Schoolbook"/>
        </w:rPr>
        <w:t>.</w:t>
      </w:r>
    </w:p>
    <w:p w:rsidR="009710C5" w14:paraId="5A529F29" w14:textId="6EA71646">
      <w:pPr>
        <w:tabs>
          <w:tab w:val="clear" w:pos="720"/>
        </w:tabs>
        <w:spacing w:after="160" w:line="259" w:lineRule="auto"/>
        <w:rPr>
          <w:rFonts w:ascii="Century Schoolbook" w:hAnsi="Century Schoolbook"/>
        </w:rPr>
      </w:pPr>
      <w:r>
        <w:rPr>
          <w:rFonts w:ascii="Century Schoolbook" w:hAnsi="Century Schoolbook"/>
        </w:rPr>
        <w:br w:type="page"/>
      </w:r>
    </w:p>
    <w:p w:rsidR="00C377C0" w:rsidRPr="00307460" w:rsidP="00BF5033" w14:paraId="1B0E62D5" w14:textId="77777777">
      <w:pPr>
        <w:spacing w:line="240" w:lineRule="auto"/>
        <w:rPr>
          <w:rFonts w:ascii="Century Schoolbook" w:hAnsi="Century Schoolbook"/>
        </w:rPr>
      </w:pPr>
    </w:p>
    <w:p w:rsidR="003D48FB" w:rsidRPr="00307460" w:rsidP="00BF5033" w14:paraId="0E12E136" w14:textId="6F0FD3F0">
      <w:pPr>
        <w:spacing w:line="240" w:lineRule="auto"/>
        <w:rPr>
          <w:rFonts w:ascii="Century Schoolbook" w:hAnsi="Century Schoolbook"/>
        </w:rPr>
      </w:pPr>
      <w:r w:rsidRPr="00307460">
        <w:rPr>
          <w:rFonts w:ascii="Century Schoolbook" w:hAnsi="Century Schoolbook"/>
        </w:rPr>
        <w:tab/>
      </w:r>
      <w:r w:rsidRPr="00307460">
        <w:rPr>
          <w:rFonts w:ascii="Century Schoolbook" w:hAnsi="Century Schoolbook"/>
        </w:rPr>
        <w:tab/>
      </w:r>
      <w:r w:rsidRPr="00307460">
        <w:rPr>
          <w:rFonts w:ascii="Century Schoolbook" w:hAnsi="Century Schoolbook"/>
        </w:rPr>
        <w:tab/>
      </w:r>
      <w:r w:rsidRPr="00307460">
        <w:rPr>
          <w:rFonts w:ascii="Century Schoolbook" w:hAnsi="Century Schoolbook"/>
        </w:rPr>
        <w:tab/>
      </w:r>
      <w:r w:rsidRPr="00307460">
        <w:rPr>
          <w:rFonts w:ascii="Century Schoolbook" w:hAnsi="Century Schoolbook"/>
        </w:rPr>
        <w:tab/>
      </w:r>
      <w:r w:rsidRPr="00307460">
        <w:rPr>
          <w:rFonts w:ascii="Century Schoolbook" w:hAnsi="Century Schoolbook"/>
        </w:rPr>
        <w:tab/>
      </w:r>
      <w:r w:rsidRPr="00307460">
        <w:rPr>
          <w:rFonts w:ascii="Century Schoolbook" w:hAnsi="Century Schoolbook"/>
        </w:rPr>
        <w:tab/>
        <w:t>_________________________</w:t>
      </w:r>
    </w:p>
    <w:p w:rsidR="003D48FB" w:rsidRPr="00307460" w:rsidP="00BF5033" w14:paraId="0556956F" w14:textId="648EBF41">
      <w:pPr>
        <w:spacing w:line="240" w:lineRule="auto"/>
        <w:rPr>
          <w:rFonts w:ascii="Century Schoolbook" w:hAnsi="Century Schoolbook"/>
        </w:rPr>
      </w:pPr>
      <w:r w:rsidRPr="00307460">
        <w:rPr>
          <w:rFonts w:ascii="Century Schoolbook" w:hAnsi="Century Schoolbook"/>
        </w:rPr>
        <w:tab/>
      </w:r>
      <w:r w:rsidRPr="00307460">
        <w:rPr>
          <w:rFonts w:ascii="Century Schoolbook" w:hAnsi="Century Schoolbook"/>
        </w:rPr>
        <w:tab/>
      </w:r>
      <w:r w:rsidRPr="00307460">
        <w:rPr>
          <w:rFonts w:ascii="Century Schoolbook" w:hAnsi="Century Schoolbook"/>
        </w:rPr>
        <w:tab/>
      </w:r>
      <w:r w:rsidRPr="00307460">
        <w:rPr>
          <w:rFonts w:ascii="Century Schoolbook" w:hAnsi="Century Schoolbook"/>
        </w:rPr>
        <w:tab/>
      </w:r>
      <w:r w:rsidRPr="00307460">
        <w:rPr>
          <w:rFonts w:ascii="Century Schoolbook" w:hAnsi="Century Schoolbook"/>
        </w:rPr>
        <w:tab/>
      </w:r>
      <w:r w:rsidRPr="00307460">
        <w:rPr>
          <w:rFonts w:ascii="Century Schoolbook" w:hAnsi="Century Schoolbook"/>
        </w:rPr>
        <w:tab/>
      </w:r>
      <w:r w:rsidRPr="00307460">
        <w:rPr>
          <w:rFonts w:ascii="Century Schoolbook" w:hAnsi="Century Schoolbook"/>
        </w:rPr>
        <w:tab/>
      </w:r>
      <w:r w:rsidRPr="00307460" w:rsidR="00794880">
        <w:rPr>
          <w:rFonts w:ascii="Century Schoolbook" w:hAnsi="Century Schoolbook"/>
        </w:rPr>
        <w:t>Wiseman</w:t>
      </w:r>
      <w:r w:rsidRPr="00307460">
        <w:rPr>
          <w:rFonts w:ascii="Century Schoolbook" w:hAnsi="Century Schoolbook"/>
        </w:rPr>
        <w:t>, J.</w:t>
      </w:r>
      <w:r>
        <w:rPr>
          <w:rStyle w:val="FootnoteReference"/>
          <w:rFonts w:ascii="Century Schoolbook" w:hAnsi="Century Schoolbook"/>
        </w:rPr>
        <w:footnoteReference w:customMarkFollows="1" w:id="11"/>
        <w:t xml:space="preserve">*</w:t>
      </w:r>
    </w:p>
    <w:p w:rsidR="003D48FB" w:rsidRPr="00307460" w:rsidP="007E5593" w14:paraId="181CC042" w14:textId="77777777">
      <w:pPr>
        <w:spacing w:line="360" w:lineRule="auto"/>
        <w:rPr>
          <w:rFonts w:ascii="Century Schoolbook" w:hAnsi="Century Schoolbook"/>
        </w:rPr>
      </w:pPr>
    </w:p>
    <w:p w:rsidR="003D48FB" w:rsidRPr="00307460" w:rsidP="007E5593" w14:paraId="2208682A" w14:textId="77777777">
      <w:pPr>
        <w:spacing w:line="360" w:lineRule="auto"/>
        <w:rPr>
          <w:rFonts w:ascii="Century Schoolbook" w:hAnsi="Century Schoolbook"/>
        </w:rPr>
      </w:pPr>
      <w:r w:rsidRPr="00307460">
        <w:rPr>
          <w:rFonts w:ascii="Century Schoolbook" w:hAnsi="Century Schoolbook"/>
        </w:rPr>
        <w:t>We concur:</w:t>
      </w:r>
    </w:p>
    <w:p w:rsidR="003D48FB" w:rsidRPr="00307460" w:rsidP="003D48FB" w14:paraId="3790D1F9" w14:textId="77777777">
      <w:pPr>
        <w:spacing w:line="240" w:lineRule="auto"/>
        <w:rPr>
          <w:rFonts w:ascii="Century Schoolbook" w:hAnsi="Century Schoolbook"/>
        </w:rPr>
      </w:pPr>
    </w:p>
    <w:p w:rsidR="003D48FB" w:rsidRPr="00307460" w:rsidP="003D48FB" w14:paraId="49D41892" w14:textId="77777777">
      <w:pPr>
        <w:spacing w:line="240" w:lineRule="auto"/>
        <w:rPr>
          <w:rFonts w:ascii="Century Schoolbook" w:hAnsi="Century Schoolbook"/>
        </w:rPr>
      </w:pPr>
    </w:p>
    <w:p w:rsidR="003D48FB" w:rsidRPr="00307460" w:rsidP="003D48FB" w14:paraId="68BF6E15" w14:textId="77777777">
      <w:pPr>
        <w:spacing w:line="240" w:lineRule="auto"/>
        <w:rPr>
          <w:rFonts w:ascii="Century Schoolbook" w:hAnsi="Century Schoolbook"/>
        </w:rPr>
      </w:pPr>
      <w:r w:rsidRPr="00307460">
        <w:rPr>
          <w:rFonts w:ascii="Century Schoolbook" w:hAnsi="Century Schoolbook"/>
        </w:rPr>
        <w:t>_________________________</w:t>
      </w:r>
    </w:p>
    <w:p w:rsidR="003D48FB" w:rsidRPr="00307460" w:rsidP="003D48FB" w14:paraId="12EEFBB1" w14:textId="022A737D">
      <w:pPr>
        <w:spacing w:line="240" w:lineRule="auto"/>
        <w:rPr>
          <w:rFonts w:ascii="Century Schoolbook" w:hAnsi="Century Schoolbook"/>
        </w:rPr>
      </w:pPr>
      <w:r w:rsidRPr="00307460">
        <w:rPr>
          <w:rFonts w:ascii="Century Schoolbook" w:hAnsi="Century Schoolbook"/>
        </w:rPr>
        <w:t>Jackson, P.J.</w:t>
      </w:r>
    </w:p>
    <w:p w:rsidR="003D48FB" w:rsidRPr="00307460" w:rsidP="003D48FB" w14:paraId="753A6387" w14:textId="77777777">
      <w:pPr>
        <w:spacing w:line="240" w:lineRule="auto"/>
        <w:rPr>
          <w:rFonts w:ascii="Century Schoolbook" w:hAnsi="Century Schoolbook"/>
        </w:rPr>
      </w:pPr>
    </w:p>
    <w:p w:rsidR="003D48FB" w:rsidRPr="00307460" w:rsidP="003D48FB" w14:paraId="5C093504" w14:textId="77777777">
      <w:pPr>
        <w:spacing w:line="240" w:lineRule="auto"/>
        <w:rPr>
          <w:rFonts w:ascii="Century Schoolbook" w:hAnsi="Century Schoolbook"/>
        </w:rPr>
      </w:pPr>
    </w:p>
    <w:p w:rsidR="003D48FB" w:rsidRPr="00307460" w:rsidP="003D48FB" w14:paraId="6843C7C5" w14:textId="77777777">
      <w:pPr>
        <w:spacing w:line="240" w:lineRule="auto"/>
        <w:rPr>
          <w:rFonts w:ascii="Century Schoolbook" w:hAnsi="Century Schoolbook"/>
        </w:rPr>
      </w:pPr>
      <w:r w:rsidRPr="00307460">
        <w:rPr>
          <w:rFonts w:ascii="Century Schoolbook" w:hAnsi="Century Schoolbook"/>
        </w:rPr>
        <w:t>_________________________</w:t>
      </w:r>
    </w:p>
    <w:p w:rsidR="003D48FB" w:rsidRPr="00307460" w:rsidP="003D48FB" w14:paraId="0B53D14C" w14:textId="04675BD4">
      <w:pPr>
        <w:spacing w:line="240" w:lineRule="auto"/>
        <w:rPr>
          <w:rFonts w:ascii="Century Schoolbook" w:hAnsi="Century Schoolbook"/>
        </w:rPr>
      </w:pPr>
      <w:r w:rsidRPr="00307460">
        <w:rPr>
          <w:rFonts w:ascii="Century Schoolbook" w:hAnsi="Century Schoolbook"/>
        </w:rPr>
        <w:t>Burns, J.</w:t>
      </w:r>
    </w:p>
    <w:p w:rsidR="003D48FB" w:rsidRPr="00307460" w:rsidP="003D48FB" w14:paraId="29910656" w14:textId="77777777">
      <w:pPr>
        <w:spacing w:line="240" w:lineRule="auto"/>
        <w:rPr>
          <w:rFonts w:ascii="Century Schoolbook" w:hAnsi="Century Schoolbook"/>
        </w:rPr>
      </w:pPr>
    </w:p>
    <w:p w:rsidR="003D48FB" w:rsidRPr="00307460" w:rsidP="003D48FB" w14:paraId="6F5F68DD" w14:textId="0C3A931C">
      <w:pPr>
        <w:rPr>
          <w:rFonts w:ascii="Century Schoolbook" w:hAnsi="Century Schoolbook"/>
        </w:rPr>
      </w:pPr>
    </w:p>
    <w:p w:rsidR="00794880" w:rsidRPr="00307460" w:rsidP="003D48FB" w14:paraId="3E2A4A66" w14:textId="77777777">
      <w:pPr>
        <w:rPr>
          <w:rFonts w:ascii="Century Schoolbook" w:hAnsi="Century Schoolbook"/>
        </w:rPr>
      </w:pPr>
    </w:p>
    <w:p w:rsidR="003E36B0" w:rsidP="00A74EC0" w14:paraId="5A571DD8" w14:textId="6463BEB5">
      <w:pPr>
        <w:rPr>
          <w:rFonts w:ascii="Century Schoolbook" w:hAnsi="Century Schoolbook"/>
        </w:rPr>
      </w:pPr>
      <w:r>
        <w:rPr>
          <w:rFonts w:ascii="Century Schoolbook" w:hAnsi="Century Schoolbook"/>
          <w:i/>
        </w:rPr>
        <w:t>Stone v. Alameda Health System</w:t>
      </w:r>
      <w:r w:rsidRPr="00307460" w:rsidR="004F3AB0">
        <w:rPr>
          <w:rFonts w:ascii="Century Schoolbook" w:hAnsi="Century Schoolbook"/>
          <w:i/>
        </w:rPr>
        <w:t xml:space="preserve"> </w:t>
      </w:r>
      <w:r w:rsidRPr="00307460" w:rsidR="004F3AB0">
        <w:rPr>
          <w:rFonts w:ascii="Century Schoolbook" w:hAnsi="Century Schoolbook"/>
        </w:rPr>
        <w:t>(</w:t>
      </w:r>
      <w:r>
        <w:rPr>
          <w:rFonts w:ascii="Century Schoolbook" w:hAnsi="Century Schoolbook"/>
        </w:rPr>
        <w:t>A164021</w:t>
      </w:r>
      <w:r w:rsidRPr="00307460" w:rsidR="004F3AB0">
        <w:rPr>
          <w:rFonts w:ascii="Century Schoolbook" w:hAnsi="Century Schoolbook"/>
        </w:rPr>
        <w:t>)</w:t>
      </w:r>
    </w:p>
    <w:p w:rsidR="00BF3B8D" w:rsidP="00A74EC0" w14:paraId="61980F41" w14:textId="218E17DE">
      <w:pPr>
        <w:rPr>
          <w:rFonts w:ascii="Century Schoolbook" w:hAnsi="Century Schoolbook"/>
        </w:rPr>
      </w:pPr>
    </w:p>
    <w:p w:rsidR="00BF3B8D" w:rsidP="00A74EC0" w14:paraId="63365EA9" w14:textId="37DA7062">
      <w:pPr>
        <w:rPr>
          <w:rFonts w:ascii="Century Schoolbook" w:hAnsi="Century Schoolbook"/>
        </w:rPr>
      </w:pPr>
    </w:p>
    <w:p w:rsidR="00BF3B8D" w:rsidP="00A74EC0" w14:paraId="52162429" w14:textId="36761A74">
      <w:pPr>
        <w:rPr>
          <w:rFonts w:ascii="Century Schoolbook" w:hAnsi="Century Schoolbook"/>
        </w:rPr>
      </w:pPr>
    </w:p>
    <w:p w:rsidR="00BF3B8D" w:rsidP="00A74EC0" w14:paraId="6BE19AA5" w14:textId="48F6A939">
      <w:pPr>
        <w:rPr>
          <w:rFonts w:ascii="Century Schoolbook" w:hAnsi="Century Schoolbook"/>
        </w:rPr>
      </w:pPr>
    </w:p>
    <w:p w:rsidR="00BF3B8D" w:rsidP="00A74EC0" w14:paraId="39C6BE28" w14:textId="1879E531">
      <w:pPr>
        <w:rPr>
          <w:rFonts w:ascii="Century Schoolbook" w:hAnsi="Century Schoolbook"/>
        </w:rPr>
      </w:pPr>
    </w:p>
    <w:p w:rsidR="00BF3B8D" w:rsidP="00A74EC0" w14:paraId="175A486B" w14:textId="7D98EC83">
      <w:pPr>
        <w:rPr>
          <w:rFonts w:ascii="Century Schoolbook" w:hAnsi="Century Schoolbook"/>
        </w:rPr>
      </w:pPr>
    </w:p>
    <w:p w:rsidR="00BF3B8D" w:rsidP="00A74EC0" w14:paraId="6EB64DE8" w14:textId="62D7A1E8">
      <w:pPr>
        <w:rPr>
          <w:rFonts w:ascii="Century Schoolbook" w:hAnsi="Century Schoolbook"/>
        </w:rPr>
      </w:pPr>
    </w:p>
    <w:p w:rsidR="00BF3B8D" w:rsidP="00A74EC0" w14:paraId="056B3F64" w14:textId="7E6B8756">
      <w:pPr>
        <w:rPr>
          <w:rFonts w:ascii="Century Schoolbook" w:hAnsi="Century Schoolbook"/>
        </w:rPr>
      </w:pPr>
    </w:p>
    <w:p w:rsidR="00BF3B8D" w:rsidP="00A74EC0" w14:paraId="7E33EE4B" w14:textId="29499D6C">
      <w:pPr>
        <w:rPr>
          <w:rFonts w:ascii="Century Schoolbook" w:hAnsi="Century Schoolbook"/>
        </w:rPr>
      </w:pPr>
    </w:p>
    <w:p w:rsidR="00BF3B8D" w:rsidP="00A74EC0" w14:paraId="0828FA8D" w14:textId="27209D2F">
      <w:pPr>
        <w:rPr>
          <w:rFonts w:ascii="Century Schoolbook" w:hAnsi="Century Schoolbook"/>
        </w:rPr>
      </w:pPr>
    </w:p>
    <w:p w:rsidR="00BF3B8D" w:rsidP="00A74EC0" w14:paraId="293AE320" w14:textId="53280E4D">
      <w:pPr>
        <w:rPr>
          <w:rFonts w:ascii="Century Schoolbook" w:hAnsi="Century Schoolbook"/>
        </w:rPr>
      </w:pPr>
    </w:p>
    <w:p w:rsidR="00BF3B8D" w:rsidRPr="000509EF" w:rsidP="00BF3B8D" w14:paraId="3BEA40B1" w14:textId="77777777">
      <w:pPr>
        <w:rPr>
          <w:rFonts w:ascii="Century Schoolbook" w:hAnsi="Century Schoolbook"/>
          <w:b/>
          <w:bCs/>
          <w:u w:val="single"/>
        </w:rPr>
      </w:pPr>
      <w:r w:rsidRPr="000509EF">
        <w:rPr>
          <w:rFonts w:ascii="Century Schoolbook" w:hAnsi="Century Schoolbook"/>
          <w:b/>
          <w:bCs/>
          <w:i/>
          <w:iCs/>
          <w:u w:val="single"/>
        </w:rPr>
        <w:t>Tamelin Stone et al. v. Alameda Health System</w:t>
      </w:r>
      <w:r w:rsidRPr="000509EF">
        <w:rPr>
          <w:rFonts w:ascii="Century Schoolbook" w:hAnsi="Century Schoolbook"/>
          <w:b/>
          <w:bCs/>
          <w:u w:val="single"/>
        </w:rPr>
        <w:t xml:space="preserve"> </w:t>
      </w:r>
    </w:p>
    <w:p w:rsidR="00BF3B8D" w:rsidRPr="000509EF" w:rsidP="00BF3B8D" w14:paraId="24C08937" w14:textId="77777777">
      <w:pPr>
        <w:rPr>
          <w:rFonts w:ascii="Century Schoolbook" w:hAnsi="Century Schoolbook"/>
        </w:rPr>
      </w:pPr>
      <w:r w:rsidRPr="000509EF">
        <w:rPr>
          <w:rFonts w:ascii="Century Schoolbook" w:hAnsi="Century Schoolbook"/>
        </w:rPr>
        <w:t>(A164021)</w:t>
      </w:r>
    </w:p>
    <w:p w:rsidR="00BF3B8D" w:rsidRPr="000509EF" w:rsidP="00BF3B8D" w14:paraId="095CBE54" w14:textId="77777777">
      <w:pPr>
        <w:rPr>
          <w:rFonts w:ascii="Century Schoolbook" w:hAnsi="Century Schoolbook"/>
          <w:b/>
          <w:bCs/>
          <w:u w:val="single"/>
        </w:rPr>
      </w:pPr>
    </w:p>
    <w:p w:rsidR="00BF3B8D" w:rsidRPr="000509EF" w:rsidP="00BF3B8D" w14:paraId="45FE4A99" w14:textId="77777777">
      <w:pPr>
        <w:rPr>
          <w:rFonts w:ascii="Century Schoolbook" w:hAnsi="Century Schoolbook"/>
        </w:rPr>
      </w:pPr>
      <w:r w:rsidRPr="000509EF">
        <w:rPr>
          <w:rFonts w:ascii="Century Schoolbook" w:hAnsi="Century Schoolbook"/>
        </w:rPr>
        <w:t>Trial Court: Alameda County</w:t>
      </w:r>
    </w:p>
    <w:p w:rsidR="00BF3B8D" w:rsidRPr="000509EF" w:rsidP="00BF3B8D" w14:paraId="47809E42" w14:textId="77777777">
      <w:pPr>
        <w:rPr>
          <w:rFonts w:ascii="Century Schoolbook" w:hAnsi="Century Schoolbook"/>
        </w:rPr>
      </w:pPr>
    </w:p>
    <w:p w:rsidR="00BF3B8D" w:rsidRPr="000509EF" w:rsidP="00BF3B8D" w14:paraId="2C44192D" w14:textId="3EFE02AC">
      <w:pPr>
        <w:rPr>
          <w:rFonts w:ascii="Century Schoolbook" w:hAnsi="Century Schoolbook"/>
        </w:rPr>
      </w:pPr>
      <w:r w:rsidRPr="000509EF">
        <w:rPr>
          <w:rFonts w:ascii="Century Schoolbook" w:hAnsi="Century Schoolbook"/>
        </w:rPr>
        <w:t>Trial Judge: Hon. No</w:t>
      </w:r>
      <w:r>
        <w:rPr>
          <w:rFonts w:ascii="Century Schoolbook" w:hAnsi="Century Schoolbook"/>
        </w:rPr>
        <w:t>e</w:t>
      </w:r>
      <w:r w:rsidRPr="000509EF">
        <w:rPr>
          <w:rFonts w:ascii="Century Schoolbook" w:hAnsi="Century Schoolbook"/>
        </w:rPr>
        <w:t>l Wise</w:t>
      </w:r>
    </w:p>
    <w:p w:rsidR="00BF3B8D" w:rsidRPr="000509EF" w:rsidP="00BF3B8D" w14:paraId="4B86ACF6" w14:textId="77777777">
      <w:pPr>
        <w:rPr>
          <w:rFonts w:ascii="Century Schoolbook" w:hAnsi="Century Schoolbook"/>
        </w:rPr>
      </w:pPr>
    </w:p>
    <w:p w:rsidR="00BF3B8D" w:rsidRPr="000509EF" w:rsidP="00BF3B8D" w14:paraId="08A63C80" w14:textId="77777777">
      <w:pPr>
        <w:rPr>
          <w:rFonts w:ascii="Century Schoolbook" w:hAnsi="Century Schoolbook"/>
        </w:rPr>
      </w:pPr>
      <w:r w:rsidRPr="000509EF">
        <w:rPr>
          <w:rFonts w:ascii="Century Schoolbook" w:hAnsi="Century Schoolbook"/>
        </w:rPr>
        <w:t>Attorneys:</w:t>
      </w:r>
    </w:p>
    <w:p w:rsidR="00BF3B8D" w:rsidRPr="000509EF" w:rsidP="00BF3B8D" w14:paraId="6C6BB9E3" w14:textId="77777777">
      <w:pPr>
        <w:rPr>
          <w:rFonts w:ascii="Century Schoolbook" w:hAnsi="Century Schoolbook"/>
        </w:rPr>
      </w:pPr>
      <w:r w:rsidRPr="000509EF">
        <w:rPr>
          <w:rFonts w:ascii="Century Schoolbook" w:hAnsi="Century Schoolbook"/>
        </w:rPr>
        <w:t>Law Offices of David Y. Imai and David Y. Imai for Plaintiffs and Appellants.</w:t>
      </w:r>
    </w:p>
    <w:p w:rsidR="00BF3B8D" w:rsidRPr="000509EF" w:rsidP="00BF3B8D" w14:paraId="7BC72CED" w14:textId="77777777">
      <w:pPr>
        <w:rPr>
          <w:rFonts w:ascii="Century Schoolbook" w:hAnsi="Century Schoolbook"/>
        </w:rPr>
      </w:pPr>
    </w:p>
    <w:p w:rsidR="00BF3B8D" w:rsidRPr="000509EF" w:rsidP="00BF3B8D" w14:paraId="23137CDB" w14:textId="4D05447D">
      <w:pPr>
        <w:rPr>
          <w:rFonts w:ascii="Century Schoolbook" w:hAnsi="Century Schoolbook"/>
        </w:rPr>
      </w:pPr>
      <w:r w:rsidRPr="000509EF">
        <w:rPr>
          <w:rFonts w:ascii="Century Schoolbook" w:hAnsi="Century Schoolbook"/>
        </w:rPr>
        <w:t xml:space="preserve">Renne Public Law Group, Ryan P. McGinley-Stempel, Geoffrey Spellberg and Anastasia Bondarchuk for Defendant and Respondent. </w:t>
      </w:r>
    </w:p>
    <w:p w:rsidR="00BF3B8D" w:rsidRPr="00307460" w:rsidP="00A74EC0" w14:paraId="42B98B58" w14:textId="77777777">
      <w:pPr>
        <w:rPr>
          <w:rFonts w:ascii="Century Schoolbook" w:hAnsi="Century Schoolbook"/>
        </w:rPr>
      </w:pPr>
    </w:p>
    <w:sectPr w:rsidSect="005A236B">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5593" w:rsidP="00894FD6" w14:paraId="49E6C3B0" w14:textId="77F9C13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A6C4E">
      <w:rPr>
        <w:rStyle w:val="PageNumber"/>
        <w:noProof/>
      </w:rPr>
      <w:t>2</w:t>
    </w:r>
    <w:r>
      <w:rPr>
        <w:rStyle w:val="PageNumber"/>
      </w:rPr>
      <w:fldChar w:fldCharType="end"/>
    </w:r>
  </w:p>
  <w:p w:rsidR="007E5593" w:rsidP="00894FD6" w14:paraId="34EE0CBB" w14:textId="5D2E13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A6C4E">
      <w:rPr>
        <w:rStyle w:val="PageNumber"/>
        <w:noProof/>
      </w:rPr>
      <w:t>2</w:t>
    </w:r>
    <w:r>
      <w:rPr>
        <w:rStyle w:val="PageNumber"/>
      </w:rPr>
      <w:fldChar w:fldCharType="end"/>
    </w:r>
  </w:p>
  <w:p w:rsidR="007E5593" w14:paraId="2B6B3A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5593" w:rsidRPr="008A6C4E" w:rsidP="005A236B" w14:paraId="51DB1C89" w14:textId="76A351FA">
    <w:pPr>
      <w:pStyle w:val="Footer"/>
      <w:framePr w:wrap="around" w:vAnchor="text" w:hAnchor="margin" w:xAlign="center" w:y="1"/>
      <w:rPr>
        <w:rStyle w:val="PageNumber"/>
        <w:rFonts w:ascii="Century Schoolbook" w:hAnsi="Century Schoolbook"/>
      </w:rPr>
    </w:pPr>
    <w:r w:rsidRPr="008A6C4E">
      <w:rPr>
        <w:rStyle w:val="PageNumber"/>
        <w:rFonts w:ascii="Century Schoolbook" w:hAnsi="Century Schoolbook"/>
      </w:rPr>
      <w:fldChar w:fldCharType="begin"/>
    </w:r>
    <w:r w:rsidRPr="008A6C4E">
      <w:rPr>
        <w:rStyle w:val="PageNumber"/>
        <w:rFonts w:ascii="Century Schoolbook" w:hAnsi="Century Schoolbook"/>
      </w:rPr>
      <w:instrText xml:space="preserve"> PAGE </w:instrText>
    </w:r>
    <w:r w:rsidRPr="008A6C4E">
      <w:rPr>
        <w:rStyle w:val="PageNumber"/>
        <w:rFonts w:ascii="Century Schoolbook" w:hAnsi="Century Schoolbook"/>
      </w:rPr>
      <w:fldChar w:fldCharType="separate"/>
    </w:r>
    <w:r w:rsidRPr="008A6C4E">
      <w:rPr>
        <w:rStyle w:val="PageNumber"/>
        <w:rFonts w:ascii="Century Schoolbook" w:hAnsi="Century Schoolbook"/>
        <w:noProof/>
      </w:rPr>
      <w:t>10</w:t>
    </w:r>
    <w:r w:rsidRPr="008A6C4E">
      <w:rPr>
        <w:rStyle w:val="PageNumber"/>
        <w:rFonts w:ascii="Century Schoolbook" w:hAnsi="Century Schoolbook"/>
      </w:rPr>
      <w:fldChar w:fldCharType="end"/>
    </w:r>
  </w:p>
  <w:p w:rsidR="007E5593" w:rsidRPr="000509EF" w14:paraId="5DE2A43C" w14:textId="77777777">
    <w:pPr>
      <w:pStyle w:val="Footer"/>
      <w:rPr>
        <w:rFonts w:ascii="Century Schoolbook" w:hAnsi="Century Schoolboo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0E82" w14:paraId="181519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D47CE" w:rsidP="005A236B" w14:paraId="5DDDE2E3" w14:textId="77777777">
      <w:pPr>
        <w:spacing w:line="240" w:lineRule="auto"/>
      </w:pPr>
      <w:r>
        <w:separator/>
      </w:r>
    </w:p>
  </w:footnote>
  <w:footnote w:type="continuationSeparator" w:id="1">
    <w:p w:rsidR="001D47CE" w:rsidP="005A236B" w14:paraId="14F20E2B" w14:textId="77777777">
      <w:pPr>
        <w:spacing w:line="240" w:lineRule="auto"/>
      </w:pPr>
      <w:r>
        <w:continuationSeparator/>
      </w:r>
    </w:p>
  </w:footnote>
  <w:footnote w:id="2">
    <w:p w:rsidR="004736E6" w:rsidRPr="00497EBF" w:rsidP="004736E6" w14:paraId="79FB3DCA" w14:textId="77777777">
      <w:pPr>
        <w:pStyle w:val="FootnoteText"/>
        <w:ind w:firstLine="720"/>
        <w:rPr>
          <w:rFonts w:ascii="Century Schoolbook" w:hAnsi="Century Schoolbook"/>
        </w:rPr>
      </w:pPr>
      <w:r w:rsidRPr="0028265D">
        <w:rPr>
          <w:rStyle w:val="FootnoteReference"/>
          <w:rFonts w:ascii="Century Schoolbook" w:hAnsi="Century Schoolbook"/>
        </w:rPr>
        <w:footnoteRef/>
      </w:r>
      <w:r w:rsidRPr="0028265D">
        <w:rPr>
          <w:rFonts w:ascii="Century Schoolbook" w:hAnsi="Century Schoolbook"/>
        </w:rPr>
        <w:t xml:space="preserve"> All subsequent references to statute are to the </w:t>
      </w:r>
      <w:r>
        <w:rPr>
          <w:rFonts w:ascii="Century Schoolbook" w:hAnsi="Century Schoolbook"/>
        </w:rPr>
        <w:t>Labor</w:t>
      </w:r>
      <w:r w:rsidRPr="0028265D">
        <w:rPr>
          <w:rFonts w:ascii="Century Schoolbook" w:hAnsi="Century Schoolbook"/>
        </w:rPr>
        <w:t xml:space="preserve"> Code, unless otherwise noted</w:t>
      </w:r>
      <w:r w:rsidRPr="00497EBF">
        <w:rPr>
          <w:rFonts w:ascii="Century Schoolbook" w:hAnsi="Century Schoolbook"/>
        </w:rPr>
        <w:t>.</w:t>
      </w:r>
    </w:p>
  </w:footnote>
  <w:footnote w:id="3">
    <w:p w:rsidR="00AF5E81" w:rsidRPr="00AF5E81" w:rsidP="00505E8B" w14:paraId="41EA2A46" w14:textId="074CEF91">
      <w:pPr>
        <w:pStyle w:val="FootnoteText"/>
        <w:spacing w:before="120"/>
        <w:ind w:firstLine="720"/>
        <w:rPr>
          <w:rFonts w:ascii="Century Schoolbook" w:hAnsi="Century Schoolbook"/>
        </w:rPr>
      </w:pPr>
      <w:r w:rsidRPr="00AF5E81">
        <w:rPr>
          <w:rStyle w:val="FootnoteReference"/>
          <w:rFonts w:ascii="Century Schoolbook" w:hAnsi="Century Schoolbook"/>
        </w:rPr>
        <w:footnoteRef/>
      </w:r>
      <w:r w:rsidRPr="00AF5E81">
        <w:rPr>
          <w:rFonts w:ascii="Century Schoolbook" w:hAnsi="Century Schoolbook"/>
        </w:rPr>
        <w:t xml:space="preserve"> The individual claims are not at issue in this appeal.</w:t>
      </w:r>
    </w:p>
  </w:footnote>
  <w:footnote w:id="4">
    <w:p w:rsidR="00492B4F" w:rsidRPr="00497EBF" w:rsidP="00505E8B" w14:paraId="77D28254" w14:textId="5B03CBC2">
      <w:pPr>
        <w:pStyle w:val="FootnoteText"/>
        <w:spacing w:before="120"/>
        <w:rPr>
          <w:rFonts w:ascii="Century Schoolbook" w:hAnsi="Century Schoolbook"/>
        </w:rPr>
      </w:pPr>
    </w:p>
  </w:footnote>
  <w:footnote w:id="5">
    <w:p w:rsidR="00E978FA" w:rsidRPr="00E978FA" w:rsidP="00505E8B" w14:paraId="7327A983" w14:textId="05331322">
      <w:pPr>
        <w:pStyle w:val="FootnoteText"/>
        <w:spacing w:before="120"/>
        <w:ind w:firstLine="720"/>
        <w:rPr>
          <w:rFonts w:ascii="Century Schoolbook" w:hAnsi="Century Schoolbook"/>
        </w:rPr>
      </w:pPr>
      <w:r w:rsidRPr="00E978FA">
        <w:rPr>
          <w:rStyle w:val="FootnoteReference"/>
          <w:rFonts w:ascii="Century Schoolbook" w:hAnsi="Century Schoolbook"/>
        </w:rPr>
        <w:footnoteRef/>
      </w:r>
      <w:r w:rsidRPr="00E978FA">
        <w:rPr>
          <w:rFonts w:ascii="Century Schoolbook" w:hAnsi="Century Schoolbook"/>
        </w:rPr>
        <w:t xml:space="preserve"> </w:t>
      </w:r>
      <w:r w:rsidR="00A63A55">
        <w:rPr>
          <w:rFonts w:ascii="Century Schoolbook" w:hAnsi="Century Schoolbook"/>
        </w:rPr>
        <w:t xml:space="preserve">Below, we refer </w:t>
      </w:r>
      <w:r w:rsidRPr="00E978FA">
        <w:rPr>
          <w:rFonts w:ascii="Century Schoolbook" w:hAnsi="Century Schoolbook"/>
        </w:rPr>
        <w:t>to this section as respondent’s “enabling statute.”</w:t>
      </w:r>
    </w:p>
  </w:footnote>
  <w:footnote w:id="6">
    <w:p w:rsidR="00497EBF" w:rsidP="00505E8B" w14:paraId="6DEF1C1C" w14:textId="7FB22F03">
      <w:pPr>
        <w:pStyle w:val="FootnoteText"/>
        <w:spacing w:before="120"/>
        <w:ind w:firstLine="720"/>
      </w:pPr>
      <w:r w:rsidRPr="00497EBF">
        <w:rPr>
          <w:rStyle w:val="FootnoteReference"/>
          <w:rFonts w:ascii="Century Schoolbook" w:hAnsi="Century Schoolbook"/>
        </w:rPr>
        <w:footnoteRef/>
      </w:r>
      <w:r w:rsidRPr="00497EBF">
        <w:rPr>
          <w:rFonts w:ascii="Century Schoolbook" w:hAnsi="Century Schoolbook"/>
        </w:rPr>
        <w:t xml:space="preserve"> </w:t>
      </w:r>
      <w:r w:rsidR="00A769F0">
        <w:rPr>
          <w:rFonts w:ascii="Century Schoolbook" w:hAnsi="Century Schoolbook"/>
        </w:rPr>
        <w:t>We grant a</w:t>
      </w:r>
      <w:r w:rsidRPr="00497EBF" w:rsidR="00A769F0">
        <w:rPr>
          <w:rFonts w:ascii="Century Schoolbook" w:hAnsi="Century Schoolbook"/>
        </w:rPr>
        <w:t>ppellant</w:t>
      </w:r>
      <w:r w:rsidR="00A769F0">
        <w:rPr>
          <w:rFonts w:ascii="Century Schoolbook" w:hAnsi="Century Schoolbook"/>
        </w:rPr>
        <w:t xml:space="preserve"> </w:t>
      </w:r>
      <w:r w:rsidR="002A5495">
        <w:rPr>
          <w:rFonts w:ascii="Century Schoolbook" w:hAnsi="Century Schoolbook"/>
        </w:rPr>
        <w:t>and respondent</w:t>
      </w:r>
      <w:r w:rsidR="00A769F0">
        <w:rPr>
          <w:rFonts w:ascii="Century Schoolbook" w:hAnsi="Century Schoolbook"/>
        </w:rPr>
        <w:t>’s</w:t>
      </w:r>
      <w:r w:rsidR="002A5495">
        <w:rPr>
          <w:rFonts w:ascii="Century Schoolbook" w:hAnsi="Century Schoolbook"/>
        </w:rPr>
        <w:t xml:space="preserve"> </w:t>
      </w:r>
      <w:r w:rsidR="00A769F0">
        <w:rPr>
          <w:rFonts w:ascii="Century Schoolbook" w:hAnsi="Century Schoolbook"/>
        </w:rPr>
        <w:t xml:space="preserve">respective </w:t>
      </w:r>
      <w:r w:rsidRPr="00497EBF">
        <w:rPr>
          <w:rFonts w:ascii="Century Schoolbook" w:hAnsi="Century Schoolbook"/>
        </w:rPr>
        <w:t>unopposed request</w:t>
      </w:r>
      <w:r w:rsidR="002A5495">
        <w:rPr>
          <w:rFonts w:ascii="Century Schoolbook" w:hAnsi="Century Schoolbook"/>
        </w:rPr>
        <w:t>s</w:t>
      </w:r>
      <w:r w:rsidRPr="00497EBF">
        <w:rPr>
          <w:rFonts w:ascii="Century Schoolbook" w:hAnsi="Century Schoolbook"/>
        </w:rPr>
        <w:t xml:space="preserve"> for judicial notice under Evidence Code section</w:t>
      </w:r>
      <w:r w:rsidR="00A769F0">
        <w:rPr>
          <w:rFonts w:ascii="Century Schoolbook" w:hAnsi="Century Schoolbook"/>
        </w:rPr>
        <w:t>s 451, subdivision (a), and</w:t>
      </w:r>
      <w:r w:rsidRPr="00497EBF">
        <w:rPr>
          <w:rFonts w:ascii="Century Schoolbook" w:hAnsi="Century Schoolbook"/>
        </w:rPr>
        <w:t xml:space="preserve"> 452, subdivision</w:t>
      </w:r>
      <w:r w:rsidR="004F5E0A">
        <w:rPr>
          <w:rFonts w:ascii="Century Schoolbook" w:hAnsi="Century Schoolbook"/>
        </w:rPr>
        <w:t>s</w:t>
      </w:r>
      <w:r w:rsidRPr="00497EBF">
        <w:rPr>
          <w:rFonts w:ascii="Century Schoolbook" w:hAnsi="Century Schoolbook"/>
        </w:rPr>
        <w:t xml:space="preserve"> (</w:t>
      </w:r>
      <w:r w:rsidR="00A769F0">
        <w:rPr>
          <w:rFonts w:ascii="Century Schoolbook" w:hAnsi="Century Schoolbook"/>
        </w:rPr>
        <w:t>c</w:t>
      </w:r>
      <w:r w:rsidRPr="00497EBF">
        <w:rPr>
          <w:rFonts w:ascii="Century Schoolbook" w:hAnsi="Century Schoolbook"/>
        </w:rPr>
        <w:t>)</w:t>
      </w:r>
      <w:r w:rsidR="00A769F0">
        <w:rPr>
          <w:rFonts w:ascii="Century Schoolbook" w:hAnsi="Century Schoolbook"/>
        </w:rPr>
        <w:t xml:space="preserve"> and (h)</w:t>
      </w:r>
      <w:r w:rsidRPr="00497EBF">
        <w:rPr>
          <w:rFonts w:ascii="Century Schoolbook" w:hAnsi="Century Schoolbook"/>
        </w:rPr>
        <w:t>.  (Rules of Court, rule 8.</w:t>
      </w:r>
      <w:r w:rsidR="00A769F0">
        <w:rPr>
          <w:rFonts w:ascii="Century Schoolbook" w:hAnsi="Century Schoolbook"/>
        </w:rPr>
        <w:t>2</w:t>
      </w:r>
      <w:r w:rsidRPr="00497EBF">
        <w:rPr>
          <w:rFonts w:ascii="Century Schoolbook" w:hAnsi="Century Schoolbook"/>
        </w:rPr>
        <w:t xml:space="preserve">52, subd. (a).) </w:t>
      </w:r>
      <w:r w:rsidR="00A769F0">
        <w:rPr>
          <w:rFonts w:ascii="Century Schoolbook" w:hAnsi="Century Schoolbook"/>
        </w:rPr>
        <w:t xml:space="preserve"> </w:t>
      </w:r>
      <w:r w:rsidR="00E627BB">
        <w:rPr>
          <w:rFonts w:ascii="Century Schoolbook" w:hAnsi="Century Schoolbook"/>
        </w:rPr>
        <w:t xml:space="preserve">Of particular note </w:t>
      </w:r>
      <w:r w:rsidR="004F5E0A">
        <w:rPr>
          <w:rFonts w:ascii="Century Schoolbook" w:hAnsi="Century Schoolbook"/>
        </w:rPr>
        <w:t xml:space="preserve">among appellant’s exhibits </w:t>
      </w:r>
      <w:r w:rsidR="00E627BB">
        <w:rPr>
          <w:rFonts w:ascii="Century Schoolbook" w:hAnsi="Century Schoolbook"/>
        </w:rPr>
        <w:t xml:space="preserve">are Chapter 2.120 of the Alameda County Code (establishing respondent), the Legislative Analyst’s Office’s “Overview of Health Care Districts” </w:t>
      </w:r>
      <w:r w:rsidR="004F5E0A">
        <w:rPr>
          <w:rFonts w:ascii="Century Schoolbook" w:hAnsi="Century Schoolbook"/>
        </w:rPr>
        <w:t xml:space="preserve">as </w:t>
      </w:r>
      <w:r w:rsidR="00E627BB">
        <w:rPr>
          <w:rFonts w:ascii="Century Schoolbook" w:hAnsi="Century Schoolbook"/>
        </w:rPr>
        <w:t xml:space="preserve">established under section 32000 et seq., and a bill analysis prepared in anticipation of </w:t>
      </w:r>
      <w:r w:rsidR="004F5E0A">
        <w:rPr>
          <w:rFonts w:ascii="Century Schoolbook" w:hAnsi="Century Schoolbook"/>
        </w:rPr>
        <w:t>the Assembly vote for the enabling statute.  Th</w:t>
      </w:r>
      <w:r w:rsidR="004E24E3">
        <w:rPr>
          <w:rFonts w:ascii="Century Schoolbook" w:hAnsi="Century Schoolbook"/>
        </w:rPr>
        <w:t>is</w:t>
      </w:r>
      <w:r w:rsidR="004F5E0A">
        <w:rPr>
          <w:rFonts w:ascii="Century Schoolbook" w:hAnsi="Century Schoolbook"/>
        </w:rPr>
        <w:t xml:space="preserve"> analysis notes that the creation of respondent might give Alameda County new “options</w:t>
      </w:r>
      <w:r w:rsidR="001F44C0">
        <w:rPr>
          <w:rFonts w:ascii="Century Schoolbook" w:hAnsi="Century Schoolbook"/>
        </w:rPr>
        <w:t> </w:t>
      </w:r>
      <w:r w:rsidR="004F5E0A">
        <w:rPr>
          <w:rFonts w:ascii="Century Schoolbook" w:hAnsi="Century Schoolbook"/>
        </w:rPr>
        <w:t>.</w:t>
      </w:r>
      <w:r w:rsidR="001F44C0">
        <w:rPr>
          <w:rFonts w:ascii="Century Schoolbook" w:hAnsi="Century Schoolbook"/>
        </w:rPr>
        <w:t> </w:t>
      </w:r>
      <w:r w:rsidR="004F5E0A">
        <w:rPr>
          <w:rFonts w:ascii="Century Schoolbook" w:hAnsi="Century Schoolbook"/>
        </w:rPr>
        <w:t>.</w:t>
      </w:r>
      <w:r w:rsidR="001F44C0">
        <w:rPr>
          <w:rFonts w:ascii="Century Schoolbook" w:hAnsi="Century Schoolbook"/>
        </w:rPr>
        <w:t> </w:t>
      </w:r>
      <w:r w:rsidR="004F5E0A">
        <w:rPr>
          <w:rFonts w:ascii="Century Schoolbook" w:hAnsi="Century Schoolbook"/>
        </w:rPr>
        <w:t>.</w:t>
      </w:r>
      <w:r w:rsidR="001F44C0">
        <w:rPr>
          <w:rFonts w:ascii="Century Schoolbook" w:hAnsi="Century Schoolbook"/>
        </w:rPr>
        <w:t> </w:t>
      </w:r>
      <w:r w:rsidR="004F5E0A">
        <w:rPr>
          <w:rFonts w:ascii="Century Schoolbook" w:hAnsi="Century Schoolbook"/>
        </w:rPr>
        <w:t xml:space="preserve">includ[ing] contracting out for selected services, reduced emphasis on the use of civil service county employees, and the ability to make quasi-independent business decisions.”  </w:t>
      </w:r>
      <w:r w:rsidR="00431D6C">
        <w:rPr>
          <w:rFonts w:ascii="Century Schoolbook" w:hAnsi="Century Schoolbook"/>
        </w:rPr>
        <w:t xml:space="preserve">Respondent’s exhibits are its filings with the Secretary of State, which conform to Government Code section 53051’s requirements for “the governing body of each public agency.” </w:t>
      </w:r>
    </w:p>
  </w:footnote>
  <w:footnote w:id="7">
    <w:p w:rsidR="00511D3C" w:rsidRPr="00511D3C" w:rsidP="00BA3155" w14:paraId="63C5782B" w14:textId="4620477B">
      <w:pPr>
        <w:pStyle w:val="FootnoteText"/>
        <w:ind w:firstLine="720"/>
        <w:rPr>
          <w:rFonts w:ascii="Century Schoolbook" w:hAnsi="Century Schoolbook"/>
        </w:rPr>
      </w:pPr>
      <w:r w:rsidRPr="00511D3C">
        <w:rPr>
          <w:rStyle w:val="FootnoteReference"/>
          <w:rFonts w:ascii="Century Schoolbook" w:hAnsi="Century Schoolbook"/>
        </w:rPr>
        <w:footnoteRef/>
      </w:r>
      <w:r w:rsidRPr="00511D3C">
        <w:rPr>
          <w:rFonts w:ascii="Century Schoolbook" w:hAnsi="Century Schoolbook"/>
        </w:rPr>
        <w:t xml:space="preserve"> Those statutes are sections 226.7 (</w:t>
      </w:r>
      <w:r>
        <w:rPr>
          <w:rFonts w:ascii="Century Schoolbook" w:hAnsi="Century Schoolbook"/>
        </w:rPr>
        <w:t>mandated meal, rest, or recovery periods</w:t>
      </w:r>
      <w:r w:rsidRPr="00511D3C">
        <w:rPr>
          <w:rFonts w:ascii="Century Schoolbook" w:hAnsi="Century Schoolbook"/>
        </w:rPr>
        <w:t>), 512 (</w:t>
      </w:r>
      <w:r>
        <w:rPr>
          <w:rFonts w:ascii="Century Schoolbook" w:hAnsi="Century Schoolbook"/>
        </w:rPr>
        <w:t>meal periods</w:t>
      </w:r>
      <w:r w:rsidRPr="00511D3C">
        <w:rPr>
          <w:rFonts w:ascii="Century Schoolbook" w:hAnsi="Century Schoolbook"/>
        </w:rPr>
        <w:t>), 1174 (</w:t>
      </w:r>
      <w:r>
        <w:rPr>
          <w:rFonts w:ascii="Century Schoolbook" w:hAnsi="Century Schoolbook"/>
        </w:rPr>
        <w:t>record-keeping duties of employers</w:t>
      </w:r>
      <w:r w:rsidRPr="00511D3C">
        <w:rPr>
          <w:rFonts w:ascii="Century Schoolbook" w:hAnsi="Century Schoolbook"/>
        </w:rPr>
        <w:t>), 1174.5</w:t>
      </w:r>
      <w:r>
        <w:rPr>
          <w:rFonts w:ascii="Century Schoolbook" w:hAnsi="Century Schoolbook"/>
        </w:rPr>
        <w:t xml:space="preserve"> (failure to maintain records)</w:t>
      </w:r>
      <w:r w:rsidRPr="00511D3C">
        <w:rPr>
          <w:rFonts w:ascii="Century Schoolbook" w:hAnsi="Century Schoolbook"/>
        </w:rPr>
        <w:t>, and 1175 (</w:t>
      </w:r>
      <w:r>
        <w:rPr>
          <w:rFonts w:ascii="Century Schoolbook" w:hAnsi="Century Schoolbook"/>
        </w:rPr>
        <w:t>misdemeanor status of certain section 1174 violations</w:t>
      </w:r>
      <w:r w:rsidRPr="00511D3C">
        <w:rPr>
          <w:rFonts w:ascii="Century Schoolbook" w:hAnsi="Century Schoolbook"/>
        </w:rPr>
        <w:t>).</w:t>
      </w:r>
      <w:r w:rsidR="00F36463">
        <w:rPr>
          <w:rFonts w:ascii="Century Schoolbook" w:hAnsi="Century Schoolbook"/>
        </w:rPr>
        <w:t xml:space="preserve">  The </w:t>
      </w:r>
      <w:r w:rsidR="006945C9">
        <w:rPr>
          <w:rFonts w:ascii="Century Schoolbook" w:hAnsi="Century Schoolbook"/>
        </w:rPr>
        <w:t xml:space="preserve">Wage Order </w:t>
      </w:r>
      <w:r w:rsidR="00F36463">
        <w:rPr>
          <w:rFonts w:ascii="Century Schoolbook" w:hAnsi="Century Schoolbook"/>
        </w:rPr>
        <w:t xml:space="preserve">is codified in the </w:t>
      </w:r>
      <w:r w:rsidR="00C0731D">
        <w:rPr>
          <w:rFonts w:ascii="Century Schoolbook" w:hAnsi="Century Schoolbook"/>
        </w:rPr>
        <w:t xml:space="preserve">California </w:t>
      </w:r>
      <w:r w:rsidR="00F36463">
        <w:rPr>
          <w:rFonts w:ascii="Century Schoolbook" w:hAnsi="Century Schoolbook"/>
        </w:rPr>
        <w:t xml:space="preserve">Code of Regulations, </w:t>
      </w:r>
      <w:r w:rsidR="00C0731D">
        <w:rPr>
          <w:rFonts w:ascii="Century Schoolbook" w:hAnsi="Century Schoolbook"/>
        </w:rPr>
        <w:t>title</w:t>
      </w:r>
      <w:r w:rsidR="00F36463">
        <w:rPr>
          <w:rFonts w:ascii="Century Schoolbook" w:hAnsi="Century Schoolbook"/>
        </w:rPr>
        <w:t xml:space="preserve"> 8, section 11050, and similarly lacks any explicit, categorical application to government agencies.</w:t>
      </w:r>
    </w:p>
  </w:footnote>
  <w:footnote w:id="8">
    <w:p w:rsidR="006945C9" w:rsidRPr="00FA3ED0" w:rsidP="006945C9" w14:paraId="06FA1F93" w14:textId="7915F5BC">
      <w:pPr>
        <w:pStyle w:val="FootnoteText"/>
        <w:ind w:firstLine="720"/>
        <w:rPr>
          <w:rFonts w:ascii="Century Schoolbook" w:hAnsi="Century Schoolbook"/>
        </w:rPr>
      </w:pPr>
      <w:r w:rsidRPr="00FA3ED0">
        <w:rPr>
          <w:rStyle w:val="FootnoteReference"/>
          <w:rFonts w:ascii="Century Schoolbook" w:hAnsi="Century Schoolbook"/>
        </w:rPr>
        <w:footnoteRef/>
      </w:r>
      <w:r w:rsidRPr="00FA3ED0">
        <w:rPr>
          <w:rFonts w:ascii="Century Schoolbook" w:hAnsi="Century Schoolbook"/>
        </w:rPr>
        <w:t xml:space="preserve"> </w:t>
      </w:r>
      <w:r>
        <w:rPr>
          <w:rFonts w:ascii="Century Schoolbook" w:hAnsi="Century Schoolbook"/>
        </w:rPr>
        <w:t>Our</w:t>
      </w:r>
      <w:r w:rsidRPr="00FA3ED0">
        <w:rPr>
          <w:rFonts w:ascii="Century Schoolbook" w:hAnsi="Century Schoolbook"/>
        </w:rPr>
        <w:t xml:space="preserve"> conclusion </w:t>
      </w:r>
      <w:r>
        <w:rPr>
          <w:rFonts w:ascii="Century Schoolbook" w:hAnsi="Century Schoolbook"/>
        </w:rPr>
        <w:t xml:space="preserve">in this respect </w:t>
      </w:r>
      <w:r w:rsidRPr="00FA3ED0">
        <w:rPr>
          <w:rFonts w:ascii="Century Schoolbook" w:hAnsi="Century Schoolbook"/>
        </w:rPr>
        <w:t xml:space="preserve">is not disturbed by the Fourth District’s recent decision in </w:t>
      </w:r>
      <w:r w:rsidRPr="00FA3ED0">
        <w:rPr>
          <w:rFonts w:ascii="Century Schoolbook" w:hAnsi="Century Schoolbook"/>
          <w:i/>
          <w:iCs/>
        </w:rPr>
        <w:t>Allen v. San Diego Convention Center Corp</w:t>
      </w:r>
      <w:r w:rsidR="00F83F02">
        <w:rPr>
          <w:rFonts w:ascii="Century Schoolbook" w:hAnsi="Century Schoolbook"/>
          <w:i/>
          <w:iCs/>
        </w:rPr>
        <w:t>.</w:t>
      </w:r>
      <w:r w:rsidRPr="00FA3ED0">
        <w:rPr>
          <w:rFonts w:ascii="Century Schoolbook" w:hAnsi="Century Schoolbook"/>
          <w:i/>
          <w:iCs/>
        </w:rPr>
        <w:t>, Inc.</w:t>
      </w:r>
      <w:r w:rsidRPr="00FA3ED0">
        <w:rPr>
          <w:rFonts w:ascii="Century Schoolbook" w:hAnsi="Century Schoolbook"/>
        </w:rPr>
        <w:t xml:space="preserve"> (2022) 86 Cal.App.5th 589</w:t>
      </w:r>
      <w:r>
        <w:rPr>
          <w:rFonts w:ascii="Century Schoolbook" w:hAnsi="Century Schoolbook"/>
        </w:rPr>
        <w:t xml:space="preserve"> (</w:t>
      </w:r>
      <w:r w:rsidRPr="00FA3ED0">
        <w:rPr>
          <w:rFonts w:ascii="Century Schoolbook" w:hAnsi="Century Schoolbook"/>
          <w:i/>
          <w:iCs/>
        </w:rPr>
        <w:t>Allen</w:t>
      </w:r>
      <w:r>
        <w:rPr>
          <w:rFonts w:ascii="Century Schoolbook" w:hAnsi="Century Schoolbook"/>
        </w:rPr>
        <w:t>)</w:t>
      </w:r>
      <w:r w:rsidRPr="00FA3ED0">
        <w:rPr>
          <w:rFonts w:ascii="Century Schoolbook" w:hAnsi="Century Schoolbook"/>
        </w:rPr>
        <w:t>, holding that the respondent convention center</w:t>
      </w:r>
      <w:r>
        <w:rPr>
          <w:rFonts w:ascii="Century Schoolbook" w:hAnsi="Century Schoolbook"/>
        </w:rPr>
        <w:t xml:space="preserve">’s “public entity” status rendered several Labor Code provisions inapplicable.  In </w:t>
      </w:r>
      <w:r>
        <w:rPr>
          <w:rFonts w:ascii="Century Schoolbook" w:hAnsi="Century Schoolbook"/>
          <w:i/>
          <w:iCs/>
        </w:rPr>
        <w:t>Allen</w:t>
      </w:r>
      <w:r>
        <w:rPr>
          <w:rFonts w:ascii="Century Schoolbook" w:hAnsi="Century Schoolbook"/>
        </w:rPr>
        <w:t>, the respondent was “</w:t>
      </w:r>
      <w:r w:rsidRPr="00422856">
        <w:rPr>
          <w:rFonts w:ascii="Century Schoolbook" w:hAnsi="Century Schoolbook"/>
        </w:rPr>
        <w:t>defined by the City of San Diego</w:t>
      </w:r>
      <w:r>
        <w:rPr>
          <w:rFonts w:ascii="Century Schoolbook" w:hAnsi="Century Schoolbook"/>
        </w:rPr>
        <w:t>’</w:t>
      </w:r>
      <w:r w:rsidRPr="00422856">
        <w:rPr>
          <w:rFonts w:ascii="Century Schoolbook" w:hAnsi="Century Schoolbook"/>
        </w:rPr>
        <w:t>s municipal code as part of the city</w:t>
      </w:r>
      <w:r>
        <w:rPr>
          <w:rFonts w:ascii="Century Schoolbook" w:hAnsi="Century Schoolbook"/>
        </w:rPr>
        <w:t>” and was “</w:t>
      </w:r>
      <w:r w:rsidRPr="00422856">
        <w:rPr>
          <w:rFonts w:ascii="Century Schoolbook" w:hAnsi="Century Schoolbook"/>
        </w:rPr>
        <w:t>an agent of the City of San Diego</w:t>
      </w:r>
      <w:r>
        <w:rPr>
          <w:rFonts w:ascii="Century Schoolbook" w:hAnsi="Century Schoolbook"/>
        </w:rPr>
        <w:t>.”  (</w:t>
      </w:r>
      <w:r w:rsidRPr="00FA3ED0">
        <w:rPr>
          <w:rFonts w:ascii="Century Schoolbook" w:hAnsi="Century Schoolbook"/>
          <w:i/>
          <w:iCs/>
        </w:rPr>
        <w:t>Id</w:t>
      </w:r>
      <w:r w:rsidRPr="00422856">
        <w:rPr>
          <w:rFonts w:ascii="Century Schoolbook" w:hAnsi="Century Schoolbook"/>
        </w:rPr>
        <w:t xml:space="preserve">. at p. </w:t>
      </w:r>
      <w:r w:rsidR="00F83F02">
        <w:rPr>
          <w:rFonts w:ascii="Century Schoolbook" w:hAnsi="Century Schoolbook"/>
        </w:rPr>
        <w:t>600</w:t>
      </w:r>
      <w:r>
        <w:rPr>
          <w:rFonts w:ascii="Century Schoolbook" w:hAnsi="Century Schoolbook"/>
        </w:rPr>
        <w:t xml:space="preserve">.)  Here, as we have already noted, respondent’s enabling statute provides that respondent </w:t>
      </w:r>
      <w:r w:rsidR="00F83F02">
        <w:rPr>
          <w:rFonts w:ascii="Century Schoolbook" w:hAnsi="Century Schoolbook"/>
        </w:rPr>
        <w:t>“</w:t>
      </w:r>
      <w:r w:rsidRPr="001C03BC">
        <w:rPr>
          <w:rFonts w:ascii="Century Schoolbook" w:hAnsi="Century Schoolbook"/>
        </w:rPr>
        <w:t>shall be a government entity separate and apart from the county, and shall not be considered to be an agency</w:t>
      </w:r>
      <w:r w:rsidR="00B84F3D">
        <w:rPr>
          <w:rFonts w:ascii="Century Schoolbook" w:hAnsi="Century Schoolbook"/>
        </w:rPr>
        <w:t> </w:t>
      </w:r>
      <w:r>
        <w:rPr>
          <w:rFonts w:ascii="Century Schoolbook" w:hAnsi="Century Schoolbook"/>
        </w:rPr>
        <w:t>.</w:t>
      </w:r>
      <w:r w:rsidR="00B84F3D">
        <w:rPr>
          <w:rFonts w:ascii="Century Schoolbook" w:hAnsi="Century Schoolbook"/>
        </w:rPr>
        <w:t> </w:t>
      </w:r>
      <w:r>
        <w:rPr>
          <w:rFonts w:ascii="Century Schoolbook" w:hAnsi="Century Schoolbook"/>
        </w:rPr>
        <w:t>.</w:t>
      </w:r>
      <w:r w:rsidR="00B84F3D">
        <w:rPr>
          <w:rFonts w:ascii="Century Schoolbook" w:hAnsi="Century Schoolbook"/>
        </w:rPr>
        <w:t> </w:t>
      </w:r>
      <w:r>
        <w:rPr>
          <w:rFonts w:ascii="Century Schoolbook" w:hAnsi="Century Schoolbook"/>
        </w:rPr>
        <w:t>.</w:t>
      </w:r>
      <w:r w:rsidR="00B84F3D">
        <w:rPr>
          <w:rFonts w:ascii="Century Schoolbook" w:hAnsi="Century Schoolbook"/>
        </w:rPr>
        <w:t> </w:t>
      </w:r>
      <w:r w:rsidRPr="001C03BC">
        <w:rPr>
          <w:rFonts w:ascii="Century Schoolbook" w:hAnsi="Century Schoolbook"/>
        </w:rPr>
        <w:t>of the county.</w:t>
      </w:r>
      <w:r>
        <w:rPr>
          <w:rFonts w:ascii="Century Schoolbook" w:hAnsi="Century Schoolbook"/>
        </w:rPr>
        <w:t>”  (</w:t>
      </w:r>
      <w:r w:rsidR="00F83F02">
        <w:rPr>
          <w:rFonts w:ascii="Century Schoolbook" w:hAnsi="Century Schoolbook"/>
          <w:bCs/>
        </w:rPr>
        <w:t>Health &amp; Saf. Code</w:t>
      </w:r>
      <w:r w:rsidR="00F83F02">
        <w:rPr>
          <w:rFonts w:ascii="Century Schoolbook" w:hAnsi="Century Schoolbook"/>
        </w:rPr>
        <w:t xml:space="preserve">, </w:t>
      </w:r>
      <w:r w:rsidR="00F83F02">
        <w:rPr>
          <w:rFonts w:ascii="Century Schoolbook" w:hAnsi="Century Schoolbook"/>
          <w:bCs/>
        </w:rPr>
        <w:t>§ 101850</w:t>
      </w:r>
      <w:r>
        <w:rPr>
          <w:rFonts w:ascii="Century Schoolbook" w:hAnsi="Century Schoolbook"/>
        </w:rPr>
        <w:t xml:space="preserve">, subd. (j).)  Similarly, under Chapter 2.120.030 of the Alameda County Code, respondent is “not to be an agent of the county except where specifically provided.” </w:t>
      </w:r>
    </w:p>
  </w:footnote>
  <w:footnote w:id="9">
    <w:p w:rsidR="005B268B" w:rsidRPr="00334CA5" w:rsidP="005B268B" w14:paraId="670BDF29" w14:textId="77432B80">
      <w:pPr>
        <w:pStyle w:val="FootnoteText"/>
        <w:ind w:firstLine="720"/>
        <w:rPr>
          <w:rFonts w:ascii="Century Schoolbook" w:hAnsi="Century Schoolbook"/>
        </w:rPr>
      </w:pPr>
      <w:r w:rsidRPr="005B268B">
        <w:rPr>
          <w:rStyle w:val="FootnoteReference"/>
          <w:rFonts w:ascii="Century Schoolbook" w:hAnsi="Century Schoolbook"/>
        </w:rPr>
        <w:footnoteRef/>
      </w:r>
      <w:r w:rsidRPr="005B268B">
        <w:rPr>
          <w:rFonts w:ascii="Century Schoolbook" w:hAnsi="Century Schoolbook"/>
        </w:rPr>
        <w:t xml:space="preserve"> Because we reverse the order as to the fifth cause of action on these grounds, we do not reach appellant’s contention that this claim alleged a minimum wage violation, which “expressly appl[ies] to public entities.” </w:t>
      </w:r>
    </w:p>
  </w:footnote>
  <w:footnote w:id="10">
    <w:p w:rsidR="00500C5E" w:rsidRPr="00334CA5" w:rsidP="00334CA5" w14:paraId="42618526" w14:textId="59C36AA5">
      <w:pPr>
        <w:pStyle w:val="FootnoteText"/>
        <w:ind w:firstLine="720"/>
      </w:pPr>
      <w:r w:rsidRPr="00334CA5">
        <w:rPr>
          <w:rStyle w:val="FootnoteReference"/>
          <w:rFonts w:ascii="Century Schoolbook" w:hAnsi="Century Schoolbook"/>
        </w:rPr>
        <w:footnoteRef/>
      </w:r>
      <w:r w:rsidRPr="00334CA5">
        <w:rPr>
          <w:rFonts w:ascii="Century Schoolbook" w:hAnsi="Century Schoolbook"/>
        </w:rPr>
        <w:t xml:space="preserve"> </w:t>
      </w:r>
      <w:r w:rsidRPr="00334CA5" w:rsidR="001F304E">
        <w:rPr>
          <w:rFonts w:ascii="Century Schoolbook" w:hAnsi="Century Schoolbook"/>
        </w:rPr>
        <w:t xml:space="preserve">Appellant </w:t>
      </w:r>
      <w:r w:rsidRPr="00334CA5" w:rsidR="002E6F80">
        <w:rPr>
          <w:rFonts w:ascii="Century Schoolbook" w:hAnsi="Century Schoolbook"/>
        </w:rPr>
        <w:t>a</w:t>
      </w:r>
      <w:r w:rsidR="002E6F80">
        <w:rPr>
          <w:rFonts w:ascii="Century Schoolbook" w:hAnsi="Century Schoolbook"/>
        </w:rPr>
        <w:t>s</w:t>
      </w:r>
      <w:r w:rsidRPr="00334CA5" w:rsidR="002E6F80">
        <w:rPr>
          <w:rFonts w:ascii="Century Schoolbook" w:hAnsi="Century Schoolbook"/>
        </w:rPr>
        <w:t>s</w:t>
      </w:r>
      <w:r w:rsidR="002E6F80">
        <w:rPr>
          <w:rFonts w:ascii="Century Schoolbook" w:hAnsi="Century Schoolbook"/>
        </w:rPr>
        <w:t>erts in passing</w:t>
      </w:r>
      <w:r w:rsidRPr="00334CA5" w:rsidR="002E6F80">
        <w:rPr>
          <w:rFonts w:ascii="Century Schoolbook" w:hAnsi="Century Schoolbook"/>
        </w:rPr>
        <w:t xml:space="preserve"> </w:t>
      </w:r>
      <w:r w:rsidRPr="00334CA5" w:rsidR="001F304E">
        <w:rPr>
          <w:rFonts w:ascii="Century Schoolbook" w:hAnsi="Century Schoolbook"/>
        </w:rPr>
        <w:t xml:space="preserve">that a third such statute is section 1194.2.  That law allows for the recovery of liquidated damages “[i]n any action under Section 98, 1193.6, 1194, or 1197.1 to recover wages because of the payment of a wage less than the minimum wage fixed by an order of the commission or by statute.”  (§ 1194.2, subd. (a).)  </w:t>
      </w:r>
      <w:r w:rsidR="002E6F80">
        <w:rPr>
          <w:rFonts w:ascii="Century Schoolbook" w:hAnsi="Century Schoolbook"/>
        </w:rPr>
        <w:t>And i</w:t>
      </w:r>
      <w:r w:rsidRPr="00334CA5" w:rsidR="002E6F80">
        <w:rPr>
          <w:rFonts w:ascii="Century Schoolbook" w:hAnsi="Century Schoolbook"/>
        </w:rPr>
        <w:t>ndeed</w:t>
      </w:r>
      <w:r w:rsidRPr="00334CA5" w:rsidR="001F304E">
        <w:rPr>
          <w:rFonts w:ascii="Century Schoolbook" w:hAnsi="Century Schoolbook"/>
        </w:rPr>
        <w:t>, those liquidated damages “are in effect a penalty equal to the amount of unpaid minimum wages.”  (</w:t>
      </w:r>
      <w:r w:rsidRPr="00334CA5" w:rsidR="001F304E">
        <w:rPr>
          <w:rFonts w:ascii="Century Schoolbook" w:hAnsi="Century Schoolbook"/>
          <w:i/>
          <w:iCs/>
        </w:rPr>
        <w:t>Martinez v. Combs</w:t>
      </w:r>
      <w:r w:rsidRPr="00334CA5" w:rsidR="001F304E">
        <w:rPr>
          <w:rFonts w:ascii="Century Schoolbook" w:hAnsi="Century Schoolbook"/>
        </w:rPr>
        <w:t xml:space="preserve"> (2010) 49 Cal.4th 35, 48, fn. 8.)  </w:t>
      </w:r>
      <w:r w:rsidRPr="00334CA5" w:rsidR="00334CA5">
        <w:rPr>
          <w:rFonts w:ascii="Century Schoolbook" w:hAnsi="Century Schoolbook"/>
        </w:rPr>
        <w:t xml:space="preserve">But appellant has not </w:t>
      </w:r>
      <w:r w:rsidR="002E6F80">
        <w:rPr>
          <w:rFonts w:ascii="Century Schoolbook" w:hAnsi="Century Schoolbook"/>
        </w:rPr>
        <w:t xml:space="preserve">attempted to </w:t>
      </w:r>
      <w:r w:rsidRPr="00334CA5" w:rsidR="00334CA5">
        <w:rPr>
          <w:rFonts w:ascii="Century Schoolbook" w:hAnsi="Century Schoolbook"/>
        </w:rPr>
        <w:t>show that this penalty is a “</w:t>
      </w:r>
      <w:r w:rsidRPr="00334CA5" w:rsidR="00334CA5">
        <w:rPr>
          <w:rFonts w:ascii="Century Schoolbook" w:hAnsi="Century Schoolbook"/>
          <w:i/>
          <w:iCs/>
        </w:rPr>
        <w:t>civil</w:t>
      </w:r>
      <w:r w:rsidRPr="00334CA5" w:rsidR="00334CA5">
        <w:rPr>
          <w:rFonts w:ascii="Century Schoolbook" w:hAnsi="Century Schoolbook"/>
        </w:rPr>
        <w:t xml:space="preserve"> penalty” within the meaning of section 2699, subdivision (f).</w:t>
      </w:r>
      <w:r w:rsidR="00334CA5">
        <w:rPr>
          <w:rFonts w:ascii="Century Schoolbook" w:hAnsi="Century Schoolbook"/>
        </w:rPr>
        <w:t xml:space="preserve">  (Italics added.)</w:t>
      </w:r>
      <w:r w:rsidR="002E6F80">
        <w:rPr>
          <w:rFonts w:ascii="Century Schoolbook" w:hAnsi="Century Schoolbook"/>
        </w:rPr>
        <w:t xml:space="preserve">  In any event, the fact that PAGA claims would lie for violations of sections 210 and 225.5 is dispositive, so we do not reach the question of whether “liquidated damages” under section 1194.2 are a “civil penalty” under section 2699, subdivision (f). </w:t>
      </w:r>
    </w:p>
  </w:footnote>
  <w:footnote w:id="11">
    <w:p w:rsidR="00FA7268" w:rsidRPr="00E274FD" w:rsidP="00FA7268" w14:paraId="534C1CFE" w14:textId="205C2D58">
      <w:pPr>
        <w:pStyle w:val="FootnoteText"/>
        <w:ind w:firstLine="720"/>
        <w:rPr>
          <w:rFonts w:ascii="Century Schoolbook" w:hAnsi="Century Schoolbook"/>
        </w:rPr>
      </w:pPr>
      <w:r w:rsidRPr="00E274FD">
        <w:rPr>
          <w:rStyle w:val="FootnoteReference"/>
          <w:rFonts w:ascii="Century Schoolbook" w:hAnsi="Century Schoolbook"/>
        </w:rPr>
        <w:t>*</w:t>
      </w:r>
      <w:r w:rsidRPr="00E274FD">
        <w:rPr>
          <w:rFonts w:ascii="Century Schoolbook" w:hAnsi="Century Schoolbook"/>
        </w:rPr>
        <w:t xml:space="preserve"> </w:t>
      </w:r>
      <w:r w:rsidRPr="00E274FD">
        <w:rPr>
          <w:rFonts w:ascii="Century Schoolbook" w:hAnsi="Century Schoolbook"/>
          <w:szCs w:val="26"/>
        </w:rPr>
        <w:t>Retired Associate Justice of the Court of Appeal, Fifth Appellate District, assigned by the Chief Justice pursuant to article VI, section 6 of the California Constitution.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0E82" w14:paraId="2BD9C7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0E82" w14:paraId="426B3EA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0E82" w14:paraId="4853F5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F33A9"/>
    <w:multiLevelType w:val="hybridMultilevel"/>
    <w:tmpl w:val="9F0E67C8"/>
    <w:lvl w:ilvl="0">
      <w:start w:val="3"/>
      <w:numFmt w:val="decimal"/>
      <w:lvlText w:val="%1."/>
      <w:lvlJc w:val="left"/>
      <w:pPr>
        <w:ind w:left="1100" w:hanging="38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8EA3116"/>
    <w:multiLevelType w:val="hybridMultilevel"/>
    <w:tmpl w:val="EADEF0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430F36"/>
    <w:multiLevelType w:val="hybridMultilevel"/>
    <w:tmpl w:val="28CCA0A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154AE5"/>
    <w:multiLevelType w:val="hybridMultilevel"/>
    <w:tmpl w:val="C1AA4A8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3E3B0C"/>
    <w:multiLevelType w:val="hybridMultilevel"/>
    <w:tmpl w:val="406007B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B4644C"/>
    <w:multiLevelType w:val="hybridMultilevel"/>
    <w:tmpl w:val="2F5417BC"/>
    <w:lvl w:ilvl="0">
      <w:start w:val="2"/>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E034F2"/>
    <w:multiLevelType w:val="hybridMultilevel"/>
    <w:tmpl w:val="C93C87F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D24F70"/>
    <w:multiLevelType w:val="hybridMultilevel"/>
    <w:tmpl w:val="1AD6068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F8225D"/>
    <w:multiLevelType w:val="hybridMultilevel"/>
    <w:tmpl w:val="9C12F2D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4A646B6"/>
    <w:multiLevelType w:val="hybridMultilevel"/>
    <w:tmpl w:val="4A400BD4"/>
    <w:lvl w:ilvl="0">
      <w:start w:val="1"/>
      <w:numFmt w:val="upperLetter"/>
      <w:lvlText w:val="%1."/>
      <w:lvlJc w:val="left"/>
      <w:pPr>
        <w:ind w:left="1110" w:hanging="39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38E41DB"/>
    <w:multiLevelType w:val="hybridMultilevel"/>
    <w:tmpl w:val="9DDEB80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3954118"/>
    <w:multiLevelType w:val="hybridMultilevel"/>
    <w:tmpl w:val="BF9C45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8E75F42"/>
    <w:multiLevelType w:val="hybridMultilevel"/>
    <w:tmpl w:val="3EB62DD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8C21A97"/>
    <w:multiLevelType w:val="hybridMultilevel"/>
    <w:tmpl w:val="12C2FB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623726C"/>
    <w:multiLevelType w:val="hybridMultilevel"/>
    <w:tmpl w:val="37CE3676"/>
    <w:lvl w:ilvl="0">
      <w:start w:val="1"/>
      <w:numFmt w:val="upperLetter"/>
      <w:lvlText w:val="%1."/>
      <w:lvlJc w:val="left"/>
      <w:pPr>
        <w:ind w:left="720" w:hanging="360"/>
      </w:pPr>
      <w:rPr>
        <w:rFonts w:eastAsiaTheme="minorHAns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F80323E"/>
    <w:multiLevelType w:val="hybridMultilevel"/>
    <w:tmpl w:val="E12CE53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2"/>
  </w:num>
  <w:num w:numId="3">
    <w:abstractNumId w:val="15"/>
  </w:num>
  <w:num w:numId="4">
    <w:abstractNumId w:val="10"/>
  </w:num>
  <w:num w:numId="5">
    <w:abstractNumId w:val="12"/>
  </w:num>
  <w:num w:numId="6">
    <w:abstractNumId w:val="13"/>
  </w:num>
  <w:num w:numId="7">
    <w:abstractNumId w:val="6"/>
  </w:num>
  <w:num w:numId="8">
    <w:abstractNumId w:val="8"/>
  </w:num>
  <w:num w:numId="9">
    <w:abstractNumId w:val="4"/>
  </w:num>
  <w:num w:numId="10">
    <w:abstractNumId w:val="14"/>
  </w:num>
  <w:num w:numId="11">
    <w:abstractNumId w:val="7"/>
  </w:num>
  <w:num w:numId="12">
    <w:abstractNumId w:val="3"/>
  </w:num>
  <w:num w:numId="13">
    <w:abstractNumId w:val="1"/>
  </w:num>
  <w:num w:numId="14">
    <w:abstractNumId w:val="5"/>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36B"/>
    <w:rsid w:val="000012EE"/>
    <w:rsid w:val="0000411F"/>
    <w:rsid w:val="00015257"/>
    <w:rsid w:val="0001767E"/>
    <w:rsid w:val="000211B3"/>
    <w:rsid w:val="00021374"/>
    <w:rsid w:val="00022FF2"/>
    <w:rsid w:val="000244C8"/>
    <w:rsid w:val="00024EA9"/>
    <w:rsid w:val="00025330"/>
    <w:rsid w:val="00025415"/>
    <w:rsid w:val="00030458"/>
    <w:rsid w:val="00031303"/>
    <w:rsid w:val="000313A0"/>
    <w:rsid w:val="00033872"/>
    <w:rsid w:val="0004028D"/>
    <w:rsid w:val="00042A54"/>
    <w:rsid w:val="00042F86"/>
    <w:rsid w:val="000465CE"/>
    <w:rsid w:val="00046F94"/>
    <w:rsid w:val="000509EF"/>
    <w:rsid w:val="00052195"/>
    <w:rsid w:val="00052AAA"/>
    <w:rsid w:val="00054A16"/>
    <w:rsid w:val="00057D19"/>
    <w:rsid w:val="0006141A"/>
    <w:rsid w:val="00062188"/>
    <w:rsid w:val="00064F18"/>
    <w:rsid w:val="00065E1A"/>
    <w:rsid w:val="00067332"/>
    <w:rsid w:val="000674AC"/>
    <w:rsid w:val="00070FB1"/>
    <w:rsid w:val="00071834"/>
    <w:rsid w:val="00072237"/>
    <w:rsid w:val="0007248D"/>
    <w:rsid w:val="00076474"/>
    <w:rsid w:val="00076D66"/>
    <w:rsid w:val="00077876"/>
    <w:rsid w:val="000819B7"/>
    <w:rsid w:val="00084208"/>
    <w:rsid w:val="0008618B"/>
    <w:rsid w:val="00090688"/>
    <w:rsid w:val="00091FD4"/>
    <w:rsid w:val="00093ACE"/>
    <w:rsid w:val="00093B08"/>
    <w:rsid w:val="00096B73"/>
    <w:rsid w:val="00096E0D"/>
    <w:rsid w:val="00097FD1"/>
    <w:rsid w:val="000A0665"/>
    <w:rsid w:val="000A237D"/>
    <w:rsid w:val="000A29D9"/>
    <w:rsid w:val="000A5285"/>
    <w:rsid w:val="000B1558"/>
    <w:rsid w:val="000B29BB"/>
    <w:rsid w:val="000B2A97"/>
    <w:rsid w:val="000B4FBE"/>
    <w:rsid w:val="000B6DC7"/>
    <w:rsid w:val="000C1C58"/>
    <w:rsid w:val="000C4E3B"/>
    <w:rsid w:val="000C564F"/>
    <w:rsid w:val="000C66B5"/>
    <w:rsid w:val="000C6FFA"/>
    <w:rsid w:val="000D0029"/>
    <w:rsid w:val="000D05BE"/>
    <w:rsid w:val="000D0A1E"/>
    <w:rsid w:val="000D3164"/>
    <w:rsid w:val="000D3E27"/>
    <w:rsid w:val="000D5032"/>
    <w:rsid w:val="000D63A1"/>
    <w:rsid w:val="000D732A"/>
    <w:rsid w:val="000D7B51"/>
    <w:rsid w:val="000E1378"/>
    <w:rsid w:val="000E3B05"/>
    <w:rsid w:val="000E467C"/>
    <w:rsid w:val="000E4FAB"/>
    <w:rsid w:val="000E6049"/>
    <w:rsid w:val="000F109C"/>
    <w:rsid w:val="000F25C4"/>
    <w:rsid w:val="000F3F2E"/>
    <w:rsid w:val="000F4F5C"/>
    <w:rsid w:val="000F5B78"/>
    <w:rsid w:val="0010425D"/>
    <w:rsid w:val="001052EA"/>
    <w:rsid w:val="00106638"/>
    <w:rsid w:val="00107DD7"/>
    <w:rsid w:val="00112340"/>
    <w:rsid w:val="001150AD"/>
    <w:rsid w:val="00122882"/>
    <w:rsid w:val="0012705A"/>
    <w:rsid w:val="0013417F"/>
    <w:rsid w:val="0013504F"/>
    <w:rsid w:val="0013584B"/>
    <w:rsid w:val="00135D70"/>
    <w:rsid w:val="0013619D"/>
    <w:rsid w:val="00136BDE"/>
    <w:rsid w:val="00137BC2"/>
    <w:rsid w:val="00140EE7"/>
    <w:rsid w:val="00141358"/>
    <w:rsid w:val="00142BAD"/>
    <w:rsid w:val="0014391F"/>
    <w:rsid w:val="00145DBC"/>
    <w:rsid w:val="00152196"/>
    <w:rsid w:val="0015428A"/>
    <w:rsid w:val="00155EBA"/>
    <w:rsid w:val="00163531"/>
    <w:rsid w:val="00163798"/>
    <w:rsid w:val="00163DA8"/>
    <w:rsid w:val="0016472C"/>
    <w:rsid w:val="0017082A"/>
    <w:rsid w:val="00170DEE"/>
    <w:rsid w:val="00170DEF"/>
    <w:rsid w:val="001729FB"/>
    <w:rsid w:val="00173368"/>
    <w:rsid w:val="00177B81"/>
    <w:rsid w:val="00180B74"/>
    <w:rsid w:val="00180D95"/>
    <w:rsid w:val="001816CE"/>
    <w:rsid w:val="00181FCF"/>
    <w:rsid w:val="00182A56"/>
    <w:rsid w:val="0018321E"/>
    <w:rsid w:val="00185952"/>
    <w:rsid w:val="00186C4C"/>
    <w:rsid w:val="00192418"/>
    <w:rsid w:val="0019260B"/>
    <w:rsid w:val="00192B53"/>
    <w:rsid w:val="0019464A"/>
    <w:rsid w:val="00194E89"/>
    <w:rsid w:val="00195450"/>
    <w:rsid w:val="00197B90"/>
    <w:rsid w:val="001A1FEF"/>
    <w:rsid w:val="001A2BF9"/>
    <w:rsid w:val="001A4025"/>
    <w:rsid w:val="001A4C0C"/>
    <w:rsid w:val="001A6293"/>
    <w:rsid w:val="001A64B8"/>
    <w:rsid w:val="001A6B60"/>
    <w:rsid w:val="001A6E49"/>
    <w:rsid w:val="001A72F4"/>
    <w:rsid w:val="001A7324"/>
    <w:rsid w:val="001B4184"/>
    <w:rsid w:val="001B49E2"/>
    <w:rsid w:val="001B6248"/>
    <w:rsid w:val="001C03BC"/>
    <w:rsid w:val="001C19D3"/>
    <w:rsid w:val="001C2ABA"/>
    <w:rsid w:val="001C3EDE"/>
    <w:rsid w:val="001C5F32"/>
    <w:rsid w:val="001C6D27"/>
    <w:rsid w:val="001C742F"/>
    <w:rsid w:val="001C7792"/>
    <w:rsid w:val="001C7C73"/>
    <w:rsid w:val="001D00BB"/>
    <w:rsid w:val="001D04F5"/>
    <w:rsid w:val="001D1322"/>
    <w:rsid w:val="001D47CE"/>
    <w:rsid w:val="001D49EE"/>
    <w:rsid w:val="001D4B2D"/>
    <w:rsid w:val="001D7C13"/>
    <w:rsid w:val="001E0C4D"/>
    <w:rsid w:val="001E18E6"/>
    <w:rsid w:val="001E19F5"/>
    <w:rsid w:val="001E2E35"/>
    <w:rsid w:val="001E3626"/>
    <w:rsid w:val="001E4E86"/>
    <w:rsid w:val="001F0618"/>
    <w:rsid w:val="001F135E"/>
    <w:rsid w:val="001F1DBE"/>
    <w:rsid w:val="001F304E"/>
    <w:rsid w:val="001F44C0"/>
    <w:rsid w:val="001F4B71"/>
    <w:rsid w:val="001F6086"/>
    <w:rsid w:val="001F6893"/>
    <w:rsid w:val="002003C7"/>
    <w:rsid w:val="00200DF0"/>
    <w:rsid w:val="0020384A"/>
    <w:rsid w:val="002050A6"/>
    <w:rsid w:val="00206D50"/>
    <w:rsid w:val="00206DE7"/>
    <w:rsid w:val="0021058E"/>
    <w:rsid w:val="0021309E"/>
    <w:rsid w:val="002159C3"/>
    <w:rsid w:val="00216B1C"/>
    <w:rsid w:val="00217979"/>
    <w:rsid w:val="0022094B"/>
    <w:rsid w:val="00221D0B"/>
    <w:rsid w:val="00222B1C"/>
    <w:rsid w:val="00224C23"/>
    <w:rsid w:val="00225209"/>
    <w:rsid w:val="00227079"/>
    <w:rsid w:val="002275C3"/>
    <w:rsid w:val="00227682"/>
    <w:rsid w:val="00230315"/>
    <w:rsid w:val="00231F1F"/>
    <w:rsid w:val="002322CF"/>
    <w:rsid w:val="0023299F"/>
    <w:rsid w:val="00233817"/>
    <w:rsid w:val="0023700E"/>
    <w:rsid w:val="002406D3"/>
    <w:rsid w:val="00243474"/>
    <w:rsid w:val="00245FE1"/>
    <w:rsid w:val="00246764"/>
    <w:rsid w:val="00250CBA"/>
    <w:rsid w:val="00252D92"/>
    <w:rsid w:val="0025426B"/>
    <w:rsid w:val="00254D14"/>
    <w:rsid w:val="00262B29"/>
    <w:rsid w:val="00263023"/>
    <w:rsid w:val="00264F4B"/>
    <w:rsid w:val="002656CC"/>
    <w:rsid w:val="00267AC7"/>
    <w:rsid w:val="0027002F"/>
    <w:rsid w:val="00270CC7"/>
    <w:rsid w:val="002715F9"/>
    <w:rsid w:val="0027309C"/>
    <w:rsid w:val="00273632"/>
    <w:rsid w:val="002749C3"/>
    <w:rsid w:val="002750C8"/>
    <w:rsid w:val="0027541D"/>
    <w:rsid w:val="00281F1E"/>
    <w:rsid w:val="0028265D"/>
    <w:rsid w:val="00284279"/>
    <w:rsid w:val="002848DA"/>
    <w:rsid w:val="0028499B"/>
    <w:rsid w:val="002877C7"/>
    <w:rsid w:val="0029032B"/>
    <w:rsid w:val="002914BE"/>
    <w:rsid w:val="00291723"/>
    <w:rsid w:val="0029417E"/>
    <w:rsid w:val="002949F2"/>
    <w:rsid w:val="00294B36"/>
    <w:rsid w:val="00294E5B"/>
    <w:rsid w:val="0029611E"/>
    <w:rsid w:val="002A5495"/>
    <w:rsid w:val="002A701F"/>
    <w:rsid w:val="002A7504"/>
    <w:rsid w:val="002B059D"/>
    <w:rsid w:val="002B0FC6"/>
    <w:rsid w:val="002B2D6E"/>
    <w:rsid w:val="002B3BC7"/>
    <w:rsid w:val="002B494A"/>
    <w:rsid w:val="002B5217"/>
    <w:rsid w:val="002C01ED"/>
    <w:rsid w:val="002C0F44"/>
    <w:rsid w:val="002C15C1"/>
    <w:rsid w:val="002C1E96"/>
    <w:rsid w:val="002C52D9"/>
    <w:rsid w:val="002C6729"/>
    <w:rsid w:val="002C7AC5"/>
    <w:rsid w:val="002C7B7B"/>
    <w:rsid w:val="002D14ED"/>
    <w:rsid w:val="002D293F"/>
    <w:rsid w:val="002D2CC6"/>
    <w:rsid w:val="002D34DE"/>
    <w:rsid w:val="002D50F0"/>
    <w:rsid w:val="002D59E9"/>
    <w:rsid w:val="002D72E9"/>
    <w:rsid w:val="002E2D5D"/>
    <w:rsid w:val="002E5027"/>
    <w:rsid w:val="002E576B"/>
    <w:rsid w:val="002E6F80"/>
    <w:rsid w:val="002F0A1C"/>
    <w:rsid w:val="002F129B"/>
    <w:rsid w:val="002F2307"/>
    <w:rsid w:val="002F498A"/>
    <w:rsid w:val="002F5025"/>
    <w:rsid w:val="00300D29"/>
    <w:rsid w:val="00305956"/>
    <w:rsid w:val="00305977"/>
    <w:rsid w:val="00307460"/>
    <w:rsid w:val="0031085B"/>
    <w:rsid w:val="00311963"/>
    <w:rsid w:val="0031543D"/>
    <w:rsid w:val="00315E80"/>
    <w:rsid w:val="00315F31"/>
    <w:rsid w:val="00316F4D"/>
    <w:rsid w:val="0031736D"/>
    <w:rsid w:val="00320129"/>
    <w:rsid w:val="003207A5"/>
    <w:rsid w:val="003218BB"/>
    <w:rsid w:val="00322B31"/>
    <w:rsid w:val="00323121"/>
    <w:rsid w:val="003250D7"/>
    <w:rsid w:val="00325648"/>
    <w:rsid w:val="00327E0F"/>
    <w:rsid w:val="003316EA"/>
    <w:rsid w:val="00334CA5"/>
    <w:rsid w:val="00335279"/>
    <w:rsid w:val="003363ED"/>
    <w:rsid w:val="00336876"/>
    <w:rsid w:val="00341FA5"/>
    <w:rsid w:val="00343465"/>
    <w:rsid w:val="0034469C"/>
    <w:rsid w:val="0034687E"/>
    <w:rsid w:val="003478FA"/>
    <w:rsid w:val="00350CC5"/>
    <w:rsid w:val="00350CD8"/>
    <w:rsid w:val="00351AD9"/>
    <w:rsid w:val="003538F0"/>
    <w:rsid w:val="003550A4"/>
    <w:rsid w:val="003557FC"/>
    <w:rsid w:val="003607D2"/>
    <w:rsid w:val="003621F7"/>
    <w:rsid w:val="003654A7"/>
    <w:rsid w:val="003669C3"/>
    <w:rsid w:val="00366AB4"/>
    <w:rsid w:val="0036729D"/>
    <w:rsid w:val="003705B1"/>
    <w:rsid w:val="00370872"/>
    <w:rsid w:val="003721A3"/>
    <w:rsid w:val="00372375"/>
    <w:rsid w:val="0037475B"/>
    <w:rsid w:val="003753F9"/>
    <w:rsid w:val="003769D2"/>
    <w:rsid w:val="00376CDF"/>
    <w:rsid w:val="003779FA"/>
    <w:rsid w:val="00380752"/>
    <w:rsid w:val="00381BAE"/>
    <w:rsid w:val="003833CA"/>
    <w:rsid w:val="00383560"/>
    <w:rsid w:val="00383739"/>
    <w:rsid w:val="00385452"/>
    <w:rsid w:val="0038763B"/>
    <w:rsid w:val="00391F89"/>
    <w:rsid w:val="00394AE6"/>
    <w:rsid w:val="003A0E63"/>
    <w:rsid w:val="003A13CC"/>
    <w:rsid w:val="003A26CB"/>
    <w:rsid w:val="003A58FD"/>
    <w:rsid w:val="003A78B2"/>
    <w:rsid w:val="003B39FE"/>
    <w:rsid w:val="003B3E3D"/>
    <w:rsid w:val="003B41B8"/>
    <w:rsid w:val="003B4FAA"/>
    <w:rsid w:val="003B5652"/>
    <w:rsid w:val="003B5875"/>
    <w:rsid w:val="003B602D"/>
    <w:rsid w:val="003B7C0F"/>
    <w:rsid w:val="003C03BB"/>
    <w:rsid w:val="003C07ED"/>
    <w:rsid w:val="003D1AFA"/>
    <w:rsid w:val="003D3CA8"/>
    <w:rsid w:val="003D48FB"/>
    <w:rsid w:val="003D63E5"/>
    <w:rsid w:val="003D657E"/>
    <w:rsid w:val="003D6981"/>
    <w:rsid w:val="003D6991"/>
    <w:rsid w:val="003D720E"/>
    <w:rsid w:val="003E0356"/>
    <w:rsid w:val="003E14EF"/>
    <w:rsid w:val="003E1826"/>
    <w:rsid w:val="003E23AF"/>
    <w:rsid w:val="003E23C1"/>
    <w:rsid w:val="003E36B0"/>
    <w:rsid w:val="003E3C19"/>
    <w:rsid w:val="003E7C87"/>
    <w:rsid w:val="003F4AF9"/>
    <w:rsid w:val="003F70D7"/>
    <w:rsid w:val="004011E8"/>
    <w:rsid w:val="00404011"/>
    <w:rsid w:val="004063E8"/>
    <w:rsid w:val="00406BC7"/>
    <w:rsid w:val="00411EA0"/>
    <w:rsid w:val="004147B0"/>
    <w:rsid w:val="00415C6F"/>
    <w:rsid w:val="00422856"/>
    <w:rsid w:val="00423A04"/>
    <w:rsid w:val="00425849"/>
    <w:rsid w:val="004262E0"/>
    <w:rsid w:val="00427F80"/>
    <w:rsid w:val="004313DE"/>
    <w:rsid w:val="0043180A"/>
    <w:rsid w:val="00431D6C"/>
    <w:rsid w:val="00431E91"/>
    <w:rsid w:val="0043662A"/>
    <w:rsid w:val="00440422"/>
    <w:rsid w:val="004405A0"/>
    <w:rsid w:val="004408D8"/>
    <w:rsid w:val="004420F2"/>
    <w:rsid w:val="0044501C"/>
    <w:rsid w:val="004471D9"/>
    <w:rsid w:val="0045068E"/>
    <w:rsid w:val="00453849"/>
    <w:rsid w:val="0045445A"/>
    <w:rsid w:val="00455AC3"/>
    <w:rsid w:val="0046106D"/>
    <w:rsid w:val="004635DA"/>
    <w:rsid w:val="0046398B"/>
    <w:rsid w:val="00463C4E"/>
    <w:rsid w:val="00464364"/>
    <w:rsid w:val="00464A36"/>
    <w:rsid w:val="00465B24"/>
    <w:rsid w:val="004667C6"/>
    <w:rsid w:val="00466D78"/>
    <w:rsid w:val="00467CFD"/>
    <w:rsid w:val="00470112"/>
    <w:rsid w:val="00470BED"/>
    <w:rsid w:val="00472317"/>
    <w:rsid w:val="004736E6"/>
    <w:rsid w:val="00473A06"/>
    <w:rsid w:val="004741E7"/>
    <w:rsid w:val="004754B5"/>
    <w:rsid w:val="004762E7"/>
    <w:rsid w:val="00481BCE"/>
    <w:rsid w:val="00481DAC"/>
    <w:rsid w:val="00484151"/>
    <w:rsid w:val="0048658C"/>
    <w:rsid w:val="004869B4"/>
    <w:rsid w:val="00486AC8"/>
    <w:rsid w:val="00486D38"/>
    <w:rsid w:val="00487278"/>
    <w:rsid w:val="0048744D"/>
    <w:rsid w:val="004915E8"/>
    <w:rsid w:val="00491A79"/>
    <w:rsid w:val="00492176"/>
    <w:rsid w:val="004922B5"/>
    <w:rsid w:val="00492B4F"/>
    <w:rsid w:val="00497EBF"/>
    <w:rsid w:val="004A2804"/>
    <w:rsid w:val="004A335F"/>
    <w:rsid w:val="004A4A52"/>
    <w:rsid w:val="004A61F1"/>
    <w:rsid w:val="004A64A9"/>
    <w:rsid w:val="004A7310"/>
    <w:rsid w:val="004B1A44"/>
    <w:rsid w:val="004B26B0"/>
    <w:rsid w:val="004B3157"/>
    <w:rsid w:val="004C05C1"/>
    <w:rsid w:val="004C0995"/>
    <w:rsid w:val="004C1084"/>
    <w:rsid w:val="004C60E0"/>
    <w:rsid w:val="004C79D6"/>
    <w:rsid w:val="004D13B0"/>
    <w:rsid w:val="004D19FD"/>
    <w:rsid w:val="004D1C77"/>
    <w:rsid w:val="004E24E3"/>
    <w:rsid w:val="004E2EED"/>
    <w:rsid w:val="004E6ACB"/>
    <w:rsid w:val="004F0B2A"/>
    <w:rsid w:val="004F2A4F"/>
    <w:rsid w:val="004F2B42"/>
    <w:rsid w:val="004F3677"/>
    <w:rsid w:val="004F3AB0"/>
    <w:rsid w:val="004F44D0"/>
    <w:rsid w:val="004F45A5"/>
    <w:rsid w:val="004F5750"/>
    <w:rsid w:val="004F5E0A"/>
    <w:rsid w:val="004F6281"/>
    <w:rsid w:val="004F6CD0"/>
    <w:rsid w:val="004F7FC5"/>
    <w:rsid w:val="00500C5E"/>
    <w:rsid w:val="0050467D"/>
    <w:rsid w:val="00504991"/>
    <w:rsid w:val="00505C0D"/>
    <w:rsid w:val="00505E8B"/>
    <w:rsid w:val="00510FC4"/>
    <w:rsid w:val="00511A60"/>
    <w:rsid w:val="00511D3C"/>
    <w:rsid w:val="00513953"/>
    <w:rsid w:val="00513B41"/>
    <w:rsid w:val="00513C00"/>
    <w:rsid w:val="0051473C"/>
    <w:rsid w:val="00515807"/>
    <w:rsid w:val="00522169"/>
    <w:rsid w:val="00523741"/>
    <w:rsid w:val="00523C49"/>
    <w:rsid w:val="00526408"/>
    <w:rsid w:val="00527986"/>
    <w:rsid w:val="00527C9A"/>
    <w:rsid w:val="00531311"/>
    <w:rsid w:val="0053180F"/>
    <w:rsid w:val="005330DF"/>
    <w:rsid w:val="005333CB"/>
    <w:rsid w:val="00533B77"/>
    <w:rsid w:val="00535408"/>
    <w:rsid w:val="00540103"/>
    <w:rsid w:val="005431EF"/>
    <w:rsid w:val="005461C9"/>
    <w:rsid w:val="00546A3C"/>
    <w:rsid w:val="005501D7"/>
    <w:rsid w:val="00552140"/>
    <w:rsid w:val="0055427B"/>
    <w:rsid w:val="00555F16"/>
    <w:rsid w:val="00556295"/>
    <w:rsid w:val="00564AE7"/>
    <w:rsid w:val="00564CA3"/>
    <w:rsid w:val="0056700E"/>
    <w:rsid w:val="0057043D"/>
    <w:rsid w:val="00571B58"/>
    <w:rsid w:val="005725C3"/>
    <w:rsid w:val="005744E7"/>
    <w:rsid w:val="00575EC4"/>
    <w:rsid w:val="005763FE"/>
    <w:rsid w:val="005817D8"/>
    <w:rsid w:val="00581F24"/>
    <w:rsid w:val="005825FB"/>
    <w:rsid w:val="005829F7"/>
    <w:rsid w:val="00586061"/>
    <w:rsid w:val="00587CDC"/>
    <w:rsid w:val="00590639"/>
    <w:rsid w:val="005909B4"/>
    <w:rsid w:val="00590E87"/>
    <w:rsid w:val="00593C2B"/>
    <w:rsid w:val="0059565C"/>
    <w:rsid w:val="00596260"/>
    <w:rsid w:val="00596A4A"/>
    <w:rsid w:val="00596EC3"/>
    <w:rsid w:val="00597B8B"/>
    <w:rsid w:val="005A0E82"/>
    <w:rsid w:val="005A236B"/>
    <w:rsid w:val="005A28B4"/>
    <w:rsid w:val="005A40BA"/>
    <w:rsid w:val="005B268B"/>
    <w:rsid w:val="005B26AB"/>
    <w:rsid w:val="005B3255"/>
    <w:rsid w:val="005B4961"/>
    <w:rsid w:val="005B4C81"/>
    <w:rsid w:val="005B4F48"/>
    <w:rsid w:val="005B7EE5"/>
    <w:rsid w:val="005B7EED"/>
    <w:rsid w:val="005C17F6"/>
    <w:rsid w:val="005C67B1"/>
    <w:rsid w:val="005C7D3F"/>
    <w:rsid w:val="005D235B"/>
    <w:rsid w:val="005D4605"/>
    <w:rsid w:val="005D4FE6"/>
    <w:rsid w:val="005E1DDB"/>
    <w:rsid w:val="005E27E8"/>
    <w:rsid w:val="005E290C"/>
    <w:rsid w:val="005E2A87"/>
    <w:rsid w:val="005E2EAD"/>
    <w:rsid w:val="005E3D2A"/>
    <w:rsid w:val="005E41C9"/>
    <w:rsid w:val="005E509E"/>
    <w:rsid w:val="005E525A"/>
    <w:rsid w:val="005E65BC"/>
    <w:rsid w:val="005F4C0A"/>
    <w:rsid w:val="005F58E1"/>
    <w:rsid w:val="005F6FB7"/>
    <w:rsid w:val="00601DC0"/>
    <w:rsid w:val="006050B3"/>
    <w:rsid w:val="0060564E"/>
    <w:rsid w:val="0061227B"/>
    <w:rsid w:val="006160F8"/>
    <w:rsid w:val="00616184"/>
    <w:rsid w:val="0062039D"/>
    <w:rsid w:val="006239A5"/>
    <w:rsid w:val="00624225"/>
    <w:rsid w:val="0062580E"/>
    <w:rsid w:val="00626548"/>
    <w:rsid w:val="00626B6E"/>
    <w:rsid w:val="006275B4"/>
    <w:rsid w:val="006305A0"/>
    <w:rsid w:val="006340C0"/>
    <w:rsid w:val="006340EE"/>
    <w:rsid w:val="006376D1"/>
    <w:rsid w:val="00641DEF"/>
    <w:rsid w:val="00642591"/>
    <w:rsid w:val="0064292B"/>
    <w:rsid w:val="006457C0"/>
    <w:rsid w:val="00650464"/>
    <w:rsid w:val="0065251C"/>
    <w:rsid w:val="0065398B"/>
    <w:rsid w:val="00654FB1"/>
    <w:rsid w:val="00655489"/>
    <w:rsid w:val="00656FBB"/>
    <w:rsid w:val="0066021F"/>
    <w:rsid w:val="00660DA7"/>
    <w:rsid w:val="00665419"/>
    <w:rsid w:val="00667205"/>
    <w:rsid w:val="0067242B"/>
    <w:rsid w:val="00674C10"/>
    <w:rsid w:val="00674F21"/>
    <w:rsid w:val="00674FE2"/>
    <w:rsid w:val="0067645E"/>
    <w:rsid w:val="00677B25"/>
    <w:rsid w:val="0068073B"/>
    <w:rsid w:val="00684D18"/>
    <w:rsid w:val="006871B2"/>
    <w:rsid w:val="00687A9D"/>
    <w:rsid w:val="00692889"/>
    <w:rsid w:val="006933D9"/>
    <w:rsid w:val="006945C9"/>
    <w:rsid w:val="00694DAA"/>
    <w:rsid w:val="006950C2"/>
    <w:rsid w:val="00695426"/>
    <w:rsid w:val="00696915"/>
    <w:rsid w:val="006979D9"/>
    <w:rsid w:val="006A19CA"/>
    <w:rsid w:val="006A32D5"/>
    <w:rsid w:val="006A387B"/>
    <w:rsid w:val="006A5B52"/>
    <w:rsid w:val="006B02B6"/>
    <w:rsid w:val="006B1B80"/>
    <w:rsid w:val="006B2224"/>
    <w:rsid w:val="006B2AE8"/>
    <w:rsid w:val="006B335B"/>
    <w:rsid w:val="006B444F"/>
    <w:rsid w:val="006B6A91"/>
    <w:rsid w:val="006C001E"/>
    <w:rsid w:val="006C09DD"/>
    <w:rsid w:val="006C26CF"/>
    <w:rsid w:val="006C26F1"/>
    <w:rsid w:val="006C2728"/>
    <w:rsid w:val="006C2D82"/>
    <w:rsid w:val="006C36F2"/>
    <w:rsid w:val="006C4347"/>
    <w:rsid w:val="006C5F87"/>
    <w:rsid w:val="006C7010"/>
    <w:rsid w:val="006D0BCD"/>
    <w:rsid w:val="006D1095"/>
    <w:rsid w:val="006D1F59"/>
    <w:rsid w:val="006D2387"/>
    <w:rsid w:val="006D248A"/>
    <w:rsid w:val="006D37A1"/>
    <w:rsid w:val="006E2DBB"/>
    <w:rsid w:val="006E3017"/>
    <w:rsid w:val="006E60A9"/>
    <w:rsid w:val="006F0345"/>
    <w:rsid w:val="006F137A"/>
    <w:rsid w:val="006F28CA"/>
    <w:rsid w:val="006F3DD6"/>
    <w:rsid w:val="006F406C"/>
    <w:rsid w:val="006F4E79"/>
    <w:rsid w:val="006F5FFB"/>
    <w:rsid w:val="006F6EFB"/>
    <w:rsid w:val="007025D4"/>
    <w:rsid w:val="00710066"/>
    <w:rsid w:val="00711491"/>
    <w:rsid w:val="00711D2D"/>
    <w:rsid w:val="007124AF"/>
    <w:rsid w:val="00713E5C"/>
    <w:rsid w:val="00715B17"/>
    <w:rsid w:val="007165AB"/>
    <w:rsid w:val="007169CA"/>
    <w:rsid w:val="00716E0D"/>
    <w:rsid w:val="00720C7D"/>
    <w:rsid w:val="007234E0"/>
    <w:rsid w:val="007242D7"/>
    <w:rsid w:val="00727626"/>
    <w:rsid w:val="00732CBD"/>
    <w:rsid w:val="00735DA3"/>
    <w:rsid w:val="0073604F"/>
    <w:rsid w:val="00746565"/>
    <w:rsid w:val="007503CA"/>
    <w:rsid w:val="00750C95"/>
    <w:rsid w:val="00750DBC"/>
    <w:rsid w:val="00751D57"/>
    <w:rsid w:val="00760A75"/>
    <w:rsid w:val="007634FD"/>
    <w:rsid w:val="00763DB9"/>
    <w:rsid w:val="00765D1E"/>
    <w:rsid w:val="00766193"/>
    <w:rsid w:val="00770535"/>
    <w:rsid w:val="007719CD"/>
    <w:rsid w:val="0077220B"/>
    <w:rsid w:val="00773AF3"/>
    <w:rsid w:val="0077453A"/>
    <w:rsid w:val="00775885"/>
    <w:rsid w:val="00776A76"/>
    <w:rsid w:val="0077739F"/>
    <w:rsid w:val="00781A1B"/>
    <w:rsid w:val="00784601"/>
    <w:rsid w:val="007849B1"/>
    <w:rsid w:val="00785143"/>
    <w:rsid w:val="00790F96"/>
    <w:rsid w:val="007925F3"/>
    <w:rsid w:val="00792BFD"/>
    <w:rsid w:val="007946B2"/>
    <w:rsid w:val="00794880"/>
    <w:rsid w:val="007A2574"/>
    <w:rsid w:val="007A41F1"/>
    <w:rsid w:val="007A5875"/>
    <w:rsid w:val="007A64CB"/>
    <w:rsid w:val="007A7158"/>
    <w:rsid w:val="007B0371"/>
    <w:rsid w:val="007B067B"/>
    <w:rsid w:val="007B0E4B"/>
    <w:rsid w:val="007B4274"/>
    <w:rsid w:val="007B5B88"/>
    <w:rsid w:val="007C035B"/>
    <w:rsid w:val="007C234E"/>
    <w:rsid w:val="007C410A"/>
    <w:rsid w:val="007C46BD"/>
    <w:rsid w:val="007C48E1"/>
    <w:rsid w:val="007D050D"/>
    <w:rsid w:val="007D0C43"/>
    <w:rsid w:val="007D1D7E"/>
    <w:rsid w:val="007D3A8F"/>
    <w:rsid w:val="007D50E5"/>
    <w:rsid w:val="007D5CE0"/>
    <w:rsid w:val="007D71BD"/>
    <w:rsid w:val="007E2E65"/>
    <w:rsid w:val="007E3830"/>
    <w:rsid w:val="007E5593"/>
    <w:rsid w:val="007E58DB"/>
    <w:rsid w:val="007E5A9B"/>
    <w:rsid w:val="007E6C5C"/>
    <w:rsid w:val="007E6F5D"/>
    <w:rsid w:val="007E76A1"/>
    <w:rsid w:val="007E7C60"/>
    <w:rsid w:val="007F064C"/>
    <w:rsid w:val="007F0AA8"/>
    <w:rsid w:val="007F238B"/>
    <w:rsid w:val="007F3445"/>
    <w:rsid w:val="007F4E38"/>
    <w:rsid w:val="007F6248"/>
    <w:rsid w:val="00800F6D"/>
    <w:rsid w:val="00802C31"/>
    <w:rsid w:val="00807D7A"/>
    <w:rsid w:val="00810521"/>
    <w:rsid w:val="008141C7"/>
    <w:rsid w:val="00814461"/>
    <w:rsid w:val="00814CE3"/>
    <w:rsid w:val="00815FD5"/>
    <w:rsid w:val="0081792C"/>
    <w:rsid w:val="00821A3A"/>
    <w:rsid w:val="00823815"/>
    <w:rsid w:val="00823AE7"/>
    <w:rsid w:val="008268A7"/>
    <w:rsid w:val="00830D5E"/>
    <w:rsid w:val="00831553"/>
    <w:rsid w:val="00835A88"/>
    <w:rsid w:val="00835F17"/>
    <w:rsid w:val="008403E4"/>
    <w:rsid w:val="0084092A"/>
    <w:rsid w:val="00842EEB"/>
    <w:rsid w:val="008445B9"/>
    <w:rsid w:val="00844C5C"/>
    <w:rsid w:val="00847A05"/>
    <w:rsid w:val="008530E4"/>
    <w:rsid w:val="00853C14"/>
    <w:rsid w:val="00854050"/>
    <w:rsid w:val="00856989"/>
    <w:rsid w:val="0086110C"/>
    <w:rsid w:val="00861C9C"/>
    <w:rsid w:val="00865AB1"/>
    <w:rsid w:val="00871458"/>
    <w:rsid w:val="00871F34"/>
    <w:rsid w:val="00873374"/>
    <w:rsid w:val="0087449C"/>
    <w:rsid w:val="00877219"/>
    <w:rsid w:val="00877763"/>
    <w:rsid w:val="00881B4A"/>
    <w:rsid w:val="00882AB6"/>
    <w:rsid w:val="00884FF3"/>
    <w:rsid w:val="008855C2"/>
    <w:rsid w:val="00886718"/>
    <w:rsid w:val="0088679D"/>
    <w:rsid w:val="00887552"/>
    <w:rsid w:val="0088782E"/>
    <w:rsid w:val="00887E1F"/>
    <w:rsid w:val="008926F2"/>
    <w:rsid w:val="00893EE2"/>
    <w:rsid w:val="0089400B"/>
    <w:rsid w:val="00894FD6"/>
    <w:rsid w:val="00895AE7"/>
    <w:rsid w:val="00896093"/>
    <w:rsid w:val="008A1357"/>
    <w:rsid w:val="008A3EDA"/>
    <w:rsid w:val="008A5E64"/>
    <w:rsid w:val="008A6B01"/>
    <w:rsid w:val="008A6C4E"/>
    <w:rsid w:val="008B4268"/>
    <w:rsid w:val="008B568F"/>
    <w:rsid w:val="008B5FC5"/>
    <w:rsid w:val="008C0EB6"/>
    <w:rsid w:val="008C268F"/>
    <w:rsid w:val="008C2ADC"/>
    <w:rsid w:val="008C3922"/>
    <w:rsid w:val="008C4863"/>
    <w:rsid w:val="008C5608"/>
    <w:rsid w:val="008C77C9"/>
    <w:rsid w:val="008C7815"/>
    <w:rsid w:val="008D24B6"/>
    <w:rsid w:val="008D622F"/>
    <w:rsid w:val="008D6271"/>
    <w:rsid w:val="008E0A84"/>
    <w:rsid w:val="008E342E"/>
    <w:rsid w:val="008E3A35"/>
    <w:rsid w:val="008E3B9B"/>
    <w:rsid w:val="008E4FF1"/>
    <w:rsid w:val="008E60E3"/>
    <w:rsid w:val="008E67E6"/>
    <w:rsid w:val="008F0023"/>
    <w:rsid w:val="008F054C"/>
    <w:rsid w:val="008F0830"/>
    <w:rsid w:val="008F56DE"/>
    <w:rsid w:val="00901B23"/>
    <w:rsid w:val="0090320D"/>
    <w:rsid w:val="00903E02"/>
    <w:rsid w:val="009125AC"/>
    <w:rsid w:val="009144CC"/>
    <w:rsid w:val="00914B22"/>
    <w:rsid w:val="00915617"/>
    <w:rsid w:val="00915BF5"/>
    <w:rsid w:val="00915C11"/>
    <w:rsid w:val="00920202"/>
    <w:rsid w:val="0092073C"/>
    <w:rsid w:val="0092244A"/>
    <w:rsid w:val="00922953"/>
    <w:rsid w:val="0092366B"/>
    <w:rsid w:val="009237F6"/>
    <w:rsid w:val="00924BC8"/>
    <w:rsid w:val="0092542F"/>
    <w:rsid w:val="009260D0"/>
    <w:rsid w:val="00927FD8"/>
    <w:rsid w:val="00930891"/>
    <w:rsid w:val="0093292D"/>
    <w:rsid w:val="00936A43"/>
    <w:rsid w:val="00951073"/>
    <w:rsid w:val="00951176"/>
    <w:rsid w:val="009518F7"/>
    <w:rsid w:val="00954530"/>
    <w:rsid w:val="00954A48"/>
    <w:rsid w:val="009551ED"/>
    <w:rsid w:val="00962410"/>
    <w:rsid w:val="00962531"/>
    <w:rsid w:val="00965A62"/>
    <w:rsid w:val="009707A1"/>
    <w:rsid w:val="009710C5"/>
    <w:rsid w:val="009740A4"/>
    <w:rsid w:val="009742E2"/>
    <w:rsid w:val="00974E9F"/>
    <w:rsid w:val="00975086"/>
    <w:rsid w:val="00975FD7"/>
    <w:rsid w:val="00976B3B"/>
    <w:rsid w:val="00977BF3"/>
    <w:rsid w:val="00980DC6"/>
    <w:rsid w:val="00980DF2"/>
    <w:rsid w:val="00982D26"/>
    <w:rsid w:val="009855A2"/>
    <w:rsid w:val="0098689A"/>
    <w:rsid w:val="0099259F"/>
    <w:rsid w:val="00992705"/>
    <w:rsid w:val="00997CDA"/>
    <w:rsid w:val="009A10B4"/>
    <w:rsid w:val="009A17F5"/>
    <w:rsid w:val="009A1DEB"/>
    <w:rsid w:val="009A5F83"/>
    <w:rsid w:val="009B2B8A"/>
    <w:rsid w:val="009B6536"/>
    <w:rsid w:val="009B7109"/>
    <w:rsid w:val="009C0A04"/>
    <w:rsid w:val="009C2021"/>
    <w:rsid w:val="009C324D"/>
    <w:rsid w:val="009C387F"/>
    <w:rsid w:val="009C6D7F"/>
    <w:rsid w:val="009C71A5"/>
    <w:rsid w:val="009D09FF"/>
    <w:rsid w:val="009D6C1A"/>
    <w:rsid w:val="009E11C8"/>
    <w:rsid w:val="009E1CDE"/>
    <w:rsid w:val="009E1F4B"/>
    <w:rsid w:val="009E2644"/>
    <w:rsid w:val="009E6189"/>
    <w:rsid w:val="009F0AE2"/>
    <w:rsid w:val="009F4019"/>
    <w:rsid w:val="009F4F94"/>
    <w:rsid w:val="009F5A49"/>
    <w:rsid w:val="009F5F8B"/>
    <w:rsid w:val="009F645D"/>
    <w:rsid w:val="009F6E25"/>
    <w:rsid w:val="009F7E32"/>
    <w:rsid w:val="00A0041E"/>
    <w:rsid w:val="00A0171D"/>
    <w:rsid w:val="00A03822"/>
    <w:rsid w:val="00A06E45"/>
    <w:rsid w:val="00A0719C"/>
    <w:rsid w:val="00A104D7"/>
    <w:rsid w:val="00A12848"/>
    <w:rsid w:val="00A16111"/>
    <w:rsid w:val="00A173F4"/>
    <w:rsid w:val="00A2556D"/>
    <w:rsid w:val="00A26851"/>
    <w:rsid w:val="00A26C63"/>
    <w:rsid w:val="00A27574"/>
    <w:rsid w:val="00A30B9C"/>
    <w:rsid w:val="00A30B9E"/>
    <w:rsid w:val="00A30C58"/>
    <w:rsid w:val="00A30DDC"/>
    <w:rsid w:val="00A31437"/>
    <w:rsid w:val="00A31962"/>
    <w:rsid w:val="00A3605A"/>
    <w:rsid w:val="00A363A7"/>
    <w:rsid w:val="00A40749"/>
    <w:rsid w:val="00A436B6"/>
    <w:rsid w:val="00A4370F"/>
    <w:rsid w:val="00A53965"/>
    <w:rsid w:val="00A55A6F"/>
    <w:rsid w:val="00A57F0F"/>
    <w:rsid w:val="00A6154A"/>
    <w:rsid w:val="00A623D7"/>
    <w:rsid w:val="00A63A55"/>
    <w:rsid w:val="00A63C52"/>
    <w:rsid w:val="00A64030"/>
    <w:rsid w:val="00A6647E"/>
    <w:rsid w:val="00A66FF1"/>
    <w:rsid w:val="00A6711B"/>
    <w:rsid w:val="00A715E5"/>
    <w:rsid w:val="00A72F6B"/>
    <w:rsid w:val="00A74414"/>
    <w:rsid w:val="00A746EB"/>
    <w:rsid w:val="00A74A69"/>
    <w:rsid w:val="00A74EC0"/>
    <w:rsid w:val="00A75189"/>
    <w:rsid w:val="00A769F0"/>
    <w:rsid w:val="00A77C8B"/>
    <w:rsid w:val="00A80635"/>
    <w:rsid w:val="00A813FA"/>
    <w:rsid w:val="00A81A09"/>
    <w:rsid w:val="00A8596C"/>
    <w:rsid w:val="00A879FC"/>
    <w:rsid w:val="00A903CF"/>
    <w:rsid w:val="00A90D47"/>
    <w:rsid w:val="00A92AAB"/>
    <w:rsid w:val="00A931F8"/>
    <w:rsid w:val="00A97732"/>
    <w:rsid w:val="00A97D5D"/>
    <w:rsid w:val="00AA2458"/>
    <w:rsid w:val="00AA2D37"/>
    <w:rsid w:val="00AA5B40"/>
    <w:rsid w:val="00AA5D54"/>
    <w:rsid w:val="00AB0D00"/>
    <w:rsid w:val="00AB131A"/>
    <w:rsid w:val="00AB43D9"/>
    <w:rsid w:val="00AB4FC0"/>
    <w:rsid w:val="00AB56F8"/>
    <w:rsid w:val="00AC35CA"/>
    <w:rsid w:val="00AC4407"/>
    <w:rsid w:val="00AC7F19"/>
    <w:rsid w:val="00AD1A23"/>
    <w:rsid w:val="00AD45C0"/>
    <w:rsid w:val="00AD4B23"/>
    <w:rsid w:val="00AD5CC6"/>
    <w:rsid w:val="00AE18EC"/>
    <w:rsid w:val="00AE1BF7"/>
    <w:rsid w:val="00AE493D"/>
    <w:rsid w:val="00AE51DE"/>
    <w:rsid w:val="00AE5C9D"/>
    <w:rsid w:val="00AF1AC7"/>
    <w:rsid w:val="00AF57B6"/>
    <w:rsid w:val="00AF5E81"/>
    <w:rsid w:val="00AF6693"/>
    <w:rsid w:val="00AF66E8"/>
    <w:rsid w:val="00AF7CB7"/>
    <w:rsid w:val="00AF7E60"/>
    <w:rsid w:val="00B00081"/>
    <w:rsid w:val="00B0031E"/>
    <w:rsid w:val="00B00409"/>
    <w:rsid w:val="00B01B58"/>
    <w:rsid w:val="00B01BE3"/>
    <w:rsid w:val="00B0251F"/>
    <w:rsid w:val="00B025A8"/>
    <w:rsid w:val="00B03A65"/>
    <w:rsid w:val="00B05C6A"/>
    <w:rsid w:val="00B10851"/>
    <w:rsid w:val="00B1372C"/>
    <w:rsid w:val="00B1533F"/>
    <w:rsid w:val="00B160A4"/>
    <w:rsid w:val="00B172DC"/>
    <w:rsid w:val="00B21D4B"/>
    <w:rsid w:val="00B23EAC"/>
    <w:rsid w:val="00B24380"/>
    <w:rsid w:val="00B24C40"/>
    <w:rsid w:val="00B306F6"/>
    <w:rsid w:val="00B311E0"/>
    <w:rsid w:val="00B3267F"/>
    <w:rsid w:val="00B32A7F"/>
    <w:rsid w:val="00B35C99"/>
    <w:rsid w:val="00B373A3"/>
    <w:rsid w:val="00B377EA"/>
    <w:rsid w:val="00B40036"/>
    <w:rsid w:val="00B40B97"/>
    <w:rsid w:val="00B41DCE"/>
    <w:rsid w:val="00B43B46"/>
    <w:rsid w:val="00B45280"/>
    <w:rsid w:val="00B45BF8"/>
    <w:rsid w:val="00B47131"/>
    <w:rsid w:val="00B51B57"/>
    <w:rsid w:val="00B51C53"/>
    <w:rsid w:val="00B54354"/>
    <w:rsid w:val="00B5485B"/>
    <w:rsid w:val="00B617B3"/>
    <w:rsid w:val="00B63CFF"/>
    <w:rsid w:val="00B645EE"/>
    <w:rsid w:val="00B6653C"/>
    <w:rsid w:val="00B67DD6"/>
    <w:rsid w:val="00B67E37"/>
    <w:rsid w:val="00B70092"/>
    <w:rsid w:val="00B70118"/>
    <w:rsid w:val="00B70C96"/>
    <w:rsid w:val="00B728E3"/>
    <w:rsid w:val="00B73C4E"/>
    <w:rsid w:val="00B74C25"/>
    <w:rsid w:val="00B80D68"/>
    <w:rsid w:val="00B83C25"/>
    <w:rsid w:val="00B84295"/>
    <w:rsid w:val="00B84C40"/>
    <w:rsid w:val="00B84F3D"/>
    <w:rsid w:val="00B905A6"/>
    <w:rsid w:val="00B92071"/>
    <w:rsid w:val="00B93284"/>
    <w:rsid w:val="00B94FC4"/>
    <w:rsid w:val="00B9529B"/>
    <w:rsid w:val="00BA2E6F"/>
    <w:rsid w:val="00BA3155"/>
    <w:rsid w:val="00BA55F4"/>
    <w:rsid w:val="00BA5B1F"/>
    <w:rsid w:val="00BA741B"/>
    <w:rsid w:val="00BA7480"/>
    <w:rsid w:val="00BB2E70"/>
    <w:rsid w:val="00BB526D"/>
    <w:rsid w:val="00BB5E75"/>
    <w:rsid w:val="00BB7F23"/>
    <w:rsid w:val="00BC1F51"/>
    <w:rsid w:val="00BC4C52"/>
    <w:rsid w:val="00BD286C"/>
    <w:rsid w:val="00BD29AE"/>
    <w:rsid w:val="00BD7271"/>
    <w:rsid w:val="00BD74CB"/>
    <w:rsid w:val="00BE0812"/>
    <w:rsid w:val="00BE2C27"/>
    <w:rsid w:val="00BE357C"/>
    <w:rsid w:val="00BE3D2D"/>
    <w:rsid w:val="00BE4249"/>
    <w:rsid w:val="00BE4E9C"/>
    <w:rsid w:val="00BE5B50"/>
    <w:rsid w:val="00BE6E9A"/>
    <w:rsid w:val="00BE7F68"/>
    <w:rsid w:val="00BF26EF"/>
    <w:rsid w:val="00BF26F0"/>
    <w:rsid w:val="00BF3461"/>
    <w:rsid w:val="00BF3701"/>
    <w:rsid w:val="00BF3B8D"/>
    <w:rsid w:val="00BF3CB5"/>
    <w:rsid w:val="00BF42FC"/>
    <w:rsid w:val="00BF4771"/>
    <w:rsid w:val="00BF49A9"/>
    <w:rsid w:val="00BF5033"/>
    <w:rsid w:val="00BF5AF1"/>
    <w:rsid w:val="00BF5B8C"/>
    <w:rsid w:val="00BF6E10"/>
    <w:rsid w:val="00C00A74"/>
    <w:rsid w:val="00C0232C"/>
    <w:rsid w:val="00C0267E"/>
    <w:rsid w:val="00C029FC"/>
    <w:rsid w:val="00C03514"/>
    <w:rsid w:val="00C06CDF"/>
    <w:rsid w:val="00C0731D"/>
    <w:rsid w:val="00C07716"/>
    <w:rsid w:val="00C1002B"/>
    <w:rsid w:val="00C106E5"/>
    <w:rsid w:val="00C11EB7"/>
    <w:rsid w:val="00C12015"/>
    <w:rsid w:val="00C1685B"/>
    <w:rsid w:val="00C1723E"/>
    <w:rsid w:val="00C21D4C"/>
    <w:rsid w:val="00C22F40"/>
    <w:rsid w:val="00C23896"/>
    <w:rsid w:val="00C24650"/>
    <w:rsid w:val="00C260A6"/>
    <w:rsid w:val="00C2698E"/>
    <w:rsid w:val="00C27A7F"/>
    <w:rsid w:val="00C27EE1"/>
    <w:rsid w:val="00C31486"/>
    <w:rsid w:val="00C31B67"/>
    <w:rsid w:val="00C325E1"/>
    <w:rsid w:val="00C330F0"/>
    <w:rsid w:val="00C33205"/>
    <w:rsid w:val="00C3367C"/>
    <w:rsid w:val="00C33A6F"/>
    <w:rsid w:val="00C33C5C"/>
    <w:rsid w:val="00C35E8C"/>
    <w:rsid w:val="00C375E6"/>
    <w:rsid w:val="00C377C0"/>
    <w:rsid w:val="00C400D3"/>
    <w:rsid w:val="00C41706"/>
    <w:rsid w:val="00C4543C"/>
    <w:rsid w:val="00C46E21"/>
    <w:rsid w:val="00C51A00"/>
    <w:rsid w:val="00C54709"/>
    <w:rsid w:val="00C55622"/>
    <w:rsid w:val="00C571E4"/>
    <w:rsid w:val="00C573C2"/>
    <w:rsid w:val="00C61AAC"/>
    <w:rsid w:val="00C62E92"/>
    <w:rsid w:val="00C6350A"/>
    <w:rsid w:val="00C667C5"/>
    <w:rsid w:val="00C7227A"/>
    <w:rsid w:val="00C727F7"/>
    <w:rsid w:val="00C83D50"/>
    <w:rsid w:val="00C84491"/>
    <w:rsid w:val="00C875A7"/>
    <w:rsid w:val="00C91128"/>
    <w:rsid w:val="00C91762"/>
    <w:rsid w:val="00C93E84"/>
    <w:rsid w:val="00C96434"/>
    <w:rsid w:val="00C96985"/>
    <w:rsid w:val="00C9758B"/>
    <w:rsid w:val="00C977D1"/>
    <w:rsid w:val="00CB2568"/>
    <w:rsid w:val="00CB3352"/>
    <w:rsid w:val="00CB48AF"/>
    <w:rsid w:val="00CB5419"/>
    <w:rsid w:val="00CB60D3"/>
    <w:rsid w:val="00CB621F"/>
    <w:rsid w:val="00CB7368"/>
    <w:rsid w:val="00CC57FE"/>
    <w:rsid w:val="00CC5B4D"/>
    <w:rsid w:val="00CD0F68"/>
    <w:rsid w:val="00CD43C8"/>
    <w:rsid w:val="00CD5408"/>
    <w:rsid w:val="00CD713F"/>
    <w:rsid w:val="00CD789E"/>
    <w:rsid w:val="00CD7985"/>
    <w:rsid w:val="00CE2CC4"/>
    <w:rsid w:val="00CE5EF6"/>
    <w:rsid w:val="00CE63A8"/>
    <w:rsid w:val="00CF14F4"/>
    <w:rsid w:val="00CF2976"/>
    <w:rsid w:val="00CF3C6E"/>
    <w:rsid w:val="00CF722D"/>
    <w:rsid w:val="00D016CA"/>
    <w:rsid w:val="00D01A96"/>
    <w:rsid w:val="00D03138"/>
    <w:rsid w:val="00D033DA"/>
    <w:rsid w:val="00D042B6"/>
    <w:rsid w:val="00D04962"/>
    <w:rsid w:val="00D04D84"/>
    <w:rsid w:val="00D06EA0"/>
    <w:rsid w:val="00D07790"/>
    <w:rsid w:val="00D077DA"/>
    <w:rsid w:val="00D124FD"/>
    <w:rsid w:val="00D14F52"/>
    <w:rsid w:val="00D1514C"/>
    <w:rsid w:val="00D16FC9"/>
    <w:rsid w:val="00D1779C"/>
    <w:rsid w:val="00D20075"/>
    <w:rsid w:val="00D202F2"/>
    <w:rsid w:val="00D2062C"/>
    <w:rsid w:val="00D21351"/>
    <w:rsid w:val="00D225A2"/>
    <w:rsid w:val="00D2453E"/>
    <w:rsid w:val="00D24789"/>
    <w:rsid w:val="00D273C8"/>
    <w:rsid w:val="00D30F98"/>
    <w:rsid w:val="00D33448"/>
    <w:rsid w:val="00D3373C"/>
    <w:rsid w:val="00D348E5"/>
    <w:rsid w:val="00D41B13"/>
    <w:rsid w:val="00D43418"/>
    <w:rsid w:val="00D44ACF"/>
    <w:rsid w:val="00D450B2"/>
    <w:rsid w:val="00D4511F"/>
    <w:rsid w:val="00D45664"/>
    <w:rsid w:val="00D46DDB"/>
    <w:rsid w:val="00D50458"/>
    <w:rsid w:val="00D52854"/>
    <w:rsid w:val="00D52984"/>
    <w:rsid w:val="00D5673C"/>
    <w:rsid w:val="00D57D59"/>
    <w:rsid w:val="00D60DAF"/>
    <w:rsid w:val="00D60FD5"/>
    <w:rsid w:val="00D63AE8"/>
    <w:rsid w:val="00D640F1"/>
    <w:rsid w:val="00D64E79"/>
    <w:rsid w:val="00D662C1"/>
    <w:rsid w:val="00D67A65"/>
    <w:rsid w:val="00D67DBB"/>
    <w:rsid w:val="00D67EE1"/>
    <w:rsid w:val="00D71EE2"/>
    <w:rsid w:val="00D72D28"/>
    <w:rsid w:val="00D735CF"/>
    <w:rsid w:val="00D766F2"/>
    <w:rsid w:val="00D77253"/>
    <w:rsid w:val="00D77526"/>
    <w:rsid w:val="00D81BC8"/>
    <w:rsid w:val="00D82597"/>
    <w:rsid w:val="00D83047"/>
    <w:rsid w:val="00D83CEA"/>
    <w:rsid w:val="00D94024"/>
    <w:rsid w:val="00D94977"/>
    <w:rsid w:val="00D9533A"/>
    <w:rsid w:val="00D97EEB"/>
    <w:rsid w:val="00DA1871"/>
    <w:rsid w:val="00DA2384"/>
    <w:rsid w:val="00DA27ED"/>
    <w:rsid w:val="00DA4BD9"/>
    <w:rsid w:val="00DB260B"/>
    <w:rsid w:val="00DB3D11"/>
    <w:rsid w:val="00DB4085"/>
    <w:rsid w:val="00DB69C3"/>
    <w:rsid w:val="00DB6A19"/>
    <w:rsid w:val="00DC0367"/>
    <w:rsid w:val="00DC0588"/>
    <w:rsid w:val="00DC5DF6"/>
    <w:rsid w:val="00DC661C"/>
    <w:rsid w:val="00DC7663"/>
    <w:rsid w:val="00DC77A6"/>
    <w:rsid w:val="00DD00D0"/>
    <w:rsid w:val="00DD06A1"/>
    <w:rsid w:val="00DD1C74"/>
    <w:rsid w:val="00DD2E93"/>
    <w:rsid w:val="00DD3A25"/>
    <w:rsid w:val="00DD3B05"/>
    <w:rsid w:val="00DD4030"/>
    <w:rsid w:val="00DD6433"/>
    <w:rsid w:val="00DD6658"/>
    <w:rsid w:val="00DE0FED"/>
    <w:rsid w:val="00DE1383"/>
    <w:rsid w:val="00DF0631"/>
    <w:rsid w:val="00DF15FC"/>
    <w:rsid w:val="00DF16B3"/>
    <w:rsid w:val="00DF1C6C"/>
    <w:rsid w:val="00DF5CAF"/>
    <w:rsid w:val="00DF643B"/>
    <w:rsid w:val="00DF6645"/>
    <w:rsid w:val="00DF7FEF"/>
    <w:rsid w:val="00E01308"/>
    <w:rsid w:val="00E04732"/>
    <w:rsid w:val="00E05B6C"/>
    <w:rsid w:val="00E0717B"/>
    <w:rsid w:val="00E14000"/>
    <w:rsid w:val="00E14D44"/>
    <w:rsid w:val="00E15FA7"/>
    <w:rsid w:val="00E2354D"/>
    <w:rsid w:val="00E24C65"/>
    <w:rsid w:val="00E257D5"/>
    <w:rsid w:val="00E274FD"/>
    <w:rsid w:val="00E275A8"/>
    <w:rsid w:val="00E27B1F"/>
    <w:rsid w:val="00E30252"/>
    <w:rsid w:val="00E308C1"/>
    <w:rsid w:val="00E3124B"/>
    <w:rsid w:val="00E330AC"/>
    <w:rsid w:val="00E35FFE"/>
    <w:rsid w:val="00E36668"/>
    <w:rsid w:val="00E36D99"/>
    <w:rsid w:val="00E3742F"/>
    <w:rsid w:val="00E37F27"/>
    <w:rsid w:val="00E45949"/>
    <w:rsid w:val="00E46106"/>
    <w:rsid w:val="00E47C69"/>
    <w:rsid w:val="00E47C6B"/>
    <w:rsid w:val="00E47E3C"/>
    <w:rsid w:val="00E51E23"/>
    <w:rsid w:val="00E52204"/>
    <w:rsid w:val="00E52C9A"/>
    <w:rsid w:val="00E533C6"/>
    <w:rsid w:val="00E5385B"/>
    <w:rsid w:val="00E53E34"/>
    <w:rsid w:val="00E54BEE"/>
    <w:rsid w:val="00E56677"/>
    <w:rsid w:val="00E60620"/>
    <w:rsid w:val="00E60D4D"/>
    <w:rsid w:val="00E627BB"/>
    <w:rsid w:val="00E64650"/>
    <w:rsid w:val="00E6518A"/>
    <w:rsid w:val="00E70F20"/>
    <w:rsid w:val="00E72E99"/>
    <w:rsid w:val="00E72EA8"/>
    <w:rsid w:val="00E74C12"/>
    <w:rsid w:val="00E811AA"/>
    <w:rsid w:val="00E8744B"/>
    <w:rsid w:val="00E94D02"/>
    <w:rsid w:val="00E95144"/>
    <w:rsid w:val="00E9544A"/>
    <w:rsid w:val="00E95B36"/>
    <w:rsid w:val="00E978FA"/>
    <w:rsid w:val="00EA1867"/>
    <w:rsid w:val="00EA1A08"/>
    <w:rsid w:val="00EA34C8"/>
    <w:rsid w:val="00EA3625"/>
    <w:rsid w:val="00EA38D3"/>
    <w:rsid w:val="00EA4168"/>
    <w:rsid w:val="00EA46F6"/>
    <w:rsid w:val="00EA54F4"/>
    <w:rsid w:val="00EA5551"/>
    <w:rsid w:val="00EB0801"/>
    <w:rsid w:val="00EB1194"/>
    <w:rsid w:val="00EB36E2"/>
    <w:rsid w:val="00EB3A46"/>
    <w:rsid w:val="00EB6183"/>
    <w:rsid w:val="00EC0B54"/>
    <w:rsid w:val="00EC15AE"/>
    <w:rsid w:val="00EC3964"/>
    <w:rsid w:val="00EC3CC6"/>
    <w:rsid w:val="00EC4964"/>
    <w:rsid w:val="00EC5E88"/>
    <w:rsid w:val="00ED4AED"/>
    <w:rsid w:val="00ED56AF"/>
    <w:rsid w:val="00ED5E5A"/>
    <w:rsid w:val="00EE0DFC"/>
    <w:rsid w:val="00EE21A0"/>
    <w:rsid w:val="00EE235E"/>
    <w:rsid w:val="00EE471D"/>
    <w:rsid w:val="00EF0471"/>
    <w:rsid w:val="00EF4924"/>
    <w:rsid w:val="00EF7C5D"/>
    <w:rsid w:val="00F02072"/>
    <w:rsid w:val="00F03DCF"/>
    <w:rsid w:val="00F05021"/>
    <w:rsid w:val="00F061C9"/>
    <w:rsid w:val="00F121F6"/>
    <w:rsid w:val="00F13151"/>
    <w:rsid w:val="00F13E29"/>
    <w:rsid w:val="00F14144"/>
    <w:rsid w:val="00F1447E"/>
    <w:rsid w:val="00F15656"/>
    <w:rsid w:val="00F177E5"/>
    <w:rsid w:val="00F2060C"/>
    <w:rsid w:val="00F26B78"/>
    <w:rsid w:val="00F31010"/>
    <w:rsid w:val="00F31EAC"/>
    <w:rsid w:val="00F32CD3"/>
    <w:rsid w:val="00F34299"/>
    <w:rsid w:val="00F36463"/>
    <w:rsid w:val="00F37C6D"/>
    <w:rsid w:val="00F448CC"/>
    <w:rsid w:val="00F47FD2"/>
    <w:rsid w:val="00F510E7"/>
    <w:rsid w:val="00F512E0"/>
    <w:rsid w:val="00F53530"/>
    <w:rsid w:val="00F57766"/>
    <w:rsid w:val="00F579C0"/>
    <w:rsid w:val="00F57BB0"/>
    <w:rsid w:val="00F60AA0"/>
    <w:rsid w:val="00F61836"/>
    <w:rsid w:val="00F61FC1"/>
    <w:rsid w:val="00F674BD"/>
    <w:rsid w:val="00F70191"/>
    <w:rsid w:val="00F7091D"/>
    <w:rsid w:val="00F70F2E"/>
    <w:rsid w:val="00F71464"/>
    <w:rsid w:val="00F735D6"/>
    <w:rsid w:val="00F74EF9"/>
    <w:rsid w:val="00F75E28"/>
    <w:rsid w:val="00F80220"/>
    <w:rsid w:val="00F808AC"/>
    <w:rsid w:val="00F817F4"/>
    <w:rsid w:val="00F8241B"/>
    <w:rsid w:val="00F82B77"/>
    <w:rsid w:val="00F83C11"/>
    <w:rsid w:val="00F83F02"/>
    <w:rsid w:val="00F85923"/>
    <w:rsid w:val="00F8712B"/>
    <w:rsid w:val="00F90DB9"/>
    <w:rsid w:val="00F918AD"/>
    <w:rsid w:val="00F91B5B"/>
    <w:rsid w:val="00F91BC7"/>
    <w:rsid w:val="00F91F26"/>
    <w:rsid w:val="00F92331"/>
    <w:rsid w:val="00F92C37"/>
    <w:rsid w:val="00F978FB"/>
    <w:rsid w:val="00F97B0B"/>
    <w:rsid w:val="00F97B34"/>
    <w:rsid w:val="00FA08F4"/>
    <w:rsid w:val="00FA0A5F"/>
    <w:rsid w:val="00FA2997"/>
    <w:rsid w:val="00FA3ED0"/>
    <w:rsid w:val="00FA59F3"/>
    <w:rsid w:val="00FA7268"/>
    <w:rsid w:val="00FA7F49"/>
    <w:rsid w:val="00FB0734"/>
    <w:rsid w:val="00FB1F6D"/>
    <w:rsid w:val="00FB4E4F"/>
    <w:rsid w:val="00FB5E00"/>
    <w:rsid w:val="00FD265A"/>
    <w:rsid w:val="00FD57CF"/>
    <w:rsid w:val="00FD7537"/>
    <w:rsid w:val="00FD7E50"/>
    <w:rsid w:val="00FE3121"/>
    <w:rsid w:val="00FE3A12"/>
    <w:rsid w:val="00FE4868"/>
    <w:rsid w:val="00FE55D7"/>
    <w:rsid w:val="00FE5B38"/>
    <w:rsid w:val="00FE6992"/>
    <w:rsid w:val="00FE6DA5"/>
    <w:rsid w:val="00FF0234"/>
    <w:rsid w:val="00FF1F16"/>
    <w:rsid w:val="00FF37C6"/>
    <w:rsid w:val="00FF3D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after="0" w:line="480" w:lineRule="atLeast"/>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36B"/>
    <w:pPr>
      <w:tabs>
        <w:tab w:val="center" w:pos="4680"/>
        <w:tab w:val="right" w:pos="9360"/>
      </w:tabs>
      <w:spacing w:line="240" w:lineRule="auto"/>
    </w:pPr>
  </w:style>
  <w:style w:type="character" w:customStyle="1" w:styleId="HeaderChar">
    <w:name w:val="Header Char"/>
    <w:basedOn w:val="DefaultParagraphFont"/>
    <w:link w:val="Header"/>
    <w:uiPriority w:val="99"/>
    <w:rsid w:val="005A236B"/>
  </w:style>
  <w:style w:type="paragraph" w:styleId="Footer">
    <w:name w:val="footer"/>
    <w:basedOn w:val="Normal"/>
    <w:link w:val="FooterChar"/>
    <w:uiPriority w:val="99"/>
    <w:unhideWhenUsed/>
    <w:rsid w:val="005A236B"/>
    <w:pPr>
      <w:tabs>
        <w:tab w:val="center" w:pos="4680"/>
        <w:tab w:val="right" w:pos="9360"/>
      </w:tabs>
      <w:spacing w:line="240" w:lineRule="auto"/>
    </w:pPr>
  </w:style>
  <w:style w:type="character" w:customStyle="1" w:styleId="FooterChar">
    <w:name w:val="Footer Char"/>
    <w:basedOn w:val="DefaultParagraphFont"/>
    <w:link w:val="Footer"/>
    <w:uiPriority w:val="99"/>
    <w:rsid w:val="005A236B"/>
  </w:style>
  <w:style w:type="character" w:styleId="PageNumber">
    <w:name w:val="page number"/>
    <w:basedOn w:val="DefaultParagraphFont"/>
    <w:uiPriority w:val="99"/>
    <w:semiHidden/>
    <w:unhideWhenUsed/>
    <w:rsid w:val="005A236B"/>
  </w:style>
  <w:style w:type="paragraph" w:styleId="FootnoteText">
    <w:name w:val="footnote text"/>
    <w:link w:val="FootnoteTextChar"/>
    <w:uiPriority w:val="99"/>
    <w:unhideWhenUsed/>
    <w:rsid w:val="005A236B"/>
    <w:pPr>
      <w:spacing w:after="0" w:line="240" w:lineRule="auto"/>
    </w:pPr>
    <w:rPr>
      <w:rFonts w:cs="Times New Roman"/>
      <w:szCs w:val="20"/>
    </w:rPr>
  </w:style>
  <w:style w:type="character" w:customStyle="1" w:styleId="FootnoteTextChar">
    <w:name w:val="Footnote Text Char"/>
    <w:basedOn w:val="DefaultParagraphFont"/>
    <w:link w:val="FootnoteText"/>
    <w:uiPriority w:val="99"/>
    <w:rsid w:val="005A236B"/>
    <w:rPr>
      <w:rFonts w:cs="Times New Roman"/>
      <w:szCs w:val="20"/>
    </w:rPr>
  </w:style>
  <w:style w:type="character" w:styleId="FootnoteReference">
    <w:name w:val="footnote reference"/>
    <w:basedOn w:val="DefaultParagraphFont"/>
    <w:uiPriority w:val="99"/>
    <w:semiHidden/>
    <w:unhideWhenUsed/>
    <w:rsid w:val="00BF3701"/>
    <w:rPr>
      <w:vertAlign w:val="superscript"/>
    </w:rPr>
  </w:style>
  <w:style w:type="paragraph" w:styleId="BalloonText">
    <w:name w:val="Balloon Text"/>
    <w:basedOn w:val="Normal"/>
    <w:link w:val="BalloonTextChar"/>
    <w:uiPriority w:val="99"/>
    <w:semiHidden/>
    <w:unhideWhenUsed/>
    <w:rsid w:val="007169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9CA"/>
    <w:rPr>
      <w:rFonts w:ascii="Segoe UI" w:hAnsi="Segoe UI" w:cs="Segoe UI"/>
      <w:sz w:val="18"/>
      <w:szCs w:val="18"/>
    </w:rPr>
  </w:style>
  <w:style w:type="character" w:styleId="CommentReference">
    <w:name w:val="annotation reference"/>
    <w:basedOn w:val="DefaultParagraphFont"/>
    <w:uiPriority w:val="99"/>
    <w:semiHidden/>
    <w:unhideWhenUsed/>
    <w:rsid w:val="00523C49"/>
    <w:rPr>
      <w:sz w:val="16"/>
      <w:szCs w:val="16"/>
    </w:rPr>
  </w:style>
  <w:style w:type="paragraph" w:styleId="CommentText">
    <w:name w:val="annotation text"/>
    <w:basedOn w:val="Normal"/>
    <w:link w:val="CommentTextChar"/>
    <w:uiPriority w:val="99"/>
    <w:semiHidden/>
    <w:unhideWhenUsed/>
    <w:rsid w:val="00523C49"/>
    <w:pPr>
      <w:spacing w:line="240" w:lineRule="auto"/>
    </w:pPr>
    <w:rPr>
      <w:sz w:val="20"/>
      <w:szCs w:val="20"/>
    </w:rPr>
  </w:style>
  <w:style w:type="character" w:customStyle="1" w:styleId="CommentTextChar">
    <w:name w:val="Comment Text Char"/>
    <w:basedOn w:val="DefaultParagraphFont"/>
    <w:link w:val="CommentText"/>
    <w:uiPriority w:val="99"/>
    <w:semiHidden/>
    <w:rsid w:val="00523C49"/>
    <w:rPr>
      <w:rFonts w:cs="Times New Roman"/>
      <w:sz w:val="20"/>
      <w:szCs w:val="20"/>
    </w:rPr>
  </w:style>
  <w:style w:type="paragraph" w:styleId="CommentSubject">
    <w:name w:val="annotation subject"/>
    <w:basedOn w:val="CommentText"/>
    <w:next w:val="CommentText"/>
    <w:link w:val="CommentSubjectChar"/>
    <w:uiPriority w:val="99"/>
    <w:semiHidden/>
    <w:unhideWhenUsed/>
    <w:rsid w:val="00523C49"/>
    <w:rPr>
      <w:b/>
      <w:bCs/>
    </w:rPr>
  </w:style>
  <w:style w:type="character" w:customStyle="1" w:styleId="CommentSubjectChar">
    <w:name w:val="Comment Subject Char"/>
    <w:basedOn w:val="CommentTextChar"/>
    <w:link w:val="CommentSubject"/>
    <w:uiPriority w:val="99"/>
    <w:semiHidden/>
    <w:rsid w:val="00523C49"/>
    <w:rPr>
      <w:rFonts w:cs="Times New Roman"/>
      <w:b/>
      <w:bCs/>
      <w:sz w:val="20"/>
      <w:szCs w:val="20"/>
    </w:rPr>
  </w:style>
  <w:style w:type="paragraph" w:styleId="ListParagraph">
    <w:name w:val="List Paragraph"/>
    <w:basedOn w:val="Normal"/>
    <w:uiPriority w:val="34"/>
    <w:qFormat/>
    <w:rsid w:val="00800F6D"/>
    <w:pPr>
      <w:ind w:left="720"/>
      <w:contextualSpacing/>
    </w:pPr>
  </w:style>
  <w:style w:type="character" w:styleId="Emphasis">
    <w:name w:val="Emphasis"/>
    <w:basedOn w:val="DefaultParagraphFont"/>
    <w:uiPriority w:val="20"/>
    <w:qFormat/>
    <w:rsid w:val="001C3EDE"/>
    <w:rPr>
      <w:i/>
      <w:iCs/>
    </w:rPr>
  </w:style>
  <w:style w:type="character" w:customStyle="1" w:styleId="costarpage">
    <w:name w:val="co_starpage"/>
    <w:basedOn w:val="DefaultParagraphFont"/>
    <w:rsid w:val="00EF0471"/>
  </w:style>
  <w:style w:type="paragraph" w:styleId="Revision">
    <w:name w:val="Revision"/>
    <w:hidden/>
    <w:uiPriority w:val="99"/>
    <w:semiHidden/>
    <w:rsid w:val="0064292B"/>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3964</Words>
  <Characters>22597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2023-02-03T21:19:21Z</dcterms:created>
  <dcterms:modified xsi:type="dcterms:W3CDTF">2023-02-03T21:19:21Z</dcterms:modified>
</cp:coreProperties>
</file>