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C1198" w14:textId="77777777" w:rsidR="007968CB" w:rsidRDefault="007968CB" w:rsidP="00A84F3E">
      <w:pPr>
        <w:spacing w:line="240" w:lineRule="auto"/>
        <w:rPr>
          <w:sz w:val="20"/>
        </w:rPr>
      </w:pPr>
    </w:p>
    <w:p w14:paraId="433A4CB9" w14:textId="2EBA2CC5" w:rsidR="00A84F3E" w:rsidRDefault="008802C0" w:rsidP="00A84F3E">
      <w:pPr>
        <w:spacing w:line="240" w:lineRule="auto"/>
        <w:rPr>
          <w:sz w:val="20"/>
        </w:rPr>
      </w:pPr>
      <w:r>
        <w:rPr>
          <w:sz w:val="20"/>
        </w:rPr>
        <w:t xml:space="preserve">Filed </w:t>
      </w:r>
      <w:r w:rsidR="00AA0F09">
        <w:rPr>
          <w:sz w:val="20"/>
        </w:rPr>
        <w:t>8/11/23</w:t>
      </w:r>
    </w:p>
    <w:p w14:paraId="433A4CBA" w14:textId="77777777" w:rsidR="00A84F3E" w:rsidRPr="00A84F3E" w:rsidRDefault="008802C0" w:rsidP="00A84F3E">
      <w:pPr>
        <w:spacing w:line="240" w:lineRule="auto"/>
        <w:jc w:val="center"/>
      </w:pPr>
      <w:r>
        <w:rPr>
          <w:b/>
        </w:rPr>
        <w:t>CERTIFIED FOR PARTIAL PUBLICATION</w:t>
      </w:r>
      <w:r>
        <w:rPr>
          <w:rStyle w:val="FootnoteReference"/>
          <w:b/>
          <w:bCs/>
        </w:rPr>
        <w:footnoteReference w:customMarkFollows="1" w:id="1"/>
        <w:t>*</w:t>
      </w:r>
    </w:p>
    <w:p w14:paraId="433A4CBB" w14:textId="77777777" w:rsidR="00A84F3E" w:rsidRPr="00A84F3E" w:rsidRDefault="00A84F3E" w:rsidP="00A84F3E">
      <w:pPr>
        <w:spacing w:line="240" w:lineRule="auto"/>
        <w:rPr>
          <w:sz w:val="20"/>
        </w:rPr>
      </w:pPr>
    </w:p>
    <w:p w14:paraId="433A4CBC" w14:textId="77777777" w:rsidR="008C69C3" w:rsidRDefault="008802C0" w:rsidP="003828A2">
      <w:pPr>
        <w:spacing w:line="240" w:lineRule="auto"/>
        <w:jc w:val="center"/>
      </w:pPr>
      <w:r>
        <w:t>IN THE COURT OF APPEAL OF THE STATE OF CALIFORNIA</w:t>
      </w:r>
    </w:p>
    <w:p w14:paraId="433A4CBD" w14:textId="77777777" w:rsidR="0032250D" w:rsidRDefault="0032250D" w:rsidP="0032250D">
      <w:pPr>
        <w:spacing w:line="240" w:lineRule="auto"/>
        <w:jc w:val="center"/>
      </w:pPr>
    </w:p>
    <w:p w14:paraId="433A4CBE" w14:textId="77777777" w:rsidR="0032250D" w:rsidRDefault="008802C0" w:rsidP="0032250D">
      <w:pPr>
        <w:spacing w:line="240" w:lineRule="auto"/>
        <w:jc w:val="center"/>
      </w:pPr>
      <w:r>
        <w:t>FIRST APPELLATE DISTRICT</w:t>
      </w:r>
    </w:p>
    <w:p w14:paraId="433A4CBF" w14:textId="77777777" w:rsidR="0032250D" w:rsidRDefault="0032250D" w:rsidP="0032250D">
      <w:pPr>
        <w:spacing w:line="240" w:lineRule="auto"/>
        <w:jc w:val="center"/>
      </w:pPr>
    </w:p>
    <w:p w14:paraId="433A4CC0" w14:textId="77777777" w:rsidR="0032250D" w:rsidRDefault="008802C0" w:rsidP="0032250D">
      <w:pPr>
        <w:spacing w:line="240" w:lineRule="auto"/>
        <w:jc w:val="center"/>
      </w:pPr>
      <w:r>
        <w:t>DIVISION THREE</w:t>
      </w:r>
    </w:p>
    <w:p w14:paraId="433A4CC1" w14:textId="77777777" w:rsidR="0069394D" w:rsidRDefault="0069394D" w:rsidP="0032250D">
      <w:pPr>
        <w:spacing w:line="240" w:lineRule="auto"/>
        <w:jc w:val="center"/>
      </w:pPr>
    </w:p>
    <w:p w14:paraId="433A4CC2" w14:textId="77777777" w:rsidR="0069394D" w:rsidRDefault="0069394D" w:rsidP="0032250D">
      <w:pPr>
        <w:spacing w:line="240" w:lineRule="auto"/>
        <w:jc w:val="center"/>
      </w:pPr>
    </w:p>
    <w:p w14:paraId="433A4CC3" w14:textId="77777777" w:rsidR="0032250D" w:rsidRDefault="0032250D" w:rsidP="0032250D">
      <w:pPr>
        <w:spacing w:line="240" w:lineRule="auto"/>
        <w:jc w:val="center"/>
      </w:pPr>
    </w:p>
    <w:tbl>
      <w:tblPr>
        <w:tblW w:w="8640" w:type="dxa"/>
        <w:tblLayout w:type="fixed"/>
        <w:tblLook w:val="0000" w:firstRow="0" w:lastRow="0" w:firstColumn="0" w:lastColumn="0" w:noHBand="0" w:noVBand="0"/>
      </w:tblPr>
      <w:tblGrid>
        <w:gridCol w:w="4770"/>
        <w:gridCol w:w="3870"/>
      </w:tblGrid>
      <w:tr w:rsidR="0058136D" w14:paraId="433A4CD2" w14:textId="77777777" w:rsidTr="0069394D">
        <w:tc>
          <w:tcPr>
            <w:tcW w:w="4770" w:type="dxa"/>
            <w:tcBorders>
              <w:bottom w:val="single" w:sz="4" w:space="0" w:color="auto"/>
              <w:right w:val="single" w:sz="4" w:space="0" w:color="auto"/>
            </w:tcBorders>
            <w:shd w:val="clear" w:color="auto" w:fill="auto"/>
          </w:tcPr>
          <w:p w14:paraId="433A4CC4" w14:textId="77777777" w:rsidR="00301390" w:rsidRDefault="008802C0" w:rsidP="0032250D">
            <w:pPr>
              <w:spacing w:after="120" w:line="240" w:lineRule="auto"/>
            </w:pPr>
            <w:r>
              <w:t>In re MARRIAGE of KIKIANNE and SCOTT COLE.</w:t>
            </w:r>
          </w:p>
          <w:p w14:paraId="433A4CC5" w14:textId="77777777" w:rsidR="00301390" w:rsidRDefault="008802C0" w:rsidP="0032250D">
            <w:pPr>
              <w:spacing w:after="120" w:line="240" w:lineRule="auto"/>
            </w:pPr>
            <w:r>
              <w:t>_____________________________</w:t>
            </w:r>
            <w:r w:rsidR="0069394D">
              <w:t>_____</w:t>
            </w:r>
            <w:r>
              <w:t>_</w:t>
            </w:r>
          </w:p>
          <w:p w14:paraId="433A4CC6" w14:textId="77777777" w:rsidR="0032250D" w:rsidRDefault="008802C0" w:rsidP="0032250D">
            <w:pPr>
              <w:spacing w:after="120" w:line="240" w:lineRule="auto"/>
            </w:pPr>
            <w:r>
              <w:t>KIKIANNE COLE,</w:t>
            </w:r>
          </w:p>
          <w:p w14:paraId="433A4CC7" w14:textId="0A5B9CD2" w:rsidR="0032250D" w:rsidRDefault="008802C0" w:rsidP="0032250D">
            <w:pPr>
              <w:spacing w:after="120" w:line="240" w:lineRule="auto"/>
            </w:pPr>
            <w:r>
              <w:tab/>
            </w:r>
            <w:r w:rsidR="005F55CA">
              <w:t>Respondent</w:t>
            </w:r>
            <w:r>
              <w:t>,</w:t>
            </w:r>
          </w:p>
          <w:p w14:paraId="433A4CC8" w14:textId="77777777" w:rsidR="0032250D" w:rsidRDefault="008802C0" w:rsidP="0032250D">
            <w:pPr>
              <w:spacing w:after="120" w:line="240" w:lineRule="auto"/>
            </w:pPr>
            <w:r>
              <w:t>v.</w:t>
            </w:r>
          </w:p>
          <w:p w14:paraId="433A4CC9" w14:textId="77777777" w:rsidR="0032250D" w:rsidRDefault="008802C0" w:rsidP="0032250D">
            <w:pPr>
              <w:spacing w:after="120" w:line="240" w:lineRule="auto"/>
            </w:pPr>
            <w:r>
              <w:t>SCOTT COLE,</w:t>
            </w:r>
          </w:p>
          <w:p w14:paraId="433A4CCA" w14:textId="77777777" w:rsidR="0032250D" w:rsidRDefault="008802C0" w:rsidP="0032250D">
            <w:pPr>
              <w:spacing w:after="120" w:line="240" w:lineRule="auto"/>
            </w:pPr>
            <w:r>
              <w:tab/>
            </w:r>
            <w:r w:rsidR="005F55CA">
              <w:t>Appellant</w:t>
            </w:r>
            <w:r>
              <w:t>.</w:t>
            </w:r>
          </w:p>
        </w:tc>
        <w:tc>
          <w:tcPr>
            <w:tcW w:w="3870" w:type="dxa"/>
            <w:tcBorders>
              <w:left w:val="single" w:sz="4" w:space="0" w:color="auto"/>
            </w:tcBorders>
            <w:shd w:val="clear" w:color="auto" w:fill="auto"/>
          </w:tcPr>
          <w:p w14:paraId="433A4CCB" w14:textId="77777777" w:rsidR="0032250D" w:rsidRDefault="0032250D" w:rsidP="0032250D">
            <w:pPr>
              <w:spacing w:line="240" w:lineRule="auto"/>
            </w:pPr>
          </w:p>
          <w:p w14:paraId="433A4CCC" w14:textId="77777777" w:rsidR="0032250D" w:rsidRDefault="0032250D" w:rsidP="0032250D">
            <w:pPr>
              <w:spacing w:line="240" w:lineRule="auto"/>
            </w:pPr>
          </w:p>
          <w:p w14:paraId="433A4CCD" w14:textId="77777777" w:rsidR="0032250D" w:rsidRDefault="008802C0" w:rsidP="0032250D">
            <w:pPr>
              <w:spacing w:line="240" w:lineRule="auto"/>
            </w:pPr>
            <w:r>
              <w:t xml:space="preserve">      A163975</w:t>
            </w:r>
          </w:p>
          <w:p w14:paraId="433A4CCE" w14:textId="77777777" w:rsidR="0032250D" w:rsidRDefault="0032250D" w:rsidP="0032250D">
            <w:pPr>
              <w:spacing w:line="240" w:lineRule="auto"/>
            </w:pPr>
          </w:p>
          <w:p w14:paraId="433A4CCF" w14:textId="77777777" w:rsidR="0032250D" w:rsidRDefault="008802C0" w:rsidP="0032250D">
            <w:pPr>
              <w:spacing w:line="240" w:lineRule="auto"/>
            </w:pPr>
            <w:r>
              <w:t xml:space="preserve">      (Contra Costa County</w:t>
            </w:r>
          </w:p>
          <w:p w14:paraId="433A4CD0" w14:textId="77777777" w:rsidR="0032250D" w:rsidRDefault="008802C0" w:rsidP="0032250D">
            <w:pPr>
              <w:spacing w:line="240" w:lineRule="auto"/>
            </w:pPr>
            <w:r>
              <w:t xml:space="preserve">      Super. Ct. No. D12-03933)</w:t>
            </w:r>
          </w:p>
          <w:p w14:paraId="433A4CD1" w14:textId="77777777" w:rsidR="0032250D" w:rsidRDefault="0032250D" w:rsidP="0032250D">
            <w:pPr>
              <w:spacing w:line="240" w:lineRule="auto"/>
            </w:pPr>
          </w:p>
        </w:tc>
      </w:tr>
    </w:tbl>
    <w:p w14:paraId="433A4CD3" w14:textId="77777777" w:rsidR="00301390" w:rsidRDefault="00301390" w:rsidP="0032250D">
      <w:pPr>
        <w:spacing w:line="360" w:lineRule="auto"/>
      </w:pPr>
    </w:p>
    <w:p w14:paraId="433A4CD4" w14:textId="77777777" w:rsidR="00301390" w:rsidRDefault="008802C0" w:rsidP="0032250D">
      <w:pPr>
        <w:spacing w:line="360" w:lineRule="auto"/>
      </w:pPr>
      <w:r>
        <w:tab/>
      </w:r>
      <w:r w:rsidR="005F55CA">
        <w:t>The trial court denied Scott Cole</w:t>
      </w:r>
      <w:r w:rsidR="00980047">
        <w:t xml:space="preserve">’s request to reduce or eliminate his child support </w:t>
      </w:r>
      <w:r w:rsidR="00980047" w:rsidRPr="006E4783">
        <w:t>obligations for calendar year 2020</w:t>
      </w:r>
      <w:r w:rsidR="00C52344" w:rsidRPr="006E4783">
        <w:t xml:space="preserve"> and </w:t>
      </w:r>
      <w:r w:rsidR="00D47FA8" w:rsidRPr="006E4783">
        <w:t>awarded attorney fees to</w:t>
      </w:r>
      <w:r w:rsidR="00C52344" w:rsidRPr="006E4783">
        <w:t xml:space="preserve"> Kikianne Cole</w:t>
      </w:r>
      <w:r w:rsidR="00980047" w:rsidRPr="006E4783">
        <w:t>.</w:t>
      </w:r>
      <w:r>
        <w:rPr>
          <w:rStyle w:val="FootnoteReference"/>
        </w:rPr>
        <w:footnoteReference w:id="2"/>
      </w:r>
      <w:r w:rsidR="00980047" w:rsidRPr="006E4783">
        <w:t xml:space="preserve">  </w:t>
      </w:r>
      <w:r w:rsidR="005F55CA" w:rsidRPr="006E4783">
        <w:t xml:space="preserve">We affirm.  </w:t>
      </w:r>
      <w:r w:rsidR="00D47FA8" w:rsidRPr="006E4783">
        <w:t xml:space="preserve">In the published portion of this opinion, we </w:t>
      </w:r>
      <w:r w:rsidR="00005F9C" w:rsidRPr="006E4783">
        <w:t>hold</w:t>
      </w:r>
      <w:r w:rsidR="00EC54AA" w:rsidRPr="006E4783">
        <w:t xml:space="preserve"> </w:t>
      </w:r>
      <w:r w:rsidR="00D75A71" w:rsidRPr="006E4783">
        <w:t xml:space="preserve">the trial court </w:t>
      </w:r>
      <w:r w:rsidR="000C6B5A" w:rsidRPr="006E4783">
        <w:t xml:space="preserve">did not abuse its discretion in </w:t>
      </w:r>
      <w:r w:rsidR="00005F9C" w:rsidRPr="006E4783">
        <w:t>concluding</w:t>
      </w:r>
      <w:r w:rsidR="000C6B5A" w:rsidRPr="006E4783">
        <w:t xml:space="preserve"> that</w:t>
      </w:r>
      <w:r w:rsidR="004E3467" w:rsidRPr="006E4783">
        <w:t xml:space="preserve"> </w:t>
      </w:r>
      <w:r w:rsidR="00EC32C0" w:rsidRPr="006E4783">
        <w:t>Scott</w:t>
      </w:r>
      <w:r w:rsidR="00F05F55" w:rsidRPr="006E4783">
        <w:t xml:space="preserve">’s </w:t>
      </w:r>
      <w:r w:rsidR="007F3E4E" w:rsidRPr="006E4783">
        <w:t xml:space="preserve">reported salary income in </w:t>
      </w:r>
      <w:r w:rsidR="00F05F55" w:rsidRPr="006E4783">
        <w:t>2020 was not determinative of his ability to pay child support</w:t>
      </w:r>
      <w:r w:rsidR="00005F9C" w:rsidRPr="006E4783">
        <w:t xml:space="preserve"> in 2020</w:t>
      </w:r>
      <w:r w:rsidR="00F05F55" w:rsidRPr="006E4783">
        <w:t xml:space="preserve"> and that he </w:t>
      </w:r>
      <w:r w:rsidR="000C6B5A" w:rsidRPr="006E4783">
        <w:t>possessed sufficient</w:t>
      </w:r>
      <w:r w:rsidR="004E3467" w:rsidRPr="006E4783">
        <w:t xml:space="preserve"> </w:t>
      </w:r>
      <w:r w:rsidR="0003125B" w:rsidRPr="006E4783">
        <w:t>financial assets</w:t>
      </w:r>
      <w:r w:rsidR="007F3E4E" w:rsidRPr="006E4783">
        <w:t xml:space="preserve"> and</w:t>
      </w:r>
      <w:r w:rsidR="0003125B" w:rsidRPr="006E4783">
        <w:t xml:space="preserve"> </w:t>
      </w:r>
      <w:r w:rsidR="007F3E4E" w:rsidRPr="006E4783">
        <w:t xml:space="preserve">imputed </w:t>
      </w:r>
      <w:r w:rsidR="007F3E4E" w:rsidRPr="006E4783">
        <w:lastRenderedPageBreak/>
        <w:t>income</w:t>
      </w:r>
      <w:r w:rsidR="0003125B" w:rsidRPr="006E4783">
        <w:t xml:space="preserve"> to </w:t>
      </w:r>
      <w:r w:rsidR="004E3467" w:rsidRPr="006E4783">
        <w:t xml:space="preserve">meet </w:t>
      </w:r>
      <w:r w:rsidR="00005F9C" w:rsidRPr="006E4783">
        <w:t>his child support</w:t>
      </w:r>
      <w:r w:rsidR="00F05F55" w:rsidRPr="006E4783">
        <w:t xml:space="preserve"> obligations</w:t>
      </w:r>
      <w:r w:rsidR="005217BC" w:rsidRPr="006E4783">
        <w:t>.</w:t>
      </w:r>
      <w:r w:rsidR="00EC54AA" w:rsidRPr="006E4783">
        <w:t xml:space="preserve">  </w:t>
      </w:r>
      <w:r w:rsidR="00D47FA8" w:rsidRPr="006E4783">
        <w:t>In the unpublished portion, w</w:t>
      </w:r>
      <w:r w:rsidR="00EC54AA" w:rsidRPr="006E4783">
        <w:t xml:space="preserve">e </w:t>
      </w:r>
      <w:r w:rsidR="00005F9C" w:rsidRPr="006E4783">
        <w:t>hold</w:t>
      </w:r>
      <w:r w:rsidR="00EC54AA" w:rsidRPr="006E4783">
        <w:t xml:space="preserve"> the court did not abuse its discretion in </w:t>
      </w:r>
      <w:r w:rsidR="00D47FA8" w:rsidRPr="006E4783">
        <w:t>awarding</w:t>
      </w:r>
      <w:r w:rsidR="00EC54AA" w:rsidRPr="006E4783">
        <w:t xml:space="preserve"> attorney fee</w:t>
      </w:r>
      <w:r w:rsidR="00D47FA8" w:rsidRPr="006E4783">
        <w:t>s</w:t>
      </w:r>
      <w:r w:rsidR="00EC54AA" w:rsidRPr="006E4783">
        <w:t>.</w:t>
      </w:r>
    </w:p>
    <w:p w14:paraId="433A4CD5" w14:textId="77777777" w:rsidR="00301390" w:rsidRPr="00301390" w:rsidRDefault="008802C0" w:rsidP="00301390">
      <w:pPr>
        <w:keepNext/>
        <w:spacing w:line="360" w:lineRule="auto"/>
        <w:jc w:val="center"/>
        <w:rPr>
          <w:rFonts w:cs="Times New Roman (Body CS)"/>
          <w:b/>
          <w:bCs/>
          <w:smallCaps/>
        </w:rPr>
      </w:pPr>
      <w:r w:rsidRPr="00301390">
        <w:rPr>
          <w:rFonts w:cs="Times New Roman (Body CS)"/>
          <w:b/>
          <w:bCs/>
          <w:smallCaps/>
        </w:rPr>
        <w:t>Factual and Procedural Background</w:t>
      </w:r>
    </w:p>
    <w:p w14:paraId="433A4CD6" w14:textId="77777777" w:rsidR="00301390" w:rsidRDefault="008802C0" w:rsidP="0032250D">
      <w:pPr>
        <w:spacing w:line="360" w:lineRule="auto"/>
      </w:pPr>
      <w:r>
        <w:tab/>
      </w:r>
      <w:r w:rsidR="00D75A71">
        <w:t xml:space="preserve">Scott and </w:t>
      </w:r>
      <w:r>
        <w:t xml:space="preserve">Kikianne dissolved their marriage in 2015, </w:t>
      </w:r>
      <w:r w:rsidR="00C52344">
        <w:t>and</w:t>
      </w:r>
      <w:r>
        <w:t xml:space="preserve"> a “Judgment and Marital Settlement” was entered by the court.  In November 2019, the parties entered a stipulation and order </w:t>
      </w:r>
      <w:r w:rsidR="0069394D">
        <w:t xml:space="preserve">requiring </w:t>
      </w:r>
      <w:r w:rsidR="00D75A71">
        <w:t>Scott</w:t>
      </w:r>
      <w:r w:rsidR="0069394D">
        <w:t xml:space="preserve"> to pay</w:t>
      </w:r>
      <w:r>
        <w:t xml:space="preserve"> </w:t>
      </w:r>
      <w:r w:rsidR="00C52344">
        <w:t xml:space="preserve">Kikianne </w:t>
      </w:r>
      <w:r>
        <w:t>child support</w:t>
      </w:r>
      <w:r w:rsidR="0069394D">
        <w:t xml:space="preserve"> </w:t>
      </w:r>
      <w:r>
        <w:t>in the amount $7,537 per month for their two</w:t>
      </w:r>
      <w:r w:rsidR="0069394D">
        <w:t xml:space="preserve"> minor children</w:t>
      </w:r>
      <w:r>
        <w:t xml:space="preserve">.  </w:t>
      </w:r>
      <w:r w:rsidR="0069394D">
        <w:t xml:space="preserve">The order also required that </w:t>
      </w:r>
      <w:r w:rsidR="00D75A71">
        <w:t>Scott</w:t>
      </w:r>
      <w:r w:rsidR="0069394D">
        <w:t xml:space="preserve"> pay bonus child support in accordance with a bonus wages report table, capped by </w:t>
      </w:r>
      <w:r w:rsidR="00D75A71">
        <w:t>Scott</w:t>
      </w:r>
      <w:r w:rsidR="0069394D">
        <w:t>’s gross employment earnings of $2</w:t>
      </w:r>
      <w:r w:rsidR="00005F9C">
        <w:t> </w:t>
      </w:r>
      <w:r w:rsidR="0069394D">
        <w:t xml:space="preserve">million per year. </w:t>
      </w:r>
    </w:p>
    <w:p w14:paraId="433A4CD7" w14:textId="77777777" w:rsidR="00301390" w:rsidRDefault="008802C0" w:rsidP="0032250D">
      <w:pPr>
        <w:spacing w:line="360" w:lineRule="auto"/>
      </w:pPr>
      <w:r>
        <w:tab/>
        <w:t xml:space="preserve">For calendar year 2020, </w:t>
      </w:r>
      <w:r w:rsidR="00D75A71">
        <w:t>Scott</w:t>
      </w:r>
      <w:r w:rsidR="005217BC">
        <w:t xml:space="preserve">’s </w:t>
      </w:r>
      <w:r>
        <w:t xml:space="preserve">child support </w:t>
      </w:r>
      <w:r w:rsidR="005217BC">
        <w:t>obligations totaled</w:t>
      </w:r>
      <w:r>
        <w:t xml:space="preserve"> $90,444</w:t>
      </w:r>
      <w:r w:rsidR="00242FF4">
        <w:t xml:space="preserve"> ($7,537 x 12 months)</w:t>
      </w:r>
      <w:r>
        <w:t>.</w:t>
      </w:r>
      <w:r w:rsidR="00A83BE7">
        <w:t xml:space="preserve">  Although </w:t>
      </w:r>
      <w:r w:rsidR="00D75A71">
        <w:t>Scott</w:t>
      </w:r>
      <w:r w:rsidR="005E0F09">
        <w:t xml:space="preserve"> paid</w:t>
      </w:r>
      <w:r w:rsidR="005217BC">
        <w:t xml:space="preserve"> child support</w:t>
      </w:r>
      <w:r w:rsidR="00A83BE7">
        <w:t xml:space="preserve"> for </w:t>
      </w:r>
      <w:r w:rsidR="005217BC">
        <w:t xml:space="preserve">the months of </w:t>
      </w:r>
      <w:r w:rsidR="00A83BE7">
        <w:t xml:space="preserve">January, February, and March 2020 (totaling $22,611), he stopped </w:t>
      </w:r>
      <w:r w:rsidR="005E0F09">
        <w:t>making payments</w:t>
      </w:r>
      <w:r w:rsidR="00A83BE7">
        <w:t xml:space="preserve"> in April 2020 without </w:t>
      </w:r>
      <w:r w:rsidR="00D75A71">
        <w:t>Kikianne</w:t>
      </w:r>
      <w:r w:rsidR="00A83BE7">
        <w:t xml:space="preserve">’s stipulation or an order of the court. </w:t>
      </w:r>
    </w:p>
    <w:p w14:paraId="433A4CD8" w14:textId="77777777" w:rsidR="00A83BE7" w:rsidRDefault="008802C0" w:rsidP="0032250D">
      <w:pPr>
        <w:spacing w:line="360" w:lineRule="auto"/>
      </w:pPr>
      <w:r>
        <w:tab/>
        <w:t xml:space="preserve">In May 2020, </w:t>
      </w:r>
      <w:r w:rsidR="00D75A71">
        <w:t>Scott</w:t>
      </w:r>
      <w:r>
        <w:t xml:space="preserve"> filed a request for an order modifying </w:t>
      </w:r>
      <w:r w:rsidR="005750E4">
        <w:t xml:space="preserve">his 2020 </w:t>
      </w:r>
      <w:r>
        <w:t>child support</w:t>
      </w:r>
      <w:r w:rsidR="005750E4">
        <w:t xml:space="preserve"> obligations</w:t>
      </w:r>
      <w:r>
        <w:t>.</w:t>
      </w:r>
      <w:r w:rsidR="000F314A">
        <w:t xml:space="preserve">  </w:t>
      </w:r>
      <w:r w:rsidR="00FC6F6A">
        <w:t xml:space="preserve">As the sole shareholder and director of his law firm, Scott Cole and Associates (SCA), </w:t>
      </w:r>
      <w:r w:rsidR="00D75A71">
        <w:t>Scott</w:t>
      </w:r>
      <w:r>
        <w:t xml:space="preserve"> alleged </w:t>
      </w:r>
      <w:r w:rsidR="00357A17">
        <w:t xml:space="preserve">that </w:t>
      </w:r>
      <w:r w:rsidR="00FC6F6A">
        <w:t>his firm</w:t>
      </w:r>
      <w:r w:rsidR="002416F9">
        <w:t xml:space="preserve"> encountered </w:t>
      </w:r>
      <w:r w:rsidR="00210AAE">
        <w:t xml:space="preserve">severe </w:t>
      </w:r>
      <w:r w:rsidR="002416F9">
        <w:t xml:space="preserve">economic challenges due to the COVID-19 pandemic </w:t>
      </w:r>
      <w:r w:rsidR="00EE2E07">
        <w:t xml:space="preserve">and that </w:t>
      </w:r>
      <w:r w:rsidR="000D699E">
        <w:t xml:space="preserve">he </w:t>
      </w:r>
      <w:r w:rsidR="00210AAE">
        <w:t xml:space="preserve">had </w:t>
      </w:r>
      <w:r w:rsidR="000D699E">
        <w:t xml:space="preserve">stopped taking a salary from </w:t>
      </w:r>
      <w:r w:rsidR="00A01624">
        <w:t>SCA</w:t>
      </w:r>
      <w:r w:rsidR="00210AAE">
        <w:t xml:space="preserve"> as one of several measures to keep his business afloat.</w:t>
      </w:r>
      <w:r w:rsidR="000D699E">
        <w:t xml:space="preserve"> </w:t>
      </w:r>
      <w:r w:rsidR="00210AAE">
        <w:t xml:space="preserve"> He</w:t>
      </w:r>
      <w:r w:rsidR="000D699E">
        <w:t xml:space="preserve"> requested that the court suspend child support payments or set payments to zero. </w:t>
      </w:r>
    </w:p>
    <w:p w14:paraId="433A4CD9" w14:textId="77777777" w:rsidR="00A83BE7" w:rsidRDefault="008802C0" w:rsidP="0032250D">
      <w:pPr>
        <w:spacing w:line="360" w:lineRule="auto"/>
      </w:pPr>
      <w:r>
        <w:tab/>
      </w:r>
      <w:r w:rsidR="00A01624">
        <w:t>In opposing</w:t>
      </w:r>
      <w:r>
        <w:t xml:space="preserve"> </w:t>
      </w:r>
      <w:r w:rsidR="00292D41">
        <w:t>the modification</w:t>
      </w:r>
      <w:r>
        <w:t xml:space="preserve"> request, </w:t>
      </w:r>
      <w:r w:rsidR="00D75A71">
        <w:t>Kikianne</w:t>
      </w:r>
      <w:r w:rsidR="00A01624">
        <w:t xml:space="preserve"> </w:t>
      </w:r>
      <w:r>
        <w:t>contend</w:t>
      </w:r>
      <w:r w:rsidR="00A01624">
        <w:t xml:space="preserve">ed </w:t>
      </w:r>
      <w:r>
        <w:t xml:space="preserve">that </w:t>
      </w:r>
      <w:r w:rsidR="00D75A71">
        <w:t>Scott</w:t>
      </w:r>
      <w:r>
        <w:t xml:space="preserve"> maintained assets, income, and access to funds in excess of $20 million and that he essentially failed to disclose all available income to pay child support.</w:t>
      </w:r>
    </w:p>
    <w:p w14:paraId="433A4CDA" w14:textId="77777777" w:rsidR="001B781F" w:rsidRDefault="008802C0" w:rsidP="0032250D">
      <w:pPr>
        <w:spacing w:line="360" w:lineRule="auto"/>
      </w:pPr>
      <w:r>
        <w:lastRenderedPageBreak/>
        <w:tab/>
        <w:t xml:space="preserve">After </w:t>
      </w:r>
      <w:r w:rsidR="00A01624">
        <w:t>making</w:t>
      </w:r>
      <w:r>
        <w:t xml:space="preserve"> temporary interim orders to continue child support, </w:t>
      </w:r>
      <w:r w:rsidR="00A01624">
        <w:t>the trial</w:t>
      </w:r>
      <w:r>
        <w:t xml:space="preserve"> </w:t>
      </w:r>
      <w:r w:rsidR="00D2709E">
        <w:t xml:space="preserve">court </w:t>
      </w:r>
      <w:r>
        <w:t>set</w:t>
      </w:r>
      <w:r w:rsidR="00A01624">
        <w:t xml:space="preserve"> </w:t>
      </w:r>
      <w:r w:rsidR="00D2709E">
        <w:t xml:space="preserve">a long cause hearing for </w:t>
      </w:r>
      <w:r w:rsidR="00D75A71">
        <w:t>Scott</w:t>
      </w:r>
      <w:r w:rsidR="00A01624">
        <w:t xml:space="preserve">’s </w:t>
      </w:r>
      <w:r w:rsidR="00292D41">
        <w:t>r</w:t>
      </w:r>
      <w:r w:rsidR="00A01624">
        <w:t>equest</w:t>
      </w:r>
      <w:r w:rsidR="00D2709E">
        <w:t xml:space="preserve"> and the respective requests of the parties</w:t>
      </w:r>
      <w:r w:rsidR="002E7C38">
        <w:t xml:space="preserve"> for attorney fees</w:t>
      </w:r>
      <w:r w:rsidR="00D2709E">
        <w:t>.</w:t>
      </w:r>
      <w:r w:rsidR="002E7C38">
        <w:t xml:space="preserve">  </w:t>
      </w:r>
    </w:p>
    <w:p w14:paraId="433A4CDB" w14:textId="77777777" w:rsidR="002E5433" w:rsidRDefault="008802C0" w:rsidP="0032250D">
      <w:pPr>
        <w:spacing w:line="360" w:lineRule="auto"/>
      </w:pPr>
      <w:r>
        <w:tab/>
      </w:r>
      <w:r w:rsidR="00D2709E">
        <w:t xml:space="preserve">The long cause hearing </w:t>
      </w:r>
      <w:r w:rsidR="0085173B">
        <w:t xml:space="preserve">occurred over two days in </w:t>
      </w:r>
      <w:r w:rsidR="00D2709E">
        <w:t>March</w:t>
      </w:r>
      <w:r w:rsidR="0085173B">
        <w:t xml:space="preserve"> and April 2021</w:t>
      </w:r>
      <w:r w:rsidR="00D2709E">
        <w:t xml:space="preserve">.  </w:t>
      </w:r>
      <w:r>
        <w:t>The court considered the parties’ briefings</w:t>
      </w:r>
      <w:r w:rsidR="00215797">
        <w:t>, receiv</w:t>
      </w:r>
      <w:r>
        <w:t>ed</w:t>
      </w:r>
      <w:r w:rsidR="00215797">
        <w:t xml:space="preserve"> certain of the parties’ exhibits into evidence</w:t>
      </w:r>
      <w:r>
        <w:t xml:space="preserve">, and heard </w:t>
      </w:r>
      <w:r w:rsidR="00D75A71">
        <w:t>Scott</w:t>
      </w:r>
      <w:r>
        <w:t>’s testimony</w:t>
      </w:r>
      <w:r w:rsidR="00357A17">
        <w:t xml:space="preserve">. </w:t>
      </w:r>
      <w:r>
        <w:t xml:space="preserve"> </w:t>
      </w:r>
      <w:r w:rsidR="00357A17">
        <w:t>The court also heard the testimony of Mary Beth Yanulis,</w:t>
      </w:r>
      <w:r>
        <w:t xml:space="preserve"> an attorney and </w:t>
      </w:r>
      <w:r w:rsidR="00215797">
        <w:t>custodian of records</w:t>
      </w:r>
      <w:r>
        <w:t xml:space="preserve"> for Morgan Stanley</w:t>
      </w:r>
      <w:r w:rsidR="00215797">
        <w:t xml:space="preserve"> Smith Barney</w:t>
      </w:r>
      <w:r w:rsidR="00230E07">
        <w:t xml:space="preserve"> and Morgan Stanley Bank NA</w:t>
      </w:r>
      <w:r w:rsidR="00215797">
        <w:t xml:space="preserve">, </w:t>
      </w:r>
      <w:r w:rsidR="008630A9">
        <w:t xml:space="preserve">which maintained 12 accounts associated with </w:t>
      </w:r>
      <w:r w:rsidR="00FC6F6A">
        <w:t>Scott</w:t>
      </w:r>
      <w:r>
        <w:t xml:space="preserve"> (the Morgan Stanley accounts).</w:t>
      </w:r>
    </w:p>
    <w:p w14:paraId="433A4CDC" w14:textId="77777777" w:rsidR="00CF62B3" w:rsidRDefault="008802C0" w:rsidP="0032250D">
      <w:pPr>
        <w:spacing w:line="360" w:lineRule="auto"/>
      </w:pPr>
      <w:r>
        <w:tab/>
      </w:r>
      <w:r w:rsidR="0085173B">
        <w:t xml:space="preserve">The trial court </w:t>
      </w:r>
      <w:r w:rsidR="00357A17">
        <w:t xml:space="preserve">subsequently </w:t>
      </w:r>
      <w:r w:rsidR="0085173B">
        <w:t xml:space="preserve">issued a </w:t>
      </w:r>
      <w:r w:rsidR="00292D41">
        <w:t>proposed decision, to which Scott lodged objections and claims of error.  The</w:t>
      </w:r>
      <w:r w:rsidR="00A51511">
        <w:t>reafter the</w:t>
      </w:r>
      <w:r w:rsidR="00292D41">
        <w:t xml:space="preserve"> court</w:t>
      </w:r>
      <w:r w:rsidR="00A51511">
        <w:t xml:space="preserve"> issued a </w:t>
      </w:r>
      <w:r w:rsidR="004C16AF">
        <w:t xml:space="preserve">final </w:t>
      </w:r>
      <w:r w:rsidR="0085173B">
        <w:t xml:space="preserve">written statement of decision </w:t>
      </w:r>
      <w:r w:rsidR="00A51511">
        <w:t>with rulings on Scott’s objections and claim</w:t>
      </w:r>
      <w:r w:rsidR="00D47FA8">
        <w:t>ed errors</w:t>
      </w:r>
      <w:r w:rsidR="00215797">
        <w:t xml:space="preserve">. </w:t>
      </w:r>
      <w:r w:rsidR="00575CD2">
        <w:t xml:space="preserve"> </w:t>
      </w:r>
      <w:r>
        <w:t xml:space="preserve">In making its rulings, the court indicated it found Scott’s testimony “largely unbelievable” concerning his personal finances and transactions.  Specifically, the court observed that Scott had little recall of specific and significant facts related to his personal finances and that he was evasive and often impeached by other evidence when questioned about the value of his real estate holdings, the value of his Morgan Stanley investment portfolios and financial holdings, and details of other financial transactions including a loan application he signed in 2019. </w:t>
      </w:r>
    </w:p>
    <w:p w14:paraId="433A4CDD" w14:textId="77777777" w:rsidR="00A83BE7" w:rsidRDefault="008802C0" w:rsidP="0032250D">
      <w:pPr>
        <w:spacing w:line="360" w:lineRule="auto"/>
      </w:pPr>
      <w:r>
        <w:tab/>
        <w:t xml:space="preserve">Details of the court’s factual and legal findings will be addressed in the Discussion, </w:t>
      </w:r>
      <w:r w:rsidRPr="00575CD2">
        <w:rPr>
          <w:i/>
          <w:iCs/>
        </w:rPr>
        <w:t>post</w:t>
      </w:r>
      <w:r>
        <w:t xml:space="preserve">, but for now we note the court denied Scott’s modification request and ordered him to pay $90,444, which represented the entire amount of child support due in 2020.  </w:t>
      </w:r>
      <w:r w:rsidR="00575CD2">
        <w:t xml:space="preserve">The court also ordered </w:t>
      </w:r>
      <w:r w:rsidR="00D75A71">
        <w:t>Scott</w:t>
      </w:r>
      <w:r w:rsidR="00575CD2">
        <w:t xml:space="preserve"> to pay </w:t>
      </w:r>
      <w:r w:rsidR="00D75A71">
        <w:t>Kikianne</w:t>
      </w:r>
      <w:r w:rsidR="00575CD2">
        <w:t>’s attorney fees in the amount of $123,909</w:t>
      </w:r>
      <w:r w:rsidR="00A51511">
        <w:t>, finding that</w:t>
      </w:r>
      <w:r w:rsidR="001F72B5">
        <w:t xml:space="preserve"> the award</w:t>
      </w:r>
      <w:r w:rsidR="00A51511">
        <w:t>ed sum</w:t>
      </w:r>
      <w:r w:rsidR="001F72B5">
        <w:t xml:space="preserve"> “does not impose an unreasonable burden against [Scott], given his </w:t>
      </w:r>
      <w:r w:rsidR="001F72B5">
        <w:lastRenderedPageBreak/>
        <w:t xml:space="preserve">financial condition.”  </w:t>
      </w:r>
      <w:r w:rsidR="00575CD2">
        <w:t xml:space="preserve">In </w:t>
      </w:r>
      <w:r w:rsidR="00532020">
        <w:t>its</w:t>
      </w:r>
      <w:r w:rsidR="00575CD2">
        <w:t xml:space="preserve"> statement of decision</w:t>
      </w:r>
      <w:r w:rsidR="00532020">
        <w:t>, the court</w:t>
      </w:r>
      <w:r w:rsidR="00575CD2">
        <w:t xml:space="preserve"> commented, “It is unfortunate that an experienced, successful attorney with considerable financial assets and holdings has undertaken vigorous litigation to deprive his children of the support that they require to maintain their status in life.  At this point in the litigation, the Parties have spent more money litigating this case than the amount of support that is owed to the Parties’ children.</w:t>
      </w:r>
      <w:r w:rsidR="00766336">
        <w:t xml:space="preserve">  The people who suffered most during this ordeal are the [Parties’] minor children.</w:t>
      </w:r>
      <w:r w:rsidR="00575CD2">
        <w:t xml:space="preserve">” </w:t>
      </w:r>
    </w:p>
    <w:p w14:paraId="433A4CDE" w14:textId="77777777" w:rsidR="005969D3" w:rsidRDefault="008802C0" w:rsidP="0032250D">
      <w:pPr>
        <w:spacing w:line="360" w:lineRule="auto"/>
      </w:pPr>
      <w:r>
        <w:tab/>
        <w:t>This appeal followed.</w:t>
      </w:r>
    </w:p>
    <w:p w14:paraId="433A4CDF" w14:textId="77777777" w:rsidR="00301390" w:rsidRPr="00301390" w:rsidRDefault="008802C0" w:rsidP="00301390">
      <w:pPr>
        <w:keepNext/>
        <w:spacing w:line="360" w:lineRule="auto"/>
        <w:jc w:val="center"/>
        <w:rPr>
          <w:rFonts w:cs="Times New Roman (Body CS)"/>
          <w:b/>
          <w:smallCaps/>
        </w:rPr>
      </w:pPr>
      <w:r w:rsidRPr="00301390">
        <w:rPr>
          <w:rFonts w:cs="Times New Roman (Body CS)"/>
          <w:b/>
          <w:smallCaps/>
        </w:rPr>
        <w:t>Discussion</w:t>
      </w:r>
    </w:p>
    <w:p w14:paraId="433A4CE0" w14:textId="77777777" w:rsidR="00853B92" w:rsidRDefault="008802C0" w:rsidP="007F6DFF">
      <w:pPr>
        <w:spacing w:line="360" w:lineRule="auto"/>
      </w:pPr>
      <w:r>
        <w:tab/>
        <w:t xml:space="preserve">Scott challenges the trial court’s denial of his request to reduce or eliminate his child support obligations for calendar year 2020.  He also contends the court’s attorney fee award must be reversed.  We address these </w:t>
      </w:r>
      <w:r w:rsidR="004C16AF">
        <w:t xml:space="preserve">issues </w:t>
      </w:r>
      <w:r>
        <w:t>in turn.</w:t>
      </w:r>
    </w:p>
    <w:p w14:paraId="433A4CE1" w14:textId="77777777" w:rsidR="00853B92" w:rsidRPr="00853B92" w:rsidRDefault="008802C0" w:rsidP="00853B92">
      <w:pPr>
        <w:pStyle w:val="ListParagraph"/>
        <w:keepNext/>
        <w:numPr>
          <w:ilvl w:val="0"/>
          <w:numId w:val="2"/>
        </w:numPr>
        <w:spacing w:line="360" w:lineRule="auto"/>
        <w:rPr>
          <w:b/>
          <w:bCs/>
        </w:rPr>
      </w:pPr>
      <w:r w:rsidRPr="00853B92">
        <w:rPr>
          <w:b/>
          <w:bCs/>
        </w:rPr>
        <w:t>Denial of Child Support Modification</w:t>
      </w:r>
    </w:p>
    <w:p w14:paraId="433A4CE2" w14:textId="77777777" w:rsidR="007F6DFF" w:rsidRDefault="008802C0" w:rsidP="007F6DFF">
      <w:pPr>
        <w:spacing w:line="360" w:lineRule="auto"/>
      </w:pPr>
      <w:r>
        <w:tab/>
      </w:r>
      <w:r w:rsidR="000A0017">
        <w:t>California has a strong public policy favoring adequate child support</w:t>
      </w:r>
      <w:r w:rsidR="005750E4">
        <w:t>.  (</w:t>
      </w:r>
      <w:r w:rsidR="005750E4" w:rsidRPr="005750E4">
        <w:rPr>
          <w:i/>
          <w:iCs/>
        </w:rPr>
        <w:t>In re Marriage of Usher</w:t>
      </w:r>
      <w:r w:rsidR="005750E4">
        <w:t xml:space="preserve"> (2016) 6 Cal.App.5th</w:t>
      </w:r>
      <w:r w:rsidR="00C85C91">
        <w:t xml:space="preserve"> </w:t>
      </w:r>
      <w:r w:rsidR="005750E4">
        <w:t>347, 356</w:t>
      </w:r>
      <w:r w:rsidR="00147F7B">
        <w:t xml:space="preserve"> (</w:t>
      </w:r>
      <w:r w:rsidR="00147F7B" w:rsidRPr="00147F7B">
        <w:rPr>
          <w:i/>
          <w:iCs/>
        </w:rPr>
        <w:t>Usher</w:t>
      </w:r>
      <w:r w:rsidR="00147F7B">
        <w:t>)</w:t>
      </w:r>
      <w:r w:rsidR="005750E4">
        <w:t xml:space="preserve">.)  </w:t>
      </w:r>
      <w:r w:rsidR="00A114BE">
        <w:t xml:space="preserve">This policy is set forth in </w:t>
      </w:r>
      <w:r w:rsidR="00357A17">
        <w:t xml:space="preserve">the </w:t>
      </w:r>
      <w:r w:rsidR="00A114BE">
        <w:t>Family Code</w:t>
      </w:r>
      <w:r>
        <w:rPr>
          <w:rStyle w:val="FootnoteReference"/>
        </w:rPr>
        <w:footnoteReference w:id="3"/>
      </w:r>
      <w:r w:rsidR="005750E4">
        <w:t xml:space="preserve"> </w:t>
      </w:r>
      <w:r w:rsidR="00357A17">
        <w:t xml:space="preserve">(§ 4050 et seq.), </w:t>
      </w:r>
      <w:r w:rsidR="00A114BE">
        <w:t>which provide</w:t>
      </w:r>
      <w:r w:rsidR="00357A17">
        <w:t>s</w:t>
      </w:r>
      <w:r w:rsidR="00A114BE">
        <w:t xml:space="preserve"> for a </w:t>
      </w:r>
      <w:r w:rsidR="00242FF4">
        <w:t xml:space="preserve">mandatory </w:t>
      </w:r>
      <w:r w:rsidR="00A114BE">
        <w:t xml:space="preserve">statewide </w:t>
      </w:r>
      <w:r w:rsidR="005750E4">
        <w:t>uniform child support guideline</w:t>
      </w:r>
      <w:r w:rsidR="00E34D38">
        <w:t xml:space="preserve"> (“</w:t>
      </w:r>
      <w:r w:rsidR="00BF00E2">
        <w:t xml:space="preserve">the </w:t>
      </w:r>
      <w:r w:rsidR="00E34D38">
        <w:t>guideline”)</w:t>
      </w:r>
      <w:r w:rsidR="00A114BE">
        <w:t xml:space="preserve">.  (See </w:t>
      </w:r>
      <w:r w:rsidR="00A114BE" w:rsidRPr="00A114BE">
        <w:rPr>
          <w:i/>
          <w:iCs/>
        </w:rPr>
        <w:t>Usher</w:t>
      </w:r>
      <w:r w:rsidR="00A114BE">
        <w:t xml:space="preserve">, at p. 356.)  </w:t>
      </w:r>
      <w:r w:rsidR="00EA7A5C">
        <w:t xml:space="preserve">The guideline </w:t>
      </w:r>
      <w:r w:rsidR="00267442">
        <w:t>is a “complex</w:t>
      </w:r>
      <w:r w:rsidR="00EA7A5C">
        <w:t xml:space="preserve"> statutory formula</w:t>
      </w:r>
      <w:r w:rsidR="00267442">
        <w:t>”</w:t>
      </w:r>
      <w:r w:rsidR="00EA7A5C">
        <w:t xml:space="preserve"> for calculating child support based largely on </w:t>
      </w:r>
      <w:r w:rsidR="00267442">
        <w:t>“parental</w:t>
      </w:r>
      <w:r w:rsidR="00EA7A5C">
        <w:t xml:space="preserve"> income and net monthly disposable income</w:t>
      </w:r>
      <w:r w:rsidR="008A699A">
        <w:t>”</w:t>
      </w:r>
      <w:r w:rsidR="00267442">
        <w:t xml:space="preserve"> of parents.</w:t>
      </w:r>
      <w:r w:rsidR="00EA7A5C">
        <w:t xml:space="preserve"> </w:t>
      </w:r>
      <w:r w:rsidR="006F5600">
        <w:t xml:space="preserve"> </w:t>
      </w:r>
      <w:r w:rsidR="00EA7A5C">
        <w:t>(</w:t>
      </w:r>
      <w:r w:rsidR="00267442" w:rsidRPr="00267442">
        <w:rPr>
          <w:i/>
          <w:iCs/>
        </w:rPr>
        <w:t>Ibid.</w:t>
      </w:r>
      <w:r w:rsidR="00267442">
        <w:t xml:space="preserve">; see </w:t>
      </w:r>
      <w:r w:rsidR="00EA7A5C">
        <w:t>§ 4055.)</w:t>
      </w:r>
      <w:r>
        <w:t xml:space="preserve">  In this context, </w:t>
      </w:r>
      <w:r w:rsidR="00267442">
        <w:t xml:space="preserve">parental </w:t>
      </w:r>
      <w:r>
        <w:t>income generally means “income from whatever source derived” (§</w:t>
      </w:r>
      <w:r w:rsidR="00BE31CD">
        <w:t> </w:t>
      </w:r>
      <w:r>
        <w:t>4058, subd. (a)), including salaries, bonuses, and interest (</w:t>
      </w:r>
      <w:r w:rsidRPr="00DD4842">
        <w:rPr>
          <w:i/>
          <w:iCs/>
        </w:rPr>
        <w:t>id</w:t>
      </w:r>
      <w:r>
        <w:t xml:space="preserve">., subd. (a)(1)), as well as “[i]ncome from the proprietorship of a business, such as gross receipts from </w:t>
      </w:r>
      <w:r>
        <w:lastRenderedPageBreak/>
        <w:t>the business reduced by expenditures required for the operation of the business” (</w:t>
      </w:r>
      <w:r w:rsidRPr="00DD4842">
        <w:rPr>
          <w:i/>
          <w:iCs/>
        </w:rPr>
        <w:t>id</w:t>
      </w:r>
      <w:r>
        <w:t>., subd. (a)(2)).</w:t>
      </w:r>
      <w:r w:rsidR="001E731E">
        <w:t xml:space="preserve">  </w:t>
      </w:r>
      <w:r w:rsidR="00EE2E07">
        <w:t xml:space="preserve">The guideline also contemplates that </w:t>
      </w:r>
      <w:r w:rsidR="001E731E">
        <w:t>the “earning capacity of a parent</w:t>
      </w:r>
      <w:r w:rsidR="00EE2E07">
        <w:t>”</w:t>
      </w:r>
      <w:r w:rsidR="001E731E">
        <w:t xml:space="preserve"> </w:t>
      </w:r>
      <w:r w:rsidR="00EE2E07">
        <w:t xml:space="preserve">may be considered </w:t>
      </w:r>
      <w:r w:rsidR="001E731E">
        <w:t>in lieu of the parent’s actual income, “consistent with the best interests of the children.”  (§ 4058, subd. (b)(1).)</w:t>
      </w:r>
      <w:r>
        <w:rPr>
          <w:rStyle w:val="FootnoteReference"/>
        </w:rPr>
        <w:footnoteReference w:id="4"/>
      </w:r>
    </w:p>
    <w:p w14:paraId="433A4CE3" w14:textId="77777777" w:rsidR="00270480" w:rsidRDefault="008802C0" w:rsidP="00270480">
      <w:pPr>
        <w:spacing w:line="360" w:lineRule="auto"/>
      </w:pPr>
      <w:r>
        <w:tab/>
        <w:t>In implementing the guideline, courts must adhere to certain basic principles, including:  (1) </w:t>
      </w:r>
      <w:r w:rsidR="00BF00E2">
        <w:t>the</w:t>
      </w:r>
      <w:r>
        <w:t xml:space="preserve"> </w:t>
      </w:r>
      <w:r w:rsidR="0092781F">
        <w:t>“</w:t>
      </w:r>
      <w:r>
        <w:t>first and principal obligation</w:t>
      </w:r>
      <w:r w:rsidR="0092781F">
        <w:t>”</w:t>
      </w:r>
      <w:r w:rsidR="00BF00E2">
        <w:t xml:space="preserve"> of a parent</w:t>
      </w:r>
      <w:r>
        <w:t xml:space="preserve"> </w:t>
      </w:r>
      <w:r w:rsidR="00BF00E2">
        <w:t>“</w:t>
      </w:r>
      <w:r>
        <w:t>is to support the parent’s minor children according to the parent’s circumstances and station in life”</w:t>
      </w:r>
      <w:r w:rsidR="00ED6BCE">
        <w:t xml:space="preserve"> (§ 4053, subd. (a))</w:t>
      </w:r>
      <w:r>
        <w:t>; (2) </w:t>
      </w:r>
      <w:r w:rsidR="0092781F">
        <w:t>a parent should pay for the support of the children “according to the parent’s ability” (</w:t>
      </w:r>
      <w:r w:rsidR="0092781F" w:rsidRPr="0092781F">
        <w:rPr>
          <w:i/>
          <w:iCs/>
        </w:rPr>
        <w:t>id</w:t>
      </w:r>
      <w:r w:rsidR="0092781F">
        <w:t>., subd. (d)); (3) </w:t>
      </w:r>
      <w:r w:rsidR="00ED6BCE">
        <w:t>the interests of children are “the state’s top priority” (</w:t>
      </w:r>
      <w:r w:rsidR="0092781F" w:rsidRPr="0092781F">
        <w:rPr>
          <w:i/>
          <w:iCs/>
        </w:rPr>
        <w:t>id</w:t>
      </w:r>
      <w:r w:rsidR="0092781F">
        <w:t>.</w:t>
      </w:r>
      <w:r w:rsidR="00ED6BCE">
        <w:t>, subd. (e)); (</w:t>
      </w:r>
      <w:r w:rsidR="0092781F">
        <w:t>4</w:t>
      </w:r>
      <w:r w:rsidR="00ED6BCE">
        <w:t>) because children “should share in the standard of living of both parents,” child support may “appropriately improve</w:t>
      </w:r>
      <w:r w:rsidR="00BF00E2">
        <w:t>”</w:t>
      </w:r>
      <w:r w:rsidR="00ED6BCE">
        <w:t xml:space="preserve"> the </w:t>
      </w:r>
      <w:r w:rsidR="00BF00E2">
        <w:t xml:space="preserve">custodial household’s </w:t>
      </w:r>
      <w:r w:rsidR="00ED6BCE">
        <w:t xml:space="preserve">standard of living </w:t>
      </w:r>
      <w:r w:rsidR="00BF00E2">
        <w:t>“</w:t>
      </w:r>
      <w:r w:rsidR="00ED6BCE">
        <w:t>to improve the lives of the children” (</w:t>
      </w:r>
      <w:r w:rsidR="0092781F" w:rsidRPr="0092781F">
        <w:rPr>
          <w:i/>
          <w:iCs/>
        </w:rPr>
        <w:t>id</w:t>
      </w:r>
      <w:r w:rsidR="0092781F">
        <w:t>.</w:t>
      </w:r>
      <w:r w:rsidR="00ED6BCE">
        <w:t>, subd. (f)); (</w:t>
      </w:r>
      <w:r w:rsidR="0092781F">
        <w:t>5</w:t>
      </w:r>
      <w:r w:rsidR="00ED6BCE">
        <w:t>) the guideline seeks to “encourage fair and efficient settlements” of parental conflicts and to “minimize the need for litigation” (</w:t>
      </w:r>
      <w:r w:rsidR="0092781F" w:rsidRPr="0092781F">
        <w:rPr>
          <w:i/>
          <w:iCs/>
        </w:rPr>
        <w:t>id</w:t>
      </w:r>
      <w:r w:rsidR="0092781F">
        <w:t>.</w:t>
      </w:r>
      <w:r w:rsidR="00ED6BCE">
        <w:t>, subd. (j)); and (</w:t>
      </w:r>
      <w:r w:rsidR="00A51511">
        <w:t>6</w:t>
      </w:r>
      <w:r w:rsidR="00ED6BCE">
        <w:t>) child support orders “shall ensure that children actually receive fair, timely, and sufficient support reflecting the state’s high standard of living and high costs of raising children compared to other states” (</w:t>
      </w:r>
      <w:r w:rsidR="0092781F" w:rsidRPr="0092781F">
        <w:rPr>
          <w:i/>
          <w:iCs/>
        </w:rPr>
        <w:t>id</w:t>
      </w:r>
      <w:r w:rsidR="0092781F">
        <w:t>.</w:t>
      </w:r>
      <w:r w:rsidR="00ED6BCE">
        <w:t>, subd. (</w:t>
      </w:r>
      <w:r w:rsidR="00ED6BCE" w:rsidRPr="00ED6BCE">
        <w:rPr>
          <w:i/>
          <w:iCs/>
        </w:rPr>
        <w:t>l</w:t>
      </w:r>
      <w:r w:rsidR="00ED6BCE">
        <w:t>)).</w:t>
      </w:r>
    </w:p>
    <w:p w14:paraId="433A4CE4" w14:textId="77777777" w:rsidR="007F6DFF" w:rsidRDefault="008802C0" w:rsidP="00270480">
      <w:pPr>
        <w:spacing w:line="360" w:lineRule="auto"/>
      </w:pPr>
      <w:r>
        <w:tab/>
      </w:r>
      <w:r w:rsidR="00DD70CF">
        <w:t>T</w:t>
      </w:r>
      <w:r>
        <w:t xml:space="preserve">he amount of child support </w:t>
      </w:r>
      <w:r w:rsidR="007B4219">
        <w:t>established by the guideline formula</w:t>
      </w:r>
      <w:r w:rsidR="004840CB">
        <w:t xml:space="preserve"> </w:t>
      </w:r>
      <w:r>
        <w:t>is presumptively correct</w:t>
      </w:r>
      <w:r w:rsidR="00DD70CF">
        <w:t>.</w:t>
      </w:r>
      <w:r w:rsidR="007B4219">
        <w:t xml:space="preserve">  (§ 4057, subd. (a).)</w:t>
      </w:r>
      <w:r w:rsidR="00DD70CF">
        <w:t xml:space="preserve">  However</w:t>
      </w:r>
      <w:r>
        <w:t xml:space="preserve">, </w:t>
      </w:r>
      <w:r w:rsidR="004840CB">
        <w:t xml:space="preserve">courts may depart from the </w:t>
      </w:r>
      <w:r w:rsidR="001E731E">
        <w:t>guideline amount</w:t>
      </w:r>
      <w:r w:rsidR="004840CB">
        <w:t xml:space="preserve"> under several circumstances, including those situations </w:t>
      </w:r>
      <w:r w:rsidR="007B4219">
        <w:lastRenderedPageBreak/>
        <w:t>in which</w:t>
      </w:r>
      <w:r w:rsidR="004840CB">
        <w:t xml:space="preserve"> </w:t>
      </w:r>
      <w:r w:rsidR="007B4219">
        <w:t>“ </w:t>
      </w:r>
      <w:r w:rsidR="004840CB">
        <w:t>‘[a]pplication of the formula would be unjust or inappropriate due to special circumstances in the particular case.”  (§ 4057</w:t>
      </w:r>
      <w:r w:rsidR="00D64C3A">
        <w:t>, subd. (b)(5)</w:t>
      </w:r>
      <w:r w:rsidR="004840CB">
        <w:t xml:space="preserve">.)  </w:t>
      </w:r>
      <w:r w:rsidR="001E731E">
        <w:t>For instance</w:t>
      </w:r>
      <w:r w:rsidR="00DA5CE8">
        <w:t xml:space="preserve">, </w:t>
      </w:r>
      <w:r w:rsidR="001E731E">
        <w:t>one c</w:t>
      </w:r>
      <w:r w:rsidR="00EE2E07">
        <w:t>ourt</w:t>
      </w:r>
      <w:r w:rsidR="001E731E">
        <w:t xml:space="preserve"> found </w:t>
      </w:r>
      <w:r w:rsidR="00DA5CE8">
        <w:t>special circumstance</w:t>
      </w:r>
      <w:r w:rsidR="00DD70CF">
        <w:t>s</w:t>
      </w:r>
      <w:r w:rsidR="00DA5CE8">
        <w:t xml:space="preserve"> where</w:t>
      </w:r>
      <w:r w:rsidR="004840CB">
        <w:t xml:space="preserve"> a parent who </w:t>
      </w:r>
      <w:r w:rsidR="00DA5CE8">
        <w:t>was</w:t>
      </w:r>
      <w:r w:rsidR="004840CB">
        <w:t xml:space="preserve"> a principal of a company voluntarily </w:t>
      </w:r>
      <w:r w:rsidR="00DA5CE8">
        <w:t>agreed to defer a substantial portion of his</w:t>
      </w:r>
      <w:r w:rsidR="004840CB">
        <w:t xml:space="preserve"> salary </w:t>
      </w:r>
      <w:r w:rsidR="00DA5CE8">
        <w:t xml:space="preserve">while still working full time and </w:t>
      </w:r>
      <w:r w:rsidR="00BE31CD">
        <w:t xml:space="preserve">using his other assets to </w:t>
      </w:r>
      <w:r w:rsidR="00DA5CE8">
        <w:t>continu</w:t>
      </w:r>
      <w:r w:rsidR="00BE31CD">
        <w:t xml:space="preserve">e </w:t>
      </w:r>
      <w:r w:rsidR="00DA5CE8">
        <w:t>liv</w:t>
      </w:r>
      <w:r w:rsidR="00BE31CD">
        <w:t>ing</w:t>
      </w:r>
      <w:r w:rsidR="00DA5CE8">
        <w:t xml:space="preserve"> a wealthy l</w:t>
      </w:r>
      <w:r w:rsidR="004840CB">
        <w:t>ifestyle</w:t>
      </w:r>
      <w:r w:rsidR="00DA5CE8">
        <w:t>.  (</w:t>
      </w:r>
      <w:r w:rsidR="00DA5CE8" w:rsidRPr="00DA5CE8">
        <w:rPr>
          <w:i/>
          <w:iCs/>
        </w:rPr>
        <w:t>In re Marriage of Berger</w:t>
      </w:r>
      <w:r w:rsidR="00DA5CE8">
        <w:t xml:space="preserve"> (2009) 170 Cal.App.4th 1070</w:t>
      </w:r>
      <w:r w:rsidR="0015530A">
        <w:t xml:space="preserve"> (</w:t>
      </w:r>
      <w:r w:rsidR="0015530A" w:rsidRPr="0015530A">
        <w:rPr>
          <w:i/>
          <w:iCs/>
        </w:rPr>
        <w:t>Berger</w:t>
      </w:r>
      <w:r w:rsidR="0015530A">
        <w:t>)</w:t>
      </w:r>
      <w:r w:rsidR="00DA5CE8">
        <w:t>.)</w:t>
      </w:r>
    </w:p>
    <w:p w14:paraId="433A4CE5" w14:textId="77777777" w:rsidR="00C626A3" w:rsidRDefault="008802C0" w:rsidP="00C626A3">
      <w:pPr>
        <w:spacing w:line="360" w:lineRule="auto"/>
      </w:pPr>
      <w:r>
        <w:tab/>
      </w:r>
      <w:r w:rsidR="00EE2E07">
        <w:t xml:space="preserve">As </w:t>
      </w:r>
      <w:r w:rsidR="00210AAE">
        <w:t>indicated</w:t>
      </w:r>
      <w:r w:rsidR="00EE2E07">
        <w:t xml:space="preserve"> above,</w:t>
      </w:r>
      <w:r>
        <w:t xml:space="preserve"> Scott and Kikianne entered a stipulation and order </w:t>
      </w:r>
      <w:r w:rsidR="00EE2E07">
        <w:t xml:space="preserve">in November 2019 </w:t>
      </w:r>
      <w:r w:rsidR="00FB7B27">
        <w:t>that fixed</w:t>
      </w:r>
      <w:r>
        <w:t xml:space="preserve"> Scott</w:t>
      </w:r>
      <w:r w:rsidR="00FB7B27">
        <w:t>’s</w:t>
      </w:r>
      <w:r>
        <w:t xml:space="preserve"> monthly child support </w:t>
      </w:r>
      <w:r w:rsidR="00B43DEF">
        <w:t xml:space="preserve">obligations </w:t>
      </w:r>
      <w:r w:rsidR="00FB7B27">
        <w:t>at</w:t>
      </w:r>
      <w:r>
        <w:t xml:space="preserve"> $7,537 ($90,444 annually).  </w:t>
      </w:r>
      <w:r w:rsidR="007A07DE">
        <w:t xml:space="preserve">Six months later, </w:t>
      </w:r>
      <w:r>
        <w:t xml:space="preserve">Scott filed a motion requesting reduction of child support to zero because:  “My financial situation has changed significantly and negatively as a result of the COVID-19 pandemic.  I have not been able to afford to take a salary for myself since February 2020 in an effort to keep my business going.”  Scott claimed that his law firm SCA was able to collect “only a fraction” of the settlements and judgments it was owed and that SCA laid off three employees and slashed its expenses by at least 25 percent in order to survive.  He also represented that he and his current </w:t>
      </w:r>
      <w:r w:rsidR="0030594C">
        <w:t>spouse</w:t>
      </w:r>
      <w:r>
        <w:t xml:space="preserve"> were living off their savings, carrying two mortgages, and trying to avoid foreclosure. </w:t>
      </w:r>
    </w:p>
    <w:p w14:paraId="433A4CE6" w14:textId="77777777" w:rsidR="00FC2E77" w:rsidRDefault="008802C0" w:rsidP="00270480">
      <w:pPr>
        <w:spacing w:line="360" w:lineRule="auto"/>
      </w:pPr>
      <w:r>
        <w:tab/>
        <w:t>Generally, courts will not modify</w:t>
      </w:r>
      <w:r w:rsidR="00B51060">
        <w:t xml:space="preserve"> </w:t>
      </w:r>
      <w:r>
        <w:t xml:space="preserve">child support “unless there has been a material change of circumstances following </w:t>
      </w:r>
      <w:r w:rsidR="005C604D">
        <w:t>the</w:t>
      </w:r>
      <w:r>
        <w:t xml:space="preserve"> previous determination.”  (</w:t>
      </w:r>
      <w:r w:rsidRPr="00E42A0D">
        <w:rPr>
          <w:i/>
          <w:iCs/>
        </w:rPr>
        <w:t>Usher</w:t>
      </w:r>
      <w:r>
        <w:t xml:space="preserve">, </w:t>
      </w:r>
      <w:r w:rsidRPr="00E42A0D">
        <w:rPr>
          <w:i/>
          <w:iCs/>
        </w:rPr>
        <w:t>supra</w:t>
      </w:r>
      <w:r>
        <w:t xml:space="preserve">, 6 Cal.App.5th at p. 357.)  </w:t>
      </w:r>
      <w:r w:rsidR="0028779A">
        <w:t xml:space="preserve">Where, as here, a parent </w:t>
      </w:r>
      <w:r w:rsidR="00643956">
        <w:t>seeks</w:t>
      </w:r>
      <w:r w:rsidR="0028779A">
        <w:t xml:space="preserve"> to reduce a </w:t>
      </w:r>
      <w:r w:rsidR="00046DF6">
        <w:t xml:space="preserve">support </w:t>
      </w:r>
      <w:r w:rsidR="0028779A">
        <w:t>order, that parent</w:t>
      </w:r>
      <w:r>
        <w:t xml:space="preserve"> shoulders the burden of proving changed circumstances</w:t>
      </w:r>
      <w:r w:rsidR="00E42A0D">
        <w:t xml:space="preserve"> (</w:t>
      </w:r>
      <w:r w:rsidR="0028779A">
        <w:rPr>
          <w:i/>
          <w:iCs/>
        </w:rPr>
        <w:t>i</w:t>
      </w:r>
      <w:r w:rsidR="00E42A0D" w:rsidRPr="00E42A0D">
        <w:rPr>
          <w:i/>
          <w:iCs/>
        </w:rPr>
        <w:t>d</w:t>
      </w:r>
      <w:r w:rsidR="00E42A0D">
        <w:t xml:space="preserve">. at pp. 357–358) </w:t>
      </w:r>
      <w:r w:rsidR="0028779A">
        <w:t xml:space="preserve">and </w:t>
      </w:r>
      <w:r w:rsidR="00275501">
        <w:t xml:space="preserve">a lack of ability and opportunity to earn </w:t>
      </w:r>
      <w:r w:rsidR="0028779A">
        <w:t xml:space="preserve">the </w:t>
      </w:r>
      <w:r w:rsidR="00275501">
        <w:t>income</w:t>
      </w:r>
      <w:r w:rsidR="0028779A">
        <w:t xml:space="preserve"> necessary to pay the court-ordered support</w:t>
      </w:r>
      <w:r w:rsidR="00275501">
        <w:t xml:space="preserve"> (</w:t>
      </w:r>
      <w:r w:rsidR="00275501" w:rsidRPr="00275501">
        <w:rPr>
          <w:i/>
          <w:iCs/>
        </w:rPr>
        <w:t>In re Marriage of McHugh</w:t>
      </w:r>
      <w:r w:rsidR="00275501">
        <w:t xml:space="preserve"> (2014) 231 Cal.App.4th 1238, 1246–1247 (</w:t>
      </w:r>
      <w:r w:rsidR="00275501" w:rsidRPr="00275501">
        <w:rPr>
          <w:i/>
          <w:iCs/>
        </w:rPr>
        <w:t>McHugh</w:t>
      </w:r>
      <w:r w:rsidR="00275501">
        <w:t xml:space="preserve">); </w:t>
      </w:r>
      <w:r w:rsidR="000973CD">
        <w:t xml:space="preserve">see </w:t>
      </w:r>
      <w:r w:rsidR="00275501" w:rsidRPr="00E42A0D">
        <w:rPr>
          <w:i/>
          <w:iCs/>
        </w:rPr>
        <w:t>In re Marriage of Leonard</w:t>
      </w:r>
      <w:r w:rsidR="00275501">
        <w:t xml:space="preserve"> (200</w:t>
      </w:r>
      <w:r w:rsidR="000973CD">
        <w:t>4</w:t>
      </w:r>
      <w:r w:rsidR="00275501">
        <w:t xml:space="preserve">) 119 Cal.App.4th 546, 556 [determination of </w:t>
      </w:r>
      <w:r w:rsidR="00275501">
        <w:lastRenderedPageBreak/>
        <w:t xml:space="preserve">modification request may properly rest </w:t>
      </w:r>
      <w:r w:rsidR="00275501" w:rsidRPr="00E032D2">
        <w:t xml:space="preserve">on the </w:t>
      </w:r>
      <w:r w:rsidR="000973CD">
        <w:t xml:space="preserve">fluctuations in </w:t>
      </w:r>
      <w:r w:rsidR="00275501" w:rsidRPr="00E032D2">
        <w:t>ability to pay</w:t>
      </w:r>
      <w:r w:rsidR="00275501">
        <w:t>])</w:t>
      </w:r>
      <w:r w:rsidR="00210AAE">
        <w:t>.</w:t>
      </w:r>
      <w:r w:rsidR="00275501">
        <w:t xml:space="preserve">  </w:t>
      </w:r>
      <w:r w:rsidR="00E42A0D">
        <w:t>“ ‘There are no rigid guidelines for evaluating whether circumstances have sufficiently changed to warrant a child support modification</w:t>
      </w:r>
      <w:r w:rsidR="000973CD">
        <w:t>.</w:t>
      </w:r>
      <w:r w:rsidR="00E42A0D">
        <w:t xml:space="preserve">’ ” </w:t>
      </w:r>
      <w:r w:rsidR="001F2CC9">
        <w:t xml:space="preserve"> </w:t>
      </w:r>
      <w:r w:rsidR="000973CD">
        <w:t>(</w:t>
      </w:r>
      <w:r w:rsidR="000973CD">
        <w:rPr>
          <w:i/>
          <w:iCs/>
        </w:rPr>
        <w:t>Usher</w:t>
      </w:r>
      <w:r w:rsidR="000973CD">
        <w:t>, at p. 358.)  Though determinations must be made on a case</w:t>
      </w:r>
      <w:r w:rsidR="002753C6">
        <w:t>-</w:t>
      </w:r>
      <w:r w:rsidR="000973CD">
        <w:t>by</w:t>
      </w:r>
      <w:r w:rsidR="002753C6">
        <w:t>-</w:t>
      </w:r>
      <w:r w:rsidR="000973CD">
        <w:t>case basis,</w:t>
      </w:r>
      <w:r w:rsidR="00E42A0D">
        <w:t xml:space="preserve"> </w:t>
      </w:r>
      <w:r w:rsidR="000973CD">
        <w:t>the “ ‘overriding issue is whether a change has affected either party’s financial status.’ ”  (</w:t>
      </w:r>
      <w:r w:rsidR="000973CD" w:rsidRPr="000973CD">
        <w:rPr>
          <w:i/>
          <w:iCs/>
        </w:rPr>
        <w:t>Ibid</w:t>
      </w:r>
      <w:r w:rsidR="000973CD">
        <w:t>.)</w:t>
      </w:r>
    </w:p>
    <w:p w14:paraId="433A4CE7" w14:textId="77777777" w:rsidR="00301390" w:rsidRDefault="008802C0" w:rsidP="0032250D">
      <w:pPr>
        <w:spacing w:line="360" w:lineRule="auto"/>
      </w:pPr>
      <w:r>
        <w:tab/>
        <w:t>A</w:t>
      </w:r>
      <w:r w:rsidR="002753C6">
        <w:t>n</w:t>
      </w:r>
      <w:r w:rsidR="005A39C4">
        <w:t xml:space="preserve"> </w:t>
      </w:r>
      <w:r w:rsidR="00147F7B">
        <w:t xml:space="preserve">order </w:t>
      </w:r>
      <w:r w:rsidR="005A39C4">
        <w:t>den</w:t>
      </w:r>
      <w:r w:rsidR="00147F7B">
        <w:t xml:space="preserve">ying </w:t>
      </w:r>
      <w:r w:rsidR="002753C6">
        <w:t xml:space="preserve">child support </w:t>
      </w:r>
      <w:r w:rsidR="005A39C4">
        <w:t xml:space="preserve">modification </w:t>
      </w:r>
      <w:r>
        <w:t xml:space="preserve">is reviewed </w:t>
      </w:r>
      <w:r w:rsidR="00147F7B">
        <w:t>for</w:t>
      </w:r>
      <w:r w:rsidR="005A39C4">
        <w:t xml:space="preserve"> abuse of discretion and </w:t>
      </w:r>
      <w:r w:rsidR="00147F7B">
        <w:t xml:space="preserve">will </w:t>
      </w:r>
      <w:r>
        <w:t xml:space="preserve">be </w:t>
      </w:r>
      <w:r w:rsidR="00147F7B">
        <w:t>reverse</w:t>
      </w:r>
      <w:r>
        <w:t>d</w:t>
      </w:r>
      <w:r w:rsidR="00147F7B">
        <w:t xml:space="preserve"> </w:t>
      </w:r>
      <w:r w:rsidR="005A39C4">
        <w:t>“only if prejudicial error is found from examining the record below.”  (</w:t>
      </w:r>
      <w:r w:rsidR="00F038DB" w:rsidRPr="00F038DB">
        <w:rPr>
          <w:i/>
          <w:iCs/>
        </w:rPr>
        <w:t xml:space="preserve">In re </w:t>
      </w:r>
      <w:r w:rsidR="005A39C4" w:rsidRPr="00F038DB">
        <w:rPr>
          <w:i/>
          <w:iCs/>
        </w:rPr>
        <w:t>Marriage of Pearlstein</w:t>
      </w:r>
      <w:r w:rsidR="005A39C4">
        <w:t xml:space="preserve"> (2006) 137 Cal.App.4th 1361, 1371.)</w:t>
      </w:r>
      <w:r w:rsidR="00147F7B">
        <w:t xml:space="preserve">  However, the matter of child support is highly regulated, and </w:t>
      </w:r>
      <w:r>
        <w:t>a trial</w:t>
      </w:r>
      <w:r w:rsidR="00147F7B">
        <w:t xml:space="preserve"> court may exercise discretion only as provided by statute or rule.  (</w:t>
      </w:r>
      <w:r w:rsidR="00147F7B" w:rsidRPr="00147F7B">
        <w:rPr>
          <w:i/>
          <w:iCs/>
        </w:rPr>
        <w:t>Ibid</w:t>
      </w:r>
      <w:r w:rsidR="00147F7B">
        <w:t>.)  Accordingly</w:t>
      </w:r>
      <w:r w:rsidR="005971F7">
        <w:t xml:space="preserve">, </w:t>
      </w:r>
      <w:r w:rsidR="00147F7B">
        <w:t>a</w:t>
      </w:r>
      <w:r w:rsidR="002753C6">
        <w:t>n</w:t>
      </w:r>
      <w:r w:rsidR="00147F7B">
        <w:t xml:space="preserve"> order </w:t>
      </w:r>
      <w:r w:rsidR="005971F7">
        <w:t>that hinges on</w:t>
      </w:r>
      <w:r w:rsidR="00147F7B">
        <w:t xml:space="preserve"> a</w:t>
      </w:r>
      <w:r w:rsidR="00643956">
        <w:t xml:space="preserve"> matter of statutory</w:t>
      </w:r>
      <w:r w:rsidR="00147F7B">
        <w:t xml:space="preserve"> interpretation</w:t>
      </w:r>
      <w:r w:rsidR="005971F7">
        <w:t xml:space="preserve"> presents</w:t>
      </w:r>
      <w:r w:rsidR="00147F7B">
        <w:t xml:space="preserve"> “a question of law that we review de novo.”  (</w:t>
      </w:r>
      <w:r w:rsidR="00147F7B" w:rsidRPr="00147F7B">
        <w:rPr>
          <w:i/>
          <w:iCs/>
        </w:rPr>
        <w:t>Id</w:t>
      </w:r>
      <w:r w:rsidR="00147F7B">
        <w:t>. at pp. 1371–1372.)</w:t>
      </w:r>
    </w:p>
    <w:p w14:paraId="433A4CE8" w14:textId="77777777" w:rsidR="00F16522" w:rsidRDefault="008802C0" w:rsidP="0032250D">
      <w:pPr>
        <w:spacing w:line="360" w:lineRule="auto"/>
      </w:pPr>
      <w:r>
        <w:tab/>
      </w:r>
      <w:r w:rsidR="003966CB">
        <w:t>By the time of the long cause hearing, Scott submitted evidence that SCA paid him a salary of $100,000 for all of 2020.  T</w:t>
      </w:r>
      <w:r w:rsidR="00C626A3">
        <w:t xml:space="preserve">he trial court </w:t>
      </w:r>
      <w:r w:rsidR="009F7375">
        <w:t>denied Scott’s modification request after finding</w:t>
      </w:r>
      <w:r w:rsidR="00C626A3">
        <w:t xml:space="preserve"> that </w:t>
      </w:r>
      <w:r w:rsidR="00B90442">
        <w:t xml:space="preserve">his $100,000 </w:t>
      </w:r>
      <w:r w:rsidR="002753C6">
        <w:t xml:space="preserve">income from SCA </w:t>
      </w:r>
      <w:r w:rsidR="00B90442">
        <w:t xml:space="preserve">was “just one factor” </w:t>
      </w:r>
      <w:r w:rsidR="002753C6">
        <w:t xml:space="preserve">to consider.  </w:t>
      </w:r>
      <w:r w:rsidR="002F6372">
        <w:t>Holding Scott to his burden as the party seeking a reduction,</w:t>
      </w:r>
      <w:r w:rsidR="00462FF0">
        <w:t xml:space="preserve"> the court </w:t>
      </w:r>
      <w:r w:rsidR="00B74125">
        <w:t>determined</w:t>
      </w:r>
      <w:r w:rsidR="00B90442">
        <w:t xml:space="preserve"> that </w:t>
      </w:r>
      <w:r w:rsidR="00462FF0">
        <w:t>Scott</w:t>
      </w:r>
      <w:r w:rsidR="00642318">
        <w:t xml:space="preserve"> “failed to prove, by a preponderance of the evidence, that he and SCA experienced a material change of circumstances to warrant an adjustment or suspension” of </w:t>
      </w:r>
      <w:r w:rsidR="00642318" w:rsidRPr="006F5600">
        <w:t>his</w:t>
      </w:r>
      <w:r w:rsidR="00642318">
        <w:t xml:space="preserve"> 2020 child support obligations and also failed to prove “</w:t>
      </w:r>
      <w:r w:rsidR="00C649D1">
        <w:t>by a preponderance of the evidence</w:t>
      </w:r>
      <w:r w:rsidR="00B90442">
        <w:t xml:space="preserve"> that the gross receipts received by SCA, reduced by expenditures required for ongoing operations, left him with insufficient income, assets, or access to funds</w:t>
      </w:r>
      <w:r w:rsidR="00642318">
        <w:t>”</w:t>
      </w:r>
      <w:r w:rsidR="00B90442">
        <w:t xml:space="preserve"> to </w:t>
      </w:r>
      <w:r w:rsidR="00642318">
        <w:t>meet such</w:t>
      </w:r>
      <w:r w:rsidR="00B90442">
        <w:t xml:space="preserve"> obligations</w:t>
      </w:r>
      <w:r w:rsidR="00462FF0">
        <w:t>.</w:t>
      </w:r>
      <w:r w:rsidR="00B74125">
        <w:t xml:space="preserve">  </w:t>
      </w:r>
      <w:r>
        <w:t>(</w:t>
      </w:r>
      <w:r w:rsidR="009F7375">
        <w:t xml:space="preserve">See </w:t>
      </w:r>
      <w:r w:rsidRPr="00275501">
        <w:rPr>
          <w:i/>
          <w:iCs/>
        </w:rPr>
        <w:t>McHugh</w:t>
      </w:r>
      <w:r>
        <w:t xml:space="preserve">, </w:t>
      </w:r>
      <w:r w:rsidRPr="00056563">
        <w:rPr>
          <w:i/>
          <w:iCs/>
        </w:rPr>
        <w:t>supra</w:t>
      </w:r>
      <w:r>
        <w:t>, 231 Cal.App.4th at pp. 1246–1247</w:t>
      </w:r>
      <w:r w:rsidR="003E1086">
        <w:t>;</w:t>
      </w:r>
      <w:r w:rsidRPr="00056563">
        <w:rPr>
          <w:i/>
          <w:iCs/>
        </w:rPr>
        <w:t xml:space="preserve"> </w:t>
      </w:r>
      <w:r w:rsidR="005C604D">
        <w:rPr>
          <w:i/>
          <w:iCs/>
        </w:rPr>
        <w:t>Usher</w:t>
      </w:r>
      <w:r>
        <w:t xml:space="preserve">, </w:t>
      </w:r>
      <w:r w:rsidRPr="00E42A0D">
        <w:rPr>
          <w:i/>
          <w:iCs/>
        </w:rPr>
        <w:t>supra</w:t>
      </w:r>
      <w:r>
        <w:t xml:space="preserve">, 6 Cal.App.5th at pp. 357–358.)  </w:t>
      </w:r>
      <w:r w:rsidR="002F6372">
        <w:t xml:space="preserve">In short, the court concluded that Scott’s $100,000 income was “not </w:t>
      </w:r>
      <w:r w:rsidR="002F6372">
        <w:lastRenderedPageBreak/>
        <w:t xml:space="preserve">determinative of his ability to pay” his 2020 child support obligations and that Scott “maintains sufficient earning capacity and imputed income” to meet such obligations.  </w:t>
      </w:r>
      <w:r>
        <w:t xml:space="preserve">For the reasons that follow, the trial court </w:t>
      </w:r>
      <w:r w:rsidR="00210AAE">
        <w:t xml:space="preserve">did not </w:t>
      </w:r>
      <w:r>
        <w:t xml:space="preserve">err or abuse its discretion in </w:t>
      </w:r>
      <w:r w:rsidR="009F7375">
        <w:t xml:space="preserve">so </w:t>
      </w:r>
      <w:r w:rsidR="00B74125">
        <w:t>concluding</w:t>
      </w:r>
      <w:r>
        <w:t>.</w:t>
      </w:r>
    </w:p>
    <w:p w14:paraId="433A4CE9" w14:textId="77777777" w:rsidR="004515CF" w:rsidRDefault="008802C0" w:rsidP="0074171A">
      <w:pPr>
        <w:spacing w:line="360" w:lineRule="auto"/>
      </w:pPr>
      <w:r>
        <w:tab/>
      </w:r>
      <w:r w:rsidR="00731AA5">
        <w:t>There is no dispute that</w:t>
      </w:r>
      <w:r w:rsidR="0015530A">
        <w:t xml:space="preserve"> Scott is the only shareholder and sole director of SCA</w:t>
      </w:r>
      <w:r w:rsidR="005971F7">
        <w:t xml:space="preserve">.  </w:t>
      </w:r>
      <w:r w:rsidR="00731AA5">
        <w:t>Likewise, there is no dispute</w:t>
      </w:r>
      <w:r w:rsidR="0015530A">
        <w:t xml:space="preserve"> that </w:t>
      </w:r>
      <w:r>
        <w:t>SCA “is substantially under</w:t>
      </w:r>
      <w:r w:rsidR="006F5600">
        <w:t>” Scott’s</w:t>
      </w:r>
      <w:r>
        <w:t xml:space="preserve"> </w:t>
      </w:r>
      <w:r w:rsidR="00E8521E">
        <w:t>control</w:t>
      </w:r>
      <w:r w:rsidR="00CE6937">
        <w:t xml:space="preserve"> </w:t>
      </w:r>
      <w:r w:rsidR="00924F39">
        <w:t>and</w:t>
      </w:r>
      <w:r w:rsidR="006B7DDA">
        <w:t xml:space="preserve"> </w:t>
      </w:r>
      <w:r w:rsidR="00731AA5">
        <w:t xml:space="preserve">that Scott </w:t>
      </w:r>
      <w:r w:rsidR="006B7DDA">
        <w:t>“has the unilateral ability to set his income</w:t>
      </w:r>
      <w:r w:rsidR="00924F39">
        <w:t>.</w:t>
      </w:r>
      <w:r w:rsidR="006B7DDA">
        <w:t>”</w:t>
      </w:r>
      <w:r w:rsidR="00924F39">
        <w:t xml:space="preserve"> </w:t>
      </w:r>
      <w:r w:rsidR="006B7DDA">
        <w:t xml:space="preserve"> </w:t>
      </w:r>
      <w:r w:rsidR="009C15E7">
        <w:t xml:space="preserve">As Scott </w:t>
      </w:r>
      <w:r w:rsidR="00731AA5">
        <w:t>explained in his testimony</w:t>
      </w:r>
      <w:r w:rsidR="009C15E7">
        <w:t>, he</w:t>
      </w:r>
      <w:r w:rsidR="00924F39">
        <w:t xml:space="preserve"> </w:t>
      </w:r>
      <w:r w:rsidR="006B7DDA">
        <w:t xml:space="preserve">determines the amount of income that SCA pays to him </w:t>
      </w:r>
      <w:r w:rsidR="00731AA5">
        <w:t>“</w:t>
      </w:r>
      <w:r w:rsidR="006B7DDA">
        <w:t xml:space="preserve">based on </w:t>
      </w:r>
      <w:r w:rsidR="00731AA5">
        <w:t xml:space="preserve">the needs of the </w:t>
      </w:r>
      <w:r w:rsidR="006B7DDA">
        <w:t xml:space="preserve">business and </w:t>
      </w:r>
      <w:r w:rsidR="00731AA5">
        <w:t>based on personal</w:t>
      </w:r>
      <w:r w:rsidR="006B7DDA">
        <w:t xml:space="preserve"> needs</w:t>
      </w:r>
      <w:r w:rsidR="006E7B8F">
        <w:t>,</w:t>
      </w:r>
      <w:r w:rsidR="006B7DDA">
        <w:t>”</w:t>
      </w:r>
      <w:r w:rsidR="009C15E7">
        <w:t xml:space="preserve"> and</w:t>
      </w:r>
      <w:r w:rsidR="00924F39">
        <w:t xml:space="preserve"> </w:t>
      </w:r>
      <w:r w:rsidR="00F0016B">
        <w:t>“</w:t>
      </w:r>
      <w:r w:rsidR="006B7DDA">
        <w:t xml:space="preserve">if </w:t>
      </w:r>
      <w:r w:rsidR="00731AA5">
        <w:t xml:space="preserve">the </w:t>
      </w:r>
      <w:r w:rsidR="006B7DDA">
        <w:t xml:space="preserve">income is needed on the personal side” and “the business can afford it,” then he “can make adjustments.” </w:t>
      </w:r>
      <w:r w:rsidR="00924F39">
        <w:t xml:space="preserve"> </w:t>
      </w:r>
    </w:p>
    <w:p w14:paraId="433A4CEA" w14:textId="77777777" w:rsidR="00CE6937" w:rsidRDefault="008802C0" w:rsidP="00445E95">
      <w:pPr>
        <w:spacing w:line="360" w:lineRule="auto"/>
      </w:pPr>
      <w:r>
        <w:tab/>
      </w:r>
      <w:r w:rsidR="009F7375">
        <w:t>The evidence showed that, f</w:t>
      </w:r>
      <w:r w:rsidR="009A4100">
        <w:t xml:space="preserve">rom 2017 through 2019, Scott </w:t>
      </w:r>
      <w:r w:rsidR="00111A1C">
        <w:t>reported his salary from</w:t>
      </w:r>
      <w:r w:rsidR="009A4100">
        <w:t xml:space="preserve"> SCA </w:t>
      </w:r>
      <w:r w:rsidR="00111A1C">
        <w:t>as follows</w:t>
      </w:r>
      <w:r w:rsidR="009A4100">
        <w:t xml:space="preserve">.  </w:t>
      </w:r>
      <w:r w:rsidR="0066088C">
        <w:t xml:space="preserve">In 2017, </w:t>
      </w:r>
      <w:r w:rsidR="0074171A">
        <w:t>Scott</w:t>
      </w:r>
      <w:r w:rsidR="0066088C">
        <w:t xml:space="preserve"> received a salary </w:t>
      </w:r>
      <w:r w:rsidR="0074171A">
        <w:t xml:space="preserve">of $11,126,167.  </w:t>
      </w:r>
      <w:r w:rsidR="0066088C">
        <w:t>In 2018, Scott</w:t>
      </w:r>
      <w:r w:rsidR="0074171A">
        <w:t xml:space="preserve"> </w:t>
      </w:r>
      <w:r w:rsidR="00FA13CC">
        <w:t>received</w:t>
      </w:r>
      <w:r w:rsidR="009A4100">
        <w:t xml:space="preserve"> </w:t>
      </w:r>
      <w:r w:rsidR="0074171A">
        <w:t xml:space="preserve">a salary of </w:t>
      </w:r>
      <w:r w:rsidR="0066088C">
        <w:t xml:space="preserve">at least </w:t>
      </w:r>
      <w:r w:rsidR="0074171A">
        <w:t>$</w:t>
      </w:r>
      <w:r w:rsidR="0066088C">
        <w:t>5</w:t>
      </w:r>
      <w:r w:rsidR="0074171A">
        <w:t>78,</w:t>
      </w:r>
      <w:r w:rsidR="0066088C">
        <w:t>767</w:t>
      </w:r>
      <w:r w:rsidR="0074171A">
        <w:t xml:space="preserve">. </w:t>
      </w:r>
      <w:r w:rsidR="00371986">
        <w:t xml:space="preserve"> </w:t>
      </w:r>
      <w:r w:rsidR="00496D9C">
        <w:t>Although no tax return f</w:t>
      </w:r>
      <w:r>
        <w:t>or 2019</w:t>
      </w:r>
      <w:r w:rsidR="00496D9C">
        <w:t xml:space="preserve"> appears in the record</w:t>
      </w:r>
      <w:r>
        <w:t xml:space="preserve">, </w:t>
      </w:r>
      <w:r w:rsidR="00371986">
        <w:t xml:space="preserve">Scott </w:t>
      </w:r>
      <w:r w:rsidR="005971F7">
        <w:t>claimed</w:t>
      </w:r>
      <w:r w:rsidR="00111A1C">
        <w:t xml:space="preserve"> a </w:t>
      </w:r>
      <w:r w:rsidR="00496D9C">
        <w:t>base income of approximately</w:t>
      </w:r>
      <w:r w:rsidR="009A4100">
        <w:t xml:space="preserve"> $117,000 per month ($1,404,000 for the year)</w:t>
      </w:r>
      <w:r w:rsidR="00496D9C">
        <w:t xml:space="preserve"> </w:t>
      </w:r>
      <w:r w:rsidR="009A4100">
        <w:t>in a residential loan application that he signed</w:t>
      </w:r>
      <w:r>
        <w:t xml:space="preserve"> </w:t>
      </w:r>
      <w:r w:rsidR="00371986">
        <w:t xml:space="preserve">on October 11, 2019.  Scott also stated </w:t>
      </w:r>
      <w:r w:rsidR="00111A1C">
        <w:t xml:space="preserve">in that application that </w:t>
      </w:r>
      <w:r w:rsidR="00371986">
        <w:t xml:space="preserve">he had total assets (stocks, bonds, real estate) worth $6,419,040 and a net worth </w:t>
      </w:r>
      <w:r>
        <w:t>over</w:t>
      </w:r>
      <w:r w:rsidR="00371986">
        <w:t xml:space="preserve"> $4</w:t>
      </w:r>
      <w:r>
        <w:t xml:space="preserve"> million</w:t>
      </w:r>
      <w:r w:rsidR="00371986">
        <w:t>.  As the trial court properly recognized, statements by a party</w:t>
      </w:r>
      <w:r w:rsidR="005F5B37">
        <w:t>—such as the ones Scott made in the 2019 loan application—</w:t>
      </w:r>
      <w:r w:rsidR="00371986">
        <w:t>are competent and admissible on issues related to the calculation of child support.  (</w:t>
      </w:r>
      <w:r w:rsidR="00F038DB" w:rsidRPr="00F038DB">
        <w:rPr>
          <w:i/>
          <w:iCs/>
        </w:rPr>
        <w:t xml:space="preserve">In re </w:t>
      </w:r>
      <w:r w:rsidR="00371986" w:rsidRPr="00F038DB">
        <w:rPr>
          <w:i/>
          <w:iCs/>
        </w:rPr>
        <w:t>Marriage of Calcaterra and Badakhs</w:t>
      </w:r>
      <w:r w:rsidR="00F038DB">
        <w:rPr>
          <w:i/>
          <w:iCs/>
        </w:rPr>
        <w:t>h</w:t>
      </w:r>
      <w:r w:rsidR="00371986">
        <w:t xml:space="preserve"> (2005) 132 Cal.App.4th 28</w:t>
      </w:r>
      <w:r w:rsidR="00F038DB">
        <w:t>, 34–35</w:t>
      </w:r>
      <w:r w:rsidR="00371986">
        <w:t>.)</w:t>
      </w:r>
    </w:p>
    <w:p w14:paraId="433A4CEB" w14:textId="77777777" w:rsidR="00A6427B" w:rsidRDefault="008802C0" w:rsidP="002270E6">
      <w:pPr>
        <w:spacing w:line="360" w:lineRule="auto"/>
      </w:pPr>
      <w:r>
        <w:tab/>
      </w:r>
      <w:r w:rsidR="00841985">
        <w:t xml:space="preserve">For 2020, the year at issue </w:t>
      </w:r>
      <w:r w:rsidR="00FA13CC">
        <w:t>here</w:t>
      </w:r>
      <w:r w:rsidR="00841985">
        <w:t xml:space="preserve">, </w:t>
      </w:r>
      <w:r>
        <w:t>Scott</w:t>
      </w:r>
      <w:r w:rsidR="00841985">
        <w:t xml:space="preserve"> reported salary</w:t>
      </w:r>
      <w:r>
        <w:t xml:space="preserve"> income </w:t>
      </w:r>
      <w:r w:rsidR="00841985">
        <w:t xml:space="preserve">of $100,000 </w:t>
      </w:r>
      <w:r>
        <w:t>on his tax return.  But</w:t>
      </w:r>
      <w:r w:rsidR="007A07DE">
        <w:t xml:space="preserve"> there was also evidence that </w:t>
      </w:r>
      <w:r>
        <w:t>in 2020, SCA maintained $1.4 million in reserves for law firm operating and capital expenses</w:t>
      </w:r>
      <w:r w:rsidR="007A07DE">
        <w:t xml:space="preserve">, and the court so found.  </w:t>
      </w:r>
      <w:r>
        <w:t xml:space="preserve">Although the court determined that funds </w:t>
      </w:r>
      <w:r>
        <w:lastRenderedPageBreak/>
        <w:t xml:space="preserve">reserved for SCA’s day-to-day operations were </w:t>
      </w:r>
      <w:r w:rsidRPr="00A669D9">
        <w:rPr>
          <w:i/>
          <w:iCs/>
        </w:rPr>
        <w:t>not available</w:t>
      </w:r>
      <w:r>
        <w:t xml:space="preserve"> for Scott’s 2020 child support obligations, </w:t>
      </w:r>
      <w:r w:rsidR="00AD5AFD">
        <w:t>the</w:t>
      </w:r>
      <w:r w:rsidR="005F5B37">
        <w:t xml:space="preserve"> court found</w:t>
      </w:r>
      <w:r w:rsidR="00AD5AFD">
        <w:t xml:space="preserve"> </w:t>
      </w:r>
      <w:r w:rsidR="006628C2">
        <w:t xml:space="preserve">that </w:t>
      </w:r>
      <w:r>
        <w:t xml:space="preserve">a portion of the $1.4 million was held “in reserves for ‘long-term investments’ ” </w:t>
      </w:r>
      <w:r w:rsidR="0041141B">
        <w:t xml:space="preserve">and </w:t>
      </w:r>
      <w:r w:rsidR="005F5B37">
        <w:t>that such portion was</w:t>
      </w:r>
      <w:r>
        <w:t xml:space="preserve"> not required for </w:t>
      </w:r>
      <w:r w:rsidR="00135BE4">
        <w:t>SCA’s day-to-day operations</w:t>
      </w:r>
      <w:r>
        <w:t xml:space="preserve">. </w:t>
      </w:r>
    </w:p>
    <w:p w14:paraId="433A4CEC" w14:textId="77777777" w:rsidR="00457CB2" w:rsidRDefault="008802C0" w:rsidP="006B15F6">
      <w:pPr>
        <w:spacing w:line="360" w:lineRule="auto"/>
      </w:pPr>
      <w:r>
        <w:tab/>
        <w:t>This latter finding is important because the trial court had discretion under section 4058, subdivision (b)</w:t>
      </w:r>
      <w:r w:rsidR="007B4219">
        <w:t>(1)</w:t>
      </w:r>
      <w:r>
        <w:t xml:space="preserve">, to consider </w:t>
      </w:r>
      <w:r w:rsidR="00EE53A3">
        <w:t>“the earning capacity of a parent in lieu of the parent’s income, consistent with the best interests of the children.”</w:t>
      </w:r>
      <w:r>
        <w:t xml:space="preserve">  Accordingly, even though Scott </w:t>
      </w:r>
      <w:r w:rsidR="00831F4A">
        <w:t>drew a salary</w:t>
      </w:r>
      <w:r>
        <w:t xml:space="preserve"> of only $100,000 in 2020, the court could properly</w:t>
      </w:r>
      <w:r w:rsidR="005C604D">
        <w:t xml:space="preserve"> consider whether </w:t>
      </w:r>
      <w:r w:rsidR="00A37AEA">
        <w:t xml:space="preserve">the evidence of Scott’s earning capacity warranted imputation of </w:t>
      </w:r>
      <w:r w:rsidR="00831F4A">
        <w:t xml:space="preserve">additional </w:t>
      </w:r>
      <w:r>
        <w:t>income.</w:t>
      </w:r>
    </w:p>
    <w:p w14:paraId="433A4CED" w14:textId="77777777" w:rsidR="006B15F6" w:rsidRDefault="008802C0" w:rsidP="006B15F6">
      <w:pPr>
        <w:spacing w:line="360" w:lineRule="auto"/>
      </w:pPr>
      <w:r>
        <w:tab/>
      </w:r>
      <w:r w:rsidR="00E47EAB">
        <w:t>Here</w:t>
      </w:r>
      <w:r w:rsidR="000E4A40">
        <w:t xml:space="preserve">, </w:t>
      </w:r>
      <w:r w:rsidR="00E47EAB">
        <w:t xml:space="preserve">substantial evidence supports the trial court’s imputation of income in excess of Scott’s </w:t>
      </w:r>
      <w:r w:rsidR="00A37AEA">
        <w:t xml:space="preserve">actual </w:t>
      </w:r>
      <w:r w:rsidR="00E47EAB">
        <w:t xml:space="preserve">salary.  </w:t>
      </w:r>
      <w:r w:rsidR="005C604D">
        <w:t>Specifically</w:t>
      </w:r>
      <w:r>
        <w:t>, Scott’s testimony indicated there were two Morgan Stanley accounts holding reserves for SCA operations and long-term investments</w:t>
      </w:r>
      <w:r w:rsidR="00E43C58">
        <w:t>.  A</w:t>
      </w:r>
      <w:r w:rsidR="00525E59">
        <w:t>ccount documents</w:t>
      </w:r>
      <w:r>
        <w:t xml:space="preserve"> showed that on December 1, 2020, the two accounts together contained over $925,000 ($307,716 in one account and over $615,000 in the other)</w:t>
      </w:r>
      <w:r w:rsidR="00E43C58">
        <w:t>, and their</w:t>
      </w:r>
      <w:r w:rsidR="001C7941">
        <w:t xml:space="preserve"> combined balance amounted to ten times the amount of child support due in 2020</w:t>
      </w:r>
      <w:r w:rsidR="00E43C58">
        <w:t>.  D</w:t>
      </w:r>
      <w:r w:rsidR="001C7941">
        <w:t>espite Scott’s vague assertions to the contrary,</w:t>
      </w:r>
      <w:r>
        <w:rPr>
          <w:rStyle w:val="FootnoteReference"/>
        </w:rPr>
        <w:footnoteReference w:id="5"/>
      </w:r>
      <w:r w:rsidR="001C7941">
        <w:t xml:space="preserve"> </w:t>
      </w:r>
      <w:r w:rsidR="00E43C58">
        <w:t xml:space="preserve">it </w:t>
      </w:r>
      <w:r w:rsidR="00B43DEF">
        <w:t xml:space="preserve">was </w:t>
      </w:r>
      <w:r w:rsidR="00E43C58">
        <w:t>reasonable for the court to infer</w:t>
      </w:r>
      <w:r>
        <w:t xml:space="preserve"> that </w:t>
      </w:r>
      <w:r w:rsidR="006825AF">
        <w:t>SCA had</w:t>
      </w:r>
      <w:r>
        <w:t xml:space="preserve"> sufficient </w:t>
      </w:r>
      <w:r w:rsidR="006825AF">
        <w:t>funds in its reserve accounts</w:t>
      </w:r>
      <w:r>
        <w:t xml:space="preserve"> to </w:t>
      </w:r>
      <w:r w:rsidR="00FA30F2">
        <w:t>p</w:t>
      </w:r>
      <w:r w:rsidR="001C7941">
        <w:t>ay</w:t>
      </w:r>
      <w:r w:rsidR="00FA30F2">
        <w:t xml:space="preserve"> Scott </w:t>
      </w:r>
      <w:r w:rsidR="001C7941">
        <w:t xml:space="preserve">a salary that was more commensurate with his work and professional experience as a full-time class action attorney, or </w:t>
      </w:r>
      <w:r w:rsidR="006F5600">
        <w:t xml:space="preserve">at least </w:t>
      </w:r>
      <w:r w:rsidR="001C7941">
        <w:t xml:space="preserve">a salary that would have covered his 2020 child support obligations, while leaving adequate </w:t>
      </w:r>
      <w:r w:rsidR="001C7941">
        <w:lastRenderedPageBreak/>
        <w:t xml:space="preserve">reserves for SCA’s operational expenses.  </w:t>
      </w:r>
      <w:r>
        <w:t>On this record, no abuse of discretion appears.</w:t>
      </w:r>
    </w:p>
    <w:p w14:paraId="433A4CEE" w14:textId="77777777" w:rsidR="00F40AE2" w:rsidRDefault="008802C0" w:rsidP="006B15F6">
      <w:pPr>
        <w:spacing w:line="360" w:lineRule="auto"/>
      </w:pPr>
      <w:r>
        <w:tab/>
        <w:t xml:space="preserve">Moreover, </w:t>
      </w:r>
      <w:r w:rsidR="00BB5FCD">
        <w:t xml:space="preserve">the trial court </w:t>
      </w:r>
      <w:r w:rsidR="00D64C3A">
        <w:t xml:space="preserve">had discretion </w:t>
      </w:r>
      <w:r>
        <w:t xml:space="preserve">to depart from the </w:t>
      </w:r>
      <w:r w:rsidR="00BB5FCD">
        <w:t xml:space="preserve">income-based child support amount set by the </w:t>
      </w:r>
      <w:r w:rsidR="006825AF">
        <w:t>guideline</w:t>
      </w:r>
      <w:r>
        <w:t xml:space="preserve"> formula </w:t>
      </w:r>
      <w:r w:rsidR="002B1AC7">
        <w:t xml:space="preserve">due to the </w:t>
      </w:r>
      <w:r>
        <w:t>special circumstances</w:t>
      </w:r>
      <w:r w:rsidR="002B1AC7">
        <w:t xml:space="preserve"> demonstrated in this case.</w:t>
      </w:r>
      <w:r>
        <w:t xml:space="preserve">  </w:t>
      </w:r>
      <w:r w:rsidR="00BB5FCD">
        <w:t xml:space="preserve">(§ 4057, subd. (b)(5).)  Here, the court determined that Kikianne </w:t>
      </w:r>
      <w:r w:rsidR="00087AF0">
        <w:t xml:space="preserve">“proved, by substantial evidence, that [Scott] has significant net worth, assets, income and earning capacity available to pay” his 2020 child support obligations.  Such </w:t>
      </w:r>
      <w:r w:rsidR="00B43DEF">
        <w:t>proof</w:t>
      </w:r>
      <w:r w:rsidR="00087AF0">
        <w:t xml:space="preserve"> included </w:t>
      </w:r>
      <w:r>
        <w:t>the evidence that</w:t>
      </w:r>
      <w:r w:rsidR="006825AF">
        <w:t xml:space="preserve">: </w:t>
      </w:r>
      <w:r>
        <w:t xml:space="preserve"> </w:t>
      </w:r>
      <w:r w:rsidR="00FA30F2">
        <w:t>(1) </w:t>
      </w:r>
      <w:r w:rsidR="008C0FF1">
        <w:t>Scott voluntarily and substantially slashed his salary</w:t>
      </w:r>
      <w:r w:rsidR="00087AF0">
        <w:t xml:space="preserve"> </w:t>
      </w:r>
      <w:r w:rsidR="00E31F2A">
        <w:t xml:space="preserve">to $100,000 </w:t>
      </w:r>
      <w:r w:rsidR="00087AF0">
        <w:t xml:space="preserve">even though </w:t>
      </w:r>
      <w:r w:rsidR="00E31F2A">
        <w:t xml:space="preserve">his earning capacity was much higher and </w:t>
      </w:r>
      <w:r w:rsidR="00087AF0">
        <w:t xml:space="preserve">SCA has sufficient non-operating reserves to </w:t>
      </w:r>
      <w:r w:rsidR="00E31F2A">
        <w:t xml:space="preserve">at least </w:t>
      </w:r>
      <w:r w:rsidR="00087AF0">
        <w:t>cover</w:t>
      </w:r>
      <w:r w:rsidR="00E31F2A">
        <w:t xml:space="preserve"> the $90,444 he owed for </w:t>
      </w:r>
      <w:r w:rsidR="00087AF0">
        <w:t>child support</w:t>
      </w:r>
      <w:r w:rsidR="00B64678">
        <w:t>;</w:t>
      </w:r>
      <w:r w:rsidR="008C0FF1">
        <w:t xml:space="preserve"> </w:t>
      </w:r>
      <w:r w:rsidR="00FA30F2">
        <w:t>(2) </w:t>
      </w:r>
      <w:r w:rsidR="00B64678">
        <w:t>in lieu of Scott’s taking a larger salary to meet his personal and family expenses</w:t>
      </w:r>
      <w:r w:rsidR="006825AF">
        <w:t xml:space="preserve"> in 2020</w:t>
      </w:r>
      <w:r w:rsidR="00B64678">
        <w:t xml:space="preserve">, </w:t>
      </w:r>
      <w:r w:rsidR="00087AF0">
        <w:t>Scott</w:t>
      </w:r>
      <w:r>
        <w:t xml:space="preserve"> </w:t>
      </w:r>
      <w:r w:rsidR="00B64678">
        <w:t xml:space="preserve">and his current </w:t>
      </w:r>
      <w:r w:rsidR="0030594C">
        <w:t>spouse</w:t>
      </w:r>
      <w:r w:rsidR="00B64678">
        <w:t xml:space="preserve"> </w:t>
      </w:r>
      <w:r w:rsidR="005D2F06">
        <w:t>evidently covered</w:t>
      </w:r>
      <w:r w:rsidR="00B64678">
        <w:t xml:space="preserve"> such expenses</w:t>
      </w:r>
      <w:r w:rsidR="005D2F06">
        <w:t xml:space="preserve"> in part</w:t>
      </w:r>
      <w:r w:rsidR="00B64678">
        <w:t xml:space="preserve"> by taking</w:t>
      </w:r>
      <w:r>
        <w:t xml:space="preserve"> distributions totaling </w:t>
      </w:r>
      <w:r w:rsidR="00FA4968">
        <w:t xml:space="preserve">at least </w:t>
      </w:r>
      <w:r>
        <w:t>$977,</w:t>
      </w:r>
      <w:r w:rsidR="00FA4968">
        <w:t>000</w:t>
      </w:r>
      <w:r>
        <w:t xml:space="preserve"> from </w:t>
      </w:r>
      <w:r w:rsidR="00087AF0">
        <w:t xml:space="preserve">their non-retirement </w:t>
      </w:r>
      <w:r>
        <w:t>Morgan Stanley accounts</w:t>
      </w:r>
      <w:r w:rsidR="00FA30F2">
        <w:t>;</w:t>
      </w:r>
      <w:r>
        <w:t xml:space="preserve"> </w:t>
      </w:r>
      <w:r w:rsidR="008F7853">
        <w:t xml:space="preserve">and </w:t>
      </w:r>
      <w:r w:rsidR="00FA30F2">
        <w:t>(3) </w:t>
      </w:r>
      <w:r w:rsidR="008F7853">
        <w:t xml:space="preserve">Morgan Stanley accounts paid at least $387,245 </w:t>
      </w:r>
      <w:r w:rsidR="00E0755B">
        <w:t>of Scott’s</w:t>
      </w:r>
      <w:r w:rsidR="008F7853">
        <w:t xml:space="preserve"> personal and business </w:t>
      </w:r>
      <w:r w:rsidR="002B41D7">
        <w:t xml:space="preserve">credit card </w:t>
      </w:r>
      <w:r w:rsidR="008F7853">
        <w:t>expenses</w:t>
      </w:r>
      <w:r w:rsidR="00E0755B">
        <w:t xml:space="preserve"> </w:t>
      </w:r>
      <w:r w:rsidR="008F7853">
        <w:t>in 2020</w:t>
      </w:r>
      <w:r>
        <w:t>.</w:t>
      </w:r>
      <w:r>
        <w:rPr>
          <w:rStyle w:val="FootnoteReference"/>
        </w:rPr>
        <w:footnoteReference w:id="6"/>
      </w:r>
      <w:r w:rsidR="00B64678">
        <w:t xml:space="preserve"> </w:t>
      </w:r>
      <w:r w:rsidR="006C6583">
        <w:t xml:space="preserve"> </w:t>
      </w:r>
      <w:r w:rsidR="00B64678">
        <w:t xml:space="preserve">On this record, substantial evidence supports the trial court’s </w:t>
      </w:r>
      <w:r w:rsidR="00D64C3A">
        <w:t xml:space="preserve">departure from the statutory guideline </w:t>
      </w:r>
      <w:r w:rsidR="00FA30F2">
        <w:t xml:space="preserve">amount </w:t>
      </w:r>
      <w:r w:rsidR="00D64C3A">
        <w:t xml:space="preserve">and its </w:t>
      </w:r>
      <w:r w:rsidR="00B64678">
        <w:t>denial of Scott’s modification request.</w:t>
      </w:r>
    </w:p>
    <w:p w14:paraId="433A4CEF" w14:textId="77777777" w:rsidR="00F875EB" w:rsidRDefault="008802C0" w:rsidP="002270E6">
      <w:pPr>
        <w:spacing w:line="360" w:lineRule="auto"/>
      </w:pPr>
      <w:r>
        <w:tab/>
      </w:r>
      <w:r w:rsidR="00BF2166">
        <w:t xml:space="preserve">We find analogous support for </w:t>
      </w:r>
      <w:r w:rsidR="000E4A40">
        <w:t>our</w:t>
      </w:r>
      <w:r w:rsidR="00BF2166">
        <w:t xml:space="preserve"> conclusion in </w:t>
      </w:r>
      <w:r w:rsidR="00BF2166" w:rsidRPr="00BF2166">
        <w:rPr>
          <w:i/>
          <w:iCs/>
        </w:rPr>
        <w:t>Berger</w:t>
      </w:r>
      <w:r w:rsidR="0015530A">
        <w:t xml:space="preserve">, </w:t>
      </w:r>
      <w:r w:rsidR="0015530A" w:rsidRPr="0015530A">
        <w:rPr>
          <w:i/>
          <w:iCs/>
        </w:rPr>
        <w:t>supra</w:t>
      </w:r>
      <w:r w:rsidR="0015530A">
        <w:t>,</w:t>
      </w:r>
      <w:r w:rsidR="00BF2166">
        <w:t xml:space="preserve"> 170 Cal.App.4th 1070.  </w:t>
      </w:r>
      <w:r w:rsidR="000B00EE">
        <w:t xml:space="preserve">In that case, </w:t>
      </w:r>
      <w:r w:rsidR="00DB78AB">
        <w:t xml:space="preserve">the father </w:t>
      </w:r>
      <w:r w:rsidR="000B00EE">
        <w:t xml:space="preserve">quit his high-paying job at </w:t>
      </w:r>
      <w:r w:rsidR="00DB78AB">
        <w:t>an accounting firm</w:t>
      </w:r>
      <w:r w:rsidR="000B00EE">
        <w:t xml:space="preserve"> in order to serve full time as president and </w:t>
      </w:r>
      <w:r w:rsidR="00DB78AB">
        <w:t>c</w:t>
      </w:r>
      <w:r w:rsidR="000B00EE">
        <w:t xml:space="preserve">hief </w:t>
      </w:r>
      <w:r w:rsidR="00DB78AB">
        <w:t>e</w:t>
      </w:r>
      <w:r w:rsidR="000B00EE">
        <w:t xml:space="preserve">xecutive </w:t>
      </w:r>
      <w:r w:rsidR="00DB78AB">
        <w:t>o</w:t>
      </w:r>
      <w:r w:rsidR="000B00EE">
        <w:t xml:space="preserve">fficer of his startup </w:t>
      </w:r>
      <w:r w:rsidR="00DB78AB">
        <w:t xml:space="preserve">landscaping </w:t>
      </w:r>
      <w:r w:rsidR="000B00EE">
        <w:t>company.  (</w:t>
      </w:r>
      <w:r w:rsidR="000B00EE" w:rsidRPr="000B00EE">
        <w:rPr>
          <w:i/>
          <w:iCs/>
        </w:rPr>
        <w:t>Id</w:t>
      </w:r>
      <w:r w:rsidR="000B00EE">
        <w:t xml:space="preserve">. at p. 1075.)  </w:t>
      </w:r>
      <w:r w:rsidR="00A33891">
        <w:t xml:space="preserve">From its inception, the </w:t>
      </w:r>
      <w:r w:rsidR="00DB78AB">
        <w:t xml:space="preserve">startup </w:t>
      </w:r>
      <w:r w:rsidR="00A33891">
        <w:t xml:space="preserve">company had “never generated a profit,” and </w:t>
      </w:r>
      <w:r w:rsidR="00A33891">
        <w:lastRenderedPageBreak/>
        <w:t>e</w:t>
      </w:r>
      <w:r w:rsidR="000B00EE">
        <w:t xml:space="preserve">ventually the father </w:t>
      </w:r>
      <w:r w:rsidR="00DB78AB">
        <w:t xml:space="preserve">and other principals guaranteed certain loans to the company </w:t>
      </w:r>
      <w:r w:rsidR="000B00EE">
        <w:t>and voluntarily a</w:t>
      </w:r>
      <w:r w:rsidR="00B75B9D">
        <w:t xml:space="preserve">greed to </w:t>
      </w:r>
      <w:r w:rsidR="006825AF">
        <w:t>reduce</w:t>
      </w:r>
      <w:r w:rsidR="00B75B9D">
        <w:t xml:space="preserve"> </w:t>
      </w:r>
      <w:r w:rsidR="00A6427B">
        <w:t>their</w:t>
      </w:r>
      <w:r w:rsidR="00B75B9D">
        <w:t xml:space="preserve"> salar</w:t>
      </w:r>
      <w:r w:rsidR="00A6427B">
        <w:t>ies</w:t>
      </w:r>
      <w:r w:rsidR="006825AF">
        <w:t xml:space="preserve"> and defer income</w:t>
      </w:r>
      <w:r w:rsidR="000B00EE">
        <w:t>.  (</w:t>
      </w:r>
      <w:r w:rsidR="000B00EE" w:rsidRPr="000B00EE">
        <w:rPr>
          <w:i/>
          <w:iCs/>
        </w:rPr>
        <w:t>Ibid</w:t>
      </w:r>
      <w:r w:rsidR="000B00EE">
        <w:t xml:space="preserve">.)  </w:t>
      </w:r>
      <w:r w:rsidR="00DB78AB">
        <w:t>The father also loaned the company $250,000.  (</w:t>
      </w:r>
      <w:r w:rsidR="00DB78AB" w:rsidRPr="00DB78AB">
        <w:rPr>
          <w:i/>
          <w:iCs/>
        </w:rPr>
        <w:t>Ibid</w:t>
      </w:r>
      <w:r w:rsidR="00DB78AB">
        <w:t xml:space="preserve">.)  </w:t>
      </w:r>
      <w:r w:rsidR="00E2581E">
        <w:t>At trial on</w:t>
      </w:r>
      <w:r w:rsidR="00B75B9D">
        <w:t xml:space="preserve"> the father’s request to </w:t>
      </w:r>
      <w:r w:rsidR="000B00EE">
        <w:t>reduce his temporary child support obligation</w:t>
      </w:r>
      <w:r w:rsidR="00E2581E">
        <w:t xml:space="preserve">, the father testified his </w:t>
      </w:r>
      <w:r w:rsidR="006825AF">
        <w:t xml:space="preserve">landscaping </w:t>
      </w:r>
      <w:r w:rsidR="00E2581E">
        <w:t xml:space="preserve">company </w:t>
      </w:r>
      <w:r w:rsidR="00E31F2A">
        <w:t xml:space="preserve">had </w:t>
      </w:r>
      <w:r w:rsidR="006825AF">
        <w:t>recently</w:t>
      </w:r>
      <w:r w:rsidR="00E2581E">
        <w:t xml:space="preserve"> been paying him an income of $2,000 per month, but that “his total ‘deferred’ salary—defined as the difference between the compensation his employment contract had specified he was entitled to receive, and the compensation he had actually received—was as high as $350,000 by the time trial commenced.”  (</w:t>
      </w:r>
      <w:r w:rsidR="00E2581E" w:rsidRPr="009C5E9E">
        <w:rPr>
          <w:i/>
          <w:iCs/>
        </w:rPr>
        <w:t>Id</w:t>
      </w:r>
      <w:r w:rsidR="00E2581E">
        <w:t xml:space="preserve">. at p. 1076.)  </w:t>
      </w:r>
      <w:r w:rsidR="00D31A3E">
        <w:t xml:space="preserve">He had agreed to his salary reduction and </w:t>
      </w:r>
      <w:r w:rsidR="006825AF">
        <w:t xml:space="preserve">income </w:t>
      </w:r>
      <w:r w:rsidR="00D31A3E">
        <w:t xml:space="preserve">deferral to avoid further depleting his company’s capital, which he believed would harm his company’s </w:t>
      </w:r>
      <w:r w:rsidR="006825AF">
        <w:t>“</w:t>
      </w:r>
      <w:r w:rsidR="00D31A3E">
        <w:t>ability to raise further capital in the future</w:t>
      </w:r>
      <w:r w:rsidR="006825AF">
        <w:t>”</w:t>
      </w:r>
      <w:r w:rsidR="00D31A3E">
        <w:t xml:space="preserve"> and “thus imperil its viability.”  (</w:t>
      </w:r>
      <w:r w:rsidR="00D31A3E" w:rsidRPr="00D31A3E">
        <w:rPr>
          <w:i/>
          <w:iCs/>
        </w:rPr>
        <w:t>Id</w:t>
      </w:r>
      <w:r w:rsidR="00D31A3E">
        <w:t xml:space="preserve">. at pp. 1081–1082.)  </w:t>
      </w:r>
      <w:r w:rsidR="009C5E9E">
        <w:t xml:space="preserve">The father explained </w:t>
      </w:r>
      <w:r w:rsidR="00DD0981">
        <w:t>his personal expenses were over $21,000 per month (</w:t>
      </w:r>
      <w:r w:rsidR="00DD0981" w:rsidRPr="00DD0981">
        <w:rPr>
          <w:i/>
          <w:iCs/>
        </w:rPr>
        <w:t>id</w:t>
      </w:r>
      <w:r w:rsidR="00DD0981">
        <w:t>.</w:t>
      </w:r>
      <w:r w:rsidR="00D31A3E">
        <w:t xml:space="preserve"> at p. 1076</w:t>
      </w:r>
      <w:r w:rsidR="00DD0981">
        <w:t xml:space="preserve">), which </w:t>
      </w:r>
      <w:r w:rsidR="009C5E9E">
        <w:t xml:space="preserve">“in the absence of any significant cash salary” from his business, he was meeting </w:t>
      </w:r>
      <w:r w:rsidR="00DD0981">
        <w:t>“</w:t>
      </w:r>
      <w:r w:rsidR="009C5E9E">
        <w:t xml:space="preserve">by utilizing his cash assets.”  </w:t>
      </w:r>
      <w:r w:rsidR="00DD0981">
        <w:t>(</w:t>
      </w:r>
      <w:r w:rsidR="00DD0981" w:rsidRPr="00DD0981">
        <w:rPr>
          <w:i/>
          <w:iCs/>
        </w:rPr>
        <w:t>Id</w:t>
      </w:r>
      <w:r w:rsidR="00DD0981">
        <w:t>. at p. 1077.)  T</w:t>
      </w:r>
      <w:r w:rsidR="009C5E9E">
        <w:t>he father estimated he had $430,000</w:t>
      </w:r>
      <w:r w:rsidR="00F038DB">
        <w:t xml:space="preserve"> to </w:t>
      </w:r>
      <w:r w:rsidR="009C5E9E">
        <w:t xml:space="preserve">$450,000 </w:t>
      </w:r>
      <w:r w:rsidR="00DD0981">
        <w:t xml:space="preserve">left </w:t>
      </w:r>
      <w:r w:rsidR="009C5E9E">
        <w:t xml:space="preserve">in liquid assets and equity of $500,000 in a property he had purchased </w:t>
      </w:r>
      <w:r w:rsidR="00A6427B">
        <w:t xml:space="preserve">and developed </w:t>
      </w:r>
      <w:r w:rsidR="009C5E9E">
        <w:t xml:space="preserve">with a $1.8 million loan.  </w:t>
      </w:r>
      <w:r w:rsidR="00DD0981">
        <w:t>(</w:t>
      </w:r>
      <w:r w:rsidR="00DD0981" w:rsidRPr="00DD0981">
        <w:rPr>
          <w:i/>
          <w:iCs/>
        </w:rPr>
        <w:t>Id</w:t>
      </w:r>
      <w:r w:rsidR="00DD0981">
        <w:t>.</w:t>
      </w:r>
      <w:r w:rsidR="00F038DB">
        <w:t xml:space="preserve"> at pp. 1076–1077.</w:t>
      </w:r>
      <w:r w:rsidR="00DD0981">
        <w:t>)</w:t>
      </w:r>
    </w:p>
    <w:p w14:paraId="433A4CF0" w14:textId="77777777" w:rsidR="000B00EE" w:rsidRDefault="008802C0" w:rsidP="002270E6">
      <w:pPr>
        <w:spacing w:line="360" w:lineRule="auto"/>
      </w:pPr>
      <w:r>
        <w:tab/>
      </w:r>
      <w:r w:rsidR="001807FD">
        <w:t>In view of the foregoing record, the trial court i</w:t>
      </w:r>
      <w:r>
        <w:t xml:space="preserve">n </w:t>
      </w:r>
      <w:r w:rsidRPr="00F875EB">
        <w:rPr>
          <w:i/>
          <w:iCs/>
        </w:rPr>
        <w:t>Berger</w:t>
      </w:r>
      <w:r w:rsidR="00DD0981">
        <w:t xml:space="preserve"> </w:t>
      </w:r>
      <w:r w:rsidR="006825AF">
        <w:t xml:space="preserve">first </w:t>
      </w:r>
      <w:r w:rsidR="00DD0981">
        <w:t>concluded “ ‘there was insufficient evidence’ demonstrating [the father] had any current ‘opportunity’ to earn the level of salary he once had while working in finance” and “declined to impute that salary to him ‘for the calculation of support and fees.’ ”  (</w:t>
      </w:r>
      <w:r w:rsidRPr="00BF2166">
        <w:rPr>
          <w:i/>
          <w:iCs/>
        </w:rPr>
        <w:t>Berger</w:t>
      </w:r>
      <w:r>
        <w:t xml:space="preserve">, </w:t>
      </w:r>
      <w:r w:rsidRPr="0015530A">
        <w:rPr>
          <w:i/>
          <w:iCs/>
        </w:rPr>
        <w:t>supra</w:t>
      </w:r>
      <w:r>
        <w:t xml:space="preserve">, 170 Cal.App.4th </w:t>
      </w:r>
      <w:r w:rsidR="00DD0981">
        <w:t xml:space="preserve">at p. 1078.)  </w:t>
      </w:r>
      <w:r w:rsidR="006825AF">
        <w:t>Although the court reserved</w:t>
      </w:r>
      <w:r w:rsidR="00DF05F6">
        <w:t xml:space="preserve"> jurisdiction over the father’s deferred salary of $350,000, </w:t>
      </w:r>
      <w:r w:rsidR="00AC46D4">
        <w:t>the court</w:t>
      </w:r>
      <w:r w:rsidR="00DF05F6">
        <w:t xml:space="preserve"> </w:t>
      </w:r>
      <w:r w:rsidR="00E63F2C">
        <w:t xml:space="preserve">adhered to the statutory guideline </w:t>
      </w:r>
      <w:r w:rsidR="00E31F2A">
        <w:t>because</w:t>
      </w:r>
      <w:r w:rsidR="006825AF">
        <w:t xml:space="preserve"> </w:t>
      </w:r>
      <w:r w:rsidR="00DF05F6">
        <w:t xml:space="preserve">the father </w:t>
      </w:r>
      <w:r w:rsidR="007F42C0">
        <w:t>received</w:t>
      </w:r>
      <w:r w:rsidR="00DF05F6">
        <w:t xml:space="preserve"> no </w:t>
      </w:r>
      <w:r w:rsidR="007F42C0">
        <w:t xml:space="preserve">actual </w:t>
      </w:r>
      <w:r w:rsidR="00DF05F6">
        <w:t xml:space="preserve">income other than </w:t>
      </w:r>
      <w:r w:rsidR="007F42C0">
        <w:t xml:space="preserve">his monthly </w:t>
      </w:r>
      <w:r w:rsidR="00DF05F6">
        <w:t xml:space="preserve">$2,000 </w:t>
      </w:r>
      <w:r w:rsidR="007F42C0">
        <w:t>salary.  (</w:t>
      </w:r>
      <w:r w:rsidR="007F42C0" w:rsidRPr="007F42C0">
        <w:rPr>
          <w:i/>
          <w:iCs/>
        </w:rPr>
        <w:t>Ibid</w:t>
      </w:r>
      <w:r w:rsidR="007F42C0">
        <w:t xml:space="preserve">.)  </w:t>
      </w:r>
      <w:r w:rsidR="00B84503">
        <w:t>T</w:t>
      </w:r>
      <w:r w:rsidR="00E63F2C">
        <w:t xml:space="preserve">he court ordered the father to pay only $1,115 in monthly support for his two children based on </w:t>
      </w:r>
      <w:r w:rsidR="00B84503">
        <w:lastRenderedPageBreak/>
        <w:t>that</w:t>
      </w:r>
      <w:r w:rsidR="00E63F2C">
        <w:t xml:space="preserve"> salary and imp</w:t>
      </w:r>
      <w:r w:rsidR="007F42C0">
        <w:t>uted</w:t>
      </w:r>
      <w:r w:rsidR="00DF05F6">
        <w:t xml:space="preserve"> </w:t>
      </w:r>
      <w:r w:rsidR="00B84503">
        <w:t xml:space="preserve">interest </w:t>
      </w:r>
      <w:r w:rsidR="00DF05F6">
        <w:t xml:space="preserve">income on </w:t>
      </w:r>
      <w:r w:rsidR="00E63F2C">
        <w:t>his</w:t>
      </w:r>
      <w:r w:rsidR="00DF05F6">
        <w:t xml:space="preserve"> cash assets and estimated equity in the property he </w:t>
      </w:r>
      <w:r w:rsidR="00B84503">
        <w:t xml:space="preserve">had </w:t>
      </w:r>
      <w:r w:rsidR="00DF05F6">
        <w:t>purchased</w:t>
      </w:r>
      <w:r w:rsidR="00A6427B">
        <w:t>.</w:t>
      </w:r>
      <w:r w:rsidR="00DF05F6">
        <w:t xml:space="preserve">  </w:t>
      </w:r>
      <w:r>
        <w:t>(</w:t>
      </w:r>
      <w:r w:rsidRPr="000B00EE">
        <w:rPr>
          <w:i/>
          <w:iCs/>
        </w:rPr>
        <w:t>Ibid</w:t>
      </w:r>
      <w:r>
        <w:t>.)</w:t>
      </w:r>
    </w:p>
    <w:p w14:paraId="433A4CF1" w14:textId="77777777" w:rsidR="008B4B8A" w:rsidRDefault="008802C0" w:rsidP="002270E6">
      <w:pPr>
        <w:spacing w:line="360" w:lineRule="auto"/>
      </w:pPr>
      <w:r>
        <w:tab/>
      </w:r>
      <w:r w:rsidR="00450C03">
        <w:t xml:space="preserve">The appellate court reversed, </w:t>
      </w:r>
      <w:r w:rsidR="005D2F06">
        <w:t>concluding</w:t>
      </w:r>
      <w:r w:rsidR="00450C03">
        <w:t xml:space="preserve"> that </w:t>
      </w:r>
      <w:r w:rsidR="00787881">
        <w:t xml:space="preserve">section 4057, subdivision (b)(5), allows </w:t>
      </w:r>
      <w:r w:rsidR="00450C03">
        <w:t xml:space="preserve">courts </w:t>
      </w:r>
      <w:r w:rsidR="00787881">
        <w:t>to</w:t>
      </w:r>
      <w:r w:rsidR="00450C03">
        <w:t xml:space="preserve"> depart from the </w:t>
      </w:r>
      <w:r w:rsidR="00455EA4">
        <w:t>guideline amount of support</w:t>
      </w:r>
      <w:r w:rsidR="00450C03">
        <w:t xml:space="preserve"> </w:t>
      </w:r>
      <w:r w:rsidR="00787881">
        <w:t>under “ ‘special circumstances.’ ”  (</w:t>
      </w:r>
      <w:r w:rsidR="00787881" w:rsidRPr="00AC46D4">
        <w:rPr>
          <w:i/>
          <w:iCs/>
        </w:rPr>
        <w:t>Berger</w:t>
      </w:r>
      <w:r w:rsidR="00787881">
        <w:t xml:space="preserve">, </w:t>
      </w:r>
      <w:r w:rsidR="00787881" w:rsidRPr="00AC46D4">
        <w:rPr>
          <w:i/>
          <w:iCs/>
        </w:rPr>
        <w:t>supra</w:t>
      </w:r>
      <w:r w:rsidR="00787881">
        <w:t xml:space="preserve">, 170 Cal.App.4th at pp. 1083–1084.)  </w:t>
      </w:r>
      <w:r w:rsidR="00AC46D4">
        <w:t xml:space="preserve">In </w:t>
      </w:r>
      <w:r w:rsidR="00787881">
        <w:t>determining that special circumstances were established in the case</w:t>
      </w:r>
      <w:r w:rsidR="00AC46D4">
        <w:t xml:space="preserve">, </w:t>
      </w:r>
      <w:r w:rsidR="00787881" w:rsidRPr="00787881">
        <w:rPr>
          <w:i/>
          <w:iCs/>
        </w:rPr>
        <w:t>Berger</w:t>
      </w:r>
      <w:r w:rsidR="00B75B9D">
        <w:t xml:space="preserve"> </w:t>
      </w:r>
      <w:r w:rsidR="00AC46D4">
        <w:t xml:space="preserve">observed that the father was “simply choosing to </w:t>
      </w:r>
      <w:r w:rsidR="00AC46D4" w:rsidRPr="00AC46D4">
        <w:rPr>
          <w:i/>
          <w:iCs/>
        </w:rPr>
        <w:t>invest</w:t>
      </w:r>
      <w:r w:rsidR="00AC46D4">
        <w:t xml:space="preserve"> his salary each month back into the company, while supporting his own lifestyle with other assets.”  (</w:t>
      </w:r>
      <w:r w:rsidR="00787881" w:rsidRPr="00787881">
        <w:rPr>
          <w:i/>
          <w:iCs/>
        </w:rPr>
        <w:t>Id</w:t>
      </w:r>
      <w:r w:rsidR="00787881">
        <w:t>.</w:t>
      </w:r>
      <w:r w:rsidR="00AC46D4">
        <w:t xml:space="preserve"> at p. 1074.)  </w:t>
      </w:r>
      <w:r w:rsidR="00E63F2C">
        <w:t xml:space="preserve">Significantly, </w:t>
      </w:r>
      <w:r w:rsidR="00E63F2C" w:rsidRPr="00E63F2C">
        <w:rPr>
          <w:i/>
          <w:iCs/>
        </w:rPr>
        <w:t>Berger</w:t>
      </w:r>
      <w:r w:rsidR="00E63F2C">
        <w:t xml:space="preserve"> held that</w:t>
      </w:r>
      <w:r w:rsidR="00F40AE2">
        <w:t xml:space="preserve"> </w:t>
      </w:r>
      <w:r w:rsidR="00BF2166">
        <w:t xml:space="preserve">the father’s </w:t>
      </w:r>
      <w:r w:rsidR="00AC46D4">
        <w:t xml:space="preserve">voluntary </w:t>
      </w:r>
      <w:r w:rsidR="00BF2166">
        <w:t xml:space="preserve">agreement to defer his income from </w:t>
      </w:r>
      <w:r w:rsidR="00AC46D4">
        <w:t>his</w:t>
      </w:r>
      <w:r w:rsidR="00BF2166">
        <w:t xml:space="preserve"> startup business, while continuing to live a wealthy lifestyle by using his other substantial assets for his own support, did not justify reducing his obligation to pay child support.  (</w:t>
      </w:r>
      <w:r w:rsidR="00BF2166" w:rsidRPr="00C73213">
        <w:rPr>
          <w:i/>
          <w:iCs/>
        </w:rPr>
        <w:t>Id</w:t>
      </w:r>
      <w:r w:rsidR="00BF2166">
        <w:t>. at pp. 1073–1074.)</w:t>
      </w:r>
      <w:r w:rsidR="00C73213">
        <w:t xml:space="preserve">  As </w:t>
      </w:r>
      <w:r w:rsidR="00C73213" w:rsidRPr="00C73213">
        <w:rPr>
          <w:i/>
          <w:iCs/>
        </w:rPr>
        <w:t>Berger</w:t>
      </w:r>
      <w:r w:rsidR="00C73213">
        <w:t xml:space="preserve"> re</w:t>
      </w:r>
      <w:r w:rsidR="00455EA4">
        <w:t>cogniz</w:t>
      </w:r>
      <w:r w:rsidR="00C73213">
        <w:t xml:space="preserve">ed, </w:t>
      </w:r>
      <w:r w:rsidR="00455EA4">
        <w:t xml:space="preserve">a father may not “unilaterally, and voluntarily, arrange his business affairs in such a way as to effectively preclude his children from sharing in the benefits of his </w:t>
      </w:r>
      <w:r w:rsidR="00455EA4" w:rsidRPr="00C73213">
        <w:rPr>
          <w:i/>
          <w:iCs/>
        </w:rPr>
        <w:t>current</w:t>
      </w:r>
      <w:r w:rsidR="00455EA4">
        <w:t xml:space="preserve"> standard of living.”  (</w:t>
      </w:r>
      <w:r w:rsidR="00455EA4" w:rsidRPr="00C73213">
        <w:rPr>
          <w:i/>
          <w:iCs/>
        </w:rPr>
        <w:t>Id</w:t>
      </w:r>
      <w:r w:rsidR="00455EA4">
        <w:t xml:space="preserve">. at p. 1082.)  </w:t>
      </w:r>
      <w:r w:rsidR="00F106AF">
        <w:t xml:space="preserve">There, </w:t>
      </w:r>
      <w:r w:rsidR="00C73213">
        <w:t>the father “could have just as easily chosen to retain his salary—which after all, he needs to support himself—</w:t>
      </w:r>
      <w:r w:rsidR="00C73213" w:rsidRPr="00C73213">
        <w:rPr>
          <w:i/>
          <w:iCs/>
        </w:rPr>
        <w:t>and his family</w:t>
      </w:r>
      <w:r w:rsidR="00C73213">
        <w:t xml:space="preserve">—and instead utilize his </w:t>
      </w:r>
      <w:r w:rsidR="00C73213" w:rsidRPr="00C73213">
        <w:rPr>
          <w:i/>
          <w:iCs/>
        </w:rPr>
        <w:t>other assets</w:t>
      </w:r>
      <w:r w:rsidR="00C73213">
        <w:t xml:space="preserve"> to fund monthly capital investments into his company.”  (</w:t>
      </w:r>
      <w:r w:rsidR="00C73213" w:rsidRPr="00C73213">
        <w:rPr>
          <w:i/>
          <w:iCs/>
        </w:rPr>
        <w:t>I</w:t>
      </w:r>
      <w:r w:rsidR="00F106AF">
        <w:rPr>
          <w:i/>
          <w:iCs/>
        </w:rPr>
        <w:t>bi</w:t>
      </w:r>
      <w:r w:rsidR="00C73213" w:rsidRPr="00C73213">
        <w:rPr>
          <w:i/>
          <w:iCs/>
        </w:rPr>
        <w:t>d</w:t>
      </w:r>
      <w:r w:rsidR="00C73213">
        <w:t xml:space="preserve">.)  </w:t>
      </w:r>
      <w:r w:rsidR="00F106AF">
        <w:t>Thus</w:t>
      </w:r>
      <w:r w:rsidR="00C73213">
        <w:t>, even if the father</w:t>
      </w:r>
      <w:r w:rsidR="00A44E34">
        <w:t xml:space="preserve">’s “decision to forgo </w:t>
      </w:r>
      <w:r w:rsidR="00A44E34" w:rsidRPr="00F038DB">
        <w:rPr>
          <w:i/>
          <w:iCs/>
        </w:rPr>
        <w:t>receipt</w:t>
      </w:r>
      <w:r w:rsidR="00A44E34">
        <w:t xml:space="preserve"> of his salary” precluded the trial court from characterizing </w:t>
      </w:r>
      <w:r w:rsidR="00F106AF">
        <w:t xml:space="preserve">the </w:t>
      </w:r>
      <w:r w:rsidR="00F40AE2">
        <w:t>deferred salary</w:t>
      </w:r>
      <w:r w:rsidR="00A44E34">
        <w:t xml:space="preserve"> as income for purposes of support, </w:t>
      </w:r>
      <w:r w:rsidR="00A44E34" w:rsidRPr="00A44E34">
        <w:rPr>
          <w:i/>
          <w:iCs/>
        </w:rPr>
        <w:t>Berger</w:t>
      </w:r>
      <w:r w:rsidR="00A44E34">
        <w:t xml:space="preserve"> concluded the situation “demonstrates ‘special circumstances’ which warrant a departure from the guideline amount of support” awarded by the trial court.  (</w:t>
      </w:r>
      <w:r w:rsidR="00A44E34" w:rsidRPr="00A44E34">
        <w:rPr>
          <w:i/>
          <w:iCs/>
        </w:rPr>
        <w:t>Id</w:t>
      </w:r>
      <w:r w:rsidR="00A44E34">
        <w:t>. at p. 1083</w:t>
      </w:r>
      <w:r w:rsidR="00AA5EA2">
        <w:t xml:space="preserve">; see also </w:t>
      </w:r>
      <w:r w:rsidR="00CE3059" w:rsidRPr="006E062D">
        <w:rPr>
          <w:i/>
          <w:iCs/>
        </w:rPr>
        <w:t>In re Marriage of Sorge</w:t>
      </w:r>
      <w:r w:rsidR="00CE3059">
        <w:t xml:space="preserve"> (2012) 202 Cal.App.4th 626, 6</w:t>
      </w:r>
      <w:r w:rsidR="0022365A">
        <w:t>48</w:t>
      </w:r>
      <w:r w:rsidR="00CE3059">
        <w:t xml:space="preserve"> </w:t>
      </w:r>
      <w:r w:rsidR="00364664">
        <w:t>(</w:t>
      </w:r>
      <w:r w:rsidR="00364664" w:rsidRPr="00364664">
        <w:rPr>
          <w:i/>
          <w:iCs/>
        </w:rPr>
        <w:t>Sorge</w:t>
      </w:r>
      <w:r w:rsidR="00364664">
        <w:t xml:space="preserve">) </w:t>
      </w:r>
      <w:r w:rsidR="00CE3059">
        <w:t>[recognizing parental obligation</w:t>
      </w:r>
      <w:r w:rsidR="00364664">
        <w:t xml:space="preserve"> “not to voluntarily act in a way that negatively impacts the support that a child is entitled to receive from that parent”]</w:t>
      </w:r>
      <w:r w:rsidR="00A44E34">
        <w:t>.)</w:t>
      </w:r>
    </w:p>
    <w:p w14:paraId="433A4CF2" w14:textId="77777777" w:rsidR="004B196B" w:rsidRDefault="008802C0" w:rsidP="00445E95">
      <w:pPr>
        <w:spacing w:line="360" w:lineRule="auto"/>
      </w:pPr>
      <w:r>
        <w:lastRenderedPageBreak/>
        <w:tab/>
      </w:r>
      <w:r w:rsidR="008B17DD">
        <w:t xml:space="preserve">The </w:t>
      </w:r>
      <w:r w:rsidR="00787881">
        <w:t>record here establishes</w:t>
      </w:r>
      <w:r w:rsidR="008B17DD">
        <w:t xml:space="preserve"> comparable</w:t>
      </w:r>
      <w:r w:rsidR="00787881">
        <w:t xml:space="preserve"> special circumstances</w:t>
      </w:r>
      <w:r w:rsidR="008B17DD">
        <w:t>.  Just like the father</w:t>
      </w:r>
      <w:r>
        <w:t xml:space="preserve"> in </w:t>
      </w:r>
      <w:r w:rsidRPr="001F77FE">
        <w:rPr>
          <w:i/>
          <w:iCs/>
        </w:rPr>
        <w:t>Berger</w:t>
      </w:r>
      <w:r>
        <w:t xml:space="preserve">, Scott </w:t>
      </w:r>
      <w:r w:rsidR="00512017">
        <w:t xml:space="preserve">was a relatively wealthy individual who </w:t>
      </w:r>
      <w:r w:rsidR="00A267C4">
        <w:t xml:space="preserve">worked full time </w:t>
      </w:r>
      <w:r w:rsidR="00512017">
        <w:t>in</w:t>
      </w:r>
      <w:r w:rsidR="00A267C4">
        <w:t xml:space="preserve"> </w:t>
      </w:r>
      <w:r w:rsidR="008B17DD">
        <w:t>a business</w:t>
      </w:r>
      <w:r w:rsidR="00A267C4">
        <w:t xml:space="preserve"> </w:t>
      </w:r>
      <w:r w:rsidR="008B17DD">
        <w:t xml:space="preserve">that did not turn a profit during a year in which he had child support obligations to meet.  </w:t>
      </w:r>
      <w:r w:rsidR="00512017">
        <w:t xml:space="preserve">And similarly, </w:t>
      </w:r>
      <w:r w:rsidR="001D4ABF">
        <w:t>as a principal of the business—indeed, the only principal—</w:t>
      </w:r>
      <w:r w:rsidR="00512017">
        <w:t xml:space="preserve">Scott </w:t>
      </w:r>
      <w:r w:rsidR="001D4ABF">
        <w:t>had the “unilateral ability to set his income</w:t>
      </w:r>
      <w:r w:rsidR="000A1573">
        <w:t>,</w:t>
      </w:r>
      <w:r w:rsidR="001D4ABF">
        <w:t xml:space="preserve">” and </w:t>
      </w:r>
      <w:r w:rsidR="000A1573">
        <w:t xml:space="preserve">he </w:t>
      </w:r>
      <w:r w:rsidR="00512017">
        <w:t>voluntarily and substantially reduce</w:t>
      </w:r>
      <w:r w:rsidR="001D4ABF">
        <w:t>d</w:t>
      </w:r>
      <w:r w:rsidR="00512017">
        <w:t xml:space="preserve"> his salary</w:t>
      </w:r>
      <w:r w:rsidR="00D31A3E">
        <w:t xml:space="preserve"> out of a </w:t>
      </w:r>
      <w:r w:rsidR="0080729B">
        <w:t xml:space="preserve">stated concern that he could not keep SCA in business unless he did so.  Also similarly, despite slashing his </w:t>
      </w:r>
      <w:r w:rsidR="00893F55">
        <w:t xml:space="preserve">2020 annual </w:t>
      </w:r>
      <w:r w:rsidR="0080729B">
        <w:t xml:space="preserve">salary to $100,000, </w:t>
      </w:r>
      <w:r w:rsidR="007A074B">
        <w:t xml:space="preserve">Scott </w:t>
      </w:r>
      <w:r w:rsidR="007C0222">
        <w:t xml:space="preserve">maintained a relatively </w:t>
      </w:r>
      <w:r w:rsidR="001807FD">
        <w:t>affluent</w:t>
      </w:r>
      <w:r w:rsidR="007C0222">
        <w:t xml:space="preserve"> lifestyle and </w:t>
      </w:r>
      <w:r w:rsidR="00B84503">
        <w:t xml:space="preserve">relied on other </w:t>
      </w:r>
      <w:r w:rsidR="000A1573">
        <w:t>re</w:t>
      </w:r>
      <w:r w:rsidR="00B84503">
        <w:t>sources</w:t>
      </w:r>
      <w:r w:rsidR="007C0222">
        <w:t xml:space="preserve"> to pay</w:t>
      </w:r>
      <w:r w:rsidR="007A074B">
        <w:t xml:space="preserve"> </w:t>
      </w:r>
      <w:r w:rsidR="006609B2">
        <w:t xml:space="preserve">his </w:t>
      </w:r>
      <w:r w:rsidR="007C0222">
        <w:t xml:space="preserve">personal and </w:t>
      </w:r>
      <w:r w:rsidR="006609B2">
        <w:t xml:space="preserve">current </w:t>
      </w:r>
      <w:r w:rsidR="007C0222">
        <w:t>family expenses that far exceeded his reduced income</w:t>
      </w:r>
      <w:r w:rsidR="007A074B">
        <w:t>.</w:t>
      </w:r>
      <w:r>
        <w:rPr>
          <w:rStyle w:val="FootnoteReference"/>
        </w:rPr>
        <w:footnoteReference w:id="7"/>
      </w:r>
      <w:r w:rsidR="00893F55">
        <w:t xml:space="preserve"> </w:t>
      </w:r>
      <w:r w:rsidR="006D0A1E">
        <w:t xml:space="preserve"> On this score, Scott and his </w:t>
      </w:r>
      <w:r w:rsidR="000535ED">
        <w:t xml:space="preserve">current </w:t>
      </w:r>
      <w:r w:rsidR="0030594C">
        <w:t xml:space="preserve">spouse </w:t>
      </w:r>
      <w:r w:rsidR="006D0A1E">
        <w:t>received over $977,</w:t>
      </w:r>
      <w:r w:rsidR="002B41D7">
        <w:t>000</w:t>
      </w:r>
      <w:r w:rsidR="006D0A1E">
        <w:t xml:space="preserve"> in </w:t>
      </w:r>
      <w:r w:rsidR="00893F55">
        <w:t xml:space="preserve">account </w:t>
      </w:r>
      <w:r w:rsidR="006D0A1E">
        <w:t xml:space="preserve">distributions from Morgan Stanley in 2020, and Scott was able to tap </w:t>
      </w:r>
      <w:r w:rsidR="000E5D6A">
        <w:t>certain</w:t>
      </w:r>
      <w:r w:rsidR="006D0A1E">
        <w:t xml:space="preserve"> Morgan Stanley accounts to pay at least $387,245 in credit card charges for his personal and business expenses </w:t>
      </w:r>
      <w:r>
        <w:t xml:space="preserve">incurred </w:t>
      </w:r>
      <w:r w:rsidR="006D0A1E">
        <w:t xml:space="preserve">in 2020.  Thus, like the father in </w:t>
      </w:r>
      <w:r w:rsidR="006D0A1E" w:rsidRPr="004B196B">
        <w:rPr>
          <w:i/>
          <w:iCs/>
        </w:rPr>
        <w:t>Berger</w:t>
      </w:r>
      <w:r w:rsidR="006D0A1E">
        <w:t xml:space="preserve">, Scott </w:t>
      </w:r>
      <w:r>
        <w:t xml:space="preserve">evidently chose to substantially reduce his salary while continuing to </w:t>
      </w:r>
      <w:r w:rsidR="00893F55">
        <w:t>support</w:t>
      </w:r>
      <w:r>
        <w:t xml:space="preserve"> his lifestyle using other available assets, instead of </w:t>
      </w:r>
      <w:r w:rsidR="000E5D6A">
        <w:t>drawing</w:t>
      </w:r>
      <w:r>
        <w:t xml:space="preserve"> a salary that would cover his child support obligations and using those other assets to keep his business going.</w:t>
      </w:r>
    </w:p>
    <w:p w14:paraId="433A4CF3" w14:textId="77777777" w:rsidR="006E1CFC" w:rsidRDefault="008802C0" w:rsidP="008B7FE8">
      <w:pPr>
        <w:spacing w:line="360" w:lineRule="auto"/>
      </w:pPr>
      <w:r>
        <w:tab/>
      </w:r>
      <w:r w:rsidR="00E47A27">
        <w:t>It bears emphasizing that</w:t>
      </w:r>
      <w:r w:rsidR="004B196B">
        <w:t xml:space="preserve"> one of the principal </w:t>
      </w:r>
      <w:r w:rsidR="006D0A1E">
        <w:t>facts</w:t>
      </w:r>
      <w:r>
        <w:t xml:space="preserve"> distinguish</w:t>
      </w:r>
      <w:r w:rsidR="004B196B">
        <w:t>ing</w:t>
      </w:r>
      <w:r>
        <w:t xml:space="preserve"> this case</w:t>
      </w:r>
      <w:r w:rsidR="006D0A1E">
        <w:t xml:space="preserve"> from</w:t>
      </w:r>
      <w:r>
        <w:t xml:space="preserve"> </w:t>
      </w:r>
      <w:r w:rsidRPr="006D0A1E">
        <w:rPr>
          <w:i/>
          <w:iCs/>
        </w:rPr>
        <w:t>Berger</w:t>
      </w:r>
      <w:r w:rsidR="006D0A1E">
        <w:t xml:space="preserve"> </w:t>
      </w:r>
      <w:r w:rsidR="004B196B">
        <w:t xml:space="preserve">is one that </w:t>
      </w:r>
      <w:r w:rsidR="006D0A1E">
        <w:t>do</w:t>
      </w:r>
      <w:r w:rsidR="004B196B">
        <w:t>es</w:t>
      </w:r>
      <w:r w:rsidR="006D0A1E">
        <w:t xml:space="preserve"> not </w:t>
      </w:r>
      <w:r w:rsidR="004B196B">
        <w:t>work</w:t>
      </w:r>
      <w:r w:rsidR="006D0A1E">
        <w:t xml:space="preserve"> in Scott’s favor.  </w:t>
      </w:r>
      <w:r w:rsidR="00364664">
        <w:t xml:space="preserve">In </w:t>
      </w:r>
      <w:r w:rsidR="00364664" w:rsidRPr="00364664">
        <w:rPr>
          <w:i/>
          <w:iCs/>
        </w:rPr>
        <w:t>Berger</w:t>
      </w:r>
      <w:r w:rsidR="00364664">
        <w:t>, the father’s startup business had “never generated a profit” from its inception.  (</w:t>
      </w:r>
      <w:r w:rsidR="00364664" w:rsidRPr="00364664">
        <w:rPr>
          <w:i/>
          <w:iCs/>
        </w:rPr>
        <w:t>Berger</w:t>
      </w:r>
      <w:r w:rsidR="00364664">
        <w:t xml:space="preserve">, </w:t>
      </w:r>
      <w:r w:rsidR="00364664" w:rsidRPr="00364664">
        <w:rPr>
          <w:i/>
          <w:iCs/>
        </w:rPr>
        <w:t>supra</w:t>
      </w:r>
      <w:r w:rsidR="00364664">
        <w:t>, 170 Cal.App.4th at p. 1075.)  Here, however,</w:t>
      </w:r>
      <w:r w:rsidR="006D0A1E">
        <w:t xml:space="preserve"> SCA </w:t>
      </w:r>
      <w:r w:rsidR="00364664">
        <w:t xml:space="preserve">experienced several profitable years leading up to 2020 and </w:t>
      </w:r>
      <w:r w:rsidR="009A2D17">
        <w:t xml:space="preserve">evidently </w:t>
      </w:r>
      <w:r w:rsidR="006D0A1E">
        <w:t>had sufficient non-operating reserves to pay Scott a</w:t>
      </w:r>
      <w:r w:rsidR="004B196B">
        <w:t xml:space="preserve"> salary</w:t>
      </w:r>
      <w:r w:rsidR="006D0A1E">
        <w:t xml:space="preserve"> that </w:t>
      </w:r>
      <w:r w:rsidR="000A1573">
        <w:t>w</w:t>
      </w:r>
      <w:r w:rsidR="006D0A1E">
        <w:t xml:space="preserve">ould have covered his child support obligations.  As Scott himself explained, “if </w:t>
      </w:r>
      <w:r w:rsidR="000423A0">
        <w:t xml:space="preserve">the </w:t>
      </w:r>
      <w:r w:rsidR="006D0A1E">
        <w:t xml:space="preserve">income is needed on </w:t>
      </w:r>
      <w:r w:rsidR="006D0A1E">
        <w:lastRenderedPageBreak/>
        <w:t xml:space="preserve">the personal side” and “the business can afford it,” then he “can make adjustments.”  </w:t>
      </w:r>
      <w:r w:rsidR="000A1573">
        <w:t xml:space="preserve">Though Scott attempts to distinguish </w:t>
      </w:r>
      <w:r w:rsidR="003F2730">
        <w:t>his case from</w:t>
      </w:r>
      <w:r w:rsidR="007C198C">
        <w:t xml:space="preserve"> </w:t>
      </w:r>
      <w:r w:rsidR="000A1573" w:rsidRPr="000A1573">
        <w:rPr>
          <w:i/>
          <w:iCs/>
        </w:rPr>
        <w:t>Berger</w:t>
      </w:r>
      <w:r w:rsidR="000A1573">
        <w:t xml:space="preserve"> by claiming his decision to take a substantially reduced salary was not voluntary</w:t>
      </w:r>
      <w:r w:rsidR="003F2730">
        <w:t xml:space="preserve"> but instead critical to SCA’s economic survival</w:t>
      </w:r>
      <w:r w:rsidR="000A1573">
        <w:t xml:space="preserve">, the evidence of SCA’s available reserves belies that claim.  </w:t>
      </w:r>
      <w:r w:rsidR="003F2730">
        <w:t>Thus, the record support</w:t>
      </w:r>
      <w:r w:rsidR="00E85A3D">
        <w:t>s</w:t>
      </w:r>
      <w:r w:rsidR="003F2730">
        <w:t xml:space="preserve"> the </w:t>
      </w:r>
      <w:r w:rsidR="00E85A3D">
        <w:t>inference</w:t>
      </w:r>
      <w:r w:rsidR="003F2730">
        <w:t xml:space="preserve"> that</w:t>
      </w:r>
      <w:r w:rsidR="000A1573">
        <w:t xml:space="preserve"> </w:t>
      </w:r>
      <w:r w:rsidR="006D0A1E">
        <w:t>Scott</w:t>
      </w:r>
      <w:r w:rsidR="00E85A3D">
        <w:t xml:space="preserve"> voluntarily chose to adjust his</w:t>
      </w:r>
      <w:r w:rsidR="006D0A1E">
        <w:t xml:space="preserve"> </w:t>
      </w:r>
      <w:r w:rsidR="007C198C">
        <w:t>income</w:t>
      </w:r>
      <w:r w:rsidR="006D0A1E">
        <w:t xml:space="preserve"> </w:t>
      </w:r>
      <w:r w:rsidR="00E85A3D">
        <w:t>downward</w:t>
      </w:r>
      <w:r w:rsidR="00827E46">
        <w:t xml:space="preserve"> </w:t>
      </w:r>
      <w:r w:rsidR="007C198C">
        <w:t xml:space="preserve">for 2020 </w:t>
      </w:r>
      <w:r w:rsidR="00827E46">
        <w:t xml:space="preserve">because, notwithstanding the fact that his monthly personal expenses outstripped his </w:t>
      </w:r>
      <w:r w:rsidR="002C01CA">
        <w:t xml:space="preserve">substantially reduced </w:t>
      </w:r>
      <w:r w:rsidR="00827E46">
        <w:t>salary, he had other assets and means to pay such expenses</w:t>
      </w:r>
      <w:r w:rsidR="006D0A1E">
        <w:t>.</w:t>
      </w:r>
      <w:r w:rsidR="00FF363C">
        <w:t xml:space="preserve">  In sum, the</w:t>
      </w:r>
      <w:r w:rsidR="009A2D17">
        <w:t>re was substantial evidence in the</w:t>
      </w:r>
      <w:r w:rsidR="00FF363C">
        <w:t xml:space="preserve"> </w:t>
      </w:r>
      <w:r w:rsidR="00827E46">
        <w:t xml:space="preserve">record </w:t>
      </w:r>
      <w:r w:rsidR="009A2D17">
        <w:t>establishing</w:t>
      </w:r>
      <w:r w:rsidR="00827E46">
        <w:t xml:space="preserve"> </w:t>
      </w:r>
      <w:r w:rsidR="008C0FF1">
        <w:t xml:space="preserve">special circumstances </w:t>
      </w:r>
      <w:r w:rsidR="009A2D17">
        <w:t xml:space="preserve">that </w:t>
      </w:r>
      <w:r w:rsidR="00827E46">
        <w:t>justif</w:t>
      </w:r>
      <w:r w:rsidR="009A2D17">
        <w:t>ied</w:t>
      </w:r>
      <w:r w:rsidR="00827E46">
        <w:t xml:space="preserve"> the trial court’s </w:t>
      </w:r>
      <w:r w:rsidR="008C0FF1">
        <w:t>denial of modification.</w:t>
      </w:r>
      <w:r>
        <w:rPr>
          <w:rStyle w:val="FootnoteReference"/>
        </w:rPr>
        <w:footnoteReference w:id="8"/>
      </w:r>
    </w:p>
    <w:p w14:paraId="433A4CF4" w14:textId="77777777" w:rsidR="00F0016B" w:rsidRDefault="008802C0" w:rsidP="00146E33">
      <w:pPr>
        <w:spacing w:line="360" w:lineRule="auto"/>
      </w:pPr>
      <w:r>
        <w:tab/>
      </w:r>
      <w:r w:rsidR="00462AEB">
        <w:t xml:space="preserve">In </w:t>
      </w:r>
      <w:r w:rsidR="00E85A3D">
        <w:t>challenging</w:t>
      </w:r>
      <w:r w:rsidR="009A2D17">
        <w:t xml:space="preserve"> th</w:t>
      </w:r>
      <w:r w:rsidR="00E85A3D">
        <w:t>e denial of modification</w:t>
      </w:r>
      <w:r w:rsidR="00462AEB">
        <w:t xml:space="preserve">, </w:t>
      </w:r>
      <w:r w:rsidR="00FC6F6A">
        <w:t>Scott</w:t>
      </w:r>
      <w:r w:rsidR="006140C2">
        <w:t xml:space="preserve"> </w:t>
      </w:r>
      <w:r w:rsidR="007E6A5A">
        <w:t>takes issue with</w:t>
      </w:r>
      <w:r w:rsidR="00951D5A">
        <w:t xml:space="preserve"> the trial court</w:t>
      </w:r>
      <w:r w:rsidR="007E6A5A">
        <w:t>’s findings</w:t>
      </w:r>
      <w:r w:rsidR="00951D5A">
        <w:t xml:space="preserve"> that Scott “maintained sufficient income in late 2019” that “carried over to 2020” as “available income,” and that the Morgan Stanley distributions of $977,000 and Scott’s 2020 credit card expenses of $387,345 could be imputed as income in 2020</w:t>
      </w:r>
      <w:r w:rsidR="007E6A5A">
        <w:t xml:space="preserve">. </w:t>
      </w:r>
      <w:r w:rsidR="00951D5A">
        <w:t xml:space="preserve"> </w:t>
      </w:r>
      <w:r w:rsidR="007E6A5A">
        <w:t xml:space="preserve">In Scott’s view, these findings </w:t>
      </w:r>
      <w:r w:rsidR="00291A75">
        <w:t xml:space="preserve">erroneously </w:t>
      </w:r>
      <w:r w:rsidR="00367CF1">
        <w:t>imputed</w:t>
      </w:r>
      <w:r w:rsidR="00291A75">
        <w:t xml:space="preserve"> </w:t>
      </w:r>
      <w:r w:rsidR="00F716CE">
        <w:t>the value of his assets</w:t>
      </w:r>
      <w:r w:rsidR="007E6A5A">
        <w:t xml:space="preserve"> and credit card debt </w:t>
      </w:r>
      <w:r w:rsidR="00F716CE">
        <w:t>as 2020 income</w:t>
      </w:r>
      <w:r w:rsidR="006140C2">
        <w:t xml:space="preserve">. </w:t>
      </w:r>
      <w:r w:rsidR="00291A75">
        <w:t xml:space="preserve"> </w:t>
      </w:r>
      <w:r w:rsidR="007E6A5A">
        <w:t>We see no basis for relief</w:t>
      </w:r>
      <w:r w:rsidR="00953891">
        <w:t>.</w:t>
      </w:r>
    </w:p>
    <w:p w14:paraId="433A4CF5" w14:textId="77777777" w:rsidR="00F75F27" w:rsidRDefault="008802C0" w:rsidP="00F91934">
      <w:pPr>
        <w:spacing w:line="360" w:lineRule="auto"/>
      </w:pPr>
      <w:r>
        <w:lastRenderedPageBreak/>
        <w:tab/>
      </w:r>
      <w:r w:rsidR="007E6A5A">
        <w:t>W</w:t>
      </w:r>
      <w:r w:rsidR="00F91934">
        <w:t xml:space="preserve">hether or not it was legally accurate to </w:t>
      </w:r>
      <w:r w:rsidR="007E6A5A">
        <w:t xml:space="preserve">characterize </w:t>
      </w:r>
      <w:r w:rsidR="00F91934">
        <w:t xml:space="preserve">Scott’s 2019 income as </w:t>
      </w:r>
      <w:r w:rsidR="00675229">
        <w:t>income that “</w:t>
      </w:r>
      <w:r w:rsidR="007E6A5A">
        <w:t>carr</w:t>
      </w:r>
      <w:r w:rsidR="00675229">
        <w:t>ied over to</w:t>
      </w:r>
      <w:r w:rsidR="007E6A5A">
        <w:t xml:space="preserve"> </w:t>
      </w:r>
      <w:r w:rsidR="00B43DEF">
        <w:t>2020</w:t>
      </w:r>
      <w:r w:rsidR="00F91934">
        <w:t>,</w:t>
      </w:r>
      <w:r w:rsidR="00675229">
        <w:t>”</w:t>
      </w:r>
      <w:r w:rsidR="00F91934">
        <w:t xml:space="preserve"> </w:t>
      </w:r>
      <w:r w:rsidR="00554CEC">
        <w:t xml:space="preserve">the court could properly impute income </w:t>
      </w:r>
      <w:r w:rsidR="003351F4">
        <w:t xml:space="preserve">in excess of </w:t>
      </w:r>
      <w:r w:rsidR="00813F3F">
        <w:t>Scott’s $100,000 salary</w:t>
      </w:r>
      <w:r w:rsidR="003351F4">
        <w:t xml:space="preserve"> </w:t>
      </w:r>
      <w:r w:rsidR="00554CEC">
        <w:t xml:space="preserve">based on </w:t>
      </w:r>
      <w:r w:rsidR="00813F3F">
        <w:t xml:space="preserve">his </w:t>
      </w:r>
      <w:r w:rsidR="00554CEC">
        <w:t xml:space="preserve">earning capacity and the evidence </w:t>
      </w:r>
      <w:r w:rsidR="004659C1">
        <w:t xml:space="preserve">of </w:t>
      </w:r>
      <w:r w:rsidR="00554CEC">
        <w:t>SCA</w:t>
      </w:r>
      <w:r w:rsidR="004659C1">
        <w:t>’s</w:t>
      </w:r>
      <w:r w:rsidR="003351F4">
        <w:t xml:space="preserve"> non-operating reserves</w:t>
      </w:r>
      <w:r w:rsidR="00813F3F">
        <w:t xml:space="preserve"> </w:t>
      </w:r>
      <w:r w:rsidR="00F91934">
        <w:t xml:space="preserve">in 2020 </w:t>
      </w:r>
      <w:r w:rsidR="00813F3F">
        <w:t>that could have added to Scott’s salary</w:t>
      </w:r>
      <w:r w:rsidR="004659C1">
        <w:t>.</w:t>
      </w:r>
      <w:r w:rsidR="002C01CA">
        <w:t xml:space="preserve"> </w:t>
      </w:r>
      <w:r w:rsidR="00953891">
        <w:t xml:space="preserve"> (§ 4058, subd. (b)(1).)  T</w:t>
      </w:r>
      <w:r w:rsidR="00834EC8">
        <w:t>o the extent Scott suggest</w:t>
      </w:r>
      <w:r w:rsidR="006609B2">
        <w:t>s</w:t>
      </w:r>
      <w:r w:rsidR="00834EC8">
        <w:t xml:space="preserve"> </w:t>
      </w:r>
      <w:r w:rsidR="009A2D17">
        <w:t>the subject</w:t>
      </w:r>
      <w:r w:rsidR="00834EC8">
        <w:t xml:space="preserve"> reserves consisted of </w:t>
      </w:r>
      <w:r w:rsidR="006609B2">
        <w:t xml:space="preserve">SCA’s </w:t>
      </w:r>
      <w:r w:rsidR="00834EC8">
        <w:t xml:space="preserve">income earned in previous years </w:t>
      </w:r>
      <w:r w:rsidR="00E922E8">
        <w:t xml:space="preserve">that was </w:t>
      </w:r>
      <w:r w:rsidR="00834EC8">
        <w:t>improperly “double-counted” as income in 2020</w:t>
      </w:r>
      <w:r w:rsidR="00940624">
        <w:t>,</w:t>
      </w:r>
      <w:r w:rsidR="00834EC8">
        <w:t xml:space="preserve"> he cites no authority supporting the notion</w:t>
      </w:r>
      <w:r w:rsidR="00953891">
        <w:t xml:space="preserve">.  </w:t>
      </w:r>
      <w:r w:rsidR="00FA030B">
        <w:t xml:space="preserve">Moreover, the court could </w:t>
      </w:r>
      <w:r w:rsidR="002656E1">
        <w:t xml:space="preserve">otherwise properly </w:t>
      </w:r>
      <w:r w:rsidR="00FA030B">
        <w:t xml:space="preserve">consider </w:t>
      </w:r>
      <w:r w:rsidR="007E6A5A">
        <w:t xml:space="preserve">the Morgan Stanley distributions and credit card payments </w:t>
      </w:r>
      <w:r w:rsidR="00FA030B">
        <w:t xml:space="preserve">as evidence supporting its implied finding that it would be “unjust or inappropriate” to apply the guideline formula under the facts in this case.  (§ 4057, subd. (b)(3); </w:t>
      </w:r>
      <w:r w:rsidR="00FA030B" w:rsidRPr="003351F4">
        <w:rPr>
          <w:i/>
          <w:iCs/>
        </w:rPr>
        <w:t>Berger</w:t>
      </w:r>
      <w:r w:rsidR="00FA030B">
        <w:t xml:space="preserve">, </w:t>
      </w:r>
      <w:r w:rsidR="00FA030B" w:rsidRPr="003351F4">
        <w:rPr>
          <w:i/>
          <w:iCs/>
        </w:rPr>
        <w:t>supra</w:t>
      </w:r>
      <w:r w:rsidR="00FA030B">
        <w:t>, 170 Cal.App.4th 1070.)</w:t>
      </w:r>
      <w:r w:rsidR="00C962AC">
        <w:t xml:space="preserve">  </w:t>
      </w:r>
      <w:r w:rsidR="00E922E8">
        <w:t>All in all</w:t>
      </w:r>
      <w:r w:rsidR="00C962AC">
        <w:t>, the trial court’s order advance</w:t>
      </w:r>
      <w:r w:rsidR="00E922E8">
        <w:t>d</w:t>
      </w:r>
      <w:r w:rsidR="00C962AC">
        <w:t xml:space="preserve"> the </w:t>
      </w:r>
      <w:r w:rsidR="00E922E8">
        <w:t xml:space="preserve">legislative </w:t>
      </w:r>
      <w:r w:rsidR="00C962AC">
        <w:t>goals</w:t>
      </w:r>
      <w:r w:rsidR="00E922E8">
        <w:t xml:space="preserve"> of child support by</w:t>
      </w:r>
      <w:r w:rsidR="00C962AC">
        <w:t xml:space="preserve"> ensuring that Scott pays for the support of his children according to his ability (§ 4053, subd. </w:t>
      </w:r>
      <w:r w:rsidR="00E922E8">
        <w:t>(d)); that the interests of his children are regarded as a top priority (</w:t>
      </w:r>
      <w:r w:rsidR="00E922E8" w:rsidRPr="00E922E8">
        <w:rPr>
          <w:i/>
          <w:iCs/>
        </w:rPr>
        <w:t>id</w:t>
      </w:r>
      <w:r w:rsidR="00E922E8">
        <w:t>., subd. (e)); and that the children share in Scott’s standard of living (</w:t>
      </w:r>
      <w:r w:rsidR="00E922E8" w:rsidRPr="00E922E8">
        <w:rPr>
          <w:i/>
          <w:iCs/>
        </w:rPr>
        <w:t>id</w:t>
      </w:r>
      <w:r w:rsidR="00E922E8">
        <w:t>., subd. (f)).</w:t>
      </w:r>
    </w:p>
    <w:p w14:paraId="433A4CF6" w14:textId="77777777" w:rsidR="00166901" w:rsidRDefault="008802C0" w:rsidP="0032250D">
      <w:pPr>
        <w:spacing w:line="360" w:lineRule="auto"/>
      </w:pPr>
      <w:r>
        <w:tab/>
        <w:t>Finally, Scott contends the trial court erroneously failed to consider section 4057.5, which provides that a new spouse’s income may not be considered when modifying child support.</w:t>
      </w:r>
      <w:r w:rsidR="003049A8">
        <w:t xml:space="preserve"> </w:t>
      </w:r>
      <w:r>
        <w:t xml:space="preserve"> But the record reflects that </w:t>
      </w:r>
      <w:r w:rsidR="00F91934">
        <w:t xml:space="preserve">Scott had not raised </w:t>
      </w:r>
      <w:r>
        <w:t xml:space="preserve">the issue of section 4057.5’s potential applicability </w:t>
      </w:r>
      <w:r w:rsidR="00F91934">
        <w:t>in</w:t>
      </w:r>
      <w:r w:rsidR="009B33C9">
        <w:t xml:space="preserve"> his</w:t>
      </w:r>
      <w:r>
        <w:t xml:space="preserve"> filings supporting </w:t>
      </w:r>
      <w:r w:rsidR="009B33C9">
        <w:t>the</w:t>
      </w:r>
      <w:r>
        <w:t xml:space="preserve"> modification request or in his trial brief, even though Kikianne </w:t>
      </w:r>
      <w:r w:rsidR="009B33C9">
        <w:t xml:space="preserve">had </w:t>
      </w:r>
      <w:r>
        <w:t xml:space="preserve">consistently argued that the totality of the Morgan Stanley assets, distributions, and credit card payments are properly considered for </w:t>
      </w:r>
      <w:r w:rsidR="00B5272D">
        <w:t xml:space="preserve">denial of </w:t>
      </w:r>
      <w:r>
        <w:t xml:space="preserve">modification.  </w:t>
      </w:r>
      <w:r w:rsidR="005E37AC">
        <w:t>It was only after the long</w:t>
      </w:r>
      <w:r w:rsidR="001C7941">
        <w:t xml:space="preserve"> </w:t>
      </w:r>
      <w:r w:rsidR="005E37AC">
        <w:t xml:space="preserve">cause hearing that Scott contended, in his closing brief, that 50 percent of the </w:t>
      </w:r>
      <w:r w:rsidR="00220768">
        <w:t xml:space="preserve">balances in the </w:t>
      </w:r>
      <w:r w:rsidR="007C198C">
        <w:t xml:space="preserve">Morgan Stanley </w:t>
      </w:r>
      <w:r w:rsidR="005E37AC">
        <w:t>account</w:t>
      </w:r>
      <w:r w:rsidR="00220768">
        <w:t>s</w:t>
      </w:r>
      <w:r w:rsidR="005E37AC">
        <w:t xml:space="preserve"> he held for SCA or with his current spouse</w:t>
      </w:r>
      <w:r w:rsidR="002656E1">
        <w:t xml:space="preserve"> should be excluded in determining his available income</w:t>
      </w:r>
      <w:r w:rsidR="005E37AC">
        <w:t xml:space="preserve">.  </w:t>
      </w:r>
      <w:r>
        <w:t xml:space="preserve">When the trial court issued its </w:t>
      </w:r>
      <w:r>
        <w:lastRenderedPageBreak/>
        <w:t xml:space="preserve">proposed decision in Kikianne’s favor, Scott for the first time cited section 4057.5.  The trial court was not swayed, noting that Scott had offered no detailed evidence of his current spouse’s income or assets.  </w:t>
      </w:r>
    </w:p>
    <w:p w14:paraId="433A4CF7" w14:textId="77777777" w:rsidR="00243DD3" w:rsidRDefault="008802C0" w:rsidP="0032250D">
      <w:pPr>
        <w:spacing w:line="360" w:lineRule="auto"/>
      </w:pPr>
      <w:r>
        <w:tab/>
      </w:r>
      <w:r w:rsidR="009A566B">
        <w:t>Scott points to no evidence contradicting the court’s finding</w:t>
      </w:r>
      <w:r>
        <w:t>.</w:t>
      </w:r>
      <w:r w:rsidR="009A566B">
        <w:t xml:space="preserve">  </w:t>
      </w:r>
      <w:r w:rsidR="00B633F7">
        <w:t>Indeed</w:t>
      </w:r>
      <w:r w:rsidR="009A566B">
        <w:t>,</w:t>
      </w:r>
      <w:r w:rsidR="00DC00D3">
        <w:t xml:space="preserve"> it must </w:t>
      </w:r>
      <w:r w:rsidR="000C7FAE">
        <w:t xml:space="preserve">be </w:t>
      </w:r>
      <w:r w:rsidR="00DC00D3">
        <w:t xml:space="preserve">remembered that Scott was </w:t>
      </w:r>
      <w:r w:rsidR="002656E1">
        <w:t>the party seeking to change the status quo</w:t>
      </w:r>
      <w:r w:rsidR="00DC00D3">
        <w:t xml:space="preserve">.  It was therefore his </w:t>
      </w:r>
      <w:r w:rsidR="002656E1">
        <w:t>burden to prove his circumstances had so changed that he lacked the ability and opportunity to meet his child support obligations</w:t>
      </w:r>
      <w:r w:rsidR="00DC00D3">
        <w:t xml:space="preserve"> from whatever fractional portion of his earning capacity and </w:t>
      </w:r>
      <w:r w:rsidR="00B633F7">
        <w:t>the Morgan Stanley accounts</w:t>
      </w:r>
      <w:r w:rsidR="00DC00D3">
        <w:t xml:space="preserve"> he believed would be appropriate</w:t>
      </w:r>
      <w:r w:rsidR="002656E1">
        <w:t xml:space="preserve">.  (See </w:t>
      </w:r>
      <w:r w:rsidR="002656E1" w:rsidRPr="00E42A0D">
        <w:rPr>
          <w:i/>
          <w:iCs/>
        </w:rPr>
        <w:t>Usher</w:t>
      </w:r>
      <w:r w:rsidR="002656E1">
        <w:t xml:space="preserve">, </w:t>
      </w:r>
      <w:r w:rsidR="002656E1" w:rsidRPr="00E42A0D">
        <w:rPr>
          <w:i/>
          <w:iCs/>
        </w:rPr>
        <w:t>supra</w:t>
      </w:r>
      <w:r w:rsidR="002656E1">
        <w:t xml:space="preserve">, 6 Cal.App.5th at pp. 357–358.) </w:t>
      </w:r>
      <w:r w:rsidR="00DC00D3">
        <w:t xml:space="preserve"> </w:t>
      </w:r>
      <w:r w:rsidR="002656E1">
        <w:t>This he did not do.</w:t>
      </w:r>
    </w:p>
    <w:p w14:paraId="433A4CF8" w14:textId="77777777" w:rsidR="00853B92" w:rsidRPr="00853B92" w:rsidRDefault="008802C0" w:rsidP="00853B92">
      <w:pPr>
        <w:pStyle w:val="ListParagraph"/>
        <w:keepNext/>
        <w:numPr>
          <w:ilvl w:val="0"/>
          <w:numId w:val="2"/>
        </w:numPr>
        <w:spacing w:line="360" w:lineRule="auto"/>
        <w:rPr>
          <w:b/>
          <w:bCs/>
        </w:rPr>
      </w:pPr>
      <w:r w:rsidRPr="00853B92">
        <w:rPr>
          <w:b/>
          <w:bCs/>
        </w:rPr>
        <w:t>Attorney Fee Award</w:t>
      </w:r>
    </w:p>
    <w:p w14:paraId="433A4CF9" w14:textId="77777777" w:rsidR="00ED11FF" w:rsidRDefault="008802C0" w:rsidP="00853B92">
      <w:pPr>
        <w:spacing w:line="360" w:lineRule="auto"/>
      </w:pPr>
      <w:r>
        <w:tab/>
        <w:t xml:space="preserve">The trial court’s proposed statement of decision indicated that, based on </w:t>
      </w:r>
      <w:r w:rsidR="005B3CBD">
        <w:t xml:space="preserve">a provision in </w:t>
      </w:r>
      <w:r>
        <w:t xml:space="preserve">the parties’ marital settlement agreement, Kikianne was </w:t>
      </w:r>
      <w:r w:rsidR="005B3CBD">
        <w:t xml:space="preserve">“the prevailing party” and </w:t>
      </w:r>
      <w:r>
        <w:t>“entitled to an award of attorney’s fees in the amount of $123,909 incurred for this litigation.”  Scott objected to the proposed award on two grounds:  (1) the court incorrectly concluded that the attorney fee clause in the marital settlement agreement provided a basis for the proposed attorney fee award and (2)</w:t>
      </w:r>
      <w:r w:rsidR="00AB7CDB">
        <w:t> </w:t>
      </w:r>
      <w:r>
        <w:t>the proposed award incorrectly included hours expended in different proceedings.  Upon considering Scott’s objections, the court awarded Kikianne $123,909 in attorney fees based on section 271</w:t>
      </w:r>
      <w:r w:rsidR="005B3CBD">
        <w:t xml:space="preserve"> and found the award did not impose “an unreasonable burden” against Scott, given his financial condition</w:t>
      </w:r>
      <w:r>
        <w:t>.</w:t>
      </w:r>
      <w:r w:rsidR="005B3CBD">
        <w:t xml:space="preserve"> </w:t>
      </w:r>
    </w:p>
    <w:p w14:paraId="433A4CFA" w14:textId="77777777" w:rsidR="00C71698" w:rsidRDefault="008802C0" w:rsidP="00853B92">
      <w:pPr>
        <w:spacing w:line="360" w:lineRule="auto"/>
      </w:pPr>
      <w:r>
        <w:tab/>
      </w:r>
      <w:r w:rsidR="00853B92">
        <w:t xml:space="preserve">Section 271 permits a trial court to </w:t>
      </w:r>
      <w:r>
        <w:t>impose</w:t>
      </w:r>
      <w:r w:rsidR="00853B92">
        <w:t xml:space="preserve"> an award of attorney fees and costs</w:t>
      </w:r>
      <w:r>
        <w:t xml:space="preserve"> </w:t>
      </w:r>
      <w:r w:rsidR="00C52344">
        <w:t xml:space="preserve">as a sanction </w:t>
      </w:r>
      <w:r>
        <w:t xml:space="preserve">where </w:t>
      </w:r>
      <w:r w:rsidR="00353F40">
        <w:t>a party’s</w:t>
      </w:r>
      <w:r>
        <w:t xml:space="preserve"> conduct</w:t>
      </w:r>
      <w:r w:rsidR="00853B92">
        <w:t xml:space="preserve"> </w:t>
      </w:r>
      <w:r>
        <w:t>“</w:t>
      </w:r>
      <w:r w:rsidR="00853B92">
        <w:t xml:space="preserve">frustrates the policy of the law to promote settlement of litigation and, where possible, to reduce the cost of litigation by encouraging cooperation between the parties and attorneys.” </w:t>
      </w:r>
      <w:r>
        <w:t xml:space="preserve"> (§ 271, subd. (a); </w:t>
      </w:r>
      <w:r w:rsidRPr="00557EAD">
        <w:rPr>
          <w:i/>
          <w:iCs/>
        </w:rPr>
        <w:t>Featherstone v. Martinez</w:t>
      </w:r>
      <w:r>
        <w:t xml:space="preserve"> (2022) 86 Cal.App.5th 775, 783.)  </w:t>
      </w:r>
      <w:r w:rsidR="003748A3">
        <w:lastRenderedPageBreak/>
        <w:t xml:space="preserve">An award of attorney fees may be imposed under section 271 only after notice and an opportunity to be heard is provided to the party against whom the sanction is proposed.  (§ 271, subd. (b).)  </w:t>
      </w:r>
      <w:r w:rsidR="001F23A9">
        <w:t>C</w:t>
      </w:r>
      <w:r w:rsidR="003748A3">
        <w:t>ourts may not</w:t>
      </w:r>
      <w:r w:rsidR="006F5600">
        <w:t xml:space="preserve"> award</w:t>
      </w:r>
      <w:r w:rsidR="006F5600" w:rsidRPr="00D72E24">
        <w:t xml:space="preserve"> </w:t>
      </w:r>
      <w:r w:rsidR="00435226">
        <w:t>a sanction</w:t>
      </w:r>
      <w:r w:rsidR="003748A3">
        <w:t xml:space="preserve"> that “imposes an unreasonable </w:t>
      </w:r>
      <w:r w:rsidR="00435226">
        <w:t xml:space="preserve">financial </w:t>
      </w:r>
      <w:r w:rsidR="003748A3">
        <w:t>burden</w:t>
      </w:r>
      <w:r w:rsidR="001F23A9">
        <w:t>”</w:t>
      </w:r>
      <w:r w:rsidR="003748A3">
        <w:t xml:space="preserve"> on the </w:t>
      </w:r>
      <w:r w:rsidR="001F23A9">
        <w:t>sanctioned party.</w:t>
      </w:r>
      <w:r w:rsidR="003748A3">
        <w:t xml:space="preserve">  (</w:t>
      </w:r>
      <w:r w:rsidR="003748A3" w:rsidRPr="003748A3">
        <w:rPr>
          <w:i/>
          <w:iCs/>
        </w:rPr>
        <w:t>Id</w:t>
      </w:r>
      <w:r w:rsidR="003748A3">
        <w:t xml:space="preserve">., subd. (a).)  </w:t>
      </w:r>
      <w:r>
        <w:t>We review such awards for abuse of discretion.  (</w:t>
      </w:r>
      <w:r w:rsidRPr="00557EAD">
        <w:rPr>
          <w:i/>
          <w:iCs/>
        </w:rPr>
        <w:t>Featherstone</w:t>
      </w:r>
      <w:r>
        <w:t xml:space="preserve">, at </w:t>
      </w:r>
      <w:r w:rsidR="00435226">
        <w:t>p</w:t>
      </w:r>
      <w:r>
        <w:t>p. 783</w:t>
      </w:r>
      <w:r w:rsidR="00435226">
        <w:t>–784</w:t>
      </w:r>
      <w:r>
        <w:t>.)</w:t>
      </w:r>
    </w:p>
    <w:p w14:paraId="433A4CFB" w14:textId="77777777" w:rsidR="00853B92" w:rsidRDefault="008802C0" w:rsidP="00853B92">
      <w:pPr>
        <w:spacing w:line="360" w:lineRule="auto"/>
      </w:pPr>
      <w:r>
        <w:tab/>
      </w:r>
      <w:r w:rsidR="001F23A9">
        <w:t xml:space="preserve">On appeal, </w:t>
      </w:r>
      <w:r w:rsidR="00557EAD">
        <w:t>Scott</w:t>
      </w:r>
      <w:r>
        <w:t xml:space="preserve"> </w:t>
      </w:r>
      <w:r w:rsidR="00972C38">
        <w:t>has dropped his contention</w:t>
      </w:r>
      <w:r w:rsidR="00353F40">
        <w:t xml:space="preserve"> below</w:t>
      </w:r>
      <w:r w:rsidR="00972C38">
        <w:t xml:space="preserve"> that</w:t>
      </w:r>
      <w:r w:rsidR="005B3CBD">
        <w:t xml:space="preserve"> the</w:t>
      </w:r>
      <w:r w:rsidR="00972C38">
        <w:t xml:space="preserve"> attorney fee</w:t>
      </w:r>
      <w:r w:rsidR="005B3CBD">
        <w:t xml:space="preserve"> award incorrectly included hours expended in different proceedings</w:t>
      </w:r>
      <w:r w:rsidR="00D7141B">
        <w:t xml:space="preserve">.  Instead, </w:t>
      </w:r>
      <w:r w:rsidR="00972C38">
        <w:t>he advances</w:t>
      </w:r>
      <w:r w:rsidR="001F23A9">
        <w:t xml:space="preserve"> the following three grounds for reversing the award</w:t>
      </w:r>
      <w:r>
        <w:t xml:space="preserve">:  (1) the award </w:t>
      </w:r>
      <w:r w:rsidR="00C52344">
        <w:t xml:space="preserve">was </w:t>
      </w:r>
      <w:r>
        <w:t>depend</w:t>
      </w:r>
      <w:r w:rsidR="00C52344">
        <w:t>ent</w:t>
      </w:r>
      <w:r>
        <w:t xml:space="preserve"> </w:t>
      </w:r>
      <w:r w:rsidR="00C52344">
        <w:t>up</w:t>
      </w:r>
      <w:r>
        <w:t xml:space="preserve">on the court’s erroneous denial of his modification motion; (2) the court was powerless to award section 271 </w:t>
      </w:r>
      <w:r w:rsidR="00435226">
        <w:t>sanctions</w:t>
      </w:r>
      <w:r w:rsidR="00B67B82">
        <w:t xml:space="preserve"> </w:t>
      </w:r>
      <w:r>
        <w:t>because Kikianne disclaimed reliance on that statute in favor of other bases</w:t>
      </w:r>
      <w:r w:rsidR="005E7237">
        <w:t xml:space="preserve"> for attorney fees; and (3) the court lacked sufficient evidence to </w:t>
      </w:r>
      <w:r w:rsidR="00E17727">
        <w:t>impose section 271</w:t>
      </w:r>
      <w:r w:rsidR="00B67B82">
        <w:t xml:space="preserve"> fees</w:t>
      </w:r>
      <w:r w:rsidR="005E7237">
        <w:t xml:space="preserve"> because counsel for Kikianne submitted a conclusory declaration that did not set forth his hours, hourly rates, or a description of his services.  We are not persuaded.</w:t>
      </w:r>
    </w:p>
    <w:p w14:paraId="433A4CFC" w14:textId="77777777" w:rsidR="005E7237" w:rsidRDefault="008802C0" w:rsidP="00853B92">
      <w:pPr>
        <w:spacing w:line="360" w:lineRule="auto"/>
      </w:pPr>
      <w:r>
        <w:tab/>
        <w:t xml:space="preserve">We may quickly dispose of the first two grounds.  </w:t>
      </w:r>
      <w:r w:rsidR="0009182E">
        <w:t>First, w</w:t>
      </w:r>
      <w:r w:rsidR="00B67B82">
        <w:t>e have determined that t</w:t>
      </w:r>
      <w:r>
        <w:t>he trial court’s order was not erroneous</w:t>
      </w:r>
      <w:r w:rsidR="0009182E">
        <w:t>.  Second</w:t>
      </w:r>
      <w:r>
        <w:t xml:space="preserve">, as a factual matter, </w:t>
      </w:r>
      <w:r w:rsidR="001379C5">
        <w:t xml:space="preserve">Kikianne’s trial brief expressly sought </w:t>
      </w:r>
      <w:r w:rsidR="007775DA">
        <w:t xml:space="preserve">the same </w:t>
      </w:r>
      <w:r w:rsidR="001379C5">
        <w:t xml:space="preserve">attorney fees under </w:t>
      </w:r>
      <w:r w:rsidR="00444F2C">
        <w:t xml:space="preserve">sections </w:t>
      </w:r>
      <w:r w:rsidR="007775DA">
        <w:t xml:space="preserve">271, </w:t>
      </w:r>
      <w:r w:rsidR="00444F2C">
        <w:t>2030, 2032, and 3557</w:t>
      </w:r>
      <w:r w:rsidR="00220768">
        <w:t>, and she never disclaimed reliance on section 271.</w:t>
      </w:r>
      <w:r w:rsidR="00354DE7">
        <w:t xml:space="preserve"> </w:t>
      </w:r>
      <w:r w:rsidR="001379C5">
        <w:t xml:space="preserve"> </w:t>
      </w:r>
      <w:r w:rsidR="00354DE7">
        <w:t>Though</w:t>
      </w:r>
      <w:r w:rsidR="001379C5">
        <w:t xml:space="preserve"> her closing brief requested a hearing on section 271 sanctions, </w:t>
      </w:r>
      <w:r w:rsidR="00354DE7">
        <w:t xml:space="preserve">her trial and closing briefs </w:t>
      </w:r>
      <w:r w:rsidR="007775DA">
        <w:t>explicitly requested the same attorney fees under all four statutes</w:t>
      </w:r>
      <w:r w:rsidR="001379C5">
        <w:t xml:space="preserve">. </w:t>
      </w:r>
      <w:r w:rsidR="00DA2B81">
        <w:t xml:space="preserve"> </w:t>
      </w:r>
      <w:r w:rsidR="00220768">
        <w:t>N</w:t>
      </w:r>
      <w:r w:rsidR="00354DE7">
        <w:t>otwithstanding his</w:t>
      </w:r>
      <w:r w:rsidR="00DA2B81">
        <w:t xml:space="preserve"> conten</w:t>
      </w:r>
      <w:r w:rsidR="00354DE7">
        <w:t>tion that</w:t>
      </w:r>
      <w:r w:rsidR="00DA2B81">
        <w:t xml:space="preserve"> the requested hearing would have provided him due notice and a full opportunity to be heard on the matter, </w:t>
      </w:r>
      <w:r w:rsidR="00354DE7">
        <w:t>Scott</w:t>
      </w:r>
      <w:r w:rsidR="00DA2B81">
        <w:t xml:space="preserve"> does not </w:t>
      </w:r>
      <w:r w:rsidR="00671726">
        <w:t>claim</w:t>
      </w:r>
      <w:r w:rsidR="00DA2B81">
        <w:t xml:space="preserve"> he was actually deprived of due notice and an opportunity to be heard.</w:t>
      </w:r>
      <w:r w:rsidR="00B67B82">
        <w:t xml:space="preserve">  Indeed, </w:t>
      </w:r>
      <w:r w:rsidR="00353F40">
        <w:t>each party</w:t>
      </w:r>
      <w:r w:rsidR="00B67B82">
        <w:t xml:space="preserve"> </w:t>
      </w:r>
      <w:r w:rsidR="007B31ED">
        <w:t xml:space="preserve">requested section 271 attorney fees against </w:t>
      </w:r>
      <w:r w:rsidR="00353F40">
        <w:t>the</w:t>
      </w:r>
      <w:r w:rsidR="007B31ED">
        <w:t xml:space="preserve"> other</w:t>
      </w:r>
      <w:r w:rsidR="0009182E">
        <w:t>,</w:t>
      </w:r>
      <w:r w:rsidR="007B31ED">
        <w:t xml:space="preserve"> and </w:t>
      </w:r>
      <w:r w:rsidR="00BC0E4B">
        <w:t>Scott</w:t>
      </w:r>
      <w:r w:rsidR="00972C38">
        <w:t xml:space="preserve">’s briefs did in fact </w:t>
      </w:r>
      <w:r w:rsidR="00972C38">
        <w:lastRenderedPageBreak/>
        <w:t>argue</w:t>
      </w:r>
      <w:r w:rsidR="00A40526">
        <w:t xml:space="preserve"> </w:t>
      </w:r>
      <w:r w:rsidR="007775DA">
        <w:t xml:space="preserve">that his conduct did not warrant sanctions but that </w:t>
      </w:r>
      <w:r w:rsidR="00BC0E4B">
        <w:t xml:space="preserve">Kikianne’s conduct </w:t>
      </w:r>
      <w:r w:rsidR="007775DA">
        <w:t>did</w:t>
      </w:r>
      <w:r w:rsidR="00BC0E4B">
        <w:t xml:space="preserve">. </w:t>
      </w:r>
      <w:r w:rsidR="00334886">
        <w:t xml:space="preserve"> </w:t>
      </w:r>
      <w:r w:rsidR="004041FE">
        <w:t xml:space="preserve">At the </w:t>
      </w:r>
      <w:r w:rsidR="003B0C63">
        <w:t>long</w:t>
      </w:r>
      <w:r w:rsidR="001C7941">
        <w:t xml:space="preserve"> </w:t>
      </w:r>
      <w:r w:rsidR="003B0C63">
        <w:t xml:space="preserve">cause </w:t>
      </w:r>
      <w:r w:rsidR="004041FE">
        <w:t xml:space="preserve">hearing on Scott’s modification </w:t>
      </w:r>
      <w:r w:rsidR="0009182E">
        <w:t>request</w:t>
      </w:r>
      <w:r w:rsidR="004041FE">
        <w:t xml:space="preserve">, </w:t>
      </w:r>
      <w:r w:rsidR="00220768">
        <w:t>neither Kikianne nor Scott disputed</w:t>
      </w:r>
      <w:r w:rsidR="008C606E">
        <w:t xml:space="preserve"> </w:t>
      </w:r>
      <w:r w:rsidR="004041FE">
        <w:t>the trial court</w:t>
      </w:r>
      <w:r w:rsidR="008C606E">
        <w:t>’s statement</w:t>
      </w:r>
      <w:r w:rsidR="004041FE">
        <w:t xml:space="preserve"> that attorney fees were at issue</w:t>
      </w:r>
      <w:r w:rsidR="008C606E">
        <w:t xml:space="preserve">. </w:t>
      </w:r>
      <w:r w:rsidR="00972C38">
        <w:t xml:space="preserve"> On this record, we conclude that Kikianne did not disclaim reliance on section 271 and that Scott had ample notice and opportunity to oppose such sanctions.</w:t>
      </w:r>
    </w:p>
    <w:p w14:paraId="433A4CFD" w14:textId="77777777" w:rsidR="00A40526" w:rsidRDefault="008802C0" w:rsidP="00467BA8">
      <w:pPr>
        <w:spacing w:line="360" w:lineRule="auto"/>
      </w:pPr>
      <w:r>
        <w:tab/>
        <w:t xml:space="preserve">Scott’s </w:t>
      </w:r>
      <w:r w:rsidR="00354DE7">
        <w:t xml:space="preserve">final </w:t>
      </w:r>
      <w:r>
        <w:t xml:space="preserve">complaint </w:t>
      </w:r>
      <w:r w:rsidR="00972C38">
        <w:t xml:space="preserve">is </w:t>
      </w:r>
      <w:r>
        <w:t xml:space="preserve">that counsel for Kikianne did not provide sufficient information to support </w:t>
      </w:r>
      <w:r w:rsidR="007C68F7">
        <w:t>the trial court’s</w:t>
      </w:r>
      <w:r>
        <w:t xml:space="preserve"> award of $123,909</w:t>
      </w:r>
      <w:r w:rsidR="00972C38">
        <w:t xml:space="preserve">.  This, too, </w:t>
      </w:r>
      <w:r w:rsidR="00354DE7">
        <w:t>is unavailing</w:t>
      </w:r>
      <w:r>
        <w:t xml:space="preserve">.  </w:t>
      </w:r>
    </w:p>
    <w:p w14:paraId="433A4CFE" w14:textId="77777777" w:rsidR="002F2C93" w:rsidRDefault="008802C0" w:rsidP="00853B92">
      <w:pPr>
        <w:spacing w:line="360" w:lineRule="auto"/>
      </w:pPr>
      <w:r>
        <w:tab/>
        <w:t xml:space="preserve">Contrary to Scott’s suggestion, </w:t>
      </w:r>
      <w:r w:rsidRPr="00155B45">
        <w:rPr>
          <w:i/>
          <w:iCs/>
        </w:rPr>
        <w:t>In re Marriage of Duris &amp; Urbany</w:t>
      </w:r>
      <w:r>
        <w:t xml:space="preserve"> (2011) 193 Cal.App.4th 510 </w:t>
      </w:r>
      <w:r w:rsidR="004463D0">
        <w:t>(</w:t>
      </w:r>
      <w:r w:rsidR="004463D0" w:rsidRPr="004463D0">
        <w:rPr>
          <w:i/>
          <w:iCs/>
        </w:rPr>
        <w:t>Duris</w:t>
      </w:r>
      <w:r w:rsidR="004463D0">
        <w:t xml:space="preserve">) </w:t>
      </w:r>
      <w:r>
        <w:t xml:space="preserve">does not compel a reversal of the fee award.  In that case, </w:t>
      </w:r>
      <w:r w:rsidR="004463D0">
        <w:t xml:space="preserve">the trial court held </w:t>
      </w:r>
      <w:r w:rsidR="00E40327">
        <w:t xml:space="preserve">a </w:t>
      </w:r>
      <w:r w:rsidR="004463D0">
        <w:t xml:space="preserve">scheduled </w:t>
      </w:r>
      <w:r w:rsidR="00E40327">
        <w:t>hearing on the appellant’s motion to modify child support, in which the appellant appeared in propria persona</w:t>
      </w:r>
      <w:r w:rsidR="004463D0">
        <w:t xml:space="preserve">.  </w:t>
      </w:r>
      <w:r w:rsidR="00435226">
        <w:t>(</w:t>
      </w:r>
      <w:r w:rsidR="00435226" w:rsidRPr="00435226">
        <w:rPr>
          <w:i/>
          <w:iCs/>
        </w:rPr>
        <w:t>Id</w:t>
      </w:r>
      <w:r w:rsidR="00435226">
        <w:t>. at p. 512.)  W</w:t>
      </w:r>
      <w:r w:rsidR="004463D0">
        <w:t>ithout previous notice having been given</w:t>
      </w:r>
      <w:r w:rsidR="00E40327">
        <w:t xml:space="preserve">, the court </w:t>
      </w:r>
      <w:r w:rsidR="00435226">
        <w:t xml:space="preserve">raised sua sponte the issue that </w:t>
      </w:r>
      <w:r w:rsidR="00E40327">
        <w:t>the appellant’s former counsel had unnecessarily filed an earlier discovery motion.  (</w:t>
      </w:r>
      <w:r w:rsidR="00E40327" w:rsidRPr="004041FE">
        <w:rPr>
          <w:i/>
          <w:iCs/>
        </w:rPr>
        <w:t>Id</w:t>
      </w:r>
      <w:r w:rsidR="00E40327">
        <w:t>. at p</w:t>
      </w:r>
      <w:r w:rsidR="00435226">
        <w:t>p</w:t>
      </w:r>
      <w:r w:rsidR="00E40327">
        <w:t>. </w:t>
      </w:r>
      <w:r w:rsidR="00435226">
        <w:t xml:space="preserve">512, </w:t>
      </w:r>
      <w:r w:rsidR="00E40327">
        <w:t xml:space="preserve">514.)  </w:t>
      </w:r>
      <w:r w:rsidR="00F67A10">
        <w:t xml:space="preserve">The court summarily </w:t>
      </w:r>
      <w:r w:rsidR="00435226">
        <w:t>imposed sanctions</w:t>
      </w:r>
      <w:r w:rsidR="00F67A10">
        <w:t xml:space="preserve"> at the hearing, even though the </w:t>
      </w:r>
      <w:r w:rsidR="00D17617">
        <w:t xml:space="preserve">unrepresented </w:t>
      </w:r>
      <w:r w:rsidR="00F67A10">
        <w:t>appellant “had no opportunity to subpoena [her former counsel] to explain the reasons for filing the discovery motion” (</w:t>
      </w:r>
      <w:r w:rsidR="00F67A10" w:rsidRPr="00435226">
        <w:rPr>
          <w:i/>
          <w:iCs/>
        </w:rPr>
        <w:t>id</w:t>
      </w:r>
      <w:r w:rsidR="00F67A10">
        <w:t>.</w:t>
      </w:r>
      <w:r w:rsidR="00435226">
        <w:t xml:space="preserve"> at p. 514)</w:t>
      </w:r>
      <w:r w:rsidR="00F67A10">
        <w:t xml:space="preserve"> and even though the </w:t>
      </w:r>
      <w:r>
        <w:t>respondent’s counsel had filed no declaration setting forth his hours, hourly rate, a description of his services or what the respondent paid as fees (</w:t>
      </w:r>
      <w:r w:rsidR="00F67A10">
        <w:rPr>
          <w:i/>
          <w:iCs/>
        </w:rPr>
        <w:t>i</w:t>
      </w:r>
      <w:r w:rsidRPr="002F2C93">
        <w:rPr>
          <w:i/>
          <w:iCs/>
        </w:rPr>
        <w:t>d</w:t>
      </w:r>
      <w:r>
        <w:t>. at p. 515)</w:t>
      </w:r>
      <w:r w:rsidR="00F67A10">
        <w:t>.</w:t>
      </w:r>
      <w:r>
        <w:t xml:space="preserve">  Because the appellant was </w:t>
      </w:r>
      <w:r w:rsidR="004041FE">
        <w:t>precluded</w:t>
      </w:r>
      <w:r>
        <w:t xml:space="preserve"> from presenting evidence challeng</w:t>
      </w:r>
      <w:r w:rsidR="00435226">
        <w:t>ing</w:t>
      </w:r>
      <w:r>
        <w:t xml:space="preserve"> the basis for the </w:t>
      </w:r>
      <w:r w:rsidR="00435226">
        <w:t>sanctions</w:t>
      </w:r>
      <w:r>
        <w:t xml:space="preserve"> and the reasonableness of the </w:t>
      </w:r>
      <w:r w:rsidR="00435226">
        <w:t xml:space="preserve">respondent’s counsel’s </w:t>
      </w:r>
      <w:r>
        <w:t xml:space="preserve">fees and hourly rates, </w:t>
      </w:r>
      <w:r w:rsidR="00F67A10" w:rsidRPr="00F67A10">
        <w:rPr>
          <w:i/>
          <w:iCs/>
        </w:rPr>
        <w:t>Duris</w:t>
      </w:r>
      <w:r w:rsidR="00F67A10">
        <w:t xml:space="preserve"> held </w:t>
      </w:r>
      <w:r w:rsidR="00C74527">
        <w:t>the award</w:t>
      </w:r>
      <w:r>
        <w:t xml:space="preserve"> </w:t>
      </w:r>
      <w:r w:rsidR="00C74527">
        <w:t>was “</w:t>
      </w:r>
      <w:r>
        <w:t>not consistent with due process procedural protections.”  (</w:t>
      </w:r>
      <w:r w:rsidRPr="002F2C93">
        <w:rPr>
          <w:i/>
          <w:iCs/>
        </w:rPr>
        <w:t>Ibid</w:t>
      </w:r>
      <w:r>
        <w:t>.)</w:t>
      </w:r>
    </w:p>
    <w:p w14:paraId="433A4CFF" w14:textId="77777777" w:rsidR="00861C1F" w:rsidRDefault="008802C0" w:rsidP="00861C1F">
      <w:pPr>
        <w:spacing w:line="360" w:lineRule="auto"/>
      </w:pPr>
      <w:r>
        <w:lastRenderedPageBreak/>
        <w:tab/>
        <w:t xml:space="preserve">The situation here stands in sharp contrast.  Scott was an attorney who had counsel representation, and he knew </w:t>
      </w:r>
      <w:r w:rsidR="005A2D5C">
        <w:t>from Kikianne’s trial brief</w:t>
      </w:r>
      <w:r>
        <w:t xml:space="preserve"> that </w:t>
      </w:r>
      <w:r w:rsidR="005A2D5C">
        <w:t>she</w:t>
      </w:r>
      <w:r>
        <w:t xml:space="preserve"> was seeking</w:t>
      </w:r>
      <w:r w:rsidR="005A2D5C">
        <w:t xml:space="preserve"> $123,909 in</w:t>
      </w:r>
      <w:r>
        <w:t xml:space="preserve"> attorney fees under sections 271, 2030, 2032, and 3557</w:t>
      </w:r>
      <w:r w:rsidR="005A2D5C">
        <w:t xml:space="preserve">. </w:t>
      </w:r>
      <w:r>
        <w:t xml:space="preserve"> Kikianne’s brief explained </w:t>
      </w:r>
      <w:r w:rsidR="005A2D5C">
        <w:t>the requested amount</w:t>
      </w:r>
      <w:r>
        <w:t xml:space="preserve"> included fees for counsel’s time in defending </w:t>
      </w:r>
      <w:r w:rsidR="00F67A10">
        <w:t xml:space="preserve">against </w:t>
      </w:r>
      <w:r>
        <w:t xml:space="preserve">Scott’s modification request and for pursuing her child support and breach of fiduciary duty claims.  She also elaborated that she and her counsel had been forced to deal with 55 special interrogatories and over 50 document production demands propounded by Scott and that 14 hours were spent preparing for and attending her deposition.  Additionally, </w:t>
      </w:r>
      <w:r w:rsidR="00353F40">
        <w:t>her</w:t>
      </w:r>
      <w:r>
        <w:t xml:space="preserve"> counsel had to respond to Scott’s motions to quash trial subpoenas, file motions to join SCA in the action, and engage in “many other legal maneuvers . . . due to Scott’s overly litigious nature.”  To support </w:t>
      </w:r>
      <w:r w:rsidR="00D17617">
        <w:t>Kikianne’s</w:t>
      </w:r>
      <w:r>
        <w:t xml:space="preserve"> attorney fee request,</w:t>
      </w:r>
      <w:r w:rsidR="00D17617">
        <w:t xml:space="preserve"> her</w:t>
      </w:r>
      <w:r>
        <w:t xml:space="preserve"> counsel submitted a declaration </w:t>
      </w:r>
      <w:r w:rsidR="00F67A10">
        <w:t xml:space="preserve">with Kikianne’s closing brief </w:t>
      </w:r>
      <w:r>
        <w:t xml:space="preserve">stating that Kikianne had “incurred a total of $125,456” in attorney fees for defending against Scott’s request for modification of spousal and child support ($68,288.30) and for pursuing her breach of fiduciary duty claim ($57,168). </w:t>
      </w:r>
      <w:r w:rsidR="005A2D5C">
        <w:t xml:space="preserve"> Thus, unlike the situation in </w:t>
      </w:r>
      <w:r w:rsidR="005A2D5C" w:rsidRPr="00477D9C">
        <w:rPr>
          <w:i/>
          <w:iCs/>
        </w:rPr>
        <w:t>Duris</w:t>
      </w:r>
      <w:r w:rsidR="005A2D5C">
        <w:t xml:space="preserve">, the trial court’s award is supported by an attorney declaration specifying both the fee amount and the matters for which fees had been incurred.  </w:t>
      </w:r>
    </w:p>
    <w:p w14:paraId="433A4D00" w14:textId="77777777" w:rsidR="005E7237" w:rsidRDefault="008802C0" w:rsidP="00853B92">
      <w:pPr>
        <w:spacing w:line="360" w:lineRule="auto"/>
      </w:pPr>
      <w:r>
        <w:tab/>
        <w:t>Though</w:t>
      </w:r>
      <w:r w:rsidR="00363EC6">
        <w:t xml:space="preserve"> additional information regarding counsel’s hours and billing rate </w:t>
      </w:r>
      <w:r w:rsidR="0015366B">
        <w:t xml:space="preserve">could and </w:t>
      </w:r>
      <w:r w:rsidR="00363EC6">
        <w:t xml:space="preserve">should have been provided, </w:t>
      </w:r>
      <w:r w:rsidR="008438BE">
        <w:t xml:space="preserve">Scott had every opportunity and incentive to </w:t>
      </w:r>
      <w:r w:rsidR="000E6DF4">
        <w:t xml:space="preserve">raise that issue in his </w:t>
      </w:r>
      <w:r w:rsidR="00372FC3">
        <w:t xml:space="preserve">trial </w:t>
      </w:r>
      <w:r w:rsidR="000E6DF4">
        <w:t>brief</w:t>
      </w:r>
      <w:r w:rsidR="00372FC3">
        <w:t>ing</w:t>
      </w:r>
      <w:r w:rsidR="000E6DF4">
        <w:t xml:space="preserve"> and at the long</w:t>
      </w:r>
      <w:r w:rsidR="001C7941">
        <w:t xml:space="preserve"> </w:t>
      </w:r>
      <w:r w:rsidR="000E6DF4">
        <w:t>cause hearing</w:t>
      </w:r>
      <w:r w:rsidR="008438BE">
        <w:t xml:space="preserve">, but he did not do so.  </w:t>
      </w:r>
      <w:r w:rsidR="00B07709">
        <w:t xml:space="preserve">Indeed, </w:t>
      </w:r>
      <w:r w:rsidR="0017720F">
        <w:t>Scott himself sought section 271 sanctions</w:t>
      </w:r>
      <w:r w:rsidR="00B07709">
        <w:t xml:space="preserve"> of</w:t>
      </w:r>
      <w:r w:rsidR="009F479B">
        <w:t xml:space="preserve"> </w:t>
      </w:r>
      <w:r w:rsidR="0017720F">
        <w:t>$75,000</w:t>
      </w:r>
      <w:r w:rsidR="00363EC6">
        <w:t xml:space="preserve"> </w:t>
      </w:r>
      <w:r w:rsidR="009F479B">
        <w:t>in his closing brief</w:t>
      </w:r>
      <w:r w:rsidR="00B07709">
        <w:t xml:space="preserve"> </w:t>
      </w:r>
      <w:r w:rsidR="00363EC6">
        <w:t xml:space="preserve">to compensate him for the fees and costs </w:t>
      </w:r>
      <w:r w:rsidR="000E6DF4">
        <w:t xml:space="preserve">he </w:t>
      </w:r>
      <w:r w:rsidR="0056261F">
        <w:t xml:space="preserve">incurred </w:t>
      </w:r>
      <w:r w:rsidR="00C74527">
        <w:t xml:space="preserve">only </w:t>
      </w:r>
      <w:r w:rsidR="0015366B">
        <w:t>on</w:t>
      </w:r>
      <w:r w:rsidR="0056261F">
        <w:t xml:space="preserve"> the modification </w:t>
      </w:r>
      <w:r w:rsidR="0015366B">
        <w:t>matter</w:t>
      </w:r>
      <w:r w:rsidR="0017720F">
        <w:t xml:space="preserve">.  </w:t>
      </w:r>
      <w:r w:rsidR="00C74527">
        <w:t>T</w:t>
      </w:r>
      <w:r w:rsidR="0017720F">
        <w:t>hat</w:t>
      </w:r>
      <w:r w:rsidR="0002376D">
        <w:t xml:space="preserve"> sum exceeded the $68,288.30 that Kikianne</w:t>
      </w:r>
      <w:r w:rsidR="0056261F">
        <w:t xml:space="preserve"> </w:t>
      </w:r>
      <w:r w:rsidR="000E6DF4">
        <w:t>requested</w:t>
      </w:r>
      <w:r w:rsidR="0056261F">
        <w:t xml:space="preserve"> for her counsel’s </w:t>
      </w:r>
      <w:r w:rsidR="0002376D">
        <w:t>services in opposing modification</w:t>
      </w:r>
      <w:r w:rsidR="00C74527">
        <w:t>.  B</w:t>
      </w:r>
      <w:r w:rsidR="00D03A12">
        <w:t xml:space="preserve">ecause </w:t>
      </w:r>
      <w:r w:rsidR="001F57A2">
        <w:t>Scott</w:t>
      </w:r>
      <w:r w:rsidR="00D936C9">
        <w:t xml:space="preserve"> </w:t>
      </w:r>
      <w:r w:rsidR="00D03A12">
        <w:t>could have</w:t>
      </w:r>
      <w:r w:rsidR="00D936C9">
        <w:t xml:space="preserve"> c</w:t>
      </w:r>
      <w:r w:rsidR="009F479B">
        <w:t>hallenged</w:t>
      </w:r>
      <w:r w:rsidR="00D936C9">
        <w:t xml:space="preserve"> </w:t>
      </w:r>
      <w:r w:rsidR="002F1CD0">
        <w:t xml:space="preserve">the lack of </w:t>
      </w:r>
      <w:r w:rsidR="007C351C">
        <w:t xml:space="preserve">billing </w:t>
      </w:r>
      <w:r w:rsidR="002F1CD0">
        <w:t>detail</w:t>
      </w:r>
      <w:r w:rsidR="007C351C">
        <w:t>s</w:t>
      </w:r>
      <w:r w:rsidR="002F1CD0">
        <w:t xml:space="preserve"> </w:t>
      </w:r>
      <w:r w:rsidR="002F1CD0">
        <w:lastRenderedPageBreak/>
        <w:t xml:space="preserve">supporting </w:t>
      </w:r>
      <w:r w:rsidR="00D936C9">
        <w:t xml:space="preserve">Kikianne’s </w:t>
      </w:r>
      <w:r w:rsidR="000E6DF4">
        <w:t>$</w:t>
      </w:r>
      <w:r w:rsidR="00D936C9">
        <w:t xml:space="preserve">123,909 </w:t>
      </w:r>
      <w:r w:rsidR="000E6DF4">
        <w:t xml:space="preserve">request </w:t>
      </w:r>
      <w:r w:rsidR="00D936C9">
        <w:t>but did not,</w:t>
      </w:r>
      <w:r w:rsidR="00C74527" w:rsidRPr="00C74527">
        <w:t xml:space="preserve"> </w:t>
      </w:r>
      <w:r w:rsidR="00C74527">
        <w:t xml:space="preserve">and because there was no question the course of litigation was protracted, with numerous motions, cross-motions, and oppositions filed throughout, </w:t>
      </w:r>
      <w:r w:rsidR="0017720F">
        <w:t xml:space="preserve">the trial court could </w:t>
      </w:r>
      <w:r w:rsidR="00372FC3">
        <w:t>properly</w:t>
      </w:r>
      <w:r w:rsidR="001F72B5">
        <w:t xml:space="preserve"> have determined</w:t>
      </w:r>
      <w:r w:rsidR="0017720F">
        <w:t xml:space="preserve"> </w:t>
      </w:r>
      <w:r w:rsidR="002F1CD0">
        <w:t>the requested</w:t>
      </w:r>
      <w:r w:rsidR="0017720F">
        <w:t xml:space="preserve"> fees were </w:t>
      </w:r>
      <w:r w:rsidR="001F72B5">
        <w:t>reasonable in amount.</w:t>
      </w:r>
    </w:p>
    <w:p w14:paraId="433A4D01" w14:textId="77777777" w:rsidR="005E7237" w:rsidRDefault="008802C0" w:rsidP="00853B92">
      <w:pPr>
        <w:spacing w:line="360" w:lineRule="auto"/>
      </w:pPr>
      <w:r>
        <w:tab/>
      </w:r>
      <w:r w:rsidR="00AB7CDB">
        <w:t>For all the foregoing reasons, we see no basis for reversing the attorney fee award</w:t>
      </w:r>
      <w:r w:rsidR="0017720F">
        <w:t xml:space="preserve">. </w:t>
      </w:r>
    </w:p>
    <w:p w14:paraId="433A4D02" w14:textId="77777777" w:rsidR="00301390" w:rsidRPr="00301390" w:rsidRDefault="008802C0" w:rsidP="00474C3F">
      <w:pPr>
        <w:keepNext/>
        <w:spacing w:line="360" w:lineRule="auto"/>
        <w:jc w:val="center"/>
        <w:rPr>
          <w:rFonts w:cs="Times New Roman (Body CS)"/>
          <w:b/>
          <w:bCs/>
          <w:smallCaps/>
        </w:rPr>
      </w:pPr>
      <w:r w:rsidRPr="00301390">
        <w:rPr>
          <w:rFonts w:cs="Times New Roman (Body CS)"/>
          <w:b/>
          <w:bCs/>
          <w:smallCaps/>
        </w:rPr>
        <w:t>Disposition</w:t>
      </w:r>
    </w:p>
    <w:p w14:paraId="433A4D03" w14:textId="77777777" w:rsidR="00301390" w:rsidRDefault="008802C0" w:rsidP="0032250D">
      <w:pPr>
        <w:spacing w:line="360" w:lineRule="auto"/>
      </w:pPr>
      <w:r>
        <w:tab/>
        <w:t>The judgment is affirmed.  Costs of appeal are awarded to respondent Kikianne Cole.</w:t>
      </w:r>
    </w:p>
    <w:p w14:paraId="433A4D04" w14:textId="77777777" w:rsidR="001912D8" w:rsidRDefault="001912D8" w:rsidP="001912D8">
      <w:pPr>
        <w:tabs>
          <w:tab w:val="clear" w:pos="720"/>
        </w:tabs>
        <w:spacing w:line="240" w:lineRule="auto"/>
        <w:ind w:left="4320"/>
        <w:rPr>
          <w:rFonts w:eastAsia="Calibri" w:cs="Times New Roman"/>
        </w:rPr>
      </w:pPr>
      <w:bookmarkStart w:id="0" w:name="_Hlk137541556"/>
    </w:p>
    <w:p w14:paraId="433A4D05" w14:textId="77777777" w:rsidR="001912D8" w:rsidRPr="000936D0" w:rsidRDefault="008802C0" w:rsidP="001912D8">
      <w:pPr>
        <w:tabs>
          <w:tab w:val="clear" w:pos="720"/>
        </w:tabs>
        <w:spacing w:line="240" w:lineRule="auto"/>
        <w:ind w:left="4320"/>
        <w:rPr>
          <w:rFonts w:eastAsia="Calibri" w:cs="Times New Roman"/>
        </w:rPr>
      </w:pPr>
      <w:r w:rsidRPr="000936D0">
        <w:rPr>
          <w:rFonts w:eastAsia="Calibri" w:cs="Times New Roman"/>
        </w:rPr>
        <w:t>_________________________</w:t>
      </w:r>
    </w:p>
    <w:p w14:paraId="433A4D06" w14:textId="77777777" w:rsidR="001912D8" w:rsidRPr="000936D0" w:rsidRDefault="008802C0" w:rsidP="001912D8">
      <w:pPr>
        <w:tabs>
          <w:tab w:val="clear" w:pos="720"/>
        </w:tabs>
        <w:spacing w:line="240" w:lineRule="auto"/>
        <w:rPr>
          <w:rFonts w:eastAsia="Calibri" w:cs="Times New Roman"/>
        </w:rPr>
      </w:pPr>
      <w:r w:rsidRPr="000936D0">
        <w:rPr>
          <w:rFonts w:eastAsia="Calibri" w:cs="Times New Roman"/>
        </w:rPr>
        <w:tab/>
      </w:r>
      <w:r w:rsidRPr="000936D0">
        <w:rPr>
          <w:rFonts w:eastAsia="Calibri" w:cs="Times New Roman"/>
        </w:rPr>
        <w:tab/>
      </w:r>
      <w:r w:rsidRPr="000936D0">
        <w:rPr>
          <w:rFonts w:eastAsia="Calibri" w:cs="Times New Roman"/>
        </w:rPr>
        <w:tab/>
      </w:r>
      <w:r w:rsidRPr="000936D0">
        <w:rPr>
          <w:rFonts w:eastAsia="Calibri" w:cs="Times New Roman"/>
        </w:rPr>
        <w:tab/>
      </w:r>
      <w:r w:rsidRPr="000936D0">
        <w:rPr>
          <w:rFonts w:eastAsia="Calibri" w:cs="Times New Roman"/>
        </w:rPr>
        <w:tab/>
      </w:r>
      <w:r w:rsidRPr="000936D0">
        <w:rPr>
          <w:rFonts w:eastAsia="Calibri" w:cs="Times New Roman"/>
        </w:rPr>
        <w:tab/>
        <w:t>Fujisaki, J.</w:t>
      </w:r>
    </w:p>
    <w:p w14:paraId="433A4D07" w14:textId="77777777" w:rsidR="001912D8" w:rsidRPr="000936D0" w:rsidRDefault="001912D8" w:rsidP="001912D8">
      <w:pPr>
        <w:tabs>
          <w:tab w:val="clear" w:pos="720"/>
        </w:tabs>
        <w:spacing w:line="240" w:lineRule="auto"/>
        <w:rPr>
          <w:rFonts w:eastAsia="Calibri" w:cs="Times New Roman"/>
        </w:rPr>
      </w:pPr>
    </w:p>
    <w:p w14:paraId="433A4D08" w14:textId="77777777" w:rsidR="001912D8" w:rsidRPr="000936D0" w:rsidRDefault="001912D8" w:rsidP="001912D8">
      <w:pPr>
        <w:tabs>
          <w:tab w:val="clear" w:pos="720"/>
        </w:tabs>
        <w:spacing w:line="240" w:lineRule="auto"/>
        <w:rPr>
          <w:rFonts w:eastAsia="Calibri" w:cs="Times New Roman"/>
        </w:rPr>
      </w:pPr>
    </w:p>
    <w:p w14:paraId="433A4D09" w14:textId="77777777" w:rsidR="001912D8" w:rsidRPr="000936D0" w:rsidRDefault="008802C0" w:rsidP="001912D8">
      <w:pPr>
        <w:tabs>
          <w:tab w:val="clear" w:pos="720"/>
        </w:tabs>
        <w:spacing w:line="240" w:lineRule="auto"/>
        <w:rPr>
          <w:rFonts w:eastAsia="Calibri" w:cs="Times New Roman"/>
        </w:rPr>
      </w:pPr>
      <w:r w:rsidRPr="000936D0">
        <w:rPr>
          <w:rFonts w:eastAsia="Calibri" w:cs="Times New Roman"/>
        </w:rPr>
        <w:t>WE CONCUR:</w:t>
      </w:r>
    </w:p>
    <w:p w14:paraId="433A4D0A" w14:textId="77777777" w:rsidR="001912D8" w:rsidRPr="000936D0" w:rsidRDefault="001912D8" w:rsidP="001912D8">
      <w:pPr>
        <w:tabs>
          <w:tab w:val="clear" w:pos="720"/>
        </w:tabs>
        <w:spacing w:line="240" w:lineRule="auto"/>
        <w:rPr>
          <w:rFonts w:eastAsia="Calibri" w:cs="Times New Roman"/>
        </w:rPr>
      </w:pPr>
    </w:p>
    <w:p w14:paraId="433A4D0B" w14:textId="77777777" w:rsidR="001912D8" w:rsidRPr="000936D0" w:rsidRDefault="001912D8" w:rsidP="001912D8">
      <w:pPr>
        <w:tabs>
          <w:tab w:val="clear" w:pos="720"/>
        </w:tabs>
        <w:spacing w:line="240" w:lineRule="auto"/>
        <w:rPr>
          <w:rFonts w:eastAsia="Calibri" w:cs="Times New Roman"/>
        </w:rPr>
      </w:pPr>
    </w:p>
    <w:p w14:paraId="433A4D0C" w14:textId="77777777" w:rsidR="001912D8" w:rsidRPr="000936D0" w:rsidRDefault="008802C0" w:rsidP="001912D8">
      <w:pPr>
        <w:tabs>
          <w:tab w:val="clear" w:pos="720"/>
        </w:tabs>
        <w:spacing w:line="240" w:lineRule="auto"/>
        <w:rPr>
          <w:rFonts w:eastAsia="Calibri" w:cs="Times New Roman"/>
        </w:rPr>
      </w:pPr>
      <w:r w:rsidRPr="000936D0">
        <w:rPr>
          <w:rFonts w:eastAsia="Calibri" w:cs="Times New Roman"/>
        </w:rPr>
        <w:t>_________________________</w:t>
      </w:r>
    </w:p>
    <w:p w14:paraId="433A4D0D" w14:textId="77777777" w:rsidR="001912D8" w:rsidRPr="000936D0" w:rsidRDefault="008802C0" w:rsidP="001912D8">
      <w:pPr>
        <w:tabs>
          <w:tab w:val="clear" w:pos="720"/>
        </w:tabs>
        <w:spacing w:line="240" w:lineRule="auto"/>
        <w:rPr>
          <w:rFonts w:eastAsia="Calibri" w:cs="Times New Roman"/>
        </w:rPr>
      </w:pPr>
      <w:r w:rsidRPr="000936D0">
        <w:rPr>
          <w:rFonts w:eastAsia="Calibri" w:cs="Times New Roman"/>
        </w:rPr>
        <w:t>Tucher, P.J.</w:t>
      </w:r>
    </w:p>
    <w:p w14:paraId="433A4D0E" w14:textId="77777777" w:rsidR="001912D8" w:rsidRPr="000936D0" w:rsidRDefault="001912D8" w:rsidP="001912D8">
      <w:pPr>
        <w:tabs>
          <w:tab w:val="clear" w:pos="720"/>
        </w:tabs>
        <w:spacing w:line="240" w:lineRule="auto"/>
        <w:rPr>
          <w:rFonts w:eastAsia="Calibri" w:cs="Times New Roman"/>
        </w:rPr>
      </w:pPr>
    </w:p>
    <w:p w14:paraId="433A4D0F" w14:textId="77777777" w:rsidR="001912D8" w:rsidRPr="000936D0" w:rsidRDefault="001912D8" w:rsidP="001912D8">
      <w:pPr>
        <w:tabs>
          <w:tab w:val="clear" w:pos="720"/>
        </w:tabs>
        <w:spacing w:line="240" w:lineRule="auto"/>
        <w:rPr>
          <w:rFonts w:eastAsia="Calibri" w:cs="Times New Roman"/>
        </w:rPr>
      </w:pPr>
    </w:p>
    <w:p w14:paraId="433A4D10" w14:textId="77777777" w:rsidR="001912D8" w:rsidRPr="000936D0" w:rsidRDefault="008802C0" w:rsidP="001912D8">
      <w:pPr>
        <w:tabs>
          <w:tab w:val="clear" w:pos="720"/>
        </w:tabs>
        <w:spacing w:line="240" w:lineRule="auto"/>
        <w:rPr>
          <w:rFonts w:eastAsia="Calibri" w:cs="Times New Roman"/>
        </w:rPr>
      </w:pPr>
      <w:r w:rsidRPr="000936D0">
        <w:rPr>
          <w:rFonts w:eastAsia="Calibri" w:cs="Times New Roman"/>
        </w:rPr>
        <w:t>_________________________</w:t>
      </w:r>
    </w:p>
    <w:p w14:paraId="433A4D11" w14:textId="77777777" w:rsidR="007F3E4E" w:rsidRPr="009576AE" w:rsidRDefault="008802C0" w:rsidP="007F3E4E">
      <w:pPr>
        <w:tabs>
          <w:tab w:val="clear" w:pos="720"/>
        </w:tabs>
        <w:spacing w:line="240" w:lineRule="auto"/>
        <w:rPr>
          <w:rFonts w:eastAsia="Calibri" w:cs="Times New Roman"/>
        </w:rPr>
      </w:pPr>
      <w:r w:rsidRPr="009576AE">
        <w:rPr>
          <w:rFonts w:eastAsia="Calibri" w:cs="Times New Roman"/>
          <w:lang w:val="es-MX"/>
        </w:rPr>
        <w:t>Rodríguez</w:t>
      </w:r>
      <w:r w:rsidRPr="009576AE">
        <w:rPr>
          <w:rFonts w:eastAsia="Calibri" w:cs="Times New Roman"/>
        </w:rPr>
        <w:t>, J.</w:t>
      </w:r>
    </w:p>
    <w:p w14:paraId="433A4D12" w14:textId="77777777" w:rsidR="001912D8" w:rsidRDefault="001912D8" w:rsidP="000936D0">
      <w:pPr>
        <w:tabs>
          <w:tab w:val="clear" w:pos="720"/>
        </w:tabs>
        <w:spacing w:line="240" w:lineRule="auto"/>
      </w:pPr>
    </w:p>
    <w:p w14:paraId="433A4D13" w14:textId="77777777" w:rsidR="001912D8" w:rsidRDefault="001912D8" w:rsidP="000936D0">
      <w:pPr>
        <w:tabs>
          <w:tab w:val="clear" w:pos="720"/>
        </w:tabs>
        <w:spacing w:line="240" w:lineRule="auto"/>
        <w:rPr>
          <w:rFonts w:eastAsia="Calibri" w:cs="Times New Roman"/>
          <w:i/>
        </w:rPr>
      </w:pPr>
    </w:p>
    <w:p w14:paraId="433A4D14" w14:textId="77777777" w:rsidR="001912D8" w:rsidRDefault="001912D8" w:rsidP="000936D0">
      <w:pPr>
        <w:tabs>
          <w:tab w:val="clear" w:pos="720"/>
        </w:tabs>
        <w:spacing w:line="240" w:lineRule="auto"/>
        <w:rPr>
          <w:rFonts w:eastAsia="Calibri" w:cs="Times New Roman"/>
          <w:i/>
        </w:rPr>
      </w:pPr>
    </w:p>
    <w:p w14:paraId="433A4D15" w14:textId="77777777" w:rsidR="001912D8" w:rsidRDefault="001912D8" w:rsidP="000936D0">
      <w:pPr>
        <w:tabs>
          <w:tab w:val="clear" w:pos="720"/>
        </w:tabs>
        <w:spacing w:line="240" w:lineRule="auto"/>
        <w:rPr>
          <w:rFonts w:eastAsia="Calibri" w:cs="Times New Roman"/>
          <w:i/>
        </w:rPr>
      </w:pPr>
    </w:p>
    <w:p w14:paraId="433A4D16" w14:textId="77777777" w:rsidR="001912D8" w:rsidRDefault="001912D8" w:rsidP="000936D0">
      <w:pPr>
        <w:tabs>
          <w:tab w:val="clear" w:pos="720"/>
        </w:tabs>
        <w:spacing w:line="240" w:lineRule="auto"/>
        <w:rPr>
          <w:rFonts w:eastAsia="Calibri" w:cs="Times New Roman"/>
          <w:i/>
        </w:rPr>
      </w:pPr>
    </w:p>
    <w:p w14:paraId="433A4D17" w14:textId="77777777" w:rsidR="001912D8" w:rsidRDefault="001912D8" w:rsidP="000936D0">
      <w:pPr>
        <w:tabs>
          <w:tab w:val="clear" w:pos="720"/>
        </w:tabs>
        <w:spacing w:line="240" w:lineRule="auto"/>
        <w:rPr>
          <w:rFonts w:eastAsia="Calibri" w:cs="Times New Roman"/>
          <w:i/>
        </w:rPr>
      </w:pPr>
    </w:p>
    <w:p w14:paraId="433A4D18" w14:textId="77777777" w:rsidR="001912D8" w:rsidRDefault="001912D8" w:rsidP="000936D0">
      <w:pPr>
        <w:tabs>
          <w:tab w:val="clear" w:pos="720"/>
        </w:tabs>
        <w:spacing w:line="240" w:lineRule="auto"/>
        <w:rPr>
          <w:rFonts w:eastAsia="Calibri" w:cs="Times New Roman"/>
          <w:i/>
        </w:rPr>
      </w:pPr>
    </w:p>
    <w:p w14:paraId="433A4D19" w14:textId="77777777" w:rsidR="001912D8" w:rsidRDefault="001912D8" w:rsidP="000936D0">
      <w:pPr>
        <w:tabs>
          <w:tab w:val="clear" w:pos="720"/>
        </w:tabs>
        <w:spacing w:line="240" w:lineRule="auto"/>
        <w:rPr>
          <w:rFonts w:eastAsia="Calibri" w:cs="Times New Roman"/>
          <w:i/>
        </w:rPr>
      </w:pPr>
    </w:p>
    <w:p w14:paraId="433A4D1A" w14:textId="77777777" w:rsidR="001912D8" w:rsidRDefault="001912D8" w:rsidP="000936D0">
      <w:pPr>
        <w:tabs>
          <w:tab w:val="clear" w:pos="720"/>
        </w:tabs>
        <w:spacing w:line="240" w:lineRule="auto"/>
        <w:rPr>
          <w:rFonts w:eastAsia="Calibri" w:cs="Times New Roman"/>
          <w:i/>
        </w:rPr>
      </w:pPr>
    </w:p>
    <w:p w14:paraId="433A4D1B" w14:textId="77777777" w:rsidR="001912D8" w:rsidRDefault="001912D8" w:rsidP="000936D0">
      <w:pPr>
        <w:tabs>
          <w:tab w:val="clear" w:pos="720"/>
        </w:tabs>
        <w:spacing w:line="240" w:lineRule="auto"/>
        <w:rPr>
          <w:rFonts w:eastAsia="Calibri" w:cs="Times New Roman"/>
          <w:i/>
        </w:rPr>
      </w:pPr>
    </w:p>
    <w:p w14:paraId="433A4D1C" w14:textId="77777777" w:rsidR="001912D8" w:rsidRDefault="001912D8" w:rsidP="000936D0">
      <w:pPr>
        <w:tabs>
          <w:tab w:val="clear" w:pos="720"/>
        </w:tabs>
        <w:spacing w:line="240" w:lineRule="auto"/>
        <w:rPr>
          <w:rFonts w:eastAsia="Calibri" w:cs="Times New Roman"/>
          <w:i/>
        </w:rPr>
      </w:pPr>
    </w:p>
    <w:p w14:paraId="433A4D1D" w14:textId="77777777" w:rsidR="001912D8" w:rsidRPr="000936D0" w:rsidRDefault="001912D8" w:rsidP="000936D0">
      <w:pPr>
        <w:tabs>
          <w:tab w:val="clear" w:pos="720"/>
        </w:tabs>
        <w:spacing w:line="240" w:lineRule="auto"/>
        <w:rPr>
          <w:rFonts w:eastAsia="Calibri" w:cs="Times New Roman"/>
          <w:i/>
        </w:rPr>
      </w:pPr>
    </w:p>
    <w:p w14:paraId="433A4D1E" w14:textId="77777777" w:rsidR="000936D0" w:rsidRPr="000936D0" w:rsidRDefault="008802C0" w:rsidP="000936D0">
      <w:pPr>
        <w:tabs>
          <w:tab w:val="clear" w:pos="720"/>
        </w:tabs>
        <w:spacing w:line="240" w:lineRule="auto"/>
        <w:rPr>
          <w:rFonts w:eastAsia="Calibri" w:cs="Times New Roman"/>
          <w:sz w:val="16"/>
          <w:szCs w:val="16"/>
        </w:rPr>
      </w:pPr>
      <w:r>
        <w:rPr>
          <w:rFonts w:eastAsia="Calibri" w:cs="Times New Roman"/>
          <w:i/>
          <w:sz w:val="16"/>
          <w:szCs w:val="16"/>
        </w:rPr>
        <w:t>Cole v. Cole</w:t>
      </w:r>
      <w:r w:rsidRPr="000936D0">
        <w:rPr>
          <w:rFonts w:eastAsia="Calibri" w:cs="Times New Roman"/>
          <w:i/>
          <w:sz w:val="16"/>
          <w:szCs w:val="16"/>
        </w:rPr>
        <w:t xml:space="preserve"> </w:t>
      </w:r>
      <w:r w:rsidRPr="000936D0">
        <w:rPr>
          <w:rFonts w:eastAsia="Calibri" w:cs="Times New Roman"/>
          <w:sz w:val="16"/>
          <w:szCs w:val="16"/>
        </w:rPr>
        <w:t>(A1</w:t>
      </w:r>
      <w:r w:rsidR="003475B0">
        <w:rPr>
          <w:rFonts w:eastAsia="Calibri" w:cs="Times New Roman"/>
          <w:sz w:val="16"/>
          <w:szCs w:val="16"/>
        </w:rPr>
        <w:t>63975</w:t>
      </w:r>
      <w:r w:rsidRPr="000936D0">
        <w:rPr>
          <w:rFonts w:eastAsia="Calibri" w:cs="Times New Roman"/>
          <w:sz w:val="16"/>
          <w:szCs w:val="16"/>
        </w:rPr>
        <w:t>)</w:t>
      </w:r>
    </w:p>
    <w:bookmarkEnd w:id="0"/>
    <w:p w14:paraId="433A4D1F" w14:textId="77777777" w:rsidR="000936D0" w:rsidRDefault="000936D0" w:rsidP="0032250D">
      <w:pPr>
        <w:spacing w:line="360" w:lineRule="auto"/>
      </w:pPr>
    </w:p>
    <w:p w14:paraId="433A4D20" w14:textId="77777777" w:rsidR="001912D8" w:rsidRDefault="001912D8" w:rsidP="0032250D">
      <w:pPr>
        <w:spacing w:line="360" w:lineRule="auto"/>
      </w:pPr>
    </w:p>
    <w:p w14:paraId="433A4D21" w14:textId="77777777" w:rsidR="001912D8" w:rsidRDefault="001912D8" w:rsidP="0032250D">
      <w:pPr>
        <w:spacing w:line="360" w:lineRule="auto"/>
      </w:pPr>
    </w:p>
    <w:p w14:paraId="433A4D22" w14:textId="77777777" w:rsidR="0050728A" w:rsidRPr="0050728A" w:rsidRDefault="008802C0" w:rsidP="0050728A">
      <w:pPr>
        <w:pageBreakBefore/>
        <w:spacing w:line="240" w:lineRule="auto"/>
        <w:rPr>
          <w:rFonts w:eastAsia="Calibri" w:cs="Times New Roman"/>
        </w:rPr>
      </w:pPr>
      <w:r w:rsidRPr="0050728A">
        <w:rPr>
          <w:rFonts w:eastAsia="Calibri" w:cs="Times New Roman"/>
        </w:rPr>
        <w:lastRenderedPageBreak/>
        <w:t>Trial Court:</w:t>
      </w:r>
      <w:r w:rsidRPr="0050728A">
        <w:rPr>
          <w:rFonts w:eastAsia="Calibri" w:cs="Times New Roman"/>
        </w:rPr>
        <w:tab/>
      </w:r>
      <w:r w:rsidRPr="0050728A">
        <w:rPr>
          <w:rFonts w:eastAsia="Calibri" w:cs="Times New Roman"/>
        </w:rPr>
        <w:tab/>
      </w:r>
      <w:r>
        <w:rPr>
          <w:rFonts w:eastAsia="Calibri" w:cs="Times New Roman"/>
        </w:rPr>
        <w:t>Contra Costa</w:t>
      </w:r>
      <w:r w:rsidRPr="0050728A">
        <w:rPr>
          <w:rFonts w:eastAsia="Calibri" w:cs="Times New Roman"/>
        </w:rPr>
        <w:t xml:space="preserve"> County Superior Court</w:t>
      </w:r>
    </w:p>
    <w:p w14:paraId="433A4D23" w14:textId="77777777" w:rsidR="0050728A" w:rsidRPr="0050728A" w:rsidRDefault="0050728A" w:rsidP="0050728A">
      <w:pPr>
        <w:spacing w:line="240" w:lineRule="auto"/>
        <w:rPr>
          <w:rFonts w:eastAsia="Calibri" w:cs="Times New Roman"/>
        </w:rPr>
      </w:pPr>
    </w:p>
    <w:p w14:paraId="433A4D24" w14:textId="77777777" w:rsidR="0050728A" w:rsidRPr="0050728A" w:rsidRDefault="008802C0" w:rsidP="0050728A">
      <w:pPr>
        <w:spacing w:line="240" w:lineRule="auto"/>
        <w:rPr>
          <w:rFonts w:eastAsia="Calibri" w:cs="Times New Roman"/>
        </w:rPr>
      </w:pPr>
      <w:r w:rsidRPr="0050728A">
        <w:rPr>
          <w:rFonts w:eastAsia="Calibri" w:cs="Times New Roman"/>
        </w:rPr>
        <w:t>Trial Judge:</w:t>
      </w:r>
      <w:r w:rsidRPr="0050728A">
        <w:rPr>
          <w:rFonts w:eastAsia="Calibri" w:cs="Times New Roman"/>
        </w:rPr>
        <w:tab/>
        <w:t xml:space="preserve">Hon. </w:t>
      </w:r>
      <w:r>
        <w:rPr>
          <w:rFonts w:eastAsia="Calibri" w:cs="Times New Roman"/>
        </w:rPr>
        <w:t>Benjamin T. Reyes</w:t>
      </w:r>
    </w:p>
    <w:p w14:paraId="433A4D25" w14:textId="77777777" w:rsidR="0050728A" w:rsidRPr="0050728A" w:rsidRDefault="0050728A" w:rsidP="0050728A">
      <w:pPr>
        <w:spacing w:line="240" w:lineRule="auto"/>
        <w:rPr>
          <w:rFonts w:eastAsia="Calibri" w:cs="Times New Roman"/>
        </w:rPr>
      </w:pPr>
    </w:p>
    <w:p w14:paraId="433A4D26" w14:textId="77777777" w:rsidR="0050728A" w:rsidRPr="0050728A" w:rsidRDefault="008802C0" w:rsidP="0050728A">
      <w:pPr>
        <w:tabs>
          <w:tab w:val="left" w:pos="1440"/>
          <w:tab w:val="left" w:pos="2160"/>
        </w:tabs>
        <w:spacing w:line="240" w:lineRule="auto"/>
        <w:ind w:left="2520" w:hanging="2520"/>
        <w:rPr>
          <w:rFonts w:eastAsia="Calibri" w:cs="Calibri"/>
        </w:rPr>
      </w:pPr>
      <w:r w:rsidRPr="0050728A">
        <w:rPr>
          <w:rFonts w:eastAsia="Calibri" w:cs="Calibri"/>
        </w:rPr>
        <w:t>Counsel:</w:t>
      </w:r>
      <w:r w:rsidRPr="0050728A">
        <w:rPr>
          <w:rFonts w:eastAsia="Calibri" w:cs="Calibri"/>
        </w:rPr>
        <w:tab/>
      </w:r>
      <w:r w:rsidRPr="0050728A">
        <w:rPr>
          <w:rFonts w:eastAsia="Calibri" w:cs="Calibri"/>
        </w:rPr>
        <w:tab/>
      </w:r>
      <w:r>
        <w:rPr>
          <w:rFonts w:eastAsia="Calibri" w:cs="Calibri"/>
        </w:rPr>
        <w:t>Katz Appellate Law</w:t>
      </w:r>
      <w:r w:rsidRPr="0050728A">
        <w:rPr>
          <w:rFonts w:eastAsia="Calibri" w:cs="Calibri"/>
        </w:rPr>
        <w:t xml:space="preserve">, </w:t>
      </w:r>
      <w:r>
        <w:rPr>
          <w:rFonts w:eastAsia="Calibri" w:cs="Calibri"/>
        </w:rPr>
        <w:t>Paul Katz</w:t>
      </w:r>
      <w:r w:rsidRPr="0050728A">
        <w:rPr>
          <w:rFonts w:eastAsia="Calibri" w:cs="Calibri"/>
        </w:rPr>
        <w:t xml:space="preserve"> for Plaintiff and Appellant</w:t>
      </w:r>
    </w:p>
    <w:p w14:paraId="433A4D27" w14:textId="77777777" w:rsidR="0050728A" w:rsidRPr="0050728A" w:rsidRDefault="0050728A" w:rsidP="0050728A">
      <w:pPr>
        <w:tabs>
          <w:tab w:val="left" w:pos="1440"/>
          <w:tab w:val="left" w:pos="2160"/>
        </w:tabs>
        <w:spacing w:line="240" w:lineRule="auto"/>
        <w:ind w:left="2520" w:hanging="2520"/>
        <w:rPr>
          <w:rFonts w:eastAsia="Calibri" w:cs="Calibri"/>
        </w:rPr>
      </w:pPr>
    </w:p>
    <w:p w14:paraId="433A4D28" w14:textId="77777777" w:rsidR="0050728A" w:rsidRPr="0050728A" w:rsidRDefault="008802C0" w:rsidP="0050728A">
      <w:pPr>
        <w:tabs>
          <w:tab w:val="left" w:pos="1440"/>
          <w:tab w:val="left" w:pos="2160"/>
        </w:tabs>
        <w:spacing w:line="240" w:lineRule="auto"/>
        <w:ind w:left="2520" w:hanging="2520"/>
        <w:rPr>
          <w:rFonts w:eastAsia="Calibri" w:cs="Calibri"/>
        </w:rPr>
      </w:pPr>
      <w:r w:rsidRPr="0050728A">
        <w:rPr>
          <w:rFonts w:eastAsia="Calibri" w:cs="Calibri"/>
        </w:rPr>
        <w:tab/>
      </w:r>
      <w:r w:rsidRPr="0050728A">
        <w:rPr>
          <w:rFonts w:eastAsia="Calibri" w:cs="Calibri"/>
        </w:rPr>
        <w:tab/>
      </w:r>
      <w:r w:rsidRPr="0050728A">
        <w:rPr>
          <w:rFonts w:eastAsia="Calibri" w:cs="Calibri"/>
        </w:rPr>
        <w:tab/>
      </w:r>
      <w:r w:rsidR="005339D7">
        <w:rPr>
          <w:rFonts w:eastAsia="Calibri" w:cs="Calibri"/>
        </w:rPr>
        <w:t>Law Offices of Martin Glickfeld, Martin Glickfeld</w:t>
      </w:r>
      <w:r w:rsidR="00446221">
        <w:rPr>
          <w:rFonts w:eastAsia="Calibri" w:cs="Calibri"/>
        </w:rPr>
        <w:t xml:space="preserve">; Siefert, Murken, Despina, James H. Nathan </w:t>
      </w:r>
      <w:r w:rsidRPr="0050728A">
        <w:rPr>
          <w:rFonts w:eastAsia="Calibri" w:cs="Calibri"/>
        </w:rPr>
        <w:t xml:space="preserve">for </w:t>
      </w:r>
      <w:r w:rsidR="005339D7">
        <w:rPr>
          <w:rFonts w:eastAsia="Calibri" w:cs="Calibri"/>
        </w:rPr>
        <w:t>Petitioner</w:t>
      </w:r>
      <w:r w:rsidRPr="0050728A">
        <w:rPr>
          <w:rFonts w:eastAsia="Calibri" w:cs="Calibri"/>
        </w:rPr>
        <w:t xml:space="preserve"> and Respondent</w:t>
      </w:r>
    </w:p>
    <w:p w14:paraId="433A4D29" w14:textId="77777777" w:rsidR="001912D8" w:rsidRDefault="001912D8" w:rsidP="0032250D">
      <w:pPr>
        <w:spacing w:line="360" w:lineRule="auto"/>
      </w:pPr>
    </w:p>
    <w:sectPr w:rsidR="001912D8" w:rsidSect="0069394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4D33" w14:textId="77777777" w:rsidR="002A6A6E" w:rsidRDefault="008802C0">
      <w:pPr>
        <w:spacing w:line="240" w:lineRule="auto"/>
      </w:pPr>
      <w:r>
        <w:separator/>
      </w:r>
    </w:p>
  </w:endnote>
  <w:endnote w:type="continuationSeparator" w:id="0">
    <w:p w14:paraId="433A4D35" w14:textId="77777777" w:rsidR="002A6A6E" w:rsidRDefault="008802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4D2C" w14:textId="77777777" w:rsidR="0032250D" w:rsidRDefault="008802C0" w:rsidP="00AD0A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3A4D2D" w14:textId="77777777" w:rsidR="0032250D" w:rsidRDefault="008802C0" w:rsidP="00AD0A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3A4D2E" w14:textId="77777777" w:rsidR="0032250D" w:rsidRDefault="00322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4D2F" w14:textId="77777777" w:rsidR="0032250D" w:rsidRDefault="008802C0" w:rsidP="003225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3A4D30" w14:textId="77777777" w:rsidR="0032250D" w:rsidRDefault="00322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4D2A" w14:textId="77777777" w:rsidR="00461998" w:rsidRDefault="008802C0" w:rsidP="0032250D">
      <w:pPr>
        <w:spacing w:line="240" w:lineRule="auto"/>
      </w:pPr>
      <w:r>
        <w:separator/>
      </w:r>
    </w:p>
  </w:footnote>
  <w:footnote w:type="continuationSeparator" w:id="0">
    <w:p w14:paraId="433A4D2B" w14:textId="77777777" w:rsidR="00461998" w:rsidRDefault="008802C0" w:rsidP="0032250D">
      <w:pPr>
        <w:spacing w:line="240" w:lineRule="auto"/>
      </w:pPr>
      <w:r>
        <w:continuationSeparator/>
      </w:r>
    </w:p>
  </w:footnote>
  <w:footnote w:id="1">
    <w:p w14:paraId="433A4D31" w14:textId="77777777" w:rsidR="00F05F55" w:rsidRPr="006E4783" w:rsidRDefault="008802C0" w:rsidP="00F05F55">
      <w:pPr>
        <w:pStyle w:val="FootnoteText"/>
        <w:spacing w:after="120"/>
      </w:pPr>
      <w:r w:rsidRPr="006E4783">
        <w:rPr>
          <w:rStyle w:val="FootnoteReference"/>
        </w:rPr>
        <w:t>*</w:t>
      </w:r>
      <w:r w:rsidRPr="006E4783">
        <w:t xml:space="preserve"> </w:t>
      </w:r>
      <w:r w:rsidRPr="006E4783">
        <w:tab/>
        <w:t>Pursuant to California Rules of Court, rules 8.1100 and 8.1110, this opinion is certified for publication with the exception of part B of the Discussion.</w:t>
      </w:r>
    </w:p>
  </w:footnote>
  <w:footnote w:id="2">
    <w:p w14:paraId="433A4D32" w14:textId="77777777" w:rsidR="00C52344" w:rsidRDefault="008802C0" w:rsidP="00C52344">
      <w:pPr>
        <w:pStyle w:val="FootnoteText"/>
      </w:pPr>
      <w:r w:rsidRPr="006E4783">
        <w:rPr>
          <w:rStyle w:val="FootnoteReference"/>
        </w:rPr>
        <w:footnoteRef/>
      </w:r>
      <w:r w:rsidRPr="006E4783">
        <w:t xml:space="preserve"> </w:t>
      </w:r>
      <w:r w:rsidRPr="006E4783">
        <w:tab/>
        <w:t>Because the parties share the same last name, we refer to them by their first names for the</w:t>
      </w:r>
      <w:r>
        <w:t xml:space="preserve"> sake of clarity and intend no disrespect.</w:t>
      </w:r>
    </w:p>
  </w:footnote>
  <w:footnote w:id="3">
    <w:p w14:paraId="433A4D33" w14:textId="77777777" w:rsidR="005750E4" w:rsidRDefault="008802C0" w:rsidP="00EE2E07">
      <w:pPr>
        <w:pStyle w:val="FootnoteText"/>
        <w:spacing w:after="120"/>
      </w:pPr>
      <w:r>
        <w:rPr>
          <w:rStyle w:val="FootnoteReference"/>
        </w:rPr>
        <w:footnoteRef/>
      </w:r>
      <w:r>
        <w:t xml:space="preserve"> </w:t>
      </w:r>
      <w:r>
        <w:tab/>
        <w:t>All further statutory references are to this code unless otherwise specified.</w:t>
      </w:r>
    </w:p>
  </w:footnote>
  <w:footnote w:id="4">
    <w:p w14:paraId="433A4D34" w14:textId="77777777" w:rsidR="001E731E" w:rsidRDefault="008802C0" w:rsidP="001E731E">
      <w:pPr>
        <w:pStyle w:val="FootnoteText"/>
        <w:spacing w:after="120"/>
      </w:pPr>
      <w:r>
        <w:rPr>
          <w:rStyle w:val="FootnoteReference"/>
        </w:rPr>
        <w:footnoteRef/>
      </w:r>
      <w:r>
        <w:t xml:space="preserve"> </w:t>
      </w:r>
      <w:r>
        <w:tab/>
        <w:t>At the time of the long cause hearing below, the same earning capacity language appeared in former subdivision (b) of section 4058.  Effective September 27, 2022, subdivision (b) of section 4058 was divided into three subdivisions, and the quoted language was placed in subdivision (b)(1).  (Stats. 2022, ch. 573, § 4 (Assem. Bill No. 207).)  For the sake of clarity this opinion cites to the current statutory provision.</w:t>
      </w:r>
    </w:p>
  </w:footnote>
  <w:footnote w:id="5">
    <w:p w14:paraId="433A4D35" w14:textId="77777777" w:rsidR="000960D8" w:rsidRDefault="008802C0" w:rsidP="000960D8">
      <w:pPr>
        <w:pStyle w:val="FootnoteText"/>
        <w:spacing w:after="120"/>
      </w:pPr>
      <w:r>
        <w:rPr>
          <w:rStyle w:val="FootnoteReference"/>
        </w:rPr>
        <w:footnoteRef/>
      </w:r>
      <w:r>
        <w:t xml:space="preserve"> </w:t>
      </w:r>
      <w:r>
        <w:tab/>
        <w:t xml:space="preserve">The record </w:t>
      </w:r>
      <w:r w:rsidR="00D47FA8">
        <w:t>supports</w:t>
      </w:r>
      <w:r>
        <w:t xml:space="preserve"> the court’s observations that:  (1) Scott’s testimony was “inconsistent with documents </w:t>
      </w:r>
      <w:r w:rsidR="00FF3EED">
        <w:t>admitted</w:t>
      </w:r>
      <w:r w:rsidR="006F5600">
        <w:t xml:space="preserve"> </w:t>
      </w:r>
      <w:r>
        <w:t xml:space="preserve">into evidence” and appeared “either intentionally ambiguous or deliberately obscure”; (2) Scott demonstrated a failure to “remember or recall specific and significant facts related to” his October 2019 loan application, investment portfolios, and financial holdings at Morgan Stanley; and (3) Scott responded to questions in an “evasive manner.” </w:t>
      </w:r>
    </w:p>
  </w:footnote>
  <w:footnote w:id="6">
    <w:p w14:paraId="433A4D36" w14:textId="77777777" w:rsidR="008F7853" w:rsidRDefault="008802C0" w:rsidP="008F7853">
      <w:pPr>
        <w:pStyle w:val="FootnoteText"/>
      </w:pPr>
      <w:r>
        <w:rPr>
          <w:rStyle w:val="FootnoteReference"/>
        </w:rPr>
        <w:footnoteRef/>
      </w:r>
      <w:r>
        <w:t xml:space="preserve"> </w:t>
      </w:r>
      <w:r>
        <w:tab/>
        <w:t xml:space="preserve">The trial court </w:t>
      </w:r>
      <w:r w:rsidR="005D2F06">
        <w:t xml:space="preserve">found </w:t>
      </w:r>
      <w:r>
        <w:t>that Scott commingled personal and business expenditures charged to the credit card</w:t>
      </w:r>
      <w:r w:rsidR="005D2F06">
        <w:t xml:space="preserve"> and that </w:t>
      </w:r>
      <w:r>
        <w:t xml:space="preserve">it was unclear whether the bulk of the expenditures were for personal or business purposes. </w:t>
      </w:r>
    </w:p>
  </w:footnote>
  <w:footnote w:id="7">
    <w:p w14:paraId="433A4D37" w14:textId="77777777" w:rsidR="00893F55" w:rsidRDefault="008802C0" w:rsidP="00F3650B">
      <w:pPr>
        <w:pStyle w:val="FootnoteText"/>
        <w:spacing w:after="120"/>
      </w:pPr>
      <w:r>
        <w:rPr>
          <w:rStyle w:val="FootnoteReference"/>
        </w:rPr>
        <w:footnoteRef/>
      </w:r>
      <w:r>
        <w:t xml:space="preserve"> </w:t>
      </w:r>
      <w:r>
        <w:tab/>
        <w:t>Scott’s income and expense declaration, dated December 3, 2020, showed monthly expenses totaling $41,283.</w:t>
      </w:r>
    </w:p>
  </w:footnote>
  <w:footnote w:id="8">
    <w:p w14:paraId="433A4D38" w14:textId="77777777" w:rsidR="00AA5EA2" w:rsidRDefault="008802C0">
      <w:pPr>
        <w:pStyle w:val="FootnoteText"/>
      </w:pPr>
      <w:r>
        <w:rPr>
          <w:rStyle w:val="FootnoteReference"/>
        </w:rPr>
        <w:footnoteRef/>
      </w:r>
      <w:r>
        <w:t xml:space="preserve"> </w:t>
      </w:r>
      <w:r>
        <w:tab/>
        <w:t xml:space="preserve">We acknowledge the trial court did not articulate it was proceeding pursuant to the discretionary “special circumstances” provision set forth in section 4057, subdivision (b)(5).  </w:t>
      </w:r>
      <w:r w:rsidR="00C962AC">
        <w:t>Accordingly,</w:t>
      </w:r>
      <w:r>
        <w:t xml:space="preserve"> </w:t>
      </w:r>
      <w:r w:rsidR="00C962AC">
        <w:t xml:space="preserve">we requested and received supplemental briefing from the parties addressing the relevance, if any, of the </w:t>
      </w:r>
      <w:r w:rsidR="00C962AC" w:rsidRPr="00CE3059">
        <w:rPr>
          <w:i/>
          <w:iCs/>
        </w:rPr>
        <w:t>Berger</w:t>
      </w:r>
      <w:r w:rsidR="00C962AC">
        <w:t xml:space="preserve"> and </w:t>
      </w:r>
      <w:r w:rsidR="00C962AC" w:rsidRPr="00CE3059">
        <w:rPr>
          <w:i/>
          <w:iCs/>
        </w:rPr>
        <w:t>Sorge</w:t>
      </w:r>
      <w:r w:rsidR="00C962AC">
        <w:t xml:space="preserve"> decisions to the issues in this appeal.  Having carefully reviewed the record and supplemental briefing, we conclude we may </w:t>
      </w:r>
      <w:r>
        <w:t xml:space="preserve">affirm the </w:t>
      </w:r>
      <w:r w:rsidR="00C962AC">
        <w:t>trial court’s order denying modification</w:t>
      </w:r>
      <w:r>
        <w:t xml:space="preserve"> because the court’s findings were aligned with the type of special circumstances found in </w:t>
      </w:r>
      <w:r w:rsidRPr="00FF363C">
        <w:rPr>
          <w:i/>
          <w:iCs/>
        </w:rPr>
        <w:t>Berger</w:t>
      </w:r>
      <w:r>
        <w:t xml:space="preserve"> and were supported by substantial evidence.  (See </w:t>
      </w:r>
      <w:r w:rsidRPr="006E062D">
        <w:rPr>
          <w:i/>
          <w:iCs/>
        </w:rPr>
        <w:t>Sorge</w:t>
      </w:r>
      <w:r w:rsidR="00364664">
        <w:t xml:space="preserve">, </w:t>
      </w:r>
      <w:r w:rsidR="00364664" w:rsidRPr="00364664">
        <w:rPr>
          <w:i/>
          <w:iCs/>
        </w:rPr>
        <w:t>supra</w:t>
      </w:r>
      <w:r w:rsidR="00364664">
        <w:t xml:space="preserve">, </w:t>
      </w:r>
      <w:r>
        <w:t>202 Cal.App.4th</w:t>
      </w:r>
      <w:r w:rsidR="00364664">
        <w:t xml:space="preserve"> at p. </w:t>
      </w:r>
      <w:r>
        <w:t xml:space="preserve">645 [finding trial court’s child support decision proper under former § 4058, subd. (b), despite court’s failure to say it was proceeding under that statute]; see also </w:t>
      </w:r>
      <w:r w:rsidR="00F038DB" w:rsidRPr="00F038DB">
        <w:rPr>
          <w:i/>
          <w:iCs/>
        </w:rPr>
        <w:t xml:space="preserve">In re </w:t>
      </w:r>
      <w:r w:rsidRPr="00F038DB">
        <w:rPr>
          <w:i/>
          <w:iCs/>
        </w:rPr>
        <w:t>Marriage of Burgess</w:t>
      </w:r>
      <w:r>
        <w:t xml:space="preserve"> (1996) 13 Cal.4th 25, 32 [ruling may be upheld on any basis, even if that basis </w:t>
      </w:r>
      <w:r w:rsidR="00F038DB">
        <w:t>wa</w:t>
      </w:r>
      <w:r>
        <w:t xml:space="preserve">s not </w:t>
      </w:r>
      <w:r w:rsidR="00F038DB">
        <w:t xml:space="preserve">actually </w:t>
      </w:r>
      <w:r>
        <w:t>invoked].)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8705E"/>
    <w:multiLevelType w:val="hybridMultilevel"/>
    <w:tmpl w:val="BF941F50"/>
    <w:lvl w:ilvl="0" w:tplc="CF28DB54">
      <w:start w:val="1"/>
      <w:numFmt w:val="upperLetter"/>
      <w:lvlText w:val="%1."/>
      <w:lvlJc w:val="left"/>
      <w:pPr>
        <w:ind w:left="1080" w:hanging="360"/>
      </w:pPr>
      <w:rPr>
        <w:rFonts w:hint="default"/>
      </w:rPr>
    </w:lvl>
    <w:lvl w:ilvl="1" w:tplc="BA281128" w:tentative="1">
      <w:start w:val="1"/>
      <w:numFmt w:val="lowerLetter"/>
      <w:lvlText w:val="%2."/>
      <w:lvlJc w:val="left"/>
      <w:pPr>
        <w:ind w:left="1800" w:hanging="360"/>
      </w:pPr>
    </w:lvl>
    <w:lvl w:ilvl="2" w:tplc="B192B452" w:tentative="1">
      <w:start w:val="1"/>
      <w:numFmt w:val="lowerRoman"/>
      <w:lvlText w:val="%3."/>
      <w:lvlJc w:val="right"/>
      <w:pPr>
        <w:ind w:left="2520" w:hanging="180"/>
      </w:pPr>
    </w:lvl>
    <w:lvl w:ilvl="3" w:tplc="5ACCDDC8" w:tentative="1">
      <w:start w:val="1"/>
      <w:numFmt w:val="decimal"/>
      <w:lvlText w:val="%4."/>
      <w:lvlJc w:val="left"/>
      <w:pPr>
        <w:ind w:left="3240" w:hanging="360"/>
      </w:pPr>
    </w:lvl>
    <w:lvl w:ilvl="4" w:tplc="F27038C8" w:tentative="1">
      <w:start w:val="1"/>
      <w:numFmt w:val="lowerLetter"/>
      <w:lvlText w:val="%5."/>
      <w:lvlJc w:val="left"/>
      <w:pPr>
        <w:ind w:left="3960" w:hanging="360"/>
      </w:pPr>
    </w:lvl>
    <w:lvl w:ilvl="5" w:tplc="DDC8F95A" w:tentative="1">
      <w:start w:val="1"/>
      <w:numFmt w:val="lowerRoman"/>
      <w:lvlText w:val="%6."/>
      <w:lvlJc w:val="right"/>
      <w:pPr>
        <w:ind w:left="4680" w:hanging="180"/>
      </w:pPr>
    </w:lvl>
    <w:lvl w:ilvl="6" w:tplc="B49EA82E" w:tentative="1">
      <w:start w:val="1"/>
      <w:numFmt w:val="decimal"/>
      <w:lvlText w:val="%7."/>
      <w:lvlJc w:val="left"/>
      <w:pPr>
        <w:ind w:left="5400" w:hanging="360"/>
      </w:pPr>
    </w:lvl>
    <w:lvl w:ilvl="7" w:tplc="65C23FC2" w:tentative="1">
      <w:start w:val="1"/>
      <w:numFmt w:val="lowerLetter"/>
      <w:lvlText w:val="%8."/>
      <w:lvlJc w:val="left"/>
      <w:pPr>
        <w:ind w:left="6120" w:hanging="360"/>
      </w:pPr>
    </w:lvl>
    <w:lvl w:ilvl="8" w:tplc="5A026AB6" w:tentative="1">
      <w:start w:val="1"/>
      <w:numFmt w:val="lowerRoman"/>
      <w:lvlText w:val="%9."/>
      <w:lvlJc w:val="right"/>
      <w:pPr>
        <w:ind w:left="6840" w:hanging="180"/>
      </w:pPr>
    </w:lvl>
  </w:abstractNum>
  <w:abstractNum w:abstractNumId="1" w15:restartNumberingAfterBreak="0">
    <w:nsid w:val="29E27865"/>
    <w:multiLevelType w:val="hybridMultilevel"/>
    <w:tmpl w:val="0096CEB8"/>
    <w:lvl w:ilvl="0" w:tplc="994466AA">
      <w:numFmt w:val="bullet"/>
      <w:lvlText w:val=""/>
      <w:lvlJc w:val="left"/>
      <w:pPr>
        <w:ind w:left="720" w:hanging="360"/>
      </w:pPr>
      <w:rPr>
        <w:rFonts w:ascii="Symbol" w:eastAsiaTheme="minorHAnsi" w:hAnsi="Symbol" w:cstheme="minorBidi" w:hint="default"/>
      </w:rPr>
    </w:lvl>
    <w:lvl w:ilvl="1" w:tplc="1AF0F40E" w:tentative="1">
      <w:start w:val="1"/>
      <w:numFmt w:val="bullet"/>
      <w:lvlText w:val="o"/>
      <w:lvlJc w:val="left"/>
      <w:pPr>
        <w:ind w:left="1440" w:hanging="360"/>
      </w:pPr>
      <w:rPr>
        <w:rFonts w:ascii="Courier New" w:hAnsi="Courier New" w:cs="Courier New" w:hint="default"/>
      </w:rPr>
    </w:lvl>
    <w:lvl w:ilvl="2" w:tplc="6BD68E60" w:tentative="1">
      <w:start w:val="1"/>
      <w:numFmt w:val="bullet"/>
      <w:lvlText w:val=""/>
      <w:lvlJc w:val="left"/>
      <w:pPr>
        <w:ind w:left="2160" w:hanging="360"/>
      </w:pPr>
      <w:rPr>
        <w:rFonts w:ascii="Wingdings" w:hAnsi="Wingdings" w:hint="default"/>
      </w:rPr>
    </w:lvl>
    <w:lvl w:ilvl="3" w:tplc="713C9F70" w:tentative="1">
      <w:start w:val="1"/>
      <w:numFmt w:val="bullet"/>
      <w:lvlText w:val=""/>
      <w:lvlJc w:val="left"/>
      <w:pPr>
        <w:ind w:left="2880" w:hanging="360"/>
      </w:pPr>
      <w:rPr>
        <w:rFonts w:ascii="Symbol" w:hAnsi="Symbol" w:hint="default"/>
      </w:rPr>
    </w:lvl>
    <w:lvl w:ilvl="4" w:tplc="0A46790A" w:tentative="1">
      <w:start w:val="1"/>
      <w:numFmt w:val="bullet"/>
      <w:lvlText w:val="o"/>
      <w:lvlJc w:val="left"/>
      <w:pPr>
        <w:ind w:left="3600" w:hanging="360"/>
      </w:pPr>
      <w:rPr>
        <w:rFonts w:ascii="Courier New" w:hAnsi="Courier New" w:cs="Courier New" w:hint="default"/>
      </w:rPr>
    </w:lvl>
    <w:lvl w:ilvl="5" w:tplc="167ACC3A" w:tentative="1">
      <w:start w:val="1"/>
      <w:numFmt w:val="bullet"/>
      <w:lvlText w:val=""/>
      <w:lvlJc w:val="left"/>
      <w:pPr>
        <w:ind w:left="4320" w:hanging="360"/>
      </w:pPr>
      <w:rPr>
        <w:rFonts w:ascii="Wingdings" w:hAnsi="Wingdings" w:hint="default"/>
      </w:rPr>
    </w:lvl>
    <w:lvl w:ilvl="6" w:tplc="88BE55B8" w:tentative="1">
      <w:start w:val="1"/>
      <w:numFmt w:val="bullet"/>
      <w:lvlText w:val=""/>
      <w:lvlJc w:val="left"/>
      <w:pPr>
        <w:ind w:left="5040" w:hanging="360"/>
      </w:pPr>
      <w:rPr>
        <w:rFonts w:ascii="Symbol" w:hAnsi="Symbol" w:hint="default"/>
      </w:rPr>
    </w:lvl>
    <w:lvl w:ilvl="7" w:tplc="E28A7DFA" w:tentative="1">
      <w:start w:val="1"/>
      <w:numFmt w:val="bullet"/>
      <w:lvlText w:val="o"/>
      <w:lvlJc w:val="left"/>
      <w:pPr>
        <w:ind w:left="5760" w:hanging="360"/>
      </w:pPr>
      <w:rPr>
        <w:rFonts w:ascii="Courier New" w:hAnsi="Courier New" w:cs="Courier New" w:hint="default"/>
      </w:rPr>
    </w:lvl>
    <w:lvl w:ilvl="8" w:tplc="76204EEE" w:tentative="1">
      <w:start w:val="1"/>
      <w:numFmt w:val="bullet"/>
      <w:lvlText w:val=""/>
      <w:lvlJc w:val="left"/>
      <w:pPr>
        <w:ind w:left="6480" w:hanging="360"/>
      </w:pPr>
      <w:rPr>
        <w:rFonts w:ascii="Wingdings" w:hAnsi="Wingdings" w:hint="default"/>
      </w:rPr>
    </w:lvl>
  </w:abstractNum>
  <w:abstractNum w:abstractNumId="2" w15:restartNumberingAfterBreak="0">
    <w:nsid w:val="7D7F403E"/>
    <w:multiLevelType w:val="hybridMultilevel"/>
    <w:tmpl w:val="49023826"/>
    <w:lvl w:ilvl="0" w:tplc="6B0C2322">
      <w:start w:val="1"/>
      <w:numFmt w:val="upperLetter"/>
      <w:lvlText w:val="%1."/>
      <w:lvlJc w:val="left"/>
      <w:pPr>
        <w:ind w:left="1080" w:hanging="360"/>
      </w:pPr>
      <w:rPr>
        <w:rFonts w:hint="default"/>
      </w:rPr>
    </w:lvl>
    <w:lvl w:ilvl="1" w:tplc="4DC2A2FA" w:tentative="1">
      <w:start w:val="1"/>
      <w:numFmt w:val="lowerLetter"/>
      <w:lvlText w:val="%2."/>
      <w:lvlJc w:val="left"/>
      <w:pPr>
        <w:ind w:left="1800" w:hanging="360"/>
      </w:pPr>
    </w:lvl>
    <w:lvl w:ilvl="2" w:tplc="D0922B46" w:tentative="1">
      <w:start w:val="1"/>
      <w:numFmt w:val="lowerRoman"/>
      <w:lvlText w:val="%3."/>
      <w:lvlJc w:val="right"/>
      <w:pPr>
        <w:ind w:left="2520" w:hanging="180"/>
      </w:pPr>
    </w:lvl>
    <w:lvl w:ilvl="3" w:tplc="A3A80F70" w:tentative="1">
      <w:start w:val="1"/>
      <w:numFmt w:val="decimal"/>
      <w:lvlText w:val="%4."/>
      <w:lvlJc w:val="left"/>
      <w:pPr>
        <w:ind w:left="3240" w:hanging="360"/>
      </w:pPr>
    </w:lvl>
    <w:lvl w:ilvl="4" w:tplc="8DAEEEEA" w:tentative="1">
      <w:start w:val="1"/>
      <w:numFmt w:val="lowerLetter"/>
      <w:lvlText w:val="%5."/>
      <w:lvlJc w:val="left"/>
      <w:pPr>
        <w:ind w:left="3960" w:hanging="360"/>
      </w:pPr>
    </w:lvl>
    <w:lvl w:ilvl="5" w:tplc="1C5AFE32" w:tentative="1">
      <w:start w:val="1"/>
      <w:numFmt w:val="lowerRoman"/>
      <w:lvlText w:val="%6."/>
      <w:lvlJc w:val="right"/>
      <w:pPr>
        <w:ind w:left="4680" w:hanging="180"/>
      </w:pPr>
    </w:lvl>
    <w:lvl w:ilvl="6" w:tplc="8DCC4F5E" w:tentative="1">
      <w:start w:val="1"/>
      <w:numFmt w:val="decimal"/>
      <w:lvlText w:val="%7."/>
      <w:lvlJc w:val="left"/>
      <w:pPr>
        <w:ind w:left="5400" w:hanging="360"/>
      </w:pPr>
    </w:lvl>
    <w:lvl w:ilvl="7" w:tplc="61CE7B42" w:tentative="1">
      <w:start w:val="1"/>
      <w:numFmt w:val="lowerLetter"/>
      <w:lvlText w:val="%8."/>
      <w:lvlJc w:val="left"/>
      <w:pPr>
        <w:ind w:left="6120" w:hanging="360"/>
      </w:pPr>
    </w:lvl>
    <w:lvl w:ilvl="8" w:tplc="0C6492FC" w:tentative="1">
      <w:start w:val="1"/>
      <w:numFmt w:val="lowerRoman"/>
      <w:lvlText w:val="%9."/>
      <w:lvlJc w:val="right"/>
      <w:pPr>
        <w:ind w:left="6840" w:hanging="180"/>
      </w:pPr>
    </w:lvl>
  </w:abstractNum>
  <w:num w:numId="1" w16cid:durableId="1135758622">
    <w:abstractNumId w:val="0"/>
  </w:num>
  <w:num w:numId="2" w16cid:durableId="808324180">
    <w:abstractNumId w:val="2"/>
  </w:num>
  <w:num w:numId="3" w16cid:durableId="1266230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0D"/>
    <w:rsid w:val="00005F9C"/>
    <w:rsid w:val="00013519"/>
    <w:rsid w:val="0002123F"/>
    <w:rsid w:val="0002376D"/>
    <w:rsid w:val="00026AA4"/>
    <w:rsid w:val="0003125B"/>
    <w:rsid w:val="00034359"/>
    <w:rsid w:val="000367AD"/>
    <w:rsid w:val="00037037"/>
    <w:rsid w:val="000423A0"/>
    <w:rsid w:val="00046DF6"/>
    <w:rsid w:val="000535ED"/>
    <w:rsid w:val="0005404A"/>
    <w:rsid w:val="0005652C"/>
    <w:rsid w:val="00056563"/>
    <w:rsid w:val="000575DE"/>
    <w:rsid w:val="0006769E"/>
    <w:rsid w:val="00077306"/>
    <w:rsid w:val="00077525"/>
    <w:rsid w:val="00085238"/>
    <w:rsid w:val="00087AF0"/>
    <w:rsid w:val="0009182E"/>
    <w:rsid w:val="000936D0"/>
    <w:rsid w:val="00094B0C"/>
    <w:rsid w:val="000960D8"/>
    <w:rsid w:val="00097287"/>
    <w:rsid w:val="000973CD"/>
    <w:rsid w:val="000A0017"/>
    <w:rsid w:val="000A1573"/>
    <w:rsid w:val="000A1BC6"/>
    <w:rsid w:val="000A38E2"/>
    <w:rsid w:val="000A39FD"/>
    <w:rsid w:val="000B00EE"/>
    <w:rsid w:val="000C0133"/>
    <w:rsid w:val="000C6B5A"/>
    <w:rsid w:val="000C7FAE"/>
    <w:rsid w:val="000D0202"/>
    <w:rsid w:val="000D32BC"/>
    <w:rsid w:val="000D699E"/>
    <w:rsid w:val="000E4A40"/>
    <w:rsid w:val="000E504C"/>
    <w:rsid w:val="000E5D6A"/>
    <w:rsid w:val="000E6DF4"/>
    <w:rsid w:val="000F0127"/>
    <w:rsid w:val="000F314A"/>
    <w:rsid w:val="0010073A"/>
    <w:rsid w:val="00111A1C"/>
    <w:rsid w:val="00115F78"/>
    <w:rsid w:val="00122917"/>
    <w:rsid w:val="00126EB4"/>
    <w:rsid w:val="00135038"/>
    <w:rsid w:val="00135BE4"/>
    <w:rsid w:val="001379C5"/>
    <w:rsid w:val="00146E33"/>
    <w:rsid w:val="00147F7B"/>
    <w:rsid w:val="0015366B"/>
    <w:rsid w:val="0015530A"/>
    <w:rsid w:val="00155B45"/>
    <w:rsid w:val="0016042F"/>
    <w:rsid w:val="00166901"/>
    <w:rsid w:val="00167843"/>
    <w:rsid w:val="0017720F"/>
    <w:rsid w:val="001807FD"/>
    <w:rsid w:val="001911A1"/>
    <w:rsid w:val="001912D8"/>
    <w:rsid w:val="00191B95"/>
    <w:rsid w:val="00193837"/>
    <w:rsid w:val="00197CA0"/>
    <w:rsid w:val="001A15BD"/>
    <w:rsid w:val="001B7419"/>
    <w:rsid w:val="001B781F"/>
    <w:rsid w:val="001C1D6B"/>
    <w:rsid w:val="001C7941"/>
    <w:rsid w:val="001D319F"/>
    <w:rsid w:val="001D4ABF"/>
    <w:rsid w:val="001E731E"/>
    <w:rsid w:val="001F23A9"/>
    <w:rsid w:val="001F294C"/>
    <w:rsid w:val="001F2CC9"/>
    <w:rsid w:val="001F57A2"/>
    <w:rsid w:val="001F72B5"/>
    <w:rsid w:val="001F77FE"/>
    <w:rsid w:val="00204B4B"/>
    <w:rsid w:val="00205000"/>
    <w:rsid w:val="00210AAE"/>
    <w:rsid w:val="00213697"/>
    <w:rsid w:val="002144C4"/>
    <w:rsid w:val="0021505F"/>
    <w:rsid w:val="00215797"/>
    <w:rsid w:val="00220768"/>
    <w:rsid w:val="0022365A"/>
    <w:rsid w:val="00224363"/>
    <w:rsid w:val="00226230"/>
    <w:rsid w:val="002270E6"/>
    <w:rsid w:val="00230E07"/>
    <w:rsid w:val="00233EDE"/>
    <w:rsid w:val="002416F9"/>
    <w:rsid w:val="00242FF4"/>
    <w:rsid w:val="00243DD3"/>
    <w:rsid w:val="002540CB"/>
    <w:rsid w:val="0026219C"/>
    <w:rsid w:val="002656E1"/>
    <w:rsid w:val="00267442"/>
    <w:rsid w:val="00270480"/>
    <w:rsid w:val="002753C6"/>
    <w:rsid w:val="00275501"/>
    <w:rsid w:val="002769D5"/>
    <w:rsid w:val="00284CD8"/>
    <w:rsid w:val="00285B57"/>
    <w:rsid w:val="0028779A"/>
    <w:rsid w:val="00291A75"/>
    <w:rsid w:val="00292D41"/>
    <w:rsid w:val="002A1473"/>
    <w:rsid w:val="002A6A6E"/>
    <w:rsid w:val="002A7910"/>
    <w:rsid w:val="002B1AC7"/>
    <w:rsid w:val="002B41D7"/>
    <w:rsid w:val="002C01CA"/>
    <w:rsid w:val="002C021E"/>
    <w:rsid w:val="002C1821"/>
    <w:rsid w:val="002D238E"/>
    <w:rsid w:val="002D55A1"/>
    <w:rsid w:val="002E45D2"/>
    <w:rsid w:val="002E5433"/>
    <w:rsid w:val="002E7C38"/>
    <w:rsid w:val="002F1CD0"/>
    <w:rsid w:val="002F2C93"/>
    <w:rsid w:val="002F3FCB"/>
    <w:rsid w:val="002F6372"/>
    <w:rsid w:val="00301390"/>
    <w:rsid w:val="003049A8"/>
    <w:rsid w:val="00304A09"/>
    <w:rsid w:val="0030594C"/>
    <w:rsid w:val="00310ADE"/>
    <w:rsid w:val="0032250D"/>
    <w:rsid w:val="00323EE6"/>
    <w:rsid w:val="00334886"/>
    <w:rsid w:val="003351F4"/>
    <w:rsid w:val="00335F91"/>
    <w:rsid w:val="00336048"/>
    <w:rsid w:val="003438F6"/>
    <w:rsid w:val="003453EE"/>
    <w:rsid w:val="003475B0"/>
    <w:rsid w:val="00353627"/>
    <w:rsid w:val="00353F40"/>
    <w:rsid w:val="00354762"/>
    <w:rsid w:val="00354DE7"/>
    <w:rsid w:val="00356A64"/>
    <w:rsid w:val="00357A17"/>
    <w:rsid w:val="00363EC6"/>
    <w:rsid w:val="00364664"/>
    <w:rsid w:val="003662C7"/>
    <w:rsid w:val="00367CF1"/>
    <w:rsid w:val="003710A8"/>
    <w:rsid w:val="00371986"/>
    <w:rsid w:val="00372FC3"/>
    <w:rsid w:val="003748A3"/>
    <w:rsid w:val="003828A2"/>
    <w:rsid w:val="00394C37"/>
    <w:rsid w:val="003966CB"/>
    <w:rsid w:val="003A09AF"/>
    <w:rsid w:val="003B0C63"/>
    <w:rsid w:val="003B7301"/>
    <w:rsid w:val="003C3D01"/>
    <w:rsid w:val="003C5F1B"/>
    <w:rsid w:val="003C7B39"/>
    <w:rsid w:val="003D59FD"/>
    <w:rsid w:val="003E037D"/>
    <w:rsid w:val="003E1086"/>
    <w:rsid w:val="003E28CA"/>
    <w:rsid w:val="003E6E1E"/>
    <w:rsid w:val="003F2730"/>
    <w:rsid w:val="003F439D"/>
    <w:rsid w:val="003F532E"/>
    <w:rsid w:val="004005EB"/>
    <w:rsid w:val="004041FE"/>
    <w:rsid w:val="00405A05"/>
    <w:rsid w:val="0041141B"/>
    <w:rsid w:val="00412715"/>
    <w:rsid w:val="00423D27"/>
    <w:rsid w:val="004247BD"/>
    <w:rsid w:val="00426629"/>
    <w:rsid w:val="00435226"/>
    <w:rsid w:val="00441065"/>
    <w:rsid w:val="00444F2C"/>
    <w:rsid w:val="00445E95"/>
    <w:rsid w:val="00446221"/>
    <w:rsid w:val="004463D0"/>
    <w:rsid w:val="00450C03"/>
    <w:rsid w:val="004515CF"/>
    <w:rsid w:val="00454AA9"/>
    <w:rsid w:val="00455EA4"/>
    <w:rsid w:val="00457CB2"/>
    <w:rsid w:val="00461998"/>
    <w:rsid w:val="00461DCF"/>
    <w:rsid w:val="00462AEB"/>
    <w:rsid w:val="00462FF0"/>
    <w:rsid w:val="004659C1"/>
    <w:rsid w:val="00467BA8"/>
    <w:rsid w:val="00474C3F"/>
    <w:rsid w:val="00477D9C"/>
    <w:rsid w:val="004840CB"/>
    <w:rsid w:val="00490D02"/>
    <w:rsid w:val="00491A8C"/>
    <w:rsid w:val="00496D9C"/>
    <w:rsid w:val="004A35D6"/>
    <w:rsid w:val="004B196B"/>
    <w:rsid w:val="004B5DF0"/>
    <w:rsid w:val="004C16AF"/>
    <w:rsid w:val="004C59EC"/>
    <w:rsid w:val="004D2729"/>
    <w:rsid w:val="004D2F90"/>
    <w:rsid w:val="004D61DD"/>
    <w:rsid w:val="004E3467"/>
    <w:rsid w:val="004E53EF"/>
    <w:rsid w:val="004E616D"/>
    <w:rsid w:val="004F66ED"/>
    <w:rsid w:val="004F7E71"/>
    <w:rsid w:val="005018F7"/>
    <w:rsid w:val="0050443E"/>
    <w:rsid w:val="0050728A"/>
    <w:rsid w:val="00512017"/>
    <w:rsid w:val="00514157"/>
    <w:rsid w:val="00520F11"/>
    <w:rsid w:val="005217BC"/>
    <w:rsid w:val="00525E59"/>
    <w:rsid w:val="00532020"/>
    <w:rsid w:val="00532B21"/>
    <w:rsid w:val="005339D7"/>
    <w:rsid w:val="00536E1E"/>
    <w:rsid w:val="00540D43"/>
    <w:rsid w:val="00542092"/>
    <w:rsid w:val="00552909"/>
    <w:rsid w:val="00552AB5"/>
    <w:rsid w:val="00554CEC"/>
    <w:rsid w:val="00557EAD"/>
    <w:rsid w:val="0056261F"/>
    <w:rsid w:val="0056305C"/>
    <w:rsid w:val="005750E4"/>
    <w:rsid w:val="00575CD2"/>
    <w:rsid w:val="0058136D"/>
    <w:rsid w:val="005969D3"/>
    <w:rsid w:val="005971F7"/>
    <w:rsid w:val="005A071A"/>
    <w:rsid w:val="005A1497"/>
    <w:rsid w:val="005A2D5C"/>
    <w:rsid w:val="005A39C4"/>
    <w:rsid w:val="005B17B7"/>
    <w:rsid w:val="005B3CBD"/>
    <w:rsid w:val="005C3852"/>
    <w:rsid w:val="005C38C0"/>
    <w:rsid w:val="005C604D"/>
    <w:rsid w:val="005D2F06"/>
    <w:rsid w:val="005E0F09"/>
    <w:rsid w:val="005E188A"/>
    <w:rsid w:val="005E37AC"/>
    <w:rsid w:val="005E7237"/>
    <w:rsid w:val="005E7F21"/>
    <w:rsid w:val="005F009B"/>
    <w:rsid w:val="005F55CA"/>
    <w:rsid w:val="005F5B37"/>
    <w:rsid w:val="006112AD"/>
    <w:rsid w:val="006140C2"/>
    <w:rsid w:val="00623879"/>
    <w:rsid w:val="00633261"/>
    <w:rsid w:val="00634430"/>
    <w:rsid w:val="00635BFD"/>
    <w:rsid w:val="00642318"/>
    <w:rsid w:val="00643956"/>
    <w:rsid w:val="006454C0"/>
    <w:rsid w:val="00651975"/>
    <w:rsid w:val="00660174"/>
    <w:rsid w:val="0066088C"/>
    <w:rsid w:val="006609B2"/>
    <w:rsid w:val="006628C2"/>
    <w:rsid w:val="00671726"/>
    <w:rsid w:val="00674401"/>
    <w:rsid w:val="00675229"/>
    <w:rsid w:val="00677965"/>
    <w:rsid w:val="006825AF"/>
    <w:rsid w:val="0068459A"/>
    <w:rsid w:val="00690CA2"/>
    <w:rsid w:val="0069394D"/>
    <w:rsid w:val="00697603"/>
    <w:rsid w:val="006A403E"/>
    <w:rsid w:val="006A5DB2"/>
    <w:rsid w:val="006A6CAA"/>
    <w:rsid w:val="006B15F6"/>
    <w:rsid w:val="006B3424"/>
    <w:rsid w:val="006B4627"/>
    <w:rsid w:val="006B7DDA"/>
    <w:rsid w:val="006C6583"/>
    <w:rsid w:val="006D0A1E"/>
    <w:rsid w:val="006D6137"/>
    <w:rsid w:val="006D6D00"/>
    <w:rsid w:val="006E062D"/>
    <w:rsid w:val="006E1CFC"/>
    <w:rsid w:val="006E4783"/>
    <w:rsid w:val="006E58DF"/>
    <w:rsid w:val="006E7B8F"/>
    <w:rsid w:val="006F247B"/>
    <w:rsid w:val="006F5600"/>
    <w:rsid w:val="007005AA"/>
    <w:rsid w:val="00706FA2"/>
    <w:rsid w:val="007241EE"/>
    <w:rsid w:val="00731AA5"/>
    <w:rsid w:val="00734EB7"/>
    <w:rsid w:val="0074171A"/>
    <w:rsid w:val="0074664F"/>
    <w:rsid w:val="00750A6C"/>
    <w:rsid w:val="00752508"/>
    <w:rsid w:val="007527EC"/>
    <w:rsid w:val="00755DE1"/>
    <w:rsid w:val="00756A85"/>
    <w:rsid w:val="00756D6D"/>
    <w:rsid w:val="00766336"/>
    <w:rsid w:val="00767C99"/>
    <w:rsid w:val="007721A6"/>
    <w:rsid w:val="00776E9C"/>
    <w:rsid w:val="007775DA"/>
    <w:rsid w:val="00782776"/>
    <w:rsid w:val="00787881"/>
    <w:rsid w:val="007937F2"/>
    <w:rsid w:val="0079393B"/>
    <w:rsid w:val="007968CB"/>
    <w:rsid w:val="007A074B"/>
    <w:rsid w:val="007A07DE"/>
    <w:rsid w:val="007B0951"/>
    <w:rsid w:val="007B17C8"/>
    <w:rsid w:val="007B31ED"/>
    <w:rsid w:val="007B4219"/>
    <w:rsid w:val="007C0222"/>
    <w:rsid w:val="007C198C"/>
    <w:rsid w:val="007C351C"/>
    <w:rsid w:val="007C68F7"/>
    <w:rsid w:val="007D436C"/>
    <w:rsid w:val="007E6A5A"/>
    <w:rsid w:val="007F2F99"/>
    <w:rsid w:val="007F3E4E"/>
    <w:rsid w:val="007F4210"/>
    <w:rsid w:val="007F42C0"/>
    <w:rsid w:val="007F4FC6"/>
    <w:rsid w:val="007F6DFF"/>
    <w:rsid w:val="0080729B"/>
    <w:rsid w:val="00813F3F"/>
    <w:rsid w:val="00814567"/>
    <w:rsid w:val="00814727"/>
    <w:rsid w:val="00825BED"/>
    <w:rsid w:val="00827E46"/>
    <w:rsid w:val="00831F4A"/>
    <w:rsid w:val="008341F7"/>
    <w:rsid w:val="00834EC8"/>
    <w:rsid w:val="00837413"/>
    <w:rsid w:val="00841985"/>
    <w:rsid w:val="008438BE"/>
    <w:rsid w:val="0085173B"/>
    <w:rsid w:val="00851A23"/>
    <w:rsid w:val="00853B92"/>
    <w:rsid w:val="00861C1F"/>
    <w:rsid w:val="00862355"/>
    <w:rsid w:val="008630A9"/>
    <w:rsid w:val="00863F82"/>
    <w:rsid w:val="00874CC7"/>
    <w:rsid w:val="0087628B"/>
    <w:rsid w:val="008802C0"/>
    <w:rsid w:val="00883179"/>
    <w:rsid w:val="00883543"/>
    <w:rsid w:val="008925DE"/>
    <w:rsid w:val="00893F55"/>
    <w:rsid w:val="008960B5"/>
    <w:rsid w:val="00896EC2"/>
    <w:rsid w:val="008A3C33"/>
    <w:rsid w:val="008A699A"/>
    <w:rsid w:val="008A760A"/>
    <w:rsid w:val="008B0B98"/>
    <w:rsid w:val="008B0E94"/>
    <w:rsid w:val="008B17DD"/>
    <w:rsid w:val="008B4B8A"/>
    <w:rsid w:val="008B7FE8"/>
    <w:rsid w:val="008C0FF1"/>
    <w:rsid w:val="008C606E"/>
    <w:rsid w:val="008C69C3"/>
    <w:rsid w:val="008D3DA8"/>
    <w:rsid w:val="008D41B2"/>
    <w:rsid w:val="008D5BC1"/>
    <w:rsid w:val="008E7B28"/>
    <w:rsid w:val="008E7EED"/>
    <w:rsid w:val="008F2150"/>
    <w:rsid w:val="008F6323"/>
    <w:rsid w:val="008F7853"/>
    <w:rsid w:val="00915A92"/>
    <w:rsid w:val="00924F39"/>
    <w:rsid w:val="009267C5"/>
    <w:rsid w:val="0092781F"/>
    <w:rsid w:val="009328CB"/>
    <w:rsid w:val="009330A6"/>
    <w:rsid w:val="00934F6F"/>
    <w:rsid w:val="0093737A"/>
    <w:rsid w:val="00940624"/>
    <w:rsid w:val="00943852"/>
    <w:rsid w:val="00951D5A"/>
    <w:rsid w:val="00953891"/>
    <w:rsid w:val="009576AE"/>
    <w:rsid w:val="009613DB"/>
    <w:rsid w:val="00962B28"/>
    <w:rsid w:val="00972C38"/>
    <w:rsid w:val="00973A4A"/>
    <w:rsid w:val="00980047"/>
    <w:rsid w:val="00983DEA"/>
    <w:rsid w:val="00990138"/>
    <w:rsid w:val="009A1D57"/>
    <w:rsid w:val="009A2D17"/>
    <w:rsid w:val="009A4100"/>
    <w:rsid w:val="009A566B"/>
    <w:rsid w:val="009A7D6D"/>
    <w:rsid w:val="009B085F"/>
    <w:rsid w:val="009B33C9"/>
    <w:rsid w:val="009B7E7D"/>
    <w:rsid w:val="009C15E7"/>
    <w:rsid w:val="009C5E9E"/>
    <w:rsid w:val="009C6568"/>
    <w:rsid w:val="009C6D2F"/>
    <w:rsid w:val="009F10C9"/>
    <w:rsid w:val="009F479B"/>
    <w:rsid w:val="009F7375"/>
    <w:rsid w:val="00A01491"/>
    <w:rsid w:val="00A01624"/>
    <w:rsid w:val="00A114BE"/>
    <w:rsid w:val="00A267C4"/>
    <w:rsid w:val="00A33891"/>
    <w:rsid w:val="00A3465A"/>
    <w:rsid w:val="00A37AEA"/>
    <w:rsid w:val="00A40526"/>
    <w:rsid w:val="00A44E34"/>
    <w:rsid w:val="00A51511"/>
    <w:rsid w:val="00A53BAD"/>
    <w:rsid w:val="00A6427B"/>
    <w:rsid w:val="00A65180"/>
    <w:rsid w:val="00A669D9"/>
    <w:rsid w:val="00A7321C"/>
    <w:rsid w:val="00A83BE7"/>
    <w:rsid w:val="00A84F3E"/>
    <w:rsid w:val="00A87B1E"/>
    <w:rsid w:val="00A95F4F"/>
    <w:rsid w:val="00AA0F09"/>
    <w:rsid w:val="00AA5EA2"/>
    <w:rsid w:val="00AB7CDB"/>
    <w:rsid w:val="00AC46D4"/>
    <w:rsid w:val="00AD0A39"/>
    <w:rsid w:val="00AD5AFD"/>
    <w:rsid w:val="00AD65E4"/>
    <w:rsid w:val="00AE1033"/>
    <w:rsid w:val="00AF48B4"/>
    <w:rsid w:val="00B073C7"/>
    <w:rsid w:val="00B07709"/>
    <w:rsid w:val="00B32CD8"/>
    <w:rsid w:val="00B361BC"/>
    <w:rsid w:val="00B43DEF"/>
    <w:rsid w:val="00B51060"/>
    <w:rsid w:val="00B5272D"/>
    <w:rsid w:val="00B5579F"/>
    <w:rsid w:val="00B633F7"/>
    <w:rsid w:val="00B638DF"/>
    <w:rsid w:val="00B64678"/>
    <w:rsid w:val="00B67B82"/>
    <w:rsid w:val="00B70CA4"/>
    <w:rsid w:val="00B73C26"/>
    <w:rsid w:val="00B74125"/>
    <w:rsid w:val="00B75B9D"/>
    <w:rsid w:val="00B83D61"/>
    <w:rsid w:val="00B84503"/>
    <w:rsid w:val="00B90442"/>
    <w:rsid w:val="00BA5B0C"/>
    <w:rsid w:val="00BB2C0E"/>
    <w:rsid w:val="00BB5F22"/>
    <w:rsid w:val="00BB5FCD"/>
    <w:rsid w:val="00BC0E4B"/>
    <w:rsid w:val="00BD1B20"/>
    <w:rsid w:val="00BE31CD"/>
    <w:rsid w:val="00BF00E2"/>
    <w:rsid w:val="00BF2166"/>
    <w:rsid w:val="00BF38BC"/>
    <w:rsid w:val="00C01BCF"/>
    <w:rsid w:val="00C0758C"/>
    <w:rsid w:val="00C10DA9"/>
    <w:rsid w:val="00C16902"/>
    <w:rsid w:val="00C175F4"/>
    <w:rsid w:val="00C27069"/>
    <w:rsid w:val="00C32535"/>
    <w:rsid w:val="00C406AD"/>
    <w:rsid w:val="00C52344"/>
    <w:rsid w:val="00C5758A"/>
    <w:rsid w:val="00C626A3"/>
    <w:rsid w:val="00C626D6"/>
    <w:rsid w:val="00C649D1"/>
    <w:rsid w:val="00C66121"/>
    <w:rsid w:val="00C711FF"/>
    <w:rsid w:val="00C71698"/>
    <w:rsid w:val="00C73213"/>
    <w:rsid w:val="00C74527"/>
    <w:rsid w:val="00C75C79"/>
    <w:rsid w:val="00C77277"/>
    <w:rsid w:val="00C85C91"/>
    <w:rsid w:val="00C962AC"/>
    <w:rsid w:val="00CA5C72"/>
    <w:rsid w:val="00CB6AD2"/>
    <w:rsid w:val="00CC4226"/>
    <w:rsid w:val="00CC6014"/>
    <w:rsid w:val="00CD4E51"/>
    <w:rsid w:val="00CD6B17"/>
    <w:rsid w:val="00CE07F1"/>
    <w:rsid w:val="00CE3059"/>
    <w:rsid w:val="00CE6937"/>
    <w:rsid w:val="00CF51CA"/>
    <w:rsid w:val="00CF5702"/>
    <w:rsid w:val="00CF62B3"/>
    <w:rsid w:val="00D01605"/>
    <w:rsid w:val="00D03A12"/>
    <w:rsid w:val="00D15073"/>
    <w:rsid w:val="00D17617"/>
    <w:rsid w:val="00D221A7"/>
    <w:rsid w:val="00D2709E"/>
    <w:rsid w:val="00D31A3E"/>
    <w:rsid w:val="00D31A6D"/>
    <w:rsid w:val="00D32DD7"/>
    <w:rsid w:val="00D45B34"/>
    <w:rsid w:val="00D47FA8"/>
    <w:rsid w:val="00D538E5"/>
    <w:rsid w:val="00D64C3A"/>
    <w:rsid w:val="00D7139F"/>
    <w:rsid w:val="00D7141B"/>
    <w:rsid w:val="00D72E24"/>
    <w:rsid w:val="00D7340E"/>
    <w:rsid w:val="00D75A71"/>
    <w:rsid w:val="00D75FD5"/>
    <w:rsid w:val="00D936C9"/>
    <w:rsid w:val="00D93C8E"/>
    <w:rsid w:val="00DA2B81"/>
    <w:rsid w:val="00DA5CE8"/>
    <w:rsid w:val="00DB4654"/>
    <w:rsid w:val="00DB78AB"/>
    <w:rsid w:val="00DB7BD9"/>
    <w:rsid w:val="00DC00D3"/>
    <w:rsid w:val="00DC3B23"/>
    <w:rsid w:val="00DC4BF7"/>
    <w:rsid w:val="00DC4C2B"/>
    <w:rsid w:val="00DD0981"/>
    <w:rsid w:val="00DD138E"/>
    <w:rsid w:val="00DD4842"/>
    <w:rsid w:val="00DD4B1C"/>
    <w:rsid w:val="00DD70CF"/>
    <w:rsid w:val="00DF05F6"/>
    <w:rsid w:val="00DF2B41"/>
    <w:rsid w:val="00E009CD"/>
    <w:rsid w:val="00E032D2"/>
    <w:rsid w:val="00E03972"/>
    <w:rsid w:val="00E0755B"/>
    <w:rsid w:val="00E10D79"/>
    <w:rsid w:val="00E17727"/>
    <w:rsid w:val="00E20E16"/>
    <w:rsid w:val="00E25415"/>
    <w:rsid w:val="00E2581E"/>
    <w:rsid w:val="00E26F45"/>
    <w:rsid w:val="00E30FC4"/>
    <w:rsid w:val="00E31B41"/>
    <w:rsid w:val="00E31F2A"/>
    <w:rsid w:val="00E333C9"/>
    <w:rsid w:val="00E34D38"/>
    <w:rsid w:val="00E40327"/>
    <w:rsid w:val="00E42A0D"/>
    <w:rsid w:val="00E43C58"/>
    <w:rsid w:val="00E44CBE"/>
    <w:rsid w:val="00E47A27"/>
    <w:rsid w:val="00E47EAB"/>
    <w:rsid w:val="00E54330"/>
    <w:rsid w:val="00E63F2C"/>
    <w:rsid w:val="00E705BA"/>
    <w:rsid w:val="00E716C0"/>
    <w:rsid w:val="00E74CB2"/>
    <w:rsid w:val="00E8521E"/>
    <w:rsid w:val="00E85A3D"/>
    <w:rsid w:val="00E922E8"/>
    <w:rsid w:val="00E96050"/>
    <w:rsid w:val="00EA6277"/>
    <w:rsid w:val="00EA7A5C"/>
    <w:rsid w:val="00EB550B"/>
    <w:rsid w:val="00EC1090"/>
    <w:rsid w:val="00EC32C0"/>
    <w:rsid w:val="00EC54AA"/>
    <w:rsid w:val="00ED11FF"/>
    <w:rsid w:val="00ED1FDF"/>
    <w:rsid w:val="00ED411C"/>
    <w:rsid w:val="00ED6BCE"/>
    <w:rsid w:val="00EE2E07"/>
    <w:rsid w:val="00EE36D2"/>
    <w:rsid w:val="00EE53A3"/>
    <w:rsid w:val="00EF0BB5"/>
    <w:rsid w:val="00EF3BCF"/>
    <w:rsid w:val="00F0016B"/>
    <w:rsid w:val="00F0353A"/>
    <w:rsid w:val="00F038DB"/>
    <w:rsid w:val="00F03AAD"/>
    <w:rsid w:val="00F05F55"/>
    <w:rsid w:val="00F0665F"/>
    <w:rsid w:val="00F106AF"/>
    <w:rsid w:val="00F16522"/>
    <w:rsid w:val="00F31AB0"/>
    <w:rsid w:val="00F3650B"/>
    <w:rsid w:val="00F37717"/>
    <w:rsid w:val="00F40AE2"/>
    <w:rsid w:val="00F47C45"/>
    <w:rsid w:val="00F618AB"/>
    <w:rsid w:val="00F67A10"/>
    <w:rsid w:val="00F70161"/>
    <w:rsid w:val="00F70DFE"/>
    <w:rsid w:val="00F716CE"/>
    <w:rsid w:val="00F75E4F"/>
    <w:rsid w:val="00F75F27"/>
    <w:rsid w:val="00F833D6"/>
    <w:rsid w:val="00F8640D"/>
    <w:rsid w:val="00F875EB"/>
    <w:rsid w:val="00F901C3"/>
    <w:rsid w:val="00F90D30"/>
    <w:rsid w:val="00F91934"/>
    <w:rsid w:val="00FA030B"/>
    <w:rsid w:val="00FA13CC"/>
    <w:rsid w:val="00FA30F2"/>
    <w:rsid w:val="00FA4968"/>
    <w:rsid w:val="00FA58F4"/>
    <w:rsid w:val="00FB29B7"/>
    <w:rsid w:val="00FB54E8"/>
    <w:rsid w:val="00FB7B27"/>
    <w:rsid w:val="00FC2E77"/>
    <w:rsid w:val="00FC69C5"/>
    <w:rsid w:val="00FC6F6A"/>
    <w:rsid w:val="00FD004B"/>
    <w:rsid w:val="00FD22C1"/>
    <w:rsid w:val="00FD393F"/>
    <w:rsid w:val="00FE3347"/>
    <w:rsid w:val="00FF363C"/>
    <w:rsid w:val="00FF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4C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s>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50D"/>
    <w:pPr>
      <w:tabs>
        <w:tab w:val="center" w:pos="4680"/>
        <w:tab w:val="right" w:pos="9360"/>
      </w:tabs>
      <w:spacing w:line="240" w:lineRule="auto"/>
    </w:pPr>
  </w:style>
  <w:style w:type="character" w:customStyle="1" w:styleId="HeaderChar">
    <w:name w:val="Header Char"/>
    <w:basedOn w:val="DefaultParagraphFont"/>
    <w:link w:val="Header"/>
    <w:uiPriority w:val="99"/>
    <w:rsid w:val="0032250D"/>
  </w:style>
  <w:style w:type="paragraph" w:styleId="Footer">
    <w:name w:val="footer"/>
    <w:basedOn w:val="Normal"/>
    <w:link w:val="FooterChar"/>
    <w:uiPriority w:val="99"/>
    <w:unhideWhenUsed/>
    <w:rsid w:val="0032250D"/>
    <w:pPr>
      <w:tabs>
        <w:tab w:val="center" w:pos="4680"/>
        <w:tab w:val="right" w:pos="9360"/>
      </w:tabs>
      <w:spacing w:line="240" w:lineRule="auto"/>
    </w:pPr>
  </w:style>
  <w:style w:type="character" w:customStyle="1" w:styleId="FooterChar">
    <w:name w:val="Footer Char"/>
    <w:basedOn w:val="DefaultParagraphFont"/>
    <w:link w:val="Footer"/>
    <w:uiPriority w:val="99"/>
    <w:rsid w:val="0032250D"/>
  </w:style>
  <w:style w:type="character" w:styleId="PageNumber">
    <w:name w:val="page number"/>
    <w:basedOn w:val="DefaultParagraphFont"/>
    <w:uiPriority w:val="99"/>
    <w:semiHidden/>
    <w:unhideWhenUsed/>
    <w:rsid w:val="0032250D"/>
  </w:style>
  <w:style w:type="paragraph" w:styleId="FootnoteText">
    <w:name w:val="footnote text"/>
    <w:link w:val="FootnoteTextChar"/>
    <w:uiPriority w:val="99"/>
    <w:unhideWhenUsed/>
    <w:rsid w:val="0032250D"/>
    <w:pPr>
      <w:spacing w:line="240" w:lineRule="auto"/>
    </w:pPr>
    <w:rPr>
      <w:szCs w:val="20"/>
    </w:rPr>
  </w:style>
  <w:style w:type="character" w:customStyle="1" w:styleId="FootnoteTextChar">
    <w:name w:val="Footnote Text Char"/>
    <w:basedOn w:val="DefaultParagraphFont"/>
    <w:link w:val="FootnoteText"/>
    <w:uiPriority w:val="99"/>
    <w:rsid w:val="0032250D"/>
    <w:rPr>
      <w:szCs w:val="20"/>
    </w:rPr>
  </w:style>
  <w:style w:type="paragraph" w:styleId="BalloonText">
    <w:name w:val="Balloon Text"/>
    <w:basedOn w:val="Normal"/>
    <w:link w:val="BalloonTextChar"/>
    <w:uiPriority w:val="99"/>
    <w:semiHidden/>
    <w:unhideWhenUsed/>
    <w:rsid w:val="0069394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394D"/>
    <w:rPr>
      <w:rFonts w:ascii="Times New Roman" w:hAnsi="Times New Roman" w:cs="Times New Roman"/>
      <w:sz w:val="18"/>
      <w:szCs w:val="18"/>
    </w:rPr>
  </w:style>
  <w:style w:type="character" w:styleId="FootnoteReference">
    <w:name w:val="footnote reference"/>
    <w:basedOn w:val="DefaultParagraphFont"/>
    <w:uiPriority w:val="99"/>
    <w:semiHidden/>
    <w:unhideWhenUsed/>
    <w:rsid w:val="005750E4"/>
    <w:rPr>
      <w:vertAlign w:val="superscript"/>
    </w:rPr>
  </w:style>
  <w:style w:type="paragraph" w:styleId="ListParagraph">
    <w:name w:val="List Paragraph"/>
    <w:basedOn w:val="Normal"/>
    <w:uiPriority w:val="34"/>
    <w:qFormat/>
    <w:rsid w:val="001F294C"/>
    <w:pPr>
      <w:ind w:left="720"/>
      <w:contextualSpacing/>
    </w:pPr>
  </w:style>
  <w:style w:type="paragraph" w:styleId="Revision">
    <w:name w:val="Revision"/>
    <w:hidden/>
    <w:uiPriority w:val="99"/>
    <w:semiHidden/>
    <w:rsid w:val="008A699A"/>
    <w:pPr>
      <w:spacing w:line="240" w:lineRule="auto"/>
    </w:pPr>
  </w:style>
  <w:style w:type="character" w:styleId="CommentReference">
    <w:name w:val="annotation reference"/>
    <w:basedOn w:val="DefaultParagraphFont"/>
    <w:uiPriority w:val="99"/>
    <w:semiHidden/>
    <w:unhideWhenUsed/>
    <w:rsid w:val="00C711FF"/>
    <w:rPr>
      <w:sz w:val="16"/>
      <w:szCs w:val="16"/>
    </w:rPr>
  </w:style>
  <w:style w:type="paragraph" w:styleId="CommentText">
    <w:name w:val="annotation text"/>
    <w:basedOn w:val="Normal"/>
    <w:link w:val="CommentTextChar"/>
    <w:uiPriority w:val="99"/>
    <w:semiHidden/>
    <w:unhideWhenUsed/>
    <w:rsid w:val="00C711FF"/>
    <w:pPr>
      <w:spacing w:line="240" w:lineRule="auto"/>
    </w:pPr>
    <w:rPr>
      <w:sz w:val="20"/>
      <w:szCs w:val="20"/>
    </w:rPr>
  </w:style>
  <w:style w:type="character" w:customStyle="1" w:styleId="CommentTextChar">
    <w:name w:val="Comment Text Char"/>
    <w:basedOn w:val="DefaultParagraphFont"/>
    <w:link w:val="CommentText"/>
    <w:uiPriority w:val="99"/>
    <w:semiHidden/>
    <w:rsid w:val="00C711FF"/>
    <w:rPr>
      <w:sz w:val="20"/>
      <w:szCs w:val="20"/>
    </w:rPr>
  </w:style>
  <w:style w:type="paragraph" w:styleId="CommentSubject">
    <w:name w:val="annotation subject"/>
    <w:basedOn w:val="CommentText"/>
    <w:next w:val="CommentText"/>
    <w:link w:val="CommentSubjectChar"/>
    <w:uiPriority w:val="99"/>
    <w:semiHidden/>
    <w:unhideWhenUsed/>
    <w:rsid w:val="00C711FF"/>
    <w:rPr>
      <w:b/>
      <w:bCs/>
    </w:rPr>
  </w:style>
  <w:style w:type="character" w:customStyle="1" w:styleId="CommentSubjectChar">
    <w:name w:val="Comment Subject Char"/>
    <w:basedOn w:val="CommentTextChar"/>
    <w:link w:val="CommentSubject"/>
    <w:uiPriority w:val="99"/>
    <w:semiHidden/>
    <w:rsid w:val="00C711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5123</Words>
  <Characters>29207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2023-08-11T17:08:00Z</dcterms:created>
  <dcterms:modified xsi:type="dcterms:W3CDTF">2023-08-14T17:59:00Z</dcterms:modified>
</cp:coreProperties>
</file>