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DD1B" w14:textId="17A9D032" w:rsidR="000C33E6" w:rsidRDefault="00653098" w:rsidP="00052C0A">
      <w:pPr>
        <w:tabs>
          <w:tab w:val="clear" w:pos="720"/>
        </w:tabs>
        <w:spacing w:line="240" w:lineRule="auto"/>
        <w:rPr>
          <w:rFonts w:ascii="Century Schoolbook" w:hAnsi="Century Schoolbook"/>
          <w:sz w:val="20"/>
        </w:rPr>
      </w:pPr>
      <w:r>
        <w:rPr>
          <w:rFonts w:ascii="Century Schoolbook" w:hAnsi="Century Schoolbook"/>
          <w:sz w:val="20"/>
        </w:rPr>
        <w:t>Filed</w:t>
      </w:r>
      <w:r>
        <w:rPr>
          <w:rFonts w:ascii="Century Schoolbook" w:hAnsi="Century Schoolbook"/>
          <w:sz w:val="20"/>
        </w:rPr>
        <w:t xml:space="preserve">  </w:t>
      </w:r>
      <w:proofErr w:type="gramStart"/>
      <w:r>
        <w:rPr>
          <w:rFonts w:ascii="Century Schoolbook" w:hAnsi="Century Schoolbook"/>
          <w:sz w:val="20"/>
        </w:rPr>
        <w:t>8/17/23</w:t>
      </w:r>
      <w:proofErr w:type="gramEnd"/>
    </w:p>
    <w:p w14:paraId="1CF0DD1C" w14:textId="77777777" w:rsidR="00052C0A" w:rsidRDefault="00653098" w:rsidP="00052C0A">
      <w:pPr>
        <w:tabs>
          <w:tab w:val="clear" w:pos="720"/>
        </w:tabs>
        <w:spacing w:line="240" w:lineRule="auto"/>
        <w:jc w:val="center"/>
        <w:rPr>
          <w:rFonts w:ascii="Century Schoolbook" w:hAnsi="Century Schoolbook"/>
          <w:b/>
        </w:rPr>
      </w:pPr>
      <w:r>
        <w:rPr>
          <w:rFonts w:ascii="Century Schoolbook" w:hAnsi="Century Schoolbook"/>
          <w:b/>
        </w:rPr>
        <w:t>CERTIFIED FOR PUBLICATION</w:t>
      </w:r>
    </w:p>
    <w:p w14:paraId="1CF0DD1D" w14:textId="77777777" w:rsidR="00052C0A" w:rsidRPr="00052C0A" w:rsidRDefault="00052C0A" w:rsidP="00052C0A">
      <w:pPr>
        <w:tabs>
          <w:tab w:val="clear" w:pos="720"/>
        </w:tabs>
        <w:spacing w:line="240" w:lineRule="auto"/>
        <w:rPr>
          <w:rFonts w:ascii="Century Schoolbook" w:hAnsi="Century Schoolbook"/>
        </w:rPr>
      </w:pPr>
    </w:p>
    <w:p w14:paraId="1CF0DD1E" w14:textId="77777777" w:rsidR="00CE3ABE" w:rsidRPr="00511774" w:rsidRDefault="00653098" w:rsidP="00381F8C">
      <w:pPr>
        <w:tabs>
          <w:tab w:val="clear" w:pos="720"/>
        </w:tabs>
        <w:spacing w:line="240" w:lineRule="auto"/>
        <w:jc w:val="center"/>
        <w:rPr>
          <w:rFonts w:ascii="Century Schoolbook" w:hAnsi="Century Schoolbook"/>
        </w:rPr>
      </w:pPr>
      <w:r w:rsidRPr="00511774">
        <w:rPr>
          <w:rFonts w:ascii="Century Schoolbook" w:hAnsi="Century Schoolbook"/>
        </w:rPr>
        <w:t>IN THE COURT OF APPEAL OF THE STATE OF CALIFORNIA</w:t>
      </w:r>
    </w:p>
    <w:p w14:paraId="1CF0DD1F" w14:textId="77777777" w:rsidR="008A133E" w:rsidRPr="00511774" w:rsidRDefault="008A133E" w:rsidP="00381F8C">
      <w:pPr>
        <w:tabs>
          <w:tab w:val="clear" w:pos="720"/>
        </w:tabs>
        <w:spacing w:line="240" w:lineRule="auto"/>
        <w:jc w:val="center"/>
        <w:rPr>
          <w:rFonts w:ascii="Century Schoolbook" w:hAnsi="Century Schoolbook"/>
        </w:rPr>
      </w:pPr>
    </w:p>
    <w:p w14:paraId="1CF0DD20" w14:textId="77777777" w:rsidR="008A133E" w:rsidRPr="00511774" w:rsidRDefault="00653098" w:rsidP="00381F8C">
      <w:pPr>
        <w:tabs>
          <w:tab w:val="clear" w:pos="720"/>
        </w:tabs>
        <w:spacing w:line="240" w:lineRule="auto"/>
        <w:jc w:val="center"/>
        <w:rPr>
          <w:rFonts w:ascii="Century Schoolbook" w:hAnsi="Century Schoolbook"/>
        </w:rPr>
      </w:pPr>
      <w:r w:rsidRPr="00511774">
        <w:rPr>
          <w:rFonts w:ascii="Century Schoolbook" w:hAnsi="Century Schoolbook"/>
        </w:rPr>
        <w:t>FIRST APPELLATE DISTRICT</w:t>
      </w:r>
    </w:p>
    <w:p w14:paraId="1CF0DD21" w14:textId="77777777" w:rsidR="008A133E" w:rsidRPr="00511774" w:rsidRDefault="008A133E" w:rsidP="00381F8C">
      <w:pPr>
        <w:tabs>
          <w:tab w:val="clear" w:pos="720"/>
        </w:tabs>
        <w:spacing w:line="240" w:lineRule="auto"/>
        <w:jc w:val="center"/>
        <w:rPr>
          <w:rFonts w:ascii="Century Schoolbook" w:hAnsi="Century Schoolbook"/>
        </w:rPr>
      </w:pPr>
    </w:p>
    <w:p w14:paraId="1CF0DD22" w14:textId="77777777" w:rsidR="008A133E" w:rsidRPr="00511774" w:rsidRDefault="00653098" w:rsidP="00052C0A">
      <w:pPr>
        <w:tabs>
          <w:tab w:val="clear" w:pos="720"/>
        </w:tabs>
        <w:spacing w:line="240" w:lineRule="auto"/>
        <w:jc w:val="center"/>
        <w:rPr>
          <w:rFonts w:ascii="Century Schoolbook" w:hAnsi="Century Schoolbook"/>
        </w:rPr>
      </w:pPr>
      <w:r w:rsidRPr="00511774">
        <w:rPr>
          <w:rFonts w:ascii="Century Schoolbook" w:hAnsi="Century Schoolbook"/>
        </w:rPr>
        <w:t xml:space="preserve">DIVISION </w:t>
      </w:r>
      <w:r w:rsidR="00C40FA4">
        <w:rPr>
          <w:rFonts w:ascii="Century Schoolbook" w:hAnsi="Century Schoolbook"/>
        </w:rPr>
        <w:t>FIVE</w:t>
      </w:r>
    </w:p>
    <w:p w14:paraId="1CF0DD23" w14:textId="77777777" w:rsidR="008A133E" w:rsidRPr="00511774" w:rsidRDefault="008A133E" w:rsidP="00381F8C">
      <w:pPr>
        <w:tabs>
          <w:tab w:val="clear" w:pos="720"/>
        </w:tabs>
        <w:spacing w:line="240" w:lineRule="auto"/>
        <w:jc w:val="center"/>
        <w:rPr>
          <w:rFonts w:ascii="Century Schoolbook" w:hAnsi="Century Schoolbook"/>
        </w:rPr>
      </w:pPr>
    </w:p>
    <w:tbl>
      <w:tblPr>
        <w:tblW w:w="9528" w:type="dxa"/>
        <w:tblLayout w:type="fixed"/>
        <w:tblLook w:val="0000" w:firstRow="0" w:lastRow="0" w:firstColumn="0" w:lastColumn="0" w:noHBand="0" w:noVBand="0"/>
      </w:tblPr>
      <w:tblGrid>
        <w:gridCol w:w="4764"/>
        <w:gridCol w:w="4764"/>
      </w:tblGrid>
      <w:tr w:rsidR="00156CBE" w14:paraId="1CF0DD2E" w14:textId="77777777" w:rsidTr="00381F8C">
        <w:trPr>
          <w:trHeight w:val="1823"/>
        </w:trPr>
        <w:tc>
          <w:tcPr>
            <w:tcW w:w="4764" w:type="dxa"/>
            <w:tcBorders>
              <w:bottom w:val="single" w:sz="4" w:space="0" w:color="auto"/>
              <w:right w:val="single" w:sz="4" w:space="0" w:color="auto"/>
            </w:tcBorders>
            <w:shd w:val="clear" w:color="auto" w:fill="auto"/>
          </w:tcPr>
          <w:p w14:paraId="1CF0DD24" w14:textId="4526B824" w:rsidR="008A133E" w:rsidRPr="00511774" w:rsidRDefault="00653098" w:rsidP="00381F8C">
            <w:pPr>
              <w:tabs>
                <w:tab w:val="clear" w:pos="720"/>
              </w:tabs>
              <w:spacing w:after="120" w:line="240" w:lineRule="auto"/>
              <w:rPr>
                <w:rFonts w:ascii="Century Schoolbook" w:hAnsi="Century Schoolbook"/>
              </w:rPr>
            </w:pPr>
            <w:r>
              <w:rPr>
                <w:rFonts w:ascii="Century Schoolbook" w:hAnsi="Century Schoolbook"/>
              </w:rPr>
              <w:t>SHR ST. FRANCIS</w:t>
            </w:r>
            <w:r w:rsidR="00790ACE">
              <w:rPr>
                <w:rFonts w:ascii="Century Schoolbook" w:hAnsi="Century Schoolbook"/>
              </w:rPr>
              <w:t>,</w:t>
            </w:r>
            <w:r>
              <w:rPr>
                <w:rFonts w:ascii="Century Schoolbook" w:hAnsi="Century Schoolbook"/>
              </w:rPr>
              <w:t xml:space="preserve"> LLC</w:t>
            </w:r>
            <w:r w:rsidR="00716BCA">
              <w:rPr>
                <w:rFonts w:ascii="Century Schoolbook" w:hAnsi="Century Schoolbook"/>
              </w:rPr>
              <w:t>,</w:t>
            </w:r>
            <w:r>
              <w:rPr>
                <w:rFonts w:ascii="Century Schoolbook" w:hAnsi="Century Schoolbook"/>
              </w:rPr>
              <w:t xml:space="preserve"> et al.</w:t>
            </w:r>
            <w:r w:rsidRPr="00511774">
              <w:rPr>
                <w:rFonts w:ascii="Century Schoolbook" w:hAnsi="Century Schoolbook"/>
              </w:rPr>
              <w:t>,</w:t>
            </w:r>
          </w:p>
          <w:p w14:paraId="1CF0DD25" w14:textId="77777777" w:rsidR="008A133E" w:rsidRPr="00511774" w:rsidRDefault="00653098" w:rsidP="00381F8C">
            <w:pPr>
              <w:tabs>
                <w:tab w:val="clear" w:pos="720"/>
              </w:tabs>
              <w:spacing w:after="120" w:line="240" w:lineRule="auto"/>
              <w:rPr>
                <w:rFonts w:ascii="Century Schoolbook" w:hAnsi="Century Schoolbook"/>
              </w:rPr>
            </w:pPr>
            <w:r w:rsidRPr="00511774">
              <w:rPr>
                <w:rFonts w:ascii="Century Schoolbook" w:hAnsi="Century Schoolbook"/>
              </w:rPr>
              <w:tab/>
              <w:t>Plaintiff</w:t>
            </w:r>
            <w:r w:rsidR="00362BEF">
              <w:rPr>
                <w:rFonts w:ascii="Century Schoolbook" w:hAnsi="Century Schoolbook"/>
              </w:rPr>
              <w:t>s</w:t>
            </w:r>
            <w:r w:rsidRPr="00511774">
              <w:rPr>
                <w:rFonts w:ascii="Century Schoolbook" w:hAnsi="Century Schoolbook"/>
              </w:rPr>
              <w:t xml:space="preserve"> and </w:t>
            </w:r>
            <w:r w:rsidR="00B16EDA">
              <w:rPr>
                <w:rFonts w:ascii="Century Schoolbook" w:hAnsi="Century Schoolbook"/>
              </w:rPr>
              <w:t>Appellan</w:t>
            </w:r>
            <w:r w:rsidRPr="00511774">
              <w:rPr>
                <w:rFonts w:ascii="Century Schoolbook" w:hAnsi="Century Schoolbook"/>
              </w:rPr>
              <w:t>t</w:t>
            </w:r>
            <w:r w:rsidR="00362BEF">
              <w:rPr>
                <w:rFonts w:ascii="Century Schoolbook" w:hAnsi="Century Schoolbook"/>
              </w:rPr>
              <w:t>s</w:t>
            </w:r>
            <w:r w:rsidRPr="00511774">
              <w:rPr>
                <w:rFonts w:ascii="Century Schoolbook" w:hAnsi="Century Schoolbook"/>
              </w:rPr>
              <w:t>,</w:t>
            </w:r>
          </w:p>
          <w:p w14:paraId="1CF0DD26" w14:textId="77777777" w:rsidR="008A133E" w:rsidRPr="00511774" w:rsidRDefault="00653098" w:rsidP="00381F8C">
            <w:pPr>
              <w:tabs>
                <w:tab w:val="clear" w:pos="720"/>
              </w:tabs>
              <w:spacing w:after="120" w:line="240" w:lineRule="auto"/>
              <w:rPr>
                <w:rFonts w:ascii="Century Schoolbook" w:hAnsi="Century Schoolbook"/>
              </w:rPr>
            </w:pPr>
            <w:r w:rsidRPr="00511774">
              <w:rPr>
                <w:rFonts w:ascii="Century Schoolbook" w:hAnsi="Century Schoolbook"/>
              </w:rPr>
              <w:t>v.</w:t>
            </w:r>
          </w:p>
          <w:p w14:paraId="1CF0DD27" w14:textId="77777777" w:rsidR="008A133E" w:rsidRPr="00511774" w:rsidRDefault="00653098" w:rsidP="00381F8C">
            <w:pPr>
              <w:tabs>
                <w:tab w:val="clear" w:pos="720"/>
              </w:tabs>
              <w:spacing w:after="120" w:line="240" w:lineRule="auto"/>
              <w:rPr>
                <w:rFonts w:ascii="Century Schoolbook" w:hAnsi="Century Schoolbook"/>
              </w:rPr>
            </w:pPr>
            <w:r>
              <w:rPr>
                <w:rFonts w:ascii="Century Schoolbook" w:hAnsi="Century Schoolbook"/>
              </w:rPr>
              <w:t>CITY AND COUNTY OF SAN FRANCISCO</w:t>
            </w:r>
            <w:r w:rsidRPr="00511774">
              <w:rPr>
                <w:rFonts w:ascii="Century Schoolbook" w:hAnsi="Century Schoolbook"/>
              </w:rPr>
              <w:t>,</w:t>
            </w:r>
          </w:p>
          <w:p w14:paraId="1CF0DD28" w14:textId="77777777" w:rsidR="008A133E" w:rsidRPr="00511774" w:rsidRDefault="00653098" w:rsidP="00831FB2">
            <w:pPr>
              <w:tabs>
                <w:tab w:val="clear" w:pos="720"/>
              </w:tabs>
              <w:spacing w:after="120" w:line="240" w:lineRule="auto"/>
              <w:rPr>
                <w:rFonts w:ascii="Century Schoolbook" w:hAnsi="Century Schoolbook"/>
              </w:rPr>
            </w:pPr>
            <w:r w:rsidRPr="00511774">
              <w:rPr>
                <w:rFonts w:ascii="Century Schoolbook" w:hAnsi="Century Schoolbook"/>
              </w:rPr>
              <w:tab/>
            </w:r>
            <w:r w:rsidRPr="00511774">
              <w:rPr>
                <w:rFonts w:ascii="Century Schoolbook" w:hAnsi="Century Schoolbook"/>
              </w:rPr>
              <w:t xml:space="preserve">Defendant and </w:t>
            </w:r>
            <w:r w:rsidR="00B16EDA">
              <w:rPr>
                <w:rFonts w:ascii="Century Schoolbook" w:hAnsi="Century Schoolbook"/>
              </w:rPr>
              <w:t>Responden</w:t>
            </w:r>
            <w:r w:rsidRPr="00511774">
              <w:rPr>
                <w:rFonts w:ascii="Century Schoolbook" w:hAnsi="Century Schoolbook"/>
              </w:rPr>
              <w:t>t.</w:t>
            </w:r>
          </w:p>
        </w:tc>
        <w:tc>
          <w:tcPr>
            <w:tcW w:w="4764" w:type="dxa"/>
            <w:tcBorders>
              <w:left w:val="single" w:sz="4" w:space="0" w:color="auto"/>
            </w:tcBorders>
            <w:shd w:val="clear" w:color="auto" w:fill="auto"/>
          </w:tcPr>
          <w:p w14:paraId="1CF0DD29" w14:textId="77777777" w:rsidR="008A133E" w:rsidRPr="00511774" w:rsidRDefault="008A133E" w:rsidP="00381F8C">
            <w:pPr>
              <w:tabs>
                <w:tab w:val="clear" w:pos="720"/>
              </w:tabs>
              <w:spacing w:after="120" w:line="240" w:lineRule="auto"/>
              <w:rPr>
                <w:rFonts w:ascii="Century Schoolbook" w:hAnsi="Century Schoolbook"/>
              </w:rPr>
            </w:pPr>
          </w:p>
          <w:p w14:paraId="1CF0DD2A" w14:textId="77777777" w:rsidR="008A133E" w:rsidRPr="00511774" w:rsidRDefault="00653098" w:rsidP="00381F8C">
            <w:pPr>
              <w:tabs>
                <w:tab w:val="clear" w:pos="720"/>
              </w:tabs>
              <w:spacing w:after="120" w:line="240" w:lineRule="auto"/>
              <w:rPr>
                <w:rFonts w:ascii="Century Schoolbook" w:hAnsi="Century Schoolbook"/>
              </w:rPr>
            </w:pPr>
            <w:r w:rsidRPr="00511774">
              <w:rPr>
                <w:rFonts w:ascii="Century Schoolbook" w:hAnsi="Century Schoolbook"/>
              </w:rPr>
              <w:t xml:space="preserve">      A16</w:t>
            </w:r>
            <w:r w:rsidR="00362BEF">
              <w:rPr>
                <w:rFonts w:ascii="Century Schoolbook" w:hAnsi="Century Schoolbook"/>
              </w:rPr>
              <w:t>3847</w:t>
            </w:r>
          </w:p>
          <w:p w14:paraId="1CF0DD2B" w14:textId="77777777" w:rsidR="008A133E" w:rsidRPr="00511774" w:rsidRDefault="008A133E" w:rsidP="00381F8C">
            <w:pPr>
              <w:tabs>
                <w:tab w:val="clear" w:pos="720"/>
              </w:tabs>
              <w:spacing w:after="120" w:line="240" w:lineRule="auto"/>
              <w:rPr>
                <w:rFonts w:ascii="Century Schoolbook" w:hAnsi="Century Schoolbook"/>
              </w:rPr>
            </w:pPr>
          </w:p>
          <w:p w14:paraId="1CF0DD2C" w14:textId="77777777" w:rsidR="008A133E" w:rsidRPr="00511774" w:rsidRDefault="00653098" w:rsidP="00381F8C">
            <w:pPr>
              <w:tabs>
                <w:tab w:val="clear" w:pos="720"/>
              </w:tabs>
              <w:spacing w:line="240" w:lineRule="auto"/>
              <w:rPr>
                <w:rFonts w:ascii="Century Schoolbook" w:hAnsi="Century Schoolbook"/>
              </w:rPr>
            </w:pPr>
            <w:r w:rsidRPr="00511774">
              <w:rPr>
                <w:rFonts w:ascii="Century Schoolbook" w:hAnsi="Century Schoolbook"/>
              </w:rPr>
              <w:t xml:space="preserve">      (</w:t>
            </w:r>
            <w:r w:rsidR="009827CA">
              <w:rPr>
                <w:rFonts w:ascii="Century Schoolbook" w:hAnsi="Century Schoolbook"/>
              </w:rPr>
              <w:t xml:space="preserve">City &amp; County of </w:t>
            </w:r>
            <w:r w:rsidR="00362BEF">
              <w:rPr>
                <w:rFonts w:ascii="Century Schoolbook" w:hAnsi="Century Schoolbook"/>
              </w:rPr>
              <w:t>San Francisco</w:t>
            </w:r>
            <w:r w:rsidR="00B446D8">
              <w:rPr>
                <w:rFonts w:ascii="Century Schoolbook" w:hAnsi="Century Schoolbook"/>
              </w:rPr>
              <w:t xml:space="preserve"> </w:t>
            </w:r>
          </w:p>
          <w:p w14:paraId="1CF0DD2D" w14:textId="77777777" w:rsidR="008A133E" w:rsidRPr="00511774" w:rsidRDefault="00653098" w:rsidP="00B16EDA">
            <w:pPr>
              <w:tabs>
                <w:tab w:val="clear" w:pos="720"/>
              </w:tabs>
              <w:spacing w:line="240" w:lineRule="auto"/>
              <w:rPr>
                <w:rFonts w:ascii="Century Schoolbook" w:hAnsi="Century Schoolbook"/>
              </w:rPr>
            </w:pPr>
            <w:r w:rsidRPr="00511774">
              <w:rPr>
                <w:rFonts w:ascii="Century Schoolbook" w:hAnsi="Century Schoolbook"/>
              </w:rPr>
              <w:t xml:space="preserve">      Super. Ct. </w:t>
            </w:r>
            <w:r w:rsidR="001A09E5">
              <w:rPr>
                <w:rFonts w:ascii="Century Schoolbook" w:hAnsi="Century Schoolbook"/>
              </w:rPr>
              <w:t>No.</w:t>
            </w:r>
            <w:r w:rsidRPr="00511774">
              <w:rPr>
                <w:rFonts w:ascii="Century Schoolbook" w:hAnsi="Century Schoolbook"/>
              </w:rPr>
              <w:t xml:space="preserve"> </w:t>
            </w:r>
            <w:r w:rsidR="00362BEF">
              <w:rPr>
                <w:rFonts w:ascii="Century Schoolbook" w:hAnsi="Century Schoolbook"/>
              </w:rPr>
              <w:t>CGC-</w:t>
            </w:r>
            <w:r w:rsidR="00B16EDA">
              <w:rPr>
                <w:rFonts w:ascii="Century Schoolbook" w:hAnsi="Century Schoolbook"/>
              </w:rPr>
              <w:t>20-</w:t>
            </w:r>
            <w:r w:rsidR="00362BEF">
              <w:rPr>
                <w:rFonts w:ascii="Century Schoolbook" w:hAnsi="Century Schoolbook"/>
              </w:rPr>
              <w:t>58</w:t>
            </w:r>
            <w:r w:rsidR="009827CA">
              <w:rPr>
                <w:rFonts w:ascii="Century Schoolbook" w:hAnsi="Century Schoolbook"/>
              </w:rPr>
              <w:t>2</w:t>
            </w:r>
            <w:r w:rsidR="00362BEF">
              <w:rPr>
                <w:rFonts w:ascii="Century Schoolbook" w:hAnsi="Century Schoolbook"/>
              </w:rPr>
              <w:t>772</w:t>
            </w:r>
            <w:r w:rsidRPr="00511774">
              <w:rPr>
                <w:rFonts w:ascii="Century Schoolbook" w:hAnsi="Century Schoolbook"/>
              </w:rPr>
              <w:t>)</w:t>
            </w:r>
          </w:p>
        </w:tc>
      </w:tr>
    </w:tbl>
    <w:p w14:paraId="1CF0DD2F" w14:textId="77777777" w:rsidR="008A133E" w:rsidRPr="00511774" w:rsidRDefault="008A133E" w:rsidP="00831FB2">
      <w:pPr>
        <w:tabs>
          <w:tab w:val="clear" w:pos="720"/>
        </w:tabs>
        <w:spacing w:line="360" w:lineRule="auto"/>
        <w:rPr>
          <w:rFonts w:ascii="Century Schoolbook" w:hAnsi="Century Schoolbook"/>
        </w:rPr>
      </w:pPr>
    </w:p>
    <w:p w14:paraId="1CF0DD30" w14:textId="77777777" w:rsidR="00BE0242" w:rsidRDefault="00653098" w:rsidP="00B16EDA">
      <w:pPr>
        <w:tabs>
          <w:tab w:val="clear" w:pos="720"/>
        </w:tabs>
        <w:spacing w:line="360" w:lineRule="auto"/>
        <w:rPr>
          <w:rFonts w:ascii="Century Schoolbook" w:hAnsi="Century Schoolbook"/>
        </w:rPr>
      </w:pPr>
      <w:r w:rsidRPr="00511774">
        <w:rPr>
          <w:rFonts w:ascii="Century Schoolbook" w:hAnsi="Century Schoolbook"/>
        </w:rPr>
        <w:tab/>
      </w:r>
      <w:r w:rsidR="00303C20">
        <w:rPr>
          <w:rFonts w:ascii="Century Schoolbook" w:hAnsi="Century Schoolbook"/>
        </w:rPr>
        <w:t>In 2015, there was a change in ownership of the Westin St. Francis</w:t>
      </w:r>
      <w:r w:rsidR="00F132BA">
        <w:rPr>
          <w:rFonts w:ascii="Century Schoolbook" w:hAnsi="Century Schoolbook"/>
        </w:rPr>
        <w:t>, a</w:t>
      </w:r>
      <w:r w:rsidR="00303C20">
        <w:rPr>
          <w:rFonts w:ascii="Century Schoolbook" w:hAnsi="Century Schoolbook"/>
        </w:rPr>
        <w:t xml:space="preserve"> </w:t>
      </w:r>
      <w:r>
        <w:rPr>
          <w:rFonts w:ascii="Century Schoolbook" w:hAnsi="Century Schoolbook"/>
        </w:rPr>
        <w:t xml:space="preserve">luxury </w:t>
      </w:r>
      <w:r w:rsidR="00303C20">
        <w:rPr>
          <w:rFonts w:ascii="Century Schoolbook" w:hAnsi="Century Schoolbook"/>
        </w:rPr>
        <w:t>hotel</w:t>
      </w:r>
      <w:r w:rsidR="008F6E45">
        <w:rPr>
          <w:rFonts w:ascii="Century Schoolbook" w:hAnsi="Century Schoolbook"/>
        </w:rPr>
        <w:t xml:space="preserve"> </w:t>
      </w:r>
      <w:r w:rsidR="002B510C">
        <w:rPr>
          <w:rFonts w:ascii="Century Schoolbook" w:hAnsi="Century Schoolbook"/>
        </w:rPr>
        <w:t xml:space="preserve">located </w:t>
      </w:r>
      <w:r w:rsidR="008F6E45">
        <w:rPr>
          <w:rFonts w:ascii="Century Schoolbook" w:hAnsi="Century Schoolbook"/>
        </w:rPr>
        <w:t xml:space="preserve">in </w:t>
      </w:r>
      <w:r w:rsidR="006D4CD5">
        <w:rPr>
          <w:rFonts w:ascii="Century Schoolbook" w:hAnsi="Century Schoolbook"/>
        </w:rPr>
        <w:t xml:space="preserve">defendant and respondent </w:t>
      </w:r>
      <w:r w:rsidR="008F6E45">
        <w:rPr>
          <w:rFonts w:ascii="Century Schoolbook" w:hAnsi="Century Schoolbook"/>
        </w:rPr>
        <w:t>City and County of San Francisco (San Francisco</w:t>
      </w:r>
      <w:r w:rsidR="002B510C">
        <w:rPr>
          <w:rFonts w:ascii="Century Schoolbook" w:hAnsi="Century Schoolbook"/>
        </w:rPr>
        <w:t xml:space="preserve"> or City</w:t>
      </w:r>
      <w:r w:rsidR="008F6E45">
        <w:rPr>
          <w:rFonts w:ascii="Century Schoolbook" w:hAnsi="Century Schoolbook"/>
        </w:rPr>
        <w:t>)</w:t>
      </w:r>
      <w:r w:rsidR="00303C20">
        <w:rPr>
          <w:rFonts w:ascii="Century Schoolbook" w:hAnsi="Century Schoolbook"/>
        </w:rPr>
        <w:t xml:space="preserve">, triggering a reassessment for property tax purposes.  </w:t>
      </w:r>
      <w:r>
        <w:rPr>
          <w:rFonts w:ascii="Century Schoolbook" w:hAnsi="Century Schoolbook"/>
        </w:rPr>
        <w:t xml:space="preserve">To </w:t>
      </w:r>
      <w:r w:rsidR="00D232F8">
        <w:rPr>
          <w:rFonts w:ascii="Century Schoolbook" w:hAnsi="Century Schoolbook"/>
        </w:rPr>
        <w:t>assess</w:t>
      </w:r>
      <w:r>
        <w:rPr>
          <w:rFonts w:ascii="Century Schoolbook" w:hAnsi="Century Schoolbook"/>
        </w:rPr>
        <w:t xml:space="preserve"> the </w:t>
      </w:r>
      <w:r w:rsidR="00884A90">
        <w:rPr>
          <w:rFonts w:ascii="Century Schoolbook" w:hAnsi="Century Schoolbook"/>
        </w:rPr>
        <w:t xml:space="preserve">taxable value of the </w:t>
      </w:r>
      <w:r>
        <w:rPr>
          <w:rFonts w:ascii="Century Schoolbook" w:hAnsi="Century Schoolbook"/>
        </w:rPr>
        <w:t xml:space="preserve">hotel, the </w:t>
      </w:r>
      <w:r w:rsidR="00D232F8">
        <w:rPr>
          <w:rFonts w:ascii="Century Schoolbook" w:hAnsi="Century Schoolbook"/>
        </w:rPr>
        <w:t xml:space="preserve">San Francisco </w:t>
      </w:r>
      <w:r>
        <w:rPr>
          <w:rFonts w:ascii="Century Schoolbook" w:hAnsi="Century Schoolbook"/>
        </w:rPr>
        <w:t xml:space="preserve">Assessor </w:t>
      </w:r>
      <w:r w:rsidR="00D232F8">
        <w:rPr>
          <w:rFonts w:ascii="Century Schoolbook" w:hAnsi="Century Schoolbook"/>
        </w:rPr>
        <w:t xml:space="preserve">(Assessor) </w:t>
      </w:r>
      <w:r>
        <w:rPr>
          <w:rFonts w:ascii="Century Schoolbook" w:hAnsi="Century Schoolbook"/>
        </w:rPr>
        <w:t>used the income approach</w:t>
      </w:r>
      <w:r w:rsidR="00D232F8">
        <w:rPr>
          <w:rFonts w:ascii="Century Schoolbook" w:hAnsi="Century Schoolbook"/>
        </w:rPr>
        <w:t>—which</w:t>
      </w:r>
      <w:r>
        <w:rPr>
          <w:rFonts w:ascii="Century Schoolbook" w:hAnsi="Century Schoolbook"/>
        </w:rPr>
        <w:t xml:space="preserve"> “ ‘rests</w:t>
      </w:r>
      <w:r>
        <w:rPr>
          <w:rFonts w:ascii="Century Schoolbook" w:hAnsi="Century Schoolbook"/>
        </w:rPr>
        <w:t xml:space="preserve"> upon the assumption that in an open market a willing buyer of the property would pay a willing seller an amount approximately equal to the present value of the future income to be derived from the property.’ ”  (</w:t>
      </w:r>
      <w:r>
        <w:rPr>
          <w:rFonts w:ascii="Century Schoolbook" w:hAnsi="Century Schoolbook"/>
          <w:i/>
          <w:iCs/>
        </w:rPr>
        <w:t>Olen Commercial Realty Corp. v. County of O</w:t>
      </w:r>
      <w:r>
        <w:rPr>
          <w:rFonts w:ascii="Century Schoolbook" w:hAnsi="Century Schoolbook"/>
          <w:i/>
          <w:iCs/>
        </w:rPr>
        <w:t xml:space="preserve">range </w:t>
      </w:r>
      <w:r>
        <w:rPr>
          <w:rFonts w:ascii="Century Schoolbook" w:hAnsi="Century Schoolbook"/>
        </w:rPr>
        <w:t xml:space="preserve">(2005) 126 Cal.App.4th 1441, 1446.)  </w:t>
      </w:r>
      <w:r w:rsidR="00D232F8">
        <w:rPr>
          <w:rFonts w:ascii="Century Schoolbook" w:hAnsi="Century Schoolbook"/>
        </w:rPr>
        <w:t>The approach</w:t>
      </w:r>
      <w:r>
        <w:rPr>
          <w:rFonts w:ascii="Century Schoolbook" w:hAnsi="Century Schoolbook"/>
        </w:rPr>
        <w:t xml:space="preserve"> require</w:t>
      </w:r>
      <w:r w:rsidR="00A84FA3">
        <w:rPr>
          <w:rFonts w:ascii="Century Schoolbook" w:hAnsi="Century Schoolbook"/>
        </w:rPr>
        <w:t>d</w:t>
      </w:r>
      <w:r>
        <w:rPr>
          <w:rFonts w:ascii="Century Schoolbook" w:hAnsi="Century Schoolbook"/>
        </w:rPr>
        <w:t xml:space="preserve"> </w:t>
      </w:r>
      <w:r w:rsidR="00884A90">
        <w:rPr>
          <w:rFonts w:ascii="Century Schoolbook" w:hAnsi="Century Schoolbook"/>
        </w:rPr>
        <w:t>the</w:t>
      </w:r>
      <w:r>
        <w:rPr>
          <w:rFonts w:ascii="Century Schoolbook" w:hAnsi="Century Schoolbook"/>
        </w:rPr>
        <w:t xml:space="preserve"> </w:t>
      </w:r>
      <w:r w:rsidR="00A84FA3">
        <w:rPr>
          <w:rFonts w:ascii="Century Schoolbook" w:hAnsi="Century Schoolbook"/>
        </w:rPr>
        <w:t>Assessor</w:t>
      </w:r>
      <w:r>
        <w:rPr>
          <w:rFonts w:ascii="Century Schoolbook" w:hAnsi="Century Schoolbook"/>
        </w:rPr>
        <w:t xml:space="preserve"> </w:t>
      </w:r>
      <w:r w:rsidR="00A84FA3">
        <w:rPr>
          <w:rFonts w:ascii="Century Schoolbook" w:hAnsi="Century Schoolbook"/>
        </w:rPr>
        <w:t xml:space="preserve">to </w:t>
      </w:r>
      <w:r>
        <w:rPr>
          <w:rFonts w:ascii="Century Schoolbook" w:hAnsi="Century Schoolbook"/>
        </w:rPr>
        <w:t>“estimate[] the future income stream a prospective purchaser could expect to receive from the enterprise [operated on the property] and then discount[] that amount to a presen</w:t>
      </w:r>
      <w:r>
        <w:rPr>
          <w:rFonts w:ascii="Century Schoolbook" w:hAnsi="Century Schoolbook"/>
        </w:rPr>
        <w:t>t value by use of a capitalization rate.”  (</w:t>
      </w:r>
      <w:r>
        <w:rPr>
          <w:rFonts w:ascii="Century Schoolbook" w:hAnsi="Century Schoolbook"/>
          <w:i/>
          <w:iCs/>
        </w:rPr>
        <w:t xml:space="preserve">GTE Sprint Communications Corp. v. County of Alameda </w:t>
      </w:r>
      <w:r>
        <w:rPr>
          <w:rFonts w:ascii="Century Schoolbook" w:hAnsi="Century Schoolbook"/>
        </w:rPr>
        <w:t>(1994) 26 Cal.App.4th 992, 996</w:t>
      </w:r>
      <w:r w:rsidR="00D232F8">
        <w:rPr>
          <w:rFonts w:ascii="Century Schoolbook" w:hAnsi="Century Schoolbook"/>
        </w:rPr>
        <w:t xml:space="preserve"> (</w:t>
      </w:r>
      <w:r w:rsidR="00D232F8">
        <w:rPr>
          <w:rFonts w:ascii="Century Schoolbook" w:hAnsi="Century Schoolbook"/>
          <w:i/>
          <w:iCs/>
        </w:rPr>
        <w:t>GTE Sprint</w:t>
      </w:r>
      <w:r w:rsidR="00D232F8">
        <w:rPr>
          <w:rFonts w:ascii="Century Schoolbook" w:hAnsi="Century Schoolbook"/>
        </w:rPr>
        <w:t>)</w:t>
      </w:r>
      <w:r>
        <w:rPr>
          <w:rFonts w:ascii="Century Schoolbook" w:hAnsi="Century Schoolbook"/>
        </w:rPr>
        <w:t>.)</w:t>
      </w:r>
    </w:p>
    <w:p w14:paraId="1CF0DD31" w14:textId="7ADE81CE" w:rsidR="008F6E45" w:rsidRDefault="00653098" w:rsidP="00BE0242">
      <w:pPr>
        <w:tabs>
          <w:tab w:val="clear" w:pos="720"/>
        </w:tabs>
        <w:spacing w:line="360" w:lineRule="auto"/>
        <w:ind w:firstLine="720"/>
        <w:rPr>
          <w:rFonts w:ascii="Century Schoolbook" w:hAnsi="Century Schoolbook"/>
        </w:rPr>
      </w:pPr>
      <w:r>
        <w:rPr>
          <w:rFonts w:ascii="Century Schoolbook" w:hAnsi="Century Schoolbook"/>
        </w:rPr>
        <w:lastRenderedPageBreak/>
        <w:t>Plaintiffs and a</w:t>
      </w:r>
      <w:r w:rsidR="00303C20">
        <w:rPr>
          <w:rFonts w:ascii="Century Schoolbook" w:hAnsi="Century Schoolbook"/>
        </w:rPr>
        <w:t>ppellants SHR St. Francis</w:t>
      </w:r>
      <w:r w:rsidR="00790ACE">
        <w:rPr>
          <w:rFonts w:ascii="Century Schoolbook" w:hAnsi="Century Schoolbook"/>
        </w:rPr>
        <w:t>,</w:t>
      </w:r>
      <w:r w:rsidR="00303C20">
        <w:rPr>
          <w:rFonts w:ascii="Century Schoolbook" w:hAnsi="Century Schoolbook"/>
        </w:rPr>
        <w:t xml:space="preserve"> LLC</w:t>
      </w:r>
      <w:r w:rsidR="00716BCA">
        <w:rPr>
          <w:rFonts w:ascii="Century Schoolbook" w:hAnsi="Century Schoolbook"/>
        </w:rPr>
        <w:t>,</w:t>
      </w:r>
      <w:r w:rsidR="00303C20">
        <w:rPr>
          <w:rFonts w:ascii="Century Schoolbook" w:hAnsi="Century Schoolbook"/>
        </w:rPr>
        <w:t xml:space="preserve"> and Strategic </w:t>
      </w:r>
      <w:r>
        <w:rPr>
          <w:rFonts w:ascii="Century Schoolbook" w:hAnsi="Century Schoolbook"/>
        </w:rPr>
        <w:t xml:space="preserve">Hotels and Resorts, LLC (Strategic) </w:t>
      </w:r>
      <w:r w:rsidR="00303C20">
        <w:rPr>
          <w:rFonts w:ascii="Century Schoolbook" w:hAnsi="Century Schoolbook"/>
        </w:rPr>
        <w:t>(collectively, the Strategic Plaintiffs)</w:t>
      </w:r>
      <w:r w:rsidR="00BE0242">
        <w:rPr>
          <w:rFonts w:ascii="Century Schoolbook" w:hAnsi="Century Schoolbook"/>
        </w:rPr>
        <w:t>, the owners of the hotel,</w:t>
      </w:r>
      <w:r w:rsidR="00303C20">
        <w:rPr>
          <w:rFonts w:ascii="Century Schoolbook" w:hAnsi="Century Schoolbook"/>
        </w:rPr>
        <w:t xml:space="preserve"> </w:t>
      </w:r>
      <w:r w:rsidR="00F132BA">
        <w:rPr>
          <w:rFonts w:ascii="Century Schoolbook" w:hAnsi="Century Schoolbook"/>
        </w:rPr>
        <w:t xml:space="preserve">challenged the </w:t>
      </w:r>
      <w:r>
        <w:rPr>
          <w:rFonts w:ascii="Century Schoolbook" w:hAnsi="Century Schoolbook"/>
        </w:rPr>
        <w:t>new</w:t>
      </w:r>
      <w:r w:rsidR="00BE0242">
        <w:rPr>
          <w:rFonts w:ascii="Century Schoolbook" w:hAnsi="Century Schoolbook"/>
        </w:rPr>
        <w:t xml:space="preserve"> assessment</w:t>
      </w:r>
      <w:r w:rsidR="00F132BA">
        <w:rPr>
          <w:rFonts w:ascii="Century Schoolbook" w:hAnsi="Century Schoolbook"/>
        </w:rPr>
        <w:t xml:space="preserve"> in an appeal to the San Francisco Assessment Appeals Board (Board).  </w:t>
      </w:r>
      <w:r w:rsidR="00BE0242">
        <w:rPr>
          <w:rFonts w:ascii="Century Schoolbook" w:hAnsi="Century Schoolbook"/>
        </w:rPr>
        <w:t xml:space="preserve">After </w:t>
      </w:r>
      <w:r w:rsidR="00A84FA3">
        <w:rPr>
          <w:rFonts w:ascii="Century Schoolbook" w:hAnsi="Century Schoolbook"/>
        </w:rPr>
        <w:t>adjusting</w:t>
      </w:r>
      <w:r w:rsidR="00BE0242">
        <w:rPr>
          <w:rFonts w:ascii="Century Schoolbook" w:hAnsi="Century Schoolbook"/>
        </w:rPr>
        <w:t xml:space="preserve"> the capitalization rate, t</w:t>
      </w:r>
      <w:r w:rsidR="00F132BA">
        <w:rPr>
          <w:rFonts w:ascii="Century Schoolbook" w:hAnsi="Century Schoolbook"/>
        </w:rPr>
        <w:t xml:space="preserve">he Board </w:t>
      </w:r>
      <w:r w:rsidR="00D232F8">
        <w:rPr>
          <w:rFonts w:ascii="Century Schoolbook" w:hAnsi="Century Schoolbook"/>
        </w:rPr>
        <w:t xml:space="preserve">largely </w:t>
      </w:r>
      <w:r w:rsidR="00F132BA">
        <w:rPr>
          <w:rFonts w:ascii="Century Schoolbook" w:hAnsi="Century Schoolbook"/>
        </w:rPr>
        <w:t xml:space="preserve">upheld the </w:t>
      </w:r>
      <w:r w:rsidR="00884A90">
        <w:rPr>
          <w:rFonts w:ascii="Century Schoolbook" w:hAnsi="Century Schoolbook"/>
        </w:rPr>
        <w:t>new assessment</w:t>
      </w:r>
      <w:r w:rsidR="00F132BA">
        <w:rPr>
          <w:rFonts w:ascii="Century Schoolbook" w:hAnsi="Century Schoolbook"/>
        </w:rPr>
        <w:t xml:space="preserve">.  </w:t>
      </w:r>
    </w:p>
    <w:p w14:paraId="1CF0DD32" w14:textId="77777777" w:rsidR="00066E2D" w:rsidRDefault="00653098" w:rsidP="008F6E45">
      <w:pPr>
        <w:tabs>
          <w:tab w:val="clear" w:pos="720"/>
        </w:tabs>
        <w:spacing w:line="360" w:lineRule="auto"/>
        <w:ind w:firstLine="720"/>
        <w:rPr>
          <w:rFonts w:ascii="Century Schoolbook" w:hAnsi="Century Schoolbook"/>
        </w:rPr>
      </w:pPr>
      <w:r>
        <w:rPr>
          <w:rFonts w:ascii="Century Schoolbook" w:hAnsi="Century Schoolbook"/>
        </w:rPr>
        <w:t xml:space="preserve">The Strategic Plaintiffs now contend the assessed value of the hotel is too high because it improperly subsumes the value of four nontaxable, intangible assets:  (1) the hotel’s management agreement; (2) </w:t>
      </w:r>
      <w:r w:rsidR="00BE0242">
        <w:rPr>
          <w:rFonts w:ascii="Century Schoolbook" w:hAnsi="Century Schoolbook"/>
        </w:rPr>
        <w:t>income from guests who cancel their reservations (cancellations), do not show up for their reservations (no shows), or leave the hotel before their reservation is over (attrition) (collectively, cancellation/no show/attrition income)</w:t>
      </w:r>
      <w:r w:rsidR="00123188">
        <w:rPr>
          <w:rFonts w:ascii="Century Schoolbook" w:hAnsi="Century Schoolbook"/>
        </w:rPr>
        <w:t>; (3) in-room movies; and (4) guest laundry services</w:t>
      </w:r>
      <w:r>
        <w:rPr>
          <w:rFonts w:ascii="Century Schoolbook" w:hAnsi="Century Schoolbook"/>
        </w:rPr>
        <w:t xml:space="preserve">.  </w:t>
      </w:r>
      <w:r w:rsidR="002B510C">
        <w:rPr>
          <w:rFonts w:ascii="Century Schoolbook" w:hAnsi="Century Schoolbook"/>
        </w:rPr>
        <w:t>The City</w:t>
      </w:r>
      <w:r>
        <w:rPr>
          <w:rFonts w:ascii="Century Schoolbook" w:hAnsi="Century Schoolbook"/>
        </w:rPr>
        <w:t xml:space="preserve"> counters </w:t>
      </w:r>
      <w:r w:rsidR="00961B2C">
        <w:rPr>
          <w:rFonts w:ascii="Century Schoolbook" w:hAnsi="Century Schoolbook"/>
        </w:rPr>
        <w:t xml:space="preserve">that the assessed value is </w:t>
      </w:r>
      <w:r w:rsidR="008F6E45">
        <w:rPr>
          <w:rFonts w:ascii="Century Schoolbook" w:hAnsi="Century Schoolbook"/>
        </w:rPr>
        <w:t>correct</w:t>
      </w:r>
      <w:r w:rsidR="00123188">
        <w:rPr>
          <w:rFonts w:ascii="Century Schoolbook" w:hAnsi="Century Schoolbook"/>
        </w:rPr>
        <w:t xml:space="preserve"> because </w:t>
      </w:r>
      <w:r w:rsidR="00BE0242">
        <w:rPr>
          <w:rFonts w:ascii="Century Schoolbook" w:hAnsi="Century Schoolbook"/>
        </w:rPr>
        <w:t>its</w:t>
      </w:r>
      <w:r w:rsidR="00123188">
        <w:rPr>
          <w:rFonts w:ascii="Century Schoolbook" w:hAnsi="Century Schoolbook"/>
        </w:rPr>
        <w:t xml:space="preserve"> </w:t>
      </w:r>
      <w:r>
        <w:rPr>
          <w:rFonts w:ascii="Century Schoolbook" w:hAnsi="Century Schoolbook"/>
        </w:rPr>
        <w:t>deduct</w:t>
      </w:r>
      <w:r w:rsidR="00BE0242">
        <w:rPr>
          <w:rFonts w:ascii="Century Schoolbook" w:hAnsi="Century Schoolbook"/>
        </w:rPr>
        <w:t>ion of</w:t>
      </w:r>
      <w:r>
        <w:rPr>
          <w:rFonts w:ascii="Century Schoolbook" w:hAnsi="Century Schoolbook"/>
        </w:rPr>
        <w:t xml:space="preserve"> the fees or expenses associated with the asset</w:t>
      </w:r>
      <w:r w:rsidR="002B510C">
        <w:rPr>
          <w:rFonts w:ascii="Century Schoolbook" w:hAnsi="Century Schoolbook"/>
        </w:rPr>
        <w:t xml:space="preserve"> from the hotel’s future income stream</w:t>
      </w:r>
      <w:r w:rsidR="00BE0242">
        <w:rPr>
          <w:rFonts w:ascii="Century Schoolbook" w:hAnsi="Century Schoolbook"/>
        </w:rPr>
        <w:t xml:space="preserve"> full</w:t>
      </w:r>
      <w:r w:rsidR="00A84FA3">
        <w:rPr>
          <w:rFonts w:ascii="Century Schoolbook" w:hAnsi="Century Schoolbook"/>
        </w:rPr>
        <w:t>y</w:t>
      </w:r>
      <w:r w:rsidR="00BE0242">
        <w:rPr>
          <w:rFonts w:ascii="Century Schoolbook" w:hAnsi="Century Schoolbook"/>
        </w:rPr>
        <w:t xml:space="preserve"> </w:t>
      </w:r>
      <w:r w:rsidR="00A84FA3">
        <w:rPr>
          <w:rFonts w:ascii="Century Schoolbook" w:hAnsi="Century Schoolbook"/>
        </w:rPr>
        <w:t>remov</w:t>
      </w:r>
      <w:r w:rsidR="00BE0242">
        <w:rPr>
          <w:rFonts w:ascii="Century Schoolbook" w:hAnsi="Century Schoolbook"/>
        </w:rPr>
        <w:t>ed that asset’s value</w:t>
      </w:r>
      <w:r w:rsidR="00A84FA3">
        <w:rPr>
          <w:rFonts w:ascii="Century Schoolbook" w:hAnsi="Century Schoolbook"/>
        </w:rPr>
        <w:t xml:space="preserve"> from the assessed value</w:t>
      </w:r>
      <w:r w:rsidR="00961B2C">
        <w:rPr>
          <w:rFonts w:ascii="Century Schoolbook" w:hAnsi="Century Schoolbook"/>
        </w:rPr>
        <w:t>,</w:t>
      </w:r>
      <w:r>
        <w:rPr>
          <w:rFonts w:ascii="Century Schoolbook" w:hAnsi="Century Schoolbook"/>
        </w:rPr>
        <w:t xml:space="preserve"> </w:t>
      </w:r>
      <w:r w:rsidR="00123188">
        <w:rPr>
          <w:rFonts w:ascii="Century Schoolbook" w:hAnsi="Century Schoolbook"/>
        </w:rPr>
        <w:t>because</w:t>
      </w:r>
      <w:r>
        <w:rPr>
          <w:rFonts w:ascii="Century Schoolbook" w:hAnsi="Century Schoolbook"/>
        </w:rPr>
        <w:t xml:space="preserve"> the asset</w:t>
      </w:r>
      <w:r w:rsidR="00123188">
        <w:rPr>
          <w:rFonts w:ascii="Century Schoolbook" w:hAnsi="Century Schoolbook"/>
        </w:rPr>
        <w:t xml:space="preserve"> is taxable</w:t>
      </w:r>
      <w:r w:rsidR="00961B2C">
        <w:rPr>
          <w:rFonts w:ascii="Century Schoolbook" w:hAnsi="Century Schoolbook"/>
        </w:rPr>
        <w:t xml:space="preserve"> as an </w:t>
      </w:r>
      <w:r w:rsidR="00BE0242">
        <w:rPr>
          <w:rFonts w:ascii="Century Schoolbook" w:hAnsi="Century Schoolbook"/>
        </w:rPr>
        <w:t xml:space="preserve">intangible </w:t>
      </w:r>
      <w:r w:rsidR="00961B2C">
        <w:rPr>
          <w:rFonts w:ascii="Century Schoolbook" w:hAnsi="Century Schoolbook"/>
        </w:rPr>
        <w:t xml:space="preserve">attribute of the property, or because the asset did not generate any </w:t>
      </w:r>
      <w:r w:rsidR="00F6483D">
        <w:rPr>
          <w:rFonts w:ascii="Century Schoolbook" w:hAnsi="Century Schoolbook"/>
        </w:rPr>
        <w:t xml:space="preserve">excludable </w:t>
      </w:r>
      <w:r w:rsidR="00961B2C">
        <w:rPr>
          <w:rFonts w:ascii="Century Schoolbook" w:hAnsi="Century Schoolbook"/>
        </w:rPr>
        <w:t>income</w:t>
      </w:r>
      <w:r>
        <w:rPr>
          <w:rFonts w:ascii="Century Schoolbook" w:hAnsi="Century Schoolbook"/>
        </w:rPr>
        <w:t xml:space="preserve">.  </w:t>
      </w:r>
      <w:r w:rsidR="00BE0242">
        <w:rPr>
          <w:rFonts w:ascii="Century Schoolbook" w:hAnsi="Century Schoolbook"/>
        </w:rPr>
        <w:t>W</w:t>
      </w:r>
      <w:r w:rsidR="00123188">
        <w:rPr>
          <w:rFonts w:ascii="Century Schoolbook" w:hAnsi="Century Schoolbook"/>
        </w:rPr>
        <w:t xml:space="preserve">e find that the method used by </w:t>
      </w:r>
      <w:r w:rsidR="00BE0242">
        <w:rPr>
          <w:rFonts w:ascii="Century Schoolbook" w:hAnsi="Century Schoolbook"/>
        </w:rPr>
        <w:t>the City</w:t>
      </w:r>
      <w:r w:rsidR="00123188">
        <w:rPr>
          <w:rFonts w:ascii="Century Schoolbook" w:hAnsi="Century Schoolbook"/>
        </w:rPr>
        <w:t xml:space="preserve"> to </w:t>
      </w:r>
      <w:r w:rsidR="00F6483D">
        <w:rPr>
          <w:rFonts w:ascii="Century Schoolbook" w:hAnsi="Century Schoolbook"/>
        </w:rPr>
        <w:t xml:space="preserve">exclude the </w:t>
      </w:r>
      <w:r w:rsidR="00123188">
        <w:rPr>
          <w:rFonts w:ascii="Century Schoolbook" w:hAnsi="Century Schoolbook"/>
        </w:rPr>
        <w:t xml:space="preserve">value </w:t>
      </w:r>
      <w:r w:rsidR="00F6483D">
        <w:rPr>
          <w:rFonts w:ascii="Century Schoolbook" w:hAnsi="Century Schoolbook"/>
        </w:rPr>
        <w:t xml:space="preserve">of nontaxable, </w:t>
      </w:r>
      <w:r w:rsidR="00123188">
        <w:rPr>
          <w:rFonts w:ascii="Century Schoolbook" w:hAnsi="Century Schoolbook"/>
        </w:rPr>
        <w:t>intangible assets from the assessed value</w:t>
      </w:r>
      <w:r w:rsidR="00884A90">
        <w:rPr>
          <w:rFonts w:ascii="Century Schoolbook" w:hAnsi="Century Schoolbook"/>
        </w:rPr>
        <w:t xml:space="preserve"> of the </w:t>
      </w:r>
    </w:p>
    <w:p w14:paraId="1CF0DD33" w14:textId="77777777" w:rsidR="00F56A04" w:rsidRDefault="00653098" w:rsidP="00066E2D">
      <w:pPr>
        <w:tabs>
          <w:tab w:val="clear" w:pos="720"/>
        </w:tabs>
        <w:spacing w:line="360" w:lineRule="auto"/>
        <w:rPr>
          <w:rFonts w:ascii="Century Schoolbook" w:hAnsi="Century Schoolbook"/>
        </w:rPr>
      </w:pPr>
      <w:r>
        <w:rPr>
          <w:rFonts w:ascii="Century Schoolbook" w:hAnsi="Century Schoolbook"/>
        </w:rPr>
        <w:t>hotel</w:t>
      </w:r>
      <w:r w:rsidR="00A84FA3">
        <w:rPr>
          <w:rFonts w:ascii="Century Schoolbook" w:hAnsi="Century Schoolbook"/>
        </w:rPr>
        <w:t xml:space="preserve">—i.e., the deduction of fees or expenses associated with the asset from the hotel’s </w:t>
      </w:r>
      <w:r>
        <w:rPr>
          <w:rFonts w:ascii="Century Schoolbook" w:hAnsi="Century Schoolbook"/>
        </w:rPr>
        <w:t xml:space="preserve">future </w:t>
      </w:r>
      <w:r w:rsidR="00A84FA3">
        <w:rPr>
          <w:rFonts w:ascii="Century Schoolbook" w:hAnsi="Century Schoolbook"/>
        </w:rPr>
        <w:t>income stream—</w:t>
      </w:r>
      <w:r w:rsidR="00123188">
        <w:rPr>
          <w:rFonts w:ascii="Century Schoolbook" w:hAnsi="Century Schoolbook"/>
        </w:rPr>
        <w:t>is legally incorrect</w:t>
      </w:r>
      <w:r w:rsidR="008F6E45">
        <w:rPr>
          <w:rFonts w:ascii="Century Schoolbook" w:hAnsi="Century Schoolbook"/>
        </w:rPr>
        <w:t xml:space="preserve">.  As a result, the assessed value </w:t>
      </w:r>
      <w:r w:rsidR="00D9092B">
        <w:rPr>
          <w:rFonts w:ascii="Century Schoolbook" w:hAnsi="Century Schoolbook"/>
        </w:rPr>
        <w:t xml:space="preserve">of the hotel </w:t>
      </w:r>
      <w:r w:rsidR="008F6E45">
        <w:rPr>
          <w:rFonts w:ascii="Century Schoolbook" w:hAnsi="Century Schoolbook"/>
        </w:rPr>
        <w:t>improperly subsume</w:t>
      </w:r>
      <w:r>
        <w:rPr>
          <w:rFonts w:ascii="Century Schoolbook" w:hAnsi="Century Schoolbook"/>
        </w:rPr>
        <w:t>d</w:t>
      </w:r>
      <w:r w:rsidR="008F6E45">
        <w:rPr>
          <w:rFonts w:ascii="Century Schoolbook" w:hAnsi="Century Schoolbook"/>
        </w:rPr>
        <w:t xml:space="preserve"> the value of the management agreement, in-room movies, and guest laundry services.  We, however, find that </w:t>
      </w:r>
      <w:r w:rsidR="00123188">
        <w:rPr>
          <w:rFonts w:ascii="Century Schoolbook" w:hAnsi="Century Schoolbook"/>
        </w:rPr>
        <w:t>the assessed value properly include</w:t>
      </w:r>
      <w:r>
        <w:rPr>
          <w:rFonts w:ascii="Century Schoolbook" w:hAnsi="Century Schoolbook"/>
        </w:rPr>
        <w:t>d</w:t>
      </w:r>
      <w:r w:rsidR="00123188">
        <w:rPr>
          <w:rFonts w:ascii="Century Schoolbook" w:hAnsi="Century Schoolbook"/>
        </w:rPr>
        <w:t xml:space="preserve"> </w:t>
      </w:r>
      <w:r w:rsidR="00BE0242">
        <w:rPr>
          <w:rFonts w:ascii="Century Schoolbook" w:hAnsi="Century Schoolbook"/>
        </w:rPr>
        <w:t xml:space="preserve">the cancellation/no show/attrition </w:t>
      </w:r>
      <w:r w:rsidR="00123188">
        <w:rPr>
          <w:rFonts w:ascii="Century Schoolbook" w:hAnsi="Century Schoolbook"/>
        </w:rPr>
        <w:t xml:space="preserve">income </w:t>
      </w:r>
      <w:r w:rsidR="00EC3B86">
        <w:rPr>
          <w:rFonts w:ascii="Century Schoolbook" w:hAnsi="Century Schoolbook"/>
        </w:rPr>
        <w:t>b</w:t>
      </w:r>
      <w:r w:rsidR="00F6483D">
        <w:rPr>
          <w:rFonts w:ascii="Century Schoolbook" w:hAnsi="Century Schoolbook"/>
        </w:rPr>
        <w:t xml:space="preserve">ecause that </w:t>
      </w:r>
      <w:r w:rsidR="00BE0242">
        <w:rPr>
          <w:rFonts w:ascii="Century Schoolbook" w:hAnsi="Century Schoolbook"/>
        </w:rPr>
        <w:t>asset</w:t>
      </w:r>
      <w:r w:rsidR="00F6483D">
        <w:rPr>
          <w:rFonts w:ascii="Century Schoolbook" w:hAnsi="Century Schoolbook"/>
        </w:rPr>
        <w:t xml:space="preserve"> is a taxable attribute of the property</w:t>
      </w:r>
      <w:r w:rsidR="00123188">
        <w:rPr>
          <w:rFonts w:ascii="Century Schoolbook" w:hAnsi="Century Schoolbook"/>
        </w:rPr>
        <w:t xml:space="preserve">.  </w:t>
      </w:r>
      <w:r w:rsidR="003113DC">
        <w:rPr>
          <w:rFonts w:ascii="Century Schoolbook" w:hAnsi="Century Schoolbook"/>
        </w:rPr>
        <w:t xml:space="preserve">We therefore affirm in part and reverse in part </w:t>
      </w:r>
      <w:r w:rsidR="00123188">
        <w:rPr>
          <w:rFonts w:ascii="Century Schoolbook" w:hAnsi="Century Schoolbook"/>
        </w:rPr>
        <w:t>and remand for a redetermination of the taxable value of the hotel.</w:t>
      </w:r>
    </w:p>
    <w:p w14:paraId="1CF0DD34" w14:textId="77777777" w:rsidR="00B16EDA" w:rsidRDefault="00653098" w:rsidP="00066E2D">
      <w:pPr>
        <w:keepNext/>
        <w:keepLines/>
        <w:tabs>
          <w:tab w:val="clear" w:pos="720"/>
        </w:tabs>
        <w:spacing w:line="360" w:lineRule="auto"/>
        <w:jc w:val="center"/>
        <w:rPr>
          <w:rFonts w:ascii="Century Schoolbook" w:hAnsi="Century Schoolbook"/>
        </w:rPr>
      </w:pPr>
      <w:r>
        <w:rPr>
          <w:rFonts w:ascii="Century Schoolbook" w:hAnsi="Century Schoolbook"/>
          <w:b/>
          <w:bCs/>
        </w:rPr>
        <w:lastRenderedPageBreak/>
        <w:t>BACKGROUND</w:t>
      </w:r>
    </w:p>
    <w:p w14:paraId="1CF0DD35" w14:textId="77777777" w:rsidR="001B4063" w:rsidRDefault="00653098" w:rsidP="00066E2D">
      <w:pPr>
        <w:keepNext/>
        <w:keepLines/>
        <w:tabs>
          <w:tab w:val="clear" w:pos="720"/>
        </w:tabs>
        <w:spacing w:line="360" w:lineRule="auto"/>
        <w:rPr>
          <w:rFonts w:ascii="Century Schoolbook" w:hAnsi="Century Schoolbook"/>
        </w:rPr>
      </w:pPr>
      <w:r>
        <w:rPr>
          <w:rFonts w:ascii="Century Schoolbook" w:hAnsi="Century Schoolbook"/>
        </w:rPr>
        <w:tab/>
      </w:r>
      <w:r w:rsidR="00C66ECA">
        <w:rPr>
          <w:rFonts w:ascii="Century Schoolbook" w:hAnsi="Century Schoolbook"/>
        </w:rPr>
        <w:t xml:space="preserve">The Westin St. Francis </w:t>
      </w:r>
      <w:r w:rsidR="00772A38">
        <w:rPr>
          <w:rFonts w:ascii="Century Schoolbook" w:hAnsi="Century Schoolbook"/>
        </w:rPr>
        <w:t xml:space="preserve">is </w:t>
      </w:r>
      <w:r w:rsidR="008B70B9">
        <w:rPr>
          <w:rFonts w:ascii="Century Schoolbook" w:hAnsi="Century Schoolbook"/>
        </w:rPr>
        <w:t xml:space="preserve">the third largest hotel in San Francisco.  It has </w:t>
      </w:r>
      <w:r w:rsidR="00C66ECA">
        <w:rPr>
          <w:rFonts w:ascii="Century Schoolbook" w:hAnsi="Century Schoolbook"/>
        </w:rPr>
        <w:t>1,195 rooms</w:t>
      </w:r>
      <w:r w:rsidR="005847F5">
        <w:rPr>
          <w:rFonts w:ascii="Century Schoolbook" w:hAnsi="Century Schoolbook"/>
        </w:rPr>
        <w:t xml:space="preserve"> </w:t>
      </w:r>
      <w:r w:rsidR="008B70B9">
        <w:rPr>
          <w:rFonts w:ascii="Century Schoolbook" w:hAnsi="Century Schoolbook"/>
        </w:rPr>
        <w:t xml:space="preserve">and </w:t>
      </w:r>
      <w:proofErr w:type="gramStart"/>
      <w:r w:rsidR="008B70B9">
        <w:rPr>
          <w:rFonts w:ascii="Century Schoolbook" w:hAnsi="Century Schoolbook"/>
        </w:rPr>
        <w:t xml:space="preserve">is </w:t>
      </w:r>
      <w:r w:rsidR="005847F5">
        <w:rPr>
          <w:rFonts w:ascii="Century Schoolbook" w:hAnsi="Century Schoolbook"/>
        </w:rPr>
        <w:t>located in</w:t>
      </w:r>
      <w:proofErr w:type="gramEnd"/>
      <w:r w:rsidR="005847F5">
        <w:rPr>
          <w:rFonts w:ascii="Century Schoolbook" w:hAnsi="Century Schoolbook"/>
        </w:rPr>
        <w:t xml:space="preserve"> Union Square</w:t>
      </w:r>
      <w:r w:rsidR="00772A38">
        <w:rPr>
          <w:rFonts w:ascii="Century Schoolbook" w:hAnsi="Century Schoolbook"/>
        </w:rPr>
        <w:t xml:space="preserve">.  </w:t>
      </w:r>
      <w:r w:rsidR="008B70B9">
        <w:rPr>
          <w:rFonts w:ascii="Century Schoolbook" w:hAnsi="Century Schoolbook"/>
        </w:rPr>
        <w:t>The hotel</w:t>
      </w:r>
      <w:r w:rsidR="00C66ECA">
        <w:rPr>
          <w:rFonts w:ascii="Century Schoolbook" w:hAnsi="Century Schoolbook"/>
        </w:rPr>
        <w:t xml:space="preserve"> consists of two buildings on two lots</w:t>
      </w:r>
      <w:r w:rsidR="0050502A">
        <w:rPr>
          <w:rFonts w:ascii="Century Schoolbook" w:hAnsi="Century Schoolbook"/>
        </w:rPr>
        <w:t>.</w:t>
      </w:r>
      <w:r w:rsidR="00C66ECA">
        <w:rPr>
          <w:rFonts w:ascii="Century Schoolbook" w:hAnsi="Century Schoolbook"/>
        </w:rPr>
        <w:t xml:space="preserve">  The first building is 14 stories and was built in 1904; the second building is 31 stories and was built in 1972. </w:t>
      </w:r>
    </w:p>
    <w:p w14:paraId="1CF0DD36" w14:textId="77777777" w:rsidR="00265EBC" w:rsidRDefault="00653098" w:rsidP="00362BEF">
      <w:pPr>
        <w:tabs>
          <w:tab w:val="clear" w:pos="720"/>
        </w:tabs>
        <w:spacing w:line="360" w:lineRule="auto"/>
        <w:rPr>
          <w:rFonts w:ascii="Century Schoolbook" w:hAnsi="Century Schoolbook"/>
        </w:rPr>
      </w:pPr>
      <w:r>
        <w:rPr>
          <w:rFonts w:ascii="Century Schoolbook" w:hAnsi="Century Schoolbook"/>
        </w:rPr>
        <w:tab/>
        <w:t xml:space="preserve">The Westin Hotel Company </w:t>
      </w:r>
      <w:r w:rsidR="002B510C">
        <w:rPr>
          <w:rFonts w:ascii="Century Schoolbook" w:hAnsi="Century Schoolbook"/>
        </w:rPr>
        <w:t xml:space="preserve">(Company) </w:t>
      </w:r>
      <w:r>
        <w:rPr>
          <w:rFonts w:ascii="Century Schoolbook" w:hAnsi="Century Schoolbook"/>
        </w:rPr>
        <w:t>operates the hotel pursuant to a management agreement.  Under th</w:t>
      </w:r>
      <w:r w:rsidR="008A34F7">
        <w:rPr>
          <w:rFonts w:ascii="Century Schoolbook" w:hAnsi="Century Schoolbook"/>
        </w:rPr>
        <w:t>at</w:t>
      </w:r>
      <w:r>
        <w:rPr>
          <w:rFonts w:ascii="Century Schoolbook" w:hAnsi="Century Schoolbook"/>
        </w:rPr>
        <w:t xml:space="preserve"> agreement, the Company, among other things, manages and maintains the hotel, handles all person</w:t>
      </w:r>
      <w:r w:rsidR="002B510C">
        <w:rPr>
          <w:rFonts w:ascii="Century Schoolbook" w:hAnsi="Century Schoolbook"/>
        </w:rPr>
        <w:t>nel</w:t>
      </w:r>
      <w:r>
        <w:rPr>
          <w:rFonts w:ascii="Century Schoolbook" w:hAnsi="Century Schoolbook"/>
        </w:rPr>
        <w:t xml:space="preserve"> and employment matters, provides advertising and promotional services, and provides and manages all computer services, including reservations.  In return f</w:t>
      </w:r>
      <w:r>
        <w:rPr>
          <w:rFonts w:ascii="Century Schoolbook" w:hAnsi="Century Schoolbook"/>
        </w:rPr>
        <w:t>or those services, the Company receives a base management fee and an incentive management fee</w:t>
      </w:r>
      <w:r w:rsidR="00FA338B">
        <w:rPr>
          <w:rFonts w:ascii="Century Schoolbook" w:hAnsi="Century Schoolbook"/>
        </w:rPr>
        <w:t xml:space="preserve"> (collectively,</w:t>
      </w:r>
      <w:r w:rsidR="00F048E5">
        <w:rPr>
          <w:rFonts w:ascii="Century Schoolbook" w:hAnsi="Century Schoolbook"/>
        </w:rPr>
        <w:t xml:space="preserve"> </w:t>
      </w:r>
      <w:r w:rsidR="002B510C">
        <w:rPr>
          <w:rFonts w:ascii="Century Schoolbook" w:hAnsi="Century Schoolbook"/>
        </w:rPr>
        <w:t xml:space="preserve">the </w:t>
      </w:r>
      <w:r w:rsidR="00FA338B">
        <w:rPr>
          <w:rFonts w:ascii="Century Schoolbook" w:hAnsi="Century Schoolbook"/>
        </w:rPr>
        <w:t>management fees)</w:t>
      </w:r>
      <w:r>
        <w:rPr>
          <w:rFonts w:ascii="Century Schoolbook" w:hAnsi="Century Schoolbook"/>
        </w:rPr>
        <w:t xml:space="preserve">.  </w:t>
      </w:r>
    </w:p>
    <w:p w14:paraId="1CF0DD37" w14:textId="77777777" w:rsidR="00265EBC" w:rsidRDefault="00653098" w:rsidP="00362BEF">
      <w:pPr>
        <w:tabs>
          <w:tab w:val="clear" w:pos="720"/>
        </w:tabs>
        <w:spacing w:line="360" w:lineRule="auto"/>
        <w:rPr>
          <w:rFonts w:ascii="Century Schoolbook" w:hAnsi="Century Schoolbook"/>
        </w:rPr>
      </w:pPr>
      <w:r>
        <w:rPr>
          <w:rFonts w:ascii="Century Schoolbook" w:hAnsi="Century Schoolbook"/>
        </w:rPr>
        <w:tab/>
      </w:r>
      <w:r w:rsidR="008A34F7">
        <w:rPr>
          <w:rFonts w:ascii="Century Schoolbook" w:hAnsi="Century Schoolbook"/>
        </w:rPr>
        <w:t xml:space="preserve">In addition to renting its rooms, the Westin St. Francis generates income from several other sources. </w:t>
      </w:r>
      <w:r w:rsidR="0050502A">
        <w:rPr>
          <w:rFonts w:ascii="Century Schoolbook" w:hAnsi="Century Schoolbook"/>
        </w:rPr>
        <w:t xml:space="preserve"> </w:t>
      </w:r>
      <w:r w:rsidR="008A34F7">
        <w:rPr>
          <w:rFonts w:ascii="Century Schoolbook" w:hAnsi="Century Schoolbook"/>
        </w:rPr>
        <w:t>As relevant here, the hotel receives</w:t>
      </w:r>
      <w:r w:rsidR="00BE0242">
        <w:rPr>
          <w:rFonts w:ascii="Century Schoolbook" w:hAnsi="Century Schoolbook"/>
        </w:rPr>
        <w:t xml:space="preserve"> income from </w:t>
      </w:r>
      <w:r w:rsidR="00D232F8">
        <w:rPr>
          <w:rFonts w:ascii="Century Schoolbook" w:hAnsi="Century Schoolbook"/>
        </w:rPr>
        <w:t xml:space="preserve">guest </w:t>
      </w:r>
      <w:r w:rsidR="00BE0242">
        <w:rPr>
          <w:rFonts w:ascii="Century Schoolbook" w:hAnsi="Century Schoolbook"/>
        </w:rPr>
        <w:t>cancellations, no shows, and attrition</w:t>
      </w:r>
      <w:r w:rsidR="008A34F7">
        <w:rPr>
          <w:rFonts w:ascii="Century Schoolbook" w:hAnsi="Century Schoolbook"/>
        </w:rPr>
        <w:t xml:space="preserve">.  The hotel also </w:t>
      </w:r>
      <w:r w:rsidR="00851717">
        <w:rPr>
          <w:rFonts w:ascii="Century Schoolbook" w:hAnsi="Century Schoolbook"/>
        </w:rPr>
        <w:t>profits</w:t>
      </w:r>
      <w:r w:rsidR="008A34F7">
        <w:rPr>
          <w:rFonts w:ascii="Century Schoolbook" w:hAnsi="Century Schoolbook"/>
        </w:rPr>
        <w:t xml:space="preserve"> f</w:t>
      </w:r>
      <w:r w:rsidR="00FA338B">
        <w:rPr>
          <w:rFonts w:ascii="Century Schoolbook" w:hAnsi="Century Schoolbook"/>
        </w:rPr>
        <w:t xml:space="preserve">rom </w:t>
      </w:r>
      <w:r w:rsidR="008A34F7">
        <w:rPr>
          <w:rFonts w:ascii="Century Schoolbook" w:hAnsi="Century Schoolbook"/>
        </w:rPr>
        <w:t>in-room movies</w:t>
      </w:r>
      <w:r w:rsidR="00476FF4">
        <w:rPr>
          <w:rFonts w:ascii="Century Schoolbook" w:hAnsi="Century Schoolbook"/>
        </w:rPr>
        <w:t xml:space="preserve"> </w:t>
      </w:r>
      <w:r w:rsidR="00F048E5">
        <w:rPr>
          <w:rFonts w:ascii="Century Schoolbook" w:hAnsi="Century Schoolbook"/>
        </w:rPr>
        <w:t xml:space="preserve">and guest laundry services </w:t>
      </w:r>
      <w:r w:rsidR="00476FF4">
        <w:rPr>
          <w:rFonts w:ascii="Century Schoolbook" w:hAnsi="Century Schoolbook"/>
        </w:rPr>
        <w:t>provided by third party vendors</w:t>
      </w:r>
      <w:r w:rsidR="00F048E5">
        <w:rPr>
          <w:rFonts w:ascii="Century Schoolbook" w:hAnsi="Century Schoolbook"/>
        </w:rPr>
        <w:t xml:space="preserve"> to </w:t>
      </w:r>
      <w:r w:rsidR="00BE0242">
        <w:rPr>
          <w:rFonts w:ascii="Century Schoolbook" w:hAnsi="Century Schoolbook"/>
        </w:rPr>
        <w:t xml:space="preserve">its </w:t>
      </w:r>
      <w:r w:rsidR="00F048E5">
        <w:rPr>
          <w:rFonts w:ascii="Century Schoolbook" w:hAnsi="Century Schoolbook"/>
        </w:rPr>
        <w:t>guests</w:t>
      </w:r>
      <w:r w:rsidR="008A34F7">
        <w:rPr>
          <w:rFonts w:ascii="Century Schoolbook" w:hAnsi="Century Schoolbook"/>
        </w:rPr>
        <w:t xml:space="preserve">. </w:t>
      </w:r>
    </w:p>
    <w:p w14:paraId="1CF0DD38" w14:textId="77777777" w:rsidR="00E408D9" w:rsidRDefault="00653098" w:rsidP="00362BEF">
      <w:pPr>
        <w:tabs>
          <w:tab w:val="clear" w:pos="720"/>
        </w:tabs>
        <w:spacing w:line="360" w:lineRule="auto"/>
        <w:rPr>
          <w:rFonts w:ascii="Century Schoolbook" w:hAnsi="Century Schoolbook"/>
        </w:rPr>
      </w:pPr>
      <w:r>
        <w:rPr>
          <w:rFonts w:ascii="Century Schoolbook" w:hAnsi="Century Schoolbook"/>
        </w:rPr>
        <w:tab/>
      </w:r>
      <w:r w:rsidR="00327050">
        <w:rPr>
          <w:rFonts w:ascii="Century Schoolbook" w:hAnsi="Century Schoolbook"/>
        </w:rPr>
        <w:t xml:space="preserve">In </w:t>
      </w:r>
      <w:r>
        <w:rPr>
          <w:rFonts w:ascii="Century Schoolbook" w:hAnsi="Century Schoolbook"/>
        </w:rPr>
        <w:t>December 2015, BRE Diamond Hotel LLC, a subsidiary of Blackstone, purchased Strategic, the owner of the Westin St. Francis</w:t>
      </w:r>
      <w:r w:rsidR="00476FF4">
        <w:rPr>
          <w:rFonts w:ascii="Century Schoolbook" w:hAnsi="Century Schoolbook"/>
        </w:rPr>
        <w:t xml:space="preserve"> and other luxury hotels</w:t>
      </w:r>
      <w:r>
        <w:rPr>
          <w:rFonts w:ascii="Century Schoolbook" w:hAnsi="Century Schoolbook"/>
        </w:rPr>
        <w:t xml:space="preserve">.  </w:t>
      </w:r>
      <w:r w:rsidR="008854C8">
        <w:rPr>
          <w:rFonts w:ascii="Century Schoolbook" w:hAnsi="Century Schoolbook"/>
        </w:rPr>
        <w:t>The transaction</w:t>
      </w:r>
      <w:r>
        <w:rPr>
          <w:rFonts w:ascii="Century Schoolbook" w:hAnsi="Century Schoolbook"/>
        </w:rPr>
        <w:t xml:space="preserve"> resulted in a change in ow</w:t>
      </w:r>
      <w:r>
        <w:rPr>
          <w:rFonts w:ascii="Century Schoolbook" w:hAnsi="Century Schoolbook"/>
        </w:rPr>
        <w:t xml:space="preserve">nership, triggering a reassessment by the Assessor, who </w:t>
      </w:r>
      <w:r w:rsidR="00DA23E4">
        <w:rPr>
          <w:rFonts w:ascii="Century Schoolbook" w:hAnsi="Century Schoolbook"/>
        </w:rPr>
        <w:t>assess</w:t>
      </w:r>
      <w:r>
        <w:rPr>
          <w:rFonts w:ascii="Century Schoolbook" w:hAnsi="Century Schoolbook"/>
        </w:rPr>
        <w:t xml:space="preserve">ed the </w:t>
      </w:r>
      <w:r w:rsidR="00BE0242">
        <w:rPr>
          <w:rFonts w:ascii="Century Schoolbook" w:hAnsi="Century Schoolbook"/>
        </w:rPr>
        <w:t>hotel’s value</w:t>
      </w:r>
      <w:r>
        <w:rPr>
          <w:rFonts w:ascii="Century Schoolbook" w:hAnsi="Century Schoolbook"/>
        </w:rPr>
        <w:t xml:space="preserve"> a</w:t>
      </w:r>
      <w:r w:rsidR="00BE0242">
        <w:rPr>
          <w:rFonts w:ascii="Century Schoolbook" w:hAnsi="Century Schoolbook"/>
        </w:rPr>
        <w:t>t</w:t>
      </w:r>
      <w:r>
        <w:rPr>
          <w:rFonts w:ascii="Century Schoolbook" w:hAnsi="Century Schoolbook"/>
        </w:rPr>
        <w:t xml:space="preserve"> approximately $795 million. </w:t>
      </w:r>
    </w:p>
    <w:p w14:paraId="1CF0DD39" w14:textId="77777777" w:rsidR="00851717" w:rsidRDefault="00653098" w:rsidP="00362BEF">
      <w:pPr>
        <w:tabs>
          <w:tab w:val="clear" w:pos="720"/>
        </w:tabs>
        <w:spacing w:line="360" w:lineRule="auto"/>
        <w:rPr>
          <w:rFonts w:ascii="Century Schoolbook" w:hAnsi="Century Schoolbook"/>
        </w:rPr>
      </w:pPr>
      <w:r>
        <w:rPr>
          <w:rFonts w:ascii="Century Schoolbook" w:hAnsi="Century Schoolbook"/>
        </w:rPr>
        <w:tab/>
      </w:r>
      <w:r w:rsidR="00530866">
        <w:rPr>
          <w:rFonts w:ascii="Century Schoolbook" w:hAnsi="Century Schoolbook"/>
        </w:rPr>
        <w:t xml:space="preserve">The Strategic </w:t>
      </w:r>
      <w:r w:rsidR="00573524">
        <w:rPr>
          <w:rFonts w:ascii="Century Schoolbook" w:hAnsi="Century Schoolbook"/>
        </w:rPr>
        <w:t>Plaintiffs</w:t>
      </w:r>
      <w:r>
        <w:rPr>
          <w:rFonts w:ascii="Century Schoolbook" w:hAnsi="Century Schoolbook"/>
        </w:rPr>
        <w:t xml:space="preserve"> </w:t>
      </w:r>
      <w:r w:rsidR="00476FF4">
        <w:rPr>
          <w:rFonts w:ascii="Century Schoolbook" w:hAnsi="Century Schoolbook"/>
        </w:rPr>
        <w:t>appealed</w:t>
      </w:r>
      <w:r>
        <w:rPr>
          <w:rFonts w:ascii="Century Schoolbook" w:hAnsi="Century Schoolbook"/>
        </w:rPr>
        <w:t xml:space="preserve"> </w:t>
      </w:r>
      <w:r w:rsidR="00B170ED">
        <w:rPr>
          <w:rFonts w:ascii="Century Schoolbook" w:hAnsi="Century Schoolbook"/>
        </w:rPr>
        <w:t xml:space="preserve">this assessment </w:t>
      </w:r>
      <w:r w:rsidR="00476FF4">
        <w:rPr>
          <w:rFonts w:ascii="Century Schoolbook" w:hAnsi="Century Schoolbook"/>
        </w:rPr>
        <w:t>to the Board</w:t>
      </w:r>
      <w:r>
        <w:rPr>
          <w:rFonts w:ascii="Century Schoolbook" w:hAnsi="Century Schoolbook"/>
        </w:rPr>
        <w:t>,</w:t>
      </w:r>
      <w:r w:rsidR="008854C8">
        <w:rPr>
          <w:rFonts w:ascii="Century Schoolbook" w:hAnsi="Century Schoolbook"/>
        </w:rPr>
        <w:t xml:space="preserve"> contend</w:t>
      </w:r>
      <w:r>
        <w:rPr>
          <w:rFonts w:ascii="Century Schoolbook" w:hAnsi="Century Schoolbook"/>
        </w:rPr>
        <w:t>ing</w:t>
      </w:r>
      <w:r w:rsidR="008854C8">
        <w:rPr>
          <w:rFonts w:ascii="Century Schoolbook" w:hAnsi="Century Schoolbook"/>
        </w:rPr>
        <w:t xml:space="preserve"> </w:t>
      </w:r>
      <w:r w:rsidR="002B510C">
        <w:rPr>
          <w:rFonts w:ascii="Century Schoolbook" w:hAnsi="Century Schoolbook"/>
        </w:rPr>
        <w:t>the Assessor</w:t>
      </w:r>
      <w:r w:rsidR="008854C8">
        <w:rPr>
          <w:rFonts w:ascii="Century Schoolbook" w:hAnsi="Century Schoolbook"/>
        </w:rPr>
        <w:t xml:space="preserve"> improperly </w:t>
      </w:r>
      <w:r w:rsidR="002B510C">
        <w:rPr>
          <w:rFonts w:ascii="Century Schoolbook" w:hAnsi="Century Schoolbook"/>
        </w:rPr>
        <w:t>subsumed</w:t>
      </w:r>
      <w:r w:rsidR="008854C8">
        <w:rPr>
          <w:rFonts w:ascii="Century Schoolbook" w:hAnsi="Century Schoolbook"/>
        </w:rPr>
        <w:t xml:space="preserve"> the value of four </w:t>
      </w:r>
      <w:r w:rsidR="00BE0242">
        <w:rPr>
          <w:rFonts w:ascii="Century Schoolbook" w:hAnsi="Century Schoolbook"/>
        </w:rPr>
        <w:t xml:space="preserve">nontaxable, </w:t>
      </w:r>
      <w:r w:rsidR="008854C8">
        <w:rPr>
          <w:rFonts w:ascii="Century Schoolbook" w:hAnsi="Century Schoolbook"/>
        </w:rPr>
        <w:t xml:space="preserve">intangible assets </w:t>
      </w:r>
      <w:r w:rsidR="00BE0242">
        <w:rPr>
          <w:rFonts w:ascii="Century Schoolbook" w:hAnsi="Century Schoolbook"/>
        </w:rPr>
        <w:t>i</w:t>
      </w:r>
      <w:r w:rsidR="002B510C">
        <w:rPr>
          <w:rFonts w:ascii="Century Schoolbook" w:hAnsi="Century Schoolbook"/>
        </w:rPr>
        <w:t xml:space="preserve">nto the </w:t>
      </w:r>
      <w:r w:rsidR="00BE0242">
        <w:rPr>
          <w:rFonts w:ascii="Century Schoolbook" w:hAnsi="Century Schoolbook"/>
        </w:rPr>
        <w:t>taxable</w:t>
      </w:r>
      <w:r w:rsidR="002B510C">
        <w:rPr>
          <w:rFonts w:ascii="Century Schoolbook" w:hAnsi="Century Schoolbook"/>
        </w:rPr>
        <w:t xml:space="preserve"> value of the hotel</w:t>
      </w:r>
      <w:r w:rsidR="008854C8">
        <w:rPr>
          <w:rFonts w:ascii="Century Schoolbook" w:hAnsi="Century Schoolbook"/>
        </w:rPr>
        <w:t xml:space="preserve">: </w:t>
      </w:r>
      <w:r w:rsidR="002B510C">
        <w:rPr>
          <w:rFonts w:ascii="Century Schoolbook" w:hAnsi="Century Schoolbook"/>
        </w:rPr>
        <w:t xml:space="preserve"> </w:t>
      </w:r>
      <w:r w:rsidR="008854C8">
        <w:rPr>
          <w:rFonts w:ascii="Century Schoolbook" w:hAnsi="Century Schoolbook"/>
        </w:rPr>
        <w:t>(1) the management agreement; (2) cancellation/no show/attrition income; (3) in-room movies</w:t>
      </w:r>
      <w:r w:rsidR="006D7A79">
        <w:rPr>
          <w:rFonts w:ascii="Century Schoolbook" w:hAnsi="Century Schoolbook"/>
        </w:rPr>
        <w:t xml:space="preserve">; </w:t>
      </w:r>
      <w:r w:rsidR="008854C8">
        <w:rPr>
          <w:rFonts w:ascii="Century Schoolbook" w:hAnsi="Century Schoolbook"/>
        </w:rPr>
        <w:t>and (4) guest laundry</w:t>
      </w:r>
      <w:r>
        <w:rPr>
          <w:rFonts w:ascii="Century Schoolbook" w:hAnsi="Century Schoolbook"/>
        </w:rPr>
        <w:t xml:space="preserve"> services</w:t>
      </w:r>
      <w:r w:rsidR="008854C8">
        <w:rPr>
          <w:rFonts w:ascii="Century Schoolbook" w:hAnsi="Century Schoolbook"/>
        </w:rPr>
        <w:t xml:space="preserve">. </w:t>
      </w:r>
      <w:r w:rsidR="00DA7DAD">
        <w:rPr>
          <w:rFonts w:ascii="Century Schoolbook" w:hAnsi="Century Schoolbook"/>
        </w:rPr>
        <w:t xml:space="preserve"> </w:t>
      </w:r>
      <w:r>
        <w:rPr>
          <w:rFonts w:ascii="Century Schoolbook" w:hAnsi="Century Schoolbook"/>
        </w:rPr>
        <w:t>According to</w:t>
      </w:r>
      <w:r w:rsidR="00530866">
        <w:rPr>
          <w:rFonts w:ascii="Century Schoolbook" w:hAnsi="Century Schoolbook"/>
        </w:rPr>
        <w:t xml:space="preserve"> the Strategic Plaintiffs</w:t>
      </w:r>
      <w:r>
        <w:rPr>
          <w:rFonts w:ascii="Century Schoolbook" w:hAnsi="Century Schoolbook"/>
        </w:rPr>
        <w:t xml:space="preserve">, the </w:t>
      </w:r>
      <w:r w:rsidR="001E7D61">
        <w:rPr>
          <w:rFonts w:ascii="Century Schoolbook" w:hAnsi="Century Schoolbook"/>
        </w:rPr>
        <w:t>Assessor</w:t>
      </w:r>
      <w:r>
        <w:rPr>
          <w:rFonts w:ascii="Century Schoolbook" w:hAnsi="Century Schoolbook"/>
        </w:rPr>
        <w:t xml:space="preserve"> </w:t>
      </w:r>
      <w:r>
        <w:rPr>
          <w:rFonts w:ascii="Century Schoolbook" w:hAnsi="Century Schoolbook"/>
        </w:rPr>
        <w:lastRenderedPageBreak/>
        <w:t xml:space="preserve">should have </w:t>
      </w:r>
      <w:r w:rsidR="00D232F8">
        <w:rPr>
          <w:rFonts w:ascii="Century Schoolbook" w:hAnsi="Century Schoolbook"/>
        </w:rPr>
        <w:t>deducted</w:t>
      </w:r>
      <w:r>
        <w:rPr>
          <w:rFonts w:ascii="Century Schoolbook" w:hAnsi="Century Schoolbook"/>
        </w:rPr>
        <w:t xml:space="preserve"> the net </w:t>
      </w:r>
      <w:r w:rsidR="001E7D61">
        <w:rPr>
          <w:rFonts w:ascii="Century Schoolbook" w:hAnsi="Century Schoolbook"/>
        </w:rPr>
        <w:t>income</w:t>
      </w:r>
      <w:r>
        <w:rPr>
          <w:rFonts w:ascii="Century Schoolbook" w:hAnsi="Century Schoolbook"/>
        </w:rPr>
        <w:t xml:space="preserve"> </w:t>
      </w:r>
      <w:r w:rsidR="00D232F8">
        <w:rPr>
          <w:rFonts w:ascii="Century Schoolbook" w:hAnsi="Century Schoolbook"/>
        </w:rPr>
        <w:t>generated by</w:t>
      </w:r>
      <w:r>
        <w:rPr>
          <w:rFonts w:ascii="Century Schoolbook" w:hAnsi="Century Schoolbook"/>
        </w:rPr>
        <w:t xml:space="preserve"> </w:t>
      </w:r>
      <w:r w:rsidR="000115F8">
        <w:rPr>
          <w:rFonts w:ascii="Century Schoolbook" w:hAnsi="Century Schoolbook"/>
        </w:rPr>
        <w:t xml:space="preserve">each of those </w:t>
      </w:r>
      <w:r w:rsidR="00884A90">
        <w:rPr>
          <w:rFonts w:ascii="Century Schoolbook" w:hAnsi="Century Schoolbook"/>
        </w:rPr>
        <w:t>asset</w:t>
      </w:r>
      <w:r w:rsidR="000115F8">
        <w:rPr>
          <w:rFonts w:ascii="Century Schoolbook" w:hAnsi="Century Schoolbook"/>
        </w:rPr>
        <w:t>s</w:t>
      </w:r>
      <w:r w:rsidR="001E7D61">
        <w:rPr>
          <w:rFonts w:ascii="Century Schoolbook" w:hAnsi="Century Schoolbook"/>
        </w:rPr>
        <w:t xml:space="preserve"> from the future income stream used to value the hotel</w:t>
      </w:r>
      <w:r>
        <w:rPr>
          <w:rFonts w:ascii="Century Schoolbook" w:hAnsi="Century Schoolbook"/>
        </w:rPr>
        <w:t>.</w:t>
      </w:r>
      <w:r>
        <w:rPr>
          <w:rStyle w:val="FootnoteReference"/>
          <w:rFonts w:ascii="Century Schoolbook" w:hAnsi="Century Schoolbook"/>
        </w:rPr>
        <w:footnoteReference w:id="1"/>
      </w:r>
      <w:r>
        <w:rPr>
          <w:rFonts w:ascii="Century Schoolbook" w:hAnsi="Century Schoolbook"/>
        </w:rPr>
        <w:t xml:space="preserve"> </w:t>
      </w:r>
      <w:r w:rsidR="004E3E06">
        <w:rPr>
          <w:rFonts w:ascii="Century Schoolbook" w:hAnsi="Century Schoolbook"/>
        </w:rPr>
        <w:t xml:space="preserve"> </w:t>
      </w:r>
    </w:p>
    <w:p w14:paraId="1CF0DD3A" w14:textId="77777777" w:rsidR="0012791F" w:rsidRDefault="00653098" w:rsidP="00851717">
      <w:pPr>
        <w:tabs>
          <w:tab w:val="clear" w:pos="720"/>
        </w:tabs>
        <w:spacing w:line="360" w:lineRule="auto"/>
        <w:ind w:firstLine="720"/>
        <w:rPr>
          <w:rFonts w:ascii="Century Schoolbook" w:hAnsi="Century Schoolbook"/>
        </w:rPr>
      </w:pPr>
      <w:r>
        <w:rPr>
          <w:rFonts w:ascii="Century Schoolbook" w:hAnsi="Century Schoolbook"/>
        </w:rPr>
        <w:t xml:space="preserve">The Board </w:t>
      </w:r>
      <w:r w:rsidR="00D232F8">
        <w:rPr>
          <w:rFonts w:ascii="Century Schoolbook" w:hAnsi="Century Schoolbook"/>
        </w:rPr>
        <w:t>disagreed</w:t>
      </w:r>
      <w:r>
        <w:rPr>
          <w:rFonts w:ascii="Century Schoolbook" w:hAnsi="Century Schoolbook"/>
        </w:rPr>
        <w:t>, finding that “[t]he deductions on the operating statement already accounted for all intangibles.”</w:t>
      </w:r>
      <w:r>
        <w:rPr>
          <w:rFonts w:ascii="Century Schoolbook" w:hAnsi="Century Schoolbook"/>
        </w:rPr>
        <w:t xml:space="preserve">  First, the Board found that </w:t>
      </w:r>
      <w:r w:rsidR="00813C43">
        <w:rPr>
          <w:rFonts w:ascii="Century Schoolbook" w:hAnsi="Century Schoolbook"/>
        </w:rPr>
        <w:t xml:space="preserve">deduction of the </w:t>
      </w:r>
      <w:r>
        <w:rPr>
          <w:rFonts w:ascii="Century Schoolbook" w:hAnsi="Century Schoolbook"/>
        </w:rPr>
        <w:t xml:space="preserve">management fees </w:t>
      </w:r>
      <w:r w:rsidR="00B170ED">
        <w:rPr>
          <w:rFonts w:ascii="Century Schoolbook" w:hAnsi="Century Schoolbook"/>
        </w:rPr>
        <w:t xml:space="preserve">fully </w:t>
      </w:r>
      <w:r w:rsidR="00A84FA3">
        <w:rPr>
          <w:rFonts w:ascii="Century Schoolbook" w:hAnsi="Century Schoolbook"/>
        </w:rPr>
        <w:t>removed</w:t>
      </w:r>
      <w:r>
        <w:rPr>
          <w:rFonts w:ascii="Century Schoolbook" w:hAnsi="Century Schoolbook"/>
        </w:rPr>
        <w:t xml:space="preserve"> the “value” of the “management services.”  Second, the Board found that the cancellation/no show/attrition income was taxable because it “is similar to income derived from guests who completed their stays at the hotel.”  </w:t>
      </w:r>
      <w:r w:rsidR="00573524">
        <w:rPr>
          <w:rFonts w:ascii="Century Schoolbook" w:hAnsi="Century Schoolbook"/>
        </w:rPr>
        <w:t>And t</w:t>
      </w:r>
      <w:r>
        <w:rPr>
          <w:rFonts w:ascii="Century Schoolbook" w:hAnsi="Century Schoolbook"/>
        </w:rPr>
        <w:t xml:space="preserve">o the extent </w:t>
      </w:r>
      <w:r w:rsidR="00813C43">
        <w:rPr>
          <w:rFonts w:ascii="Century Schoolbook" w:hAnsi="Century Schoolbook"/>
        </w:rPr>
        <w:t>that income</w:t>
      </w:r>
      <w:r>
        <w:rPr>
          <w:rFonts w:ascii="Century Schoolbook" w:hAnsi="Century Schoolbook"/>
        </w:rPr>
        <w:t xml:space="preserve"> </w:t>
      </w:r>
      <w:r w:rsidR="008C6CC7">
        <w:rPr>
          <w:rFonts w:ascii="Century Schoolbook" w:hAnsi="Century Schoolbook"/>
        </w:rPr>
        <w:t>was not taxable</w:t>
      </w:r>
      <w:r>
        <w:rPr>
          <w:rFonts w:ascii="Century Schoolbook" w:hAnsi="Century Schoolbook"/>
        </w:rPr>
        <w:t xml:space="preserve">, it </w:t>
      </w:r>
      <w:r w:rsidR="008C6CC7">
        <w:rPr>
          <w:rFonts w:ascii="Century Schoolbook" w:hAnsi="Century Schoolbook"/>
        </w:rPr>
        <w:t xml:space="preserve">was </w:t>
      </w:r>
      <w:r w:rsidR="00813C43">
        <w:rPr>
          <w:rFonts w:ascii="Century Schoolbook" w:hAnsi="Century Schoolbook"/>
        </w:rPr>
        <w:t>accounted for</w:t>
      </w:r>
      <w:r>
        <w:rPr>
          <w:rFonts w:ascii="Century Schoolbook" w:hAnsi="Century Schoolbook"/>
        </w:rPr>
        <w:t xml:space="preserve"> through “existing deductions.”  Third, the Board found that in-room movies </w:t>
      </w:r>
      <w:r w:rsidR="00692742">
        <w:rPr>
          <w:rFonts w:ascii="Century Schoolbook" w:hAnsi="Century Schoolbook"/>
        </w:rPr>
        <w:t>are a taxable</w:t>
      </w:r>
      <w:r>
        <w:rPr>
          <w:rFonts w:ascii="Century Schoolbook" w:hAnsi="Century Schoolbook"/>
        </w:rPr>
        <w:t xml:space="preserve"> asset because the income from those movies </w:t>
      </w:r>
      <w:r w:rsidR="009A6267">
        <w:rPr>
          <w:rFonts w:ascii="Century Schoolbook" w:hAnsi="Century Schoolbook"/>
        </w:rPr>
        <w:t>i</w:t>
      </w:r>
      <w:r>
        <w:rPr>
          <w:rFonts w:ascii="Century Schoolbook" w:hAnsi="Century Schoolbook"/>
        </w:rPr>
        <w:t>s “just an incidental component of the income from the rooms themselves.”  Finally, the B</w:t>
      </w:r>
      <w:r>
        <w:rPr>
          <w:rFonts w:ascii="Century Schoolbook" w:hAnsi="Century Schoolbook"/>
        </w:rPr>
        <w:t>oard found that guest laundry service</w:t>
      </w:r>
      <w:r w:rsidR="00573524">
        <w:rPr>
          <w:rFonts w:ascii="Century Schoolbook" w:hAnsi="Century Schoolbook"/>
        </w:rPr>
        <w:t>s</w:t>
      </w:r>
      <w:r>
        <w:rPr>
          <w:rFonts w:ascii="Century Schoolbook" w:hAnsi="Century Schoolbook"/>
        </w:rPr>
        <w:t xml:space="preserve"> </w:t>
      </w:r>
      <w:r w:rsidR="00573524">
        <w:rPr>
          <w:rFonts w:ascii="Century Schoolbook" w:hAnsi="Century Schoolbook"/>
        </w:rPr>
        <w:t>are</w:t>
      </w:r>
      <w:r>
        <w:rPr>
          <w:rFonts w:ascii="Century Schoolbook" w:hAnsi="Century Schoolbook"/>
        </w:rPr>
        <w:t xml:space="preserve"> </w:t>
      </w:r>
      <w:r w:rsidR="00692742">
        <w:rPr>
          <w:rFonts w:ascii="Century Schoolbook" w:hAnsi="Century Schoolbook"/>
        </w:rPr>
        <w:t>a taxable</w:t>
      </w:r>
      <w:r>
        <w:rPr>
          <w:rFonts w:ascii="Century Schoolbook" w:hAnsi="Century Schoolbook"/>
        </w:rPr>
        <w:t xml:space="preserve"> asset because </w:t>
      </w:r>
      <w:r w:rsidR="00573524">
        <w:rPr>
          <w:rFonts w:ascii="Century Schoolbook" w:hAnsi="Century Schoolbook"/>
        </w:rPr>
        <w:t>they are</w:t>
      </w:r>
      <w:r>
        <w:rPr>
          <w:rFonts w:ascii="Century Schoolbook" w:hAnsi="Century Schoolbook"/>
        </w:rPr>
        <w:t xml:space="preserve"> “a normal part of operating a hotel of the caliber of the Westin” </w:t>
      </w:r>
      <w:r w:rsidR="00AF6EF9">
        <w:rPr>
          <w:rFonts w:ascii="Century Schoolbook" w:hAnsi="Century Schoolbook"/>
        </w:rPr>
        <w:t xml:space="preserve">St. Francis </w:t>
      </w:r>
      <w:r>
        <w:rPr>
          <w:rFonts w:ascii="Century Schoolbook" w:hAnsi="Century Schoolbook"/>
        </w:rPr>
        <w:t>and</w:t>
      </w:r>
      <w:r w:rsidR="009A6267">
        <w:rPr>
          <w:rFonts w:ascii="Century Schoolbook" w:hAnsi="Century Schoolbook"/>
        </w:rPr>
        <w:t xml:space="preserve"> because the income from th</w:t>
      </w:r>
      <w:r w:rsidR="00573524">
        <w:rPr>
          <w:rFonts w:ascii="Century Schoolbook" w:hAnsi="Century Schoolbook"/>
        </w:rPr>
        <w:t>ose</w:t>
      </w:r>
      <w:r w:rsidR="009A6267">
        <w:rPr>
          <w:rFonts w:ascii="Century Schoolbook" w:hAnsi="Century Schoolbook"/>
        </w:rPr>
        <w:t xml:space="preserve"> service</w:t>
      </w:r>
      <w:r w:rsidR="00573524">
        <w:rPr>
          <w:rFonts w:ascii="Century Schoolbook" w:hAnsi="Century Schoolbook"/>
        </w:rPr>
        <w:t xml:space="preserve">s </w:t>
      </w:r>
      <w:r w:rsidR="00D232F8">
        <w:rPr>
          <w:rFonts w:ascii="Century Schoolbook" w:hAnsi="Century Schoolbook"/>
        </w:rPr>
        <w:t>is</w:t>
      </w:r>
      <w:r w:rsidR="009A6267">
        <w:rPr>
          <w:rFonts w:ascii="Century Schoolbook" w:hAnsi="Century Schoolbook"/>
        </w:rPr>
        <w:t xml:space="preserve"> </w:t>
      </w:r>
      <w:r>
        <w:rPr>
          <w:rFonts w:ascii="Century Schoolbook" w:hAnsi="Century Schoolbook"/>
        </w:rPr>
        <w:t xml:space="preserve">“no different from the income from room reservations.” </w:t>
      </w:r>
      <w:r w:rsidR="00566B33">
        <w:rPr>
          <w:rFonts w:ascii="Century Schoolbook" w:hAnsi="Century Schoolbook"/>
        </w:rPr>
        <w:t xml:space="preserve"> The Board</w:t>
      </w:r>
      <w:r w:rsidR="008C6CC7">
        <w:rPr>
          <w:rFonts w:ascii="Century Schoolbook" w:hAnsi="Century Schoolbook"/>
        </w:rPr>
        <w:t xml:space="preserve"> did</w:t>
      </w:r>
      <w:r w:rsidR="00566B33">
        <w:rPr>
          <w:rFonts w:ascii="Century Schoolbook" w:hAnsi="Century Schoolbook"/>
        </w:rPr>
        <w:t xml:space="preserve">, however, </w:t>
      </w:r>
      <w:r w:rsidR="00692742">
        <w:rPr>
          <w:rFonts w:ascii="Century Schoolbook" w:hAnsi="Century Schoolbook"/>
        </w:rPr>
        <w:t>increase</w:t>
      </w:r>
      <w:r w:rsidR="00566B33">
        <w:rPr>
          <w:rFonts w:ascii="Century Schoolbook" w:hAnsi="Century Schoolbook"/>
        </w:rPr>
        <w:t xml:space="preserve"> the capitalization rate </w:t>
      </w:r>
      <w:r w:rsidR="00692742">
        <w:rPr>
          <w:rFonts w:ascii="Century Schoolbook" w:hAnsi="Century Schoolbook"/>
        </w:rPr>
        <w:t xml:space="preserve">from </w:t>
      </w:r>
      <w:r w:rsidR="008C6CC7">
        <w:rPr>
          <w:rFonts w:ascii="Century Schoolbook" w:hAnsi="Century Schoolbook"/>
        </w:rPr>
        <w:t>five</w:t>
      </w:r>
      <w:r w:rsidR="00E32C33">
        <w:rPr>
          <w:rFonts w:ascii="Century Schoolbook" w:hAnsi="Century Schoolbook"/>
        </w:rPr>
        <w:t xml:space="preserve"> percent</w:t>
      </w:r>
      <w:r w:rsidR="00692742">
        <w:rPr>
          <w:rFonts w:ascii="Century Schoolbook" w:hAnsi="Century Schoolbook"/>
        </w:rPr>
        <w:t xml:space="preserve"> to </w:t>
      </w:r>
      <w:r w:rsidR="00E32C33">
        <w:rPr>
          <w:rFonts w:ascii="Century Schoolbook" w:hAnsi="Century Schoolbook"/>
        </w:rPr>
        <w:t>5</w:t>
      </w:r>
      <w:r w:rsidR="00692742">
        <w:rPr>
          <w:rFonts w:ascii="Century Schoolbook" w:hAnsi="Century Schoolbook"/>
        </w:rPr>
        <w:t>.25</w:t>
      </w:r>
      <w:r w:rsidR="00E32C33">
        <w:rPr>
          <w:rFonts w:ascii="Century Schoolbook" w:hAnsi="Century Schoolbook"/>
        </w:rPr>
        <w:t xml:space="preserve"> percent</w:t>
      </w:r>
      <w:r w:rsidR="00692742">
        <w:rPr>
          <w:rFonts w:ascii="Century Schoolbook" w:hAnsi="Century Schoolbook"/>
        </w:rPr>
        <w:t xml:space="preserve"> </w:t>
      </w:r>
      <w:r w:rsidR="00566B33">
        <w:rPr>
          <w:rFonts w:ascii="Century Schoolbook" w:hAnsi="Century Schoolbook"/>
        </w:rPr>
        <w:t>to account for “comparable sales” and “to further account for the value of the intangibles</w:t>
      </w:r>
      <w:r w:rsidR="00D232F8">
        <w:rPr>
          <w:rFonts w:ascii="Century Schoolbook" w:hAnsi="Century Schoolbook"/>
        </w:rPr>
        <w:t>.</w:t>
      </w:r>
      <w:r w:rsidR="00566B33">
        <w:rPr>
          <w:rFonts w:ascii="Century Schoolbook" w:hAnsi="Century Schoolbook"/>
        </w:rPr>
        <w:t>”</w:t>
      </w:r>
      <w:r w:rsidR="00D232F8">
        <w:rPr>
          <w:rFonts w:ascii="Century Schoolbook" w:hAnsi="Century Schoolbook"/>
        </w:rPr>
        <w:t xml:space="preserve">  This</w:t>
      </w:r>
      <w:r w:rsidR="00566B33">
        <w:rPr>
          <w:rFonts w:ascii="Century Schoolbook" w:hAnsi="Century Schoolbook"/>
        </w:rPr>
        <w:t xml:space="preserve"> </w:t>
      </w:r>
      <w:r w:rsidR="00573524">
        <w:rPr>
          <w:rFonts w:ascii="Century Schoolbook" w:hAnsi="Century Schoolbook"/>
        </w:rPr>
        <w:t>reduced the taxable value of the hotel to</w:t>
      </w:r>
      <w:r w:rsidR="00566B33">
        <w:rPr>
          <w:rFonts w:ascii="Century Schoolbook" w:hAnsi="Century Schoolbook"/>
        </w:rPr>
        <w:t xml:space="preserve"> </w:t>
      </w:r>
      <w:r w:rsidR="00D232F8">
        <w:rPr>
          <w:rFonts w:ascii="Century Schoolbook" w:hAnsi="Century Schoolbook"/>
        </w:rPr>
        <w:t xml:space="preserve">approximately </w:t>
      </w:r>
      <w:r w:rsidR="00566B33">
        <w:rPr>
          <w:rFonts w:ascii="Century Schoolbook" w:hAnsi="Century Schoolbook"/>
        </w:rPr>
        <w:t xml:space="preserve">$785 million. </w:t>
      </w:r>
    </w:p>
    <w:p w14:paraId="1CF0DD3B" w14:textId="77777777" w:rsidR="008A34F7" w:rsidRDefault="00653098" w:rsidP="00362BEF">
      <w:pPr>
        <w:tabs>
          <w:tab w:val="clear" w:pos="720"/>
        </w:tabs>
        <w:spacing w:line="360" w:lineRule="auto"/>
        <w:rPr>
          <w:rFonts w:ascii="Century Schoolbook" w:hAnsi="Century Schoolbook"/>
        </w:rPr>
      </w:pPr>
      <w:r>
        <w:rPr>
          <w:rFonts w:ascii="Century Schoolbook" w:hAnsi="Century Schoolbook"/>
        </w:rPr>
        <w:tab/>
      </w:r>
      <w:r w:rsidR="00DE2149">
        <w:rPr>
          <w:rFonts w:ascii="Century Schoolbook" w:hAnsi="Century Schoolbook"/>
        </w:rPr>
        <w:t>T</w:t>
      </w:r>
      <w:r w:rsidR="00530866">
        <w:rPr>
          <w:rFonts w:ascii="Century Schoolbook" w:hAnsi="Century Schoolbook"/>
        </w:rPr>
        <w:t xml:space="preserve">he Strategic </w:t>
      </w:r>
      <w:r w:rsidR="00D25B8B">
        <w:rPr>
          <w:rFonts w:ascii="Century Schoolbook" w:hAnsi="Century Schoolbook"/>
        </w:rPr>
        <w:t xml:space="preserve">Plaintiffs </w:t>
      </w:r>
      <w:r w:rsidR="00DE2149">
        <w:rPr>
          <w:rFonts w:ascii="Century Schoolbook" w:hAnsi="Century Schoolbook"/>
        </w:rPr>
        <w:t xml:space="preserve">then </w:t>
      </w:r>
      <w:r w:rsidR="00D25B8B">
        <w:rPr>
          <w:rFonts w:ascii="Century Schoolbook" w:hAnsi="Century Schoolbook"/>
        </w:rPr>
        <w:t xml:space="preserve">filed a verified complaint for refund, alleging that the </w:t>
      </w:r>
      <w:r w:rsidR="00E32C33">
        <w:rPr>
          <w:rFonts w:ascii="Century Schoolbook" w:hAnsi="Century Schoolbook"/>
        </w:rPr>
        <w:t>City</w:t>
      </w:r>
      <w:r w:rsidR="00B718BA">
        <w:rPr>
          <w:rFonts w:ascii="Century Schoolbook" w:hAnsi="Century Schoolbook"/>
        </w:rPr>
        <w:t xml:space="preserve"> </w:t>
      </w:r>
      <w:r w:rsidR="00D25B8B">
        <w:rPr>
          <w:rFonts w:ascii="Century Schoolbook" w:hAnsi="Century Schoolbook"/>
        </w:rPr>
        <w:t xml:space="preserve">failed to </w:t>
      </w:r>
      <w:r w:rsidR="008C6CC7">
        <w:rPr>
          <w:rFonts w:ascii="Century Schoolbook" w:hAnsi="Century Schoolbook"/>
        </w:rPr>
        <w:t xml:space="preserve">remove </w:t>
      </w:r>
      <w:r w:rsidR="00D25B8B">
        <w:rPr>
          <w:rFonts w:ascii="Century Schoolbook" w:hAnsi="Century Schoolbook"/>
        </w:rPr>
        <w:t xml:space="preserve">from the assessed value of the hotel the full value of the </w:t>
      </w:r>
      <w:r w:rsidR="00DE2149">
        <w:rPr>
          <w:rFonts w:ascii="Century Schoolbook" w:hAnsi="Century Schoolbook"/>
        </w:rPr>
        <w:t xml:space="preserve">same </w:t>
      </w:r>
      <w:r w:rsidR="00D25B8B">
        <w:rPr>
          <w:rFonts w:ascii="Century Schoolbook" w:hAnsi="Century Schoolbook"/>
        </w:rPr>
        <w:t>four intangible assets they had identified</w:t>
      </w:r>
      <w:r w:rsidR="00DE2149">
        <w:rPr>
          <w:rFonts w:ascii="Century Schoolbook" w:hAnsi="Century Schoolbook"/>
        </w:rPr>
        <w:t xml:space="preserve"> in their appeal to the Board</w:t>
      </w:r>
      <w:r w:rsidR="00D25B8B">
        <w:rPr>
          <w:rFonts w:ascii="Century Schoolbook" w:hAnsi="Century Schoolbook"/>
        </w:rPr>
        <w:t xml:space="preserve">.  The complaint sought a refund of “property taxes paid” </w:t>
      </w:r>
      <w:r w:rsidR="00D25B8B">
        <w:rPr>
          <w:rFonts w:ascii="Century Schoolbook" w:hAnsi="Century Schoolbook"/>
        </w:rPr>
        <w:lastRenderedPageBreak/>
        <w:t xml:space="preserve">and a remand to the Board “to determine the assessed value of only the tangible taxable property.” </w:t>
      </w:r>
    </w:p>
    <w:p w14:paraId="1CF0DD3C" w14:textId="77777777" w:rsidR="00D25B8B" w:rsidRDefault="00653098" w:rsidP="00362BEF">
      <w:pPr>
        <w:tabs>
          <w:tab w:val="clear" w:pos="720"/>
        </w:tabs>
        <w:spacing w:line="360" w:lineRule="auto"/>
        <w:rPr>
          <w:rFonts w:ascii="Century Schoolbook" w:hAnsi="Century Schoolbook"/>
        </w:rPr>
      </w:pPr>
      <w:r>
        <w:rPr>
          <w:rFonts w:ascii="Century Schoolbook" w:hAnsi="Century Schoolbook"/>
        </w:rPr>
        <w:tab/>
        <w:t xml:space="preserve">The trial court </w:t>
      </w:r>
      <w:r w:rsidR="00573524">
        <w:rPr>
          <w:rFonts w:ascii="Century Schoolbook" w:hAnsi="Century Schoolbook"/>
        </w:rPr>
        <w:t>upheld</w:t>
      </w:r>
      <w:r>
        <w:rPr>
          <w:rFonts w:ascii="Century Schoolbook" w:hAnsi="Century Schoolbook"/>
        </w:rPr>
        <w:t xml:space="preserve"> the Board’s determination. </w:t>
      </w:r>
      <w:r w:rsidR="00F26BBB">
        <w:rPr>
          <w:rFonts w:ascii="Century Schoolbook" w:hAnsi="Century Schoolbook"/>
        </w:rPr>
        <w:t xml:space="preserve"> In rejecting any further deductions for the value of the management agreement beyond the management fees, the court found that </w:t>
      </w:r>
      <w:r w:rsidR="00E32C33">
        <w:rPr>
          <w:rFonts w:ascii="Century Schoolbook" w:hAnsi="Century Schoolbook"/>
        </w:rPr>
        <w:t xml:space="preserve">the Strategic </w:t>
      </w:r>
      <w:r w:rsidR="00F26BBB">
        <w:rPr>
          <w:rFonts w:ascii="Century Schoolbook" w:hAnsi="Century Schoolbook"/>
        </w:rPr>
        <w:t>Plaintiffs did not pro</w:t>
      </w:r>
      <w:r w:rsidR="00DE2149">
        <w:rPr>
          <w:rFonts w:ascii="Century Schoolbook" w:hAnsi="Century Schoolbook"/>
        </w:rPr>
        <w:t>duce</w:t>
      </w:r>
      <w:r w:rsidR="00F26BBB">
        <w:rPr>
          <w:rFonts w:ascii="Century Schoolbook" w:hAnsi="Century Schoolbook"/>
        </w:rPr>
        <w:t xml:space="preserve"> credible evidence that the </w:t>
      </w:r>
      <w:r w:rsidR="00E50516">
        <w:rPr>
          <w:rFonts w:ascii="Century Schoolbook" w:hAnsi="Century Schoolbook"/>
        </w:rPr>
        <w:t>assessment</w:t>
      </w:r>
      <w:r w:rsidR="00F26BBB">
        <w:rPr>
          <w:rFonts w:ascii="Century Schoolbook" w:hAnsi="Century Schoolbook"/>
        </w:rPr>
        <w:t xml:space="preserve"> improperly subsumed </w:t>
      </w:r>
      <w:r w:rsidR="00573524">
        <w:rPr>
          <w:rFonts w:ascii="Century Schoolbook" w:hAnsi="Century Schoolbook"/>
        </w:rPr>
        <w:t xml:space="preserve">any portion of </w:t>
      </w:r>
      <w:r w:rsidR="00F26BBB">
        <w:rPr>
          <w:rFonts w:ascii="Century Schoolbook" w:hAnsi="Century Schoolbook"/>
        </w:rPr>
        <w:t xml:space="preserve">the </w:t>
      </w:r>
      <w:r w:rsidR="00573524">
        <w:rPr>
          <w:rFonts w:ascii="Century Schoolbook" w:hAnsi="Century Schoolbook"/>
        </w:rPr>
        <w:t xml:space="preserve">fair </w:t>
      </w:r>
      <w:r w:rsidR="00F26BBB">
        <w:rPr>
          <w:rFonts w:ascii="Century Schoolbook" w:hAnsi="Century Schoolbook"/>
        </w:rPr>
        <w:t>market value of that agreement.  As to the cancellation/no show/attrition income, the court found that this income, like the “income from guests who complete</w:t>
      </w:r>
      <w:r w:rsidR="009827CA">
        <w:rPr>
          <w:rFonts w:ascii="Century Schoolbook" w:hAnsi="Century Schoolbook"/>
        </w:rPr>
        <w:t>[]</w:t>
      </w:r>
      <w:r w:rsidR="00F26BBB">
        <w:rPr>
          <w:rFonts w:ascii="Century Schoolbook" w:hAnsi="Century Schoolbook"/>
        </w:rPr>
        <w:t xml:space="preserve"> their stays,” is “derived from the real property” and therefore taxable. </w:t>
      </w:r>
      <w:r w:rsidR="000115F8">
        <w:rPr>
          <w:rFonts w:ascii="Century Schoolbook" w:hAnsi="Century Schoolbook"/>
        </w:rPr>
        <w:t xml:space="preserve"> </w:t>
      </w:r>
      <w:r w:rsidR="00F26BBB">
        <w:rPr>
          <w:rFonts w:ascii="Century Schoolbook" w:hAnsi="Century Schoolbook"/>
        </w:rPr>
        <w:t>Finally, the court agreed with the Board that income from in-room movies and guest laundry service</w:t>
      </w:r>
      <w:r w:rsidR="00573524">
        <w:rPr>
          <w:rFonts w:ascii="Century Schoolbook" w:hAnsi="Century Schoolbook"/>
        </w:rPr>
        <w:t>s</w:t>
      </w:r>
      <w:r w:rsidR="00F26BBB">
        <w:rPr>
          <w:rFonts w:ascii="Century Schoolbook" w:hAnsi="Century Schoolbook"/>
        </w:rPr>
        <w:t xml:space="preserve"> is no different </w:t>
      </w:r>
      <w:r w:rsidR="00573524">
        <w:rPr>
          <w:rFonts w:ascii="Century Schoolbook" w:hAnsi="Century Schoolbook"/>
        </w:rPr>
        <w:t>than</w:t>
      </w:r>
      <w:r w:rsidR="00F26BBB">
        <w:rPr>
          <w:rFonts w:ascii="Century Schoolbook" w:hAnsi="Century Schoolbook"/>
        </w:rPr>
        <w:t xml:space="preserve"> income from room reservations and is therefore taxable. </w:t>
      </w:r>
    </w:p>
    <w:p w14:paraId="1CF0DD3D" w14:textId="77777777" w:rsidR="00C66ECA" w:rsidRDefault="00653098" w:rsidP="00362BEF">
      <w:pPr>
        <w:tabs>
          <w:tab w:val="clear" w:pos="720"/>
        </w:tabs>
        <w:spacing w:line="360" w:lineRule="auto"/>
        <w:rPr>
          <w:rFonts w:ascii="Century Schoolbook" w:hAnsi="Century Schoolbook"/>
        </w:rPr>
      </w:pPr>
      <w:r>
        <w:rPr>
          <w:rFonts w:ascii="Century Schoolbook" w:hAnsi="Century Schoolbook"/>
        </w:rPr>
        <w:tab/>
      </w:r>
      <w:r w:rsidR="00AB6B88">
        <w:rPr>
          <w:rFonts w:ascii="Century Schoolbook" w:hAnsi="Century Schoolbook"/>
        </w:rPr>
        <w:t xml:space="preserve">The Strategic </w:t>
      </w:r>
      <w:r>
        <w:rPr>
          <w:rFonts w:ascii="Century Schoolbook" w:hAnsi="Century Schoolbook"/>
        </w:rPr>
        <w:t xml:space="preserve">Plaintiffs timely appealed. </w:t>
      </w:r>
    </w:p>
    <w:p w14:paraId="1CF0DD3E" w14:textId="77777777" w:rsidR="00B16EDA" w:rsidRDefault="00653098" w:rsidP="00B16EDA">
      <w:pPr>
        <w:tabs>
          <w:tab w:val="clear" w:pos="720"/>
        </w:tabs>
        <w:spacing w:line="360" w:lineRule="auto"/>
        <w:jc w:val="center"/>
        <w:rPr>
          <w:rFonts w:ascii="Century Schoolbook" w:hAnsi="Century Schoolbook"/>
        </w:rPr>
      </w:pPr>
      <w:r>
        <w:rPr>
          <w:rFonts w:ascii="Century Schoolbook" w:hAnsi="Century Schoolbook"/>
          <w:b/>
          <w:bCs/>
        </w:rPr>
        <w:t>DISCUSSION</w:t>
      </w:r>
    </w:p>
    <w:p w14:paraId="1CF0DD3F" w14:textId="77777777" w:rsidR="00517ECD" w:rsidRDefault="00653098" w:rsidP="00072E8B">
      <w:pPr>
        <w:pStyle w:val="ListParagraph"/>
        <w:numPr>
          <w:ilvl w:val="0"/>
          <w:numId w:val="5"/>
        </w:numPr>
        <w:tabs>
          <w:tab w:val="clear" w:pos="720"/>
        </w:tabs>
        <w:spacing w:line="360" w:lineRule="auto"/>
        <w:rPr>
          <w:rFonts w:ascii="Century Schoolbook" w:hAnsi="Century Schoolbook"/>
          <w:b/>
          <w:bCs/>
        </w:rPr>
      </w:pPr>
      <w:r>
        <w:rPr>
          <w:rFonts w:ascii="Century Schoolbook" w:hAnsi="Century Schoolbook"/>
          <w:b/>
          <w:bCs/>
        </w:rPr>
        <w:t>Standard of Review</w:t>
      </w:r>
    </w:p>
    <w:p w14:paraId="1CF0DD40" w14:textId="77777777" w:rsidR="0050502A" w:rsidRDefault="00653098" w:rsidP="0050502A">
      <w:pPr>
        <w:tabs>
          <w:tab w:val="clear" w:pos="720"/>
        </w:tabs>
        <w:spacing w:line="360" w:lineRule="auto"/>
        <w:ind w:firstLine="720"/>
        <w:rPr>
          <w:rFonts w:ascii="Century Schoolbook" w:hAnsi="Century Schoolbook"/>
        </w:rPr>
      </w:pPr>
      <w:r>
        <w:rPr>
          <w:rFonts w:ascii="Century Schoolbook" w:hAnsi="Century Schoolbook"/>
        </w:rPr>
        <w:t xml:space="preserve">“The proper scope of review of </w:t>
      </w:r>
      <w:r>
        <w:rPr>
          <w:rFonts w:ascii="Century Schoolbook" w:hAnsi="Century Schoolbook"/>
        </w:rPr>
        <w:t>assessment decisions is well established.  [Citation.]  ‘When the assessor utilizes an approved valuation method, his factual findings and determinations of value based upon the appropriate assessment method are presumed to be correct and will be sustained</w:t>
      </w:r>
      <w:r>
        <w:rPr>
          <w:rFonts w:ascii="Century Schoolbook" w:hAnsi="Century Schoolbook"/>
        </w:rPr>
        <w:t xml:space="preserve"> if supported by substantial evidence.’  [Citation.]  However, where the taxpayer attacks the validity of the valuation method itself, the issue becomes</w:t>
      </w:r>
      <w:r w:rsidR="00213C7D">
        <w:rPr>
          <w:rFonts w:ascii="Century Schoolbook" w:hAnsi="Century Schoolbook"/>
        </w:rPr>
        <w:t xml:space="preserve"> a question of law subject to de novo review.”  (</w:t>
      </w:r>
      <w:r w:rsidR="00213C7D">
        <w:rPr>
          <w:rFonts w:ascii="Century Schoolbook" w:hAnsi="Century Schoolbook"/>
          <w:i/>
          <w:iCs/>
        </w:rPr>
        <w:t xml:space="preserve">Elk Hills Power, LLC v. Bd. of Equalization </w:t>
      </w:r>
      <w:r w:rsidR="00213C7D">
        <w:rPr>
          <w:rFonts w:ascii="Century Schoolbook" w:hAnsi="Century Schoolbook"/>
        </w:rPr>
        <w:t>(2013) 57 Cal.4th 593, 606 (</w:t>
      </w:r>
      <w:r w:rsidR="00213C7D">
        <w:rPr>
          <w:rFonts w:ascii="Century Schoolbook" w:hAnsi="Century Schoolbook"/>
          <w:i/>
          <w:iCs/>
        </w:rPr>
        <w:t>Elk Hills</w:t>
      </w:r>
      <w:r w:rsidR="00213C7D">
        <w:rPr>
          <w:rFonts w:ascii="Century Schoolbook" w:hAnsi="Century Schoolbook"/>
        </w:rPr>
        <w:t>).)</w:t>
      </w:r>
    </w:p>
    <w:p w14:paraId="1CF0DD41" w14:textId="77777777" w:rsidR="003044CD" w:rsidRDefault="00653098" w:rsidP="009E0EBA">
      <w:pPr>
        <w:tabs>
          <w:tab w:val="clear" w:pos="720"/>
        </w:tabs>
        <w:spacing w:line="360" w:lineRule="auto"/>
        <w:ind w:firstLine="720"/>
        <w:rPr>
          <w:rFonts w:ascii="Century Schoolbook" w:hAnsi="Century Schoolbook"/>
        </w:rPr>
      </w:pPr>
      <w:r>
        <w:rPr>
          <w:rFonts w:ascii="Century Schoolbook" w:hAnsi="Century Schoolbook"/>
        </w:rPr>
        <w:t>Although this is “well-settled law</w:t>
      </w:r>
      <w:r w:rsidR="009827CA">
        <w:rPr>
          <w:rFonts w:ascii="Century Schoolbook" w:hAnsi="Century Schoolbook"/>
        </w:rPr>
        <w:t xml:space="preserve"> . . . </w:t>
      </w:r>
      <w:r>
        <w:rPr>
          <w:rFonts w:ascii="Century Schoolbook" w:hAnsi="Century Schoolbook"/>
        </w:rPr>
        <w:t xml:space="preserve">“it can be ‘difficult to distinguish between’ ” </w:t>
      </w:r>
      <w:r w:rsidR="00530866">
        <w:rPr>
          <w:rFonts w:ascii="Century Schoolbook" w:hAnsi="Century Schoolbook"/>
        </w:rPr>
        <w:t>a challenge to the valuation “ ‘ “method” ’ ”</w:t>
      </w:r>
      <w:r>
        <w:rPr>
          <w:rFonts w:ascii="Century Schoolbook" w:hAnsi="Century Schoolbook"/>
        </w:rPr>
        <w:t xml:space="preserve"> </w:t>
      </w:r>
      <w:r w:rsidR="00530866">
        <w:rPr>
          <w:rFonts w:ascii="Century Schoolbook" w:hAnsi="Century Schoolbook"/>
        </w:rPr>
        <w:t xml:space="preserve">and a challenge to the </w:t>
      </w:r>
      <w:r w:rsidR="007E2A8C">
        <w:rPr>
          <w:rFonts w:ascii="Century Schoolbook" w:hAnsi="Century Schoolbook"/>
        </w:rPr>
        <w:br/>
      </w:r>
      <w:r w:rsidR="00530866">
        <w:rPr>
          <w:rFonts w:ascii="Century Schoolbook" w:hAnsi="Century Schoolbook"/>
        </w:rPr>
        <w:t xml:space="preserve">“ ‘ “application” ’ ” of a valuation method.  </w:t>
      </w:r>
      <w:r>
        <w:rPr>
          <w:rFonts w:ascii="Century Schoolbook" w:hAnsi="Century Schoolbook"/>
        </w:rPr>
        <w:t>(</w:t>
      </w:r>
      <w:r>
        <w:rPr>
          <w:rFonts w:ascii="Century Schoolbook" w:hAnsi="Century Schoolbook"/>
          <w:i/>
          <w:iCs/>
        </w:rPr>
        <w:t>SHC Half Moon Bay, L</w:t>
      </w:r>
      <w:r>
        <w:rPr>
          <w:rFonts w:ascii="Century Schoolbook" w:hAnsi="Century Schoolbook"/>
          <w:i/>
          <w:iCs/>
        </w:rPr>
        <w:t xml:space="preserve">LC v. County of San Mateo </w:t>
      </w:r>
      <w:r>
        <w:rPr>
          <w:rFonts w:ascii="Century Schoolbook" w:hAnsi="Century Schoolbook"/>
        </w:rPr>
        <w:t>(2014) 226 Cal.App.4th 471, 486 (</w:t>
      </w:r>
      <w:r>
        <w:rPr>
          <w:rFonts w:ascii="Century Schoolbook" w:hAnsi="Century Schoolbook"/>
          <w:i/>
          <w:iCs/>
        </w:rPr>
        <w:t>SHC Half Moon Bay</w:t>
      </w:r>
      <w:r>
        <w:rPr>
          <w:rFonts w:ascii="Century Schoolbook" w:hAnsi="Century Schoolbook"/>
        </w:rPr>
        <w:t xml:space="preserve">).)  </w:t>
      </w:r>
      <w:r>
        <w:rPr>
          <w:rFonts w:ascii="Century Schoolbook" w:hAnsi="Century Schoolbook"/>
        </w:rPr>
        <w:lastRenderedPageBreak/>
        <w:t xml:space="preserve">The test for distinguishing between these two challenges hinges on whether the challenge “ ‘present[s] a question about the facts specific to </w:t>
      </w:r>
      <w:r w:rsidR="00884A90">
        <w:rPr>
          <w:rFonts w:ascii="Century Schoolbook" w:hAnsi="Century Schoolbook"/>
        </w:rPr>
        <w:t xml:space="preserve">[the] </w:t>
      </w:r>
      <w:r>
        <w:rPr>
          <w:rFonts w:ascii="Century Schoolbook" w:hAnsi="Century Schoolbook"/>
        </w:rPr>
        <w:t>plaintiffs’ case or the dat</w:t>
      </w:r>
      <w:r w:rsidR="00B718BA">
        <w:rPr>
          <w:rFonts w:ascii="Century Schoolbook" w:hAnsi="Century Schoolbook"/>
        </w:rPr>
        <w:t>a</w:t>
      </w:r>
      <w:r>
        <w:rPr>
          <w:rFonts w:ascii="Century Schoolbook" w:hAnsi="Century Schoolbook"/>
        </w:rPr>
        <w:t xml:space="preserve"> to insert when calculating the value of the property’ ” or “ ‘a question about the methodology prescribed . . . for calculation of the property value.’ ”</w:t>
      </w:r>
      <w:r w:rsidR="007E2A8C">
        <w:rPr>
          <w:rFonts w:ascii="Century Schoolbook" w:hAnsi="Century Schoolbook"/>
        </w:rPr>
        <w:t xml:space="preserve"> </w:t>
      </w:r>
      <w:r w:rsidR="00530866">
        <w:rPr>
          <w:rFonts w:ascii="Century Schoolbook" w:hAnsi="Century Schoolbook"/>
        </w:rPr>
        <w:t xml:space="preserve"> (</w:t>
      </w:r>
      <w:r w:rsidR="00530866">
        <w:rPr>
          <w:rFonts w:ascii="Century Schoolbook" w:hAnsi="Century Schoolbook"/>
          <w:i/>
          <w:iCs/>
        </w:rPr>
        <w:t>Id.</w:t>
      </w:r>
      <w:r w:rsidR="00530866">
        <w:rPr>
          <w:rFonts w:ascii="Century Schoolbook" w:hAnsi="Century Schoolbook"/>
        </w:rPr>
        <w:t xml:space="preserve"> at </w:t>
      </w:r>
      <w:r w:rsidR="007E2A8C">
        <w:rPr>
          <w:rFonts w:ascii="Century Schoolbook" w:hAnsi="Century Schoolbook"/>
        </w:rPr>
        <w:t xml:space="preserve">pp. </w:t>
      </w:r>
      <w:r w:rsidR="00530866">
        <w:rPr>
          <w:rFonts w:ascii="Century Schoolbook" w:hAnsi="Century Schoolbook"/>
        </w:rPr>
        <w:t>488</w:t>
      </w:r>
      <w:r w:rsidR="009827CA">
        <w:rPr>
          <w:rFonts w:ascii="Century Schoolbook" w:hAnsi="Century Schoolbook"/>
        </w:rPr>
        <w:t>–</w:t>
      </w:r>
      <w:r w:rsidR="00530866">
        <w:rPr>
          <w:rFonts w:ascii="Century Schoolbook" w:hAnsi="Century Schoolbook"/>
        </w:rPr>
        <w:t xml:space="preserve">499, quoting </w:t>
      </w:r>
      <w:r w:rsidR="00530866">
        <w:rPr>
          <w:rFonts w:ascii="Century Schoolbook" w:hAnsi="Century Schoolbook"/>
          <w:i/>
          <w:iCs/>
        </w:rPr>
        <w:t xml:space="preserve">Sky River LLC v. County of Kern </w:t>
      </w:r>
      <w:r w:rsidR="00530866">
        <w:rPr>
          <w:rFonts w:ascii="Century Schoolbook" w:hAnsi="Century Schoolbook"/>
        </w:rPr>
        <w:t>(2013) 214 Cal.App.4th 720, 731</w:t>
      </w:r>
      <w:r w:rsidR="007E2A8C">
        <w:rPr>
          <w:rFonts w:ascii="Century Schoolbook" w:hAnsi="Century Schoolbook"/>
        </w:rPr>
        <w:t xml:space="preserve"> (</w:t>
      </w:r>
      <w:r w:rsidR="007E2A8C">
        <w:rPr>
          <w:rFonts w:ascii="Century Schoolbook" w:hAnsi="Century Schoolbook"/>
          <w:i/>
          <w:iCs/>
        </w:rPr>
        <w:t>Sky River</w:t>
      </w:r>
      <w:r w:rsidR="007E2A8C">
        <w:rPr>
          <w:rFonts w:ascii="Century Schoolbook" w:hAnsi="Century Schoolbook"/>
        </w:rPr>
        <w:t>)</w:t>
      </w:r>
      <w:r w:rsidR="00530866">
        <w:rPr>
          <w:rFonts w:ascii="Century Schoolbook" w:hAnsi="Century Schoolbook"/>
        </w:rPr>
        <w:t xml:space="preserve">.) </w:t>
      </w:r>
      <w:r>
        <w:rPr>
          <w:rFonts w:ascii="Century Schoolbook" w:hAnsi="Century Schoolbook"/>
        </w:rPr>
        <w:t xml:space="preserve"> </w:t>
      </w:r>
      <w:r w:rsidR="007E2A8C">
        <w:rPr>
          <w:rFonts w:ascii="Century Schoolbook" w:hAnsi="Century Schoolbook"/>
        </w:rPr>
        <w:t>If</w:t>
      </w:r>
      <w:r w:rsidR="00530866">
        <w:rPr>
          <w:rFonts w:ascii="Century Schoolbook" w:hAnsi="Century Schoolbook"/>
        </w:rPr>
        <w:t xml:space="preserve"> the issue is “ ‘whether the assessor misunderstood or distorted the available data,’ ” it is a challenge to the application </w:t>
      </w:r>
      <w:r w:rsidR="00B718BA">
        <w:rPr>
          <w:rFonts w:ascii="Century Schoolbook" w:hAnsi="Century Schoolbook"/>
        </w:rPr>
        <w:t xml:space="preserve">and </w:t>
      </w:r>
      <w:r w:rsidR="00530866">
        <w:rPr>
          <w:rFonts w:ascii="Century Schoolbook" w:hAnsi="Century Schoolbook"/>
        </w:rPr>
        <w:t xml:space="preserve">subject to substantial evidence review. </w:t>
      </w:r>
      <w:r w:rsidR="009E0EBA">
        <w:rPr>
          <w:rFonts w:ascii="Century Schoolbook" w:hAnsi="Century Schoolbook"/>
        </w:rPr>
        <w:t xml:space="preserve"> </w:t>
      </w:r>
      <w:r w:rsidR="00530866">
        <w:rPr>
          <w:rFonts w:ascii="Century Schoolbook" w:hAnsi="Century Schoolbook"/>
        </w:rPr>
        <w:t>(</w:t>
      </w:r>
      <w:r w:rsidR="00530866">
        <w:rPr>
          <w:rFonts w:ascii="Century Schoolbook" w:hAnsi="Century Schoolbook"/>
          <w:i/>
          <w:iCs/>
        </w:rPr>
        <w:t xml:space="preserve">SHC Half Moon </w:t>
      </w:r>
      <w:r w:rsidR="00530866" w:rsidRPr="00530866">
        <w:rPr>
          <w:rFonts w:ascii="Century Schoolbook" w:hAnsi="Century Schoolbook"/>
        </w:rPr>
        <w:t>Bay</w:t>
      </w:r>
      <w:r w:rsidR="00530866">
        <w:rPr>
          <w:rFonts w:ascii="Century Schoolbook" w:hAnsi="Century Schoolbook"/>
        </w:rPr>
        <w:t xml:space="preserve">, at p. 489, quoting </w:t>
      </w:r>
      <w:r w:rsidR="00530866">
        <w:rPr>
          <w:rFonts w:ascii="Century Schoolbook" w:hAnsi="Century Schoolbook"/>
          <w:i/>
          <w:iCs/>
        </w:rPr>
        <w:t xml:space="preserve">Union Pacific Railroad Co. v. State Bd. of Equalization </w:t>
      </w:r>
      <w:r w:rsidR="00530866">
        <w:rPr>
          <w:rFonts w:ascii="Century Schoolbook" w:hAnsi="Century Schoolbook"/>
        </w:rPr>
        <w:t xml:space="preserve">(1991) 231 Cal.App.3d </w:t>
      </w:r>
      <w:r w:rsidR="009827CA">
        <w:rPr>
          <w:rFonts w:ascii="Century Schoolbook" w:hAnsi="Century Schoolbook"/>
        </w:rPr>
        <w:t>98</w:t>
      </w:r>
      <w:r w:rsidR="00530866">
        <w:rPr>
          <w:rFonts w:ascii="Century Schoolbook" w:hAnsi="Century Schoolbook"/>
        </w:rPr>
        <w:t xml:space="preserve">3, 992.) </w:t>
      </w:r>
      <w:r w:rsidR="009E0EBA">
        <w:rPr>
          <w:rFonts w:ascii="Century Schoolbook" w:hAnsi="Century Schoolbook"/>
        </w:rPr>
        <w:t xml:space="preserve"> </w:t>
      </w:r>
      <w:r w:rsidR="00530866">
        <w:rPr>
          <w:rFonts w:ascii="Century Schoolbook" w:hAnsi="Century Schoolbook"/>
        </w:rPr>
        <w:t xml:space="preserve">But </w:t>
      </w:r>
      <w:r w:rsidR="007E2A8C">
        <w:rPr>
          <w:rFonts w:ascii="Century Schoolbook" w:hAnsi="Century Schoolbook"/>
        </w:rPr>
        <w:t>if</w:t>
      </w:r>
      <w:r w:rsidR="00530866">
        <w:rPr>
          <w:rFonts w:ascii="Century Schoolbook" w:hAnsi="Century Schoolbook"/>
        </w:rPr>
        <w:t xml:space="preserve"> the issue is “</w:t>
      </w:r>
      <w:r w:rsidR="00E50516">
        <w:rPr>
          <w:rFonts w:ascii="Century Schoolbook" w:hAnsi="Century Schoolbook"/>
        </w:rPr>
        <w:t xml:space="preserve"> ‘</w:t>
      </w:r>
      <w:r w:rsidR="00530866">
        <w:rPr>
          <w:rFonts w:ascii="Century Schoolbook" w:hAnsi="Century Schoolbook"/>
        </w:rPr>
        <w:t xml:space="preserve">whether [the assessor] chose an appraisal method which by its nature was incapable of correctly estimating market value,’ ” it is a challenge to the method </w:t>
      </w:r>
      <w:r w:rsidR="00B718BA">
        <w:rPr>
          <w:rFonts w:ascii="Century Schoolbook" w:hAnsi="Century Schoolbook"/>
        </w:rPr>
        <w:t xml:space="preserve">and </w:t>
      </w:r>
      <w:r w:rsidR="00530866">
        <w:rPr>
          <w:rFonts w:ascii="Century Schoolbook" w:hAnsi="Century Schoolbook"/>
        </w:rPr>
        <w:t xml:space="preserve">subject to de novo review. </w:t>
      </w:r>
      <w:r w:rsidR="009E0EBA">
        <w:rPr>
          <w:rFonts w:ascii="Century Schoolbook" w:hAnsi="Century Schoolbook"/>
        </w:rPr>
        <w:t xml:space="preserve"> </w:t>
      </w:r>
      <w:r w:rsidR="00530866">
        <w:rPr>
          <w:rFonts w:ascii="Century Schoolbook" w:hAnsi="Century Schoolbook"/>
        </w:rPr>
        <w:t>(</w:t>
      </w:r>
      <w:r w:rsidR="00530866">
        <w:rPr>
          <w:rFonts w:ascii="Century Schoolbook" w:hAnsi="Century Schoolbook"/>
          <w:i/>
          <w:iCs/>
        </w:rPr>
        <w:t>Ibid.</w:t>
      </w:r>
      <w:r w:rsidR="00530866">
        <w:rPr>
          <w:rFonts w:ascii="Century Schoolbook" w:hAnsi="Century Schoolbook"/>
        </w:rPr>
        <w:t>)</w:t>
      </w:r>
    </w:p>
    <w:p w14:paraId="1CF0DD42" w14:textId="77777777" w:rsidR="00884A90" w:rsidRDefault="00653098" w:rsidP="003044CD">
      <w:pPr>
        <w:tabs>
          <w:tab w:val="clear" w:pos="720"/>
        </w:tabs>
        <w:spacing w:line="360" w:lineRule="auto"/>
        <w:ind w:firstLine="720"/>
        <w:rPr>
          <w:rFonts w:ascii="Century Schoolbook" w:hAnsi="Century Schoolbook"/>
        </w:rPr>
      </w:pPr>
      <w:r>
        <w:rPr>
          <w:rFonts w:ascii="Century Schoolbook" w:hAnsi="Century Schoolbook"/>
        </w:rPr>
        <w:t>Here</w:t>
      </w:r>
      <w:r w:rsidR="00530866">
        <w:rPr>
          <w:rFonts w:ascii="Century Schoolbook" w:hAnsi="Century Schoolbook"/>
        </w:rPr>
        <w:t xml:space="preserve">, the Strategic Plaintiffs contend </w:t>
      </w:r>
      <w:r w:rsidR="00316B65">
        <w:rPr>
          <w:rFonts w:ascii="Century Schoolbook" w:hAnsi="Century Schoolbook"/>
        </w:rPr>
        <w:t xml:space="preserve">the </w:t>
      </w:r>
      <w:r w:rsidR="007E2A8C">
        <w:rPr>
          <w:rFonts w:ascii="Century Schoolbook" w:hAnsi="Century Schoolbook"/>
        </w:rPr>
        <w:t>City</w:t>
      </w:r>
      <w:r w:rsidR="00F819C6">
        <w:rPr>
          <w:rFonts w:ascii="Century Schoolbook" w:hAnsi="Century Schoolbook"/>
        </w:rPr>
        <w:t xml:space="preserve"> did not exclude </w:t>
      </w:r>
      <w:r w:rsidR="00316B65">
        <w:rPr>
          <w:rFonts w:ascii="Century Schoolbook" w:hAnsi="Century Schoolbook"/>
        </w:rPr>
        <w:t xml:space="preserve">the </w:t>
      </w:r>
      <w:r w:rsidRPr="00F725C8">
        <w:rPr>
          <w:rFonts w:ascii="Century Schoolbook" w:hAnsi="Century Schoolbook"/>
          <w:i/>
          <w:iCs/>
        </w:rPr>
        <w:t>full</w:t>
      </w:r>
      <w:r>
        <w:rPr>
          <w:rFonts w:ascii="Century Schoolbook" w:hAnsi="Century Schoolbook"/>
        </w:rPr>
        <w:t xml:space="preserve"> </w:t>
      </w:r>
      <w:r w:rsidR="008C6CC7">
        <w:rPr>
          <w:rFonts w:ascii="Century Schoolbook" w:hAnsi="Century Schoolbook"/>
        </w:rPr>
        <w:t xml:space="preserve">market </w:t>
      </w:r>
      <w:r w:rsidR="00316B65">
        <w:rPr>
          <w:rFonts w:ascii="Century Schoolbook" w:hAnsi="Century Schoolbook"/>
        </w:rPr>
        <w:t xml:space="preserve">value of </w:t>
      </w:r>
      <w:r w:rsidR="007E2A8C">
        <w:rPr>
          <w:rFonts w:ascii="Century Schoolbook" w:hAnsi="Century Schoolbook"/>
        </w:rPr>
        <w:t>four</w:t>
      </w:r>
      <w:r w:rsidR="00316B65">
        <w:rPr>
          <w:rFonts w:ascii="Century Schoolbook" w:hAnsi="Century Schoolbook"/>
        </w:rPr>
        <w:t xml:space="preserve"> nontaxable, intangible asset</w:t>
      </w:r>
      <w:r w:rsidR="00F819C6">
        <w:rPr>
          <w:rFonts w:ascii="Century Schoolbook" w:hAnsi="Century Schoolbook"/>
        </w:rPr>
        <w:t xml:space="preserve">s </w:t>
      </w:r>
      <w:r>
        <w:rPr>
          <w:rFonts w:ascii="Century Schoolbook" w:hAnsi="Century Schoolbook"/>
        </w:rPr>
        <w:t xml:space="preserve">from </w:t>
      </w:r>
      <w:r w:rsidR="009A0458">
        <w:rPr>
          <w:rFonts w:ascii="Century Schoolbook" w:hAnsi="Century Schoolbook"/>
        </w:rPr>
        <w:t>the</w:t>
      </w:r>
      <w:r>
        <w:rPr>
          <w:rFonts w:ascii="Century Schoolbook" w:hAnsi="Century Schoolbook"/>
        </w:rPr>
        <w:t xml:space="preserve"> a</w:t>
      </w:r>
      <w:r w:rsidR="001C7757">
        <w:rPr>
          <w:rFonts w:ascii="Century Schoolbook" w:hAnsi="Century Schoolbook"/>
        </w:rPr>
        <w:t>sses</w:t>
      </w:r>
      <w:r w:rsidR="00813AC7">
        <w:rPr>
          <w:rFonts w:ascii="Century Schoolbook" w:hAnsi="Century Schoolbook"/>
        </w:rPr>
        <w:t>s</w:t>
      </w:r>
      <w:r w:rsidR="009A0458">
        <w:rPr>
          <w:rFonts w:ascii="Century Schoolbook" w:hAnsi="Century Schoolbook"/>
        </w:rPr>
        <w:t>ed value</w:t>
      </w:r>
      <w:r>
        <w:rPr>
          <w:rFonts w:ascii="Century Schoolbook" w:hAnsi="Century Schoolbook"/>
        </w:rPr>
        <w:t xml:space="preserve"> of the </w:t>
      </w:r>
      <w:r w:rsidR="007E2A8C">
        <w:rPr>
          <w:rFonts w:ascii="Century Schoolbook" w:hAnsi="Century Schoolbook"/>
        </w:rPr>
        <w:t>hotel</w:t>
      </w:r>
      <w:r>
        <w:rPr>
          <w:rFonts w:ascii="Century Schoolbook" w:hAnsi="Century Schoolbook"/>
        </w:rPr>
        <w:t xml:space="preserve"> </w:t>
      </w:r>
      <w:r w:rsidR="000F56CD">
        <w:rPr>
          <w:rFonts w:ascii="Century Schoolbook" w:hAnsi="Century Schoolbook"/>
        </w:rPr>
        <w:t xml:space="preserve">when </w:t>
      </w:r>
      <w:r w:rsidR="007E2A8C">
        <w:rPr>
          <w:rFonts w:ascii="Century Schoolbook" w:hAnsi="Century Schoolbook"/>
        </w:rPr>
        <w:t xml:space="preserve">it </w:t>
      </w:r>
      <w:r w:rsidR="00F819C6">
        <w:rPr>
          <w:rFonts w:ascii="Century Schoolbook" w:hAnsi="Century Schoolbook"/>
        </w:rPr>
        <w:t>simply</w:t>
      </w:r>
      <w:r w:rsidR="00316B65">
        <w:rPr>
          <w:rFonts w:ascii="Century Schoolbook" w:hAnsi="Century Schoolbook"/>
        </w:rPr>
        <w:t xml:space="preserve"> deduct</w:t>
      </w:r>
      <w:r w:rsidR="000F56CD">
        <w:rPr>
          <w:rFonts w:ascii="Century Schoolbook" w:hAnsi="Century Schoolbook"/>
        </w:rPr>
        <w:t>ed</w:t>
      </w:r>
      <w:r w:rsidR="00316B65">
        <w:rPr>
          <w:rFonts w:ascii="Century Schoolbook" w:hAnsi="Century Schoolbook"/>
        </w:rPr>
        <w:t xml:space="preserve"> the fees or </w:t>
      </w:r>
      <w:r w:rsidR="00F728AB">
        <w:rPr>
          <w:rFonts w:ascii="Century Schoolbook" w:hAnsi="Century Schoolbook"/>
        </w:rPr>
        <w:t xml:space="preserve">expenses </w:t>
      </w:r>
      <w:r w:rsidR="00316B65">
        <w:rPr>
          <w:rFonts w:ascii="Century Schoolbook" w:hAnsi="Century Schoolbook"/>
        </w:rPr>
        <w:t>associated with th</w:t>
      </w:r>
      <w:r w:rsidR="00F819C6">
        <w:rPr>
          <w:rFonts w:ascii="Century Schoolbook" w:hAnsi="Century Schoolbook"/>
        </w:rPr>
        <w:t>ose</w:t>
      </w:r>
      <w:r w:rsidR="00316B65">
        <w:rPr>
          <w:rFonts w:ascii="Century Schoolbook" w:hAnsi="Century Schoolbook"/>
        </w:rPr>
        <w:t xml:space="preserve"> asset</w:t>
      </w:r>
      <w:r w:rsidR="00F819C6">
        <w:rPr>
          <w:rFonts w:ascii="Century Schoolbook" w:hAnsi="Century Schoolbook"/>
        </w:rPr>
        <w:t>s</w:t>
      </w:r>
      <w:r w:rsidR="0093732F">
        <w:rPr>
          <w:rFonts w:ascii="Century Schoolbook" w:hAnsi="Century Schoolbook"/>
        </w:rPr>
        <w:t xml:space="preserve"> and refused to deduct </w:t>
      </w:r>
      <w:r w:rsidR="009B1815">
        <w:rPr>
          <w:rFonts w:ascii="Century Schoolbook" w:hAnsi="Century Schoolbook"/>
        </w:rPr>
        <w:t xml:space="preserve">any of </w:t>
      </w:r>
      <w:r w:rsidR="0093732F">
        <w:rPr>
          <w:rFonts w:ascii="Century Schoolbook" w:hAnsi="Century Schoolbook"/>
        </w:rPr>
        <w:t>the net</w:t>
      </w:r>
      <w:r w:rsidR="008C6CC7">
        <w:rPr>
          <w:rFonts w:ascii="Century Schoolbook" w:hAnsi="Century Schoolbook"/>
        </w:rPr>
        <w:t xml:space="preserve"> income</w:t>
      </w:r>
      <w:r w:rsidR="0093732F">
        <w:rPr>
          <w:rFonts w:ascii="Century Schoolbook" w:hAnsi="Century Schoolbook"/>
        </w:rPr>
        <w:t xml:space="preserve"> generated </w:t>
      </w:r>
      <w:r w:rsidR="008C6CC7">
        <w:rPr>
          <w:rFonts w:ascii="Century Schoolbook" w:hAnsi="Century Schoolbook"/>
        </w:rPr>
        <w:t>by</w:t>
      </w:r>
      <w:r w:rsidR="0093732F">
        <w:rPr>
          <w:rFonts w:ascii="Century Schoolbook" w:hAnsi="Century Schoolbook"/>
        </w:rPr>
        <w:t xml:space="preserve"> those assets</w:t>
      </w:r>
      <w:r w:rsidR="007E2A8C">
        <w:rPr>
          <w:rFonts w:ascii="Century Schoolbook" w:hAnsi="Century Schoolbook"/>
        </w:rPr>
        <w:t xml:space="preserve"> from the hotel’s future income stream.</w:t>
      </w:r>
      <w:r w:rsidR="00316B65">
        <w:rPr>
          <w:rFonts w:ascii="Century Schoolbook" w:hAnsi="Century Schoolbook"/>
        </w:rPr>
        <w:t xml:space="preserve"> </w:t>
      </w:r>
      <w:r w:rsidR="00F819C6">
        <w:rPr>
          <w:rFonts w:ascii="Century Schoolbook" w:hAnsi="Century Schoolbook"/>
        </w:rPr>
        <w:t xml:space="preserve"> </w:t>
      </w:r>
      <w:r>
        <w:rPr>
          <w:rFonts w:ascii="Century Schoolbook" w:hAnsi="Century Schoolbook"/>
        </w:rPr>
        <w:t xml:space="preserve">In </w:t>
      </w:r>
      <w:r w:rsidR="000B7B97">
        <w:rPr>
          <w:rFonts w:ascii="Century Schoolbook" w:hAnsi="Century Schoolbook"/>
        </w:rPr>
        <w:t>making this contention</w:t>
      </w:r>
      <w:r w:rsidR="000F56CD">
        <w:rPr>
          <w:rFonts w:ascii="Century Schoolbook" w:hAnsi="Century Schoolbook"/>
        </w:rPr>
        <w:t>,</w:t>
      </w:r>
      <w:r w:rsidR="00F819C6">
        <w:rPr>
          <w:rFonts w:ascii="Century Schoolbook" w:hAnsi="Century Schoolbook"/>
        </w:rPr>
        <w:t xml:space="preserve"> the</w:t>
      </w:r>
      <w:r w:rsidR="000F56CD">
        <w:rPr>
          <w:rFonts w:ascii="Century Schoolbook" w:hAnsi="Century Schoolbook"/>
        </w:rPr>
        <w:t xml:space="preserve"> Strategic Plaintiffs</w:t>
      </w:r>
      <w:r w:rsidR="00F819C6">
        <w:rPr>
          <w:rFonts w:ascii="Century Schoolbook" w:hAnsi="Century Schoolbook"/>
        </w:rPr>
        <w:t xml:space="preserve"> are </w:t>
      </w:r>
      <w:r>
        <w:rPr>
          <w:rFonts w:ascii="Century Schoolbook" w:hAnsi="Century Schoolbook"/>
        </w:rPr>
        <w:t xml:space="preserve">necessarily </w:t>
      </w:r>
      <w:r w:rsidR="0093732F">
        <w:rPr>
          <w:rFonts w:ascii="Century Schoolbook" w:hAnsi="Century Schoolbook"/>
        </w:rPr>
        <w:t>arguing that</w:t>
      </w:r>
      <w:r w:rsidR="00F819C6">
        <w:rPr>
          <w:rFonts w:ascii="Century Schoolbook" w:hAnsi="Century Schoolbook"/>
        </w:rPr>
        <w:t xml:space="preserve"> the </w:t>
      </w:r>
      <w:r w:rsidR="007E2A8C">
        <w:rPr>
          <w:rFonts w:ascii="Century Schoolbook" w:hAnsi="Century Schoolbook"/>
        </w:rPr>
        <w:t xml:space="preserve">method </w:t>
      </w:r>
      <w:r w:rsidR="00F819C6">
        <w:rPr>
          <w:rFonts w:ascii="Century Schoolbook" w:hAnsi="Century Schoolbook"/>
        </w:rPr>
        <w:t xml:space="preserve">used by the </w:t>
      </w:r>
      <w:r w:rsidR="007E2A8C">
        <w:rPr>
          <w:rFonts w:ascii="Century Schoolbook" w:hAnsi="Century Schoolbook"/>
        </w:rPr>
        <w:t>City</w:t>
      </w:r>
      <w:r w:rsidR="00F819C6">
        <w:rPr>
          <w:rFonts w:ascii="Century Schoolbook" w:hAnsi="Century Schoolbook"/>
        </w:rPr>
        <w:t xml:space="preserve"> </w:t>
      </w:r>
      <w:r w:rsidR="0093732F">
        <w:rPr>
          <w:rFonts w:ascii="Century Schoolbook" w:hAnsi="Century Schoolbook"/>
        </w:rPr>
        <w:t>to a</w:t>
      </w:r>
      <w:r w:rsidR="001C7757">
        <w:rPr>
          <w:rFonts w:ascii="Century Schoolbook" w:hAnsi="Century Schoolbook"/>
        </w:rPr>
        <w:t>ssess</w:t>
      </w:r>
      <w:r w:rsidR="0093732F">
        <w:rPr>
          <w:rFonts w:ascii="Century Schoolbook" w:hAnsi="Century Schoolbook"/>
        </w:rPr>
        <w:t xml:space="preserve"> </w:t>
      </w:r>
      <w:r w:rsidR="009A0458">
        <w:rPr>
          <w:rFonts w:ascii="Century Schoolbook" w:hAnsi="Century Schoolbook"/>
        </w:rPr>
        <w:t>the</w:t>
      </w:r>
      <w:r w:rsidR="0093732F">
        <w:rPr>
          <w:rFonts w:ascii="Century Schoolbook" w:hAnsi="Century Schoolbook"/>
        </w:rPr>
        <w:t xml:space="preserve"> </w:t>
      </w:r>
      <w:r w:rsidR="007E2A8C">
        <w:rPr>
          <w:rFonts w:ascii="Century Schoolbook" w:hAnsi="Century Schoolbook"/>
        </w:rPr>
        <w:t>hotel</w:t>
      </w:r>
      <w:r w:rsidR="0093732F">
        <w:rPr>
          <w:rFonts w:ascii="Century Schoolbook" w:hAnsi="Century Schoolbook"/>
        </w:rPr>
        <w:t xml:space="preserve"> is</w:t>
      </w:r>
      <w:r w:rsidR="00F819C6">
        <w:rPr>
          <w:rFonts w:ascii="Century Schoolbook" w:hAnsi="Century Schoolbook"/>
        </w:rPr>
        <w:t>, “ ‘by its nature, incapable of</w:t>
      </w:r>
      <w:r w:rsidR="009827CA">
        <w:rPr>
          <w:rFonts w:ascii="Century Schoolbook" w:hAnsi="Century Schoolbook"/>
        </w:rPr>
        <w:t xml:space="preserve"> correctly</w:t>
      </w:r>
      <w:r w:rsidR="00F819C6">
        <w:rPr>
          <w:rFonts w:ascii="Century Schoolbook" w:hAnsi="Century Schoolbook"/>
        </w:rPr>
        <w:t xml:space="preserve"> estimating market value.’ ”  (</w:t>
      </w:r>
      <w:r w:rsidR="00F819C6">
        <w:rPr>
          <w:rFonts w:ascii="Century Schoolbook" w:hAnsi="Century Schoolbook"/>
          <w:i/>
          <w:iCs/>
        </w:rPr>
        <w:t>SH</w:t>
      </w:r>
      <w:r w:rsidR="007E2A8C">
        <w:rPr>
          <w:rFonts w:ascii="Century Schoolbook" w:hAnsi="Century Schoolbook"/>
          <w:i/>
          <w:iCs/>
        </w:rPr>
        <w:t>C</w:t>
      </w:r>
      <w:r w:rsidR="00F819C6">
        <w:rPr>
          <w:rFonts w:ascii="Century Schoolbook" w:hAnsi="Century Schoolbook"/>
          <w:i/>
          <w:iCs/>
        </w:rPr>
        <w:t xml:space="preserve"> Half Moon Bay</w:t>
      </w:r>
      <w:r w:rsidR="00F819C6">
        <w:rPr>
          <w:rFonts w:ascii="Century Schoolbook" w:hAnsi="Century Schoolbook"/>
        </w:rPr>
        <w:t xml:space="preserve">, </w:t>
      </w:r>
      <w:r w:rsidR="00F819C6">
        <w:rPr>
          <w:rFonts w:ascii="Century Schoolbook" w:hAnsi="Century Schoolbook"/>
          <w:i/>
          <w:iCs/>
        </w:rPr>
        <w:t>supra</w:t>
      </w:r>
      <w:r w:rsidR="00F819C6">
        <w:rPr>
          <w:rFonts w:ascii="Century Schoolbook" w:hAnsi="Century Schoolbook"/>
        </w:rPr>
        <w:t>, 226 Cal.App.4th at p. 489.)</w:t>
      </w:r>
      <w:r>
        <w:rPr>
          <w:rFonts w:ascii="Century Schoolbook" w:hAnsi="Century Schoolbook"/>
        </w:rPr>
        <w:t xml:space="preserve">  </w:t>
      </w:r>
      <w:r w:rsidR="008C6CC7">
        <w:rPr>
          <w:rFonts w:ascii="Century Schoolbook" w:hAnsi="Century Schoolbook"/>
        </w:rPr>
        <w:t>T</w:t>
      </w:r>
      <w:r>
        <w:rPr>
          <w:rFonts w:ascii="Century Schoolbook" w:hAnsi="Century Schoolbook"/>
        </w:rPr>
        <w:t xml:space="preserve">his appeal </w:t>
      </w:r>
      <w:r w:rsidR="008C6CC7">
        <w:rPr>
          <w:rFonts w:ascii="Century Schoolbook" w:hAnsi="Century Schoolbook"/>
        </w:rPr>
        <w:t xml:space="preserve">therefore </w:t>
      </w:r>
      <w:r>
        <w:rPr>
          <w:rFonts w:ascii="Century Schoolbook" w:hAnsi="Century Schoolbook"/>
        </w:rPr>
        <w:t xml:space="preserve">presents a challenge to the valuation method </w:t>
      </w:r>
      <w:r w:rsidR="00DE2149">
        <w:rPr>
          <w:rFonts w:ascii="Century Schoolbook" w:hAnsi="Century Schoolbook"/>
        </w:rPr>
        <w:t xml:space="preserve">used by the City </w:t>
      </w:r>
      <w:r>
        <w:rPr>
          <w:rFonts w:ascii="Century Schoolbook" w:hAnsi="Century Schoolbook"/>
        </w:rPr>
        <w:t>and is subject to de novo review.</w:t>
      </w:r>
      <w:r w:rsidR="009B1815">
        <w:rPr>
          <w:rFonts w:ascii="Century Schoolbook" w:hAnsi="Century Schoolbook"/>
        </w:rPr>
        <w:t xml:space="preserve"> </w:t>
      </w:r>
    </w:p>
    <w:p w14:paraId="1CF0DD43" w14:textId="77777777" w:rsidR="00072E8B" w:rsidRDefault="00653098" w:rsidP="00072E8B">
      <w:pPr>
        <w:pStyle w:val="ListParagraph"/>
        <w:numPr>
          <w:ilvl w:val="0"/>
          <w:numId w:val="5"/>
        </w:numPr>
        <w:tabs>
          <w:tab w:val="clear" w:pos="720"/>
        </w:tabs>
        <w:spacing w:line="360" w:lineRule="auto"/>
        <w:rPr>
          <w:rFonts w:ascii="Century Schoolbook" w:hAnsi="Century Schoolbook"/>
          <w:b/>
          <w:bCs/>
        </w:rPr>
      </w:pPr>
      <w:r>
        <w:rPr>
          <w:rFonts w:ascii="Century Schoolbook" w:hAnsi="Century Schoolbook"/>
          <w:b/>
          <w:bCs/>
        </w:rPr>
        <w:t xml:space="preserve">General </w:t>
      </w:r>
      <w:r>
        <w:rPr>
          <w:rFonts w:ascii="Century Schoolbook" w:hAnsi="Century Schoolbook"/>
          <w:b/>
          <w:bCs/>
        </w:rPr>
        <w:t>Principles of Property Taxation</w:t>
      </w:r>
    </w:p>
    <w:p w14:paraId="1CF0DD44" w14:textId="77777777" w:rsidR="00E50516" w:rsidRDefault="00653098" w:rsidP="00CA5323">
      <w:pPr>
        <w:tabs>
          <w:tab w:val="clear" w:pos="720"/>
        </w:tabs>
        <w:spacing w:line="360" w:lineRule="auto"/>
        <w:ind w:firstLine="720"/>
        <w:rPr>
          <w:rFonts w:ascii="Century Schoolbook" w:hAnsi="Century Schoolbook"/>
        </w:rPr>
      </w:pPr>
      <w:r>
        <w:rPr>
          <w:rFonts w:ascii="Century Schoolbook" w:hAnsi="Century Schoolbook"/>
        </w:rPr>
        <w:t>“Article XIII, section 1 of the California Constitution requires generally the assessment of property at ‘fair market value.’ ”  (</w:t>
      </w:r>
      <w:r>
        <w:rPr>
          <w:rFonts w:ascii="Century Schoolbook" w:hAnsi="Century Schoolbook"/>
          <w:i/>
          <w:iCs/>
        </w:rPr>
        <w:t>Elk Hills</w:t>
      </w:r>
      <w:r>
        <w:rPr>
          <w:rFonts w:ascii="Century Schoolbook" w:hAnsi="Century Schoolbook"/>
        </w:rPr>
        <w:t xml:space="preserve">, </w:t>
      </w:r>
      <w:r>
        <w:rPr>
          <w:rFonts w:ascii="Century Schoolbook" w:hAnsi="Century Schoolbook"/>
          <w:i/>
          <w:iCs/>
        </w:rPr>
        <w:t>supra</w:t>
      </w:r>
      <w:r>
        <w:rPr>
          <w:rFonts w:ascii="Century Schoolbook" w:hAnsi="Century Schoolbook"/>
        </w:rPr>
        <w:t xml:space="preserve">, 57 Cal.4th at p. 606.)  </w:t>
      </w:r>
      <w:r w:rsidR="00DF37D7">
        <w:rPr>
          <w:rFonts w:ascii="Century Schoolbook" w:hAnsi="Century Schoolbook"/>
        </w:rPr>
        <w:t>But n</w:t>
      </w:r>
      <w:r>
        <w:rPr>
          <w:rFonts w:ascii="Century Schoolbook" w:hAnsi="Century Schoolbook"/>
        </w:rPr>
        <w:t xml:space="preserve">ot all property is taxable.  </w:t>
      </w:r>
      <w:r w:rsidR="00DF37D7">
        <w:rPr>
          <w:rFonts w:ascii="Century Schoolbook" w:hAnsi="Century Schoolbook"/>
        </w:rPr>
        <w:t>For example, a</w:t>
      </w:r>
      <w:r>
        <w:rPr>
          <w:rFonts w:ascii="Century Schoolbook" w:hAnsi="Century Schoolbook"/>
        </w:rPr>
        <w:t>fter</w:t>
      </w:r>
      <w:r>
        <w:rPr>
          <w:rFonts w:ascii="Century Schoolbook" w:hAnsi="Century Schoolbook"/>
        </w:rPr>
        <w:t xml:space="preserve"> the </w:t>
      </w:r>
      <w:r>
        <w:rPr>
          <w:rFonts w:ascii="Century Schoolbook" w:hAnsi="Century Schoolbook"/>
        </w:rPr>
        <w:lastRenderedPageBreak/>
        <w:t>amendment of former section 14 of article XIII of the California Constitution (now art. XIII, § 2) in 1933, intangible assets that are not enumerated in that section are “exempt from property taxation.”</w:t>
      </w:r>
      <w:r>
        <w:rPr>
          <w:rStyle w:val="FootnoteReference"/>
          <w:rFonts w:ascii="Century Schoolbook" w:hAnsi="Century Schoolbook"/>
        </w:rPr>
        <w:footnoteReference w:id="2"/>
      </w:r>
      <w:r>
        <w:rPr>
          <w:rFonts w:ascii="Century Schoolbook" w:hAnsi="Century Schoolbook"/>
        </w:rPr>
        <w:t xml:space="preserve">  (</w:t>
      </w:r>
      <w:r>
        <w:rPr>
          <w:rFonts w:ascii="Century Schoolbook" w:hAnsi="Century Schoolbook"/>
          <w:i/>
          <w:iCs/>
        </w:rPr>
        <w:t>Elk Hills</w:t>
      </w:r>
      <w:r>
        <w:rPr>
          <w:rFonts w:ascii="Century Schoolbook" w:hAnsi="Century Schoolbook"/>
        </w:rPr>
        <w:t>, at p. 607.)</w:t>
      </w:r>
      <w:r w:rsidR="00873E9C">
        <w:rPr>
          <w:rFonts w:ascii="Century Schoolbook" w:hAnsi="Century Schoolbook"/>
        </w:rPr>
        <w:t xml:space="preserve"> </w:t>
      </w:r>
      <w:r w:rsidR="001C7757">
        <w:rPr>
          <w:rFonts w:ascii="Century Schoolbook" w:hAnsi="Century Schoolbook"/>
        </w:rPr>
        <w:t xml:space="preserve"> </w:t>
      </w:r>
    </w:p>
    <w:p w14:paraId="1CF0DD45" w14:textId="77777777" w:rsidR="00066E2D" w:rsidRDefault="00653098" w:rsidP="00CA5323">
      <w:pPr>
        <w:tabs>
          <w:tab w:val="clear" w:pos="720"/>
        </w:tabs>
        <w:spacing w:line="360" w:lineRule="auto"/>
        <w:ind w:firstLine="720"/>
        <w:rPr>
          <w:rFonts w:ascii="Century Schoolbook" w:hAnsi="Century Schoolbook"/>
        </w:rPr>
      </w:pPr>
      <w:r>
        <w:rPr>
          <w:rFonts w:ascii="Century Schoolbook" w:hAnsi="Century Schoolbook"/>
        </w:rPr>
        <w:t xml:space="preserve">Revenue &amp; Taxation </w:t>
      </w:r>
      <w:r>
        <w:rPr>
          <w:rFonts w:ascii="Century Schoolbook" w:hAnsi="Century Schoolbook"/>
        </w:rPr>
        <w:t>Code s</w:t>
      </w:r>
      <w:r w:rsidR="00CA5323">
        <w:rPr>
          <w:rFonts w:ascii="Century Schoolbook" w:hAnsi="Century Schoolbook"/>
        </w:rPr>
        <w:t>ections 110 and 212 implement these sections of the California Constitution.</w:t>
      </w:r>
      <w:r>
        <w:rPr>
          <w:rStyle w:val="FootnoteReference"/>
          <w:rFonts w:ascii="Century Schoolbook" w:hAnsi="Century Schoolbook"/>
        </w:rPr>
        <w:footnoteReference w:id="3"/>
      </w:r>
      <w:r w:rsidR="00CA5323">
        <w:rPr>
          <w:rFonts w:ascii="Century Schoolbook" w:hAnsi="Century Schoolbook"/>
        </w:rPr>
        <w:t xml:space="preserve"> </w:t>
      </w:r>
      <w:r w:rsidR="005509C5">
        <w:rPr>
          <w:rFonts w:ascii="Century Schoolbook" w:hAnsi="Century Schoolbook"/>
        </w:rPr>
        <w:t xml:space="preserve"> </w:t>
      </w:r>
      <w:r w:rsidR="00873E9C">
        <w:rPr>
          <w:rFonts w:ascii="Century Schoolbook" w:hAnsi="Century Schoolbook"/>
        </w:rPr>
        <w:t>(</w:t>
      </w:r>
      <w:r w:rsidR="00873E9C">
        <w:rPr>
          <w:rFonts w:ascii="Century Schoolbook" w:hAnsi="Century Schoolbook"/>
          <w:i/>
          <w:iCs/>
        </w:rPr>
        <w:t>Elk Hills</w:t>
      </w:r>
      <w:r w:rsidR="00873E9C">
        <w:rPr>
          <w:rFonts w:ascii="Century Schoolbook" w:hAnsi="Century Schoolbook"/>
        </w:rPr>
        <w:t xml:space="preserve">, </w:t>
      </w:r>
      <w:r w:rsidR="00F728AB" w:rsidRPr="00F728AB">
        <w:rPr>
          <w:rFonts w:ascii="Century Schoolbook" w:hAnsi="Century Schoolbook"/>
          <w:i/>
          <w:iCs/>
        </w:rPr>
        <w:t>supra</w:t>
      </w:r>
      <w:r w:rsidR="00F728AB">
        <w:rPr>
          <w:rFonts w:ascii="Century Schoolbook" w:hAnsi="Century Schoolbook"/>
        </w:rPr>
        <w:t xml:space="preserve">, 57 Cal.4th </w:t>
      </w:r>
      <w:r w:rsidR="00873E9C" w:rsidRPr="00F728AB">
        <w:rPr>
          <w:rFonts w:ascii="Century Schoolbook" w:hAnsi="Century Schoolbook"/>
        </w:rPr>
        <w:t>at</w:t>
      </w:r>
      <w:r w:rsidR="00873E9C">
        <w:rPr>
          <w:rFonts w:ascii="Century Schoolbook" w:hAnsi="Century Schoolbook"/>
        </w:rPr>
        <w:t xml:space="preserve"> </w:t>
      </w:r>
    </w:p>
    <w:p w14:paraId="1CF0DD46" w14:textId="77777777" w:rsidR="00CA5323" w:rsidRDefault="00653098" w:rsidP="00066E2D">
      <w:pPr>
        <w:tabs>
          <w:tab w:val="clear" w:pos="720"/>
        </w:tabs>
        <w:spacing w:line="360" w:lineRule="auto"/>
        <w:rPr>
          <w:rFonts w:ascii="Century Schoolbook" w:hAnsi="Century Schoolbook"/>
        </w:rPr>
      </w:pPr>
      <w:r>
        <w:rPr>
          <w:rFonts w:ascii="Century Schoolbook" w:hAnsi="Century Schoolbook"/>
        </w:rPr>
        <w:t xml:space="preserve">p. 607.) </w:t>
      </w:r>
      <w:r>
        <w:rPr>
          <w:rFonts w:ascii="Century Schoolbook" w:hAnsi="Century Schoolbook"/>
          <w:i/>
          <w:iCs/>
        </w:rPr>
        <w:t xml:space="preserve"> </w:t>
      </w:r>
      <w:r>
        <w:rPr>
          <w:rFonts w:ascii="Century Schoolbook" w:hAnsi="Century Schoolbook"/>
        </w:rPr>
        <w:t xml:space="preserve">Section 110, subdivision (a) defines </w:t>
      </w:r>
      <w:r w:rsidR="00E50516">
        <w:rPr>
          <w:rFonts w:ascii="Century Schoolbook" w:hAnsi="Century Schoolbook"/>
        </w:rPr>
        <w:t xml:space="preserve">the </w:t>
      </w:r>
      <w:r w:rsidR="00F515AA">
        <w:rPr>
          <w:rFonts w:ascii="Century Schoolbook" w:hAnsi="Century Schoolbook"/>
        </w:rPr>
        <w:t>“ ‘[</w:t>
      </w:r>
      <w:r>
        <w:rPr>
          <w:rFonts w:ascii="Century Schoolbook" w:hAnsi="Century Schoolbook"/>
        </w:rPr>
        <w:t>f</w:t>
      </w:r>
      <w:r w:rsidR="00F515AA">
        <w:rPr>
          <w:rFonts w:ascii="Century Schoolbook" w:hAnsi="Century Schoolbook"/>
        </w:rPr>
        <w:t>]</w:t>
      </w:r>
      <w:r>
        <w:rPr>
          <w:rFonts w:ascii="Century Schoolbook" w:hAnsi="Century Schoolbook"/>
        </w:rPr>
        <w:t>air market value</w:t>
      </w:r>
      <w:r w:rsidR="00F515AA">
        <w:rPr>
          <w:rFonts w:ascii="Century Schoolbook" w:hAnsi="Century Schoolbook"/>
        </w:rPr>
        <w:t>’ ”</w:t>
      </w:r>
      <w:r>
        <w:rPr>
          <w:rFonts w:ascii="Century Schoolbook" w:hAnsi="Century Schoolbook"/>
        </w:rPr>
        <w:t xml:space="preserve"> </w:t>
      </w:r>
      <w:r w:rsidR="00E50516">
        <w:rPr>
          <w:rFonts w:ascii="Century Schoolbook" w:hAnsi="Century Schoolbook"/>
        </w:rPr>
        <w:t xml:space="preserve">of a property </w:t>
      </w:r>
      <w:r>
        <w:rPr>
          <w:rFonts w:ascii="Century Schoolbook" w:hAnsi="Century Schoolbook"/>
        </w:rPr>
        <w:t xml:space="preserve">as “the amount of cash or its </w:t>
      </w:r>
      <w:r>
        <w:rPr>
          <w:rFonts w:ascii="Century Schoolbook" w:hAnsi="Century Schoolbook"/>
        </w:rPr>
        <w:t>equivalent that property would bring if exposed for sale in the open market under conditions in which neither buyer nor seller could take advantage of the exigencies of the other, and both the buyer and the seller have knowledge of all of the uses and purp</w:t>
      </w:r>
      <w:r>
        <w:rPr>
          <w:rFonts w:ascii="Century Schoolbook" w:hAnsi="Century Schoolbook"/>
        </w:rPr>
        <w:t>oses to which the property is adapted and for which it is capable of being used, and of the enforceable restrictions upon those uses and purposes.”  S</w:t>
      </w:r>
      <w:r w:rsidR="005509C5">
        <w:rPr>
          <w:rFonts w:ascii="Century Schoolbook" w:hAnsi="Century Schoolbook"/>
        </w:rPr>
        <w:t>ection 110, subdivision (d)(1)</w:t>
      </w:r>
      <w:r w:rsidR="00F515AA">
        <w:rPr>
          <w:rFonts w:ascii="Century Schoolbook" w:hAnsi="Century Schoolbook"/>
        </w:rPr>
        <w:t>, however,</w:t>
      </w:r>
      <w:r w:rsidR="005509C5">
        <w:rPr>
          <w:rFonts w:ascii="Century Schoolbook" w:hAnsi="Century Schoolbook"/>
        </w:rPr>
        <w:t xml:space="preserve"> </w:t>
      </w:r>
      <w:r>
        <w:rPr>
          <w:rFonts w:ascii="Century Schoolbook" w:hAnsi="Century Schoolbook"/>
        </w:rPr>
        <w:t xml:space="preserve">exempts </w:t>
      </w:r>
      <w:r w:rsidR="009B4171">
        <w:rPr>
          <w:rFonts w:ascii="Century Schoolbook" w:hAnsi="Century Schoolbook"/>
        </w:rPr>
        <w:t xml:space="preserve">certain </w:t>
      </w:r>
      <w:r>
        <w:rPr>
          <w:rFonts w:ascii="Century Schoolbook" w:hAnsi="Century Schoolbook"/>
        </w:rPr>
        <w:t xml:space="preserve">intangible assets </w:t>
      </w:r>
      <w:r w:rsidR="00E50516">
        <w:rPr>
          <w:rFonts w:ascii="Century Schoolbook" w:hAnsi="Century Schoolbook"/>
        </w:rPr>
        <w:t>or</w:t>
      </w:r>
      <w:r>
        <w:rPr>
          <w:rFonts w:ascii="Century Schoolbook" w:hAnsi="Century Schoolbook"/>
        </w:rPr>
        <w:t xml:space="preserve"> rights from taxation</w:t>
      </w:r>
      <w:r w:rsidR="005509C5">
        <w:rPr>
          <w:rFonts w:ascii="Century Schoolbook" w:hAnsi="Century Schoolbook"/>
        </w:rPr>
        <w:t xml:space="preserve">:  “The value of intangible assets and rights relating to the going concern value of a business using taxable property shall not enhance or be reflected in the value of the taxable property.”  Section (d)(2) </w:t>
      </w:r>
      <w:r w:rsidR="00F515AA">
        <w:rPr>
          <w:rFonts w:ascii="Century Schoolbook" w:hAnsi="Century Schoolbook"/>
        </w:rPr>
        <w:t xml:space="preserve">then </w:t>
      </w:r>
      <w:r>
        <w:rPr>
          <w:rFonts w:ascii="Century Schoolbook" w:hAnsi="Century Schoolbook"/>
        </w:rPr>
        <w:t xml:space="preserve">explains how the </w:t>
      </w:r>
      <w:r w:rsidR="00CC72DB">
        <w:rPr>
          <w:rFonts w:ascii="Century Schoolbook" w:hAnsi="Century Schoolbook"/>
        </w:rPr>
        <w:t>taxable</w:t>
      </w:r>
      <w:r>
        <w:rPr>
          <w:rFonts w:ascii="Century Schoolbook" w:hAnsi="Century Schoolbook"/>
        </w:rPr>
        <w:t xml:space="preserve"> value of properties that i</w:t>
      </w:r>
      <w:r>
        <w:rPr>
          <w:rFonts w:ascii="Century Schoolbook" w:hAnsi="Century Schoolbook"/>
        </w:rPr>
        <w:t xml:space="preserve">nclude </w:t>
      </w:r>
      <w:r w:rsidR="009A0458">
        <w:rPr>
          <w:rFonts w:ascii="Century Schoolbook" w:hAnsi="Century Schoolbook"/>
        </w:rPr>
        <w:t>nontaxable,</w:t>
      </w:r>
      <w:r>
        <w:rPr>
          <w:rFonts w:ascii="Century Schoolbook" w:hAnsi="Century Schoolbook"/>
        </w:rPr>
        <w:t xml:space="preserve"> intangible assets </w:t>
      </w:r>
      <w:r w:rsidR="00E50516">
        <w:rPr>
          <w:rFonts w:ascii="Century Schoolbook" w:hAnsi="Century Schoolbook"/>
        </w:rPr>
        <w:t>or</w:t>
      </w:r>
      <w:r>
        <w:rPr>
          <w:rFonts w:ascii="Century Schoolbook" w:hAnsi="Century Schoolbook"/>
        </w:rPr>
        <w:t xml:space="preserve"> rights should be </w:t>
      </w:r>
      <w:r w:rsidR="00CC72DB">
        <w:rPr>
          <w:rFonts w:ascii="Century Schoolbook" w:hAnsi="Century Schoolbook"/>
        </w:rPr>
        <w:t>calculat</w:t>
      </w:r>
      <w:r>
        <w:rPr>
          <w:rFonts w:ascii="Century Schoolbook" w:hAnsi="Century Schoolbook"/>
        </w:rPr>
        <w:t>ed</w:t>
      </w:r>
      <w:r w:rsidR="005509C5">
        <w:rPr>
          <w:rFonts w:ascii="Century Schoolbook" w:hAnsi="Century Schoolbook"/>
        </w:rPr>
        <w:t xml:space="preserve">:  “If the principle of unit valuation is used to value properties that are operated as a unit and the unit includes intangible assets and rights, then the fair market value of the taxable property contained within the unit shall be determined by removing from the value of the unit the fair market value of the intangible assets and rights contained </w:t>
      </w:r>
      <w:r w:rsidR="005509C5">
        <w:rPr>
          <w:rFonts w:ascii="Century Schoolbook" w:hAnsi="Century Schoolbook"/>
        </w:rPr>
        <w:lastRenderedPageBreak/>
        <w:t xml:space="preserve">within the unit.”  </w:t>
      </w:r>
      <w:r w:rsidR="009B4171">
        <w:rPr>
          <w:rFonts w:ascii="Century Schoolbook" w:hAnsi="Century Schoolbook"/>
        </w:rPr>
        <w:t>Despite this directive</w:t>
      </w:r>
      <w:r w:rsidR="00E50516">
        <w:rPr>
          <w:rFonts w:ascii="Century Schoolbook" w:hAnsi="Century Schoolbook"/>
        </w:rPr>
        <w:t xml:space="preserve"> to remove the value of nontaxable, intangible assets or rights</w:t>
      </w:r>
      <w:r w:rsidR="00F515AA">
        <w:rPr>
          <w:rFonts w:ascii="Century Schoolbook" w:hAnsi="Century Schoolbook"/>
        </w:rPr>
        <w:t>,</w:t>
      </w:r>
      <w:r w:rsidR="005509C5">
        <w:rPr>
          <w:rFonts w:ascii="Century Schoolbook" w:hAnsi="Century Schoolbook"/>
        </w:rPr>
        <w:t xml:space="preserve"> “</w:t>
      </w:r>
      <w:r w:rsidR="00F515AA">
        <w:rPr>
          <w:rFonts w:ascii="Century Schoolbook" w:hAnsi="Century Schoolbook"/>
        </w:rPr>
        <w:t>[t]</w:t>
      </w:r>
      <w:proofErr w:type="spellStart"/>
      <w:r w:rsidR="005509C5">
        <w:rPr>
          <w:rFonts w:ascii="Century Schoolbook" w:hAnsi="Century Schoolbook"/>
        </w:rPr>
        <w:t>axable</w:t>
      </w:r>
      <w:proofErr w:type="spellEnd"/>
      <w:r w:rsidR="005509C5">
        <w:rPr>
          <w:rFonts w:ascii="Century Schoolbook" w:hAnsi="Century Schoolbook"/>
        </w:rPr>
        <w:t xml:space="preserve"> property may</w:t>
      </w:r>
      <w:r w:rsidR="00F515AA">
        <w:rPr>
          <w:rFonts w:ascii="Century Schoolbook" w:hAnsi="Century Schoolbook"/>
        </w:rPr>
        <w:t xml:space="preserve"> </w:t>
      </w:r>
      <w:r w:rsidR="009B4171">
        <w:rPr>
          <w:rFonts w:ascii="Century Schoolbook" w:hAnsi="Century Schoolbook"/>
        </w:rPr>
        <w:t xml:space="preserve">[nonetheless] </w:t>
      </w:r>
      <w:r w:rsidR="005509C5">
        <w:rPr>
          <w:rFonts w:ascii="Century Schoolbook" w:hAnsi="Century Schoolbook"/>
        </w:rPr>
        <w:t>be assessed and valued by assuming the presence of intangible assets or rights necessary to put the taxable property to beneficial or productive use.”</w:t>
      </w:r>
      <w:r w:rsidR="00F515AA">
        <w:rPr>
          <w:rFonts w:ascii="Century Schoolbook" w:hAnsi="Century Schoolbook"/>
        </w:rPr>
        <w:t xml:space="preserve">  (§ 110, subd. (e).)</w:t>
      </w:r>
    </w:p>
    <w:p w14:paraId="1CF0DD47" w14:textId="77777777" w:rsidR="005509C5" w:rsidRDefault="00653098" w:rsidP="00CA5323">
      <w:pPr>
        <w:tabs>
          <w:tab w:val="clear" w:pos="720"/>
        </w:tabs>
        <w:spacing w:line="360" w:lineRule="auto"/>
        <w:ind w:firstLine="720"/>
        <w:rPr>
          <w:rFonts w:ascii="Century Schoolbook" w:hAnsi="Century Schoolbook"/>
        </w:rPr>
      </w:pPr>
      <w:r>
        <w:rPr>
          <w:rFonts w:ascii="Century Schoolbook" w:hAnsi="Century Schoolbook"/>
        </w:rPr>
        <w:t xml:space="preserve">Section 212, subdivision (c) </w:t>
      </w:r>
      <w:r w:rsidR="00DF37D7">
        <w:rPr>
          <w:rFonts w:ascii="Century Schoolbook" w:hAnsi="Century Schoolbook"/>
        </w:rPr>
        <w:t>provides similar guidance</w:t>
      </w:r>
      <w:r>
        <w:rPr>
          <w:rFonts w:ascii="Century Schoolbook" w:hAnsi="Century Schoolbook"/>
        </w:rPr>
        <w:t>:  “Intangible assets and rights are exempt from taxation and, except as otherwise provided in the following sentence, the value of intangible assets and rights shall not enhance or be reflected in the value of taxable property.  Taxabl</w:t>
      </w:r>
      <w:r>
        <w:rPr>
          <w:rFonts w:ascii="Century Schoolbook" w:hAnsi="Century Schoolbook"/>
        </w:rPr>
        <w:t>e property may be assessed and valued by assuming the presence of intangible assets or rights necessary to put the taxable property to beneficial or productive use.”</w:t>
      </w:r>
    </w:p>
    <w:p w14:paraId="1CF0DD48" w14:textId="77777777" w:rsidR="00AB7682" w:rsidRDefault="00653098" w:rsidP="00CA5323">
      <w:pPr>
        <w:tabs>
          <w:tab w:val="clear" w:pos="720"/>
        </w:tabs>
        <w:spacing w:line="360" w:lineRule="auto"/>
        <w:ind w:firstLine="720"/>
        <w:rPr>
          <w:rFonts w:ascii="Century Schoolbook" w:hAnsi="Century Schoolbook"/>
        </w:rPr>
      </w:pPr>
      <w:r>
        <w:rPr>
          <w:rFonts w:ascii="Century Schoolbook" w:hAnsi="Century Schoolbook"/>
        </w:rPr>
        <w:t xml:space="preserve">The California Supreme Court reconciled these provisions of sections 110 and 212 in </w:t>
      </w:r>
      <w:r>
        <w:rPr>
          <w:rFonts w:ascii="Century Schoolbook" w:hAnsi="Century Schoolbook"/>
          <w:i/>
          <w:iCs/>
        </w:rPr>
        <w:t>Elk Hi</w:t>
      </w:r>
      <w:r>
        <w:rPr>
          <w:rFonts w:ascii="Century Schoolbook" w:hAnsi="Century Schoolbook"/>
          <w:i/>
          <w:iCs/>
        </w:rPr>
        <w:t>lls</w:t>
      </w:r>
      <w:r>
        <w:rPr>
          <w:rFonts w:ascii="Century Schoolbook" w:hAnsi="Century Schoolbook"/>
        </w:rPr>
        <w:t>.  According to our high court, “there is no reason why an intangible asset cannot enhance both taxable property and the going concern value of the business on which the property resides.”  (</w:t>
      </w:r>
      <w:r>
        <w:rPr>
          <w:rFonts w:ascii="Century Schoolbook" w:hAnsi="Century Schoolbook"/>
          <w:i/>
          <w:iCs/>
        </w:rPr>
        <w:t>Elk Hills</w:t>
      </w:r>
      <w:r>
        <w:rPr>
          <w:rFonts w:ascii="Century Schoolbook" w:hAnsi="Century Schoolbook"/>
        </w:rPr>
        <w:t xml:space="preserve">, </w:t>
      </w:r>
      <w:r>
        <w:rPr>
          <w:rFonts w:ascii="Century Schoolbook" w:hAnsi="Century Schoolbook"/>
          <w:i/>
          <w:iCs/>
        </w:rPr>
        <w:t>supra</w:t>
      </w:r>
      <w:r>
        <w:rPr>
          <w:rFonts w:ascii="Century Schoolbook" w:hAnsi="Century Schoolbook"/>
        </w:rPr>
        <w:t>, 57 Cal.4th at p. 614.)  Thus, in valuing tax</w:t>
      </w:r>
      <w:r>
        <w:rPr>
          <w:rFonts w:ascii="Century Schoolbook" w:hAnsi="Century Schoolbook"/>
        </w:rPr>
        <w:t xml:space="preserve">able property, an assessor may “assume[] the </w:t>
      </w:r>
      <w:r w:rsidRPr="0041725B">
        <w:rPr>
          <w:rFonts w:ascii="Century Schoolbook" w:hAnsi="Century Schoolbook"/>
          <w:i/>
          <w:iCs/>
        </w:rPr>
        <w:t>presence</w:t>
      </w:r>
      <w:r>
        <w:rPr>
          <w:rFonts w:ascii="Century Schoolbook" w:hAnsi="Century Schoolbook"/>
        </w:rPr>
        <w:t xml:space="preserve"> of an intangible asset </w:t>
      </w:r>
      <w:r w:rsidRPr="00871C03">
        <w:rPr>
          <w:rFonts w:ascii="Century Schoolbook" w:hAnsi="Century Schoolbook"/>
          <w:i/>
          <w:iCs/>
        </w:rPr>
        <w:t>necessary to put taxable property to beneficial use</w:t>
      </w:r>
      <w:r>
        <w:rPr>
          <w:rFonts w:ascii="Century Schoolbook" w:hAnsi="Century Schoolbook"/>
        </w:rPr>
        <w:t>.”  (</w:t>
      </w:r>
      <w:r>
        <w:rPr>
          <w:rFonts w:ascii="Century Schoolbook" w:hAnsi="Century Schoolbook"/>
          <w:i/>
          <w:iCs/>
        </w:rPr>
        <w:t>Ibid.</w:t>
      </w:r>
      <w:r w:rsidR="0041725B">
        <w:rPr>
          <w:rFonts w:ascii="Century Schoolbook" w:hAnsi="Century Schoolbook"/>
        </w:rPr>
        <w:t>, italics added</w:t>
      </w:r>
      <w:r>
        <w:rPr>
          <w:rFonts w:ascii="Century Schoolbook" w:hAnsi="Century Schoolbook"/>
        </w:rPr>
        <w:t xml:space="preserve">; see also § 212, subd. (c).) </w:t>
      </w:r>
      <w:r w:rsidR="00692742">
        <w:rPr>
          <w:rFonts w:ascii="Century Schoolbook" w:hAnsi="Century Schoolbook"/>
        </w:rPr>
        <w:t xml:space="preserve"> </w:t>
      </w:r>
      <w:r>
        <w:rPr>
          <w:rFonts w:ascii="Century Schoolbook" w:hAnsi="Century Schoolbook"/>
        </w:rPr>
        <w:t xml:space="preserve">This is because “the beneficial or productive use of tangible </w:t>
      </w:r>
      <w:r>
        <w:rPr>
          <w:rFonts w:ascii="Century Schoolbook" w:hAnsi="Century Schoolbook"/>
        </w:rPr>
        <w:t>property ‘depend[s] upon the possession of intangible rights and privileges that are not themselves regarded as a separate class of taxable property . . . .’ ”  (</w:t>
      </w:r>
      <w:r w:rsidR="00E50516">
        <w:rPr>
          <w:rFonts w:ascii="Century Schoolbook" w:hAnsi="Century Schoolbook"/>
          <w:i/>
          <w:iCs/>
        </w:rPr>
        <w:t>Elk Hills</w:t>
      </w:r>
      <w:r w:rsidR="00E50516">
        <w:rPr>
          <w:rFonts w:ascii="Century Schoolbook" w:hAnsi="Century Schoolbook"/>
        </w:rPr>
        <w:t>,</w:t>
      </w:r>
      <w:r>
        <w:rPr>
          <w:rFonts w:ascii="Century Schoolbook" w:hAnsi="Century Schoolbook"/>
        </w:rPr>
        <w:t xml:space="preserve"> at </w:t>
      </w:r>
      <w:r w:rsidR="007E2A8C">
        <w:rPr>
          <w:rFonts w:ascii="Century Schoolbook" w:hAnsi="Century Schoolbook"/>
        </w:rPr>
        <w:t xml:space="preserve">p. </w:t>
      </w:r>
      <w:r>
        <w:rPr>
          <w:rFonts w:ascii="Century Schoolbook" w:hAnsi="Century Schoolbook"/>
        </w:rPr>
        <w:t xml:space="preserve">612, quoting </w:t>
      </w:r>
      <w:bookmarkStart w:id="0" w:name="_Hlk140160159"/>
      <w:proofErr w:type="spellStart"/>
      <w:r>
        <w:rPr>
          <w:rFonts w:ascii="Century Schoolbook" w:hAnsi="Century Schoolbook"/>
          <w:i/>
          <w:iCs/>
        </w:rPr>
        <w:t>Roehm</w:t>
      </w:r>
      <w:proofErr w:type="spellEnd"/>
      <w:r w:rsidR="00CF1FCB" w:rsidRPr="000115F8">
        <w:rPr>
          <w:rFonts w:ascii="Century Schoolbook" w:hAnsi="Century Schoolbook"/>
        </w:rPr>
        <w:t>,</w:t>
      </w:r>
      <w:r w:rsidR="00CF1FCB" w:rsidRPr="000115F8">
        <w:rPr>
          <w:rFonts w:ascii="Century Schoolbook" w:hAnsi="Century Schoolbook"/>
          <w:i/>
          <w:iCs/>
        </w:rPr>
        <w:t xml:space="preserve"> supra</w:t>
      </w:r>
      <w:r w:rsidR="00CF1FCB" w:rsidRPr="000115F8">
        <w:rPr>
          <w:rFonts w:ascii="Century Schoolbook" w:hAnsi="Century Schoolbook"/>
        </w:rPr>
        <w:t>,</w:t>
      </w:r>
      <w:r>
        <w:rPr>
          <w:rFonts w:ascii="Century Schoolbook" w:hAnsi="Century Schoolbook"/>
        </w:rPr>
        <w:t xml:space="preserve"> 32 Cal.2d </w:t>
      </w:r>
      <w:r w:rsidR="00CF1FCB">
        <w:rPr>
          <w:rFonts w:ascii="Century Schoolbook" w:hAnsi="Century Schoolbook"/>
        </w:rPr>
        <w:t>at p.</w:t>
      </w:r>
      <w:r>
        <w:rPr>
          <w:rFonts w:ascii="Century Schoolbook" w:hAnsi="Century Schoolbook"/>
        </w:rPr>
        <w:t xml:space="preserve"> </w:t>
      </w:r>
      <w:r w:rsidRPr="000115F8">
        <w:rPr>
          <w:rFonts w:ascii="Century Schoolbook" w:hAnsi="Century Schoolbook"/>
        </w:rPr>
        <w:t>285</w:t>
      </w:r>
      <w:bookmarkEnd w:id="0"/>
      <w:r>
        <w:rPr>
          <w:rFonts w:ascii="Century Schoolbook" w:hAnsi="Century Schoolbook"/>
        </w:rPr>
        <w:t xml:space="preserve">.) </w:t>
      </w:r>
    </w:p>
    <w:p w14:paraId="1CF0DD49" w14:textId="77777777" w:rsidR="00AB7682" w:rsidRPr="001C7757" w:rsidRDefault="00653098" w:rsidP="00CA5323">
      <w:pPr>
        <w:tabs>
          <w:tab w:val="clear" w:pos="720"/>
        </w:tabs>
        <w:spacing w:line="360" w:lineRule="auto"/>
        <w:ind w:firstLine="720"/>
        <w:rPr>
          <w:rFonts w:ascii="Century Schoolbook" w:hAnsi="Century Schoolbook"/>
        </w:rPr>
      </w:pPr>
      <w:r>
        <w:rPr>
          <w:rFonts w:ascii="Century Schoolbook" w:hAnsi="Century Schoolbook"/>
        </w:rPr>
        <w:t>At the same time, “the valu</w:t>
      </w:r>
      <w:r>
        <w:rPr>
          <w:rFonts w:ascii="Century Schoolbook" w:hAnsi="Century Schoolbook"/>
        </w:rPr>
        <w:t>e of intangible assets ‘relating to the going concern value of a business’ ”—i.e., its enterprise value—is not taxable.</w:t>
      </w:r>
      <w:r>
        <w:rPr>
          <w:rStyle w:val="FootnoteReference"/>
          <w:rFonts w:ascii="Century Schoolbook" w:hAnsi="Century Schoolbook"/>
        </w:rPr>
        <w:footnoteReference w:id="4"/>
      </w:r>
      <w:r>
        <w:rPr>
          <w:rFonts w:ascii="Century Schoolbook" w:hAnsi="Century Schoolbook"/>
        </w:rPr>
        <w:t xml:space="preserve">  (</w:t>
      </w:r>
      <w:r>
        <w:rPr>
          <w:rFonts w:ascii="Century Schoolbook" w:hAnsi="Century Schoolbook"/>
          <w:i/>
          <w:iCs/>
        </w:rPr>
        <w:t>Elk Hills</w:t>
      </w:r>
      <w:r>
        <w:rPr>
          <w:rFonts w:ascii="Century Schoolbook" w:hAnsi="Century Schoolbook"/>
        </w:rPr>
        <w:t xml:space="preserve">, </w:t>
      </w:r>
      <w:r>
        <w:rPr>
          <w:rFonts w:ascii="Century Schoolbook" w:hAnsi="Century Schoolbook"/>
          <w:i/>
          <w:iCs/>
        </w:rPr>
        <w:t>supra</w:t>
      </w:r>
      <w:r>
        <w:rPr>
          <w:rFonts w:ascii="Century Schoolbook" w:hAnsi="Century Schoolbook"/>
        </w:rPr>
        <w:t xml:space="preserve">, 57 Cal.4th at p. 614.) </w:t>
      </w:r>
      <w:r w:rsidR="004C5D2D">
        <w:rPr>
          <w:rFonts w:ascii="Century Schoolbook" w:hAnsi="Century Schoolbook"/>
        </w:rPr>
        <w:t xml:space="preserve"> </w:t>
      </w:r>
      <w:r>
        <w:rPr>
          <w:rFonts w:ascii="Century Schoolbook" w:hAnsi="Century Schoolbook"/>
        </w:rPr>
        <w:t xml:space="preserve">Thus, “even when an intangible asset </w:t>
      </w:r>
      <w:r>
        <w:rPr>
          <w:rFonts w:ascii="Century Schoolbook" w:hAnsi="Century Schoolbook"/>
        </w:rPr>
        <w:lastRenderedPageBreak/>
        <w:t xml:space="preserve">enhances the value of taxable property . . ., to the </w:t>
      </w:r>
      <w:r>
        <w:rPr>
          <w:rFonts w:ascii="Century Schoolbook" w:hAnsi="Century Schoolbook"/>
        </w:rPr>
        <w:t xml:space="preserve">extent that the unitary valuation reflects a direct valuation of the asset itself, or includes income appropriately attributed to enterprise value,” that </w:t>
      </w:r>
      <w:r w:rsidR="009B4171">
        <w:rPr>
          <w:rFonts w:ascii="Century Schoolbook" w:hAnsi="Century Schoolbook"/>
        </w:rPr>
        <w:t>d</w:t>
      </w:r>
      <w:r>
        <w:rPr>
          <w:rFonts w:ascii="Century Schoolbook" w:hAnsi="Century Schoolbook"/>
        </w:rPr>
        <w:t>irect valuation o</w:t>
      </w:r>
      <w:r w:rsidR="004C5D2D">
        <w:rPr>
          <w:rFonts w:ascii="Century Schoolbook" w:hAnsi="Century Schoolbook"/>
        </w:rPr>
        <w:t>r</w:t>
      </w:r>
      <w:r>
        <w:rPr>
          <w:rFonts w:ascii="Century Schoolbook" w:hAnsi="Century Schoolbook"/>
        </w:rPr>
        <w:t xml:space="preserve"> income must be </w:t>
      </w:r>
      <w:r w:rsidR="009B4171">
        <w:rPr>
          <w:rFonts w:ascii="Century Schoolbook" w:hAnsi="Century Schoolbook"/>
        </w:rPr>
        <w:t>remov</w:t>
      </w:r>
      <w:r>
        <w:rPr>
          <w:rFonts w:ascii="Century Schoolbook" w:hAnsi="Century Schoolbook"/>
        </w:rPr>
        <w:t>ed from the</w:t>
      </w:r>
      <w:r w:rsidR="000B7850">
        <w:rPr>
          <w:rFonts w:ascii="Century Schoolbook" w:hAnsi="Century Schoolbook"/>
        </w:rPr>
        <w:t xml:space="preserve"> </w:t>
      </w:r>
      <w:r w:rsidR="009B4171">
        <w:rPr>
          <w:rFonts w:ascii="Century Schoolbook" w:hAnsi="Century Schoolbook"/>
        </w:rPr>
        <w:t>assessed</w:t>
      </w:r>
      <w:r w:rsidR="004B5C90">
        <w:rPr>
          <w:rFonts w:ascii="Century Schoolbook" w:hAnsi="Century Schoolbook"/>
        </w:rPr>
        <w:t xml:space="preserve"> </w:t>
      </w:r>
      <w:r w:rsidR="000B7850">
        <w:rPr>
          <w:rFonts w:ascii="Century Schoolbook" w:hAnsi="Century Schoolbook"/>
        </w:rPr>
        <w:t>value of the property.  (</w:t>
      </w:r>
      <w:r w:rsidR="000B7850">
        <w:rPr>
          <w:rFonts w:ascii="Century Schoolbook" w:hAnsi="Century Schoolbook"/>
          <w:i/>
          <w:iCs/>
        </w:rPr>
        <w:t>Id.</w:t>
      </w:r>
      <w:r w:rsidR="000B7850">
        <w:rPr>
          <w:rFonts w:ascii="Century Schoolbook" w:hAnsi="Century Schoolbook"/>
        </w:rPr>
        <w:t xml:space="preserve"> at </w:t>
      </w:r>
      <w:r w:rsidR="004B5C90">
        <w:rPr>
          <w:rFonts w:ascii="Century Schoolbook" w:hAnsi="Century Schoolbook"/>
        </w:rPr>
        <w:t xml:space="preserve">p. </w:t>
      </w:r>
      <w:r w:rsidR="000B7850">
        <w:rPr>
          <w:rFonts w:ascii="Century Schoolbook" w:hAnsi="Century Schoolbook"/>
        </w:rPr>
        <w:t>615.)</w:t>
      </w:r>
      <w:r w:rsidR="00D37B61">
        <w:rPr>
          <w:rFonts w:ascii="Century Schoolbook" w:hAnsi="Century Schoolbook"/>
        </w:rPr>
        <w:t xml:space="preserve">  Put another way, to the extent “the value of the taxable property is enhanced</w:t>
      </w:r>
      <w:r w:rsidR="00EE487A">
        <w:rPr>
          <w:rFonts w:ascii="Century Schoolbook" w:hAnsi="Century Schoolbook"/>
        </w:rPr>
        <w:t>”</w:t>
      </w:r>
      <w:r w:rsidR="00D37B61">
        <w:rPr>
          <w:rFonts w:ascii="Century Schoolbook" w:hAnsi="Century Schoolbook"/>
        </w:rPr>
        <w:t xml:space="preserve"> by </w:t>
      </w:r>
      <w:r w:rsidR="00EE487A">
        <w:rPr>
          <w:rFonts w:ascii="Century Schoolbook" w:hAnsi="Century Schoolbook"/>
        </w:rPr>
        <w:t>“</w:t>
      </w:r>
      <w:r w:rsidR="00D37B61">
        <w:rPr>
          <w:rFonts w:ascii="Century Schoolbook" w:hAnsi="Century Schoolbook"/>
          <w:i/>
          <w:iCs/>
        </w:rPr>
        <w:t xml:space="preserve">the value </w:t>
      </w:r>
      <w:r w:rsidR="00D37B61">
        <w:rPr>
          <w:rFonts w:ascii="Century Schoolbook" w:hAnsi="Century Schoolbook"/>
        </w:rPr>
        <w:t>of intangible assets,” it is not taxable.  (</w:t>
      </w:r>
      <w:r w:rsidR="004B5C90">
        <w:rPr>
          <w:rFonts w:ascii="Century Schoolbook" w:hAnsi="Century Schoolbook"/>
          <w:i/>
          <w:iCs/>
        </w:rPr>
        <w:t>Elk Hills</w:t>
      </w:r>
      <w:r w:rsidR="004B5C90">
        <w:rPr>
          <w:rFonts w:ascii="Century Schoolbook" w:hAnsi="Century Schoolbook"/>
        </w:rPr>
        <w:t>, at p. 615</w:t>
      </w:r>
      <w:r w:rsidR="0041725B">
        <w:rPr>
          <w:rFonts w:ascii="Century Schoolbook" w:hAnsi="Century Schoolbook"/>
        </w:rPr>
        <w:t>, italics in original.</w:t>
      </w:r>
      <w:r w:rsidR="00D37B61">
        <w:rPr>
          <w:rFonts w:ascii="Century Schoolbook" w:hAnsi="Century Schoolbook"/>
        </w:rPr>
        <w:t>)</w:t>
      </w:r>
      <w:r w:rsidR="001C7757">
        <w:rPr>
          <w:rFonts w:ascii="Century Schoolbook" w:hAnsi="Century Schoolbook"/>
        </w:rPr>
        <w:t xml:space="preserve">  </w:t>
      </w:r>
    </w:p>
    <w:p w14:paraId="1CF0DD4A" w14:textId="77777777" w:rsidR="00053B06" w:rsidRDefault="00653098" w:rsidP="00CA5323">
      <w:pPr>
        <w:tabs>
          <w:tab w:val="clear" w:pos="720"/>
        </w:tabs>
        <w:spacing w:line="360" w:lineRule="auto"/>
        <w:ind w:firstLine="720"/>
        <w:rPr>
          <w:rFonts w:ascii="Century Schoolbook" w:hAnsi="Century Schoolbook"/>
        </w:rPr>
      </w:pPr>
      <w:r>
        <w:rPr>
          <w:rFonts w:ascii="Century Schoolbook" w:hAnsi="Century Schoolbook"/>
        </w:rPr>
        <w:t xml:space="preserve">Consistent with these principles, sections 110 and 212 establish that </w:t>
      </w:r>
      <w:r w:rsidR="00A76236">
        <w:rPr>
          <w:rFonts w:ascii="Century Schoolbook" w:hAnsi="Century Schoolbook"/>
        </w:rPr>
        <w:t xml:space="preserve">assessors may assume “the presence of intangible assets when valuing </w:t>
      </w:r>
      <w:r w:rsidR="00A76236">
        <w:rPr>
          <w:rFonts w:ascii="Century Schoolbook" w:hAnsi="Century Schoolbook"/>
          <w:i/>
          <w:iCs/>
        </w:rPr>
        <w:t>taxable property</w:t>
      </w:r>
      <w:r w:rsidR="00A76236">
        <w:rPr>
          <w:rFonts w:ascii="Century Schoolbook" w:hAnsi="Century Schoolbook"/>
        </w:rPr>
        <w:t xml:space="preserve">,” but may not “tax </w:t>
      </w:r>
      <w:r w:rsidR="00A76236">
        <w:rPr>
          <w:rFonts w:ascii="Century Schoolbook" w:hAnsi="Century Schoolbook"/>
          <w:i/>
          <w:iCs/>
        </w:rPr>
        <w:t xml:space="preserve">the value </w:t>
      </w:r>
      <w:r w:rsidR="00A76236">
        <w:rPr>
          <w:rFonts w:ascii="Century Schoolbook" w:hAnsi="Century Schoolbook"/>
        </w:rPr>
        <w:t>of intangible assets directly.”  (</w:t>
      </w:r>
      <w:r w:rsidR="00A76236">
        <w:rPr>
          <w:rFonts w:ascii="Century Schoolbook" w:hAnsi="Century Schoolbook"/>
          <w:i/>
          <w:iCs/>
        </w:rPr>
        <w:t>Elk Hills</w:t>
      </w:r>
      <w:r w:rsidR="00A76236">
        <w:rPr>
          <w:rFonts w:ascii="Century Schoolbook" w:hAnsi="Century Schoolbook"/>
        </w:rPr>
        <w:t xml:space="preserve">, </w:t>
      </w:r>
      <w:r w:rsidR="00A76236">
        <w:rPr>
          <w:rFonts w:ascii="Century Schoolbook" w:hAnsi="Century Schoolbook"/>
          <w:i/>
          <w:iCs/>
        </w:rPr>
        <w:t>supra</w:t>
      </w:r>
      <w:r w:rsidR="00A76236">
        <w:rPr>
          <w:rFonts w:ascii="Century Schoolbook" w:hAnsi="Century Schoolbook"/>
        </w:rPr>
        <w:t>, 57 Cal.4th at p. 614</w:t>
      </w:r>
      <w:r w:rsidR="0041725B">
        <w:rPr>
          <w:rFonts w:ascii="Century Schoolbook" w:hAnsi="Century Schoolbook"/>
        </w:rPr>
        <w:t>, italics in original</w:t>
      </w:r>
      <w:r w:rsidR="00A76236">
        <w:rPr>
          <w:rFonts w:ascii="Century Schoolbook" w:hAnsi="Century Schoolbook"/>
        </w:rPr>
        <w:t xml:space="preserve">.)  </w:t>
      </w:r>
      <w:r w:rsidR="00D37B61">
        <w:rPr>
          <w:rFonts w:ascii="Century Schoolbook" w:hAnsi="Century Schoolbook"/>
        </w:rPr>
        <w:t>In doing so</w:t>
      </w:r>
      <w:r w:rsidR="00982E2D">
        <w:rPr>
          <w:rFonts w:ascii="Century Schoolbook" w:hAnsi="Century Schoolbook"/>
        </w:rPr>
        <w:t>, assessors perform “their constitutional duty to assess taxable property at fair market value . . . while making sure that the value of intangible assets i</w:t>
      </w:r>
      <w:r w:rsidR="00FB5C8E">
        <w:rPr>
          <w:rFonts w:ascii="Century Schoolbook" w:hAnsi="Century Schoolbook"/>
        </w:rPr>
        <w:t>s</w:t>
      </w:r>
      <w:r w:rsidR="00982E2D">
        <w:rPr>
          <w:rFonts w:ascii="Century Schoolbook" w:hAnsi="Century Schoolbook"/>
        </w:rPr>
        <w:t xml:space="preserve"> not improperly subsumed within the value of taxable property.”</w:t>
      </w:r>
      <w:r w:rsidR="00F341F7">
        <w:rPr>
          <w:rFonts w:ascii="Century Schoolbook" w:hAnsi="Century Schoolbook"/>
        </w:rPr>
        <w:t xml:space="preserve">  (</w:t>
      </w:r>
      <w:r w:rsidR="00F341F7">
        <w:rPr>
          <w:rFonts w:ascii="Century Schoolbook" w:hAnsi="Century Schoolbook"/>
          <w:i/>
          <w:iCs/>
        </w:rPr>
        <w:t>Ibid.</w:t>
      </w:r>
      <w:r w:rsidR="00F341F7">
        <w:rPr>
          <w:rFonts w:ascii="Century Schoolbook" w:hAnsi="Century Schoolbook"/>
        </w:rPr>
        <w:t>)</w:t>
      </w:r>
    </w:p>
    <w:p w14:paraId="1CF0DD4B" w14:textId="77777777" w:rsidR="00072E8B" w:rsidRDefault="00653098" w:rsidP="00072E8B">
      <w:pPr>
        <w:pStyle w:val="ListParagraph"/>
        <w:numPr>
          <w:ilvl w:val="0"/>
          <w:numId w:val="5"/>
        </w:numPr>
        <w:tabs>
          <w:tab w:val="clear" w:pos="720"/>
        </w:tabs>
        <w:spacing w:line="360" w:lineRule="auto"/>
        <w:rPr>
          <w:rFonts w:ascii="Century Schoolbook" w:hAnsi="Century Schoolbook"/>
          <w:b/>
          <w:bCs/>
        </w:rPr>
      </w:pPr>
      <w:r>
        <w:rPr>
          <w:rFonts w:ascii="Century Schoolbook" w:hAnsi="Century Schoolbook"/>
          <w:b/>
          <w:bCs/>
        </w:rPr>
        <w:t>The Management Agreement</w:t>
      </w:r>
    </w:p>
    <w:p w14:paraId="1CF0DD4C" w14:textId="77777777" w:rsidR="00012962" w:rsidRDefault="00653098" w:rsidP="00813AC7">
      <w:pPr>
        <w:tabs>
          <w:tab w:val="clear" w:pos="720"/>
        </w:tabs>
        <w:spacing w:line="360" w:lineRule="auto"/>
        <w:ind w:firstLine="720"/>
        <w:rPr>
          <w:rFonts w:ascii="Century Schoolbook" w:hAnsi="Century Schoolbook"/>
        </w:rPr>
      </w:pPr>
      <w:r>
        <w:rPr>
          <w:rFonts w:ascii="Century Schoolbook" w:hAnsi="Century Schoolbook"/>
        </w:rPr>
        <w:t xml:space="preserve">Both parties agree that </w:t>
      </w:r>
      <w:r w:rsidR="00A1081D">
        <w:rPr>
          <w:rFonts w:ascii="Century Schoolbook" w:hAnsi="Century Schoolbook"/>
        </w:rPr>
        <w:t>the City</w:t>
      </w:r>
      <w:r>
        <w:rPr>
          <w:rFonts w:ascii="Century Schoolbook" w:hAnsi="Century Schoolbook"/>
        </w:rPr>
        <w:t xml:space="preserve"> properly used the income approach </w:t>
      </w:r>
      <w:r w:rsidR="008E701F">
        <w:rPr>
          <w:rFonts w:ascii="Century Schoolbook" w:hAnsi="Century Schoolbook"/>
        </w:rPr>
        <w:t xml:space="preserve">to </w:t>
      </w:r>
      <w:r w:rsidR="00E50516">
        <w:rPr>
          <w:rFonts w:ascii="Century Schoolbook" w:hAnsi="Century Schoolbook"/>
        </w:rPr>
        <w:t>determine</w:t>
      </w:r>
      <w:r>
        <w:rPr>
          <w:rFonts w:ascii="Century Schoolbook" w:hAnsi="Century Schoolbook"/>
        </w:rPr>
        <w:t xml:space="preserve"> the </w:t>
      </w:r>
      <w:r w:rsidR="008E701F">
        <w:rPr>
          <w:rFonts w:ascii="Century Schoolbook" w:hAnsi="Century Schoolbook"/>
        </w:rPr>
        <w:t xml:space="preserve">taxable </w:t>
      </w:r>
      <w:r>
        <w:rPr>
          <w:rFonts w:ascii="Century Schoolbook" w:hAnsi="Century Schoolbook"/>
        </w:rPr>
        <w:t xml:space="preserve">value of the Westin St. Francis.  </w:t>
      </w:r>
      <w:r w:rsidR="000115F8">
        <w:rPr>
          <w:rFonts w:ascii="Century Schoolbook" w:hAnsi="Century Schoolbook"/>
        </w:rPr>
        <w:t xml:space="preserve">Under </w:t>
      </w:r>
      <w:r w:rsidR="00023249">
        <w:rPr>
          <w:rFonts w:ascii="Century Schoolbook" w:hAnsi="Century Schoolbook"/>
        </w:rPr>
        <w:t xml:space="preserve">that approach, the </w:t>
      </w:r>
      <w:r w:rsidR="00E50516">
        <w:rPr>
          <w:rFonts w:ascii="Century Schoolbook" w:hAnsi="Century Schoolbook"/>
        </w:rPr>
        <w:t>appraiser</w:t>
      </w:r>
      <w:r w:rsidR="00023249">
        <w:rPr>
          <w:rFonts w:ascii="Century Schoolbook" w:hAnsi="Century Schoolbook"/>
        </w:rPr>
        <w:t xml:space="preserve"> estimate</w:t>
      </w:r>
      <w:r w:rsidR="00E50516">
        <w:rPr>
          <w:rFonts w:ascii="Century Schoolbook" w:hAnsi="Century Schoolbook"/>
        </w:rPr>
        <w:t>s</w:t>
      </w:r>
      <w:r w:rsidR="00023249">
        <w:rPr>
          <w:rFonts w:ascii="Century Schoolbook" w:hAnsi="Century Schoolbook"/>
        </w:rPr>
        <w:t xml:space="preserve"> the future income stream of the hotel and convert</w:t>
      </w:r>
      <w:r w:rsidR="00E50516">
        <w:rPr>
          <w:rFonts w:ascii="Century Schoolbook" w:hAnsi="Century Schoolbook"/>
        </w:rPr>
        <w:t>s</w:t>
      </w:r>
      <w:r w:rsidR="00023249">
        <w:rPr>
          <w:rFonts w:ascii="Century Schoolbook" w:hAnsi="Century Schoolbook"/>
        </w:rPr>
        <w:t xml:space="preserve"> that income into a present value using a capitalization rate.  </w:t>
      </w:r>
      <w:r w:rsidR="00DF37D7">
        <w:rPr>
          <w:rFonts w:ascii="Century Schoolbook" w:hAnsi="Century Schoolbook"/>
        </w:rPr>
        <w:t>(</w:t>
      </w:r>
      <w:r w:rsidR="00DF37D7">
        <w:rPr>
          <w:rFonts w:ascii="Century Schoolbook" w:hAnsi="Century Schoolbook"/>
          <w:i/>
          <w:iCs/>
        </w:rPr>
        <w:t xml:space="preserve">GTE </w:t>
      </w:r>
      <w:r w:rsidR="00DF37D7" w:rsidRPr="00DF37D7">
        <w:rPr>
          <w:rFonts w:ascii="Century Schoolbook" w:hAnsi="Century Schoolbook"/>
          <w:i/>
          <w:iCs/>
        </w:rPr>
        <w:t>Sprint</w:t>
      </w:r>
      <w:r w:rsidR="00DF37D7">
        <w:rPr>
          <w:rFonts w:ascii="Century Schoolbook" w:hAnsi="Century Schoolbook"/>
        </w:rPr>
        <w:t xml:space="preserve">, </w:t>
      </w:r>
      <w:r w:rsidR="00DF37D7">
        <w:rPr>
          <w:rFonts w:ascii="Century Schoolbook" w:hAnsi="Century Schoolbook"/>
          <w:i/>
          <w:iCs/>
        </w:rPr>
        <w:t>supra</w:t>
      </w:r>
      <w:r w:rsidR="00DF37D7">
        <w:rPr>
          <w:rFonts w:ascii="Century Schoolbook" w:hAnsi="Century Schoolbook"/>
        </w:rPr>
        <w:t xml:space="preserve">, 26 Cal.App.4th at p. 996.)  </w:t>
      </w:r>
      <w:r w:rsidR="00AE252E" w:rsidRPr="00DF37D7">
        <w:rPr>
          <w:rFonts w:ascii="Century Schoolbook" w:hAnsi="Century Schoolbook"/>
        </w:rPr>
        <w:t>California</w:t>
      </w:r>
      <w:r w:rsidR="00AE252E">
        <w:rPr>
          <w:rFonts w:ascii="Century Schoolbook" w:hAnsi="Century Schoolbook"/>
        </w:rPr>
        <w:t xml:space="preserve"> Code of Regulations, title 18, section 8</w:t>
      </w:r>
      <w:r w:rsidR="00962639">
        <w:rPr>
          <w:rFonts w:ascii="Century Schoolbook" w:hAnsi="Century Schoolbook"/>
        </w:rPr>
        <w:t xml:space="preserve"> (rule 8)</w:t>
      </w:r>
      <w:r w:rsidR="00AE252E">
        <w:rPr>
          <w:rFonts w:ascii="Century Schoolbook" w:hAnsi="Century Schoolbook"/>
        </w:rPr>
        <w:t xml:space="preserve"> provides that the future income stream may be estimated using the “income from operating [the] property” </w:t>
      </w:r>
      <w:r w:rsidR="00023249">
        <w:rPr>
          <w:rFonts w:ascii="Century Schoolbook" w:hAnsi="Century Schoolbook"/>
        </w:rPr>
        <w:t xml:space="preserve">(net operating income) </w:t>
      </w:r>
      <w:r w:rsidR="00AE252E">
        <w:rPr>
          <w:rFonts w:ascii="Century Schoolbook" w:hAnsi="Century Schoolbook"/>
        </w:rPr>
        <w:t>so long as “sufficient income . . . to provide a return on working capital and other nontaxable operating assets</w:t>
      </w:r>
      <w:r w:rsidR="00FD7F55">
        <w:rPr>
          <w:rFonts w:ascii="Century Schoolbook" w:hAnsi="Century Schoolbook"/>
        </w:rPr>
        <w:t>”</w:t>
      </w:r>
      <w:r w:rsidR="00AE252E">
        <w:rPr>
          <w:rFonts w:ascii="Century Schoolbook" w:hAnsi="Century Schoolbook"/>
        </w:rPr>
        <w:t xml:space="preserve"> is “excluded.”</w:t>
      </w:r>
      <w:r>
        <w:rPr>
          <w:rStyle w:val="FootnoteReference"/>
          <w:rFonts w:ascii="Century Schoolbook" w:hAnsi="Century Schoolbook"/>
        </w:rPr>
        <w:footnoteReference w:id="5"/>
      </w:r>
      <w:r w:rsidR="00AE252E">
        <w:rPr>
          <w:rFonts w:ascii="Century Schoolbook" w:hAnsi="Century Schoolbook"/>
        </w:rPr>
        <w:t xml:space="preserve">  </w:t>
      </w:r>
      <w:r w:rsidR="00962639">
        <w:rPr>
          <w:rFonts w:ascii="Century Schoolbook" w:hAnsi="Century Schoolbook"/>
        </w:rPr>
        <w:t xml:space="preserve">(Rule 8, subd. (e).)  </w:t>
      </w:r>
      <w:r w:rsidR="00884A90">
        <w:rPr>
          <w:rFonts w:ascii="Century Schoolbook" w:hAnsi="Century Schoolbook"/>
        </w:rPr>
        <w:t>Thus</w:t>
      </w:r>
      <w:r w:rsidR="008C3536">
        <w:rPr>
          <w:rFonts w:ascii="Century Schoolbook" w:hAnsi="Century Schoolbook"/>
        </w:rPr>
        <w:t xml:space="preserve">, </w:t>
      </w:r>
      <w:r w:rsidR="00884A90">
        <w:rPr>
          <w:rFonts w:ascii="Century Schoolbook" w:hAnsi="Century Schoolbook"/>
        </w:rPr>
        <w:t xml:space="preserve">if </w:t>
      </w:r>
      <w:r w:rsidR="00271FCE">
        <w:rPr>
          <w:rFonts w:ascii="Century Schoolbook" w:hAnsi="Century Schoolbook"/>
        </w:rPr>
        <w:t xml:space="preserve">“income from operating a property is used” to assess it, “adjustments must be </w:t>
      </w:r>
      <w:r w:rsidR="00271FCE">
        <w:rPr>
          <w:rFonts w:ascii="Century Schoolbook" w:hAnsi="Century Schoolbook"/>
        </w:rPr>
        <w:lastRenderedPageBreak/>
        <w:t>made to exclude income that is not attributable to the taxable property pursuant to Rule 8(e).”  (</w:t>
      </w:r>
      <w:r w:rsidR="00FD7F55">
        <w:rPr>
          <w:rFonts w:ascii="Century Schoolbook" w:hAnsi="Century Schoolbook"/>
        </w:rPr>
        <w:t xml:space="preserve">Bd. of Equalization, </w:t>
      </w:r>
      <w:r w:rsidR="00271FCE">
        <w:rPr>
          <w:rFonts w:ascii="Century Schoolbook" w:hAnsi="Century Schoolbook"/>
        </w:rPr>
        <w:t>Assessors’ Handbook</w:t>
      </w:r>
      <w:r w:rsidR="0031686C">
        <w:rPr>
          <w:rFonts w:ascii="Century Schoolbook" w:hAnsi="Century Schoolbook"/>
        </w:rPr>
        <w:t xml:space="preserve"> (Jan.</w:t>
      </w:r>
      <w:r w:rsidR="005D453F">
        <w:rPr>
          <w:rFonts w:ascii="Century Schoolbook" w:hAnsi="Century Schoolbook"/>
        </w:rPr>
        <w:t xml:space="preserve"> </w:t>
      </w:r>
      <w:r w:rsidR="0031686C">
        <w:rPr>
          <w:rFonts w:ascii="Century Schoolbook" w:hAnsi="Century Schoolbook"/>
        </w:rPr>
        <w:t>2015)</w:t>
      </w:r>
      <w:r w:rsidR="00271FCE">
        <w:rPr>
          <w:rFonts w:ascii="Century Schoolbook" w:hAnsi="Century Schoolbook"/>
        </w:rPr>
        <w:t xml:space="preserve"> Section 502, Advanced Appraisal, p. 56</w:t>
      </w:r>
      <w:r w:rsidR="00571214">
        <w:rPr>
          <w:rFonts w:ascii="Century Schoolbook" w:hAnsi="Century Schoolbook"/>
        </w:rPr>
        <w:t xml:space="preserve"> (Advanced Appraisal)</w:t>
      </w:r>
      <w:r w:rsidR="00271FCE">
        <w:rPr>
          <w:rFonts w:ascii="Century Schoolbook" w:hAnsi="Century Schoolbook"/>
        </w:rPr>
        <w:t>.)</w:t>
      </w:r>
    </w:p>
    <w:p w14:paraId="1CF0DD4D" w14:textId="77777777" w:rsidR="008E701F" w:rsidRPr="00AB6B88" w:rsidRDefault="00653098" w:rsidP="00813AC7">
      <w:pPr>
        <w:tabs>
          <w:tab w:val="clear" w:pos="720"/>
        </w:tabs>
        <w:spacing w:line="360" w:lineRule="auto"/>
        <w:ind w:firstLine="720"/>
        <w:rPr>
          <w:rFonts w:ascii="Century Schoolbook" w:hAnsi="Century Schoolbook"/>
        </w:rPr>
      </w:pPr>
      <w:r>
        <w:rPr>
          <w:rFonts w:ascii="Century Schoolbook" w:hAnsi="Century Schoolbook"/>
        </w:rPr>
        <w:t xml:space="preserve">To </w:t>
      </w:r>
      <w:r w:rsidR="00FD7F55">
        <w:rPr>
          <w:rFonts w:ascii="Century Schoolbook" w:hAnsi="Century Schoolbook"/>
        </w:rPr>
        <w:t>determin</w:t>
      </w:r>
      <w:r w:rsidR="00023249">
        <w:rPr>
          <w:rFonts w:ascii="Century Schoolbook" w:hAnsi="Century Schoolbook"/>
        </w:rPr>
        <w:t>e</w:t>
      </w:r>
      <w:r w:rsidR="00271FCE">
        <w:rPr>
          <w:rFonts w:ascii="Century Schoolbook" w:hAnsi="Century Schoolbook"/>
        </w:rPr>
        <w:t xml:space="preserve"> the </w:t>
      </w:r>
      <w:r>
        <w:rPr>
          <w:rFonts w:ascii="Century Schoolbook" w:hAnsi="Century Schoolbook"/>
        </w:rPr>
        <w:t xml:space="preserve">net operating income of the hotel, </w:t>
      </w:r>
      <w:r w:rsidR="00271FCE">
        <w:rPr>
          <w:rFonts w:ascii="Century Schoolbook" w:hAnsi="Century Schoolbook"/>
        </w:rPr>
        <w:t>the City</w:t>
      </w:r>
      <w:r>
        <w:rPr>
          <w:rFonts w:ascii="Century Schoolbook" w:hAnsi="Century Schoolbook"/>
        </w:rPr>
        <w:t xml:space="preserve"> excluded income </w:t>
      </w:r>
      <w:r w:rsidR="00271FCE">
        <w:rPr>
          <w:rFonts w:ascii="Century Schoolbook" w:hAnsi="Century Schoolbook"/>
        </w:rPr>
        <w:t>attribut</w:t>
      </w:r>
      <w:r w:rsidR="00023249">
        <w:rPr>
          <w:rFonts w:ascii="Century Schoolbook" w:hAnsi="Century Schoolbook"/>
        </w:rPr>
        <w:t>able</w:t>
      </w:r>
      <w:r w:rsidR="00271FCE">
        <w:rPr>
          <w:rFonts w:ascii="Century Schoolbook" w:hAnsi="Century Schoolbook"/>
        </w:rPr>
        <w:t xml:space="preserve"> to</w:t>
      </w:r>
      <w:r>
        <w:rPr>
          <w:rFonts w:ascii="Century Schoolbook" w:hAnsi="Century Schoolbook"/>
        </w:rPr>
        <w:t xml:space="preserve"> the management agreement by deducting the </w:t>
      </w:r>
      <w:r w:rsidR="00C57269">
        <w:rPr>
          <w:rFonts w:ascii="Century Schoolbook" w:hAnsi="Century Schoolbook"/>
        </w:rPr>
        <w:t xml:space="preserve">management </w:t>
      </w:r>
      <w:r>
        <w:rPr>
          <w:rFonts w:ascii="Century Schoolbook" w:hAnsi="Century Schoolbook"/>
        </w:rPr>
        <w:t>fees.</w:t>
      </w:r>
      <w:r>
        <w:rPr>
          <w:rStyle w:val="FootnoteReference"/>
          <w:rFonts w:ascii="Century Schoolbook" w:hAnsi="Century Schoolbook"/>
        </w:rPr>
        <w:footnoteReference w:id="6"/>
      </w:r>
      <w:r>
        <w:rPr>
          <w:rFonts w:ascii="Century Schoolbook" w:hAnsi="Century Schoolbook"/>
        </w:rPr>
        <w:t xml:space="preserve">  </w:t>
      </w:r>
      <w:r w:rsidR="001B2BD7">
        <w:rPr>
          <w:rFonts w:ascii="Century Schoolbook" w:hAnsi="Century Schoolbook"/>
        </w:rPr>
        <w:t>The Strategic Plaintiffs</w:t>
      </w:r>
      <w:r w:rsidR="00C57269">
        <w:rPr>
          <w:rFonts w:ascii="Century Schoolbook" w:hAnsi="Century Schoolbook"/>
        </w:rPr>
        <w:t>, however,</w:t>
      </w:r>
      <w:r w:rsidR="001B2BD7">
        <w:rPr>
          <w:rFonts w:ascii="Century Schoolbook" w:hAnsi="Century Schoolbook"/>
        </w:rPr>
        <w:t xml:space="preserve"> </w:t>
      </w:r>
      <w:r w:rsidR="00271FCE">
        <w:rPr>
          <w:rFonts w:ascii="Century Schoolbook" w:hAnsi="Century Schoolbook"/>
        </w:rPr>
        <w:t>argue that</w:t>
      </w:r>
      <w:r w:rsidR="001B2BD7">
        <w:rPr>
          <w:rFonts w:ascii="Century Schoolbook" w:hAnsi="Century Schoolbook"/>
        </w:rPr>
        <w:t xml:space="preserve"> </w:t>
      </w:r>
      <w:r w:rsidR="00271FCE">
        <w:rPr>
          <w:rFonts w:ascii="Century Schoolbook" w:hAnsi="Century Schoolbook"/>
        </w:rPr>
        <w:t>the City</w:t>
      </w:r>
      <w:r>
        <w:rPr>
          <w:rFonts w:ascii="Century Schoolbook" w:hAnsi="Century Schoolbook"/>
        </w:rPr>
        <w:t>,</w:t>
      </w:r>
      <w:r w:rsidR="00AB6B88">
        <w:rPr>
          <w:rFonts w:ascii="Century Schoolbook" w:hAnsi="Century Schoolbook"/>
        </w:rPr>
        <w:t xml:space="preserve"> </w:t>
      </w:r>
      <w:r>
        <w:rPr>
          <w:rFonts w:ascii="Century Schoolbook" w:hAnsi="Century Schoolbook"/>
        </w:rPr>
        <w:t xml:space="preserve">by </w:t>
      </w:r>
      <w:r w:rsidRPr="00271FCE">
        <w:rPr>
          <w:rFonts w:ascii="Century Schoolbook" w:hAnsi="Century Schoolbook"/>
          <w:i/>
          <w:iCs/>
        </w:rPr>
        <w:t>only</w:t>
      </w:r>
      <w:r w:rsidR="003504E6">
        <w:rPr>
          <w:rFonts w:ascii="Century Schoolbook" w:hAnsi="Century Schoolbook"/>
        </w:rPr>
        <w:t xml:space="preserve"> deducting</w:t>
      </w:r>
      <w:r w:rsidR="001B2BD7">
        <w:rPr>
          <w:rFonts w:ascii="Century Schoolbook" w:hAnsi="Century Schoolbook"/>
        </w:rPr>
        <w:t xml:space="preserve"> the </w:t>
      </w:r>
      <w:r w:rsidR="00C57269">
        <w:rPr>
          <w:rFonts w:ascii="Century Schoolbook" w:hAnsi="Century Schoolbook"/>
        </w:rPr>
        <w:t>management fees</w:t>
      </w:r>
      <w:r>
        <w:rPr>
          <w:rFonts w:ascii="Century Schoolbook" w:hAnsi="Century Schoolbook"/>
        </w:rPr>
        <w:t xml:space="preserve">, </w:t>
      </w:r>
      <w:r w:rsidR="00DF32BF">
        <w:rPr>
          <w:rFonts w:ascii="Century Schoolbook" w:hAnsi="Century Schoolbook"/>
        </w:rPr>
        <w:t>d</w:t>
      </w:r>
      <w:r>
        <w:rPr>
          <w:rFonts w:ascii="Century Schoolbook" w:hAnsi="Century Schoolbook"/>
        </w:rPr>
        <w:t>id</w:t>
      </w:r>
      <w:r w:rsidR="00DF32BF">
        <w:rPr>
          <w:rFonts w:ascii="Century Schoolbook" w:hAnsi="Century Schoolbook"/>
        </w:rPr>
        <w:t xml:space="preserve"> not account for</w:t>
      </w:r>
      <w:r w:rsidR="001B2BD7">
        <w:rPr>
          <w:rFonts w:ascii="Century Schoolbook" w:hAnsi="Century Schoolbook"/>
        </w:rPr>
        <w:t xml:space="preserve"> the return </w:t>
      </w:r>
      <w:r w:rsidR="00DF32BF">
        <w:rPr>
          <w:rFonts w:ascii="Century Schoolbook" w:hAnsi="Century Schoolbook"/>
        </w:rPr>
        <w:t>on</w:t>
      </w:r>
      <w:r w:rsidR="001B2BD7">
        <w:rPr>
          <w:rFonts w:ascii="Century Schoolbook" w:hAnsi="Century Schoolbook"/>
        </w:rPr>
        <w:t xml:space="preserve"> </w:t>
      </w:r>
      <w:r w:rsidR="00C57269">
        <w:rPr>
          <w:rFonts w:ascii="Century Schoolbook" w:hAnsi="Century Schoolbook"/>
        </w:rPr>
        <w:t>that agreement</w:t>
      </w:r>
      <w:r w:rsidR="001B2BD7">
        <w:rPr>
          <w:rFonts w:ascii="Century Schoolbook" w:hAnsi="Century Schoolbook"/>
        </w:rPr>
        <w:t xml:space="preserve">.  </w:t>
      </w:r>
      <w:r w:rsidR="00FD7F55">
        <w:rPr>
          <w:rFonts w:ascii="Century Schoolbook" w:hAnsi="Century Schoolbook"/>
        </w:rPr>
        <w:t>T</w:t>
      </w:r>
      <w:r w:rsidR="00271FCE">
        <w:rPr>
          <w:rFonts w:ascii="Century Schoolbook" w:hAnsi="Century Schoolbook"/>
        </w:rPr>
        <w:t xml:space="preserve">hey </w:t>
      </w:r>
      <w:r w:rsidR="00FD7F55">
        <w:rPr>
          <w:rFonts w:ascii="Century Schoolbook" w:hAnsi="Century Schoolbook"/>
        </w:rPr>
        <w:t xml:space="preserve">therefore </w:t>
      </w:r>
      <w:r w:rsidR="00271FCE">
        <w:rPr>
          <w:rFonts w:ascii="Century Schoolbook" w:hAnsi="Century Schoolbook"/>
        </w:rPr>
        <w:t xml:space="preserve">contend </w:t>
      </w:r>
      <w:r>
        <w:rPr>
          <w:rFonts w:ascii="Century Schoolbook" w:hAnsi="Century Schoolbook"/>
        </w:rPr>
        <w:t xml:space="preserve">the method used by </w:t>
      </w:r>
      <w:r w:rsidR="00271FCE">
        <w:rPr>
          <w:rFonts w:ascii="Century Schoolbook" w:hAnsi="Century Schoolbook"/>
        </w:rPr>
        <w:t>the City</w:t>
      </w:r>
      <w:r>
        <w:rPr>
          <w:rFonts w:ascii="Century Schoolbook" w:hAnsi="Century Schoolbook"/>
        </w:rPr>
        <w:t xml:space="preserve"> to assess the hotel “improperly subsumed in the valuation” </w:t>
      </w:r>
      <w:r w:rsidR="00620118">
        <w:rPr>
          <w:rFonts w:ascii="Century Schoolbook" w:hAnsi="Century Schoolbook"/>
        </w:rPr>
        <w:t>“the fair market value of</w:t>
      </w:r>
      <w:r>
        <w:rPr>
          <w:rFonts w:ascii="Century Schoolbook" w:hAnsi="Century Schoolbook"/>
        </w:rPr>
        <w:t>”</w:t>
      </w:r>
      <w:r w:rsidR="00620118">
        <w:rPr>
          <w:rFonts w:ascii="Century Schoolbook" w:hAnsi="Century Schoolbook"/>
        </w:rPr>
        <w:t xml:space="preserve"> </w:t>
      </w:r>
      <w:r w:rsidR="00271FCE">
        <w:rPr>
          <w:rFonts w:ascii="Century Schoolbook" w:hAnsi="Century Schoolbook"/>
        </w:rPr>
        <w:t>the management agreement</w:t>
      </w:r>
      <w:r>
        <w:rPr>
          <w:rFonts w:ascii="Century Schoolbook" w:hAnsi="Century Schoolbook"/>
        </w:rPr>
        <w:t>.</w:t>
      </w:r>
      <w:r w:rsidR="00620118">
        <w:rPr>
          <w:rFonts w:ascii="Century Schoolbook" w:hAnsi="Century Schoolbook"/>
        </w:rPr>
        <w:t xml:space="preserve">  (</w:t>
      </w:r>
      <w:r w:rsidR="00620118">
        <w:rPr>
          <w:rFonts w:ascii="Century Schoolbook" w:hAnsi="Century Schoolbook"/>
          <w:i/>
          <w:iCs/>
        </w:rPr>
        <w:t>Elk Hills</w:t>
      </w:r>
      <w:r w:rsidR="00620118">
        <w:rPr>
          <w:rFonts w:ascii="Century Schoolbook" w:hAnsi="Century Schoolbook"/>
        </w:rPr>
        <w:t xml:space="preserve">, </w:t>
      </w:r>
      <w:r w:rsidR="00620118">
        <w:rPr>
          <w:rFonts w:ascii="Century Schoolbook" w:hAnsi="Century Schoolbook"/>
          <w:i/>
          <w:iCs/>
        </w:rPr>
        <w:t>supra</w:t>
      </w:r>
      <w:r w:rsidR="00620118">
        <w:rPr>
          <w:rFonts w:ascii="Century Schoolbook" w:hAnsi="Century Schoolbook"/>
        </w:rPr>
        <w:t xml:space="preserve">, 57 Cal.4th at p. 615.)  </w:t>
      </w:r>
      <w:r w:rsidR="001B2BD7">
        <w:rPr>
          <w:rFonts w:ascii="Century Schoolbook" w:hAnsi="Century Schoolbook"/>
        </w:rPr>
        <w:t>We agree</w:t>
      </w:r>
      <w:r w:rsidR="00AB6B88">
        <w:rPr>
          <w:rFonts w:ascii="Century Schoolbook" w:hAnsi="Century Schoolbook"/>
        </w:rPr>
        <w:t xml:space="preserve"> and find that the Strategic Plaintiffs met their burden of showing that </w:t>
      </w:r>
      <w:r w:rsidR="00023249">
        <w:rPr>
          <w:rFonts w:ascii="Century Schoolbook" w:hAnsi="Century Schoolbook"/>
        </w:rPr>
        <w:t>the City</w:t>
      </w:r>
      <w:r w:rsidR="00AB6B88">
        <w:rPr>
          <w:rFonts w:ascii="Century Schoolbook" w:hAnsi="Century Schoolbook"/>
        </w:rPr>
        <w:t xml:space="preserve"> “utilized a legally erroneous methodology.”  (</w:t>
      </w:r>
      <w:r w:rsidR="00AB6B88">
        <w:rPr>
          <w:rFonts w:ascii="Century Schoolbook" w:hAnsi="Century Schoolbook"/>
          <w:i/>
          <w:iCs/>
        </w:rPr>
        <w:t xml:space="preserve">DFS Group, L.P. v. County of San Mateo </w:t>
      </w:r>
      <w:r w:rsidR="00AB6B88">
        <w:rPr>
          <w:rFonts w:ascii="Century Schoolbook" w:hAnsi="Century Schoolbook"/>
        </w:rPr>
        <w:t>(2019) 31 Cal.App.5th 1059, 1074</w:t>
      </w:r>
      <w:r w:rsidR="00EC3126">
        <w:rPr>
          <w:rFonts w:ascii="Century Schoolbook" w:hAnsi="Century Schoolbook"/>
        </w:rPr>
        <w:t xml:space="preserve"> (</w:t>
      </w:r>
      <w:r w:rsidR="00EC3126">
        <w:rPr>
          <w:rFonts w:ascii="Century Schoolbook" w:hAnsi="Century Schoolbook"/>
          <w:i/>
          <w:iCs/>
        </w:rPr>
        <w:t>DFS Group</w:t>
      </w:r>
      <w:r w:rsidR="00EC3126">
        <w:rPr>
          <w:rFonts w:ascii="Century Schoolbook" w:hAnsi="Century Schoolbook"/>
        </w:rPr>
        <w:t>)</w:t>
      </w:r>
      <w:r w:rsidR="00AB6B88">
        <w:rPr>
          <w:rFonts w:ascii="Century Schoolbook" w:hAnsi="Century Schoolbook"/>
        </w:rPr>
        <w:t>.)</w:t>
      </w:r>
    </w:p>
    <w:p w14:paraId="1CF0DD4E" w14:textId="77777777" w:rsidR="00DF32BF" w:rsidRDefault="00653098" w:rsidP="00813AC7">
      <w:pPr>
        <w:tabs>
          <w:tab w:val="clear" w:pos="720"/>
        </w:tabs>
        <w:spacing w:line="360" w:lineRule="auto"/>
        <w:ind w:firstLine="720"/>
        <w:rPr>
          <w:rFonts w:ascii="Century Schoolbook" w:hAnsi="Century Schoolbook"/>
        </w:rPr>
      </w:pPr>
      <w:r>
        <w:rPr>
          <w:rFonts w:ascii="Century Schoolbook" w:hAnsi="Century Schoolbook"/>
        </w:rPr>
        <w:t>Under ru</w:t>
      </w:r>
      <w:r>
        <w:rPr>
          <w:rFonts w:ascii="Century Schoolbook" w:hAnsi="Century Schoolbook"/>
        </w:rPr>
        <w:t>le 8</w:t>
      </w:r>
      <w:r w:rsidR="008C3536">
        <w:rPr>
          <w:rFonts w:ascii="Century Schoolbook" w:hAnsi="Century Schoolbook"/>
        </w:rPr>
        <w:t xml:space="preserve">, subdivision </w:t>
      </w:r>
      <w:r>
        <w:rPr>
          <w:rFonts w:ascii="Century Schoolbook" w:hAnsi="Century Schoolbook"/>
        </w:rPr>
        <w:t xml:space="preserve">(e), the </w:t>
      </w:r>
      <w:r w:rsidR="00116EB5">
        <w:rPr>
          <w:rFonts w:ascii="Century Schoolbook" w:hAnsi="Century Schoolbook"/>
        </w:rPr>
        <w:t>taxable</w:t>
      </w:r>
      <w:r>
        <w:rPr>
          <w:rFonts w:ascii="Century Schoolbook" w:hAnsi="Century Schoolbook"/>
        </w:rPr>
        <w:t xml:space="preserve"> value of </w:t>
      </w:r>
      <w:r w:rsidR="00730228">
        <w:rPr>
          <w:rFonts w:ascii="Century Schoolbook" w:hAnsi="Century Schoolbook"/>
        </w:rPr>
        <w:t>a</w:t>
      </w:r>
      <w:r>
        <w:rPr>
          <w:rFonts w:ascii="Century Schoolbook" w:hAnsi="Century Schoolbook"/>
        </w:rPr>
        <w:t xml:space="preserve"> property must exclude “sufficient income . . . to provide a return on . . . </w:t>
      </w:r>
      <w:r w:rsidR="00023249">
        <w:rPr>
          <w:rFonts w:ascii="Century Schoolbook" w:hAnsi="Century Schoolbook"/>
        </w:rPr>
        <w:t xml:space="preserve">[any] </w:t>
      </w:r>
      <w:r>
        <w:rPr>
          <w:rFonts w:ascii="Century Schoolbook" w:hAnsi="Century Schoolbook"/>
        </w:rPr>
        <w:t xml:space="preserve">nontaxable operating assets.”  </w:t>
      </w:r>
      <w:r w:rsidR="00E71502">
        <w:rPr>
          <w:rFonts w:ascii="Century Schoolbook" w:hAnsi="Century Schoolbook"/>
        </w:rPr>
        <w:t>This is because “[</w:t>
      </w:r>
      <w:proofErr w:type="spellStart"/>
      <w:r w:rsidR="00E71502">
        <w:rPr>
          <w:rFonts w:ascii="Century Schoolbook" w:hAnsi="Century Schoolbook"/>
        </w:rPr>
        <w:t>i</w:t>
      </w:r>
      <w:proofErr w:type="spellEnd"/>
      <w:r w:rsidR="00E71502">
        <w:rPr>
          <w:rFonts w:ascii="Century Schoolbook" w:hAnsi="Century Schoolbook"/>
        </w:rPr>
        <w:t>]</w:t>
      </w:r>
      <w:proofErr w:type="spellStart"/>
      <w:r w:rsidR="00E71502">
        <w:rPr>
          <w:rFonts w:ascii="Century Schoolbook" w:hAnsi="Century Schoolbook"/>
        </w:rPr>
        <w:t>nvestors</w:t>
      </w:r>
      <w:proofErr w:type="spellEnd"/>
      <w:r w:rsidR="00E71502">
        <w:rPr>
          <w:rFonts w:ascii="Century Schoolbook" w:hAnsi="Century Schoolbook"/>
        </w:rPr>
        <w:t xml:space="preserve"> demand both a </w:t>
      </w:r>
      <w:r w:rsidR="00E71502">
        <w:rPr>
          <w:rFonts w:ascii="Century Schoolbook" w:hAnsi="Century Schoolbook"/>
          <w:i/>
          <w:iCs/>
        </w:rPr>
        <w:t xml:space="preserve">return </w:t>
      </w:r>
      <w:r w:rsidR="00E71502" w:rsidRPr="00E71502">
        <w:rPr>
          <w:rFonts w:ascii="Century Schoolbook" w:hAnsi="Century Schoolbook"/>
        </w:rPr>
        <w:t>of</w:t>
      </w:r>
      <w:r w:rsidR="00E71502">
        <w:rPr>
          <w:rFonts w:ascii="Century Schoolbook" w:hAnsi="Century Schoolbook"/>
        </w:rPr>
        <w:t xml:space="preserve"> their investment (a recapture of the investment) and a </w:t>
      </w:r>
      <w:r w:rsidR="00E71502">
        <w:rPr>
          <w:rFonts w:ascii="Century Schoolbook" w:hAnsi="Century Schoolbook"/>
          <w:i/>
          <w:iCs/>
        </w:rPr>
        <w:t xml:space="preserve">return on </w:t>
      </w:r>
      <w:r w:rsidR="00E71502">
        <w:rPr>
          <w:rFonts w:ascii="Century Schoolbook" w:hAnsi="Century Schoolbook"/>
        </w:rPr>
        <w:t>their investment (a yield on the investment).”  (Bd. of Equalization, Assessors’ Handbook</w:t>
      </w:r>
      <w:r w:rsidR="00E443BD">
        <w:rPr>
          <w:rFonts w:ascii="Century Schoolbook" w:hAnsi="Century Schoolbook"/>
        </w:rPr>
        <w:t xml:space="preserve"> (Jan. 2002)</w:t>
      </w:r>
      <w:r w:rsidR="00E71502">
        <w:rPr>
          <w:rFonts w:ascii="Century Schoolbook" w:hAnsi="Century Schoolbook"/>
        </w:rPr>
        <w:t xml:space="preserve"> Section 501, Basic Appraisal, p. 99, italics in original).)  </w:t>
      </w:r>
      <w:r w:rsidRPr="00E71502">
        <w:rPr>
          <w:rFonts w:ascii="Century Schoolbook" w:hAnsi="Century Schoolbook"/>
        </w:rPr>
        <w:t>Thus</w:t>
      </w:r>
      <w:r>
        <w:rPr>
          <w:rFonts w:ascii="Century Schoolbook" w:hAnsi="Century Schoolbook"/>
        </w:rPr>
        <w:t>, “[</w:t>
      </w:r>
      <w:proofErr w:type="spellStart"/>
      <w:r>
        <w:rPr>
          <w:rFonts w:ascii="Century Schoolbook" w:hAnsi="Century Schoolbook"/>
        </w:rPr>
        <w:t>i</w:t>
      </w:r>
      <w:proofErr w:type="spellEnd"/>
      <w:r>
        <w:rPr>
          <w:rFonts w:ascii="Century Schoolbook" w:hAnsi="Century Schoolbook"/>
        </w:rPr>
        <w:t xml:space="preserve">]f the income stream used by the appraiser is in part </w:t>
      </w:r>
      <w:r>
        <w:rPr>
          <w:rFonts w:ascii="Century Schoolbook" w:hAnsi="Century Schoolbook"/>
        </w:rPr>
        <w:t>generated by intangible assets and rights, the appraiser must either</w:t>
      </w:r>
      <w:r w:rsidR="00E443BD">
        <w:rPr>
          <w:rFonts w:ascii="Century Schoolbook" w:hAnsi="Century Schoolbook"/>
        </w:rPr>
        <w:t xml:space="preserve">: </w:t>
      </w:r>
      <w:r>
        <w:rPr>
          <w:rFonts w:ascii="Century Schoolbook" w:hAnsi="Century Schoolbook"/>
        </w:rPr>
        <w:t xml:space="preserve"> (1) attribute sufficient income to provide </w:t>
      </w:r>
      <w:r w:rsidRPr="00E71502">
        <w:rPr>
          <w:rFonts w:ascii="Century Schoolbook" w:hAnsi="Century Schoolbook"/>
        </w:rPr>
        <w:t>a return of and on</w:t>
      </w:r>
      <w:r>
        <w:rPr>
          <w:rFonts w:ascii="Century Schoolbook" w:hAnsi="Century Schoolbook"/>
        </w:rPr>
        <w:t xml:space="preserve"> the intangible assets and rights, or (2) remove the value of the intangible assets and rights from the income indicator (us</w:t>
      </w:r>
      <w:r>
        <w:rPr>
          <w:rFonts w:ascii="Century Schoolbook" w:hAnsi="Century Schoolbook"/>
        </w:rPr>
        <w:t xml:space="preserve">ing any acceptable valuation method) after the income stream has been capitalized or </w:t>
      </w:r>
      <w:r>
        <w:rPr>
          <w:rFonts w:ascii="Century Schoolbook" w:hAnsi="Century Schoolbook"/>
        </w:rPr>
        <w:lastRenderedPageBreak/>
        <w:t>discounted to present value.”  (</w:t>
      </w:r>
      <w:r w:rsidR="00571214">
        <w:rPr>
          <w:rFonts w:ascii="Century Schoolbook" w:hAnsi="Century Schoolbook"/>
        </w:rPr>
        <w:t>Advanced Appraisal</w:t>
      </w:r>
      <w:r>
        <w:rPr>
          <w:rFonts w:ascii="Century Schoolbook" w:hAnsi="Century Schoolbook"/>
        </w:rPr>
        <w:t xml:space="preserve">, </w:t>
      </w:r>
      <w:r w:rsidR="0047376C">
        <w:rPr>
          <w:rFonts w:ascii="Century Schoolbook" w:hAnsi="Century Schoolbook"/>
          <w:i/>
          <w:iCs/>
        </w:rPr>
        <w:t>supra</w:t>
      </w:r>
      <w:r w:rsidR="0047376C">
        <w:rPr>
          <w:rFonts w:ascii="Century Schoolbook" w:hAnsi="Century Schoolbook"/>
        </w:rPr>
        <w:t>,</w:t>
      </w:r>
      <w:r>
        <w:rPr>
          <w:rFonts w:ascii="Century Schoolbook" w:hAnsi="Century Schoolbook"/>
        </w:rPr>
        <w:t xml:space="preserve"> </w:t>
      </w:r>
      <w:r w:rsidR="0047376C">
        <w:rPr>
          <w:rFonts w:ascii="Century Schoolbook" w:hAnsi="Century Schoolbook"/>
        </w:rPr>
        <w:t xml:space="preserve">at </w:t>
      </w:r>
      <w:r>
        <w:rPr>
          <w:rFonts w:ascii="Century Schoolbook" w:hAnsi="Century Schoolbook"/>
        </w:rPr>
        <w:t>p. 163, fn. omitted.)</w:t>
      </w:r>
    </w:p>
    <w:p w14:paraId="1CF0DD4F" w14:textId="77777777" w:rsidR="005A26B4" w:rsidRPr="005A26B4" w:rsidRDefault="00653098" w:rsidP="00813AC7">
      <w:pPr>
        <w:tabs>
          <w:tab w:val="clear" w:pos="720"/>
        </w:tabs>
        <w:spacing w:line="360" w:lineRule="auto"/>
        <w:ind w:firstLine="720"/>
        <w:rPr>
          <w:rFonts w:ascii="Century Schoolbook" w:hAnsi="Century Schoolbook"/>
        </w:rPr>
      </w:pPr>
      <w:r>
        <w:rPr>
          <w:rFonts w:ascii="Century Schoolbook" w:hAnsi="Century Schoolbook"/>
        </w:rPr>
        <w:t xml:space="preserve">Because income from a nontaxable, intangible asset like </w:t>
      </w:r>
      <w:r w:rsidR="00CB648D">
        <w:rPr>
          <w:rFonts w:ascii="Century Schoolbook" w:hAnsi="Century Schoolbook"/>
        </w:rPr>
        <w:t xml:space="preserve">the management agreement </w:t>
      </w:r>
      <w:r w:rsidR="00B7552C">
        <w:rPr>
          <w:rFonts w:ascii="Century Schoolbook" w:hAnsi="Century Schoolbook"/>
        </w:rPr>
        <w:t xml:space="preserve">should typically </w:t>
      </w:r>
      <w:r w:rsidR="008C3536">
        <w:rPr>
          <w:rFonts w:ascii="Century Schoolbook" w:hAnsi="Century Schoolbook"/>
        </w:rPr>
        <w:t>include</w:t>
      </w:r>
      <w:r>
        <w:rPr>
          <w:rFonts w:ascii="Century Schoolbook" w:hAnsi="Century Schoolbook"/>
        </w:rPr>
        <w:t xml:space="preserve"> both a return of and </w:t>
      </w:r>
      <w:r w:rsidR="008C3536">
        <w:rPr>
          <w:rFonts w:ascii="Century Schoolbook" w:hAnsi="Century Schoolbook"/>
        </w:rPr>
        <w:t xml:space="preserve">a </w:t>
      </w:r>
      <w:r>
        <w:rPr>
          <w:rFonts w:ascii="Century Schoolbook" w:hAnsi="Century Schoolbook"/>
        </w:rPr>
        <w:t xml:space="preserve">return on that asset, simply deducting </w:t>
      </w:r>
      <w:r w:rsidR="00350FEC">
        <w:rPr>
          <w:rFonts w:ascii="Century Schoolbook" w:hAnsi="Century Schoolbook"/>
        </w:rPr>
        <w:t xml:space="preserve">the </w:t>
      </w:r>
      <w:r>
        <w:rPr>
          <w:rFonts w:ascii="Century Schoolbook" w:hAnsi="Century Schoolbook"/>
        </w:rPr>
        <w:t xml:space="preserve">fees </w:t>
      </w:r>
      <w:r w:rsidR="00350FEC">
        <w:rPr>
          <w:rFonts w:ascii="Century Schoolbook" w:hAnsi="Century Schoolbook"/>
        </w:rPr>
        <w:t xml:space="preserve">or expenses associated with the asset </w:t>
      </w:r>
      <w:r w:rsidR="00023249">
        <w:rPr>
          <w:rFonts w:ascii="Century Schoolbook" w:hAnsi="Century Schoolbook"/>
        </w:rPr>
        <w:t xml:space="preserve">from the hotel’s net operating income </w:t>
      </w:r>
      <w:r>
        <w:rPr>
          <w:rFonts w:ascii="Century Schoolbook" w:hAnsi="Century Schoolbook"/>
        </w:rPr>
        <w:t xml:space="preserve">does not </w:t>
      </w:r>
      <w:r w:rsidR="008C3536">
        <w:rPr>
          <w:rFonts w:ascii="Century Schoolbook" w:hAnsi="Century Schoolbook"/>
        </w:rPr>
        <w:t>remove</w:t>
      </w:r>
      <w:r>
        <w:rPr>
          <w:rFonts w:ascii="Century Schoolbook" w:hAnsi="Century Schoolbook"/>
        </w:rPr>
        <w:t xml:space="preserve"> </w:t>
      </w:r>
      <w:r w:rsidR="00350FEC">
        <w:rPr>
          <w:rFonts w:ascii="Century Schoolbook" w:hAnsi="Century Schoolbook"/>
        </w:rPr>
        <w:t>its</w:t>
      </w:r>
      <w:r>
        <w:rPr>
          <w:rFonts w:ascii="Century Schoolbook" w:hAnsi="Century Schoolbook"/>
        </w:rPr>
        <w:t xml:space="preserve"> </w:t>
      </w:r>
      <w:r>
        <w:rPr>
          <w:rFonts w:ascii="Century Schoolbook" w:hAnsi="Century Schoolbook"/>
          <w:i/>
          <w:iCs/>
        </w:rPr>
        <w:t xml:space="preserve">full </w:t>
      </w:r>
      <w:r>
        <w:rPr>
          <w:rFonts w:ascii="Century Schoolbook" w:hAnsi="Century Schoolbook"/>
        </w:rPr>
        <w:t>value from the assessed value of the property</w:t>
      </w:r>
      <w:r w:rsidR="003B0DF6">
        <w:rPr>
          <w:rFonts w:ascii="Century Schoolbook" w:hAnsi="Century Schoolbook"/>
        </w:rPr>
        <w:t xml:space="preserve"> </w:t>
      </w:r>
      <w:r w:rsidR="004E4AA2">
        <w:rPr>
          <w:rFonts w:ascii="Century Schoolbook" w:hAnsi="Century Schoolbook"/>
        </w:rPr>
        <w:t>unless there is</w:t>
      </w:r>
      <w:r w:rsidR="003B0DF6">
        <w:rPr>
          <w:rFonts w:ascii="Century Schoolbook" w:hAnsi="Century Schoolbook"/>
        </w:rPr>
        <w:t xml:space="preserve"> evidence </w:t>
      </w:r>
      <w:r w:rsidR="00B7552C">
        <w:rPr>
          <w:rFonts w:ascii="Century Schoolbook" w:hAnsi="Century Schoolbook"/>
        </w:rPr>
        <w:t>that the</w:t>
      </w:r>
      <w:r w:rsidR="003B0DF6">
        <w:rPr>
          <w:rFonts w:ascii="Century Schoolbook" w:hAnsi="Century Schoolbook"/>
        </w:rPr>
        <w:t xml:space="preserve"> return on the asset</w:t>
      </w:r>
      <w:r w:rsidR="00A83D8E">
        <w:rPr>
          <w:rFonts w:ascii="Century Schoolbook" w:hAnsi="Century Schoolbook"/>
        </w:rPr>
        <w:t xml:space="preserve"> </w:t>
      </w:r>
      <w:r w:rsidR="00B7552C">
        <w:rPr>
          <w:rFonts w:ascii="Century Schoolbook" w:hAnsi="Century Schoolbook"/>
        </w:rPr>
        <w:t>is no greater than its fees or expenses</w:t>
      </w:r>
      <w:r>
        <w:rPr>
          <w:rFonts w:ascii="Century Schoolbook" w:hAnsi="Century Schoolbook"/>
        </w:rPr>
        <w:t>.  As explained in the Assessors’ Handbook</w:t>
      </w:r>
      <w:r w:rsidR="000316EA">
        <w:rPr>
          <w:rFonts w:ascii="Century Schoolbook" w:hAnsi="Century Schoolbook"/>
        </w:rPr>
        <w:t>—which is “accorded great weight in interpreting valuation questions” (</w:t>
      </w:r>
      <w:r w:rsidR="000316EA">
        <w:rPr>
          <w:rFonts w:ascii="Century Schoolbook" w:hAnsi="Century Schoolbook"/>
          <w:i/>
          <w:iCs/>
        </w:rPr>
        <w:t>Sky River</w:t>
      </w:r>
      <w:r w:rsidR="00E95651">
        <w:rPr>
          <w:rFonts w:ascii="Century Schoolbook" w:hAnsi="Century Schoolbook"/>
        </w:rPr>
        <w:t xml:space="preserve">, </w:t>
      </w:r>
      <w:r w:rsidR="00E95651">
        <w:rPr>
          <w:rFonts w:ascii="Century Schoolbook" w:hAnsi="Century Schoolbook"/>
          <w:i/>
          <w:iCs/>
        </w:rPr>
        <w:t>supra</w:t>
      </w:r>
      <w:r w:rsidR="00E95651">
        <w:rPr>
          <w:rFonts w:ascii="Century Schoolbook" w:hAnsi="Century Schoolbook"/>
        </w:rPr>
        <w:t>,</w:t>
      </w:r>
      <w:r w:rsidR="000316EA">
        <w:rPr>
          <w:rFonts w:ascii="Century Schoolbook" w:hAnsi="Century Schoolbook"/>
        </w:rPr>
        <w:t xml:space="preserve"> 214 Cal.App.4th </w:t>
      </w:r>
      <w:r w:rsidR="00E95651">
        <w:rPr>
          <w:rFonts w:ascii="Century Schoolbook" w:hAnsi="Century Schoolbook"/>
        </w:rPr>
        <w:t>at p.</w:t>
      </w:r>
      <w:r w:rsidR="000316EA">
        <w:rPr>
          <w:rFonts w:ascii="Century Schoolbook" w:hAnsi="Century Schoolbook"/>
        </w:rPr>
        <w:t xml:space="preserve"> 735)—</w:t>
      </w:r>
      <w:r>
        <w:rPr>
          <w:rFonts w:ascii="Century Schoolbook" w:hAnsi="Century Schoolbook"/>
        </w:rPr>
        <w:t>“[t]</w:t>
      </w:r>
      <w:proofErr w:type="gramStart"/>
      <w:r>
        <w:rPr>
          <w:rFonts w:ascii="Century Schoolbook" w:hAnsi="Century Schoolbook"/>
        </w:rPr>
        <w:t>he</w:t>
      </w:r>
      <w:proofErr w:type="gramEnd"/>
      <w:r>
        <w:rPr>
          <w:rFonts w:ascii="Century Schoolbook" w:hAnsi="Century Schoolbook"/>
        </w:rPr>
        <w:t xml:space="preserve"> value of </w:t>
      </w:r>
      <w:r>
        <w:rPr>
          <w:rFonts w:ascii="Century Schoolbook" w:hAnsi="Century Schoolbook"/>
        </w:rPr>
        <w:t xml:space="preserve">intangible assets and rights cannot be removed by merely deducting the related expenses from the income stream to be capitalized.  Allowing a deduction for the associated expense does not allow for a return on the capital expenditure.” </w:t>
      </w:r>
      <w:r w:rsidR="009C135D">
        <w:rPr>
          <w:rFonts w:ascii="Century Schoolbook" w:hAnsi="Century Schoolbook"/>
        </w:rPr>
        <w:t xml:space="preserve"> </w:t>
      </w:r>
      <w:r>
        <w:rPr>
          <w:rFonts w:ascii="Century Schoolbook" w:hAnsi="Century Schoolbook"/>
        </w:rPr>
        <w:t>(</w:t>
      </w:r>
      <w:r w:rsidR="00571214">
        <w:rPr>
          <w:rFonts w:ascii="Century Schoolbook" w:hAnsi="Century Schoolbook"/>
        </w:rPr>
        <w:t>Advanced Appraisal</w:t>
      </w:r>
      <w:r w:rsidR="00E71502">
        <w:rPr>
          <w:rFonts w:ascii="Century Schoolbook" w:hAnsi="Century Schoolbook"/>
        </w:rPr>
        <w:t xml:space="preserve">, </w:t>
      </w:r>
      <w:r>
        <w:rPr>
          <w:rFonts w:ascii="Century Schoolbook" w:hAnsi="Century Schoolbook"/>
          <w:i/>
          <w:iCs/>
        </w:rPr>
        <w:t>supra</w:t>
      </w:r>
      <w:r>
        <w:rPr>
          <w:rFonts w:ascii="Century Schoolbook" w:hAnsi="Century Schoolbook"/>
        </w:rPr>
        <w:t xml:space="preserve">, </w:t>
      </w:r>
      <w:r w:rsidR="00477421">
        <w:rPr>
          <w:rFonts w:ascii="Century Schoolbook" w:hAnsi="Century Schoolbook"/>
        </w:rPr>
        <w:t>at p. 162, fn. omitted)</w:t>
      </w:r>
      <w:r w:rsidR="000316EA">
        <w:rPr>
          <w:rFonts w:ascii="Century Schoolbook" w:hAnsi="Century Schoolbook"/>
        </w:rPr>
        <w:t>.</w:t>
      </w:r>
      <w:r w:rsidR="00477421">
        <w:rPr>
          <w:rFonts w:ascii="Century Schoolbook" w:hAnsi="Century Schoolbook"/>
        </w:rPr>
        <w:t xml:space="preserve"> </w:t>
      </w:r>
      <w:r w:rsidR="00E443BD">
        <w:rPr>
          <w:rFonts w:ascii="Century Schoolbook" w:hAnsi="Century Schoolbook"/>
        </w:rPr>
        <w:t xml:space="preserve"> </w:t>
      </w:r>
      <w:r>
        <w:rPr>
          <w:rFonts w:ascii="Century Schoolbook" w:hAnsi="Century Schoolbook"/>
        </w:rPr>
        <w:t>Thus, “deduction of a management fee from the income stream of a hotel does not recognize or remove the value attributable to the business enterprise that operates the hotel.”  (</w:t>
      </w:r>
      <w:r>
        <w:rPr>
          <w:rFonts w:ascii="Century Schoolbook" w:hAnsi="Century Schoolbook"/>
          <w:i/>
          <w:iCs/>
        </w:rPr>
        <w:t>Ibid.</w:t>
      </w:r>
      <w:r>
        <w:rPr>
          <w:rFonts w:ascii="Century Schoolbook" w:hAnsi="Century Schoolbook"/>
        </w:rPr>
        <w:t>)</w:t>
      </w:r>
    </w:p>
    <w:p w14:paraId="1CF0DD50" w14:textId="77777777" w:rsidR="00EC3126" w:rsidRDefault="00653098" w:rsidP="00813AC7">
      <w:pPr>
        <w:tabs>
          <w:tab w:val="clear" w:pos="720"/>
        </w:tabs>
        <w:spacing w:line="360" w:lineRule="auto"/>
        <w:ind w:firstLine="720"/>
        <w:rPr>
          <w:rFonts w:ascii="Century Schoolbook" w:hAnsi="Century Schoolbook"/>
        </w:rPr>
      </w:pPr>
      <w:r>
        <w:rPr>
          <w:rFonts w:ascii="Century Schoolbook" w:hAnsi="Century Schoolbook"/>
        </w:rPr>
        <w:t xml:space="preserve">This only makes sense from a </w:t>
      </w:r>
      <w:r w:rsidR="00FD7F55">
        <w:rPr>
          <w:rFonts w:ascii="Century Schoolbook" w:hAnsi="Century Schoolbook"/>
        </w:rPr>
        <w:t xml:space="preserve">business </w:t>
      </w:r>
      <w:r>
        <w:rPr>
          <w:rFonts w:ascii="Century Schoolbook" w:hAnsi="Century Schoolbook"/>
        </w:rPr>
        <w:t>standpoint.  If</w:t>
      </w:r>
      <w:r w:rsidR="00477421">
        <w:rPr>
          <w:rFonts w:ascii="Century Schoolbook" w:hAnsi="Century Schoolbook"/>
        </w:rPr>
        <w:t xml:space="preserve"> the fees </w:t>
      </w:r>
      <w:r w:rsidR="009C135D">
        <w:rPr>
          <w:rFonts w:ascii="Century Schoolbook" w:hAnsi="Century Schoolbook"/>
        </w:rPr>
        <w:t>or</w:t>
      </w:r>
      <w:r w:rsidR="00477421">
        <w:rPr>
          <w:rFonts w:ascii="Century Schoolbook" w:hAnsi="Century Schoolbook"/>
        </w:rPr>
        <w:t xml:space="preserve"> expenses associated with a nontaxable, intangible asset like </w:t>
      </w:r>
      <w:r w:rsidR="00023249">
        <w:rPr>
          <w:rFonts w:ascii="Century Schoolbook" w:hAnsi="Century Schoolbook"/>
        </w:rPr>
        <w:t>a contract</w:t>
      </w:r>
      <w:r w:rsidR="00477421">
        <w:rPr>
          <w:rFonts w:ascii="Century Schoolbook" w:hAnsi="Century Schoolbook"/>
        </w:rPr>
        <w:t xml:space="preserve"> “were so high as to account</w:t>
      </w:r>
      <w:r w:rsidR="00E443BD">
        <w:rPr>
          <w:rFonts w:ascii="Century Schoolbook" w:hAnsi="Century Schoolbook"/>
        </w:rPr>
        <w:t xml:space="preserve"> completely</w:t>
      </w:r>
      <w:r w:rsidR="00477421">
        <w:rPr>
          <w:rFonts w:ascii="Century Schoolbook" w:hAnsi="Century Schoolbook"/>
        </w:rPr>
        <w:t xml:space="preserve"> for all intangible benefits to” a</w:t>
      </w:r>
      <w:r w:rsidR="00E95651">
        <w:rPr>
          <w:rFonts w:ascii="Century Schoolbook" w:hAnsi="Century Schoolbook"/>
        </w:rPr>
        <w:t xml:space="preserve"> property</w:t>
      </w:r>
      <w:r w:rsidR="00477421">
        <w:rPr>
          <w:rFonts w:ascii="Century Schoolbook" w:hAnsi="Century Schoolbook"/>
        </w:rPr>
        <w:t xml:space="preserve"> owner, </w:t>
      </w:r>
      <w:r w:rsidR="00E95651">
        <w:rPr>
          <w:rFonts w:ascii="Century Schoolbook" w:hAnsi="Century Schoolbook"/>
        </w:rPr>
        <w:t xml:space="preserve">then </w:t>
      </w:r>
      <w:r w:rsidR="00477421">
        <w:rPr>
          <w:rFonts w:ascii="Century Schoolbook" w:hAnsi="Century Schoolbook"/>
        </w:rPr>
        <w:t>“the owner would have no reason to agree to” that contract.  (</w:t>
      </w:r>
      <w:r w:rsidR="005456DA" w:rsidRPr="00620AA0">
        <w:rPr>
          <w:rFonts w:ascii="Century Schoolbook" w:hAnsi="Century Schoolbook"/>
          <w:i/>
          <w:iCs/>
        </w:rPr>
        <w:t xml:space="preserve">Olympic and Georgia Partners, LLC v. County of Los Angeles </w:t>
      </w:r>
      <w:r w:rsidR="005456DA" w:rsidRPr="00620AA0">
        <w:rPr>
          <w:rFonts w:ascii="Century Schoolbook" w:hAnsi="Century Schoolbook"/>
        </w:rPr>
        <w:t xml:space="preserve">(2023) 90 Cal.App.5th 100, </w:t>
      </w:r>
      <w:r w:rsidR="00EE7CF9" w:rsidRPr="00620AA0">
        <w:rPr>
          <w:rFonts w:ascii="Century Schoolbook" w:hAnsi="Century Schoolbook"/>
        </w:rPr>
        <w:t>112</w:t>
      </w:r>
      <w:r w:rsidR="005456DA" w:rsidRPr="00C7519C">
        <w:rPr>
          <w:rFonts w:ascii="Century Schoolbook" w:hAnsi="Century Schoolbook"/>
        </w:rPr>
        <w:t xml:space="preserve"> </w:t>
      </w:r>
      <w:r w:rsidR="005456DA" w:rsidRPr="00620AA0">
        <w:rPr>
          <w:rFonts w:ascii="Century Schoolbook" w:hAnsi="Century Schoolbook"/>
        </w:rPr>
        <w:t>(</w:t>
      </w:r>
      <w:r w:rsidR="005456DA" w:rsidRPr="00620AA0">
        <w:rPr>
          <w:rFonts w:ascii="Century Schoolbook" w:hAnsi="Century Schoolbook"/>
          <w:i/>
          <w:iCs/>
        </w:rPr>
        <w:t>Olympic</w:t>
      </w:r>
      <w:r w:rsidR="005456DA" w:rsidRPr="00620AA0">
        <w:rPr>
          <w:rFonts w:ascii="Century Schoolbook" w:hAnsi="Century Schoolbook"/>
        </w:rPr>
        <w:t>)</w:t>
      </w:r>
      <w:r w:rsidR="00E2399A" w:rsidRPr="00620AA0">
        <w:rPr>
          <w:rFonts w:ascii="Century Schoolbook" w:hAnsi="Century Schoolbook"/>
        </w:rPr>
        <w:t>, review granted July 12, 2023, S280000</w:t>
      </w:r>
      <w:r w:rsidR="00477421" w:rsidRPr="00C7519C">
        <w:rPr>
          <w:rFonts w:ascii="Century Schoolbook" w:hAnsi="Century Schoolbook"/>
        </w:rPr>
        <w:t>.</w:t>
      </w:r>
      <w:r w:rsidR="00477421">
        <w:rPr>
          <w:rFonts w:ascii="Century Schoolbook" w:hAnsi="Century Schoolbook"/>
        </w:rPr>
        <w:t>)  Such a premise is “illogical” and appears to have “no empirical support.”  (</w:t>
      </w:r>
      <w:r w:rsidR="00477421">
        <w:rPr>
          <w:rFonts w:ascii="Century Schoolbook" w:hAnsi="Century Schoolbook"/>
          <w:i/>
          <w:iCs/>
        </w:rPr>
        <w:t>Ibid.</w:t>
      </w:r>
      <w:r w:rsidR="00477421">
        <w:rPr>
          <w:rFonts w:ascii="Century Schoolbook" w:hAnsi="Century Schoolbook"/>
        </w:rPr>
        <w:t>)</w:t>
      </w:r>
      <w:r>
        <w:rPr>
          <w:rFonts w:ascii="Century Schoolbook" w:hAnsi="Century Schoolbook"/>
        </w:rPr>
        <w:t xml:space="preserve">  </w:t>
      </w:r>
      <w:r w:rsidR="00477421">
        <w:rPr>
          <w:rFonts w:ascii="Century Schoolbook" w:hAnsi="Century Schoolbook"/>
        </w:rPr>
        <w:t xml:space="preserve">Thus, </w:t>
      </w:r>
      <w:r w:rsidR="00E95651">
        <w:rPr>
          <w:rFonts w:ascii="Century Schoolbook" w:hAnsi="Century Schoolbook"/>
        </w:rPr>
        <w:t>the City</w:t>
      </w:r>
      <w:r>
        <w:rPr>
          <w:rFonts w:ascii="Century Schoolbook" w:hAnsi="Century Schoolbook"/>
        </w:rPr>
        <w:t xml:space="preserve"> “utilized a legally erroneous methodology” when it attempted </w:t>
      </w:r>
      <w:r w:rsidR="00477421">
        <w:rPr>
          <w:rFonts w:ascii="Century Schoolbook" w:hAnsi="Century Schoolbook"/>
        </w:rPr>
        <w:t xml:space="preserve">to exclude the value of </w:t>
      </w:r>
      <w:r>
        <w:rPr>
          <w:rFonts w:ascii="Century Schoolbook" w:hAnsi="Century Schoolbook"/>
        </w:rPr>
        <w:t xml:space="preserve">the management agreement </w:t>
      </w:r>
      <w:r w:rsidR="00477421">
        <w:rPr>
          <w:rFonts w:ascii="Century Schoolbook" w:hAnsi="Century Schoolbook"/>
        </w:rPr>
        <w:t>by deducting</w:t>
      </w:r>
      <w:r w:rsidR="00B7552C">
        <w:rPr>
          <w:rFonts w:ascii="Century Schoolbook" w:hAnsi="Century Schoolbook"/>
        </w:rPr>
        <w:t xml:space="preserve">, </w:t>
      </w:r>
      <w:r w:rsidR="00B7552C">
        <w:rPr>
          <w:rFonts w:ascii="Century Schoolbook" w:hAnsi="Century Schoolbook"/>
        </w:rPr>
        <w:lastRenderedPageBreak/>
        <w:t>with no further justification,</w:t>
      </w:r>
      <w:r w:rsidR="00477421">
        <w:rPr>
          <w:rFonts w:ascii="Century Schoolbook" w:hAnsi="Century Schoolbook"/>
        </w:rPr>
        <w:t xml:space="preserve"> </w:t>
      </w:r>
      <w:r w:rsidR="008C3536">
        <w:rPr>
          <w:rFonts w:ascii="Century Schoolbook" w:hAnsi="Century Schoolbook"/>
        </w:rPr>
        <w:t xml:space="preserve">only </w:t>
      </w:r>
      <w:r w:rsidR="00477421">
        <w:rPr>
          <w:rFonts w:ascii="Century Schoolbook" w:hAnsi="Century Schoolbook"/>
        </w:rPr>
        <w:t xml:space="preserve">the </w:t>
      </w:r>
      <w:r w:rsidR="00350FEC">
        <w:rPr>
          <w:rFonts w:ascii="Century Schoolbook" w:hAnsi="Century Schoolbook"/>
        </w:rPr>
        <w:t xml:space="preserve">management </w:t>
      </w:r>
      <w:r w:rsidR="00477421">
        <w:rPr>
          <w:rFonts w:ascii="Century Schoolbook" w:hAnsi="Century Schoolbook"/>
        </w:rPr>
        <w:t>fees</w:t>
      </w:r>
      <w:r w:rsidR="00D73B3D">
        <w:rPr>
          <w:rFonts w:ascii="Century Schoolbook" w:hAnsi="Century Schoolbook"/>
        </w:rPr>
        <w:t xml:space="preserve"> from the hotel’s net operating income</w:t>
      </w:r>
      <w:r>
        <w:rPr>
          <w:rFonts w:ascii="Century Schoolbook" w:hAnsi="Century Schoolbook"/>
        </w:rPr>
        <w:t>.</w:t>
      </w:r>
      <w:r>
        <w:rPr>
          <w:rStyle w:val="FootnoteReference"/>
          <w:rFonts w:ascii="Century Schoolbook" w:hAnsi="Century Schoolbook"/>
        </w:rPr>
        <w:footnoteReference w:id="7"/>
      </w:r>
      <w:r>
        <w:rPr>
          <w:rFonts w:ascii="Century Schoolbook" w:hAnsi="Century Schoolbook"/>
        </w:rPr>
        <w:t xml:space="preserve">  (</w:t>
      </w:r>
      <w:r>
        <w:rPr>
          <w:rFonts w:ascii="Century Schoolbook" w:hAnsi="Century Schoolbook"/>
          <w:i/>
          <w:iCs/>
        </w:rPr>
        <w:t>DFS Group</w:t>
      </w:r>
      <w:r>
        <w:rPr>
          <w:rFonts w:ascii="Century Schoolbook" w:hAnsi="Century Schoolbook"/>
        </w:rPr>
        <w:t xml:space="preserve">, </w:t>
      </w:r>
      <w:r>
        <w:rPr>
          <w:rFonts w:ascii="Century Schoolbook" w:hAnsi="Century Schoolbook"/>
          <w:i/>
          <w:iCs/>
        </w:rPr>
        <w:t>supra</w:t>
      </w:r>
      <w:r>
        <w:rPr>
          <w:rFonts w:ascii="Century Schoolbook" w:hAnsi="Century Schoolbook"/>
        </w:rPr>
        <w:t>, 31 Cal.App.5th</w:t>
      </w:r>
      <w:r>
        <w:rPr>
          <w:rFonts w:ascii="Century Schoolbook" w:hAnsi="Century Schoolbook"/>
        </w:rPr>
        <w:t xml:space="preserve"> at p. 1074.)</w:t>
      </w:r>
    </w:p>
    <w:p w14:paraId="1CF0DD51" w14:textId="77777777" w:rsidR="00E6464B" w:rsidRPr="00E6464B" w:rsidRDefault="00653098" w:rsidP="00813AC7">
      <w:pPr>
        <w:tabs>
          <w:tab w:val="clear" w:pos="720"/>
        </w:tabs>
        <w:spacing w:line="360" w:lineRule="auto"/>
        <w:ind w:firstLine="720"/>
        <w:rPr>
          <w:rFonts w:ascii="Century Schoolbook" w:hAnsi="Century Schoolbook"/>
        </w:rPr>
      </w:pPr>
      <w:r>
        <w:rPr>
          <w:rFonts w:ascii="Century Schoolbook" w:hAnsi="Century Schoolbook"/>
        </w:rPr>
        <w:t>Of course, the City could have presented evidence that the</w:t>
      </w:r>
      <w:r w:rsidR="00B7552C">
        <w:rPr>
          <w:rFonts w:ascii="Century Schoolbook" w:hAnsi="Century Schoolbook"/>
        </w:rPr>
        <w:t xml:space="preserve"> return generated by</w:t>
      </w:r>
      <w:r>
        <w:rPr>
          <w:rFonts w:ascii="Century Schoolbook" w:hAnsi="Century Schoolbook"/>
        </w:rPr>
        <w:t xml:space="preserve"> the management </w:t>
      </w:r>
      <w:proofErr w:type="gramStart"/>
      <w:r>
        <w:rPr>
          <w:rFonts w:ascii="Century Schoolbook" w:hAnsi="Century Schoolbook"/>
        </w:rPr>
        <w:t>agreement</w:t>
      </w:r>
      <w:proofErr w:type="gramEnd"/>
      <w:r>
        <w:rPr>
          <w:rFonts w:ascii="Century Schoolbook" w:hAnsi="Century Schoolbook"/>
        </w:rPr>
        <w:t xml:space="preserve"> </w:t>
      </w:r>
      <w:r w:rsidR="00B7552C">
        <w:rPr>
          <w:rFonts w:ascii="Century Schoolbook" w:hAnsi="Century Schoolbook"/>
        </w:rPr>
        <w:t>or the quantified value of that agreement did not exceed the management fees themselves</w:t>
      </w:r>
      <w:r>
        <w:rPr>
          <w:rFonts w:ascii="Century Schoolbook" w:hAnsi="Century Schoolbook"/>
        </w:rPr>
        <w:t>.  If the City had done so, then deduct</w:t>
      </w:r>
      <w:r w:rsidR="008C5FC3">
        <w:rPr>
          <w:rFonts w:ascii="Century Schoolbook" w:hAnsi="Century Schoolbook"/>
        </w:rPr>
        <w:t>ing</w:t>
      </w:r>
      <w:r>
        <w:rPr>
          <w:rFonts w:ascii="Century Schoolbook" w:hAnsi="Century Schoolbook"/>
        </w:rPr>
        <w:t xml:space="preserve"> the management fees from the hotel’s income stream </w:t>
      </w:r>
      <w:r w:rsidR="00B7552C">
        <w:rPr>
          <w:rFonts w:ascii="Century Schoolbook" w:hAnsi="Century Schoolbook"/>
        </w:rPr>
        <w:t>may</w:t>
      </w:r>
      <w:r>
        <w:rPr>
          <w:rFonts w:ascii="Century Schoolbook" w:hAnsi="Century Schoolbook"/>
        </w:rPr>
        <w:t xml:space="preserve"> have been sufficient to account for the full value of the agreement.</w:t>
      </w:r>
      <w:r w:rsidR="008C5FC3">
        <w:rPr>
          <w:rFonts w:ascii="Century Schoolbook" w:hAnsi="Century Schoolbook"/>
        </w:rPr>
        <w:t xml:space="preserve">  </w:t>
      </w:r>
      <w:r w:rsidR="00F07B45">
        <w:rPr>
          <w:rFonts w:ascii="Century Schoolbook" w:hAnsi="Century Schoolbook"/>
        </w:rPr>
        <w:t>It</w:t>
      </w:r>
      <w:r w:rsidR="008C5FC3">
        <w:rPr>
          <w:rFonts w:ascii="Century Schoolbook" w:hAnsi="Century Schoolbook"/>
        </w:rPr>
        <w:t xml:space="preserve">, however, </w:t>
      </w:r>
      <w:r w:rsidR="00B7552C">
        <w:rPr>
          <w:rFonts w:ascii="Century Schoolbook" w:hAnsi="Century Schoolbook"/>
        </w:rPr>
        <w:t>presented no such evidence</w:t>
      </w:r>
      <w:r w:rsidR="008C5FC3">
        <w:rPr>
          <w:rFonts w:ascii="Century Schoolbook" w:hAnsi="Century Schoolbook"/>
        </w:rPr>
        <w:t xml:space="preserve">. </w:t>
      </w:r>
      <w:r w:rsidR="00F07B45">
        <w:rPr>
          <w:rFonts w:ascii="Century Schoolbook" w:hAnsi="Century Schoolbook"/>
        </w:rPr>
        <w:t xml:space="preserve"> </w:t>
      </w:r>
      <w:r w:rsidR="008C5FC3">
        <w:rPr>
          <w:rFonts w:ascii="Century Schoolbook" w:hAnsi="Century Schoolbook"/>
        </w:rPr>
        <w:t xml:space="preserve">As a result, </w:t>
      </w:r>
      <w:r w:rsidR="00F07B45">
        <w:rPr>
          <w:rFonts w:ascii="Century Schoolbook" w:hAnsi="Century Schoolbook"/>
        </w:rPr>
        <w:t>its</w:t>
      </w:r>
      <w:r w:rsidR="008C5FC3">
        <w:rPr>
          <w:rFonts w:ascii="Century Schoolbook" w:hAnsi="Century Schoolbook"/>
        </w:rPr>
        <w:t xml:space="preserve"> </w:t>
      </w:r>
      <w:r w:rsidR="00B7552C">
        <w:rPr>
          <w:rFonts w:ascii="Century Schoolbook" w:hAnsi="Century Schoolbook"/>
        </w:rPr>
        <w:t xml:space="preserve">otherwise formulaic </w:t>
      </w:r>
      <w:r w:rsidR="008C5FC3">
        <w:rPr>
          <w:rFonts w:ascii="Century Schoolbook" w:hAnsi="Century Schoolbook"/>
        </w:rPr>
        <w:t xml:space="preserve">deduction of those fees </w:t>
      </w:r>
      <w:r w:rsidR="00F07B45">
        <w:rPr>
          <w:rFonts w:ascii="Century Schoolbook" w:hAnsi="Century Schoolbook"/>
        </w:rPr>
        <w:t xml:space="preserve">from the hotel’s income stream </w:t>
      </w:r>
      <w:r w:rsidR="008C5FC3">
        <w:rPr>
          <w:rFonts w:ascii="Century Schoolbook" w:hAnsi="Century Schoolbook"/>
        </w:rPr>
        <w:t>was legally erroneous.</w:t>
      </w:r>
    </w:p>
    <w:p w14:paraId="1CF0DD52" w14:textId="77777777" w:rsidR="00AF4AA6" w:rsidRDefault="00653098" w:rsidP="00813AC7">
      <w:pPr>
        <w:tabs>
          <w:tab w:val="clear" w:pos="720"/>
        </w:tabs>
        <w:spacing w:line="360" w:lineRule="auto"/>
        <w:ind w:firstLine="720"/>
        <w:rPr>
          <w:rFonts w:ascii="Century Schoolbook" w:hAnsi="Century Schoolbook"/>
        </w:rPr>
      </w:pPr>
      <w:r>
        <w:rPr>
          <w:rFonts w:ascii="Century Schoolbook" w:hAnsi="Century Schoolbook"/>
        </w:rPr>
        <w:t>The City</w:t>
      </w:r>
      <w:r w:rsidR="00A730B4">
        <w:rPr>
          <w:rFonts w:ascii="Century Schoolbook" w:hAnsi="Century Schoolbook"/>
        </w:rPr>
        <w:t xml:space="preserve">’s arguments to the contrary are not persuasive.  </w:t>
      </w:r>
    </w:p>
    <w:p w14:paraId="1CF0DD53" w14:textId="77777777" w:rsidR="00066E2D" w:rsidRDefault="00653098" w:rsidP="00813AC7">
      <w:pPr>
        <w:tabs>
          <w:tab w:val="clear" w:pos="720"/>
        </w:tabs>
        <w:spacing w:line="360" w:lineRule="auto"/>
        <w:ind w:firstLine="720"/>
        <w:rPr>
          <w:rFonts w:ascii="Century Schoolbook" w:hAnsi="Century Schoolbook"/>
        </w:rPr>
      </w:pPr>
      <w:r>
        <w:rPr>
          <w:rFonts w:ascii="Century Schoolbook" w:hAnsi="Century Schoolbook"/>
        </w:rPr>
        <w:t xml:space="preserve">First, </w:t>
      </w:r>
      <w:r w:rsidR="00023249">
        <w:rPr>
          <w:rFonts w:ascii="Century Schoolbook" w:hAnsi="Century Schoolbook"/>
        </w:rPr>
        <w:t>notwithstanding</w:t>
      </w:r>
      <w:r w:rsidR="00E95651">
        <w:rPr>
          <w:rFonts w:ascii="Century Schoolbook" w:hAnsi="Century Schoolbook"/>
        </w:rPr>
        <w:t xml:space="preserve"> the City’s assertion, </w:t>
      </w:r>
      <w:r>
        <w:rPr>
          <w:rFonts w:ascii="Century Schoolbook" w:hAnsi="Century Schoolbook"/>
        </w:rPr>
        <w:t>the Strategic Plaintiffs</w:t>
      </w:r>
      <w:r w:rsidR="00107661">
        <w:rPr>
          <w:rFonts w:ascii="Century Schoolbook" w:hAnsi="Century Schoolbook"/>
        </w:rPr>
        <w:t xml:space="preserve"> </w:t>
      </w:r>
      <w:r w:rsidR="0095791F">
        <w:rPr>
          <w:rFonts w:ascii="Century Schoolbook" w:hAnsi="Century Schoolbook"/>
        </w:rPr>
        <w:t xml:space="preserve">did </w:t>
      </w:r>
      <w:r w:rsidR="00107661">
        <w:rPr>
          <w:rFonts w:ascii="Century Schoolbook" w:hAnsi="Century Schoolbook"/>
        </w:rPr>
        <w:t>produce</w:t>
      </w:r>
      <w:r>
        <w:rPr>
          <w:rFonts w:ascii="Century Schoolbook" w:hAnsi="Century Schoolbook"/>
        </w:rPr>
        <w:t xml:space="preserve"> “ ‘credible evidence’ ” that “ ‘quantified values of’ ” the </w:t>
      </w:r>
      <w:r w:rsidR="00107661">
        <w:rPr>
          <w:rFonts w:ascii="Century Schoolbook" w:hAnsi="Century Schoolbook"/>
        </w:rPr>
        <w:t xml:space="preserve">management </w:t>
      </w:r>
      <w:r>
        <w:rPr>
          <w:rFonts w:ascii="Century Schoolbook" w:hAnsi="Century Schoolbook"/>
        </w:rPr>
        <w:t>agreement “ ‘were impermissibly subsumed in the assessment value</w:t>
      </w:r>
      <w:r w:rsidR="0095791F">
        <w:rPr>
          <w:rFonts w:ascii="Century Schoolbook" w:hAnsi="Century Schoolbook"/>
        </w:rPr>
        <w:t>.</w:t>
      </w:r>
      <w:r>
        <w:rPr>
          <w:rFonts w:ascii="Century Schoolbook" w:hAnsi="Century Schoolbook"/>
        </w:rPr>
        <w:t>’ ”</w:t>
      </w:r>
      <w:r w:rsidR="0095791F">
        <w:rPr>
          <w:rFonts w:ascii="Century Schoolbook" w:hAnsi="Century Schoolbook"/>
        </w:rPr>
        <w:t xml:space="preserve"> </w:t>
      </w:r>
      <w:r w:rsidR="00782B3A">
        <w:rPr>
          <w:rFonts w:ascii="Century Schoolbook" w:hAnsi="Century Schoolbook"/>
        </w:rPr>
        <w:t xml:space="preserve"> They did so by</w:t>
      </w:r>
      <w:r w:rsidR="0095791F">
        <w:rPr>
          <w:rFonts w:ascii="Century Schoolbook" w:hAnsi="Century Schoolbook"/>
        </w:rPr>
        <w:t xml:space="preserve"> establish</w:t>
      </w:r>
      <w:r w:rsidR="00782B3A">
        <w:rPr>
          <w:rFonts w:ascii="Century Schoolbook" w:hAnsi="Century Schoolbook"/>
        </w:rPr>
        <w:t>ing</w:t>
      </w:r>
      <w:r w:rsidR="00107661">
        <w:rPr>
          <w:rFonts w:ascii="Century Schoolbook" w:hAnsi="Century Schoolbook"/>
        </w:rPr>
        <w:t xml:space="preserve"> that the </w:t>
      </w:r>
      <w:r w:rsidR="00782B3A">
        <w:rPr>
          <w:rFonts w:ascii="Century Schoolbook" w:hAnsi="Century Schoolbook"/>
        </w:rPr>
        <w:t>method</w:t>
      </w:r>
      <w:r w:rsidR="00107661">
        <w:rPr>
          <w:rFonts w:ascii="Century Schoolbook" w:hAnsi="Century Schoolbook"/>
        </w:rPr>
        <w:t xml:space="preserve"> used by </w:t>
      </w:r>
      <w:r w:rsidR="00E95651">
        <w:rPr>
          <w:rFonts w:ascii="Century Schoolbook" w:hAnsi="Century Schoolbook"/>
        </w:rPr>
        <w:t>the City</w:t>
      </w:r>
      <w:r w:rsidR="00107661">
        <w:rPr>
          <w:rFonts w:ascii="Century Schoolbook" w:hAnsi="Century Schoolbook"/>
        </w:rPr>
        <w:t xml:space="preserve"> to </w:t>
      </w:r>
      <w:r w:rsidR="00023249">
        <w:rPr>
          <w:rFonts w:ascii="Century Schoolbook" w:hAnsi="Century Schoolbook"/>
        </w:rPr>
        <w:t>remove</w:t>
      </w:r>
      <w:r w:rsidR="00782B3A">
        <w:rPr>
          <w:rFonts w:ascii="Century Schoolbook" w:hAnsi="Century Schoolbook"/>
        </w:rPr>
        <w:t xml:space="preserve"> the </w:t>
      </w:r>
      <w:r w:rsidR="00023249">
        <w:rPr>
          <w:rFonts w:ascii="Century Schoolbook" w:hAnsi="Century Schoolbook"/>
        </w:rPr>
        <w:t>value of</w:t>
      </w:r>
      <w:r w:rsidR="00107661">
        <w:rPr>
          <w:rFonts w:ascii="Century Schoolbook" w:hAnsi="Century Schoolbook"/>
        </w:rPr>
        <w:t xml:space="preserve"> the management agreement </w:t>
      </w:r>
      <w:r w:rsidR="00023249">
        <w:rPr>
          <w:rFonts w:ascii="Century Schoolbook" w:hAnsi="Century Schoolbook"/>
        </w:rPr>
        <w:t xml:space="preserve">from the assessed value, by its nature, </w:t>
      </w:r>
      <w:r w:rsidR="00107661">
        <w:rPr>
          <w:rFonts w:ascii="Century Schoolbook" w:hAnsi="Century Schoolbook"/>
        </w:rPr>
        <w:t xml:space="preserve">did not </w:t>
      </w:r>
      <w:r w:rsidR="00350FEC">
        <w:rPr>
          <w:rFonts w:ascii="Century Schoolbook" w:hAnsi="Century Schoolbook"/>
        </w:rPr>
        <w:t>allow</w:t>
      </w:r>
      <w:r w:rsidR="00782B3A">
        <w:rPr>
          <w:rFonts w:ascii="Century Schoolbook" w:hAnsi="Century Schoolbook"/>
        </w:rPr>
        <w:t xml:space="preserve"> for a return on th</w:t>
      </w:r>
      <w:r w:rsidR="00350FEC">
        <w:rPr>
          <w:rFonts w:ascii="Century Schoolbook" w:hAnsi="Century Schoolbook"/>
        </w:rPr>
        <w:t>at</w:t>
      </w:r>
      <w:r w:rsidR="00782B3A">
        <w:rPr>
          <w:rFonts w:ascii="Century Schoolbook" w:hAnsi="Century Schoolbook"/>
        </w:rPr>
        <w:t xml:space="preserve"> </w:t>
      </w:r>
      <w:r w:rsidR="00E95651">
        <w:rPr>
          <w:rFonts w:ascii="Century Schoolbook" w:hAnsi="Century Schoolbook"/>
        </w:rPr>
        <w:t>agreement</w:t>
      </w:r>
      <w:r w:rsidR="00107661">
        <w:rPr>
          <w:rFonts w:ascii="Century Schoolbook" w:hAnsi="Century Schoolbook"/>
        </w:rPr>
        <w:t xml:space="preserve">. </w:t>
      </w:r>
      <w:r w:rsidR="00782B3A">
        <w:rPr>
          <w:rFonts w:ascii="Century Schoolbook" w:hAnsi="Century Schoolbook"/>
        </w:rPr>
        <w:t xml:space="preserve"> (See </w:t>
      </w:r>
      <w:r w:rsidR="006D5A68">
        <w:rPr>
          <w:rFonts w:ascii="Century Schoolbook" w:hAnsi="Century Schoolbook"/>
        </w:rPr>
        <w:t>Advanced Appraisal</w:t>
      </w:r>
      <w:r w:rsidR="00782B3A">
        <w:rPr>
          <w:rFonts w:ascii="Century Schoolbook" w:hAnsi="Century Schoolbook"/>
        </w:rPr>
        <w:t xml:space="preserve">, </w:t>
      </w:r>
      <w:r w:rsidR="00782B3A" w:rsidRPr="00782B3A">
        <w:rPr>
          <w:rFonts w:ascii="Century Schoolbook" w:hAnsi="Century Schoolbook"/>
          <w:i/>
          <w:iCs/>
        </w:rPr>
        <w:t>supra</w:t>
      </w:r>
      <w:r w:rsidR="00782B3A">
        <w:rPr>
          <w:rFonts w:ascii="Century Schoolbook" w:hAnsi="Century Schoolbook"/>
        </w:rPr>
        <w:t xml:space="preserve">, at </w:t>
      </w:r>
    </w:p>
    <w:p w14:paraId="1CF0DD54" w14:textId="77777777" w:rsidR="001B2BD7" w:rsidRPr="000521D3" w:rsidRDefault="00653098" w:rsidP="00066E2D">
      <w:pPr>
        <w:tabs>
          <w:tab w:val="clear" w:pos="720"/>
        </w:tabs>
        <w:spacing w:line="360" w:lineRule="auto"/>
        <w:rPr>
          <w:rFonts w:ascii="Century Schoolbook" w:hAnsi="Century Schoolbook"/>
        </w:rPr>
      </w:pPr>
      <w:r>
        <w:rPr>
          <w:rFonts w:ascii="Century Schoolbook" w:hAnsi="Century Schoolbook"/>
        </w:rPr>
        <w:t xml:space="preserve">p. 162.)  </w:t>
      </w:r>
      <w:r w:rsidR="00350FEC">
        <w:rPr>
          <w:rFonts w:ascii="Century Schoolbook" w:hAnsi="Century Schoolbook"/>
        </w:rPr>
        <w:t xml:space="preserve">Because </w:t>
      </w:r>
      <w:r w:rsidR="00E95651">
        <w:rPr>
          <w:rFonts w:ascii="Century Schoolbook" w:hAnsi="Century Schoolbook"/>
        </w:rPr>
        <w:t>the City</w:t>
      </w:r>
      <w:r w:rsidR="00977769">
        <w:rPr>
          <w:rFonts w:ascii="Century Schoolbook" w:hAnsi="Century Schoolbook"/>
        </w:rPr>
        <w:t>’s</w:t>
      </w:r>
      <w:r w:rsidR="00350FEC">
        <w:rPr>
          <w:rFonts w:ascii="Century Schoolbook" w:hAnsi="Century Schoolbook"/>
        </w:rPr>
        <w:t xml:space="preserve"> valuation method </w:t>
      </w:r>
      <w:r w:rsidR="00977769">
        <w:rPr>
          <w:rFonts w:ascii="Century Schoolbook" w:hAnsi="Century Schoolbook"/>
        </w:rPr>
        <w:t>did not</w:t>
      </w:r>
      <w:r w:rsidR="00350FEC">
        <w:rPr>
          <w:rFonts w:ascii="Century Schoolbook" w:hAnsi="Century Schoolbook"/>
        </w:rPr>
        <w:t xml:space="preserve"> account for a critical component of the value of </w:t>
      </w:r>
      <w:r w:rsidR="000521D3">
        <w:rPr>
          <w:rFonts w:ascii="Century Schoolbook" w:hAnsi="Century Schoolbook"/>
        </w:rPr>
        <w:t xml:space="preserve">the </w:t>
      </w:r>
      <w:r w:rsidR="00350FEC">
        <w:rPr>
          <w:rFonts w:ascii="Century Schoolbook" w:hAnsi="Century Schoolbook"/>
        </w:rPr>
        <w:t>management agreement</w:t>
      </w:r>
      <w:r w:rsidR="00AF4AA6">
        <w:rPr>
          <w:rFonts w:ascii="Century Schoolbook" w:hAnsi="Century Schoolbook"/>
        </w:rPr>
        <w:t>—i.e., the return on th</w:t>
      </w:r>
      <w:r w:rsidR="00E95651">
        <w:rPr>
          <w:rFonts w:ascii="Century Schoolbook" w:hAnsi="Century Schoolbook"/>
        </w:rPr>
        <w:t>at</w:t>
      </w:r>
      <w:r w:rsidR="00AF4AA6">
        <w:rPr>
          <w:rFonts w:ascii="Century Schoolbook" w:hAnsi="Century Schoolbook"/>
        </w:rPr>
        <w:t xml:space="preserve"> agreement—</w:t>
      </w:r>
      <w:r w:rsidR="00E95651">
        <w:rPr>
          <w:rFonts w:ascii="Century Schoolbook" w:hAnsi="Century Schoolbook"/>
        </w:rPr>
        <w:t xml:space="preserve">its </w:t>
      </w:r>
      <w:r w:rsidR="000521D3">
        <w:rPr>
          <w:rFonts w:ascii="Century Schoolbook" w:hAnsi="Century Schoolbook"/>
        </w:rPr>
        <w:t>assess</w:t>
      </w:r>
      <w:r w:rsidR="00E95651">
        <w:rPr>
          <w:rFonts w:ascii="Century Schoolbook" w:hAnsi="Century Schoolbook"/>
        </w:rPr>
        <w:t>ment</w:t>
      </w:r>
      <w:r w:rsidR="000521D3">
        <w:rPr>
          <w:rFonts w:ascii="Century Schoolbook" w:hAnsi="Century Schoolbook"/>
        </w:rPr>
        <w:t xml:space="preserve"> “violates section 110</w:t>
      </w:r>
      <w:r w:rsidR="00C000C4">
        <w:rPr>
          <w:rFonts w:ascii="Century Schoolbook" w:hAnsi="Century Schoolbook"/>
        </w:rPr>
        <w:t xml:space="preserve">[, subdivision] </w:t>
      </w:r>
      <w:r w:rsidR="000521D3">
        <w:rPr>
          <w:rFonts w:ascii="Century Schoolbook" w:hAnsi="Century Schoolbook"/>
        </w:rPr>
        <w:t xml:space="preserve">(d)(1), </w:t>
      </w:r>
      <w:r w:rsidR="000521D3">
        <w:rPr>
          <w:rFonts w:ascii="Century Schoolbook" w:hAnsi="Century Schoolbook"/>
        </w:rPr>
        <w:lastRenderedPageBreak/>
        <w:t>which prohibits an assessor from using the value of intangible rights and assets to enhance the value of taxable property.”  (</w:t>
      </w:r>
      <w:r w:rsidR="000521D3">
        <w:rPr>
          <w:rFonts w:ascii="Century Schoolbook" w:hAnsi="Century Schoolbook"/>
          <w:i/>
          <w:iCs/>
        </w:rPr>
        <w:t>Elk Hills</w:t>
      </w:r>
      <w:r w:rsidR="000521D3">
        <w:rPr>
          <w:rFonts w:ascii="Century Schoolbook" w:hAnsi="Century Schoolbook"/>
        </w:rPr>
        <w:t xml:space="preserve">, </w:t>
      </w:r>
      <w:r w:rsidR="000521D3">
        <w:rPr>
          <w:rFonts w:ascii="Century Schoolbook" w:hAnsi="Century Schoolbook"/>
          <w:i/>
          <w:iCs/>
        </w:rPr>
        <w:t>supra</w:t>
      </w:r>
      <w:r w:rsidR="000521D3">
        <w:rPr>
          <w:rFonts w:ascii="Century Schoolbook" w:hAnsi="Century Schoolbook"/>
        </w:rPr>
        <w:t xml:space="preserve">, 57 Cal.4th at p. 615.)  </w:t>
      </w:r>
      <w:r w:rsidR="00FD7F55">
        <w:rPr>
          <w:rFonts w:ascii="Century Schoolbook" w:hAnsi="Century Schoolbook"/>
        </w:rPr>
        <w:t>As a result</w:t>
      </w:r>
      <w:r w:rsidR="00977769">
        <w:rPr>
          <w:rFonts w:ascii="Century Schoolbook" w:hAnsi="Century Schoolbook"/>
        </w:rPr>
        <w:t xml:space="preserve">, </w:t>
      </w:r>
      <w:r w:rsidR="00350FEC">
        <w:rPr>
          <w:rFonts w:ascii="Century Schoolbook" w:hAnsi="Century Schoolbook"/>
        </w:rPr>
        <w:t>the Strategic Plaintiffs</w:t>
      </w:r>
      <w:r w:rsidR="00023249">
        <w:rPr>
          <w:rFonts w:ascii="Century Schoolbook" w:hAnsi="Century Schoolbook"/>
        </w:rPr>
        <w:t xml:space="preserve">, to </w:t>
      </w:r>
      <w:r w:rsidR="00FD7F55">
        <w:rPr>
          <w:rFonts w:ascii="Century Schoolbook" w:hAnsi="Century Schoolbook"/>
        </w:rPr>
        <w:t>successfully challenge the assessment</w:t>
      </w:r>
      <w:r w:rsidR="00023249">
        <w:rPr>
          <w:rFonts w:ascii="Century Schoolbook" w:hAnsi="Century Schoolbook"/>
        </w:rPr>
        <w:t>,</w:t>
      </w:r>
      <w:r w:rsidR="00350FEC">
        <w:rPr>
          <w:rFonts w:ascii="Century Schoolbook" w:hAnsi="Century Schoolbook"/>
        </w:rPr>
        <w:t xml:space="preserve"> did not have “to provide credible evidence of </w:t>
      </w:r>
      <w:r w:rsidR="00350FEC">
        <w:rPr>
          <w:rFonts w:ascii="Century Schoolbook" w:hAnsi="Century Schoolbook"/>
          <w:i/>
          <w:iCs/>
        </w:rPr>
        <w:t xml:space="preserve">additional </w:t>
      </w:r>
      <w:r w:rsidR="00350FEC">
        <w:rPr>
          <w:rFonts w:ascii="Century Schoolbook" w:hAnsi="Century Schoolbook"/>
        </w:rPr>
        <w:t xml:space="preserve">intangible value subsumed in the [assessed] value of the” hotel, “such as evidence of unpaid or underpaid management or the existence of other intangibles.” </w:t>
      </w:r>
    </w:p>
    <w:p w14:paraId="1CF0DD55" w14:textId="77777777" w:rsidR="00A66F9C" w:rsidRDefault="00653098" w:rsidP="00813AC7">
      <w:pPr>
        <w:tabs>
          <w:tab w:val="clear" w:pos="720"/>
        </w:tabs>
        <w:spacing w:line="360" w:lineRule="auto"/>
        <w:ind w:firstLine="720"/>
        <w:rPr>
          <w:rFonts w:ascii="Century Schoolbook" w:hAnsi="Century Schoolbook"/>
        </w:rPr>
      </w:pPr>
      <w:r>
        <w:rPr>
          <w:rFonts w:ascii="Century Schoolbook" w:hAnsi="Century Schoolbook"/>
        </w:rPr>
        <w:t>Se</w:t>
      </w:r>
      <w:r>
        <w:rPr>
          <w:rFonts w:ascii="Century Schoolbook" w:hAnsi="Century Schoolbook"/>
        </w:rPr>
        <w:t xml:space="preserve">cond, </w:t>
      </w:r>
      <w:r>
        <w:rPr>
          <w:rFonts w:ascii="Century Schoolbook" w:hAnsi="Century Schoolbook"/>
          <w:i/>
          <w:iCs/>
        </w:rPr>
        <w:t>SH</w:t>
      </w:r>
      <w:r w:rsidR="00E95651">
        <w:rPr>
          <w:rFonts w:ascii="Century Schoolbook" w:hAnsi="Century Schoolbook"/>
          <w:i/>
          <w:iCs/>
        </w:rPr>
        <w:t>C</w:t>
      </w:r>
      <w:r>
        <w:rPr>
          <w:rFonts w:ascii="Century Schoolbook" w:hAnsi="Century Schoolbook"/>
          <w:i/>
          <w:iCs/>
        </w:rPr>
        <w:t xml:space="preserve"> Half Moon Bay</w:t>
      </w:r>
      <w:r>
        <w:rPr>
          <w:rFonts w:ascii="Century Schoolbook" w:hAnsi="Century Schoolbook"/>
        </w:rPr>
        <w:t xml:space="preserve"> does not help </w:t>
      </w:r>
      <w:r w:rsidR="00E95651">
        <w:rPr>
          <w:rFonts w:ascii="Century Schoolbook" w:hAnsi="Century Schoolbook"/>
        </w:rPr>
        <w:t>the City</w:t>
      </w:r>
      <w:r>
        <w:rPr>
          <w:rFonts w:ascii="Century Schoolbook" w:hAnsi="Century Schoolbook"/>
        </w:rPr>
        <w:t xml:space="preserve">.  </w:t>
      </w:r>
      <w:r w:rsidR="00E95651">
        <w:rPr>
          <w:rFonts w:ascii="Century Schoolbook" w:hAnsi="Century Schoolbook"/>
        </w:rPr>
        <w:t>The City</w:t>
      </w:r>
      <w:r>
        <w:rPr>
          <w:rFonts w:ascii="Century Schoolbook" w:hAnsi="Century Schoolbook"/>
        </w:rPr>
        <w:t xml:space="preserve"> is correct that this </w:t>
      </w:r>
      <w:r w:rsidR="00FD7F55">
        <w:rPr>
          <w:rFonts w:ascii="Century Schoolbook" w:hAnsi="Century Schoolbook"/>
        </w:rPr>
        <w:t>Division</w:t>
      </w:r>
      <w:r>
        <w:rPr>
          <w:rFonts w:ascii="Century Schoolbook" w:hAnsi="Century Schoolbook"/>
        </w:rPr>
        <w:t xml:space="preserve"> in </w:t>
      </w:r>
      <w:r>
        <w:rPr>
          <w:rFonts w:ascii="Century Schoolbook" w:hAnsi="Century Schoolbook"/>
          <w:i/>
          <w:iCs/>
        </w:rPr>
        <w:t>SH</w:t>
      </w:r>
      <w:r w:rsidR="00E95651">
        <w:rPr>
          <w:rFonts w:ascii="Century Schoolbook" w:hAnsi="Century Schoolbook"/>
          <w:i/>
          <w:iCs/>
        </w:rPr>
        <w:t>C</w:t>
      </w:r>
      <w:r>
        <w:rPr>
          <w:rFonts w:ascii="Century Schoolbook" w:hAnsi="Century Schoolbook"/>
          <w:i/>
          <w:iCs/>
        </w:rPr>
        <w:t xml:space="preserve"> Half Moon Bay</w:t>
      </w:r>
      <w:r>
        <w:rPr>
          <w:rFonts w:ascii="Century Schoolbook" w:hAnsi="Century Schoolbook"/>
        </w:rPr>
        <w:t xml:space="preserve">, </w:t>
      </w:r>
      <w:r>
        <w:rPr>
          <w:rFonts w:ascii="Century Schoolbook" w:hAnsi="Century Schoolbook"/>
          <w:i/>
          <w:iCs/>
        </w:rPr>
        <w:t>supra</w:t>
      </w:r>
      <w:r>
        <w:rPr>
          <w:rFonts w:ascii="Century Schoolbook" w:hAnsi="Century Schoolbook"/>
        </w:rPr>
        <w:t>, 226 Cal.App.4th at page 49</w:t>
      </w:r>
      <w:r w:rsidR="00F4090A">
        <w:rPr>
          <w:rFonts w:ascii="Century Schoolbook" w:hAnsi="Century Schoolbook"/>
        </w:rPr>
        <w:t>0</w:t>
      </w:r>
      <w:r w:rsidR="004C3ABA">
        <w:rPr>
          <w:rFonts w:ascii="Century Schoolbook" w:hAnsi="Century Schoolbook"/>
        </w:rPr>
        <w:t>,</w:t>
      </w:r>
      <w:r>
        <w:rPr>
          <w:rFonts w:ascii="Century Schoolbook" w:hAnsi="Century Schoolbook"/>
        </w:rPr>
        <w:t xml:space="preserve"> </w:t>
      </w:r>
      <w:r w:rsidR="005A1D72">
        <w:rPr>
          <w:rFonts w:ascii="Century Schoolbook" w:hAnsi="Century Schoolbook"/>
        </w:rPr>
        <w:t>concluded</w:t>
      </w:r>
      <w:r>
        <w:rPr>
          <w:rFonts w:ascii="Century Schoolbook" w:hAnsi="Century Schoolbook"/>
        </w:rPr>
        <w:t xml:space="preserve"> that the hotel</w:t>
      </w:r>
      <w:r w:rsidR="00E95651">
        <w:rPr>
          <w:rFonts w:ascii="Century Schoolbook" w:hAnsi="Century Schoolbook"/>
        </w:rPr>
        <w:t>’s</w:t>
      </w:r>
      <w:r>
        <w:rPr>
          <w:rFonts w:ascii="Century Schoolbook" w:hAnsi="Century Schoolbook"/>
        </w:rPr>
        <w:t xml:space="preserve"> management </w:t>
      </w:r>
      <w:r w:rsidR="00971DDD">
        <w:rPr>
          <w:rFonts w:ascii="Century Schoolbook" w:hAnsi="Century Schoolbook"/>
        </w:rPr>
        <w:t xml:space="preserve">and franchise </w:t>
      </w:r>
      <w:r>
        <w:rPr>
          <w:rFonts w:ascii="Century Schoolbook" w:hAnsi="Century Schoolbook"/>
        </w:rPr>
        <w:t xml:space="preserve">fees “capture[d] the intangible asset of goodwill.”  </w:t>
      </w:r>
      <w:r w:rsidR="005A1D72">
        <w:rPr>
          <w:rFonts w:ascii="Century Schoolbook" w:hAnsi="Century Schoolbook"/>
        </w:rPr>
        <w:t xml:space="preserve">But </w:t>
      </w:r>
      <w:r w:rsidR="00971DDD">
        <w:rPr>
          <w:rFonts w:ascii="Century Schoolbook" w:hAnsi="Century Schoolbook"/>
        </w:rPr>
        <w:t xml:space="preserve">in reaching this conclusion, </w:t>
      </w:r>
      <w:r w:rsidR="005A1D72">
        <w:rPr>
          <w:rFonts w:ascii="Century Schoolbook" w:hAnsi="Century Schoolbook"/>
        </w:rPr>
        <w:t xml:space="preserve">this </w:t>
      </w:r>
      <w:r w:rsidR="00FD7F55">
        <w:rPr>
          <w:rFonts w:ascii="Century Schoolbook" w:hAnsi="Century Schoolbook"/>
        </w:rPr>
        <w:t>Division</w:t>
      </w:r>
      <w:r w:rsidR="005A1D72">
        <w:rPr>
          <w:rFonts w:ascii="Century Schoolbook" w:hAnsi="Century Schoolbook"/>
        </w:rPr>
        <w:t xml:space="preserve"> </w:t>
      </w:r>
      <w:r w:rsidR="00971DDD">
        <w:rPr>
          <w:rFonts w:ascii="Century Schoolbook" w:hAnsi="Century Schoolbook"/>
        </w:rPr>
        <w:t>relied upon</w:t>
      </w:r>
      <w:r w:rsidR="005A1D72">
        <w:rPr>
          <w:rFonts w:ascii="Century Schoolbook" w:hAnsi="Century Schoolbook"/>
        </w:rPr>
        <w:t xml:space="preserve"> testimony </w:t>
      </w:r>
      <w:r w:rsidR="00FD7F55">
        <w:rPr>
          <w:rFonts w:ascii="Century Schoolbook" w:hAnsi="Century Schoolbook"/>
        </w:rPr>
        <w:t xml:space="preserve">in the record </w:t>
      </w:r>
      <w:r w:rsidR="005A1D72">
        <w:rPr>
          <w:rFonts w:ascii="Century Schoolbook" w:hAnsi="Century Schoolbook"/>
        </w:rPr>
        <w:t xml:space="preserve">“demonstrating the </w:t>
      </w:r>
      <w:r w:rsidR="00E95651">
        <w:rPr>
          <w:rFonts w:ascii="Century Schoolbook" w:hAnsi="Century Schoolbook"/>
        </w:rPr>
        <w:t>[a]</w:t>
      </w:r>
      <w:proofErr w:type="spellStart"/>
      <w:r w:rsidR="005A1D72">
        <w:rPr>
          <w:rFonts w:ascii="Century Schoolbook" w:hAnsi="Century Schoolbook"/>
        </w:rPr>
        <w:t>ssessor</w:t>
      </w:r>
      <w:proofErr w:type="spellEnd"/>
      <w:r w:rsidR="005A1D72">
        <w:rPr>
          <w:rFonts w:ascii="Century Schoolbook" w:hAnsi="Century Schoolbook"/>
        </w:rPr>
        <w:t xml:space="preserve"> identified and quantified the value of goodwill in the amount attributed to the management and franchise fee.”  (</w:t>
      </w:r>
      <w:r w:rsidR="005A1D72">
        <w:rPr>
          <w:rFonts w:ascii="Century Schoolbook" w:hAnsi="Century Schoolbook"/>
          <w:i/>
          <w:iCs/>
        </w:rPr>
        <w:t>Id</w:t>
      </w:r>
      <w:r w:rsidR="005A1D72" w:rsidRPr="00F4090A">
        <w:rPr>
          <w:rFonts w:ascii="Century Schoolbook" w:hAnsi="Century Schoolbook"/>
        </w:rPr>
        <w:t>.</w:t>
      </w:r>
      <w:r w:rsidR="00F4090A" w:rsidRPr="00F4090A">
        <w:rPr>
          <w:rFonts w:ascii="Century Schoolbook" w:hAnsi="Century Schoolbook"/>
        </w:rPr>
        <w:t xml:space="preserve"> at p. 493.</w:t>
      </w:r>
      <w:r w:rsidR="005A1D72" w:rsidRPr="00F4090A">
        <w:rPr>
          <w:rFonts w:ascii="Century Schoolbook" w:hAnsi="Century Schoolbook"/>
        </w:rPr>
        <w:t>)</w:t>
      </w:r>
      <w:r w:rsidR="005A1D72">
        <w:rPr>
          <w:rFonts w:ascii="Century Schoolbook" w:hAnsi="Century Schoolbook"/>
        </w:rPr>
        <w:t xml:space="preserve">  By contrast, there is no evidence </w:t>
      </w:r>
      <w:r w:rsidR="008C3536">
        <w:rPr>
          <w:rFonts w:ascii="Century Schoolbook" w:hAnsi="Century Schoolbook"/>
        </w:rPr>
        <w:t xml:space="preserve">in this record that </w:t>
      </w:r>
      <w:r w:rsidR="005A1D72">
        <w:rPr>
          <w:rFonts w:ascii="Century Schoolbook" w:hAnsi="Century Schoolbook"/>
        </w:rPr>
        <w:t xml:space="preserve">the Assessor </w:t>
      </w:r>
      <w:r w:rsidR="008C3536">
        <w:rPr>
          <w:rFonts w:ascii="Century Schoolbook" w:hAnsi="Century Schoolbook"/>
        </w:rPr>
        <w:t xml:space="preserve">separately or </w:t>
      </w:r>
      <w:r w:rsidR="005A1D72">
        <w:rPr>
          <w:rFonts w:ascii="Century Schoolbook" w:hAnsi="Century Schoolbook"/>
        </w:rPr>
        <w:t xml:space="preserve">independently quantified the value of the management agreement in the amount attributed to the management fees.  </w:t>
      </w:r>
      <w:r w:rsidR="00DE3F3F">
        <w:rPr>
          <w:rFonts w:ascii="Century Schoolbook" w:hAnsi="Century Schoolbook"/>
        </w:rPr>
        <w:t xml:space="preserve">Instead, the Assessor </w:t>
      </w:r>
      <w:r w:rsidR="00FD7F55">
        <w:rPr>
          <w:rFonts w:ascii="Century Schoolbook" w:hAnsi="Century Schoolbook"/>
        </w:rPr>
        <w:t xml:space="preserve">formulaically </w:t>
      </w:r>
      <w:r w:rsidR="00DE3F3F">
        <w:rPr>
          <w:rFonts w:ascii="Century Schoolbook" w:hAnsi="Century Schoolbook"/>
        </w:rPr>
        <w:t>deduct</w:t>
      </w:r>
      <w:r w:rsidR="00884A90">
        <w:rPr>
          <w:rFonts w:ascii="Century Schoolbook" w:hAnsi="Century Schoolbook"/>
        </w:rPr>
        <w:t>ed</w:t>
      </w:r>
      <w:r w:rsidR="00DE3F3F">
        <w:rPr>
          <w:rFonts w:ascii="Century Schoolbook" w:hAnsi="Century Schoolbook"/>
        </w:rPr>
        <w:t xml:space="preserve"> the management fees </w:t>
      </w:r>
      <w:r w:rsidR="00E95651">
        <w:rPr>
          <w:rFonts w:ascii="Century Schoolbook" w:hAnsi="Century Schoolbook"/>
        </w:rPr>
        <w:t xml:space="preserve">from the net operating income of the hotel </w:t>
      </w:r>
      <w:r w:rsidR="00DE3F3F">
        <w:rPr>
          <w:rFonts w:ascii="Century Schoolbook" w:hAnsi="Century Schoolbook"/>
        </w:rPr>
        <w:t>with no further explanation</w:t>
      </w:r>
      <w:r w:rsidR="00023249">
        <w:rPr>
          <w:rFonts w:ascii="Century Schoolbook" w:hAnsi="Century Schoolbook"/>
        </w:rPr>
        <w:t xml:space="preserve"> or analysis</w:t>
      </w:r>
      <w:r w:rsidR="00DE3F3F">
        <w:rPr>
          <w:rFonts w:ascii="Century Schoolbook" w:hAnsi="Century Schoolbook"/>
        </w:rPr>
        <w:t xml:space="preserve">. </w:t>
      </w:r>
      <w:r w:rsidR="00637EFD">
        <w:rPr>
          <w:rFonts w:ascii="Century Schoolbook" w:hAnsi="Century Schoolbook"/>
        </w:rPr>
        <w:t xml:space="preserve"> </w:t>
      </w:r>
      <w:r w:rsidR="003B0DF6">
        <w:rPr>
          <w:rFonts w:ascii="Century Schoolbook" w:hAnsi="Century Schoolbook"/>
        </w:rPr>
        <w:t xml:space="preserve">Absent evidence that the management agreement would generate no additional income beyond the management fees themselves, the Board could not </w:t>
      </w:r>
      <w:r w:rsidR="00B66CC7">
        <w:rPr>
          <w:rFonts w:ascii="Century Schoolbook" w:hAnsi="Century Schoolbook"/>
        </w:rPr>
        <w:t>remove</w:t>
      </w:r>
      <w:r w:rsidR="003B0DF6">
        <w:rPr>
          <w:rFonts w:ascii="Century Schoolbook" w:hAnsi="Century Schoolbook"/>
        </w:rPr>
        <w:t xml:space="preserve"> the value of th</w:t>
      </w:r>
      <w:r w:rsidR="00B66CC7">
        <w:rPr>
          <w:rFonts w:ascii="Century Schoolbook" w:hAnsi="Century Schoolbook"/>
        </w:rPr>
        <w:t>at</w:t>
      </w:r>
      <w:r w:rsidR="003B0DF6">
        <w:rPr>
          <w:rFonts w:ascii="Century Schoolbook" w:hAnsi="Century Schoolbook"/>
        </w:rPr>
        <w:t xml:space="preserve"> agreement </w:t>
      </w:r>
      <w:r w:rsidR="00B66CC7">
        <w:rPr>
          <w:rFonts w:ascii="Century Schoolbook" w:hAnsi="Century Schoolbook"/>
        </w:rPr>
        <w:t xml:space="preserve">from the hotel’s assessed value </w:t>
      </w:r>
      <w:r w:rsidR="003B0DF6">
        <w:rPr>
          <w:rFonts w:ascii="Century Schoolbook" w:hAnsi="Century Schoolbook"/>
        </w:rPr>
        <w:t xml:space="preserve">solely by deducting </w:t>
      </w:r>
      <w:r w:rsidR="00F07B45">
        <w:rPr>
          <w:rFonts w:ascii="Century Schoolbook" w:hAnsi="Century Schoolbook"/>
        </w:rPr>
        <w:t>the</w:t>
      </w:r>
      <w:r w:rsidR="003B0DF6">
        <w:rPr>
          <w:rFonts w:ascii="Century Schoolbook" w:hAnsi="Century Schoolbook"/>
        </w:rPr>
        <w:t xml:space="preserve"> fees from </w:t>
      </w:r>
      <w:r w:rsidR="00B66CC7">
        <w:rPr>
          <w:rFonts w:ascii="Century Schoolbook" w:hAnsi="Century Schoolbook"/>
        </w:rPr>
        <w:t>the</w:t>
      </w:r>
      <w:r w:rsidR="003B0DF6">
        <w:rPr>
          <w:rFonts w:ascii="Century Schoolbook" w:hAnsi="Century Schoolbook"/>
        </w:rPr>
        <w:t xml:space="preserve"> </w:t>
      </w:r>
      <w:r w:rsidR="00C000C4">
        <w:rPr>
          <w:rFonts w:ascii="Century Schoolbook" w:hAnsi="Century Schoolbook"/>
        </w:rPr>
        <w:t xml:space="preserve">hotel’s </w:t>
      </w:r>
      <w:r w:rsidR="00B7552C">
        <w:rPr>
          <w:rFonts w:ascii="Century Schoolbook" w:hAnsi="Century Schoolbook"/>
        </w:rPr>
        <w:t xml:space="preserve">estimated </w:t>
      </w:r>
      <w:r w:rsidR="003B0DF6">
        <w:rPr>
          <w:rFonts w:ascii="Century Schoolbook" w:hAnsi="Century Schoolbook"/>
        </w:rPr>
        <w:t>income stream.</w:t>
      </w:r>
    </w:p>
    <w:p w14:paraId="1CF0DD56" w14:textId="77777777" w:rsidR="00FD7F55" w:rsidRDefault="00653098" w:rsidP="00A4369E">
      <w:pPr>
        <w:tabs>
          <w:tab w:val="clear" w:pos="720"/>
        </w:tabs>
        <w:spacing w:line="360" w:lineRule="auto"/>
        <w:ind w:firstLine="720"/>
        <w:rPr>
          <w:rFonts w:ascii="Century Schoolbook" w:hAnsi="Century Schoolbook"/>
        </w:rPr>
      </w:pPr>
      <w:r>
        <w:rPr>
          <w:rFonts w:ascii="Century Schoolbook" w:hAnsi="Century Schoolbook"/>
        </w:rPr>
        <w:t xml:space="preserve">In any event, </w:t>
      </w:r>
      <w:r>
        <w:rPr>
          <w:rFonts w:ascii="Century Schoolbook" w:hAnsi="Century Schoolbook"/>
          <w:i/>
          <w:iCs/>
        </w:rPr>
        <w:t>SH</w:t>
      </w:r>
      <w:r w:rsidR="00E95651">
        <w:rPr>
          <w:rFonts w:ascii="Century Schoolbook" w:hAnsi="Century Schoolbook"/>
          <w:i/>
          <w:iCs/>
        </w:rPr>
        <w:t>C</w:t>
      </w:r>
      <w:r>
        <w:rPr>
          <w:rFonts w:ascii="Century Schoolbook" w:hAnsi="Century Schoolbook"/>
          <w:i/>
          <w:iCs/>
        </w:rPr>
        <w:t xml:space="preserve"> Half Moon Bay </w:t>
      </w:r>
      <w:r>
        <w:rPr>
          <w:rFonts w:ascii="Century Schoolbook" w:hAnsi="Century Schoolbook"/>
        </w:rPr>
        <w:t>did not de</w:t>
      </w:r>
      <w:r w:rsidR="008C3536">
        <w:rPr>
          <w:rFonts w:ascii="Century Schoolbook" w:hAnsi="Century Schoolbook"/>
        </w:rPr>
        <w:t>termine</w:t>
      </w:r>
      <w:r>
        <w:rPr>
          <w:rFonts w:ascii="Century Schoolbook" w:hAnsi="Century Schoolbook"/>
        </w:rPr>
        <w:t xml:space="preserve"> whether the assessed value </w:t>
      </w:r>
      <w:r w:rsidR="00E95651">
        <w:rPr>
          <w:rFonts w:ascii="Century Schoolbook" w:hAnsi="Century Schoolbook"/>
        </w:rPr>
        <w:t xml:space="preserve">of </w:t>
      </w:r>
      <w:r w:rsidR="00023249">
        <w:rPr>
          <w:rFonts w:ascii="Century Schoolbook" w:hAnsi="Century Schoolbook"/>
        </w:rPr>
        <w:t>the</w:t>
      </w:r>
      <w:r w:rsidR="00E95651">
        <w:rPr>
          <w:rFonts w:ascii="Century Schoolbook" w:hAnsi="Century Schoolbook"/>
        </w:rPr>
        <w:t xml:space="preserve"> hotel </w:t>
      </w:r>
      <w:r>
        <w:rPr>
          <w:rFonts w:ascii="Century Schoolbook" w:hAnsi="Century Schoolbook"/>
        </w:rPr>
        <w:t xml:space="preserve">improperly subsumed the value of the management agreement itself.  (See </w:t>
      </w:r>
      <w:r w:rsidR="00F4090A" w:rsidRPr="00F4090A">
        <w:rPr>
          <w:rFonts w:ascii="Century Schoolbook" w:hAnsi="Century Schoolbook"/>
          <w:i/>
          <w:iCs/>
        </w:rPr>
        <w:t>SHC Half Moon Bay, supra,</w:t>
      </w:r>
      <w:r w:rsidR="00F4090A">
        <w:rPr>
          <w:rFonts w:ascii="Century Schoolbook" w:hAnsi="Century Schoolbook"/>
        </w:rPr>
        <w:t xml:space="preserve"> </w:t>
      </w:r>
      <w:r>
        <w:rPr>
          <w:rFonts w:ascii="Century Schoolbook" w:hAnsi="Century Schoolbook"/>
        </w:rPr>
        <w:t>226 Cal.App.4th at p. 490 [only considering w</w:t>
      </w:r>
      <w:r>
        <w:rPr>
          <w:rFonts w:ascii="Century Schoolbook" w:hAnsi="Century Schoolbook"/>
        </w:rPr>
        <w:t xml:space="preserve">hether “the deduction of the </w:t>
      </w:r>
      <w:r>
        <w:rPr>
          <w:rFonts w:ascii="Century Schoolbook" w:hAnsi="Century Schoolbook"/>
        </w:rPr>
        <w:lastRenderedPageBreak/>
        <w:t>management and franchise fee from the hotel’s project</w:t>
      </w:r>
      <w:r w:rsidR="00B179B6">
        <w:rPr>
          <w:rFonts w:ascii="Century Schoolbook" w:hAnsi="Century Schoolbook"/>
        </w:rPr>
        <w:t>ed</w:t>
      </w:r>
      <w:r>
        <w:rPr>
          <w:rFonts w:ascii="Century Schoolbook" w:hAnsi="Century Schoolbook"/>
        </w:rPr>
        <w:t xml:space="preserve"> revenue stream pursuant to the income approach did not</w:t>
      </w:r>
      <w:r w:rsidR="00F4090A">
        <w:rPr>
          <w:rFonts w:ascii="Century Schoolbook" w:hAnsi="Century Schoolbook"/>
        </w:rPr>
        <w:t xml:space="preserve"> . . .</w:t>
      </w:r>
      <w:r>
        <w:rPr>
          <w:rFonts w:ascii="Century Schoolbook" w:hAnsi="Century Schoolbook"/>
        </w:rPr>
        <w:t xml:space="preserve"> identify and exclude intangible assets such as the hotel’s assembled workforce, the hotel’s leasehold interest</w:t>
      </w:r>
      <w:r>
        <w:rPr>
          <w:rFonts w:ascii="Century Schoolbook" w:hAnsi="Century Schoolbook"/>
        </w:rPr>
        <w:t xml:space="preserve"> in the employee parking lot, . . . the hotel’s agreement with the golf course operator,” and “goodwill”].)</w:t>
      </w:r>
      <w:r w:rsidR="00370637">
        <w:rPr>
          <w:rFonts w:ascii="Century Schoolbook" w:hAnsi="Century Schoolbook"/>
        </w:rPr>
        <w:t xml:space="preserve">  </w:t>
      </w:r>
      <w:r>
        <w:rPr>
          <w:rFonts w:ascii="Century Schoolbook" w:hAnsi="Century Schoolbook"/>
        </w:rPr>
        <w:t>Consequently</w:t>
      </w:r>
      <w:r w:rsidR="00370637">
        <w:rPr>
          <w:rFonts w:ascii="Century Schoolbook" w:hAnsi="Century Schoolbook"/>
        </w:rPr>
        <w:t xml:space="preserve">, </w:t>
      </w:r>
      <w:r>
        <w:rPr>
          <w:rFonts w:ascii="Century Schoolbook" w:hAnsi="Century Schoolbook"/>
        </w:rPr>
        <w:t>this Division has</w:t>
      </w:r>
      <w:r w:rsidR="00370637">
        <w:rPr>
          <w:rFonts w:ascii="Century Schoolbook" w:hAnsi="Century Schoolbook"/>
        </w:rPr>
        <w:t xml:space="preserve"> never considered </w:t>
      </w:r>
      <w:r w:rsidR="00E95651">
        <w:rPr>
          <w:rFonts w:ascii="Century Schoolbook" w:hAnsi="Century Schoolbook"/>
        </w:rPr>
        <w:t>the issue presented here</w:t>
      </w:r>
      <w:r w:rsidR="008C3536">
        <w:rPr>
          <w:rFonts w:ascii="Century Schoolbook" w:hAnsi="Century Schoolbook"/>
        </w:rPr>
        <w:t xml:space="preserve">—i.e., </w:t>
      </w:r>
      <w:r w:rsidR="00370637">
        <w:rPr>
          <w:rFonts w:ascii="Century Schoolbook" w:hAnsi="Century Schoolbook"/>
        </w:rPr>
        <w:t xml:space="preserve">whether deduction of </w:t>
      </w:r>
      <w:r w:rsidR="00E95651">
        <w:rPr>
          <w:rFonts w:ascii="Century Schoolbook" w:hAnsi="Century Schoolbook"/>
        </w:rPr>
        <w:t xml:space="preserve">the </w:t>
      </w:r>
      <w:r w:rsidR="00370637">
        <w:rPr>
          <w:rFonts w:ascii="Century Schoolbook" w:hAnsi="Century Schoolbook"/>
        </w:rPr>
        <w:t xml:space="preserve">management fees </w:t>
      </w:r>
      <w:r w:rsidR="00023249">
        <w:rPr>
          <w:rFonts w:ascii="Century Schoolbook" w:hAnsi="Century Schoolbook"/>
        </w:rPr>
        <w:t xml:space="preserve">from the hotel’s net operating income </w:t>
      </w:r>
      <w:r>
        <w:rPr>
          <w:rFonts w:ascii="Century Schoolbook" w:hAnsi="Century Schoolbook"/>
        </w:rPr>
        <w:t>removed</w:t>
      </w:r>
      <w:r w:rsidR="00370637">
        <w:rPr>
          <w:rFonts w:ascii="Century Schoolbook" w:hAnsi="Century Schoolbook"/>
        </w:rPr>
        <w:t xml:space="preserve"> the </w:t>
      </w:r>
      <w:r w:rsidR="00637EFD">
        <w:rPr>
          <w:rFonts w:ascii="Century Schoolbook" w:hAnsi="Century Schoolbook"/>
        </w:rPr>
        <w:t xml:space="preserve">full </w:t>
      </w:r>
      <w:r w:rsidR="00370637">
        <w:rPr>
          <w:rFonts w:ascii="Century Schoolbook" w:hAnsi="Century Schoolbook"/>
        </w:rPr>
        <w:t>value of the management agreement</w:t>
      </w:r>
      <w:r>
        <w:rPr>
          <w:rFonts w:ascii="Century Schoolbook" w:hAnsi="Century Schoolbook"/>
        </w:rPr>
        <w:t xml:space="preserve"> </w:t>
      </w:r>
      <w:r w:rsidR="008C3536">
        <w:rPr>
          <w:rFonts w:ascii="Century Schoolbook" w:hAnsi="Century Schoolbook"/>
        </w:rPr>
        <w:t xml:space="preserve">itself </w:t>
      </w:r>
      <w:r>
        <w:rPr>
          <w:rFonts w:ascii="Century Schoolbook" w:hAnsi="Century Schoolbook"/>
        </w:rPr>
        <w:t>from the hotel’s assessed value</w:t>
      </w:r>
      <w:r w:rsidR="00370637">
        <w:rPr>
          <w:rFonts w:ascii="Century Schoolbook" w:hAnsi="Century Schoolbook"/>
        </w:rPr>
        <w:t xml:space="preserve">.  </w:t>
      </w:r>
    </w:p>
    <w:p w14:paraId="1CF0DD57" w14:textId="77777777" w:rsidR="00A4369E" w:rsidRDefault="00653098" w:rsidP="00A4369E">
      <w:pPr>
        <w:tabs>
          <w:tab w:val="clear" w:pos="720"/>
        </w:tabs>
        <w:spacing w:line="360" w:lineRule="auto"/>
        <w:ind w:firstLine="720"/>
        <w:rPr>
          <w:rFonts w:ascii="Century Schoolbook" w:hAnsi="Century Schoolbook"/>
        </w:rPr>
      </w:pPr>
      <w:r>
        <w:rPr>
          <w:rFonts w:ascii="Century Schoolbook" w:hAnsi="Century Schoolbook"/>
        </w:rPr>
        <w:t>Finally</w:t>
      </w:r>
      <w:r w:rsidR="00370637">
        <w:rPr>
          <w:rFonts w:ascii="Century Schoolbook" w:hAnsi="Century Schoolbook"/>
        </w:rPr>
        <w:t xml:space="preserve">, </w:t>
      </w:r>
      <w:r w:rsidR="008C3536">
        <w:rPr>
          <w:rFonts w:ascii="Century Schoolbook" w:hAnsi="Century Schoolbook"/>
        </w:rPr>
        <w:t xml:space="preserve">in </w:t>
      </w:r>
      <w:r w:rsidR="00370637">
        <w:rPr>
          <w:rFonts w:ascii="Century Schoolbook" w:hAnsi="Century Schoolbook"/>
          <w:i/>
          <w:iCs/>
        </w:rPr>
        <w:t>SH</w:t>
      </w:r>
      <w:r w:rsidR="00B00604">
        <w:rPr>
          <w:rFonts w:ascii="Century Schoolbook" w:hAnsi="Century Schoolbook"/>
          <w:i/>
          <w:iCs/>
        </w:rPr>
        <w:t>C</w:t>
      </w:r>
      <w:r w:rsidR="00370637">
        <w:rPr>
          <w:rFonts w:ascii="Century Schoolbook" w:hAnsi="Century Schoolbook"/>
          <w:i/>
          <w:iCs/>
        </w:rPr>
        <w:t xml:space="preserve"> Half Moon Bay</w:t>
      </w:r>
      <w:r w:rsidR="00370637">
        <w:rPr>
          <w:rFonts w:ascii="Century Schoolbook" w:hAnsi="Century Schoolbook"/>
        </w:rPr>
        <w:t xml:space="preserve">, </w:t>
      </w:r>
      <w:r>
        <w:rPr>
          <w:rFonts w:ascii="Century Schoolbook" w:hAnsi="Century Schoolbook"/>
          <w:i/>
          <w:iCs/>
        </w:rPr>
        <w:t>supra</w:t>
      </w:r>
      <w:r>
        <w:rPr>
          <w:rFonts w:ascii="Century Schoolbook" w:hAnsi="Century Schoolbook"/>
        </w:rPr>
        <w:t>, 226 Cal.App.4th</w:t>
      </w:r>
      <w:r>
        <w:rPr>
          <w:rFonts w:ascii="Century Schoolbook" w:hAnsi="Century Schoolbook"/>
          <w:i/>
          <w:iCs/>
        </w:rPr>
        <w:t xml:space="preserve"> </w:t>
      </w:r>
      <w:r w:rsidR="00370637">
        <w:rPr>
          <w:rFonts w:ascii="Century Schoolbook" w:hAnsi="Century Schoolbook"/>
        </w:rPr>
        <w:t>at page 485,</w:t>
      </w:r>
      <w:r w:rsidR="00370637">
        <w:rPr>
          <w:rFonts w:ascii="Century Schoolbook" w:hAnsi="Century Schoolbook"/>
          <w:i/>
          <w:iCs/>
        </w:rPr>
        <w:t xml:space="preserve"> </w:t>
      </w:r>
      <w:r w:rsidR="008C3536">
        <w:rPr>
          <w:rFonts w:ascii="Century Schoolbook" w:hAnsi="Century Schoolbook"/>
        </w:rPr>
        <w:t xml:space="preserve">this Division </w:t>
      </w:r>
      <w:r w:rsidR="00023249">
        <w:rPr>
          <w:rFonts w:ascii="Century Schoolbook" w:hAnsi="Century Schoolbook"/>
        </w:rPr>
        <w:t>cited</w:t>
      </w:r>
      <w:r w:rsidR="00370637">
        <w:rPr>
          <w:rFonts w:ascii="Century Schoolbook" w:hAnsi="Century Schoolbook"/>
        </w:rPr>
        <w:t xml:space="preserve"> with approval the portion of the Assessors’ Handbook </w:t>
      </w:r>
      <w:r>
        <w:rPr>
          <w:rFonts w:ascii="Century Schoolbook" w:hAnsi="Century Schoolbook"/>
        </w:rPr>
        <w:t>that rejected</w:t>
      </w:r>
      <w:r w:rsidR="00370637">
        <w:rPr>
          <w:rFonts w:ascii="Century Schoolbook" w:hAnsi="Century Schoolbook"/>
        </w:rPr>
        <w:t xml:space="preserve"> the deduction of management fees as a method for excluding “ ‘the value attributable to the business enterprise that operates the hotel</w:t>
      </w:r>
      <w:r>
        <w:rPr>
          <w:rFonts w:ascii="Century Schoolbook" w:hAnsi="Century Schoolbook"/>
        </w:rPr>
        <w:t>.</w:t>
      </w:r>
      <w:r w:rsidR="00370637">
        <w:rPr>
          <w:rFonts w:ascii="Century Schoolbook" w:hAnsi="Century Schoolbook"/>
        </w:rPr>
        <w:t xml:space="preserve">’ ” </w:t>
      </w:r>
      <w:r>
        <w:rPr>
          <w:rFonts w:ascii="Century Schoolbook" w:hAnsi="Century Schoolbook"/>
        </w:rPr>
        <w:t xml:space="preserve"> This strongly </w:t>
      </w:r>
      <w:r w:rsidR="00370637">
        <w:rPr>
          <w:rFonts w:ascii="Century Schoolbook" w:hAnsi="Century Schoolbook"/>
        </w:rPr>
        <w:t>suggest</w:t>
      </w:r>
      <w:r>
        <w:rPr>
          <w:rFonts w:ascii="Century Schoolbook" w:hAnsi="Century Schoolbook"/>
        </w:rPr>
        <w:t>s</w:t>
      </w:r>
      <w:r w:rsidR="00370637">
        <w:rPr>
          <w:rFonts w:ascii="Century Schoolbook" w:hAnsi="Century Schoolbook"/>
        </w:rPr>
        <w:t xml:space="preserve"> that </w:t>
      </w:r>
      <w:r w:rsidR="008C3536">
        <w:rPr>
          <w:rFonts w:ascii="Century Schoolbook" w:hAnsi="Century Schoolbook"/>
        </w:rPr>
        <w:t>we</w:t>
      </w:r>
      <w:r w:rsidR="00370637">
        <w:rPr>
          <w:rFonts w:ascii="Century Schoolbook" w:hAnsi="Century Schoolbook"/>
        </w:rPr>
        <w:t xml:space="preserve"> </w:t>
      </w:r>
      <w:r w:rsidR="00E44B0C">
        <w:rPr>
          <w:rFonts w:ascii="Century Schoolbook" w:hAnsi="Century Schoolbook"/>
        </w:rPr>
        <w:t xml:space="preserve">too </w:t>
      </w:r>
      <w:r w:rsidR="00370637">
        <w:rPr>
          <w:rFonts w:ascii="Century Schoolbook" w:hAnsi="Century Schoolbook"/>
        </w:rPr>
        <w:t xml:space="preserve">would have </w:t>
      </w:r>
      <w:r w:rsidR="00637EFD">
        <w:rPr>
          <w:rFonts w:ascii="Century Schoolbook" w:hAnsi="Century Schoolbook"/>
        </w:rPr>
        <w:t xml:space="preserve">rejected </w:t>
      </w:r>
      <w:r w:rsidR="00E44B0C">
        <w:rPr>
          <w:rFonts w:ascii="Century Schoolbook" w:hAnsi="Century Schoolbook"/>
        </w:rPr>
        <w:t xml:space="preserve">in </w:t>
      </w:r>
      <w:r w:rsidR="00E44B0C">
        <w:rPr>
          <w:rFonts w:ascii="Century Schoolbook" w:hAnsi="Century Schoolbook"/>
          <w:i/>
          <w:iCs/>
        </w:rPr>
        <w:t xml:space="preserve">SHC Half Moon Bay </w:t>
      </w:r>
      <w:r w:rsidR="00637EFD">
        <w:rPr>
          <w:rFonts w:ascii="Century Schoolbook" w:hAnsi="Century Schoolbook"/>
        </w:rPr>
        <w:t xml:space="preserve">the method used </w:t>
      </w:r>
      <w:r w:rsidR="00B00604">
        <w:rPr>
          <w:rFonts w:ascii="Century Schoolbook" w:hAnsi="Century Schoolbook"/>
        </w:rPr>
        <w:t xml:space="preserve">here </w:t>
      </w:r>
      <w:r w:rsidR="00637EFD">
        <w:rPr>
          <w:rFonts w:ascii="Century Schoolbook" w:hAnsi="Century Schoolbook"/>
        </w:rPr>
        <w:t xml:space="preserve">to </w:t>
      </w:r>
      <w:r>
        <w:rPr>
          <w:rFonts w:ascii="Century Schoolbook" w:hAnsi="Century Schoolbook"/>
        </w:rPr>
        <w:t>remove</w:t>
      </w:r>
      <w:r w:rsidR="00B00604">
        <w:rPr>
          <w:rFonts w:ascii="Century Schoolbook" w:hAnsi="Century Schoolbook"/>
        </w:rPr>
        <w:t xml:space="preserve"> the </w:t>
      </w:r>
      <w:r w:rsidR="00637EFD">
        <w:rPr>
          <w:rFonts w:ascii="Century Schoolbook" w:hAnsi="Century Schoolbook"/>
        </w:rPr>
        <w:t xml:space="preserve">value </w:t>
      </w:r>
      <w:r w:rsidR="00B00604">
        <w:rPr>
          <w:rFonts w:ascii="Century Schoolbook" w:hAnsi="Century Schoolbook"/>
        </w:rPr>
        <w:t xml:space="preserve">of </w:t>
      </w:r>
      <w:r w:rsidR="00637EFD">
        <w:rPr>
          <w:rFonts w:ascii="Century Schoolbook" w:hAnsi="Century Schoolbook"/>
        </w:rPr>
        <w:t>the management agreement</w:t>
      </w:r>
      <w:r>
        <w:rPr>
          <w:rFonts w:ascii="Century Schoolbook" w:hAnsi="Century Schoolbook"/>
        </w:rPr>
        <w:t xml:space="preserve"> from the assessed value</w:t>
      </w:r>
      <w:r w:rsidR="00370637">
        <w:rPr>
          <w:rFonts w:ascii="Century Schoolbook" w:hAnsi="Century Schoolbook"/>
        </w:rPr>
        <w:t xml:space="preserve">.  </w:t>
      </w:r>
    </w:p>
    <w:p w14:paraId="1CF0DD58" w14:textId="77777777" w:rsidR="00AF4AA6" w:rsidRDefault="00653098" w:rsidP="00A4369E">
      <w:pPr>
        <w:tabs>
          <w:tab w:val="clear" w:pos="720"/>
        </w:tabs>
        <w:spacing w:line="360" w:lineRule="auto"/>
        <w:ind w:firstLine="720"/>
        <w:rPr>
          <w:rFonts w:ascii="Century Schoolbook" w:hAnsi="Century Schoolbook"/>
        </w:rPr>
      </w:pPr>
      <w:r>
        <w:rPr>
          <w:rFonts w:ascii="Century Schoolbook" w:hAnsi="Century Schoolbook"/>
        </w:rPr>
        <w:t xml:space="preserve">Third, </w:t>
      </w:r>
      <w:r>
        <w:rPr>
          <w:rFonts w:ascii="Century Schoolbook" w:hAnsi="Century Schoolbook"/>
        </w:rPr>
        <w:t xml:space="preserve">section 1610.8 does not compel a contrary conclusion.  That section merely requires that “[t]he applicant for a reduction in an assessment . . . establish the full value of the property by independent evidence.”  </w:t>
      </w:r>
      <w:r w:rsidR="00023249">
        <w:rPr>
          <w:rFonts w:ascii="Century Schoolbook" w:hAnsi="Century Schoolbook"/>
        </w:rPr>
        <w:br/>
      </w:r>
      <w:r>
        <w:rPr>
          <w:rFonts w:ascii="Century Schoolbook" w:hAnsi="Century Schoolbook"/>
        </w:rPr>
        <w:t xml:space="preserve">(§ 1610.8.)  It does not </w:t>
      </w:r>
      <w:r w:rsidR="00FD7F55">
        <w:rPr>
          <w:rFonts w:ascii="Century Schoolbook" w:hAnsi="Century Schoolbook"/>
        </w:rPr>
        <w:t>reliev</w:t>
      </w:r>
      <w:r>
        <w:rPr>
          <w:rFonts w:ascii="Century Schoolbook" w:hAnsi="Century Schoolbook"/>
        </w:rPr>
        <w:t xml:space="preserve">e </w:t>
      </w:r>
      <w:r w:rsidR="00023249">
        <w:rPr>
          <w:rFonts w:ascii="Century Schoolbook" w:hAnsi="Century Schoolbook"/>
        </w:rPr>
        <w:t>the City</w:t>
      </w:r>
      <w:r w:rsidR="00E5285E">
        <w:rPr>
          <w:rFonts w:ascii="Century Schoolbook" w:hAnsi="Century Schoolbook"/>
        </w:rPr>
        <w:t xml:space="preserve"> of </w:t>
      </w:r>
      <w:r w:rsidR="00023249">
        <w:rPr>
          <w:rFonts w:ascii="Century Schoolbook" w:hAnsi="Century Schoolbook"/>
        </w:rPr>
        <w:t>its</w:t>
      </w:r>
      <w:r>
        <w:rPr>
          <w:rFonts w:ascii="Century Schoolbook" w:hAnsi="Century Schoolbook"/>
        </w:rPr>
        <w:t xml:space="preserve"> duty</w:t>
      </w:r>
      <w:r w:rsidR="00E5285E">
        <w:rPr>
          <w:rFonts w:ascii="Century Schoolbook" w:hAnsi="Century Schoolbook"/>
        </w:rPr>
        <w:t xml:space="preserve">, in assessing </w:t>
      </w:r>
      <w:r w:rsidR="00023249">
        <w:rPr>
          <w:rFonts w:ascii="Century Schoolbook" w:hAnsi="Century Schoolbook"/>
        </w:rPr>
        <w:t>the hotel</w:t>
      </w:r>
      <w:r w:rsidR="00E5285E">
        <w:rPr>
          <w:rFonts w:ascii="Century Schoolbook" w:hAnsi="Century Schoolbook"/>
        </w:rPr>
        <w:t>,</w:t>
      </w:r>
      <w:r>
        <w:rPr>
          <w:rFonts w:ascii="Century Schoolbook" w:hAnsi="Century Schoolbook"/>
        </w:rPr>
        <w:t xml:space="preserve"> “to value intangible assets and actively remove that value from </w:t>
      </w:r>
      <w:r w:rsidR="00023249">
        <w:rPr>
          <w:rFonts w:ascii="Century Schoolbook" w:hAnsi="Century Schoolbook"/>
        </w:rPr>
        <w:t>[the hotel’s]</w:t>
      </w:r>
      <w:r>
        <w:rPr>
          <w:rFonts w:ascii="Century Schoolbook" w:hAnsi="Century Schoolbook"/>
        </w:rPr>
        <w:t xml:space="preserve"> taxable base value, so that the intangibles are not directly taxed.”  (</w:t>
      </w:r>
      <w:r>
        <w:rPr>
          <w:rFonts w:ascii="Century Schoolbook" w:hAnsi="Century Schoolbook"/>
          <w:i/>
          <w:iCs/>
        </w:rPr>
        <w:t>Elk Hills</w:t>
      </w:r>
      <w:r>
        <w:rPr>
          <w:rFonts w:ascii="Century Schoolbook" w:hAnsi="Century Schoolbook"/>
        </w:rPr>
        <w:t xml:space="preserve">, </w:t>
      </w:r>
      <w:r>
        <w:rPr>
          <w:rFonts w:ascii="Century Schoolbook" w:hAnsi="Century Schoolbook"/>
          <w:i/>
          <w:iCs/>
        </w:rPr>
        <w:t>supra</w:t>
      </w:r>
      <w:r>
        <w:rPr>
          <w:rFonts w:ascii="Century Schoolbook" w:hAnsi="Century Schoolbook"/>
        </w:rPr>
        <w:t>, 57 Cal.</w:t>
      </w:r>
      <w:r w:rsidR="00E5285E">
        <w:rPr>
          <w:rFonts w:ascii="Century Schoolbook" w:hAnsi="Century Schoolbook"/>
        </w:rPr>
        <w:t>4th</w:t>
      </w:r>
      <w:r>
        <w:rPr>
          <w:rFonts w:ascii="Century Schoolbook" w:hAnsi="Century Schoolbook"/>
        </w:rPr>
        <w:t xml:space="preserve"> at p. 608.)</w:t>
      </w:r>
    </w:p>
    <w:p w14:paraId="1CF0DD59" w14:textId="77777777" w:rsidR="003A1FB6" w:rsidRDefault="00653098" w:rsidP="00A4369E">
      <w:pPr>
        <w:tabs>
          <w:tab w:val="clear" w:pos="720"/>
        </w:tabs>
        <w:spacing w:line="360" w:lineRule="auto"/>
        <w:ind w:firstLine="720"/>
        <w:rPr>
          <w:rFonts w:ascii="Century Schoolbook" w:hAnsi="Century Schoolbook"/>
        </w:rPr>
      </w:pPr>
      <w:r>
        <w:rPr>
          <w:rFonts w:ascii="Century Schoolbook" w:hAnsi="Century Schoolbook"/>
        </w:rPr>
        <w:t xml:space="preserve">Fourth, </w:t>
      </w:r>
      <w:r>
        <w:rPr>
          <w:rFonts w:ascii="Century Schoolbook" w:hAnsi="Century Schoolbook"/>
          <w:i/>
          <w:iCs/>
        </w:rPr>
        <w:t xml:space="preserve">SSL Landlord, LLC v. </w:t>
      </w:r>
      <w:r>
        <w:rPr>
          <w:rFonts w:ascii="Century Schoolbook" w:hAnsi="Century Schoolbook"/>
          <w:i/>
          <w:iCs/>
        </w:rPr>
        <w:t xml:space="preserve">County of San Mateo </w:t>
      </w:r>
      <w:r>
        <w:rPr>
          <w:rFonts w:ascii="Century Schoolbook" w:hAnsi="Century Schoolbook"/>
        </w:rPr>
        <w:t xml:space="preserve">(2019) 35 Cal.App.5th 262 is inapposite. </w:t>
      </w:r>
      <w:r w:rsidR="00B00604">
        <w:rPr>
          <w:rFonts w:ascii="Century Schoolbook" w:hAnsi="Century Schoolbook"/>
        </w:rPr>
        <w:t xml:space="preserve"> </w:t>
      </w:r>
      <w:r>
        <w:rPr>
          <w:rFonts w:ascii="Century Schoolbook" w:hAnsi="Century Schoolbook"/>
        </w:rPr>
        <w:t xml:space="preserve">In </w:t>
      </w:r>
      <w:r w:rsidR="00950E13">
        <w:rPr>
          <w:rFonts w:ascii="Century Schoolbook" w:hAnsi="Century Schoolbook"/>
        </w:rPr>
        <w:t>that case</w:t>
      </w:r>
      <w:r>
        <w:rPr>
          <w:rFonts w:ascii="Century Schoolbook" w:hAnsi="Century Schoolbook"/>
        </w:rPr>
        <w:t xml:space="preserve">, </w:t>
      </w:r>
      <w:r w:rsidR="00677F07">
        <w:rPr>
          <w:rFonts w:ascii="Century Schoolbook" w:hAnsi="Century Schoolbook"/>
        </w:rPr>
        <w:t xml:space="preserve">the taxpayer </w:t>
      </w:r>
      <w:r w:rsidR="00FD7F55">
        <w:rPr>
          <w:rFonts w:ascii="Century Schoolbook" w:hAnsi="Century Schoolbook"/>
        </w:rPr>
        <w:t xml:space="preserve">did not </w:t>
      </w:r>
      <w:r w:rsidR="00677F07">
        <w:rPr>
          <w:rFonts w:ascii="Century Schoolbook" w:hAnsi="Century Schoolbook"/>
        </w:rPr>
        <w:t>“present</w:t>
      </w:r>
      <w:r w:rsidR="00FD7F55">
        <w:rPr>
          <w:rFonts w:ascii="Century Schoolbook" w:hAnsi="Century Schoolbook"/>
        </w:rPr>
        <w:t>[]</w:t>
      </w:r>
      <w:r w:rsidR="00677F07">
        <w:rPr>
          <w:rFonts w:ascii="Century Schoolbook" w:hAnsi="Century Schoolbook"/>
        </w:rPr>
        <w:t xml:space="preserve"> ‘an intangibles case’ ” and did not </w:t>
      </w:r>
      <w:r w:rsidR="00950E13">
        <w:rPr>
          <w:rFonts w:ascii="Century Schoolbook" w:hAnsi="Century Schoolbook"/>
        </w:rPr>
        <w:t xml:space="preserve">produce </w:t>
      </w:r>
      <w:r w:rsidR="00023249">
        <w:rPr>
          <w:rFonts w:ascii="Century Schoolbook" w:hAnsi="Century Schoolbook"/>
        </w:rPr>
        <w:t xml:space="preserve">any </w:t>
      </w:r>
      <w:r w:rsidR="00950E13">
        <w:rPr>
          <w:rFonts w:ascii="Century Schoolbook" w:hAnsi="Century Schoolbook"/>
        </w:rPr>
        <w:t>“evidence of quantified values of intangible assets.”  (</w:t>
      </w:r>
      <w:r w:rsidR="00E44B0C">
        <w:rPr>
          <w:rFonts w:ascii="Century Schoolbook" w:hAnsi="Century Schoolbook"/>
          <w:i/>
          <w:iCs/>
        </w:rPr>
        <w:t>Id.</w:t>
      </w:r>
      <w:r w:rsidR="00950E13">
        <w:rPr>
          <w:rFonts w:ascii="Century Schoolbook" w:hAnsi="Century Schoolbook"/>
        </w:rPr>
        <w:t xml:space="preserve"> at p. 265.)  </w:t>
      </w:r>
      <w:r w:rsidR="00847594">
        <w:rPr>
          <w:rFonts w:ascii="Century Schoolbook" w:hAnsi="Century Schoolbook"/>
        </w:rPr>
        <w:t xml:space="preserve">Thus, the Court of Appeal held that “the Board properly found that [the taxpayer] had failed to meet its burden of </w:t>
      </w:r>
      <w:r w:rsidR="00847594">
        <w:rPr>
          <w:rFonts w:ascii="Century Schoolbook" w:hAnsi="Century Schoolbook"/>
        </w:rPr>
        <w:lastRenderedPageBreak/>
        <w:t>producing credible evidence of the quantified values of identified intangible assets that were impermissibly subsumed in the assessment value.”  (</w:t>
      </w:r>
      <w:r w:rsidR="00847594">
        <w:rPr>
          <w:rFonts w:ascii="Century Schoolbook" w:hAnsi="Century Schoolbook"/>
          <w:i/>
          <w:iCs/>
        </w:rPr>
        <w:t>Id.</w:t>
      </w:r>
      <w:r w:rsidR="00847594">
        <w:rPr>
          <w:rFonts w:ascii="Century Schoolbook" w:hAnsi="Century Schoolbook"/>
        </w:rPr>
        <w:t xml:space="preserve"> at </w:t>
      </w:r>
    </w:p>
    <w:p w14:paraId="1CF0DD5A" w14:textId="77777777" w:rsidR="00E5285E" w:rsidRPr="00847594" w:rsidRDefault="00653098" w:rsidP="003A1FB6">
      <w:pPr>
        <w:tabs>
          <w:tab w:val="clear" w:pos="720"/>
        </w:tabs>
        <w:spacing w:line="360" w:lineRule="auto"/>
        <w:rPr>
          <w:rFonts w:ascii="Century Schoolbook" w:hAnsi="Century Schoolbook"/>
        </w:rPr>
      </w:pPr>
      <w:r>
        <w:rPr>
          <w:rFonts w:ascii="Century Schoolbook" w:hAnsi="Century Schoolbook"/>
        </w:rPr>
        <w:t>p. 271.)  By c</w:t>
      </w:r>
      <w:r>
        <w:rPr>
          <w:rFonts w:ascii="Century Schoolbook" w:hAnsi="Century Schoolbook"/>
        </w:rPr>
        <w:t xml:space="preserve">ontrast, the Strategic Plaintiffs did present an “intangibles case” and </w:t>
      </w:r>
      <w:r w:rsidR="00B00604">
        <w:rPr>
          <w:rFonts w:ascii="Century Schoolbook" w:hAnsi="Century Schoolbook"/>
        </w:rPr>
        <w:t xml:space="preserve">did </w:t>
      </w:r>
      <w:r>
        <w:rPr>
          <w:rFonts w:ascii="Century Schoolbook" w:hAnsi="Century Schoolbook"/>
        </w:rPr>
        <w:t xml:space="preserve">produce evidence of quantified values of intangible assets allegedly subsumed within the assessed value of the hotel. </w:t>
      </w:r>
    </w:p>
    <w:p w14:paraId="1CF0DD5B" w14:textId="77777777" w:rsidR="00126397" w:rsidRDefault="00653098" w:rsidP="00A4369E">
      <w:pPr>
        <w:tabs>
          <w:tab w:val="clear" w:pos="720"/>
        </w:tabs>
        <w:spacing w:line="360" w:lineRule="auto"/>
        <w:ind w:firstLine="720"/>
        <w:rPr>
          <w:rFonts w:ascii="Century Schoolbook" w:hAnsi="Century Schoolbook"/>
        </w:rPr>
      </w:pPr>
      <w:r>
        <w:rPr>
          <w:rFonts w:ascii="Century Schoolbook" w:hAnsi="Century Schoolbook"/>
        </w:rPr>
        <w:t xml:space="preserve">Fifth, </w:t>
      </w:r>
      <w:r w:rsidR="00023249">
        <w:rPr>
          <w:rFonts w:ascii="Century Schoolbook" w:hAnsi="Century Schoolbook"/>
        </w:rPr>
        <w:t>the City</w:t>
      </w:r>
      <w:r w:rsidR="00962639">
        <w:rPr>
          <w:rFonts w:ascii="Century Schoolbook" w:hAnsi="Century Schoolbook"/>
        </w:rPr>
        <w:t xml:space="preserve">’s reliance on rule 8 is misplaced.  </w:t>
      </w:r>
      <w:r w:rsidR="00A4369E">
        <w:rPr>
          <w:rFonts w:ascii="Century Schoolbook" w:hAnsi="Century Schoolbook"/>
        </w:rPr>
        <w:t xml:space="preserve">Nothing in that rule suggests that “market-rate agreements for reasonably prudent management do not require an additional adjustment beyond the deduction of the management fee.”  </w:t>
      </w:r>
      <w:r w:rsidR="006642FE">
        <w:rPr>
          <w:rFonts w:ascii="Century Schoolbook" w:hAnsi="Century Schoolbook"/>
        </w:rPr>
        <w:t>To the contrary</w:t>
      </w:r>
      <w:r w:rsidR="00637EFD">
        <w:rPr>
          <w:rFonts w:ascii="Century Schoolbook" w:hAnsi="Century Schoolbook"/>
        </w:rPr>
        <w:t xml:space="preserve">, no reasonable owner </w:t>
      </w:r>
      <w:r w:rsidR="00B00604">
        <w:rPr>
          <w:rFonts w:ascii="Century Schoolbook" w:hAnsi="Century Schoolbook"/>
        </w:rPr>
        <w:t xml:space="preserve">of a hotel </w:t>
      </w:r>
      <w:r w:rsidR="00637EFD">
        <w:rPr>
          <w:rFonts w:ascii="Century Schoolbook" w:hAnsi="Century Schoolbook"/>
        </w:rPr>
        <w:t xml:space="preserve">would enter into a market-rate management agreement </w:t>
      </w:r>
      <w:r w:rsidR="00FD7F55">
        <w:rPr>
          <w:rFonts w:ascii="Century Schoolbook" w:hAnsi="Century Schoolbook"/>
        </w:rPr>
        <w:t xml:space="preserve">with reasonably prudent management </w:t>
      </w:r>
      <w:r w:rsidR="00637EFD">
        <w:rPr>
          <w:rFonts w:ascii="Century Schoolbook" w:hAnsi="Century Schoolbook"/>
        </w:rPr>
        <w:t xml:space="preserve">unless that owner expected the agreement </w:t>
      </w:r>
      <w:r w:rsidR="00B00604">
        <w:rPr>
          <w:rFonts w:ascii="Century Schoolbook" w:hAnsi="Century Schoolbook"/>
        </w:rPr>
        <w:t xml:space="preserve">to generate more income than </w:t>
      </w:r>
      <w:r w:rsidR="00637EFD">
        <w:rPr>
          <w:rFonts w:ascii="Century Schoolbook" w:hAnsi="Century Schoolbook"/>
        </w:rPr>
        <w:t xml:space="preserve">fees.  (See </w:t>
      </w:r>
      <w:r w:rsidR="00637EFD">
        <w:rPr>
          <w:rFonts w:ascii="Century Schoolbook" w:hAnsi="Century Schoolbook"/>
          <w:i/>
          <w:iCs/>
        </w:rPr>
        <w:t>Olympic</w:t>
      </w:r>
      <w:r w:rsidR="00637EFD">
        <w:rPr>
          <w:rFonts w:ascii="Century Schoolbook" w:hAnsi="Century Schoolbook"/>
        </w:rPr>
        <w:t xml:space="preserve">, </w:t>
      </w:r>
      <w:r w:rsidR="00637EFD">
        <w:rPr>
          <w:rFonts w:ascii="Century Schoolbook" w:hAnsi="Century Schoolbook"/>
          <w:i/>
          <w:iCs/>
        </w:rPr>
        <w:t>supra</w:t>
      </w:r>
      <w:r w:rsidR="00637EFD">
        <w:rPr>
          <w:rFonts w:ascii="Century Schoolbook" w:hAnsi="Century Schoolbook"/>
        </w:rPr>
        <w:t xml:space="preserve">, </w:t>
      </w:r>
      <w:r w:rsidR="00EE7CF9" w:rsidRPr="00830793">
        <w:rPr>
          <w:rFonts w:ascii="Century Schoolbook" w:hAnsi="Century Schoolbook"/>
        </w:rPr>
        <w:t>90 Cal.App.5th at p. 112</w:t>
      </w:r>
      <w:r w:rsidR="00637EFD" w:rsidRPr="00830793">
        <w:rPr>
          <w:rFonts w:ascii="Century Schoolbook" w:hAnsi="Century Schoolbook"/>
        </w:rPr>
        <w:t>;</w:t>
      </w:r>
      <w:r w:rsidR="00637EFD">
        <w:rPr>
          <w:rFonts w:ascii="Century Schoolbook" w:hAnsi="Century Schoolbook"/>
        </w:rPr>
        <w:t xml:space="preserve"> </w:t>
      </w:r>
      <w:r w:rsidR="00AE6435">
        <w:rPr>
          <w:rFonts w:ascii="Century Schoolbook" w:hAnsi="Century Schoolbook"/>
        </w:rPr>
        <w:t>Advanced Appraisal</w:t>
      </w:r>
      <w:r w:rsidR="00E71502">
        <w:rPr>
          <w:rFonts w:ascii="Century Schoolbook" w:hAnsi="Century Schoolbook"/>
        </w:rPr>
        <w:t>,</w:t>
      </w:r>
      <w:r w:rsidR="00637EFD">
        <w:rPr>
          <w:rFonts w:ascii="Century Schoolbook" w:hAnsi="Century Schoolbook"/>
        </w:rPr>
        <w:t xml:space="preserve"> </w:t>
      </w:r>
      <w:r w:rsidR="00637EFD">
        <w:rPr>
          <w:rFonts w:ascii="Century Schoolbook" w:hAnsi="Century Schoolbook"/>
          <w:i/>
          <w:iCs/>
        </w:rPr>
        <w:t>supra</w:t>
      </w:r>
      <w:r w:rsidR="00637EFD">
        <w:rPr>
          <w:rFonts w:ascii="Century Schoolbook" w:hAnsi="Century Schoolbook"/>
        </w:rPr>
        <w:t xml:space="preserve">, at p. 162.)  </w:t>
      </w:r>
    </w:p>
    <w:p w14:paraId="1CF0DD5C" w14:textId="77777777" w:rsidR="00126397" w:rsidRPr="00D75D25" w:rsidRDefault="00653098" w:rsidP="00A4369E">
      <w:pPr>
        <w:tabs>
          <w:tab w:val="clear" w:pos="720"/>
        </w:tabs>
        <w:spacing w:line="360" w:lineRule="auto"/>
        <w:ind w:firstLine="720"/>
        <w:rPr>
          <w:rFonts w:ascii="Century Schoolbook" w:hAnsi="Century Schoolbook"/>
        </w:rPr>
      </w:pPr>
      <w:r>
        <w:rPr>
          <w:rFonts w:ascii="Century Schoolbook" w:hAnsi="Century Schoolbook"/>
        </w:rPr>
        <w:t xml:space="preserve">Finally, the Board’s increase of </w:t>
      </w:r>
      <w:r>
        <w:rPr>
          <w:rFonts w:ascii="Century Schoolbook" w:hAnsi="Century Schoolbook"/>
        </w:rPr>
        <w:t xml:space="preserve">the capitalization rate from </w:t>
      </w:r>
      <w:r w:rsidR="005B4234">
        <w:rPr>
          <w:rFonts w:ascii="Century Schoolbook" w:hAnsi="Century Schoolbook"/>
        </w:rPr>
        <w:t>five</w:t>
      </w:r>
      <w:r w:rsidR="00B00604">
        <w:rPr>
          <w:rFonts w:ascii="Century Schoolbook" w:hAnsi="Century Schoolbook"/>
        </w:rPr>
        <w:t xml:space="preserve"> percent</w:t>
      </w:r>
      <w:r>
        <w:rPr>
          <w:rFonts w:ascii="Century Schoolbook" w:hAnsi="Century Schoolbook"/>
        </w:rPr>
        <w:t xml:space="preserve"> to 5.25</w:t>
      </w:r>
      <w:r w:rsidR="00B00604">
        <w:rPr>
          <w:rFonts w:ascii="Century Schoolbook" w:hAnsi="Century Schoolbook"/>
        </w:rPr>
        <w:t xml:space="preserve"> percent</w:t>
      </w:r>
      <w:r>
        <w:rPr>
          <w:rFonts w:ascii="Century Schoolbook" w:hAnsi="Century Schoolbook"/>
        </w:rPr>
        <w:t xml:space="preserve"> does not </w:t>
      </w:r>
      <w:r w:rsidR="00A96DEE">
        <w:rPr>
          <w:rFonts w:ascii="Century Schoolbook" w:hAnsi="Century Schoolbook"/>
        </w:rPr>
        <w:t>make up for</w:t>
      </w:r>
      <w:r w:rsidR="00B00604">
        <w:rPr>
          <w:rFonts w:ascii="Century Schoolbook" w:hAnsi="Century Schoolbook"/>
        </w:rPr>
        <w:t xml:space="preserve"> its </w:t>
      </w:r>
      <w:r w:rsidR="00FD7F55">
        <w:rPr>
          <w:rFonts w:ascii="Century Schoolbook" w:hAnsi="Century Schoolbook"/>
        </w:rPr>
        <w:t xml:space="preserve">use of </w:t>
      </w:r>
      <w:r w:rsidR="00E44B0C">
        <w:rPr>
          <w:rFonts w:ascii="Century Schoolbook" w:hAnsi="Century Schoolbook"/>
        </w:rPr>
        <w:t>a method</w:t>
      </w:r>
      <w:r w:rsidR="00FD7F55">
        <w:rPr>
          <w:rFonts w:ascii="Century Schoolbook" w:hAnsi="Century Schoolbook"/>
        </w:rPr>
        <w:t xml:space="preserve"> that </w:t>
      </w:r>
      <w:r w:rsidR="00E44B0C">
        <w:rPr>
          <w:rFonts w:ascii="Century Schoolbook" w:hAnsi="Century Schoolbook"/>
        </w:rPr>
        <w:t>fails to</w:t>
      </w:r>
      <w:r w:rsidR="00FD7F55">
        <w:rPr>
          <w:rFonts w:ascii="Century Schoolbook" w:hAnsi="Century Schoolbook"/>
        </w:rPr>
        <w:t xml:space="preserve"> account for the return on the management agreement</w:t>
      </w:r>
      <w:r>
        <w:rPr>
          <w:rFonts w:ascii="Century Schoolbook" w:hAnsi="Century Schoolbook"/>
        </w:rPr>
        <w:t xml:space="preserve">.  </w:t>
      </w:r>
      <w:r w:rsidR="000E7912">
        <w:rPr>
          <w:rFonts w:ascii="Century Schoolbook" w:hAnsi="Century Schoolbook"/>
        </w:rPr>
        <w:t>Although the Board claimed that it increased the capitalization rate, in part, “to further account for the value of the intangibles</w:t>
      </w:r>
      <w:r w:rsidR="00CA626F">
        <w:rPr>
          <w:rFonts w:ascii="Century Schoolbook" w:hAnsi="Century Schoolbook"/>
        </w:rPr>
        <w:t>,</w:t>
      </w:r>
      <w:r w:rsidR="000E7912">
        <w:rPr>
          <w:rFonts w:ascii="Century Schoolbook" w:hAnsi="Century Schoolbook"/>
        </w:rPr>
        <w:t xml:space="preserve">” this claim is belied by the </w:t>
      </w:r>
      <w:r w:rsidR="00A96DEE">
        <w:rPr>
          <w:rFonts w:ascii="Century Schoolbook" w:hAnsi="Century Schoolbook"/>
        </w:rPr>
        <w:t xml:space="preserve">record—which </w:t>
      </w:r>
      <w:r w:rsidR="00B179B6">
        <w:rPr>
          <w:rFonts w:ascii="Century Schoolbook" w:hAnsi="Century Schoolbook"/>
        </w:rPr>
        <w:t>suggests</w:t>
      </w:r>
      <w:r w:rsidR="00B00604">
        <w:rPr>
          <w:rFonts w:ascii="Century Schoolbook" w:hAnsi="Century Schoolbook"/>
        </w:rPr>
        <w:t xml:space="preserve"> that the quarter-point increase solely accounted for “risk</w:t>
      </w:r>
      <w:r w:rsidR="00E44B0C">
        <w:rPr>
          <w:rFonts w:ascii="Century Schoolbook" w:hAnsi="Century Schoolbook"/>
        </w:rPr>
        <w:t>.</w:t>
      </w:r>
      <w:r w:rsidR="00B00604">
        <w:rPr>
          <w:rFonts w:ascii="Century Schoolbook" w:hAnsi="Century Schoolbook"/>
        </w:rPr>
        <w:t>”</w:t>
      </w:r>
      <w:r w:rsidR="000E7912">
        <w:rPr>
          <w:rFonts w:ascii="Century Schoolbook" w:hAnsi="Century Schoolbook"/>
        </w:rPr>
        <w:t xml:space="preserve">  </w:t>
      </w:r>
      <w:r w:rsidR="00C11B2F">
        <w:rPr>
          <w:rFonts w:ascii="Century Schoolbook" w:hAnsi="Century Schoolbook"/>
        </w:rPr>
        <w:t xml:space="preserve">More </w:t>
      </w:r>
      <w:r w:rsidR="00E44B0C">
        <w:rPr>
          <w:rFonts w:ascii="Century Schoolbook" w:hAnsi="Century Schoolbook"/>
        </w:rPr>
        <w:t>notab</w:t>
      </w:r>
      <w:r w:rsidR="00C11B2F">
        <w:rPr>
          <w:rFonts w:ascii="Century Schoolbook" w:hAnsi="Century Schoolbook"/>
        </w:rPr>
        <w:t xml:space="preserve">ly, there is nothing in the record </w:t>
      </w:r>
      <w:r w:rsidR="00B179B6">
        <w:rPr>
          <w:rFonts w:ascii="Century Schoolbook" w:hAnsi="Century Schoolbook"/>
        </w:rPr>
        <w:t xml:space="preserve">indicating </w:t>
      </w:r>
      <w:r w:rsidR="00C11B2F">
        <w:rPr>
          <w:rFonts w:ascii="Century Schoolbook" w:hAnsi="Century Schoolbook"/>
        </w:rPr>
        <w:t xml:space="preserve">that </w:t>
      </w:r>
      <w:r w:rsidR="005B4234">
        <w:rPr>
          <w:rFonts w:ascii="Century Schoolbook" w:hAnsi="Century Schoolbook"/>
        </w:rPr>
        <w:t xml:space="preserve">the quarter-point increase </w:t>
      </w:r>
      <w:r w:rsidR="00C11B2F">
        <w:rPr>
          <w:rFonts w:ascii="Century Schoolbook" w:hAnsi="Century Schoolbook"/>
        </w:rPr>
        <w:t xml:space="preserve">captured the full value of the management agreement or that the capitalization rate may be used to remove the value of a </w:t>
      </w:r>
      <w:r w:rsidR="00C11B2F">
        <w:rPr>
          <w:rFonts w:ascii="Century Schoolbook" w:hAnsi="Century Schoolbook"/>
          <w:i/>
          <w:iCs/>
        </w:rPr>
        <w:t>particular</w:t>
      </w:r>
      <w:r w:rsidR="00C11B2F">
        <w:rPr>
          <w:rFonts w:ascii="Century Schoolbook" w:hAnsi="Century Schoolbook"/>
        </w:rPr>
        <w:t xml:space="preserve"> nontaxable, intangible asset from the assessed value of a property.  </w:t>
      </w:r>
      <w:r w:rsidR="000E7912">
        <w:rPr>
          <w:rFonts w:ascii="Century Schoolbook" w:hAnsi="Century Schoolbook"/>
        </w:rPr>
        <w:t>(See Cal. Code Regs, tit. 18, § 313, subd. (e) [“The Board may act</w:t>
      </w:r>
      <w:r w:rsidR="00F80D23">
        <w:rPr>
          <w:rFonts w:ascii="Century Schoolbook" w:hAnsi="Century Schoolbook"/>
        </w:rPr>
        <w:t xml:space="preserve"> only</w:t>
      </w:r>
      <w:r w:rsidR="000E7912">
        <w:rPr>
          <w:rFonts w:ascii="Century Schoolbook" w:hAnsi="Century Schoolbook"/>
        </w:rPr>
        <w:t xml:space="preserve"> upon the basis of proper evidence admitted into the record”].)  </w:t>
      </w:r>
      <w:r w:rsidR="00D75D25">
        <w:rPr>
          <w:rFonts w:ascii="Century Schoolbook" w:hAnsi="Century Schoolbook"/>
        </w:rPr>
        <w:t xml:space="preserve">Indeed, the Assessors’ Handbook appears to foreclose </w:t>
      </w:r>
      <w:r w:rsidR="00C11B2F">
        <w:rPr>
          <w:rFonts w:ascii="Century Schoolbook" w:hAnsi="Century Schoolbook"/>
        </w:rPr>
        <w:t>such a</w:t>
      </w:r>
      <w:r w:rsidR="00D75D25">
        <w:rPr>
          <w:rFonts w:ascii="Century Schoolbook" w:hAnsi="Century Schoolbook"/>
        </w:rPr>
        <w:t xml:space="preserve"> use of the capitalization </w:t>
      </w:r>
      <w:r w:rsidR="00C11B2F">
        <w:rPr>
          <w:rFonts w:ascii="Century Schoolbook" w:hAnsi="Century Schoolbook"/>
        </w:rPr>
        <w:t>rate when it</w:t>
      </w:r>
      <w:r w:rsidR="00D75D25">
        <w:rPr>
          <w:rFonts w:ascii="Century Schoolbook" w:hAnsi="Century Schoolbook"/>
        </w:rPr>
        <w:t xml:space="preserve"> states that, under the income approach, the value of a </w:t>
      </w:r>
      <w:r w:rsidR="00C11B2F">
        <w:rPr>
          <w:rFonts w:ascii="Century Schoolbook" w:hAnsi="Century Schoolbook"/>
        </w:rPr>
        <w:t xml:space="preserve">particular </w:t>
      </w:r>
      <w:r w:rsidR="00D75D25">
        <w:rPr>
          <w:rFonts w:ascii="Century Schoolbook" w:hAnsi="Century Schoolbook"/>
        </w:rPr>
        <w:t xml:space="preserve">nontaxable, intangible </w:t>
      </w:r>
      <w:r w:rsidR="00D75D25">
        <w:rPr>
          <w:rFonts w:ascii="Century Schoolbook" w:hAnsi="Century Schoolbook"/>
        </w:rPr>
        <w:lastRenderedPageBreak/>
        <w:t xml:space="preserve">asset should be removed </w:t>
      </w:r>
      <w:r w:rsidR="00D75D25" w:rsidRPr="005B4234">
        <w:rPr>
          <w:rFonts w:ascii="Century Schoolbook" w:hAnsi="Century Schoolbook"/>
        </w:rPr>
        <w:t>either</w:t>
      </w:r>
      <w:r w:rsidR="00D75D25">
        <w:rPr>
          <w:rFonts w:ascii="Century Schoolbook" w:hAnsi="Century Schoolbook"/>
        </w:rPr>
        <w:t xml:space="preserve"> by deducting the income attributed to that asset from the </w:t>
      </w:r>
      <w:r w:rsidR="00C11B2F">
        <w:rPr>
          <w:rFonts w:ascii="Century Schoolbook" w:hAnsi="Century Schoolbook"/>
        </w:rPr>
        <w:t>net operating income</w:t>
      </w:r>
      <w:r w:rsidR="00D75D25">
        <w:rPr>
          <w:rFonts w:ascii="Century Schoolbook" w:hAnsi="Century Schoolbook"/>
        </w:rPr>
        <w:t xml:space="preserve"> </w:t>
      </w:r>
      <w:r w:rsidR="00D75D25" w:rsidRPr="00D75D25">
        <w:rPr>
          <w:rFonts w:ascii="Century Schoolbook" w:hAnsi="Century Schoolbook"/>
          <w:i/>
          <w:iCs/>
        </w:rPr>
        <w:t>before</w:t>
      </w:r>
      <w:r w:rsidR="00D75D25">
        <w:rPr>
          <w:rFonts w:ascii="Century Schoolbook" w:hAnsi="Century Schoolbook"/>
        </w:rPr>
        <w:t xml:space="preserve"> application of the capitalization rate or by deducting the value of the asset </w:t>
      </w:r>
      <w:r w:rsidR="00D75D25">
        <w:rPr>
          <w:rFonts w:ascii="Century Schoolbook" w:hAnsi="Century Schoolbook"/>
          <w:i/>
          <w:iCs/>
        </w:rPr>
        <w:t xml:space="preserve">after </w:t>
      </w:r>
      <w:r w:rsidR="00D75D25">
        <w:rPr>
          <w:rFonts w:ascii="Century Schoolbook" w:hAnsi="Century Schoolbook"/>
        </w:rPr>
        <w:t xml:space="preserve">the application of the capitalization rate.  (See </w:t>
      </w:r>
      <w:r w:rsidR="00AE6435">
        <w:rPr>
          <w:rFonts w:ascii="Century Schoolbook" w:hAnsi="Century Schoolbook"/>
        </w:rPr>
        <w:t>Advanced Appraisal</w:t>
      </w:r>
      <w:r w:rsidR="00D75D25">
        <w:rPr>
          <w:rFonts w:ascii="Century Schoolbook" w:hAnsi="Century Schoolbook"/>
        </w:rPr>
        <w:t xml:space="preserve">, </w:t>
      </w:r>
      <w:r w:rsidR="00D75D25">
        <w:rPr>
          <w:rFonts w:ascii="Century Schoolbook" w:hAnsi="Century Schoolbook"/>
          <w:i/>
          <w:iCs/>
        </w:rPr>
        <w:t>supra</w:t>
      </w:r>
      <w:r w:rsidR="00D75D25">
        <w:rPr>
          <w:rFonts w:ascii="Century Schoolbook" w:hAnsi="Century Schoolbook"/>
        </w:rPr>
        <w:t>, at p. 163</w:t>
      </w:r>
      <w:r w:rsidR="00AD55C5">
        <w:rPr>
          <w:rFonts w:ascii="Century Schoolbook" w:hAnsi="Century Schoolbook"/>
        </w:rPr>
        <w:t xml:space="preserve">; see also </w:t>
      </w:r>
      <w:r w:rsidR="00AD55C5">
        <w:rPr>
          <w:rFonts w:ascii="Century Schoolbook" w:hAnsi="Century Schoolbook"/>
          <w:i/>
          <w:iCs/>
        </w:rPr>
        <w:t>id.</w:t>
      </w:r>
      <w:r w:rsidR="00AD55C5">
        <w:rPr>
          <w:rFonts w:ascii="Century Schoolbook" w:hAnsi="Century Schoolbook"/>
        </w:rPr>
        <w:t xml:space="preserve"> at p. 165 [“The value of . . . nontaxable assets </w:t>
      </w:r>
      <w:r w:rsidR="00C72790">
        <w:rPr>
          <w:rFonts w:ascii="Century Schoolbook" w:hAnsi="Century Schoolbook"/>
        </w:rPr>
        <w:t>. . . must be removed from the income approach value either (1) by adjusting the income to capitalize or (2) by removing the value of the asset from the capitalized income value”]</w:t>
      </w:r>
      <w:r w:rsidR="00D75D25">
        <w:rPr>
          <w:rFonts w:ascii="Century Schoolbook" w:hAnsi="Century Schoolbook"/>
        </w:rPr>
        <w:t>.)</w:t>
      </w:r>
    </w:p>
    <w:p w14:paraId="1CF0DD5D" w14:textId="77777777" w:rsidR="00370637" w:rsidRPr="00637EFD" w:rsidRDefault="00653098" w:rsidP="00A4369E">
      <w:pPr>
        <w:tabs>
          <w:tab w:val="clear" w:pos="720"/>
        </w:tabs>
        <w:spacing w:line="360" w:lineRule="auto"/>
        <w:ind w:firstLine="720"/>
        <w:rPr>
          <w:rFonts w:ascii="Century Schoolbook" w:hAnsi="Century Schoolbook"/>
        </w:rPr>
      </w:pPr>
      <w:r>
        <w:rPr>
          <w:rFonts w:ascii="Century Schoolbook" w:hAnsi="Century Schoolbook"/>
        </w:rPr>
        <w:t xml:space="preserve">We therefore find that </w:t>
      </w:r>
      <w:r w:rsidR="00C11B2F">
        <w:rPr>
          <w:rFonts w:ascii="Century Schoolbook" w:hAnsi="Century Schoolbook"/>
        </w:rPr>
        <w:t>the method used by the City</w:t>
      </w:r>
      <w:r>
        <w:rPr>
          <w:rFonts w:ascii="Century Schoolbook" w:hAnsi="Century Schoolbook"/>
        </w:rPr>
        <w:t xml:space="preserve"> to remove the value of the management agreement from the assessed value of the hotel</w:t>
      </w:r>
      <w:r w:rsidR="00C11B2F">
        <w:rPr>
          <w:rFonts w:ascii="Century Schoolbook" w:hAnsi="Century Schoolbook"/>
        </w:rPr>
        <w:t xml:space="preserve"> is legally </w:t>
      </w:r>
      <w:r w:rsidR="00E44B0C">
        <w:rPr>
          <w:rFonts w:ascii="Century Schoolbook" w:hAnsi="Century Schoolbook"/>
        </w:rPr>
        <w:t>erroneous</w:t>
      </w:r>
      <w:r>
        <w:rPr>
          <w:rFonts w:ascii="Century Schoolbook" w:hAnsi="Century Schoolbook"/>
        </w:rPr>
        <w:t xml:space="preserve">.  Accordingly, </w:t>
      </w:r>
      <w:r w:rsidR="00C11B2F">
        <w:rPr>
          <w:rFonts w:ascii="Century Schoolbook" w:hAnsi="Century Schoolbook"/>
        </w:rPr>
        <w:t>the City’s assessment</w:t>
      </w:r>
      <w:r w:rsidR="006642FE">
        <w:rPr>
          <w:rFonts w:ascii="Century Schoolbook" w:hAnsi="Century Schoolbook"/>
        </w:rPr>
        <w:t xml:space="preserve"> improperly subsume</w:t>
      </w:r>
      <w:r w:rsidR="00C11B2F">
        <w:rPr>
          <w:rFonts w:ascii="Century Schoolbook" w:hAnsi="Century Schoolbook"/>
        </w:rPr>
        <w:t>d</w:t>
      </w:r>
      <w:r w:rsidR="006642FE">
        <w:rPr>
          <w:rFonts w:ascii="Century Schoolbook" w:hAnsi="Century Schoolbook"/>
        </w:rPr>
        <w:t xml:space="preserve"> at least a portion of the value of th</w:t>
      </w:r>
      <w:r>
        <w:rPr>
          <w:rFonts w:ascii="Century Schoolbook" w:hAnsi="Century Schoolbook"/>
        </w:rPr>
        <w:t>at</w:t>
      </w:r>
      <w:r w:rsidR="006642FE">
        <w:rPr>
          <w:rFonts w:ascii="Century Schoolbook" w:hAnsi="Century Schoolbook"/>
        </w:rPr>
        <w:t xml:space="preserve"> agreement.</w:t>
      </w:r>
      <w:r>
        <w:rPr>
          <w:rStyle w:val="FootnoteReference"/>
          <w:rFonts w:ascii="Century Schoolbook" w:hAnsi="Century Schoolbook"/>
        </w:rPr>
        <w:footnoteReference w:id="8"/>
      </w:r>
    </w:p>
    <w:p w14:paraId="1CF0DD5E" w14:textId="77777777" w:rsidR="00072E8B" w:rsidRDefault="00653098" w:rsidP="00072E8B">
      <w:pPr>
        <w:pStyle w:val="ListParagraph"/>
        <w:numPr>
          <w:ilvl w:val="0"/>
          <w:numId w:val="5"/>
        </w:numPr>
        <w:tabs>
          <w:tab w:val="clear" w:pos="720"/>
        </w:tabs>
        <w:spacing w:line="360" w:lineRule="auto"/>
        <w:rPr>
          <w:rFonts w:ascii="Century Schoolbook" w:hAnsi="Century Schoolbook"/>
          <w:b/>
          <w:bCs/>
        </w:rPr>
      </w:pPr>
      <w:r>
        <w:rPr>
          <w:rFonts w:ascii="Century Schoolbook" w:hAnsi="Century Schoolbook"/>
          <w:b/>
          <w:bCs/>
        </w:rPr>
        <w:t xml:space="preserve">The </w:t>
      </w:r>
      <w:r w:rsidR="00C57269">
        <w:rPr>
          <w:rFonts w:ascii="Century Schoolbook" w:hAnsi="Century Schoolbook"/>
          <w:b/>
          <w:bCs/>
        </w:rPr>
        <w:t>Other Intangible Assets</w:t>
      </w:r>
    </w:p>
    <w:p w14:paraId="1CF0DD5F" w14:textId="77777777" w:rsidR="00C57269" w:rsidRDefault="00653098" w:rsidP="008B7B70">
      <w:pPr>
        <w:tabs>
          <w:tab w:val="clear" w:pos="720"/>
        </w:tabs>
        <w:spacing w:line="360" w:lineRule="auto"/>
        <w:ind w:firstLine="720"/>
        <w:rPr>
          <w:rFonts w:ascii="Century Schoolbook" w:hAnsi="Century Schoolbook"/>
        </w:rPr>
      </w:pPr>
      <w:r>
        <w:rPr>
          <w:rFonts w:ascii="Century Schoolbook" w:hAnsi="Century Schoolbook"/>
        </w:rPr>
        <w:t>T</w:t>
      </w:r>
      <w:r w:rsidR="008B7B70">
        <w:rPr>
          <w:rFonts w:ascii="Century Schoolbook" w:hAnsi="Century Schoolbook"/>
        </w:rPr>
        <w:t xml:space="preserve">he Strategic Plaintiffs </w:t>
      </w:r>
      <w:r>
        <w:rPr>
          <w:rFonts w:ascii="Century Schoolbook" w:hAnsi="Century Schoolbook"/>
        </w:rPr>
        <w:t xml:space="preserve">also </w:t>
      </w:r>
      <w:r w:rsidR="008B7B70">
        <w:rPr>
          <w:rFonts w:ascii="Century Schoolbook" w:hAnsi="Century Schoolbook"/>
        </w:rPr>
        <w:t>contend the assessed value of the hotel improperly subsume</w:t>
      </w:r>
      <w:r w:rsidR="00884A90">
        <w:rPr>
          <w:rFonts w:ascii="Century Schoolbook" w:hAnsi="Century Schoolbook"/>
        </w:rPr>
        <w:t>d</w:t>
      </w:r>
      <w:r w:rsidR="008B7B70">
        <w:rPr>
          <w:rFonts w:ascii="Century Schoolbook" w:hAnsi="Century Schoolbook"/>
        </w:rPr>
        <w:t xml:space="preserve"> the value of three </w:t>
      </w:r>
      <w:r w:rsidR="005B4234">
        <w:rPr>
          <w:rFonts w:ascii="Century Schoolbook" w:hAnsi="Century Schoolbook"/>
        </w:rPr>
        <w:t>other</w:t>
      </w:r>
      <w:r w:rsidR="008B7B70">
        <w:rPr>
          <w:rFonts w:ascii="Century Schoolbook" w:hAnsi="Century Schoolbook"/>
        </w:rPr>
        <w:t xml:space="preserve"> intangible assets:  </w:t>
      </w:r>
      <w:r w:rsidR="00D86C45">
        <w:rPr>
          <w:rFonts w:ascii="Century Schoolbook" w:hAnsi="Century Schoolbook"/>
        </w:rPr>
        <w:br/>
      </w:r>
      <w:r w:rsidR="008B7B70">
        <w:rPr>
          <w:rFonts w:ascii="Century Schoolbook" w:hAnsi="Century Schoolbook"/>
        </w:rPr>
        <w:t xml:space="preserve">(1) cancellation/no show/attrition income; (2) in-room movies; and (3) guest laundry services.  According to Plaintiffs, the net </w:t>
      </w:r>
      <w:r w:rsidR="005B4234">
        <w:rPr>
          <w:rFonts w:ascii="Century Schoolbook" w:hAnsi="Century Schoolbook"/>
        </w:rPr>
        <w:t>income</w:t>
      </w:r>
      <w:r w:rsidR="008B7B70">
        <w:rPr>
          <w:rFonts w:ascii="Century Schoolbook" w:hAnsi="Century Schoolbook"/>
        </w:rPr>
        <w:t xml:space="preserve"> </w:t>
      </w:r>
      <w:r>
        <w:rPr>
          <w:rFonts w:ascii="Century Schoolbook" w:hAnsi="Century Schoolbook"/>
        </w:rPr>
        <w:t>generated by</w:t>
      </w:r>
      <w:r w:rsidR="008B7B70">
        <w:rPr>
          <w:rFonts w:ascii="Century Schoolbook" w:hAnsi="Century Schoolbook"/>
        </w:rPr>
        <w:t xml:space="preserve"> those assets should have been deducted from the </w:t>
      </w:r>
      <w:r w:rsidR="005B4234">
        <w:rPr>
          <w:rFonts w:ascii="Century Schoolbook" w:hAnsi="Century Schoolbook"/>
        </w:rPr>
        <w:t xml:space="preserve">hotel’s </w:t>
      </w:r>
      <w:r w:rsidR="008B7B70">
        <w:rPr>
          <w:rFonts w:ascii="Century Schoolbook" w:hAnsi="Century Schoolbook"/>
        </w:rPr>
        <w:t>net operating income</w:t>
      </w:r>
      <w:r w:rsidR="005B4234">
        <w:rPr>
          <w:rFonts w:ascii="Century Schoolbook" w:hAnsi="Century Schoolbook"/>
        </w:rPr>
        <w:t xml:space="preserve"> under the income approach</w:t>
      </w:r>
      <w:r w:rsidR="008B7B70">
        <w:rPr>
          <w:rFonts w:ascii="Century Schoolbook" w:hAnsi="Century Schoolbook"/>
        </w:rPr>
        <w:t xml:space="preserve">.  </w:t>
      </w:r>
      <w:r w:rsidR="007D519E">
        <w:rPr>
          <w:rFonts w:ascii="Century Schoolbook" w:hAnsi="Century Schoolbook"/>
        </w:rPr>
        <w:t xml:space="preserve">The City counters that </w:t>
      </w:r>
      <w:r>
        <w:rPr>
          <w:rFonts w:ascii="Century Schoolbook" w:hAnsi="Century Schoolbook"/>
        </w:rPr>
        <w:t>these</w:t>
      </w:r>
      <w:r w:rsidR="007D519E">
        <w:rPr>
          <w:rFonts w:ascii="Century Schoolbook" w:hAnsi="Century Schoolbook"/>
        </w:rPr>
        <w:t xml:space="preserve"> deductions were </w:t>
      </w:r>
      <w:r>
        <w:rPr>
          <w:rFonts w:ascii="Century Schoolbook" w:hAnsi="Century Schoolbook"/>
        </w:rPr>
        <w:t xml:space="preserve">not </w:t>
      </w:r>
      <w:r w:rsidR="007D519E">
        <w:rPr>
          <w:rFonts w:ascii="Century Schoolbook" w:hAnsi="Century Schoolbook"/>
        </w:rPr>
        <w:t>necessary because that income is “attributable to the [h]</w:t>
      </w:r>
      <w:proofErr w:type="spellStart"/>
      <w:r w:rsidR="007D519E">
        <w:rPr>
          <w:rFonts w:ascii="Century Schoolbook" w:hAnsi="Century Schoolbook"/>
        </w:rPr>
        <w:t>otel’s</w:t>
      </w:r>
      <w:proofErr w:type="spellEnd"/>
      <w:r w:rsidR="007D519E">
        <w:rPr>
          <w:rFonts w:ascii="Century Schoolbook" w:hAnsi="Century Schoolbook"/>
        </w:rPr>
        <w:t xml:space="preserve"> real property” or </w:t>
      </w:r>
      <w:r w:rsidR="00E44B0C">
        <w:rPr>
          <w:rFonts w:ascii="Century Schoolbook" w:hAnsi="Century Schoolbook"/>
        </w:rPr>
        <w:t xml:space="preserve">because the asset </w:t>
      </w:r>
      <w:r w:rsidR="005B4234">
        <w:rPr>
          <w:rFonts w:ascii="Century Schoolbook" w:hAnsi="Century Schoolbook"/>
        </w:rPr>
        <w:t>does</w:t>
      </w:r>
      <w:r w:rsidR="007D519E">
        <w:rPr>
          <w:rFonts w:ascii="Century Schoolbook" w:hAnsi="Century Schoolbook"/>
        </w:rPr>
        <w:t xml:space="preserve"> not directly contribute to the hotel’s </w:t>
      </w:r>
      <w:r w:rsidR="005B4234">
        <w:rPr>
          <w:rFonts w:ascii="Century Schoolbook" w:hAnsi="Century Schoolbook"/>
        </w:rPr>
        <w:t>income</w:t>
      </w:r>
      <w:r w:rsidR="007D519E">
        <w:rPr>
          <w:rFonts w:ascii="Century Schoolbook" w:hAnsi="Century Schoolbook"/>
        </w:rPr>
        <w:t>.</w:t>
      </w:r>
      <w:r>
        <w:rPr>
          <w:rStyle w:val="FootnoteReference"/>
          <w:rFonts w:ascii="Century Schoolbook" w:hAnsi="Century Schoolbook"/>
        </w:rPr>
        <w:footnoteReference w:id="9"/>
      </w:r>
      <w:r w:rsidR="007D519E">
        <w:rPr>
          <w:rFonts w:ascii="Century Schoolbook" w:hAnsi="Century Schoolbook"/>
        </w:rPr>
        <w:t xml:space="preserve">  We agree with the City that the cancellation/no show/attrition income is a taxable attribute of </w:t>
      </w:r>
      <w:r w:rsidR="005B4234">
        <w:rPr>
          <w:rFonts w:ascii="Century Schoolbook" w:hAnsi="Century Schoolbook"/>
        </w:rPr>
        <w:t xml:space="preserve">the </w:t>
      </w:r>
      <w:r w:rsidR="007D519E">
        <w:rPr>
          <w:rFonts w:ascii="Century Schoolbook" w:hAnsi="Century Schoolbook"/>
        </w:rPr>
        <w:t xml:space="preserve">property.  We, however, agree with the </w:t>
      </w:r>
      <w:r w:rsidR="007D519E">
        <w:rPr>
          <w:rFonts w:ascii="Century Schoolbook" w:hAnsi="Century Schoolbook"/>
        </w:rPr>
        <w:lastRenderedPageBreak/>
        <w:t xml:space="preserve">Strategic Plaintiffs that </w:t>
      </w:r>
      <w:r w:rsidR="00884A90">
        <w:rPr>
          <w:rFonts w:ascii="Century Schoolbook" w:hAnsi="Century Schoolbook"/>
        </w:rPr>
        <w:t xml:space="preserve">at least some of the </w:t>
      </w:r>
      <w:r>
        <w:rPr>
          <w:rFonts w:ascii="Century Schoolbook" w:hAnsi="Century Schoolbook"/>
        </w:rPr>
        <w:t>net</w:t>
      </w:r>
      <w:r w:rsidR="005B4234">
        <w:rPr>
          <w:rFonts w:ascii="Century Schoolbook" w:hAnsi="Century Schoolbook"/>
        </w:rPr>
        <w:t xml:space="preserve"> income </w:t>
      </w:r>
      <w:r w:rsidR="00087BF4">
        <w:rPr>
          <w:rFonts w:ascii="Century Schoolbook" w:hAnsi="Century Schoolbook"/>
        </w:rPr>
        <w:t>from</w:t>
      </w:r>
      <w:r w:rsidR="005B4234">
        <w:rPr>
          <w:rFonts w:ascii="Century Schoolbook" w:hAnsi="Century Schoolbook"/>
        </w:rPr>
        <w:t xml:space="preserve"> </w:t>
      </w:r>
      <w:r w:rsidR="007D519E">
        <w:rPr>
          <w:rFonts w:ascii="Century Schoolbook" w:hAnsi="Century Schoolbook"/>
        </w:rPr>
        <w:t>in-room movies</w:t>
      </w:r>
      <w:r w:rsidR="003544A5">
        <w:rPr>
          <w:rFonts w:ascii="Century Schoolbook" w:hAnsi="Century Schoolbook"/>
        </w:rPr>
        <w:t xml:space="preserve"> and guest laundry services should have been deducted from the </w:t>
      </w:r>
      <w:r w:rsidR="005B4234">
        <w:rPr>
          <w:rFonts w:ascii="Century Schoolbook" w:hAnsi="Century Schoolbook"/>
        </w:rPr>
        <w:t xml:space="preserve">hotel’s </w:t>
      </w:r>
      <w:r w:rsidR="003544A5">
        <w:rPr>
          <w:rFonts w:ascii="Century Schoolbook" w:hAnsi="Century Schoolbook"/>
        </w:rPr>
        <w:t>net operating income.</w:t>
      </w:r>
    </w:p>
    <w:p w14:paraId="1CF0DD60" w14:textId="77777777" w:rsidR="00067FFD" w:rsidRPr="001E47EB" w:rsidRDefault="00653098" w:rsidP="008B7B70">
      <w:pPr>
        <w:tabs>
          <w:tab w:val="clear" w:pos="720"/>
        </w:tabs>
        <w:spacing w:line="360" w:lineRule="auto"/>
        <w:ind w:firstLine="720"/>
        <w:rPr>
          <w:rFonts w:ascii="Century Schoolbook" w:hAnsi="Century Schoolbook"/>
        </w:rPr>
      </w:pPr>
      <w:r>
        <w:rPr>
          <w:rFonts w:ascii="Century Schoolbook" w:hAnsi="Century Schoolbook"/>
        </w:rPr>
        <w:t>“Not all intangible rights must be deducted under an income approach to valuation.”  (</w:t>
      </w:r>
      <w:r>
        <w:rPr>
          <w:rFonts w:ascii="Century Schoolbook" w:hAnsi="Century Schoolbook"/>
          <w:i/>
          <w:iCs/>
        </w:rPr>
        <w:t>DFS Group</w:t>
      </w:r>
      <w:r>
        <w:rPr>
          <w:rFonts w:ascii="Century Schoolbook" w:hAnsi="Century Schoolbook"/>
        </w:rPr>
        <w:t xml:space="preserve">, </w:t>
      </w:r>
      <w:r>
        <w:rPr>
          <w:rFonts w:ascii="Century Schoolbook" w:hAnsi="Century Schoolbook"/>
          <w:i/>
          <w:iCs/>
        </w:rPr>
        <w:t>supra</w:t>
      </w:r>
      <w:r>
        <w:rPr>
          <w:rFonts w:ascii="Century Schoolbook" w:hAnsi="Century Schoolbook"/>
        </w:rPr>
        <w:t>, 31 Cal.App.4th at p. 1075.)</w:t>
      </w:r>
      <w:r w:rsidR="0029162E">
        <w:rPr>
          <w:rFonts w:ascii="Century Schoolbook" w:hAnsi="Century Schoolbook"/>
        </w:rPr>
        <w:t xml:space="preserve">  </w:t>
      </w:r>
      <w:r>
        <w:rPr>
          <w:rFonts w:ascii="Century Schoolbook" w:hAnsi="Century Schoolbook"/>
        </w:rPr>
        <w:t>“Inherent in the ownership of real property are the rights of posses</w:t>
      </w:r>
      <w:r>
        <w:rPr>
          <w:rFonts w:ascii="Century Schoolbook" w:hAnsi="Century Schoolbook"/>
        </w:rPr>
        <w:t>sion and rights to use the property.”  (</w:t>
      </w:r>
      <w:r w:rsidR="00D86C45">
        <w:rPr>
          <w:rFonts w:ascii="Century Schoolbook" w:hAnsi="Century Schoolbook"/>
        </w:rPr>
        <w:t>Advanced Appraisal</w:t>
      </w:r>
      <w:r>
        <w:rPr>
          <w:rFonts w:ascii="Century Schoolbook" w:hAnsi="Century Schoolbook"/>
        </w:rPr>
        <w:t xml:space="preserve">, </w:t>
      </w:r>
      <w:r w:rsidRPr="00067FFD">
        <w:rPr>
          <w:rFonts w:ascii="Century Schoolbook" w:hAnsi="Century Schoolbook"/>
          <w:i/>
          <w:iCs/>
        </w:rPr>
        <w:t>supra</w:t>
      </w:r>
      <w:r>
        <w:rPr>
          <w:rFonts w:ascii="Century Schoolbook" w:hAnsi="Century Schoolbook"/>
        </w:rPr>
        <w:t xml:space="preserve">, at p. 155.)  Consistent with this principle, </w:t>
      </w:r>
      <w:r w:rsidR="0029162E">
        <w:rPr>
          <w:rFonts w:ascii="Century Schoolbook" w:hAnsi="Century Schoolbook"/>
        </w:rPr>
        <w:t>section 110, subdivision (f)</w:t>
      </w:r>
      <w:r>
        <w:rPr>
          <w:rFonts w:ascii="Century Schoolbook" w:hAnsi="Century Schoolbook"/>
        </w:rPr>
        <w:t xml:space="preserve"> provides that</w:t>
      </w:r>
      <w:r w:rsidR="0029162E">
        <w:rPr>
          <w:rFonts w:ascii="Century Schoolbook" w:hAnsi="Century Schoolbook"/>
        </w:rPr>
        <w:t xml:space="preserve"> </w:t>
      </w:r>
      <w:r>
        <w:rPr>
          <w:rFonts w:ascii="Century Schoolbook" w:hAnsi="Century Schoolbook"/>
        </w:rPr>
        <w:t xml:space="preserve">the </w:t>
      </w:r>
      <w:r w:rsidR="0029162E">
        <w:rPr>
          <w:rFonts w:ascii="Century Schoolbook" w:hAnsi="Century Schoolbook"/>
        </w:rPr>
        <w:t>“intangible attributes of real property shall be reflected in the value of the real property.  These intangible attributes of real property include zoning, location, and other attributes that relate directly to the real property involved.”</w:t>
      </w:r>
      <w:r w:rsidR="003807EF">
        <w:rPr>
          <w:rFonts w:ascii="Century Schoolbook" w:hAnsi="Century Schoolbook"/>
        </w:rPr>
        <w:t xml:space="preserve">  The</w:t>
      </w:r>
      <w:r>
        <w:rPr>
          <w:rFonts w:ascii="Century Schoolbook" w:hAnsi="Century Schoolbook"/>
        </w:rPr>
        <w:t xml:space="preserve"> value of these attributes may be included in the taxable value of </w:t>
      </w:r>
      <w:r w:rsidR="006E271C">
        <w:rPr>
          <w:rFonts w:ascii="Century Schoolbook" w:hAnsi="Century Schoolbook"/>
        </w:rPr>
        <w:t xml:space="preserve">real </w:t>
      </w:r>
      <w:r>
        <w:rPr>
          <w:rFonts w:ascii="Century Schoolbook" w:hAnsi="Century Schoolbook"/>
        </w:rPr>
        <w:t>property because they</w:t>
      </w:r>
      <w:r w:rsidR="003807EF">
        <w:rPr>
          <w:rFonts w:ascii="Century Schoolbook" w:hAnsi="Century Schoolbook"/>
        </w:rPr>
        <w:t xml:space="preserve"> “are an integral part of </w:t>
      </w:r>
      <w:r w:rsidR="00E44B0C">
        <w:rPr>
          <w:rFonts w:ascii="Century Schoolbook" w:hAnsi="Century Schoolbook"/>
        </w:rPr>
        <w:t xml:space="preserve">[the property] </w:t>
      </w:r>
      <w:r w:rsidR="003807EF">
        <w:rPr>
          <w:rFonts w:ascii="Century Schoolbook" w:hAnsi="Century Schoolbook"/>
        </w:rPr>
        <w:t>and effectively define it.”  (</w:t>
      </w:r>
      <w:proofErr w:type="spellStart"/>
      <w:r w:rsidR="003807EF">
        <w:rPr>
          <w:rFonts w:ascii="Century Schoolbook" w:hAnsi="Century Schoolbook"/>
          <w:i/>
          <w:iCs/>
        </w:rPr>
        <w:t>Shubat</w:t>
      </w:r>
      <w:proofErr w:type="spellEnd"/>
      <w:r w:rsidR="003807EF">
        <w:rPr>
          <w:rFonts w:ascii="Century Schoolbook" w:hAnsi="Century Schoolbook"/>
          <w:i/>
          <w:iCs/>
        </w:rPr>
        <w:t xml:space="preserve"> v. Sutter County Assessment Appeals Bd. </w:t>
      </w:r>
      <w:r w:rsidR="003807EF">
        <w:rPr>
          <w:rFonts w:ascii="Century Schoolbook" w:hAnsi="Century Schoolbook"/>
        </w:rPr>
        <w:t>(19</w:t>
      </w:r>
      <w:r w:rsidR="00F80D23">
        <w:rPr>
          <w:rFonts w:ascii="Century Schoolbook" w:hAnsi="Century Schoolbook"/>
        </w:rPr>
        <w:t>9</w:t>
      </w:r>
      <w:r w:rsidR="003807EF">
        <w:rPr>
          <w:rFonts w:ascii="Century Schoolbook" w:hAnsi="Century Schoolbook"/>
        </w:rPr>
        <w:t>3) 13 Cal.App.4th 794, 803 (</w:t>
      </w:r>
      <w:proofErr w:type="spellStart"/>
      <w:r w:rsidR="003807EF">
        <w:rPr>
          <w:rFonts w:ascii="Century Schoolbook" w:hAnsi="Century Schoolbook"/>
          <w:i/>
          <w:iCs/>
        </w:rPr>
        <w:t>Shubat</w:t>
      </w:r>
      <w:proofErr w:type="spellEnd"/>
      <w:r w:rsidR="003807EF">
        <w:rPr>
          <w:rFonts w:ascii="Century Schoolbook" w:hAnsi="Century Schoolbook"/>
        </w:rPr>
        <w:t xml:space="preserve">).)  </w:t>
      </w:r>
      <w:r w:rsidR="001E47EB">
        <w:rPr>
          <w:rFonts w:ascii="Century Schoolbook" w:hAnsi="Century Schoolbook"/>
        </w:rPr>
        <w:t xml:space="preserve">The intangible attributes of </w:t>
      </w:r>
      <w:r w:rsidR="006E271C">
        <w:rPr>
          <w:rFonts w:ascii="Century Schoolbook" w:hAnsi="Century Schoolbook"/>
        </w:rPr>
        <w:t xml:space="preserve">real </w:t>
      </w:r>
      <w:r w:rsidR="001E47EB">
        <w:rPr>
          <w:rFonts w:ascii="Century Schoolbook" w:hAnsi="Century Schoolbook"/>
        </w:rPr>
        <w:t xml:space="preserve">property do not, however, </w:t>
      </w:r>
      <w:r w:rsidR="004E1429">
        <w:rPr>
          <w:rFonts w:ascii="Century Schoolbook" w:hAnsi="Century Schoolbook"/>
        </w:rPr>
        <w:br/>
      </w:r>
      <w:r w:rsidR="001E47EB">
        <w:rPr>
          <w:rFonts w:ascii="Century Schoolbook" w:hAnsi="Century Schoolbook"/>
        </w:rPr>
        <w:t>“ ‘include licenses, franchises, and other rights to do business that are exercised in connection with the use of the</w:t>
      </w:r>
      <w:r w:rsidR="00F80D23">
        <w:rPr>
          <w:rFonts w:ascii="Century Schoolbook" w:hAnsi="Century Schoolbook"/>
        </w:rPr>
        <w:t xml:space="preserve"> real</w:t>
      </w:r>
      <w:r w:rsidR="001E47EB">
        <w:rPr>
          <w:rFonts w:ascii="Century Schoolbook" w:hAnsi="Century Schoolbook"/>
        </w:rPr>
        <w:t xml:space="preserve"> property.’ ”  (</w:t>
      </w:r>
      <w:r w:rsidR="001E47EB">
        <w:rPr>
          <w:rFonts w:ascii="Century Schoolbook" w:hAnsi="Century Schoolbook"/>
          <w:i/>
          <w:iCs/>
        </w:rPr>
        <w:t>Elk Hills</w:t>
      </w:r>
      <w:r w:rsidR="001E47EB">
        <w:rPr>
          <w:rFonts w:ascii="Century Schoolbook" w:hAnsi="Century Schoolbook"/>
        </w:rPr>
        <w:t xml:space="preserve">, </w:t>
      </w:r>
      <w:r w:rsidR="001E47EB">
        <w:rPr>
          <w:rFonts w:ascii="Century Schoolbook" w:hAnsi="Century Schoolbook"/>
          <w:i/>
          <w:iCs/>
        </w:rPr>
        <w:t>supra</w:t>
      </w:r>
      <w:r w:rsidR="001E47EB">
        <w:rPr>
          <w:rFonts w:ascii="Century Schoolbook" w:hAnsi="Century Schoolbook"/>
        </w:rPr>
        <w:t>, 57 Cal.4th at p. 620.)  Indeed, “there is a fundamental differen</w:t>
      </w:r>
      <w:r w:rsidR="008E4252">
        <w:rPr>
          <w:rFonts w:ascii="Century Schoolbook" w:hAnsi="Century Schoolbook"/>
        </w:rPr>
        <w:t>ce</w:t>
      </w:r>
      <w:r w:rsidR="001E47EB">
        <w:rPr>
          <w:rFonts w:ascii="Century Schoolbook" w:hAnsi="Century Schoolbook"/>
        </w:rPr>
        <w:t xml:space="preserve"> between location, zoning, view, or architecture, and intangibles . . . that ‘relate to the real property only in their connection with the business using it.’ ”  (</w:t>
      </w:r>
      <w:r w:rsidR="001E47EB">
        <w:rPr>
          <w:rFonts w:ascii="Century Schoolbook" w:hAnsi="Century Schoolbook"/>
          <w:i/>
          <w:iCs/>
        </w:rPr>
        <w:t>Ibid.</w:t>
      </w:r>
      <w:r w:rsidR="001E47EB">
        <w:rPr>
          <w:rFonts w:ascii="Century Schoolbook" w:hAnsi="Century Schoolbook"/>
        </w:rPr>
        <w:t>)</w:t>
      </w:r>
    </w:p>
    <w:p w14:paraId="1CF0DD61" w14:textId="77777777" w:rsidR="008C3062" w:rsidRPr="001152DE" w:rsidRDefault="00653098" w:rsidP="008B7B70">
      <w:pPr>
        <w:tabs>
          <w:tab w:val="clear" w:pos="720"/>
        </w:tabs>
        <w:spacing w:line="360" w:lineRule="auto"/>
        <w:ind w:firstLine="720"/>
        <w:rPr>
          <w:rFonts w:ascii="Century Schoolbook" w:hAnsi="Century Schoolbook"/>
        </w:rPr>
      </w:pPr>
      <w:r>
        <w:rPr>
          <w:rFonts w:ascii="Century Schoolbook" w:hAnsi="Century Schoolbook"/>
        </w:rPr>
        <w:t xml:space="preserve">Like the intangible attributes of </w:t>
      </w:r>
      <w:r w:rsidR="006E271C">
        <w:rPr>
          <w:rFonts w:ascii="Century Schoolbook" w:hAnsi="Century Schoolbook"/>
        </w:rPr>
        <w:t>real</w:t>
      </w:r>
      <w:r>
        <w:rPr>
          <w:rFonts w:ascii="Century Schoolbook" w:hAnsi="Century Schoolbook"/>
        </w:rPr>
        <w:t xml:space="preserve"> property, “intangible </w:t>
      </w:r>
      <w:r w:rsidR="001D4874">
        <w:rPr>
          <w:rFonts w:ascii="Century Schoolbook" w:hAnsi="Century Schoolbook"/>
        </w:rPr>
        <w:t xml:space="preserve">[assets or] </w:t>
      </w:r>
      <w:r>
        <w:rPr>
          <w:rFonts w:ascii="Century Schoolbook" w:hAnsi="Century Schoolbook"/>
        </w:rPr>
        <w:t>rights that ‘merely allow for the taxable property to generate income when put to its ben</w:t>
      </w:r>
      <w:r>
        <w:rPr>
          <w:rFonts w:ascii="Century Schoolbook" w:hAnsi="Century Schoolbook"/>
        </w:rPr>
        <w:t>eficial or productive use’ . . . warrant no deduction</w:t>
      </w:r>
      <w:r w:rsidR="001D4874">
        <w:rPr>
          <w:rFonts w:ascii="Century Schoolbook" w:hAnsi="Century Schoolbook"/>
        </w:rPr>
        <w:t>.</w:t>
      </w:r>
      <w:r>
        <w:rPr>
          <w:rFonts w:ascii="Century Schoolbook" w:hAnsi="Century Schoolbook"/>
        </w:rPr>
        <w:t>”  (</w:t>
      </w:r>
      <w:r>
        <w:rPr>
          <w:rFonts w:ascii="Century Schoolbook" w:hAnsi="Century Schoolbook"/>
          <w:i/>
          <w:iCs/>
        </w:rPr>
        <w:t>DFS Group</w:t>
      </w:r>
      <w:r>
        <w:rPr>
          <w:rFonts w:ascii="Century Schoolbook" w:hAnsi="Century Schoolbook"/>
        </w:rPr>
        <w:t xml:space="preserve">, </w:t>
      </w:r>
      <w:r>
        <w:rPr>
          <w:rFonts w:ascii="Century Schoolbook" w:hAnsi="Century Schoolbook"/>
          <w:i/>
          <w:iCs/>
        </w:rPr>
        <w:t>supra</w:t>
      </w:r>
      <w:r>
        <w:rPr>
          <w:rFonts w:ascii="Century Schoolbook" w:hAnsi="Century Schoolbook"/>
        </w:rPr>
        <w:t xml:space="preserve">, 31 Cal.App.5th at p. 1075.)  </w:t>
      </w:r>
      <w:r w:rsidR="001D4874">
        <w:rPr>
          <w:rFonts w:ascii="Century Schoolbook" w:hAnsi="Century Schoolbook"/>
        </w:rPr>
        <w:t>This is because</w:t>
      </w:r>
      <w:r>
        <w:rPr>
          <w:rFonts w:ascii="Century Schoolbook" w:hAnsi="Century Schoolbook"/>
        </w:rPr>
        <w:t xml:space="preserve"> “the sole purpose” of th</w:t>
      </w:r>
      <w:r w:rsidR="001D4874">
        <w:rPr>
          <w:rFonts w:ascii="Century Schoolbook" w:hAnsi="Century Schoolbook"/>
        </w:rPr>
        <w:t>at</w:t>
      </w:r>
      <w:r>
        <w:rPr>
          <w:rFonts w:ascii="Century Schoolbook" w:hAnsi="Century Schoolbook"/>
        </w:rPr>
        <w:t xml:space="preserve"> </w:t>
      </w:r>
      <w:r w:rsidR="001152DE">
        <w:rPr>
          <w:rFonts w:ascii="Century Schoolbook" w:hAnsi="Century Schoolbook"/>
        </w:rPr>
        <w:t>asset</w:t>
      </w:r>
      <w:r>
        <w:rPr>
          <w:rFonts w:ascii="Century Schoolbook" w:hAnsi="Century Schoolbook"/>
        </w:rPr>
        <w:t xml:space="preserve"> </w:t>
      </w:r>
      <w:r w:rsidR="001D4874">
        <w:rPr>
          <w:rFonts w:ascii="Century Schoolbook" w:hAnsi="Century Schoolbook"/>
        </w:rPr>
        <w:t xml:space="preserve">or right </w:t>
      </w:r>
      <w:r>
        <w:rPr>
          <w:rFonts w:ascii="Century Schoolbook" w:hAnsi="Century Schoolbook"/>
        </w:rPr>
        <w:t>“is to enable the taxable property in question to function and produce income</w:t>
      </w:r>
      <w:r w:rsidR="001152DE">
        <w:rPr>
          <w:rFonts w:ascii="Century Schoolbook" w:hAnsi="Century Schoolbook"/>
        </w:rPr>
        <w:t>.</w:t>
      </w:r>
      <w:r w:rsidR="001D4874">
        <w:rPr>
          <w:rFonts w:ascii="Century Schoolbook" w:hAnsi="Century Schoolbook"/>
        </w:rPr>
        <w:t>”</w:t>
      </w:r>
      <w:r w:rsidR="001152DE">
        <w:rPr>
          <w:rFonts w:ascii="Century Schoolbook" w:hAnsi="Century Schoolbook"/>
        </w:rPr>
        <w:t xml:space="preserve">  (</w:t>
      </w:r>
      <w:r w:rsidR="001152DE">
        <w:rPr>
          <w:rFonts w:ascii="Century Schoolbook" w:hAnsi="Century Schoolbook"/>
          <w:i/>
          <w:iCs/>
        </w:rPr>
        <w:t>Elk Hills</w:t>
      </w:r>
      <w:r w:rsidR="001152DE">
        <w:rPr>
          <w:rFonts w:ascii="Century Schoolbook" w:hAnsi="Century Schoolbook"/>
        </w:rPr>
        <w:t xml:space="preserve">, </w:t>
      </w:r>
      <w:r w:rsidR="001152DE">
        <w:rPr>
          <w:rFonts w:ascii="Century Schoolbook" w:hAnsi="Century Schoolbook"/>
          <w:i/>
          <w:iCs/>
        </w:rPr>
        <w:t>supra</w:t>
      </w:r>
      <w:r w:rsidR="001152DE">
        <w:rPr>
          <w:rFonts w:ascii="Century Schoolbook" w:hAnsi="Century Schoolbook"/>
        </w:rPr>
        <w:t xml:space="preserve">, 57 Cal.4th at p. 619.)  </w:t>
      </w:r>
      <w:r w:rsidR="001D4874">
        <w:rPr>
          <w:rFonts w:ascii="Century Schoolbook" w:hAnsi="Century Schoolbook"/>
        </w:rPr>
        <w:t xml:space="preserve">As a result, the asset or right has “only an ‘indirect’ contribution to income stream.”  </w:t>
      </w:r>
      <w:r w:rsidR="001D4874">
        <w:rPr>
          <w:rFonts w:ascii="Century Schoolbook" w:hAnsi="Century Schoolbook"/>
        </w:rPr>
        <w:lastRenderedPageBreak/>
        <w:t>(</w:t>
      </w:r>
      <w:r w:rsidR="001D4874">
        <w:rPr>
          <w:rFonts w:ascii="Century Schoolbook" w:hAnsi="Century Schoolbook"/>
          <w:i/>
          <w:iCs/>
        </w:rPr>
        <w:t>DFS Group</w:t>
      </w:r>
      <w:r w:rsidR="001D4874">
        <w:rPr>
          <w:rFonts w:ascii="Century Schoolbook" w:hAnsi="Century Schoolbook"/>
        </w:rPr>
        <w:t>, at p. 1075.)  Thus, a</w:t>
      </w:r>
      <w:r w:rsidR="001152DE" w:rsidRPr="001D4874">
        <w:rPr>
          <w:rFonts w:ascii="Century Schoolbook" w:hAnsi="Century Schoolbook"/>
        </w:rPr>
        <w:t>bsent</w:t>
      </w:r>
      <w:r w:rsidR="001152DE">
        <w:rPr>
          <w:rFonts w:ascii="Century Schoolbook" w:hAnsi="Century Schoolbook"/>
        </w:rPr>
        <w:t xml:space="preserve"> a basis for “attributing” to the asset </w:t>
      </w:r>
      <w:r w:rsidR="00A96DEE">
        <w:rPr>
          <w:rFonts w:ascii="Century Schoolbook" w:hAnsi="Century Schoolbook"/>
        </w:rPr>
        <w:t xml:space="preserve">or right </w:t>
      </w:r>
      <w:r w:rsidR="001152DE">
        <w:rPr>
          <w:rFonts w:ascii="Century Schoolbook" w:hAnsi="Century Schoolbook"/>
        </w:rPr>
        <w:t>“a separate stream of income related to enterprise activity” or “</w:t>
      </w:r>
      <w:r w:rsidR="00216BF6">
        <w:rPr>
          <w:rFonts w:ascii="Century Schoolbook" w:hAnsi="Century Schoolbook"/>
        </w:rPr>
        <w:t xml:space="preserve">any </w:t>
      </w:r>
      <w:r w:rsidR="001152DE">
        <w:rPr>
          <w:rFonts w:ascii="Century Schoolbook" w:hAnsi="Century Schoolbook"/>
        </w:rPr>
        <w:t xml:space="preserve">separate stream of income,” there is no </w:t>
      </w:r>
      <w:r w:rsidR="00216BF6">
        <w:rPr>
          <w:rFonts w:ascii="Century Schoolbook" w:hAnsi="Century Schoolbook"/>
        </w:rPr>
        <w:t>“</w:t>
      </w:r>
      <w:r w:rsidR="001152DE">
        <w:rPr>
          <w:rFonts w:ascii="Century Schoolbook" w:hAnsi="Century Schoolbook"/>
        </w:rPr>
        <w:t>independent value</w:t>
      </w:r>
      <w:r w:rsidR="00216BF6">
        <w:rPr>
          <w:rFonts w:ascii="Century Schoolbook" w:hAnsi="Century Schoolbook"/>
        </w:rPr>
        <w:t>”</w:t>
      </w:r>
      <w:r w:rsidR="001152DE">
        <w:rPr>
          <w:rFonts w:ascii="Century Schoolbook" w:hAnsi="Century Schoolbook"/>
        </w:rPr>
        <w:t xml:space="preserve"> imputed to that asset </w:t>
      </w:r>
      <w:r w:rsidR="00A96DEE">
        <w:rPr>
          <w:rFonts w:ascii="Century Schoolbook" w:hAnsi="Century Schoolbook"/>
        </w:rPr>
        <w:t xml:space="preserve">or right </w:t>
      </w:r>
      <w:r w:rsidR="001152DE">
        <w:rPr>
          <w:rFonts w:ascii="Century Schoolbook" w:hAnsi="Century Schoolbook"/>
        </w:rPr>
        <w:t>“that would be deducted from the total income generated by the taxable property.”  (</w:t>
      </w:r>
      <w:r w:rsidR="00C837D7">
        <w:rPr>
          <w:rFonts w:ascii="Century Schoolbook" w:hAnsi="Century Schoolbook"/>
          <w:i/>
          <w:iCs/>
        </w:rPr>
        <w:t>Elk Hills</w:t>
      </w:r>
      <w:r w:rsidR="00C837D7">
        <w:rPr>
          <w:rFonts w:ascii="Century Schoolbook" w:hAnsi="Century Schoolbook"/>
        </w:rPr>
        <w:t>, at p. 619.</w:t>
      </w:r>
      <w:r w:rsidR="001152DE">
        <w:rPr>
          <w:rFonts w:ascii="Century Schoolbook" w:hAnsi="Century Schoolbook"/>
        </w:rPr>
        <w:t>)</w:t>
      </w:r>
    </w:p>
    <w:p w14:paraId="1CF0DD62" w14:textId="77777777" w:rsidR="0029162E" w:rsidRDefault="00653098" w:rsidP="008B7B70">
      <w:pPr>
        <w:tabs>
          <w:tab w:val="clear" w:pos="720"/>
        </w:tabs>
        <w:spacing w:line="360" w:lineRule="auto"/>
        <w:ind w:firstLine="720"/>
        <w:rPr>
          <w:rFonts w:ascii="Century Schoolbook" w:hAnsi="Century Schoolbook"/>
        </w:rPr>
      </w:pPr>
      <w:r>
        <w:rPr>
          <w:rFonts w:ascii="Century Schoolbook" w:hAnsi="Century Schoolbook"/>
        </w:rPr>
        <w:t>By contrast</w:t>
      </w:r>
      <w:r w:rsidR="001152DE">
        <w:rPr>
          <w:rFonts w:ascii="Century Schoolbook" w:hAnsi="Century Schoolbook"/>
        </w:rPr>
        <w:t>,</w:t>
      </w:r>
      <w:r w:rsidR="003807EF">
        <w:rPr>
          <w:rFonts w:ascii="Century Schoolbook" w:hAnsi="Century Schoolbook"/>
        </w:rPr>
        <w:t xml:space="preserve"> </w:t>
      </w:r>
      <w:r w:rsidR="001152DE">
        <w:rPr>
          <w:rFonts w:ascii="Century Schoolbook" w:hAnsi="Century Schoolbook"/>
        </w:rPr>
        <w:t>“intangible assets and rights of the business operation utilizing the real property cannot enhance or be reflected in the value of the real property.”  (</w:t>
      </w:r>
      <w:r w:rsidR="00C837D7">
        <w:rPr>
          <w:rFonts w:ascii="Century Schoolbook" w:hAnsi="Century Schoolbook"/>
        </w:rPr>
        <w:t>Advanced Appraisal</w:t>
      </w:r>
      <w:r w:rsidR="001152DE">
        <w:rPr>
          <w:rFonts w:ascii="Century Schoolbook" w:hAnsi="Century Schoolbook"/>
        </w:rPr>
        <w:t xml:space="preserve">, </w:t>
      </w:r>
      <w:r w:rsidR="001152DE">
        <w:rPr>
          <w:rFonts w:ascii="Century Schoolbook" w:hAnsi="Century Schoolbook"/>
          <w:i/>
          <w:iCs/>
        </w:rPr>
        <w:t>supra</w:t>
      </w:r>
      <w:r w:rsidR="001152DE">
        <w:rPr>
          <w:rFonts w:ascii="Century Schoolbook" w:hAnsi="Century Schoolbook"/>
        </w:rPr>
        <w:t xml:space="preserve">, at p. 156.)  This is because </w:t>
      </w:r>
      <w:r w:rsidR="00ED5FAB">
        <w:rPr>
          <w:rFonts w:ascii="Century Schoolbook" w:hAnsi="Century Schoolbook"/>
        </w:rPr>
        <w:t xml:space="preserve">those assets </w:t>
      </w:r>
      <w:r w:rsidR="00E44B0C">
        <w:rPr>
          <w:rFonts w:ascii="Century Schoolbook" w:hAnsi="Century Schoolbook"/>
        </w:rPr>
        <w:t>or</w:t>
      </w:r>
      <w:r w:rsidR="00ED5FAB">
        <w:rPr>
          <w:rFonts w:ascii="Century Schoolbook" w:hAnsi="Century Schoolbook"/>
        </w:rPr>
        <w:t xml:space="preserve"> rights “make a direct contribution to the going concern value of the business” (</w:t>
      </w:r>
      <w:r w:rsidR="00ED5FAB">
        <w:rPr>
          <w:rFonts w:ascii="Century Schoolbook" w:hAnsi="Century Schoolbook"/>
          <w:i/>
          <w:iCs/>
        </w:rPr>
        <w:t>Elk Hills</w:t>
      </w:r>
      <w:r w:rsidR="00ED5FAB">
        <w:rPr>
          <w:rFonts w:ascii="Century Schoolbook" w:hAnsi="Century Schoolbook"/>
        </w:rPr>
        <w:t xml:space="preserve">, </w:t>
      </w:r>
      <w:r w:rsidR="00ED5FAB">
        <w:rPr>
          <w:rFonts w:ascii="Century Schoolbook" w:hAnsi="Century Schoolbook"/>
          <w:i/>
          <w:iCs/>
        </w:rPr>
        <w:t>supra</w:t>
      </w:r>
      <w:r w:rsidR="00ED5FAB">
        <w:rPr>
          <w:rFonts w:ascii="Century Schoolbook" w:hAnsi="Century Schoolbook"/>
        </w:rPr>
        <w:t xml:space="preserve">, 57 Cal.4th at p. 618) and </w:t>
      </w:r>
      <w:r w:rsidR="001152DE">
        <w:rPr>
          <w:rFonts w:ascii="Century Schoolbook" w:hAnsi="Century Schoolbook"/>
        </w:rPr>
        <w:t>“</w:t>
      </w:r>
      <w:r w:rsidR="003807EF">
        <w:rPr>
          <w:rFonts w:ascii="Century Schoolbook" w:hAnsi="Century Schoolbook"/>
        </w:rPr>
        <w:t>relate to the real property only in their conne</w:t>
      </w:r>
      <w:r w:rsidR="00067FFD">
        <w:rPr>
          <w:rFonts w:ascii="Century Schoolbook" w:hAnsi="Century Schoolbook"/>
        </w:rPr>
        <w:t>ction</w:t>
      </w:r>
      <w:r w:rsidR="003807EF">
        <w:rPr>
          <w:rFonts w:ascii="Century Schoolbook" w:hAnsi="Century Schoolbook"/>
        </w:rPr>
        <w:t xml:space="preserve"> with the business using it” (</w:t>
      </w:r>
      <w:proofErr w:type="spellStart"/>
      <w:r w:rsidR="00067FFD">
        <w:rPr>
          <w:rFonts w:ascii="Century Schoolbook" w:hAnsi="Century Schoolbook"/>
          <w:i/>
          <w:iCs/>
        </w:rPr>
        <w:t>Shubat</w:t>
      </w:r>
      <w:proofErr w:type="spellEnd"/>
      <w:r w:rsidR="00067FFD">
        <w:rPr>
          <w:rFonts w:ascii="Century Schoolbook" w:hAnsi="Century Schoolbook"/>
        </w:rPr>
        <w:t xml:space="preserve">, </w:t>
      </w:r>
      <w:r w:rsidR="00067FFD">
        <w:rPr>
          <w:rFonts w:ascii="Century Schoolbook" w:hAnsi="Century Schoolbook"/>
          <w:i/>
          <w:iCs/>
        </w:rPr>
        <w:t>supra</w:t>
      </w:r>
      <w:r w:rsidR="00067FFD">
        <w:rPr>
          <w:rFonts w:ascii="Century Schoolbook" w:hAnsi="Century Schoolbook"/>
        </w:rPr>
        <w:t>, 13 Cal.App.4th at p. 803</w:t>
      </w:r>
      <w:r w:rsidR="003807EF">
        <w:rPr>
          <w:rFonts w:ascii="Century Schoolbook" w:hAnsi="Century Schoolbook"/>
        </w:rPr>
        <w:t>)</w:t>
      </w:r>
      <w:r w:rsidR="00ED5FAB">
        <w:rPr>
          <w:rFonts w:ascii="Century Schoolbook" w:hAnsi="Century Schoolbook"/>
        </w:rPr>
        <w:t>.</w:t>
      </w:r>
      <w:r w:rsidR="00067FFD">
        <w:rPr>
          <w:rFonts w:ascii="Century Schoolbook" w:hAnsi="Century Schoolbook"/>
        </w:rPr>
        <w:t xml:space="preserve">  </w:t>
      </w:r>
      <w:r w:rsidR="00ED5FAB">
        <w:rPr>
          <w:rFonts w:ascii="Century Schoolbook" w:hAnsi="Century Schoolbook"/>
        </w:rPr>
        <w:t>For example</w:t>
      </w:r>
      <w:r w:rsidR="003443E2">
        <w:rPr>
          <w:rFonts w:ascii="Century Schoolbook" w:hAnsi="Century Schoolbook"/>
        </w:rPr>
        <w:t>, a</w:t>
      </w:r>
      <w:r w:rsidR="00ED5FAB">
        <w:rPr>
          <w:rFonts w:ascii="Century Schoolbook" w:hAnsi="Century Schoolbook"/>
        </w:rPr>
        <w:t xml:space="preserve">n </w:t>
      </w:r>
      <w:r w:rsidR="003443E2">
        <w:rPr>
          <w:rFonts w:ascii="Century Schoolbook" w:hAnsi="Century Schoolbook"/>
        </w:rPr>
        <w:t xml:space="preserve">intangible right “created by </w:t>
      </w:r>
      <w:r w:rsidR="00DA3437">
        <w:rPr>
          <w:rFonts w:ascii="Century Schoolbook" w:hAnsi="Century Schoolbook"/>
        </w:rPr>
        <w:t xml:space="preserve">a </w:t>
      </w:r>
      <w:r w:rsidR="003443E2">
        <w:rPr>
          <w:rFonts w:ascii="Century Schoolbook" w:hAnsi="Century Schoolbook"/>
        </w:rPr>
        <w:t>private contract</w:t>
      </w:r>
      <w:r w:rsidR="00ED5FAB">
        <w:rPr>
          <w:rFonts w:ascii="Century Schoolbook" w:hAnsi="Century Schoolbook"/>
        </w:rPr>
        <w:t>,</w:t>
      </w:r>
      <w:r w:rsidR="00952F42">
        <w:rPr>
          <w:rFonts w:ascii="Century Schoolbook" w:hAnsi="Century Schoolbook"/>
        </w:rPr>
        <w:t>”</w:t>
      </w:r>
      <w:r w:rsidR="00ED5FAB">
        <w:rPr>
          <w:rFonts w:ascii="Century Schoolbook" w:hAnsi="Century Schoolbook"/>
        </w:rPr>
        <w:t xml:space="preserve"> like </w:t>
      </w:r>
      <w:r w:rsidR="00952F42">
        <w:rPr>
          <w:rFonts w:ascii="Century Schoolbook" w:hAnsi="Century Schoolbook"/>
        </w:rPr>
        <w:t>“</w:t>
      </w:r>
      <w:r w:rsidR="00ED5FAB">
        <w:rPr>
          <w:rFonts w:ascii="Century Schoolbook" w:hAnsi="Century Schoolbook"/>
        </w:rPr>
        <w:t>the</w:t>
      </w:r>
      <w:r w:rsidR="003443E2">
        <w:rPr>
          <w:rFonts w:ascii="Century Schoolbook" w:hAnsi="Century Schoolbook"/>
        </w:rPr>
        <w:t xml:space="preserve"> right to conduct a specified business operation[] in the conduct of a business entity’s enterprise-related activities</w:t>
      </w:r>
      <w:r w:rsidR="00ED5FAB">
        <w:rPr>
          <w:rFonts w:ascii="Century Schoolbook" w:hAnsi="Century Schoolbook"/>
        </w:rPr>
        <w:t>,</w:t>
      </w:r>
      <w:r w:rsidR="003443E2">
        <w:rPr>
          <w:rFonts w:ascii="Century Schoolbook" w:hAnsi="Century Schoolbook"/>
        </w:rPr>
        <w:t>”</w:t>
      </w:r>
      <w:r w:rsidR="008E4252">
        <w:rPr>
          <w:rFonts w:ascii="Century Schoolbook" w:hAnsi="Century Schoolbook"/>
        </w:rPr>
        <w:t xml:space="preserve"> is a </w:t>
      </w:r>
      <w:r w:rsidR="001723BD">
        <w:rPr>
          <w:rFonts w:ascii="Century Schoolbook" w:hAnsi="Century Schoolbook"/>
        </w:rPr>
        <w:t xml:space="preserve">nontaxable </w:t>
      </w:r>
      <w:r w:rsidR="008E4252">
        <w:rPr>
          <w:rFonts w:ascii="Century Schoolbook" w:hAnsi="Century Schoolbook"/>
        </w:rPr>
        <w:t>right “whose primary purpose is not to authorize a more productive use of taxable property.”  (</w:t>
      </w:r>
      <w:r w:rsidR="00C837D7">
        <w:rPr>
          <w:rFonts w:ascii="Century Schoolbook" w:hAnsi="Century Schoolbook"/>
        </w:rPr>
        <w:t xml:space="preserve">Advanced Appraisal, at p. </w:t>
      </w:r>
      <w:r w:rsidR="00DE4500">
        <w:rPr>
          <w:rFonts w:ascii="Century Schoolbook" w:hAnsi="Century Schoolbook"/>
        </w:rPr>
        <w:t>155.</w:t>
      </w:r>
      <w:r w:rsidR="008E4252">
        <w:rPr>
          <w:rFonts w:ascii="Century Schoolbook" w:hAnsi="Century Schoolbook"/>
        </w:rPr>
        <w:t>)</w:t>
      </w:r>
    </w:p>
    <w:p w14:paraId="1CF0DD63" w14:textId="77777777" w:rsidR="008E4252" w:rsidRDefault="00653098" w:rsidP="008B7B70">
      <w:pPr>
        <w:tabs>
          <w:tab w:val="clear" w:pos="720"/>
        </w:tabs>
        <w:spacing w:line="360" w:lineRule="auto"/>
        <w:ind w:firstLine="720"/>
        <w:rPr>
          <w:rFonts w:ascii="Century Schoolbook" w:hAnsi="Century Schoolbook"/>
        </w:rPr>
      </w:pPr>
      <w:r>
        <w:rPr>
          <w:rFonts w:ascii="Century Schoolbook" w:hAnsi="Century Schoolbook"/>
        </w:rPr>
        <w:t xml:space="preserve">Here, the </w:t>
      </w:r>
      <w:r w:rsidR="001723BD">
        <w:rPr>
          <w:rFonts w:ascii="Century Schoolbook" w:hAnsi="Century Schoolbook"/>
        </w:rPr>
        <w:t xml:space="preserve">hotel’s cancellation/no show/attrition income </w:t>
      </w:r>
      <w:r>
        <w:rPr>
          <w:rFonts w:ascii="Century Schoolbook" w:hAnsi="Century Schoolbook"/>
        </w:rPr>
        <w:t>represent</w:t>
      </w:r>
      <w:r w:rsidR="00E44B0C">
        <w:rPr>
          <w:rFonts w:ascii="Century Schoolbook" w:hAnsi="Century Schoolbook"/>
        </w:rPr>
        <w:t>s</w:t>
      </w:r>
      <w:r>
        <w:rPr>
          <w:rFonts w:ascii="Century Schoolbook" w:hAnsi="Century Schoolbook"/>
        </w:rPr>
        <w:t xml:space="preserve"> the value of an intangible attribute of the property:  the right to possess</w:t>
      </w:r>
      <w:r w:rsidR="001723BD">
        <w:rPr>
          <w:rFonts w:ascii="Century Schoolbook" w:hAnsi="Century Schoolbook"/>
        </w:rPr>
        <w:t xml:space="preserve"> or use </w:t>
      </w:r>
      <w:r w:rsidR="006E271C">
        <w:rPr>
          <w:rFonts w:ascii="Century Schoolbook" w:hAnsi="Century Schoolbook"/>
        </w:rPr>
        <w:t>it</w:t>
      </w:r>
      <w:r>
        <w:rPr>
          <w:rFonts w:ascii="Century Schoolbook" w:hAnsi="Century Schoolbook"/>
        </w:rPr>
        <w:t xml:space="preserve">.  </w:t>
      </w:r>
      <w:r w:rsidR="00210F6D">
        <w:rPr>
          <w:rFonts w:ascii="Century Schoolbook" w:hAnsi="Century Schoolbook"/>
        </w:rPr>
        <w:t xml:space="preserve">Indeed, guests </w:t>
      </w:r>
      <w:r w:rsidR="001723BD">
        <w:rPr>
          <w:rFonts w:ascii="Century Schoolbook" w:hAnsi="Century Schoolbook"/>
        </w:rPr>
        <w:t xml:space="preserve">pay </w:t>
      </w:r>
      <w:r w:rsidR="001D4874">
        <w:rPr>
          <w:rFonts w:ascii="Century Schoolbook" w:hAnsi="Century Schoolbook"/>
        </w:rPr>
        <w:t>cancellation, no show, and attrition fees for</w:t>
      </w:r>
      <w:r w:rsidR="001723BD">
        <w:rPr>
          <w:rFonts w:ascii="Century Schoolbook" w:hAnsi="Century Schoolbook"/>
        </w:rPr>
        <w:t xml:space="preserve"> the</w:t>
      </w:r>
      <w:r w:rsidR="00210F6D">
        <w:rPr>
          <w:rFonts w:ascii="Century Schoolbook" w:hAnsi="Century Schoolbook"/>
        </w:rPr>
        <w:t xml:space="preserve"> right to possess </w:t>
      </w:r>
      <w:r w:rsidR="001723BD">
        <w:rPr>
          <w:rFonts w:ascii="Century Schoolbook" w:hAnsi="Century Schoolbook"/>
        </w:rPr>
        <w:t>and</w:t>
      </w:r>
      <w:r w:rsidR="00210F6D">
        <w:rPr>
          <w:rFonts w:ascii="Century Schoolbook" w:hAnsi="Century Schoolbook"/>
        </w:rPr>
        <w:t xml:space="preserve"> use a hotel room during a s</w:t>
      </w:r>
      <w:r w:rsidR="001D4874">
        <w:rPr>
          <w:rFonts w:ascii="Century Schoolbook" w:hAnsi="Century Schoolbook"/>
        </w:rPr>
        <w:t>pecified</w:t>
      </w:r>
      <w:r w:rsidR="00210F6D">
        <w:rPr>
          <w:rFonts w:ascii="Century Schoolbook" w:hAnsi="Century Schoolbook"/>
        </w:rPr>
        <w:t xml:space="preserve"> </w:t>
      </w:r>
      <w:proofErr w:type="gramStart"/>
      <w:r w:rsidR="00210F6D">
        <w:rPr>
          <w:rFonts w:ascii="Century Schoolbook" w:hAnsi="Century Schoolbook"/>
        </w:rPr>
        <w:t>period of time</w:t>
      </w:r>
      <w:proofErr w:type="gramEnd"/>
      <w:r w:rsidR="00210F6D">
        <w:rPr>
          <w:rFonts w:ascii="Century Schoolbook" w:hAnsi="Century Schoolbook"/>
        </w:rPr>
        <w:t xml:space="preserve">.  That the hotel receives those fees </w:t>
      </w:r>
      <w:r w:rsidR="001D4874">
        <w:rPr>
          <w:rFonts w:ascii="Century Schoolbook" w:hAnsi="Century Schoolbook"/>
        </w:rPr>
        <w:t xml:space="preserve">only </w:t>
      </w:r>
      <w:r w:rsidR="00210F6D">
        <w:rPr>
          <w:rFonts w:ascii="Century Schoolbook" w:hAnsi="Century Schoolbook"/>
        </w:rPr>
        <w:t xml:space="preserve">when </w:t>
      </w:r>
      <w:r w:rsidR="00EA2856">
        <w:rPr>
          <w:rFonts w:ascii="Century Schoolbook" w:hAnsi="Century Schoolbook"/>
        </w:rPr>
        <w:t xml:space="preserve">potential </w:t>
      </w:r>
      <w:r w:rsidR="00210F6D">
        <w:rPr>
          <w:rFonts w:ascii="Century Schoolbook" w:hAnsi="Century Schoolbook"/>
        </w:rPr>
        <w:t>guests decline to exercise that right does not change the fact that the</w:t>
      </w:r>
      <w:r w:rsidR="001D4874">
        <w:rPr>
          <w:rFonts w:ascii="Century Schoolbook" w:hAnsi="Century Schoolbook"/>
        </w:rPr>
        <w:t xml:space="preserve"> fees</w:t>
      </w:r>
      <w:r w:rsidR="00210F6D">
        <w:rPr>
          <w:rFonts w:ascii="Century Schoolbook" w:hAnsi="Century Schoolbook"/>
        </w:rPr>
        <w:t xml:space="preserve"> </w:t>
      </w:r>
      <w:r w:rsidR="000C673F">
        <w:rPr>
          <w:rFonts w:ascii="Century Schoolbook" w:hAnsi="Century Schoolbook"/>
        </w:rPr>
        <w:t>“</w:t>
      </w:r>
      <w:r w:rsidR="00210F6D">
        <w:rPr>
          <w:rFonts w:ascii="Century Schoolbook" w:hAnsi="Century Schoolbook"/>
        </w:rPr>
        <w:t xml:space="preserve">relate </w:t>
      </w:r>
      <w:r w:rsidR="00210F6D" w:rsidRPr="00DA3437">
        <w:rPr>
          <w:rFonts w:ascii="Century Schoolbook" w:hAnsi="Century Schoolbook"/>
          <w:i/>
          <w:iCs/>
        </w:rPr>
        <w:t>directly</w:t>
      </w:r>
      <w:r w:rsidR="00210F6D">
        <w:rPr>
          <w:rFonts w:ascii="Century Schoolbook" w:hAnsi="Century Schoolbook"/>
        </w:rPr>
        <w:t xml:space="preserve"> to</w:t>
      </w:r>
      <w:r w:rsidR="000C673F">
        <w:rPr>
          <w:rFonts w:ascii="Century Schoolbook" w:hAnsi="Century Schoolbook"/>
        </w:rPr>
        <w:t xml:space="preserve"> [the hotel’s</w:t>
      </w:r>
      <w:r w:rsidR="001723BD">
        <w:rPr>
          <w:rFonts w:ascii="Century Schoolbook" w:hAnsi="Century Schoolbook"/>
        </w:rPr>
        <w:t>]</w:t>
      </w:r>
      <w:r w:rsidR="00210F6D">
        <w:rPr>
          <w:rFonts w:ascii="Century Schoolbook" w:hAnsi="Century Schoolbook"/>
        </w:rPr>
        <w:t xml:space="preserve"> </w:t>
      </w:r>
      <w:r w:rsidR="000C673F">
        <w:rPr>
          <w:rFonts w:ascii="Century Schoolbook" w:hAnsi="Century Schoolbook"/>
        </w:rPr>
        <w:t>real property”—i.e., its rooms.  (</w:t>
      </w:r>
      <w:proofErr w:type="spellStart"/>
      <w:r w:rsidR="000C673F">
        <w:rPr>
          <w:rFonts w:ascii="Century Schoolbook" w:hAnsi="Century Schoolbook"/>
          <w:i/>
          <w:iCs/>
        </w:rPr>
        <w:t>Shubat</w:t>
      </w:r>
      <w:proofErr w:type="spellEnd"/>
      <w:r w:rsidR="000C673F">
        <w:rPr>
          <w:rFonts w:ascii="Century Schoolbook" w:hAnsi="Century Schoolbook"/>
        </w:rPr>
        <w:t xml:space="preserve">, </w:t>
      </w:r>
      <w:r w:rsidR="000C673F">
        <w:rPr>
          <w:rFonts w:ascii="Century Schoolbook" w:hAnsi="Century Schoolbook"/>
          <w:i/>
          <w:iCs/>
        </w:rPr>
        <w:t>supra</w:t>
      </w:r>
      <w:r w:rsidR="000C673F">
        <w:rPr>
          <w:rFonts w:ascii="Century Schoolbook" w:hAnsi="Century Schoolbook"/>
        </w:rPr>
        <w:t>, 13 Cal.App.4th at p. 803</w:t>
      </w:r>
      <w:r w:rsidR="00DA3437">
        <w:rPr>
          <w:rFonts w:ascii="Century Schoolbook" w:hAnsi="Century Schoolbook"/>
        </w:rPr>
        <w:t>, italics added</w:t>
      </w:r>
      <w:r w:rsidR="000C673F">
        <w:rPr>
          <w:rFonts w:ascii="Century Schoolbook" w:hAnsi="Century Schoolbook"/>
        </w:rPr>
        <w:t xml:space="preserve">.)  </w:t>
      </w:r>
      <w:r w:rsidR="00EA2856">
        <w:rPr>
          <w:rFonts w:ascii="Century Schoolbook" w:hAnsi="Century Schoolbook"/>
        </w:rPr>
        <w:t>T</w:t>
      </w:r>
      <w:r w:rsidR="000C673F">
        <w:rPr>
          <w:rFonts w:ascii="Century Schoolbook" w:hAnsi="Century Schoolbook"/>
        </w:rPr>
        <w:t xml:space="preserve">he City </w:t>
      </w:r>
      <w:r w:rsidR="00EA2856">
        <w:rPr>
          <w:rFonts w:ascii="Century Schoolbook" w:hAnsi="Century Schoolbook"/>
        </w:rPr>
        <w:t xml:space="preserve">therefore </w:t>
      </w:r>
      <w:r w:rsidR="000C673F">
        <w:rPr>
          <w:rFonts w:ascii="Century Schoolbook" w:hAnsi="Century Schoolbook"/>
        </w:rPr>
        <w:t xml:space="preserve">did not err by refusing to deduct </w:t>
      </w:r>
      <w:r w:rsidR="006E271C">
        <w:rPr>
          <w:rFonts w:ascii="Century Schoolbook" w:hAnsi="Century Schoolbook"/>
        </w:rPr>
        <w:t>the cancellation/no show/attrition income</w:t>
      </w:r>
      <w:r w:rsidR="000C673F">
        <w:rPr>
          <w:rFonts w:ascii="Century Schoolbook" w:hAnsi="Century Schoolbook"/>
        </w:rPr>
        <w:t xml:space="preserve"> from the </w:t>
      </w:r>
      <w:r w:rsidR="001D4874">
        <w:rPr>
          <w:rFonts w:ascii="Century Schoolbook" w:hAnsi="Century Schoolbook"/>
        </w:rPr>
        <w:t xml:space="preserve">hotel’s </w:t>
      </w:r>
      <w:r w:rsidR="000C673F">
        <w:rPr>
          <w:rFonts w:ascii="Century Schoolbook" w:hAnsi="Century Schoolbook"/>
        </w:rPr>
        <w:t>net operating income.  (See § 110, subd. (f).)</w:t>
      </w:r>
    </w:p>
    <w:p w14:paraId="1CF0DD64" w14:textId="77777777" w:rsidR="000C673F" w:rsidRPr="00087BF4" w:rsidRDefault="00653098" w:rsidP="008B7B70">
      <w:pPr>
        <w:tabs>
          <w:tab w:val="clear" w:pos="720"/>
        </w:tabs>
        <w:spacing w:line="360" w:lineRule="auto"/>
        <w:ind w:firstLine="720"/>
        <w:rPr>
          <w:rFonts w:ascii="Century Schoolbook" w:hAnsi="Century Schoolbook"/>
        </w:rPr>
      </w:pPr>
      <w:r>
        <w:rPr>
          <w:rFonts w:ascii="Century Schoolbook" w:hAnsi="Century Schoolbook"/>
        </w:rPr>
        <w:lastRenderedPageBreak/>
        <w:t xml:space="preserve">The same, however, is not true for </w:t>
      </w:r>
      <w:r w:rsidR="001D4874">
        <w:rPr>
          <w:rFonts w:ascii="Century Schoolbook" w:hAnsi="Century Schoolbook"/>
        </w:rPr>
        <w:t>net income</w:t>
      </w:r>
      <w:r>
        <w:rPr>
          <w:rFonts w:ascii="Century Schoolbook" w:hAnsi="Century Schoolbook"/>
        </w:rPr>
        <w:t xml:space="preserve"> generated by in-room movies and guest laundry services. </w:t>
      </w:r>
      <w:r w:rsidR="00614E55">
        <w:rPr>
          <w:rFonts w:ascii="Century Schoolbook" w:hAnsi="Century Schoolbook"/>
        </w:rPr>
        <w:t xml:space="preserve"> </w:t>
      </w:r>
      <w:r w:rsidR="00013DC6">
        <w:rPr>
          <w:rFonts w:ascii="Century Schoolbook" w:hAnsi="Century Schoolbook"/>
        </w:rPr>
        <w:t xml:space="preserve">The right to provide </w:t>
      </w:r>
      <w:r w:rsidR="006E271C">
        <w:rPr>
          <w:rFonts w:ascii="Century Schoolbook" w:hAnsi="Century Schoolbook"/>
        </w:rPr>
        <w:t>those</w:t>
      </w:r>
      <w:r w:rsidR="00013DC6">
        <w:rPr>
          <w:rFonts w:ascii="Century Schoolbook" w:hAnsi="Century Schoolbook"/>
        </w:rPr>
        <w:t xml:space="preserve"> services at the hotel, like “[t]he right to sell duty-free goods” at an airport, “does not ‘relate directly to the real property’ </w:t>
      </w:r>
      <w:r w:rsidR="002D6B88">
        <w:rPr>
          <w:rFonts w:ascii="Century Schoolbook" w:hAnsi="Century Schoolbook"/>
        </w:rPr>
        <w:t>[</w:t>
      </w:r>
      <w:r w:rsidR="00013DC6">
        <w:rPr>
          <w:rFonts w:ascii="Century Schoolbook" w:hAnsi="Century Schoolbook"/>
        </w:rPr>
        <w:t xml:space="preserve">at the hotel] </w:t>
      </w:r>
      <w:r w:rsidR="00087BF4">
        <w:rPr>
          <w:rFonts w:ascii="Century Schoolbook" w:hAnsi="Century Schoolbook"/>
        </w:rPr>
        <w:t>(§ 110, subd. (f)</w:t>
      </w:r>
      <w:r w:rsidR="002217E2">
        <w:rPr>
          <w:rFonts w:ascii="Century Schoolbook" w:hAnsi="Century Schoolbook"/>
        </w:rPr>
        <w:t>)</w:t>
      </w:r>
      <w:r w:rsidR="002D6B88">
        <w:rPr>
          <w:rFonts w:ascii="Century Schoolbook" w:hAnsi="Century Schoolbook"/>
        </w:rPr>
        <w:t xml:space="preserve"> . . .</w:t>
      </w:r>
      <w:r w:rsidR="00013DC6">
        <w:rPr>
          <w:rFonts w:ascii="Century Schoolbook" w:hAnsi="Century Schoolbook"/>
        </w:rPr>
        <w:t xml:space="preserve"> is not </w:t>
      </w:r>
      <w:r w:rsidR="002217E2">
        <w:rPr>
          <w:rFonts w:ascii="Century Schoolbook" w:hAnsi="Century Schoolbook"/>
        </w:rPr>
        <w:t>‘</w:t>
      </w:r>
      <w:r w:rsidR="00013DC6">
        <w:rPr>
          <w:rFonts w:ascii="Century Schoolbook" w:hAnsi="Century Schoolbook"/>
        </w:rPr>
        <w:t xml:space="preserve">an integral part of [that property]’ and does not ‘effectively define it’ </w:t>
      </w:r>
      <w:r w:rsidR="00087BF4">
        <w:rPr>
          <w:rFonts w:ascii="Century Schoolbook" w:hAnsi="Century Schoolbook"/>
        </w:rPr>
        <w:t>(</w:t>
      </w:r>
      <w:proofErr w:type="spellStart"/>
      <w:r w:rsidR="00087BF4">
        <w:rPr>
          <w:rFonts w:ascii="Century Schoolbook" w:hAnsi="Century Schoolbook"/>
          <w:i/>
          <w:iCs/>
        </w:rPr>
        <w:t>Shubat</w:t>
      </w:r>
      <w:proofErr w:type="spellEnd"/>
      <w:r w:rsidR="00087BF4">
        <w:rPr>
          <w:rFonts w:ascii="Century Schoolbook" w:hAnsi="Century Schoolbook"/>
        </w:rPr>
        <w:t xml:space="preserve">, </w:t>
      </w:r>
      <w:r w:rsidR="00087BF4">
        <w:rPr>
          <w:rFonts w:ascii="Century Schoolbook" w:hAnsi="Century Schoolbook"/>
          <w:i/>
          <w:iCs/>
        </w:rPr>
        <w:t>supra</w:t>
      </w:r>
      <w:r w:rsidR="00087BF4">
        <w:rPr>
          <w:rFonts w:ascii="Century Schoolbook" w:hAnsi="Century Schoolbook"/>
        </w:rPr>
        <w:t>, 13 Cal.App.4th at p. 803)</w:t>
      </w:r>
      <w:r w:rsidR="00013DC6">
        <w:rPr>
          <w:rFonts w:ascii="Century Schoolbook" w:hAnsi="Century Schoolbook"/>
        </w:rPr>
        <w:t xml:space="preserve"> . . . .”  (</w:t>
      </w:r>
      <w:r w:rsidR="00013DC6">
        <w:rPr>
          <w:rFonts w:ascii="Century Schoolbook" w:hAnsi="Century Schoolbook"/>
          <w:i/>
          <w:iCs/>
        </w:rPr>
        <w:t>DFS Group</w:t>
      </w:r>
      <w:r w:rsidR="00013DC6">
        <w:rPr>
          <w:rFonts w:ascii="Century Schoolbook" w:hAnsi="Century Schoolbook"/>
        </w:rPr>
        <w:t xml:space="preserve">, </w:t>
      </w:r>
      <w:r w:rsidR="00013DC6">
        <w:rPr>
          <w:rFonts w:ascii="Century Schoolbook" w:hAnsi="Century Schoolbook"/>
          <w:i/>
          <w:iCs/>
        </w:rPr>
        <w:t>supra</w:t>
      </w:r>
      <w:r w:rsidR="00013DC6">
        <w:rPr>
          <w:rFonts w:ascii="Century Schoolbook" w:hAnsi="Century Schoolbook"/>
        </w:rPr>
        <w:t>, 31 Cal.App.</w:t>
      </w:r>
      <w:r w:rsidR="002D6B88">
        <w:rPr>
          <w:rFonts w:ascii="Century Schoolbook" w:hAnsi="Century Schoolbook"/>
        </w:rPr>
        <w:t>5</w:t>
      </w:r>
      <w:r w:rsidR="00013DC6">
        <w:rPr>
          <w:rFonts w:ascii="Century Schoolbook" w:hAnsi="Century Schoolbook"/>
        </w:rPr>
        <w:t>th at p. 1087.)  Instead, t</w:t>
      </w:r>
      <w:r w:rsidR="00614E55">
        <w:rPr>
          <w:rFonts w:ascii="Century Schoolbook" w:hAnsi="Century Schoolbook"/>
        </w:rPr>
        <w:t xml:space="preserve">he hotel’s </w:t>
      </w:r>
      <w:r w:rsidR="006E271C">
        <w:rPr>
          <w:rFonts w:ascii="Century Schoolbook" w:hAnsi="Century Schoolbook"/>
        </w:rPr>
        <w:t xml:space="preserve">private </w:t>
      </w:r>
      <w:r w:rsidR="00614E55">
        <w:rPr>
          <w:rFonts w:ascii="Century Schoolbook" w:hAnsi="Century Schoolbook"/>
        </w:rPr>
        <w:t xml:space="preserve">contracts with third party vendors to provide these services to its guests </w:t>
      </w:r>
      <w:r w:rsidR="001D4874">
        <w:rPr>
          <w:rFonts w:ascii="Century Schoolbook" w:hAnsi="Century Schoolbook"/>
        </w:rPr>
        <w:t>establish</w:t>
      </w:r>
      <w:r w:rsidR="00614E55">
        <w:rPr>
          <w:rFonts w:ascii="Century Schoolbook" w:hAnsi="Century Schoolbook"/>
        </w:rPr>
        <w:t xml:space="preserve"> “rights to do business that are exercised in connection with the use of the</w:t>
      </w:r>
      <w:r w:rsidR="002D6B88">
        <w:rPr>
          <w:rFonts w:ascii="Century Schoolbook" w:hAnsi="Century Schoolbook"/>
        </w:rPr>
        <w:t xml:space="preserve"> real</w:t>
      </w:r>
      <w:r w:rsidR="00614E55">
        <w:rPr>
          <w:rFonts w:ascii="Century Schoolbook" w:hAnsi="Century Schoolbook"/>
        </w:rPr>
        <w:t xml:space="preserve"> property.”  (</w:t>
      </w:r>
      <w:r w:rsidR="00614E55">
        <w:rPr>
          <w:rFonts w:ascii="Century Schoolbook" w:hAnsi="Century Schoolbook"/>
          <w:i/>
          <w:iCs/>
        </w:rPr>
        <w:t>Elk Hills</w:t>
      </w:r>
      <w:r w:rsidR="00614E55">
        <w:rPr>
          <w:rFonts w:ascii="Century Schoolbook" w:hAnsi="Century Schoolbook"/>
        </w:rPr>
        <w:t xml:space="preserve">, </w:t>
      </w:r>
      <w:r w:rsidR="00614E55">
        <w:rPr>
          <w:rFonts w:ascii="Century Schoolbook" w:hAnsi="Century Schoolbook"/>
          <w:i/>
          <w:iCs/>
        </w:rPr>
        <w:t>supra</w:t>
      </w:r>
      <w:r w:rsidR="00614E55">
        <w:rPr>
          <w:rFonts w:ascii="Century Schoolbook" w:hAnsi="Century Schoolbook"/>
        </w:rPr>
        <w:t xml:space="preserve">, 57 Cal.4th at p. 620.)  </w:t>
      </w:r>
      <w:r w:rsidR="00013DC6">
        <w:rPr>
          <w:rFonts w:ascii="Century Schoolbook" w:hAnsi="Century Schoolbook"/>
        </w:rPr>
        <w:t xml:space="preserve">As a result, they are not taxable attributes of property.  </w:t>
      </w:r>
      <w:r w:rsidR="00087BF4">
        <w:rPr>
          <w:rFonts w:ascii="Century Schoolbook" w:hAnsi="Century Schoolbook"/>
        </w:rPr>
        <w:t xml:space="preserve">(See </w:t>
      </w:r>
      <w:r w:rsidR="00087BF4">
        <w:rPr>
          <w:rFonts w:ascii="Century Schoolbook" w:hAnsi="Century Schoolbook"/>
          <w:i/>
          <w:iCs/>
        </w:rPr>
        <w:t>DFS Group</w:t>
      </w:r>
      <w:r w:rsidR="00087BF4">
        <w:rPr>
          <w:rFonts w:ascii="Century Schoolbook" w:hAnsi="Century Schoolbook"/>
        </w:rPr>
        <w:t>, at pp. 1087</w:t>
      </w:r>
      <w:r w:rsidR="002D6B88">
        <w:rPr>
          <w:rFonts w:ascii="Century Schoolbook" w:hAnsi="Century Schoolbook"/>
        </w:rPr>
        <w:t>–</w:t>
      </w:r>
      <w:r w:rsidR="00087BF4">
        <w:rPr>
          <w:rFonts w:ascii="Century Schoolbook" w:hAnsi="Century Schoolbook"/>
        </w:rPr>
        <w:t>1088.)</w:t>
      </w:r>
    </w:p>
    <w:p w14:paraId="1CF0DD65" w14:textId="77777777" w:rsidR="00614E55" w:rsidRDefault="00653098" w:rsidP="008B7B70">
      <w:pPr>
        <w:tabs>
          <w:tab w:val="clear" w:pos="720"/>
        </w:tabs>
        <w:spacing w:line="360" w:lineRule="auto"/>
        <w:ind w:firstLine="720"/>
        <w:rPr>
          <w:rFonts w:ascii="Century Schoolbook" w:hAnsi="Century Schoolbook"/>
        </w:rPr>
      </w:pPr>
      <w:r>
        <w:rPr>
          <w:rFonts w:ascii="Century Schoolbook" w:hAnsi="Century Schoolbook"/>
        </w:rPr>
        <w:t xml:space="preserve">Likewise, “the </w:t>
      </w:r>
      <w:r w:rsidRPr="001723BD">
        <w:rPr>
          <w:rFonts w:ascii="Century Schoolbook" w:hAnsi="Century Schoolbook"/>
          <w:i/>
          <w:iCs/>
        </w:rPr>
        <w:t>sole</w:t>
      </w:r>
      <w:r>
        <w:rPr>
          <w:rFonts w:ascii="Century Schoolbook" w:hAnsi="Century Schoolbook"/>
        </w:rPr>
        <w:t xml:space="preserve"> purpose of” in-room movies and guest laundry services </w:t>
      </w:r>
      <w:proofErr w:type="gramStart"/>
      <w:r>
        <w:rPr>
          <w:rFonts w:ascii="Century Schoolbook" w:hAnsi="Century Schoolbook"/>
        </w:rPr>
        <w:t>is</w:t>
      </w:r>
      <w:proofErr w:type="gramEnd"/>
      <w:r>
        <w:rPr>
          <w:rFonts w:ascii="Century Schoolbook" w:hAnsi="Century Schoolbook"/>
        </w:rPr>
        <w:t xml:space="preserve"> </w:t>
      </w:r>
      <w:r w:rsidRPr="001723BD">
        <w:rPr>
          <w:rFonts w:ascii="Century Schoolbook" w:hAnsi="Century Schoolbook"/>
        </w:rPr>
        <w:t>not</w:t>
      </w:r>
      <w:r>
        <w:rPr>
          <w:rFonts w:ascii="Century Schoolbook" w:hAnsi="Century Schoolbook"/>
        </w:rPr>
        <w:t xml:space="preserve"> to enable the hotel </w:t>
      </w:r>
      <w:r w:rsidR="001723BD">
        <w:rPr>
          <w:rFonts w:ascii="Century Schoolbook" w:hAnsi="Century Schoolbook"/>
        </w:rPr>
        <w:t xml:space="preserve">to </w:t>
      </w:r>
      <w:r>
        <w:rPr>
          <w:rFonts w:ascii="Century Schoolbook" w:hAnsi="Century Schoolbook"/>
        </w:rPr>
        <w:t>“function and produce income.”  (</w:t>
      </w:r>
      <w:r>
        <w:rPr>
          <w:rFonts w:ascii="Century Schoolbook" w:hAnsi="Century Schoolbook"/>
          <w:i/>
          <w:iCs/>
        </w:rPr>
        <w:t>Elk Hills</w:t>
      </w:r>
      <w:r>
        <w:rPr>
          <w:rFonts w:ascii="Century Schoolbook" w:hAnsi="Century Schoolbook"/>
        </w:rPr>
        <w:t xml:space="preserve">, </w:t>
      </w:r>
      <w:r>
        <w:rPr>
          <w:rFonts w:ascii="Century Schoolbook" w:hAnsi="Century Schoolbook"/>
          <w:i/>
          <w:iCs/>
        </w:rPr>
        <w:t>supra</w:t>
      </w:r>
      <w:r>
        <w:rPr>
          <w:rFonts w:ascii="Century Schoolbook" w:hAnsi="Century Schoolbook"/>
        </w:rPr>
        <w:t>, 57 Cal.4th at p. 619</w:t>
      </w:r>
      <w:r w:rsidR="001723BD">
        <w:rPr>
          <w:rFonts w:ascii="Century Schoolbook" w:hAnsi="Century Schoolbook"/>
        </w:rPr>
        <w:t>, italics added</w:t>
      </w:r>
      <w:r>
        <w:rPr>
          <w:rFonts w:ascii="Century Schoolbook" w:hAnsi="Century Schoolbook"/>
        </w:rPr>
        <w:t xml:space="preserve">.)  Instead, these services generate a separate and identifiable stream of income </w:t>
      </w:r>
      <w:r w:rsidR="001723BD">
        <w:rPr>
          <w:rFonts w:ascii="Century Schoolbook" w:hAnsi="Century Schoolbook"/>
        </w:rPr>
        <w:t xml:space="preserve">for the hotel.  In doing so, these services “make a direct contribution to </w:t>
      </w:r>
      <w:r w:rsidR="001D4874">
        <w:rPr>
          <w:rFonts w:ascii="Century Schoolbook" w:hAnsi="Century Schoolbook"/>
        </w:rPr>
        <w:t xml:space="preserve">the </w:t>
      </w:r>
      <w:r w:rsidR="001723BD">
        <w:rPr>
          <w:rFonts w:ascii="Century Schoolbook" w:hAnsi="Century Schoolbook"/>
        </w:rPr>
        <w:t>going concern value of the” hotel “as reflected in an income stream analysis.”  (</w:t>
      </w:r>
      <w:r w:rsidR="001723BD">
        <w:rPr>
          <w:rFonts w:ascii="Century Schoolbook" w:hAnsi="Century Schoolbook"/>
          <w:i/>
          <w:iCs/>
        </w:rPr>
        <w:t>Id.</w:t>
      </w:r>
      <w:r w:rsidR="001723BD">
        <w:rPr>
          <w:rFonts w:ascii="Century Schoolbook" w:hAnsi="Century Schoolbook"/>
        </w:rPr>
        <w:t xml:space="preserve"> at p. 618.)  </w:t>
      </w:r>
      <w:r w:rsidR="001D4874">
        <w:rPr>
          <w:rFonts w:ascii="Century Schoolbook" w:hAnsi="Century Schoolbook"/>
        </w:rPr>
        <w:t>Thus</w:t>
      </w:r>
      <w:r w:rsidR="001723BD">
        <w:rPr>
          <w:rFonts w:ascii="Century Schoolbook" w:hAnsi="Century Schoolbook"/>
        </w:rPr>
        <w:t>, they have “a quantifiable fair market value that must be deducted from an income stream analysis prior to taxation.”  (</w:t>
      </w:r>
      <w:r w:rsidR="001723BD">
        <w:rPr>
          <w:rFonts w:ascii="Century Schoolbook" w:hAnsi="Century Schoolbook"/>
          <w:i/>
          <w:iCs/>
        </w:rPr>
        <w:t>Id.</w:t>
      </w:r>
      <w:r w:rsidR="001723BD">
        <w:rPr>
          <w:rFonts w:ascii="Century Schoolbook" w:hAnsi="Century Schoolbook"/>
        </w:rPr>
        <w:t xml:space="preserve"> at p</w:t>
      </w:r>
      <w:r w:rsidR="002D6B88">
        <w:rPr>
          <w:rFonts w:ascii="Century Schoolbook" w:hAnsi="Century Schoolbook"/>
        </w:rPr>
        <w:t>p</w:t>
      </w:r>
      <w:r w:rsidR="001723BD">
        <w:rPr>
          <w:rFonts w:ascii="Century Schoolbook" w:hAnsi="Century Schoolbook"/>
        </w:rPr>
        <w:t xml:space="preserve">. </w:t>
      </w:r>
      <w:r w:rsidR="002D6B88">
        <w:rPr>
          <w:rFonts w:ascii="Century Schoolbook" w:hAnsi="Century Schoolbook"/>
        </w:rPr>
        <w:t>618–</w:t>
      </w:r>
      <w:r w:rsidR="001723BD">
        <w:rPr>
          <w:rFonts w:ascii="Century Schoolbook" w:hAnsi="Century Schoolbook"/>
        </w:rPr>
        <w:t>619.)</w:t>
      </w:r>
    </w:p>
    <w:p w14:paraId="1CF0DD66" w14:textId="77777777" w:rsidR="001723BD" w:rsidRPr="001723BD" w:rsidRDefault="00653098" w:rsidP="008B7B70">
      <w:pPr>
        <w:tabs>
          <w:tab w:val="clear" w:pos="720"/>
        </w:tabs>
        <w:spacing w:line="360" w:lineRule="auto"/>
        <w:ind w:firstLine="720"/>
        <w:rPr>
          <w:rFonts w:ascii="Century Schoolbook" w:hAnsi="Century Schoolbook"/>
        </w:rPr>
      </w:pPr>
      <w:r>
        <w:rPr>
          <w:rFonts w:ascii="Century Schoolbook" w:hAnsi="Century Schoolbook"/>
        </w:rPr>
        <w:t xml:space="preserve">Accordingly, we find that the City erred when it failed to deduct </w:t>
      </w:r>
      <w:r w:rsidR="00013DC6">
        <w:rPr>
          <w:rFonts w:ascii="Century Schoolbook" w:hAnsi="Century Schoolbook"/>
        </w:rPr>
        <w:t>any</w:t>
      </w:r>
      <w:r>
        <w:rPr>
          <w:rFonts w:ascii="Century Schoolbook" w:hAnsi="Century Schoolbook"/>
        </w:rPr>
        <w:t xml:space="preserve"> </w:t>
      </w:r>
      <w:r w:rsidR="00BE379B">
        <w:rPr>
          <w:rFonts w:ascii="Century Schoolbook" w:hAnsi="Century Schoolbook"/>
        </w:rPr>
        <w:t xml:space="preserve">of the net </w:t>
      </w:r>
      <w:r>
        <w:rPr>
          <w:rFonts w:ascii="Century Schoolbook" w:hAnsi="Century Schoolbook"/>
        </w:rPr>
        <w:t xml:space="preserve">income </w:t>
      </w:r>
      <w:r w:rsidR="00BE379B">
        <w:rPr>
          <w:rFonts w:ascii="Century Schoolbook" w:hAnsi="Century Schoolbook"/>
        </w:rPr>
        <w:t>generated by</w:t>
      </w:r>
      <w:r>
        <w:rPr>
          <w:rFonts w:ascii="Century Schoolbook" w:hAnsi="Century Schoolbook"/>
        </w:rPr>
        <w:t xml:space="preserve"> in-room movies and guest laundry services from </w:t>
      </w:r>
      <w:r w:rsidR="009001C7">
        <w:rPr>
          <w:rFonts w:ascii="Century Schoolbook" w:hAnsi="Century Schoolbook"/>
        </w:rPr>
        <w:t>the hotel’s</w:t>
      </w:r>
      <w:r>
        <w:rPr>
          <w:rFonts w:ascii="Century Schoolbook" w:hAnsi="Century Schoolbook"/>
        </w:rPr>
        <w:t xml:space="preserve"> net operating income</w:t>
      </w:r>
      <w:r w:rsidR="001D4874">
        <w:rPr>
          <w:rFonts w:ascii="Century Schoolbook" w:hAnsi="Century Schoolbook"/>
        </w:rPr>
        <w:t xml:space="preserve"> </w:t>
      </w:r>
      <w:r w:rsidR="00DA3437">
        <w:rPr>
          <w:rFonts w:ascii="Century Schoolbook" w:hAnsi="Century Schoolbook"/>
        </w:rPr>
        <w:t>in applying</w:t>
      </w:r>
      <w:r w:rsidR="001D4874">
        <w:rPr>
          <w:rFonts w:ascii="Century Schoolbook" w:hAnsi="Century Schoolbook"/>
        </w:rPr>
        <w:t xml:space="preserve"> the income approach</w:t>
      </w:r>
      <w:r>
        <w:rPr>
          <w:rFonts w:ascii="Century Schoolbook" w:hAnsi="Century Schoolbook"/>
        </w:rPr>
        <w:t>.</w:t>
      </w:r>
      <w:r>
        <w:rPr>
          <w:rStyle w:val="FootnoteReference"/>
          <w:rFonts w:ascii="Century Schoolbook" w:hAnsi="Century Schoolbook"/>
        </w:rPr>
        <w:footnoteReference w:id="10"/>
      </w:r>
      <w:r>
        <w:rPr>
          <w:rFonts w:ascii="Century Schoolbook" w:hAnsi="Century Schoolbook"/>
        </w:rPr>
        <w:t xml:space="preserve">  But </w:t>
      </w:r>
      <w:r w:rsidR="009001C7">
        <w:rPr>
          <w:rFonts w:ascii="Century Schoolbook" w:hAnsi="Century Schoolbook"/>
        </w:rPr>
        <w:t xml:space="preserve">the </w:t>
      </w:r>
      <w:r w:rsidR="009001C7">
        <w:rPr>
          <w:rFonts w:ascii="Century Schoolbook" w:hAnsi="Century Schoolbook"/>
        </w:rPr>
        <w:lastRenderedPageBreak/>
        <w:t>City</w:t>
      </w:r>
      <w:r>
        <w:rPr>
          <w:rFonts w:ascii="Century Schoolbook" w:hAnsi="Century Schoolbook"/>
        </w:rPr>
        <w:t xml:space="preserve"> did not err when it declined to deduct the hotel’s cancellation/no show/attrition income.</w:t>
      </w:r>
    </w:p>
    <w:p w14:paraId="1CF0DD67" w14:textId="77777777" w:rsidR="00ED6FC0" w:rsidRDefault="00653098" w:rsidP="00ED6FC0">
      <w:pPr>
        <w:pStyle w:val="ListParagraph"/>
        <w:numPr>
          <w:ilvl w:val="0"/>
          <w:numId w:val="5"/>
        </w:numPr>
        <w:tabs>
          <w:tab w:val="clear" w:pos="720"/>
        </w:tabs>
        <w:spacing w:line="360" w:lineRule="auto"/>
        <w:rPr>
          <w:rFonts w:ascii="Century Schoolbook" w:hAnsi="Century Schoolbook"/>
          <w:b/>
          <w:bCs/>
        </w:rPr>
      </w:pPr>
      <w:r>
        <w:rPr>
          <w:rFonts w:ascii="Century Schoolbook" w:hAnsi="Century Schoolbook"/>
          <w:b/>
          <w:bCs/>
        </w:rPr>
        <w:t>Requests for Judicial Notice</w:t>
      </w:r>
    </w:p>
    <w:p w14:paraId="1CF0DD68" w14:textId="77777777" w:rsidR="00072E8B" w:rsidRDefault="00653098" w:rsidP="00ED6FC0">
      <w:pPr>
        <w:tabs>
          <w:tab w:val="clear" w:pos="720"/>
        </w:tabs>
        <w:spacing w:line="360" w:lineRule="auto"/>
        <w:ind w:firstLine="720"/>
        <w:rPr>
          <w:rFonts w:ascii="Century Schoolbook" w:hAnsi="Century Schoolbook"/>
        </w:rPr>
      </w:pPr>
      <w:r>
        <w:rPr>
          <w:rFonts w:ascii="Century Schoolbook" w:hAnsi="Century Schoolbook"/>
        </w:rPr>
        <w:t>The City</w:t>
      </w:r>
      <w:r w:rsidR="008771AA">
        <w:rPr>
          <w:rFonts w:ascii="Century Schoolbook" w:hAnsi="Century Schoolbook"/>
        </w:rPr>
        <w:t xml:space="preserve">’s </w:t>
      </w:r>
      <w:r w:rsidR="00ED6FC0" w:rsidRPr="00ED6FC0">
        <w:rPr>
          <w:rFonts w:ascii="Century Schoolbook" w:hAnsi="Century Schoolbook"/>
        </w:rPr>
        <w:t xml:space="preserve">unopposed request to take judicial notice of portions of the Assessors’ Handbook </w:t>
      </w:r>
      <w:r w:rsidR="008771AA">
        <w:rPr>
          <w:rFonts w:ascii="Century Schoolbook" w:hAnsi="Century Schoolbook"/>
        </w:rPr>
        <w:t xml:space="preserve">and the Strategic Plaintiffs’ </w:t>
      </w:r>
      <w:r w:rsidR="002F624E">
        <w:rPr>
          <w:rFonts w:ascii="Century Schoolbook" w:hAnsi="Century Schoolbook"/>
        </w:rPr>
        <w:t xml:space="preserve">unopposed </w:t>
      </w:r>
      <w:r w:rsidR="008771AA">
        <w:rPr>
          <w:rFonts w:ascii="Century Schoolbook" w:hAnsi="Century Schoolbook"/>
        </w:rPr>
        <w:t xml:space="preserve">request to take judicial notice of portions of the Assessment Appeals Manual are </w:t>
      </w:r>
      <w:r w:rsidR="00ED6FC0" w:rsidRPr="00ED6FC0">
        <w:rPr>
          <w:rFonts w:ascii="Century Schoolbook" w:hAnsi="Century Schoolbook"/>
        </w:rPr>
        <w:t>granted.</w:t>
      </w:r>
      <w:r w:rsidR="00ED6FC0">
        <w:rPr>
          <w:rFonts w:ascii="Century Schoolbook" w:hAnsi="Century Schoolbook"/>
        </w:rPr>
        <w:t xml:space="preserve">  (See </w:t>
      </w:r>
      <w:r w:rsidR="00ED6FC0">
        <w:rPr>
          <w:rFonts w:ascii="Century Schoolbook" w:hAnsi="Century Schoolbook"/>
          <w:i/>
          <w:iCs/>
        </w:rPr>
        <w:t xml:space="preserve">Hunt-Wesson Foods, Inc. v. County of Alameda </w:t>
      </w:r>
      <w:r w:rsidR="00ED6FC0">
        <w:rPr>
          <w:rFonts w:ascii="Century Schoolbook" w:hAnsi="Century Schoolbook"/>
        </w:rPr>
        <w:t xml:space="preserve">(1974) 41 Cal.App.3d 163, 180 [“It is well established that assessor’s handbooks are subject to judicial notice by the courts”].)  The Strategic Plaintiffs’ request for judicial notice of </w:t>
      </w:r>
      <w:r w:rsidR="008771AA">
        <w:rPr>
          <w:rFonts w:ascii="Century Schoolbook" w:hAnsi="Century Schoolbook"/>
        </w:rPr>
        <w:t>an unpublished</w:t>
      </w:r>
      <w:r w:rsidR="00ED6FC0">
        <w:rPr>
          <w:rFonts w:ascii="Century Schoolbook" w:hAnsi="Century Schoolbook"/>
        </w:rPr>
        <w:t xml:space="preserve"> superior court </w:t>
      </w:r>
      <w:r w:rsidR="008771AA">
        <w:rPr>
          <w:rFonts w:ascii="Century Schoolbook" w:hAnsi="Century Schoolbook"/>
        </w:rPr>
        <w:t xml:space="preserve">decision </w:t>
      </w:r>
      <w:r w:rsidR="00ED6FC0">
        <w:rPr>
          <w:rFonts w:ascii="Century Schoolbook" w:hAnsi="Century Schoolbook"/>
        </w:rPr>
        <w:t xml:space="preserve">is denied.  (See </w:t>
      </w:r>
      <w:r w:rsidR="00ED6FC0">
        <w:rPr>
          <w:rFonts w:ascii="Century Schoolbook" w:hAnsi="Century Schoolbook"/>
          <w:i/>
          <w:iCs/>
        </w:rPr>
        <w:t xml:space="preserve">Engine Manufacturers Assn. v. State Air Resources Bd. </w:t>
      </w:r>
      <w:r w:rsidR="00ED6FC0">
        <w:rPr>
          <w:rFonts w:ascii="Century Schoolbook" w:hAnsi="Century Schoolbook"/>
        </w:rPr>
        <w:t xml:space="preserve">(2014) 231 Cal.App.4th 1022, 1032, fn. 7 [declining to take judicial notice of unpublished superior court decision]; </w:t>
      </w:r>
      <w:r w:rsidR="00ED6FC0">
        <w:rPr>
          <w:rFonts w:ascii="Century Schoolbook" w:hAnsi="Century Schoolbook"/>
          <w:i/>
          <w:iCs/>
        </w:rPr>
        <w:t xml:space="preserve">Pereira-Goodman v. Anderson </w:t>
      </w:r>
      <w:r w:rsidR="00ED6FC0">
        <w:rPr>
          <w:rFonts w:ascii="Century Schoolbook" w:hAnsi="Century Schoolbook"/>
        </w:rPr>
        <w:t>(1997) 54 Cal.App.4th 864, 872, fn. 5 [declining to take judicial notice of superior court decisions because they “do not have precedential value”].)  Likewise, their request for judicial notice of out-of-state cases is denied because th</w:t>
      </w:r>
      <w:r>
        <w:rPr>
          <w:rFonts w:ascii="Century Schoolbook" w:hAnsi="Century Schoolbook"/>
        </w:rPr>
        <w:t>ose cases</w:t>
      </w:r>
      <w:r w:rsidR="00ED6FC0">
        <w:rPr>
          <w:rFonts w:ascii="Century Schoolbook" w:hAnsi="Century Schoolbook"/>
        </w:rPr>
        <w:t xml:space="preserve"> “are citable authority without the need for judicial notice.”  (</w:t>
      </w:r>
      <w:r w:rsidR="00ED6FC0">
        <w:rPr>
          <w:rFonts w:ascii="Century Schoolbook" w:hAnsi="Century Schoolbook"/>
          <w:i/>
          <w:iCs/>
        </w:rPr>
        <w:t xml:space="preserve">Randy’s Trucking, Inc. v. Superior Court </w:t>
      </w:r>
      <w:r w:rsidR="008771AA">
        <w:rPr>
          <w:rFonts w:ascii="Century Schoolbook" w:hAnsi="Century Schoolbook"/>
        </w:rPr>
        <w:t>(2023) 91 Cal.App.5th 818,</w:t>
      </w:r>
      <w:r w:rsidR="002D6B88">
        <w:rPr>
          <w:rFonts w:ascii="Century Schoolbook" w:hAnsi="Century Schoolbook"/>
        </w:rPr>
        <w:t xml:space="preserve"> 842,</w:t>
      </w:r>
      <w:r w:rsidR="008771AA">
        <w:rPr>
          <w:rFonts w:ascii="Century Schoolbook" w:hAnsi="Century Schoolbook"/>
        </w:rPr>
        <w:t xml:space="preserve"> fn. 15.)  Finally, their request for judicial notice of two articles from </w:t>
      </w:r>
      <w:r w:rsidR="008771AA">
        <w:rPr>
          <w:rFonts w:ascii="Century Schoolbook" w:hAnsi="Century Schoolbook"/>
          <w:i/>
          <w:iCs/>
        </w:rPr>
        <w:t>California Tax Lawyer</w:t>
      </w:r>
      <w:r w:rsidR="008771AA">
        <w:rPr>
          <w:rFonts w:ascii="Century Schoolbook" w:hAnsi="Century Schoolbook"/>
        </w:rPr>
        <w:t xml:space="preserve"> is denied.  (See</w:t>
      </w:r>
      <w:r w:rsidR="008771AA">
        <w:rPr>
          <w:rFonts w:ascii="Century Schoolbook" w:hAnsi="Century Schoolbook"/>
          <w:i/>
          <w:iCs/>
        </w:rPr>
        <w:t xml:space="preserve"> Bullock v. City of Antioch </w:t>
      </w:r>
      <w:r w:rsidR="008771AA">
        <w:rPr>
          <w:rFonts w:ascii="Century Schoolbook" w:hAnsi="Century Schoolbook"/>
        </w:rPr>
        <w:t>(2022) 78 Cal.App.5th 407, 417, fn. 7 [“Law review and journal articles are not a proper subject of judicial notice”].)</w:t>
      </w:r>
    </w:p>
    <w:p w14:paraId="1CF0DD69" w14:textId="77777777" w:rsidR="001A2E69" w:rsidRDefault="00653098" w:rsidP="001A2E69">
      <w:pPr>
        <w:pStyle w:val="ListParagraph"/>
        <w:numPr>
          <w:ilvl w:val="0"/>
          <w:numId w:val="5"/>
        </w:numPr>
        <w:tabs>
          <w:tab w:val="clear" w:pos="720"/>
        </w:tabs>
        <w:spacing w:line="360" w:lineRule="auto"/>
        <w:rPr>
          <w:rFonts w:ascii="Century Schoolbook" w:hAnsi="Century Schoolbook"/>
          <w:b/>
          <w:bCs/>
        </w:rPr>
      </w:pPr>
      <w:r>
        <w:rPr>
          <w:rFonts w:ascii="Century Schoolbook" w:hAnsi="Century Schoolbook"/>
          <w:b/>
          <w:bCs/>
        </w:rPr>
        <w:t>Conclusion</w:t>
      </w:r>
    </w:p>
    <w:p w14:paraId="1CF0DD6A" w14:textId="77777777" w:rsidR="003A1FB6" w:rsidRDefault="00653098" w:rsidP="001A2E69">
      <w:pPr>
        <w:tabs>
          <w:tab w:val="clear" w:pos="720"/>
        </w:tabs>
        <w:spacing w:line="360" w:lineRule="auto"/>
        <w:ind w:firstLine="720"/>
        <w:rPr>
          <w:rFonts w:ascii="Century Schoolbook" w:hAnsi="Century Schoolbook"/>
        </w:rPr>
      </w:pPr>
      <w:r>
        <w:rPr>
          <w:rFonts w:ascii="Century Schoolbook" w:hAnsi="Century Schoolbook"/>
        </w:rPr>
        <w:t xml:space="preserve">In assessing the hotel, the Board used a legally erroneous methodology that, by its nature, did not remove the full value of three nontaxable, intangible assets—the management agreement, in-room movies, and guest laundry services—from the taxable value of </w:t>
      </w:r>
      <w:r>
        <w:rPr>
          <w:rFonts w:ascii="Century Schoolbook" w:hAnsi="Century Schoolbook"/>
        </w:rPr>
        <w:t>the hotel.  Accordingly</w:t>
      </w:r>
      <w:r w:rsidR="001A2E69">
        <w:rPr>
          <w:rFonts w:ascii="Century Schoolbook" w:hAnsi="Century Schoolbook"/>
        </w:rPr>
        <w:t>, “it is necessary to return this matter to the Board for a reassessment hearing.</w:t>
      </w:r>
      <w:r>
        <w:rPr>
          <w:rFonts w:ascii="Century Schoolbook" w:hAnsi="Century Schoolbook"/>
        </w:rPr>
        <w:t xml:space="preserve">”  </w:t>
      </w:r>
      <w:r>
        <w:rPr>
          <w:rFonts w:ascii="Century Schoolbook" w:hAnsi="Century Schoolbook"/>
        </w:rPr>
        <w:lastRenderedPageBreak/>
        <w:t>(</w:t>
      </w:r>
      <w:r>
        <w:rPr>
          <w:rFonts w:ascii="Century Schoolbook" w:hAnsi="Century Schoolbook"/>
          <w:i/>
          <w:iCs/>
        </w:rPr>
        <w:t>DFS Group</w:t>
      </w:r>
      <w:r>
        <w:rPr>
          <w:rFonts w:ascii="Century Schoolbook" w:hAnsi="Century Schoolbook"/>
        </w:rPr>
        <w:t xml:space="preserve">, </w:t>
      </w:r>
      <w:r>
        <w:rPr>
          <w:rFonts w:ascii="Century Schoolbook" w:hAnsi="Century Schoolbook"/>
          <w:i/>
          <w:iCs/>
        </w:rPr>
        <w:t>supra</w:t>
      </w:r>
      <w:r>
        <w:rPr>
          <w:rFonts w:ascii="Century Schoolbook" w:hAnsi="Century Schoolbook"/>
        </w:rPr>
        <w:t>, 31 Cal.App.5th at p. 1088.)</w:t>
      </w:r>
      <w:r w:rsidR="001A2E69">
        <w:rPr>
          <w:rFonts w:ascii="Century Schoolbook" w:hAnsi="Century Schoolbook"/>
        </w:rPr>
        <w:t xml:space="preserve">  </w:t>
      </w:r>
      <w:r>
        <w:rPr>
          <w:rFonts w:ascii="Century Schoolbook" w:hAnsi="Century Schoolbook"/>
        </w:rPr>
        <w:t>In that hearing, "[t]</w:t>
      </w:r>
      <w:r w:rsidR="001A2E69">
        <w:rPr>
          <w:rFonts w:ascii="Century Schoolbook" w:hAnsi="Century Schoolbook"/>
        </w:rPr>
        <w:t>he Board may reopen the record to allow the parties to present additional evidence on valuation of the intangible and possessory interests at issue.”  (</w:t>
      </w:r>
      <w:r>
        <w:rPr>
          <w:rFonts w:ascii="Century Schoolbook" w:hAnsi="Century Schoolbook"/>
          <w:i/>
          <w:iCs/>
        </w:rPr>
        <w:t>Id.</w:t>
      </w:r>
      <w:r w:rsidR="001A2E69">
        <w:rPr>
          <w:rFonts w:ascii="Century Schoolbook" w:hAnsi="Century Schoolbook"/>
        </w:rPr>
        <w:t xml:space="preserve"> at </w:t>
      </w:r>
    </w:p>
    <w:p w14:paraId="1CF0DD6B" w14:textId="77777777" w:rsidR="001A2E69" w:rsidRPr="002D6B88" w:rsidRDefault="00653098" w:rsidP="003A1FB6">
      <w:pPr>
        <w:tabs>
          <w:tab w:val="clear" w:pos="720"/>
        </w:tabs>
        <w:spacing w:line="360" w:lineRule="auto"/>
        <w:rPr>
          <w:rFonts w:ascii="Century Schoolbook" w:hAnsi="Century Schoolbook"/>
        </w:rPr>
      </w:pPr>
      <w:r>
        <w:rPr>
          <w:rFonts w:ascii="Century Schoolbook" w:hAnsi="Century Schoolbook"/>
        </w:rPr>
        <w:t>pp. 1088</w:t>
      </w:r>
      <w:r w:rsidR="002D6B88">
        <w:rPr>
          <w:rFonts w:ascii="Century Schoolbook" w:hAnsi="Century Schoolbook"/>
        </w:rPr>
        <w:t>–</w:t>
      </w:r>
      <w:r>
        <w:rPr>
          <w:rFonts w:ascii="Century Schoolbook" w:hAnsi="Century Schoolbook"/>
        </w:rPr>
        <w:t>1089.)</w:t>
      </w:r>
    </w:p>
    <w:p w14:paraId="1CF0DD6C" w14:textId="77777777" w:rsidR="00995315" w:rsidRPr="00511774" w:rsidRDefault="00653098" w:rsidP="00CD2548">
      <w:pPr>
        <w:keepNext/>
        <w:tabs>
          <w:tab w:val="clear" w:pos="720"/>
        </w:tabs>
        <w:spacing w:line="360" w:lineRule="auto"/>
        <w:jc w:val="center"/>
        <w:rPr>
          <w:rFonts w:ascii="Century Schoolbook" w:hAnsi="Century Schoolbook"/>
          <w:b/>
          <w:bCs/>
        </w:rPr>
      </w:pPr>
      <w:r w:rsidRPr="00511774">
        <w:rPr>
          <w:rFonts w:ascii="Century Schoolbook" w:hAnsi="Century Schoolbook"/>
          <w:b/>
          <w:bCs/>
        </w:rPr>
        <w:t>DISPOSITION</w:t>
      </w:r>
    </w:p>
    <w:p w14:paraId="1CF0DD6D" w14:textId="77777777" w:rsidR="00EA4FC0" w:rsidRDefault="00653098" w:rsidP="00220E04">
      <w:pPr>
        <w:tabs>
          <w:tab w:val="clear" w:pos="720"/>
        </w:tabs>
        <w:spacing w:line="360" w:lineRule="auto"/>
        <w:ind w:firstLine="720"/>
        <w:rPr>
          <w:rFonts w:ascii="Century Schoolbook" w:hAnsi="Century Schoolbook"/>
        </w:rPr>
      </w:pPr>
      <w:r>
        <w:rPr>
          <w:rFonts w:ascii="Century Schoolbook" w:hAnsi="Century Schoolbook"/>
        </w:rPr>
        <w:t>The trial court’s judgment is affirmed in part and reversed in part, and the matter is remanded for further proceedings consistent with this decisio</w:t>
      </w:r>
      <w:r>
        <w:rPr>
          <w:rFonts w:ascii="Century Schoolbook" w:hAnsi="Century Schoolbook"/>
        </w:rPr>
        <w:t xml:space="preserve">n.  Costs on appeal are awarded to </w:t>
      </w:r>
      <w:r w:rsidR="0000583D">
        <w:rPr>
          <w:rFonts w:ascii="Century Schoolbook" w:hAnsi="Century Schoolbook"/>
        </w:rPr>
        <w:t>the Strategic Plaintiffs</w:t>
      </w:r>
      <w:r w:rsidR="00220E04">
        <w:rPr>
          <w:rFonts w:ascii="Century Schoolbook" w:hAnsi="Century Schoolbook"/>
        </w:rPr>
        <w:t>.</w:t>
      </w:r>
    </w:p>
    <w:p w14:paraId="1CF0DD6E" w14:textId="77777777" w:rsidR="00052C0A" w:rsidRDefault="00052C0A" w:rsidP="00220E04">
      <w:pPr>
        <w:tabs>
          <w:tab w:val="clear" w:pos="720"/>
        </w:tabs>
        <w:spacing w:line="360" w:lineRule="auto"/>
        <w:ind w:firstLine="720"/>
        <w:rPr>
          <w:rFonts w:ascii="Century Schoolbook" w:hAnsi="Century Schoolbook"/>
        </w:rPr>
      </w:pPr>
    </w:p>
    <w:p w14:paraId="1CF0DD6F" w14:textId="77777777" w:rsidR="00052C0A" w:rsidRDefault="00052C0A" w:rsidP="00220E04">
      <w:pPr>
        <w:tabs>
          <w:tab w:val="clear" w:pos="720"/>
        </w:tabs>
        <w:spacing w:line="360" w:lineRule="auto"/>
        <w:ind w:firstLine="720"/>
        <w:rPr>
          <w:rFonts w:ascii="Century Schoolbook" w:hAnsi="Century Schoolbook"/>
        </w:rPr>
      </w:pPr>
    </w:p>
    <w:p w14:paraId="1CF0DD70" w14:textId="77777777" w:rsidR="00052C0A" w:rsidRDefault="00052C0A" w:rsidP="00220E04">
      <w:pPr>
        <w:tabs>
          <w:tab w:val="clear" w:pos="720"/>
        </w:tabs>
        <w:spacing w:line="360" w:lineRule="auto"/>
        <w:ind w:firstLine="720"/>
        <w:rPr>
          <w:rFonts w:ascii="Century Schoolbook" w:hAnsi="Century Schoolbook"/>
        </w:rPr>
      </w:pPr>
    </w:p>
    <w:p w14:paraId="1CF0DD71" w14:textId="77777777" w:rsidR="00052C0A" w:rsidRDefault="00052C0A" w:rsidP="00220E04">
      <w:pPr>
        <w:tabs>
          <w:tab w:val="clear" w:pos="720"/>
        </w:tabs>
        <w:spacing w:line="360" w:lineRule="auto"/>
        <w:ind w:firstLine="720"/>
        <w:rPr>
          <w:rFonts w:ascii="Century Schoolbook" w:hAnsi="Century Schoolbook"/>
        </w:rPr>
      </w:pPr>
    </w:p>
    <w:p w14:paraId="1CF0DD72" w14:textId="77777777" w:rsidR="00052C0A" w:rsidRDefault="00052C0A" w:rsidP="00052C0A">
      <w:pPr>
        <w:pStyle w:val="BodyText"/>
        <w:spacing w:line="360" w:lineRule="auto"/>
        <w:rPr>
          <w:rFonts w:ascii="Century Schoolbook" w:hAnsi="Century Schoolbook"/>
        </w:rPr>
      </w:pPr>
    </w:p>
    <w:p w14:paraId="1CF0DD73" w14:textId="77777777" w:rsidR="00052C0A" w:rsidRDefault="00052C0A" w:rsidP="00052C0A">
      <w:pPr>
        <w:pStyle w:val="BodyText"/>
        <w:spacing w:line="360" w:lineRule="auto"/>
        <w:rPr>
          <w:rFonts w:ascii="Century Schoolbook" w:hAnsi="Century Schoolbook"/>
        </w:rPr>
      </w:pPr>
    </w:p>
    <w:p w14:paraId="1CF0DD74" w14:textId="77777777" w:rsidR="00052C0A" w:rsidRDefault="00052C0A" w:rsidP="00052C0A">
      <w:pPr>
        <w:pStyle w:val="BodyText"/>
        <w:spacing w:line="360" w:lineRule="auto"/>
        <w:rPr>
          <w:rFonts w:ascii="Century Schoolbook" w:hAnsi="Century Schoolbook"/>
        </w:rPr>
      </w:pPr>
    </w:p>
    <w:p w14:paraId="1CF0DD75" w14:textId="77777777" w:rsidR="00052C0A" w:rsidRDefault="00052C0A" w:rsidP="00052C0A">
      <w:pPr>
        <w:pStyle w:val="BodyText"/>
        <w:spacing w:line="360" w:lineRule="auto"/>
        <w:rPr>
          <w:rFonts w:ascii="Century Schoolbook" w:hAnsi="Century Schoolbook"/>
        </w:rPr>
      </w:pPr>
    </w:p>
    <w:p w14:paraId="1CF0DD76" w14:textId="77777777" w:rsidR="00052C0A" w:rsidRPr="00AA32CD" w:rsidRDefault="00052C0A" w:rsidP="00052C0A">
      <w:pPr>
        <w:spacing w:line="360" w:lineRule="auto"/>
        <w:rPr>
          <w:rFonts w:ascii="Century Schoolbook" w:hAnsi="Century Schoolbook"/>
        </w:rPr>
      </w:pPr>
    </w:p>
    <w:p w14:paraId="1CF0DD77" w14:textId="77777777" w:rsidR="00052C0A" w:rsidRDefault="00052C0A" w:rsidP="00052C0A">
      <w:pPr>
        <w:spacing w:line="360" w:lineRule="auto"/>
        <w:rPr>
          <w:rFonts w:ascii="Century Schoolbook" w:hAnsi="Century Schoolbook"/>
        </w:rPr>
      </w:pPr>
    </w:p>
    <w:p w14:paraId="1CF0DD78" w14:textId="77777777" w:rsidR="003A1FB6" w:rsidRDefault="003A1FB6" w:rsidP="00052C0A">
      <w:pPr>
        <w:spacing w:line="360" w:lineRule="auto"/>
        <w:rPr>
          <w:rFonts w:ascii="Century Schoolbook" w:hAnsi="Century Schoolbook"/>
        </w:rPr>
      </w:pPr>
    </w:p>
    <w:p w14:paraId="1CF0DD79" w14:textId="77777777" w:rsidR="003A1FB6" w:rsidRDefault="003A1FB6" w:rsidP="00052C0A">
      <w:pPr>
        <w:spacing w:line="360" w:lineRule="auto"/>
        <w:rPr>
          <w:rFonts w:ascii="Century Schoolbook" w:hAnsi="Century Schoolbook"/>
        </w:rPr>
      </w:pPr>
    </w:p>
    <w:p w14:paraId="1CF0DD7A" w14:textId="77777777" w:rsidR="003A1FB6" w:rsidRDefault="003A1FB6" w:rsidP="00052C0A">
      <w:pPr>
        <w:spacing w:line="360" w:lineRule="auto"/>
        <w:rPr>
          <w:rFonts w:ascii="Century Schoolbook" w:hAnsi="Century Schoolbook"/>
        </w:rPr>
      </w:pPr>
    </w:p>
    <w:p w14:paraId="1CF0DD7B" w14:textId="77777777" w:rsidR="003A1FB6" w:rsidRDefault="003A1FB6" w:rsidP="00052C0A">
      <w:pPr>
        <w:spacing w:line="360" w:lineRule="auto"/>
        <w:rPr>
          <w:rFonts w:ascii="Century Schoolbook" w:hAnsi="Century Schoolbook"/>
        </w:rPr>
      </w:pPr>
    </w:p>
    <w:p w14:paraId="1CF0DD7C" w14:textId="77777777" w:rsidR="003A1FB6" w:rsidRDefault="003A1FB6" w:rsidP="00052C0A">
      <w:pPr>
        <w:spacing w:line="360" w:lineRule="auto"/>
        <w:rPr>
          <w:rFonts w:ascii="Century Schoolbook" w:hAnsi="Century Schoolbook"/>
        </w:rPr>
      </w:pPr>
    </w:p>
    <w:p w14:paraId="1CF0DD7D" w14:textId="77777777" w:rsidR="003A1FB6" w:rsidRDefault="003A1FB6" w:rsidP="00052C0A">
      <w:pPr>
        <w:spacing w:line="360" w:lineRule="auto"/>
        <w:rPr>
          <w:rFonts w:ascii="Century Schoolbook" w:hAnsi="Century Schoolbook"/>
        </w:rPr>
      </w:pPr>
    </w:p>
    <w:p w14:paraId="1CF0DD7E" w14:textId="77777777" w:rsidR="003A1FB6" w:rsidRDefault="003A1FB6" w:rsidP="00052C0A">
      <w:pPr>
        <w:spacing w:line="360" w:lineRule="auto"/>
        <w:rPr>
          <w:rFonts w:ascii="Century Schoolbook" w:hAnsi="Century Schoolbook"/>
        </w:rPr>
      </w:pPr>
    </w:p>
    <w:p w14:paraId="1CF0DD7F" w14:textId="77777777" w:rsidR="003A1FB6" w:rsidRDefault="003A1FB6" w:rsidP="00052C0A">
      <w:pPr>
        <w:spacing w:line="360" w:lineRule="auto"/>
        <w:rPr>
          <w:rFonts w:ascii="Century Schoolbook" w:hAnsi="Century Schoolbook"/>
        </w:rPr>
      </w:pPr>
    </w:p>
    <w:p w14:paraId="1CF0DD80" w14:textId="77777777" w:rsidR="003A1FB6" w:rsidRDefault="003A1FB6" w:rsidP="00052C0A">
      <w:pPr>
        <w:spacing w:line="360" w:lineRule="auto"/>
        <w:rPr>
          <w:rFonts w:ascii="Century Schoolbook" w:hAnsi="Century Schoolbook"/>
        </w:rPr>
      </w:pPr>
    </w:p>
    <w:p w14:paraId="1CF0DD81" w14:textId="77777777" w:rsidR="003A1FB6" w:rsidRDefault="003A1FB6" w:rsidP="00052C0A">
      <w:pPr>
        <w:spacing w:line="360" w:lineRule="auto"/>
        <w:rPr>
          <w:rFonts w:ascii="Century Schoolbook" w:hAnsi="Century Schoolbook"/>
        </w:rPr>
      </w:pPr>
    </w:p>
    <w:p w14:paraId="1CF0DD82" w14:textId="77777777" w:rsidR="003A1FB6" w:rsidRPr="00AA32CD" w:rsidRDefault="003A1FB6" w:rsidP="00052C0A">
      <w:pPr>
        <w:spacing w:line="360" w:lineRule="auto"/>
        <w:rPr>
          <w:rFonts w:ascii="Century Schoolbook" w:hAnsi="Century Schoolbook"/>
        </w:rPr>
      </w:pPr>
    </w:p>
    <w:p w14:paraId="1CF0DD83" w14:textId="77777777" w:rsidR="00052C0A" w:rsidRPr="00AA32CD" w:rsidRDefault="00653098" w:rsidP="00052C0A">
      <w:pPr>
        <w:spacing w:line="360" w:lineRule="auto"/>
        <w:rPr>
          <w:rFonts w:ascii="Century Schoolbook" w:hAnsi="Century Schoolbook"/>
        </w:rPr>
      </w:pPr>
      <w:r w:rsidRPr="00AA32CD">
        <w:rPr>
          <w:rFonts w:ascii="Century Schoolbook" w:hAnsi="Century Schoolbook"/>
        </w:rPr>
        <w:tab/>
      </w:r>
      <w:r w:rsidRPr="00AA32CD">
        <w:rPr>
          <w:rFonts w:ascii="Century Schoolbook" w:hAnsi="Century Schoolbook"/>
        </w:rPr>
        <w:tab/>
      </w:r>
      <w:r w:rsidRPr="00AA32CD">
        <w:rPr>
          <w:rFonts w:ascii="Century Schoolbook" w:hAnsi="Century Schoolbook"/>
        </w:rPr>
        <w:tab/>
      </w:r>
      <w:r w:rsidRPr="00AA32CD">
        <w:rPr>
          <w:rFonts w:ascii="Century Schoolbook" w:hAnsi="Century Schoolbook"/>
        </w:rPr>
        <w:tab/>
      </w:r>
      <w:r w:rsidRPr="00AA32CD">
        <w:rPr>
          <w:rFonts w:ascii="Century Schoolbook" w:hAnsi="Century Schoolbook"/>
        </w:rPr>
        <w:tab/>
      </w:r>
      <w:r w:rsidRPr="00AA32CD">
        <w:rPr>
          <w:rFonts w:ascii="Century Schoolbook" w:hAnsi="Century Schoolbook"/>
        </w:rPr>
        <w:tab/>
      </w:r>
      <w:r w:rsidRPr="00AA32CD">
        <w:rPr>
          <w:rFonts w:ascii="Century Schoolbook" w:hAnsi="Century Schoolbook"/>
        </w:rPr>
        <w:tab/>
        <w:t>_________________________</w:t>
      </w:r>
    </w:p>
    <w:p w14:paraId="1CF0DD84" w14:textId="77777777" w:rsidR="00052C0A" w:rsidRPr="00AA32CD" w:rsidRDefault="00653098" w:rsidP="00052C0A">
      <w:pPr>
        <w:rPr>
          <w:rFonts w:ascii="Century Schoolbook" w:hAnsi="Century Schoolbook"/>
        </w:rPr>
      </w:pPr>
      <w:r w:rsidRPr="00AA32CD">
        <w:rPr>
          <w:rFonts w:ascii="Century Schoolbook" w:hAnsi="Century Schoolbook"/>
        </w:rPr>
        <w:tab/>
      </w:r>
      <w:r w:rsidRPr="00AA32CD">
        <w:rPr>
          <w:rFonts w:ascii="Century Schoolbook" w:hAnsi="Century Schoolbook"/>
        </w:rPr>
        <w:tab/>
      </w:r>
      <w:r w:rsidRPr="00AA32CD">
        <w:rPr>
          <w:rFonts w:ascii="Century Schoolbook" w:hAnsi="Century Schoolbook"/>
        </w:rPr>
        <w:tab/>
      </w:r>
      <w:r w:rsidRPr="00AA32CD">
        <w:rPr>
          <w:rFonts w:ascii="Century Schoolbook" w:hAnsi="Century Schoolbook"/>
        </w:rPr>
        <w:tab/>
      </w:r>
      <w:r w:rsidRPr="00AA32CD">
        <w:rPr>
          <w:rFonts w:ascii="Century Schoolbook" w:hAnsi="Century Schoolbook"/>
        </w:rPr>
        <w:tab/>
      </w:r>
      <w:r w:rsidRPr="00AA32CD">
        <w:rPr>
          <w:rFonts w:ascii="Century Schoolbook" w:hAnsi="Century Schoolbook"/>
        </w:rPr>
        <w:tab/>
      </w:r>
      <w:r w:rsidRPr="00AA32CD">
        <w:rPr>
          <w:rFonts w:ascii="Century Schoolbook" w:hAnsi="Century Schoolbook"/>
        </w:rPr>
        <w:tab/>
        <w:t xml:space="preserve">Chou, J. </w:t>
      </w:r>
    </w:p>
    <w:p w14:paraId="1CF0DD85" w14:textId="77777777" w:rsidR="00052C0A" w:rsidRPr="00AA32CD" w:rsidRDefault="00052C0A" w:rsidP="00052C0A">
      <w:pPr>
        <w:spacing w:line="360" w:lineRule="auto"/>
        <w:rPr>
          <w:rFonts w:ascii="Century Schoolbook" w:hAnsi="Century Schoolbook"/>
        </w:rPr>
      </w:pPr>
    </w:p>
    <w:p w14:paraId="1CF0DD86" w14:textId="77777777" w:rsidR="00052C0A" w:rsidRPr="00AA32CD" w:rsidRDefault="00052C0A" w:rsidP="00052C0A">
      <w:pPr>
        <w:spacing w:line="360" w:lineRule="auto"/>
        <w:rPr>
          <w:rFonts w:ascii="Century Schoolbook" w:hAnsi="Century Schoolbook"/>
        </w:rPr>
      </w:pPr>
    </w:p>
    <w:p w14:paraId="1CF0DD87" w14:textId="77777777" w:rsidR="00052C0A" w:rsidRPr="00AA32CD" w:rsidRDefault="00653098" w:rsidP="00052C0A">
      <w:pPr>
        <w:spacing w:line="360" w:lineRule="auto"/>
        <w:rPr>
          <w:rFonts w:ascii="Century Schoolbook" w:hAnsi="Century Schoolbook"/>
        </w:rPr>
      </w:pPr>
      <w:r w:rsidRPr="00AA32CD">
        <w:rPr>
          <w:rFonts w:ascii="Century Schoolbook" w:hAnsi="Century Schoolbook"/>
        </w:rPr>
        <w:t>We concur:</w:t>
      </w:r>
    </w:p>
    <w:p w14:paraId="1CF0DD88" w14:textId="77777777" w:rsidR="00052C0A" w:rsidRPr="00AA32CD" w:rsidRDefault="00052C0A" w:rsidP="00052C0A">
      <w:pPr>
        <w:spacing w:line="240" w:lineRule="auto"/>
        <w:rPr>
          <w:rFonts w:ascii="Century Schoolbook" w:hAnsi="Century Schoolbook"/>
        </w:rPr>
      </w:pPr>
    </w:p>
    <w:p w14:paraId="1CF0DD89" w14:textId="77777777" w:rsidR="00052C0A" w:rsidRDefault="00052C0A" w:rsidP="00052C0A">
      <w:pPr>
        <w:spacing w:line="240" w:lineRule="auto"/>
        <w:rPr>
          <w:rFonts w:ascii="Century Schoolbook" w:hAnsi="Century Schoolbook"/>
        </w:rPr>
      </w:pPr>
    </w:p>
    <w:p w14:paraId="1CF0DD8A" w14:textId="77777777" w:rsidR="00052C0A" w:rsidRPr="00AA32CD" w:rsidRDefault="00052C0A" w:rsidP="00052C0A">
      <w:pPr>
        <w:spacing w:line="240" w:lineRule="auto"/>
        <w:rPr>
          <w:rFonts w:ascii="Century Schoolbook" w:hAnsi="Century Schoolbook"/>
        </w:rPr>
      </w:pPr>
    </w:p>
    <w:p w14:paraId="1CF0DD8B" w14:textId="77777777" w:rsidR="00052C0A" w:rsidRPr="00AA32CD" w:rsidRDefault="00052C0A" w:rsidP="00052C0A">
      <w:pPr>
        <w:spacing w:line="240" w:lineRule="auto"/>
        <w:rPr>
          <w:rFonts w:ascii="Century Schoolbook" w:hAnsi="Century Schoolbook"/>
        </w:rPr>
      </w:pPr>
    </w:p>
    <w:p w14:paraId="1CF0DD8C" w14:textId="77777777" w:rsidR="00052C0A" w:rsidRPr="00AA32CD" w:rsidRDefault="00653098" w:rsidP="00052C0A">
      <w:pPr>
        <w:spacing w:line="240" w:lineRule="auto"/>
        <w:rPr>
          <w:rFonts w:ascii="Century Schoolbook" w:hAnsi="Century Schoolbook"/>
        </w:rPr>
      </w:pPr>
      <w:r w:rsidRPr="00AA32CD">
        <w:rPr>
          <w:rFonts w:ascii="Century Schoolbook" w:hAnsi="Century Schoolbook"/>
        </w:rPr>
        <w:t>_________________________</w:t>
      </w:r>
    </w:p>
    <w:p w14:paraId="1CF0DD8D" w14:textId="77777777" w:rsidR="00052C0A" w:rsidRPr="00AA32CD" w:rsidRDefault="00653098" w:rsidP="00052C0A">
      <w:pPr>
        <w:spacing w:line="240" w:lineRule="auto"/>
        <w:rPr>
          <w:rFonts w:ascii="Century Schoolbook" w:hAnsi="Century Schoolbook"/>
        </w:rPr>
      </w:pPr>
      <w:r>
        <w:rPr>
          <w:rFonts w:ascii="Century Schoolbook" w:hAnsi="Century Schoolbook"/>
        </w:rPr>
        <w:t>Jackson</w:t>
      </w:r>
      <w:r w:rsidRPr="00AA32CD">
        <w:rPr>
          <w:rFonts w:ascii="Century Schoolbook" w:hAnsi="Century Schoolbook"/>
        </w:rPr>
        <w:t>,</w:t>
      </w:r>
      <w:r>
        <w:rPr>
          <w:rFonts w:ascii="Century Schoolbook" w:hAnsi="Century Schoolbook"/>
        </w:rPr>
        <w:t xml:space="preserve"> </w:t>
      </w:r>
      <w:r w:rsidRPr="00AA32CD">
        <w:rPr>
          <w:rFonts w:ascii="Century Schoolbook" w:hAnsi="Century Schoolbook"/>
        </w:rPr>
        <w:t>P.J.</w:t>
      </w:r>
    </w:p>
    <w:p w14:paraId="1CF0DD8E" w14:textId="77777777" w:rsidR="00052C0A" w:rsidRPr="00AA32CD" w:rsidRDefault="00052C0A" w:rsidP="00052C0A">
      <w:pPr>
        <w:spacing w:line="240" w:lineRule="auto"/>
        <w:rPr>
          <w:rFonts w:ascii="Century Schoolbook" w:hAnsi="Century Schoolbook"/>
        </w:rPr>
      </w:pPr>
    </w:p>
    <w:p w14:paraId="1CF0DD8F" w14:textId="77777777" w:rsidR="00052C0A" w:rsidRPr="00AA32CD" w:rsidRDefault="00052C0A" w:rsidP="00052C0A">
      <w:pPr>
        <w:spacing w:line="240" w:lineRule="auto"/>
        <w:rPr>
          <w:rFonts w:ascii="Century Schoolbook" w:hAnsi="Century Schoolbook"/>
        </w:rPr>
      </w:pPr>
    </w:p>
    <w:p w14:paraId="1CF0DD90" w14:textId="77777777" w:rsidR="00052C0A" w:rsidRDefault="00052C0A" w:rsidP="00052C0A">
      <w:pPr>
        <w:spacing w:line="240" w:lineRule="auto"/>
        <w:rPr>
          <w:rFonts w:ascii="Century Schoolbook" w:hAnsi="Century Schoolbook"/>
        </w:rPr>
      </w:pPr>
    </w:p>
    <w:p w14:paraId="1CF0DD91" w14:textId="77777777" w:rsidR="00052C0A" w:rsidRPr="00AA32CD" w:rsidRDefault="00052C0A" w:rsidP="00052C0A">
      <w:pPr>
        <w:spacing w:line="240" w:lineRule="auto"/>
        <w:rPr>
          <w:rFonts w:ascii="Century Schoolbook" w:hAnsi="Century Schoolbook"/>
        </w:rPr>
      </w:pPr>
    </w:p>
    <w:p w14:paraId="1CF0DD92" w14:textId="77777777" w:rsidR="00052C0A" w:rsidRPr="00AA32CD" w:rsidRDefault="00653098" w:rsidP="00052C0A">
      <w:pPr>
        <w:spacing w:line="240" w:lineRule="auto"/>
        <w:rPr>
          <w:rFonts w:ascii="Century Schoolbook" w:hAnsi="Century Schoolbook"/>
        </w:rPr>
      </w:pPr>
      <w:r w:rsidRPr="00AA32CD">
        <w:rPr>
          <w:rFonts w:ascii="Century Schoolbook" w:hAnsi="Century Schoolbook"/>
        </w:rPr>
        <w:t>_________________________</w:t>
      </w:r>
    </w:p>
    <w:p w14:paraId="1CF0DD93" w14:textId="77777777" w:rsidR="00052C0A" w:rsidRPr="00AA32CD" w:rsidRDefault="00653098" w:rsidP="00052C0A">
      <w:pPr>
        <w:spacing w:line="240" w:lineRule="auto"/>
        <w:rPr>
          <w:rFonts w:ascii="Century Schoolbook" w:hAnsi="Century Schoolbook"/>
        </w:rPr>
      </w:pPr>
      <w:r w:rsidRPr="00AA32CD">
        <w:rPr>
          <w:rFonts w:ascii="Century Schoolbook" w:hAnsi="Century Schoolbook"/>
        </w:rPr>
        <w:t>Burns, J.</w:t>
      </w:r>
    </w:p>
    <w:p w14:paraId="1CF0DD94" w14:textId="77777777" w:rsidR="00052C0A" w:rsidRPr="00AA32CD" w:rsidRDefault="00052C0A" w:rsidP="00052C0A">
      <w:pPr>
        <w:rPr>
          <w:rFonts w:ascii="Century Schoolbook" w:hAnsi="Century Schoolbook"/>
        </w:rPr>
      </w:pPr>
    </w:p>
    <w:p w14:paraId="1CF0DD95" w14:textId="77777777" w:rsidR="00052C0A" w:rsidRDefault="00052C0A" w:rsidP="00052C0A">
      <w:pPr>
        <w:rPr>
          <w:rFonts w:ascii="Century Schoolbook" w:hAnsi="Century Schoolbook"/>
        </w:rPr>
      </w:pPr>
    </w:p>
    <w:p w14:paraId="1CF0DD96" w14:textId="77777777" w:rsidR="00052C0A" w:rsidRPr="00AA32CD" w:rsidRDefault="00052C0A" w:rsidP="00052C0A">
      <w:pPr>
        <w:rPr>
          <w:rFonts w:ascii="Century Schoolbook" w:hAnsi="Century Schoolbook"/>
        </w:rPr>
      </w:pPr>
    </w:p>
    <w:p w14:paraId="1CF0DD97" w14:textId="77777777" w:rsidR="00052C0A" w:rsidRDefault="00052C0A" w:rsidP="00052C0A">
      <w:pPr>
        <w:pStyle w:val="BodyText"/>
        <w:spacing w:line="360" w:lineRule="auto"/>
        <w:rPr>
          <w:rFonts w:ascii="Century Schoolbook" w:hAnsi="Century Schoolbook"/>
        </w:rPr>
      </w:pPr>
    </w:p>
    <w:p w14:paraId="1CF0DD98" w14:textId="77777777" w:rsidR="00052C0A" w:rsidRPr="00AA32CD" w:rsidRDefault="00052C0A" w:rsidP="00052C0A">
      <w:pPr>
        <w:pStyle w:val="BodyText"/>
        <w:spacing w:line="360" w:lineRule="auto"/>
        <w:rPr>
          <w:rFonts w:ascii="Century Schoolbook" w:hAnsi="Century Schoolbook"/>
        </w:rPr>
      </w:pPr>
    </w:p>
    <w:p w14:paraId="1CF0DD99" w14:textId="77777777" w:rsidR="00052C0A" w:rsidRDefault="00052C0A" w:rsidP="00052C0A">
      <w:pPr>
        <w:pStyle w:val="BodyText"/>
        <w:spacing w:line="360" w:lineRule="auto"/>
        <w:rPr>
          <w:rFonts w:ascii="Century Schoolbook" w:hAnsi="Century Schoolbook"/>
        </w:rPr>
      </w:pPr>
    </w:p>
    <w:p w14:paraId="1CF0DD9A" w14:textId="77777777" w:rsidR="00052C0A" w:rsidRDefault="00052C0A" w:rsidP="00052C0A">
      <w:pPr>
        <w:pStyle w:val="BodyText"/>
        <w:spacing w:line="360" w:lineRule="auto"/>
        <w:rPr>
          <w:rFonts w:ascii="Century Schoolbook" w:hAnsi="Century Schoolbook"/>
        </w:rPr>
      </w:pPr>
    </w:p>
    <w:p w14:paraId="1CF0DD9B" w14:textId="77777777" w:rsidR="00052C0A" w:rsidRDefault="00052C0A" w:rsidP="00052C0A">
      <w:pPr>
        <w:pStyle w:val="BodyText"/>
        <w:spacing w:line="360" w:lineRule="auto"/>
        <w:rPr>
          <w:rFonts w:ascii="Century Schoolbook" w:hAnsi="Century Schoolbook"/>
        </w:rPr>
      </w:pPr>
    </w:p>
    <w:p w14:paraId="1CF0DD9C" w14:textId="77777777" w:rsidR="00052C0A" w:rsidRDefault="00052C0A" w:rsidP="00052C0A">
      <w:pPr>
        <w:pStyle w:val="BodyText"/>
        <w:spacing w:line="360" w:lineRule="auto"/>
        <w:rPr>
          <w:rFonts w:ascii="Century Schoolbook" w:hAnsi="Century Schoolbook"/>
        </w:rPr>
      </w:pPr>
    </w:p>
    <w:p w14:paraId="1CF0DD9D" w14:textId="77777777" w:rsidR="00052C0A" w:rsidRDefault="00653098" w:rsidP="00052C0A">
      <w:pPr>
        <w:pStyle w:val="BodyText"/>
        <w:spacing w:line="360" w:lineRule="auto"/>
        <w:rPr>
          <w:rFonts w:ascii="Century Schoolbook" w:hAnsi="Century Schoolbook"/>
        </w:rPr>
      </w:pPr>
      <w:r>
        <w:rPr>
          <w:rFonts w:ascii="Century Schoolbook" w:hAnsi="Century Schoolbook"/>
          <w:i/>
          <w:iCs/>
        </w:rPr>
        <w:t xml:space="preserve">SHR St. </w:t>
      </w:r>
      <w:r>
        <w:rPr>
          <w:rFonts w:ascii="Century Schoolbook" w:hAnsi="Century Schoolbook"/>
          <w:i/>
          <w:iCs/>
        </w:rPr>
        <w:t>Francis LLC v. City and County of San Francisco</w:t>
      </w:r>
      <w:r w:rsidRPr="00AA32CD">
        <w:rPr>
          <w:rFonts w:ascii="Century Schoolbook" w:hAnsi="Century Schoolbook"/>
        </w:rPr>
        <w:t xml:space="preserve"> / A16</w:t>
      </w:r>
      <w:r>
        <w:rPr>
          <w:rFonts w:ascii="Century Schoolbook" w:hAnsi="Century Schoolbook"/>
        </w:rPr>
        <w:t>3847</w:t>
      </w:r>
    </w:p>
    <w:p w14:paraId="1CF0DD9E" w14:textId="77777777" w:rsidR="00DD6F2F" w:rsidRPr="00FF7915" w:rsidRDefault="00653098" w:rsidP="00DD6F2F">
      <w:pPr>
        <w:rPr>
          <w:rFonts w:ascii="Century Schoolbook" w:hAnsi="Century Schoolbook"/>
        </w:rPr>
      </w:pPr>
      <w:r w:rsidRPr="00FF7915">
        <w:rPr>
          <w:rFonts w:ascii="Century Schoolbook" w:hAnsi="Century Schoolbook"/>
        </w:rPr>
        <w:lastRenderedPageBreak/>
        <w:t>A163847 / SHR St. Francis LLC v. City and County of San Francisco</w:t>
      </w:r>
    </w:p>
    <w:p w14:paraId="1CF0DD9F" w14:textId="77777777" w:rsidR="00DD6F2F" w:rsidRPr="00FF7915" w:rsidRDefault="00DD6F2F" w:rsidP="00DD6F2F">
      <w:pPr>
        <w:rPr>
          <w:rFonts w:ascii="Century Schoolbook" w:hAnsi="Century Schoolbook"/>
        </w:rPr>
      </w:pPr>
    </w:p>
    <w:p w14:paraId="1CF0DDA0" w14:textId="77777777" w:rsidR="00DD6F2F" w:rsidRPr="00FF7915" w:rsidRDefault="00653098" w:rsidP="00DD6F2F">
      <w:pPr>
        <w:rPr>
          <w:rFonts w:ascii="Century Schoolbook" w:hAnsi="Century Schoolbook"/>
        </w:rPr>
      </w:pPr>
      <w:r w:rsidRPr="00FF7915">
        <w:rPr>
          <w:rFonts w:ascii="Century Schoolbook" w:hAnsi="Century Schoolbook"/>
        </w:rPr>
        <w:t>Trial Court:</w:t>
      </w:r>
      <w:r w:rsidRPr="00FF7915">
        <w:rPr>
          <w:rFonts w:ascii="Century Schoolbook" w:hAnsi="Century Schoolbook"/>
        </w:rPr>
        <w:tab/>
        <w:t>Superior Court of San Francisco</w:t>
      </w:r>
    </w:p>
    <w:p w14:paraId="1CF0DDA1" w14:textId="77777777" w:rsidR="00DD6F2F" w:rsidRPr="00FF7915" w:rsidRDefault="00DD6F2F" w:rsidP="00DD6F2F">
      <w:pPr>
        <w:rPr>
          <w:rFonts w:ascii="Century Schoolbook" w:hAnsi="Century Schoolbook"/>
        </w:rPr>
      </w:pPr>
    </w:p>
    <w:p w14:paraId="1CF0DDA2" w14:textId="77777777" w:rsidR="00DD6F2F" w:rsidRPr="00FF7915" w:rsidRDefault="00653098" w:rsidP="00DD6F2F">
      <w:pPr>
        <w:rPr>
          <w:rFonts w:ascii="Century Schoolbook" w:hAnsi="Century Schoolbook"/>
        </w:rPr>
      </w:pPr>
      <w:r w:rsidRPr="00FF7915">
        <w:rPr>
          <w:rFonts w:ascii="Century Schoolbook" w:hAnsi="Century Schoolbook"/>
        </w:rPr>
        <w:t>Trial Judge:</w:t>
      </w:r>
      <w:r w:rsidRPr="00FF7915">
        <w:rPr>
          <w:rFonts w:ascii="Century Schoolbook" w:hAnsi="Century Schoolbook"/>
        </w:rPr>
        <w:tab/>
        <w:t>Richard B. Ulmer Jr.</w:t>
      </w:r>
    </w:p>
    <w:p w14:paraId="1CF0DDA3" w14:textId="77777777" w:rsidR="00DD6F2F" w:rsidRPr="00FF7915" w:rsidRDefault="00DD6F2F" w:rsidP="00DD6F2F">
      <w:pPr>
        <w:rPr>
          <w:rFonts w:ascii="Century Schoolbook" w:hAnsi="Century Schoolbook"/>
        </w:rPr>
      </w:pPr>
    </w:p>
    <w:p w14:paraId="1CF0DDA4" w14:textId="77777777" w:rsidR="00DD6F2F" w:rsidRPr="00FF7915" w:rsidRDefault="00653098" w:rsidP="00DD6F2F">
      <w:pPr>
        <w:rPr>
          <w:rFonts w:ascii="Century Schoolbook" w:hAnsi="Century Schoolbook"/>
        </w:rPr>
      </w:pPr>
      <w:r w:rsidRPr="00FF7915">
        <w:rPr>
          <w:rFonts w:ascii="Century Schoolbook" w:hAnsi="Century Schoolbook"/>
        </w:rPr>
        <w:t>Counsel:</w:t>
      </w:r>
      <w:r w:rsidRPr="00FF7915">
        <w:rPr>
          <w:rFonts w:ascii="Century Schoolbook" w:hAnsi="Century Schoolbook"/>
        </w:rPr>
        <w:tab/>
      </w:r>
      <w:r w:rsidR="000044C2" w:rsidRPr="00FF7915">
        <w:rPr>
          <w:rFonts w:ascii="Century Schoolbook" w:hAnsi="Century Schoolbook"/>
        </w:rPr>
        <w:t>Greenberg Traurig</w:t>
      </w:r>
      <w:r w:rsidRPr="00FF7915">
        <w:rPr>
          <w:rFonts w:ascii="Century Schoolbook" w:hAnsi="Century Schoolbook"/>
        </w:rPr>
        <w:t xml:space="preserve">; </w:t>
      </w:r>
      <w:r w:rsidR="000044C2" w:rsidRPr="00FF7915">
        <w:rPr>
          <w:rFonts w:ascii="Century Schoolbook" w:hAnsi="Century Schoolbook"/>
        </w:rPr>
        <w:t>Colin W. Fraser</w:t>
      </w:r>
      <w:r w:rsidRPr="00FF7915">
        <w:rPr>
          <w:rFonts w:ascii="Century Schoolbook" w:hAnsi="Century Schoolbook"/>
        </w:rPr>
        <w:t>,</w:t>
      </w:r>
      <w:r w:rsidR="000044C2" w:rsidRPr="00FF7915">
        <w:rPr>
          <w:rFonts w:ascii="Century Schoolbook" w:hAnsi="Century Schoolbook"/>
        </w:rPr>
        <w:t xml:space="preserve"> </w:t>
      </w:r>
      <w:proofErr w:type="spellStart"/>
      <w:r w:rsidR="000044C2" w:rsidRPr="00FF7915">
        <w:rPr>
          <w:rFonts w:ascii="Century Schoolbook" w:hAnsi="Century Schoolbook"/>
        </w:rPr>
        <w:t>Cris</w:t>
      </w:r>
      <w:proofErr w:type="spellEnd"/>
      <w:r w:rsidR="000044C2" w:rsidRPr="00FF7915">
        <w:rPr>
          <w:rFonts w:ascii="Century Schoolbook" w:hAnsi="Century Schoolbook"/>
        </w:rPr>
        <w:t xml:space="preserve"> K. </w:t>
      </w:r>
      <w:proofErr w:type="spellStart"/>
      <w:r w:rsidR="000044C2" w:rsidRPr="00FF7915">
        <w:rPr>
          <w:rFonts w:ascii="Century Schoolbook" w:hAnsi="Century Schoolbook"/>
        </w:rPr>
        <w:t>O’Neall</w:t>
      </w:r>
      <w:proofErr w:type="spellEnd"/>
      <w:r w:rsidRPr="00FF7915">
        <w:rPr>
          <w:rFonts w:ascii="Century Schoolbook" w:hAnsi="Century Schoolbook"/>
        </w:rPr>
        <w:t>,</w:t>
      </w:r>
      <w:r w:rsidR="00551F1C" w:rsidRPr="00FF7915">
        <w:rPr>
          <w:rFonts w:ascii="Century Schoolbook" w:hAnsi="Century Schoolbook"/>
        </w:rPr>
        <w:t xml:space="preserve"> and</w:t>
      </w:r>
      <w:r w:rsidRPr="00FF7915">
        <w:rPr>
          <w:rFonts w:ascii="Century Schoolbook" w:hAnsi="Century Schoolbook"/>
        </w:rPr>
        <w:t xml:space="preserve"> R</w:t>
      </w:r>
      <w:r w:rsidR="000044C2" w:rsidRPr="00FF7915">
        <w:rPr>
          <w:rFonts w:ascii="Century Schoolbook" w:hAnsi="Century Schoolbook"/>
        </w:rPr>
        <w:t xml:space="preserve">uben </w:t>
      </w:r>
      <w:proofErr w:type="spellStart"/>
      <w:r w:rsidR="000044C2" w:rsidRPr="00FF7915">
        <w:rPr>
          <w:rFonts w:ascii="Century Schoolbook" w:hAnsi="Century Schoolbook"/>
        </w:rPr>
        <w:t>Sislyan</w:t>
      </w:r>
      <w:proofErr w:type="spellEnd"/>
      <w:r w:rsidRPr="00FF7915">
        <w:rPr>
          <w:rFonts w:ascii="Century Schoolbook" w:hAnsi="Century Schoolbook"/>
        </w:rPr>
        <w:t>, for P</w:t>
      </w:r>
      <w:r w:rsidR="000044C2" w:rsidRPr="00FF7915">
        <w:rPr>
          <w:rFonts w:ascii="Century Schoolbook" w:hAnsi="Century Schoolbook"/>
        </w:rPr>
        <w:t>laintiffs and Appellants</w:t>
      </w:r>
      <w:r w:rsidRPr="00FF7915">
        <w:rPr>
          <w:rFonts w:ascii="Century Schoolbook" w:hAnsi="Century Schoolbook"/>
        </w:rPr>
        <w:t>.</w:t>
      </w:r>
    </w:p>
    <w:p w14:paraId="1CF0DDA5" w14:textId="77777777" w:rsidR="00DD6F2F" w:rsidRPr="00FF7915" w:rsidRDefault="00DD6F2F" w:rsidP="00DD6F2F">
      <w:pPr>
        <w:rPr>
          <w:rFonts w:ascii="Century Schoolbook" w:hAnsi="Century Schoolbook"/>
        </w:rPr>
      </w:pPr>
    </w:p>
    <w:p w14:paraId="1CF0DDA6" w14:textId="77777777" w:rsidR="00DD6F2F" w:rsidRPr="00FF7915" w:rsidRDefault="00653098" w:rsidP="00DD6F2F">
      <w:pPr>
        <w:rPr>
          <w:rFonts w:ascii="Century Schoolbook" w:hAnsi="Century Schoolbook"/>
        </w:rPr>
      </w:pPr>
      <w:r w:rsidRPr="00FF7915">
        <w:rPr>
          <w:rFonts w:ascii="Century Schoolbook" w:hAnsi="Century Schoolbook"/>
        </w:rPr>
        <w:t xml:space="preserve">David Chiu, City Attorney; Yvonne R. Mere, Chief Deputy City Attorney; Scott M. </w:t>
      </w:r>
      <w:proofErr w:type="spellStart"/>
      <w:r w:rsidRPr="00FF7915">
        <w:rPr>
          <w:rFonts w:ascii="Century Schoolbook" w:hAnsi="Century Schoolbook"/>
        </w:rPr>
        <w:t>Reiber</w:t>
      </w:r>
      <w:proofErr w:type="spellEnd"/>
      <w:r w:rsidRPr="00FF7915">
        <w:rPr>
          <w:rFonts w:ascii="Century Schoolbook" w:hAnsi="Century Schoolbook"/>
        </w:rPr>
        <w:t xml:space="preserve">, Chief Tax Attorney; Frederick P. </w:t>
      </w:r>
      <w:proofErr w:type="spellStart"/>
      <w:r w:rsidRPr="00FF7915">
        <w:rPr>
          <w:rFonts w:ascii="Century Schoolbook" w:hAnsi="Century Schoolbook"/>
        </w:rPr>
        <w:t>Sheinfield</w:t>
      </w:r>
      <w:proofErr w:type="spellEnd"/>
      <w:r w:rsidRPr="00FF7915">
        <w:rPr>
          <w:rFonts w:ascii="Century Schoolbook" w:hAnsi="Century Schoolbook"/>
        </w:rPr>
        <w:t>,</w:t>
      </w:r>
      <w:r w:rsidR="00CB5BB2" w:rsidRPr="00FF7915">
        <w:rPr>
          <w:rFonts w:ascii="Century Schoolbook" w:hAnsi="Century Schoolbook"/>
        </w:rPr>
        <w:t xml:space="preserve"> Peter J. Keith,</w:t>
      </w:r>
      <w:r w:rsidRPr="00FF7915">
        <w:rPr>
          <w:rFonts w:ascii="Century Schoolbook" w:hAnsi="Century Schoolbook"/>
        </w:rPr>
        <w:t xml:space="preserve"> and </w:t>
      </w:r>
      <w:proofErr w:type="spellStart"/>
      <w:r w:rsidRPr="00FF7915">
        <w:rPr>
          <w:rFonts w:ascii="Century Schoolbook" w:hAnsi="Century Schoolbook"/>
        </w:rPr>
        <w:t>Moneer</w:t>
      </w:r>
      <w:proofErr w:type="spellEnd"/>
      <w:r w:rsidRPr="00FF7915">
        <w:rPr>
          <w:rFonts w:ascii="Century Schoolbook" w:hAnsi="Century Schoolbook"/>
        </w:rPr>
        <w:t xml:space="preserve"> H. Jamil, Deputy City</w:t>
      </w:r>
      <w:r w:rsidRPr="00FF7915">
        <w:rPr>
          <w:rFonts w:ascii="Century Schoolbook" w:hAnsi="Century Schoolbook"/>
        </w:rPr>
        <w:t xml:space="preserve"> Attorneys for Defendant and Respondent.</w:t>
      </w:r>
    </w:p>
    <w:p w14:paraId="1CF0DDA7" w14:textId="77777777" w:rsidR="00DD6F2F" w:rsidRDefault="00DD6F2F" w:rsidP="00DD6F2F"/>
    <w:p w14:paraId="1CF0DDA8" w14:textId="77777777" w:rsidR="00052C0A" w:rsidRPr="00511774" w:rsidRDefault="00052C0A" w:rsidP="00052C0A">
      <w:pPr>
        <w:pStyle w:val="BodyText"/>
        <w:spacing w:line="360" w:lineRule="auto"/>
        <w:rPr>
          <w:rFonts w:ascii="Century Schoolbook" w:hAnsi="Century Schoolbook"/>
        </w:rPr>
      </w:pPr>
    </w:p>
    <w:sectPr w:rsidR="00052C0A" w:rsidRPr="00511774" w:rsidSect="008A133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DDB2" w14:textId="77777777" w:rsidR="00000000" w:rsidRDefault="00653098">
      <w:pPr>
        <w:spacing w:line="240" w:lineRule="auto"/>
      </w:pPr>
      <w:r>
        <w:separator/>
      </w:r>
    </w:p>
  </w:endnote>
  <w:endnote w:type="continuationSeparator" w:id="0">
    <w:p w14:paraId="1CF0DDB4" w14:textId="77777777" w:rsidR="00000000" w:rsidRDefault="00653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DDAB" w14:textId="77777777" w:rsidR="008A133E" w:rsidRDefault="00653098" w:rsidP="00AC31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D6B88">
      <w:rPr>
        <w:rStyle w:val="PageNumber"/>
        <w:noProof/>
      </w:rPr>
      <w:t>1</w:t>
    </w:r>
    <w:r>
      <w:rPr>
        <w:rStyle w:val="PageNumber"/>
      </w:rPr>
      <w:fldChar w:fldCharType="end"/>
    </w:r>
  </w:p>
  <w:p w14:paraId="1CF0DDAC" w14:textId="77777777" w:rsidR="008A133E" w:rsidRDefault="00653098" w:rsidP="00AC31F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D6B88">
      <w:rPr>
        <w:rStyle w:val="PageNumber"/>
        <w:noProof/>
      </w:rPr>
      <w:t>1</w:t>
    </w:r>
    <w:r>
      <w:rPr>
        <w:rStyle w:val="PageNumber"/>
      </w:rPr>
      <w:fldChar w:fldCharType="end"/>
    </w:r>
  </w:p>
  <w:p w14:paraId="1CF0DDAD" w14:textId="77777777" w:rsidR="008A133E" w:rsidRDefault="008A1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DDAE" w14:textId="77777777" w:rsidR="008A133E" w:rsidRPr="00CD2548" w:rsidRDefault="00653098" w:rsidP="00CD2548">
    <w:pPr>
      <w:pStyle w:val="Footer"/>
      <w:framePr w:wrap="around" w:vAnchor="text" w:hAnchor="margin" w:xAlign="center" w:y="1"/>
      <w:tabs>
        <w:tab w:val="clear" w:pos="720"/>
        <w:tab w:val="clear" w:pos="4680"/>
        <w:tab w:val="clear" w:pos="9360"/>
      </w:tabs>
      <w:rPr>
        <w:rStyle w:val="PageNumber"/>
        <w:rFonts w:ascii="Century Schoolbook" w:hAnsi="Century Schoolbook"/>
      </w:rPr>
    </w:pPr>
    <w:r w:rsidRPr="00CD2548">
      <w:rPr>
        <w:rStyle w:val="PageNumber"/>
        <w:rFonts w:ascii="Century Schoolbook" w:hAnsi="Century Schoolbook"/>
      </w:rPr>
      <w:fldChar w:fldCharType="begin"/>
    </w:r>
    <w:r w:rsidRPr="00CD2548">
      <w:rPr>
        <w:rStyle w:val="PageNumber"/>
        <w:rFonts w:ascii="Century Schoolbook" w:hAnsi="Century Schoolbook"/>
      </w:rPr>
      <w:instrText xml:space="preserve"> PAGE </w:instrText>
    </w:r>
    <w:r w:rsidRPr="00CD2548">
      <w:rPr>
        <w:rStyle w:val="PageNumber"/>
        <w:rFonts w:ascii="Century Schoolbook" w:hAnsi="Century Schoolbook"/>
      </w:rPr>
      <w:fldChar w:fldCharType="separate"/>
    </w:r>
    <w:r w:rsidRPr="00CD2548">
      <w:rPr>
        <w:rStyle w:val="PageNumber"/>
        <w:rFonts w:ascii="Century Schoolbook" w:hAnsi="Century Schoolbook"/>
        <w:noProof/>
      </w:rPr>
      <w:t>1</w:t>
    </w:r>
    <w:r w:rsidRPr="00CD2548">
      <w:rPr>
        <w:rStyle w:val="PageNumber"/>
        <w:rFonts w:ascii="Century Schoolbook" w:hAnsi="Century Schoolbook"/>
      </w:rPr>
      <w:fldChar w:fldCharType="end"/>
    </w:r>
  </w:p>
  <w:p w14:paraId="1CF0DDAF" w14:textId="77777777" w:rsidR="008A133E" w:rsidRPr="00CD2548" w:rsidRDefault="008A133E" w:rsidP="00CD2548">
    <w:pPr>
      <w:pStyle w:val="Footer"/>
      <w:tabs>
        <w:tab w:val="clear" w:pos="720"/>
        <w:tab w:val="clear" w:pos="4680"/>
        <w:tab w:val="clear" w:pos="9360"/>
      </w:tabs>
      <w:rPr>
        <w:rFonts w:ascii="Century Schoolbook" w:hAnsi="Century School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DDA9" w14:textId="77777777" w:rsidR="00384FA8" w:rsidRDefault="00653098" w:rsidP="008A133E">
      <w:pPr>
        <w:spacing w:line="240" w:lineRule="auto"/>
      </w:pPr>
      <w:r>
        <w:separator/>
      </w:r>
    </w:p>
  </w:footnote>
  <w:footnote w:type="continuationSeparator" w:id="0">
    <w:p w14:paraId="1CF0DDAA" w14:textId="77777777" w:rsidR="00384FA8" w:rsidRDefault="00653098" w:rsidP="008A133E">
      <w:pPr>
        <w:spacing w:line="240" w:lineRule="auto"/>
      </w:pPr>
      <w:r>
        <w:continuationSeparator/>
      </w:r>
    </w:p>
  </w:footnote>
  <w:footnote w:id="1">
    <w:p w14:paraId="1CF0DDB0" w14:textId="77777777" w:rsidR="004E3E06" w:rsidRPr="009827CA" w:rsidRDefault="00653098" w:rsidP="009827CA">
      <w:pPr>
        <w:pStyle w:val="FootnoteText"/>
        <w:ind w:firstLine="720"/>
        <w:rPr>
          <w:rFonts w:ascii="Century Schoolbook" w:hAnsi="Century Schoolbook"/>
          <w:szCs w:val="26"/>
        </w:rPr>
      </w:pPr>
      <w:r w:rsidRPr="009827CA">
        <w:rPr>
          <w:rStyle w:val="FootnoteReference"/>
          <w:rFonts w:ascii="Century Schoolbook" w:hAnsi="Century Schoolbook"/>
          <w:szCs w:val="26"/>
        </w:rPr>
        <w:footnoteRef/>
      </w:r>
      <w:r w:rsidRPr="009827CA">
        <w:rPr>
          <w:rFonts w:ascii="Century Schoolbook" w:hAnsi="Century Schoolbook"/>
          <w:szCs w:val="26"/>
        </w:rPr>
        <w:t xml:space="preserve"> </w:t>
      </w:r>
      <w:r w:rsidR="00D232F8" w:rsidRPr="009827CA">
        <w:rPr>
          <w:rFonts w:ascii="Century Schoolbook" w:hAnsi="Century Schoolbook"/>
          <w:szCs w:val="26"/>
        </w:rPr>
        <w:t>The Strategic Plaintiffs</w:t>
      </w:r>
      <w:r w:rsidRPr="009827CA">
        <w:rPr>
          <w:rFonts w:ascii="Century Schoolbook" w:hAnsi="Century Schoolbook"/>
          <w:szCs w:val="26"/>
        </w:rPr>
        <w:t xml:space="preserve"> </w:t>
      </w:r>
      <w:r w:rsidR="0050502A" w:rsidRPr="009827CA">
        <w:rPr>
          <w:rFonts w:ascii="Century Schoolbook" w:hAnsi="Century Schoolbook"/>
          <w:szCs w:val="26"/>
        </w:rPr>
        <w:t>argu</w:t>
      </w:r>
      <w:r w:rsidRPr="009827CA">
        <w:rPr>
          <w:rFonts w:ascii="Century Schoolbook" w:hAnsi="Century Schoolbook"/>
          <w:szCs w:val="26"/>
        </w:rPr>
        <w:t>ed that the net profit generated from the management agreement equaled 20</w:t>
      </w:r>
      <w:r w:rsidR="00756463">
        <w:rPr>
          <w:rFonts w:ascii="Century Schoolbook" w:hAnsi="Century Schoolbook"/>
          <w:szCs w:val="26"/>
        </w:rPr>
        <w:t xml:space="preserve"> percent</w:t>
      </w:r>
      <w:r w:rsidR="00756463" w:rsidRPr="009827CA">
        <w:rPr>
          <w:rFonts w:ascii="Century Schoolbook" w:hAnsi="Century Schoolbook"/>
          <w:szCs w:val="26"/>
        </w:rPr>
        <w:t xml:space="preserve"> </w:t>
      </w:r>
      <w:r w:rsidR="0050502A" w:rsidRPr="009827CA">
        <w:rPr>
          <w:rFonts w:ascii="Century Schoolbook" w:hAnsi="Century Schoolbook"/>
          <w:szCs w:val="26"/>
        </w:rPr>
        <w:t xml:space="preserve">of </w:t>
      </w:r>
      <w:r w:rsidRPr="009827CA">
        <w:rPr>
          <w:rFonts w:ascii="Century Schoolbook" w:hAnsi="Century Schoolbook"/>
          <w:szCs w:val="26"/>
        </w:rPr>
        <w:t xml:space="preserve">the management fees. </w:t>
      </w:r>
      <w:r w:rsidR="0050502A" w:rsidRPr="009827CA">
        <w:rPr>
          <w:rFonts w:ascii="Century Schoolbook" w:hAnsi="Century Schoolbook"/>
          <w:szCs w:val="26"/>
        </w:rPr>
        <w:t xml:space="preserve"> </w:t>
      </w:r>
      <w:r w:rsidRPr="009827CA">
        <w:rPr>
          <w:rFonts w:ascii="Century Schoolbook" w:hAnsi="Century Schoolbook"/>
          <w:szCs w:val="26"/>
        </w:rPr>
        <w:t xml:space="preserve">It also calculated the cancellation/no show/attrition income as $545,000, and the net profits generated from in-room movies and guest laundry services as $196,065 and $533,600, respectively. </w:t>
      </w:r>
    </w:p>
  </w:footnote>
  <w:footnote w:id="2">
    <w:p w14:paraId="1CF0DDB1" w14:textId="77777777" w:rsidR="00066E2D" w:rsidRDefault="00653098" w:rsidP="009827CA">
      <w:pPr>
        <w:pStyle w:val="FootnoteText"/>
        <w:ind w:firstLine="720"/>
        <w:rPr>
          <w:rFonts w:ascii="Century Schoolbook" w:hAnsi="Century Schoolbook"/>
          <w:szCs w:val="26"/>
        </w:rPr>
      </w:pPr>
      <w:r w:rsidRPr="009827CA">
        <w:rPr>
          <w:rStyle w:val="FootnoteReference"/>
          <w:rFonts w:ascii="Century Schoolbook" w:hAnsi="Century Schoolbook"/>
          <w:szCs w:val="26"/>
        </w:rPr>
        <w:footnoteRef/>
      </w:r>
      <w:r w:rsidRPr="009827CA">
        <w:rPr>
          <w:rFonts w:ascii="Century Schoolbook" w:hAnsi="Century Schoolbook"/>
          <w:szCs w:val="26"/>
        </w:rPr>
        <w:t xml:space="preserve"> </w:t>
      </w:r>
      <w:r w:rsidR="00CF1FCB" w:rsidRPr="009827CA">
        <w:rPr>
          <w:rFonts w:ascii="Century Schoolbook" w:hAnsi="Century Schoolbook"/>
          <w:szCs w:val="26"/>
        </w:rPr>
        <w:t xml:space="preserve">Under article XIII, section 2 of the California Constitution, only the following forms of intangible property are taxable:  </w:t>
      </w:r>
      <w:r w:rsidRPr="009827CA">
        <w:rPr>
          <w:rFonts w:ascii="Century Schoolbook" w:hAnsi="Century Schoolbook"/>
          <w:szCs w:val="26"/>
        </w:rPr>
        <w:t xml:space="preserve">(1) notes, (2) debentures, (3) shares of capital stock, (4) bonds, (5) solvent credits, (6) deeds of trust, and (7) mortgages.  </w:t>
      </w:r>
      <w:r w:rsidR="00CF1FCB" w:rsidRPr="009827CA">
        <w:rPr>
          <w:rFonts w:ascii="Century Schoolbook" w:hAnsi="Century Schoolbook"/>
          <w:szCs w:val="26"/>
        </w:rPr>
        <w:t>(</w:t>
      </w:r>
      <w:r w:rsidR="00DA3691" w:rsidRPr="009827CA">
        <w:rPr>
          <w:rFonts w:ascii="Century Schoolbook" w:hAnsi="Century Schoolbook"/>
          <w:szCs w:val="26"/>
        </w:rPr>
        <w:t xml:space="preserve">See </w:t>
      </w:r>
      <w:r w:rsidR="005456DA" w:rsidRPr="009827CA">
        <w:rPr>
          <w:rFonts w:ascii="Century Schoolbook" w:hAnsi="Century Schoolbook"/>
          <w:i/>
          <w:iCs/>
          <w:szCs w:val="26"/>
        </w:rPr>
        <w:t xml:space="preserve">Roehm v. County of Orange </w:t>
      </w:r>
      <w:r w:rsidR="005456DA" w:rsidRPr="009827CA">
        <w:rPr>
          <w:rFonts w:ascii="Century Schoolbook" w:hAnsi="Century Schoolbook"/>
          <w:szCs w:val="26"/>
        </w:rPr>
        <w:t xml:space="preserve">(1948) 32 Cal.2d 280, </w:t>
      </w:r>
    </w:p>
    <w:p w14:paraId="1CF0DDB2" w14:textId="77777777" w:rsidR="00F341F7" w:rsidRPr="009827CA" w:rsidRDefault="00653098" w:rsidP="00066E2D">
      <w:pPr>
        <w:pStyle w:val="FootnoteText"/>
        <w:rPr>
          <w:rFonts w:ascii="Century Schoolbook" w:hAnsi="Century Schoolbook"/>
          <w:szCs w:val="26"/>
        </w:rPr>
      </w:pPr>
      <w:r w:rsidRPr="009827CA">
        <w:rPr>
          <w:rFonts w:ascii="Century Schoolbook" w:hAnsi="Century Schoolbook"/>
          <w:szCs w:val="26"/>
        </w:rPr>
        <w:t>28</w:t>
      </w:r>
      <w:r w:rsidR="00CF1FCB" w:rsidRPr="009827CA">
        <w:rPr>
          <w:rFonts w:ascii="Century Schoolbook" w:hAnsi="Century Schoolbook"/>
          <w:szCs w:val="26"/>
        </w:rPr>
        <w:t>4</w:t>
      </w:r>
      <w:r w:rsidR="00066E2D">
        <w:rPr>
          <w:rFonts w:ascii="Century Schoolbook" w:hAnsi="Century Schoolbook"/>
          <w:szCs w:val="26"/>
        </w:rPr>
        <w:t>–</w:t>
      </w:r>
      <w:r w:rsidR="00CF1FCB" w:rsidRPr="009827CA">
        <w:rPr>
          <w:rFonts w:ascii="Century Schoolbook" w:hAnsi="Century Schoolbook"/>
          <w:szCs w:val="26"/>
        </w:rPr>
        <w:t>285 (</w:t>
      </w:r>
      <w:r w:rsidR="00CF1FCB" w:rsidRPr="009827CA">
        <w:rPr>
          <w:rFonts w:ascii="Century Schoolbook" w:hAnsi="Century Schoolbook"/>
          <w:i/>
          <w:iCs/>
          <w:szCs w:val="26"/>
        </w:rPr>
        <w:t>Roehm</w:t>
      </w:r>
      <w:r w:rsidR="00CF1FCB" w:rsidRPr="009827CA">
        <w:rPr>
          <w:rFonts w:ascii="Century Schoolbook" w:hAnsi="Century Schoolbook"/>
          <w:szCs w:val="26"/>
        </w:rPr>
        <w:t>).)</w:t>
      </w:r>
      <w:r w:rsidRPr="009827CA">
        <w:rPr>
          <w:rFonts w:ascii="Century Schoolbook" w:hAnsi="Century Schoolbook"/>
          <w:szCs w:val="26"/>
        </w:rPr>
        <w:t xml:space="preserve"> </w:t>
      </w:r>
    </w:p>
    <w:p w14:paraId="1CF0DDB3" w14:textId="77777777" w:rsidR="009827CA" w:rsidRPr="009827CA" w:rsidRDefault="009827CA" w:rsidP="009827CA">
      <w:pPr>
        <w:pStyle w:val="FootnoteText"/>
        <w:ind w:firstLine="720"/>
        <w:rPr>
          <w:rFonts w:ascii="Century Schoolbook" w:hAnsi="Century Schoolbook"/>
          <w:szCs w:val="26"/>
        </w:rPr>
      </w:pPr>
    </w:p>
  </w:footnote>
  <w:footnote w:id="3">
    <w:p w14:paraId="1CF0DDB4" w14:textId="77777777" w:rsidR="007E2A8C" w:rsidRPr="009827CA" w:rsidRDefault="00653098" w:rsidP="009827CA">
      <w:pPr>
        <w:pStyle w:val="FootnoteText"/>
        <w:ind w:firstLine="720"/>
        <w:rPr>
          <w:rFonts w:ascii="Century Schoolbook" w:hAnsi="Century Schoolbook"/>
          <w:szCs w:val="26"/>
        </w:rPr>
      </w:pPr>
      <w:r w:rsidRPr="009827CA">
        <w:rPr>
          <w:rStyle w:val="FootnoteReference"/>
          <w:rFonts w:ascii="Century Schoolbook" w:hAnsi="Century Schoolbook"/>
          <w:szCs w:val="26"/>
        </w:rPr>
        <w:footnoteRef/>
      </w:r>
      <w:r w:rsidRPr="009827CA">
        <w:rPr>
          <w:rFonts w:ascii="Century Schoolbook" w:hAnsi="Century Schoolbook"/>
          <w:szCs w:val="26"/>
        </w:rPr>
        <w:t xml:space="preserve"> All further statutory references are to the Revenue &amp; Taxation Code.</w:t>
      </w:r>
    </w:p>
  </w:footnote>
  <w:footnote w:id="4">
    <w:p w14:paraId="1CF0DDB5" w14:textId="77777777" w:rsidR="00982E2D" w:rsidRPr="009827CA" w:rsidRDefault="00653098" w:rsidP="009827CA">
      <w:pPr>
        <w:pStyle w:val="FootnoteText"/>
        <w:ind w:firstLine="720"/>
        <w:rPr>
          <w:rFonts w:ascii="Century Schoolbook" w:hAnsi="Century Schoolbook"/>
          <w:szCs w:val="26"/>
        </w:rPr>
      </w:pPr>
      <w:r w:rsidRPr="009827CA">
        <w:rPr>
          <w:rStyle w:val="FootnoteReference"/>
          <w:rFonts w:ascii="Century Schoolbook" w:hAnsi="Century Schoolbook"/>
          <w:szCs w:val="26"/>
        </w:rPr>
        <w:footnoteRef/>
      </w:r>
      <w:r w:rsidRPr="009827CA">
        <w:rPr>
          <w:rFonts w:ascii="Century Schoolbook" w:hAnsi="Century Schoolbook"/>
          <w:szCs w:val="26"/>
        </w:rPr>
        <w:t xml:space="preserve"> “The going concern value of a business means ‘[t]he value of a commercial enterprise’s assets or of the enterpris</w:t>
      </w:r>
      <w:r w:rsidRPr="009827CA">
        <w:rPr>
          <w:rFonts w:ascii="Century Schoolbook" w:hAnsi="Century Schoolbook"/>
          <w:szCs w:val="26"/>
        </w:rPr>
        <w:t>e itself as an active business with future earning power, as opposed to the liquidation value of the business or of its assets.’ ”  (</w:t>
      </w:r>
      <w:r w:rsidRPr="009827CA">
        <w:rPr>
          <w:rFonts w:ascii="Century Schoolbook" w:hAnsi="Century Schoolbook"/>
          <w:i/>
          <w:iCs/>
          <w:szCs w:val="26"/>
        </w:rPr>
        <w:t>Elk Hills</w:t>
      </w:r>
      <w:r w:rsidRPr="009827CA">
        <w:rPr>
          <w:rFonts w:ascii="Century Schoolbook" w:hAnsi="Century Schoolbook"/>
          <w:szCs w:val="26"/>
        </w:rPr>
        <w:t xml:space="preserve">, </w:t>
      </w:r>
      <w:r w:rsidRPr="009827CA">
        <w:rPr>
          <w:rFonts w:ascii="Century Schoolbook" w:hAnsi="Century Schoolbook"/>
          <w:i/>
          <w:iCs/>
          <w:szCs w:val="26"/>
        </w:rPr>
        <w:t>supra</w:t>
      </w:r>
      <w:r w:rsidRPr="009827CA">
        <w:rPr>
          <w:rFonts w:ascii="Century Schoolbook" w:hAnsi="Century Schoolbook"/>
          <w:szCs w:val="26"/>
        </w:rPr>
        <w:t xml:space="preserve">, 57 Cal.4th at </w:t>
      </w:r>
      <w:r w:rsidR="00DF37D7" w:rsidRPr="009827CA">
        <w:rPr>
          <w:rFonts w:ascii="Century Schoolbook" w:hAnsi="Century Schoolbook"/>
          <w:szCs w:val="26"/>
        </w:rPr>
        <w:t xml:space="preserve">p. </w:t>
      </w:r>
      <w:r w:rsidRPr="009827CA">
        <w:rPr>
          <w:rFonts w:ascii="Century Schoolbook" w:hAnsi="Century Schoolbook"/>
          <w:szCs w:val="26"/>
        </w:rPr>
        <w:t>608.)</w:t>
      </w:r>
    </w:p>
  </w:footnote>
  <w:footnote w:id="5">
    <w:p w14:paraId="1CF0DDB6" w14:textId="77777777" w:rsidR="00AE252E" w:rsidRPr="009827CA" w:rsidRDefault="00653098" w:rsidP="009827CA">
      <w:pPr>
        <w:pStyle w:val="FootnoteText"/>
        <w:ind w:firstLine="720"/>
        <w:rPr>
          <w:rFonts w:ascii="Century Schoolbook" w:hAnsi="Century Schoolbook"/>
          <w:szCs w:val="26"/>
        </w:rPr>
      </w:pPr>
      <w:r w:rsidRPr="009827CA">
        <w:rPr>
          <w:rStyle w:val="FootnoteReference"/>
          <w:rFonts w:ascii="Century Schoolbook" w:hAnsi="Century Schoolbook"/>
          <w:szCs w:val="26"/>
        </w:rPr>
        <w:footnoteRef/>
      </w:r>
      <w:r w:rsidRPr="009827CA">
        <w:rPr>
          <w:rFonts w:ascii="Century Schoolbook" w:hAnsi="Century Schoolbook"/>
          <w:szCs w:val="26"/>
        </w:rPr>
        <w:t xml:space="preserve"> This rule is binding on assessors.  (</w:t>
      </w:r>
      <w:r w:rsidR="004352AA" w:rsidRPr="009827CA">
        <w:rPr>
          <w:rFonts w:ascii="Century Schoolbook" w:hAnsi="Century Schoolbook"/>
          <w:i/>
          <w:iCs/>
          <w:szCs w:val="26"/>
        </w:rPr>
        <w:t>Ocean Avenue LLC v. County of Los Angeles</w:t>
      </w:r>
      <w:r w:rsidR="001B2BD7" w:rsidRPr="009827CA">
        <w:rPr>
          <w:rFonts w:ascii="Century Schoolbook" w:hAnsi="Century Schoolbook"/>
          <w:i/>
          <w:iCs/>
          <w:szCs w:val="26"/>
        </w:rPr>
        <w:t xml:space="preserve"> </w:t>
      </w:r>
      <w:r w:rsidR="001B2BD7" w:rsidRPr="009827CA">
        <w:rPr>
          <w:rFonts w:ascii="Century Schoolbook" w:hAnsi="Century Schoolbook"/>
          <w:szCs w:val="26"/>
        </w:rPr>
        <w:t>(2014) 227 Cal.App.4th 344, 350</w:t>
      </w:r>
      <w:r w:rsidRPr="009827CA">
        <w:rPr>
          <w:rFonts w:ascii="Century Schoolbook" w:hAnsi="Century Schoolbook"/>
          <w:szCs w:val="26"/>
        </w:rPr>
        <w:t>.)</w:t>
      </w:r>
    </w:p>
    <w:p w14:paraId="1CF0DDB7" w14:textId="77777777" w:rsidR="009827CA" w:rsidRPr="009827CA" w:rsidRDefault="009827CA" w:rsidP="009827CA">
      <w:pPr>
        <w:pStyle w:val="FootnoteText"/>
        <w:ind w:firstLine="720"/>
        <w:rPr>
          <w:rFonts w:ascii="Century Schoolbook" w:hAnsi="Century Schoolbook"/>
          <w:szCs w:val="26"/>
        </w:rPr>
      </w:pPr>
    </w:p>
  </w:footnote>
  <w:footnote w:id="6">
    <w:p w14:paraId="1CF0DDB8" w14:textId="77777777" w:rsidR="00CB648D" w:rsidRPr="009827CA" w:rsidRDefault="00653098" w:rsidP="009827CA">
      <w:pPr>
        <w:pStyle w:val="FootnoteText"/>
        <w:ind w:firstLine="720"/>
        <w:rPr>
          <w:rFonts w:ascii="Century Schoolbook" w:hAnsi="Century Schoolbook"/>
          <w:szCs w:val="26"/>
        </w:rPr>
      </w:pPr>
      <w:r w:rsidRPr="009827CA">
        <w:rPr>
          <w:rStyle w:val="FootnoteReference"/>
          <w:rFonts w:ascii="Century Schoolbook" w:hAnsi="Century Schoolbook"/>
          <w:szCs w:val="26"/>
        </w:rPr>
        <w:footnoteRef/>
      </w:r>
      <w:r w:rsidRPr="009827CA">
        <w:rPr>
          <w:rFonts w:ascii="Century Schoolbook" w:hAnsi="Century Schoolbook"/>
          <w:szCs w:val="26"/>
        </w:rPr>
        <w:t xml:space="preserve"> The parties agree that the management agreement is an intangible asset that is not taxable. </w:t>
      </w:r>
    </w:p>
  </w:footnote>
  <w:footnote w:id="7">
    <w:p w14:paraId="1CF0DDB9" w14:textId="77777777" w:rsidR="00D73B3D" w:rsidRPr="009827CA" w:rsidRDefault="00653098" w:rsidP="009827CA">
      <w:pPr>
        <w:pStyle w:val="FootnoteText"/>
        <w:ind w:firstLine="720"/>
        <w:rPr>
          <w:rFonts w:ascii="Century Schoolbook" w:hAnsi="Century Schoolbook"/>
          <w:szCs w:val="26"/>
        </w:rPr>
      </w:pPr>
      <w:r w:rsidRPr="009827CA">
        <w:rPr>
          <w:rStyle w:val="FootnoteReference"/>
          <w:rFonts w:ascii="Century Schoolbook" w:hAnsi="Century Schoolbook"/>
          <w:szCs w:val="26"/>
        </w:rPr>
        <w:footnoteRef/>
      </w:r>
      <w:r w:rsidRPr="009827CA">
        <w:rPr>
          <w:rFonts w:ascii="Century Schoolbook" w:hAnsi="Century Schoolbook"/>
          <w:szCs w:val="26"/>
        </w:rPr>
        <w:t xml:space="preserve"> The Strat</w:t>
      </w:r>
      <w:r w:rsidR="00D844E6" w:rsidRPr="009827CA">
        <w:rPr>
          <w:rFonts w:ascii="Century Schoolbook" w:hAnsi="Century Schoolbook"/>
          <w:szCs w:val="26"/>
        </w:rPr>
        <w:t>e</w:t>
      </w:r>
      <w:r w:rsidRPr="009827CA">
        <w:rPr>
          <w:rFonts w:ascii="Century Schoolbook" w:hAnsi="Century Schoolbook"/>
          <w:szCs w:val="26"/>
        </w:rPr>
        <w:t xml:space="preserve">gic Plaintiffs </w:t>
      </w:r>
      <w:r w:rsidR="00D844E6" w:rsidRPr="009827CA">
        <w:rPr>
          <w:rFonts w:ascii="Century Schoolbook" w:hAnsi="Century Schoolbook"/>
          <w:szCs w:val="26"/>
        </w:rPr>
        <w:t xml:space="preserve">repeatedly </w:t>
      </w:r>
      <w:r w:rsidRPr="009827CA">
        <w:rPr>
          <w:rFonts w:ascii="Century Schoolbook" w:hAnsi="Century Schoolbook"/>
          <w:szCs w:val="26"/>
        </w:rPr>
        <w:t xml:space="preserve">refer to the method used by </w:t>
      </w:r>
      <w:r w:rsidR="00E95651" w:rsidRPr="009827CA">
        <w:rPr>
          <w:rFonts w:ascii="Century Schoolbook" w:hAnsi="Century Schoolbook"/>
          <w:szCs w:val="26"/>
        </w:rPr>
        <w:t>the City</w:t>
      </w:r>
      <w:r w:rsidRPr="009827CA">
        <w:rPr>
          <w:rFonts w:ascii="Century Schoolbook" w:hAnsi="Century Schoolbook"/>
          <w:szCs w:val="26"/>
        </w:rPr>
        <w:t xml:space="preserve"> to value the management agreement as the </w:t>
      </w:r>
      <w:r w:rsidR="00D844E6" w:rsidRPr="009827CA">
        <w:rPr>
          <w:rFonts w:ascii="Century Schoolbook" w:hAnsi="Century Schoolbook"/>
          <w:szCs w:val="26"/>
        </w:rPr>
        <w:t>“</w:t>
      </w:r>
      <w:r w:rsidRPr="009827CA">
        <w:rPr>
          <w:rFonts w:ascii="Century Schoolbook" w:hAnsi="Century Schoolbook"/>
          <w:szCs w:val="26"/>
        </w:rPr>
        <w:t>R</w:t>
      </w:r>
      <w:r w:rsidRPr="009827CA">
        <w:rPr>
          <w:rFonts w:ascii="Century Schoolbook" w:hAnsi="Century Schoolbook"/>
          <w:szCs w:val="26"/>
        </w:rPr>
        <w:t>ushmore Method.</w:t>
      </w:r>
      <w:r w:rsidR="00D844E6" w:rsidRPr="009827CA">
        <w:rPr>
          <w:rFonts w:ascii="Century Schoolbook" w:hAnsi="Century Schoolbook"/>
          <w:szCs w:val="26"/>
        </w:rPr>
        <w:t>”</w:t>
      </w:r>
      <w:r w:rsidRPr="009827CA">
        <w:rPr>
          <w:rFonts w:ascii="Century Schoolbook" w:hAnsi="Century Schoolbook"/>
          <w:szCs w:val="26"/>
        </w:rPr>
        <w:t xml:space="preserve">  </w:t>
      </w:r>
      <w:r w:rsidR="00E95651" w:rsidRPr="009827CA">
        <w:rPr>
          <w:rFonts w:ascii="Century Schoolbook" w:hAnsi="Century Schoolbook"/>
          <w:szCs w:val="26"/>
        </w:rPr>
        <w:t>But t</w:t>
      </w:r>
      <w:r w:rsidR="00D844E6" w:rsidRPr="009827CA">
        <w:rPr>
          <w:rFonts w:ascii="Century Schoolbook" w:hAnsi="Century Schoolbook"/>
          <w:szCs w:val="26"/>
        </w:rPr>
        <w:t xml:space="preserve">his </w:t>
      </w:r>
      <w:r w:rsidR="008C3536" w:rsidRPr="009827CA">
        <w:rPr>
          <w:rFonts w:ascii="Century Schoolbook" w:hAnsi="Century Schoolbook"/>
          <w:szCs w:val="26"/>
        </w:rPr>
        <w:t xml:space="preserve">reference </w:t>
      </w:r>
      <w:r w:rsidR="00D844E6" w:rsidRPr="009827CA">
        <w:rPr>
          <w:rFonts w:ascii="Century Schoolbook" w:hAnsi="Century Schoolbook"/>
          <w:szCs w:val="26"/>
        </w:rPr>
        <w:t xml:space="preserve">appears to be </w:t>
      </w:r>
      <w:r w:rsidR="008C3536" w:rsidRPr="009827CA">
        <w:rPr>
          <w:rFonts w:ascii="Century Schoolbook" w:hAnsi="Century Schoolbook"/>
          <w:szCs w:val="26"/>
        </w:rPr>
        <w:t>somewhat misleading</w:t>
      </w:r>
      <w:r w:rsidR="00D844E6" w:rsidRPr="009827CA">
        <w:rPr>
          <w:rFonts w:ascii="Century Schoolbook" w:hAnsi="Century Schoolbook"/>
          <w:szCs w:val="26"/>
        </w:rPr>
        <w:t>.  The Rushmore</w:t>
      </w:r>
      <w:r w:rsidRPr="009827CA">
        <w:rPr>
          <w:rFonts w:ascii="Century Schoolbook" w:hAnsi="Century Schoolbook"/>
          <w:szCs w:val="26"/>
        </w:rPr>
        <w:t xml:space="preserve"> Method, “a species of the income method, is a model of hotel valuation developed by Stephen Rushmore.”  (</w:t>
      </w:r>
      <w:r w:rsidRPr="009827CA">
        <w:rPr>
          <w:rFonts w:ascii="Century Schoolbook" w:hAnsi="Century Schoolbook"/>
          <w:i/>
          <w:iCs/>
          <w:szCs w:val="26"/>
        </w:rPr>
        <w:t>SH</w:t>
      </w:r>
      <w:r w:rsidR="00E95651" w:rsidRPr="009827CA">
        <w:rPr>
          <w:rFonts w:ascii="Century Schoolbook" w:hAnsi="Century Schoolbook"/>
          <w:i/>
          <w:iCs/>
          <w:szCs w:val="26"/>
        </w:rPr>
        <w:t>C</w:t>
      </w:r>
      <w:r w:rsidRPr="009827CA">
        <w:rPr>
          <w:rFonts w:ascii="Century Schoolbook" w:hAnsi="Century Schoolbook"/>
          <w:i/>
          <w:iCs/>
          <w:szCs w:val="26"/>
        </w:rPr>
        <w:t xml:space="preserve"> Half Moon Bay</w:t>
      </w:r>
      <w:r w:rsidRPr="009827CA">
        <w:rPr>
          <w:rFonts w:ascii="Century Schoolbook" w:hAnsi="Century Schoolbook"/>
          <w:szCs w:val="26"/>
        </w:rPr>
        <w:t xml:space="preserve">, </w:t>
      </w:r>
      <w:r w:rsidRPr="009827CA">
        <w:rPr>
          <w:rFonts w:ascii="Century Schoolbook" w:hAnsi="Century Schoolbook"/>
          <w:i/>
          <w:iCs/>
          <w:szCs w:val="26"/>
        </w:rPr>
        <w:t>supra</w:t>
      </w:r>
      <w:r w:rsidRPr="009827CA">
        <w:rPr>
          <w:rFonts w:ascii="Century Schoolbook" w:hAnsi="Century Schoolbook"/>
          <w:szCs w:val="26"/>
        </w:rPr>
        <w:t>, 226 Cal.App.4th at p. 478, fn. 5.)</w:t>
      </w:r>
      <w:r w:rsidR="00D844E6" w:rsidRPr="009827CA">
        <w:rPr>
          <w:rFonts w:ascii="Century Schoolbook" w:hAnsi="Century Schoolbook"/>
          <w:szCs w:val="26"/>
        </w:rPr>
        <w:t xml:space="preserve">  It “holds that the deduction of management fees and franchise fees accounts for </w:t>
      </w:r>
      <w:r w:rsidR="00D844E6" w:rsidRPr="009827CA">
        <w:rPr>
          <w:rFonts w:ascii="Century Schoolbook" w:hAnsi="Century Schoolbook"/>
          <w:i/>
          <w:iCs/>
          <w:szCs w:val="26"/>
        </w:rPr>
        <w:t xml:space="preserve">any and all </w:t>
      </w:r>
      <w:r w:rsidR="00D844E6" w:rsidRPr="009827CA">
        <w:rPr>
          <w:rFonts w:ascii="Century Schoolbook" w:hAnsi="Century Schoolbook"/>
          <w:szCs w:val="26"/>
        </w:rPr>
        <w:t>intangible assets contributing to a hotel’s going-concern income.”  (</w:t>
      </w:r>
      <w:r w:rsidR="00D844E6" w:rsidRPr="009827CA">
        <w:rPr>
          <w:rFonts w:ascii="Century Schoolbook" w:hAnsi="Century Schoolbook"/>
          <w:i/>
          <w:iCs/>
          <w:szCs w:val="26"/>
        </w:rPr>
        <w:t xml:space="preserve">1300 Nicollet, L.L.C. v. Cty of Hennepin </w:t>
      </w:r>
      <w:r w:rsidR="00D844E6" w:rsidRPr="009827CA">
        <w:rPr>
          <w:rFonts w:ascii="Century Schoolbook" w:hAnsi="Century Schoolbook"/>
          <w:szCs w:val="26"/>
        </w:rPr>
        <w:t>(Minn. Tax Ct. Mar. 16, 2022) 2022 L</w:t>
      </w:r>
      <w:r w:rsidR="00E443BD">
        <w:rPr>
          <w:rFonts w:ascii="Century Schoolbook" w:hAnsi="Century Schoolbook"/>
          <w:szCs w:val="26"/>
        </w:rPr>
        <w:t>exis 12</w:t>
      </w:r>
      <w:r w:rsidR="00D844E6" w:rsidRPr="009827CA">
        <w:rPr>
          <w:rFonts w:ascii="Century Schoolbook" w:hAnsi="Century Schoolbook"/>
          <w:szCs w:val="26"/>
        </w:rPr>
        <w:t>,</w:t>
      </w:r>
      <w:r w:rsidR="00E443BD">
        <w:rPr>
          <w:rFonts w:ascii="Century Schoolbook" w:hAnsi="Century Schoolbook"/>
          <w:szCs w:val="26"/>
        </w:rPr>
        <w:t xml:space="preserve"> 25</w:t>
      </w:r>
      <w:r w:rsidR="00F4090A">
        <w:rPr>
          <w:rFonts w:ascii="Century Schoolbook" w:hAnsi="Century Schoolbook"/>
          <w:szCs w:val="26"/>
        </w:rPr>
        <w:t>,</w:t>
      </w:r>
      <w:r w:rsidR="00E95651" w:rsidRPr="009827CA">
        <w:rPr>
          <w:rFonts w:ascii="Century Schoolbook" w:hAnsi="Century Schoolbook"/>
          <w:szCs w:val="26"/>
        </w:rPr>
        <w:t>italics in original</w:t>
      </w:r>
      <w:r w:rsidR="00D844E6" w:rsidRPr="009827CA">
        <w:rPr>
          <w:rFonts w:ascii="Century Schoolbook" w:hAnsi="Century Schoolbook"/>
          <w:szCs w:val="26"/>
        </w:rPr>
        <w:t xml:space="preserve">.)  </w:t>
      </w:r>
      <w:r w:rsidR="00E95651" w:rsidRPr="009827CA">
        <w:rPr>
          <w:rFonts w:ascii="Century Schoolbook" w:hAnsi="Century Schoolbook"/>
          <w:szCs w:val="26"/>
        </w:rPr>
        <w:t>The City, however,</w:t>
      </w:r>
      <w:r w:rsidR="00D844E6" w:rsidRPr="009827CA">
        <w:rPr>
          <w:rFonts w:ascii="Century Schoolbook" w:hAnsi="Century Schoolbook"/>
          <w:szCs w:val="26"/>
        </w:rPr>
        <w:t xml:space="preserve"> does not contend the deduction of the management fees account</w:t>
      </w:r>
      <w:r w:rsidR="00E95651" w:rsidRPr="009827CA">
        <w:rPr>
          <w:rFonts w:ascii="Century Schoolbook" w:hAnsi="Century Schoolbook"/>
          <w:szCs w:val="26"/>
        </w:rPr>
        <w:t>s</w:t>
      </w:r>
      <w:r w:rsidR="00D844E6" w:rsidRPr="009827CA">
        <w:rPr>
          <w:rFonts w:ascii="Century Schoolbook" w:hAnsi="Century Schoolbook"/>
          <w:szCs w:val="26"/>
        </w:rPr>
        <w:t xml:space="preserve"> for </w:t>
      </w:r>
      <w:r w:rsidR="00FD7F55" w:rsidRPr="009827CA">
        <w:rPr>
          <w:rFonts w:ascii="Century Schoolbook" w:hAnsi="Century Schoolbook"/>
          <w:szCs w:val="26"/>
        </w:rPr>
        <w:t xml:space="preserve">any and </w:t>
      </w:r>
      <w:r w:rsidR="00D844E6" w:rsidRPr="009827CA">
        <w:rPr>
          <w:rFonts w:ascii="Century Schoolbook" w:hAnsi="Century Schoolbook"/>
          <w:szCs w:val="26"/>
        </w:rPr>
        <w:t>all</w:t>
      </w:r>
      <w:r w:rsidR="00D844E6" w:rsidRPr="009827CA">
        <w:rPr>
          <w:rFonts w:ascii="Century Schoolbook" w:hAnsi="Century Schoolbook"/>
          <w:i/>
          <w:iCs/>
          <w:szCs w:val="26"/>
        </w:rPr>
        <w:t xml:space="preserve"> </w:t>
      </w:r>
      <w:r w:rsidR="00D844E6" w:rsidRPr="009827CA">
        <w:rPr>
          <w:rFonts w:ascii="Century Schoolbook" w:hAnsi="Century Schoolbook"/>
          <w:szCs w:val="26"/>
        </w:rPr>
        <w:t>nontaxable, intangible assets.  Instead, it only contends the deduction of those fees captures the full value of the management agreement itself.</w:t>
      </w:r>
    </w:p>
  </w:footnote>
  <w:footnote w:id="8">
    <w:p w14:paraId="1CF0DDBA" w14:textId="77777777" w:rsidR="006642FE" w:rsidRPr="009827CA" w:rsidRDefault="00653098" w:rsidP="009827CA">
      <w:pPr>
        <w:pStyle w:val="FootnoteText"/>
        <w:ind w:firstLine="720"/>
        <w:rPr>
          <w:rFonts w:ascii="Century Schoolbook" w:hAnsi="Century Schoolbook"/>
          <w:szCs w:val="26"/>
        </w:rPr>
      </w:pPr>
      <w:r w:rsidRPr="009827CA">
        <w:rPr>
          <w:rStyle w:val="FootnoteReference"/>
          <w:rFonts w:ascii="Century Schoolbook" w:hAnsi="Century Schoolbook"/>
          <w:szCs w:val="26"/>
        </w:rPr>
        <w:footnoteRef/>
      </w:r>
      <w:r w:rsidRPr="009827CA">
        <w:rPr>
          <w:rFonts w:ascii="Century Schoolbook" w:hAnsi="Century Schoolbook"/>
          <w:szCs w:val="26"/>
        </w:rPr>
        <w:t xml:space="preserve"> </w:t>
      </w:r>
      <w:r w:rsidR="00A96DEE" w:rsidRPr="009827CA">
        <w:rPr>
          <w:rFonts w:ascii="Century Schoolbook" w:hAnsi="Century Schoolbook"/>
          <w:szCs w:val="26"/>
        </w:rPr>
        <w:t>T</w:t>
      </w:r>
      <w:r w:rsidRPr="009827CA">
        <w:rPr>
          <w:rFonts w:ascii="Century Schoolbook" w:hAnsi="Century Schoolbook"/>
          <w:szCs w:val="26"/>
        </w:rPr>
        <w:t xml:space="preserve">he Court expresses no opinion as to whether the </w:t>
      </w:r>
      <w:r w:rsidR="00D94C6C" w:rsidRPr="009827CA">
        <w:rPr>
          <w:rFonts w:ascii="Century Schoolbook" w:hAnsi="Century Schoolbook"/>
          <w:szCs w:val="26"/>
        </w:rPr>
        <w:t xml:space="preserve">Strategic Plaintiffs’ </w:t>
      </w:r>
      <w:r w:rsidRPr="009827CA">
        <w:rPr>
          <w:rFonts w:ascii="Century Schoolbook" w:hAnsi="Century Schoolbook"/>
          <w:szCs w:val="26"/>
        </w:rPr>
        <w:t>proposed deduction of an additional 20</w:t>
      </w:r>
      <w:r w:rsidR="005B4234" w:rsidRPr="009827CA">
        <w:rPr>
          <w:rFonts w:ascii="Century Schoolbook" w:hAnsi="Century Schoolbook"/>
          <w:szCs w:val="26"/>
        </w:rPr>
        <w:t xml:space="preserve"> percent</w:t>
      </w:r>
      <w:r w:rsidRPr="009827CA">
        <w:rPr>
          <w:rFonts w:ascii="Century Schoolbook" w:hAnsi="Century Schoolbook"/>
          <w:szCs w:val="26"/>
        </w:rPr>
        <w:t xml:space="preserve"> of the management fees from </w:t>
      </w:r>
      <w:r w:rsidR="005B4234" w:rsidRPr="009827CA">
        <w:rPr>
          <w:rFonts w:ascii="Century Schoolbook" w:hAnsi="Century Schoolbook"/>
          <w:szCs w:val="26"/>
        </w:rPr>
        <w:t xml:space="preserve">the </w:t>
      </w:r>
      <w:r w:rsidRPr="009827CA">
        <w:rPr>
          <w:rFonts w:ascii="Century Schoolbook" w:hAnsi="Century Schoolbook"/>
          <w:szCs w:val="26"/>
        </w:rPr>
        <w:t>net operating income of the hotel is proper.</w:t>
      </w:r>
    </w:p>
    <w:p w14:paraId="1CF0DDBB" w14:textId="77777777" w:rsidR="009827CA" w:rsidRPr="009827CA" w:rsidRDefault="009827CA" w:rsidP="009827CA">
      <w:pPr>
        <w:pStyle w:val="FootnoteText"/>
        <w:ind w:firstLine="720"/>
        <w:rPr>
          <w:rFonts w:ascii="Century Schoolbook" w:hAnsi="Century Schoolbook"/>
          <w:szCs w:val="26"/>
        </w:rPr>
      </w:pPr>
    </w:p>
  </w:footnote>
  <w:footnote w:id="9">
    <w:p w14:paraId="1CF0DDBC" w14:textId="77777777" w:rsidR="0029162E" w:rsidRPr="009827CA" w:rsidRDefault="00653098" w:rsidP="009827CA">
      <w:pPr>
        <w:pStyle w:val="FootnoteText"/>
        <w:ind w:firstLine="720"/>
        <w:rPr>
          <w:rFonts w:ascii="Century Schoolbook" w:hAnsi="Century Schoolbook"/>
          <w:szCs w:val="26"/>
        </w:rPr>
      </w:pPr>
      <w:r w:rsidRPr="009827CA">
        <w:rPr>
          <w:rStyle w:val="FootnoteReference"/>
          <w:rFonts w:ascii="Century Schoolbook" w:hAnsi="Century Schoolbook"/>
          <w:szCs w:val="26"/>
        </w:rPr>
        <w:footnoteRef/>
      </w:r>
      <w:r w:rsidRPr="009827CA">
        <w:rPr>
          <w:rFonts w:ascii="Century Schoolbook" w:hAnsi="Century Schoolbook"/>
          <w:szCs w:val="26"/>
        </w:rPr>
        <w:t xml:space="preserve"> The City also argued that the deduction of fees or expenses associated with these </w:t>
      </w:r>
      <w:r w:rsidR="005B4234" w:rsidRPr="009827CA">
        <w:rPr>
          <w:rFonts w:ascii="Century Schoolbook" w:hAnsi="Century Schoolbook"/>
          <w:szCs w:val="26"/>
        </w:rPr>
        <w:t xml:space="preserve">intangible </w:t>
      </w:r>
      <w:r w:rsidRPr="009827CA">
        <w:rPr>
          <w:rFonts w:ascii="Century Schoolbook" w:hAnsi="Century Schoolbook"/>
          <w:szCs w:val="26"/>
        </w:rPr>
        <w:t>assets fully removed their value</w:t>
      </w:r>
      <w:r w:rsidR="005B4234" w:rsidRPr="009827CA">
        <w:rPr>
          <w:rFonts w:ascii="Century Schoolbook" w:hAnsi="Century Schoolbook"/>
          <w:szCs w:val="26"/>
        </w:rPr>
        <w:t xml:space="preserve"> from the </w:t>
      </w:r>
      <w:r w:rsidR="00A96DEE" w:rsidRPr="009827CA">
        <w:rPr>
          <w:rFonts w:ascii="Century Schoolbook" w:hAnsi="Century Schoolbook"/>
          <w:szCs w:val="26"/>
        </w:rPr>
        <w:t>assessment</w:t>
      </w:r>
      <w:r w:rsidRPr="009827CA">
        <w:rPr>
          <w:rFonts w:ascii="Century Schoolbook" w:hAnsi="Century Schoolbook"/>
          <w:szCs w:val="26"/>
        </w:rPr>
        <w:t xml:space="preserve">.  </w:t>
      </w:r>
      <w:r w:rsidR="00A96DEE" w:rsidRPr="009827CA">
        <w:rPr>
          <w:rFonts w:ascii="Century Schoolbook" w:hAnsi="Century Schoolbook"/>
          <w:szCs w:val="26"/>
        </w:rPr>
        <w:t>But w</w:t>
      </w:r>
      <w:r w:rsidRPr="009827CA">
        <w:rPr>
          <w:rFonts w:ascii="Century Schoolbook" w:hAnsi="Century Schoolbook"/>
          <w:szCs w:val="26"/>
        </w:rPr>
        <w:t xml:space="preserve">e have already rejected this argument.  (See, </w:t>
      </w:r>
      <w:r w:rsidRPr="009827CA">
        <w:rPr>
          <w:rFonts w:ascii="Century Schoolbook" w:hAnsi="Century Schoolbook"/>
          <w:i/>
          <w:iCs/>
          <w:szCs w:val="26"/>
        </w:rPr>
        <w:t>supra</w:t>
      </w:r>
      <w:r w:rsidRPr="009827CA">
        <w:rPr>
          <w:rFonts w:ascii="Century Schoolbook" w:hAnsi="Century Schoolbook"/>
          <w:szCs w:val="26"/>
        </w:rPr>
        <w:t>, at pp. 9</w:t>
      </w:r>
      <w:r w:rsidR="00F80D23">
        <w:rPr>
          <w:rFonts w:ascii="Century Schoolbook" w:hAnsi="Century Schoolbook"/>
          <w:szCs w:val="26"/>
        </w:rPr>
        <w:t>–</w:t>
      </w:r>
      <w:r w:rsidRPr="009827CA">
        <w:rPr>
          <w:rFonts w:ascii="Century Schoolbook" w:hAnsi="Century Schoolbook"/>
          <w:szCs w:val="26"/>
        </w:rPr>
        <w:t>16.)</w:t>
      </w:r>
    </w:p>
  </w:footnote>
  <w:footnote w:id="10">
    <w:p w14:paraId="1CF0DDBD" w14:textId="77777777" w:rsidR="00BE379B" w:rsidRPr="00BE379B" w:rsidRDefault="00653098" w:rsidP="009827CA">
      <w:pPr>
        <w:pStyle w:val="FootnoteText"/>
        <w:ind w:firstLine="720"/>
        <w:rPr>
          <w:rFonts w:ascii="Century Schoolbook" w:hAnsi="Century Schoolbook"/>
        </w:rPr>
      </w:pPr>
      <w:r w:rsidRPr="009827CA">
        <w:rPr>
          <w:rStyle w:val="FootnoteReference"/>
          <w:rFonts w:ascii="Century Schoolbook" w:hAnsi="Century Schoolbook"/>
          <w:szCs w:val="26"/>
        </w:rPr>
        <w:footnoteRef/>
      </w:r>
      <w:r w:rsidRPr="009827CA">
        <w:rPr>
          <w:rFonts w:ascii="Century Schoolbook" w:hAnsi="Century Schoolbook"/>
          <w:szCs w:val="26"/>
        </w:rPr>
        <w:t xml:space="preserve"> In reaching this conclusion, we d</w:t>
      </w:r>
      <w:r w:rsidRPr="009827CA">
        <w:rPr>
          <w:rFonts w:ascii="Century Schoolbook" w:hAnsi="Century Schoolbook"/>
          <w:szCs w:val="26"/>
        </w:rPr>
        <w:t xml:space="preserve">o not decide what portion of the net income from in-room movies and guest </w:t>
      </w:r>
      <w:r w:rsidR="004011DB">
        <w:rPr>
          <w:rFonts w:ascii="Century Schoolbook" w:hAnsi="Century Schoolbook"/>
          <w:szCs w:val="26"/>
        </w:rPr>
        <w:t xml:space="preserve">laundry services </w:t>
      </w:r>
      <w:r w:rsidRPr="009827CA">
        <w:rPr>
          <w:rFonts w:ascii="Century Schoolbook" w:hAnsi="Century Schoolbook"/>
          <w:szCs w:val="26"/>
        </w:rPr>
        <w:t xml:space="preserve">should be deducted from the hotel’s net operating income.  (See </w:t>
      </w:r>
      <w:r w:rsidRPr="009827CA">
        <w:rPr>
          <w:rFonts w:ascii="Century Schoolbook" w:hAnsi="Century Schoolbook"/>
          <w:i/>
          <w:iCs/>
          <w:szCs w:val="26"/>
        </w:rPr>
        <w:t>DFS Group</w:t>
      </w:r>
      <w:r w:rsidRPr="009827CA">
        <w:rPr>
          <w:rFonts w:ascii="Century Schoolbook" w:hAnsi="Century Schoolbook"/>
          <w:szCs w:val="26"/>
        </w:rPr>
        <w:t xml:space="preserve">, </w:t>
      </w:r>
      <w:r w:rsidRPr="009827CA">
        <w:rPr>
          <w:rFonts w:ascii="Century Schoolbook" w:hAnsi="Century Schoolbook"/>
          <w:i/>
          <w:iCs/>
          <w:szCs w:val="26"/>
        </w:rPr>
        <w:t>supra</w:t>
      </w:r>
      <w:r w:rsidRPr="009827CA">
        <w:rPr>
          <w:rFonts w:ascii="Century Schoolbook" w:hAnsi="Century Schoolbook"/>
          <w:szCs w:val="26"/>
        </w:rPr>
        <w:t xml:space="preserve">, 31 Cal.App.5th at p. 1085 [assessor may consider, in determining the taxable value </w:t>
      </w:r>
      <w:r w:rsidRPr="009827CA">
        <w:rPr>
          <w:rFonts w:ascii="Century Schoolbook" w:hAnsi="Century Schoolbook"/>
          <w:szCs w:val="26"/>
        </w:rPr>
        <w:t>of a property, “the attributes of the property that make it favorable to” retail businesses operating at the hotel].)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358"/>
    <w:multiLevelType w:val="hybridMultilevel"/>
    <w:tmpl w:val="AB8C94C0"/>
    <w:lvl w:ilvl="0" w:tplc="EBA84DF6">
      <w:start w:val="1"/>
      <w:numFmt w:val="upperLetter"/>
      <w:lvlText w:val="%1."/>
      <w:lvlJc w:val="left"/>
      <w:pPr>
        <w:ind w:left="720" w:hanging="360"/>
      </w:pPr>
      <w:rPr>
        <w:rFonts w:hint="default"/>
      </w:rPr>
    </w:lvl>
    <w:lvl w:ilvl="1" w:tplc="5CBC3382" w:tentative="1">
      <w:start w:val="1"/>
      <w:numFmt w:val="lowerLetter"/>
      <w:lvlText w:val="%2."/>
      <w:lvlJc w:val="left"/>
      <w:pPr>
        <w:ind w:left="1440" w:hanging="360"/>
      </w:pPr>
    </w:lvl>
    <w:lvl w:ilvl="2" w:tplc="8228CE30" w:tentative="1">
      <w:start w:val="1"/>
      <w:numFmt w:val="lowerRoman"/>
      <w:lvlText w:val="%3."/>
      <w:lvlJc w:val="right"/>
      <w:pPr>
        <w:ind w:left="2160" w:hanging="180"/>
      </w:pPr>
    </w:lvl>
    <w:lvl w:ilvl="3" w:tplc="8EAA93A8" w:tentative="1">
      <w:start w:val="1"/>
      <w:numFmt w:val="decimal"/>
      <w:lvlText w:val="%4."/>
      <w:lvlJc w:val="left"/>
      <w:pPr>
        <w:ind w:left="2880" w:hanging="360"/>
      </w:pPr>
    </w:lvl>
    <w:lvl w:ilvl="4" w:tplc="209EC33E" w:tentative="1">
      <w:start w:val="1"/>
      <w:numFmt w:val="lowerLetter"/>
      <w:lvlText w:val="%5."/>
      <w:lvlJc w:val="left"/>
      <w:pPr>
        <w:ind w:left="3600" w:hanging="360"/>
      </w:pPr>
    </w:lvl>
    <w:lvl w:ilvl="5" w:tplc="B0AA19C4" w:tentative="1">
      <w:start w:val="1"/>
      <w:numFmt w:val="lowerRoman"/>
      <w:lvlText w:val="%6."/>
      <w:lvlJc w:val="right"/>
      <w:pPr>
        <w:ind w:left="4320" w:hanging="180"/>
      </w:pPr>
    </w:lvl>
    <w:lvl w:ilvl="6" w:tplc="B9CAFA04" w:tentative="1">
      <w:start w:val="1"/>
      <w:numFmt w:val="decimal"/>
      <w:lvlText w:val="%7."/>
      <w:lvlJc w:val="left"/>
      <w:pPr>
        <w:ind w:left="5040" w:hanging="360"/>
      </w:pPr>
    </w:lvl>
    <w:lvl w:ilvl="7" w:tplc="0436D11A" w:tentative="1">
      <w:start w:val="1"/>
      <w:numFmt w:val="lowerLetter"/>
      <w:lvlText w:val="%8."/>
      <w:lvlJc w:val="left"/>
      <w:pPr>
        <w:ind w:left="5760" w:hanging="360"/>
      </w:pPr>
    </w:lvl>
    <w:lvl w:ilvl="8" w:tplc="73CE392A" w:tentative="1">
      <w:start w:val="1"/>
      <w:numFmt w:val="lowerRoman"/>
      <w:lvlText w:val="%9."/>
      <w:lvlJc w:val="right"/>
      <w:pPr>
        <w:ind w:left="6480" w:hanging="180"/>
      </w:pPr>
    </w:lvl>
  </w:abstractNum>
  <w:abstractNum w:abstractNumId="1" w15:restartNumberingAfterBreak="0">
    <w:nsid w:val="0E283AB7"/>
    <w:multiLevelType w:val="hybridMultilevel"/>
    <w:tmpl w:val="829866A2"/>
    <w:lvl w:ilvl="0" w:tplc="C1069846">
      <w:start w:val="1"/>
      <w:numFmt w:val="upperLetter"/>
      <w:lvlText w:val="%1."/>
      <w:lvlJc w:val="left"/>
      <w:pPr>
        <w:ind w:left="1080" w:hanging="720"/>
      </w:pPr>
      <w:rPr>
        <w:rFonts w:hint="default"/>
        <w:i w:val="0"/>
      </w:rPr>
    </w:lvl>
    <w:lvl w:ilvl="1" w:tplc="2BFA91CE" w:tentative="1">
      <w:start w:val="1"/>
      <w:numFmt w:val="lowerLetter"/>
      <w:lvlText w:val="%2."/>
      <w:lvlJc w:val="left"/>
      <w:pPr>
        <w:ind w:left="1440" w:hanging="360"/>
      </w:pPr>
    </w:lvl>
    <w:lvl w:ilvl="2" w:tplc="39420A94" w:tentative="1">
      <w:start w:val="1"/>
      <w:numFmt w:val="lowerRoman"/>
      <w:lvlText w:val="%3."/>
      <w:lvlJc w:val="right"/>
      <w:pPr>
        <w:ind w:left="2160" w:hanging="180"/>
      </w:pPr>
    </w:lvl>
    <w:lvl w:ilvl="3" w:tplc="1136B844" w:tentative="1">
      <w:start w:val="1"/>
      <w:numFmt w:val="decimal"/>
      <w:lvlText w:val="%4."/>
      <w:lvlJc w:val="left"/>
      <w:pPr>
        <w:ind w:left="2880" w:hanging="360"/>
      </w:pPr>
    </w:lvl>
    <w:lvl w:ilvl="4" w:tplc="7EB69B22" w:tentative="1">
      <w:start w:val="1"/>
      <w:numFmt w:val="lowerLetter"/>
      <w:lvlText w:val="%5."/>
      <w:lvlJc w:val="left"/>
      <w:pPr>
        <w:ind w:left="3600" w:hanging="360"/>
      </w:pPr>
    </w:lvl>
    <w:lvl w:ilvl="5" w:tplc="0E4CE150" w:tentative="1">
      <w:start w:val="1"/>
      <w:numFmt w:val="lowerRoman"/>
      <w:lvlText w:val="%6."/>
      <w:lvlJc w:val="right"/>
      <w:pPr>
        <w:ind w:left="4320" w:hanging="180"/>
      </w:pPr>
    </w:lvl>
    <w:lvl w:ilvl="6" w:tplc="60FC081C" w:tentative="1">
      <w:start w:val="1"/>
      <w:numFmt w:val="decimal"/>
      <w:lvlText w:val="%7."/>
      <w:lvlJc w:val="left"/>
      <w:pPr>
        <w:ind w:left="5040" w:hanging="360"/>
      </w:pPr>
    </w:lvl>
    <w:lvl w:ilvl="7" w:tplc="744CFBB6" w:tentative="1">
      <w:start w:val="1"/>
      <w:numFmt w:val="lowerLetter"/>
      <w:lvlText w:val="%8."/>
      <w:lvlJc w:val="left"/>
      <w:pPr>
        <w:ind w:left="5760" w:hanging="360"/>
      </w:pPr>
    </w:lvl>
    <w:lvl w:ilvl="8" w:tplc="33AC9A2C" w:tentative="1">
      <w:start w:val="1"/>
      <w:numFmt w:val="lowerRoman"/>
      <w:lvlText w:val="%9."/>
      <w:lvlJc w:val="right"/>
      <w:pPr>
        <w:ind w:left="6480" w:hanging="180"/>
      </w:pPr>
    </w:lvl>
  </w:abstractNum>
  <w:abstractNum w:abstractNumId="2" w15:restartNumberingAfterBreak="0">
    <w:nsid w:val="5B1D22AD"/>
    <w:multiLevelType w:val="hybridMultilevel"/>
    <w:tmpl w:val="23583CAC"/>
    <w:lvl w:ilvl="0" w:tplc="3F32BB10">
      <w:start w:val="1"/>
      <w:numFmt w:val="decimal"/>
      <w:lvlText w:val="%1."/>
      <w:lvlJc w:val="left"/>
      <w:pPr>
        <w:ind w:left="720" w:hanging="360"/>
      </w:pPr>
    </w:lvl>
    <w:lvl w:ilvl="1" w:tplc="09E63574" w:tentative="1">
      <w:start w:val="1"/>
      <w:numFmt w:val="lowerLetter"/>
      <w:lvlText w:val="%2."/>
      <w:lvlJc w:val="left"/>
      <w:pPr>
        <w:ind w:left="1440" w:hanging="360"/>
      </w:pPr>
    </w:lvl>
    <w:lvl w:ilvl="2" w:tplc="02142D72" w:tentative="1">
      <w:start w:val="1"/>
      <w:numFmt w:val="lowerRoman"/>
      <w:lvlText w:val="%3."/>
      <w:lvlJc w:val="right"/>
      <w:pPr>
        <w:ind w:left="2160" w:hanging="180"/>
      </w:pPr>
    </w:lvl>
    <w:lvl w:ilvl="3" w:tplc="EC88BBC2" w:tentative="1">
      <w:start w:val="1"/>
      <w:numFmt w:val="decimal"/>
      <w:lvlText w:val="%4."/>
      <w:lvlJc w:val="left"/>
      <w:pPr>
        <w:ind w:left="2880" w:hanging="360"/>
      </w:pPr>
    </w:lvl>
    <w:lvl w:ilvl="4" w:tplc="9E34A528" w:tentative="1">
      <w:start w:val="1"/>
      <w:numFmt w:val="lowerLetter"/>
      <w:lvlText w:val="%5."/>
      <w:lvlJc w:val="left"/>
      <w:pPr>
        <w:ind w:left="3600" w:hanging="360"/>
      </w:pPr>
    </w:lvl>
    <w:lvl w:ilvl="5" w:tplc="7568A8D2" w:tentative="1">
      <w:start w:val="1"/>
      <w:numFmt w:val="lowerRoman"/>
      <w:lvlText w:val="%6."/>
      <w:lvlJc w:val="right"/>
      <w:pPr>
        <w:ind w:left="4320" w:hanging="180"/>
      </w:pPr>
    </w:lvl>
    <w:lvl w:ilvl="6" w:tplc="35767B9C" w:tentative="1">
      <w:start w:val="1"/>
      <w:numFmt w:val="decimal"/>
      <w:lvlText w:val="%7."/>
      <w:lvlJc w:val="left"/>
      <w:pPr>
        <w:ind w:left="5040" w:hanging="360"/>
      </w:pPr>
    </w:lvl>
    <w:lvl w:ilvl="7" w:tplc="AF0E55EE" w:tentative="1">
      <w:start w:val="1"/>
      <w:numFmt w:val="lowerLetter"/>
      <w:lvlText w:val="%8."/>
      <w:lvlJc w:val="left"/>
      <w:pPr>
        <w:ind w:left="5760" w:hanging="360"/>
      </w:pPr>
    </w:lvl>
    <w:lvl w:ilvl="8" w:tplc="212CDBB0" w:tentative="1">
      <w:start w:val="1"/>
      <w:numFmt w:val="lowerRoman"/>
      <w:lvlText w:val="%9."/>
      <w:lvlJc w:val="right"/>
      <w:pPr>
        <w:ind w:left="6480" w:hanging="180"/>
      </w:pPr>
    </w:lvl>
  </w:abstractNum>
  <w:abstractNum w:abstractNumId="3" w15:restartNumberingAfterBreak="0">
    <w:nsid w:val="5E940E93"/>
    <w:multiLevelType w:val="hybridMultilevel"/>
    <w:tmpl w:val="7EC6F196"/>
    <w:lvl w:ilvl="0" w:tplc="EEF6F99C">
      <w:start w:val="1"/>
      <w:numFmt w:val="decimal"/>
      <w:lvlText w:val="%1."/>
      <w:lvlJc w:val="left"/>
      <w:pPr>
        <w:ind w:left="720" w:hanging="360"/>
      </w:pPr>
    </w:lvl>
    <w:lvl w:ilvl="1" w:tplc="9746E7C8" w:tentative="1">
      <w:start w:val="1"/>
      <w:numFmt w:val="lowerLetter"/>
      <w:lvlText w:val="%2."/>
      <w:lvlJc w:val="left"/>
      <w:pPr>
        <w:ind w:left="1440" w:hanging="360"/>
      </w:pPr>
    </w:lvl>
    <w:lvl w:ilvl="2" w:tplc="9EB4D6D2" w:tentative="1">
      <w:start w:val="1"/>
      <w:numFmt w:val="lowerRoman"/>
      <w:lvlText w:val="%3."/>
      <w:lvlJc w:val="right"/>
      <w:pPr>
        <w:ind w:left="2160" w:hanging="180"/>
      </w:pPr>
    </w:lvl>
    <w:lvl w:ilvl="3" w:tplc="DFF44F40" w:tentative="1">
      <w:start w:val="1"/>
      <w:numFmt w:val="decimal"/>
      <w:lvlText w:val="%4."/>
      <w:lvlJc w:val="left"/>
      <w:pPr>
        <w:ind w:left="2880" w:hanging="360"/>
      </w:pPr>
    </w:lvl>
    <w:lvl w:ilvl="4" w:tplc="BEAA368A" w:tentative="1">
      <w:start w:val="1"/>
      <w:numFmt w:val="lowerLetter"/>
      <w:lvlText w:val="%5."/>
      <w:lvlJc w:val="left"/>
      <w:pPr>
        <w:ind w:left="3600" w:hanging="360"/>
      </w:pPr>
    </w:lvl>
    <w:lvl w:ilvl="5" w:tplc="B65A52F2" w:tentative="1">
      <w:start w:val="1"/>
      <w:numFmt w:val="lowerRoman"/>
      <w:lvlText w:val="%6."/>
      <w:lvlJc w:val="right"/>
      <w:pPr>
        <w:ind w:left="4320" w:hanging="180"/>
      </w:pPr>
    </w:lvl>
    <w:lvl w:ilvl="6" w:tplc="82F2EAF4" w:tentative="1">
      <w:start w:val="1"/>
      <w:numFmt w:val="decimal"/>
      <w:lvlText w:val="%7."/>
      <w:lvlJc w:val="left"/>
      <w:pPr>
        <w:ind w:left="5040" w:hanging="360"/>
      </w:pPr>
    </w:lvl>
    <w:lvl w:ilvl="7" w:tplc="3AA4003E" w:tentative="1">
      <w:start w:val="1"/>
      <w:numFmt w:val="lowerLetter"/>
      <w:lvlText w:val="%8."/>
      <w:lvlJc w:val="left"/>
      <w:pPr>
        <w:ind w:left="5760" w:hanging="360"/>
      </w:pPr>
    </w:lvl>
    <w:lvl w:ilvl="8" w:tplc="942E197C" w:tentative="1">
      <w:start w:val="1"/>
      <w:numFmt w:val="lowerRoman"/>
      <w:lvlText w:val="%9."/>
      <w:lvlJc w:val="right"/>
      <w:pPr>
        <w:ind w:left="6480" w:hanging="180"/>
      </w:pPr>
    </w:lvl>
  </w:abstractNum>
  <w:abstractNum w:abstractNumId="4" w15:restartNumberingAfterBreak="0">
    <w:nsid w:val="7C8C51AF"/>
    <w:multiLevelType w:val="hybridMultilevel"/>
    <w:tmpl w:val="E1A2B1C6"/>
    <w:lvl w:ilvl="0" w:tplc="535433B8">
      <w:start w:val="1"/>
      <w:numFmt w:val="upperLetter"/>
      <w:lvlText w:val="%1."/>
      <w:lvlJc w:val="left"/>
      <w:pPr>
        <w:ind w:left="720" w:hanging="360"/>
      </w:pPr>
      <w:rPr>
        <w:rFonts w:hint="default"/>
      </w:rPr>
    </w:lvl>
    <w:lvl w:ilvl="1" w:tplc="81F29F9E" w:tentative="1">
      <w:start w:val="1"/>
      <w:numFmt w:val="lowerLetter"/>
      <w:lvlText w:val="%2."/>
      <w:lvlJc w:val="left"/>
      <w:pPr>
        <w:ind w:left="1440" w:hanging="360"/>
      </w:pPr>
    </w:lvl>
    <w:lvl w:ilvl="2" w:tplc="1864074E" w:tentative="1">
      <w:start w:val="1"/>
      <w:numFmt w:val="lowerRoman"/>
      <w:lvlText w:val="%3."/>
      <w:lvlJc w:val="right"/>
      <w:pPr>
        <w:ind w:left="2160" w:hanging="180"/>
      </w:pPr>
    </w:lvl>
    <w:lvl w:ilvl="3" w:tplc="73A0469E" w:tentative="1">
      <w:start w:val="1"/>
      <w:numFmt w:val="decimal"/>
      <w:lvlText w:val="%4."/>
      <w:lvlJc w:val="left"/>
      <w:pPr>
        <w:ind w:left="2880" w:hanging="360"/>
      </w:pPr>
    </w:lvl>
    <w:lvl w:ilvl="4" w:tplc="9852012C" w:tentative="1">
      <w:start w:val="1"/>
      <w:numFmt w:val="lowerLetter"/>
      <w:lvlText w:val="%5."/>
      <w:lvlJc w:val="left"/>
      <w:pPr>
        <w:ind w:left="3600" w:hanging="360"/>
      </w:pPr>
    </w:lvl>
    <w:lvl w:ilvl="5" w:tplc="7354FF22" w:tentative="1">
      <w:start w:val="1"/>
      <w:numFmt w:val="lowerRoman"/>
      <w:lvlText w:val="%6."/>
      <w:lvlJc w:val="right"/>
      <w:pPr>
        <w:ind w:left="4320" w:hanging="180"/>
      </w:pPr>
    </w:lvl>
    <w:lvl w:ilvl="6" w:tplc="7ACED3E4" w:tentative="1">
      <w:start w:val="1"/>
      <w:numFmt w:val="decimal"/>
      <w:lvlText w:val="%7."/>
      <w:lvlJc w:val="left"/>
      <w:pPr>
        <w:ind w:left="5040" w:hanging="360"/>
      </w:pPr>
    </w:lvl>
    <w:lvl w:ilvl="7" w:tplc="4FECA7B2" w:tentative="1">
      <w:start w:val="1"/>
      <w:numFmt w:val="lowerLetter"/>
      <w:lvlText w:val="%8."/>
      <w:lvlJc w:val="left"/>
      <w:pPr>
        <w:ind w:left="5760" w:hanging="360"/>
      </w:pPr>
    </w:lvl>
    <w:lvl w:ilvl="8" w:tplc="DB66929A" w:tentative="1">
      <w:start w:val="1"/>
      <w:numFmt w:val="lowerRoman"/>
      <w:lvlText w:val="%9."/>
      <w:lvlJc w:val="right"/>
      <w:pPr>
        <w:ind w:left="6480" w:hanging="180"/>
      </w:pPr>
    </w:lvl>
  </w:abstractNum>
  <w:num w:numId="1" w16cid:durableId="1284269576">
    <w:abstractNumId w:val="3"/>
  </w:num>
  <w:num w:numId="2" w16cid:durableId="42408893">
    <w:abstractNumId w:val="1"/>
  </w:num>
  <w:num w:numId="3" w16cid:durableId="1297298880">
    <w:abstractNumId w:val="2"/>
  </w:num>
  <w:num w:numId="4" w16cid:durableId="2043942311">
    <w:abstractNumId w:val="0"/>
  </w:num>
  <w:num w:numId="5" w16cid:durableId="1704595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3E"/>
    <w:rsid w:val="000040E3"/>
    <w:rsid w:val="000044C2"/>
    <w:rsid w:val="0000583D"/>
    <w:rsid w:val="000115F8"/>
    <w:rsid w:val="00012522"/>
    <w:rsid w:val="00012962"/>
    <w:rsid w:val="00013DC6"/>
    <w:rsid w:val="00013DCE"/>
    <w:rsid w:val="00013FBE"/>
    <w:rsid w:val="00023249"/>
    <w:rsid w:val="000316EA"/>
    <w:rsid w:val="000521D3"/>
    <w:rsid w:val="00052C0A"/>
    <w:rsid w:val="000532F0"/>
    <w:rsid w:val="00053B06"/>
    <w:rsid w:val="00066E2D"/>
    <w:rsid w:val="00067FFD"/>
    <w:rsid w:val="000707E2"/>
    <w:rsid w:val="00072E8B"/>
    <w:rsid w:val="00087BF4"/>
    <w:rsid w:val="000B7850"/>
    <w:rsid w:val="000B7B97"/>
    <w:rsid w:val="000C33E6"/>
    <w:rsid w:val="000C673F"/>
    <w:rsid w:val="000E1D76"/>
    <w:rsid w:val="000E7912"/>
    <w:rsid w:val="000F56CD"/>
    <w:rsid w:val="000F5A45"/>
    <w:rsid w:val="000F5BE8"/>
    <w:rsid w:val="00102B88"/>
    <w:rsid w:val="00107661"/>
    <w:rsid w:val="001152DE"/>
    <w:rsid w:val="00116EB5"/>
    <w:rsid w:val="00123188"/>
    <w:rsid w:val="00126397"/>
    <w:rsid w:val="0012791F"/>
    <w:rsid w:val="00130D66"/>
    <w:rsid w:val="00131B7C"/>
    <w:rsid w:val="0015354E"/>
    <w:rsid w:val="00156CBE"/>
    <w:rsid w:val="001723BD"/>
    <w:rsid w:val="001800D7"/>
    <w:rsid w:val="00183D22"/>
    <w:rsid w:val="001A09E5"/>
    <w:rsid w:val="001A2E69"/>
    <w:rsid w:val="001B2BD7"/>
    <w:rsid w:val="001B4063"/>
    <w:rsid w:val="001C7757"/>
    <w:rsid w:val="001D10FB"/>
    <w:rsid w:val="001D4874"/>
    <w:rsid w:val="001D62B7"/>
    <w:rsid w:val="001E029F"/>
    <w:rsid w:val="001E103B"/>
    <w:rsid w:val="001E2086"/>
    <w:rsid w:val="001E23C5"/>
    <w:rsid w:val="001E47EB"/>
    <w:rsid w:val="001E7D61"/>
    <w:rsid w:val="00210F6D"/>
    <w:rsid w:val="00211D78"/>
    <w:rsid w:val="00213C7D"/>
    <w:rsid w:val="00216BF6"/>
    <w:rsid w:val="00220E04"/>
    <w:rsid w:val="002217E2"/>
    <w:rsid w:val="00225D7D"/>
    <w:rsid w:val="00233878"/>
    <w:rsid w:val="00265EBC"/>
    <w:rsid w:val="00271FCE"/>
    <w:rsid w:val="0029162E"/>
    <w:rsid w:val="002A015A"/>
    <w:rsid w:val="002B510C"/>
    <w:rsid w:val="002D1497"/>
    <w:rsid w:val="002D352E"/>
    <w:rsid w:val="002D4CBD"/>
    <w:rsid w:val="002D6B88"/>
    <w:rsid w:val="002F624E"/>
    <w:rsid w:val="002F6B84"/>
    <w:rsid w:val="00303C20"/>
    <w:rsid w:val="003044CD"/>
    <w:rsid w:val="00304B7E"/>
    <w:rsid w:val="003113DC"/>
    <w:rsid w:val="00312D75"/>
    <w:rsid w:val="003130AF"/>
    <w:rsid w:val="003139B8"/>
    <w:rsid w:val="0031686C"/>
    <w:rsid w:val="00316B65"/>
    <w:rsid w:val="00327050"/>
    <w:rsid w:val="00336E76"/>
    <w:rsid w:val="003443E2"/>
    <w:rsid w:val="003504E6"/>
    <w:rsid w:val="00350FEC"/>
    <w:rsid w:val="003544A5"/>
    <w:rsid w:val="00354571"/>
    <w:rsid w:val="00362BEF"/>
    <w:rsid w:val="00370637"/>
    <w:rsid w:val="003807EF"/>
    <w:rsid w:val="00381F8C"/>
    <w:rsid w:val="00384FA8"/>
    <w:rsid w:val="003861C3"/>
    <w:rsid w:val="00394173"/>
    <w:rsid w:val="00394969"/>
    <w:rsid w:val="003A1FB6"/>
    <w:rsid w:val="003A60B8"/>
    <w:rsid w:val="003B0DF6"/>
    <w:rsid w:val="003B6209"/>
    <w:rsid w:val="003C4EA7"/>
    <w:rsid w:val="003D1041"/>
    <w:rsid w:val="003D19F9"/>
    <w:rsid w:val="003E1FF8"/>
    <w:rsid w:val="003E2485"/>
    <w:rsid w:val="003E3244"/>
    <w:rsid w:val="004011DB"/>
    <w:rsid w:val="0041725B"/>
    <w:rsid w:val="004352AA"/>
    <w:rsid w:val="0044237F"/>
    <w:rsid w:val="00455078"/>
    <w:rsid w:val="004706D1"/>
    <w:rsid w:val="0047244C"/>
    <w:rsid w:val="0047376C"/>
    <w:rsid w:val="00476FF4"/>
    <w:rsid w:val="00477421"/>
    <w:rsid w:val="004B5C90"/>
    <w:rsid w:val="004B60CD"/>
    <w:rsid w:val="004B7B0A"/>
    <w:rsid w:val="004C1700"/>
    <w:rsid w:val="004C3ABA"/>
    <w:rsid w:val="004C5D2D"/>
    <w:rsid w:val="004E1429"/>
    <w:rsid w:val="004E3E06"/>
    <w:rsid w:val="004E4062"/>
    <w:rsid w:val="004E4AA2"/>
    <w:rsid w:val="004E6135"/>
    <w:rsid w:val="004F7AA1"/>
    <w:rsid w:val="0050502A"/>
    <w:rsid w:val="00511774"/>
    <w:rsid w:val="00517ECD"/>
    <w:rsid w:val="00520C2C"/>
    <w:rsid w:val="00530866"/>
    <w:rsid w:val="005369CB"/>
    <w:rsid w:val="005456DA"/>
    <w:rsid w:val="005509C5"/>
    <w:rsid w:val="00551F1C"/>
    <w:rsid w:val="0056320F"/>
    <w:rsid w:val="00566B33"/>
    <w:rsid w:val="00571214"/>
    <w:rsid w:val="00573524"/>
    <w:rsid w:val="005742B0"/>
    <w:rsid w:val="005847F5"/>
    <w:rsid w:val="005902D5"/>
    <w:rsid w:val="00591F09"/>
    <w:rsid w:val="005A1D72"/>
    <w:rsid w:val="005A26B4"/>
    <w:rsid w:val="005A3E7D"/>
    <w:rsid w:val="005A7967"/>
    <w:rsid w:val="005B3C4A"/>
    <w:rsid w:val="005B4234"/>
    <w:rsid w:val="005D453F"/>
    <w:rsid w:val="005F4203"/>
    <w:rsid w:val="00614E55"/>
    <w:rsid w:val="00620118"/>
    <w:rsid w:val="00620AA0"/>
    <w:rsid w:val="00637EFD"/>
    <w:rsid w:val="006414E2"/>
    <w:rsid w:val="0064232E"/>
    <w:rsid w:val="00653098"/>
    <w:rsid w:val="006617E6"/>
    <w:rsid w:val="006642FE"/>
    <w:rsid w:val="00664BF9"/>
    <w:rsid w:val="00677F07"/>
    <w:rsid w:val="0068353E"/>
    <w:rsid w:val="0068746F"/>
    <w:rsid w:val="00692742"/>
    <w:rsid w:val="00692D55"/>
    <w:rsid w:val="006972BE"/>
    <w:rsid w:val="006D4CD5"/>
    <w:rsid w:val="006D5A68"/>
    <w:rsid w:val="006D7A79"/>
    <w:rsid w:val="006E271C"/>
    <w:rsid w:val="006F7983"/>
    <w:rsid w:val="00700980"/>
    <w:rsid w:val="00711FD0"/>
    <w:rsid w:val="00716BCA"/>
    <w:rsid w:val="0072080E"/>
    <w:rsid w:val="0072453B"/>
    <w:rsid w:val="00730228"/>
    <w:rsid w:val="0074004D"/>
    <w:rsid w:val="0075452C"/>
    <w:rsid w:val="00756463"/>
    <w:rsid w:val="00772A38"/>
    <w:rsid w:val="00775F41"/>
    <w:rsid w:val="00782B3A"/>
    <w:rsid w:val="00790ACE"/>
    <w:rsid w:val="00793DE2"/>
    <w:rsid w:val="007A4A56"/>
    <w:rsid w:val="007B0120"/>
    <w:rsid w:val="007C5815"/>
    <w:rsid w:val="007C6A82"/>
    <w:rsid w:val="007D519E"/>
    <w:rsid w:val="007E23C5"/>
    <w:rsid w:val="007E2A8C"/>
    <w:rsid w:val="00813AC7"/>
    <w:rsid w:val="00813C43"/>
    <w:rsid w:val="0082412F"/>
    <w:rsid w:val="00826FE4"/>
    <w:rsid w:val="00830793"/>
    <w:rsid w:val="008314BD"/>
    <w:rsid w:val="00831FB2"/>
    <w:rsid w:val="008453AA"/>
    <w:rsid w:val="00847594"/>
    <w:rsid w:val="00851717"/>
    <w:rsid w:val="00871C03"/>
    <w:rsid w:val="00873E9C"/>
    <w:rsid w:val="008771AA"/>
    <w:rsid w:val="00884A90"/>
    <w:rsid w:val="00884CDD"/>
    <w:rsid w:val="008854C8"/>
    <w:rsid w:val="0088781F"/>
    <w:rsid w:val="008A133E"/>
    <w:rsid w:val="008A34F7"/>
    <w:rsid w:val="008B70B9"/>
    <w:rsid w:val="008B7B70"/>
    <w:rsid w:val="008C3062"/>
    <w:rsid w:val="008C3536"/>
    <w:rsid w:val="008C5FC3"/>
    <w:rsid w:val="008C6CC7"/>
    <w:rsid w:val="008D77A2"/>
    <w:rsid w:val="008E4252"/>
    <w:rsid w:val="008E701F"/>
    <w:rsid w:val="008F45AE"/>
    <w:rsid w:val="008F6E45"/>
    <w:rsid w:val="009001C7"/>
    <w:rsid w:val="00921008"/>
    <w:rsid w:val="0093732F"/>
    <w:rsid w:val="00942A68"/>
    <w:rsid w:val="00950E13"/>
    <w:rsid w:val="00950F45"/>
    <w:rsid w:val="00952F42"/>
    <w:rsid w:val="0095791F"/>
    <w:rsid w:val="00961B2C"/>
    <w:rsid w:val="00962639"/>
    <w:rsid w:val="00971DDD"/>
    <w:rsid w:val="00977769"/>
    <w:rsid w:val="009827CA"/>
    <w:rsid w:val="00982E2D"/>
    <w:rsid w:val="00987349"/>
    <w:rsid w:val="00995315"/>
    <w:rsid w:val="009A0458"/>
    <w:rsid w:val="009A38DA"/>
    <w:rsid w:val="009A6267"/>
    <w:rsid w:val="009B1815"/>
    <w:rsid w:val="009B4171"/>
    <w:rsid w:val="009C135D"/>
    <w:rsid w:val="009C20BA"/>
    <w:rsid w:val="009E0EBA"/>
    <w:rsid w:val="00A05AA9"/>
    <w:rsid w:val="00A1081D"/>
    <w:rsid w:val="00A3535C"/>
    <w:rsid w:val="00A4369E"/>
    <w:rsid w:val="00A43B0C"/>
    <w:rsid w:val="00A44B45"/>
    <w:rsid w:val="00A50D50"/>
    <w:rsid w:val="00A6185B"/>
    <w:rsid w:val="00A66F9C"/>
    <w:rsid w:val="00A730B4"/>
    <w:rsid w:val="00A73ABD"/>
    <w:rsid w:val="00A76236"/>
    <w:rsid w:val="00A83D8E"/>
    <w:rsid w:val="00A84FA3"/>
    <w:rsid w:val="00A96DEE"/>
    <w:rsid w:val="00AA29F4"/>
    <w:rsid w:val="00AA32CD"/>
    <w:rsid w:val="00AB6B88"/>
    <w:rsid w:val="00AB7682"/>
    <w:rsid w:val="00AC31F0"/>
    <w:rsid w:val="00AC781C"/>
    <w:rsid w:val="00AD55C5"/>
    <w:rsid w:val="00AE252E"/>
    <w:rsid w:val="00AE6435"/>
    <w:rsid w:val="00AF4AA6"/>
    <w:rsid w:val="00AF6EF9"/>
    <w:rsid w:val="00B00604"/>
    <w:rsid w:val="00B10F4C"/>
    <w:rsid w:val="00B16EDA"/>
    <w:rsid w:val="00B170ED"/>
    <w:rsid w:val="00B176DE"/>
    <w:rsid w:val="00B179B6"/>
    <w:rsid w:val="00B3746D"/>
    <w:rsid w:val="00B446D8"/>
    <w:rsid w:val="00B6197B"/>
    <w:rsid w:val="00B66CC7"/>
    <w:rsid w:val="00B718BA"/>
    <w:rsid w:val="00B7552C"/>
    <w:rsid w:val="00B81010"/>
    <w:rsid w:val="00B84B47"/>
    <w:rsid w:val="00B9542D"/>
    <w:rsid w:val="00BB38D2"/>
    <w:rsid w:val="00BB5AD6"/>
    <w:rsid w:val="00BC3CD2"/>
    <w:rsid w:val="00BE0242"/>
    <w:rsid w:val="00BE379B"/>
    <w:rsid w:val="00BF1EF1"/>
    <w:rsid w:val="00BF575E"/>
    <w:rsid w:val="00C000C4"/>
    <w:rsid w:val="00C000DF"/>
    <w:rsid w:val="00C00641"/>
    <w:rsid w:val="00C11B2F"/>
    <w:rsid w:val="00C148C8"/>
    <w:rsid w:val="00C31B61"/>
    <w:rsid w:val="00C36F25"/>
    <w:rsid w:val="00C40FA4"/>
    <w:rsid w:val="00C56FB7"/>
    <w:rsid w:val="00C57269"/>
    <w:rsid w:val="00C66ECA"/>
    <w:rsid w:val="00C72790"/>
    <w:rsid w:val="00C7519C"/>
    <w:rsid w:val="00C837D7"/>
    <w:rsid w:val="00CA2322"/>
    <w:rsid w:val="00CA4061"/>
    <w:rsid w:val="00CA5323"/>
    <w:rsid w:val="00CA626F"/>
    <w:rsid w:val="00CB5BB2"/>
    <w:rsid w:val="00CB648D"/>
    <w:rsid w:val="00CC72DB"/>
    <w:rsid w:val="00CD0F5C"/>
    <w:rsid w:val="00CD2548"/>
    <w:rsid w:val="00CE1329"/>
    <w:rsid w:val="00CE3ABE"/>
    <w:rsid w:val="00CF1FCB"/>
    <w:rsid w:val="00D001A2"/>
    <w:rsid w:val="00D06BF3"/>
    <w:rsid w:val="00D06E45"/>
    <w:rsid w:val="00D232F8"/>
    <w:rsid w:val="00D25B8B"/>
    <w:rsid w:val="00D37B61"/>
    <w:rsid w:val="00D40ACD"/>
    <w:rsid w:val="00D530D8"/>
    <w:rsid w:val="00D53EEF"/>
    <w:rsid w:val="00D55C4E"/>
    <w:rsid w:val="00D6169A"/>
    <w:rsid w:val="00D73B3D"/>
    <w:rsid w:val="00D75D25"/>
    <w:rsid w:val="00D844E6"/>
    <w:rsid w:val="00D86C45"/>
    <w:rsid w:val="00D9092B"/>
    <w:rsid w:val="00D94C6C"/>
    <w:rsid w:val="00DA23E4"/>
    <w:rsid w:val="00DA3437"/>
    <w:rsid w:val="00DA3691"/>
    <w:rsid w:val="00DA7DAD"/>
    <w:rsid w:val="00DC2B49"/>
    <w:rsid w:val="00DC3508"/>
    <w:rsid w:val="00DC4B21"/>
    <w:rsid w:val="00DC6BB2"/>
    <w:rsid w:val="00DD6F2F"/>
    <w:rsid w:val="00DE2149"/>
    <w:rsid w:val="00DE33BD"/>
    <w:rsid w:val="00DE3F3F"/>
    <w:rsid w:val="00DE4500"/>
    <w:rsid w:val="00DF32BF"/>
    <w:rsid w:val="00DF37D7"/>
    <w:rsid w:val="00E06BA7"/>
    <w:rsid w:val="00E12CCC"/>
    <w:rsid w:val="00E2399A"/>
    <w:rsid w:val="00E2695F"/>
    <w:rsid w:val="00E32C33"/>
    <w:rsid w:val="00E33235"/>
    <w:rsid w:val="00E34258"/>
    <w:rsid w:val="00E408D9"/>
    <w:rsid w:val="00E443BD"/>
    <w:rsid w:val="00E44B0C"/>
    <w:rsid w:val="00E50516"/>
    <w:rsid w:val="00E5285E"/>
    <w:rsid w:val="00E6464B"/>
    <w:rsid w:val="00E71502"/>
    <w:rsid w:val="00E749D9"/>
    <w:rsid w:val="00E84F22"/>
    <w:rsid w:val="00E851CE"/>
    <w:rsid w:val="00E940F5"/>
    <w:rsid w:val="00E94CFC"/>
    <w:rsid w:val="00E95651"/>
    <w:rsid w:val="00EA2856"/>
    <w:rsid w:val="00EA4FC0"/>
    <w:rsid w:val="00EC3126"/>
    <w:rsid w:val="00EC3B86"/>
    <w:rsid w:val="00EC6E0C"/>
    <w:rsid w:val="00ED5FAB"/>
    <w:rsid w:val="00ED6FC0"/>
    <w:rsid w:val="00EE487A"/>
    <w:rsid w:val="00EE7CF9"/>
    <w:rsid w:val="00F048E5"/>
    <w:rsid w:val="00F07B45"/>
    <w:rsid w:val="00F132BA"/>
    <w:rsid w:val="00F26BBB"/>
    <w:rsid w:val="00F27E78"/>
    <w:rsid w:val="00F321ED"/>
    <w:rsid w:val="00F341F7"/>
    <w:rsid w:val="00F4090A"/>
    <w:rsid w:val="00F515AA"/>
    <w:rsid w:val="00F56A04"/>
    <w:rsid w:val="00F6483D"/>
    <w:rsid w:val="00F725C8"/>
    <w:rsid w:val="00F728AB"/>
    <w:rsid w:val="00F80D23"/>
    <w:rsid w:val="00F819C6"/>
    <w:rsid w:val="00F932C1"/>
    <w:rsid w:val="00F93FD3"/>
    <w:rsid w:val="00FA338B"/>
    <w:rsid w:val="00FB5C8E"/>
    <w:rsid w:val="00FD1C05"/>
    <w:rsid w:val="00FD73B9"/>
    <w:rsid w:val="00FD7F55"/>
    <w:rsid w:val="00FE0697"/>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0DD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w:sz w:val="26"/>
        <w:szCs w:val="26"/>
        <w:lang w:val="en-US" w:eastAsia="en-US" w:bidi="ar-SA"/>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33E"/>
    <w:pPr>
      <w:tabs>
        <w:tab w:val="center" w:pos="4680"/>
        <w:tab w:val="right" w:pos="9360"/>
      </w:tabs>
      <w:spacing w:line="240" w:lineRule="auto"/>
    </w:pPr>
  </w:style>
  <w:style w:type="character" w:customStyle="1" w:styleId="HeaderChar">
    <w:name w:val="Header Char"/>
    <w:basedOn w:val="DefaultParagraphFont"/>
    <w:link w:val="Header"/>
    <w:uiPriority w:val="99"/>
    <w:rsid w:val="008A133E"/>
  </w:style>
  <w:style w:type="paragraph" w:styleId="Footer">
    <w:name w:val="footer"/>
    <w:basedOn w:val="Normal"/>
    <w:link w:val="FooterChar"/>
    <w:uiPriority w:val="99"/>
    <w:unhideWhenUsed/>
    <w:rsid w:val="008A133E"/>
    <w:pPr>
      <w:tabs>
        <w:tab w:val="center" w:pos="4680"/>
        <w:tab w:val="right" w:pos="9360"/>
      </w:tabs>
      <w:spacing w:line="240" w:lineRule="auto"/>
    </w:pPr>
  </w:style>
  <w:style w:type="character" w:customStyle="1" w:styleId="FooterChar">
    <w:name w:val="Footer Char"/>
    <w:basedOn w:val="DefaultParagraphFont"/>
    <w:link w:val="Footer"/>
    <w:uiPriority w:val="99"/>
    <w:rsid w:val="008A133E"/>
  </w:style>
  <w:style w:type="character" w:styleId="PageNumber">
    <w:name w:val="page number"/>
    <w:basedOn w:val="DefaultParagraphFont"/>
    <w:uiPriority w:val="99"/>
    <w:semiHidden/>
    <w:unhideWhenUsed/>
    <w:rsid w:val="008A133E"/>
  </w:style>
  <w:style w:type="paragraph" w:styleId="FootnoteText">
    <w:name w:val="footnote text"/>
    <w:link w:val="FootnoteTextChar"/>
    <w:uiPriority w:val="99"/>
    <w:unhideWhenUsed/>
    <w:rsid w:val="008A133E"/>
    <w:pPr>
      <w:spacing w:line="240" w:lineRule="auto"/>
    </w:pPr>
    <w:rPr>
      <w:rFonts w:ascii="Times New Roman" w:hAnsi="Times New Roman"/>
      <w:szCs w:val="20"/>
    </w:rPr>
  </w:style>
  <w:style w:type="character" w:customStyle="1" w:styleId="FootnoteTextChar">
    <w:name w:val="Footnote Text Char"/>
    <w:basedOn w:val="DefaultParagraphFont"/>
    <w:link w:val="FootnoteText"/>
    <w:uiPriority w:val="99"/>
    <w:rsid w:val="008A133E"/>
    <w:rPr>
      <w:rFonts w:ascii="Times New Roman" w:hAnsi="Times New Roman"/>
      <w:szCs w:val="20"/>
    </w:rPr>
  </w:style>
  <w:style w:type="paragraph" w:styleId="BodyText">
    <w:name w:val="Body Text"/>
    <w:basedOn w:val="Normal"/>
    <w:link w:val="BodyTextChar"/>
    <w:uiPriority w:val="99"/>
    <w:unhideWhenUsed/>
    <w:rsid w:val="0064232E"/>
    <w:pPr>
      <w:spacing w:after="120"/>
    </w:pPr>
  </w:style>
  <w:style w:type="character" w:customStyle="1" w:styleId="BodyTextChar">
    <w:name w:val="Body Text Char"/>
    <w:basedOn w:val="DefaultParagraphFont"/>
    <w:link w:val="BodyText"/>
    <w:uiPriority w:val="99"/>
    <w:rsid w:val="0064232E"/>
    <w:rPr>
      <w:rFonts w:ascii="Times New Roman" w:hAnsi="Times New Roman"/>
    </w:rPr>
  </w:style>
  <w:style w:type="character" w:styleId="Hyperlink">
    <w:name w:val="Hyperlink"/>
    <w:basedOn w:val="DefaultParagraphFont"/>
    <w:uiPriority w:val="99"/>
    <w:unhideWhenUsed/>
    <w:rsid w:val="0064232E"/>
    <w:rPr>
      <w:color w:val="0563C1" w:themeColor="hyperlink"/>
      <w:u w:val="single"/>
    </w:rPr>
  </w:style>
  <w:style w:type="character" w:customStyle="1" w:styleId="UnresolvedMention1">
    <w:name w:val="Unresolved Mention1"/>
    <w:basedOn w:val="DefaultParagraphFont"/>
    <w:uiPriority w:val="99"/>
    <w:semiHidden/>
    <w:unhideWhenUsed/>
    <w:rsid w:val="0064232E"/>
    <w:rPr>
      <w:color w:val="605E5C"/>
      <w:shd w:val="clear" w:color="auto" w:fill="E1DFDD"/>
    </w:rPr>
  </w:style>
  <w:style w:type="character" w:styleId="FootnoteReference">
    <w:name w:val="footnote reference"/>
    <w:basedOn w:val="DefaultParagraphFont"/>
    <w:uiPriority w:val="99"/>
    <w:semiHidden/>
    <w:unhideWhenUsed/>
    <w:rsid w:val="0064232E"/>
    <w:rPr>
      <w:vertAlign w:val="superscript"/>
    </w:rPr>
  </w:style>
  <w:style w:type="paragraph" w:styleId="ListParagraph">
    <w:name w:val="List Paragraph"/>
    <w:basedOn w:val="Normal"/>
    <w:uiPriority w:val="34"/>
    <w:qFormat/>
    <w:rsid w:val="00D001A2"/>
    <w:pPr>
      <w:ind w:left="720"/>
      <w:contextualSpacing/>
    </w:pPr>
  </w:style>
  <w:style w:type="paragraph" w:styleId="Revision">
    <w:name w:val="Revision"/>
    <w:hidden/>
    <w:uiPriority w:val="99"/>
    <w:semiHidden/>
    <w:rsid w:val="007B0120"/>
    <w:pPr>
      <w:spacing w:line="240" w:lineRule="auto"/>
    </w:pPr>
    <w:rPr>
      <w:rFonts w:ascii="Times New Roman" w:hAnsi="Times New Roman"/>
    </w:rPr>
  </w:style>
  <w:style w:type="character" w:styleId="CommentReference">
    <w:name w:val="annotation reference"/>
    <w:basedOn w:val="DefaultParagraphFont"/>
    <w:uiPriority w:val="99"/>
    <w:semiHidden/>
    <w:unhideWhenUsed/>
    <w:rsid w:val="009827CA"/>
    <w:rPr>
      <w:sz w:val="16"/>
      <w:szCs w:val="16"/>
    </w:rPr>
  </w:style>
  <w:style w:type="paragraph" w:styleId="CommentText">
    <w:name w:val="annotation text"/>
    <w:basedOn w:val="Normal"/>
    <w:link w:val="CommentTextChar"/>
    <w:uiPriority w:val="99"/>
    <w:unhideWhenUsed/>
    <w:rsid w:val="009827CA"/>
    <w:pPr>
      <w:spacing w:line="240" w:lineRule="auto"/>
    </w:pPr>
    <w:rPr>
      <w:sz w:val="20"/>
      <w:szCs w:val="20"/>
    </w:rPr>
  </w:style>
  <w:style w:type="character" w:customStyle="1" w:styleId="CommentTextChar">
    <w:name w:val="Comment Text Char"/>
    <w:basedOn w:val="DefaultParagraphFont"/>
    <w:link w:val="CommentText"/>
    <w:uiPriority w:val="99"/>
    <w:rsid w:val="009827C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827CA"/>
    <w:rPr>
      <w:b/>
      <w:bCs/>
    </w:rPr>
  </w:style>
  <w:style w:type="character" w:customStyle="1" w:styleId="CommentSubjectChar">
    <w:name w:val="Comment Subject Char"/>
    <w:basedOn w:val="CommentTextChar"/>
    <w:link w:val="CommentSubject"/>
    <w:uiPriority w:val="99"/>
    <w:semiHidden/>
    <w:rsid w:val="009827C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DDA48-6221-44AB-A7BD-8B79DEF1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5461</Words>
  <Characters>31132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2023-08-17T21:08:00Z</dcterms:created>
  <dcterms:modified xsi:type="dcterms:W3CDTF">2023-08-17T21:08:00Z</dcterms:modified>
</cp:coreProperties>
</file>