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97F4" w14:textId="45FC5130" w:rsidR="001502A7" w:rsidRDefault="00A3579F" w:rsidP="001502A7">
      <w:pPr>
        <w:spacing w:line="240" w:lineRule="auto"/>
        <w:rPr>
          <w:sz w:val="20"/>
        </w:rPr>
      </w:pPr>
      <w:r>
        <w:rPr>
          <w:sz w:val="20"/>
        </w:rPr>
        <w:t xml:space="preserve">Filed </w:t>
      </w:r>
      <w:r w:rsidR="003C42E0">
        <w:rPr>
          <w:sz w:val="20"/>
        </w:rPr>
        <w:t>7/13/23</w:t>
      </w:r>
      <w:r w:rsidR="001E38D8">
        <w:rPr>
          <w:sz w:val="20"/>
        </w:rPr>
        <w:t xml:space="preserve">  </w:t>
      </w:r>
      <w:r w:rsidR="00BF6541">
        <w:rPr>
          <w:sz w:val="20"/>
        </w:rPr>
        <w:t>Certified for Publication 8/11/23 (order attached)</w:t>
      </w:r>
    </w:p>
    <w:p w14:paraId="17CF7C1A" w14:textId="5E9DB269" w:rsidR="001502A7" w:rsidRDefault="001502A7" w:rsidP="001502A7">
      <w:pPr>
        <w:spacing w:line="240" w:lineRule="auto"/>
        <w:jc w:val="center"/>
        <w:rPr>
          <w:b/>
        </w:rPr>
      </w:pPr>
    </w:p>
    <w:p w14:paraId="4D77C9AB" w14:textId="5608CEC6" w:rsidR="001502A7" w:rsidRDefault="001502A7" w:rsidP="001502A7">
      <w:pPr>
        <w:spacing w:line="240" w:lineRule="auto"/>
        <w:jc w:val="center"/>
      </w:pPr>
    </w:p>
    <w:p w14:paraId="2AF15986" w14:textId="08042A1F" w:rsidR="00BF6541" w:rsidRDefault="00BF6541" w:rsidP="001502A7">
      <w:pPr>
        <w:spacing w:line="240" w:lineRule="auto"/>
        <w:jc w:val="center"/>
      </w:pPr>
    </w:p>
    <w:p w14:paraId="22D0A2D5" w14:textId="77777777" w:rsidR="00BF6541" w:rsidRDefault="00BF6541" w:rsidP="001502A7">
      <w:pPr>
        <w:spacing w:line="240" w:lineRule="auto"/>
        <w:jc w:val="center"/>
      </w:pPr>
    </w:p>
    <w:p w14:paraId="3C0F54D2" w14:textId="77777777" w:rsidR="001502A7" w:rsidRDefault="001502A7" w:rsidP="001502A7">
      <w:pPr>
        <w:spacing w:line="240" w:lineRule="auto"/>
        <w:jc w:val="center"/>
      </w:pPr>
    </w:p>
    <w:p w14:paraId="4A9C0528" w14:textId="5666AD33" w:rsidR="008C69C3" w:rsidRPr="00821903" w:rsidRDefault="00A3579F" w:rsidP="001502A7">
      <w:pPr>
        <w:spacing w:line="240" w:lineRule="auto"/>
        <w:jc w:val="center"/>
      </w:pPr>
      <w:r w:rsidRPr="00821903">
        <w:t>IN THE COURT OF APPEAL OF THE STATE OF CALIFORNIA</w:t>
      </w:r>
    </w:p>
    <w:p w14:paraId="3A3D0C7D" w14:textId="5314F5AB" w:rsidR="00522C33" w:rsidRPr="00821903" w:rsidRDefault="00522C33" w:rsidP="00522C33">
      <w:pPr>
        <w:spacing w:line="240" w:lineRule="auto"/>
        <w:jc w:val="center"/>
      </w:pPr>
    </w:p>
    <w:p w14:paraId="66218E4A" w14:textId="6C666DD0" w:rsidR="00522C33" w:rsidRPr="00821903" w:rsidRDefault="00A3579F" w:rsidP="00522C33">
      <w:pPr>
        <w:spacing w:line="240" w:lineRule="auto"/>
        <w:jc w:val="center"/>
      </w:pPr>
      <w:r w:rsidRPr="00821903">
        <w:t>FIRST APPELLATE DISTRICT</w:t>
      </w:r>
    </w:p>
    <w:p w14:paraId="308FA6B8" w14:textId="11FBB8E3" w:rsidR="00522C33" w:rsidRPr="00821903" w:rsidRDefault="00522C33" w:rsidP="00522C33">
      <w:pPr>
        <w:spacing w:line="240" w:lineRule="auto"/>
        <w:jc w:val="center"/>
      </w:pPr>
    </w:p>
    <w:p w14:paraId="00F0A05B" w14:textId="1D061428" w:rsidR="00522C33" w:rsidRPr="00821903" w:rsidRDefault="00A3579F" w:rsidP="00522C33">
      <w:pPr>
        <w:spacing w:line="240" w:lineRule="auto"/>
        <w:jc w:val="center"/>
      </w:pPr>
      <w:r w:rsidRPr="00821903">
        <w:t>DIVISION ONE</w:t>
      </w:r>
    </w:p>
    <w:p w14:paraId="0D3FFB38" w14:textId="6A954368" w:rsidR="00522C33" w:rsidRPr="00821903" w:rsidRDefault="00522C33" w:rsidP="00522C33">
      <w:pPr>
        <w:spacing w:line="240" w:lineRule="auto"/>
        <w:jc w:val="center"/>
      </w:pPr>
    </w:p>
    <w:p w14:paraId="7B47EDD8" w14:textId="117C5FC6" w:rsidR="00522C33" w:rsidRPr="00821903" w:rsidRDefault="00522C33" w:rsidP="00522C33">
      <w:pPr>
        <w:spacing w:line="240" w:lineRule="auto"/>
        <w:jc w:val="center"/>
      </w:pPr>
    </w:p>
    <w:tbl>
      <w:tblPr>
        <w:tblW w:w="0" w:type="auto"/>
        <w:tblLayout w:type="fixed"/>
        <w:tblLook w:val="0000" w:firstRow="0" w:lastRow="0" w:firstColumn="0" w:lastColumn="0" w:noHBand="0" w:noVBand="0"/>
      </w:tblPr>
      <w:tblGrid>
        <w:gridCol w:w="4950"/>
        <w:gridCol w:w="2970"/>
      </w:tblGrid>
      <w:tr w:rsidR="00186B52" w14:paraId="664FBE2D" w14:textId="77777777" w:rsidTr="000F5829">
        <w:tc>
          <w:tcPr>
            <w:tcW w:w="4950" w:type="dxa"/>
            <w:tcBorders>
              <w:bottom w:val="single" w:sz="4" w:space="0" w:color="auto"/>
              <w:right w:val="single" w:sz="4" w:space="0" w:color="auto"/>
            </w:tcBorders>
            <w:shd w:val="clear" w:color="auto" w:fill="auto"/>
          </w:tcPr>
          <w:p w14:paraId="0C20C691" w14:textId="77777777" w:rsidR="00522C33" w:rsidRPr="00821903" w:rsidRDefault="00A3579F" w:rsidP="00522C33">
            <w:pPr>
              <w:spacing w:after="120" w:line="240" w:lineRule="auto"/>
            </w:pPr>
            <w:r w:rsidRPr="00821903">
              <w:t>DIANNE LEE,</w:t>
            </w:r>
          </w:p>
          <w:p w14:paraId="1869635F" w14:textId="77777777" w:rsidR="00522C33" w:rsidRPr="00821903" w:rsidRDefault="00A3579F" w:rsidP="00522C33">
            <w:pPr>
              <w:spacing w:after="120" w:line="240" w:lineRule="auto"/>
            </w:pPr>
            <w:r w:rsidRPr="00821903">
              <w:tab/>
              <w:t>Plaintiff and Appellant,</w:t>
            </w:r>
          </w:p>
          <w:p w14:paraId="7583D1DB" w14:textId="77777777" w:rsidR="00522C33" w:rsidRPr="00821903" w:rsidRDefault="00A3579F" w:rsidP="00522C33">
            <w:pPr>
              <w:spacing w:after="120" w:line="240" w:lineRule="auto"/>
            </w:pPr>
            <w:r w:rsidRPr="00821903">
              <w:t>v.</w:t>
            </w:r>
          </w:p>
          <w:p w14:paraId="30DE5271" w14:textId="61E41107" w:rsidR="00522C33" w:rsidRPr="00821903" w:rsidRDefault="00A3579F" w:rsidP="00522C33">
            <w:pPr>
              <w:spacing w:after="120" w:line="240" w:lineRule="auto"/>
            </w:pPr>
            <w:r w:rsidRPr="00821903">
              <w:t>DAVID BRIAN CARDIFF,</w:t>
            </w:r>
          </w:p>
          <w:p w14:paraId="24319727" w14:textId="6ABF4A36" w:rsidR="00522C33" w:rsidRPr="00821903" w:rsidRDefault="00A3579F" w:rsidP="00522C33">
            <w:pPr>
              <w:spacing w:after="120" w:line="240" w:lineRule="auto"/>
            </w:pPr>
            <w:r w:rsidRPr="00821903">
              <w:tab/>
              <w:t>Defendant and Respondent.</w:t>
            </w:r>
          </w:p>
        </w:tc>
        <w:tc>
          <w:tcPr>
            <w:tcW w:w="2970" w:type="dxa"/>
            <w:tcBorders>
              <w:left w:val="single" w:sz="4" w:space="0" w:color="auto"/>
            </w:tcBorders>
            <w:shd w:val="clear" w:color="auto" w:fill="auto"/>
          </w:tcPr>
          <w:p w14:paraId="3FC615D7" w14:textId="77777777" w:rsidR="000F5829" w:rsidRPr="00821903" w:rsidRDefault="000F5829" w:rsidP="00522C33">
            <w:pPr>
              <w:spacing w:line="240" w:lineRule="auto"/>
            </w:pPr>
          </w:p>
          <w:p w14:paraId="336B93A4" w14:textId="6BB61121" w:rsidR="00522C33" w:rsidRPr="00821903" w:rsidRDefault="00A3579F" w:rsidP="00522C33">
            <w:pPr>
              <w:spacing w:line="240" w:lineRule="auto"/>
            </w:pPr>
            <w:r w:rsidRPr="00821903">
              <w:t xml:space="preserve">  A163817</w:t>
            </w:r>
          </w:p>
          <w:p w14:paraId="7F00519B" w14:textId="77777777" w:rsidR="00522C33" w:rsidRPr="00821903" w:rsidRDefault="00522C33" w:rsidP="00522C33">
            <w:pPr>
              <w:spacing w:line="240" w:lineRule="auto"/>
            </w:pPr>
          </w:p>
          <w:p w14:paraId="5F2AC7D2" w14:textId="13C0EDF9" w:rsidR="00522C33" w:rsidRPr="00821903" w:rsidRDefault="00A3579F" w:rsidP="00522C33">
            <w:pPr>
              <w:spacing w:line="240" w:lineRule="auto"/>
            </w:pPr>
            <w:r w:rsidRPr="00821903">
              <w:t xml:space="preserve">  (Contra Costa County</w:t>
            </w:r>
          </w:p>
          <w:p w14:paraId="07B602DE" w14:textId="77777777" w:rsidR="00522C33" w:rsidRPr="00821903" w:rsidRDefault="00A3579F" w:rsidP="00522C33">
            <w:pPr>
              <w:spacing w:line="240" w:lineRule="auto"/>
            </w:pPr>
            <w:r w:rsidRPr="00821903">
              <w:t xml:space="preserve">      Super. Ct. No. C1901123)</w:t>
            </w:r>
          </w:p>
          <w:p w14:paraId="1D8083DF" w14:textId="59901658" w:rsidR="00522C33" w:rsidRPr="00821903" w:rsidRDefault="00522C33" w:rsidP="00522C33">
            <w:pPr>
              <w:spacing w:line="240" w:lineRule="auto"/>
            </w:pPr>
          </w:p>
        </w:tc>
      </w:tr>
    </w:tbl>
    <w:p w14:paraId="23A83BE9" w14:textId="77777777" w:rsidR="000F5829" w:rsidRPr="00821903" w:rsidRDefault="000F5829" w:rsidP="00DA38DF">
      <w:pPr>
        <w:spacing w:line="360" w:lineRule="auto"/>
      </w:pPr>
    </w:p>
    <w:p w14:paraId="16C00E84" w14:textId="476B2DEC" w:rsidR="00C905AE" w:rsidRPr="00821903" w:rsidRDefault="00A3579F" w:rsidP="00DA38DF">
      <w:pPr>
        <w:spacing w:line="360" w:lineRule="auto"/>
      </w:pPr>
      <w:r w:rsidRPr="00821903">
        <w:tab/>
        <w:t>This is an appeal from an order denying a post-trial motion for attorney fees.  We affirm.</w:t>
      </w:r>
    </w:p>
    <w:p w14:paraId="664A4C89" w14:textId="546B36A2" w:rsidR="00C905AE" w:rsidRPr="00821903" w:rsidRDefault="00A3579F" w:rsidP="00C905AE">
      <w:pPr>
        <w:spacing w:line="360" w:lineRule="auto"/>
        <w:jc w:val="center"/>
      </w:pPr>
      <w:r w:rsidRPr="00821903">
        <w:rPr>
          <w:b/>
          <w:bCs/>
        </w:rPr>
        <w:t>BACKGROUND</w:t>
      </w:r>
    </w:p>
    <w:p w14:paraId="07F2DFD0" w14:textId="558DAEB8" w:rsidR="00C905AE" w:rsidRPr="00821903" w:rsidRDefault="00A3579F" w:rsidP="00DA38DF">
      <w:pPr>
        <w:spacing w:line="360" w:lineRule="auto"/>
      </w:pPr>
      <w:r w:rsidRPr="00821903">
        <w:tab/>
      </w:r>
      <w:r w:rsidR="00DA38DF" w:rsidRPr="00821903">
        <w:t>Plaintiff and appellant Dia</w:t>
      </w:r>
      <w:r w:rsidR="000F5829" w:rsidRPr="00821903">
        <w:t>n</w:t>
      </w:r>
      <w:r w:rsidR="00DA38DF" w:rsidRPr="00821903">
        <w:t xml:space="preserve">ne Lee entered into a contract with defendant and respondent David </w:t>
      </w:r>
      <w:r w:rsidR="000F5829" w:rsidRPr="00821903">
        <w:t xml:space="preserve">Brian </w:t>
      </w:r>
      <w:r w:rsidR="00DA38DF" w:rsidRPr="00821903">
        <w:t>Cardiff (who does business as Advantage Pools Bay Area) for extensive landscaping work at Lee’s new home.</w:t>
      </w:r>
      <w:r w:rsidR="00E11409" w:rsidRPr="00821903">
        <w:t xml:space="preserve"> </w:t>
      </w:r>
      <w:r w:rsidR="00DA38DF" w:rsidRPr="00821903">
        <w:t xml:space="preserve"> The contract price of $231,500 was </w:t>
      </w:r>
      <w:r w:rsidR="00BE7995" w:rsidRPr="00821903">
        <w:t xml:space="preserve">segregated </w:t>
      </w:r>
      <w:r w:rsidR="00DA38DF" w:rsidRPr="00821903">
        <w:t xml:space="preserve">between the construction of a pool and spa ($88,400) and the construction of other </w:t>
      </w:r>
      <w:r w:rsidRPr="00821903">
        <w:t xml:space="preserve">major </w:t>
      </w:r>
      <w:r w:rsidR="00DA38DF" w:rsidRPr="00821903">
        <w:t xml:space="preserve">landscaping </w:t>
      </w:r>
      <w:r w:rsidRPr="00821903">
        <w:t xml:space="preserve">items, including </w:t>
      </w:r>
      <w:r w:rsidR="00DA38DF" w:rsidRPr="00821903">
        <w:t>a pavilion with gas and electrical</w:t>
      </w:r>
      <w:r w:rsidR="00E177F8" w:rsidRPr="00821903">
        <w:t xml:space="preserve">, </w:t>
      </w:r>
      <w:r w:rsidRPr="00821903">
        <w:t>a</w:t>
      </w:r>
      <w:r w:rsidR="00F5360D" w:rsidRPr="00821903">
        <w:t xml:space="preserve">n outdoor kitchen, </w:t>
      </w:r>
      <w:r w:rsidR="00E177F8" w:rsidRPr="00821903">
        <w:t xml:space="preserve">an outdoor fireplace, </w:t>
      </w:r>
      <w:r w:rsidRPr="00821903">
        <w:t xml:space="preserve">and the </w:t>
      </w:r>
      <w:r w:rsidR="00E177F8" w:rsidRPr="00821903">
        <w:t>installation of pavers, a</w:t>
      </w:r>
      <w:r w:rsidRPr="00821903">
        <w:t xml:space="preserve">s well as other </w:t>
      </w:r>
      <w:r w:rsidR="00E177F8" w:rsidRPr="00821903">
        <w:t>assorted landscaping items ($143,000).</w:t>
      </w:r>
      <w:r w:rsidR="00E11409" w:rsidRPr="00821903">
        <w:t xml:space="preserve">  </w:t>
      </w:r>
      <w:r w:rsidR="00E177F8" w:rsidRPr="00821903">
        <w:t xml:space="preserve">Disputes arose as the work progressed, with Cardiff finally </w:t>
      </w:r>
      <w:r w:rsidR="00211B75" w:rsidRPr="00821903">
        <w:t xml:space="preserve">leaving </w:t>
      </w:r>
      <w:r w:rsidR="00E177F8" w:rsidRPr="00821903">
        <w:t>the project.</w:t>
      </w:r>
      <w:r w:rsidR="00E11409" w:rsidRPr="00821903">
        <w:t xml:space="preserve">  </w:t>
      </w:r>
      <w:r w:rsidR="00E177F8" w:rsidRPr="00821903">
        <w:t xml:space="preserve">  </w:t>
      </w:r>
    </w:p>
    <w:p w14:paraId="43E816B2" w14:textId="187B0CD7" w:rsidR="00211B75" w:rsidRPr="00821903" w:rsidRDefault="00A3579F" w:rsidP="00DA38DF">
      <w:pPr>
        <w:spacing w:line="360" w:lineRule="auto"/>
      </w:pPr>
      <w:r w:rsidRPr="00821903">
        <w:lastRenderedPageBreak/>
        <w:tab/>
      </w:r>
      <w:r w:rsidR="00E177F8" w:rsidRPr="00821903">
        <w:t>Lee sued, asserting a number of causes of action, including breach of contract</w:t>
      </w:r>
      <w:r w:rsidRPr="00821903">
        <w:t>, negligent construction,</w:t>
      </w:r>
      <w:r w:rsidR="00E177F8" w:rsidRPr="00821903">
        <w:t xml:space="preserve"> and </w:t>
      </w:r>
      <w:r w:rsidR="000D1DDF" w:rsidRPr="00821903">
        <w:t>violation of contractor licensing laws, and seeking damages and disgorgement o</w:t>
      </w:r>
      <w:r w:rsidR="00E177F8" w:rsidRPr="00821903">
        <w:t>f what she had paid.</w:t>
      </w:r>
      <w:r>
        <w:rPr>
          <w:rStyle w:val="FootnoteReference"/>
        </w:rPr>
        <w:footnoteReference w:id="1"/>
      </w:r>
      <w:r w:rsidR="00E11409" w:rsidRPr="00821903">
        <w:t xml:space="preserve">  </w:t>
      </w:r>
      <w:r w:rsidR="000D1DDF" w:rsidRPr="00821903">
        <w:t xml:space="preserve">Following a bench trial, </w:t>
      </w:r>
      <w:r w:rsidR="00E177F8" w:rsidRPr="00821903">
        <w:t>the</w:t>
      </w:r>
      <w:r w:rsidR="00BE7995" w:rsidRPr="00821903">
        <w:t xml:space="preserve"> </w:t>
      </w:r>
      <w:r w:rsidR="00E177F8" w:rsidRPr="00821903">
        <w:t>court</w:t>
      </w:r>
      <w:r w:rsidR="000D1DDF" w:rsidRPr="00821903">
        <w:t xml:space="preserve"> issued</w:t>
      </w:r>
      <w:r w:rsidR="00E177F8" w:rsidRPr="00821903">
        <w:t xml:space="preserve"> a 21-page statement of decision</w:t>
      </w:r>
      <w:r w:rsidR="00E11409" w:rsidRPr="00821903">
        <w:t xml:space="preserve">.  The court </w:t>
      </w:r>
      <w:r w:rsidR="00E177F8" w:rsidRPr="00821903">
        <w:t>largely reject</w:t>
      </w:r>
      <w:r w:rsidR="00E11409" w:rsidRPr="00821903">
        <w:t>ed</w:t>
      </w:r>
      <w:r w:rsidR="00E177F8" w:rsidRPr="00821903">
        <w:t xml:space="preserve"> Lee’s claims </w:t>
      </w:r>
      <w:r w:rsidRPr="00821903">
        <w:t xml:space="preserve">pertaining to </w:t>
      </w:r>
      <w:r w:rsidR="00E11409" w:rsidRPr="00821903">
        <w:t xml:space="preserve">the </w:t>
      </w:r>
      <w:r w:rsidR="00E177F8" w:rsidRPr="00821903">
        <w:t xml:space="preserve">construction of the pool, </w:t>
      </w:r>
      <w:r w:rsidR="00E11409" w:rsidRPr="00821903">
        <w:t xml:space="preserve">agreed with some of her claims </w:t>
      </w:r>
      <w:r w:rsidR="00BE7995" w:rsidRPr="00821903">
        <w:t>pertaining to</w:t>
      </w:r>
      <w:r w:rsidR="00E11409" w:rsidRPr="00821903">
        <w:t xml:space="preserve"> the construction of the pavilion and some </w:t>
      </w:r>
      <w:r w:rsidR="00BE7995" w:rsidRPr="00821903">
        <w:t xml:space="preserve">of the </w:t>
      </w:r>
      <w:r w:rsidR="00E11409" w:rsidRPr="00821903">
        <w:t xml:space="preserve">other landscaping items, and agreed with her claim that </w:t>
      </w:r>
      <w:r w:rsidR="00E177F8" w:rsidRPr="00821903">
        <w:t xml:space="preserve">Cardiff had violated state contracting laws by hiring workers who were </w:t>
      </w:r>
      <w:r w:rsidR="00E11409" w:rsidRPr="00821903">
        <w:t>not licensed contractors and treating them as independent contractors</w:t>
      </w:r>
      <w:r w:rsidR="004F26A7" w:rsidRPr="00821903">
        <w:t>,</w:t>
      </w:r>
      <w:r w:rsidR="00E11409" w:rsidRPr="00821903">
        <w:t xml:space="preserve"> and not employees</w:t>
      </w:r>
      <w:r w:rsidR="004F26A7" w:rsidRPr="00821903">
        <w:t>,</w:t>
      </w:r>
      <w:r w:rsidR="00E11409" w:rsidRPr="00821903">
        <w:t xml:space="preserve"> for purposes of worker’s compensation insurance coverage</w:t>
      </w:r>
      <w:r w:rsidR="000F5829" w:rsidRPr="00821903">
        <w:t>.</w:t>
      </w:r>
      <w:r w:rsidR="00E11409" w:rsidRPr="00821903">
        <w:t xml:space="preserve">  Based on the latter claim, the court ordered disgorgement plus interest of $238,470.  </w:t>
      </w:r>
      <w:r w:rsidRPr="00821903">
        <w:t xml:space="preserve">It also awarded </w:t>
      </w:r>
      <w:r w:rsidR="000D1DDF" w:rsidRPr="00821903">
        <w:t xml:space="preserve">contract and tort </w:t>
      </w:r>
      <w:r w:rsidRPr="00821903">
        <w:t>damages of $236,634</w:t>
      </w:r>
      <w:r w:rsidR="004F26A7" w:rsidRPr="00821903">
        <w:t xml:space="preserve">, </w:t>
      </w:r>
      <w:r w:rsidRPr="00821903">
        <w:t xml:space="preserve">allocating $35,000 to </w:t>
      </w:r>
      <w:r w:rsidR="004F26A7" w:rsidRPr="00821903">
        <w:t xml:space="preserve">deficiencies with the </w:t>
      </w:r>
      <w:r w:rsidRPr="00821903">
        <w:t xml:space="preserve">pool.  The court rejected her fraud and elder abuse claims.  </w:t>
      </w:r>
    </w:p>
    <w:p w14:paraId="321CBACE" w14:textId="69F336C4" w:rsidR="00D20E0F" w:rsidRPr="00821903" w:rsidRDefault="00A3579F" w:rsidP="00522C33">
      <w:pPr>
        <w:spacing w:line="360" w:lineRule="auto"/>
      </w:pPr>
      <w:r w:rsidRPr="00821903">
        <w:tab/>
      </w:r>
      <w:r w:rsidR="00BE7995" w:rsidRPr="00821903">
        <w:t>T</w:t>
      </w:r>
      <w:r w:rsidRPr="00821903">
        <w:t xml:space="preserve">he contract did not have an attorney fees </w:t>
      </w:r>
      <w:r w:rsidR="000D1DDF" w:rsidRPr="00821903">
        <w:t>clause</w:t>
      </w:r>
      <w:r w:rsidRPr="00821903">
        <w:t xml:space="preserve">, </w:t>
      </w:r>
      <w:r w:rsidR="00BE7995" w:rsidRPr="00821903">
        <w:t xml:space="preserve">and </w:t>
      </w:r>
      <w:r w:rsidRPr="00821903">
        <w:t xml:space="preserve">Lee subsequently moved for fees under </w:t>
      </w:r>
      <w:r w:rsidR="001C2D9D" w:rsidRPr="00821903">
        <w:t xml:space="preserve">Code of Civil Procedure section 1029.8 and Business </w:t>
      </w:r>
      <w:r w:rsidR="001067A7" w:rsidRPr="00821903">
        <w:t>and</w:t>
      </w:r>
      <w:r w:rsidR="001C2D9D" w:rsidRPr="00821903">
        <w:t xml:space="preserve"> Professions Code section 7168.</w:t>
      </w:r>
      <w:r>
        <w:rPr>
          <w:rStyle w:val="FootnoteReference"/>
        </w:rPr>
        <w:footnoteReference w:id="2"/>
      </w:r>
      <w:r w:rsidRPr="00821903">
        <w:t xml:space="preserve">  </w:t>
      </w:r>
      <w:r w:rsidR="001067A7" w:rsidRPr="00821903">
        <w:t>The court declined to award discretionary fees under Code of Civil Procedure section 1029.8, ruling Cardiff had not knowingly violate</w:t>
      </w:r>
      <w:r w:rsidR="00C16EC3" w:rsidRPr="00821903">
        <w:t>d</w:t>
      </w:r>
      <w:r w:rsidR="001067A7" w:rsidRPr="00821903">
        <w:t xml:space="preserve"> the state contractor licensing law and disgorgement,</w:t>
      </w:r>
      <w:r w:rsidR="00C16EC3" w:rsidRPr="00821903">
        <w:t xml:space="preserve"> </w:t>
      </w:r>
      <w:r w:rsidR="001067A7" w:rsidRPr="00821903">
        <w:t>in any event, was a sufficient penalty for violating that law.  The court further ruled that because Lee was “unsuccessful on the vast majority of [her] swimming pool claims,” there was no prevailing party under section 7168, which authorize</w:t>
      </w:r>
      <w:r w:rsidRPr="00821903">
        <w:t>s</w:t>
      </w:r>
      <w:r w:rsidR="001067A7" w:rsidRPr="00821903">
        <w:t xml:space="preserve"> fees </w:t>
      </w:r>
      <w:r w:rsidR="000D1DDF" w:rsidRPr="00821903">
        <w:t xml:space="preserve">to </w:t>
      </w:r>
      <w:r w:rsidRPr="00821903">
        <w:t xml:space="preserve">“the prevailing party” in cases “arising out of a contract for swimming pool construction.”  (§ 7168.)  </w:t>
      </w:r>
    </w:p>
    <w:p w14:paraId="762724B8" w14:textId="5D219660" w:rsidR="00D20E0F" w:rsidRPr="00821903" w:rsidRDefault="00A3579F" w:rsidP="00522C33">
      <w:pPr>
        <w:spacing w:line="360" w:lineRule="auto"/>
      </w:pPr>
      <w:r w:rsidRPr="00821903">
        <w:lastRenderedPageBreak/>
        <w:tab/>
        <w:t>On appeal, Lee r</w:t>
      </w:r>
      <w:r w:rsidR="000F5829" w:rsidRPr="00821903">
        <w:t>a</w:t>
      </w:r>
      <w:r w:rsidRPr="00821903">
        <w:t xml:space="preserve">ises a single issue—that the trial court erred in denying </w:t>
      </w:r>
      <w:r w:rsidR="004F26A7" w:rsidRPr="00821903">
        <w:t xml:space="preserve">her </w:t>
      </w:r>
      <w:r w:rsidRPr="00821903">
        <w:t>attorney fees under section 7168.  Notably, she does not take issue with any of the trial court’s findings or rulings on the merits of her claims.  Nor does she challenge the denial of fees under Code of Civil Procedure section 1029.8.</w:t>
      </w:r>
    </w:p>
    <w:p w14:paraId="37CE349E" w14:textId="54118E38" w:rsidR="00522C33" w:rsidRPr="00821903" w:rsidRDefault="00A3579F" w:rsidP="00D20E0F">
      <w:pPr>
        <w:spacing w:line="360" w:lineRule="auto"/>
        <w:jc w:val="center"/>
      </w:pPr>
      <w:r w:rsidRPr="00821903">
        <w:rPr>
          <w:b/>
          <w:bCs/>
        </w:rPr>
        <w:t>DISCUSSION</w:t>
      </w:r>
    </w:p>
    <w:p w14:paraId="5C518A91" w14:textId="226A4C63" w:rsidR="00943F06" w:rsidRPr="00821903" w:rsidRDefault="00A3579F" w:rsidP="00D20E0F">
      <w:pPr>
        <w:spacing w:line="360" w:lineRule="auto"/>
        <w:rPr>
          <w:b/>
          <w:bCs/>
        </w:rPr>
      </w:pPr>
      <w:r w:rsidRPr="00821903">
        <w:rPr>
          <w:b/>
          <w:bCs/>
          <w:i/>
          <w:iCs/>
        </w:rPr>
        <w:t>The Pertinent Fee Statute</w:t>
      </w:r>
    </w:p>
    <w:p w14:paraId="4089CD84" w14:textId="50126581" w:rsidR="00D20E0F" w:rsidRPr="00821903" w:rsidRDefault="00A3579F" w:rsidP="00D20E0F">
      <w:pPr>
        <w:spacing w:line="360" w:lineRule="auto"/>
      </w:pPr>
      <w:r w:rsidRPr="00821903">
        <w:tab/>
        <w:t xml:space="preserve">Section 7168 </w:t>
      </w:r>
      <w:r w:rsidR="004F26A7" w:rsidRPr="00821903">
        <w:t xml:space="preserve">provides </w:t>
      </w:r>
      <w:r w:rsidRPr="00821903">
        <w:t>as follows:</w:t>
      </w:r>
    </w:p>
    <w:p w14:paraId="2754440E" w14:textId="3A7A1592" w:rsidR="00D20E0F" w:rsidRPr="00821903" w:rsidRDefault="00A3579F" w:rsidP="00D20E0F">
      <w:pPr>
        <w:spacing w:line="240" w:lineRule="auto"/>
        <w:ind w:left="720"/>
      </w:pPr>
      <w:r w:rsidRPr="00821903">
        <w:t>“In any action between a person contracting for construction of a swimming pool and a swimming pool contractor arising out of a contract for swimming pool construction, the court shall award reasonable attorney’s fees to the prevailing party.”</w:t>
      </w:r>
    </w:p>
    <w:p w14:paraId="4DA5686B" w14:textId="77777777" w:rsidR="00D20E0F" w:rsidRPr="00821903" w:rsidRDefault="00D20E0F" w:rsidP="00D20E0F">
      <w:pPr>
        <w:spacing w:line="240" w:lineRule="auto"/>
        <w:ind w:left="720"/>
      </w:pPr>
    </w:p>
    <w:p w14:paraId="11794460" w14:textId="3281BF52" w:rsidR="004E4C09" w:rsidRPr="00821903" w:rsidRDefault="00A3579F" w:rsidP="00D20E0F">
      <w:pPr>
        <w:spacing w:line="360" w:lineRule="auto"/>
      </w:pPr>
      <w:r w:rsidRPr="00821903">
        <w:tab/>
        <w:t xml:space="preserve">This statutory provision was enacted in 1969 as part of a </w:t>
      </w:r>
      <w:r w:rsidR="00A43722" w:rsidRPr="00821903">
        <w:t xml:space="preserve">new statutory scheme </w:t>
      </w:r>
      <w:r w:rsidRPr="00821903">
        <w:t>governing “</w:t>
      </w:r>
      <w:r w:rsidR="00CD4086" w:rsidRPr="00821903">
        <w:t>c</w:t>
      </w:r>
      <w:r w:rsidRPr="00821903">
        <w:t xml:space="preserve">ontracts </w:t>
      </w:r>
      <w:r w:rsidR="00CD4086" w:rsidRPr="00821903">
        <w:t>f</w:t>
      </w:r>
      <w:r w:rsidRPr="00821903">
        <w:t xml:space="preserve">or </w:t>
      </w:r>
      <w:r w:rsidR="00CD4086" w:rsidRPr="00821903">
        <w:t>s</w:t>
      </w:r>
      <w:r w:rsidRPr="00821903">
        <w:t xml:space="preserve">wimming </w:t>
      </w:r>
      <w:r w:rsidR="00CD4086" w:rsidRPr="00821903">
        <w:t>p</w:t>
      </w:r>
      <w:r w:rsidRPr="00821903">
        <w:t xml:space="preserve">ool </w:t>
      </w:r>
      <w:r w:rsidR="00CD4086" w:rsidRPr="00821903">
        <w:t>c</w:t>
      </w:r>
      <w:r w:rsidRPr="00821903">
        <w:t>onstruction</w:t>
      </w:r>
      <w:r w:rsidR="000D1DDF" w:rsidRPr="00821903">
        <w:t>,</w:t>
      </w:r>
      <w:r w:rsidRPr="00821903">
        <w:t xml:space="preserve">” </w:t>
      </w:r>
      <w:r w:rsidR="00A43722" w:rsidRPr="00821903">
        <w:t>added to the</w:t>
      </w:r>
      <w:r w:rsidR="004F26A7" w:rsidRPr="00821903">
        <w:t xml:space="preserve"> Ci</w:t>
      </w:r>
      <w:r w:rsidRPr="00821903">
        <w:t xml:space="preserve">vil Code </w:t>
      </w:r>
      <w:r w:rsidR="00A43722" w:rsidRPr="00821903">
        <w:t xml:space="preserve">as former sections </w:t>
      </w:r>
      <w:r w:rsidRPr="00821903">
        <w:t>17</w:t>
      </w:r>
      <w:r w:rsidR="00A43722" w:rsidRPr="00821903">
        <w:t xml:space="preserve">25 et seq. </w:t>
      </w:r>
      <w:r w:rsidRPr="00821903">
        <w:t xml:space="preserve"> (Stats. 1969, ch. 583, </w:t>
      </w:r>
      <w:r w:rsidR="00FA76A6" w:rsidRPr="00821903">
        <w:t>§ </w:t>
      </w:r>
      <w:r w:rsidRPr="00821903">
        <w:t>1</w:t>
      </w:r>
      <w:r w:rsidR="00A43722" w:rsidRPr="00821903">
        <w:t>.</w:t>
      </w:r>
      <w:r w:rsidRPr="00821903">
        <w:t>)</w:t>
      </w:r>
      <w:r w:rsidR="00A43722" w:rsidRPr="00821903">
        <w:t xml:space="preserve">  The new scheme “</w:t>
      </w:r>
      <w:r w:rsidR="00FF1A9F" w:rsidRPr="00821903">
        <w:t>specif</w:t>
      </w:r>
      <w:r w:rsidR="00A43722" w:rsidRPr="00821903">
        <w:t>[ied]</w:t>
      </w:r>
      <w:r w:rsidR="00FF1A9F" w:rsidRPr="00821903">
        <w:t xml:space="preserve"> certain terms that must be contained in ‘every contract for the construction of a swimming pool</w:t>
      </w:r>
      <w:r w:rsidR="004F26A7" w:rsidRPr="00821903">
        <w:t>.</w:t>
      </w:r>
      <w:r w:rsidR="00FF1A9F" w:rsidRPr="00821903">
        <w:t xml:space="preserve">’ ” </w:t>
      </w:r>
      <w:r w:rsidR="000F5829" w:rsidRPr="00821903">
        <w:t xml:space="preserve"> </w:t>
      </w:r>
      <w:r w:rsidR="00FF1A9F" w:rsidRPr="00821903">
        <w:t>(</w:t>
      </w:r>
      <w:r w:rsidR="00FF1A9F" w:rsidRPr="00821903">
        <w:rPr>
          <w:i/>
          <w:iCs/>
        </w:rPr>
        <w:t xml:space="preserve">King v. Hinderstein </w:t>
      </w:r>
      <w:r w:rsidR="00FF1A9F" w:rsidRPr="00821903">
        <w:t>(1981) 122 Cal.App.3d 430, 436 (</w:t>
      </w:r>
      <w:r w:rsidR="00FF1A9F" w:rsidRPr="00821903">
        <w:rPr>
          <w:i/>
          <w:iCs/>
        </w:rPr>
        <w:t>King</w:t>
      </w:r>
      <w:r w:rsidR="00FF1A9F" w:rsidRPr="00821903">
        <w:t>)</w:t>
      </w:r>
      <w:r w:rsidR="00EB53A5" w:rsidRPr="00821903">
        <w:t>; 52 Ops.Cal.Atty.Gen. 245, 247</w:t>
      </w:r>
      <w:r w:rsidR="000F5829" w:rsidRPr="00821903">
        <w:t>–</w:t>
      </w:r>
      <w:r w:rsidR="00EB53A5" w:rsidRPr="00821903">
        <w:t>250 (1969)</w:t>
      </w:r>
      <w:r w:rsidR="004F26A7" w:rsidRPr="00821903">
        <w:t>.</w:t>
      </w:r>
      <w:r w:rsidR="00FF1A9F" w:rsidRPr="00821903">
        <w:t xml:space="preserve">) </w:t>
      </w:r>
      <w:r w:rsidR="00A43722" w:rsidRPr="00821903">
        <w:t xml:space="preserve"> </w:t>
      </w:r>
      <w:r w:rsidR="004F26A7" w:rsidRPr="00821903">
        <w:t>T</w:t>
      </w:r>
      <w:r w:rsidRPr="00821903">
        <w:t xml:space="preserve">he language </w:t>
      </w:r>
      <w:r w:rsidR="00A43722" w:rsidRPr="00821903">
        <w:t xml:space="preserve">of the fee statute </w:t>
      </w:r>
      <w:r w:rsidRPr="00821903">
        <w:t xml:space="preserve">as enacted </w:t>
      </w:r>
      <w:r w:rsidR="000D1DDF" w:rsidRPr="00821903">
        <w:t>i</w:t>
      </w:r>
      <w:r w:rsidR="004F26A7" w:rsidRPr="00821903">
        <w:t>s</w:t>
      </w:r>
      <w:r w:rsidRPr="00821903">
        <w:t xml:space="preserve"> virtually identical to that of the present statute</w:t>
      </w:r>
      <w:r w:rsidR="00EB53A5" w:rsidRPr="00821903">
        <w:t>.  (</w:t>
      </w:r>
      <w:r w:rsidR="00FA76A6" w:rsidRPr="00821903">
        <w:t>Cf.</w:t>
      </w:r>
      <w:r w:rsidR="00A43722" w:rsidRPr="00821903">
        <w:t xml:space="preserve"> § 7168 </w:t>
      </w:r>
      <w:r w:rsidR="00FA76A6" w:rsidRPr="00821903">
        <w:t>&amp;</w:t>
      </w:r>
      <w:r w:rsidR="00A43722" w:rsidRPr="00821903">
        <w:t xml:space="preserve"> </w:t>
      </w:r>
      <w:r w:rsidR="00EB53A5" w:rsidRPr="00821903">
        <w:t xml:space="preserve">Stats. 1969, ch. 583, </w:t>
      </w:r>
      <w:r w:rsidR="00FA76A6" w:rsidRPr="00821903">
        <w:t>§ </w:t>
      </w:r>
      <w:r w:rsidR="00EB53A5" w:rsidRPr="00821903">
        <w:t>1.)</w:t>
      </w:r>
      <w:r w:rsidRPr="00821903">
        <w:t xml:space="preserve">  </w:t>
      </w:r>
    </w:p>
    <w:p w14:paraId="1A45E7C6" w14:textId="3055402B" w:rsidR="004E4C09" w:rsidRPr="00821903" w:rsidRDefault="00A3579F" w:rsidP="00D20E0F">
      <w:pPr>
        <w:spacing w:line="360" w:lineRule="auto"/>
      </w:pPr>
      <w:r w:rsidRPr="00821903">
        <w:tab/>
      </w:r>
      <w:r w:rsidR="004F26A7" w:rsidRPr="00821903">
        <w:t>In the initial provisions of the new statutory scheme, t</w:t>
      </w:r>
      <w:r w:rsidRPr="00821903">
        <w:t>he Legislature expressly stated its purpose as follows:</w:t>
      </w:r>
    </w:p>
    <w:p w14:paraId="787D5DB1" w14:textId="6DFEC543" w:rsidR="001704A8" w:rsidRPr="00821903" w:rsidRDefault="00A3579F" w:rsidP="001704A8">
      <w:pPr>
        <w:spacing w:line="240" w:lineRule="auto"/>
        <w:ind w:left="720"/>
      </w:pPr>
      <w:r w:rsidRPr="00821903">
        <w:t xml:space="preserve">“(a) </w:t>
      </w:r>
      <w:r w:rsidR="004E4C09" w:rsidRPr="00821903">
        <w:t>The Legislature finds that a need exists for a more complete understanding between customers and contractors engaged in the swimming pool construction business regarding the content and conditions of transactio</w:t>
      </w:r>
      <w:r w:rsidRPr="00821903">
        <w:t xml:space="preserve">ns for swimming pool construction; that many misunderstandings have arisen because of the lack of a standard body of requirements relating to such transactions, and that certain sales and business practices and construction practices, have worked financial hardship upon the people of this state; that the swimming pool construction business has a significant impact on the economy and </w:t>
      </w:r>
      <w:r w:rsidRPr="00821903">
        <w:lastRenderedPageBreak/>
        <w:t xml:space="preserve">well-being of this state, its communities, and </w:t>
      </w:r>
      <w:r w:rsidR="00A66EC4" w:rsidRPr="00821903">
        <w:t xml:space="preserve">it’s </w:t>
      </w:r>
      <w:r w:rsidRPr="00821903">
        <w:t>individual citizens; that the problems which have arisen relative to the swimming pool construction business are peculiar to that business; and that the provisions of this title relating to the swimming pool construction business are necessary for the public welfare.</w:t>
      </w:r>
    </w:p>
    <w:p w14:paraId="5C4E30F8" w14:textId="77777777" w:rsidR="001704A8" w:rsidRPr="00821903" w:rsidRDefault="001704A8" w:rsidP="001704A8">
      <w:pPr>
        <w:spacing w:line="240" w:lineRule="auto"/>
        <w:ind w:left="720"/>
      </w:pPr>
    </w:p>
    <w:p w14:paraId="3811B55B" w14:textId="73B29BEA" w:rsidR="000144A3" w:rsidRPr="00821903" w:rsidRDefault="00A3579F" w:rsidP="001704A8">
      <w:pPr>
        <w:spacing w:line="240" w:lineRule="auto"/>
        <w:ind w:left="720"/>
      </w:pPr>
      <w:r w:rsidRPr="00821903">
        <w:t>“</w:t>
      </w:r>
      <w:r w:rsidR="001704A8" w:rsidRPr="00821903">
        <w:t>(b) The Legislature declares that the purpose of this title is to create an area of understanding and to establish standards which will safeguard the people against imposition and financial hardship, and encourage competition, fair dealing, and prosperity in the swimming pool construction business.</w:t>
      </w:r>
      <w:r w:rsidRPr="00821903">
        <w:t>”</w:t>
      </w:r>
      <w:r w:rsidR="001704A8" w:rsidRPr="00821903">
        <w:t xml:space="preserve">  (Former Civ. Code</w:t>
      </w:r>
      <w:r w:rsidRPr="00821903">
        <w:t>,</w:t>
      </w:r>
      <w:r w:rsidR="001704A8" w:rsidRPr="00821903">
        <w:t xml:space="preserve"> § 1725, subds. (a) </w:t>
      </w:r>
      <w:r w:rsidRPr="00821903">
        <w:t>&amp;</w:t>
      </w:r>
      <w:r w:rsidR="001704A8" w:rsidRPr="00821903">
        <w:t xml:space="preserve"> (b)</w:t>
      </w:r>
      <w:r w:rsidRPr="00821903">
        <w:t>;</w:t>
      </w:r>
      <w:r w:rsidR="001704A8" w:rsidRPr="00821903">
        <w:t xml:space="preserve"> Stats. 1969, ch. 583, </w:t>
      </w:r>
      <w:r w:rsidRPr="00821903">
        <w:t>§ </w:t>
      </w:r>
      <w:r w:rsidR="001704A8" w:rsidRPr="00821903">
        <w:t>1.)</w:t>
      </w:r>
    </w:p>
    <w:p w14:paraId="252B1E80" w14:textId="022D8027" w:rsidR="00D20E0F" w:rsidRPr="00821903" w:rsidRDefault="00D20E0F" w:rsidP="000144A3">
      <w:pPr>
        <w:spacing w:line="360" w:lineRule="auto"/>
      </w:pPr>
    </w:p>
    <w:p w14:paraId="3BA174FD" w14:textId="72F9792F" w:rsidR="001417D3" w:rsidRPr="00821903" w:rsidRDefault="00A3579F" w:rsidP="00FF1A9F">
      <w:pPr>
        <w:spacing w:line="360" w:lineRule="auto"/>
      </w:pPr>
      <w:r w:rsidRPr="00821903">
        <w:tab/>
        <w:t>“This declaration evinced a legislative concern for protecting the public from fly-by-night contractors</w:t>
      </w:r>
      <w:r w:rsidR="00546BAD" w:rsidRPr="00821903">
        <w:t>–</w:t>
      </w:r>
      <w:r w:rsidRPr="00821903">
        <w:t>independent from the builders of the residential house associated with the property</w:t>
      </w:r>
      <w:r w:rsidR="00546BAD" w:rsidRPr="00821903">
        <w:t>–</w:t>
      </w:r>
      <w:r w:rsidRPr="00821903">
        <w:t>who abandon pool work after obtaining a substantial down payment or who finish the work in a substandard manner.”  (</w:t>
      </w:r>
      <w:r w:rsidR="00EB53A5" w:rsidRPr="00821903">
        <w:rPr>
          <w:i/>
          <w:iCs/>
        </w:rPr>
        <w:t xml:space="preserve">King, supra, </w:t>
      </w:r>
      <w:r w:rsidRPr="00821903">
        <w:t xml:space="preserve">122 Cal.App.3d </w:t>
      </w:r>
      <w:r w:rsidR="00EB53A5" w:rsidRPr="00821903">
        <w:t xml:space="preserve">at p. </w:t>
      </w:r>
      <w:r w:rsidRPr="00821903">
        <w:t>439</w:t>
      </w:r>
      <w:r w:rsidR="00EB53A5" w:rsidRPr="00821903">
        <w:t>.)  “Legislative committee analyses on the payment schedule requirements under the former Civil Code scheme (former Civ.</w:t>
      </w:r>
      <w:r w:rsidR="00FA76A6" w:rsidRPr="00821903">
        <w:t xml:space="preserve"> </w:t>
      </w:r>
      <w:r w:rsidR="00EB53A5" w:rsidRPr="00821903">
        <w:t>Code, § 1730.5; Sen. Bill No. 1836)</w:t>
      </w:r>
      <w:r w:rsidR="004F26A7" w:rsidRPr="00821903">
        <w:t>,” for example, “</w:t>
      </w:r>
      <w:r w:rsidR="00EB53A5" w:rsidRPr="00821903">
        <w:t>show[ed] concern over the fact that consumer complaints to the Contractors License Board about swimming pool construction were proportionately higher than for other types of construction.”  (</w:t>
      </w:r>
      <w:r w:rsidR="00546BAD" w:rsidRPr="00821903">
        <w:rPr>
          <w:i/>
          <w:iCs/>
        </w:rPr>
        <w:t>Ibid.</w:t>
      </w:r>
      <w:r w:rsidR="00FA76A6" w:rsidRPr="00821903">
        <w:t>,</w:t>
      </w:r>
      <w:r w:rsidR="00EB53A5" w:rsidRPr="00821903">
        <w:t xml:space="preserve"> </w:t>
      </w:r>
      <w:r w:rsidR="00FA76A6" w:rsidRPr="00821903">
        <w:t>f</w:t>
      </w:r>
      <w:r w:rsidR="00EB53A5" w:rsidRPr="00821903">
        <w:t>n. 16.)</w:t>
      </w:r>
    </w:p>
    <w:p w14:paraId="47588F09" w14:textId="14EF0728" w:rsidR="00C6277C" w:rsidRPr="00821903" w:rsidRDefault="00A3579F" w:rsidP="00FF1A9F">
      <w:pPr>
        <w:spacing w:line="360" w:lineRule="auto"/>
      </w:pPr>
      <w:r w:rsidRPr="00821903">
        <w:tab/>
        <w:t xml:space="preserve">In 1976, the Attorney General was asked to address the interplay of </w:t>
      </w:r>
      <w:r w:rsidR="004F26A7" w:rsidRPr="00821903">
        <w:t xml:space="preserve">these Civil Code provisions with </w:t>
      </w:r>
      <w:r w:rsidRPr="00821903">
        <w:t xml:space="preserve">provisions </w:t>
      </w:r>
      <w:r w:rsidR="00E409FF" w:rsidRPr="00821903">
        <w:t xml:space="preserve">then </w:t>
      </w:r>
      <w:r w:rsidR="003A404D" w:rsidRPr="00821903">
        <w:t xml:space="preserve">newly </w:t>
      </w:r>
      <w:r w:rsidRPr="00821903">
        <w:t xml:space="preserve">added to the Business and Professions Code </w:t>
      </w:r>
      <w:r w:rsidR="0086645A" w:rsidRPr="00821903">
        <w:t xml:space="preserve">as </w:t>
      </w:r>
      <w:r w:rsidR="00FA76A6" w:rsidRPr="00821903">
        <w:t>a</w:t>
      </w:r>
      <w:r w:rsidR="0086645A" w:rsidRPr="00821903">
        <w:t xml:space="preserve">rticle 10 of </w:t>
      </w:r>
      <w:r w:rsidR="00FA76A6" w:rsidRPr="00821903">
        <w:t>c</w:t>
      </w:r>
      <w:r w:rsidR="0086645A" w:rsidRPr="00821903">
        <w:t xml:space="preserve">hapter 9 of </w:t>
      </w:r>
      <w:r w:rsidR="003C42E0">
        <w:t>d</w:t>
      </w:r>
      <w:r w:rsidR="0086645A" w:rsidRPr="00821903">
        <w:t xml:space="preserve">ivision 3 </w:t>
      </w:r>
      <w:r w:rsidRPr="00821903">
        <w:t>governing “home improvement contracts”</w:t>
      </w:r>
      <w:r w:rsidR="003A404D" w:rsidRPr="00821903">
        <w:t xml:space="preserve"> and codified as </w:t>
      </w:r>
      <w:r w:rsidR="00BA5948">
        <w:t>section 7150 et seq.</w:t>
      </w:r>
      <w:r w:rsidR="003A404D" w:rsidRPr="00821903">
        <w:t xml:space="preserve">  (59</w:t>
      </w:r>
      <w:r w:rsidR="003C42E0">
        <w:t> </w:t>
      </w:r>
      <w:r w:rsidR="003A404D" w:rsidRPr="00821903">
        <w:t>Ops.Cal.Atty.Gen. 549 (1976).)</w:t>
      </w:r>
      <w:r w:rsidR="00B10003" w:rsidRPr="00821903">
        <w:t xml:space="preserve">  This new statutory scheme stated, in part, that it “</w:t>
      </w:r>
      <w:r w:rsidR="00A66EC4" w:rsidRPr="00821903">
        <w:t xml:space="preserve"> ‘</w:t>
      </w:r>
      <w:r w:rsidR="00B10003" w:rsidRPr="00821903">
        <w:t>shall apply only to home improvement contracts</w:t>
      </w:r>
      <w:r w:rsidR="00A66EC4" w:rsidRPr="00821903">
        <w:t xml:space="preserve">’ </w:t>
      </w:r>
      <w:r w:rsidR="00B10003" w:rsidRPr="00821903">
        <w:t>” for “</w:t>
      </w:r>
      <w:r w:rsidR="00A66EC4" w:rsidRPr="00821903">
        <w:t xml:space="preserve"> ‘</w:t>
      </w:r>
      <w:r w:rsidR="00B10003" w:rsidRPr="00821903">
        <w:t>proposed repairing, remodeling, altering</w:t>
      </w:r>
      <w:r w:rsidRPr="00821903">
        <w:t>, converting, or modernizing such building or structure.</w:t>
      </w:r>
      <w:r w:rsidR="00A66EC4" w:rsidRPr="00821903">
        <w:t xml:space="preserve">’ </w:t>
      </w:r>
      <w:r w:rsidR="000D1DDF" w:rsidRPr="00821903">
        <w:t>”</w:t>
      </w:r>
      <w:r w:rsidRPr="00821903">
        <w:t xml:space="preserve">  (</w:t>
      </w:r>
      <w:r w:rsidRPr="00821903">
        <w:rPr>
          <w:i/>
          <w:iCs/>
        </w:rPr>
        <w:t xml:space="preserve">Id. </w:t>
      </w:r>
      <w:r w:rsidRPr="00821903">
        <w:t xml:space="preserve">at p. 550.)  It further stated, in part, that </w:t>
      </w:r>
      <w:r w:rsidRPr="00821903">
        <w:lastRenderedPageBreak/>
        <w:t>“</w:t>
      </w:r>
      <w:r w:rsidR="003C42E0">
        <w:t> </w:t>
      </w:r>
      <w:r w:rsidR="00A66EC4" w:rsidRPr="00821903">
        <w:t>‘</w:t>
      </w:r>
      <w:r w:rsidRPr="00821903">
        <w:t>repairing, remodeling, altering, converting, or modernizing of, or adding to, residential property</w:t>
      </w:r>
      <w:r w:rsidR="00A66EC4" w:rsidRPr="00821903">
        <w:t xml:space="preserve">’ </w:t>
      </w:r>
      <w:r w:rsidRPr="00821903">
        <w:t>” included, but was not limited to, “</w:t>
      </w:r>
      <w:r w:rsidR="00A66EC4" w:rsidRPr="00821903">
        <w:t xml:space="preserve"> ‘</w:t>
      </w:r>
      <w:r w:rsidRPr="00821903">
        <w:t>the construction, erection, replacement, or improvement of driveways, swimming pools, terraces, patios, landscaping, fences, porches, garages, fallout shelters, [and] basements.”  (</w:t>
      </w:r>
      <w:r w:rsidRPr="00821903">
        <w:rPr>
          <w:i/>
          <w:iCs/>
        </w:rPr>
        <w:t xml:space="preserve">Id. </w:t>
      </w:r>
      <w:r w:rsidRPr="00821903">
        <w:t>at p</w:t>
      </w:r>
      <w:r w:rsidR="00A66EC4" w:rsidRPr="00821903">
        <w:t>p</w:t>
      </w:r>
      <w:r w:rsidRPr="00821903">
        <w:t>. 551</w:t>
      </w:r>
      <w:r w:rsidR="00A66EC4" w:rsidRPr="00821903">
        <w:t>–552, italics omitted</w:t>
      </w:r>
      <w:r w:rsidRPr="00821903">
        <w:t>.)</w:t>
      </w:r>
    </w:p>
    <w:p w14:paraId="258CD8F7" w14:textId="28DABE1B" w:rsidR="001F7059" w:rsidRPr="00821903" w:rsidRDefault="00A3579F" w:rsidP="00FF1A9F">
      <w:pPr>
        <w:spacing w:line="360" w:lineRule="auto"/>
      </w:pPr>
      <w:r w:rsidRPr="00821903">
        <w:tab/>
        <w:t>T</w:t>
      </w:r>
      <w:r w:rsidR="001417D3" w:rsidRPr="00821903">
        <w:t>he Attorney General concluded th</w:t>
      </w:r>
      <w:r w:rsidR="00B71C38" w:rsidRPr="00821903">
        <w:t xml:space="preserve">ese </w:t>
      </w:r>
      <w:r w:rsidRPr="00821903">
        <w:t xml:space="preserve">new </w:t>
      </w:r>
      <w:r w:rsidR="00B71C38" w:rsidRPr="00821903">
        <w:t>provisions</w:t>
      </w:r>
      <w:r w:rsidRPr="00821903">
        <w:t xml:space="preserve"> of the Business and Professions Code</w:t>
      </w:r>
      <w:r w:rsidR="00B71C38" w:rsidRPr="00821903">
        <w:t xml:space="preserve"> appl</w:t>
      </w:r>
      <w:r w:rsidRPr="00821903">
        <w:t>ied</w:t>
      </w:r>
      <w:r w:rsidR="00B71C38" w:rsidRPr="00821903">
        <w:t xml:space="preserve"> where a contract for the construction “of a new swimming pool include[s]</w:t>
      </w:r>
      <w:r w:rsidR="00E409FF" w:rsidRPr="00821903">
        <w:t xml:space="preserve"> </w:t>
      </w:r>
      <w:r w:rsidR="00B71C38" w:rsidRPr="00821903">
        <w:t xml:space="preserve">modifications to buildings or structures,” but </w:t>
      </w:r>
      <w:r w:rsidRPr="00821903">
        <w:t xml:space="preserve">did not otherwise </w:t>
      </w:r>
      <w:r w:rsidR="00B71C38" w:rsidRPr="00821903">
        <w:t>apply</w:t>
      </w:r>
      <w:r w:rsidRPr="00821903">
        <w:t xml:space="preserve"> and in such case </w:t>
      </w:r>
      <w:r w:rsidR="000D1DDF" w:rsidRPr="00821903">
        <w:t xml:space="preserve">the contract </w:t>
      </w:r>
      <w:r w:rsidRPr="00821903">
        <w:t xml:space="preserve">would be </w:t>
      </w:r>
      <w:r w:rsidR="00B71C38" w:rsidRPr="00821903">
        <w:t>subject to only the Civil Code</w:t>
      </w:r>
      <w:r w:rsidRPr="00821903">
        <w:t xml:space="preserve"> </w:t>
      </w:r>
      <w:r w:rsidR="00B71C38" w:rsidRPr="00821903">
        <w:t>contracting requirement</w:t>
      </w:r>
      <w:r w:rsidRPr="00821903">
        <w:t>s.</w:t>
      </w:r>
      <w:r w:rsidR="00B71C38" w:rsidRPr="00821903">
        <w:t xml:space="preserve">  (</w:t>
      </w:r>
      <w:r w:rsidRPr="00821903">
        <w:t xml:space="preserve">59 Ops.Cal.Atty.Gen., </w:t>
      </w:r>
      <w:r w:rsidRPr="00821903">
        <w:rPr>
          <w:i/>
          <w:iCs/>
        </w:rPr>
        <w:t xml:space="preserve">supra, </w:t>
      </w:r>
      <w:r w:rsidRPr="00821903">
        <w:t>at p.</w:t>
      </w:r>
      <w:r w:rsidR="00FA76A6" w:rsidRPr="00821903">
        <w:t> </w:t>
      </w:r>
      <w:r w:rsidRPr="00821903">
        <w:t>552.)  The Attorney General additionally concluded that in those situations where both the home improvement contract provisions of the Business and Professions Code and the swimming pool contract requirement provisions of the Civil Code applied, the latter controlled, as they were “special provisions dealing expressly with construction of new swimming pools” and took “precedence over a conflicting general statute [such as the home improvement contract provisions of the Business and Professions Code] covering the same subject matter.”  (</w:t>
      </w:r>
      <w:r w:rsidRPr="00821903">
        <w:rPr>
          <w:i/>
          <w:iCs/>
        </w:rPr>
        <w:t>Id.</w:t>
      </w:r>
      <w:r w:rsidRPr="00821903">
        <w:t xml:space="preserve"> at p. 554.)</w:t>
      </w:r>
    </w:p>
    <w:p w14:paraId="7B5550B8" w14:textId="3D1C6CCA" w:rsidR="00006C7B" w:rsidRPr="00821903" w:rsidRDefault="00A3579F" w:rsidP="00FF1A9F">
      <w:pPr>
        <w:spacing w:line="360" w:lineRule="auto"/>
      </w:pPr>
      <w:r w:rsidRPr="00821903">
        <w:tab/>
        <w:t>In 1979, the Legislature moved the swimming pool construction contract requirements set forth in the Civil Code</w:t>
      </w:r>
      <w:r w:rsidR="00CC1F2D" w:rsidRPr="00821903">
        <w:t xml:space="preserve">, essentially unchanged, to </w:t>
      </w:r>
      <w:r w:rsidRPr="00821903">
        <w:t>the Business and Professions Code</w:t>
      </w:r>
      <w:r w:rsidR="006C5838" w:rsidRPr="00821903">
        <w:t xml:space="preserve"> as a new article</w:t>
      </w:r>
      <w:r w:rsidR="00C6277C" w:rsidRPr="00821903">
        <w:t>—</w:t>
      </w:r>
      <w:r w:rsidR="00FA76A6" w:rsidRPr="00821903">
        <w:t>a</w:t>
      </w:r>
      <w:r w:rsidR="006C5838" w:rsidRPr="00821903">
        <w:t xml:space="preserve">rticle 11, of </w:t>
      </w:r>
      <w:r w:rsidR="00FA76A6" w:rsidRPr="00821903">
        <w:t>c</w:t>
      </w:r>
      <w:r w:rsidR="006C5838" w:rsidRPr="00821903">
        <w:t xml:space="preserve">hapter 9 of </w:t>
      </w:r>
      <w:r w:rsidR="003C42E0">
        <w:t>d</w:t>
      </w:r>
      <w:r w:rsidR="006C5838" w:rsidRPr="00821903">
        <w:t>ivision 3.</w:t>
      </w:r>
      <w:r>
        <w:rPr>
          <w:rStyle w:val="FootnoteReference"/>
        </w:rPr>
        <w:footnoteReference w:id="3"/>
      </w:r>
      <w:r w:rsidR="006C5838" w:rsidRPr="00821903">
        <w:t xml:space="preserve">  (Former §</w:t>
      </w:r>
      <w:r w:rsidR="00FA76A6" w:rsidRPr="00821903">
        <w:t xml:space="preserve"> </w:t>
      </w:r>
      <w:r w:rsidR="006C5838" w:rsidRPr="00821903">
        <w:t>7165 et seq</w:t>
      </w:r>
      <w:r w:rsidR="00C6277C" w:rsidRPr="00821903">
        <w:t>.</w:t>
      </w:r>
      <w:r w:rsidR="00FA76A6" w:rsidRPr="00821903">
        <w:t>;</w:t>
      </w:r>
      <w:r w:rsidR="006C5838" w:rsidRPr="00821903">
        <w:t xml:space="preserve"> Stats. 1979, ch. 747, </w:t>
      </w:r>
      <w:r w:rsidR="00FA76A6" w:rsidRPr="00821903">
        <w:t>§ </w:t>
      </w:r>
      <w:r w:rsidR="006C5838" w:rsidRPr="00821903">
        <w:t>2</w:t>
      </w:r>
      <w:r w:rsidR="00CC1F2D" w:rsidRPr="00821903">
        <w:t xml:space="preserve">; see </w:t>
      </w:r>
      <w:r w:rsidR="00CC1F2D" w:rsidRPr="00821903">
        <w:rPr>
          <w:i/>
          <w:iCs/>
        </w:rPr>
        <w:t xml:space="preserve">King, supra, </w:t>
      </w:r>
      <w:r w:rsidR="00CC1F2D" w:rsidRPr="00821903">
        <w:t>122 Cal.App.3d at p. 436</w:t>
      </w:r>
      <w:r w:rsidR="00FA76A6" w:rsidRPr="00821903">
        <w:t>, f</w:t>
      </w:r>
      <w:r w:rsidR="00CC1F2D" w:rsidRPr="00821903">
        <w:t>n.</w:t>
      </w:r>
      <w:r w:rsidR="00FA76A6" w:rsidRPr="00821903">
        <w:t xml:space="preserve"> </w:t>
      </w:r>
      <w:r w:rsidR="00CC1F2D" w:rsidRPr="00821903">
        <w:t>8 [</w:t>
      </w:r>
      <w:r w:rsidR="00C6277C" w:rsidRPr="00821903">
        <w:t xml:space="preserve">the </w:t>
      </w:r>
      <w:r w:rsidR="00CC1F2D" w:rsidRPr="00821903">
        <w:t xml:space="preserve">Civil Code provisions </w:t>
      </w:r>
      <w:r w:rsidR="00C6277C" w:rsidRPr="00821903">
        <w:t xml:space="preserve">governing the construction of swimming pools </w:t>
      </w:r>
      <w:r w:rsidRPr="00821903">
        <w:t xml:space="preserve">were </w:t>
      </w:r>
      <w:r w:rsidR="00CC1F2D" w:rsidRPr="00821903">
        <w:t xml:space="preserve">repealed in 1979 “and incorporated </w:t>
      </w:r>
      <w:r w:rsidR="00CC1F2D" w:rsidRPr="00821903">
        <w:lastRenderedPageBreak/>
        <w:t xml:space="preserve">with minor revisions into the Business and Professions </w:t>
      </w:r>
      <w:r w:rsidRPr="00821903">
        <w:t>C</w:t>
      </w:r>
      <w:r w:rsidR="00CC1F2D" w:rsidRPr="00821903">
        <w:t>ode”</w:t>
      </w:r>
      <w:r w:rsidR="000D12DA" w:rsidRPr="00821903">
        <w:t>]</w:t>
      </w:r>
      <w:r w:rsidR="006C5838" w:rsidRPr="00821903">
        <w:t>.)</w:t>
      </w:r>
      <w:r w:rsidRPr="00821903">
        <w:t xml:space="preserve">  The attorney fees provision</w:t>
      </w:r>
      <w:r w:rsidR="000D12DA" w:rsidRPr="00821903">
        <w:t xml:space="preserve"> </w:t>
      </w:r>
      <w:r w:rsidR="00E409FF" w:rsidRPr="00821903">
        <w:t xml:space="preserve">originally </w:t>
      </w:r>
      <w:r w:rsidR="000D12DA" w:rsidRPr="00821903">
        <w:t xml:space="preserve">set forth in the Civil Code statutory scheme </w:t>
      </w:r>
      <w:r w:rsidRPr="00821903">
        <w:t xml:space="preserve">remained </w:t>
      </w:r>
      <w:r w:rsidR="00E409FF" w:rsidRPr="00821903">
        <w:t>the same</w:t>
      </w:r>
      <w:r w:rsidR="000D12DA" w:rsidRPr="00821903">
        <w:t xml:space="preserve"> and</w:t>
      </w:r>
      <w:r w:rsidRPr="00821903">
        <w:t xml:space="preserve"> was recodified as </w:t>
      </w:r>
      <w:r w:rsidR="00E409FF" w:rsidRPr="00821903">
        <w:t xml:space="preserve">former </w:t>
      </w:r>
      <w:r w:rsidRPr="00821903">
        <w:t>section 716</w:t>
      </w:r>
      <w:r w:rsidR="008B2975">
        <w:t>9</w:t>
      </w:r>
      <w:r w:rsidRPr="00821903">
        <w:t xml:space="preserve">. </w:t>
      </w:r>
      <w:r w:rsidR="00FA76A6" w:rsidRPr="00821903">
        <w:t xml:space="preserve"> </w:t>
      </w:r>
      <w:r w:rsidRPr="00821903">
        <w:t>(Former § 7169</w:t>
      </w:r>
      <w:r w:rsidR="00FA76A6" w:rsidRPr="00821903">
        <w:t xml:space="preserve">; </w:t>
      </w:r>
      <w:r w:rsidRPr="00821903">
        <w:t>Stats. 19</w:t>
      </w:r>
      <w:r w:rsidR="00727CDB" w:rsidRPr="00821903">
        <w:t>7</w:t>
      </w:r>
      <w:r w:rsidRPr="00821903">
        <w:t xml:space="preserve">9, ch, 747, </w:t>
      </w:r>
      <w:r w:rsidR="00FA76A6" w:rsidRPr="00821903">
        <w:t>§ </w:t>
      </w:r>
      <w:r w:rsidRPr="00821903">
        <w:t xml:space="preserve">2.)  </w:t>
      </w:r>
    </w:p>
    <w:p w14:paraId="08F5852B" w14:textId="500B45E2" w:rsidR="005774A5" w:rsidRPr="00821903" w:rsidRDefault="00A3579F" w:rsidP="00FF1A9F">
      <w:pPr>
        <w:spacing w:line="360" w:lineRule="auto"/>
      </w:pPr>
      <w:r w:rsidRPr="00821903">
        <w:tab/>
        <w:t xml:space="preserve">The following year, </w:t>
      </w:r>
      <w:r w:rsidR="000D12DA" w:rsidRPr="00821903">
        <w:t xml:space="preserve">in 1980, </w:t>
      </w:r>
      <w:r w:rsidR="00681BE5" w:rsidRPr="00821903">
        <w:t xml:space="preserve">the Legislature </w:t>
      </w:r>
      <w:r w:rsidRPr="00821903">
        <w:t xml:space="preserve">“clarified the incongruity formerly existing between provisions regulating swimming pool </w:t>
      </w:r>
      <w:r w:rsidR="00912E38" w:rsidRPr="00821903">
        <w:t xml:space="preserve">construction </w:t>
      </w:r>
      <w:r w:rsidRPr="00821903">
        <w:t>contracts and home improvement contracts</w:t>
      </w:r>
      <w:r w:rsidR="000D12DA" w:rsidRPr="00821903">
        <w:t>.</w:t>
      </w:r>
      <w:r w:rsidRPr="00821903">
        <w:t>”</w:t>
      </w:r>
      <w:r w:rsidR="000D1DDF" w:rsidRPr="00821903">
        <w:t xml:space="preserve">  (</w:t>
      </w:r>
      <w:r w:rsidR="000D1DDF" w:rsidRPr="00821903">
        <w:rPr>
          <w:i/>
          <w:iCs/>
        </w:rPr>
        <w:t xml:space="preserve">King, supra, </w:t>
      </w:r>
      <w:r w:rsidR="000D1DDF" w:rsidRPr="00821903">
        <w:t xml:space="preserve">122 Cal.App.3d at p. 436, </w:t>
      </w:r>
      <w:r w:rsidR="00FA76A6" w:rsidRPr="00821903">
        <w:t>f</w:t>
      </w:r>
      <w:r w:rsidR="000D1DDF" w:rsidRPr="00821903">
        <w:t>n. 8.)</w:t>
      </w:r>
      <w:r w:rsidR="000D12DA" w:rsidRPr="00821903">
        <w:t xml:space="preserve">  This included </w:t>
      </w:r>
      <w:r w:rsidR="00681BE5" w:rsidRPr="00821903">
        <w:t xml:space="preserve">repealing the </w:t>
      </w:r>
      <w:r w:rsidR="00FA76A6" w:rsidRPr="00821903">
        <w:t>a</w:t>
      </w:r>
      <w:r w:rsidR="00681BE5" w:rsidRPr="00821903">
        <w:t xml:space="preserve">rticle 11 heading, so that the provisions governing home improvement contracts and </w:t>
      </w:r>
      <w:r w:rsidR="000D12DA" w:rsidRPr="00821903">
        <w:t xml:space="preserve">those specifically governing </w:t>
      </w:r>
      <w:r w:rsidR="00681BE5" w:rsidRPr="00821903">
        <w:t>swimming pool</w:t>
      </w:r>
      <w:r w:rsidR="000D12DA" w:rsidRPr="00821903">
        <w:t>s</w:t>
      </w:r>
      <w:r w:rsidR="00681BE5" w:rsidRPr="00821903">
        <w:t xml:space="preserve"> contracts were included in </w:t>
      </w:r>
      <w:r w:rsidR="00912E38" w:rsidRPr="00821903">
        <w:t>a</w:t>
      </w:r>
      <w:r w:rsidR="00681BE5" w:rsidRPr="00821903">
        <w:t>rticle 10.</w:t>
      </w:r>
      <w:r w:rsidRPr="00821903">
        <w:t xml:space="preserve">  </w:t>
      </w:r>
      <w:r w:rsidR="000D1DDF" w:rsidRPr="00821903">
        <w:t>(</w:t>
      </w:r>
      <w:r w:rsidRPr="00821903">
        <w:t xml:space="preserve">Stats. 1980, ch. 138, §§ </w:t>
      </w:r>
      <w:r w:rsidR="00681BE5" w:rsidRPr="00821903">
        <w:t>6</w:t>
      </w:r>
      <w:r w:rsidR="00FA76A6" w:rsidRPr="00821903">
        <w:t>–</w:t>
      </w:r>
      <w:r w:rsidR="00681BE5" w:rsidRPr="00821903">
        <w:t>10.</w:t>
      </w:r>
      <w:r w:rsidRPr="00821903">
        <w:t>)</w:t>
      </w:r>
      <w:r w:rsidR="00681BE5" w:rsidRPr="00821903">
        <w:t xml:space="preserve">  </w:t>
      </w:r>
      <w:r w:rsidRPr="00821903">
        <w:t xml:space="preserve">The attorney fee provision </w:t>
      </w:r>
      <w:r w:rsidR="000D12DA" w:rsidRPr="00821903">
        <w:t xml:space="preserve">that was part of the statutory scheme specifically governing the construction of swimming pools, again, </w:t>
      </w:r>
      <w:r w:rsidRPr="00821903">
        <w:t>remained unchanged.  (See Stats. 1980, ch. 138, §§ 6</w:t>
      </w:r>
      <w:r w:rsidR="00FA76A6" w:rsidRPr="00821903">
        <w:t>–</w:t>
      </w:r>
      <w:r w:rsidRPr="00821903">
        <w:t>10</w:t>
      </w:r>
      <w:r w:rsidR="00821903" w:rsidRPr="00821903">
        <w:t xml:space="preserve"> [no changes to § 7169].)</w:t>
      </w:r>
      <w:r w:rsidR="00821903" w:rsidRPr="00821903">
        <w:rPr>
          <w:b/>
          <w:bCs/>
        </w:rPr>
        <w:t xml:space="preserve"> </w:t>
      </w:r>
      <w:r w:rsidR="000D12DA" w:rsidRPr="00821903">
        <w:t xml:space="preserve"> In 1991, the fee provision was re</w:t>
      </w:r>
      <w:r w:rsidR="009B2210" w:rsidRPr="00821903">
        <w:t xml:space="preserve">numbered </w:t>
      </w:r>
      <w:r w:rsidR="000D12DA" w:rsidRPr="00821903">
        <w:t>as section 7168</w:t>
      </w:r>
      <w:r w:rsidR="009B2210" w:rsidRPr="00821903">
        <w:t>.  (Stats. 1991, ch. 1160, § 53.)  Its language r</w:t>
      </w:r>
      <w:r w:rsidR="000D12DA" w:rsidRPr="00821903">
        <w:t>emained</w:t>
      </w:r>
      <w:r w:rsidR="009B2210" w:rsidRPr="00821903">
        <w:t>, and has since remained,</w:t>
      </w:r>
      <w:r w:rsidR="000D12DA" w:rsidRPr="00821903">
        <w:t xml:space="preserve"> unchanged.  (</w:t>
      </w:r>
      <w:r w:rsidR="009B2210" w:rsidRPr="00821903">
        <w:rPr>
          <w:i/>
          <w:iCs/>
        </w:rPr>
        <w:t>Ibid.</w:t>
      </w:r>
      <w:r w:rsidR="009B2210" w:rsidRPr="00821903">
        <w:t>)</w:t>
      </w:r>
      <w:r w:rsidR="000D12DA" w:rsidRPr="00821903">
        <w:t xml:space="preserve"> </w:t>
      </w:r>
      <w:r w:rsidRPr="00821903">
        <w:t xml:space="preserve">  </w:t>
      </w:r>
    </w:p>
    <w:p w14:paraId="39078CD2" w14:textId="40D6D3C0" w:rsidR="00F02672" w:rsidRPr="00821903" w:rsidRDefault="00A3579F" w:rsidP="00FF1A9F">
      <w:pPr>
        <w:spacing w:line="360" w:lineRule="auto"/>
      </w:pPr>
      <w:r w:rsidRPr="00821903">
        <w:tab/>
        <w:t xml:space="preserve">What is apparent from this history is that the Legislature enacted the statutory fee provision at issue specifically to </w:t>
      </w:r>
      <w:r w:rsidR="00560D43" w:rsidRPr="00821903">
        <w:t xml:space="preserve">provide recompense to </w:t>
      </w:r>
      <w:r w:rsidR="009B2210" w:rsidRPr="00821903">
        <w:t xml:space="preserve">the party </w:t>
      </w:r>
      <w:r w:rsidR="00560D43" w:rsidRPr="00821903">
        <w:t xml:space="preserve">prevailing in </w:t>
      </w:r>
      <w:r w:rsidR="009B2210" w:rsidRPr="00821903">
        <w:t xml:space="preserve">a </w:t>
      </w:r>
      <w:r w:rsidR="00560D43" w:rsidRPr="00821903">
        <w:t xml:space="preserve">dispute over the construction of </w:t>
      </w:r>
      <w:r w:rsidR="009B2210" w:rsidRPr="00821903">
        <w:t xml:space="preserve">a </w:t>
      </w:r>
      <w:r w:rsidR="00560D43" w:rsidRPr="00821903">
        <w:t>swimming pool.  The provision had its genesis in a statutory scheme dealing exclusively with “contracts for swimming pool construction.”  (Former Civ. Code</w:t>
      </w:r>
      <w:r w:rsidR="00FA76A6" w:rsidRPr="00821903">
        <w:t>,</w:t>
      </w:r>
      <w:r w:rsidR="00560D43" w:rsidRPr="00821903">
        <w:t xml:space="preserve"> § 1725 et seq.</w:t>
      </w:r>
      <w:r w:rsidR="0072223E" w:rsidRPr="00821903">
        <w:t>, capitalization omitted</w:t>
      </w:r>
      <w:r w:rsidR="00FA76A6" w:rsidRPr="00821903">
        <w:t>;</w:t>
      </w:r>
      <w:r w:rsidR="00560D43" w:rsidRPr="00821903">
        <w:t xml:space="preserve"> Stats. 1969, ch. 583,</w:t>
      </w:r>
      <w:r w:rsidR="00FA76A6" w:rsidRPr="00821903">
        <w:t xml:space="preserve"> § </w:t>
      </w:r>
      <w:r w:rsidR="00560D43" w:rsidRPr="00821903">
        <w:t>1.)  These provisions were</w:t>
      </w:r>
      <w:r w:rsidR="00E409FF" w:rsidRPr="00821903">
        <w:t xml:space="preserve"> </w:t>
      </w:r>
      <w:r w:rsidR="009B2210" w:rsidRPr="00821903">
        <w:t>later</w:t>
      </w:r>
      <w:r w:rsidR="00560D43" w:rsidRPr="00821903">
        <w:t xml:space="preserve"> moved wholesale into the Business and Professions Code </w:t>
      </w:r>
      <w:r w:rsidR="0038469A" w:rsidRPr="00821903">
        <w:t xml:space="preserve">as </w:t>
      </w:r>
      <w:r w:rsidR="00FA76A6" w:rsidRPr="00821903">
        <w:t>a</w:t>
      </w:r>
      <w:r w:rsidR="0038469A" w:rsidRPr="00821903">
        <w:t>rticle 11</w:t>
      </w:r>
      <w:r w:rsidRPr="00821903">
        <w:t xml:space="preserve"> of </w:t>
      </w:r>
      <w:r w:rsidR="00FA76A6" w:rsidRPr="00821903">
        <w:t>c</w:t>
      </w:r>
      <w:r w:rsidRPr="00821903">
        <w:t xml:space="preserve">hapter 9 of </w:t>
      </w:r>
      <w:r w:rsidR="00FA76A6" w:rsidRPr="00821903">
        <w:t>d</w:t>
      </w:r>
      <w:r w:rsidRPr="00821903">
        <w:t xml:space="preserve">ivision 3.  </w:t>
      </w:r>
      <w:r w:rsidR="0038469A" w:rsidRPr="00821903">
        <w:t>(Former § 7165 et seq.</w:t>
      </w:r>
      <w:r w:rsidR="00FA76A6" w:rsidRPr="00821903">
        <w:t>;</w:t>
      </w:r>
      <w:r w:rsidR="0038469A" w:rsidRPr="00821903">
        <w:t xml:space="preserve"> Stats. 1979, ch. 747, </w:t>
      </w:r>
      <w:r w:rsidR="00FA76A6" w:rsidRPr="00821903">
        <w:t>§ </w:t>
      </w:r>
      <w:r w:rsidR="0038469A" w:rsidRPr="00821903">
        <w:t>2.)  A year later, the</w:t>
      </w:r>
      <w:r w:rsidRPr="00821903">
        <w:t xml:space="preserve"> </w:t>
      </w:r>
      <w:r w:rsidR="00FA76A6" w:rsidRPr="00821903">
        <w:t>a</w:t>
      </w:r>
      <w:r w:rsidRPr="00821903">
        <w:t xml:space="preserve">rticle 11 designation was repealed, bringing these </w:t>
      </w:r>
      <w:r w:rsidR="0038469A" w:rsidRPr="00821903">
        <w:t>provisions</w:t>
      </w:r>
      <w:r w:rsidRPr="00821903">
        <w:t>,</w:t>
      </w:r>
      <w:r w:rsidR="0038469A" w:rsidRPr="00821903">
        <w:t xml:space="preserve"> </w:t>
      </w:r>
      <w:r w:rsidR="00E409FF" w:rsidRPr="00821903">
        <w:t xml:space="preserve">again </w:t>
      </w:r>
      <w:r w:rsidRPr="00821903">
        <w:t xml:space="preserve">with virtually no substantive change, </w:t>
      </w:r>
      <w:r w:rsidR="0038469A" w:rsidRPr="00821903">
        <w:t>w</w:t>
      </w:r>
      <w:r w:rsidRPr="00821903">
        <w:t xml:space="preserve">ithin </w:t>
      </w:r>
      <w:r w:rsidR="00FA76A6" w:rsidRPr="00821903">
        <w:t>a</w:t>
      </w:r>
      <w:r w:rsidRPr="00821903">
        <w:t>rticle 10</w:t>
      </w:r>
      <w:r w:rsidR="009B2210" w:rsidRPr="00821903">
        <w:t>.</w:t>
      </w:r>
      <w:r w:rsidRPr="00821903">
        <w:t xml:space="preserve"> </w:t>
      </w:r>
      <w:r w:rsidR="00821903" w:rsidRPr="00821903">
        <w:t xml:space="preserve"> </w:t>
      </w:r>
      <w:r w:rsidRPr="00821903">
        <w:t xml:space="preserve">That the fee provision has remained </w:t>
      </w:r>
      <w:r w:rsidR="009B2210" w:rsidRPr="00821903">
        <w:t>ensconced with</w:t>
      </w:r>
      <w:r w:rsidR="000D1DDF" w:rsidRPr="00821903">
        <w:t>in</w:t>
      </w:r>
      <w:r w:rsidR="009B2210" w:rsidRPr="00821903">
        <w:t xml:space="preserve"> the statutory provisions specifically governing the construction of swimming pools</w:t>
      </w:r>
      <w:r w:rsidR="00E409FF" w:rsidRPr="00821903">
        <w:t>,</w:t>
      </w:r>
      <w:r w:rsidR="009B2210" w:rsidRPr="00821903">
        <w:t xml:space="preserve"> and </w:t>
      </w:r>
      <w:r w:rsidR="004C250C" w:rsidRPr="00821903">
        <w:t xml:space="preserve">that its language </w:t>
      </w:r>
      <w:r w:rsidR="009B2210" w:rsidRPr="00821903">
        <w:t xml:space="preserve">has remained </w:t>
      </w:r>
      <w:r w:rsidR="004C250C" w:rsidRPr="00821903">
        <w:t xml:space="preserve">virtually </w:t>
      </w:r>
      <w:r w:rsidR="009B2210" w:rsidRPr="00821903">
        <w:t xml:space="preserve">unchanged </w:t>
      </w:r>
      <w:r w:rsidR="004C250C" w:rsidRPr="00821903">
        <w:t xml:space="preserve">since </w:t>
      </w:r>
      <w:r w:rsidR="009B2210" w:rsidRPr="00821903">
        <w:t>i</w:t>
      </w:r>
      <w:r w:rsidR="004C250C" w:rsidRPr="00821903">
        <w:t>ts original enactment and codification i</w:t>
      </w:r>
      <w:r w:rsidR="009B2210" w:rsidRPr="00821903">
        <w:t>n</w:t>
      </w:r>
      <w:r w:rsidR="004C250C" w:rsidRPr="00821903">
        <w:t xml:space="preserve"> the Civil Code,</w:t>
      </w:r>
      <w:r w:rsidR="009B2210" w:rsidRPr="00821903">
        <w:t xml:space="preserve"> </w:t>
      </w:r>
      <w:r w:rsidRPr="00821903">
        <w:t xml:space="preserve">reflects an unchanged and singular legislative intent—to reward the prevailing party in a dispute over the construction of a </w:t>
      </w:r>
      <w:r w:rsidRPr="00821903">
        <w:rPr>
          <w:i/>
          <w:iCs/>
        </w:rPr>
        <w:t>swimming pool</w:t>
      </w:r>
      <w:r w:rsidRPr="00821903">
        <w:t xml:space="preserve">.  </w:t>
      </w:r>
    </w:p>
    <w:p w14:paraId="41F14837" w14:textId="22C8F7D5" w:rsidR="00855955" w:rsidRPr="00821903" w:rsidRDefault="00A3579F" w:rsidP="008B7CB4">
      <w:pPr>
        <w:spacing w:line="360" w:lineRule="auto"/>
      </w:pPr>
      <w:r w:rsidRPr="00821903">
        <w:tab/>
      </w:r>
      <w:r w:rsidR="004C250C" w:rsidRPr="00821903">
        <w:t>I</w:t>
      </w:r>
      <w:r w:rsidR="008B7CB4" w:rsidRPr="00821903">
        <w:t xml:space="preserve">t is </w:t>
      </w:r>
      <w:r w:rsidR="004C250C" w:rsidRPr="00821903">
        <w:t xml:space="preserve">also </w:t>
      </w:r>
      <w:r w:rsidR="008B7CB4" w:rsidRPr="00821903">
        <w:t xml:space="preserve">significant that </w:t>
      </w:r>
      <w:r w:rsidR="004C250C" w:rsidRPr="00821903">
        <w:t xml:space="preserve">when </w:t>
      </w:r>
      <w:r w:rsidR="008B7CB4" w:rsidRPr="00821903">
        <w:t xml:space="preserve">the Legislature </w:t>
      </w:r>
      <w:r w:rsidR="004C250C" w:rsidRPr="00821903">
        <w:t xml:space="preserve">repealed the </w:t>
      </w:r>
      <w:r w:rsidR="00FA76A6" w:rsidRPr="00821903">
        <w:t>a</w:t>
      </w:r>
      <w:r w:rsidR="004C250C" w:rsidRPr="00821903">
        <w:t>rticle 11 heading in 1980</w:t>
      </w:r>
      <w:r w:rsidR="00E409FF" w:rsidRPr="00821903">
        <w:t>,</w:t>
      </w:r>
      <w:r w:rsidR="00943F06" w:rsidRPr="00821903">
        <w:t xml:space="preserve"> thereby</w:t>
      </w:r>
      <w:r w:rsidR="004C250C" w:rsidRPr="00821903">
        <w:t xml:space="preserve"> bringing the statutory scheme governing swimming pool construction contracts within </w:t>
      </w:r>
      <w:r w:rsidR="00FA76A6" w:rsidRPr="00821903">
        <w:t>a</w:t>
      </w:r>
      <w:r w:rsidR="008B7CB4" w:rsidRPr="00821903">
        <w:t>rticle 10</w:t>
      </w:r>
      <w:r w:rsidR="004C250C" w:rsidRPr="00821903">
        <w:t xml:space="preserve">, it did so </w:t>
      </w:r>
      <w:r w:rsidR="008B7CB4" w:rsidRPr="00821903">
        <w:t xml:space="preserve">without </w:t>
      </w:r>
      <w:r w:rsidR="004C250C" w:rsidRPr="00821903">
        <w:t>change to the attorney fee</w:t>
      </w:r>
      <w:r w:rsidR="00120DCD" w:rsidRPr="00821903">
        <w:t>s</w:t>
      </w:r>
      <w:r w:rsidR="004C250C" w:rsidRPr="00821903">
        <w:t xml:space="preserve"> provision that had been part of th</w:t>
      </w:r>
      <w:r w:rsidR="00CF4734" w:rsidRPr="00821903">
        <w:t xml:space="preserve">is specific </w:t>
      </w:r>
      <w:r w:rsidR="004C250C" w:rsidRPr="00821903">
        <w:t>statutory scheme since its enactment in 1969.</w:t>
      </w:r>
      <w:r w:rsidR="00CF4734" w:rsidRPr="00821903">
        <w:t xml:space="preserve">  The Legislature could have, at that time, expanded the fee statute to provide for fees to the prevailing party in disputes over other home improvement</w:t>
      </w:r>
      <w:r w:rsidR="00943F06" w:rsidRPr="00821903">
        <w:t>s</w:t>
      </w:r>
      <w:r w:rsidR="00CF4734" w:rsidRPr="00821903">
        <w:t xml:space="preserve">, including, for example, </w:t>
      </w:r>
      <w:r w:rsidR="008B7CB4" w:rsidRPr="00821903">
        <w:t xml:space="preserve">driveways, patios, landscaping, fences, porches, </w:t>
      </w:r>
      <w:r w:rsidR="00CF4734" w:rsidRPr="00821903">
        <w:t xml:space="preserve">and </w:t>
      </w:r>
      <w:r w:rsidR="008B7CB4" w:rsidRPr="00821903">
        <w:t>garages</w:t>
      </w:r>
      <w:r w:rsidR="00CF4734" w:rsidRPr="00821903">
        <w:t xml:space="preserve">.  (See </w:t>
      </w:r>
      <w:r w:rsidR="008B7CB4" w:rsidRPr="00821903">
        <w:t>§ 7151, subd. (a)</w:t>
      </w:r>
      <w:r w:rsidR="00CF4734" w:rsidRPr="00821903">
        <w:t>.)</w:t>
      </w:r>
      <w:r w:rsidR="003C290E" w:rsidRPr="00821903">
        <w:t xml:space="preserve"> </w:t>
      </w:r>
      <w:r w:rsidR="00FA76A6" w:rsidRPr="00821903">
        <w:t xml:space="preserve"> </w:t>
      </w:r>
      <w:r w:rsidR="003C290E" w:rsidRPr="00821903">
        <w:t xml:space="preserve">But it did not.  Rather, the </w:t>
      </w:r>
      <w:r w:rsidRPr="00821903">
        <w:t>Legislature has provided for fees in</w:t>
      </w:r>
      <w:r w:rsidR="00CF4734" w:rsidRPr="00821903">
        <w:t xml:space="preserve"> connection with </w:t>
      </w:r>
      <w:r w:rsidR="00DA1465" w:rsidRPr="00821903">
        <w:t xml:space="preserve">claims based on statutory provisions set forth in </w:t>
      </w:r>
      <w:r w:rsidR="00B46A48" w:rsidRPr="00821903">
        <w:t>a</w:t>
      </w:r>
      <w:r w:rsidR="00DA1465" w:rsidRPr="00821903">
        <w:t xml:space="preserve">rticle 10 in </w:t>
      </w:r>
      <w:r w:rsidRPr="00821903">
        <w:t xml:space="preserve">three </w:t>
      </w:r>
      <w:r w:rsidR="00943F06" w:rsidRPr="00821903">
        <w:t xml:space="preserve">specific </w:t>
      </w:r>
      <w:r w:rsidRPr="00821903">
        <w:t>contexts—</w:t>
      </w:r>
      <w:r w:rsidR="00DA1465" w:rsidRPr="00821903">
        <w:t xml:space="preserve">violations of prohibitions and limitations on the financing of home improvements (§ 7159.2, subd. (f)), home improvement contracts procured by fraud (§ 7160), and </w:t>
      </w:r>
      <w:r w:rsidRPr="00821903">
        <w:t>disputes over the construction of swimming pools (§ 7168).</w:t>
      </w:r>
      <w:r w:rsidR="00DA1465" w:rsidRPr="00821903">
        <w:t xml:space="preserve">  </w:t>
      </w:r>
      <w:r w:rsidRPr="00821903">
        <w:t xml:space="preserve">  </w:t>
      </w:r>
    </w:p>
    <w:p w14:paraId="1228903F" w14:textId="62664B71" w:rsidR="00943F06" w:rsidRPr="00821903" w:rsidRDefault="00A3579F" w:rsidP="00B33824">
      <w:pPr>
        <w:keepNext/>
        <w:spacing w:line="360" w:lineRule="auto"/>
        <w:rPr>
          <w:b/>
          <w:bCs/>
          <w:i/>
          <w:iCs/>
        </w:rPr>
      </w:pPr>
      <w:r w:rsidRPr="00821903">
        <w:rPr>
          <w:b/>
          <w:bCs/>
          <w:i/>
          <w:iCs/>
        </w:rPr>
        <w:t xml:space="preserve">The Trial Court’s “No Prevailing Party” Determination </w:t>
      </w:r>
    </w:p>
    <w:p w14:paraId="6641068C" w14:textId="157A2A1A" w:rsidR="00520520" w:rsidRPr="00821903" w:rsidRDefault="00A3579F" w:rsidP="00B33824">
      <w:pPr>
        <w:keepNext/>
        <w:spacing w:line="360" w:lineRule="auto"/>
      </w:pPr>
      <w:r w:rsidRPr="00821903">
        <w:tab/>
        <w:t xml:space="preserve">The trial court found that while Lee’s contract “did involve the construction of a swimming pool, it also involved a great deal of other construction,” which “included a pavilion, outdoor kitchen, pavers, patio tiles, walkways, landscaping, seating walls, a floating counter, electrical systems, a spa, and many other things.”  It concluded “[n]one of these non-swimming pool projects can reasonably be categorized as part of “a contract for swimming pool construction,” and as a result, Lee “cannot be entitled to an award of attorneys’ fees for any work related to those projects.”  </w:t>
      </w:r>
    </w:p>
    <w:p w14:paraId="28FD9AAE" w14:textId="0AADD887" w:rsidR="0032556E" w:rsidRPr="00821903" w:rsidRDefault="00A3579F" w:rsidP="00855955">
      <w:pPr>
        <w:spacing w:line="360" w:lineRule="auto"/>
      </w:pPr>
      <w:r w:rsidRPr="00821903">
        <w:tab/>
        <w:t xml:space="preserve">As we have observed, Lee has not challenged any of the </w:t>
      </w:r>
      <w:r w:rsidR="00943F06" w:rsidRPr="00821903">
        <w:t xml:space="preserve">trial </w:t>
      </w:r>
      <w:r w:rsidRPr="00821903">
        <w:t xml:space="preserve">court’s </w:t>
      </w:r>
      <w:r w:rsidR="00361CB7" w:rsidRPr="00821903">
        <w:t xml:space="preserve">factual </w:t>
      </w:r>
      <w:r w:rsidRPr="00821903">
        <w:t xml:space="preserve">findings.  Rather, she maintains </w:t>
      </w:r>
      <w:r w:rsidR="00943F06" w:rsidRPr="00821903">
        <w:t>the court erred as a matter of law by confining the applicability of section 7168 to her claims pertaining to the construction of the swimming pool and basing its “prevailing party” determination on the degree to which Lee succeeded, or failed to succeed, on those claims.  S</w:t>
      </w:r>
      <w:r w:rsidRPr="00821903">
        <w:t xml:space="preserve">he </w:t>
      </w:r>
      <w:r w:rsidR="00F5360D" w:rsidRPr="00821903">
        <w:t>asserts</w:t>
      </w:r>
      <w:r w:rsidR="00943F06" w:rsidRPr="00821903">
        <w:t xml:space="preserve">, in a nutshell, that because </w:t>
      </w:r>
      <w:r w:rsidRPr="00821903">
        <w:t>both the swimming pool construction and non</w:t>
      </w:r>
      <w:r w:rsidR="00DB08A8" w:rsidRPr="00821903">
        <w:t>-</w:t>
      </w:r>
      <w:r w:rsidRPr="00821903">
        <w:t xml:space="preserve">swimming pool construction </w:t>
      </w:r>
      <w:r w:rsidR="00E73625" w:rsidRPr="00821903">
        <w:t xml:space="preserve">projects </w:t>
      </w:r>
      <w:r w:rsidRPr="00821903">
        <w:t>were set forth in a single contract</w:t>
      </w:r>
      <w:r w:rsidR="00E73625" w:rsidRPr="00821903">
        <w:t xml:space="preserve"> with Cardiff (who held licenses for swimming pool construction, landscaping, and concrete </w:t>
      </w:r>
      <w:r w:rsidR="00582AFC" w:rsidRPr="00821903">
        <w:t>work</w:t>
      </w:r>
      <w:r w:rsidR="00DB08A8" w:rsidRPr="00821903">
        <w:t>)</w:t>
      </w:r>
      <w:r w:rsidR="00E73625" w:rsidRPr="00821903">
        <w:t>, her claims all “arose” from a swimming pool construction contract and section 7168 therefore applies to all the contracted-for work.</w:t>
      </w:r>
      <w:r w:rsidR="00361CB7" w:rsidRPr="00821903">
        <w:t xml:space="preserve">  </w:t>
      </w:r>
      <w:r w:rsidR="00E73625" w:rsidRPr="00821903">
        <w:t>The trial court rejected this assertion</w:t>
      </w:r>
      <w:r w:rsidR="00582AFC" w:rsidRPr="00821903">
        <w:t>.  So</w:t>
      </w:r>
      <w:r w:rsidR="00361CB7" w:rsidRPr="00821903">
        <w:t xml:space="preserve"> do we.</w:t>
      </w:r>
    </w:p>
    <w:p w14:paraId="624B27D5" w14:textId="34FC46D2" w:rsidR="005217D8" w:rsidRPr="00821903" w:rsidRDefault="00A3579F" w:rsidP="00636459">
      <w:pPr>
        <w:spacing w:line="360" w:lineRule="auto"/>
      </w:pPr>
      <w:r w:rsidRPr="00821903">
        <w:tab/>
        <w:t xml:space="preserve">As we have </w:t>
      </w:r>
      <w:r w:rsidR="00361CB7" w:rsidRPr="00821903">
        <w:t xml:space="preserve">chronicled, the fee provision </w:t>
      </w:r>
      <w:r w:rsidRPr="00821903">
        <w:t xml:space="preserve">at issue was enacted as part of a statutory scheme pertaining </w:t>
      </w:r>
      <w:r w:rsidR="00361CB7" w:rsidRPr="00821903">
        <w:t xml:space="preserve">specifically, and </w:t>
      </w:r>
      <w:r w:rsidRPr="00821903">
        <w:t>exclusively</w:t>
      </w:r>
      <w:r w:rsidR="00361CB7" w:rsidRPr="00821903">
        <w:t>,</w:t>
      </w:r>
      <w:r w:rsidRPr="00821903">
        <w:t xml:space="preserve"> to swimming pool </w:t>
      </w:r>
      <w:r w:rsidR="00361CB7" w:rsidRPr="00821903">
        <w:t xml:space="preserve">construction </w:t>
      </w:r>
      <w:r w:rsidRPr="00821903">
        <w:t>contracts</w:t>
      </w:r>
      <w:r w:rsidR="00361CB7" w:rsidRPr="00821903">
        <w:t xml:space="preserve">, and the Legislature’s plainly expressed purpose was to </w:t>
      </w:r>
      <w:r w:rsidRPr="00821903">
        <w:t>provid</w:t>
      </w:r>
      <w:r w:rsidR="00361CB7" w:rsidRPr="00821903">
        <w:t>e</w:t>
      </w:r>
      <w:r w:rsidRPr="00821903">
        <w:t xml:space="preserve"> additional recompense to </w:t>
      </w:r>
      <w:r w:rsidR="00361CB7" w:rsidRPr="00821903">
        <w:t xml:space="preserve">the prevailing party </w:t>
      </w:r>
      <w:r w:rsidRPr="00821903">
        <w:t xml:space="preserve">in </w:t>
      </w:r>
      <w:r w:rsidR="00361CB7" w:rsidRPr="00821903">
        <w:t xml:space="preserve">a </w:t>
      </w:r>
      <w:r w:rsidRPr="00821903">
        <w:t xml:space="preserve">dispute </w:t>
      </w:r>
      <w:r w:rsidR="00361CB7" w:rsidRPr="00821903">
        <w:t xml:space="preserve">over </w:t>
      </w:r>
      <w:r w:rsidRPr="00821903">
        <w:t>the construction of</w:t>
      </w:r>
      <w:r w:rsidR="00361CB7" w:rsidRPr="00821903">
        <w:t xml:space="preserve"> a</w:t>
      </w:r>
      <w:r w:rsidRPr="00821903">
        <w:t xml:space="preserve"> </w:t>
      </w:r>
      <w:r w:rsidRPr="00821903">
        <w:rPr>
          <w:i/>
          <w:iCs/>
        </w:rPr>
        <w:t>swimming pool.</w:t>
      </w:r>
      <w:r w:rsidRPr="00821903">
        <w:t xml:space="preserve">  The language of th</w:t>
      </w:r>
      <w:r w:rsidR="00361CB7" w:rsidRPr="00821903">
        <w:t>is statutory fee</w:t>
      </w:r>
      <w:r w:rsidRPr="00821903">
        <w:t xml:space="preserve"> provision has never been </w:t>
      </w:r>
      <w:r w:rsidR="00361CB7" w:rsidRPr="00821903">
        <w:t xml:space="preserve">altered, </w:t>
      </w:r>
      <w:r w:rsidRPr="00821903">
        <w:t xml:space="preserve">even when it was brought within the auspices of </w:t>
      </w:r>
      <w:r w:rsidR="00FA76A6" w:rsidRPr="00821903">
        <w:t>a</w:t>
      </w:r>
      <w:r w:rsidRPr="00821903">
        <w:t xml:space="preserve">rticle 10 of </w:t>
      </w:r>
      <w:r w:rsidR="00FA76A6" w:rsidRPr="00821903">
        <w:t>c</w:t>
      </w:r>
      <w:r w:rsidRPr="00821903">
        <w:t xml:space="preserve">hapter 9 of </w:t>
      </w:r>
      <w:r w:rsidR="00DB08A8" w:rsidRPr="00821903">
        <w:t>d</w:t>
      </w:r>
      <w:r w:rsidRPr="00821903">
        <w:t>ivision 3 of the Business and Professions Code.</w:t>
      </w:r>
      <w:r w:rsidR="004D0DFC" w:rsidRPr="00821903">
        <w:t xml:space="preserve">  </w:t>
      </w:r>
      <w:r w:rsidR="00F9225E" w:rsidRPr="00821903">
        <w:t>Moreover, a review of the entirety of the statutory provisions within th</w:t>
      </w:r>
      <w:r w:rsidR="001D448E" w:rsidRPr="00821903">
        <w:t>is</w:t>
      </w:r>
      <w:r w:rsidR="00F9225E" w:rsidRPr="00821903">
        <w:t xml:space="preserve"> article reveals they include two other statutory fee provisions applicable to two other specific contexts.</w:t>
      </w:r>
    </w:p>
    <w:p w14:paraId="4945BDF6" w14:textId="076CCF99" w:rsidR="004D0DFC" w:rsidRPr="00821903" w:rsidRDefault="00A3579F" w:rsidP="00636459">
      <w:pPr>
        <w:spacing w:line="360" w:lineRule="auto"/>
      </w:pPr>
      <w:r w:rsidRPr="00821903">
        <w:tab/>
      </w:r>
      <w:r w:rsidR="00F9225E" w:rsidRPr="00821903">
        <w:t>In short, the Legislature knows how to provide for statutory fees when it chooses to do so.</w:t>
      </w:r>
      <w:r w:rsidR="00636459" w:rsidRPr="00821903">
        <w:t xml:space="preserve">  And, indeed, with respect to the statutes set forth in </w:t>
      </w:r>
      <w:r w:rsidR="00FA76A6" w:rsidRPr="00821903">
        <w:t>a</w:t>
      </w:r>
      <w:r w:rsidR="00636459" w:rsidRPr="00821903">
        <w:t>rticle 10, it has done so in three specific contexts.  The Legislature could have, of course, made any of these fee statutes more expansive.  But it did not.</w:t>
      </w:r>
      <w:r w:rsidR="00F9225E" w:rsidRPr="00821903">
        <w:t xml:space="preserve">  (See</w:t>
      </w:r>
      <w:r w:rsidR="00636459" w:rsidRPr="00821903">
        <w:t xml:space="preserve"> </w:t>
      </w:r>
      <w:r w:rsidR="00636459" w:rsidRPr="00821903">
        <w:rPr>
          <w:rFonts w:eastAsia="Times New Roman" w:cs="Times New Roman"/>
          <w:i/>
          <w:iCs/>
          <w:color w:val="3D3D3D"/>
          <w:bdr w:val="none" w:sz="0" w:space="0" w:color="auto" w:frame="1"/>
        </w:rPr>
        <w:t>People v. Murphy</w:t>
      </w:r>
      <w:r w:rsidR="00636459" w:rsidRPr="00821903">
        <w:rPr>
          <w:rFonts w:eastAsia="Times New Roman" w:cs="Times New Roman"/>
          <w:color w:val="000000"/>
        </w:rPr>
        <w:t xml:space="preserve"> (2001) 25 Cal.4th 136, 159 [other statutory provisions demonstrated that when </w:t>
      </w:r>
      <w:r w:rsidR="00636459" w:rsidRPr="00821903">
        <w:rPr>
          <w:rFonts w:eastAsia="Times New Roman" w:cs="Times New Roman"/>
          <w:color w:val="000000"/>
          <w:bdr w:val="none" w:sz="0" w:space="0" w:color="auto" w:frame="1"/>
          <w:shd w:val="clear" w:color="auto" w:fill="FFFFFF"/>
        </w:rPr>
        <w:t>Legislature</w:t>
      </w:r>
      <w:r w:rsidR="00636459" w:rsidRPr="00821903">
        <w:rPr>
          <w:rFonts w:eastAsia="Times New Roman" w:cs="Times New Roman"/>
          <w:color w:val="000000"/>
        </w:rPr>
        <w:t xml:space="preserve"> “wants a sentence calculated without consideration of some circumstance, it </w:t>
      </w:r>
      <w:r w:rsidR="00636459" w:rsidRPr="00821903">
        <w:rPr>
          <w:rFonts w:eastAsia="Times New Roman" w:cs="Times New Roman"/>
          <w:color w:val="000000"/>
          <w:bdr w:val="none" w:sz="0" w:space="0" w:color="auto" w:frame="1"/>
          <w:shd w:val="clear" w:color="auto" w:fill="FFFFFF"/>
        </w:rPr>
        <w:t>knows</w:t>
      </w:r>
      <w:r w:rsidR="00636459" w:rsidRPr="00821903">
        <w:rPr>
          <w:rFonts w:eastAsia="Times New Roman" w:cs="Times New Roman"/>
          <w:color w:val="000000"/>
        </w:rPr>
        <w:t xml:space="preserve"> </w:t>
      </w:r>
      <w:r w:rsidR="00636459" w:rsidRPr="00821903">
        <w:rPr>
          <w:rFonts w:eastAsia="Times New Roman" w:cs="Times New Roman"/>
          <w:color w:val="000000"/>
          <w:bdr w:val="none" w:sz="0" w:space="0" w:color="auto" w:frame="1"/>
          <w:shd w:val="clear" w:color="auto" w:fill="FFFFFF"/>
        </w:rPr>
        <w:t>how</w:t>
      </w:r>
      <w:r w:rsidR="00636459" w:rsidRPr="00821903">
        <w:rPr>
          <w:rFonts w:eastAsia="Times New Roman" w:cs="Times New Roman"/>
          <w:color w:val="000000"/>
        </w:rPr>
        <w:t xml:space="preserve"> to use </w:t>
      </w:r>
      <w:r w:rsidR="00636459" w:rsidRPr="00821903">
        <w:rPr>
          <w:rFonts w:eastAsia="Times New Roman" w:cs="Times New Roman"/>
          <w:color w:val="000000"/>
          <w:bdr w:val="none" w:sz="0" w:space="0" w:color="auto" w:frame="1"/>
          <w:shd w:val="clear" w:color="auto" w:fill="FFFFFF"/>
        </w:rPr>
        <w:t>language</w:t>
      </w:r>
      <w:r w:rsidR="00636459" w:rsidRPr="00821903">
        <w:rPr>
          <w:rFonts w:eastAsia="Times New Roman" w:cs="Times New Roman"/>
          <w:color w:val="000000"/>
        </w:rPr>
        <w:t xml:space="preserve"> clearly expressing that intent”]; </w:t>
      </w:r>
      <w:r w:rsidR="00636459" w:rsidRPr="00821903">
        <w:rPr>
          <w:rFonts w:eastAsia="Times New Roman" w:cs="Times New Roman"/>
          <w:i/>
          <w:iCs/>
          <w:color w:val="3D3D3D"/>
          <w:bdr w:val="none" w:sz="0" w:space="0" w:color="auto" w:frame="1"/>
        </w:rPr>
        <w:t>Rittiman v. Public Utilities Com.</w:t>
      </w:r>
      <w:r w:rsidR="00636459" w:rsidRPr="00821903">
        <w:rPr>
          <w:rFonts w:eastAsia="Times New Roman" w:cs="Times New Roman"/>
          <w:color w:val="000000"/>
        </w:rPr>
        <w:t xml:space="preserve"> (2022) 79</w:t>
      </w:r>
      <w:r w:rsidR="00E528C2" w:rsidRPr="00821903">
        <w:rPr>
          <w:rFonts w:eastAsia="Times New Roman" w:cs="Times New Roman"/>
          <w:color w:val="000000"/>
        </w:rPr>
        <w:t> </w:t>
      </w:r>
      <w:r w:rsidR="00636459" w:rsidRPr="00821903">
        <w:rPr>
          <w:rFonts w:eastAsia="Times New Roman" w:cs="Times New Roman"/>
          <w:color w:val="000000"/>
        </w:rPr>
        <w:t>Cal.App.5th 1130, 10</w:t>
      </w:r>
      <w:r w:rsidR="00DD39DF" w:rsidRPr="00821903">
        <w:rPr>
          <w:rFonts w:eastAsia="Times New Roman" w:cs="Times New Roman"/>
          <w:color w:val="000000"/>
        </w:rPr>
        <w:t>56</w:t>
      </w:r>
      <w:r w:rsidR="00E528C2" w:rsidRPr="00821903">
        <w:rPr>
          <w:rFonts w:eastAsia="Times New Roman" w:cs="Times New Roman"/>
          <w:color w:val="000000"/>
        </w:rPr>
        <w:t>–</w:t>
      </w:r>
      <w:r w:rsidR="00636459" w:rsidRPr="00821903">
        <w:rPr>
          <w:rFonts w:eastAsia="Times New Roman" w:cs="Times New Roman"/>
          <w:color w:val="000000"/>
        </w:rPr>
        <w:t>10</w:t>
      </w:r>
      <w:r w:rsidR="00DD39DF" w:rsidRPr="00821903">
        <w:rPr>
          <w:rFonts w:eastAsia="Times New Roman" w:cs="Times New Roman"/>
          <w:color w:val="000000"/>
        </w:rPr>
        <w:t>57</w:t>
      </w:r>
      <w:r w:rsidR="00636459" w:rsidRPr="00821903">
        <w:rPr>
          <w:rFonts w:eastAsia="Times New Roman" w:cs="Times New Roman"/>
          <w:color w:val="000000"/>
        </w:rPr>
        <w:t xml:space="preserve"> [other statutory provisions indicated Legislature knew how to add additional exemption language if it chose to do so].)</w:t>
      </w:r>
      <w:r w:rsidRPr="00821903">
        <w:t xml:space="preserve">  Nor is it appropriate for us to undertake this legislative task.  (See</w:t>
      </w:r>
      <w:r w:rsidR="00636459" w:rsidRPr="00821903">
        <w:t xml:space="preserve"> </w:t>
      </w:r>
      <w:r w:rsidR="00DD39DF" w:rsidRPr="00821903">
        <w:rPr>
          <w:rFonts w:eastAsia="Times New Roman" w:cs="Times New Roman"/>
          <w:i/>
          <w:iCs/>
          <w:color w:val="3D3D3D"/>
          <w:bdr w:val="none" w:sz="0" w:space="0" w:color="auto" w:frame="1"/>
        </w:rPr>
        <w:t>Id.</w:t>
      </w:r>
      <w:r w:rsidR="00636459" w:rsidRPr="00821903">
        <w:rPr>
          <w:rFonts w:eastAsia="Times New Roman" w:cs="Times New Roman"/>
          <w:i/>
          <w:iCs/>
          <w:color w:val="3D3D3D"/>
          <w:bdr w:val="none" w:sz="0" w:space="0" w:color="auto" w:frame="1"/>
        </w:rPr>
        <w:t xml:space="preserve">, </w:t>
      </w:r>
      <w:r w:rsidR="00636459" w:rsidRPr="00821903">
        <w:rPr>
          <w:rFonts w:eastAsia="Times New Roman" w:cs="Times New Roman"/>
          <w:color w:val="3D3D3D"/>
          <w:bdr w:val="none" w:sz="0" w:space="0" w:color="auto" w:frame="1"/>
        </w:rPr>
        <w:t xml:space="preserve">at p. </w:t>
      </w:r>
      <w:r w:rsidR="00DD39DF" w:rsidRPr="00821903">
        <w:rPr>
          <w:rFonts w:eastAsia="Times New Roman" w:cs="Times New Roman"/>
          <w:color w:val="000000"/>
        </w:rPr>
        <w:t>1055</w:t>
      </w:r>
      <w:r w:rsidR="00636459" w:rsidRPr="00821903">
        <w:rPr>
          <w:rFonts w:eastAsia="Times New Roman" w:cs="Times New Roman"/>
          <w:color w:val="000000"/>
        </w:rPr>
        <w:t xml:space="preserve"> [the courts “ ‘ “</w:t>
      </w:r>
      <w:r w:rsidR="00DD39DF" w:rsidRPr="00821903">
        <w:rPr>
          <w:rFonts w:eastAsia="Times New Roman" w:cs="Times New Roman"/>
          <w:color w:val="000000"/>
        </w:rPr>
        <w:t xml:space="preserve"> ‘</w:t>
      </w:r>
      <w:r w:rsidR="00636459" w:rsidRPr="00821903">
        <w:rPr>
          <w:rFonts w:eastAsia="Times New Roman" w:cs="Times New Roman"/>
          <w:color w:val="000000"/>
        </w:rPr>
        <w:t xml:space="preserve">may not </w:t>
      </w:r>
      <w:r w:rsidR="00636459" w:rsidRPr="00821903">
        <w:rPr>
          <w:rFonts w:eastAsia="Times New Roman" w:cs="Times New Roman"/>
          <w:color w:val="000000"/>
          <w:bdr w:val="none" w:sz="0" w:space="0" w:color="auto" w:frame="1"/>
          <w:shd w:val="clear" w:color="auto" w:fill="FFFFFF"/>
        </w:rPr>
        <w:t>add</w:t>
      </w:r>
      <w:r w:rsidR="00636459" w:rsidRPr="00821903">
        <w:rPr>
          <w:rFonts w:eastAsia="Times New Roman" w:cs="Times New Roman"/>
          <w:color w:val="000000"/>
        </w:rPr>
        <w:t xml:space="preserve"> to or detract from a statute or insert or delete words to accomplish a purpose that does not appear on its face or from its legislative history,</w:t>
      </w:r>
      <w:r w:rsidR="00DD39DF" w:rsidRPr="00821903">
        <w:rPr>
          <w:rFonts w:eastAsia="Times New Roman" w:cs="Times New Roman"/>
          <w:color w:val="000000"/>
        </w:rPr>
        <w:t xml:space="preserve">’ </w:t>
      </w:r>
      <w:r w:rsidR="00636459" w:rsidRPr="00821903">
        <w:rPr>
          <w:rFonts w:eastAsia="Times New Roman" w:cs="Times New Roman"/>
          <w:color w:val="000000"/>
        </w:rPr>
        <w:t xml:space="preserve">” ’ ” quoting </w:t>
      </w:r>
      <w:r w:rsidR="00636459" w:rsidRPr="00821903">
        <w:rPr>
          <w:rFonts w:eastAsia="Times New Roman" w:cs="Times New Roman"/>
          <w:i/>
          <w:iCs/>
          <w:color w:val="3D3D3D"/>
          <w:bdr w:val="none" w:sz="0" w:space="0" w:color="auto" w:frame="1"/>
        </w:rPr>
        <w:t>Goals for Autism v. Rosas</w:t>
      </w:r>
      <w:r w:rsidR="00636459" w:rsidRPr="00821903">
        <w:rPr>
          <w:rFonts w:eastAsia="Times New Roman" w:cs="Times New Roman"/>
          <w:color w:val="000000"/>
        </w:rPr>
        <w:t xml:space="preserve"> (2021) 65</w:t>
      </w:r>
      <w:r w:rsidR="00DD39DF" w:rsidRPr="00821903">
        <w:rPr>
          <w:rFonts w:eastAsia="Times New Roman" w:cs="Times New Roman"/>
          <w:color w:val="000000"/>
        </w:rPr>
        <w:t> </w:t>
      </w:r>
      <w:r w:rsidR="00636459" w:rsidRPr="00821903">
        <w:rPr>
          <w:rFonts w:eastAsia="Times New Roman" w:cs="Times New Roman"/>
          <w:color w:val="000000"/>
        </w:rPr>
        <w:t>Cal.App.5th 1041, 1046</w:t>
      </w:r>
      <w:r w:rsidR="005217D8" w:rsidRPr="00821903">
        <w:rPr>
          <w:rFonts w:eastAsia="Times New Roman" w:cs="Times New Roman"/>
          <w:color w:val="000000"/>
        </w:rPr>
        <w:t>]</w:t>
      </w:r>
      <w:r w:rsidR="00636459" w:rsidRPr="00821903">
        <w:rPr>
          <w:rFonts w:eastAsia="Times New Roman" w:cs="Times New Roman"/>
          <w:color w:val="000000"/>
        </w:rPr>
        <w:t>.</w:t>
      </w:r>
      <w:r w:rsidRPr="00821903">
        <w:t>)</w:t>
      </w:r>
    </w:p>
    <w:p w14:paraId="0AEC4FED" w14:textId="3C3C6FAC" w:rsidR="00582AFC" w:rsidRPr="00821903" w:rsidRDefault="00A3579F" w:rsidP="004D55B9">
      <w:pPr>
        <w:spacing w:line="360" w:lineRule="auto"/>
      </w:pPr>
      <w:r w:rsidRPr="00821903">
        <w:tab/>
      </w:r>
      <w:r w:rsidR="004D0DFC" w:rsidRPr="00821903">
        <w:t xml:space="preserve">Lee takes the </w:t>
      </w:r>
      <w:r w:rsidR="00DA411E" w:rsidRPr="00821903">
        <w:t>t</w:t>
      </w:r>
      <w:r w:rsidR="004D0DFC" w:rsidRPr="00821903">
        <w:t xml:space="preserve">rial court to task for </w:t>
      </w:r>
      <w:r w:rsidR="00F27204" w:rsidRPr="00821903">
        <w:t xml:space="preserve">citing </w:t>
      </w:r>
      <w:r w:rsidRPr="00821903">
        <w:t xml:space="preserve">to </w:t>
      </w:r>
      <w:r w:rsidR="00D4375E" w:rsidRPr="00821903">
        <w:rPr>
          <w:i/>
          <w:iCs/>
        </w:rPr>
        <w:t xml:space="preserve">California Pools, Inc. v. Pazargad </w:t>
      </w:r>
      <w:r w:rsidR="00D4375E" w:rsidRPr="00821903">
        <w:t xml:space="preserve">(1982) 131 Cal.App.3d </w:t>
      </w:r>
      <w:r w:rsidR="004D55B9" w:rsidRPr="00821903">
        <w:t>601</w:t>
      </w:r>
      <w:r w:rsidR="00B64719" w:rsidRPr="00821903">
        <w:t xml:space="preserve"> </w:t>
      </w:r>
      <w:r w:rsidR="00B64719" w:rsidRPr="00821903">
        <w:rPr>
          <w:i/>
          <w:iCs/>
        </w:rPr>
        <w:t>(California Pools</w:t>
      </w:r>
      <w:r w:rsidR="00B64719" w:rsidRPr="00821903">
        <w:t>)</w:t>
      </w:r>
      <w:r w:rsidR="004D55B9" w:rsidRPr="00821903">
        <w:t xml:space="preserve">.  </w:t>
      </w:r>
      <w:r w:rsidRPr="00821903">
        <w:t xml:space="preserve">In that case, a homeowner </w:t>
      </w:r>
      <w:r w:rsidR="00DA411E" w:rsidRPr="00821903">
        <w:t xml:space="preserve">defended against a breach of contract claim by </w:t>
      </w:r>
      <w:r w:rsidRPr="00821903">
        <w:t>a</w:t>
      </w:r>
      <w:r w:rsidR="00DA411E" w:rsidRPr="00821903">
        <w:t xml:space="preserve"> contractor </w:t>
      </w:r>
      <w:r w:rsidR="005217D8" w:rsidRPr="00821903">
        <w:t xml:space="preserve">seeking payment for the </w:t>
      </w:r>
      <w:r w:rsidR="00DA411E" w:rsidRPr="00821903">
        <w:t>construct</w:t>
      </w:r>
      <w:r w:rsidR="005217D8" w:rsidRPr="00821903">
        <w:t xml:space="preserve">ion of </w:t>
      </w:r>
      <w:r w:rsidR="00DA411E" w:rsidRPr="00821903">
        <w:t>“an outdoor rock spa</w:t>
      </w:r>
      <w:r w:rsidR="005217D8" w:rsidRPr="00821903">
        <w:t>,</w:t>
      </w:r>
      <w:r w:rsidR="00DA411E" w:rsidRPr="00821903">
        <w:t>”</w:t>
      </w:r>
      <w:r w:rsidRPr="00821903">
        <w:t xml:space="preserve"> </w:t>
      </w:r>
      <w:r w:rsidR="00DA411E" w:rsidRPr="00821903">
        <w:t>a</w:t>
      </w:r>
      <w:r w:rsidR="004D55B9" w:rsidRPr="00821903">
        <w:t>rgu</w:t>
      </w:r>
      <w:r w:rsidR="00DA411E" w:rsidRPr="00821903">
        <w:t>ing the contractor was barred from recovery by the statutory provisions governing swimming pool construction contracts.  (</w:t>
      </w:r>
      <w:r w:rsidR="00DA411E" w:rsidRPr="00821903">
        <w:rPr>
          <w:i/>
          <w:iCs/>
        </w:rPr>
        <w:t>Id.</w:t>
      </w:r>
      <w:r w:rsidR="00DA411E" w:rsidRPr="00821903">
        <w:t xml:space="preserve"> at p</w:t>
      </w:r>
      <w:r w:rsidR="00DD39DF" w:rsidRPr="00821903">
        <w:t>p</w:t>
      </w:r>
      <w:r w:rsidR="00DA411E" w:rsidRPr="00821903">
        <w:t xml:space="preserve">. </w:t>
      </w:r>
      <w:r w:rsidR="00DD39DF" w:rsidRPr="00821903">
        <w:t>603–</w:t>
      </w:r>
      <w:r w:rsidR="00DA411E" w:rsidRPr="00821903">
        <w:t xml:space="preserve">604.)  The </w:t>
      </w:r>
      <w:r w:rsidR="00E528C2" w:rsidRPr="00821903">
        <w:t>C</w:t>
      </w:r>
      <w:r w:rsidR="00DA411E" w:rsidRPr="00821903">
        <w:t xml:space="preserve">ourt of </w:t>
      </w:r>
      <w:r w:rsidR="00E528C2" w:rsidRPr="00821903">
        <w:t>A</w:t>
      </w:r>
      <w:r w:rsidR="00DA411E" w:rsidRPr="00821903">
        <w:t xml:space="preserve">ppeal rejected the homeowner’s argument </w:t>
      </w:r>
      <w:r w:rsidR="004D55B9" w:rsidRPr="00821903">
        <w:t>“that spas, like swimming pools, are artificially created pools or tanks of water, that spas are frequently built by swimming pool contractors, that the evils which the statute sought to remedy vis-a-vis swimming pool construction exist with respect to spa construction as well, and that this court should effectuate the legislative purpose by interpreting ‘swimming pool’ to cover spas.”  (</w:t>
      </w:r>
      <w:r w:rsidR="004D55B9" w:rsidRPr="00821903">
        <w:rPr>
          <w:i/>
          <w:iCs/>
        </w:rPr>
        <w:t>Id.</w:t>
      </w:r>
      <w:r w:rsidR="00CC50AA" w:rsidRPr="00821903">
        <w:rPr>
          <w:i/>
          <w:iCs/>
        </w:rPr>
        <w:t xml:space="preserve"> </w:t>
      </w:r>
      <w:r w:rsidR="00CC50AA" w:rsidRPr="00821903">
        <w:t>at p. 605.</w:t>
      </w:r>
      <w:r w:rsidR="004D55B9" w:rsidRPr="00821903">
        <w:t xml:space="preserve">)  </w:t>
      </w:r>
    </w:p>
    <w:p w14:paraId="0C364384" w14:textId="30C6C781" w:rsidR="00B64719" w:rsidRPr="00821903" w:rsidRDefault="00A3579F" w:rsidP="004D55B9">
      <w:pPr>
        <w:spacing w:line="360" w:lineRule="auto"/>
      </w:pPr>
      <w:r w:rsidRPr="00821903">
        <w:tab/>
      </w:r>
      <w:r w:rsidR="004D55B9" w:rsidRPr="00821903">
        <w:t>“A far more basic rule of statutory interpretation,” said the court, “holds</w:t>
      </w:r>
      <w:r w:rsidR="00CC50AA" w:rsidRPr="00821903">
        <w:t xml:space="preserve"> . . .</w:t>
      </w:r>
      <w:r w:rsidR="004D55B9" w:rsidRPr="00821903">
        <w:t xml:space="preserve"> that if the language of a statute is clear and unambiguous, there can be no room for interpretation.</w:t>
      </w:r>
      <w:r w:rsidR="00CC50AA" w:rsidRPr="00821903">
        <w:t xml:space="preserve"> </w:t>
      </w:r>
      <w:r w:rsidR="004D55B9" w:rsidRPr="00821903">
        <w:t xml:space="preserve"> Effect must be given to the plain meaning of the words chosen by the Legislature.”  (</w:t>
      </w:r>
      <w:r w:rsidR="00E528C2" w:rsidRPr="00821903">
        <w:rPr>
          <w:i/>
          <w:iCs/>
        </w:rPr>
        <w:t xml:space="preserve">California Pools, supra, </w:t>
      </w:r>
      <w:r w:rsidR="00E528C2" w:rsidRPr="00821903">
        <w:t>131 Cal.App.3d at p. 60</w:t>
      </w:r>
      <w:r w:rsidR="00CC50AA" w:rsidRPr="00821903">
        <w:t>5</w:t>
      </w:r>
      <w:r w:rsidR="00E528C2" w:rsidRPr="00821903">
        <w:t>.)</w:t>
      </w:r>
      <w:r w:rsidR="004D55B9" w:rsidRPr="00821903">
        <w:t xml:space="preserve">  It went on to </w:t>
      </w:r>
      <w:r w:rsidRPr="00821903">
        <w:t>state “[t]</w:t>
      </w:r>
      <w:r w:rsidR="004D55B9" w:rsidRPr="00821903">
        <w:t xml:space="preserve">he term </w:t>
      </w:r>
      <w:r w:rsidRPr="00821903">
        <w:t>‘</w:t>
      </w:r>
      <w:r w:rsidR="004D55B9" w:rsidRPr="00821903">
        <w:t>swimming pool</w:t>
      </w:r>
      <w:r w:rsidRPr="00821903">
        <w:t>’</w:t>
      </w:r>
      <w:r w:rsidR="004D55B9" w:rsidRPr="00821903">
        <w:t xml:space="preserve"> is thoroughly unambiguous. </w:t>
      </w:r>
      <w:r w:rsidR="00E528C2" w:rsidRPr="00821903">
        <w:t xml:space="preserve"> </w:t>
      </w:r>
      <w:r w:rsidR="004D55B9" w:rsidRPr="00821903">
        <w:t>Neither when it first enacted the statute in 1969, nor when it transferred the legislation to the Business and Professions Code in 1979, did the Legislature define the term swimming pool, or assign to it a meaning other than its ordinary meaning, or give any indication that it intended a broader meaning to apply.</w:t>
      </w:r>
      <w:r w:rsidRPr="00821903">
        <w:t>”  (</w:t>
      </w:r>
      <w:r w:rsidRPr="00821903">
        <w:rPr>
          <w:i/>
          <w:iCs/>
        </w:rPr>
        <w:t>Ibid.</w:t>
      </w:r>
      <w:r w:rsidRPr="00821903">
        <w:t xml:space="preserve">)  “It </w:t>
      </w:r>
      <w:r w:rsidR="004D55B9" w:rsidRPr="00821903">
        <w:t>is not the role of the court to expand the term</w:t>
      </w:r>
      <w:r w:rsidRPr="00821903">
        <w:t>’</w:t>
      </w:r>
      <w:r w:rsidR="004D55B9" w:rsidRPr="00821903">
        <w:t>s obvious and ordinary meaning.</w:t>
      </w:r>
      <w:r w:rsidRPr="00821903">
        <w:t>”  (</w:t>
      </w:r>
      <w:r w:rsidRPr="00821903">
        <w:rPr>
          <w:i/>
          <w:iCs/>
        </w:rPr>
        <w:t>Ibid.</w:t>
      </w:r>
      <w:r w:rsidRPr="00821903">
        <w:t>)  The Legislature could, of course, include spas within the ambit of the legislation.  But “[t]he argument that spas should be included in the statute to further the public policy which the statute seeks to promote should properly be addressed to the Legislature.”  (</w:t>
      </w:r>
      <w:r w:rsidRPr="00821903">
        <w:rPr>
          <w:i/>
          <w:iCs/>
        </w:rPr>
        <w:t>Ibid.</w:t>
      </w:r>
      <w:r w:rsidRPr="00821903">
        <w:t>)</w:t>
      </w:r>
    </w:p>
    <w:p w14:paraId="249B9BCC" w14:textId="6ABE118F" w:rsidR="0069700D" w:rsidRPr="00821903" w:rsidRDefault="00A3579F" w:rsidP="004D55B9">
      <w:pPr>
        <w:spacing w:line="360" w:lineRule="auto"/>
      </w:pPr>
      <w:r w:rsidRPr="00821903">
        <w:tab/>
        <w:t xml:space="preserve">Lee maintains </w:t>
      </w:r>
      <w:r w:rsidRPr="00821903">
        <w:rPr>
          <w:i/>
          <w:iCs/>
        </w:rPr>
        <w:t xml:space="preserve">California Pools </w:t>
      </w:r>
      <w:r w:rsidRPr="00821903">
        <w:t xml:space="preserve">“is factually inapposite.”  </w:t>
      </w:r>
      <w:r w:rsidR="00F27204" w:rsidRPr="00821903">
        <w:t xml:space="preserve">And, indeed, the case involved </w:t>
      </w:r>
      <w:r w:rsidR="00F325BF" w:rsidRPr="00821903">
        <w:t xml:space="preserve">facts </w:t>
      </w:r>
      <w:r w:rsidR="00F27204" w:rsidRPr="00821903">
        <w:t>different f</w:t>
      </w:r>
      <w:r w:rsidR="00F325BF" w:rsidRPr="00821903">
        <w:t>rom those here</w:t>
      </w:r>
      <w:r w:rsidR="00F27204" w:rsidRPr="00821903">
        <w:t>.</w:t>
      </w:r>
      <w:r w:rsidRPr="00821903">
        <w:t xml:space="preserve"> </w:t>
      </w:r>
      <w:r w:rsidR="00F325BF" w:rsidRPr="00821903">
        <w:t xml:space="preserve"> </w:t>
      </w:r>
      <w:r w:rsidRPr="00821903">
        <w:t>But that does not detract from the reason the trial court cited to the case—to illustrate that the statutory scheme of which the fee provision is a part</w:t>
      </w:r>
      <w:r w:rsidR="005217D8" w:rsidRPr="00821903">
        <w:t>,</w:t>
      </w:r>
      <w:r w:rsidRPr="00821903">
        <w:t xml:space="preserve"> </w:t>
      </w:r>
      <w:r w:rsidR="005217D8" w:rsidRPr="00821903">
        <w:t xml:space="preserve">by purpose and plain language, </w:t>
      </w:r>
      <w:r w:rsidRPr="00821903">
        <w:t xml:space="preserve">is directed at disputes over the construction of </w:t>
      </w:r>
      <w:r w:rsidRPr="00821903">
        <w:rPr>
          <w:i/>
          <w:iCs/>
        </w:rPr>
        <w:t xml:space="preserve">swimming pools </w:t>
      </w:r>
      <w:r w:rsidRPr="00821903">
        <w:t xml:space="preserve">and not </w:t>
      </w:r>
      <w:r w:rsidR="005217D8" w:rsidRPr="00821903">
        <w:t>at</w:t>
      </w:r>
      <w:r w:rsidRPr="00821903">
        <w:t xml:space="preserve"> disputes over other kinds of home </w:t>
      </w:r>
      <w:r w:rsidR="00F325BF" w:rsidRPr="00821903">
        <w:t xml:space="preserve">improvement </w:t>
      </w:r>
      <w:r w:rsidRPr="00821903">
        <w:t xml:space="preserve">projects.  </w:t>
      </w:r>
    </w:p>
    <w:p w14:paraId="21F72DA3" w14:textId="62B40438" w:rsidR="008D0F8B" w:rsidRPr="00821903" w:rsidRDefault="00A3579F" w:rsidP="00D944B0">
      <w:pPr>
        <w:spacing w:line="360" w:lineRule="auto"/>
      </w:pPr>
      <w:r w:rsidRPr="00821903">
        <w:tab/>
      </w:r>
      <w:r w:rsidR="00F325BF" w:rsidRPr="00821903">
        <w:t>Lee</w:t>
      </w:r>
      <w:r w:rsidR="00F27204" w:rsidRPr="00821903">
        <w:t xml:space="preserve"> urges that </w:t>
      </w:r>
      <w:r w:rsidR="00F27204" w:rsidRPr="00821903">
        <w:rPr>
          <w:i/>
          <w:iCs/>
        </w:rPr>
        <w:t xml:space="preserve">King, supra, </w:t>
      </w:r>
      <w:r w:rsidR="00F27204" w:rsidRPr="00821903">
        <w:t>122 Cal.</w:t>
      </w:r>
      <w:r w:rsidR="00F325BF" w:rsidRPr="00821903">
        <w:t>A</w:t>
      </w:r>
      <w:r w:rsidR="00F27204" w:rsidRPr="00821903">
        <w:t>pp.3d 430,</w:t>
      </w:r>
      <w:r w:rsidR="00F27204" w:rsidRPr="00821903">
        <w:rPr>
          <w:i/>
          <w:iCs/>
        </w:rPr>
        <w:t xml:space="preserve"> </w:t>
      </w:r>
      <w:r w:rsidR="00F27204" w:rsidRPr="00821903">
        <w:t xml:space="preserve">is a more persuasive case.  </w:t>
      </w:r>
      <w:r w:rsidR="00F325BF" w:rsidRPr="00821903">
        <w:t xml:space="preserve">However, </w:t>
      </w:r>
      <w:r w:rsidRPr="00821903">
        <w:rPr>
          <w:i/>
          <w:iCs/>
        </w:rPr>
        <w:t xml:space="preserve">King </w:t>
      </w:r>
      <w:r w:rsidRPr="00821903">
        <w:t xml:space="preserve">does not undercut the </w:t>
      </w:r>
      <w:r w:rsidR="00F325BF" w:rsidRPr="00821903">
        <w:t xml:space="preserve">statutory </w:t>
      </w:r>
      <w:r w:rsidRPr="00821903">
        <w:t xml:space="preserve">analysis </w:t>
      </w:r>
      <w:r w:rsidR="00F325BF" w:rsidRPr="00821903">
        <w:t xml:space="preserve">in </w:t>
      </w:r>
      <w:r w:rsidRPr="00821903">
        <w:rPr>
          <w:i/>
          <w:iCs/>
        </w:rPr>
        <w:t xml:space="preserve">California Pools </w:t>
      </w:r>
      <w:r w:rsidRPr="00821903">
        <w:t xml:space="preserve">that is </w:t>
      </w:r>
      <w:r w:rsidR="00F325BF" w:rsidRPr="00821903">
        <w:t>pertinent</w:t>
      </w:r>
      <w:r w:rsidRPr="00821903">
        <w:t xml:space="preserve"> here</w:t>
      </w:r>
      <w:r w:rsidRPr="00821903">
        <w:rPr>
          <w:i/>
          <w:iCs/>
        </w:rPr>
        <w:t>.</w:t>
      </w:r>
      <w:r w:rsidRPr="00821903">
        <w:t xml:space="preserve">  The issue in </w:t>
      </w:r>
      <w:r w:rsidRPr="00821903">
        <w:rPr>
          <w:i/>
          <w:iCs/>
        </w:rPr>
        <w:t>King</w:t>
      </w:r>
      <w:r w:rsidRPr="00821903">
        <w:t xml:space="preserve"> was whether the statutory scheme governing swimming pool construction contracts </w:t>
      </w:r>
      <w:r w:rsidR="00D944B0" w:rsidRPr="00821903">
        <w:t>encompassed only the “construction of a conventional pool rather than the installation of a prefabricated pool.”  (</w:t>
      </w:r>
      <w:r w:rsidR="00E528C2" w:rsidRPr="00821903">
        <w:rPr>
          <w:i/>
          <w:iCs/>
        </w:rPr>
        <w:t xml:space="preserve">Id. </w:t>
      </w:r>
      <w:r w:rsidR="00E528C2" w:rsidRPr="00821903">
        <w:t>a</w:t>
      </w:r>
      <w:r w:rsidR="00D944B0" w:rsidRPr="00821903">
        <w:t>t p.</w:t>
      </w:r>
      <w:r w:rsidR="00E528C2" w:rsidRPr="00821903">
        <w:t> </w:t>
      </w:r>
      <w:r w:rsidR="00D944B0" w:rsidRPr="00821903">
        <w:t>438</w:t>
      </w:r>
      <w:r w:rsidR="00CC50AA" w:rsidRPr="00821903">
        <w:t>, italics omitted</w:t>
      </w:r>
      <w:r w:rsidR="00D944B0" w:rsidRPr="00821903">
        <w:t xml:space="preserve">.)  After pointing out </w:t>
      </w:r>
      <w:r w:rsidR="00F325BF" w:rsidRPr="00821903">
        <w:t xml:space="preserve">that </w:t>
      </w:r>
      <w:r w:rsidR="00D944B0" w:rsidRPr="00821903">
        <w:t xml:space="preserve">much of the </w:t>
      </w:r>
      <w:r w:rsidR="00F325BF" w:rsidRPr="00821903">
        <w:t xml:space="preserve">construction </w:t>
      </w:r>
      <w:r w:rsidR="00D944B0" w:rsidRPr="00821903">
        <w:t>work involved in installing an in-ground pool, whether traditionally built or built using a prefabricated shell, is the same (</w:t>
      </w:r>
      <w:r w:rsidR="00D944B0" w:rsidRPr="00821903">
        <w:rPr>
          <w:i/>
          <w:iCs/>
        </w:rPr>
        <w:t>ibid.</w:t>
      </w:r>
      <w:r w:rsidR="00D944B0" w:rsidRPr="00821903">
        <w:t>)</w:t>
      </w:r>
      <w:r w:rsidR="00F325BF" w:rsidRPr="00821903">
        <w:t>,</w:t>
      </w:r>
      <w:r w:rsidR="00D944B0" w:rsidRPr="00821903">
        <w:t xml:space="preserve"> and that the public policy underlying the legislation is the same regardless of the way in which a swimming pool is constructed (</w:t>
      </w:r>
      <w:r w:rsidR="00D944B0" w:rsidRPr="00821903">
        <w:rPr>
          <w:i/>
          <w:iCs/>
        </w:rPr>
        <w:t>id.</w:t>
      </w:r>
      <w:r w:rsidR="00D944B0" w:rsidRPr="00821903">
        <w:t xml:space="preserve"> at p. 439), the court concluded</w:t>
      </w:r>
      <w:r w:rsidR="00F325BF" w:rsidRPr="00821903">
        <w:t xml:space="preserve"> </w:t>
      </w:r>
      <w:r w:rsidR="00D944B0" w:rsidRPr="00821903">
        <w:t>“the logical import of the legislative enactment was regulation of builders who contracted to install a swimming pool as a fixed part of a buyer</w:t>
      </w:r>
      <w:r w:rsidR="00F325BF" w:rsidRPr="00821903">
        <w:t>’</w:t>
      </w:r>
      <w:r w:rsidR="00D944B0" w:rsidRPr="00821903">
        <w:t>s property, be it by conventional construction or by installation of a prefabricated unit.”  (</w:t>
      </w:r>
      <w:r w:rsidR="00D944B0" w:rsidRPr="00821903">
        <w:rPr>
          <w:i/>
          <w:iCs/>
        </w:rPr>
        <w:t xml:space="preserve">Id. </w:t>
      </w:r>
      <w:r w:rsidR="00D944B0" w:rsidRPr="00821903">
        <w:t>at p. 440.)</w:t>
      </w:r>
    </w:p>
    <w:p w14:paraId="0CA080F9" w14:textId="7D2B3DD3" w:rsidR="00156C85" w:rsidRPr="00821903" w:rsidRDefault="00A3579F" w:rsidP="00156C85">
      <w:pPr>
        <w:spacing w:line="360" w:lineRule="auto"/>
      </w:pPr>
      <w:r w:rsidRPr="00821903">
        <w:tab/>
        <w:t xml:space="preserve">Thus, </w:t>
      </w:r>
      <w:r w:rsidRPr="00821903">
        <w:rPr>
          <w:i/>
          <w:iCs/>
        </w:rPr>
        <w:t xml:space="preserve">King </w:t>
      </w:r>
      <w:r w:rsidRPr="00821903">
        <w:t xml:space="preserve">examined the meaning of the </w:t>
      </w:r>
      <w:r w:rsidR="00F325BF" w:rsidRPr="00821903">
        <w:t xml:space="preserve">phrase </w:t>
      </w:r>
      <w:r w:rsidRPr="00821903">
        <w:t>“</w:t>
      </w:r>
      <w:r w:rsidR="008056FE" w:rsidRPr="00821903">
        <w:t xml:space="preserve"> ‘</w:t>
      </w:r>
      <w:r w:rsidRPr="00821903">
        <w:t>contract for the construction of a swimming pool</w:t>
      </w:r>
      <w:r w:rsidR="008056FE" w:rsidRPr="00821903">
        <w:t xml:space="preserve">’ </w:t>
      </w:r>
      <w:r w:rsidRPr="00821903">
        <w:t xml:space="preserve">” and sensibly concluded “swimming pool construction as used in former [Civil Code] section 1725 et seq. should be held to refer to subsurface installation of a prefabricated pool which becomes a fixed part of the residential realty.”  </w:t>
      </w:r>
      <w:r w:rsidR="00867731" w:rsidRPr="00821903">
        <w:t>(</w:t>
      </w:r>
      <w:r w:rsidR="00867731" w:rsidRPr="00821903">
        <w:rPr>
          <w:i/>
          <w:iCs/>
        </w:rPr>
        <w:t xml:space="preserve">King, supra, </w:t>
      </w:r>
      <w:r w:rsidR="00867731" w:rsidRPr="00821903">
        <w:t>122 Cal.App.3d at p</w:t>
      </w:r>
      <w:r w:rsidR="008056FE" w:rsidRPr="00821903">
        <w:t>p</w:t>
      </w:r>
      <w:r w:rsidR="00867731" w:rsidRPr="00821903">
        <w:t xml:space="preserve">. </w:t>
      </w:r>
      <w:r w:rsidR="008056FE" w:rsidRPr="00821903">
        <w:t>436, 4</w:t>
      </w:r>
      <w:r w:rsidR="00867731" w:rsidRPr="00821903">
        <w:t xml:space="preserve">40.)  The case </w:t>
      </w:r>
      <w:r w:rsidRPr="00821903">
        <w:t xml:space="preserve">does not remotely support Lee’s assertion that the statutory provision for fees in connection with disputes over the construction of swimming pools should be expansively interpreted to include disputes over the construction of other </w:t>
      </w:r>
      <w:r w:rsidR="00867731" w:rsidRPr="00821903">
        <w:t xml:space="preserve">types of </w:t>
      </w:r>
      <w:r w:rsidRPr="00821903">
        <w:t>home improvements.</w:t>
      </w:r>
    </w:p>
    <w:p w14:paraId="477FF2F6" w14:textId="4A348634" w:rsidR="00E528C2" w:rsidRPr="00821903" w:rsidRDefault="00A3579F" w:rsidP="00156C85">
      <w:pPr>
        <w:spacing w:line="360" w:lineRule="auto"/>
        <w:rPr>
          <w:rFonts w:eastAsia="Times New Roman" w:cs="Times New Roman"/>
          <w:color w:val="000000"/>
        </w:rPr>
      </w:pPr>
      <w:r w:rsidRPr="00821903">
        <w:tab/>
        <w:t>Lee</w:t>
      </w:r>
      <w:r w:rsidR="00195AED" w:rsidRPr="00821903">
        <w:t>’s</w:t>
      </w:r>
      <w:r w:rsidRPr="00821903">
        <w:t xml:space="preserve"> emphasi</w:t>
      </w:r>
      <w:r w:rsidR="00195AED" w:rsidRPr="00821903">
        <w:t xml:space="preserve">s on </w:t>
      </w:r>
      <w:r w:rsidRPr="00821903">
        <w:t xml:space="preserve">the public policy reasons the Legislature enacted the statutory scheme governing “home improvement </w:t>
      </w:r>
      <w:r w:rsidR="008056FE" w:rsidRPr="00821903">
        <w:t>projects</w:t>
      </w:r>
      <w:r w:rsidRPr="00821903">
        <w:t xml:space="preserve">” and </w:t>
      </w:r>
      <w:r w:rsidR="00195AED" w:rsidRPr="00821903">
        <w:t xml:space="preserve">invocation of the general principle </w:t>
      </w:r>
      <w:r w:rsidRPr="00821903">
        <w:t>that consumer protection statutes should be interpreted broadly</w:t>
      </w:r>
      <w:r w:rsidR="00195AED" w:rsidRPr="00821903">
        <w:t xml:space="preserve"> is also unavailing.  As we have recited, section 7168 was not enacted as part of the statutory scheme governing “home improvement</w:t>
      </w:r>
      <w:r w:rsidR="008056FE" w:rsidRPr="00821903">
        <w:t>”</w:t>
      </w:r>
      <w:r w:rsidR="00195AED" w:rsidRPr="00821903">
        <w:t xml:space="preserve"> </w:t>
      </w:r>
      <w:r w:rsidR="008056FE" w:rsidRPr="00821903">
        <w:t>contracts.</w:t>
      </w:r>
      <w:r w:rsidR="00195AED" w:rsidRPr="00821903">
        <w:t xml:space="preserve">  Rather, it was enacted as part of the statutory scheme, enacted a decade earlier, specifically governing swimming pool construction contracts.  Moreover, when the Legislature moved this </w:t>
      </w:r>
      <w:r w:rsidR="00061EA4" w:rsidRPr="00821903">
        <w:t xml:space="preserve">specific </w:t>
      </w:r>
      <w:r w:rsidR="00195AED" w:rsidRPr="00821903">
        <w:t>statutory scheme into the Business and Professions Code</w:t>
      </w:r>
      <w:r w:rsidR="00061EA4" w:rsidRPr="00821903">
        <w:t xml:space="preserve"> as </w:t>
      </w:r>
      <w:r w:rsidRPr="00821903">
        <w:t>a</w:t>
      </w:r>
      <w:r w:rsidR="00061EA4" w:rsidRPr="00821903">
        <w:t xml:space="preserve">rticle 11 (of </w:t>
      </w:r>
      <w:r w:rsidRPr="00821903">
        <w:t>c</w:t>
      </w:r>
      <w:r w:rsidR="00061EA4" w:rsidRPr="00821903">
        <w:t xml:space="preserve">hapter 9 of </w:t>
      </w:r>
      <w:r w:rsidRPr="00821903">
        <w:t>d</w:t>
      </w:r>
      <w:r w:rsidR="00061EA4" w:rsidRPr="00821903">
        <w:t>ivision 3),</w:t>
      </w:r>
      <w:r w:rsidR="00195AED" w:rsidRPr="00821903">
        <w:t xml:space="preserve"> the language of </w:t>
      </w:r>
      <w:r w:rsidR="00065A19" w:rsidRPr="00821903">
        <w:t xml:space="preserve">the pertinent </w:t>
      </w:r>
      <w:r w:rsidR="00061EA4" w:rsidRPr="00821903">
        <w:t>fee provision remained unchanged</w:t>
      </w:r>
      <w:r w:rsidR="00156C85" w:rsidRPr="00821903">
        <w:t xml:space="preserve">.  It also </w:t>
      </w:r>
      <w:r w:rsidR="00061EA4" w:rsidRPr="00821903">
        <w:t xml:space="preserve">remained unchanged when the Legislature subsequently repealed the separate article heading, bringing this statutory scheme within </w:t>
      </w:r>
      <w:r w:rsidRPr="00821903">
        <w:t>a</w:t>
      </w:r>
      <w:r w:rsidR="00061EA4" w:rsidRPr="00821903">
        <w:t xml:space="preserve">rticle 10.  And while </w:t>
      </w:r>
      <w:r w:rsidR="005517E4" w:rsidRPr="00821903">
        <w:t>consumer protection statutes are to be broadly construed, this principle</w:t>
      </w:r>
      <w:r w:rsidR="00156C85" w:rsidRPr="00821903">
        <w:t xml:space="preserve"> does not </w:t>
      </w:r>
      <w:r w:rsidR="005517E4" w:rsidRPr="00821903">
        <w:t xml:space="preserve">authorize the courts to disregard the plain language of </w:t>
      </w:r>
      <w:r w:rsidR="00156C85" w:rsidRPr="00821903">
        <w:t xml:space="preserve">such </w:t>
      </w:r>
      <w:r w:rsidR="005517E4" w:rsidRPr="00821903">
        <w:t xml:space="preserve">a statute or the legislative history of the statutory scheme </w:t>
      </w:r>
      <w:r w:rsidR="00156C85" w:rsidRPr="00821903">
        <w:t>of which it is a part.</w:t>
      </w:r>
      <w:r w:rsidR="005517E4" w:rsidRPr="00821903">
        <w:t xml:space="preserve">  (See </w:t>
      </w:r>
      <w:r w:rsidR="00156C85" w:rsidRPr="00821903">
        <w:rPr>
          <w:rFonts w:eastAsia="Times New Roman" w:cs="Times New Roman"/>
          <w:i/>
          <w:iCs/>
          <w:color w:val="3D3D3D"/>
          <w:bdr w:val="none" w:sz="0" w:space="0" w:color="auto" w:frame="1"/>
        </w:rPr>
        <w:t>Environmental Health Advocates, Inc. v. Sream, Inc.</w:t>
      </w:r>
      <w:r w:rsidR="00156C85" w:rsidRPr="00821903">
        <w:rPr>
          <w:rFonts w:eastAsia="Times New Roman" w:cs="Times New Roman"/>
          <w:color w:val="000000"/>
        </w:rPr>
        <w:t xml:space="preserve"> (2022) 83</w:t>
      </w:r>
      <w:r w:rsidR="00821903">
        <w:rPr>
          <w:rFonts w:eastAsia="Times New Roman" w:cs="Times New Roman"/>
          <w:color w:val="000000"/>
        </w:rPr>
        <w:t> </w:t>
      </w:r>
      <w:r w:rsidR="00156C85" w:rsidRPr="00821903">
        <w:rPr>
          <w:rFonts w:eastAsia="Times New Roman" w:cs="Times New Roman"/>
          <w:color w:val="000000"/>
        </w:rPr>
        <w:t xml:space="preserve">Cal.App.5th 721, 733 [protective purpose of statutory scheme “would be stymied by an overly </w:t>
      </w:r>
      <w:r w:rsidR="00156C85" w:rsidRPr="00821903">
        <w:rPr>
          <w:rFonts w:eastAsia="Times New Roman" w:cs="Times New Roman"/>
          <w:color w:val="000000"/>
          <w:bdr w:val="none" w:sz="0" w:space="0" w:color="auto" w:frame="1"/>
          <w:shd w:val="clear" w:color="auto" w:fill="FFFFFF"/>
        </w:rPr>
        <w:t>broad</w:t>
      </w:r>
      <w:r w:rsidR="00156C85" w:rsidRPr="00821903">
        <w:rPr>
          <w:rFonts w:eastAsia="Times New Roman" w:cs="Times New Roman"/>
          <w:color w:val="000000"/>
        </w:rPr>
        <w:t xml:space="preserve"> interpretation </w:t>
      </w:r>
      <w:r w:rsidR="008056FE" w:rsidRPr="00821903">
        <w:rPr>
          <w:rFonts w:eastAsia="Times New Roman" w:cs="Times New Roman"/>
          <w:color w:val="000000"/>
        </w:rPr>
        <w:t xml:space="preserve">. . . </w:t>
      </w:r>
      <w:r w:rsidR="00156C85" w:rsidRPr="00821903">
        <w:rPr>
          <w:rFonts w:eastAsia="Times New Roman" w:cs="Times New Roman"/>
          <w:color w:val="000000"/>
        </w:rPr>
        <w:t xml:space="preserve">not supported by its language or governing regulations”]; </w:t>
      </w:r>
      <w:r w:rsidR="00065A19" w:rsidRPr="00821903">
        <w:rPr>
          <w:rFonts w:eastAsia="Times New Roman" w:cs="Times New Roman"/>
          <w:i/>
          <w:iCs/>
          <w:color w:val="3D3D3D"/>
          <w:bdr w:val="none" w:sz="0" w:space="0" w:color="auto" w:frame="1"/>
        </w:rPr>
        <w:t>Rodriguez v. FCA US, LLC</w:t>
      </w:r>
      <w:r w:rsidR="00065A19" w:rsidRPr="00821903">
        <w:rPr>
          <w:rFonts w:eastAsia="Times New Roman" w:cs="Times New Roman"/>
          <w:color w:val="000000"/>
        </w:rPr>
        <w:t xml:space="preserve"> (2022) 77</w:t>
      </w:r>
      <w:r w:rsidRPr="00821903">
        <w:rPr>
          <w:rFonts w:eastAsia="Times New Roman" w:cs="Times New Roman"/>
          <w:color w:val="000000"/>
        </w:rPr>
        <w:t> </w:t>
      </w:r>
      <w:r w:rsidR="00065A19" w:rsidRPr="00821903">
        <w:rPr>
          <w:rFonts w:eastAsia="Times New Roman" w:cs="Times New Roman"/>
          <w:color w:val="000000"/>
        </w:rPr>
        <w:t>Cal.App.5th 209, 21</w:t>
      </w:r>
      <w:r w:rsidR="00877A23" w:rsidRPr="00821903">
        <w:rPr>
          <w:rFonts w:eastAsia="Times New Roman" w:cs="Times New Roman"/>
          <w:color w:val="000000"/>
        </w:rPr>
        <w:t>5, 220</w:t>
      </w:r>
      <w:r w:rsidRPr="00821903">
        <w:rPr>
          <w:rFonts w:eastAsia="Times New Roman" w:cs="Times New Roman"/>
          <w:color w:val="000000"/>
        </w:rPr>
        <w:t>–</w:t>
      </w:r>
      <w:r w:rsidR="00877A23" w:rsidRPr="00821903">
        <w:rPr>
          <w:rFonts w:eastAsia="Times New Roman" w:cs="Times New Roman"/>
          <w:color w:val="000000"/>
        </w:rPr>
        <w:t>222</w:t>
      </w:r>
      <w:r w:rsidR="000E7A62">
        <w:rPr>
          <w:rFonts w:eastAsia="Times New Roman" w:cs="Times New Roman"/>
          <w:color w:val="000000"/>
        </w:rPr>
        <w:t>,</w:t>
      </w:r>
      <w:r w:rsidR="000E7A62" w:rsidRPr="000E7A62">
        <w:t xml:space="preserve"> </w:t>
      </w:r>
      <w:r w:rsidR="000E7A62">
        <w:t>rev. granted July 13, 2022, S274625</w:t>
      </w:r>
      <w:r w:rsidR="00877A23" w:rsidRPr="00821903">
        <w:rPr>
          <w:rFonts w:eastAsia="Times New Roman" w:cs="Times New Roman"/>
          <w:color w:val="000000"/>
        </w:rPr>
        <w:t xml:space="preserve"> </w:t>
      </w:r>
      <w:r w:rsidR="00065A19" w:rsidRPr="00821903">
        <w:rPr>
          <w:rFonts w:eastAsia="Times New Roman" w:cs="Times New Roman"/>
          <w:color w:val="000000"/>
        </w:rPr>
        <w:t>[</w:t>
      </w:r>
      <w:r w:rsidR="005217D8" w:rsidRPr="00821903">
        <w:rPr>
          <w:rFonts w:eastAsia="Times New Roman" w:cs="Times New Roman"/>
          <w:color w:val="000000"/>
        </w:rPr>
        <w:t xml:space="preserve">rejecting </w:t>
      </w:r>
      <w:r w:rsidR="00065A19" w:rsidRPr="00821903">
        <w:rPr>
          <w:rFonts w:eastAsia="Times New Roman" w:cs="Times New Roman"/>
          <w:color w:val="000000"/>
        </w:rPr>
        <w:t xml:space="preserve">expansive reading of language in Song-Beverly </w:t>
      </w:r>
      <w:r w:rsidR="00065A19" w:rsidRPr="00821903">
        <w:rPr>
          <w:rFonts w:eastAsia="Times New Roman" w:cs="Times New Roman"/>
          <w:color w:val="000000"/>
          <w:bdr w:val="none" w:sz="0" w:space="0" w:color="auto" w:frame="1"/>
          <w:shd w:val="clear" w:color="auto" w:fill="FFFFFF"/>
        </w:rPr>
        <w:t>Consumer</w:t>
      </w:r>
      <w:r w:rsidR="00065A19" w:rsidRPr="00821903">
        <w:rPr>
          <w:rFonts w:eastAsia="Times New Roman" w:cs="Times New Roman"/>
          <w:color w:val="000000"/>
        </w:rPr>
        <w:t xml:space="preserve"> Warranty Act</w:t>
      </w:r>
      <w:r w:rsidR="008056FE" w:rsidRPr="00821903">
        <w:rPr>
          <w:rFonts w:eastAsia="Times New Roman" w:cs="Times New Roman"/>
          <w:color w:val="000000"/>
        </w:rPr>
        <w:t xml:space="preserve"> (Civ. Code</w:t>
      </w:r>
      <w:r w:rsidR="000E7A62">
        <w:rPr>
          <w:rFonts w:eastAsia="Times New Roman" w:cs="Times New Roman"/>
          <w:color w:val="000000"/>
        </w:rPr>
        <w:t>,</w:t>
      </w:r>
      <w:r w:rsidR="008056FE" w:rsidRPr="00821903">
        <w:rPr>
          <w:rFonts w:eastAsia="Times New Roman" w:cs="Times New Roman"/>
          <w:color w:val="000000"/>
        </w:rPr>
        <w:t xml:space="preserve"> § 1790 et seq.)</w:t>
      </w:r>
      <w:r w:rsidR="00065A19" w:rsidRPr="00821903">
        <w:rPr>
          <w:rFonts w:eastAsia="Times New Roman" w:cs="Times New Roman"/>
          <w:color w:val="000000"/>
        </w:rPr>
        <w:t xml:space="preserve"> where not warranted by </w:t>
      </w:r>
      <w:r w:rsidR="00877A23" w:rsidRPr="00821903">
        <w:rPr>
          <w:rFonts w:eastAsia="Times New Roman" w:cs="Times New Roman"/>
          <w:color w:val="000000"/>
        </w:rPr>
        <w:t xml:space="preserve">fundamental principles of statutory interpretation, including </w:t>
      </w:r>
      <w:r w:rsidR="00065A19" w:rsidRPr="00821903">
        <w:rPr>
          <w:rFonts w:eastAsia="Times New Roman" w:cs="Times New Roman"/>
          <w:color w:val="000000"/>
        </w:rPr>
        <w:t>language of statute</w:t>
      </w:r>
      <w:r w:rsidR="00877A23" w:rsidRPr="00821903">
        <w:rPr>
          <w:rFonts w:eastAsia="Times New Roman" w:cs="Times New Roman"/>
          <w:color w:val="000000"/>
        </w:rPr>
        <w:t xml:space="preserve"> and</w:t>
      </w:r>
      <w:r w:rsidR="00065A19" w:rsidRPr="00821903">
        <w:rPr>
          <w:rFonts w:eastAsia="Times New Roman" w:cs="Times New Roman"/>
          <w:color w:val="000000"/>
        </w:rPr>
        <w:t xml:space="preserve"> legislative history</w:t>
      </w:r>
      <w:r w:rsidR="00877A23" w:rsidRPr="00821903">
        <w:rPr>
          <w:rFonts w:eastAsia="Times New Roman" w:cs="Times New Roman"/>
          <w:color w:val="000000"/>
        </w:rPr>
        <w:t>].)</w:t>
      </w:r>
    </w:p>
    <w:p w14:paraId="48E60561" w14:textId="15D492B4" w:rsidR="00170BB2" w:rsidRPr="00821903" w:rsidRDefault="00A3579F" w:rsidP="00156C85">
      <w:pPr>
        <w:spacing w:line="360" w:lineRule="auto"/>
        <w:rPr>
          <w:rFonts w:eastAsia="Times New Roman" w:cs="Times New Roman"/>
          <w:color w:val="000000"/>
        </w:rPr>
      </w:pPr>
      <w:r w:rsidRPr="00821903">
        <w:tab/>
        <w:t>It is also a fundamental rule of construction that the courts</w:t>
      </w:r>
      <w:r w:rsidR="0093635A" w:rsidRPr="00821903">
        <w:t xml:space="preserve"> “ ‘</w:t>
      </w:r>
      <w:r w:rsidR="0093635A" w:rsidRPr="00821903">
        <w:rPr>
          <w:rFonts w:eastAsia="Times New Roman" w:cs="Times New Roman"/>
          <w:color w:val="000000"/>
        </w:rPr>
        <w:t xml:space="preserve">must select the construction that comports most closely with the apparent intent of the Legislature, with a view to promoting rather than defeating the general purpose of the </w:t>
      </w:r>
      <w:r w:rsidR="0093635A" w:rsidRPr="00821903">
        <w:rPr>
          <w:rFonts w:eastAsia="Times New Roman" w:cs="Times New Roman"/>
          <w:color w:val="000000"/>
          <w:bdr w:val="none" w:sz="0" w:space="0" w:color="auto" w:frame="1"/>
          <w:shd w:val="clear" w:color="auto" w:fill="FFFFFF"/>
        </w:rPr>
        <w:t>statute</w:t>
      </w:r>
      <w:r w:rsidR="0093635A" w:rsidRPr="00821903">
        <w:rPr>
          <w:rFonts w:eastAsia="Times New Roman" w:cs="Times New Roman"/>
          <w:color w:val="000000"/>
        </w:rPr>
        <w:t xml:space="preserve">, and </w:t>
      </w:r>
      <w:r w:rsidR="0093635A" w:rsidRPr="00821903">
        <w:rPr>
          <w:rFonts w:eastAsia="Times New Roman" w:cs="Times New Roman"/>
          <w:color w:val="000000"/>
          <w:bdr w:val="none" w:sz="0" w:space="0" w:color="auto" w:frame="1"/>
          <w:shd w:val="clear" w:color="auto" w:fill="FFFFFF"/>
        </w:rPr>
        <w:t>avoid</w:t>
      </w:r>
      <w:r w:rsidR="0093635A" w:rsidRPr="00821903">
        <w:rPr>
          <w:rFonts w:eastAsia="Times New Roman" w:cs="Times New Roman"/>
          <w:color w:val="000000"/>
        </w:rPr>
        <w:t xml:space="preserve"> an </w:t>
      </w:r>
      <w:r w:rsidR="0093635A" w:rsidRPr="00821903">
        <w:rPr>
          <w:rFonts w:eastAsia="Times New Roman" w:cs="Times New Roman"/>
          <w:color w:val="000000"/>
          <w:bdr w:val="none" w:sz="0" w:space="0" w:color="auto" w:frame="1"/>
          <w:shd w:val="clear" w:color="auto" w:fill="FFFFFF"/>
        </w:rPr>
        <w:t>interpretation</w:t>
      </w:r>
      <w:r w:rsidR="0093635A" w:rsidRPr="00821903">
        <w:rPr>
          <w:rFonts w:eastAsia="Times New Roman" w:cs="Times New Roman"/>
          <w:color w:val="000000"/>
        </w:rPr>
        <w:t xml:space="preserve"> that would </w:t>
      </w:r>
      <w:r w:rsidR="0093635A" w:rsidRPr="00821903">
        <w:rPr>
          <w:rFonts w:eastAsia="Times New Roman" w:cs="Times New Roman"/>
          <w:color w:val="000000"/>
          <w:bdr w:val="none" w:sz="0" w:space="0" w:color="auto" w:frame="1"/>
          <w:shd w:val="clear" w:color="auto" w:fill="FFFFFF"/>
        </w:rPr>
        <w:t>lead</w:t>
      </w:r>
      <w:r w:rsidR="0093635A" w:rsidRPr="00821903">
        <w:rPr>
          <w:rFonts w:eastAsia="Times New Roman" w:cs="Times New Roman"/>
          <w:color w:val="000000"/>
        </w:rPr>
        <w:t xml:space="preserve"> to </w:t>
      </w:r>
      <w:r w:rsidR="0093635A" w:rsidRPr="00821903">
        <w:rPr>
          <w:rFonts w:eastAsia="Times New Roman" w:cs="Times New Roman"/>
          <w:color w:val="000000"/>
          <w:bdr w:val="none" w:sz="0" w:space="0" w:color="auto" w:frame="1"/>
          <w:shd w:val="clear" w:color="auto" w:fill="FFFFFF"/>
        </w:rPr>
        <w:t>absurd</w:t>
      </w:r>
      <w:r w:rsidR="0093635A" w:rsidRPr="00821903">
        <w:rPr>
          <w:rFonts w:eastAsia="Times New Roman" w:cs="Times New Roman"/>
          <w:color w:val="000000"/>
        </w:rPr>
        <w:t xml:space="preserve"> consequences.’ ” </w:t>
      </w:r>
      <w:r w:rsidR="00E528C2" w:rsidRPr="00821903">
        <w:rPr>
          <w:rFonts w:eastAsia="Times New Roman" w:cs="Times New Roman"/>
          <w:color w:val="000000"/>
        </w:rPr>
        <w:t xml:space="preserve"> </w:t>
      </w:r>
      <w:r w:rsidR="0093635A" w:rsidRPr="00821903">
        <w:rPr>
          <w:rFonts w:eastAsia="Times New Roman" w:cs="Times New Roman"/>
          <w:color w:val="000000"/>
        </w:rPr>
        <w:t>(</w:t>
      </w:r>
      <w:r w:rsidR="0093635A" w:rsidRPr="00821903">
        <w:rPr>
          <w:rFonts w:eastAsia="Times New Roman" w:cs="Times New Roman"/>
          <w:i/>
          <w:iCs/>
          <w:color w:val="3D3D3D"/>
          <w:bdr w:val="none" w:sz="0" w:space="0" w:color="auto" w:frame="1"/>
        </w:rPr>
        <w:t>People v. Hernandez</w:t>
      </w:r>
      <w:r w:rsidR="0093635A" w:rsidRPr="00821903">
        <w:rPr>
          <w:rFonts w:eastAsia="Times New Roman" w:cs="Times New Roman"/>
          <w:color w:val="000000"/>
        </w:rPr>
        <w:t xml:space="preserve"> (2021) 60 Cal.App.5th 94, 106, quoting </w:t>
      </w:r>
      <w:r w:rsidR="0093635A" w:rsidRPr="00821903">
        <w:rPr>
          <w:rFonts w:eastAsia="Times New Roman" w:cs="Times New Roman"/>
          <w:i/>
          <w:iCs/>
          <w:color w:val="3D3D3D"/>
          <w:bdr w:val="none" w:sz="0" w:space="0" w:color="auto" w:frame="1"/>
        </w:rPr>
        <w:t>People v. Jenkins</w:t>
      </w:r>
      <w:r w:rsidR="0093635A" w:rsidRPr="00821903">
        <w:rPr>
          <w:rFonts w:eastAsia="Times New Roman" w:cs="Times New Roman"/>
          <w:color w:val="000000"/>
        </w:rPr>
        <w:t xml:space="preserve"> (1995) 10 Cal.4th 234, 246; accord</w:t>
      </w:r>
      <w:r w:rsidR="00E528C2" w:rsidRPr="00821903">
        <w:rPr>
          <w:rFonts w:eastAsia="Times New Roman" w:cs="Times New Roman"/>
          <w:color w:val="000000"/>
        </w:rPr>
        <w:t>,</w:t>
      </w:r>
      <w:r w:rsidR="0093635A" w:rsidRPr="00821903">
        <w:rPr>
          <w:rFonts w:eastAsia="Times New Roman" w:cs="Times New Roman"/>
          <w:color w:val="000000"/>
        </w:rPr>
        <w:t xml:space="preserve"> </w:t>
      </w:r>
      <w:r w:rsidR="0093635A" w:rsidRPr="00821903">
        <w:rPr>
          <w:rFonts w:eastAsia="Times New Roman" w:cs="Times New Roman"/>
          <w:i/>
          <w:iCs/>
          <w:color w:val="3D3D3D"/>
          <w:bdr w:val="none" w:sz="0" w:space="0" w:color="auto" w:frame="1"/>
        </w:rPr>
        <w:t>People v. Bullard</w:t>
      </w:r>
      <w:r w:rsidR="0093635A" w:rsidRPr="00821903">
        <w:rPr>
          <w:rFonts w:eastAsia="Times New Roman" w:cs="Times New Roman"/>
          <w:color w:val="000000"/>
        </w:rPr>
        <w:t xml:space="preserve"> (2020) 9 Cal.5th 94, 107 [courts must </w:t>
      </w:r>
      <w:r w:rsidR="0093635A" w:rsidRPr="00821903">
        <w:rPr>
          <w:rFonts w:eastAsia="Times New Roman" w:cs="Times New Roman"/>
          <w:color w:val="000000"/>
          <w:bdr w:val="none" w:sz="0" w:space="0" w:color="auto" w:frame="1"/>
          <w:shd w:val="clear" w:color="auto" w:fill="FFFFFF"/>
        </w:rPr>
        <w:t>interpret</w:t>
      </w:r>
      <w:r w:rsidR="0093635A" w:rsidRPr="00821903">
        <w:rPr>
          <w:rFonts w:eastAsia="Times New Roman" w:cs="Times New Roman"/>
          <w:color w:val="000000"/>
        </w:rPr>
        <w:t xml:space="preserve"> </w:t>
      </w:r>
      <w:r w:rsidR="0093635A" w:rsidRPr="00821903">
        <w:rPr>
          <w:rFonts w:eastAsia="Times New Roman" w:cs="Times New Roman"/>
          <w:color w:val="000000"/>
          <w:bdr w:val="none" w:sz="0" w:space="0" w:color="auto" w:frame="1"/>
          <w:shd w:val="clear" w:color="auto" w:fill="FFFFFF"/>
        </w:rPr>
        <w:t>statutes</w:t>
      </w:r>
      <w:r w:rsidR="0093635A" w:rsidRPr="00821903">
        <w:rPr>
          <w:rFonts w:eastAsia="Times New Roman" w:cs="Times New Roman"/>
          <w:color w:val="000000"/>
        </w:rPr>
        <w:t xml:space="preserve"> to </w:t>
      </w:r>
      <w:r w:rsidR="0093635A" w:rsidRPr="00821903">
        <w:rPr>
          <w:rFonts w:eastAsia="Times New Roman" w:cs="Times New Roman"/>
          <w:color w:val="000000"/>
          <w:bdr w:val="none" w:sz="0" w:space="0" w:color="auto" w:frame="1"/>
          <w:shd w:val="clear" w:color="auto" w:fill="FFFFFF"/>
        </w:rPr>
        <w:t>avoid</w:t>
      </w:r>
      <w:r w:rsidR="0093635A" w:rsidRPr="00821903">
        <w:rPr>
          <w:rFonts w:eastAsia="Times New Roman" w:cs="Times New Roman"/>
          <w:color w:val="000000"/>
        </w:rPr>
        <w:t xml:space="preserve"> </w:t>
      </w:r>
      <w:r w:rsidR="0093635A" w:rsidRPr="00821903">
        <w:rPr>
          <w:rFonts w:eastAsia="Times New Roman" w:cs="Times New Roman"/>
          <w:color w:val="000000"/>
          <w:bdr w:val="none" w:sz="0" w:space="0" w:color="auto" w:frame="1"/>
          <w:shd w:val="clear" w:color="auto" w:fill="FFFFFF"/>
        </w:rPr>
        <w:t>absurd</w:t>
      </w:r>
      <w:r w:rsidR="0093635A" w:rsidRPr="00821903">
        <w:rPr>
          <w:rFonts w:eastAsia="Times New Roman" w:cs="Times New Roman"/>
          <w:color w:val="000000"/>
        </w:rPr>
        <w:t xml:space="preserve"> </w:t>
      </w:r>
      <w:r w:rsidR="0093635A" w:rsidRPr="00821903">
        <w:rPr>
          <w:rFonts w:eastAsia="Times New Roman" w:cs="Times New Roman"/>
          <w:color w:val="000000"/>
          <w:bdr w:val="none" w:sz="0" w:space="0" w:color="auto" w:frame="1"/>
          <w:shd w:val="clear" w:color="auto" w:fill="FFFFFF"/>
        </w:rPr>
        <w:t>results</w:t>
      </w:r>
      <w:r w:rsidR="0093635A" w:rsidRPr="00821903">
        <w:rPr>
          <w:rFonts w:eastAsia="Times New Roman" w:cs="Times New Roman"/>
          <w:color w:val="000000"/>
        </w:rPr>
        <w:t xml:space="preserve">]; </w:t>
      </w:r>
      <w:r w:rsidR="0093635A" w:rsidRPr="00821903">
        <w:rPr>
          <w:rFonts w:eastAsia="Times New Roman" w:cs="Times New Roman"/>
          <w:i/>
          <w:iCs/>
          <w:color w:val="3D3D3D"/>
          <w:bdr w:val="none" w:sz="0" w:space="0" w:color="auto" w:frame="1"/>
        </w:rPr>
        <w:t>People v. Cook</w:t>
      </w:r>
      <w:r w:rsidR="0093635A" w:rsidRPr="00821903">
        <w:rPr>
          <w:rFonts w:eastAsia="Times New Roman" w:cs="Times New Roman"/>
          <w:color w:val="000000"/>
        </w:rPr>
        <w:t xml:space="preserve"> (2015) 60 Cal.4th 922, 938, fn. </w:t>
      </w:r>
      <w:r w:rsidR="0096796C" w:rsidRPr="00821903">
        <w:rPr>
          <w:rFonts w:eastAsia="Times New Roman" w:cs="Times New Roman"/>
          <w:color w:val="000000"/>
        </w:rPr>
        <w:t xml:space="preserve">2 </w:t>
      </w:r>
      <w:r w:rsidR="0093635A" w:rsidRPr="00821903">
        <w:rPr>
          <w:rFonts w:eastAsia="Times New Roman" w:cs="Times New Roman"/>
          <w:color w:val="000000"/>
        </w:rPr>
        <w:t xml:space="preserve">[courts </w:t>
      </w:r>
      <w:r w:rsidR="0093635A" w:rsidRPr="00821903">
        <w:rPr>
          <w:rFonts w:eastAsia="Times New Roman" w:cs="Times New Roman"/>
          <w:color w:val="000000"/>
          <w:bdr w:val="none" w:sz="0" w:space="0" w:color="auto" w:frame="1"/>
          <w:shd w:val="clear" w:color="auto" w:fill="FFFFFF"/>
        </w:rPr>
        <w:t>interpret</w:t>
      </w:r>
      <w:r w:rsidR="0093635A" w:rsidRPr="00821903">
        <w:rPr>
          <w:rFonts w:eastAsia="Times New Roman" w:cs="Times New Roman"/>
          <w:color w:val="000000"/>
        </w:rPr>
        <w:t xml:space="preserve"> </w:t>
      </w:r>
      <w:r w:rsidR="0093635A" w:rsidRPr="00821903">
        <w:rPr>
          <w:rFonts w:eastAsia="Times New Roman" w:cs="Times New Roman"/>
          <w:color w:val="000000"/>
          <w:bdr w:val="none" w:sz="0" w:space="0" w:color="auto" w:frame="1"/>
          <w:shd w:val="clear" w:color="auto" w:fill="FFFFFF"/>
        </w:rPr>
        <w:t>statutes</w:t>
      </w:r>
      <w:r w:rsidR="0093635A" w:rsidRPr="00821903">
        <w:rPr>
          <w:rFonts w:eastAsia="Times New Roman" w:cs="Times New Roman"/>
          <w:color w:val="000000"/>
        </w:rPr>
        <w:t xml:space="preserve"> to “</w:t>
      </w:r>
      <w:r w:rsidR="0093635A" w:rsidRPr="00821903">
        <w:rPr>
          <w:rFonts w:eastAsia="Times New Roman" w:cs="Times New Roman"/>
          <w:color w:val="000000"/>
          <w:bdr w:val="none" w:sz="0" w:space="0" w:color="auto" w:frame="1"/>
          <w:shd w:val="clear" w:color="auto" w:fill="FFFFFF"/>
        </w:rPr>
        <w:t>avoid</w:t>
      </w:r>
      <w:r w:rsidR="0093635A" w:rsidRPr="00821903">
        <w:rPr>
          <w:rFonts w:eastAsia="Times New Roman" w:cs="Times New Roman"/>
          <w:color w:val="000000"/>
        </w:rPr>
        <w:t xml:space="preserve"> an </w:t>
      </w:r>
      <w:r w:rsidR="0093635A" w:rsidRPr="00821903">
        <w:rPr>
          <w:rFonts w:eastAsia="Times New Roman" w:cs="Times New Roman"/>
          <w:color w:val="000000"/>
          <w:bdr w:val="none" w:sz="0" w:space="0" w:color="auto" w:frame="1"/>
          <w:shd w:val="clear" w:color="auto" w:fill="FFFFFF"/>
        </w:rPr>
        <w:t>absurd</w:t>
      </w:r>
      <w:r w:rsidR="0093635A" w:rsidRPr="00821903">
        <w:rPr>
          <w:rFonts w:eastAsia="Times New Roman" w:cs="Times New Roman"/>
          <w:color w:val="000000"/>
        </w:rPr>
        <w:t xml:space="preserve"> </w:t>
      </w:r>
      <w:r w:rsidR="0093635A" w:rsidRPr="00821903">
        <w:rPr>
          <w:rFonts w:eastAsia="Times New Roman" w:cs="Times New Roman"/>
          <w:color w:val="000000"/>
          <w:bdr w:val="none" w:sz="0" w:space="0" w:color="auto" w:frame="1"/>
          <w:shd w:val="clear" w:color="auto" w:fill="FFFFFF"/>
        </w:rPr>
        <w:t>result</w:t>
      </w:r>
      <w:r w:rsidR="0093635A" w:rsidRPr="00821903">
        <w:rPr>
          <w:rFonts w:eastAsia="Times New Roman" w:cs="Times New Roman"/>
          <w:color w:val="000000"/>
        </w:rPr>
        <w:t xml:space="preserve"> the Legislature could not have intended”]; </w:t>
      </w:r>
      <w:r w:rsidR="0093635A" w:rsidRPr="00821903">
        <w:rPr>
          <w:rFonts w:eastAsia="Times New Roman" w:cs="Times New Roman"/>
          <w:i/>
          <w:iCs/>
          <w:color w:val="3D3D3D"/>
          <w:bdr w:val="none" w:sz="0" w:space="0" w:color="auto" w:frame="1"/>
        </w:rPr>
        <w:t>In re Greg F.</w:t>
      </w:r>
      <w:r w:rsidR="0093635A" w:rsidRPr="00821903">
        <w:rPr>
          <w:rFonts w:eastAsia="Times New Roman" w:cs="Times New Roman"/>
          <w:color w:val="000000"/>
        </w:rPr>
        <w:t xml:space="preserve"> (2012) 55 Cal.4th 393, 410 [“courts are obligated to ‘adopt a common sense construction over one </w:t>
      </w:r>
      <w:r w:rsidR="0093635A" w:rsidRPr="00821903">
        <w:rPr>
          <w:rFonts w:eastAsia="Times New Roman" w:cs="Times New Roman"/>
          <w:color w:val="000000"/>
          <w:bdr w:val="none" w:sz="0" w:space="0" w:color="auto" w:frame="1"/>
          <w:shd w:val="clear" w:color="auto" w:fill="FFFFFF"/>
        </w:rPr>
        <w:t>leading</w:t>
      </w:r>
      <w:r w:rsidR="0093635A" w:rsidRPr="00821903">
        <w:rPr>
          <w:rFonts w:eastAsia="Times New Roman" w:cs="Times New Roman"/>
          <w:color w:val="000000"/>
        </w:rPr>
        <w:t xml:space="preserve"> to mischief or </w:t>
      </w:r>
      <w:r w:rsidR="0093635A" w:rsidRPr="00821903">
        <w:rPr>
          <w:rFonts w:eastAsia="Times New Roman" w:cs="Times New Roman"/>
          <w:color w:val="000000"/>
          <w:bdr w:val="none" w:sz="0" w:space="0" w:color="auto" w:frame="1"/>
          <w:shd w:val="clear" w:color="auto" w:fill="FFFFFF"/>
        </w:rPr>
        <w:t>absurdity</w:t>
      </w:r>
      <w:r w:rsidR="0093635A" w:rsidRPr="00821903">
        <w:rPr>
          <w:rFonts w:eastAsia="Times New Roman" w:cs="Times New Roman"/>
          <w:color w:val="000000"/>
        </w:rPr>
        <w:t xml:space="preserve">’ ”].)  </w:t>
      </w:r>
    </w:p>
    <w:p w14:paraId="0F36F4F5" w14:textId="4F877B2C" w:rsidR="0093635A" w:rsidRPr="00821903" w:rsidRDefault="00A3579F" w:rsidP="00156C85">
      <w:pPr>
        <w:spacing w:line="360" w:lineRule="auto"/>
        <w:rPr>
          <w:rFonts w:ascii="Source Sans Pro" w:eastAsia="Times New Roman" w:hAnsi="Source Sans Pro" w:cs="Times New Roman"/>
          <w:color w:val="000000"/>
          <w:sz w:val="24"/>
          <w:szCs w:val="24"/>
        </w:rPr>
      </w:pPr>
      <w:r w:rsidRPr="00821903">
        <w:rPr>
          <w:rFonts w:eastAsia="Times New Roman" w:cs="Times New Roman"/>
          <w:color w:val="000000"/>
        </w:rPr>
        <w:tab/>
        <w:t xml:space="preserve">Lee’s </w:t>
      </w:r>
      <w:r w:rsidR="00E96F41" w:rsidRPr="00821903">
        <w:rPr>
          <w:rFonts w:eastAsia="Times New Roman" w:cs="Times New Roman"/>
          <w:color w:val="000000"/>
        </w:rPr>
        <w:t xml:space="preserve">proffered interpretation of section 7168 would lead to such results.  If she, for example, had hired a different contractor to construct the pavilion, </w:t>
      </w:r>
      <w:r w:rsidRPr="00821903">
        <w:rPr>
          <w:rFonts w:eastAsia="Times New Roman" w:cs="Times New Roman"/>
          <w:color w:val="000000"/>
        </w:rPr>
        <w:t xml:space="preserve">outdoor kitchen, </w:t>
      </w:r>
      <w:r w:rsidR="00E96F41" w:rsidRPr="00821903">
        <w:rPr>
          <w:rFonts w:eastAsia="Times New Roman" w:cs="Times New Roman"/>
          <w:color w:val="000000"/>
        </w:rPr>
        <w:t xml:space="preserve">lay the pavers, and do the landscaping, she could not, even under the interpretation she now advocates, seek fees under section 7168.  The Legislature could not have intended that fees under section 7168 turn on whether </w:t>
      </w:r>
      <w:r w:rsidR="00065A19" w:rsidRPr="00821903">
        <w:rPr>
          <w:rFonts w:eastAsia="Times New Roman" w:cs="Times New Roman"/>
          <w:color w:val="000000"/>
        </w:rPr>
        <w:t xml:space="preserve">or not </w:t>
      </w:r>
      <w:r w:rsidR="00E96F41" w:rsidRPr="00821903">
        <w:rPr>
          <w:rFonts w:eastAsia="Times New Roman" w:cs="Times New Roman"/>
          <w:color w:val="000000"/>
        </w:rPr>
        <w:t xml:space="preserve">a swimming pool and </w:t>
      </w:r>
      <w:r w:rsidR="00156C85" w:rsidRPr="00821903">
        <w:rPr>
          <w:rFonts w:eastAsia="Times New Roman" w:cs="Times New Roman"/>
          <w:color w:val="000000"/>
        </w:rPr>
        <w:t xml:space="preserve">other </w:t>
      </w:r>
      <w:r w:rsidR="00E96F41" w:rsidRPr="00821903">
        <w:rPr>
          <w:rFonts w:eastAsia="Times New Roman" w:cs="Times New Roman"/>
          <w:color w:val="000000"/>
        </w:rPr>
        <w:t>non-swimming pool projects are done by the same contractor or different contractors.</w:t>
      </w:r>
      <w:r w:rsidR="00065A19" w:rsidRPr="00821903">
        <w:rPr>
          <w:rFonts w:eastAsia="Times New Roman" w:cs="Times New Roman"/>
          <w:color w:val="000000"/>
        </w:rPr>
        <w:t xml:space="preserve">  It is an absurd result and not one we can, or should, embrace.</w:t>
      </w:r>
    </w:p>
    <w:p w14:paraId="06ADBD8E" w14:textId="2E033A92" w:rsidR="00867731" w:rsidRPr="00821903" w:rsidRDefault="00A3579F" w:rsidP="00867731">
      <w:pPr>
        <w:spacing w:line="360" w:lineRule="auto"/>
      </w:pPr>
      <w:r w:rsidRPr="00821903">
        <w:tab/>
      </w:r>
      <w:r w:rsidR="00170BB2" w:rsidRPr="00821903">
        <w:t xml:space="preserve">In sum, </w:t>
      </w:r>
      <w:r w:rsidRPr="00821903">
        <w:t xml:space="preserve">the trial court did not err in ruling section 7168 applied solely to Lee’s claims pertaining to the construction of the swimming pool and not to </w:t>
      </w:r>
      <w:r w:rsidR="00170BB2" w:rsidRPr="00821903">
        <w:t xml:space="preserve">her </w:t>
      </w:r>
      <w:r w:rsidRPr="00821903">
        <w:t>claims pertaining to the non-pool projects.</w:t>
      </w:r>
    </w:p>
    <w:p w14:paraId="5C8C2D5B" w14:textId="33249FCF" w:rsidR="000A0463" w:rsidRPr="00821903" w:rsidRDefault="00A3579F" w:rsidP="00867731">
      <w:pPr>
        <w:spacing w:line="360" w:lineRule="auto"/>
      </w:pPr>
      <w:r w:rsidRPr="00821903">
        <w:tab/>
        <w:t xml:space="preserve">The </w:t>
      </w:r>
      <w:r w:rsidR="00143AAE" w:rsidRPr="00821903">
        <w:t xml:space="preserve">trial </w:t>
      </w:r>
      <w:r w:rsidRPr="00821903">
        <w:t>court went on to conclude th</w:t>
      </w:r>
      <w:r w:rsidR="00515E22" w:rsidRPr="00821903">
        <w:t xml:space="preserve">ere was </w:t>
      </w:r>
      <w:r w:rsidR="00143AAE" w:rsidRPr="00821903">
        <w:t>“</w:t>
      </w:r>
      <w:r w:rsidR="00515E22" w:rsidRPr="00821903">
        <w:t>no prevailing party” in connection with the</w:t>
      </w:r>
      <w:r w:rsidR="00143AAE" w:rsidRPr="00821903">
        <w:t xml:space="preserve"> swimming pool </w:t>
      </w:r>
      <w:r w:rsidR="00515E22" w:rsidRPr="00821903">
        <w:t xml:space="preserve">claims.  As the court explained, Lee “claimed that a massive repair was necessary that included a costly stitch pier wall on the slope side of the pool or the destruction of the existing pool entirely followed by reconstruction with significant underpinning.  The cost of such repairs approached $200,000.”  The court, however, “found [Lee] did not establish any of these claims and that there was insufficient evidence </w:t>
      </w:r>
      <w:r w:rsidR="00BA6468" w:rsidRPr="00821903">
        <w:t xml:space="preserve">that </w:t>
      </w:r>
      <w:r w:rsidR="00515E22" w:rsidRPr="00821903">
        <w:t xml:space="preserve">the pool was experiencing any form of movement.”  </w:t>
      </w:r>
      <w:r w:rsidR="00143AAE" w:rsidRPr="00821903">
        <w:t>While t</w:t>
      </w:r>
      <w:r w:rsidR="00515E22" w:rsidRPr="00821903">
        <w:t>he court agree</w:t>
      </w:r>
      <w:r w:rsidR="00143AAE" w:rsidRPr="00821903">
        <w:t>d</w:t>
      </w:r>
      <w:r w:rsidR="00515E22" w:rsidRPr="00821903">
        <w:t xml:space="preserve"> “the pool plaster, tile and coping” were </w:t>
      </w:r>
      <w:r w:rsidRPr="00821903">
        <w:t>“</w:t>
      </w:r>
      <w:r w:rsidR="00515E22" w:rsidRPr="00821903">
        <w:t>defective and aw</w:t>
      </w:r>
      <w:r w:rsidRPr="00821903">
        <w:t>a</w:t>
      </w:r>
      <w:r w:rsidR="00515E22" w:rsidRPr="00821903">
        <w:t>rded a total of $35,000 in</w:t>
      </w:r>
      <w:r w:rsidRPr="00821903">
        <w:t xml:space="preserve"> damages”</w:t>
      </w:r>
      <w:r w:rsidR="00143AAE" w:rsidRPr="00821903">
        <w:t xml:space="preserve"> for those items, it went on to point out </w:t>
      </w:r>
      <w:r w:rsidRPr="00821903">
        <w:t>“</w:t>
      </w:r>
      <w:r w:rsidR="00BA6468" w:rsidRPr="00821903">
        <w:t>[</w:t>
      </w:r>
      <w:r w:rsidRPr="00821903">
        <w:t>m</w:t>
      </w:r>
      <w:r w:rsidR="00BA6468" w:rsidRPr="00821903">
        <w:t>]</w:t>
      </w:r>
      <w:r w:rsidRPr="00821903">
        <w:t xml:space="preserve">uch of that amount was for the plaster repair, a task Defendant Cardiff had offered to perform at no charge prior to suit.”  </w:t>
      </w:r>
      <w:r w:rsidR="00143AAE" w:rsidRPr="00821903">
        <w:t xml:space="preserve">In short, the trial court concluded that with respect to the swimming pool, Lee did not come close to accomplishing her litigation objective.  </w:t>
      </w:r>
    </w:p>
    <w:p w14:paraId="75EA2D97" w14:textId="5027E0B3" w:rsidR="00FF1A9F" w:rsidRPr="00821903" w:rsidRDefault="00A3579F" w:rsidP="007418C1">
      <w:pPr>
        <w:spacing w:line="360" w:lineRule="auto"/>
      </w:pPr>
      <w:r w:rsidRPr="00821903">
        <w:tab/>
        <w:t xml:space="preserve">All Lee has to say in her </w:t>
      </w:r>
      <w:r w:rsidR="00143AAE" w:rsidRPr="00821903">
        <w:t xml:space="preserve">appellate </w:t>
      </w:r>
      <w:r w:rsidRPr="00821903">
        <w:t>brief</w:t>
      </w:r>
      <w:r w:rsidR="007418C1" w:rsidRPr="00821903">
        <w:t>ing</w:t>
      </w:r>
      <w:r w:rsidRPr="00821903">
        <w:t xml:space="preserve"> </w:t>
      </w:r>
      <w:r w:rsidR="00BE5198" w:rsidRPr="00821903">
        <w:t xml:space="preserve">about </w:t>
      </w:r>
      <w:r w:rsidRPr="00821903">
        <w:t>the trial court’s “</w:t>
      </w:r>
      <w:r w:rsidR="00BE5198" w:rsidRPr="00821903">
        <w:t xml:space="preserve">no </w:t>
      </w:r>
      <w:r w:rsidRPr="00821903">
        <w:t xml:space="preserve">prevailing party” determination is that </w:t>
      </w:r>
      <w:r w:rsidR="00BE5198" w:rsidRPr="00821903">
        <w:t>the court</w:t>
      </w:r>
      <w:r w:rsidRPr="00821903">
        <w:t xml:space="preserve"> abused its discretion in this regard because its “initial premise [i.e., that the fee statute applied only to </w:t>
      </w:r>
      <w:r w:rsidR="007418C1" w:rsidRPr="00821903">
        <w:t>her</w:t>
      </w:r>
      <w:r w:rsidRPr="00821903">
        <w:t xml:space="preserve"> swimming pool claims] was in error” and therefore </w:t>
      </w:r>
      <w:r w:rsidR="00BE5198" w:rsidRPr="00821903">
        <w:t xml:space="preserve">“the conclusion flowing from that premise was equally flawed.”  </w:t>
      </w:r>
      <w:r w:rsidR="00143AAE" w:rsidRPr="00821903">
        <w:t>In other words, b</w:t>
      </w:r>
      <w:r w:rsidR="00BE5198" w:rsidRPr="00821903">
        <w:t xml:space="preserve">ecause the court’s threshold ruling </w:t>
      </w:r>
      <w:r w:rsidR="00143AAE" w:rsidRPr="00821903">
        <w:t xml:space="preserve">was, according to Lee, </w:t>
      </w:r>
      <w:r w:rsidR="00BE5198" w:rsidRPr="00821903">
        <w:t xml:space="preserve">“contrary to the statutory authority and policies promoted by” </w:t>
      </w:r>
      <w:r w:rsidR="00E528C2" w:rsidRPr="00821903">
        <w:t>a</w:t>
      </w:r>
      <w:r w:rsidR="00BE5198" w:rsidRPr="00821903">
        <w:t>rticle 10</w:t>
      </w:r>
      <w:r w:rsidR="00143AAE" w:rsidRPr="00821903">
        <w:t xml:space="preserve"> (of </w:t>
      </w:r>
      <w:r w:rsidR="00E528C2" w:rsidRPr="00821903">
        <w:t>c</w:t>
      </w:r>
      <w:r w:rsidR="00143AAE" w:rsidRPr="00821903">
        <w:t xml:space="preserve">hapter 9 of </w:t>
      </w:r>
      <w:r w:rsidR="00E528C2" w:rsidRPr="00821903">
        <w:t>d</w:t>
      </w:r>
      <w:r w:rsidR="00143AAE" w:rsidRPr="00821903">
        <w:t>ivision 3 of the Business and Professions Code)</w:t>
      </w:r>
      <w:r w:rsidR="00BE5198" w:rsidRPr="00821903">
        <w:t xml:space="preserve">, </w:t>
      </w:r>
      <w:r w:rsidR="007418C1" w:rsidRPr="00821903">
        <w:t>th</w:t>
      </w:r>
      <w:r w:rsidR="00BE5198" w:rsidRPr="00821903">
        <w:t xml:space="preserve">e court committed a “manifest abuse of discretion” in </w:t>
      </w:r>
      <w:r w:rsidR="00143AAE" w:rsidRPr="00821903">
        <w:t>concluding she had not prevailed.</w:t>
      </w:r>
      <w:r w:rsidR="00BE5198" w:rsidRPr="00821903">
        <w:t xml:space="preserve"> </w:t>
      </w:r>
      <w:r w:rsidR="00143AAE" w:rsidRPr="00821903">
        <w:t xml:space="preserve"> </w:t>
      </w:r>
      <w:r w:rsidR="00942346" w:rsidRPr="00821903">
        <w:t xml:space="preserve">Thus, </w:t>
      </w:r>
      <w:r w:rsidR="00BE5198" w:rsidRPr="00821903">
        <w:t xml:space="preserve">Lee’s challenge to the trial court’s “no prevailing party” determination is </w:t>
      </w:r>
      <w:r w:rsidR="00942346" w:rsidRPr="00821903">
        <w:t xml:space="preserve">simply </w:t>
      </w:r>
      <w:r w:rsidR="00BE5198" w:rsidRPr="00821903">
        <w:t xml:space="preserve">a recycling of her argument that the court erred in ruling the statutory fee provision applied only to </w:t>
      </w:r>
      <w:r w:rsidR="007418C1" w:rsidRPr="00821903">
        <w:t>her</w:t>
      </w:r>
      <w:r w:rsidR="00BE5198" w:rsidRPr="00821903">
        <w:t xml:space="preserve"> </w:t>
      </w:r>
      <w:r w:rsidR="00942346" w:rsidRPr="00821903">
        <w:t xml:space="preserve">swimming pool </w:t>
      </w:r>
      <w:r w:rsidR="00BE5198" w:rsidRPr="00821903">
        <w:t>claims</w:t>
      </w:r>
      <w:r w:rsidR="00942346" w:rsidRPr="00821903">
        <w:t xml:space="preserve">.  </w:t>
      </w:r>
      <w:r w:rsidR="00BE5198" w:rsidRPr="00821903">
        <w:t xml:space="preserve">Having rejected </w:t>
      </w:r>
      <w:r w:rsidR="007418C1" w:rsidRPr="00821903">
        <w:t>that</w:t>
      </w:r>
      <w:r w:rsidR="00BE5198" w:rsidRPr="00821903">
        <w:t xml:space="preserve"> argument</w:t>
      </w:r>
      <w:r w:rsidR="00942346" w:rsidRPr="00821903">
        <w:t xml:space="preserve"> for all the reasons discussed above</w:t>
      </w:r>
      <w:r w:rsidR="00BE5198" w:rsidRPr="00821903">
        <w:t>,</w:t>
      </w:r>
      <w:r w:rsidR="007418C1" w:rsidRPr="00821903">
        <w:t xml:space="preserve"> we do not consider the court’s “no prevailing party” ruling further.</w:t>
      </w:r>
      <w:r>
        <w:rPr>
          <w:rStyle w:val="FootnoteReference"/>
        </w:rPr>
        <w:footnoteReference w:id="4"/>
      </w:r>
    </w:p>
    <w:p w14:paraId="2FEEEB6E" w14:textId="2CC5438E" w:rsidR="007418C1" w:rsidRPr="00821903" w:rsidRDefault="00A3579F" w:rsidP="007418C1">
      <w:pPr>
        <w:spacing w:line="360" w:lineRule="auto"/>
        <w:jc w:val="center"/>
      </w:pPr>
      <w:r w:rsidRPr="00821903">
        <w:rPr>
          <w:b/>
          <w:bCs/>
        </w:rPr>
        <w:t>DISPOSITION</w:t>
      </w:r>
    </w:p>
    <w:p w14:paraId="26BD68FE" w14:textId="14A3C9A4" w:rsidR="00861A88" w:rsidRDefault="00A3579F" w:rsidP="007418C1">
      <w:pPr>
        <w:spacing w:line="360" w:lineRule="auto"/>
      </w:pPr>
      <w:r w:rsidRPr="00821903">
        <w:tab/>
        <w:t xml:space="preserve">The </w:t>
      </w:r>
      <w:r w:rsidR="00170BB2" w:rsidRPr="00821903">
        <w:t xml:space="preserve">fee order and ensuing </w:t>
      </w:r>
      <w:r w:rsidRPr="00821903">
        <w:t xml:space="preserve">judgment </w:t>
      </w:r>
      <w:r w:rsidR="00170BB2" w:rsidRPr="00821903">
        <w:t>are</w:t>
      </w:r>
      <w:r w:rsidRPr="00821903">
        <w:t xml:space="preserve"> AFFIRMED.  Respondent to recover costs on appeal.</w:t>
      </w:r>
    </w:p>
    <w:p w14:paraId="6A7B54F8" w14:textId="77777777" w:rsidR="00861A88" w:rsidRDefault="00A3579F">
      <w:pPr>
        <w:tabs>
          <w:tab w:val="clear" w:pos="720"/>
        </w:tabs>
        <w:spacing w:line="360" w:lineRule="auto"/>
      </w:pPr>
      <w:r>
        <w:br w:type="page"/>
      </w:r>
    </w:p>
    <w:p w14:paraId="29EA226E" w14:textId="77777777" w:rsidR="00861A88" w:rsidRDefault="00861A88" w:rsidP="00861A88">
      <w:pPr>
        <w:pStyle w:val="Normal2"/>
        <w:rPr>
          <w:rFonts w:ascii="Century Schoolbook" w:hAnsi="Century Schoolbook"/>
        </w:rPr>
      </w:pPr>
    </w:p>
    <w:p w14:paraId="1637A8E9" w14:textId="77777777" w:rsidR="00861A88" w:rsidRDefault="00861A88" w:rsidP="00861A88">
      <w:pPr>
        <w:pStyle w:val="Normal2"/>
        <w:rPr>
          <w:rFonts w:ascii="Century Schoolbook" w:hAnsi="Century Schoolbook"/>
        </w:rPr>
      </w:pPr>
    </w:p>
    <w:p w14:paraId="7057A90A" w14:textId="77777777" w:rsidR="00861A88" w:rsidRDefault="00A3579F" w:rsidP="00861A88">
      <w:pPr>
        <w:pStyle w:val="Normal2"/>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w:t>
      </w:r>
    </w:p>
    <w:p w14:paraId="6DFCDFE3" w14:textId="77777777" w:rsidR="00861A88" w:rsidRDefault="00A3579F" w:rsidP="00861A88">
      <w:pPr>
        <w:pStyle w:val="Normal2"/>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Banke, J.</w:t>
      </w:r>
    </w:p>
    <w:p w14:paraId="19260007" w14:textId="77777777" w:rsidR="00861A88" w:rsidRDefault="00861A88" w:rsidP="00861A88">
      <w:pPr>
        <w:pStyle w:val="Normal2"/>
        <w:rPr>
          <w:rFonts w:ascii="Century Schoolbook" w:hAnsi="Century Schoolbook"/>
        </w:rPr>
      </w:pPr>
    </w:p>
    <w:p w14:paraId="61DBCA0F" w14:textId="77777777" w:rsidR="00861A88" w:rsidRDefault="00861A88" w:rsidP="00861A88">
      <w:pPr>
        <w:pStyle w:val="Normal2"/>
        <w:rPr>
          <w:rFonts w:ascii="Century Schoolbook" w:hAnsi="Century Schoolbook"/>
        </w:rPr>
      </w:pPr>
    </w:p>
    <w:p w14:paraId="47E38029" w14:textId="77777777" w:rsidR="00861A88" w:rsidRDefault="00A3579F" w:rsidP="00861A88">
      <w:pPr>
        <w:pStyle w:val="Normal2"/>
        <w:rPr>
          <w:rFonts w:ascii="Century Schoolbook" w:hAnsi="Century Schoolbook"/>
        </w:rPr>
      </w:pPr>
      <w:r>
        <w:rPr>
          <w:rFonts w:ascii="Century Schoolbook" w:hAnsi="Century Schoolbook"/>
        </w:rPr>
        <w:t>We concur:</w:t>
      </w:r>
    </w:p>
    <w:p w14:paraId="7DB86F25" w14:textId="77777777" w:rsidR="00861A88" w:rsidRDefault="00861A88" w:rsidP="00861A88">
      <w:pPr>
        <w:pStyle w:val="Normal2"/>
        <w:rPr>
          <w:rFonts w:ascii="Century Schoolbook" w:hAnsi="Century Schoolbook"/>
        </w:rPr>
      </w:pPr>
    </w:p>
    <w:p w14:paraId="278CDEDF" w14:textId="77777777" w:rsidR="00861A88" w:rsidRDefault="00861A88" w:rsidP="00861A88">
      <w:pPr>
        <w:pStyle w:val="Normal2"/>
        <w:rPr>
          <w:rFonts w:ascii="Century Schoolbook" w:hAnsi="Century Schoolbook"/>
        </w:rPr>
      </w:pPr>
    </w:p>
    <w:p w14:paraId="624ED160" w14:textId="77777777" w:rsidR="00861A88" w:rsidRDefault="00A3579F" w:rsidP="00861A88">
      <w:pPr>
        <w:pStyle w:val="Normal2"/>
        <w:rPr>
          <w:rFonts w:ascii="Century Schoolbook" w:hAnsi="Century Schoolbook"/>
        </w:rPr>
      </w:pPr>
      <w:r>
        <w:rPr>
          <w:rFonts w:ascii="Century Schoolbook" w:hAnsi="Century Schoolbook"/>
        </w:rPr>
        <w:t>_________________________</w:t>
      </w:r>
    </w:p>
    <w:p w14:paraId="04C32AD8" w14:textId="77777777" w:rsidR="00861A88" w:rsidRDefault="00A3579F" w:rsidP="00861A88">
      <w:pPr>
        <w:pStyle w:val="Normal2"/>
        <w:rPr>
          <w:rFonts w:ascii="Century Schoolbook" w:hAnsi="Century Schoolbook"/>
        </w:rPr>
      </w:pPr>
      <w:r>
        <w:rPr>
          <w:rFonts w:ascii="Century Schoolbook" w:hAnsi="Century Schoolbook"/>
        </w:rPr>
        <w:t>Humes, P.J.</w:t>
      </w:r>
    </w:p>
    <w:p w14:paraId="4E4F4136" w14:textId="77777777" w:rsidR="00861A88" w:rsidRDefault="00861A88" w:rsidP="00861A88">
      <w:pPr>
        <w:pStyle w:val="Normal2"/>
        <w:rPr>
          <w:rFonts w:ascii="Century Schoolbook" w:hAnsi="Century Schoolbook"/>
        </w:rPr>
      </w:pPr>
    </w:p>
    <w:p w14:paraId="51859CEB" w14:textId="77777777" w:rsidR="00861A88" w:rsidRDefault="00861A88" w:rsidP="00861A88">
      <w:pPr>
        <w:pStyle w:val="Normal2"/>
        <w:rPr>
          <w:rFonts w:ascii="Century Schoolbook" w:hAnsi="Century Schoolbook"/>
        </w:rPr>
      </w:pPr>
    </w:p>
    <w:p w14:paraId="0DE1B738" w14:textId="77777777" w:rsidR="00861A88" w:rsidRDefault="00A3579F" w:rsidP="00861A88">
      <w:pPr>
        <w:pStyle w:val="Normal2"/>
        <w:rPr>
          <w:rFonts w:ascii="Century Schoolbook" w:hAnsi="Century Schoolbook"/>
        </w:rPr>
      </w:pPr>
      <w:r>
        <w:rPr>
          <w:rFonts w:ascii="Century Schoolbook" w:hAnsi="Century Schoolbook"/>
        </w:rPr>
        <w:t>_________________________</w:t>
      </w:r>
    </w:p>
    <w:p w14:paraId="273E9CA3" w14:textId="69200042" w:rsidR="00861A88" w:rsidRDefault="00A3579F" w:rsidP="00861A88">
      <w:pPr>
        <w:pStyle w:val="Normal2"/>
      </w:pPr>
      <w:r>
        <w:rPr>
          <w:rFonts w:ascii="Century Schoolbook" w:hAnsi="Century Schoolbook"/>
          <w:sz w:val="28"/>
          <w:szCs w:val="28"/>
        </w:rPr>
        <w:t>Bowen, J.</w:t>
      </w:r>
      <w:r>
        <w:rPr>
          <w:rFonts w:ascii="Century Schoolbook" w:hAnsi="Century Schoolbook"/>
        </w:rPr>
        <w:t>*</w:t>
      </w:r>
    </w:p>
    <w:p w14:paraId="280BE305" w14:textId="77777777" w:rsidR="00861A88" w:rsidRDefault="00861A88" w:rsidP="00861A88">
      <w:pPr>
        <w:pStyle w:val="Normal2"/>
        <w:rPr>
          <w:rFonts w:ascii="Century Schoolbook" w:hAnsi="Century Schoolbook"/>
        </w:rPr>
      </w:pPr>
    </w:p>
    <w:p w14:paraId="6B110D6E" w14:textId="77777777" w:rsidR="00861A88" w:rsidRDefault="00861A88" w:rsidP="00861A88">
      <w:pPr>
        <w:pStyle w:val="Normal2"/>
        <w:rPr>
          <w:rFonts w:ascii="Century Schoolbook" w:hAnsi="Century Schoolbook"/>
        </w:rPr>
      </w:pPr>
    </w:p>
    <w:p w14:paraId="083D3445" w14:textId="77777777" w:rsidR="00861A88" w:rsidRDefault="00861A88" w:rsidP="00861A88">
      <w:pPr>
        <w:pStyle w:val="Normal2"/>
        <w:rPr>
          <w:rFonts w:ascii="Century Schoolbook" w:hAnsi="Century Schoolbook"/>
        </w:rPr>
      </w:pPr>
    </w:p>
    <w:p w14:paraId="2F0ADF8F" w14:textId="77777777" w:rsidR="00861A88" w:rsidRDefault="00861A88" w:rsidP="00861A88">
      <w:pPr>
        <w:pStyle w:val="Normal2"/>
        <w:rPr>
          <w:rFonts w:ascii="Century Schoolbook" w:hAnsi="Century Schoolbook"/>
        </w:rPr>
      </w:pPr>
    </w:p>
    <w:p w14:paraId="4F2F3608" w14:textId="77777777" w:rsidR="00861A88" w:rsidRDefault="00861A88" w:rsidP="00861A88">
      <w:pPr>
        <w:pStyle w:val="Normal2"/>
        <w:rPr>
          <w:rFonts w:ascii="Century Schoolbook" w:hAnsi="Century Schoolbook"/>
        </w:rPr>
      </w:pPr>
    </w:p>
    <w:p w14:paraId="6138BCE0" w14:textId="77777777" w:rsidR="00861A88" w:rsidRDefault="00861A88" w:rsidP="00861A88">
      <w:pPr>
        <w:pStyle w:val="Normal2"/>
        <w:rPr>
          <w:rFonts w:ascii="Century Schoolbook" w:hAnsi="Century Schoolbook"/>
        </w:rPr>
      </w:pPr>
    </w:p>
    <w:p w14:paraId="58B2D3C3" w14:textId="77777777" w:rsidR="00861A88" w:rsidRDefault="00861A88" w:rsidP="00861A88">
      <w:pPr>
        <w:pStyle w:val="Normal2"/>
        <w:rPr>
          <w:rFonts w:ascii="Century Schoolbook" w:hAnsi="Century Schoolbook"/>
        </w:rPr>
      </w:pPr>
    </w:p>
    <w:p w14:paraId="5F72B961" w14:textId="77777777" w:rsidR="00861A88" w:rsidRDefault="00861A88" w:rsidP="00861A88">
      <w:pPr>
        <w:pStyle w:val="Normal2"/>
        <w:rPr>
          <w:rFonts w:ascii="Century Schoolbook" w:hAnsi="Century Schoolbook"/>
        </w:rPr>
      </w:pPr>
    </w:p>
    <w:p w14:paraId="4F3E9A66" w14:textId="77777777" w:rsidR="00861A88" w:rsidRDefault="00861A88" w:rsidP="00861A88">
      <w:pPr>
        <w:pStyle w:val="Normal2"/>
        <w:rPr>
          <w:rFonts w:ascii="Century Schoolbook" w:hAnsi="Century Schoolbook"/>
        </w:rPr>
      </w:pPr>
    </w:p>
    <w:p w14:paraId="2FB624EE" w14:textId="77777777" w:rsidR="00861A88" w:rsidRDefault="00861A88" w:rsidP="00861A88">
      <w:pPr>
        <w:pStyle w:val="Normal2"/>
        <w:rPr>
          <w:rFonts w:ascii="Century Schoolbook" w:hAnsi="Century Schoolbook"/>
        </w:rPr>
      </w:pPr>
    </w:p>
    <w:p w14:paraId="79B38B2F" w14:textId="77777777" w:rsidR="00861A88" w:rsidRDefault="00861A88" w:rsidP="00861A88">
      <w:pPr>
        <w:pStyle w:val="Normal2"/>
        <w:rPr>
          <w:rFonts w:ascii="Century Schoolbook" w:hAnsi="Century Schoolbook"/>
        </w:rPr>
      </w:pPr>
    </w:p>
    <w:p w14:paraId="77EF8A46" w14:textId="77777777" w:rsidR="00861A88" w:rsidRDefault="00861A88" w:rsidP="00861A88">
      <w:pPr>
        <w:pStyle w:val="Normal2"/>
        <w:rPr>
          <w:rFonts w:ascii="Century Schoolbook" w:hAnsi="Century Schoolbook"/>
        </w:rPr>
      </w:pPr>
    </w:p>
    <w:p w14:paraId="3B98978A" w14:textId="77777777" w:rsidR="00861A88" w:rsidRDefault="00861A88" w:rsidP="00861A88">
      <w:pPr>
        <w:pStyle w:val="Normal2"/>
        <w:rPr>
          <w:rFonts w:ascii="Century Schoolbook" w:hAnsi="Century Schoolbook"/>
        </w:rPr>
      </w:pPr>
    </w:p>
    <w:p w14:paraId="67FA6990" w14:textId="77777777" w:rsidR="00861A88" w:rsidRDefault="00861A88" w:rsidP="00861A88">
      <w:pPr>
        <w:pStyle w:val="Normal2"/>
        <w:rPr>
          <w:rFonts w:ascii="Century Schoolbook" w:hAnsi="Century Schoolbook"/>
        </w:rPr>
      </w:pPr>
    </w:p>
    <w:p w14:paraId="0CB0B0C0" w14:textId="77777777" w:rsidR="00861A88" w:rsidRDefault="00861A88" w:rsidP="00861A88">
      <w:pPr>
        <w:pStyle w:val="Normal2"/>
        <w:rPr>
          <w:rFonts w:ascii="Century Schoolbook" w:hAnsi="Century Schoolbook"/>
        </w:rPr>
      </w:pPr>
    </w:p>
    <w:p w14:paraId="71797DC1" w14:textId="77777777" w:rsidR="00861A88" w:rsidRDefault="00861A88" w:rsidP="00861A88">
      <w:pPr>
        <w:pStyle w:val="Normal2"/>
        <w:rPr>
          <w:rFonts w:ascii="Century Schoolbook" w:hAnsi="Century Schoolbook"/>
        </w:rPr>
      </w:pPr>
    </w:p>
    <w:p w14:paraId="5CDA444E" w14:textId="77777777" w:rsidR="00861A88" w:rsidRDefault="00A3579F" w:rsidP="00861A88">
      <w:pPr>
        <w:spacing w:line="240" w:lineRule="auto"/>
      </w:pPr>
      <w:r>
        <w:t xml:space="preserve">**Judge of the Contra Costa County Superior Court, assigned by the Chief Justice pursuant to article VI, section 6 of the California Constitution.  </w:t>
      </w:r>
    </w:p>
    <w:p w14:paraId="3C7B5375" w14:textId="77777777" w:rsidR="00861A88" w:rsidRDefault="00861A88" w:rsidP="00861A88">
      <w:pPr>
        <w:spacing w:line="240" w:lineRule="auto"/>
      </w:pPr>
    </w:p>
    <w:p w14:paraId="623D714A" w14:textId="77777777" w:rsidR="00861A88" w:rsidRDefault="00861A88" w:rsidP="00861A88">
      <w:pPr>
        <w:pStyle w:val="Normal2"/>
        <w:rPr>
          <w:rFonts w:ascii="Century Schoolbook" w:hAnsi="Century Schoolbook"/>
        </w:rPr>
      </w:pPr>
    </w:p>
    <w:p w14:paraId="6A301027" w14:textId="77777777" w:rsidR="00861A88" w:rsidRDefault="00861A88" w:rsidP="00861A88">
      <w:pPr>
        <w:pStyle w:val="Normal2"/>
        <w:rPr>
          <w:rFonts w:ascii="Century Schoolbook" w:hAnsi="Century Schoolbook"/>
        </w:rPr>
      </w:pPr>
    </w:p>
    <w:p w14:paraId="50E89410" w14:textId="77777777" w:rsidR="00861A88" w:rsidRDefault="00861A88" w:rsidP="00861A88">
      <w:pPr>
        <w:pStyle w:val="Normal2"/>
        <w:rPr>
          <w:rFonts w:ascii="Century Schoolbook" w:hAnsi="Century Schoolbook"/>
        </w:rPr>
      </w:pPr>
    </w:p>
    <w:p w14:paraId="0585193C" w14:textId="29505FEB" w:rsidR="00861A88" w:rsidRDefault="00A3579F" w:rsidP="00861A88">
      <w:r>
        <w:t>A163817, Lee v. Cardiff</w:t>
      </w:r>
    </w:p>
    <w:p w14:paraId="57934075" w14:textId="77777777" w:rsidR="00BF6541" w:rsidRDefault="00BF6541" w:rsidP="007418C1">
      <w:pPr>
        <w:spacing w:line="360" w:lineRule="auto"/>
        <w:sectPr w:rsidR="00BF6541" w:rsidSect="000F58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496A7F84" w14:textId="77777777" w:rsidR="00BF6541" w:rsidRPr="00BF6541" w:rsidRDefault="00BF6541" w:rsidP="00BF6541">
      <w:pPr>
        <w:tabs>
          <w:tab w:val="clear" w:pos="720"/>
        </w:tabs>
        <w:spacing w:line="240" w:lineRule="auto"/>
        <w:rPr>
          <w:rFonts w:ascii="Times New Roman" w:eastAsia="Times New Roman" w:hAnsi="Times New Roman" w:cs="Times New Roman"/>
          <w:sz w:val="20"/>
          <w:szCs w:val="24"/>
          <w:lang w:eastAsia="zh-CN"/>
        </w:rPr>
      </w:pPr>
      <w:r w:rsidRPr="00BF6541">
        <w:rPr>
          <w:rFonts w:ascii="Times New Roman" w:eastAsia="Times New Roman" w:hAnsi="Times New Roman" w:cs="Times New Roman"/>
          <w:sz w:val="20"/>
          <w:szCs w:val="24"/>
          <w:lang w:eastAsia="zh-CN"/>
        </w:rPr>
        <w:t>Filed 8/11/23</w:t>
      </w:r>
    </w:p>
    <w:p w14:paraId="15AABE5A" w14:textId="77777777" w:rsidR="00BF6541" w:rsidRPr="00BF6541" w:rsidRDefault="00BF6541" w:rsidP="00BF6541">
      <w:pPr>
        <w:tabs>
          <w:tab w:val="clear" w:pos="720"/>
        </w:tabs>
        <w:spacing w:line="240" w:lineRule="auto"/>
        <w:jc w:val="center"/>
        <w:rPr>
          <w:rFonts w:ascii="Times New Roman" w:eastAsia="Times New Roman" w:hAnsi="Times New Roman" w:cs="Times New Roman"/>
          <w:b/>
          <w:sz w:val="24"/>
          <w:szCs w:val="24"/>
          <w:lang w:eastAsia="zh-CN"/>
        </w:rPr>
      </w:pPr>
      <w:r w:rsidRPr="00BF6541">
        <w:rPr>
          <w:rFonts w:ascii="Times New Roman" w:eastAsia="Times New Roman" w:hAnsi="Times New Roman" w:cs="Times New Roman"/>
          <w:b/>
          <w:sz w:val="24"/>
          <w:szCs w:val="24"/>
          <w:lang w:eastAsia="zh-CN"/>
        </w:rPr>
        <w:t>CERTIFIED FOR PUBLICATION</w:t>
      </w:r>
    </w:p>
    <w:p w14:paraId="52553C8A" w14:textId="77777777" w:rsidR="00BF6541" w:rsidRPr="00BF6541" w:rsidRDefault="00BF6541" w:rsidP="00BF6541">
      <w:pPr>
        <w:tabs>
          <w:tab w:val="clear" w:pos="720"/>
        </w:tabs>
        <w:spacing w:line="240" w:lineRule="auto"/>
        <w:jc w:val="center"/>
        <w:rPr>
          <w:rFonts w:ascii="Times New Roman" w:eastAsia="Times New Roman" w:hAnsi="Times New Roman" w:cs="Times New Roman"/>
          <w:b/>
          <w:sz w:val="24"/>
          <w:szCs w:val="24"/>
          <w:lang w:eastAsia="zh-CN"/>
        </w:rPr>
      </w:pPr>
    </w:p>
    <w:p w14:paraId="2B005CAA" w14:textId="77777777" w:rsidR="00BF6541" w:rsidRPr="00BF6541" w:rsidRDefault="00BF6541" w:rsidP="00BF6541">
      <w:pPr>
        <w:tabs>
          <w:tab w:val="clear" w:pos="720"/>
        </w:tabs>
        <w:spacing w:line="240" w:lineRule="auto"/>
        <w:jc w:val="center"/>
        <w:rPr>
          <w:rFonts w:eastAsia="Times New Roman" w:cs="Times New Roman"/>
          <w:sz w:val="24"/>
          <w:szCs w:val="24"/>
          <w:lang w:eastAsia="zh-CN"/>
        </w:rPr>
      </w:pPr>
      <w:r w:rsidRPr="00BF6541">
        <w:rPr>
          <w:rFonts w:eastAsia="Times New Roman" w:cs="Times New Roman"/>
          <w:sz w:val="24"/>
          <w:szCs w:val="24"/>
          <w:lang w:eastAsia="zh-CN"/>
        </w:rPr>
        <w:t>IN THE COURT OF APPEAL OF THE STATE OF CALIFORNIA</w:t>
      </w:r>
    </w:p>
    <w:p w14:paraId="47EFBA20" w14:textId="77777777" w:rsidR="00BF6541" w:rsidRPr="00BF6541" w:rsidRDefault="00BF6541" w:rsidP="00BF6541">
      <w:pPr>
        <w:tabs>
          <w:tab w:val="clear" w:pos="720"/>
        </w:tabs>
        <w:spacing w:line="240" w:lineRule="auto"/>
        <w:jc w:val="center"/>
        <w:rPr>
          <w:rFonts w:eastAsia="Times New Roman" w:cs="Times New Roman"/>
          <w:sz w:val="24"/>
          <w:szCs w:val="24"/>
          <w:lang w:eastAsia="zh-CN"/>
        </w:rPr>
      </w:pPr>
    </w:p>
    <w:p w14:paraId="52C44BB2" w14:textId="77777777" w:rsidR="00BF6541" w:rsidRPr="00BF6541" w:rsidRDefault="00BF6541" w:rsidP="00BF6541">
      <w:pPr>
        <w:tabs>
          <w:tab w:val="clear" w:pos="720"/>
        </w:tabs>
        <w:spacing w:line="240" w:lineRule="auto"/>
        <w:jc w:val="center"/>
        <w:rPr>
          <w:rFonts w:eastAsia="Times New Roman" w:cs="Times New Roman"/>
          <w:sz w:val="24"/>
          <w:szCs w:val="24"/>
          <w:lang w:eastAsia="zh-CN"/>
        </w:rPr>
      </w:pPr>
      <w:r w:rsidRPr="00BF6541">
        <w:rPr>
          <w:rFonts w:eastAsia="Times New Roman" w:cs="Times New Roman"/>
          <w:sz w:val="24"/>
          <w:szCs w:val="24"/>
          <w:lang w:eastAsia="zh-CN"/>
        </w:rPr>
        <w:t>FIRST APPELLATE DISTRICT</w:t>
      </w:r>
    </w:p>
    <w:p w14:paraId="4F98BEFC" w14:textId="77777777" w:rsidR="00BF6541" w:rsidRPr="00BF6541" w:rsidRDefault="00BF6541" w:rsidP="00BF6541">
      <w:pPr>
        <w:tabs>
          <w:tab w:val="clear" w:pos="720"/>
        </w:tabs>
        <w:spacing w:line="240" w:lineRule="auto"/>
        <w:jc w:val="center"/>
        <w:rPr>
          <w:rFonts w:eastAsia="Times New Roman" w:cs="Times New Roman"/>
          <w:sz w:val="24"/>
          <w:szCs w:val="24"/>
          <w:lang w:eastAsia="zh-CN"/>
        </w:rPr>
      </w:pPr>
    </w:p>
    <w:p w14:paraId="31E3A2CA" w14:textId="77777777" w:rsidR="00BF6541" w:rsidRPr="00BF6541" w:rsidRDefault="00BF6541" w:rsidP="00BF6541">
      <w:pPr>
        <w:tabs>
          <w:tab w:val="clear" w:pos="720"/>
        </w:tabs>
        <w:spacing w:line="240" w:lineRule="auto"/>
        <w:jc w:val="center"/>
        <w:rPr>
          <w:rFonts w:eastAsia="Times New Roman" w:cs="Times New Roman"/>
          <w:sz w:val="24"/>
          <w:szCs w:val="24"/>
          <w:lang w:eastAsia="zh-CN"/>
        </w:rPr>
      </w:pPr>
      <w:r w:rsidRPr="00BF6541">
        <w:rPr>
          <w:rFonts w:eastAsia="Times New Roman" w:cs="Times New Roman"/>
          <w:sz w:val="24"/>
          <w:szCs w:val="24"/>
          <w:lang w:eastAsia="zh-CN"/>
        </w:rPr>
        <w:t>DIVISION ONE</w:t>
      </w:r>
    </w:p>
    <w:p w14:paraId="04E8DFAD" w14:textId="77777777" w:rsidR="00BF6541" w:rsidRPr="00BF6541" w:rsidRDefault="00BF6541" w:rsidP="00BF6541">
      <w:pPr>
        <w:tabs>
          <w:tab w:val="clear" w:pos="720"/>
        </w:tabs>
        <w:spacing w:line="240" w:lineRule="auto"/>
        <w:jc w:val="center"/>
        <w:rPr>
          <w:rFonts w:eastAsia="Times New Roman" w:cs="Times New Roman"/>
          <w:sz w:val="24"/>
          <w:szCs w:val="24"/>
          <w:lang w:eastAsia="zh-CN"/>
        </w:rPr>
      </w:pPr>
    </w:p>
    <w:p w14:paraId="74D99D7A" w14:textId="77777777" w:rsidR="00BF6541" w:rsidRPr="00BF6541" w:rsidRDefault="00BF6541" w:rsidP="00BF6541">
      <w:pPr>
        <w:tabs>
          <w:tab w:val="clear" w:pos="720"/>
        </w:tabs>
        <w:spacing w:line="240" w:lineRule="auto"/>
        <w:jc w:val="center"/>
        <w:rPr>
          <w:rFonts w:eastAsia="Times New Roman" w:cs="Times New Roman"/>
          <w:sz w:val="24"/>
          <w:szCs w:val="24"/>
          <w:lang w:eastAsia="zh-CN"/>
        </w:rPr>
      </w:pPr>
    </w:p>
    <w:tbl>
      <w:tblPr>
        <w:tblW w:w="9360" w:type="dxa"/>
        <w:tblLayout w:type="fixed"/>
        <w:tblLook w:val="04A0" w:firstRow="1" w:lastRow="0" w:firstColumn="1" w:lastColumn="0" w:noHBand="0" w:noVBand="1"/>
      </w:tblPr>
      <w:tblGrid>
        <w:gridCol w:w="4680"/>
        <w:gridCol w:w="4680"/>
      </w:tblGrid>
      <w:tr w:rsidR="00BF6541" w:rsidRPr="00BF6541" w14:paraId="26F30C81" w14:textId="77777777" w:rsidTr="001677E8">
        <w:trPr>
          <w:trHeight w:val="3141"/>
        </w:trPr>
        <w:tc>
          <w:tcPr>
            <w:tcW w:w="4680" w:type="dxa"/>
            <w:tcBorders>
              <w:top w:val="nil"/>
              <w:left w:val="nil"/>
              <w:bottom w:val="single" w:sz="4" w:space="0" w:color="auto"/>
              <w:right w:val="single" w:sz="4" w:space="0" w:color="auto"/>
            </w:tcBorders>
            <w:hideMark/>
          </w:tcPr>
          <w:p w14:paraId="5B7B42E9" w14:textId="77777777" w:rsidR="00BF6541" w:rsidRPr="00BF6541" w:rsidRDefault="00BF6541" w:rsidP="00BF6541">
            <w:pPr>
              <w:tabs>
                <w:tab w:val="clear" w:pos="720"/>
              </w:tabs>
              <w:spacing w:after="120" w:line="240" w:lineRule="auto"/>
              <w:rPr>
                <w:rFonts w:eastAsia="Times New Roman" w:cs="Times New Roman"/>
                <w:sz w:val="24"/>
                <w:szCs w:val="24"/>
                <w:lang w:eastAsia="zh-CN"/>
              </w:rPr>
            </w:pPr>
            <w:r w:rsidRPr="00BF6541">
              <w:rPr>
                <w:rFonts w:eastAsia="Times New Roman" w:cs="Times New Roman"/>
                <w:sz w:val="24"/>
                <w:szCs w:val="24"/>
                <w:lang w:eastAsia="zh-CN"/>
              </w:rPr>
              <w:t>DIANNE LEE,</w:t>
            </w:r>
          </w:p>
          <w:p w14:paraId="22C2CC92" w14:textId="77777777" w:rsidR="00BF6541" w:rsidRPr="00BF6541" w:rsidRDefault="00BF6541" w:rsidP="00BF6541">
            <w:pPr>
              <w:tabs>
                <w:tab w:val="clear" w:pos="720"/>
              </w:tabs>
              <w:spacing w:after="120" w:line="240" w:lineRule="auto"/>
              <w:rPr>
                <w:rFonts w:eastAsia="Times New Roman" w:cs="Times New Roman"/>
                <w:sz w:val="24"/>
                <w:szCs w:val="24"/>
                <w:lang w:eastAsia="zh-CN"/>
              </w:rPr>
            </w:pPr>
            <w:r w:rsidRPr="00BF6541">
              <w:rPr>
                <w:rFonts w:eastAsia="Times New Roman" w:cs="Times New Roman"/>
                <w:sz w:val="24"/>
                <w:szCs w:val="24"/>
                <w:lang w:eastAsia="zh-CN"/>
              </w:rPr>
              <w:tab/>
              <w:t>Plaintiff and Appellant,</w:t>
            </w:r>
          </w:p>
          <w:p w14:paraId="262ED468" w14:textId="77777777" w:rsidR="00BF6541" w:rsidRPr="00BF6541" w:rsidRDefault="00BF6541" w:rsidP="00BF6541">
            <w:pPr>
              <w:tabs>
                <w:tab w:val="clear" w:pos="720"/>
              </w:tabs>
              <w:spacing w:after="120" w:line="240" w:lineRule="auto"/>
              <w:rPr>
                <w:rFonts w:eastAsia="Times New Roman" w:cs="Times New Roman"/>
                <w:sz w:val="24"/>
                <w:szCs w:val="24"/>
                <w:lang w:eastAsia="zh-CN"/>
              </w:rPr>
            </w:pPr>
            <w:r w:rsidRPr="00BF6541">
              <w:rPr>
                <w:rFonts w:eastAsia="Times New Roman" w:cs="Times New Roman"/>
                <w:sz w:val="24"/>
                <w:szCs w:val="24"/>
                <w:lang w:eastAsia="zh-CN"/>
              </w:rPr>
              <w:t>v.</w:t>
            </w:r>
          </w:p>
          <w:p w14:paraId="6D976BAD" w14:textId="77777777" w:rsidR="00BF6541" w:rsidRPr="00BF6541" w:rsidRDefault="00BF6541" w:rsidP="00BF6541">
            <w:pPr>
              <w:tabs>
                <w:tab w:val="clear" w:pos="720"/>
              </w:tabs>
              <w:spacing w:after="120" w:line="240" w:lineRule="auto"/>
              <w:rPr>
                <w:rFonts w:eastAsia="Times New Roman" w:cs="Times New Roman"/>
                <w:sz w:val="24"/>
                <w:szCs w:val="24"/>
                <w:lang w:eastAsia="zh-CN"/>
              </w:rPr>
            </w:pPr>
            <w:r w:rsidRPr="00BF6541">
              <w:rPr>
                <w:rFonts w:eastAsia="Times New Roman" w:cs="Times New Roman"/>
                <w:sz w:val="24"/>
                <w:szCs w:val="24"/>
                <w:lang w:eastAsia="zh-CN"/>
              </w:rPr>
              <w:t>DAVID BRIAN CARDIFF,</w:t>
            </w:r>
          </w:p>
          <w:p w14:paraId="650ABA24" w14:textId="77777777" w:rsidR="00BF6541" w:rsidRPr="00BF6541" w:rsidRDefault="00BF6541" w:rsidP="00BF6541">
            <w:pPr>
              <w:tabs>
                <w:tab w:val="clear" w:pos="720"/>
              </w:tabs>
              <w:spacing w:after="120" w:line="240" w:lineRule="auto"/>
              <w:rPr>
                <w:rFonts w:eastAsia="Times New Roman" w:cs="Times New Roman"/>
                <w:sz w:val="24"/>
                <w:szCs w:val="24"/>
                <w:lang w:eastAsia="zh-CN"/>
              </w:rPr>
            </w:pPr>
            <w:r w:rsidRPr="00BF6541">
              <w:rPr>
                <w:rFonts w:eastAsia="Times New Roman" w:cs="Times New Roman"/>
                <w:sz w:val="24"/>
                <w:szCs w:val="24"/>
                <w:lang w:eastAsia="zh-CN"/>
              </w:rPr>
              <w:tab/>
              <w:t>Defendant and Respondent.</w:t>
            </w:r>
          </w:p>
        </w:tc>
        <w:tc>
          <w:tcPr>
            <w:tcW w:w="4680" w:type="dxa"/>
            <w:tcBorders>
              <w:top w:val="nil"/>
              <w:left w:val="single" w:sz="4" w:space="0" w:color="auto"/>
              <w:bottom w:val="nil"/>
              <w:right w:val="nil"/>
            </w:tcBorders>
          </w:tcPr>
          <w:p w14:paraId="6793DF4D" w14:textId="77777777" w:rsidR="00BF6541" w:rsidRPr="00BF6541" w:rsidRDefault="00BF6541" w:rsidP="00BF6541">
            <w:pPr>
              <w:tabs>
                <w:tab w:val="clear" w:pos="720"/>
              </w:tabs>
              <w:spacing w:line="240" w:lineRule="auto"/>
              <w:rPr>
                <w:rFonts w:eastAsia="Times New Roman" w:cs="Times New Roman"/>
                <w:sz w:val="24"/>
                <w:szCs w:val="24"/>
                <w:lang w:eastAsia="zh-CN"/>
              </w:rPr>
            </w:pPr>
          </w:p>
          <w:p w14:paraId="2EEA8037" w14:textId="77777777" w:rsidR="00BF6541" w:rsidRPr="00BF6541" w:rsidRDefault="00BF6541" w:rsidP="00BF6541">
            <w:pPr>
              <w:tabs>
                <w:tab w:val="clear" w:pos="720"/>
              </w:tabs>
              <w:spacing w:line="240" w:lineRule="auto"/>
              <w:rPr>
                <w:rFonts w:eastAsia="Times New Roman" w:cs="Times New Roman"/>
                <w:sz w:val="24"/>
                <w:szCs w:val="24"/>
                <w:lang w:eastAsia="zh-CN"/>
              </w:rPr>
            </w:pPr>
            <w:r w:rsidRPr="00BF6541">
              <w:rPr>
                <w:rFonts w:eastAsia="Times New Roman" w:cs="Times New Roman"/>
                <w:sz w:val="24"/>
                <w:szCs w:val="24"/>
                <w:lang w:eastAsia="zh-CN"/>
              </w:rPr>
              <w:t xml:space="preserve">      A163817</w:t>
            </w:r>
          </w:p>
          <w:p w14:paraId="75457F64" w14:textId="77777777" w:rsidR="00BF6541" w:rsidRPr="00BF6541" w:rsidRDefault="00BF6541" w:rsidP="00BF6541">
            <w:pPr>
              <w:tabs>
                <w:tab w:val="clear" w:pos="720"/>
              </w:tabs>
              <w:spacing w:line="240" w:lineRule="auto"/>
              <w:rPr>
                <w:rFonts w:eastAsia="Times New Roman" w:cs="Times New Roman"/>
                <w:sz w:val="24"/>
                <w:szCs w:val="24"/>
                <w:lang w:eastAsia="zh-CN"/>
              </w:rPr>
            </w:pPr>
          </w:p>
          <w:p w14:paraId="06350F20" w14:textId="77777777" w:rsidR="00BF6541" w:rsidRPr="00BF6541" w:rsidRDefault="00BF6541" w:rsidP="00BF6541">
            <w:pPr>
              <w:tabs>
                <w:tab w:val="clear" w:pos="720"/>
              </w:tabs>
              <w:spacing w:line="240" w:lineRule="auto"/>
              <w:rPr>
                <w:rFonts w:eastAsia="Times New Roman" w:cs="Times New Roman"/>
                <w:sz w:val="24"/>
                <w:szCs w:val="24"/>
                <w:lang w:eastAsia="zh-CN"/>
              </w:rPr>
            </w:pPr>
            <w:r w:rsidRPr="00BF6541">
              <w:rPr>
                <w:rFonts w:eastAsia="Times New Roman" w:cs="Times New Roman"/>
                <w:sz w:val="24"/>
                <w:szCs w:val="24"/>
                <w:lang w:eastAsia="zh-CN"/>
              </w:rPr>
              <w:t xml:space="preserve">      (Contra Costa County</w:t>
            </w:r>
          </w:p>
          <w:p w14:paraId="3C91F267" w14:textId="77777777" w:rsidR="00BF6541" w:rsidRPr="00BF6541" w:rsidRDefault="00BF6541" w:rsidP="00BF6541">
            <w:pPr>
              <w:tabs>
                <w:tab w:val="clear" w:pos="720"/>
              </w:tabs>
              <w:spacing w:line="240" w:lineRule="auto"/>
              <w:rPr>
                <w:rFonts w:eastAsia="Times New Roman" w:cs="Times New Roman"/>
                <w:sz w:val="24"/>
                <w:szCs w:val="24"/>
                <w:lang w:eastAsia="zh-CN"/>
              </w:rPr>
            </w:pPr>
            <w:r w:rsidRPr="00BF6541">
              <w:rPr>
                <w:rFonts w:eastAsia="Times New Roman" w:cs="Times New Roman"/>
                <w:sz w:val="24"/>
                <w:szCs w:val="24"/>
                <w:lang w:eastAsia="zh-CN"/>
              </w:rPr>
              <w:t xml:space="preserve">      Super. Ct. No. </w:t>
            </w:r>
            <w:r w:rsidRPr="00BF6541">
              <w:rPr>
                <w:rFonts w:eastAsia="Century Schoolbook" w:cs="Century Schoolbook"/>
                <w:lang w:eastAsia="zh-CN"/>
              </w:rPr>
              <w:t>C1901123</w:t>
            </w:r>
            <w:r w:rsidRPr="00BF6541">
              <w:rPr>
                <w:rFonts w:eastAsia="Times New Roman" w:cs="Times New Roman"/>
                <w:sz w:val="24"/>
                <w:szCs w:val="24"/>
                <w:lang w:eastAsia="zh-CN"/>
              </w:rPr>
              <w:t>)</w:t>
            </w:r>
          </w:p>
          <w:p w14:paraId="460D209A" w14:textId="77777777" w:rsidR="00BF6541" w:rsidRPr="00BF6541" w:rsidRDefault="00BF6541" w:rsidP="00BF6541">
            <w:pPr>
              <w:tabs>
                <w:tab w:val="clear" w:pos="720"/>
              </w:tabs>
              <w:spacing w:line="240" w:lineRule="auto"/>
              <w:ind w:left="342"/>
              <w:rPr>
                <w:rFonts w:ascii="Times New Roman" w:eastAsia="Times New Roman" w:hAnsi="Times New Roman" w:cs="Times New Roman"/>
                <w:sz w:val="24"/>
                <w:szCs w:val="24"/>
                <w:lang w:eastAsia="zh-CN"/>
              </w:rPr>
            </w:pPr>
          </w:p>
          <w:p w14:paraId="00A87CDB" w14:textId="77777777" w:rsidR="00BF6541" w:rsidRPr="00BF6541" w:rsidRDefault="00BF6541" w:rsidP="00BF6541">
            <w:pPr>
              <w:tabs>
                <w:tab w:val="clear" w:pos="720"/>
              </w:tabs>
              <w:spacing w:line="240" w:lineRule="auto"/>
              <w:ind w:left="342"/>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ORDER CERTIFYING OPINION FOR PUBLICATION</w:t>
            </w:r>
          </w:p>
          <w:p w14:paraId="5ACA86EB" w14:textId="77777777" w:rsidR="00BF6541" w:rsidRPr="00BF6541" w:rsidRDefault="00BF6541" w:rsidP="00BF6541">
            <w:pPr>
              <w:tabs>
                <w:tab w:val="clear" w:pos="720"/>
              </w:tabs>
              <w:spacing w:line="240" w:lineRule="auto"/>
              <w:ind w:left="342"/>
              <w:rPr>
                <w:rFonts w:ascii="Times New Roman" w:eastAsia="Times New Roman" w:hAnsi="Times New Roman" w:cs="Times New Roman"/>
                <w:sz w:val="24"/>
                <w:szCs w:val="24"/>
                <w:lang w:eastAsia="zh-CN"/>
              </w:rPr>
            </w:pPr>
          </w:p>
          <w:p w14:paraId="26A6C967" w14:textId="77777777" w:rsidR="00BF6541" w:rsidRPr="00BF6541" w:rsidRDefault="00BF6541" w:rsidP="00BF6541">
            <w:pPr>
              <w:tabs>
                <w:tab w:val="clear" w:pos="720"/>
              </w:tabs>
              <w:spacing w:line="240" w:lineRule="auto"/>
              <w:ind w:left="342"/>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[NO CHANGE IN JUDGMENT]</w:t>
            </w:r>
          </w:p>
          <w:p w14:paraId="6789462A" w14:textId="77777777" w:rsidR="00BF6541" w:rsidRPr="00BF6541" w:rsidRDefault="00BF6541" w:rsidP="00BF6541">
            <w:pPr>
              <w:tabs>
                <w:tab w:val="clear" w:pos="720"/>
              </w:tabs>
              <w:spacing w:line="240" w:lineRule="auto"/>
              <w:rPr>
                <w:rFonts w:eastAsia="Times New Roman" w:cs="Times New Roman"/>
                <w:sz w:val="24"/>
                <w:szCs w:val="24"/>
                <w:lang w:eastAsia="zh-CN"/>
              </w:rPr>
            </w:pPr>
          </w:p>
          <w:p w14:paraId="1855999E" w14:textId="77777777" w:rsidR="00BF6541" w:rsidRPr="00BF6541" w:rsidRDefault="00BF6541" w:rsidP="00BF6541">
            <w:pPr>
              <w:tabs>
                <w:tab w:val="clear" w:pos="720"/>
              </w:tabs>
              <w:spacing w:line="240" w:lineRule="auto"/>
              <w:rPr>
                <w:rFonts w:eastAsia="Times New Roman" w:cs="Times New Roman"/>
                <w:sz w:val="24"/>
                <w:szCs w:val="24"/>
                <w:lang w:eastAsia="zh-CN"/>
              </w:rPr>
            </w:pPr>
          </w:p>
        </w:tc>
      </w:tr>
    </w:tbl>
    <w:p w14:paraId="55337CFD"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334EE4BB" w14:textId="77777777" w:rsidR="00BF6541" w:rsidRPr="00BF6541" w:rsidRDefault="00BF6541" w:rsidP="00BF6541">
      <w:pPr>
        <w:tabs>
          <w:tab w:val="clear" w:pos="720"/>
        </w:tabs>
        <w:spacing w:line="360" w:lineRule="auto"/>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THE COURT:</w:t>
      </w:r>
    </w:p>
    <w:p w14:paraId="74A9A635" w14:textId="77777777" w:rsidR="00BF6541" w:rsidRPr="00BF6541" w:rsidRDefault="00BF6541" w:rsidP="00BF6541">
      <w:pPr>
        <w:tabs>
          <w:tab w:val="clear" w:pos="720"/>
        </w:tabs>
        <w:spacing w:line="360" w:lineRule="auto"/>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ab/>
        <w:t xml:space="preserve">The opinion in the above-entitled matter, filed on July 13, 2023, was not certified for publication in the Official Reports.  After the court’s review of a request under California Rules of Court, rule 8.1120, and good cause established under rule 8.1105, it is hereby ordered that the opinion should be published in the Official Reports. </w:t>
      </w:r>
    </w:p>
    <w:p w14:paraId="2B5A3C03" w14:textId="77777777" w:rsidR="00BF6541" w:rsidRPr="00BF6541" w:rsidRDefault="00BF6541" w:rsidP="00BF6541">
      <w:pPr>
        <w:tabs>
          <w:tab w:val="clear" w:pos="720"/>
        </w:tabs>
        <w:spacing w:line="360" w:lineRule="auto"/>
        <w:rPr>
          <w:rFonts w:ascii="Times New Roman" w:eastAsia="Times New Roman" w:hAnsi="Times New Roman" w:cs="Times New Roman"/>
          <w:sz w:val="24"/>
          <w:szCs w:val="24"/>
          <w:lang w:eastAsia="zh-CN"/>
        </w:rPr>
      </w:pPr>
    </w:p>
    <w:p w14:paraId="3FBD0333" w14:textId="77777777" w:rsidR="00BF6541" w:rsidRPr="00BF6541" w:rsidRDefault="00BF6541" w:rsidP="00BF6541">
      <w:pPr>
        <w:tabs>
          <w:tab w:val="clear" w:pos="720"/>
        </w:tabs>
        <w:spacing w:line="360" w:lineRule="auto"/>
        <w:rPr>
          <w:rFonts w:ascii="Times New Roman" w:eastAsia="Times New Roman" w:hAnsi="Times New Roman" w:cs="Times New Roman"/>
          <w:sz w:val="24"/>
          <w:szCs w:val="24"/>
          <w:lang w:eastAsia="zh-CN"/>
        </w:rPr>
      </w:pPr>
    </w:p>
    <w:p w14:paraId="513099A3" w14:textId="77777777" w:rsidR="00BF6541" w:rsidRPr="00BF6541" w:rsidRDefault="00BF6541" w:rsidP="00BF6541">
      <w:pPr>
        <w:tabs>
          <w:tab w:val="clear" w:pos="720"/>
        </w:tabs>
        <w:spacing w:line="360" w:lineRule="auto"/>
        <w:rPr>
          <w:rFonts w:ascii="Times New Roman" w:eastAsia="Times New Roman" w:hAnsi="Times New Roman" w:cs="Times New Roman"/>
          <w:sz w:val="24"/>
          <w:szCs w:val="24"/>
          <w:lang w:eastAsia="zh-CN"/>
        </w:rPr>
      </w:pPr>
    </w:p>
    <w:p w14:paraId="5082E173" w14:textId="77777777" w:rsidR="00BF6541" w:rsidRPr="00BF6541" w:rsidRDefault="00BF6541" w:rsidP="00BF6541">
      <w:pPr>
        <w:tabs>
          <w:tab w:val="clear" w:pos="720"/>
        </w:tabs>
        <w:spacing w:line="360" w:lineRule="auto"/>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Dated:</w:t>
      </w:r>
      <w:r w:rsidRPr="00BF6541">
        <w:rPr>
          <w:rFonts w:ascii="Times New Roman" w:eastAsia="Times New Roman" w:hAnsi="Times New Roman" w:cs="Times New Roman"/>
          <w:sz w:val="24"/>
          <w:szCs w:val="24"/>
          <w:lang w:eastAsia="zh-CN"/>
        </w:rPr>
        <w:tab/>
      </w:r>
      <w:r w:rsidRPr="00BF6541">
        <w:rPr>
          <w:rFonts w:ascii="Times New Roman" w:eastAsia="Times New Roman" w:hAnsi="Times New Roman" w:cs="Times New Roman"/>
          <w:sz w:val="24"/>
          <w:szCs w:val="24"/>
          <w:lang w:eastAsia="zh-CN"/>
        </w:rPr>
        <w:tab/>
      </w:r>
      <w:r w:rsidRPr="00BF6541">
        <w:rPr>
          <w:rFonts w:ascii="Times New Roman" w:eastAsia="Times New Roman" w:hAnsi="Times New Roman" w:cs="Times New Roman"/>
          <w:sz w:val="24"/>
          <w:szCs w:val="24"/>
          <w:lang w:eastAsia="zh-CN"/>
        </w:rPr>
        <w:tab/>
      </w:r>
      <w:r w:rsidRPr="00BF6541">
        <w:rPr>
          <w:rFonts w:ascii="Times New Roman" w:eastAsia="Times New Roman" w:hAnsi="Times New Roman" w:cs="Times New Roman"/>
          <w:sz w:val="24"/>
          <w:szCs w:val="24"/>
          <w:lang w:eastAsia="zh-CN"/>
        </w:rPr>
        <w:tab/>
      </w:r>
      <w:r w:rsidRPr="00BF6541">
        <w:rPr>
          <w:rFonts w:ascii="Times New Roman" w:eastAsia="Times New Roman" w:hAnsi="Times New Roman" w:cs="Times New Roman"/>
          <w:sz w:val="24"/>
          <w:szCs w:val="24"/>
          <w:lang w:eastAsia="zh-CN"/>
        </w:rPr>
        <w:tab/>
        <w:t>_______________________________</w:t>
      </w:r>
    </w:p>
    <w:p w14:paraId="480FCD72" w14:textId="77777777" w:rsidR="00BF6541" w:rsidRPr="00BF6541" w:rsidRDefault="00BF6541" w:rsidP="00BF6541">
      <w:pPr>
        <w:tabs>
          <w:tab w:val="clear" w:pos="720"/>
        </w:tabs>
        <w:spacing w:line="360" w:lineRule="auto"/>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ab/>
      </w:r>
      <w:r w:rsidRPr="00BF6541">
        <w:rPr>
          <w:rFonts w:ascii="Times New Roman" w:eastAsia="Times New Roman" w:hAnsi="Times New Roman" w:cs="Times New Roman"/>
          <w:sz w:val="24"/>
          <w:szCs w:val="24"/>
          <w:lang w:eastAsia="zh-CN"/>
        </w:rPr>
        <w:tab/>
      </w:r>
      <w:r w:rsidRPr="00BF6541">
        <w:rPr>
          <w:rFonts w:ascii="Times New Roman" w:eastAsia="Times New Roman" w:hAnsi="Times New Roman" w:cs="Times New Roman"/>
          <w:sz w:val="24"/>
          <w:szCs w:val="24"/>
          <w:lang w:eastAsia="zh-CN"/>
        </w:rPr>
        <w:tab/>
      </w:r>
      <w:r w:rsidRPr="00BF6541">
        <w:rPr>
          <w:rFonts w:ascii="Times New Roman" w:eastAsia="Times New Roman" w:hAnsi="Times New Roman" w:cs="Times New Roman"/>
          <w:sz w:val="24"/>
          <w:szCs w:val="24"/>
          <w:lang w:eastAsia="zh-CN"/>
        </w:rPr>
        <w:tab/>
      </w:r>
      <w:r w:rsidRPr="00BF6541">
        <w:rPr>
          <w:rFonts w:ascii="Times New Roman" w:eastAsia="Times New Roman" w:hAnsi="Times New Roman" w:cs="Times New Roman"/>
          <w:sz w:val="24"/>
          <w:szCs w:val="24"/>
          <w:lang w:eastAsia="zh-CN"/>
        </w:rPr>
        <w:tab/>
      </w:r>
      <w:r w:rsidRPr="00BF6541">
        <w:rPr>
          <w:rFonts w:ascii="Times New Roman" w:eastAsia="Times New Roman" w:hAnsi="Times New Roman" w:cs="Times New Roman"/>
          <w:sz w:val="24"/>
          <w:szCs w:val="24"/>
          <w:lang w:eastAsia="zh-CN"/>
        </w:rPr>
        <w:tab/>
        <w:t>Humes, P. J.</w:t>
      </w:r>
    </w:p>
    <w:p w14:paraId="214971FF"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19A7067A"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37B02AB2"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7C62C73A"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7481F0BB"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37FD2F18"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07047A9F"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51E0E380"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Trial Court:  Contra Costa County Superior Court</w:t>
      </w:r>
    </w:p>
    <w:p w14:paraId="3B84991D"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68F2D1C9"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Trial Judge:  Hon. Steven K. Austin</w:t>
      </w:r>
    </w:p>
    <w:p w14:paraId="46670D92"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7A80760C"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 xml:space="preserve">Counsel:  </w:t>
      </w:r>
    </w:p>
    <w:p w14:paraId="2D3DACA9" w14:textId="77777777" w:rsidR="00BF6541" w:rsidRPr="00BF6541" w:rsidRDefault="00BF6541" w:rsidP="00BF6541">
      <w:pPr>
        <w:tabs>
          <w:tab w:val="clear" w:pos="720"/>
        </w:tabs>
        <w:spacing w:line="240" w:lineRule="auto"/>
        <w:ind w:firstLine="720"/>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Alves Radcliffe and Suzanne M. Alves, for Plaintiff and Appellant.</w:t>
      </w:r>
    </w:p>
    <w:p w14:paraId="3215A470" w14:textId="77777777" w:rsidR="00BF6541" w:rsidRPr="00BF6541" w:rsidRDefault="00BF6541" w:rsidP="00BF6541">
      <w:pPr>
        <w:tabs>
          <w:tab w:val="clear" w:pos="720"/>
        </w:tabs>
        <w:spacing w:line="240" w:lineRule="auto"/>
        <w:ind w:firstLine="720"/>
        <w:rPr>
          <w:rFonts w:ascii="Times New Roman" w:eastAsia="Times New Roman" w:hAnsi="Times New Roman" w:cs="Times New Roman"/>
          <w:sz w:val="24"/>
          <w:szCs w:val="24"/>
          <w:lang w:eastAsia="zh-CN"/>
        </w:rPr>
      </w:pPr>
    </w:p>
    <w:p w14:paraId="03523CC0" w14:textId="77777777" w:rsidR="00BF6541" w:rsidRPr="00BF6541" w:rsidRDefault="00BF6541" w:rsidP="00BF6541">
      <w:pPr>
        <w:tabs>
          <w:tab w:val="clear" w:pos="720"/>
        </w:tabs>
        <w:spacing w:line="240" w:lineRule="auto"/>
        <w:ind w:firstLine="720"/>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 xml:space="preserve">Wood Smith Henning &amp; Berman, David S. Webster and Steven R. Disharoon, for Defendant and Respondent.  </w:t>
      </w:r>
    </w:p>
    <w:p w14:paraId="04F13FFC"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r w:rsidRPr="00BF6541">
        <w:rPr>
          <w:rFonts w:ascii="Times New Roman" w:eastAsia="Times New Roman" w:hAnsi="Times New Roman" w:cs="Times New Roman"/>
          <w:sz w:val="24"/>
          <w:szCs w:val="24"/>
          <w:lang w:eastAsia="zh-CN"/>
        </w:rPr>
        <w:tab/>
      </w:r>
    </w:p>
    <w:p w14:paraId="36305CCC" w14:textId="77777777" w:rsidR="00BF6541" w:rsidRPr="00BF6541" w:rsidRDefault="00BF6541" w:rsidP="00BF6541">
      <w:pPr>
        <w:tabs>
          <w:tab w:val="clear" w:pos="720"/>
        </w:tabs>
        <w:spacing w:line="240" w:lineRule="auto"/>
        <w:rPr>
          <w:rFonts w:ascii="Times New Roman" w:eastAsia="Times New Roman" w:hAnsi="Times New Roman" w:cs="Times New Roman"/>
          <w:sz w:val="24"/>
          <w:szCs w:val="24"/>
          <w:lang w:eastAsia="zh-CN"/>
        </w:rPr>
      </w:pPr>
    </w:p>
    <w:p w14:paraId="621D2F13" w14:textId="77777777" w:rsidR="007418C1" w:rsidRDefault="007418C1" w:rsidP="007418C1">
      <w:pPr>
        <w:spacing w:line="360" w:lineRule="auto"/>
      </w:pPr>
    </w:p>
    <w:sectPr w:rsidR="007418C1" w:rsidSect="0050443E">
      <w:footerReference w:type="default" r:id="rId12"/>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1A7E" w14:textId="77777777" w:rsidR="00231A55" w:rsidRDefault="00A3579F">
      <w:pPr>
        <w:spacing w:line="240" w:lineRule="auto"/>
      </w:pPr>
      <w:r>
        <w:separator/>
      </w:r>
    </w:p>
  </w:endnote>
  <w:endnote w:type="continuationSeparator" w:id="0">
    <w:p w14:paraId="40585631" w14:textId="77777777" w:rsidR="00231A55" w:rsidRDefault="00A35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C12" w14:textId="72B8A09E" w:rsidR="00522C33" w:rsidRDefault="00A3579F" w:rsidP="00F22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3D1D85" w14:textId="26A28814" w:rsidR="00522C33" w:rsidRDefault="00A3579F" w:rsidP="00F227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3D9445" w14:textId="77777777" w:rsidR="00522C33" w:rsidRDefault="0052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325C" w14:textId="5AFCCC37" w:rsidR="00522C33" w:rsidRDefault="00A3579F" w:rsidP="00522C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2B3C05" w14:textId="77777777" w:rsidR="00522C33" w:rsidRDefault="00522C33" w:rsidP="00BF654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13AD" w14:textId="77777777" w:rsidR="00896C9B" w:rsidRDefault="00896C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ED9A" w14:textId="77777777" w:rsidR="00BF6541" w:rsidRDefault="00BF6541" w:rsidP="00BF6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89A8" w14:textId="77777777" w:rsidR="00DB5A0D" w:rsidRDefault="00A3579F" w:rsidP="00522C33">
      <w:pPr>
        <w:spacing w:line="240" w:lineRule="auto"/>
      </w:pPr>
      <w:r>
        <w:separator/>
      </w:r>
    </w:p>
  </w:footnote>
  <w:footnote w:type="continuationSeparator" w:id="0">
    <w:p w14:paraId="321C56E6" w14:textId="77777777" w:rsidR="00DB5A0D" w:rsidRDefault="00A3579F" w:rsidP="00522C33">
      <w:pPr>
        <w:spacing w:line="240" w:lineRule="auto"/>
      </w:pPr>
      <w:r>
        <w:continuationSeparator/>
      </w:r>
    </w:p>
  </w:footnote>
  <w:footnote w:id="1">
    <w:p w14:paraId="7237574B" w14:textId="1C569753" w:rsidR="00BE7995" w:rsidRPr="00821903" w:rsidRDefault="00A3579F" w:rsidP="000F5829">
      <w:pPr>
        <w:pStyle w:val="FootnoteText"/>
        <w:spacing w:after="120"/>
        <w:ind w:firstLine="720"/>
      </w:pPr>
      <w:r w:rsidRPr="00821903">
        <w:rPr>
          <w:rStyle w:val="FootnoteReference"/>
        </w:rPr>
        <w:footnoteRef/>
      </w:r>
      <w:r w:rsidRPr="00821903">
        <w:t xml:space="preserve">  Lee’s husband was also a plaintiff but has since passed away.   </w:t>
      </w:r>
    </w:p>
  </w:footnote>
  <w:footnote w:id="2">
    <w:p w14:paraId="33395698" w14:textId="4E542591" w:rsidR="001067A7" w:rsidRPr="00821903" w:rsidRDefault="00A3579F" w:rsidP="000F5829">
      <w:pPr>
        <w:pStyle w:val="FootnoteText"/>
        <w:spacing w:after="120"/>
        <w:ind w:firstLine="720"/>
      </w:pPr>
      <w:r w:rsidRPr="00821903">
        <w:rPr>
          <w:rStyle w:val="FootnoteReference"/>
        </w:rPr>
        <w:footnoteRef/>
      </w:r>
      <w:r w:rsidRPr="00821903">
        <w:t xml:space="preserve">  All further statutory cites are to the Business and Professions Code unless otherwise indicated. </w:t>
      </w:r>
    </w:p>
  </w:footnote>
  <w:footnote w:id="3">
    <w:p w14:paraId="18EF67FC" w14:textId="068F41AA" w:rsidR="00CC1F2D" w:rsidRPr="00821903" w:rsidRDefault="00A3579F" w:rsidP="000F5829">
      <w:pPr>
        <w:pStyle w:val="FootnoteText"/>
        <w:spacing w:after="120"/>
        <w:ind w:firstLine="720"/>
      </w:pPr>
      <w:r w:rsidRPr="00821903">
        <w:rPr>
          <w:rStyle w:val="FootnoteReference"/>
        </w:rPr>
        <w:footnoteRef/>
      </w:r>
      <w:r w:rsidRPr="00821903">
        <w:t xml:space="preserve">  The only substantive change </w:t>
      </w:r>
      <w:r w:rsidR="000D12DA" w:rsidRPr="00821903">
        <w:t xml:space="preserve">in the statutory scheme </w:t>
      </w:r>
      <w:r w:rsidRPr="00821903">
        <w:t xml:space="preserve">was the addition of a provision declaring any violation of the </w:t>
      </w:r>
      <w:r w:rsidR="000D12DA" w:rsidRPr="00821903">
        <w:t xml:space="preserve">new </w:t>
      </w:r>
      <w:r w:rsidR="00821903">
        <w:t>a</w:t>
      </w:r>
      <w:r w:rsidR="000D12DA" w:rsidRPr="00821903">
        <w:t xml:space="preserve">rticle 11 </w:t>
      </w:r>
      <w:r w:rsidRPr="00821903">
        <w:t xml:space="preserve">a misdemeanor </w:t>
      </w:r>
      <w:r w:rsidR="000D12DA" w:rsidRPr="00821903">
        <w:t xml:space="preserve">punishable by </w:t>
      </w:r>
      <w:r w:rsidRPr="00821903">
        <w:t xml:space="preserve">a fine and/or </w:t>
      </w:r>
      <w:r w:rsidR="000D12DA" w:rsidRPr="00821903">
        <w:t xml:space="preserve">incarceration </w:t>
      </w:r>
      <w:r w:rsidRPr="00821903">
        <w:t>in the county jail.  (Former § 7173</w:t>
      </w:r>
      <w:r w:rsidR="00FA76A6" w:rsidRPr="00821903">
        <w:t xml:space="preserve">; </w:t>
      </w:r>
      <w:r w:rsidRPr="00821903">
        <w:t xml:space="preserve">Stats. 1979, ch. 747, </w:t>
      </w:r>
      <w:r w:rsidR="00FA76A6" w:rsidRPr="00821903">
        <w:t>§ </w:t>
      </w:r>
      <w:r w:rsidRPr="00821903">
        <w:t xml:space="preserve">2.) </w:t>
      </w:r>
    </w:p>
  </w:footnote>
  <w:footnote w:id="4">
    <w:p w14:paraId="08B04F91" w14:textId="27127940" w:rsidR="00942346" w:rsidRDefault="00A3579F" w:rsidP="000F5829">
      <w:pPr>
        <w:pStyle w:val="FootnoteText"/>
        <w:spacing w:after="120"/>
        <w:ind w:firstLine="720"/>
      </w:pPr>
      <w:r w:rsidRPr="00821903">
        <w:rPr>
          <w:rStyle w:val="FootnoteReference"/>
        </w:rPr>
        <w:footnoteRef/>
      </w:r>
      <w:r w:rsidRPr="00821903">
        <w:t xml:space="preserve">  We therefore need not, and do not, consider any other arguments made by the parties as to the court’s “no prevailing party” ruling.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2BE4" w14:textId="77777777" w:rsidR="00896C9B" w:rsidRDefault="00896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4C6F" w14:textId="6CBFCBD3" w:rsidR="00526B14" w:rsidRDefault="00526B14" w:rsidP="00526B1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DEA7" w14:textId="77777777" w:rsidR="00896C9B" w:rsidRDefault="00896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33"/>
    <w:rsid w:val="00006C7B"/>
    <w:rsid w:val="000144A3"/>
    <w:rsid w:val="00054107"/>
    <w:rsid w:val="00061EA4"/>
    <w:rsid w:val="00063AFC"/>
    <w:rsid w:val="00065A19"/>
    <w:rsid w:val="00095515"/>
    <w:rsid w:val="000A0463"/>
    <w:rsid w:val="000D12DA"/>
    <w:rsid w:val="000D1DDF"/>
    <w:rsid w:val="000E7A62"/>
    <w:rsid w:val="000F5829"/>
    <w:rsid w:val="001067A7"/>
    <w:rsid w:val="00120DCD"/>
    <w:rsid w:val="00135A16"/>
    <w:rsid w:val="001417D3"/>
    <w:rsid w:val="00143AAE"/>
    <w:rsid w:val="001502A7"/>
    <w:rsid w:val="00156C85"/>
    <w:rsid w:val="001704A8"/>
    <w:rsid w:val="00170BB2"/>
    <w:rsid w:val="00181DDB"/>
    <w:rsid w:val="00186B52"/>
    <w:rsid w:val="00195AED"/>
    <w:rsid w:val="001C2D9D"/>
    <w:rsid w:val="001D448E"/>
    <w:rsid w:val="001E38D8"/>
    <w:rsid w:val="001F7059"/>
    <w:rsid w:val="00211B75"/>
    <w:rsid w:val="00231A55"/>
    <w:rsid w:val="002461A5"/>
    <w:rsid w:val="00291ECF"/>
    <w:rsid w:val="002C5BFE"/>
    <w:rsid w:val="0032556E"/>
    <w:rsid w:val="00345069"/>
    <w:rsid w:val="003508E5"/>
    <w:rsid w:val="00361CB7"/>
    <w:rsid w:val="0038469A"/>
    <w:rsid w:val="003A404D"/>
    <w:rsid w:val="003C290E"/>
    <w:rsid w:val="003C42E0"/>
    <w:rsid w:val="003C6B4C"/>
    <w:rsid w:val="00461B71"/>
    <w:rsid w:val="004C250C"/>
    <w:rsid w:val="004D0DFC"/>
    <w:rsid w:val="004D55B9"/>
    <w:rsid w:val="004E4C09"/>
    <w:rsid w:val="004F26A7"/>
    <w:rsid w:val="0050443E"/>
    <w:rsid w:val="00515E22"/>
    <w:rsid w:val="00520520"/>
    <w:rsid w:val="005217D8"/>
    <w:rsid w:val="00522C33"/>
    <w:rsid w:val="00526B14"/>
    <w:rsid w:val="00546BAD"/>
    <w:rsid w:val="005517E4"/>
    <w:rsid w:val="00560D43"/>
    <w:rsid w:val="005774A5"/>
    <w:rsid w:val="00582AFC"/>
    <w:rsid w:val="00590CEB"/>
    <w:rsid w:val="005A7A59"/>
    <w:rsid w:val="005F2078"/>
    <w:rsid w:val="005F2568"/>
    <w:rsid w:val="00636459"/>
    <w:rsid w:val="00681BE5"/>
    <w:rsid w:val="0069700D"/>
    <w:rsid w:val="006C552D"/>
    <w:rsid w:val="006C5838"/>
    <w:rsid w:val="006F430F"/>
    <w:rsid w:val="0072223E"/>
    <w:rsid w:val="00727CDB"/>
    <w:rsid w:val="007418C1"/>
    <w:rsid w:val="008056FE"/>
    <w:rsid w:val="00821903"/>
    <w:rsid w:val="0082315D"/>
    <w:rsid w:val="00855955"/>
    <w:rsid w:val="00861A88"/>
    <w:rsid w:val="0086645A"/>
    <w:rsid w:val="00867731"/>
    <w:rsid w:val="00877A23"/>
    <w:rsid w:val="00896C9B"/>
    <w:rsid w:val="008B2975"/>
    <w:rsid w:val="008B7CB4"/>
    <w:rsid w:val="008C69C3"/>
    <w:rsid w:val="008D0F8B"/>
    <w:rsid w:val="00912E38"/>
    <w:rsid w:val="009258CD"/>
    <w:rsid w:val="0093635A"/>
    <w:rsid w:val="00942346"/>
    <w:rsid w:val="00943F06"/>
    <w:rsid w:val="0096796C"/>
    <w:rsid w:val="009B2210"/>
    <w:rsid w:val="009B38C1"/>
    <w:rsid w:val="009E5746"/>
    <w:rsid w:val="00A3579F"/>
    <w:rsid w:val="00A43722"/>
    <w:rsid w:val="00A66EC4"/>
    <w:rsid w:val="00AD381D"/>
    <w:rsid w:val="00B01515"/>
    <w:rsid w:val="00B10003"/>
    <w:rsid w:val="00B222F9"/>
    <w:rsid w:val="00B33824"/>
    <w:rsid w:val="00B46A48"/>
    <w:rsid w:val="00B64719"/>
    <w:rsid w:val="00B71C38"/>
    <w:rsid w:val="00BA5948"/>
    <w:rsid w:val="00BA6468"/>
    <w:rsid w:val="00BA7D36"/>
    <w:rsid w:val="00BD4659"/>
    <w:rsid w:val="00BE5198"/>
    <w:rsid w:val="00BE7995"/>
    <w:rsid w:val="00BF6541"/>
    <w:rsid w:val="00C13416"/>
    <w:rsid w:val="00C16EC3"/>
    <w:rsid w:val="00C6277C"/>
    <w:rsid w:val="00C905AE"/>
    <w:rsid w:val="00CC1F2D"/>
    <w:rsid w:val="00CC50AA"/>
    <w:rsid w:val="00CD4086"/>
    <w:rsid w:val="00CF4734"/>
    <w:rsid w:val="00D20E0F"/>
    <w:rsid w:val="00D4375E"/>
    <w:rsid w:val="00D944B0"/>
    <w:rsid w:val="00DA1465"/>
    <w:rsid w:val="00DA38DF"/>
    <w:rsid w:val="00DA411E"/>
    <w:rsid w:val="00DB08A8"/>
    <w:rsid w:val="00DB5A0D"/>
    <w:rsid w:val="00DD39DF"/>
    <w:rsid w:val="00E11409"/>
    <w:rsid w:val="00E14951"/>
    <w:rsid w:val="00E177F8"/>
    <w:rsid w:val="00E409FF"/>
    <w:rsid w:val="00E528C2"/>
    <w:rsid w:val="00E73625"/>
    <w:rsid w:val="00E96F41"/>
    <w:rsid w:val="00EB53A5"/>
    <w:rsid w:val="00F02672"/>
    <w:rsid w:val="00F22772"/>
    <w:rsid w:val="00F27204"/>
    <w:rsid w:val="00F325BF"/>
    <w:rsid w:val="00F5360D"/>
    <w:rsid w:val="00F9225E"/>
    <w:rsid w:val="00FA48A1"/>
    <w:rsid w:val="00FA76A6"/>
    <w:rsid w:val="00FF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2B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C33"/>
    <w:pPr>
      <w:tabs>
        <w:tab w:val="center" w:pos="4680"/>
        <w:tab w:val="right" w:pos="9360"/>
      </w:tabs>
      <w:spacing w:line="240" w:lineRule="auto"/>
    </w:pPr>
  </w:style>
  <w:style w:type="character" w:customStyle="1" w:styleId="HeaderChar">
    <w:name w:val="Header Char"/>
    <w:basedOn w:val="DefaultParagraphFont"/>
    <w:link w:val="Header"/>
    <w:uiPriority w:val="99"/>
    <w:rsid w:val="00522C33"/>
  </w:style>
  <w:style w:type="paragraph" w:styleId="Footer">
    <w:name w:val="footer"/>
    <w:basedOn w:val="Normal"/>
    <w:link w:val="FooterChar"/>
    <w:uiPriority w:val="99"/>
    <w:unhideWhenUsed/>
    <w:rsid w:val="00522C33"/>
    <w:pPr>
      <w:tabs>
        <w:tab w:val="center" w:pos="4680"/>
        <w:tab w:val="right" w:pos="9360"/>
      </w:tabs>
      <w:spacing w:line="240" w:lineRule="auto"/>
    </w:pPr>
  </w:style>
  <w:style w:type="character" w:customStyle="1" w:styleId="FooterChar">
    <w:name w:val="Footer Char"/>
    <w:basedOn w:val="DefaultParagraphFont"/>
    <w:link w:val="Footer"/>
    <w:uiPriority w:val="99"/>
    <w:rsid w:val="00522C33"/>
  </w:style>
  <w:style w:type="character" w:styleId="PageNumber">
    <w:name w:val="page number"/>
    <w:basedOn w:val="DefaultParagraphFont"/>
    <w:uiPriority w:val="99"/>
    <w:semiHidden/>
    <w:unhideWhenUsed/>
    <w:rsid w:val="00522C33"/>
  </w:style>
  <w:style w:type="paragraph" w:styleId="FootnoteText">
    <w:name w:val="footnote text"/>
    <w:link w:val="FootnoteTextChar"/>
    <w:uiPriority w:val="99"/>
    <w:unhideWhenUsed/>
    <w:rsid w:val="00522C33"/>
    <w:pPr>
      <w:spacing w:line="240" w:lineRule="auto"/>
    </w:pPr>
    <w:rPr>
      <w:szCs w:val="20"/>
    </w:rPr>
  </w:style>
  <w:style w:type="character" w:customStyle="1" w:styleId="FootnoteTextChar">
    <w:name w:val="Footnote Text Char"/>
    <w:basedOn w:val="DefaultParagraphFont"/>
    <w:link w:val="FootnoteText"/>
    <w:uiPriority w:val="99"/>
    <w:rsid w:val="00522C33"/>
    <w:rPr>
      <w:szCs w:val="20"/>
    </w:rPr>
  </w:style>
  <w:style w:type="character" w:styleId="FootnoteReference">
    <w:name w:val="footnote reference"/>
    <w:basedOn w:val="DefaultParagraphFont"/>
    <w:uiPriority w:val="99"/>
    <w:semiHidden/>
    <w:unhideWhenUsed/>
    <w:rsid w:val="001067A7"/>
    <w:rPr>
      <w:vertAlign w:val="superscript"/>
    </w:rPr>
  </w:style>
  <w:style w:type="paragraph" w:styleId="ListParagraph">
    <w:name w:val="List Paragraph"/>
    <w:basedOn w:val="Normal"/>
    <w:uiPriority w:val="34"/>
    <w:qFormat/>
    <w:rsid w:val="001704A8"/>
    <w:pPr>
      <w:ind w:left="720"/>
      <w:contextualSpacing/>
    </w:pPr>
  </w:style>
  <w:style w:type="character" w:customStyle="1" w:styleId="coconcept2026">
    <w:name w:val="co_concept_20_26"/>
    <w:basedOn w:val="DefaultParagraphFont"/>
    <w:rsid w:val="0093635A"/>
  </w:style>
  <w:style w:type="character" w:customStyle="1" w:styleId="coconcept15">
    <w:name w:val="co_concept_1_5"/>
    <w:basedOn w:val="DefaultParagraphFont"/>
    <w:rsid w:val="0093635A"/>
  </w:style>
  <w:style w:type="character" w:customStyle="1" w:styleId="coconcept718">
    <w:name w:val="co_concept_7_18"/>
    <w:basedOn w:val="DefaultParagraphFont"/>
    <w:rsid w:val="0093635A"/>
  </w:style>
  <w:style w:type="character" w:customStyle="1" w:styleId="coconcept3337">
    <w:name w:val="co_concept_33_37"/>
    <w:basedOn w:val="DefaultParagraphFont"/>
    <w:rsid w:val="0093635A"/>
  </w:style>
  <w:style w:type="character" w:customStyle="1" w:styleId="coconcept4247">
    <w:name w:val="co_concept_42_47"/>
    <w:basedOn w:val="DefaultParagraphFont"/>
    <w:rsid w:val="0093635A"/>
  </w:style>
  <w:style w:type="character" w:styleId="Emphasis">
    <w:name w:val="Emphasis"/>
    <w:basedOn w:val="DefaultParagraphFont"/>
    <w:uiPriority w:val="20"/>
    <w:qFormat/>
    <w:rsid w:val="0093635A"/>
    <w:rPr>
      <w:i/>
      <w:iCs/>
    </w:rPr>
  </w:style>
  <w:style w:type="character" w:customStyle="1" w:styleId="coconcept4955">
    <w:name w:val="co_concept_49_55"/>
    <w:basedOn w:val="DefaultParagraphFont"/>
    <w:rsid w:val="0093635A"/>
  </w:style>
  <w:style w:type="character" w:customStyle="1" w:styleId="coconcept1825">
    <w:name w:val="co_concept_18_25"/>
    <w:basedOn w:val="DefaultParagraphFont"/>
    <w:rsid w:val="00065A19"/>
  </w:style>
  <w:style w:type="character" w:customStyle="1" w:styleId="coconcept3845">
    <w:name w:val="co_concept_38_45"/>
    <w:basedOn w:val="DefaultParagraphFont"/>
    <w:rsid w:val="00156C85"/>
  </w:style>
  <w:style w:type="character" w:customStyle="1" w:styleId="coconcept4349">
    <w:name w:val="co_concept_43_49"/>
    <w:basedOn w:val="DefaultParagraphFont"/>
    <w:rsid w:val="00F5360D"/>
  </w:style>
  <w:style w:type="character" w:customStyle="1" w:styleId="coconcept2628">
    <w:name w:val="co_concept_26_28"/>
    <w:basedOn w:val="DefaultParagraphFont"/>
    <w:rsid w:val="00636459"/>
  </w:style>
  <w:style w:type="character" w:customStyle="1" w:styleId="coconcept111">
    <w:name w:val="co_concept_1_11"/>
    <w:basedOn w:val="DefaultParagraphFont"/>
    <w:rsid w:val="00636459"/>
  </w:style>
  <w:style w:type="character" w:customStyle="1" w:styleId="coconcept1317">
    <w:name w:val="co_concept_13_17"/>
    <w:basedOn w:val="DefaultParagraphFont"/>
    <w:rsid w:val="00636459"/>
  </w:style>
  <w:style w:type="character" w:customStyle="1" w:styleId="coconcept1321">
    <w:name w:val="co_concept_13_21"/>
    <w:basedOn w:val="DefaultParagraphFont"/>
    <w:rsid w:val="00636459"/>
  </w:style>
  <w:style w:type="character" w:customStyle="1" w:styleId="coconcept3037">
    <w:name w:val="co_concept_30_37"/>
    <w:basedOn w:val="DefaultParagraphFont"/>
    <w:rsid w:val="00636459"/>
  </w:style>
  <w:style w:type="character" w:styleId="Hyperlink">
    <w:name w:val="Hyperlink"/>
    <w:basedOn w:val="DefaultParagraphFont"/>
    <w:uiPriority w:val="99"/>
    <w:semiHidden/>
    <w:unhideWhenUsed/>
    <w:rsid w:val="00B33824"/>
    <w:rPr>
      <w:color w:val="0000FF"/>
      <w:u w:val="single"/>
    </w:rPr>
  </w:style>
  <w:style w:type="paragraph" w:customStyle="1" w:styleId="Normal2">
    <w:name w:val="Normal2"/>
    <w:basedOn w:val="Normal"/>
    <w:rsid w:val="00861A88"/>
    <w:pPr>
      <w:tabs>
        <w:tab w:val="clear" w:pos="720"/>
      </w:tabs>
      <w:suppressAutoHyphens/>
      <w:autoSpaceDN w:val="0"/>
      <w:spacing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4072</Words>
  <Characters>21870</Characters>
  <Application>Microsoft Office Word</Application>
  <DocSecurity>0</DocSecurity>
  <Lines>486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2023-08-11T21:35:35.3817779Z</dcterms:created>
  <dcterms:modified xsi:type="dcterms:W3CDTF">2023-08-11T21:35:35.3817779Z</dcterms:modified>
  <cp:category>
  </cp:category>
</cp:coreProperties>
</file>