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5804B3" w:rsidP="005804B3" w14:paraId="5E1121AB" w14:textId="66436903">
      <w:pPr>
        <w:spacing w:line="240" w:lineRule="auto"/>
        <w:rPr>
          <w:sz w:val="20"/>
        </w:rPr>
      </w:pPr>
      <w:r>
        <w:rPr>
          <w:sz w:val="20"/>
        </w:rPr>
        <w:t xml:space="preserve">Filed </w:t>
      </w:r>
      <w:r w:rsidR="00300EE9">
        <w:rPr>
          <w:sz w:val="20"/>
        </w:rPr>
        <w:t>6/14/23</w:t>
      </w:r>
    </w:p>
    <w:p w:rsidR="005804B3" w:rsidRPr="005804B3" w:rsidP="005804B3" w14:paraId="7599169F" w14:textId="3AF6FB1B">
      <w:pPr>
        <w:spacing w:line="240" w:lineRule="auto"/>
        <w:jc w:val="center"/>
      </w:pPr>
      <w:r>
        <w:rPr>
          <w:b/>
        </w:rPr>
        <w:t>CERTIFIED FOR PARTIAL PUBLICATION</w:t>
      </w:r>
      <w:r>
        <w:rPr>
          <w:rStyle w:val="FootnoteReference"/>
          <w:b/>
        </w:rPr>
        <w:footnoteReference w:customMarkFollows="1" w:id="2"/>
        <w:t xml:space="preserve">*</w:t>
      </w:r>
    </w:p>
    <w:p w:rsidR="005804B3" w:rsidRPr="005804B3" w:rsidP="005804B3" w14:paraId="321B70A6" w14:textId="77777777">
      <w:pPr>
        <w:spacing w:line="240" w:lineRule="auto"/>
        <w:rPr>
          <w:sz w:val="20"/>
        </w:rPr>
      </w:pPr>
    </w:p>
    <w:p w:rsidR="008C69C3" w:rsidP="00435EAF" w14:paraId="5CCA751B" w14:textId="1059BF6B">
      <w:pPr>
        <w:spacing w:line="240" w:lineRule="auto"/>
        <w:jc w:val="center"/>
      </w:pPr>
      <w:r>
        <w:t>IN THE COURT OF APPEAL OF THE STATE OF CALIFORNIA</w:t>
      </w:r>
    </w:p>
    <w:p w:rsidR="00435EAF" w:rsidP="00435EAF" w14:paraId="51789374" w14:textId="19BDB6FD">
      <w:pPr>
        <w:spacing w:line="240" w:lineRule="auto"/>
        <w:jc w:val="center"/>
      </w:pPr>
    </w:p>
    <w:p w:rsidR="00435EAF" w:rsidP="00435EAF" w14:paraId="1E21C654" w14:textId="07AE28A5">
      <w:pPr>
        <w:spacing w:line="240" w:lineRule="auto"/>
        <w:jc w:val="center"/>
      </w:pPr>
      <w:r>
        <w:t>FIRST APPELLATE DISTRICT</w:t>
      </w:r>
    </w:p>
    <w:p w:rsidR="00435EAF" w:rsidP="00435EAF" w14:paraId="3F59FA23" w14:textId="79DDF364">
      <w:pPr>
        <w:spacing w:line="240" w:lineRule="auto"/>
        <w:jc w:val="center"/>
      </w:pPr>
    </w:p>
    <w:p w:rsidR="00435EAF" w:rsidP="00435EAF" w14:paraId="52CF4BFF" w14:textId="16F8B84E">
      <w:pPr>
        <w:spacing w:line="240" w:lineRule="auto"/>
        <w:jc w:val="center"/>
      </w:pPr>
      <w:r>
        <w:t>DIVISION ONE</w:t>
      </w:r>
    </w:p>
    <w:p w:rsidR="00435EAF" w:rsidP="00435EAF" w14:paraId="5EC33451" w14:textId="01BAF92C">
      <w:pPr>
        <w:spacing w:line="240" w:lineRule="auto"/>
        <w:jc w:val="center"/>
      </w:pPr>
    </w:p>
    <w:p w:rsidR="00435EAF" w:rsidP="00435EAF" w14:paraId="7CF5B61E" w14:textId="79589263">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14:paraId="3CB6601F" w14:textId="77777777" w:rsidTr="00435EAF">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435EAF" w:rsidP="00435EAF" w14:paraId="02F6406A" w14:textId="77777777">
            <w:pPr>
              <w:tabs>
                <w:tab w:val="left" w:pos="720"/>
              </w:tabs>
              <w:spacing w:after="120"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THE PEOPLE,</w:t>
            </w:r>
          </w:p>
          <w:p w:rsidR="00435EAF" w:rsidP="00435EAF" w14:paraId="5748F635" w14:textId="77777777">
            <w:pPr>
              <w:tabs>
                <w:tab w:val="left" w:pos="720"/>
              </w:tabs>
              <w:spacing w:after="120"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ab/>
              <w:t>Plaintiff and Respondent,</w:t>
            </w:r>
          </w:p>
          <w:p w:rsidR="00435EAF" w:rsidP="00435EAF" w14:paraId="03F8B042" w14:textId="77777777">
            <w:pPr>
              <w:tabs>
                <w:tab w:val="left" w:pos="720"/>
              </w:tabs>
              <w:spacing w:after="120"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v.</w:t>
            </w:r>
          </w:p>
          <w:p w:rsidR="00435EAF" w:rsidP="00435EAF" w14:paraId="1EE1D59A" w14:textId="77777777">
            <w:pPr>
              <w:tabs>
                <w:tab w:val="left" w:pos="720"/>
              </w:tabs>
              <w:spacing w:after="120"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RUSIATE KOLILOA WAQA,</w:t>
            </w:r>
          </w:p>
          <w:p w:rsidR="00435EAF" w:rsidP="00435EAF" w14:paraId="2B60A181" w14:textId="58CC2D24">
            <w:pPr>
              <w:tabs>
                <w:tab w:val="left" w:pos="720"/>
              </w:tabs>
              <w:spacing w:after="120"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ab/>
              <w:t>Defendant and Appellant.</w:t>
            </w:r>
          </w:p>
        </w:tc>
        <w:tc>
          <w:tcPr>
            <w:tcW w:w="4680" w:type="dxa"/>
            <w:tcBorders>
              <w:left w:val="single" w:sz="4" w:space="0" w:color="auto"/>
            </w:tcBorders>
            <w:shd w:val="clear" w:color="auto" w:fill="auto"/>
          </w:tcPr>
          <w:p w:rsidR="00435EAF" w:rsidP="00435EAF" w14:paraId="2FE014C9" w14:textId="77777777">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p>
          <w:p w:rsidR="00435EAF" w:rsidP="00435EAF" w14:paraId="4859C31E" w14:textId="77777777">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p>
          <w:p w:rsidR="00435EAF" w:rsidP="00435EAF" w14:paraId="1E04606C" w14:textId="77777777">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A163761</w:t>
            </w:r>
          </w:p>
          <w:p w:rsidR="00435EAF" w:rsidP="00435EAF" w14:paraId="2E89835D" w14:textId="77777777">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p>
          <w:p w:rsidR="00435EAF" w:rsidP="00435EAF" w14:paraId="2FFB84D4" w14:textId="77777777">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(Sonoma County</w:t>
            </w:r>
          </w:p>
          <w:p w:rsidR="00435EAF" w:rsidP="00435EAF" w14:paraId="364D1FEF" w14:textId="7FF1B768">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r>
              <w:rPr>
                <w:rFonts w:ascii="Century Schoolbook" w:hAnsi="Century Schoolbook" w:eastAsiaTheme="minorHAnsi" w:cstheme="minorBidi"/>
                <w:kern w:val="2"/>
                <w:sz w:val="26"/>
                <w:szCs w:val="26"/>
                <w:lang w:val="en-US" w:eastAsia="en-US" w:bidi="ar-SA"/>
                <w14:ligatures w14:val="standardContextual"/>
              </w:rPr>
              <w:t xml:space="preserve">      Super. Ct. No. SCR</w:t>
            </w:r>
            <w:r w:rsidR="00C46B70">
              <w:rPr>
                <w:rFonts w:ascii="Century Schoolbook" w:hAnsi="Century Schoolbook" w:eastAsiaTheme="minorHAnsi" w:cstheme="minorBidi"/>
                <w:kern w:val="2"/>
                <w:sz w:val="26"/>
                <w:szCs w:val="26"/>
                <w:lang w:val="en-US" w:eastAsia="en-US" w:bidi="ar-SA"/>
                <w14:ligatures w14:val="standardContextual"/>
              </w:rPr>
              <w:t>-</w:t>
            </w:r>
            <w:r>
              <w:rPr>
                <w:rFonts w:ascii="Century Schoolbook" w:hAnsi="Century Schoolbook" w:eastAsiaTheme="minorHAnsi" w:cstheme="minorBidi"/>
                <w:kern w:val="2"/>
                <w:sz w:val="26"/>
                <w:szCs w:val="26"/>
                <w:lang w:val="en-US" w:eastAsia="en-US" w:bidi="ar-SA"/>
                <w14:ligatures w14:val="standardContextual"/>
              </w:rPr>
              <w:t>730833</w:t>
            </w:r>
            <w:r w:rsidR="00124EA9">
              <w:rPr>
                <w:rFonts w:ascii="Century Schoolbook" w:hAnsi="Century Schoolbook" w:eastAsiaTheme="minorHAnsi" w:cstheme="minorBidi"/>
                <w:kern w:val="2"/>
                <w:sz w:val="26"/>
                <w:szCs w:val="26"/>
                <w:lang w:val="en-US" w:eastAsia="en-US" w:bidi="ar-SA"/>
                <w14:ligatures w14:val="standardContextual"/>
              </w:rPr>
              <w:t>-</w:t>
            </w:r>
            <w:r>
              <w:rPr>
                <w:rFonts w:ascii="Century Schoolbook" w:hAnsi="Century Schoolbook" w:eastAsiaTheme="minorHAnsi" w:cstheme="minorBidi"/>
                <w:kern w:val="2"/>
                <w:sz w:val="26"/>
                <w:szCs w:val="26"/>
                <w:lang w:val="en-US" w:eastAsia="en-US" w:bidi="ar-SA"/>
                <w14:ligatures w14:val="standardContextual"/>
              </w:rPr>
              <w:t>1)</w:t>
            </w:r>
          </w:p>
          <w:p w:rsidR="00435EAF" w:rsidP="00435EAF" w14:paraId="35208C62" w14:textId="72C2CD5B">
            <w:pPr>
              <w:tabs>
                <w:tab w:val="left" w:pos="720"/>
              </w:tabs>
              <w:spacing w:line="240" w:lineRule="auto"/>
              <w:rPr>
                <w:rFonts w:ascii="Century Schoolbook" w:hAnsi="Century Schoolbook" w:eastAsiaTheme="minorHAnsi" w:cstheme="minorBidi"/>
                <w:kern w:val="2"/>
                <w:sz w:val="26"/>
                <w:szCs w:val="26"/>
                <w:lang w:val="en-US" w:eastAsia="en-US" w:bidi="ar-SA"/>
                <w14:ligatures w14:val="standardContextual"/>
              </w:rPr>
            </w:pPr>
          </w:p>
        </w:tc>
      </w:tr>
    </w:tbl>
    <w:p w:rsidR="00435EAF" w:rsidP="00435EAF" w14:paraId="55F4C9B0" w14:textId="47CEE1AD">
      <w:pPr>
        <w:spacing w:line="360" w:lineRule="auto"/>
      </w:pPr>
    </w:p>
    <w:p w:rsidR="00B71845" w:rsidP="007E2924" w14:paraId="7AF7C37B" w14:textId="0EE193A8">
      <w:pPr>
        <w:spacing w:line="360" w:lineRule="auto"/>
      </w:pPr>
      <w:r>
        <w:tab/>
      </w:r>
      <w:r w:rsidR="00D73141">
        <w:t>A jury convicted d</w:t>
      </w:r>
      <w:r w:rsidR="004662B7">
        <w:t xml:space="preserve">efendant Rusiate Waqa </w:t>
      </w:r>
      <w:r w:rsidR="00ED4DF3">
        <w:t>of forcible rape</w:t>
      </w:r>
      <w:r w:rsidR="001D7FBC">
        <w:t xml:space="preserve"> after he sexually assaulted a woman in a public </w:t>
      </w:r>
      <w:r w:rsidR="00E31162">
        <w:t>restroom</w:t>
      </w:r>
      <w:r w:rsidR="001D7FBC">
        <w:t xml:space="preserve">. </w:t>
      </w:r>
      <w:r w:rsidR="00E31162">
        <w:t xml:space="preserve"> </w:t>
      </w:r>
      <w:r w:rsidR="00553788">
        <w:t>Because Waqa moved the victim from the restroom’s small stall to its large stall</w:t>
      </w:r>
      <w:r w:rsidR="00610CF0">
        <w:t xml:space="preserve"> before raping her</w:t>
      </w:r>
      <w:r w:rsidR="00553788">
        <w:t>, t</w:t>
      </w:r>
      <w:r w:rsidR="001D7FBC">
        <w:t xml:space="preserve">he jury also </w:t>
      </w:r>
      <w:r w:rsidR="00764052">
        <w:t xml:space="preserve">found </w:t>
      </w:r>
      <w:r w:rsidR="00000FD1">
        <w:t xml:space="preserve">true </w:t>
      </w:r>
      <w:r w:rsidR="00C90C74">
        <w:t>a</w:t>
      </w:r>
      <w:r w:rsidR="005020CE">
        <w:t xml:space="preserve">n </w:t>
      </w:r>
      <w:r w:rsidR="00054FA5">
        <w:t xml:space="preserve">aggravated kidnapping </w:t>
      </w:r>
      <w:r w:rsidR="005020CE">
        <w:t xml:space="preserve">circumstance </w:t>
      </w:r>
      <w:r w:rsidR="00C90C74">
        <w:t>under the One Strike law, Penal Code section 667.61</w:t>
      </w:r>
      <w:r w:rsidR="00491963">
        <w:t xml:space="preserve"> (the aggravated kidnapping circumstance)</w:t>
      </w:r>
      <w:r>
        <w:t xml:space="preserve">, </w:t>
      </w:r>
      <w:r w:rsidR="006E0EC8">
        <w:t xml:space="preserve">requiring </w:t>
      </w:r>
      <w:r w:rsidR="00735299">
        <w:t>a</w:t>
      </w:r>
      <w:r>
        <w:t xml:space="preserve"> sentence</w:t>
      </w:r>
      <w:r w:rsidR="006E0EC8">
        <w:t xml:space="preserve"> </w:t>
      </w:r>
      <w:r w:rsidR="00735299">
        <w:t xml:space="preserve">of </w:t>
      </w:r>
      <w:r>
        <w:t>25 years to life in prison</w:t>
      </w:r>
      <w:r w:rsidR="00735299">
        <w:t xml:space="preserve"> for the rape</w:t>
      </w:r>
      <w:r>
        <w:t>.</w:t>
      </w:r>
      <w:r>
        <w:rPr>
          <w:rStyle w:val="FootnoteReference"/>
        </w:rPr>
        <w:footnoteReference w:id="3"/>
      </w:r>
      <w:r w:rsidR="00E31162">
        <w:t xml:space="preserve"> </w:t>
      </w:r>
      <w:r w:rsidR="004F557E">
        <w:t xml:space="preserve"> (See § 667.61</w:t>
      </w:r>
      <w:r w:rsidR="00A0152F">
        <w:t xml:space="preserve">, subds. (a), (d)(2).)  </w:t>
      </w:r>
    </w:p>
    <w:p w:rsidR="00553788" w:rsidP="007E2924" w14:paraId="4F6BD54C" w14:textId="3560BB30">
      <w:pPr>
        <w:spacing w:line="360" w:lineRule="auto"/>
      </w:pPr>
      <w:r>
        <w:tab/>
        <w:t xml:space="preserve">On appeal, Waqa </w:t>
      </w:r>
      <w:r w:rsidR="007B47F7">
        <w:t>claims the aggravated kidnapping circumstance</w:t>
      </w:r>
      <w:r w:rsidR="009F5245">
        <w:t xml:space="preserve"> </w:t>
      </w:r>
      <w:r w:rsidR="007466A1">
        <w:t xml:space="preserve">cannot stand </w:t>
      </w:r>
      <w:r w:rsidR="009F5245">
        <w:t xml:space="preserve">because </w:t>
      </w:r>
      <w:r w:rsidR="0094278C">
        <w:t xml:space="preserve">there was insufficient evidence of </w:t>
      </w:r>
      <w:r w:rsidR="00491963">
        <w:t>its</w:t>
      </w:r>
      <w:r w:rsidR="0094278C">
        <w:t xml:space="preserve"> asportation element</w:t>
      </w:r>
      <w:r w:rsidR="00610CF0">
        <w:t xml:space="preserve">, </w:t>
      </w:r>
      <w:r w:rsidR="0094278C">
        <w:t xml:space="preserve">which requires </w:t>
      </w:r>
      <w:r w:rsidR="007250B3">
        <w:t>that “</w:t>
      </w:r>
      <w:r w:rsidR="00CB1B44">
        <w:t>the movement of the victim substantially increased the risk of harm to the victim over and above that level of risk necessarily inherent in the underlying offense</w:t>
      </w:r>
      <w:r w:rsidR="009F5245">
        <w:t>.</w:t>
      </w:r>
      <w:r w:rsidR="00CB1B44">
        <w:t>”  (§ 667.61, subd.</w:t>
      </w:r>
      <w:r w:rsidR="0059302E">
        <w:t> </w:t>
      </w:r>
      <w:r w:rsidR="00CB1B44">
        <w:t>(d)(</w:t>
      </w:r>
      <w:r w:rsidR="0059302E">
        <w:t>2).)</w:t>
      </w:r>
      <w:r w:rsidR="007A517D">
        <w:t xml:space="preserve"> </w:t>
      </w:r>
      <w:r>
        <w:t xml:space="preserve"> </w:t>
      </w:r>
      <w:r w:rsidR="00610CF0">
        <w:t xml:space="preserve">Although we agree with him, that does not end the matter </w:t>
      </w:r>
      <w:r w:rsidR="00690D44">
        <w:t xml:space="preserve">because the One Strike law requires a term of 15 years to life </w:t>
      </w:r>
      <w:r w:rsidR="00E61862">
        <w:t xml:space="preserve">for </w:t>
      </w:r>
      <w:r w:rsidR="00824795">
        <w:t>qualifying sexual offenses</w:t>
      </w:r>
      <w:r w:rsidR="00E61862">
        <w:t xml:space="preserve"> </w:t>
      </w:r>
      <w:r w:rsidR="00690D44">
        <w:t>if the defendant commits a simple kidnapping of the victim under section 207</w:t>
      </w:r>
      <w:r w:rsidR="00794529">
        <w:t xml:space="preserve"> (the kidnapping circumstance)</w:t>
      </w:r>
      <w:r w:rsidR="0096665B">
        <w:t>.  (§ 667.61, subds. (b), (e)(1).)</w:t>
      </w:r>
      <w:r w:rsidR="001261E5">
        <w:t xml:space="preserve">  </w:t>
      </w:r>
      <w:r w:rsidR="008C623D">
        <w:t xml:space="preserve">By </w:t>
      </w:r>
      <w:r w:rsidR="001261E5">
        <w:t xml:space="preserve">finding the aggravated kidnapping circumstance true, the jury necessarily determined that Waqa committed a simple kidnapping of Doe, </w:t>
      </w:r>
      <w:r w:rsidR="00DB4E3D">
        <w:t xml:space="preserve">a finding that </w:t>
      </w:r>
      <w:r w:rsidR="00DB4E3D">
        <w:rPr>
          <w:i/>
          <w:iCs/>
        </w:rPr>
        <w:t xml:space="preserve">was </w:t>
      </w:r>
      <w:r w:rsidR="00DB4E3D">
        <w:t>supported by substantial evidence.</w:t>
      </w:r>
    </w:p>
    <w:p w:rsidR="00DB4E3D" w:rsidRPr="00A56CD2" w:rsidP="007E2924" w14:paraId="0B6C277E" w14:textId="7204924F">
      <w:pPr>
        <w:spacing w:line="360" w:lineRule="auto"/>
      </w:pPr>
      <w:r>
        <w:tab/>
        <w:t>We hold that where there is insufficient evidence of a circumstance supporting a 25-year-to-life term under the One Strike law but sufficient evidence of a lesser included circumstance supporting a 15-year-to-life term, an appellate court may reduce the sentence to the lesser term.</w:t>
      </w:r>
      <w:r w:rsidR="00C07192">
        <w:t xml:space="preserve">  </w:t>
      </w:r>
      <w:r w:rsidR="00DF1106">
        <w:t xml:space="preserve">We therefore modify </w:t>
      </w:r>
      <w:r>
        <w:t>the judgment</w:t>
      </w:r>
      <w:r w:rsidR="00DF1106">
        <w:t xml:space="preserve"> here</w:t>
      </w:r>
      <w:r>
        <w:t xml:space="preserve"> to reduce the 25-year-to-life term </w:t>
      </w:r>
      <w:r w:rsidR="00794529">
        <w:t>based on the aggravated kidnapping circumstance</w:t>
      </w:r>
      <w:r>
        <w:t xml:space="preserve"> </w:t>
      </w:r>
      <w:r w:rsidR="00BB002C">
        <w:t>under section 667.61, subdivision</w:t>
      </w:r>
      <w:r w:rsidR="00794529">
        <w:t> </w:t>
      </w:r>
      <w:r w:rsidR="00BB002C">
        <w:t>(d)(2)</w:t>
      </w:r>
      <w:r w:rsidR="00DB1117">
        <w:t xml:space="preserve"> (section 667.61(d)(2))</w:t>
      </w:r>
      <w:r w:rsidR="00BB002C">
        <w:t xml:space="preserve">, </w:t>
      </w:r>
      <w:r>
        <w:t xml:space="preserve">to a 15-year-to-life term </w:t>
      </w:r>
      <w:r w:rsidR="00794529">
        <w:t>based on the kidnapping circumstance under</w:t>
      </w:r>
      <w:r w:rsidR="00BB002C">
        <w:t xml:space="preserve"> section 667</w:t>
      </w:r>
      <w:r w:rsidR="00DB1117">
        <w:t>.61</w:t>
      </w:r>
      <w:r w:rsidR="00BB002C">
        <w:t>, subdivision (e)(1)</w:t>
      </w:r>
      <w:r w:rsidR="00DB1117">
        <w:t xml:space="preserve"> (section</w:t>
      </w:r>
      <w:r w:rsidR="00093BA6">
        <w:t> </w:t>
      </w:r>
      <w:r w:rsidR="00DB1117">
        <w:t>667.61(e)(1))</w:t>
      </w:r>
      <w:r>
        <w:t xml:space="preserve">.  </w:t>
      </w:r>
      <w:r w:rsidR="007466A1">
        <w:t xml:space="preserve">We </w:t>
      </w:r>
      <w:r w:rsidRPr="00A56CD2">
        <w:t>reject Waqa’s remaining claim of prosecutorial error</w:t>
      </w:r>
      <w:r w:rsidRPr="00A56CD2" w:rsidR="0091473D">
        <w:t xml:space="preserve">, order the correction of </w:t>
      </w:r>
      <w:r w:rsidRPr="00A56CD2" w:rsidR="00CF247C">
        <w:t xml:space="preserve">the conviction date </w:t>
      </w:r>
      <w:r w:rsidRPr="00A56CD2" w:rsidR="0091473D">
        <w:t>in the abstract of judgment,</w:t>
      </w:r>
      <w:r w:rsidRPr="00A56CD2">
        <w:t xml:space="preserve"> and </w:t>
      </w:r>
      <w:r w:rsidRPr="00A56CD2" w:rsidR="00491963">
        <w:t xml:space="preserve">otherwise </w:t>
      </w:r>
      <w:r w:rsidRPr="00A56CD2">
        <w:t>affirm.</w:t>
      </w:r>
      <w:r>
        <w:rPr>
          <w:rStyle w:val="FootnoteReference"/>
        </w:rPr>
        <w:footnoteReference w:id="4"/>
      </w:r>
      <w:r w:rsidRPr="00A56CD2">
        <w:t xml:space="preserve"> </w:t>
      </w:r>
    </w:p>
    <w:p w:rsidR="007E2924" w:rsidRPr="008E4889" w:rsidP="000A7DD4" w14:paraId="2568F4DC" w14:textId="77777777">
      <w:pPr>
        <w:keepNext/>
        <w:spacing w:line="240" w:lineRule="auto"/>
        <w:jc w:val="center"/>
      </w:pPr>
      <w:r w:rsidRPr="00A56CD2">
        <w:t>I.</w:t>
      </w:r>
      <w:r w:rsidRPr="008E4889">
        <w:br/>
      </w:r>
      <w:r w:rsidRPr="008E4889">
        <w:rPr>
          <w:smallCaps/>
        </w:rPr>
        <w:t>Factual and Procedural</w:t>
      </w:r>
      <w:r w:rsidRPr="008E4889">
        <w:rPr>
          <w:smallCaps/>
        </w:rPr>
        <w:br/>
        <w:t>Background</w:t>
      </w:r>
    </w:p>
    <w:p w:rsidR="007E2924" w:rsidRPr="008E4889" w:rsidP="007E2924" w14:paraId="46867011" w14:textId="073FDF24">
      <w:pPr>
        <w:spacing w:before="180" w:line="360" w:lineRule="auto"/>
      </w:pPr>
      <w:r>
        <w:tab/>
      </w:r>
      <w:r w:rsidR="009A51DF">
        <w:t xml:space="preserve">Around </w:t>
      </w:r>
      <w:r w:rsidR="00F44449">
        <w:t>7:45 a.m.</w:t>
      </w:r>
      <w:r w:rsidR="009A51DF">
        <w:t xml:space="preserve"> on August 1</w:t>
      </w:r>
      <w:r w:rsidR="00124EA9">
        <w:t>6</w:t>
      </w:r>
      <w:r w:rsidR="009A51DF">
        <w:t>, 2019, 55-year-old Jane Doe arrived at Howarth Park</w:t>
      </w:r>
      <w:r w:rsidR="00793A5D">
        <w:t xml:space="preserve"> in Santa Rosa</w:t>
      </w:r>
      <w:r w:rsidR="00100FAB">
        <w:t xml:space="preserve">, where she regularly walked for exercise. </w:t>
      </w:r>
      <w:r w:rsidR="00C75AF0">
        <w:t xml:space="preserve"> </w:t>
      </w:r>
      <w:r w:rsidR="00D56DE7">
        <w:t xml:space="preserve">She </w:t>
      </w:r>
      <w:r w:rsidR="00277F93">
        <w:t>parked her car in a small</w:t>
      </w:r>
      <w:r w:rsidR="001773D6">
        <w:t xml:space="preserve"> lot</w:t>
      </w:r>
      <w:r w:rsidR="00CD00B5">
        <w:t>,</w:t>
      </w:r>
      <w:r w:rsidR="00277F93">
        <w:t xml:space="preserve"> facing the park</w:t>
      </w:r>
      <w:r w:rsidR="001773D6">
        <w:t xml:space="preserve">. </w:t>
      </w:r>
      <w:r w:rsidR="00277F93">
        <w:t xml:space="preserve"> </w:t>
      </w:r>
      <w:r w:rsidR="000673AA">
        <w:t xml:space="preserve">She got out of the </w:t>
      </w:r>
      <w:r w:rsidR="00936F00">
        <w:t xml:space="preserve">car and went to use the </w:t>
      </w:r>
      <w:r w:rsidR="001C3A23">
        <w:t>public restrooms</w:t>
      </w:r>
      <w:r w:rsidR="009F092E">
        <w:t xml:space="preserve">, which </w:t>
      </w:r>
      <w:r w:rsidR="001C3A23">
        <w:t>are</w:t>
      </w:r>
      <w:r w:rsidR="009F092E">
        <w:t xml:space="preserve"> in a standalone building a short distance from the parking lot. </w:t>
      </w:r>
      <w:r w:rsidR="00277F93">
        <w:t xml:space="preserve"> </w:t>
      </w:r>
      <w:r w:rsidR="009F092E">
        <w:t xml:space="preserve">The men’s restroom </w:t>
      </w:r>
      <w:r w:rsidR="00742FCF">
        <w:t>faces</w:t>
      </w:r>
      <w:r w:rsidR="00BD7238">
        <w:t xml:space="preserve"> the parking lot and the women’s restroom is on the building’s back side. </w:t>
      </w:r>
      <w:r w:rsidR="00F6070C">
        <w:t xml:space="preserve"> </w:t>
      </w:r>
    </w:p>
    <w:p w:rsidR="0079361C" w:rsidP="007E2924" w14:paraId="3EC84EFC" w14:textId="3E4E0736">
      <w:pPr>
        <w:spacing w:line="360" w:lineRule="auto"/>
      </w:pPr>
      <w:r>
        <w:tab/>
        <w:t xml:space="preserve">Doe </w:t>
      </w:r>
      <w:r w:rsidR="00EC21D1">
        <w:t>entered</w:t>
      </w:r>
      <w:r>
        <w:t xml:space="preserve"> the women’s restroom</w:t>
      </w:r>
      <w:r w:rsidR="00574DF0">
        <w:t>,</w:t>
      </w:r>
      <w:r w:rsidR="005D6F1D">
        <w:t xml:space="preserve"> which h</w:t>
      </w:r>
      <w:r w:rsidR="00390439">
        <w:t>a</w:t>
      </w:r>
      <w:r w:rsidR="0013678D">
        <w:t>s</w:t>
      </w:r>
      <w:r w:rsidR="00390439">
        <w:t xml:space="preserve"> two </w:t>
      </w:r>
      <w:r w:rsidR="005D6F1D">
        <w:t xml:space="preserve">stalls, a small </w:t>
      </w:r>
      <w:r w:rsidR="007B2323">
        <w:t xml:space="preserve">one and a larger one </w:t>
      </w:r>
      <w:r w:rsidR="00A523A1">
        <w:t xml:space="preserve">for </w:t>
      </w:r>
      <w:r w:rsidR="004A67DF">
        <w:t>people with disabilities</w:t>
      </w:r>
      <w:r w:rsidR="00A523A1">
        <w:t>.</w:t>
      </w:r>
      <w:r>
        <w:rPr>
          <w:rStyle w:val="FootnoteReference"/>
        </w:rPr>
        <w:footnoteReference w:id="5"/>
      </w:r>
      <w:r w:rsidR="00C07192">
        <w:t xml:space="preserve">  </w:t>
      </w:r>
      <w:r w:rsidR="0045026C">
        <w:t xml:space="preserve">The </w:t>
      </w:r>
      <w:r w:rsidR="009B658C">
        <w:t>restroom</w:t>
      </w:r>
      <w:r w:rsidR="0040263E">
        <w:t xml:space="preserve">’s </w:t>
      </w:r>
      <w:r w:rsidR="008D24C8">
        <w:t xml:space="preserve">outer </w:t>
      </w:r>
      <w:r w:rsidR="0040263E">
        <w:t>door</w:t>
      </w:r>
      <w:r w:rsidR="00610CF0">
        <w:t xml:space="preserve"> </w:t>
      </w:r>
      <w:r w:rsidR="00F8011B">
        <w:t>is made of open bars,</w:t>
      </w:r>
      <w:r w:rsidR="00ED1719">
        <w:t xml:space="preserve"> </w:t>
      </w:r>
      <w:r w:rsidR="00610CF0">
        <w:t xml:space="preserve">and it </w:t>
      </w:r>
      <w:r w:rsidR="008E74BC">
        <w:t xml:space="preserve">was propped open that morning. </w:t>
      </w:r>
      <w:r w:rsidR="0045026C">
        <w:t xml:space="preserve"> </w:t>
      </w:r>
      <w:r w:rsidR="005232DB">
        <w:t xml:space="preserve">Upon entering the restroom, one must turn right and go around a corner to reach the stalls. </w:t>
      </w:r>
      <w:r w:rsidR="00EB416D">
        <w:t xml:space="preserve"> </w:t>
      </w:r>
    </w:p>
    <w:p w:rsidR="007E2924" w:rsidP="007E2924" w14:paraId="2E861558" w14:textId="3D9B951E">
      <w:pPr>
        <w:spacing w:line="360" w:lineRule="auto"/>
      </w:pPr>
      <w:r>
        <w:tab/>
      </w:r>
      <w:r w:rsidRPr="00B525C7">
        <w:t>The two stalls are partially formed by partition</w:t>
      </w:r>
      <w:r w:rsidR="009F5FF4">
        <w:t>s</w:t>
      </w:r>
      <w:r w:rsidRPr="00B525C7">
        <w:t xml:space="preserve"> that do not extend all the way to the floor or ceiling of the restroom.</w:t>
      </w:r>
      <w:r w:rsidR="009F5FF4">
        <w:t xml:space="preserve">  </w:t>
      </w:r>
      <w:r w:rsidRPr="00B525C7">
        <w:t xml:space="preserve">The small stall </w:t>
      </w:r>
      <w:r w:rsidR="007B2323">
        <w:t xml:space="preserve">is a rectangle </w:t>
      </w:r>
      <w:r w:rsidRPr="00B525C7">
        <w:t xml:space="preserve">made up of a structural wall in the back, </w:t>
      </w:r>
      <w:r>
        <w:t>two</w:t>
      </w:r>
      <w:r w:rsidRPr="00B525C7">
        <w:t xml:space="preserve"> partitions </w:t>
      </w:r>
      <w:r>
        <w:t>perpendicular to the back wall</w:t>
      </w:r>
      <w:r w:rsidRPr="00B525C7">
        <w:t>, one of which is shared with the larger stall</w:t>
      </w:r>
      <w:r>
        <w:t>, and a stall door parallel to the back wall</w:t>
      </w:r>
      <w:r w:rsidRPr="00B525C7">
        <w:t xml:space="preserve">. </w:t>
      </w:r>
      <w:r w:rsidR="009F5FF4">
        <w:t xml:space="preserve"> </w:t>
      </w:r>
      <w:r w:rsidRPr="00B525C7">
        <w:t>The larg</w:t>
      </w:r>
      <w:r>
        <w:t>e</w:t>
      </w:r>
      <w:r w:rsidRPr="00B525C7">
        <w:t xml:space="preserve"> stall is</w:t>
      </w:r>
      <w:r w:rsidR="007B2323">
        <w:t xml:space="preserve"> a </w:t>
      </w:r>
      <w:r w:rsidR="005032EB">
        <w:t>right</w:t>
      </w:r>
      <w:r w:rsidR="0037721E">
        <w:t>-angled</w:t>
      </w:r>
      <w:r w:rsidR="005032EB">
        <w:t xml:space="preserve"> </w:t>
      </w:r>
      <w:r w:rsidR="007B2323">
        <w:t>trapezoid</w:t>
      </w:r>
      <w:r w:rsidRPr="00B525C7">
        <w:t xml:space="preserve"> made up of the partition it shares with the small stall</w:t>
      </w:r>
      <w:r>
        <w:t xml:space="preserve">, a stall door that continues in line with this partition, </w:t>
      </w:r>
      <w:r w:rsidRPr="00B525C7">
        <w:t>and three structural walls.</w:t>
      </w:r>
      <w:r>
        <w:rPr>
          <w:rStyle w:val="FootnoteReference"/>
        </w:rPr>
        <w:footnoteReference w:id="6"/>
      </w:r>
      <w:r w:rsidR="009F5FF4">
        <w:t xml:space="preserve">  </w:t>
      </w:r>
      <w:r w:rsidRPr="00B525C7">
        <w:t xml:space="preserve">One </w:t>
      </w:r>
      <w:r w:rsidR="009F5FF4">
        <w:t xml:space="preserve">of these </w:t>
      </w:r>
      <w:r w:rsidRPr="00B525C7">
        <w:t>wall</w:t>
      </w:r>
      <w:r w:rsidR="009F5FF4">
        <w:t>s</w:t>
      </w:r>
      <w:r w:rsidRPr="00B525C7">
        <w:t xml:space="preserve"> does not extend all the way to the floor or ceiling of the </w:t>
      </w:r>
      <w:r>
        <w:t xml:space="preserve">restroom, creating gaps to the outdoors.  </w:t>
      </w:r>
      <w:r w:rsidRPr="009F5FF4">
        <w:t>T</w:t>
      </w:r>
      <w:r w:rsidRPr="009F5FF4" w:rsidR="0097624E">
        <w:t>he</w:t>
      </w:r>
      <w:r w:rsidRPr="009F5FF4" w:rsidR="00B90D99">
        <w:t xml:space="preserve"> two stalls</w:t>
      </w:r>
      <w:r w:rsidRPr="009F5FF4" w:rsidR="0097624E">
        <w:t>’ doors</w:t>
      </w:r>
      <w:r w:rsidRPr="009F5FF4" w:rsidR="00B90D99">
        <w:t xml:space="preserve"> form an “L,</w:t>
      </w:r>
      <w:r w:rsidRPr="009F5FF4" w:rsidR="0097624E">
        <w:t>”</w:t>
      </w:r>
      <w:r w:rsidRPr="009F5FF4" w:rsidR="00B90D99">
        <w:t xml:space="preserve"> so when </w:t>
      </w:r>
      <w:r w:rsidRPr="009F5FF4" w:rsidR="00680426">
        <w:t>exiting</w:t>
      </w:r>
      <w:r w:rsidRPr="009F5FF4" w:rsidR="00B90D99">
        <w:t xml:space="preserve"> the small stall, the large stall’s door is immediately to </w:t>
      </w:r>
      <w:r w:rsidRPr="009F5FF4" w:rsidR="00680426">
        <w:t>one’s</w:t>
      </w:r>
      <w:r w:rsidRPr="009F5FF4" w:rsidR="00B90D99">
        <w:t xml:space="preserve"> left.  </w:t>
      </w:r>
      <w:r w:rsidRPr="009F5FF4" w:rsidR="00D622D0">
        <w:t xml:space="preserve">Like the </w:t>
      </w:r>
      <w:r w:rsidRPr="009F5FF4" w:rsidR="00C43780">
        <w:t xml:space="preserve">stall </w:t>
      </w:r>
      <w:r w:rsidRPr="009F5FF4" w:rsidR="009F5FF4">
        <w:t>partitions</w:t>
      </w:r>
      <w:r w:rsidRPr="009F5FF4" w:rsidR="00C43780">
        <w:t>,</w:t>
      </w:r>
      <w:r w:rsidRPr="009F5FF4" w:rsidR="0097624E">
        <w:t xml:space="preserve"> both stall doors do not </w:t>
      </w:r>
      <w:r w:rsidRPr="009F5FF4" w:rsidR="00C43780">
        <w:t xml:space="preserve">extend all the way to the floor or ceiling. </w:t>
      </w:r>
      <w:r w:rsidR="00B90D99">
        <w:t xml:space="preserve"> </w:t>
      </w:r>
    </w:p>
    <w:p w:rsidR="00691A77" w:rsidP="007E2924" w14:paraId="4F219B1C" w14:textId="13677B82">
      <w:pPr>
        <w:spacing w:line="360" w:lineRule="auto"/>
      </w:pPr>
      <w:r>
        <w:tab/>
      </w:r>
      <w:r w:rsidR="0005389D">
        <w:t>Doe did not see anyone else</w:t>
      </w:r>
      <w:r w:rsidR="003E067B">
        <w:t xml:space="preserve"> in the women’s restroom when</w:t>
      </w:r>
      <w:r w:rsidR="0005389D">
        <w:t xml:space="preserve"> she</w:t>
      </w:r>
      <w:r w:rsidR="00BD3164">
        <w:t xml:space="preserve"> </w:t>
      </w:r>
      <w:r w:rsidR="0016659C">
        <w:t>went in.</w:t>
      </w:r>
      <w:r w:rsidR="00BD3164">
        <w:t xml:space="preserve"> </w:t>
      </w:r>
      <w:r w:rsidR="003E067B">
        <w:t xml:space="preserve"> </w:t>
      </w:r>
      <w:r w:rsidR="0005389D">
        <w:t xml:space="preserve">She </w:t>
      </w:r>
      <w:r w:rsidR="00C80851">
        <w:t xml:space="preserve">entered the small stall, </w:t>
      </w:r>
      <w:r w:rsidR="00985CB1">
        <w:t xml:space="preserve">closed and </w:t>
      </w:r>
      <w:r w:rsidR="00C80851">
        <w:t>lock</w:t>
      </w:r>
      <w:r w:rsidR="00985CB1">
        <w:t>ed</w:t>
      </w:r>
      <w:r w:rsidR="00C80851">
        <w:t xml:space="preserve"> the door behind her, and used the </w:t>
      </w:r>
      <w:r w:rsidR="0005389D">
        <w:t>toilet</w:t>
      </w:r>
      <w:r w:rsidR="00C80851">
        <w:t xml:space="preserve">. </w:t>
      </w:r>
      <w:r w:rsidR="000875C3">
        <w:t xml:space="preserve"> After finishing, she opened the stall door</w:t>
      </w:r>
      <w:r w:rsidR="000343EF">
        <w:t>, which opens inward,</w:t>
      </w:r>
      <w:r w:rsidR="000875C3">
        <w:t xml:space="preserve"> and </w:t>
      </w:r>
      <w:r w:rsidR="00F34242">
        <w:t xml:space="preserve">saw a man later identified as </w:t>
      </w:r>
      <w:r w:rsidR="00185940">
        <w:t xml:space="preserve">23-year-old </w:t>
      </w:r>
      <w:r w:rsidR="00F34242">
        <w:t>Waqa</w:t>
      </w:r>
      <w:r w:rsidR="00F6722B">
        <w:t>.</w:t>
      </w:r>
      <w:r w:rsidR="00F34242">
        <w:t xml:space="preserve"> </w:t>
      </w:r>
      <w:r w:rsidR="00F6722B">
        <w:t xml:space="preserve"> </w:t>
      </w:r>
      <w:r w:rsidR="00BB3713">
        <w:t xml:space="preserve">He was </w:t>
      </w:r>
      <w:r w:rsidR="0097624E">
        <w:t xml:space="preserve">facing her from </w:t>
      </w:r>
      <w:r w:rsidR="00BB3713">
        <w:t xml:space="preserve">about three feet away, blocking her from </w:t>
      </w:r>
      <w:r w:rsidR="00403F86">
        <w:t>exiting the stall</w:t>
      </w:r>
      <w:r w:rsidR="00BB3713">
        <w:t xml:space="preserve">.  </w:t>
      </w:r>
      <w:r w:rsidR="007D45DB">
        <w:t xml:space="preserve">Doe testified that Waqa “was </w:t>
      </w:r>
      <w:r w:rsidR="00EC47EC">
        <w:t xml:space="preserve">big, both height-wise </w:t>
      </w:r>
      <w:r w:rsidR="000C7476">
        <w:t>.</w:t>
      </w:r>
      <w:r w:rsidR="005174D1">
        <w:t> </w:t>
      </w:r>
      <w:r w:rsidR="000C7476">
        <w:t>.</w:t>
      </w:r>
      <w:r w:rsidR="001C554F">
        <w:t> </w:t>
      </w:r>
      <w:r w:rsidR="000C7476">
        <w:t>. [and]</w:t>
      </w:r>
      <w:r w:rsidR="00EC47EC">
        <w:t xml:space="preserve"> horizontally,” and “by far”</w:t>
      </w:r>
      <w:r w:rsidR="00CA489E">
        <w:t xml:space="preserve"> larger than she.</w:t>
      </w:r>
      <w:r>
        <w:rPr>
          <w:rStyle w:val="FootnoteReference"/>
        </w:rPr>
        <w:footnoteReference w:id="7"/>
      </w:r>
      <w:r w:rsidR="00EC47EC">
        <w:t xml:space="preserve"> </w:t>
      </w:r>
      <w:r w:rsidR="00817700">
        <w:t xml:space="preserve"> </w:t>
      </w:r>
      <w:r w:rsidR="00F83131">
        <w:tab/>
      </w:r>
    </w:p>
    <w:p w:rsidR="006F1BCA" w:rsidP="007E2924" w14:paraId="6A0C1A92" w14:textId="28AE873B">
      <w:pPr>
        <w:spacing w:line="360" w:lineRule="auto"/>
      </w:pPr>
      <w:r>
        <w:tab/>
      </w:r>
      <w:r w:rsidR="00566A1B">
        <w:t xml:space="preserve">“[S]cared out of [her] wits,” Doe tried to </w:t>
      </w:r>
      <w:r w:rsidR="00EE62AF">
        <w:t>“dar</w:t>
      </w:r>
      <w:r w:rsidR="002E576C">
        <w:t xml:space="preserve">t for the door,” but she was unable “to get past” Waqa. </w:t>
      </w:r>
      <w:r w:rsidR="00566A1B">
        <w:t xml:space="preserve"> </w:t>
      </w:r>
      <w:r w:rsidR="002E576C">
        <w:t>He grabbed</w:t>
      </w:r>
      <w:r w:rsidR="00B55FD0">
        <w:t xml:space="preserve"> her</w:t>
      </w:r>
      <w:r w:rsidR="00EE62AF">
        <w:t xml:space="preserve"> arm</w:t>
      </w:r>
      <w:r w:rsidR="00B55FD0">
        <w:t xml:space="preserve"> and </w:t>
      </w:r>
      <w:r w:rsidR="0040150E">
        <w:t>held her</w:t>
      </w:r>
      <w:r w:rsidR="001F2897">
        <w:t xml:space="preserve"> as</w:t>
      </w:r>
      <w:r w:rsidR="0087527F">
        <w:t>, now outside the small stall,</w:t>
      </w:r>
      <w:r w:rsidR="001F2897">
        <w:t xml:space="preserve"> </w:t>
      </w:r>
      <w:r w:rsidR="00B55FD0">
        <w:t>she screamed and struggled.</w:t>
      </w:r>
      <w:r w:rsidR="00EE62AF">
        <w:t xml:space="preserve"> </w:t>
      </w:r>
      <w:r w:rsidR="00F83131">
        <w:t xml:space="preserve"> </w:t>
      </w:r>
      <w:r w:rsidR="00BA70AB">
        <w:t>Doe testified that</w:t>
      </w:r>
      <w:r w:rsidR="00B94EF1">
        <w:t xml:space="preserve"> Waqa told her “he was going to kill [her]</w:t>
      </w:r>
      <w:r w:rsidR="00317497">
        <w:t>”</w:t>
      </w:r>
      <w:r w:rsidR="00B94EF1">
        <w:t xml:space="preserve"> and</w:t>
      </w:r>
      <w:r w:rsidR="00F97A79">
        <w:t xml:space="preserve"> made a “finger gun gesture.</w:t>
      </w:r>
      <w:r w:rsidR="00BD715B">
        <w:t>”</w:t>
      </w:r>
      <w:r w:rsidR="00F97A79">
        <w:t xml:space="preserve"> </w:t>
      </w:r>
    </w:p>
    <w:p w:rsidR="00414C01" w:rsidP="007E2924" w14:paraId="02136405" w14:textId="0741E98D">
      <w:pPr>
        <w:spacing w:line="360" w:lineRule="auto"/>
      </w:pPr>
      <w:r>
        <w:tab/>
        <w:t>Waqa then “dragged” Doe</w:t>
      </w:r>
      <w:r w:rsidR="00324A95">
        <w:t>, who was still screaming and struggling,</w:t>
      </w:r>
      <w:r>
        <w:t xml:space="preserve"> into the large stall</w:t>
      </w:r>
      <w:r w:rsidR="00324A95">
        <w:t xml:space="preserve">. </w:t>
      </w:r>
      <w:r w:rsidR="00A22252">
        <w:t xml:space="preserve"> He locked the stall door</w:t>
      </w:r>
      <w:r w:rsidR="0073638D">
        <w:t xml:space="preserve"> behind them</w:t>
      </w:r>
      <w:r w:rsidR="00A22252">
        <w:t xml:space="preserve"> and pushed her against </w:t>
      </w:r>
      <w:r w:rsidR="00040665">
        <w:t xml:space="preserve">the wall </w:t>
      </w:r>
      <w:r w:rsidR="00F52D05">
        <w:t>facing</w:t>
      </w:r>
      <w:r w:rsidR="00266C3B">
        <w:t xml:space="preserve"> the</w:t>
      </w:r>
      <w:r w:rsidR="0073638D">
        <w:t xml:space="preserve"> stall door. </w:t>
      </w:r>
      <w:r w:rsidR="00A31D39">
        <w:t xml:space="preserve"> Waqa then pushed Doe to</w:t>
      </w:r>
      <w:r w:rsidR="003E5670">
        <w:t xml:space="preserve"> the ground.  As she attempted to “reach for the [stall] door to exit,” he grabb</w:t>
      </w:r>
      <w:r w:rsidR="00E60E60">
        <w:t xml:space="preserve">ed her and dragged her backward, toward the toilet. </w:t>
      </w:r>
      <w:r w:rsidR="0038095B">
        <w:t xml:space="preserve"> </w:t>
      </w:r>
      <w:r w:rsidR="008C7B88">
        <w:t>She</w:t>
      </w:r>
      <w:r w:rsidR="00FF710F">
        <w:t xml:space="preserve"> ended up on the ground in the stall’s back corner,</w:t>
      </w:r>
      <w:r w:rsidR="007D7223">
        <w:t xml:space="preserve"> </w:t>
      </w:r>
      <w:r w:rsidR="008C7B88">
        <w:t>next to the toilet on the side farthest from the restroom exit</w:t>
      </w:r>
      <w:r w:rsidR="00214FF1">
        <w:t xml:space="preserve">. </w:t>
      </w:r>
      <w:r w:rsidR="003C430F">
        <w:t xml:space="preserve"> </w:t>
      </w:r>
    </w:p>
    <w:p w:rsidR="00FF4FB8" w:rsidP="007E2924" w14:paraId="1BD4BA49" w14:textId="79D9FEFF">
      <w:pPr>
        <w:spacing w:line="360" w:lineRule="auto"/>
      </w:pPr>
      <w:r>
        <w:tab/>
        <w:t>Waqa pulled down Doe’s pants and underwear</w:t>
      </w:r>
      <w:r w:rsidR="006E25F5">
        <w:t>, pulled down his own pants, and raped her.</w:t>
      </w:r>
      <w:r>
        <w:t xml:space="preserve"> </w:t>
      </w:r>
      <w:r w:rsidR="00145EBF">
        <w:t xml:space="preserve"> Doe testified that </w:t>
      </w:r>
      <w:r w:rsidR="006C7B4C">
        <w:t xml:space="preserve">she had her eyes closed and “was gasping for breath” as he laid on her, feeling as if she was being “asphyxiated.” </w:t>
      </w:r>
      <w:r w:rsidR="008108CD">
        <w:t xml:space="preserve"> </w:t>
      </w:r>
      <w:r w:rsidR="007C49D3">
        <w:t>During</w:t>
      </w:r>
      <w:r w:rsidR="00E47C36">
        <w:t xml:space="preserve"> the </w:t>
      </w:r>
      <w:r w:rsidR="00FC6E4D">
        <w:t>rape</w:t>
      </w:r>
      <w:r w:rsidR="00E47C36">
        <w:t xml:space="preserve">, </w:t>
      </w:r>
      <w:r w:rsidR="008108CD">
        <w:t>Doe felt both Waqa’s hands and penis inside</w:t>
      </w:r>
      <w:r w:rsidR="001C1989">
        <w:t xml:space="preserve"> her vagina, and he ejaculated into her. </w:t>
      </w:r>
      <w:r w:rsidR="00A253A1">
        <w:t xml:space="preserve"> DNA testing later confirmed </w:t>
      </w:r>
      <w:r w:rsidR="007C49D3">
        <w:t xml:space="preserve">the presence of </w:t>
      </w:r>
      <w:r w:rsidR="00A253A1">
        <w:t xml:space="preserve">Waqa’s semen </w:t>
      </w:r>
      <w:r w:rsidR="007C49D3">
        <w:t>i</w:t>
      </w:r>
      <w:r w:rsidR="00530DAC">
        <w:t xml:space="preserve">n Doe’s vagina. </w:t>
      </w:r>
      <w:r w:rsidR="003C430F">
        <w:t xml:space="preserve"> </w:t>
      </w:r>
      <w:r w:rsidR="002A20D1">
        <w:t>Her arm</w:t>
      </w:r>
      <w:r w:rsidR="00D84A6F">
        <w:t xml:space="preserve">, </w:t>
      </w:r>
      <w:r w:rsidR="003306C5">
        <w:t>chest</w:t>
      </w:r>
      <w:r w:rsidR="00D84A6F">
        <w:t xml:space="preserve">, and </w:t>
      </w:r>
      <w:r w:rsidR="00811561">
        <w:t>thigh</w:t>
      </w:r>
      <w:r w:rsidR="002A20D1">
        <w:t xml:space="preserve"> were significantly bruised</w:t>
      </w:r>
      <w:r w:rsidR="0080379F">
        <w:t>.</w:t>
      </w:r>
      <w:r w:rsidR="00D245AA">
        <w:t xml:space="preserve"> </w:t>
      </w:r>
    </w:p>
    <w:p w:rsidR="00EB1C37" w:rsidP="007E2924" w14:paraId="5B3E1AE1" w14:textId="3821F245">
      <w:pPr>
        <w:spacing w:line="360" w:lineRule="auto"/>
      </w:pPr>
      <w:r>
        <w:tab/>
        <w:t xml:space="preserve">After the rape, Waqa left the women’s restroom.  </w:t>
      </w:r>
      <w:r w:rsidR="00796819">
        <w:t xml:space="preserve">Doe </w:t>
      </w:r>
      <w:r w:rsidR="003202DC">
        <w:t xml:space="preserve">then left as well, returned to her car, and drove home. </w:t>
      </w:r>
      <w:r w:rsidR="007E5C12">
        <w:t xml:space="preserve"> </w:t>
      </w:r>
      <w:r w:rsidR="00BD6C2B">
        <w:t>A</w:t>
      </w:r>
      <w:r w:rsidR="00EC19D9">
        <w:t>round 8:15 a.m.</w:t>
      </w:r>
      <w:r w:rsidR="00BD6C2B">
        <w:t>, she called 911</w:t>
      </w:r>
      <w:r w:rsidR="00EC19D9">
        <w:t xml:space="preserve"> </w:t>
      </w:r>
      <w:r w:rsidR="00EC52E2">
        <w:t xml:space="preserve">and reported the </w:t>
      </w:r>
      <w:r w:rsidR="00B076F5">
        <w:t>crime</w:t>
      </w:r>
      <w:r w:rsidR="00EC52E2">
        <w:t xml:space="preserve">. </w:t>
      </w:r>
    </w:p>
    <w:p w:rsidR="00A75EB3" w:rsidP="007E2924" w14:paraId="1DEE41AD" w14:textId="74209EA9">
      <w:pPr>
        <w:spacing w:line="360" w:lineRule="auto"/>
      </w:pPr>
      <w:r>
        <w:tab/>
      </w:r>
      <w:r w:rsidR="009D5B23">
        <w:t>The s</w:t>
      </w:r>
      <w:r w:rsidR="007E5C12">
        <w:t xml:space="preserve">ubsequent </w:t>
      </w:r>
      <w:r w:rsidR="009D5B23">
        <w:t xml:space="preserve">police </w:t>
      </w:r>
      <w:r w:rsidR="007E5C12">
        <w:t xml:space="preserve">investigation revealed that Waqa </w:t>
      </w:r>
      <w:r w:rsidR="00DF7F78">
        <w:t xml:space="preserve">approached two other women in the Howarth Park parking lot, one before Doe’s rape and one after, and </w:t>
      </w:r>
      <w:r w:rsidR="0069566D">
        <w:t xml:space="preserve">persistently </w:t>
      </w:r>
      <w:r w:rsidR="00D13292">
        <w:t xml:space="preserve">but unsuccessfully </w:t>
      </w:r>
      <w:r w:rsidR="00DF7F78">
        <w:t xml:space="preserve">propositioned both </w:t>
      </w:r>
      <w:r w:rsidR="00852A93">
        <w:t xml:space="preserve">women for sex.  One of those women </w:t>
      </w:r>
      <w:r w:rsidR="00E20250">
        <w:t xml:space="preserve">photographed </w:t>
      </w:r>
      <w:r w:rsidR="00852A93">
        <w:t>the license plate o</w:t>
      </w:r>
      <w:r w:rsidR="00E20250">
        <w:t>f</w:t>
      </w:r>
      <w:r w:rsidR="00852A93">
        <w:t xml:space="preserve"> the car Waqa </w:t>
      </w:r>
      <w:r w:rsidR="008971FD">
        <w:t>drove away from the park</w:t>
      </w:r>
      <w:r w:rsidR="00852A93">
        <w:t xml:space="preserve">, which </w:t>
      </w:r>
      <w:r w:rsidR="00EB3FE7">
        <w:t xml:space="preserve">allowed </w:t>
      </w:r>
      <w:r w:rsidR="00EC6BE1">
        <w:t xml:space="preserve">the police to locate and eventually arrest him.  </w:t>
      </w:r>
      <w:r w:rsidR="004377D3">
        <w:t>Doe and one of these women</w:t>
      </w:r>
      <w:r w:rsidR="00677896">
        <w:t xml:space="preserve"> </w:t>
      </w:r>
      <w:r>
        <w:t xml:space="preserve">identified him </w:t>
      </w:r>
      <w:r w:rsidR="00013861">
        <w:t>in photographic line-ups</w:t>
      </w:r>
      <w:r w:rsidR="00464DD6">
        <w:t>,</w:t>
      </w:r>
      <w:r w:rsidR="004E31EF">
        <w:t xml:space="preserve"> and the third woman identified him at trial. </w:t>
      </w:r>
      <w:r w:rsidR="00013861">
        <w:t xml:space="preserve"> Doe </w:t>
      </w:r>
      <w:r w:rsidR="004377D3">
        <w:t xml:space="preserve">also </w:t>
      </w:r>
      <w:r w:rsidR="00013861">
        <w:t>identified him in an infield show-up</w:t>
      </w:r>
      <w:r w:rsidR="004E31EF">
        <w:t xml:space="preserve">. </w:t>
      </w:r>
      <w:r w:rsidR="004377D3">
        <w:t xml:space="preserve"> </w:t>
      </w:r>
    </w:p>
    <w:p w:rsidR="0026575B" w:rsidRPr="008E4889" w:rsidP="007E2924" w14:paraId="2291B054" w14:textId="5D1D2694">
      <w:pPr>
        <w:spacing w:line="360" w:lineRule="auto"/>
      </w:pPr>
      <w:r>
        <w:tab/>
        <w:t xml:space="preserve">Waqa </w:t>
      </w:r>
      <w:r w:rsidR="00612F0F">
        <w:t xml:space="preserve">was charged with </w:t>
      </w:r>
      <w:r w:rsidR="00850E8E">
        <w:t xml:space="preserve">a felony count of forcible rape </w:t>
      </w:r>
      <w:r w:rsidR="004F77D0">
        <w:t>and a</w:t>
      </w:r>
      <w:r w:rsidR="00330FBF">
        <w:t>n accompanying</w:t>
      </w:r>
      <w:r w:rsidR="00850E8E">
        <w:t xml:space="preserve"> </w:t>
      </w:r>
      <w:r w:rsidR="004F77D0">
        <w:t>aggravated kidnapping</w:t>
      </w:r>
      <w:r w:rsidR="009C72D1">
        <w:t xml:space="preserve"> circumstance</w:t>
      </w:r>
      <w:r w:rsidR="00E20250">
        <w:t xml:space="preserve"> under the One Strike law</w:t>
      </w:r>
      <w:r w:rsidR="00330FBF">
        <w:t>.</w:t>
      </w:r>
      <w:r>
        <w:rPr>
          <w:rStyle w:val="FootnoteReference"/>
        </w:rPr>
        <w:footnoteReference w:id="8"/>
      </w:r>
      <w:r w:rsidR="00330FBF">
        <w:t xml:space="preserve">  </w:t>
      </w:r>
      <w:r w:rsidR="0082412B">
        <w:t xml:space="preserve">The jury </w:t>
      </w:r>
      <w:r w:rsidR="00F02A72">
        <w:t xml:space="preserve">convicted him of the charge and found </w:t>
      </w:r>
      <w:r w:rsidR="00094A4D">
        <w:t xml:space="preserve">true the </w:t>
      </w:r>
      <w:r w:rsidR="00FD155C">
        <w:t>aggravated kidnapping</w:t>
      </w:r>
      <w:r w:rsidR="00094A4D">
        <w:t xml:space="preserve"> circumstance. </w:t>
      </w:r>
      <w:r w:rsidR="007F2A17">
        <w:t xml:space="preserve"> </w:t>
      </w:r>
      <w:r w:rsidR="00277BE5">
        <w:t>As required under the One Strike law</w:t>
      </w:r>
      <w:r w:rsidR="00E8254B">
        <w:t xml:space="preserve">, the trial court </w:t>
      </w:r>
      <w:r w:rsidR="004F3AB5">
        <w:t xml:space="preserve">then </w:t>
      </w:r>
      <w:r w:rsidR="00E8254B">
        <w:t xml:space="preserve">sentenced him to 25 years </w:t>
      </w:r>
      <w:r w:rsidR="00B24235">
        <w:t>to life in prison</w:t>
      </w:r>
      <w:r w:rsidR="0032537B">
        <w:t xml:space="preserve"> for the rape</w:t>
      </w:r>
      <w:r w:rsidR="00B24235">
        <w:t xml:space="preserve">. </w:t>
      </w:r>
    </w:p>
    <w:p w:rsidR="007E2924" w:rsidRPr="008E4889" w:rsidP="00017B16" w14:paraId="7BDF10FF" w14:textId="748FEC03">
      <w:pPr>
        <w:keepNext/>
        <w:spacing w:line="240" w:lineRule="auto"/>
        <w:jc w:val="center"/>
      </w:pPr>
      <w:r w:rsidRPr="008E4889">
        <w:t>II.</w:t>
      </w:r>
      <w:r w:rsidRPr="008E4889">
        <w:br/>
      </w:r>
      <w:r w:rsidRPr="008E4889">
        <w:rPr>
          <w:smallCaps/>
        </w:rPr>
        <w:t>Discussion</w:t>
      </w:r>
    </w:p>
    <w:p w:rsidR="007E2924" w:rsidRPr="009D6B3B" w:rsidP="004967FF" w14:paraId="379BF7DB" w14:textId="510DC7B4">
      <w:pPr>
        <w:keepNext/>
        <w:spacing w:before="180" w:line="240" w:lineRule="auto"/>
        <w:ind w:left="1440" w:hanging="1440"/>
        <w:rPr>
          <w:i/>
          <w:iCs/>
        </w:rPr>
      </w:pPr>
      <w:r>
        <w:tab/>
      </w:r>
      <w:r>
        <w:rPr>
          <w:i/>
          <w:iCs/>
        </w:rPr>
        <w:t>A.</w:t>
      </w:r>
      <w:r>
        <w:rPr>
          <w:i/>
          <w:iCs/>
        </w:rPr>
        <w:tab/>
      </w:r>
      <w:r w:rsidRPr="00984234" w:rsidR="004967FF">
        <w:rPr>
          <w:i/>
          <w:iCs/>
        </w:rPr>
        <w:t>T</w:t>
      </w:r>
      <w:r w:rsidRPr="00984234" w:rsidR="00885579">
        <w:rPr>
          <w:i/>
          <w:iCs/>
        </w:rPr>
        <w:t>he Aggravated Kidnapping</w:t>
      </w:r>
      <w:r w:rsidRPr="00984234" w:rsidR="00017B16">
        <w:rPr>
          <w:i/>
          <w:iCs/>
        </w:rPr>
        <w:t xml:space="preserve"> Circumstance</w:t>
      </w:r>
      <w:r w:rsidRPr="00984234" w:rsidR="004967FF">
        <w:rPr>
          <w:i/>
          <w:iCs/>
        </w:rPr>
        <w:t xml:space="preserve"> Cannot Stand Because There Was Insufficient Evidence that the Movement </w:t>
      </w:r>
      <w:r w:rsidRPr="00984234" w:rsidR="00984234">
        <w:rPr>
          <w:i/>
          <w:iCs/>
        </w:rPr>
        <w:t xml:space="preserve">of Doe </w:t>
      </w:r>
      <w:r w:rsidRPr="00984234" w:rsidR="004967FF">
        <w:rPr>
          <w:i/>
          <w:iCs/>
        </w:rPr>
        <w:t xml:space="preserve">Substantially Increased </w:t>
      </w:r>
      <w:r w:rsidRPr="00984234" w:rsidR="00984234">
        <w:rPr>
          <w:i/>
          <w:iCs/>
        </w:rPr>
        <w:t xml:space="preserve">Her Risk of </w:t>
      </w:r>
      <w:r w:rsidRPr="00984234" w:rsidR="004967FF">
        <w:rPr>
          <w:i/>
          <w:iCs/>
        </w:rPr>
        <w:t>Harm</w:t>
      </w:r>
      <w:r w:rsidR="00017B16">
        <w:rPr>
          <w:i/>
          <w:iCs/>
        </w:rPr>
        <w:t>.</w:t>
      </w:r>
    </w:p>
    <w:p w:rsidR="001D15E3" w:rsidP="00017B16" w14:paraId="1CBD3EA1" w14:textId="7D9FE7EA">
      <w:pPr>
        <w:spacing w:before="180" w:line="360" w:lineRule="auto"/>
      </w:pPr>
      <w:r>
        <w:tab/>
        <w:t xml:space="preserve">Waqa claims that </w:t>
      </w:r>
      <w:r w:rsidR="00D24CCA">
        <w:t xml:space="preserve">the aggravated kidnapping circumstance must be reversed because </w:t>
      </w:r>
      <w:r w:rsidR="0062244B">
        <w:t>there wa</w:t>
      </w:r>
      <w:r w:rsidR="00BD55A5">
        <w:t>s insufficient evidence</w:t>
      </w:r>
      <w:r w:rsidR="00DA3199">
        <w:t xml:space="preserve"> either that the movement of Doe was substantial or that it substantially increased </w:t>
      </w:r>
      <w:r w:rsidR="008E16CC">
        <w:t xml:space="preserve">her </w:t>
      </w:r>
      <w:r w:rsidR="00DA3199">
        <w:t xml:space="preserve">risk of harm. </w:t>
      </w:r>
      <w:r w:rsidR="00FD2208">
        <w:t xml:space="preserve"> </w:t>
      </w:r>
      <w:r w:rsidR="00E57288">
        <w:t>We disagree with the first point, but agree with the second.</w:t>
      </w:r>
      <w:r w:rsidR="00491963">
        <w:t xml:space="preserve">  T</w:t>
      </w:r>
      <w:r w:rsidR="008E16CC">
        <w:t xml:space="preserve">here was substantial evidence that forcing Doe into the large stall </w:t>
      </w:r>
      <w:r w:rsidR="00E57288">
        <w:t xml:space="preserve">involved </w:t>
      </w:r>
      <w:r w:rsidR="00BA019B">
        <w:t xml:space="preserve">movement of a substantial distance </w:t>
      </w:r>
      <w:r w:rsidR="00E57288">
        <w:t xml:space="preserve">(i.e., enough evidence to support </w:t>
      </w:r>
      <w:r w:rsidR="00491963">
        <w:t>the kidnapping circumstance</w:t>
      </w:r>
      <w:r w:rsidR="00E57288">
        <w:t>)</w:t>
      </w:r>
      <w:r w:rsidR="000425C5">
        <w:t>,</w:t>
      </w:r>
      <w:r w:rsidR="00E57288">
        <w:t xml:space="preserve"> but </w:t>
      </w:r>
      <w:r w:rsidR="000425C5">
        <w:t xml:space="preserve">there was </w:t>
      </w:r>
      <w:r w:rsidR="008E16CC">
        <w:t>insufficient evidence that the movement substantially increased her risk of harm</w:t>
      </w:r>
      <w:r w:rsidR="00E57288">
        <w:t xml:space="preserve"> (i.e.,</w:t>
      </w:r>
      <w:r w:rsidR="00491963">
        <w:t xml:space="preserve"> not</w:t>
      </w:r>
      <w:r w:rsidR="00E57288">
        <w:t xml:space="preserve"> enough evidence to support </w:t>
      </w:r>
      <w:r w:rsidR="00491963">
        <w:t>the aggravated</w:t>
      </w:r>
      <w:r w:rsidR="00E57288">
        <w:t xml:space="preserve"> kidnapping</w:t>
      </w:r>
      <w:r w:rsidR="00491963">
        <w:t xml:space="preserve"> </w:t>
      </w:r>
      <w:r w:rsidRPr="00245673" w:rsidR="00491963">
        <w:t>circumstance</w:t>
      </w:r>
      <w:r w:rsidRPr="00245673" w:rsidR="00E57288">
        <w:t>)</w:t>
      </w:r>
      <w:r w:rsidRPr="00245673" w:rsidR="0073381B">
        <w:t xml:space="preserve">, even if it may have slightly increased </w:t>
      </w:r>
      <w:r w:rsidRPr="00245673" w:rsidR="00F83261">
        <w:t xml:space="preserve">the </w:t>
      </w:r>
      <w:r w:rsidRPr="00245673" w:rsidR="0073381B">
        <w:t>risk</w:t>
      </w:r>
      <w:r w:rsidRPr="00245673" w:rsidR="00AC3AAA">
        <w:t xml:space="preserve"> in some respect</w:t>
      </w:r>
      <w:r w:rsidRPr="00245673" w:rsidR="008E16CC">
        <w:t>.</w:t>
      </w:r>
      <w:r w:rsidRPr="00245673" w:rsidR="00AC3AAA">
        <w:t xml:space="preserve"> </w:t>
      </w:r>
      <w:r w:rsidRPr="00245673" w:rsidR="00E57288">
        <w:t xml:space="preserve"> </w:t>
      </w:r>
      <w:r w:rsidRPr="00245673" w:rsidR="002F4BD1">
        <w:t>Thu</w:t>
      </w:r>
      <w:r w:rsidR="002F4BD1">
        <w:t>s</w:t>
      </w:r>
      <w:r w:rsidR="00AF57DD">
        <w:t xml:space="preserve">, </w:t>
      </w:r>
      <w:r w:rsidR="002316EA">
        <w:t>we</w:t>
      </w:r>
      <w:r w:rsidR="00AF57DD">
        <w:t xml:space="preserve"> </w:t>
      </w:r>
      <w:r w:rsidR="00610D49">
        <w:t>reduce the sentence to 15</w:t>
      </w:r>
      <w:r w:rsidR="00491963">
        <w:t> </w:t>
      </w:r>
      <w:r w:rsidR="00610D49">
        <w:t xml:space="preserve">years to life based on the lesser </w:t>
      </w:r>
      <w:r w:rsidR="00AF57DD">
        <w:t>kidnapping circumstance.</w:t>
      </w:r>
      <w:r>
        <w:rPr>
          <w:rStyle w:val="FootnoteReference"/>
        </w:rPr>
        <w:footnoteReference w:id="9"/>
      </w:r>
      <w:r w:rsidR="00BD55A5">
        <w:t xml:space="preserve"> </w:t>
      </w:r>
    </w:p>
    <w:p w:rsidR="001D15E3" w:rsidP="004822D1" w14:paraId="7FEB80EC" w14:textId="705656A3">
      <w:pPr>
        <w:spacing w:line="360" w:lineRule="auto"/>
      </w:pPr>
      <w:r>
        <w:tab/>
      </w:r>
      <w:r w:rsidR="003F7CD2">
        <w:tab/>
      </w:r>
      <w:r>
        <w:t>1.</w:t>
      </w:r>
      <w:r>
        <w:tab/>
        <w:t>General legal standards</w:t>
      </w:r>
    </w:p>
    <w:p w:rsidR="00CF69CE" w:rsidRPr="00107526" w:rsidP="004822D1" w14:paraId="7F6B4551" w14:textId="02D56884">
      <w:pPr>
        <w:spacing w:line="360" w:lineRule="auto"/>
      </w:pPr>
      <w:r>
        <w:tab/>
      </w:r>
      <w:r w:rsidR="00662FFF">
        <w:t xml:space="preserve">In evaluating </w:t>
      </w:r>
      <w:r w:rsidR="00A2730E">
        <w:t>a claim of insufficient evidence</w:t>
      </w:r>
      <w:r w:rsidR="00662FFF">
        <w:t>, “</w:t>
      </w:r>
      <w:r w:rsidR="00EE7A3B">
        <w:t> </w:t>
      </w:r>
      <w:r w:rsidR="00662FFF">
        <w:t>‘we review the whole record to determine whether .</w:t>
      </w:r>
      <w:r w:rsidR="00EE7A3B">
        <w:t> </w:t>
      </w:r>
      <w:r w:rsidR="00662FFF">
        <w:t>.</w:t>
      </w:r>
      <w:r w:rsidR="00EE7A3B">
        <w:t> </w:t>
      </w:r>
      <w:r w:rsidR="00662FFF">
        <w:t>. [there is] substantial evidence to support the verdict .</w:t>
      </w:r>
      <w:r w:rsidR="00815F9E">
        <w:t> </w:t>
      </w:r>
      <w:r w:rsidR="00662FFF">
        <w:t>.</w:t>
      </w:r>
      <w:r w:rsidR="00815F9E">
        <w:t> </w:t>
      </w:r>
      <w:r w:rsidR="00662FFF">
        <w:t xml:space="preserve">. such that a reasonable trier of fact could find the defendant guilty beyond a reasonable doubt.  [Citation.]  In applying this test, we review the evidence in the light most favorable to the prosecution </w:t>
      </w:r>
      <w:r w:rsidR="003E482A">
        <w:t>and presume in support of the judgment the existence of every fact the jury could reasonably have deduced from the evidence.</w:t>
      </w:r>
      <w:r w:rsidR="001A3C83">
        <w:t>’</w:t>
      </w:r>
      <w:r w:rsidR="00815F9E">
        <w:t> </w:t>
      </w:r>
      <w:r w:rsidR="001A3C83">
        <w:t>”  (</w:t>
      </w:r>
      <w:r w:rsidR="001A3C83">
        <w:rPr>
          <w:i/>
          <w:iCs/>
        </w:rPr>
        <w:t>People v. Manibusan</w:t>
      </w:r>
      <w:r w:rsidR="001A3C83">
        <w:t xml:space="preserve"> (2013) 58</w:t>
      </w:r>
      <w:r w:rsidR="00747D70">
        <w:t> </w:t>
      </w:r>
      <w:r w:rsidR="001A3C83">
        <w:t>Cal.4th 40, 87.)</w:t>
      </w:r>
      <w:r w:rsidR="00C22BE2">
        <w:t xml:space="preserve">  “</w:t>
      </w:r>
      <w:r w:rsidR="00815F9E">
        <w:t> </w:t>
      </w:r>
      <w:r w:rsidR="00C22BE2">
        <w:t>‘</w:t>
      </w:r>
      <w:r w:rsidR="00815F9E">
        <w:t> </w:t>
      </w:r>
      <w:r w:rsidR="00C22BE2">
        <w:t>“</w:t>
      </w:r>
      <w:r w:rsidR="00815F9E">
        <w:t> </w:t>
      </w:r>
      <w:r w:rsidR="00C22BE2">
        <w:t>‘If the circumstances reasonably justify the trier of fact’s findings, the opinion of the reviewing court that the circumstances might also be reasonably reconciled with a contrary finding does not warrant</w:t>
      </w:r>
      <w:r w:rsidR="009454C2">
        <w:t xml:space="preserve"> a reversal of the judgment.’</w:t>
      </w:r>
      <w:r w:rsidR="00747D70">
        <w:t> </w:t>
      </w:r>
      <w:r w:rsidR="009454C2">
        <w:t>”</w:t>
      </w:r>
      <w:r w:rsidR="00747D70">
        <w:t> </w:t>
      </w:r>
      <w:r w:rsidR="009454C2">
        <w:t>’</w:t>
      </w:r>
      <w:r w:rsidR="00747D70">
        <w:t> </w:t>
      </w:r>
      <w:r w:rsidR="009454C2">
        <w:t>”</w:t>
      </w:r>
      <w:r w:rsidR="00E70C52">
        <w:t xml:space="preserve">  (</w:t>
      </w:r>
      <w:r w:rsidR="00E70C52">
        <w:rPr>
          <w:i/>
          <w:iCs/>
        </w:rPr>
        <w:t>In re George T.</w:t>
      </w:r>
      <w:r w:rsidR="00E70C52">
        <w:t xml:space="preserve"> (2004) 33</w:t>
      </w:r>
      <w:r w:rsidR="00753297">
        <w:t> </w:t>
      </w:r>
      <w:r w:rsidR="00E70C52">
        <w:t xml:space="preserve">Cal.4th 620, 631.)  </w:t>
      </w:r>
      <w:r w:rsidR="00956641">
        <w:t xml:space="preserve">Thus, </w:t>
      </w:r>
      <w:r w:rsidR="006F3A8A">
        <w:t xml:space="preserve">we must affirm </w:t>
      </w:r>
      <w:r w:rsidR="006D0031">
        <w:t>“</w:t>
      </w:r>
      <w:r w:rsidR="00BB3A6B">
        <w:t> </w:t>
      </w:r>
      <w:r w:rsidR="006D0031">
        <w:t>‘</w:t>
      </w:r>
      <w:r w:rsidR="00BB3A6B">
        <w:t> </w:t>
      </w:r>
      <w:r w:rsidR="008A79C3">
        <w:t>“unless it appears ‘that</w:t>
      </w:r>
      <w:r w:rsidR="00107526">
        <w:t xml:space="preserve"> upon no hypothesis whatever is there sufficient substantial evidence to support’</w:t>
      </w:r>
      <w:r w:rsidR="00BB3A6B">
        <w:t> </w:t>
      </w:r>
      <w:r w:rsidR="00107526">
        <w:t>” the jury’s verdict.’</w:t>
      </w:r>
      <w:r w:rsidR="00BB3A6B">
        <w:t> </w:t>
      </w:r>
      <w:r w:rsidR="00107526">
        <w:t>”  (</w:t>
      </w:r>
      <w:r w:rsidR="00107526">
        <w:rPr>
          <w:i/>
          <w:iCs/>
        </w:rPr>
        <w:t>Manibusan</w:t>
      </w:r>
      <w:r w:rsidR="00107526">
        <w:t>, at p.</w:t>
      </w:r>
      <w:r w:rsidR="00BB3A6B">
        <w:t> </w:t>
      </w:r>
      <w:r w:rsidR="00107526">
        <w:t>87.)</w:t>
      </w:r>
    </w:p>
    <w:p w:rsidR="00DE6483" w:rsidP="007E2924" w14:paraId="0B2E6A67" w14:textId="55D9401A">
      <w:pPr>
        <w:spacing w:line="360" w:lineRule="auto"/>
      </w:pPr>
      <w:r>
        <w:tab/>
        <w:t xml:space="preserve">We begin </w:t>
      </w:r>
      <w:r w:rsidR="002633D9">
        <w:t>with a</w:t>
      </w:r>
      <w:r w:rsidR="000D6955">
        <w:t>n</w:t>
      </w:r>
      <w:r w:rsidR="002633D9">
        <w:t xml:space="preserve"> overview of the law </w:t>
      </w:r>
      <w:r w:rsidR="008E5C00">
        <w:t xml:space="preserve">pertaining </w:t>
      </w:r>
      <w:r w:rsidR="002633D9">
        <w:t xml:space="preserve">to asportation, the only element </w:t>
      </w:r>
      <w:r w:rsidR="008E5C00">
        <w:t xml:space="preserve">of kidnapping </w:t>
      </w:r>
      <w:r w:rsidR="002633D9">
        <w:t>at issue here.</w:t>
      </w:r>
      <w:r w:rsidR="008F0D11">
        <w:t xml:space="preserve">  In doing</w:t>
      </w:r>
      <w:r w:rsidR="00044929">
        <w:t xml:space="preserve"> so, we focus on three</w:t>
      </w:r>
      <w:r w:rsidR="009E3739">
        <w:t xml:space="preserve"> statutes</w:t>
      </w:r>
      <w:r w:rsidR="008E5C00">
        <w:t xml:space="preserve">:  </w:t>
      </w:r>
      <w:r w:rsidR="00BE030F">
        <w:t>section 207, subdivision (a), which establishes the crime of simple kidnapping; section 209, subdivision (b), which establishes the crime of kidnapping for robbery, rape, or other sex crimes (kidnapping for robbery or rape)</w:t>
      </w:r>
      <w:r w:rsidR="00EB3DE3">
        <w:t xml:space="preserve">; and </w:t>
      </w:r>
      <w:r w:rsidR="004C743E">
        <w:t>the One Strike law</w:t>
      </w:r>
      <w:r w:rsidR="004821E0">
        <w:t>,</w:t>
      </w:r>
      <w:r w:rsidR="00157440">
        <w:t xml:space="preserve"> </w:t>
      </w:r>
      <w:r w:rsidR="00265D81">
        <w:t>under which Waqa was sentenced, which requires an increased term for convictions of certain sexual offenses</w:t>
      </w:r>
      <w:r w:rsidR="00B877FF">
        <w:t xml:space="preserve"> </w:t>
      </w:r>
      <w:r w:rsidR="00265D81">
        <w:t>if the defendant kidnapped the victim</w:t>
      </w:r>
      <w:r w:rsidR="00EB3DE3">
        <w:t>.  In particular, if the defendant committed a simple kidnapping of the victim under section 207</w:t>
      </w:r>
      <w:r w:rsidR="00EE3633">
        <w:t>,</w:t>
      </w:r>
      <w:r w:rsidR="00436880">
        <w:t xml:space="preserve"> subdivision (a),</w:t>
      </w:r>
      <w:r w:rsidR="00EE3633">
        <w:t xml:space="preserve"> the required term for the sexual offense is 15 years to life</w:t>
      </w:r>
      <w:r w:rsidR="00DD6DC4">
        <w:t xml:space="preserve"> (§ 667.61, subds. (b), (e)(1)</w:t>
      </w:r>
      <w:r w:rsidR="00D46F7F">
        <w:t xml:space="preserve">), </w:t>
      </w:r>
      <w:r w:rsidR="00EE3633">
        <w:t xml:space="preserve">and if </w:t>
      </w:r>
      <w:r w:rsidR="00043E33">
        <w:t xml:space="preserve">the movement also </w:t>
      </w:r>
      <w:r w:rsidR="003C49E1">
        <w:t xml:space="preserve">substantially increased the risk of harm to the victim, </w:t>
      </w:r>
      <w:r w:rsidR="00043E33">
        <w:t>the required term is 25 years to life</w:t>
      </w:r>
      <w:r w:rsidR="00F87DED">
        <w:t xml:space="preserve"> (§ 667.61, subds. (a), (d)(2))</w:t>
      </w:r>
      <w:r w:rsidR="00D46F7F">
        <w:t>.</w:t>
      </w:r>
      <w:r w:rsidR="00FB793D">
        <w:t xml:space="preserve">  </w:t>
      </w:r>
    </w:p>
    <w:p w:rsidR="00B134C9" w:rsidP="007E2924" w14:paraId="3FA80E16" w14:textId="7B3DEAE1">
      <w:pPr>
        <w:spacing w:line="360" w:lineRule="auto"/>
      </w:pPr>
      <w:r>
        <w:tab/>
      </w:r>
      <w:r w:rsidR="00C46926">
        <w:t xml:space="preserve">The asportation elements of </w:t>
      </w:r>
      <w:r w:rsidR="00EF17D9">
        <w:t xml:space="preserve">these forms of kidnapping </w:t>
      </w:r>
      <w:r w:rsidR="00A45ECA">
        <w:t>overlap</w:t>
      </w:r>
      <w:r w:rsidR="00B378BF">
        <w:t xml:space="preserve">, with the aggravated kidnapping circumstance requiring the </w:t>
      </w:r>
      <w:r w:rsidR="00265610">
        <w:t xml:space="preserve">greatest </w:t>
      </w:r>
      <w:r w:rsidR="00B378BF">
        <w:t>showing</w:t>
      </w:r>
      <w:r w:rsidR="006A38C1">
        <w:t xml:space="preserve">.  </w:t>
      </w:r>
      <w:r w:rsidR="00754ABF">
        <w:t>Simple kidnapping</w:t>
      </w:r>
      <w:r w:rsidR="00624B42">
        <w:t xml:space="preserve">, and thus the kidnapping circumstance, </w:t>
      </w:r>
      <w:r>
        <w:t>require</w:t>
      </w:r>
      <w:r w:rsidR="00754ABF">
        <w:t>s</w:t>
      </w:r>
      <w:r>
        <w:t xml:space="preserve"> movement of </w:t>
      </w:r>
      <w:r w:rsidR="00D22D96">
        <w:t xml:space="preserve">a </w:t>
      </w:r>
      <w:r>
        <w:t>substantial distance</w:t>
      </w:r>
      <w:r w:rsidR="00A70ED1">
        <w:t>.</w:t>
      </w:r>
      <w:r>
        <w:rPr>
          <w:rStyle w:val="FootnoteReference"/>
        </w:rPr>
        <w:footnoteReference w:id="10"/>
      </w:r>
      <w:r w:rsidR="00A70ED1">
        <w:t xml:space="preserve">  </w:t>
      </w:r>
      <w:r w:rsidR="000425C5">
        <w:t>K</w:t>
      </w:r>
      <w:r w:rsidR="00CB74A9">
        <w:t>idnapping for robbery or rape requires that the movement increased the risk of harm to the victim</w:t>
      </w:r>
      <w:r w:rsidR="000425C5">
        <w:t xml:space="preserve">.  And </w:t>
      </w:r>
      <w:r w:rsidR="00CB74A9">
        <w:t xml:space="preserve">the aggravated kidnapping circumstance requires that the movement </w:t>
      </w:r>
      <w:r w:rsidR="00CB74A9">
        <w:rPr>
          <w:i/>
          <w:iCs/>
        </w:rPr>
        <w:t>substantially</w:t>
      </w:r>
      <w:r w:rsidR="00CB74A9">
        <w:t xml:space="preserve"> increased the risk of harm to the victim.</w:t>
      </w:r>
      <w:r w:rsidR="00265610">
        <w:t xml:space="preserve">  </w:t>
      </w:r>
      <w:r w:rsidR="000425C5">
        <w:t xml:space="preserve">In analyzing the sufficiency of the evidence here, we rely on </w:t>
      </w:r>
      <w:r w:rsidR="00265610">
        <w:t xml:space="preserve">authorities discussing </w:t>
      </w:r>
      <w:r w:rsidR="000425C5">
        <w:t>all three of these different asportation elements.</w:t>
      </w:r>
      <w:r w:rsidR="00CB74A9">
        <w:t xml:space="preserve">  </w:t>
      </w:r>
    </w:p>
    <w:p w:rsidR="008738B2" w:rsidP="007E2924" w14:paraId="06496B11" w14:textId="2763E939">
      <w:pPr>
        <w:spacing w:line="360" w:lineRule="auto"/>
      </w:pPr>
      <w:r>
        <w:tab/>
      </w:r>
      <w:r w:rsidR="00772563">
        <w:t>The One Strike law “provides an alternative, more severe set of penalties for certain sex offenses committed under certain enumerated circumstances</w:t>
      </w:r>
      <w:r w:rsidR="004810C1">
        <w:t xml:space="preserve">.”  </w:t>
      </w:r>
      <w:r w:rsidR="00772563">
        <w:t>(</w:t>
      </w:r>
      <w:r w:rsidR="00772563">
        <w:rPr>
          <w:i/>
          <w:iCs/>
        </w:rPr>
        <w:t>People v. Anderson</w:t>
      </w:r>
      <w:r w:rsidR="00772563">
        <w:t xml:space="preserve"> (2020) 9 Cal.5th 946, 954</w:t>
      </w:r>
      <w:r w:rsidR="00F9641B">
        <w:t xml:space="preserve"> (</w:t>
      </w:r>
      <w:r w:rsidR="00F9641B">
        <w:rPr>
          <w:i/>
          <w:iCs/>
        </w:rPr>
        <w:t>Anderson</w:t>
      </w:r>
      <w:r w:rsidR="00F9641B">
        <w:t>)</w:t>
      </w:r>
      <w:r w:rsidR="00772563">
        <w:t>.)</w:t>
      </w:r>
      <w:r w:rsidR="004810C1">
        <w:t xml:space="preserve">  </w:t>
      </w:r>
      <w:r w:rsidR="007B5B51">
        <w:t xml:space="preserve">A One Strike </w:t>
      </w:r>
      <w:r w:rsidR="006B61F4">
        <w:t>term</w:t>
      </w:r>
      <w:r w:rsidR="007B5B51">
        <w:t xml:space="preserve"> is “</w:t>
      </w:r>
      <w:r w:rsidR="00BB3A6B">
        <w:t> </w:t>
      </w:r>
      <w:r w:rsidR="00A54038">
        <w:t>‘</w:t>
      </w:r>
      <w:r w:rsidR="00BB3A6B">
        <w:t> </w:t>
      </w:r>
      <w:r w:rsidR="00A54038">
        <w:t>“an alternate penalty for the underlying felony itself,”</w:t>
      </w:r>
      <w:r w:rsidR="006B61F4">
        <w:t> </w:t>
      </w:r>
      <w:r w:rsidR="00A54038">
        <w:t>’</w:t>
      </w:r>
      <w:r w:rsidR="006B61F4">
        <w:t> </w:t>
      </w:r>
      <w:r w:rsidR="00A54038">
        <w:t>”</w:t>
      </w:r>
      <w:r w:rsidR="00BF72D4">
        <w:t xml:space="preserve"> not </w:t>
      </w:r>
      <w:r w:rsidR="00E36E64">
        <w:t>a</w:t>
      </w:r>
      <w:r w:rsidR="008C21E6">
        <w:t xml:space="preserve"> sentence</w:t>
      </w:r>
      <w:r w:rsidR="00E36E64">
        <w:t xml:space="preserve"> enhancement that adds</w:t>
      </w:r>
      <w:r w:rsidR="00BF72D4">
        <w:t xml:space="preserve"> “</w:t>
      </w:r>
      <w:r w:rsidR="00D22D96">
        <w:t xml:space="preserve"> ‘ “ ‘</w:t>
      </w:r>
      <w:r w:rsidR="00E36E64">
        <w:t xml:space="preserve">an </w:t>
      </w:r>
      <w:r w:rsidR="00BF72D4">
        <w:t>additional term of</w:t>
      </w:r>
      <w:r w:rsidR="008C21E6">
        <w:t xml:space="preserve"> </w:t>
      </w:r>
      <w:r w:rsidR="00BF72D4">
        <w:t>imprisonment</w:t>
      </w:r>
      <w:r w:rsidR="00D22D96">
        <w:t>’</w:t>
      </w:r>
      <w:r w:rsidR="00BF72D4">
        <w:t xml:space="preserve"> .</w:t>
      </w:r>
      <w:r w:rsidR="00A877FA">
        <w:t> </w:t>
      </w:r>
      <w:r w:rsidR="00BF72D4">
        <w:t>.</w:t>
      </w:r>
      <w:r w:rsidR="00A877FA">
        <w:t> </w:t>
      </w:r>
      <w:r w:rsidR="00BF72D4">
        <w:t>. to a ‘base term</w:t>
      </w:r>
      <w:r w:rsidR="00E36E64">
        <w:t>.</w:t>
      </w:r>
      <w:r w:rsidR="00BF72D4">
        <w:t>’</w:t>
      </w:r>
      <w:r w:rsidR="00A877FA">
        <w:t> </w:t>
      </w:r>
      <w:r w:rsidR="00B12E33">
        <w:t>”</w:t>
      </w:r>
      <w:r w:rsidR="00D22D96">
        <w:t xml:space="preserve"> ’ ”</w:t>
      </w:r>
      <w:r w:rsidR="00E36E64">
        <w:t xml:space="preserve">  (</w:t>
      </w:r>
      <w:r w:rsidR="009476F0">
        <w:rPr>
          <w:i/>
          <w:iCs/>
        </w:rPr>
        <w:t>People v. Salvador</w:t>
      </w:r>
      <w:r w:rsidR="009476F0">
        <w:t xml:space="preserve"> (2017) 11</w:t>
      </w:r>
      <w:r w:rsidR="00CB19B7">
        <w:t> </w:t>
      </w:r>
      <w:r w:rsidR="009476F0">
        <w:t>Cal.App.5th 584, 592–593</w:t>
      </w:r>
      <w:r w:rsidR="00D22D96">
        <w:t xml:space="preserve">, </w:t>
      </w:r>
      <w:r w:rsidR="008662E5">
        <w:t>italics omitted</w:t>
      </w:r>
      <w:r w:rsidR="009F1C19">
        <w:t>.)</w:t>
      </w:r>
      <w:r w:rsidR="00E36E64">
        <w:t xml:space="preserve">  </w:t>
      </w:r>
      <w:r w:rsidR="004810C1">
        <w:t xml:space="preserve">The </w:t>
      </w:r>
      <w:r w:rsidR="008C21E6">
        <w:t>statute is designed</w:t>
      </w:r>
      <w:r w:rsidR="00915991">
        <w:t xml:space="preserve"> “to ensure serious sex offenders receive lengthy prison sentences upon their first conviction when their crimes are committed under circumstances elevating their victim’s vulnerability.”  (</w:t>
      </w:r>
      <w:r w:rsidR="00915991">
        <w:rPr>
          <w:i/>
          <w:iCs/>
        </w:rPr>
        <w:t>People v. Kelly</w:t>
      </w:r>
      <w:r w:rsidR="00915991">
        <w:t xml:space="preserve"> (2016) 245 Cal.App.4th 1119, 112</w:t>
      </w:r>
      <w:r w:rsidR="00B825E7">
        <w:t>8</w:t>
      </w:r>
      <w:r w:rsidR="00F57411">
        <w:t xml:space="preserve"> (</w:t>
      </w:r>
      <w:r w:rsidR="00F57411">
        <w:rPr>
          <w:i/>
          <w:iCs/>
        </w:rPr>
        <w:t>Kelly</w:t>
      </w:r>
      <w:r w:rsidR="00F57411">
        <w:t>)</w:t>
      </w:r>
      <w:r w:rsidR="00B825E7">
        <w:t>.)</w:t>
      </w:r>
      <w:r w:rsidR="002E72A9">
        <w:t xml:space="preserve">  Forcible rape, the crime of which Waqa was co</w:t>
      </w:r>
      <w:r w:rsidR="006B61F4">
        <w:t>nvicted</w:t>
      </w:r>
      <w:r w:rsidR="002E72A9">
        <w:t>, is a qualifying</w:t>
      </w:r>
      <w:r w:rsidR="005F404E">
        <w:t xml:space="preserve"> </w:t>
      </w:r>
      <w:r w:rsidR="00F54A0D">
        <w:t xml:space="preserve">sexual </w:t>
      </w:r>
      <w:r w:rsidR="002E72A9">
        <w:t>offense under the statute.  (§ 667.61, subd. (c)(1).)</w:t>
      </w:r>
      <w:r w:rsidR="00B825E7">
        <w:t xml:space="preserve">  </w:t>
      </w:r>
    </w:p>
    <w:p w:rsidR="00BB2E71" w:rsidRPr="00573250" w:rsidP="007E2924" w14:paraId="505D0EB2" w14:textId="311F4721">
      <w:pPr>
        <w:spacing w:line="360" w:lineRule="auto"/>
      </w:pPr>
      <w:r>
        <w:tab/>
        <w:t>T</w:t>
      </w:r>
      <w:r w:rsidR="00516D92">
        <w:t xml:space="preserve">he aggravated kidnapping circumstance </w:t>
      </w:r>
      <w:r w:rsidR="003543BA">
        <w:t xml:space="preserve">requires that </w:t>
      </w:r>
      <w:r w:rsidR="001A1CFD">
        <w:t xml:space="preserve">“[t]he defendant kidnapped the victim </w:t>
      </w:r>
      <w:r w:rsidR="002F555F">
        <w:t xml:space="preserve">of the present </w:t>
      </w:r>
      <w:r w:rsidR="00321ED2">
        <w:t xml:space="preserve">[sexual] offense </w:t>
      </w:r>
      <w:r w:rsidR="001A1CFD">
        <w:t xml:space="preserve">and the movement of the victim substantially increased the risk of harm to the victim over and above that </w:t>
      </w:r>
      <w:r w:rsidR="0053761C">
        <w:t>level of risk necessarily inherent in the underlying offense.”  (§ 667.61(d)</w:t>
      </w:r>
      <w:r w:rsidR="001B2DF7">
        <w:t>(2)</w:t>
      </w:r>
      <w:r w:rsidR="00F846F7">
        <w:t xml:space="preserve">; see </w:t>
      </w:r>
      <w:r w:rsidR="00BD1D60">
        <w:rPr>
          <w:i/>
          <w:iCs/>
        </w:rPr>
        <w:t>People</w:t>
      </w:r>
      <w:r w:rsidR="00753297">
        <w:rPr>
          <w:i/>
          <w:iCs/>
        </w:rPr>
        <w:t> </w:t>
      </w:r>
      <w:r w:rsidR="00BD1D60">
        <w:rPr>
          <w:i/>
          <w:iCs/>
        </w:rPr>
        <w:t xml:space="preserve">v. Perkins </w:t>
      </w:r>
      <w:r w:rsidR="00BD1D60">
        <w:t>(2016) 5 Cal.App.5th 454, 465 (</w:t>
      </w:r>
      <w:r w:rsidR="00BD1D60">
        <w:rPr>
          <w:i/>
          <w:iCs/>
        </w:rPr>
        <w:t>Perkins</w:t>
      </w:r>
      <w:r w:rsidR="00BD1D60">
        <w:t>).)</w:t>
      </w:r>
      <w:r w:rsidR="0046078B">
        <w:t xml:space="preserve">  Similarly, </w:t>
      </w:r>
      <w:r w:rsidR="009313DD">
        <w:t xml:space="preserve">kidnapping for rape or robbery requires a simple kidnapping in which the movement “increase[d] the </w:t>
      </w:r>
      <w:r w:rsidR="002D244E">
        <w:t xml:space="preserve">risk of </w:t>
      </w:r>
      <w:r w:rsidR="009313DD">
        <w:t>harm to the victim over and above that necessarily present in .</w:t>
      </w:r>
      <w:r w:rsidR="004D574C">
        <w:t> </w:t>
      </w:r>
      <w:r w:rsidR="009313DD">
        <w:t>.</w:t>
      </w:r>
      <w:r w:rsidR="004D574C">
        <w:t> </w:t>
      </w:r>
      <w:r w:rsidR="009313DD">
        <w:t>. the intended underlying offense.”  (§ 209, subd.</w:t>
      </w:r>
      <w:r w:rsidR="003543BA">
        <w:t> </w:t>
      </w:r>
      <w:r w:rsidR="009313DD">
        <w:t xml:space="preserve">(b)(1)–(2); </w:t>
      </w:r>
      <w:r w:rsidR="00573250">
        <w:t xml:space="preserve">see </w:t>
      </w:r>
      <w:r w:rsidR="00573250">
        <w:rPr>
          <w:i/>
          <w:iCs/>
        </w:rPr>
        <w:t>People</w:t>
      </w:r>
      <w:r w:rsidR="00753297">
        <w:rPr>
          <w:i/>
          <w:iCs/>
        </w:rPr>
        <w:t> </w:t>
      </w:r>
      <w:r w:rsidR="00573250">
        <w:rPr>
          <w:i/>
          <w:iCs/>
        </w:rPr>
        <w:t>v. Rayford</w:t>
      </w:r>
      <w:r w:rsidR="00573250">
        <w:t xml:space="preserve"> (1994) 9</w:t>
      </w:r>
      <w:r w:rsidR="00251D8B">
        <w:t> </w:t>
      </w:r>
      <w:r w:rsidR="00573250">
        <w:t xml:space="preserve">Cal.4th 1, </w:t>
      </w:r>
      <w:r w:rsidR="00251D8B">
        <w:t>11–12.)</w:t>
      </w:r>
    </w:p>
    <w:p w:rsidR="00137437" w:rsidP="007E2924" w14:paraId="6A68702A" w14:textId="24A503F9">
      <w:pPr>
        <w:spacing w:line="360" w:lineRule="auto"/>
      </w:pPr>
      <w:r>
        <w:tab/>
      </w:r>
      <w:r w:rsidR="003543BA">
        <w:t xml:space="preserve">The kidnapping circumstance may be proven by showing that </w:t>
      </w:r>
      <w:r w:rsidR="00EA155E">
        <w:t>“the defendant kidnapped the victim of the present [sexual] offense in violation of Section 207</w:t>
      </w:r>
      <w:r w:rsidR="001A6736">
        <w:t>,</w:t>
      </w:r>
      <w:r w:rsidR="00EA155E">
        <w:t>”</w:t>
      </w:r>
      <w:r w:rsidR="001A6736">
        <w:t xml:space="preserve"> </w:t>
      </w:r>
      <w:r w:rsidR="00892760">
        <w:t>e.g.,</w:t>
      </w:r>
      <w:r w:rsidR="001A6736">
        <w:t xml:space="preserve"> committed a simple kidnapping.  </w:t>
      </w:r>
      <w:r w:rsidR="00EA155E">
        <w:t>(§</w:t>
      </w:r>
      <w:r w:rsidR="00892760">
        <w:t xml:space="preserve">§ </w:t>
      </w:r>
      <w:r w:rsidR="00EA155E">
        <w:t>667.61(e)(1)</w:t>
      </w:r>
      <w:r w:rsidR="00892760">
        <w:t>, 207, subd. (a)</w:t>
      </w:r>
      <w:r w:rsidR="00EA155E">
        <w:t>.)</w:t>
      </w:r>
      <w:r w:rsidR="001A6736">
        <w:t xml:space="preserve">  </w:t>
      </w:r>
      <w:r w:rsidR="00015A75">
        <w:t>For s</w:t>
      </w:r>
      <w:r w:rsidR="002D652F">
        <w:t>imple kidnapping</w:t>
      </w:r>
      <w:r w:rsidR="00015A75">
        <w:t>, th</w:t>
      </w:r>
      <w:r w:rsidR="00F577B5">
        <w:t>e asportation</w:t>
      </w:r>
      <w:r w:rsidR="00015A75">
        <w:t xml:space="preserve"> element requires </w:t>
      </w:r>
      <w:r w:rsidR="002D652F">
        <w:t xml:space="preserve">that the defendant moved the </w:t>
      </w:r>
      <w:r w:rsidR="00015A75">
        <w:t>victim</w:t>
      </w:r>
      <w:r w:rsidR="00EE2A79">
        <w:t xml:space="preserve"> </w:t>
      </w:r>
      <w:r w:rsidR="00470153">
        <w:t>“a ‘</w:t>
      </w:r>
      <w:r w:rsidR="00E13A5B">
        <w:t> </w:t>
      </w:r>
      <w:r w:rsidR="00470153">
        <w:t>“substantial distance”</w:t>
      </w:r>
      <w:r w:rsidR="004D574C">
        <w:t> </w:t>
      </w:r>
      <w:r w:rsidR="00883139">
        <w:t>’ [citation], not a distance that is ‘</w:t>
      </w:r>
      <w:r w:rsidR="007475C6">
        <w:t> </w:t>
      </w:r>
      <w:r w:rsidR="00883139">
        <w:t>“trivial.”</w:t>
      </w:r>
      <w:r w:rsidR="004D574C">
        <w:t> </w:t>
      </w:r>
      <w:r w:rsidR="00883139">
        <w:t>’</w:t>
      </w:r>
      <w:r w:rsidR="004D574C">
        <w:t> </w:t>
      </w:r>
      <w:r w:rsidR="00883139">
        <w:t>”  (</w:t>
      </w:r>
      <w:r w:rsidR="00883139">
        <w:rPr>
          <w:i/>
          <w:iCs/>
        </w:rPr>
        <w:t>People v. Gomez</w:t>
      </w:r>
      <w:r w:rsidR="00883139">
        <w:t xml:space="preserve"> (2018) 6</w:t>
      </w:r>
      <w:r w:rsidR="00575353">
        <w:t> </w:t>
      </w:r>
      <w:r w:rsidR="00883139">
        <w:t>Cal.5th 243, 304.)</w:t>
      </w:r>
      <w:r w:rsidR="00901E84">
        <w:t xml:space="preserve">  Originally, this standard depended exclusively on </w:t>
      </w:r>
      <w:r w:rsidR="00D40B88">
        <w:t>the actual distance moved</w:t>
      </w:r>
      <w:r w:rsidR="00901E84">
        <w:t>.  (</w:t>
      </w:r>
      <w:r w:rsidR="00901E84">
        <w:rPr>
          <w:i/>
          <w:iCs/>
        </w:rPr>
        <w:t>I</w:t>
      </w:r>
      <w:r w:rsidR="00AB0C0E">
        <w:rPr>
          <w:i/>
          <w:iCs/>
        </w:rPr>
        <w:t>bid</w:t>
      </w:r>
      <w:r w:rsidR="00AB0C0E">
        <w:t>.</w:t>
      </w:r>
      <w:r w:rsidR="00901E84">
        <w:t>)</w:t>
      </w:r>
      <w:r w:rsidR="00AB0C0E">
        <w:t xml:space="preserve">  </w:t>
      </w:r>
      <w:r w:rsidR="007475C6">
        <w:t>But i</w:t>
      </w:r>
      <w:r w:rsidR="00901E84">
        <w:t xml:space="preserve">n 1999, our state Supreme Court held that </w:t>
      </w:r>
      <w:r w:rsidR="00315577">
        <w:t>a factfinder “should instead consider the ‘totality of the circumstances’ in determining whether the victim was moved for a ‘</w:t>
      </w:r>
      <w:r w:rsidR="00085967">
        <w:t> </w:t>
      </w:r>
      <w:r w:rsidR="00315577">
        <w:t>“substantial distance,”</w:t>
      </w:r>
      <w:r w:rsidR="00DE4DAB">
        <w:t> </w:t>
      </w:r>
      <w:r w:rsidR="00315577">
        <w:t>’ including factors</w:t>
      </w:r>
      <w:r w:rsidR="00EB49F4">
        <w:t xml:space="preserve"> such as</w:t>
      </w:r>
      <w:r w:rsidR="00315577">
        <w:t xml:space="preserve"> ‘whether that movement increased the risk of harm above that which existed prior to the asportation, decreased the likelihood of detection, and increased both the danger inherent in a victim’s foreseeable attempts to escape and the attacker’s enhanced opportunity to commit additional crimes.’</w:t>
      </w:r>
      <w:r w:rsidR="00DE4DAB">
        <w:t> </w:t>
      </w:r>
      <w:r w:rsidR="00315577">
        <w:t>”  (</w:t>
      </w:r>
      <w:r w:rsidR="00315577">
        <w:rPr>
          <w:i/>
          <w:iCs/>
        </w:rPr>
        <w:t>Ibid.</w:t>
      </w:r>
      <w:r w:rsidR="00315577">
        <w:t xml:space="preserve">, quoting </w:t>
      </w:r>
      <w:r w:rsidR="00DB4E3D">
        <w:rPr>
          <w:i/>
          <w:iCs/>
        </w:rPr>
        <w:t>People</w:t>
      </w:r>
      <w:r w:rsidR="00575353">
        <w:rPr>
          <w:i/>
          <w:iCs/>
        </w:rPr>
        <w:t> </w:t>
      </w:r>
      <w:r w:rsidR="00DB4E3D">
        <w:rPr>
          <w:i/>
          <w:iCs/>
        </w:rPr>
        <w:t>v. Martinez</w:t>
      </w:r>
      <w:r w:rsidR="00DB4E3D">
        <w:t xml:space="preserve"> (1999) 20</w:t>
      </w:r>
      <w:r w:rsidR="00575353">
        <w:t> </w:t>
      </w:r>
      <w:r w:rsidR="00DB4E3D">
        <w:t>Cal.4th 225, 237 (</w:t>
      </w:r>
      <w:r w:rsidR="00DB4E3D">
        <w:rPr>
          <w:i/>
          <w:iCs/>
        </w:rPr>
        <w:t>Martinez</w:t>
      </w:r>
      <w:r w:rsidR="00DB4E3D">
        <w:t>)</w:t>
      </w:r>
      <w:r w:rsidR="006A386F">
        <w:t>.)</w:t>
      </w:r>
      <w:r w:rsidR="00AB0C0E">
        <w:t xml:space="preserve">  </w:t>
      </w:r>
      <w:r w:rsidR="00085967">
        <w:t>Thus, u</w:t>
      </w:r>
      <w:r w:rsidR="00AB0C0E">
        <w:t xml:space="preserve">nder current law, </w:t>
      </w:r>
      <w:r w:rsidR="00FE2479">
        <w:t xml:space="preserve">“no minimum distance is required to satisfy the asportation requirement,” </w:t>
      </w:r>
      <w:r w:rsidR="00CB22E6">
        <w:t>and the precise distance need not be proven.  (</w:t>
      </w:r>
      <w:r w:rsidR="00643E92">
        <w:rPr>
          <w:i/>
          <w:iCs/>
        </w:rPr>
        <w:t>People</w:t>
      </w:r>
      <w:r w:rsidR="000637FE">
        <w:rPr>
          <w:i/>
          <w:iCs/>
        </w:rPr>
        <w:t> </w:t>
      </w:r>
      <w:r w:rsidR="00643E92">
        <w:rPr>
          <w:i/>
          <w:iCs/>
        </w:rPr>
        <w:t xml:space="preserve">v. Dominguez </w:t>
      </w:r>
      <w:r w:rsidR="00643E92">
        <w:t>(2006) 39</w:t>
      </w:r>
      <w:r w:rsidR="000637FE">
        <w:t> </w:t>
      </w:r>
      <w:r w:rsidR="00643E92">
        <w:t>Cal.4th 1141, 1152 (</w:t>
      </w:r>
      <w:r w:rsidR="00643E92">
        <w:rPr>
          <w:i/>
          <w:iCs/>
        </w:rPr>
        <w:t>Dominguez</w:t>
      </w:r>
      <w:r w:rsidR="00643E92">
        <w:t>);</w:t>
      </w:r>
      <w:r w:rsidR="006B5925">
        <w:t xml:space="preserve"> see </w:t>
      </w:r>
      <w:r w:rsidR="006B5925">
        <w:rPr>
          <w:i/>
          <w:iCs/>
        </w:rPr>
        <w:t>People</w:t>
      </w:r>
      <w:r w:rsidR="000637FE">
        <w:rPr>
          <w:i/>
          <w:iCs/>
        </w:rPr>
        <w:t> </w:t>
      </w:r>
      <w:r w:rsidR="006B5925">
        <w:rPr>
          <w:i/>
          <w:iCs/>
        </w:rPr>
        <w:t>v. Nieto</w:t>
      </w:r>
      <w:r w:rsidR="006B5925">
        <w:t xml:space="preserve"> (2021) 62</w:t>
      </w:r>
      <w:r w:rsidR="000637FE">
        <w:t> </w:t>
      </w:r>
      <w:r w:rsidR="006B5925">
        <w:t xml:space="preserve">Cal.App.5th 188, </w:t>
      </w:r>
      <w:r w:rsidR="0023716D">
        <w:t>200;</w:t>
      </w:r>
      <w:r w:rsidR="00643E92">
        <w:rPr>
          <w:i/>
          <w:iCs/>
        </w:rPr>
        <w:t xml:space="preserve"> </w:t>
      </w:r>
      <w:r w:rsidR="00CB22E6">
        <w:rPr>
          <w:i/>
          <w:iCs/>
        </w:rPr>
        <w:t xml:space="preserve">People v. Singh </w:t>
      </w:r>
      <w:r w:rsidR="00CB22E6">
        <w:t>(2019) 42</w:t>
      </w:r>
      <w:r w:rsidR="000637FE">
        <w:t> </w:t>
      </w:r>
      <w:r w:rsidR="00CB22E6">
        <w:t>Cal.App.5th 175, 187–188.)</w:t>
      </w:r>
    </w:p>
    <w:p w:rsidR="00483207" w:rsidRPr="00851188" w:rsidP="007E2924" w14:paraId="0E7C6783" w14:textId="085A0BCC">
      <w:pPr>
        <w:spacing w:line="360" w:lineRule="auto"/>
      </w:pPr>
      <w:r>
        <w:tab/>
      </w:r>
      <w:r w:rsidR="009E544F">
        <w:t xml:space="preserve">The asportation element </w:t>
      </w:r>
      <w:r w:rsidR="00B525C7">
        <w:t>of</w:t>
      </w:r>
      <w:r w:rsidR="009E544F">
        <w:t xml:space="preserve"> </w:t>
      </w:r>
      <w:r w:rsidR="00892760">
        <w:t xml:space="preserve">these </w:t>
      </w:r>
      <w:r w:rsidR="009E544F">
        <w:t>three forms of kidnapping tied to the commission of another crime (</w:t>
      </w:r>
      <w:r w:rsidR="00B72ECA">
        <w:t>s</w:t>
      </w:r>
      <w:r>
        <w:t xml:space="preserve">imple kidnapping </w:t>
      </w:r>
      <w:r w:rsidR="005B3315">
        <w:t>committed in conjunction with another</w:t>
      </w:r>
      <w:r>
        <w:t xml:space="preserve"> offense</w:t>
      </w:r>
      <w:r w:rsidR="00D613EF">
        <w:t xml:space="preserve">; </w:t>
      </w:r>
      <w:r w:rsidR="0009077C">
        <w:t>kidnapping for rape or robbery</w:t>
      </w:r>
      <w:r w:rsidR="00D613EF">
        <w:t>;</w:t>
      </w:r>
      <w:r>
        <w:t xml:space="preserve"> and the aggravated kidnapping circumstance</w:t>
      </w:r>
      <w:r w:rsidR="009E544F">
        <w:t xml:space="preserve">) requires that the movement </w:t>
      </w:r>
      <w:r w:rsidR="00B240BD">
        <w:t xml:space="preserve">be </w:t>
      </w:r>
      <w:r w:rsidR="00075D67">
        <w:t>“</w:t>
      </w:r>
      <w:r w:rsidR="00BB668A">
        <w:t> ‘</w:t>
      </w:r>
      <w:r w:rsidR="00075D67">
        <w:t xml:space="preserve">more than that which is merely incidental to the commission or attempted commission of </w:t>
      </w:r>
      <w:r w:rsidR="00E55FB8">
        <w:t>[</w:t>
      </w:r>
      <w:r w:rsidR="00075D67">
        <w:t>the associated crime].</w:t>
      </w:r>
      <w:r w:rsidR="00A503CF">
        <w:t>’ </w:t>
      </w:r>
      <w:r w:rsidR="00075D67">
        <w:t>”</w:t>
      </w:r>
      <w:r w:rsidR="00E55FB8">
        <w:t xml:space="preserve">  </w:t>
      </w:r>
      <w:r>
        <w:t>(</w:t>
      </w:r>
      <w:r w:rsidR="00E55FB8">
        <w:rPr>
          <w:i/>
          <w:iCs/>
        </w:rPr>
        <w:t>Dominguez</w:t>
      </w:r>
      <w:r w:rsidR="00E55FB8">
        <w:t xml:space="preserve">, </w:t>
      </w:r>
      <w:r w:rsidR="00E55FB8">
        <w:rPr>
          <w:i/>
          <w:iCs/>
        </w:rPr>
        <w:t>supra</w:t>
      </w:r>
      <w:r w:rsidR="00E55FB8">
        <w:t>, 39</w:t>
      </w:r>
      <w:r w:rsidR="00B72ECA">
        <w:t> </w:t>
      </w:r>
      <w:r w:rsidR="00E55FB8">
        <w:t>Cal.4th at p. 1150;</w:t>
      </w:r>
      <w:r w:rsidR="00382706">
        <w:t xml:space="preserve"> </w:t>
      </w:r>
      <w:r w:rsidR="00382706">
        <w:rPr>
          <w:i/>
          <w:iCs/>
        </w:rPr>
        <w:t>Martinez</w:t>
      </w:r>
      <w:r w:rsidR="00382706">
        <w:t xml:space="preserve">, </w:t>
      </w:r>
      <w:r w:rsidR="00382706">
        <w:rPr>
          <w:i/>
          <w:iCs/>
        </w:rPr>
        <w:t>supra</w:t>
      </w:r>
      <w:r w:rsidR="00382706">
        <w:t xml:space="preserve">, </w:t>
      </w:r>
      <w:r w:rsidR="003E69BE">
        <w:t>20 Cal.4th at p.</w:t>
      </w:r>
      <w:r w:rsidR="000637FE">
        <w:t> </w:t>
      </w:r>
      <w:r w:rsidR="003E69BE">
        <w:t>237;</w:t>
      </w:r>
      <w:r w:rsidR="00B72ECA">
        <w:t xml:space="preserve"> </w:t>
      </w:r>
      <w:r w:rsidR="00FE717C">
        <w:rPr>
          <w:i/>
          <w:iCs/>
        </w:rPr>
        <w:t>People</w:t>
      </w:r>
      <w:r w:rsidR="00D96E1D">
        <w:rPr>
          <w:i/>
          <w:iCs/>
        </w:rPr>
        <w:t> </w:t>
      </w:r>
      <w:r w:rsidR="00FE717C">
        <w:rPr>
          <w:i/>
          <w:iCs/>
        </w:rPr>
        <w:t>v. Rayford</w:t>
      </w:r>
      <w:r w:rsidR="008210E6">
        <w:t xml:space="preserve">, </w:t>
      </w:r>
      <w:r w:rsidRPr="008210E6" w:rsidR="008210E6">
        <w:rPr>
          <w:i/>
          <w:iCs/>
        </w:rPr>
        <w:t>supra</w:t>
      </w:r>
      <w:r w:rsidR="008210E6">
        <w:t xml:space="preserve">, </w:t>
      </w:r>
      <w:r w:rsidRPr="008210E6" w:rsidR="00FE717C">
        <w:t>9</w:t>
      </w:r>
      <w:r w:rsidR="000637FE">
        <w:t> </w:t>
      </w:r>
      <w:r w:rsidR="00FE717C">
        <w:t xml:space="preserve">Cal.4th </w:t>
      </w:r>
      <w:r w:rsidR="008210E6">
        <w:t>at p.</w:t>
      </w:r>
      <w:r w:rsidR="00DE4DAB">
        <w:t> </w:t>
      </w:r>
      <w:r w:rsidR="00FE717C">
        <w:t>12;</w:t>
      </w:r>
      <w:r w:rsidR="003A4503">
        <w:t xml:space="preserve"> </w:t>
      </w:r>
      <w:r w:rsidR="003A4503">
        <w:rPr>
          <w:i/>
          <w:iCs/>
        </w:rPr>
        <w:t>Perkins</w:t>
      </w:r>
      <w:r w:rsidR="003A4503">
        <w:t xml:space="preserve">, </w:t>
      </w:r>
      <w:r w:rsidR="003A4503">
        <w:rPr>
          <w:i/>
          <w:iCs/>
        </w:rPr>
        <w:t>supra</w:t>
      </w:r>
      <w:r w:rsidR="003A4503">
        <w:t xml:space="preserve">, </w:t>
      </w:r>
      <w:r w:rsidR="00390407">
        <w:t>5</w:t>
      </w:r>
      <w:r w:rsidR="00EB1FB1">
        <w:t> </w:t>
      </w:r>
      <w:r w:rsidR="00390407">
        <w:t>Cal.App.5th at pp. 469–470;</w:t>
      </w:r>
      <w:r w:rsidR="003E69BE">
        <w:t xml:space="preserve"> </w:t>
      </w:r>
      <w:r w:rsidR="00251D8B">
        <w:t>§ 209, subd. (b)(2).</w:t>
      </w:r>
      <w:r>
        <w:t>)  “[I]ncidental movements are brief and insubstantial, and frequently consist of movement around the premises where the incident began.  [Citations.]  By contrast, relatively short distances have been found not to be incidental where the movement results in a substantial change in ‘the context of the environment.’</w:t>
      </w:r>
      <w:r w:rsidR="00D96E1D">
        <w:t> </w:t>
      </w:r>
      <w:r>
        <w:t>”  (</w:t>
      </w:r>
      <w:r w:rsidR="003E69BE">
        <w:rPr>
          <w:i/>
          <w:iCs/>
        </w:rPr>
        <w:t>People</w:t>
      </w:r>
      <w:r w:rsidR="00D96E1D">
        <w:rPr>
          <w:i/>
          <w:iCs/>
        </w:rPr>
        <w:t> </w:t>
      </w:r>
      <w:r w:rsidR="003E69BE">
        <w:rPr>
          <w:i/>
          <w:iCs/>
        </w:rPr>
        <w:t>v. Diaz</w:t>
      </w:r>
      <w:r w:rsidR="003E69BE">
        <w:t xml:space="preserve"> (2000) 78</w:t>
      </w:r>
      <w:r w:rsidR="00D96E1D">
        <w:t> </w:t>
      </w:r>
      <w:r w:rsidR="003E69BE">
        <w:t xml:space="preserve">Cal.App.4th 243, </w:t>
      </w:r>
      <w:r>
        <w:t>247.)</w:t>
      </w:r>
      <w:r w:rsidR="0027301E">
        <w:t xml:space="preserve">  </w:t>
      </w:r>
    </w:p>
    <w:p w:rsidR="00483207" w:rsidP="00402E2E" w14:paraId="6D0C44DB" w14:textId="23293FF7">
      <w:pPr>
        <w:spacing w:line="360" w:lineRule="auto"/>
      </w:pPr>
      <w:r>
        <w:tab/>
      </w:r>
      <w:r w:rsidR="00620ECE">
        <w:t>K</w:t>
      </w:r>
      <w:r>
        <w:t xml:space="preserve">idnapping for robbery or rape and the aggravated kidnapping circumstance </w:t>
      </w:r>
      <w:r w:rsidR="005F52B2">
        <w:t xml:space="preserve">also </w:t>
      </w:r>
      <w:r>
        <w:t>require that the movement increase</w:t>
      </w:r>
      <w:r w:rsidR="004313D9">
        <w:t>d</w:t>
      </w:r>
      <w:r>
        <w:t xml:space="preserve"> the risk of harm to the victim beyond that inherent in the underlying offense,</w:t>
      </w:r>
      <w:r w:rsidR="00DA54C4">
        <w:t xml:space="preserve"> with the aggravated kidnapping circumstance further requiring that the increase </w:t>
      </w:r>
      <w:r w:rsidR="004313D9">
        <w:t>was</w:t>
      </w:r>
      <w:r w:rsidR="009E544F">
        <w:t xml:space="preserve"> </w:t>
      </w:r>
      <w:r w:rsidRPr="005F79FC" w:rsidR="00DA54C4">
        <w:t>substantial</w:t>
      </w:r>
      <w:r w:rsidR="00DA54C4">
        <w:t>.</w:t>
      </w:r>
      <w:r>
        <w:rPr>
          <w:rStyle w:val="FootnoteReference"/>
        </w:rPr>
        <w:footnoteReference w:id="11"/>
      </w:r>
      <w:r w:rsidR="00DA54C4">
        <w:t xml:space="preserve">  (§§</w:t>
      </w:r>
      <w:r w:rsidR="00D96E1D">
        <w:t> </w:t>
      </w:r>
      <w:r w:rsidR="00DA54C4">
        <w:t xml:space="preserve">209, subd. (b)(2), 667.61(d)(2); </w:t>
      </w:r>
      <w:r w:rsidR="00DA54C4">
        <w:rPr>
          <w:i/>
          <w:iCs/>
        </w:rPr>
        <w:t>Robertson</w:t>
      </w:r>
      <w:r w:rsidR="00DA54C4">
        <w:t xml:space="preserve">, </w:t>
      </w:r>
      <w:r w:rsidR="00DA54C4">
        <w:rPr>
          <w:i/>
          <w:iCs/>
        </w:rPr>
        <w:t>supra</w:t>
      </w:r>
      <w:r w:rsidR="00DA54C4">
        <w:t>, 208</w:t>
      </w:r>
      <w:r w:rsidR="00B525C7">
        <w:t> </w:t>
      </w:r>
      <w:r w:rsidR="00DA54C4">
        <w:t>Cal.App.4th at p.</w:t>
      </w:r>
      <w:r w:rsidR="00A708CC">
        <w:t> </w:t>
      </w:r>
      <w:r w:rsidR="00DA54C4">
        <w:t xml:space="preserve">982.)  </w:t>
      </w:r>
      <w:r w:rsidR="003901D7">
        <w:t>“[T]he increased risk may be of either physical or psychological harm</w:t>
      </w:r>
      <w:r w:rsidR="00545216">
        <w:t>.</w:t>
      </w:r>
      <w:r w:rsidR="003901D7">
        <w:t>”</w:t>
      </w:r>
      <w:r w:rsidR="00545216">
        <w:t xml:space="preserve">  </w:t>
      </w:r>
      <w:r w:rsidR="00802FDE">
        <w:t>(</w:t>
      </w:r>
      <w:r w:rsidR="00802FDE">
        <w:rPr>
          <w:i/>
          <w:iCs/>
        </w:rPr>
        <w:t>Robertson</w:t>
      </w:r>
      <w:r w:rsidRPr="00A708CC" w:rsidR="00802FDE">
        <w:rPr>
          <w:i/>
          <w:iCs/>
        </w:rPr>
        <w:t>,</w:t>
      </w:r>
      <w:r w:rsidR="00802FDE">
        <w:t xml:space="preserve"> at p.</w:t>
      </w:r>
      <w:r w:rsidR="00A708CC">
        <w:t> </w:t>
      </w:r>
      <w:r w:rsidR="00802FDE">
        <w:t xml:space="preserve">984.)  </w:t>
      </w:r>
      <w:r w:rsidR="00DA54C4">
        <w:t xml:space="preserve">In contrast, for simple kidnapping an increase in the risk of harm to the victim is </w:t>
      </w:r>
      <w:r w:rsidRPr="005B426B" w:rsidR="00443788">
        <w:rPr>
          <w:i/>
          <w:iCs/>
        </w:rPr>
        <w:t>relevant</w:t>
      </w:r>
      <w:r w:rsidR="00443788">
        <w:t xml:space="preserve"> to </w:t>
      </w:r>
      <w:r w:rsidR="00DA54C4">
        <w:t xml:space="preserve">whether the victim was moved a substantial distance, </w:t>
      </w:r>
      <w:r w:rsidR="00B62AA4">
        <w:t>but the crime</w:t>
      </w:r>
      <w:r w:rsidR="00DA54C4">
        <w:t xml:space="preserve"> does not </w:t>
      </w:r>
      <w:r w:rsidRPr="005B426B" w:rsidR="00DA54C4">
        <w:rPr>
          <w:i/>
          <w:iCs/>
        </w:rPr>
        <w:t>require</w:t>
      </w:r>
      <w:r w:rsidR="00DA54C4">
        <w:t xml:space="preserve"> “an increase in harm, or any other contextual factors.”  (</w:t>
      </w:r>
      <w:r w:rsidR="00545216">
        <w:rPr>
          <w:i/>
          <w:iCs/>
        </w:rPr>
        <w:t>Martinez</w:t>
      </w:r>
      <w:r w:rsidR="00545216">
        <w:t xml:space="preserve">, </w:t>
      </w:r>
      <w:r w:rsidR="00545216">
        <w:rPr>
          <w:i/>
          <w:iCs/>
        </w:rPr>
        <w:t>supra</w:t>
      </w:r>
      <w:r w:rsidR="00545216">
        <w:t xml:space="preserve">, 20 Cal.4th </w:t>
      </w:r>
      <w:r w:rsidR="00DA54C4">
        <w:t>at p.</w:t>
      </w:r>
      <w:r w:rsidR="00CB10F8">
        <w:t> </w:t>
      </w:r>
      <w:r w:rsidR="00DA54C4">
        <w:t>237</w:t>
      </w:r>
      <w:r w:rsidR="00733751">
        <w:t xml:space="preserve">; </w:t>
      </w:r>
      <w:r w:rsidR="00733751">
        <w:rPr>
          <w:i/>
          <w:iCs/>
        </w:rPr>
        <w:t>People</w:t>
      </w:r>
      <w:r w:rsidR="00CB10F8">
        <w:rPr>
          <w:i/>
          <w:iCs/>
        </w:rPr>
        <w:t> </w:t>
      </w:r>
      <w:r w:rsidR="00733751">
        <w:rPr>
          <w:i/>
          <w:iCs/>
        </w:rPr>
        <w:t xml:space="preserve">v. Bell </w:t>
      </w:r>
      <w:r w:rsidR="00733751">
        <w:t>(2009) 179 Cal.App.4th 428, 436</w:t>
      </w:r>
      <w:r w:rsidR="00DA54C4">
        <w:t>.)  Th</w:t>
      </w:r>
      <w:r w:rsidR="00B62AA4">
        <w:t>us, compared to simple kidnapping, th</w:t>
      </w:r>
      <w:r w:rsidR="00DA54C4">
        <w:t xml:space="preserve">e “essence” of </w:t>
      </w:r>
      <w:r w:rsidR="002D3EDD">
        <w:t xml:space="preserve">both </w:t>
      </w:r>
      <w:r w:rsidR="00DA54C4">
        <w:t xml:space="preserve">kidnapping for robbery or rape and the aggravated kidnapping circumstance “is the increase in the risk of harm to the victim caused by the </w:t>
      </w:r>
      <w:r w:rsidRPr="00B3247C" w:rsidR="00DA54C4">
        <w:t>forced movement</w:t>
      </w:r>
      <w:r w:rsidR="00DA54C4">
        <w:t>.”</w:t>
      </w:r>
      <w:r w:rsidR="00746A0D">
        <w:t xml:space="preserve">  </w:t>
      </w:r>
      <w:r w:rsidR="00DA54C4">
        <w:t>(</w:t>
      </w:r>
      <w:r w:rsidR="00DA54C4">
        <w:rPr>
          <w:i/>
          <w:iCs/>
        </w:rPr>
        <w:t>Dominguez</w:t>
      </w:r>
      <w:r w:rsidR="00DA54C4">
        <w:t xml:space="preserve">, </w:t>
      </w:r>
      <w:r w:rsidR="00DA54C4">
        <w:rPr>
          <w:i/>
          <w:iCs/>
        </w:rPr>
        <w:t>supra</w:t>
      </w:r>
      <w:r w:rsidR="00DA54C4">
        <w:t>, 39 Cal.4th at p.</w:t>
      </w:r>
      <w:r w:rsidR="00CB10F8">
        <w:t> </w:t>
      </w:r>
      <w:r w:rsidR="00DA54C4">
        <w:t>1152.)</w:t>
      </w:r>
      <w:r w:rsidR="00C3571B">
        <w:t xml:space="preserve"> </w:t>
      </w:r>
    </w:p>
    <w:p w:rsidR="00BC039E" w:rsidP="006812BE" w14:paraId="1EB62040" w14:textId="76088528">
      <w:pPr>
        <w:spacing w:line="360" w:lineRule="auto"/>
      </w:pPr>
      <w:r>
        <w:tab/>
        <w:t>To summarize,</w:t>
      </w:r>
      <w:r w:rsidR="00A94776">
        <w:t xml:space="preserve"> the asportation element of the </w:t>
      </w:r>
      <w:r>
        <w:t xml:space="preserve">aggravated kidnapping circumstance requires </w:t>
      </w:r>
      <w:r w:rsidR="00FA6271">
        <w:t xml:space="preserve">proof </w:t>
      </w:r>
      <w:r w:rsidR="00B76105">
        <w:t>that “(1) the movement was substantial in character, and not merely incidental to the commission of the sex crime</w:t>
      </w:r>
      <w:r w:rsidR="009B4912">
        <w:t xml:space="preserve"> [citation], and (2) ‘the movement of the victim substantially increased the risk of harm to the victim over and above that level of risk necessarily inherent in the underlying’ sex offense.”  (</w:t>
      </w:r>
      <w:r w:rsidR="009B4912">
        <w:rPr>
          <w:i/>
          <w:iCs/>
        </w:rPr>
        <w:t>Perkins</w:t>
      </w:r>
      <w:r w:rsidR="009B4912">
        <w:t xml:space="preserve">, </w:t>
      </w:r>
      <w:r w:rsidR="009B4912">
        <w:rPr>
          <w:i/>
          <w:iCs/>
        </w:rPr>
        <w:t>supra</w:t>
      </w:r>
      <w:r w:rsidR="009B4912">
        <w:t>, 5 Cal.App.5th at p.</w:t>
      </w:r>
      <w:r w:rsidR="00575270">
        <w:t> 466, quoting § 667.61(d)(2)</w:t>
      </w:r>
      <w:r w:rsidR="00D40F94">
        <w:t xml:space="preserve">; </w:t>
      </w:r>
      <w:r w:rsidR="00D40F94">
        <w:rPr>
          <w:i/>
          <w:iCs/>
        </w:rPr>
        <w:t>Dominguez</w:t>
      </w:r>
      <w:r w:rsidR="00D40F94">
        <w:t xml:space="preserve">, </w:t>
      </w:r>
      <w:r w:rsidR="00D40F94">
        <w:rPr>
          <w:i/>
          <w:iCs/>
        </w:rPr>
        <w:t>supra</w:t>
      </w:r>
      <w:r w:rsidR="00D40F94">
        <w:t>, 39 Cal.4th at p. 1150; CALCRIM No. 3175.)</w:t>
      </w:r>
      <w:r w:rsidR="00FC4616">
        <w:t xml:space="preserve">  </w:t>
      </w:r>
      <w:r w:rsidR="00BD32A1">
        <w:t xml:space="preserve">These two </w:t>
      </w:r>
      <w:r w:rsidR="00FB3A56">
        <w:t>prongs</w:t>
      </w:r>
      <w:r w:rsidR="00BD32A1">
        <w:t xml:space="preserve"> “are not distinct, but interrelated, because a trier of fact cannot consider the significance of the victim’s changed environment without also considering whether that change resulted in an increase in the risk of harm to the victim.”  (</w:t>
      </w:r>
      <w:r w:rsidR="00BD32A1">
        <w:rPr>
          <w:i/>
          <w:iCs/>
        </w:rPr>
        <w:t>Martinez</w:t>
      </w:r>
      <w:r w:rsidR="00BD32A1">
        <w:t xml:space="preserve">, </w:t>
      </w:r>
      <w:r w:rsidR="00BD32A1">
        <w:rPr>
          <w:i/>
          <w:iCs/>
        </w:rPr>
        <w:t>supra</w:t>
      </w:r>
      <w:r w:rsidR="00BD32A1">
        <w:t>, 20</w:t>
      </w:r>
      <w:r w:rsidR="0087681A">
        <w:t> </w:t>
      </w:r>
      <w:r w:rsidR="00BD32A1">
        <w:t>Cal.4th at p.</w:t>
      </w:r>
      <w:r w:rsidR="00555DEC">
        <w:t> </w:t>
      </w:r>
      <w:r w:rsidR="00BD32A1">
        <w:t xml:space="preserve">236.)  </w:t>
      </w:r>
      <w:r w:rsidR="00027E19">
        <w:t>As we now explain</w:t>
      </w:r>
      <w:r w:rsidR="00526FD6">
        <w:t xml:space="preserve">, </w:t>
      </w:r>
      <w:r w:rsidR="004313D9">
        <w:t xml:space="preserve">here </w:t>
      </w:r>
      <w:r w:rsidR="00526FD6">
        <w:t xml:space="preserve">evidence of the second </w:t>
      </w:r>
      <w:r w:rsidR="00FB3A56">
        <w:t>prong</w:t>
      </w:r>
      <w:r w:rsidR="00526FD6">
        <w:t xml:space="preserve"> is lacking, but there is sufficient evidence of the first </w:t>
      </w:r>
      <w:r w:rsidR="00FB3A56">
        <w:t>prong</w:t>
      </w:r>
      <w:r w:rsidR="00526FD6">
        <w:t>, which is all th</w:t>
      </w:r>
      <w:r w:rsidR="00E809D3">
        <w:t>at</w:t>
      </w:r>
      <w:r w:rsidR="00526FD6">
        <w:t xml:space="preserve"> is required to </w:t>
      </w:r>
      <w:r w:rsidR="00C6459B">
        <w:t xml:space="preserve">establish asportation for </w:t>
      </w:r>
      <w:r w:rsidR="00526FD6">
        <w:t xml:space="preserve">the kidnapping circumstance. </w:t>
      </w:r>
    </w:p>
    <w:p w:rsidR="00286884" w:rsidP="00286884" w14:paraId="266330CC" w14:textId="77777777">
      <w:pPr>
        <w:spacing w:line="240" w:lineRule="auto"/>
      </w:pPr>
      <w:r>
        <w:tab/>
      </w:r>
      <w:r>
        <w:tab/>
        <w:t>2.</w:t>
      </w:r>
      <w:r>
        <w:tab/>
        <w:t xml:space="preserve">No substantial evidence supports the finding that the </w:t>
      </w:r>
    </w:p>
    <w:p w:rsidR="00B76105" w:rsidP="00286884" w14:paraId="4AB2AB6D" w14:textId="6C142485">
      <w:pPr>
        <w:spacing w:line="240" w:lineRule="auto"/>
      </w:pPr>
      <w:r>
        <w:tab/>
      </w:r>
      <w:r>
        <w:tab/>
      </w:r>
      <w:r>
        <w:tab/>
        <w:t>movement substantially increased the risk of harm to Doe.</w:t>
      </w:r>
      <w:r w:rsidR="008D78A3">
        <w:t xml:space="preserve">  </w:t>
      </w:r>
    </w:p>
    <w:p w:rsidR="00D81EF4" w:rsidRPr="003643F3" w:rsidP="00D81EF4" w14:paraId="1BD94941" w14:textId="6D85104F">
      <w:pPr>
        <w:spacing w:before="180" w:line="360" w:lineRule="auto"/>
      </w:pPr>
      <w:r>
        <w:tab/>
      </w:r>
      <w:r w:rsidR="004C1703">
        <w:t xml:space="preserve">Beginning with the second </w:t>
      </w:r>
      <w:r w:rsidR="0041357D">
        <w:t>prong</w:t>
      </w:r>
      <w:r w:rsidR="0095328E">
        <w:t>,</w:t>
      </w:r>
      <w:r w:rsidR="004C1703">
        <w:t xml:space="preserve"> we agree with Waqa that</w:t>
      </w:r>
      <w:r w:rsidR="0095328E">
        <w:t xml:space="preserve"> </w:t>
      </w:r>
      <w:r>
        <w:t xml:space="preserve">there was insufficient evidence that his movement of Doe from </w:t>
      </w:r>
      <w:r w:rsidR="00DC1CC5">
        <w:t>the</w:t>
      </w:r>
      <w:r>
        <w:t xml:space="preserve"> small stall to the large stall </w:t>
      </w:r>
      <w:r w:rsidR="00CD0DC6">
        <w:t>“</w:t>
      </w:r>
      <w:r w:rsidRPr="00D80631">
        <w:t xml:space="preserve">substantially </w:t>
      </w:r>
      <w:r>
        <w:t>increased the risk of harm</w:t>
      </w:r>
      <w:r w:rsidR="00CD0DC6">
        <w:t>”</w:t>
      </w:r>
      <w:r w:rsidR="00132D91">
        <w:t xml:space="preserve"> to her</w:t>
      </w:r>
      <w:r>
        <w:t xml:space="preserve"> above that inherent in the rape.</w:t>
      </w:r>
      <w:r>
        <w:rPr>
          <w:rStyle w:val="FootnoteReference"/>
        </w:rPr>
        <w:footnoteReference w:id="12"/>
      </w:r>
      <w:r>
        <w:t xml:space="preserve"> </w:t>
      </w:r>
      <w:r w:rsidR="00DB2B65">
        <w:t xml:space="preserve"> </w:t>
      </w:r>
      <w:r w:rsidR="00CD0DC6">
        <w:t>(§ 667.61(d)(2).)</w:t>
      </w:r>
      <w:r w:rsidR="00DB2B65">
        <w:t xml:space="preserve">  </w:t>
      </w:r>
      <w:r>
        <w:t xml:space="preserve">Even assuming the minor differences between the stalls supported a finding of </w:t>
      </w:r>
      <w:r>
        <w:rPr>
          <w:i/>
          <w:iCs/>
        </w:rPr>
        <w:t xml:space="preserve">some </w:t>
      </w:r>
      <w:r>
        <w:t xml:space="preserve">increase in the risk of harm to Doe, there was no evidence from which </w:t>
      </w:r>
      <w:r w:rsidR="0014036E">
        <w:t>to</w:t>
      </w:r>
      <w:r>
        <w:t xml:space="preserve"> reasonably infer that the movement </w:t>
      </w:r>
      <w:r w:rsidRPr="003C7B7E">
        <w:rPr>
          <w:i/>
          <w:iCs/>
        </w:rPr>
        <w:t>substantially</w:t>
      </w:r>
      <w:r>
        <w:t xml:space="preserve"> increased that risk. </w:t>
      </w:r>
    </w:p>
    <w:p w:rsidR="00D81EF4" w:rsidP="0041357D" w14:paraId="46BFB25D" w14:textId="38D0EA83">
      <w:pPr>
        <w:spacing w:line="360" w:lineRule="auto"/>
      </w:pPr>
      <w:r>
        <w:tab/>
      </w:r>
      <w:r w:rsidR="0036257A">
        <w:t>“</w:t>
      </w:r>
      <w:r w:rsidR="00C940F4">
        <w:t> </w:t>
      </w:r>
      <w:r w:rsidR="0036257A">
        <w:t xml:space="preserve">‘Substantial’ is a relative term[;] its measure </w:t>
      </w:r>
      <w:r w:rsidR="00E64DF3">
        <w:t>[</w:t>
      </w:r>
      <w:r w:rsidR="0036257A">
        <w:t>is</w:t>
      </w:r>
      <w:r w:rsidR="00E64DF3">
        <w:t>]</w:t>
      </w:r>
      <w:r w:rsidR="0036257A">
        <w:t xml:space="preserve"> to be gauged by all the circumstances surrounding the matter in reference to which the expression has been used.”  (</w:t>
      </w:r>
      <w:r w:rsidR="0036257A">
        <w:rPr>
          <w:i/>
          <w:iCs/>
        </w:rPr>
        <w:t>Atchison etc. Ry. Co.</w:t>
      </w:r>
      <w:r w:rsidR="00983D0C">
        <w:rPr>
          <w:i/>
          <w:iCs/>
        </w:rPr>
        <w:t> </w:t>
      </w:r>
      <w:r w:rsidR="0036257A">
        <w:rPr>
          <w:i/>
          <w:iCs/>
        </w:rPr>
        <w:t>v. Kings Co</w:t>
      </w:r>
      <w:r w:rsidR="00643EDD">
        <w:rPr>
          <w:i/>
          <w:iCs/>
        </w:rPr>
        <w:t>.</w:t>
      </w:r>
      <w:r w:rsidR="0036257A">
        <w:rPr>
          <w:i/>
          <w:iCs/>
        </w:rPr>
        <w:t xml:space="preserve"> Water Dist. </w:t>
      </w:r>
      <w:r w:rsidR="0036257A">
        <w:t>(1956) 47</w:t>
      </w:r>
      <w:r>
        <w:t> </w:t>
      </w:r>
      <w:r w:rsidR="0036257A">
        <w:t xml:space="preserve">Cal.2d 140, 144.)  </w:t>
      </w:r>
      <w:r w:rsidR="00F506C6">
        <w:t xml:space="preserve">When </w:t>
      </w:r>
      <w:r w:rsidR="00AD7D57">
        <w:t>describing</w:t>
      </w:r>
      <w:r w:rsidR="0036257A">
        <w:t xml:space="preserve"> an increase,</w:t>
      </w:r>
      <w:r w:rsidR="00F506C6">
        <w:t xml:space="preserve"> </w:t>
      </w:r>
      <w:r w:rsidR="0036257A">
        <w:t>“s</w:t>
      </w:r>
      <w:r w:rsidR="00E10E65">
        <w:t>ubstantially” is defined as “[f]ully, amply; to a great extent or degree; considerably, significantly, much.”  (</w:t>
      </w:r>
      <w:r w:rsidR="00D22C4D">
        <w:t>Oxford English Dictionary Online</w:t>
      </w:r>
      <w:r w:rsidR="00746A0D">
        <w:t xml:space="preserve"> </w:t>
      </w:r>
      <w:r w:rsidR="00D22C4D">
        <w:t>&lt;https://www.oed.</w:t>
      </w:r>
      <w:r w:rsidR="008C24D1">
        <w:t>com/view/Entry/193055</w:t>
      </w:r>
      <w:r w:rsidR="00E0015B">
        <w:t>&gt;</w:t>
      </w:r>
      <w:r w:rsidR="00AD7D57">
        <w:t xml:space="preserve"> [as of </w:t>
      </w:r>
      <w:r w:rsidR="00420FC3">
        <w:t xml:space="preserve">June </w:t>
      </w:r>
      <w:r w:rsidR="00BD0D88">
        <w:t>13</w:t>
      </w:r>
      <w:r w:rsidR="00AD7D57">
        <w:t>, 2023].)</w:t>
      </w:r>
      <w:r w:rsidR="002C5B49">
        <w:t xml:space="preserve">  </w:t>
      </w:r>
      <w:r w:rsidR="006378A3">
        <w:t xml:space="preserve">In determining whether </w:t>
      </w:r>
      <w:r w:rsidR="004C332E">
        <w:t>a movement increased the risk of harm to the victim</w:t>
      </w:r>
      <w:r w:rsidR="0041357D">
        <w:t>, the jury considers “</w:t>
      </w:r>
      <w:r w:rsidR="00F12D90">
        <w:t> </w:t>
      </w:r>
      <w:r w:rsidR="0041357D">
        <w:t>‘</w:t>
      </w:r>
      <w:r w:rsidR="00F12D90">
        <w:t> </w:t>
      </w:r>
      <w:r w:rsidR="0041357D">
        <w:t>“such factors as the decreased likelihood of detection, the danger inherent in a victim’s foreseeable attempts to escape, and the attacker’s enhanced opportunity to commit additional crimes.  [Citations.]  The fact that these dangers do not in fact materialize does not . . . mean that the risk of harm was not increased.”</w:t>
      </w:r>
      <w:r w:rsidR="004C332E">
        <w:t> </w:t>
      </w:r>
      <w:r w:rsidR="0041357D">
        <w:t>’</w:t>
      </w:r>
      <w:r w:rsidR="004C332E">
        <w:t> </w:t>
      </w:r>
      <w:r w:rsidR="0041357D">
        <w:t>”</w:t>
      </w:r>
      <w:r w:rsidR="00545216">
        <w:t xml:space="preserve">  </w:t>
      </w:r>
      <w:r w:rsidR="0041357D">
        <w:t>(</w:t>
      </w:r>
      <w:r w:rsidRPr="00D93799" w:rsidR="00D93799">
        <w:rPr>
          <w:i/>
          <w:iCs/>
        </w:rPr>
        <w:t>People v.</w:t>
      </w:r>
      <w:r w:rsidR="00D93799">
        <w:t xml:space="preserve"> </w:t>
      </w:r>
      <w:r w:rsidR="00D34619">
        <w:rPr>
          <w:i/>
          <w:iCs/>
        </w:rPr>
        <w:t>Vines</w:t>
      </w:r>
      <w:r w:rsidR="00D34619">
        <w:t xml:space="preserve"> </w:t>
      </w:r>
      <w:r w:rsidRPr="00967D62" w:rsidR="00D93799">
        <w:t>(2011) 51</w:t>
      </w:r>
      <w:r w:rsidR="00967D62">
        <w:t> </w:t>
      </w:r>
      <w:r w:rsidRPr="00967D62" w:rsidR="00D93799">
        <w:t>Cal</w:t>
      </w:r>
      <w:r w:rsidRPr="00967D62" w:rsidR="003B43D6">
        <w:t>.4th 830</w:t>
      </w:r>
      <w:r w:rsidRPr="00967D62" w:rsidR="00967D62">
        <w:t>, 870</w:t>
      </w:r>
      <w:r w:rsidR="002B20F5">
        <w:t xml:space="preserve"> </w:t>
      </w:r>
      <w:r w:rsidR="00F4380C">
        <w:t>(</w:t>
      </w:r>
      <w:r w:rsidRPr="002B20F5" w:rsidR="00F4380C">
        <w:rPr>
          <w:i/>
          <w:iCs/>
        </w:rPr>
        <w:t>Vines</w:t>
      </w:r>
      <w:r w:rsidR="00F4380C">
        <w:t>)</w:t>
      </w:r>
      <w:r w:rsidR="002B20F5">
        <w:t>.</w:t>
      </w:r>
      <w:r w:rsidR="00D34619">
        <w:t>)</w:t>
      </w:r>
    </w:p>
    <w:p w:rsidR="00456527" w:rsidP="00CD5435" w14:paraId="25D5BC70" w14:textId="2D453E28">
      <w:pPr>
        <w:spacing w:line="360" w:lineRule="auto"/>
      </w:pPr>
      <w:r>
        <w:tab/>
      </w:r>
      <w:r w:rsidR="00B525C7">
        <w:t>Although</w:t>
      </w:r>
      <w:r w:rsidR="00865C55">
        <w:t xml:space="preserve"> the movement of Doe from the small stall to the large stall may have made it easier for Waqa to complete the rape, there </w:t>
      </w:r>
      <w:r w:rsidR="00FA4EF4">
        <w:t>was in</w:t>
      </w:r>
      <w:r w:rsidR="008A783E">
        <w:t xml:space="preserve">sufficient evidence that the change </w:t>
      </w:r>
      <w:r w:rsidRPr="00FA79A8" w:rsidR="008A783E">
        <w:t>substantially</w:t>
      </w:r>
      <w:r w:rsidR="008A783E">
        <w:t xml:space="preserve"> increased </w:t>
      </w:r>
      <w:r w:rsidR="00F846F7">
        <w:t xml:space="preserve">Doe’s </w:t>
      </w:r>
      <w:r w:rsidR="008A783E">
        <w:t>risk of harm</w:t>
      </w:r>
      <w:r w:rsidR="00585298">
        <w:t xml:space="preserve">.  </w:t>
      </w:r>
      <w:r w:rsidR="00E7692C">
        <w:rPr>
          <w:i/>
          <w:iCs/>
        </w:rPr>
        <w:t>Perkins</w:t>
      </w:r>
      <w:r w:rsidR="00E7692C">
        <w:t xml:space="preserve"> is instructive.  There,</w:t>
      </w:r>
      <w:r w:rsidR="00B45A6A">
        <w:t xml:space="preserve"> the defendant committed sex crimes against his 11-year-old stepdaughter,</w:t>
      </w:r>
      <w:r w:rsidR="006B4667">
        <w:t xml:space="preserve"> </w:t>
      </w:r>
      <w:r w:rsidR="00B45A6A">
        <w:t>and</w:t>
      </w:r>
      <w:r>
        <w:t xml:space="preserve"> the jury also found true </w:t>
      </w:r>
      <w:r w:rsidR="006B4667">
        <w:t xml:space="preserve">aggravated kidnapping </w:t>
      </w:r>
      <w:r w:rsidR="00B45A6A">
        <w:t xml:space="preserve">and kidnapping </w:t>
      </w:r>
      <w:r w:rsidR="006B4667">
        <w:t>circumstances under the One Strike law.  (</w:t>
      </w:r>
      <w:r w:rsidR="006B4667">
        <w:rPr>
          <w:i/>
          <w:iCs/>
        </w:rPr>
        <w:t>Perkins</w:t>
      </w:r>
      <w:r w:rsidR="00B45A6A">
        <w:t xml:space="preserve">, </w:t>
      </w:r>
      <w:r w:rsidR="00B45A6A">
        <w:rPr>
          <w:i/>
          <w:iCs/>
        </w:rPr>
        <w:t>supra</w:t>
      </w:r>
      <w:r w:rsidR="00B45A6A">
        <w:t>, 5</w:t>
      </w:r>
      <w:r w:rsidR="00FB1213">
        <w:t> </w:t>
      </w:r>
      <w:r w:rsidR="00B45A6A">
        <w:t xml:space="preserve">Cal.App.5th at pp. 459–460, 463.)  </w:t>
      </w:r>
      <w:r w:rsidR="001D5274">
        <w:t xml:space="preserve">The victim was asleep in the living room </w:t>
      </w:r>
      <w:r w:rsidR="00392FE6">
        <w:t xml:space="preserve">of their apartment </w:t>
      </w:r>
      <w:r w:rsidR="001D5274">
        <w:t xml:space="preserve">when the defendant awakened her and asked her to feed her baby sister, who was in </w:t>
      </w:r>
      <w:r w:rsidR="0008354C">
        <w:t>the bedroom.  (</w:t>
      </w:r>
      <w:r w:rsidR="0008354C">
        <w:rPr>
          <w:i/>
          <w:iCs/>
        </w:rPr>
        <w:t>Id.</w:t>
      </w:r>
      <w:r w:rsidR="0008354C">
        <w:t xml:space="preserve"> at p</w:t>
      </w:r>
      <w:r w:rsidR="00C15599">
        <w:t>p.</w:t>
      </w:r>
      <w:r>
        <w:t> </w:t>
      </w:r>
      <w:r w:rsidR="00C15599">
        <w:t xml:space="preserve">459–460.)  The defendant told the victim to go to the bathroom, where </w:t>
      </w:r>
      <w:r w:rsidR="0096608B">
        <w:t>he sodomized her.  (</w:t>
      </w:r>
      <w:r w:rsidR="0096608B">
        <w:rPr>
          <w:i/>
          <w:iCs/>
        </w:rPr>
        <w:t>Id.</w:t>
      </w:r>
      <w:r w:rsidR="0096608B">
        <w:t xml:space="preserve"> at p.</w:t>
      </w:r>
      <w:r w:rsidR="009D54A4">
        <w:t> </w:t>
      </w:r>
      <w:r w:rsidR="0096608B">
        <w:t>460.)  He then told her to go back to the bedroom,</w:t>
      </w:r>
      <w:r w:rsidR="00F76F79">
        <w:t xml:space="preserve"> which was 10 to 30 feet away.  (</w:t>
      </w:r>
      <w:r w:rsidR="00F76F79">
        <w:rPr>
          <w:i/>
          <w:iCs/>
        </w:rPr>
        <w:t>Id.</w:t>
      </w:r>
      <w:r w:rsidR="00F76F79">
        <w:t xml:space="preserve"> at pp.</w:t>
      </w:r>
      <w:r w:rsidR="009D54A4">
        <w:t> </w:t>
      </w:r>
      <w:r w:rsidR="00F76F79">
        <w:t xml:space="preserve">460, 470.)  </w:t>
      </w:r>
      <w:r w:rsidR="00EA79BC">
        <w:t>The victim</w:t>
      </w:r>
      <w:r w:rsidR="0096608B">
        <w:t xml:space="preserve"> complied because </w:t>
      </w:r>
      <w:r w:rsidR="00E0254C">
        <w:t xml:space="preserve">she was afraid </w:t>
      </w:r>
      <w:r w:rsidR="00EA79BC">
        <w:t>the defendant</w:t>
      </w:r>
      <w:r w:rsidR="00E0254C">
        <w:t xml:space="preserve"> would hurt her</w:t>
      </w:r>
      <w:r w:rsidR="00EA79BC">
        <w:t xml:space="preserve"> otherwise, and he</w:t>
      </w:r>
      <w:r w:rsidR="00DB04A3">
        <w:t xml:space="preserve"> sodomized and raped her in the bedroom.  (</w:t>
      </w:r>
      <w:r w:rsidR="00DB04A3">
        <w:rPr>
          <w:i/>
          <w:iCs/>
        </w:rPr>
        <w:t>Id.</w:t>
      </w:r>
      <w:r w:rsidR="00EA79BC">
        <w:t xml:space="preserve"> at p.</w:t>
      </w:r>
      <w:r w:rsidR="009D54A4">
        <w:t> </w:t>
      </w:r>
      <w:r w:rsidR="00EA79BC">
        <w:t>460.</w:t>
      </w:r>
      <w:r w:rsidR="00DB04A3">
        <w:t xml:space="preserve">)  </w:t>
      </w:r>
    </w:p>
    <w:p w:rsidR="00E7692C" w:rsidRPr="00456527" w:rsidP="00CD5435" w14:paraId="029516DC" w14:textId="1B3517C2">
      <w:pPr>
        <w:spacing w:line="360" w:lineRule="auto"/>
      </w:pPr>
      <w:r>
        <w:tab/>
        <w:t xml:space="preserve">The </w:t>
      </w:r>
      <w:r w:rsidR="002359B4">
        <w:t xml:space="preserve">Third District </w:t>
      </w:r>
      <w:r>
        <w:t xml:space="preserve">Court of Appeal reversed the One Strike findings, concluding there was insufficient evidence that </w:t>
      </w:r>
      <w:r w:rsidR="00401FD0">
        <w:t xml:space="preserve">by ordering the victim from the bathroom to the bedroom </w:t>
      </w:r>
      <w:r>
        <w:t>the defendant</w:t>
      </w:r>
      <w:r w:rsidR="00602C25">
        <w:t xml:space="preserve"> </w:t>
      </w:r>
      <w:r w:rsidR="00401FD0">
        <w:t>moved her</w:t>
      </w:r>
      <w:r>
        <w:t xml:space="preserve"> “a substantial distance and in a manner that substantially increased the risk of harm.”  (</w:t>
      </w:r>
      <w:r>
        <w:rPr>
          <w:i/>
          <w:iCs/>
        </w:rPr>
        <w:t>Perkins</w:t>
      </w:r>
      <w:r>
        <w:t xml:space="preserve">, </w:t>
      </w:r>
      <w:r>
        <w:rPr>
          <w:i/>
          <w:iCs/>
        </w:rPr>
        <w:t>supra</w:t>
      </w:r>
      <w:r>
        <w:t>, 5</w:t>
      </w:r>
      <w:r w:rsidR="009D54A4">
        <w:t> </w:t>
      </w:r>
      <w:r>
        <w:t>Cal.App.5th at p.</w:t>
      </w:r>
      <w:r w:rsidR="009D54A4">
        <w:t> </w:t>
      </w:r>
      <w:r>
        <w:t>464.)</w:t>
      </w:r>
      <w:r w:rsidR="002359B4">
        <w:t xml:space="preserve">  The movement </w:t>
      </w:r>
      <w:r w:rsidR="008E6D92">
        <w:t xml:space="preserve">did not decrease the likelihood of detection, since neither room’s doors were closed during the crimes and the victim was not visible </w:t>
      </w:r>
      <w:r w:rsidR="00530AC4">
        <w:t>from either room.  (</w:t>
      </w:r>
      <w:r w:rsidR="00530AC4">
        <w:rPr>
          <w:i/>
          <w:iCs/>
        </w:rPr>
        <w:t>Id.</w:t>
      </w:r>
      <w:r w:rsidR="00530AC4">
        <w:t xml:space="preserve"> at p.</w:t>
      </w:r>
      <w:r w:rsidR="009D54A4">
        <w:t> </w:t>
      </w:r>
      <w:r w:rsidR="00530AC4">
        <w:t xml:space="preserve">470.)  Nor did it increase </w:t>
      </w:r>
      <w:r w:rsidR="0032573E">
        <w:t xml:space="preserve">the </w:t>
      </w:r>
      <w:r w:rsidR="00530AC4">
        <w:t xml:space="preserve">danger </w:t>
      </w:r>
      <w:r w:rsidR="005272F3">
        <w:t>from the victim’s foreseeable attempts to escape, since the “defendant’s significant size” made it “unlikely the victim could have escaped from him in either the bathroom or the bedroom.  The bedroom, assuming it was larger, may have actually given her more of an opportunity.”  (</w:t>
      </w:r>
      <w:r w:rsidR="005272F3">
        <w:rPr>
          <w:i/>
          <w:iCs/>
        </w:rPr>
        <w:t>Ibid.</w:t>
      </w:r>
      <w:r w:rsidR="005272F3">
        <w:t xml:space="preserve">)  Finally, the </w:t>
      </w:r>
      <w:r w:rsidR="006E140B">
        <w:t>movement did not enhance the defendant’s opportunity to commit other crimes,</w:t>
      </w:r>
      <w:r w:rsidR="00A25B3E">
        <w:t xml:space="preserve"> because “[n]othing show[ed] [he] could not have committed rape in the bathroom</w:t>
      </w:r>
      <w:r w:rsidR="0072415D">
        <w:t>” or was prevented from committing “whatever crime he wanted in both rooms.”  (</w:t>
      </w:r>
      <w:r w:rsidR="0072415D">
        <w:rPr>
          <w:i/>
          <w:iCs/>
        </w:rPr>
        <w:t>Ibid.</w:t>
      </w:r>
      <w:r w:rsidR="0072415D">
        <w:t>)</w:t>
      </w:r>
      <w:r w:rsidR="002359B4">
        <w:t xml:space="preserve"> </w:t>
      </w:r>
      <w:r>
        <w:t xml:space="preserve"> </w:t>
      </w:r>
    </w:p>
    <w:p w:rsidR="00BF27A2" w:rsidP="00CD5435" w14:paraId="211DC9D6" w14:textId="2D86BFA2">
      <w:pPr>
        <w:spacing w:line="360" w:lineRule="auto"/>
      </w:pPr>
      <w:r>
        <w:tab/>
        <w:t xml:space="preserve">Likewise, the movement of Doe from the small stall to the large stall did not </w:t>
      </w:r>
      <w:r w:rsidR="005F369D">
        <w:t xml:space="preserve">appreciably </w:t>
      </w:r>
      <w:r w:rsidR="00A42C1D">
        <w:t>“</w:t>
      </w:r>
      <w:r w:rsidR="005F369D">
        <w:t>decrease</w:t>
      </w:r>
      <w:r w:rsidR="00A42C1D">
        <w:t>[]</w:t>
      </w:r>
      <w:r w:rsidR="005F369D">
        <w:t xml:space="preserve"> the likelihood of detection.</w:t>
      </w:r>
      <w:r w:rsidR="00A42C1D">
        <w:t>”</w:t>
      </w:r>
      <w:r w:rsidR="005F369D">
        <w:t xml:space="preserve">  (</w:t>
      </w:r>
      <w:r w:rsidR="005F369D">
        <w:rPr>
          <w:i/>
          <w:iCs/>
        </w:rPr>
        <w:t>Perkins</w:t>
      </w:r>
      <w:r w:rsidR="005F369D">
        <w:t xml:space="preserve">, </w:t>
      </w:r>
      <w:r w:rsidR="005F369D">
        <w:rPr>
          <w:i/>
          <w:iCs/>
        </w:rPr>
        <w:t>supra</w:t>
      </w:r>
      <w:r w:rsidR="005F369D">
        <w:t>, 5</w:t>
      </w:r>
      <w:r>
        <w:t> </w:t>
      </w:r>
      <w:r w:rsidR="005F369D">
        <w:t>Cal.App.5th at p.</w:t>
      </w:r>
      <w:r w:rsidR="009D54A4">
        <w:t> </w:t>
      </w:r>
      <w:r w:rsidR="005F369D">
        <w:t xml:space="preserve">470.)  </w:t>
      </w:r>
      <w:r w:rsidR="00891EE7">
        <w:t xml:space="preserve">Generally, this factor is </w:t>
      </w:r>
      <w:r w:rsidR="00B1007D">
        <w:t>supported when</w:t>
      </w:r>
      <w:r w:rsidR="00091D2B">
        <w:t xml:space="preserve"> the offender moves the victim from a public </w:t>
      </w:r>
      <w:r w:rsidR="009B2313">
        <w:t xml:space="preserve">or open </w:t>
      </w:r>
      <w:r w:rsidR="00091D2B">
        <w:t>area to a private</w:t>
      </w:r>
      <w:r w:rsidR="009B2313">
        <w:t xml:space="preserve"> or </w:t>
      </w:r>
      <w:r w:rsidR="00AA0648">
        <w:t>secluded</w:t>
      </w:r>
      <w:r w:rsidR="00091D2B">
        <w:t xml:space="preserve"> area</w:t>
      </w:r>
      <w:r w:rsidR="009B2313">
        <w:t xml:space="preserve">.  (See, e.g., </w:t>
      </w:r>
      <w:r w:rsidR="009B2313">
        <w:rPr>
          <w:i/>
          <w:iCs/>
        </w:rPr>
        <w:t>Dominguez</w:t>
      </w:r>
      <w:r w:rsidR="009B2313">
        <w:t xml:space="preserve">, </w:t>
      </w:r>
      <w:r w:rsidR="009B2313">
        <w:rPr>
          <w:i/>
          <w:iCs/>
        </w:rPr>
        <w:t>supra</w:t>
      </w:r>
      <w:r w:rsidR="009B2313">
        <w:t>, 39 Cal.4th at p.</w:t>
      </w:r>
      <w:r w:rsidR="00466EB7">
        <w:t> </w:t>
      </w:r>
      <w:r w:rsidR="003164BF">
        <w:t>1153 [victim moved from road</w:t>
      </w:r>
      <w:r w:rsidR="005E058B">
        <w:t xml:space="preserve"> to embankment below road “where it was unlikely any passing driver would see her”];</w:t>
      </w:r>
      <w:r w:rsidR="006D7286">
        <w:t xml:space="preserve"> </w:t>
      </w:r>
      <w:r w:rsidR="006D7286">
        <w:rPr>
          <w:i/>
          <w:iCs/>
        </w:rPr>
        <w:t>People v. Shadden</w:t>
      </w:r>
      <w:r w:rsidR="006D7286">
        <w:t xml:space="preserve"> (2001) 93 Cal.App.4th 164, 167, 169</w:t>
      </w:r>
      <w:r w:rsidR="00A27F71">
        <w:t>–170</w:t>
      </w:r>
      <w:r w:rsidR="00FD62F0">
        <w:t xml:space="preserve"> (</w:t>
      </w:r>
      <w:r w:rsidR="00FD62F0">
        <w:rPr>
          <w:i/>
          <w:iCs/>
        </w:rPr>
        <w:t>Shadden</w:t>
      </w:r>
      <w:r w:rsidR="00FD62F0">
        <w:t>)</w:t>
      </w:r>
      <w:r w:rsidR="006D7286">
        <w:t xml:space="preserve"> </w:t>
      </w:r>
      <w:r w:rsidR="00A27F71">
        <w:t>[victim moved from store’s front counter to back room]</w:t>
      </w:r>
      <w:r w:rsidR="007275F7">
        <w:t xml:space="preserve">; </w:t>
      </w:r>
      <w:r>
        <w:rPr>
          <w:i/>
          <w:iCs/>
        </w:rPr>
        <w:t>People</w:t>
      </w:r>
      <w:r w:rsidR="00664B7F">
        <w:rPr>
          <w:i/>
          <w:iCs/>
        </w:rPr>
        <w:t> </w:t>
      </w:r>
      <w:r>
        <w:rPr>
          <w:i/>
          <w:iCs/>
        </w:rPr>
        <w:t>v. Salazar</w:t>
      </w:r>
      <w:r>
        <w:t xml:space="preserve"> (1995)</w:t>
      </w:r>
      <w:r w:rsidR="006A15D6">
        <w:t xml:space="preserve"> 33</w:t>
      </w:r>
      <w:r w:rsidR="00664B7F">
        <w:t> </w:t>
      </w:r>
      <w:r w:rsidR="006A15D6">
        <w:t xml:space="preserve">Cal.App.4th 341, 348 [victim moved from exterior walkway to </w:t>
      </w:r>
      <w:r w:rsidR="00912D0A">
        <w:t>motel room’s bathroom]</w:t>
      </w:r>
      <w:r w:rsidR="00A27F71">
        <w:t>.</w:t>
      </w:r>
      <w:r w:rsidR="006D7286">
        <w:t>)</w:t>
      </w:r>
      <w:r w:rsidR="0099465B">
        <w:t xml:space="preserve">  “[A] rape victim is certainly more at risk when concealed from public view and </w:t>
      </w:r>
      <w:r w:rsidR="009278F7">
        <w:t>therefore more vulnerable to attack.”  (</w:t>
      </w:r>
      <w:r w:rsidR="009278F7">
        <w:rPr>
          <w:i/>
          <w:iCs/>
        </w:rPr>
        <w:t>People</w:t>
      </w:r>
      <w:r w:rsidR="00FA325D">
        <w:rPr>
          <w:i/>
          <w:iCs/>
        </w:rPr>
        <w:t> </w:t>
      </w:r>
      <w:r w:rsidR="009278F7">
        <w:rPr>
          <w:i/>
          <w:iCs/>
        </w:rPr>
        <w:t>v. Hoard</w:t>
      </w:r>
      <w:r w:rsidR="009278F7">
        <w:t xml:space="preserve"> (2002) 103</w:t>
      </w:r>
      <w:r w:rsidR="00664B7F">
        <w:t> </w:t>
      </w:r>
      <w:r w:rsidR="009278F7">
        <w:t>Cal.App.4th 599, 607.)</w:t>
      </w:r>
      <w:r w:rsidR="00A27F71">
        <w:t xml:space="preserve">  </w:t>
      </w:r>
    </w:p>
    <w:p w:rsidR="00D6431A" w:rsidP="00CD5435" w14:paraId="754B17CF" w14:textId="7CA152A4">
      <w:pPr>
        <w:spacing w:line="360" w:lineRule="auto"/>
      </w:pPr>
      <w:r>
        <w:tab/>
      </w:r>
      <w:r w:rsidR="00A27F71">
        <w:t>Here, however, the</w:t>
      </w:r>
      <w:r w:rsidR="003C7B7E">
        <w:t xml:space="preserve"> degree of concealment each</w:t>
      </w:r>
      <w:r w:rsidR="009D3DC2">
        <w:t xml:space="preserve"> </w:t>
      </w:r>
      <w:r w:rsidR="003C7B7E">
        <w:t>stall offered</w:t>
      </w:r>
      <w:r w:rsidR="009D3DC2">
        <w:t xml:space="preserve"> did not </w:t>
      </w:r>
      <w:r w:rsidR="00FC4A1C">
        <w:t>significantly differ</w:t>
      </w:r>
      <w:r w:rsidR="004E17B0">
        <w:t xml:space="preserve">.  </w:t>
      </w:r>
      <w:r w:rsidR="004B21F9">
        <w:t xml:space="preserve">Both stalls </w:t>
      </w:r>
      <w:r w:rsidR="00D4112A">
        <w:t xml:space="preserve">have </w:t>
      </w:r>
      <w:r w:rsidR="003D44AE">
        <w:t>locking doors</w:t>
      </w:r>
      <w:r w:rsidR="00FE10AC">
        <w:t xml:space="preserve"> and</w:t>
      </w:r>
      <w:r w:rsidR="001C4471">
        <w:t xml:space="preserve"> </w:t>
      </w:r>
      <w:r w:rsidR="00F536D3">
        <w:t xml:space="preserve">partitions </w:t>
      </w:r>
      <w:r w:rsidR="001C4471">
        <w:t xml:space="preserve">that do not extend to the floor or ceiling.  </w:t>
      </w:r>
      <w:r w:rsidRPr="004B1C72" w:rsidR="001C4471">
        <w:t xml:space="preserve">Although the small stall is a few feet closer to the </w:t>
      </w:r>
      <w:r w:rsidRPr="004B1C72" w:rsidR="005B2CE2">
        <w:t>restroom entrance,</w:t>
      </w:r>
      <w:r w:rsidR="004B1C72">
        <w:t xml:space="preserve"> we do not think that Doe’s movement to the large </w:t>
      </w:r>
      <w:r w:rsidR="00227677">
        <w:t xml:space="preserve">stall </w:t>
      </w:r>
      <w:r w:rsidR="004B1C72">
        <w:t xml:space="preserve">made it </w:t>
      </w:r>
      <w:r w:rsidRPr="00BD0D88" w:rsidR="004B1C72">
        <w:t>substantially</w:t>
      </w:r>
      <w:r w:rsidR="004B1C72">
        <w:t xml:space="preserve"> less likely that</w:t>
      </w:r>
      <w:r w:rsidRPr="004B1C72" w:rsidR="005B2CE2">
        <w:t xml:space="preserve"> </w:t>
      </w:r>
      <w:r w:rsidR="004B1C72">
        <w:t>someone entering the restroom would hear or see the rape.  Moreover</w:t>
      </w:r>
      <w:r w:rsidR="00ED00CB">
        <w:t xml:space="preserve">, </w:t>
      </w:r>
      <w:r w:rsidR="00C36D54">
        <w:t>o</w:t>
      </w:r>
      <w:r w:rsidR="00A15B9C">
        <w:t xml:space="preserve">nly the large stall </w:t>
      </w:r>
      <w:r w:rsidR="004A7207">
        <w:t>ha</w:t>
      </w:r>
      <w:r w:rsidR="00B525C7">
        <w:t>s</w:t>
      </w:r>
      <w:r w:rsidR="004A7207">
        <w:t xml:space="preserve"> openings </w:t>
      </w:r>
      <w:r w:rsidR="00A15B9C">
        <w:t xml:space="preserve">to the outdoors, </w:t>
      </w:r>
      <w:r w:rsidR="004F5235">
        <w:t xml:space="preserve">so </w:t>
      </w:r>
      <w:r w:rsidR="00196ACA">
        <w:t>if anything</w:t>
      </w:r>
      <w:r w:rsidR="00EC7F7D">
        <w:t xml:space="preserve"> </w:t>
      </w:r>
      <w:r w:rsidR="00E73714">
        <w:t xml:space="preserve">the </w:t>
      </w:r>
      <w:r w:rsidR="00F73E37">
        <w:t>movement</w:t>
      </w:r>
      <w:r w:rsidR="00E73714">
        <w:t xml:space="preserve"> to that stall</w:t>
      </w:r>
      <w:r w:rsidR="00F73E37">
        <w:t xml:space="preserve"> made it</w:t>
      </w:r>
      <w:r w:rsidR="00EC7F7D">
        <w:t xml:space="preserve"> more likely that someone outside</w:t>
      </w:r>
      <w:r w:rsidR="00F41532">
        <w:t xml:space="preserve"> </w:t>
      </w:r>
      <w:r w:rsidR="00EC7F7D">
        <w:t>would notice the crime.</w:t>
      </w:r>
    </w:p>
    <w:p w:rsidR="00846F3E" w:rsidP="00CD5435" w14:paraId="38A7CF52" w14:textId="2DC5C83D">
      <w:pPr>
        <w:spacing w:line="360" w:lineRule="auto"/>
      </w:pPr>
      <w:r>
        <w:tab/>
        <w:t xml:space="preserve">The movement also did not </w:t>
      </w:r>
      <w:r w:rsidR="00D570DF">
        <w:t xml:space="preserve">substantially </w:t>
      </w:r>
      <w:r w:rsidR="00A42C1D">
        <w:t>“increase[] the danger in the victim’s foreseeable attempts to escape.”  (</w:t>
      </w:r>
      <w:r w:rsidR="00A42C1D">
        <w:rPr>
          <w:i/>
          <w:iCs/>
        </w:rPr>
        <w:t>Perkins</w:t>
      </w:r>
      <w:r w:rsidR="00A42C1D">
        <w:t xml:space="preserve">, </w:t>
      </w:r>
      <w:r w:rsidR="00A42C1D">
        <w:rPr>
          <w:i/>
          <w:iCs/>
        </w:rPr>
        <w:t>supra</w:t>
      </w:r>
      <w:r w:rsidR="00A42C1D">
        <w:t>, 5</w:t>
      </w:r>
      <w:r w:rsidR="00664B7F">
        <w:t> </w:t>
      </w:r>
      <w:r w:rsidR="00A42C1D">
        <w:t>Cal.App.5th at p.</w:t>
      </w:r>
      <w:r w:rsidR="001F263C">
        <w:t> </w:t>
      </w:r>
      <w:r w:rsidR="00A42C1D">
        <w:t>470.)</w:t>
      </w:r>
      <w:r w:rsidR="001C0C33">
        <w:t xml:space="preserve">  </w:t>
      </w:r>
      <w:r w:rsidR="00145C3D">
        <w:t xml:space="preserve">Neither stall afforded a realistic opportunity to escape </w:t>
      </w:r>
      <w:r w:rsidR="005A241C">
        <w:t>over or under a wall</w:t>
      </w:r>
      <w:r w:rsidR="00BD0D88">
        <w:t xml:space="preserve"> or door</w:t>
      </w:r>
      <w:r w:rsidR="00512C93">
        <w:t xml:space="preserve">.  </w:t>
      </w:r>
      <w:r w:rsidR="00D8173C">
        <w:t xml:space="preserve">Although committing </w:t>
      </w:r>
      <w:r w:rsidR="00337E1C">
        <w:t>the rape in the small stall would have placed Doe nearer</w:t>
      </w:r>
      <w:r w:rsidR="00FA4088">
        <w:t xml:space="preserve"> to</w:t>
      </w:r>
      <w:r w:rsidR="00337E1C">
        <w:t xml:space="preserve"> the stall</w:t>
      </w:r>
      <w:r w:rsidR="003D1EC0">
        <w:t xml:space="preserve"> door</w:t>
      </w:r>
      <w:r w:rsidR="00794F1A">
        <w:t xml:space="preserve"> than she was in the </w:t>
      </w:r>
      <w:r w:rsidR="005C561A">
        <w:t>large stall</w:t>
      </w:r>
      <w:r w:rsidR="00337E1C">
        <w:t xml:space="preserve">, </w:t>
      </w:r>
      <w:r w:rsidR="00794F1A">
        <w:t>the additiona</w:t>
      </w:r>
      <w:r w:rsidR="005C561A">
        <w:t xml:space="preserve">l </w:t>
      </w:r>
      <w:r w:rsidR="00A4184A">
        <w:t xml:space="preserve">space in the large stall </w:t>
      </w:r>
      <w:r w:rsidR="004E68DC">
        <w:t xml:space="preserve">theoretically gave her more room to maneuver and would </w:t>
      </w:r>
      <w:r w:rsidR="00276DCE">
        <w:t>make</w:t>
      </w:r>
      <w:r w:rsidR="004E68DC">
        <w:t xml:space="preserve"> it easier to unlock the doo</w:t>
      </w:r>
      <w:r w:rsidR="00226204">
        <w:t>r if she was able to reach it.</w:t>
      </w:r>
      <w:r w:rsidR="00A121B1">
        <w:t xml:space="preserve">  (See</w:t>
      </w:r>
      <w:r w:rsidR="00BD0D88">
        <w:t xml:space="preserve"> </w:t>
      </w:r>
      <w:r w:rsidR="00BD0D88">
        <w:rPr>
          <w:i/>
          <w:iCs/>
        </w:rPr>
        <w:t>ibid.</w:t>
      </w:r>
      <w:r w:rsidR="00A121B1">
        <w:t>)</w:t>
      </w:r>
      <w:r w:rsidR="000C680F">
        <w:t xml:space="preserve">  Nor was </w:t>
      </w:r>
      <w:r w:rsidR="00430375">
        <w:t>a potential escape from the large stall any more dangerous than one from the small stall.  (C</w:t>
      </w:r>
      <w:r w:rsidR="00127484">
        <w:t>ompare</w:t>
      </w:r>
      <w:r w:rsidR="00B237CD">
        <w:t xml:space="preserve">, e.g., </w:t>
      </w:r>
      <w:r w:rsidR="00B237CD">
        <w:rPr>
          <w:i/>
          <w:iCs/>
        </w:rPr>
        <w:t>Kelly</w:t>
      </w:r>
      <w:r w:rsidR="00B237CD">
        <w:t xml:space="preserve">, </w:t>
      </w:r>
      <w:r w:rsidR="00B237CD">
        <w:rPr>
          <w:i/>
          <w:iCs/>
        </w:rPr>
        <w:t>supra</w:t>
      </w:r>
      <w:r w:rsidR="00B237CD">
        <w:t>, 245</w:t>
      </w:r>
      <w:r w:rsidR="00BD0D88">
        <w:t> </w:t>
      </w:r>
      <w:r w:rsidR="00B237CD">
        <w:t>Cal.App.4th at p.</w:t>
      </w:r>
      <w:r w:rsidR="00664B7F">
        <w:t> </w:t>
      </w:r>
      <w:r w:rsidR="00701229">
        <w:t xml:space="preserve">1130 </w:t>
      </w:r>
      <w:r w:rsidR="00127484">
        <w:t>[movement put victim at increased risk of harm because her “only option to escape was to exit a moving vehicle”].)</w:t>
      </w:r>
      <w:r w:rsidR="00A121B1">
        <w:t xml:space="preserve">  </w:t>
      </w:r>
    </w:p>
    <w:p w:rsidR="00EA59F3" w:rsidP="00CD5435" w14:paraId="1B70D5CD" w14:textId="758ED8A5">
      <w:pPr>
        <w:spacing w:line="360" w:lineRule="auto"/>
      </w:pPr>
      <w:r>
        <w:tab/>
        <w:t>In arguing that the movement</w:t>
      </w:r>
      <w:r w:rsidR="00BC0066">
        <w:t xml:space="preserve"> </w:t>
      </w:r>
      <w:r w:rsidRPr="00BD0D88" w:rsidR="00BC0066">
        <w:t>did</w:t>
      </w:r>
      <w:r>
        <w:t xml:space="preserve"> </w:t>
      </w:r>
      <w:r w:rsidR="00BB28C8">
        <w:t>“</w:t>
      </w:r>
      <w:r>
        <w:t>decrease</w:t>
      </w:r>
      <w:r w:rsidR="00BC0066">
        <w:t>[]</w:t>
      </w:r>
      <w:r>
        <w:t xml:space="preserve"> the likelihood of detection</w:t>
      </w:r>
      <w:r w:rsidR="00BB28C8">
        <w:t xml:space="preserve"> and escape</w:t>
      </w:r>
      <w:r>
        <w:t>,</w:t>
      </w:r>
      <w:r w:rsidR="00BB28C8">
        <w:t>”</w:t>
      </w:r>
      <w:r>
        <w:t xml:space="preserve"> the Attorney General relies on an un</w:t>
      </w:r>
      <w:r w:rsidR="004A7207">
        <w:t xml:space="preserve">convincing </w:t>
      </w:r>
      <w:r>
        <w:t xml:space="preserve">premise:  that because of his size, Waqa “would not be able to fit inside the small stall with the victim and still be able to close the door behind him and lock it.”  </w:t>
      </w:r>
      <w:r w:rsidR="00054D10">
        <w:t>We agree with Waqa that the</w:t>
      </w:r>
      <w:r>
        <w:t xml:space="preserve"> jury could not have reasonably inferred that </w:t>
      </w:r>
      <w:r w:rsidR="001170DE">
        <w:t xml:space="preserve">it was impossible for </w:t>
      </w:r>
      <w:r w:rsidR="00054D10">
        <w:t>him</w:t>
      </w:r>
      <w:r>
        <w:t xml:space="preserve"> and Doe </w:t>
      </w:r>
      <w:r w:rsidR="001170DE">
        <w:t>to</w:t>
      </w:r>
      <w:r>
        <w:t xml:space="preserve"> both fit in the small stall with the door locked behind them.  The only quantitative evidence of Waqa’s size was that he was at least six feet tall and 200 pounds at the time of the crime, hardly too big to get through the stall door.  Although it would have been cramped for h</w:t>
      </w:r>
      <w:r w:rsidR="00DA45A9">
        <w:t>im</w:t>
      </w:r>
      <w:r>
        <w:t xml:space="preserve"> and Doe to both </w:t>
      </w:r>
      <w:r w:rsidR="004A7207">
        <w:t xml:space="preserve">be in </w:t>
      </w:r>
      <w:r w:rsidR="00865C55">
        <w:t xml:space="preserve">the small </w:t>
      </w:r>
      <w:r w:rsidR="004A7207">
        <w:t>stall w</w:t>
      </w:r>
      <w:r>
        <w:t>ith the door locked shut, there is no basis to believe that they literally would not have fit.</w:t>
      </w:r>
      <w:r w:rsidR="001D0640">
        <w:t xml:space="preserve">  Thus, we </w:t>
      </w:r>
      <w:r w:rsidR="00276DCE">
        <w:t>disagree</w:t>
      </w:r>
      <w:r w:rsidR="001D0640">
        <w:t xml:space="preserve"> with the Attorney General that the movement to the large stall increased Waqa’s ability to avoid detection and prevent Doe from escaping </w:t>
      </w:r>
      <w:r w:rsidR="001170DE">
        <w:t>in that</w:t>
      </w:r>
      <w:r w:rsidR="00DE7722">
        <w:t xml:space="preserve"> he otherwise</w:t>
      </w:r>
      <w:r w:rsidR="001D0640">
        <w:t xml:space="preserve"> could not have closed and locked the stall door.  </w:t>
      </w:r>
    </w:p>
    <w:p w:rsidR="00383BD1" w:rsidP="00CD5435" w14:paraId="775FB339" w14:textId="5B31B430">
      <w:pPr>
        <w:spacing w:line="360" w:lineRule="auto"/>
      </w:pPr>
      <w:r>
        <w:tab/>
      </w:r>
      <w:r w:rsidR="006A2312">
        <w:t xml:space="preserve">More generally, the risk of harm beyond that inherent in the rape </w:t>
      </w:r>
      <w:r w:rsidR="00B74BCF">
        <w:t xml:space="preserve">was not clearly increased in the large stall compared to the small stall.  </w:t>
      </w:r>
      <w:r w:rsidR="001B15FF">
        <w:t>Th</w:t>
      </w:r>
      <w:r w:rsidR="00F03BDC">
        <w:t xml:space="preserve">e large stall </w:t>
      </w:r>
      <w:r w:rsidR="00125CF8">
        <w:t>itself did not pose any danger of bodily harm that the small stall did not</w:t>
      </w:r>
      <w:r w:rsidR="00EC7CC9">
        <w:t xml:space="preserve">.  (Compare, e.g., </w:t>
      </w:r>
      <w:r w:rsidR="00EC7CC9">
        <w:rPr>
          <w:i/>
          <w:iCs/>
        </w:rPr>
        <w:t>Vines</w:t>
      </w:r>
      <w:r w:rsidR="00EC7CC9">
        <w:t xml:space="preserve">, </w:t>
      </w:r>
      <w:r w:rsidR="00EC7CC9">
        <w:rPr>
          <w:i/>
          <w:iCs/>
        </w:rPr>
        <w:t>supra</w:t>
      </w:r>
      <w:r w:rsidR="00EC7CC9">
        <w:t xml:space="preserve">, 51 Cal.4th at </w:t>
      </w:r>
      <w:r w:rsidR="00D85CEB">
        <w:t>p.</w:t>
      </w:r>
      <w:r w:rsidR="000A67C0">
        <w:t> </w:t>
      </w:r>
      <w:r w:rsidR="00D85CEB">
        <w:t>871 [</w:t>
      </w:r>
      <w:r w:rsidR="000A6538">
        <w:t>victims</w:t>
      </w:r>
      <w:r w:rsidR="0071451D">
        <w:t xml:space="preserve"> at substantially increased risk of harm</w:t>
      </w:r>
      <w:r w:rsidR="000A6538">
        <w:t xml:space="preserve"> </w:t>
      </w:r>
      <w:r w:rsidR="0071451D">
        <w:t>because</w:t>
      </w:r>
      <w:r w:rsidR="008D34F0">
        <w:t xml:space="preserve"> they were</w:t>
      </w:r>
      <w:r w:rsidR="0071451D">
        <w:t xml:space="preserve"> moved </w:t>
      </w:r>
      <w:r w:rsidR="00764EBB">
        <w:t>into</w:t>
      </w:r>
      <w:r w:rsidR="000A6538">
        <w:t xml:space="preserve"> store’s freezer</w:t>
      </w:r>
      <w:r w:rsidR="0071451D">
        <w:t>]</w:t>
      </w:r>
      <w:r w:rsidR="00EC7CC9">
        <w:t>.</w:t>
      </w:r>
      <w:r w:rsidR="0071451D">
        <w:t>)</w:t>
      </w:r>
      <w:r w:rsidR="00125CF8">
        <w:t xml:space="preserve">  Both spaces had fixtures, including the toilets,</w:t>
      </w:r>
      <w:r w:rsidR="00BD0D88">
        <w:t xml:space="preserve"> with which</w:t>
      </w:r>
      <w:r w:rsidR="006C3852">
        <w:t xml:space="preserve"> Doe could have </w:t>
      </w:r>
      <w:r w:rsidR="00BD0D88">
        <w:t>coll</w:t>
      </w:r>
      <w:r w:rsidR="009A5513">
        <w:t>ided</w:t>
      </w:r>
      <w:r w:rsidR="006C3852">
        <w:t xml:space="preserve">.  </w:t>
      </w:r>
      <w:r w:rsidR="00A25287">
        <w:t>Indeed, she was arguably</w:t>
      </w:r>
      <w:r w:rsidR="00125CF8">
        <w:t xml:space="preserve"> at higher risk of such injury in the more enclosed space.</w:t>
      </w:r>
      <w:r w:rsidR="00735BEB">
        <w:t xml:space="preserve">  </w:t>
      </w:r>
    </w:p>
    <w:p w:rsidR="001D0640" w:rsidP="00CD5435" w14:paraId="7E75E364" w14:textId="420EEA80">
      <w:pPr>
        <w:spacing w:line="360" w:lineRule="auto"/>
      </w:pPr>
      <w:r>
        <w:tab/>
      </w:r>
      <w:r w:rsidR="00735BEB">
        <w:t xml:space="preserve">Nor did the movement to the large stall </w:t>
      </w:r>
      <w:r w:rsidR="0043376E">
        <w:t xml:space="preserve">clearly </w:t>
      </w:r>
      <w:r w:rsidR="00735BEB">
        <w:t xml:space="preserve">enhance Waqa’s </w:t>
      </w:r>
      <w:r w:rsidR="001C2BD0">
        <w:t>ability to “gain control over [Doe] and ensure[] her compliance.”  (</w:t>
      </w:r>
      <w:r w:rsidR="001C2BD0">
        <w:rPr>
          <w:i/>
          <w:iCs/>
        </w:rPr>
        <w:t>Robertson</w:t>
      </w:r>
      <w:r w:rsidR="001C2BD0">
        <w:t xml:space="preserve">, </w:t>
      </w:r>
      <w:r w:rsidR="001C2BD0">
        <w:rPr>
          <w:i/>
          <w:iCs/>
        </w:rPr>
        <w:t>supra</w:t>
      </w:r>
      <w:r w:rsidR="001C2BD0">
        <w:t xml:space="preserve">, </w:t>
      </w:r>
      <w:r w:rsidR="00684A07">
        <w:t>208</w:t>
      </w:r>
      <w:r w:rsidR="00C03DDC">
        <w:t> </w:t>
      </w:r>
      <w:r w:rsidR="00684A07">
        <w:t xml:space="preserve">Cal.App.4th at p. 985 [movement of victim </w:t>
      </w:r>
      <w:r w:rsidR="008C05AE">
        <w:t xml:space="preserve">next to deep tub </w:t>
      </w:r>
      <w:r w:rsidR="00FD5634">
        <w:t>was</w:t>
      </w:r>
      <w:r w:rsidR="008C05AE">
        <w:t xml:space="preserve"> implicit threat to drown her if she resisted].)</w:t>
      </w:r>
      <w:r w:rsidR="00125CF8">
        <w:t xml:space="preserve"> </w:t>
      </w:r>
      <w:r w:rsidR="00EC7CC9">
        <w:t xml:space="preserve"> </w:t>
      </w:r>
      <w:r w:rsidR="00B74BCF">
        <w:t xml:space="preserve">True, </w:t>
      </w:r>
      <w:r w:rsidR="00C65DA6">
        <w:t xml:space="preserve">in the large stall </w:t>
      </w:r>
      <w:r w:rsidR="00B74BCF">
        <w:t xml:space="preserve">Waqa was able to </w:t>
      </w:r>
      <w:r w:rsidR="00C65DA6">
        <w:t xml:space="preserve">lie on top of Doe, which he </w:t>
      </w:r>
      <w:r w:rsidR="00DB4F3F">
        <w:t xml:space="preserve">likely </w:t>
      </w:r>
      <w:r w:rsidR="00D826CC">
        <w:t>would not have</w:t>
      </w:r>
      <w:r w:rsidR="006529B5">
        <w:t xml:space="preserve"> had</w:t>
      </w:r>
      <w:r w:rsidR="00D826CC">
        <w:t xml:space="preserve"> room to do in the small stall.</w:t>
      </w:r>
      <w:r w:rsidR="00C03DDC">
        <w:t xml:space="preserve">  In turn, </w:t>
      </w:r>
      <w:r w:rsidR="00D94CC6">
        <w:t>his weight</w:t>
      </w:r>
      <w:r w:rsidR="00C03DDC">
        <w:t xml:space="preserve"> made it </w:t>
      </w:r>
      <w:r w:rsidR="007A31A4">
        <w:t>hard for</w:t>
      </w:r>
      <w:r w:rsidR="00C03DDC">
        <w:t xml:space="preserve"> her to breathe</w:t>
      </w:r>
      <w:r w:rsidR="00DC4FBF">
        <w:t>, which it is reasonable to infer prevented</w:t>
      </w:r>
      <w:r w:rsidR="007A31A4">
        <w:t xml:space="preserve"> her from screaming.</w:t>
      </w:r>
      <w:r w:rsidR="00DB4F3F">
        <w:t xml:space="preserve">  </w:t>
      </w:r>
      <w:r w:rsidR="00BE7AAC">
        <w:t>But rape does not require a prone position, and</w:t>
      </w:r>
      <w:r w:rsidR="00532692">
        <w:t xml:space="preserve"> </w:t>
      </w:r>
      <w:r w:rsidR="00FE3094">
        <w:t>there is no apparent reason</w:t>
      </w:r>
      <w:r w:rsidR="00BE7AAC">
        <w:t xml:space="preserve"> </w:t>
      </w:r>
      <w:r w:rsidR="00AF5910">
        <w:t>Waqa</w:t>
      </w:r>
      <w:r w:rsidR="0088307E">
        <w:t xml:space="preserve"> could </w:t>
      </w:r>
      <w:r w:rsidR="00FE3094">
        <w:t xml:space="preserve">not </w:t>
      </w:r>
      <w:r w:rsidR="0088307E">
        <w:t xml:space="preserve">have restrained </w:t>
      </w:r>
      <w:r w:rsidR="00AF5910">
        <w:t>Doe</w:t>
      </w:r>
      <w:r w:rsidR="0088307E">
        <w:t xml:space="preserve"> and </w:t>
      </w:r>
      <w:r w:rsidR="00EF4F16">
        <w:t>prevented her from screaming while</w:t>
      </w:r>
      <w:r w:rsidR="0088307E">
        <w:t xml:space="preserve"> </w:t>
      </w:r>
      <w:r w:rsidR="00D94CC6">
        <w:t>they were upright</w:t>
      </w:r>
      <w:r w:rsidR="0088307E">
        <w:t>.</w:t>
      </w:r>
      <w:r w:rsidR="00A121B1">
        <w:t xml:space="preserve">  (See </w:t>
      </w:r>
      <w:r w:rsidR="00A121B1">
        <w:rPr>
          <w:i/>
          <w:iCs/>
        </w:rPr>
        <w:t>Perkins</w:t>
      </w:r>
      <w:r w:rsidR="00A121B1">
        <w:t xml:space="preserve">, </w:t>
      </w:r>
      <w:r w:rsidR="00A121B1">
        <w:rPr>
          <w:i/>
          <w:iCs/>
        </w:rPr>
        <w:t>supra</w:t>
      </w:r>
      <w:r w:rsidR="00A121B1">
        <w:t xml:space="preserve">, 5 Cal.App.5th at p. 470.)  </w:t>
      </w:r>
    </w:p>
    <w:p w:rsidR="006A2312" w:rsidP="00CD5435" w14:paraId="292517A3" w14:textId="35990871">
      <w:pPr>
        <w:spacing w:line="360" w:lineRule="auto"/>
      </w:pPr>
      <w:r>
        <w:tab/>
      </w:r>
      <w:r w:rsidR="0066123F">
        <w:t>We also reject t</w:t>
      </w:r>
      <w:r>
        <w:t>he Attorney General</w:t>
      </w:r>
      <w:r w:rsidR="0066123F">
        <w:t xml:space="preserve">’s related argument </w:t>
      </w:r>
      <w:r>
        <w:t>that</w:t>
      </w:r>
      <w:r w:rsidR="00B94E0B">
        <w:t xml:space="preserve"> </w:t>
      </w:r>
      <w:r w:rsidR="00C65496">
        <w:t xml:space="preserve">the movement to the large stall </w:t>
      </w:r>
      <w:r w:rsidR="00E72D9C">
        <w:t xml:space="preserve">significantly </w:t>
      </w:r>
      <w:r w:rsidR="00C65496">
        <w:t xml:space="preserve">“increased the risk of </w:t>
      </w:r>
      <w:r w:rsidRPr="0066123F" w:rsidR="00C65496">
        <w:t xml:space="preserve">psychological </w:t>
      </w:r>
      <w:r w:rsidR="00C65496">
        <w:t>harm</w:t>
      </w:r>
      <w:r w:rsidR="00DD6417">
        <w:t xml:space="preserve">” to Doe, based on her </w:t>
      </w:r>
      <w:r>
        <w:t xml:space="preserve">testimony that she became “terrified” and felt less safe when Waqa closed and locked the stall door.  </w:t>
      </w:r>
      <w:r w:rsidR="00C65496">
        <w:t xml:space="preserve">Again, this argument </w:t>
      </w:r>
      <w:r w:rsidR="007B59BF">
        <w:t xml:space="preserve">depends on the premise that Waqa would not have been able to </w:t>
      </w:r>
      <w:r w:rsidR="00FF1189">
        <w:t>lock himself and Doe into the small stall.  W</w:t>
      </w:r>
      <w:r w:rsidR="004E4550">
        <w:t xml:space="preserve">e do not see </w:t>
      </w:r>
      <w:r w:rsidR="00593009">
        <w:t xml:space="preserve">any reason </w:t>
      </w:r>
      <w:r w:rsidR="004E4550">
        <w:t xml:space="preserve">the psychological harm of </w:t>
      </w:r>
      <w:r w:rsidR="00593009">
        <w:t>“</w:t>
      </w:r>
      <w:r w:rsidR="004E4550">
        <w:t xml:space="preserve">being trapped in an enclosed space with a large, strong male stranger” </w:t>
      </w:r>
      <w:r w:rsidR="00593009">
        <w:t>would differ</w:t>
      </w:r>
      <w:r w:rsidR="00605A9A">
        <w:t xml:space="preserve"> substantially based on whether the confinement was in the small </w:t>
      </w:r>
      <w:r w:rsidR="00052B33">
        <w:t>or</w:t>
      </w:r>
      <w:r w:rsidR="00605A9A">
        <w:t xml:space="preserve"> large stall. </w:t>
      </w:r>
    </w:p>
    <w:p w:rsidR="001D2C2B" w:rsidP="00CD5435" w14:paraId="482D1FB5" w14:textId="1B62FAF0">
      <w:pPr>
        <w:spacing w:line="360" w:lineRule="auto"/>
      </w:pPr>
      <w:r>
        <w:tab/>
      </w:r>
      <w:r w:rsidR="007F486E">
        <w:t>Finally, we</w:t>
      </w:r>
      <w:r>
        <w:t xml:space="preserve"> conclude </w:t>
      </w:r>
      <w:r w:rsidR="00B413FF">
        <w:t xml:space="preserve">there was insufficient evidence that </w:t>
      </w:r>
      <w:r w:rsidR="002F6ED9">
        <w:t>th</w:t>
      </w:r>
      <w:r w:rsidR="0012482C">
        <w:t xml:space="preserve">e movement to the large stall </w:t>
      </w:r>
      <w:r w:rsidR="003F4C39">
        <w:t>enhance</w:t>
      </w:r>
      <w:r w:rsidR="00B413FF">
        <w:t>d</w:t>
      </w:r>
      <w:r w:rsidR="003F4C39">
        <w:t xml:space="preserve"> Waqa’s “opportunity</w:t>
      </w:r>
      <w:r w:rsidR="00D02321">
        <w:t xml:space="preserve"> to commit </w:t>
      </w:r>
      <w:r w:rsidR="009A6BFD">
        <w:t xml:space="preserve">additional </w:t>
      </w:r>
      <w:r w:rsidR="00D02321">
        <w:t>crimes”</w:t>
      </w:r>
      <w:r w:rsidR="00B867B3">
        <w:t xml:space="preserve"> such that </w:t>
      </w:r>
      <w:r w:rsidR="007C05B1">
        <w:t>it</w:t>
      </w:r>
      <w:r w:rsidR="00B867B3">
        <w:t xml:space="preserve"> substantially increased the risk of harm to Doe.</w:t>
      </w:r>
      <w:r w:rsidR="007C05B1">
        <w:t xml:space="preserve">  </w:t>
      </w:r>
      <w:r w:rsidR="003F0F89">
        <w:t>(</w:t>
      </w:r>
      <w:r w:rsidR="003F0F89">
        <w:rPr>
          <w:i/>
          <w:iCs/>
        </w:rPr>
        <w:t>Perkins</w:t>
      </w:r>
      <w:r w:rsidR="003F0F89">
        <w:t xml:space="preserve">, </w:t>
      </w:r>
      <w:r w:rsidR="003F0F89">
        <w:rPr>
          <w:i/>
          <w:iCs/>
        </w:rPr>
        <w:t>supra</w:t>
      </w:r>
      <w:r w:rsidR="003F0F89">
        <w:t>, 5</w:t>
      </w:r>
      <w:r w:rsidR="00B413FF">
        <w:t> </w:t>
      </w:r>
      <w:r w:rsidR="003F0F89">
        <w:t>Cal.App.5th at p.</w:t>
      </w:r>
      <w:r w:rsidR="000A67C0">
        <w:t> </w:t>
      </w:r>
      <w:r w:rsidR="003F0F89">
        <w:t xml:space="preserve">470.)  </w:t>
      </w:r>
      <w:r w:rsidR="005313F9">
        <w:t xml:space="preserve">The Attorney General claims that “having the larger space could have allowed [Waqa] to, for example, orally copulate the victim, which he would not have been able to accomplish in the smaller stall.” </w:t>
      </w:r>
      <w:r w:rsidR="00142BCC">
        <w:t xml:space="preserve"> </w:t>
      </w:r>
      <w:r w:rsidR="008C29A8">
        <w:t xml:space="preserve">Although we </w:t>
      </w:r>
      <w:r w:rsidR="0043376E">
        <w:t>disagree</w:t>
      </w:r>
      <w:r w:rsidR="008C29A8">
        <w:t xml:space="preserve"> with Waqa that </w:t>
      </w:r>
      <w:r w:rsidR="00C9503F">
        <w:t xml:space="preserve">this factor is not met because there was no </w:t>
      </w:r>
      <w:r w:rsidR="002E6A82">
        <w:t xml:space="preserve">evidence he intended to commit such a crime, </w:t>
      </w:r>
      <w:r w:rsidR="009E10C5">
        <w:t>there i</w:t>
      </w:r>
      <w:r w:rsidR="00647C3D">
        <w:t xml:space="preserve">s no substantial evidence that </w:t>
      </w:r>
      <w:r w:rsidR="0044705D">
        <w:t xml:space="preserve">he would have been unable to orally copulate Doe or accomplish </w:t>
      </w:r>
      <w:r w:rsidR="00556742">
        <w:t>“whatever crime he wanted” in the small stall</w:t>
      </w:r>
      <w:r w:rsidR="00EA7A96">
        <w:t>.</w:t>
      </w:r>
      <w:r w:rsidR="00A121B1">
        <w:t xml:space="preserve">  (</w:t>
      </w:r>
      <w:r w:rsidR="007C05B1">
        <w:rPr>
          <w:i/>
          <w:iCs/>
        </w:rPr>
        <w:t>Ibid.</w:t>
      </w:r>
      <w:r w:rsidR="00A121B1">
        <w:t xml:space="preserve">)  </w:t>
      </w:r>
      <w:r w:rsidR="00430FCB">
        <w:t xml:space="preserve">It may have been </w:t>
      </w:r>
      <w:r w:rsidR="00F536D3">
        <w:t xml:space="preserve">easier </w:t>
      </w:r>
      <w:r w:rsidR="00294A23">
        <w:t xml:space="preserve">for him to </w:t>
      </w:r>
      <w:r w:rsidR="00737BA1">
        <w:t>sexually assault her</w:t>
      </w:r>
      <w:r w:rsidR="00294A23">
        <w:t xml:space="preserve"> in the larger space, but </w:t>
      </w:r>
      <w:r w:rsidR="00251F44">
        <w:t>either way he had</w:t>
      </w:r>
      <w:r w:rsidR="00CD2029">
        <w:t xml:space="preserve"> essentially the same</w:t>
      </w:r>
      <w:r w:rsidR="00251F44">
        <w:t xml:space="preserve"> </w:t>
      </w:r>
      <w:r w:rsidR="000158F2">
        <w:t xml:space="preserve">opportunity to commit </w:t>
      </w:r>
      <w:r w:rsidR="00364945">
        <w:t xml:space="preserve">other crimes, particularly </w:t>
      </w:r>
      <w:r w:rsidR="002C1F9A">
        <w:t>since</w:t>
      </w:r>
      <w:r w:rsidR="00364945">
        <w:t xml:space="preserve"> </w:t>
      </w:r>
      <w:r w:rsidR="00361A77">
        <w:t xml:space="preserve">the two stalls did not significantly differ </w:t>
      </w:r>
      <w:r w:rsidR="00757BD8">
        <w:t>in the opportunities they afforded for detection or escape</w:t>
      </w:r>
      <w:r w:rsidR="00364945">
        <w:t>.</w:t>
      </w:r>
    </w:p>
    <w:p w:rsidR="00036A40" w:rsidP="004C332E" w14:paraId="46B0999C" w14:textId="7081FDEF">
      <w:pPr>
        <w:spacing w:line="240" w:lineRule="auto"/>
      </w:pPr>
      <w:r>
        <w:tab/>
      </w:r>
      <w:r>
        <w:tab/>
        <w:t>3.</w:t>
      </w:r>
      <w:r>
        <w:tab/>
      </w:r>
      <w:r w:rsidR="00FF219D">
        <w:t>There was sufficient evidence of simple kidnapping.</w:t>
      </w:r>
      <w:r w:rsidR="00606785">
        <w:tab/>
      </w:r>
    </w:p>
    <w:p w:rsidR="004C332E" w:rsidRPr="00245673" w:rsidP="00D84B6A" w14:paraId="4A8809ED" w14:textId="7EB05E0C">
      <w:pPr>
        <w:pStyle w:val="FootnoteText"/>
        <w:spacing w:before="180" w:line="360" w:lineRule="auto"/>
        <w:ind w:firstLine="720"/>
      </w:pPr>
      <w:r>
        <w:t xml:space="preserve">Having concluded there was insufficient evidence of the second prong of the aggravated </w:t>
      </w:r>
      <w:r w:rsidRPr="00245673">
        <w:t xml:space="preserve">kidnapping circumstance’s asportation element, we turn to </w:t>
      </w:r>
      <w:r w:rsidRPr="00245673" w:rsidR="005C4D16">
        <w:t>consider the evidence supporting the first prong</w:t>
      </w:r>
      <w:r w:rsidRPr="00245673">
        <w:t xml:space="preserve">.  </w:t>
      </w:r>
      <w:r w:rsidRPr="00245673" w:rsidR="00D51061">
        <w:t xml:space="preserve">Again, </w:t>
      </w:r>
      <w:r w:rsidRPr="00245673" w:rsidR="00716511">
        <w:t>t</w:t>
      </w:r>
      <w:r w:rsidRPr="00245673" w:rsidR="00D51061">
        <w:t xml:space="preserve">his </w:t>
      </w:r>
      <w:r w:rsidRPr="00245673" w:rsidR="00C05D08">
        <w:t>pron</w:t>
      </w:r>
      <w:r w:rsidRPr="00245673" w:rsidR="00716511">
        <w:t xml:space="preserve">g, like </w:t>
      </w:r>
      <w:r w:rsidRPr="00245673" w:rsidR="00094008">
        <w:t>a c</w:t>
      </w:r>
      <w:r w:rsidRPr="00245673" w:rsidR="00946EFE">
        <w:t xml:space="preserve">onviction </w:t>
      </w:r>
      <w:r w:rsidRPr="00245673" w:rsidR="00094008">
        <w:t>of simple kidnapping</w:t>
      </w:r>
      <w:r w:rsidRPr="00245673" w:rsidR="00716511">
        <w:t>,</w:t>
      </w:r>
      <w:r w:rsidRPr="00245673" w:rsidR="00094008">
        <w:t xml:space="preserve"> </w:t>
      </w:r>
      <w:r w:rsidRPr="00245673">
        <w:t>require</w:t>
      </w:r>
      <w:r w:rsidRPr="00245673" w:rsidR="00716511">
        <w:t>s</w:t>
      </w:r>
      <w:r w:rsidRPr="00245673">
        <w:t xml:space="preserve"> </w:t>
      </w:r>
      <w:r w:rsidRPr="00245673" w:rsidR="00094008">
        <w:t xml:space="preserve">evidence that </w:t>
      </w:r>
      <w:r w:rsidRPr="00245673" w:rsidR="00C05D08">
        <w:t>the movement was</w:t>
      </w:r>
      <w:r w:rsidR="009A5513">
        <w:t xml:space="preserve"> of a</w:t>
      </w:r>
      <w:r w:rsidRPr="00245673" w:rsidR="00C05D08">
        <w:t xml:space="preserve"> substantial</w:t>
      </w:r>
      <w:r w:rsidR="009A5513">
        <w:t xml:space="preserve"> distance</w:t>
      </w:r>
      <w:r w:rsidRPr="00245673" w:rsidR="00716511">
        <w:t>,</w:t>
      </w:r>
      <w:r w:rsidRPr="00245673" w:rsidR="00C05D08">
        <w:t xml:space="preserve"> </w:t>
      </w:r>
      <w:r w:rsidRPr="00245673" w:rsidR="00716511">
        <w:t>as well as that the movement</w:t>
      </w:r>
      <w:r w:rsidRPr="00245673" w:rsidR="00C05D08">
        <w:t xml:space="preserve"> </w:t>
      </w:r>
      <w:r w:rsidR="00152DD4">
        <w:t xml:space="preserve">was </w:t>
      </w:r>
      <w:r w:rsidRPr="00245673" w:rsidR="00C05D08">
        <w:t>not merely incidental to the sexual offense</w:t>
      </w:r>
      <w:r w:rsidRPr="00245673" w:rsidR="00094008">
        <w:t xml:space="preserve">. </w:t>
      </w:r>
      <w:r w:rsidRPr="00245673" w:rsidR="00946EFE">
        <w:t xml:space="preserve"> </w:t>
      </w:r>
      <w:r w:rsidRPr="00245673" w:rsidR="00E865BB">
        <w:t>(</w:t>
      </w:r>
      <w:r w:rsidRPr="00245673" w:rsidR="0020436C">
        <w:rPr>
          <w:i/>
          <w:iCs/>
        </w:rPr>
        <w:t>Martinez</w:t>
      </w:r>
      <w:r w:rsidRPr="00245673" w:rsidR="0020436C">
        <w:t xml:space="preserve">, </w:t>
      </w:r>
      <w:r w:rsidRPr="00245673" w:rsidR="0020436C">
        <w:rPr>
          <w:i/>
          <w:iCs/>
        </w:rPr>
        <w:t>supra</w:t>
      </w:r>
      <w:r w:rsidRPr="00245673" w:rsidR="0020436C">
        <w:t>, 20 Cal.4th at p.</w:t>
      </w:r>
      <w:r w:rsidRPr="00245673" w:rsidR="000A67C0">
        <w:t> </w:t>
      </w:r>
      <w:r w:rsidRPr="00245673" w:rsidR="0020436C">
        <w:t xml:space="preserve">237; </w:t>
      </w:r>
      <w:r w:rsidRPr="00245673" w:rsidR="004E5C34">
        <w:rPr>
          <w:i/>
          <w:iCs/>
        </w:rPr>
        <w:t>Perkins</w:t>
      </w:r>
      <w:r w:rsidRPr="00245673" w:rsidR="004E5C34">
        <w:t xml:space="preserve">, </w:t>
      </w:r>
      <w:r w:rsidRPr="00245673" w:rsidR="004E5C34">
        <w:rPr>
          <w:i/>
          <w:iCs/>
        </w:rPr>
        <w:t>supra</w:t>
      </w:r>
      <w:r w:rsidRPr="00245673" w:rsidR="004E5C34">
        <w:t>, 5</w:t>
      </w:r>
      <w:r w:rsidRPr="00245673" w:rsidR="005F1A7B">
        <w:t> </w:t>
      </w:r>
      <w:r w:rsidRPr="00245673" w:rsidR="004E5C34">
        <w:t>Cal.App.5th at p</w:t>
      </w:r>
      <w:r w:rsidRPr="00245673" w:rsidR="005F1A7B">
        <w:t>p</w:t>
      </w:r>
      <w:r w:rsidRPr="00245673" w:rsidR="004E5C34">
        <w:t>. </w:t>
      </w:r>
      <w:r w:rsidRPr="00245673" w:rsidR="005F1A7B">
        <w:t>465–</w:t>
      </w:r>
      <w:r w:rsidRPr="00245673" w:rsidR="004E5C34">
        <w:t>466</w:t>
      </w:r>
      <w:r w:rsidRPr="00245673" w:rsidR="00B03C41">
        <w:t xml:space="preserve">.)  </w:t>
      </w:r>
      <w:r w:rsidRPr="00245673" w:rsidR="00D51061">
        <w:t xml:space="preserve">In evaluating </w:t>
      </w:r>
      <w:r w:rsidRPr="00245673" w:rsidR="005C4D16">
        <w:t xml:space="preserve">whether </w:t>
      </w:r>
      <w:r w:rsidRPr="00245673" w:rsidR="00094008">
        <w:t xml:space="preserve">the </w:t>
      </w:r>
      <w:r w:rsidRPr="00245673" w:rsidR="005C4D16">
        <w:t xml:space="preserve">movement was substantial, </w:t>
      </w:r>
      <w:r w:rsidRPr="00245673" w:rsidR="00B03C41">
        <w:t>“</w:t>
      </w:r>
      <w:r w:rsidRPr="00245673" w:rsidR="00AB4309">
        <w:t>the jury considers the ‘scope and nature’ of the movement, which includes the actual distance a victim is moved.”  (</w:t>
      </w:r>
      <w:r w:rsidRPr="00245673" w:rsidR="00AB4309">
        <w:rPr>
          <w:i/>
          <w:iCs/>
        </w:rPr>
        <w:t>Vines</w:t>
      </w:r>
      <w:r w:rsidRPr="00245673" w:rsidR="00AB4309">
        <w:t xml:space="preserve">, </w:t>
      </w:r>
      <w:r w:rsidRPr="00245673" w:rsidR="00AB4309">
        <w:rPr>
          <w:i/>
          <w:iCs/>
        </w:rPr>
        <w:t>supra</w:t>
      </w:r>
      <w:r w:rsidRPr="00245673" w:rsidR="00AB4309">
        <w:t>, 51 Cal.4th at p.</w:t>
      </w:r>
      <w:r w:rsidRPr="00245673" w:rsidR="004D0396">
        <w:t> </w:t>
      </w:r>
      <w:r w:rsidRPr="00245673" w:rsidR="00AB4309">
        <w:t>870.)</w:t>
      </w:r>
      <w:r w:rsidRPr="00245673" w:rsidR="00B03C41">
        <w:t xml:space="preserve">  The factors</w:t>
      </w:r>
      <w:r w:rsidRPr="00245673" w:rsidR="000A5A4C">
        <w:t xml:space="preserve"> </w:t>
      </w:r>
      <w:r w:rsidRPr="00245673" w:rsidR="00946EFE">
        <w:t xml:space="preserve">that bear on </w:t>
      </w:r>
      <w:r w:rsidRPr="00245673" w:rsidR="000B28D2">
        <w:t>whether a movement increase</w:t>
      </w:r>
      <w:r w:rsidRPr="00245673" w:rsidR="00716511">
        <w:t>d</w:t>
      </w:r>
      <w:r w:rsidRPr="00245673" w:rsidR="000B28D2">
        <w:t xml:space="preserve"> the </w:t>
      </w:r>
      <w:r w:rsidRPr="00245673" w:rsidR="00DC079B">
        <w:t xml:space="preserve">victim’s </w:t>
      </w:r>
      <w:r w:rsidRPr="00245673" w:rsidR="000B28D2">
        <w:t>risk of harm</w:t>
      </w:r>
      <w:r w:rsidRPr="00245673" w:rsidR="000C6DE2">
        <w:t xml:space="preserve"> </w:t>
      </w:r>
      <w:r w:rsidRPr="00245673" w:rsidR="000B28D2">
        <w:t xml:space="preserve">also bear on whether </w:t>
      </w:r>
      <w:r w:rsidRPr="00245673" w:rsidR="00D66DB3">
        <w:t xml:space="preserve">the movement </w:t>
      </w:r>
      <w:r w:rsidRPr="00245673" w:rsidR="00716511">
        <w:t>was</w:t>
      </w:r>
      <w:r w:rsidRPr="00245673" w:rsidR="00D66DB3">
        <w:t xml:space="preserve"> substantial.  (</w:t>
      </w:r>
      <w:r w:rsidRPr="00245673" w:rsidR="00D66DB3">
        <w:rPr>
          <w:i/>
          <w:iCs/>
        </w:rPr>
        <w:t>Martinez</w:t>
      </w:r>
      <w:r w:rsidRPr="00245673" w:rsidR="00D66DB3">
        <w:t>,</w:t>
      </w:r>
      <w:r w:rsidRPr="00245673" w:rsidR="00A76158">
        <w:t xml:space="preserve"> at </w:t>
      </w:r>
      <w:r w:rsidRPr="00245673" w:rsidR="00D66DB3">
        <w:t>pp. 235–237</w:t>
      </w:r>
      <w:r w:rsidRPr="00245673" w:rsidR="00A76158">
        <w:t>.)</w:t>
      </w:r>
      <w:r w:rsidRPr="00245673" w:rsidR="00D66DB3">
        <w:t xml:space="preserve"> </w:t>
      </w:r>
    </w:p>
    <w:p w:rsidR="007B42D2" w:rsidP="00CD5435" w14:paraId="128C328E" w14:textId="50D90418">
      <w:pPr>
        <w:spacing w:line="360" w:lineRule="auto"/>
      </w:pPr>
      <w:r w:rsidRPr="00245673">
        <w:tab/>
      </w:r>
      <w:r w:rsidRPr="00245673" w:rsidR="00095FAB">
        <w:t>The</w:t>
      </w:r>
      <w:r w:rsidRPr="00245673" w:rsidR="000A6297">
        <w:t xml:space="preserve"> </w:t>
      </w:r>
      <w:r w:rsidRPr="00245673" w:rsidR="00FF3A87">
        <w:t xml:space="preserve">parties agree that the </w:t>
      </w:r>
      <w:r w:rsidRPr="00245673" w:rsidR="000A6297">
        <w:t>actual distance Doe was moved</w:t>
      </w:r>
      <w:r w:rsidRPr="00245673" w:rsidR="00FF3A87">
        <w:t xml:space="preserve"> </w:t>
      </w:r>
      <w:r w:rsidRPr="00245673" w:rsidR="000A6297">
        <w:t xml:space="preserve">was approximately </w:t>
      </w:r>
      <w:r w:rsidRPr="00245673" w:rsidR="0091473D">
        <w:t xml:space="preserve">eight to ten </w:t>
      </w:r>
      <w:r w:rsidRPr="00245673" w:rsidR="000A6297">
        <w:t>feet</w:t>
      </w:r>
      <w:r w:rsidRPr="00245673" w:rsidR="00FF3A87">
        <w:t xml:space="preserve">. </w:t>
      </w:r>
      <w:r w:rsidRPr="00245673" w:rsidR="000A6297">
        <w:t xml:space="preserve"> </w:t>
      </w:r>
      <w:r w:rsidRPr="00245673" w:rsidR="003D4001">
        <w:t xml:space="preserve">Although </w:t>
      </w:r>
      <w:r w:rsidRPr="00245673" w:rsidR="00171644">
        <w:t xml:space="preserve">this is </w:t>
      </w:r>
      <w:r w:rsidRPr="00245673" w:rsidR="000D6CCB">
        <w:t>relatively short, no minimum distance is required</w:t>
      </w:r>
      <w:r w:rsidRPr="00245673" w:rsidR="006A3D2F">
        <w:t xml:space="preserve"> (</w:t>
      </w:r>
      <w:r w:rsidRPr="00245673" w:rsidR="006A3D2F">
        <w:rPr>
          <w:i/>
          <w:iCs/>
        </w:rPr>
        <w:t>Dominguez</w:t>
      </w:r>
      <w:r w:rsidRPr="00245673" w:rsidR="006A3D2F">
        <w:t>,</w:t>
      </w:r>
      <w:r w:rsidR="006A3D2F">
        <w:t xml:space="preserve"> </w:t>
      </w:r>
      <w:r w:rsidR="006A3D2F">
        <w:rPr>
          <w:i/>
          <w:iCs/>
        </w:rPr>
        <w:t>supra</w:t>
      </w:r>
      <w:r w:rsidR="006A3D2F">
        <w:t>,</w:t>
      </w:r>
      <w:r w:rsidR="006A3D2F">
        <w:rPr>
          <w:i/>
          <w:iCs/>
        </w:rPr>
        <w:t xml:space="preserve"> </w:t>
      </w:r>
      <w:r w:rsidR="006A3D2F">
        <w:t>39 Cal.4th at p. 1152)</w:t>
      </w:r>
      <w:r w:rsidR="00171644">
        <w:t xml:space="preserve">, and similar distances have </w:t>
      </w:r>
      <w:r w:rsidR="00507983">
        <w:t>been found sufficient</w:t>
      </w:r>
      <w:r w:rsidR="00CF5EE6">
        <w:t xml:space="preserve">.  (See, e.g., </w:t>
      </w:r>
      <w:r w:rsidR="00CF5EE6">
        <w:rPr>
          <w:i/>
          <w:iCs/>
        </w:rPr>
        <w:t>People v. Singh</w:t>
      </w:r>
      <w:r w:rsidR="00CF5EE6">
        <w:t xml:space="preserve">, </w:t>
      </w:r>
      <w:r w:rsidR="00CF5EE6">
        <w:rPr>
          <w:i/>
          <w:iCs/>
        </w:rPr>
        <w:t>supra</w:t>
      </w:r>
      <w:r w:rsidR="00CF5EE6">
        <w:t>,</w:t>
      </w:r>
      <w:r w:rsidR="00CF5EE6">
        <w:rPr>
          <w:i/>
          <w:iCs/>
        </w:rPr>
        <w:t xml:space="preserve"> </w:t>
      </w:r>
      <w:r w:rsidR="00CF5EE6">
        <w:t>42</w:t>
      </w:r>
      <w:r w:rsidR="004D0396">
        <w:t> </w:t>
      </w:r>
      <w:r w:rsidR="00CF5EE6">
        <w:t xml:space="preserve">Cal.App.5th </w:t>
      </w:r>
      <w:r w:rsidR="00D95FBE">
        <w:t>at pp. </w:t>
      </w:r>
      <w:r w:rsidR="00CF5EE6">
        <w:t>187–188</w:t>
      </w:r>
      <w:r w:rsidR="00D95FBE">
        <w:t xml:space="preserve"> [10 feet]; </w:t>
      </w:r>
      <w:r w:rsidR="003A2128">
        <w:rPr>
          <w:i/>
          <w:iCs/>
        </w:rPr>
        <w:t xml:space="preserve">People v. Corcoran </w:t>
      </w:r>
      <w:r w:rsidR="003A2128">
        <w:t>(2006) 143</w:t>
      </w:r>
      <w:r w:rsidR="00DE33C0">
        <w:t> </w:t>
      </w:r>
      <w:r w:rsidR="003A2128">
        <w:t>Cal.App.4th 272,</w:t>
      </w:r>
      <w:r w:rsidR="007E2B4F">
        <w:t xml:space="preserve"> 278–279 [same];</w:t>
      </w:r>
      <w:r w:rsidR="003A2128">
        <w:t xml:space="preserve"> </w:t>
      </w:r>
      <w:r w:rsidR="00FD62F0">
        <w:rPr>
          <w:i/>
          <w:iCs/>
        </w:rPr>
        <w:t>Shadden</w:t>
      </w:r>
      <w:r w:rsidR="00FD62F0">
        <w:t xml:space="preserve">, </w:t>
      </w:r>
      <w:r w:rsidR="00FD62F0">
        <w:rPr>
          <w:i/>
          <w:iCs/>
        </w:rPr>
        <w:t>supra</w:t>
      </w:r>
      <w:r w:rsidR="003778AB">
        <w:t>, 93</w:t>
      </w:r>
      <w:r w:rsidR="00D46F13">
        <w:t> </w:t>
      </w:r>
      <w:r w:rsidR="003778AB">
        <w:t>Cal.App.4th at p.</w:t>
      </w:r>
      <w:r w:rsidR="00DE33C0">
        <w:t> </w:t>
      </w:r>
      <w:r w:rsidR="003778AB">
        <w:t>167 [nine feet]</w:t>
      </w:r>
      <w:r w:rsidR="00DE33C0">
        <w:t>.)</w:t>
      </w:r>
      <w:r w:rsidR="00CA73E8">
        <w:t xml:space="preserve">  </w:t>
      </w:r>
      <w:r w:rsidR="00B47FC2">
        <w:t xml:space="preserve">And </w:t>
      </w:r>
      <w:r w:rsidR="00DC079B">
        <w:t xml:space="preserve">while the </w:t>
      </w:r>
      <w:r w:rsidR="005B2442">
        <w:t xml:space="preserve">evidence </w:t>
      </w:r>
      <w:r w:rsidR="00DC079B">
        <w:t xml:space="preserve">bearing on the </w:t>
      </w:r>
      <w:r w:rsidR="00B47FC2">
        <w:t>factors already discussed</w:t>
      </w:r>
      <w:r w:rsidR="00DC079B">
        <w:t xml:space="preserve">—such as whether the movement </w:t>
      </w:r>
      <w:r w:rsidR="00B47FC2">
        <w:t xml:space="preserve">decreased </w:t>
      </w:r>
      <w:r w:rsidR="00DC079B">
        <w:t xml:space="preserve">the </w:t>
      </w:r>
      <w:r w:rsidR="00B47FC2">
        <w:t xml:space="preserve">likelihood of </w:t>
      </w:r>
      <w:r w:rsidRPr="00245673" w:rsidR="00B47FC2">
        <w:t xml:space="preserve">detection </w:t>
      </w:r>
      <w:r w:rsidRPr="00245673" w:rsidR="005B2442">
        <w:t xml:space="preserve">and increased </w:t>
      </w:r>
      <w:r w:rsidRPr="00245673" w:rsidR="00784180">
        <w:t xml:space="preserve">the </w:t>
      </w:r>
      <w:r w:rsidRPr="00245673" w:rsidR="005B2442">
        <w:t>opportunity to commit other crimes</w:t>
      </w:r>
      <w:r w:rsidRPr="00245673" w:rsidR="00DC079B">
        <w:t xml:space="preserve">—is not strong, it is </w:t>
      </w:r>
      <w:r w:rsidRPr="00245673" w:rsidR="0091473D">
        <w:t>sufficient</w:t>
      </w:r>
      <w:r w:rsidRPr="00245673" w:rsidR="00E1610E">
        <w:t>.</w:t>
      </w:r>
      <w:r w:rsidRPr="00245673" w:rsidR="00341097">
        <w:t xml:space="preserve">  A reasonable juror could conclude that </w:t>
      </w:r>
      <w:r w:rsidRPr="00245673" w:rsidR="00610CFE">
        <w:t xml:space="preserve">dragging Doe from </w:t>
      </w:r>
      <w:r w:rsidRPr="00245673" w:rsidR="005D4484">
        <w:t xml:space="preserve">the small stall to the large stall </w:t>
      </w:r>
      <w:r w:rsidRPr="00245673" w:rsidR="007872F9">
        <w:t xml:space="preserve">was </w:t>
      </w:r>
      <w:r w:rsidRPr="00245673" w:rsidR="0069311F">
        <w:t xml:space="preserve">movement of a </w:t>
      </w:r>
      <w:r w:rsidRPr="00245673" w:rsidR="005D30FE">
        <w:t xml:space="preserve">substantial distance </w:t>
      </w:r>
      <w:r w:rsidRPr="00245673" w:rsidR="007872F9">
        <w:t xml:space="preserve">because it </w:t>
      </w:r>
      <w:r w:rsidRPr="00245673" w:rsidR="00AF255F">
        <w:t>took her farther</w:t>
      </w:r>
      <w:r w:rsidR="00AF255F">
        <w:t xml:space="preserve"> from the restroom’s exit and </w:t>
      </w:r>
      <w:r w:rsidR="007872F9">
        <w:t>gave Waqa more room to man</w:t>
      </w:r>
      <w:r w:rsidR="00AF255F">
        <w:t>euver</w:t>
      </w:r>
      <w:r w:rsidR="009C368E">
        <w:t>, fa</w:t>
      </w:r>
      <w:r w:rsidR="00BE3803">
        <w:t xml:space="preserve">cilitating the rape and </w:t>
      </w:r>
      <w:r w:rsidR="00BF25B8">
        <w:t>other potential crimes</w:t>
      </w:r>
      <w:r w:rsidR="00BE3803">
        <w:t xml:space="preserve">. </w:t>
      </w:r>
      <w:r w:rsidR="00EA70EB">
        <w:t xml:space="preserve"> </w:t>
      </w:r>
    </w:p>
    <w:p w:rsidR="00FF3A87" w:rsidP="00CD5435" w14:paraId="7AB1D0DD" w14:textId="286E6AD8">
      <w:pPr>
        <w:spacing w:line="360" w:lineRule="auto"/>
      </w:pPr>
      <w:r>
        <w:tab/>
        <w:t>Waqa argues tha</w:t>
      </w:r>
      <w:r w:rsidR="00832A73">
        <w:t xml:space="preserve">t the movement was </w:t>
      </w:r>
      <w:r w:rsidR="008C4C0E">
        <w:t>merely incidental to the rape</w:t>
      </w:r>
      <w:r w:rsidR="00B33EC2">
        <w:t xml:space="preserve"> because “[i]t did not have any purpose other than to provide [him with] more room to engage in the act of forced sexual intercourse</w:t>
      </w:r>
      <w:r w:rsidR="008C4C0E">
        <w:t>.</w:t>
      </w:r>
      <w:r w:rsidR="00B33EC2">
        <w:t>”</w:t>
      </w:r>
      <w:r w:rsidR="008C4C0E">
        <w:t xml:space="preserve"> </w:t>
      </w:r>
      <w:r w:rsidR="00A5481F">
        <w:t xml:space="preserve"> </w:t>
      </w:r>
      <w:r w:rsidR="007912F5">
        <w:t xml:space="preserve">Courts have struggled to articulate the meaning of “incidental” in this context, and </w:t>
      </w:r>
      <w:r w:rsidR="005D30FE">
        <w:t>the concept</w:t>
      </w:r>
      <w:r w:rsidR="007912F5">
        <w:t xml:space="preserve"> is “difficult to capture in a simple verbal formulation that would apply to all cases.”  (</w:t>
      </w:r>
      <w:r w:rsidR="007912F5">
        <w:rPr>
          <w:i/>
          <w:iCs/>
        </w:rPr>
        <w:t>Dominguez</w:t>
      </w:r>
      <w:r w:rsidR="007912F5">
        <w:t xml:space="preserve">, </w:t>
      </w:r>
      <w:r w:rsidR="007912F5">
        <w:rPr>
          <w:i/>
          <w:iCs/>
        </w:rPr>
        <w:t>supra</w:t>
      </w:r>
      <w:r w:rsidR="007912F5">
        <w:t>, 39 Cal.4th at p.</w:t>
      </w:r>
      <w:r w:rsidR="004D0396">
        <w:t> </w:t>
      </w:r>
      <w:r w:rsidR="007912F5">
        <w:t xml:space="preserve">1151.)  </w:t>
      </w:r>
      <w:r w:rsidR="00DC079B">
        <w:t xml:space="preserve">What is clear, however, is that the </w:t>
      </w:r>
      <w:r w:rsidR="007912F5">
        <w:t xml:space="preserve">relevant </w:t>
      </w:r>
      <w:r w:rsidR="00CC5995">
        <w:t>focus is on “</w:t>
      </w:r>
      <w:r w:rsidR="004D0396">
        <w:t> </w:t>
      </w:r>
      <w:r w:rsidR="00CC5995">
        <w:t>‘the “scope and nature” of the movement,’ as well as ‘the context of the environment in which the movement occurred,’</w:t>
      </w:r>
      <w:r w:rsidR="004D0396">
        <w:t> </w:t>
      </w:r>
      <w:r w:rsidR="00CC5995">
        <w:t>” not the defendant’s purpose for moving the victim.  (</w:t>
      </w:r>
      <w:r w:rsidR="007912F5">
        <w:rPr>
          <w:i/>
          <w:iCs/>
        </w:rPr>
        <w:t>Id.</w:t>
      </w:r>
      <w:r w:rsidR="00317780">
        <w:t xml:space="preserve"> </w:t>
      </w:r>
      <w:r w:rsidR="00CC5995">
        <w:t>at pp.</w:t>
      </w:r>
      <w:r w:rsidR="005D30FE">
        <w:t> </w:t>
      </w:r>
      <w:r w:rsidR="00CC5995">
        <w:t>1151–1152, italics omitted;</w:t>
      </w:r>
      <w:r w:rsidR="00CC5995">
        <w:rPr>
          <w:i/>
          <w:iCs/>
        </w:rPr>
        <w:t xml:space="preserve"> In re Earley </w:t>
      </w:r>
      <w:r w:rsidR="00CC5995">
        <w:t xml:space="preserve">(1975) 14 Cal.3d 122, 130; </w:t>
      </w:r>
      <w:r w:rsidR="00CC5995">
        <w:rPr>
          <w:i/>
          <w:iCs/>
        </w:rPr>
        <w:t>People</w:t>
      </w:r>
      <w:r w:rsidR="001522F1">
        <w:rPr>
          <w:i/>
          <w:iCs/>
        </w:rPr>
        <w:t> </w:t>
      </w:r>
      <w:r w:rsidR="00CC5995">
        <w:rPr>
          <w:i/>
          <w:iCs/>
        </w:rPr>
        <w:t>v. Aguilar</w:t>
      </w:r>
      <w:r w:rsidR="00CC5995">
        <w:t xml:space="preserve"> (2004) 120</w:t>
      </w:r>
      <w:r w:rsidR="001522F1">
        <w:t> </w:t>
      </w:r>
      <w:r w:rsidR="00CC5995">
        <w:t>Cal.App.4th 1044, 1052.)</w:t>
      </w:r>
      <w:r w:rsidR="007912F5">
        <w:t xml:space="preserve">  </w:t>
      </w:r>
      <w:r w:rsidR="00C47664">
        <w:t>“Standing alone, the fact that the movement of a</w:t>
      </w:r>
      <w:r w:rsidR="00324D38">
        <w:t xml:space="preserve"> .</w:t>
      </w:r>
      <w:r w:rsidR="00977FBF">
        <w:t> </w:t>
      </w:r>
      <w:r w:rsidR="00324D38">
        <w:t>.</w:t>
      </w:r>
      <w:r w:rsidR="00977FBF">
        <w:t> </w:t>
      </w:r>
      <w:r w:rsidR="00324D38">
        <w:t xml:space="preserve">. victim </w:t>
      </w:r>
      <w:r w:rsidR="00324D38">
        <w:rPr>
          <w:i/>
          <w:iCs/>
        </w:rPr>
        <w:t>facilitates</w:t>
      </w:r>
      <w:r w:rsidR="00324D38">
        <w:t xml:space="preserve"> [the associated crime] does not imply that the movement was merely incidental to [that crime]</w:t>
      </w:r>
      <w:r w:rsidR="000C69E1">
        <w:t>.</w:t>
      </w:r>
      <w:r w:rsidR="00324D38">
        <w:t>”</w:t>
      </w:r>
      <w:r w:rsidR="00255841">
        <w:t xml:space="preserve">  (</w:t>
      </w:r>
      <w:r w:rsidR="00C47664">
        <w:rPr>
          <w:i/>
          <w:iCs/>
        </w:rPr>
        <w:t>People</w:t>
      </w:r>
      <w:r w:rsidR="001522F1">
        <w:rPr>
          <w:i/>
          <w:iCs/>
        </w:rPr>
        <w:t> </w:t>
      </w:r>
      <w:r w:rsidR="00C47664">
        <w:rPr>
          <w:i/>
          <w:iCs/>
        </w:rPr>
        <w:t xml:space="preserve">v. James </w:t>
      </w:r>
      <w:r w:rsidR="00324D38">
        <w:t>(2007) 148</w:t>
      </w:r>
      <w:r w:rsidR="001522F1">
        <w:t> </w:t>
      </w:r>
      <w:r w:rsidR="00324D38">
        <w:t>Cal.App.4th 446, 454; s</w:t>
      </w:r>
      <w:r w:rsidR="005D2A0E">
        <w:t xml:space="preserve">ee </w:t>
      </w:r>
      <w:r w:rsidR="005D2A0E">
        <w:rPr>
          <w:i/>
          <w:iCs/>
        </w:rPr>
        <w:t>Dominguez</w:t>
      </w:r>
      <w:r w:rsidR="005D2A0E">
        <w:t>, at pp.</w:t>
      </w:r>
      <w:r w:rsidR="001522F1">
        <w:t> </w:t>
      </w:r>
      <w:r w:rsidR="005D2A0E">
        <w:t>1151</w:t>
      </w:r>
      <w:r w:rsidR="00B93B75">
        <w:t>, 1153 [jury properly instructed that “</w:t>
      </w:r>
      <w:r w:rsidR="00050245">
        <w:t> </w:t>
      </w:r>
      <w:r w:rsidR="00023CC2">
        <w:t>‘</w:t>
      </w:r>
      <w:r w:rsidR="00B93B75">
        <w:t xml:space="preserve">movements to facilitate [a] rape that are for a substantial distance rather than brief [movements] </w:t>
      </w:r>
      <w:r w:rsidR="00C47552">
        <w:t>. . .</w:t>
      </w:r>
      <w:r w:rsidR="00B93B75">
        <w:t xml:space="preserve"> are not incidental to the commission of the rape</w:t>
      </w:r>
      <w:r w:rsidR="00023CC2">
        <w:t>’</w:t>
      </w:r>
      <w:r w:rsidR="00050245">
        <w:t> </w:t>
      </w:r>
      <w:r w:rsidR="00023CC2">
        <w:t>”].</w:t>
      </w:r>
      <w:r w:rsidR="00510655">
        <w:t>)</w:t>
      </w:r>
      <w:r w:rsidR="00F42509">
        <w:t xml:space="preserve">  </w:t>
      </w:r>
      <w:r w:rsidR="00DC079B">
        <w:t xml:space="preserve">The jury here could have reasonably inferred that the movement of Doe was </w:t>
      </w:r>
      <w:r w:rsidR="00C52A70">
        <w:t xml:space="preserve">of a </w:t>
      </w:r>
      <w:r w:rsidR="00DC079B">
        <w:t>substantial</w:t>
      </w:r>
      <w:r w:rsidR="00C52A70">
        <w:t xml:space="preserve"> distance</w:t>
      </w:r>
      <w:r w:rsidR="00DC079B">
        <w:t xml:space="preserve"> and thus not merely incidental to the rape, even if </w:t>
      </w:r>
      <w:r w:rsidR="003159A8">
        <w:t xml:space="preserve">Waqa moved </w:t>
      </w:r>
      <w:r w:rsidR="00DC079B">
        <w:t xml:space="preserve">her </w:t>
      </w:r>
      <w:r w:rsidR="003159A8">
        <w:t xml:space="preserve">primarily to </w:t>
      </w:r>
      <w:r w:rsidR="00114956">
        <w:t xml:space="preserve">facilitate the </w:t>
      </w:r>
      <w:r w:rsidR="00DC079B">
        <w:t>crime</w:t>
      </w:r>
      <w:r w:rsidR="000B7B2F">
        <w:t>.</w:t>
      </w:r>
    </w:p>
    <w:p w:rsidR="000B7B2F" w:rsidP="00CD5435" w14:paraId="4D514C12" w14:textId="016AB820">
      <w:pPr>
        <w:spacing w:line="360" w:lineRule="auto"/>
      </w:pPr>
      <w:r>
        <w:tab/>
      </w:r>
      <w:r w:rsidR="00547814">
        <w:t xml:space="preserve">That Waqa did not need to move Doe to rape her further supports the conclusion that the movement </w:t>
      </w:r>
      <w:r w:rsidR="00ED7400">
        <w:t>was not merely incidental</w:t>
      </w:r>
      <w:r w:rsidR="00547814">
        <w:t xml:space="preserve">.  </w:t>
      </w:r>
      <w:r w:rsidR="00F0126E">
        <w:t>“</w:t>
      </w:r>
      <w:r w:rsidR="00C24AF0">
        <w:t> </w:t>
      </w:r>
      <w:r w:rsidR="00F0126E">
        <w:t xml:space="preserve">‘[A] rape </w:t>
      </w:r>
      <w:r w:rsidR="00C47552">
        <w:t>. . .</w:t>
      </w:r>
      <w:r w:rsidR="00F0126E">
        <w:t xml:space="preserve"> does not necessarily require movement to complete the crime</w:t>
      </w:r>
      <w:r w:rsidR="00CB1DF0">
        <w:t>.</w:t>
      </w:r>
      <w:r w:rsidR="00E952F7">
        <w:t>’</w:t>
      </w:r>
      <w:r w:rsidR="00CB1DF0">
        <w:t xml:space="preserve">  [Citation.]  Where </w:t>
      </w:r>
      <w:r w:rsidR="008A2A44">
        <w:t>a defendant drags a victim to another place, and then attempts a rape, the jury may reasonably infer that the movement was neither part of nor necessary to the rape”</w:t>
      </w:r>
      <w:r w:rsidR="00547868">
        <w:t xml:space="preserve"> such that the </w:t>
      </w:r>
      <w:r w:rsidR="00CB1DF0">
        <w:t>movement was not incidental.</w:t>
      </w:r>
      <w:r w:rsidR="008A2A44">
        <w:t xml:space="preserve">  (</w:t>
      </w:r>
      <w:r w:rsidR="008A2A44">
        <w:rPr>
          <w:i/>
          <w:iCs/>
        </w:rPr>
        <w:t>Shadden</w:t>
      </w:r>
      <w:r w:rsidR="008A2A44">
        <w:t xml:space="preserve">, </w:t>
      </w:r>
      <w:r w:rsidR="008A2A44">
        <w:rPr>
          <w:i/>
          <w:iCs/>
        </w:rPr>
        <w:t>supra</w:t>
      </w:r>
      <w:r w:rsidR="008A2A44">
        <w:t xml:space="preserve">, </w:t>
      </w:r>
      <w:r w:rsidR="00406268">
        <w:t>93</w:t>
      </w:r>
      <w:r w:rsidR="00C24AF0">
        <w:t> </w:t>
      </w:r>
      <w:r w:rsidR="00406268">
        <w:t>Cal.App.4th at p.</w:t>
      </w:r>
      <w:r w:rsidR="00050245">
        <w:t> </w:t>
      </w:r>
      <w:r w:rsidR="00D43F31">
        <w:t>169</w:t>
      </w:r>
      <w:r w:rsidR="0021247D">
        <w:t xml:space="preserve">; see </w:t>
      </w:r>
      <w:r w:rsidR="0021247D">
        <w:rPr>
          <w:i/>
          <w:iCs/>
        </w:rPr>
        <w:t>People</w:t>
      </w:r>
      <w:r w:rsidR="00F00D13">
        <w:rPr>
          <w:i/>
          <w:iCs/>
        </w:rPr>
        <w:t> </w:t>
      </w:r>
      <w:r w:rsidR="0021247D">
        <w:rPr>
          <w:i/>
          <w:iCs/>
        </w:rPr>
        <w:t>v. Aguilar</w:t>
      </w:r>
      <w:r w:rsidR="0021247D">
        <w:t xml:space="preserve">, </w:t>
      </w:r>
      <w:r w:rsidR="0021247D">
        <w:rPr>
          <w:i/>
          <w:iCs/>
        </w:rPr>
        <w:t>supra</w:t>
      </w:r>
      <w:r w:rsidR="0021247D">
        <w:t>, 120 Cal.App.4th at pp.</w:t>
      </w:r>
      <w:r w:rsidR="00050245">
        <w:t> </w:t>
      </w:r>
      <w:r w:rsidR="005F0B64">
        <w:t>1050–10</w:t>
      </w:r>
      <w:r w:rsidR="003639B1">
        <w:t xml:space="preserve">52 [explaining why </w:t>
      </w:r>
      <w:r w:rsidR="00DE4BA3">
        <w:t>movement’s necessity to committing rape is relevant to whether movement was incidental to rape]</w:t>
      </w:r>
      <w:r w:rsidR="00D43F31">
        <w:t>.)</w:t>
      </w:r>
      <w:r w:rsidR="00A7565A">
        <w:t xml:space="preserve">  </w:t>
      </w:r>
      <w:r w:rsidR="00246EF3">
        <w:t xml:space="preserve">Here, there is no </w:t>
      </w:r>
      <w:r w:rsidR="004E1D5D">
        <w:t>dispute that Waqa could have raped Doe in the small stall</w:t>
      </w:r>
      <w:r w:rsidR="00003424">
        <w:t xml:space="preserve">.  </w:t>
      </w:r>
      <w:r w:rsidR="003D0940">
        <w:t>Thus</w:t>
      </w:r>
      <w:r w:rsidR="00BF43CB">
        <w:t>,</w:t>
      </w:r>
      <w:r w:rsidR="003D0940">
        <w:t xml:space="preserve"> even though the movement </w:t>
      </w:r>
      <w:r w:rsidR="00547814">
        <w:t>to the large</w:t>
      </w:r>
      <w:r w:rsidR="00280190">
        <w:t xml:space="preserve"> </w:t>
      </w:r>
      <w:r w:rsidR="00547814">
        <w:t xml:space="preserve">stall </w:t>
      </w:r>
      <w:r w:rsidR="003D0940">
        <w:t>facilitated the rape,</w:t>
      </w:r>
      <w:r w:rsidR="00BF43CB">
        <w:t xml:space="preserve"> </w:t>
      </w:r>
      <w:r w:rsidR="00A125CB">
        <w:t xml:space="preserve">there was substantial evidence that the movement was not merely incidental to </w:t>
      </w:r>
      <w:r w:rsidR="002F730B">
        <w:t>the crime</w:t>
      </w:r>
      <w:r w:rsidR="00A125CB">
        <w:t>.</w:t>
      </w:r>
    </w:p>
    <w:p w:rsidR="00FF219D" w:rsidP="00F00D13" w14:paraId="47F0FB06" w14:textId="3DA16E9B">
      <w:pPr>
        <w:keepNext/>
        <w:spacing w:line="360" w:lineRule="auto"/>
      </w:pPr>
      <w:r>
        <w:tab/>
      </w:r>
      <w:r>
        <w:tab/>
        <w:t>4.</w:t>
      </w:r>
      <w:r>
        <w:tab/>
      </w:r>
      <w:r w:rsidR="005B0E5E">
        <w:t>We</w:t>
      </w:r>
      <w:r w:rsidR="003B1309">
        <w:t xml:space="preserve"> may reduce Waqa’s sentence to 15 years to life.</w:t>
      </w:r>
    </w:p>
    <w:p w:rsidR="00BF43CB" w:rsidP="00F00D13" w14:paraId="65FB3B57" w14:textId="26F5F134">
      <w:pPr>
        <w:keepNext/>
        <w:spacing w:line="360" w:lineRule="auto"/>
      </w:pPr>
      <w:r>
        <w:tab/>
        <w:t xml:space="preserve">Having concluded that </w:t>
      </w:r>
      <w:r w:rsidR="005B09C8">
        <w:t xml:space="preserve">substantial evidence supports the kidnapping circumstance but </w:t>
      </w:r>
      <w:r>
        <w:t>insufficient evidence supports the aggravated kidnapping circumstance</w:t>
      </w:r>
      <w:r w:rsidR="00C332C7">
        <w:t xml:space="preserve">, we turn to </w:t>
      </w:r>
      <w:r w:rsidR="00D65F2B">
        <w:t>the appropriate disposition.</w:t>
      </w:r>
      <w:r w:rsidR="00344BC7">
        <w:t xml:space="preserve">  The question </w:t>
      </w:r>
      <w:r w:rsidR="00547814">
        <w:t xml:space="preserve">we must resolve </w:t>
      </w:r>
      <w:r w:rsidR="00344BC7">
        <w:t>is whether we may modify the judgment to reflect a 15-year-to-life sentence based on the kidnapping circumstance instead of reversing the aggravated kidnapping circumstance outright.  The Attorney General argues that we can, and Waqa argues that we cannot.</w:t>
      </w:r>
      <w:r w:rsidR="00D65F2B">
        <w:t xml:space="preserve"> </w:t>
      </w:r>
      <w:r w:rsidR="005B09C8">
        <w:t xml:space="preserve"> We agree with the Attorney General.</w:t>
      </w:r>
    </w:p>
    <w:p w:rsidR="00245053" w:rsidP="00CD5435" w14:paraId="726F2B36" w14:textId="201989E6">
      <w:pPr>
        <w:spacing w:line="360" w:lineRule="auto"/>
      </w:pPr>
      <w:r>
        <w:tab/>
      </w:r>
      <w:r w:rsidR="00F235C3">
        <w:t xml:space="preserve">To begin with, Waqa cannot be retried on the aggravated kidnapping circumstance.  </w:t>
      </w:r>
      <w:r w:rsidR="00AC7D00">
        <w:t>“</w:t>
      </w:r>
      <w:r w:rsidR="0060008F">
        <w:t> </w:t>
      </w:r>
      <w:r w:rsidR="00AC7D00">
        <w:t>‘The constitutional protection against doub</w:t>
      </w:r>
      <w:r w:rsidR="004C2079">
        <w:t xml:space="preserve">le jeopardy unequivocally prohibits a second trial’ </w:t>
      </w:r>
      <w:r w:rsidR="00632302">
        <w:t>. . .</w:t>
      </w:r>
      <w:r w:rsidR="004C2079">
        <w:t xml:space="preserve"> when a conviction is reversed or set aside because of </w:t>
      </w:r>
      <w:r w:rsidR="00E066D3">
        <w:t>insufficient evidence.”  (</w:t>
      </w:r>
      <w:r w:rsidR="00E066D3">
        <w:rPr>
          <w:i/>
          <w:iCs/>
        </w:rPr>
        <w:t>People</w:t>
      </w:r>
      <w:r w:rsidR="00BF3051">
        <w:rPr>
          <w:i/>
          <w:iCs/>
        </w:rPr>
        <w:t> </w:t>
      </w:r>
      <w:r w:rsidR="00E066D3">
        <w:rPr>
          <w:i/>
          <w:iCs/>
        </w:rPr>
        <w:t>v. Anderson</w:t>
      </w:r>
      <w:r w:rsidR="00E066D3">
        <w:t xml:space="preserve"> (2009) 47</w:t>
      </w:r>
      <w:r w:rsidR="00BF3051">
        <w:t> </w:t>
      </w:r>
      <w:r w:rsidR="00E066D3">
        <w:t>Cal.4th 92, 104.)</w:t>
      </w:r>
      <w:r w:rsidR="00371B94">
        <w:t xml:space="preserve">  This principle </w:t>
      </w:r>
      <w:r w:rsidR="00235288">
        <w:t>applies not just to convictions but</w:t>
      </w:r>
      <w:r w:rsidR="0004345E">
        <w:t xml:space="preserve"> also, “with the sole exception of facts relating to </w:t>
      </w:r>
      <w:r w:rsidR="00EB3787">
        <w:t xml:space="preserve">a </w:t>
      </w:r>
      <w:r w:rsidR="0004345E">
        <w:t>prior conviction, ‘</w:t>
      </w:r>
      <w:r w:rsidR="0004345E">
        <w:rPr>
          <w:i/>
          <w:iCs/>
        </w:rPr>
        <w:t>any</w:t>
      </w:r>
      <w:r w:rsidR="0004345E">
        <w:t xml:space="preserve"> fact that increases</w:t>
      </w:r>
      <w:r w:rsidR="005925C5">
        <w:t xml:space="preserve"> </w:t>
      </w:r>
      <w:r w:rsidR="004E2EB9">
        <w:t>the penalty for a crime beyond the prescribed statutory maximum.’</w:t>
      </w:r>
      <w:r w:rsidR="00186D78">
        <w:t> </w:t>
      </w:r>
      <w:r w:rsidR="004E2EB9">
        <w:t>”  (</w:t>
      </w:r>
      <w:r w:rsidR="004E2EB9">
        <w:rPr>
          <w:i/>
          <w:iCs/>
        </w:rPr>
        <w:t>Id.</w:t>
      </w:r>
      <w:r w:rsidR="004E2EB9">
        <w:t xml:space="preserve"> at pp.</w:t>
      </w:r>
      <w:r w:rsidR="00747E8A">
        <w:t> </w:t>
      </w:r>
      <w:r w:rsidR="004E2EB9">
        <w:t xml:space="preserve">105–107, quoting </w:t>
      </w:r>
      <w:r w:rsidR="004E2EB9">
        <w:rPr>
          <w:i/>
          <w:iCs/>
        </w:rPr>
        <w:t>Apprendi</w:t>
      </w:r>
      <w:r w:rsidR="000B73AE">
        <w:rPr>
          <w:i/>
          <w:iCs/>
        </w:rPr>
        <w:t> </w:t>
      </w:r>
      <w:r w:rsidR="004E2EB9">
        <w:rPr>
          <w:i/>
          <w:iCs/>
        </w:rPr>
        <w:t xml:space="preserve">v. New Jersey </w:t>
      </w:r>
      <w:r w:rsidR="004E2EB9">
        <w:t xml:space="preserve">(2000) 530 U.S. 466, 490.)  </w:t>
      </w:r>
      <w:r w:rsidR="00371B94">
        <w:t xml:space="preserve">Because </w:t>
      </w:r>
      <w:r w:rsidR="008B1D72">
        <w:t>“</w:t>
      </w:r>
      <w:r w:rsidR="00371B94">
        <w:t xml:space="preserve">a </w:t>
      </w:r>
      <w:r w:rsidR="008B1D72">
        <w:t>One Strike allegation exposes a defendant to greater punishment than would be authorized by a verdict on the offense alone</w:t>
      </w:r>
      <w:r w:rsidR="004E2EB9">
        <w:t>,</w:t>
      </w:r>
      <w:r w:rsidR="008B1D72">
        <w:t>”</w:t>
      </w:r>
      <w:r w:rsidR="004E2EB9">
        <w:t xml:space="preserve"> it is treated as “the functional </w:t>
      </w:r>
      <w:r w:rsidR="00520ABC">
        <w:t>equivalent of an element of a greater offense”</w:t>
      </w:r>
      <w:r w:rsidR="00F235C3">
        <w:t xml:space="preserve"> that cannot be retried after a reversal for insufficient evidence.  </w:t>
      </w:r>
      <w:r w:rsidR="00520ABC">
        <w:t>(</w:t>
      </w:r>
      <w:r w:rsidR="00520ABC">
        <w:rPr>
          <w:i/>
          <w:iCs/>
        </w:rPr>
        <w:t>Anderson</w:t>
      </w:r>
      <w:r w:rsidR="00520ABC">
        <w:t>, at pp.</w:t>
      </w:r>
      <w:r w:rsidR="000B73AE">
        <w:t> </w:t>
      </w:r>
      <w:r w:rsidR="00520ABC">
        <w:t>106–108</w:t>
      </w:r>
      <w:r w:rsidR="00D86D4F">
        <w:t xml:space="preserve">; </w:t>
      </w:r>
      <w:r w:rsidR="00D86D4F">
        <w:rPr>
          <w:i/>
          <w:iCs/>
        </w:rPr>
        <w:t xml:space="preserve">People v. Carbajal </w:t>
      </w:r>
      <w:r w:rsidR="00AE2946">
        <w:t xml:space="preserve">(2013) 56 Cal.4th 521, 534 [“double jeopardy principles </w:t>
      </w:r>
      <w:r w:rsidR="00632302">
        <w:t>. . .</w:t>
      </w:r>
      <w:r w:rsidR="00AE2946">
        <w:t xml:space="preserve"> apply to allegations under the One Strike law”]</w:t>
      </w:r>
      <w:r w:rsidR="00520ABC">
        <w:t>.)</w:t>
      </w:r>
    </w:p>
    <w:p w:rsidR="006C5A12" w:rsidP="00CD5435" w14:paraId="1F550AF0" w14:textId="68A33F64">
      <w:pPr>
        <w:spacing w:line="360" w:lineRule="auto"/>
      </w:pPr>
      <w:r>
        <w:tab/>
      </w:r>
      <w:r w:rsidR="00430E97">
        <w:t>Under section</w:t>
      </w:r>
      <w:r w:rsidR="005C0316">
        <w:t> </w:t>
      </w:r>
      <w:r w:rsidR="00430E97">
        <w:t xml:space="preserve">1260, </w:t>
      </w:r>
      <w:r w:rsidR="007E6DB2">
        <w:t xml:space="preserve">an appellate court “may reverse, affirm, or modify a judgment or order appealed from, or reduce the degree of the offense or attempted offense </w:t>
      </w:r>
      <w:r w:rsidRPr="00165175" w:rsidR="007E6DB2">
        <w:t>or the punishment imposed</w:t>
      </w:r>
      <w:r w:rsidR="00EB3787">
        <w:t>.</w:t>
      </w:r>
      <w:r w:rsidR="007E6DB2">
        <w:t>”</w:t>
      </w:r>
      <w:r w:rsidR="00165175">
        <w:t xml:space="preserve">  </w:t>
      </w:r>
      <w:r w:rsidR="007E6DB2">
        <w:t xml:space="preserve">This </w:t>
      </w:r>
      <w:r w:rsidR="003378B6">
        <w:t xml:space="preserve">statute authorizes a court to </w:t>
      </w:r>
      <w:r w:rsidR="00A83350">
        <w:t>“modify a verdict to reflect a conviction of a lesser included offense where insufficient evidence supports the conviction on the greater offense.”  (</w:t>
      </w:r>
      <w:r w:rsidR="00A83350">
        <w:rPr>
          <w:i/>
          <w:iCs/>
        </w:rPr>
        <w:t>People</w:t>
      </w:r>
      <w:r w:rsidR="000B73AE">
        <w:rPr>
          <w:i/>
          <w:iCs/>
        </w:rPr>
        <w:t> </w:t>
      </w:r>
      <w:r w:rsidR="00A83350">
        <w:rPr>
          <w:i/>
          <w:iCs/>
        </w:rPr>
        <w:t>v. Navarro</w:t>
      </w:r>
      <w:r w:rsidR="00A83350">
        <w:t xml:space="preserve"> (2007) 40</w:t>
      </w:r>
      <w:r w:rsidR="000B73AE">
        <w:t> </w:t>
      </w:r>
      <w:r w:rsidR="00A83350">
        <w:t xml:space="preserve">Cal.4th 668, 678.)  </w:t>
      </w:r>
      <w:r w:rsidR="003378B6">
        <w:t xml:space="preserve">Likewise, </w:t>
      </w:r>
      <w:r w:rsidR="007C4007">
        <w:t>section</w:t>
      </w:r>
      <w:r w:rsidR="00432F93">
        <w:t> </w:t>
      </w:r>
      <w:r w:rsidR="007C4007">
        <w:t>1260 “empower[s] courts to ‘reduce the punishment in lieu of ordering a new trial, when there is error relating to the punishment imposed.’</w:t>
      </w:r>
      <w:r w:rsidR="00432F93">
        <w:t> </w:t>
      </w:r>
      <w:r w:rsidR="007C4007">
        <w:t>”  (</w:t>
      </w:r>
      <w:r w:rsidR="007C4007">
        <w:rPr>
          <w:i/>
          <w:iCs/>
        </w:rPr>
        <w:t>Navarro</w:t>
      </w:r>
      <w:r w:rsidR="007C4007">
        <w:t>, at p. 679.)</w:t>
      </w:r>
      <w:r w:rsidR="002E5B80">
        <w:t xml:space="preserve">  </w:t>
      </w:r>
      <w:r w:rsidR="00030AF3">
        <w:t xml:space="preserve">Consistent with this provision, </w:t>
      </w:r>
      <w:r w:rsidR="009A4236">
        <w:t xml:space="preserve">appellate courts are authorized to </w:t>
      </w:r>
      <w:r w:rsidR="00C175A8">
        <w:t>substitute</w:t>
      </w:r>
      <w:r w:rsidR="009A4236">
        <w:t xml:space="preserve"> a</w:t>
      </w:r>
      <w:r w:rsidR="00023D1F">
        <w:t xml:space="preserve">n unpled </w:t>
      </w:r>
      <w:r w:rsidR="009A4236">
        <w:t xml:space="preserve">lesser included sentencing enhancement </w:t>
      </w:r>
      <w:r w:rsidR="00057C58">
        <w:t>“</w:t>
      </w:r>
      <w:r w:rsidR="00165175">
        <w:t> </w:t>
      </w:r>
      <w:r w:rsidR="00057C58">
        <w:t>‘when a greater enhancement found true by the trier of fact is either legally inapplicable or unsupported by sufficient evidence.’</w:t>
      </w:r>
      <w:r w:rsidR="00432F93">
        <w:t> </w:t>
      </w:r>
      <w:r w:rsidR="00057C58">
        <w:t>”  (</w:t>
      </w:r>
      <w:r w:rsidR="00057C58">
        <w:rPr>
          <w:i/>
          <w:iCs/>
        </w:rPr>
        <w:t>People v. Tirado</w:t>
      </w:r>
      <w:r w:rsidR="00057C58">
        <w:t xml:space="preserve"> (2022) 12</w:t>
      </w:r>
      <w:r w:rsidR="00432F93">
        <w:t> </w:t>
      </w:r>
      <w:r w:rsidR="00057C58">
        <w:t>Cal.5th 688, 696</w:t>
      </w:r>
      <w:r w:rsidR="00E423D1">
        <w:t xml:space="preserve">; see, e.g., </w:t>
      </w:r>
      <w:r w:rsidR="00D31D0A">
        <w:rPr>
          <w:i/>
          <w:iCs/>
        </w:rPr>
        <w:t>People</w:t>
      </w:r>
      <w:r w:rsidR="00432F93">
        <w:rPr>
          <w:i/>
          <w:iCs/>
        </w:rPr>
        <w:t> </w:t>
      </w:r>
      <w:r w:rsidR="00D31D0A">
        <w:rPr>
          <w:i/>
          <w:iCs/>
        </w:rPr>
        <w:t>v. Fialho</w:t>
      </w:r>
      <w:r w:rsidR="00D31D0A">
        <w:t xml:space="preserve"> (2014)</w:t>
      </w:r>
      <w:r w:rsidR="00432F93">
        <w:t> </w:t>
      </w:r>
      <w:r w:rsidR="00D31D0A">
        <w:t>229 Cal.App.4th 1389</w:t>
      </w:r>
      <w:r w:rsidR="002F778D">
        <w:t>, 1397–1399</w:t>
      </w:r>
      <w:r w:rsidR="00877DC3">
        <w:t xml:space="preserve">; </w:t>
      </w:r>
      <w:r w:rsidR="00877DC3">
        <w:rPr>
          <w:i/>
          <w:iCs/>
        </w:rPr>
        <w:t>People</w:t>
      </w:r>
      <w:r w:rsidR="001658FC">
        <w:rPr>
          <w:i/>
          <w:iCs/>
        </w:rPr>
        <w:t> </w:t>
      </w:r>
      <w:r w:rsidR="00E35E3C">
        <w:rPr>
          <w:i/>
          <w:iCs/>
        </w:rPr>
        <w:t>v. Allen</w:t>
      </w:r>
      <w:r w:rsidR="00E35E3C">
        <w:t xml:space="preserve"> (1985) 165</w:t>
      </w:r>
      <w:r w:rsidR="001658FC">
        <w:t> </w:t>
      </w:r>
      <w:r w:rsidR="00E35E3C">
        <w:t>Cal.App.3d 616, 627</w:t>
      </w:r>
      <w:r w:rsidR="00D31D0A">
        <w:t>.)</w:t>
      </w:r>
      <w:r w:rsidR="000F444B">
        <w:t xml:space="preserve"> </w:t>
      </w:r>
      <w:r w:rsidR="00007298">
        <w:t xml:space="preserve"> </w:t>
      </w:r>
    </w:p>
    <w:p w:rsidR="007D4CB1" w:rsidP="009E7603" w14:paraId="7580004A" w14:textId="392EE778">
      <w:pPr>
        <w:spacing w:line="360" w:lineRule="auto"/>
      </w:pPr>
      <w:r>
        <w:tab/>
      </w:r>
      <w:r w:rsidR="00547814">
        <w:t xml:space="preserve">Since </w:t>
      </w:r>
      <w:r w:rsidR="00D81FD0">
        <w:t>the</w:t>
      </w:r>
      <w:r w:rsidR="00152FCD">
        <w:t xml:space="preserve"> One Strike </w:t>
      </w:r>
      <w:r w:rsidR="00F7408C">
        <w:t xml:space="preserve">law provides for punishment, </w:t>
      </w:r>
      <w:r w:rsidR="00D3609E">
        <w:t xml:space="preserve">section 1260 </w:t>
      </w:r>
      <w:r w:rsidR="00F7408C">
        <w:t>by its plain terms appear</w:t>
      </w:r>
      <w:r w:rsidR="00547814">
        <w:t>s</w:t>
      </w:r>
      <w:r w:rsidR="00F7408C">
        <w:t xml:space="preserve"> to </w:t>
      </w:r>
      <w:r w:rsidR="00AB24FA">
        <w:t xml:space="preserve">authorize </w:t>
      </w:r>
      <w:r w:rsidR="00031B01">
        <w:t>us to reduce the</w:t>
      </w:r>
      <w:r w:rsidR="00C449C7">
        <w:t xml:space="preserve"> </w:t>
      </w:r>
      <w:r w:rsidR="00DB5DC1">
        <w:t>term based on the</w:t>
      </w:r>
      <w:r w:rsidR="00031B01">
        <w:t xml:space="preserve"> aggravated kidnapping circumstance to a </w:t>
      </w:r>
      <w:r w:rsidR="00AB6821">
        <w:t xml:space="preserve">term based on the </w:t>
      </w:r>
      <w:r w:rsidR="002367C6">
        <w:t>kidnapping circumstance</w:t>
      </w:r>
      <w:r w:rsidR="00031B01">
        <w:t>.</w:t>
      </w:r>
      <w:r w:rsidR="00C653A3">
        <w:t xml:space="preserve">  </w:t>
      </w:r>
      <w:r w:rsidR="00A456A1">
        <w:t xml:space="preserve">“Although section 667.61 is an alternative sentencing scheme rather than an enhancement [citation], the aggravated kidnapping circumstance </w:t>
      </w:r>
      <w:r w:rsidR="001658FC">
        <w:t>. . .</w:t>
      </w:r>
      <w:r w:rsidR="00A456A1">
        <w:t xml:space="preserve"> is functionally equivalent to a conduct enhancement because it focuses on the manner </w:t>
      </w:r>
      <w:r w:rsidR="00F57411">
        <w:t>in which the underlying offense was committed, rather than on the status of the offender.”  (</w:t>
      </w:r>
      <w:r w:rsidR="00F57411">
        <w:rPr>
          <w:i/>
          <w:iCs/>
        </w:rPr>
        <w:t>Kelly</w:t>
      </w:r>
      <w:r w:rsidR="00F57411">
        <w:t xml:space="preserve">, </w:t>
      </w:r>
      <w:r w:rsidR="00F57411">
        <w:rPr>
          <w:i/>
          <w:iCs/>
        </w:rPr>
        <w:t>supra</w:t>
      </w:r>
      <w:r w:rsidR="00F57411">
        <w:t>, 245</w:t>
      </w:r>
      <w:r w:rsidR="001658FC">
        <w:t> </w:t>
      </w:r>
      <w:r w:rsidR="00F57411">
        <w:t>Cal.App.4th at p.</w:t>
      </w:r>
      <w:r w:rsidR="00635724">
        <w:t> </w:t>
      </w:r>
      <w:r w:rsidR="00F57411">
        <w:t>1131.)</w:t>
      </w:r>
    </w:p>
    <w:p w:rsidR="00A04C8B" w:rsidP="009E7603" w14:paraId="4A00B079" w14:textId="1C416F4D">
      <w:pPr>
        <w:spacing w:line="360" w:lineRule="auto"/>
      </w:pPr>
      <w:r>
        <w:tab/>
      </w:r>
      <w:r w:rsidR="0004219F">
        <w:t xml:space="preserve">To determine </w:t>
      </w:r>
      <w:r w:rsidR="00F75187">
        <w:t xml:space="preserve">whether </w:t>
      </w:r>
      <w:r w:rsidR="00526E06">
        <w:t xml:space="preserve">a lesser enhancement is necessarily included within a greater enhancement, </w:t>
      </w:r>
      <w:r w:rsidR="0004219F">
        <w:t xml:space="preserve">we </w:t>
      </w:r>
      <w:r w:rsidR="009B4463">
        <w:t>ask whether “</w:t>
      </w:r>
      <w:r w:rsidR="00635724">
        <w:t> </w:t>
      </w:r>
      <w:r w:rsidR="009B4463">
        <w:t xml:space="preserve">‘the statutory elements of the greater [enhancement], or the facts actually alleged in the accusatory pleading, include all the elements of the lesser [enhancement], such that the greater cannot be committed without </w:t>
      </w:r>
      <w:r w:rsidR="0067731E">
        <w:t xml:space="preserve">also </w:t>
      </w:r>
      <w:r w:rsidR="009B4463">
        <w:t>committing the lesser.’</w:t>
      </w:r>
      <w:r w:rsidR="00635724">
        <w:t> </w:t>
      </w:r>
      <w:r w:rsidR="009B4463">
        <w:t>”  (</w:t>
      </w:r>
      <w:r w:rsidR="009B4463">
        <w:rPr>
          <w:i/>
          <w:iCs/>
        </w:rPr>
        <w:t>People</w:t>
      </w:r>
      <w:r w:rsidR="008567D9">
        <w:rPr>
          <w:i/>
          <w:iCs/>
        </w:rPr>
        <w:t> </w:t>
      </w:r>
      <w:r w:rsidR="009B4463">
        <w:rPr>
          <w:i/>
          <w:iCs/>
        </w:rPr>
        <w:t>v. Dixon</w:t>
      </w:r>
      <w:r w:rsidR="00F82821">
        <w:t xml:space="preserve"> </w:t>
      </w:r>
      <w:r w:rsidR="009B4463">
        <w:t>(2007) 153</w:t>
      </w:r>
      <w:r w:rsidR="008567D9">
        <w:t> </w:t>
      </w:r>
      <w:r w:rsidR="009B4463">
        <w:t xml:space="preserve">Cal.App.4th 985, 1001–1002.)  </w:t>
      </w:r>
      <w:r w:rsidR="000C7681">
        <w:t xml:space="preserve">The aggravated kidnapping </w:t>
      </w:r>
      <w:r w:rsidR="00B446EE">
        <w:t xml:space="preserve">circumstance applies when “[t]he defendant kidnapped the victim of the present offense </w:t>
      </w:r>
      <w:r w:rsidR="00B446EE">
        <w:rPr>
          <w:i/>
          <w:iCs/>
        </w:rPr>
        <w:t>and</w:t>
      </w:r>
      <w:r w:rsidR="00B446EE">
        <w:t xml:space="preserve"> the movement </w:t>
      </w:r>
      <w:r w:rsidR="00934C2B">
        <w:t>of the victim substantially increase</w:t>
      </w:r>
      <w:r w:rsidR="008567D9">
        <w:t>d</w:t>
      </w:r>
      <w:r w:rsidR="00934C2B">
        <w:t xml:space="preserve"> the risk of harm to the victim over and above that level of risk necessarily inherent in the underlying offense.”  (§ 667.61(d)(2)</w:t>
      </w:r>
      <w:r w:rsidR="00FA2AD8">
        <w:t>, italics added</w:t>
      </w:r>
      <w:r w:rsidR="00934C2B">
        <w:t xml:space="preserve">.)  </w:t>
      </w:r>
      <w:r w:rsidR="000C7681">
        <w:t>The</w:t>
      </w:r>
      <w:r w:rsidR="008C0EDE">
        <w:t xml:space="preserve"> </w:t>
      </w:r>
      <w:r w:rsidR="000C7681">
        <w:t>kidnapping circumstance applies when,</w:t>
      </w:r>
      <w:r w:rsidR="00934C2B">
        <w:t xml:space="preserve"> “[e]xcept as provided in [subdivision (d)(2)], the defendant kidnapped the victim of the present offense in violation of Section 207, 209, or 209.5”</w:t>
      </w:r>
      <w:r w:rsidR="008E005C">
        <w:t>—the only statutes tha</w:t>
      </w:r>
      <w:r w:rsidR="007F68C0">
        <w:t>t establish kidnapping offenses.</w:t>
      </w:r>
      <w:r w:rsidR="00905CC6">
        <w:t xml:space="preserve">  </w:t>
      </w:r>
      <w:r w:rsidR="00934C2B">
        <w:t>(§</w:t>
      </w:r>
      <w:r w:rsidR="009F45F1">
        <w:t xml:space="preserve"> </w:t>
      </w:r>
      <w:r w:rsidR="00934C2B">
        <w:t>667.61(</w:t>
      </w:r>
      <w:r w:rsidR="00A57A08">
        <w:t>e)(1)</w:t>
      </w:r>
      <w:r w:rsidR="009F45F1">
        <w:t>; see §§ 207–210</w:t>
      </w:r>
      <w:r w:rsidR="00A57A08">
        <w:t>.)</w:t>
      </w:r>
      <w:r w:rsidR="000C7681">
        <w:t xml:space="preserve">  </w:t>
      </w:r>
      <w:r w:rsidR="008D2D77">
        <w:t xml:space="preserve">Thus, </w:t>
      </w:r>
      <w:r w:rsidR="008458FB">
        <w:t>both circumstances require</w:t>
      </w:r>
      <w:r w:rsidR="000C7681">
        <w:t xml:space="preserve"> a kidnapping</w:t>
      </w:r>
      <w:r w:rsidR="00BD6CC3">
        <w:t xml:space="preserve"> of the victim of the sex offense</w:t>
      </w:r>
      <w:r w:rsidR="000C7681">
        <w:t>,</w:t>
      </w:r>
      <w:r w:rsidR="008458FB">
        <w:t xml:space="preserve"> meaning it </w:t>
      </w:r>
      <w:r w:rsidR="00AF72BB">
        <w:t>is impossible to meet the elements of the aggravated kidnapping circumstance without also meeting the elements of the</w:t>
      </w:r>
      <w:r w:rsidR="00367484">
        <w:t xml:space="preserve"> </w:t>
      </w:r>
      <w:r w:rsidR="00AF72BB">
        <w:t>kidnapping circumstance.</w:t>
      </w:r>
    </w:p>
    <w:p w:rsidR="004345AE" w:rsidP="00CD5435" w14:paraId="46B4B787" w14:textId="2A5EA3DE">
      <w:pPr>
        <w:spacing w:line="360" w:lineRule="auto"/>
      </w:pPr>
      <w:r>
        <w:tab/>
      </w:r>
      <w:r w:rsidR="00652012">
        <w:t>F</w:t>
      </w:r>
      <w:r w:rsidR="00684816">
        <w:t>ocusing on subdivision</w:t>
      </w:r>
      <w:r w:rsidR="006B6458">
        <w:t xml:space="preserve"> (</w:t>
      </w:r>
      <w:r w:rsidR="00684816">
        <w:t xml:space="preserve">e) of section 667.61 as a whole, </w:t>
      </w:r>
      <w:r w:rsidR="00652012">
        <w:t>Waqa</w:t>
      </w:r>
      <w:r w:rsidR="00684816">
        <w:t xml:space="preserve"> claims that the statutory elements test is not met because </w:t>
      </w:r>
      <w:r w:rsidR="00D742A1">
        <w:t>most of the</w:t>
      </w:r>
      <w:r w:rsidR="00BA278D">
        <w:t xml:space="preserve"> seven</w:t>
      </w:r>
      <w:r w:rsidR="00326375">
        <w:t xml:space="preserve"> specific circumstances under </w:t>
      </w:r>
      <w:r w:rsidR="006B6458">
        <w:t>that subdivision</w:t>
      </w:r>
      <w:r w:rsidR="008911AD">
        <w:t xml:space="preserve"> </w:t>
      </w:r>
      <w:r w:rsidR="00D742A1">
        <w:t>have</w:t>
      </w:r>
      <w:r w:rsidR="008911AD">
        <w:t xml:space="preserve"> elements</w:t>
      </w:r>
      <w:r w:rsidR="00D742A1">
        <w:t xml:space="preserve"> that</w:t>
      </w:r>
      <w:r w:rsidR="008911AD">
        <w:t xml:space="preserve"> are not included in the aggravated kidnapping circumstance.</w:t>
      </w:r>
      <w:r>
        <w:rPr>
          <w:rStyle w:val="FootnoteReference"/>
        </w:rPr>
        <w:footnoteReference w:id="13"/>
      </w:r>
      <w:r w:rsidR="008911AD">
        <w:t xml:space="preserve"> </w:t>
      </w:r>
      <w:r w:rsidR="0025719E">
        <w:t xml:space="preserve"> </w:t>
      </w:r>
      <w:r w:rsidR="00FC18C0">
        <w:t>This is</w:t>
      </w:r>
      <w:r w:rsidR="0025719E">
        <w:t xml:space="preserve"> comparing apples to oranges.  </w:t>
      </w:r>
      <w:r w:rsidR="008911AD">
        <w:t xml:space="preserve">It is true that, for example, </w:t>
      </w:r>
      <w:r w:rsidR="00861C81">
        <w:t>the circumstance under subdivision</w:t>
      </w:r>
      <w:r w:rsidR="00BB443B">
        <w:t> </w:t>
      </w:r>
      <w:r w:rsidR="00861C81">
        <w:t xml:space="preserve">(e)(2) that the </w:t>
      </w:r>
      <w:r w:rsidR="00CD7ECF">
        <w:t>sex offense was committed during a burglary is not</w:t>
      </w:r>
      <w:r w:rsidR="00EF5305">
        <w:t xml:space="preserve"> necessarily established if the </w:t>
      </w:r>
      <w:r w:rsidR="00CB1613">
        <w:t>aggravated kidnapping circumstance is.</w:t>
      </w:r>
      <w:r w:rsidR="00955E88">
        <w:t xml:space="preserve">  But </w:t>
      </w:r>
      <w:r w:rsidR="000D2777">
        <w:t>particular “</w:t>
      </w:r>
      <w:r w:rsidR="000D2777">
        <w:rPr>
          <w:i/>
          <w:iCs/>
        </w:rPr>
        <w:t>circumstances</w:t>
      </w:r>
      <w:r w:rsidR="000D2777">
        <w:t xml:space="preserve"> specified in subdivision (d) or (e)” must be “pled and proved</w:t>
      </w:r>
      <w:r w:rsidR="008428DF">
        <w:t>”</w:t>
      </w:r>
      <w:r w:rsidR="001923DE">
        <w:t xml:space="preserve"> for One Strike punishment to be imposed</w:t>
      </w:r>
      <w:r w:rsidR="00C11328">
        <w:t xml:space="preserve"> (§ 667.61, subd. (f), italics added)</w:t>
      </w:r>
      <w:r w:rsidR="001923DE">
        <w:t>,</w:t>
      </w:r>
      <w:r w:rsidR="008428DF">
        <w:t xml:space="preserve"> not</w:t>
      </w:r>
      <w:r w:rsidR="00810758">
        <w:t xml:space="preserve"> th</w:t>
      </w:r>
      <w:r w:rsidR="009E036A">
        <w:t>e</w:t>
      </w:r>
      <w:r w:rsidR="00812FF8">
        <w:t xml:space="preserve"> fact that some </w:t>
      </w:r>
      <w:r w:rsidR="00450F11">
        <w:t xml:space="preserve">unspecified qualifying circumstances exist.  </w:t>
      </w:r>
      <w:r w:rsidR="00097A92">
        <w:t xml:space="preserve">Thus, it is of no moment that </w:t>
      </w:r>
      <w:r>
        <w:t>the</w:t>
      </w:r>
      <w:r w:rsidR="00513CCF">
        <w:t xml:space="preserve"> aggravated kidnapping circumstance </w:t>
      </w:r>
      <w:r w:rsidR="00436A78">
        <w:t xml:space="preserve">does not encompass the elements of </w:t>
      </w:r>
      <w:r w:rsidR="00436A78">
        <w:rPr>
          <w:i/>
          <w:iCs/>
        </w:rPr>
        <w:t>all</w:t>
      </w:r>
      <w:r w:rsidR="00436A78">
        <w:t xml:space="preserve"> the circumstances under subdivision</w:t>
      </w:r>
      <w:r w:rsidR="00C11328">
        <w:t> </w:t>
      </w:r>
      <w:r w:rsidR="00436A78">
        <w:t>(e).</w:t>
      </w:r>
      <w:r w:rsidR="0038039F">
        <w:t xml:space="preserve">  What matters is that it encompasses all the elements of the kidnapping </w:t>
      </w:r>
      <w:r w:rsidR="00F72A03">
        <w:t xml:space="preserve">circumstance. </w:t>
      </w:r>
    </w:p>
    <w:p w:rsidR="008B042C" w:rsidP="00CD5435" w14:paraId="1278A4FD" w14:textId="79522DD6">
      <w:pPr>
        <w:spacing w:line="360" w:lineRule="auto"/>
      </w:pPr>
      <w:r>
        <w:tab/>
        <w:t>Waqa also claims that</w:t>
      </w:r>
      <w:r w:rsidR="00B31240">
        <w:t xml:space="preserve"> “unlike weapons enhancements,” the One Strike law “is not subject to the rules pertaining to lesser included offenses.” </w:t>
      </w:r>
      <w:r w:rsidR="0036609C">
        <w:t xml:space="preserve"> </w:t>
      </w:r>
      <w:r w:rsidR="00F2402B">
        <w:t xml:space="preserve">The </w:t>
      </w:r>
      <w:r w:rsidR="00D04F22">
        <w:t xml:space="preserve">two primary </w:t>
      </w:r>
      <w:r w:rsidR="00F2402B">
        <w:t>authorities on which he relies do not suppo</w:t>
      </w:r>
      <w:r w:rsidR="002C19A4">
        <w:t>rt his position</w:t>
      </w:r>
      <w:r w:rsidR="006704ED">
        <w:t>.</w:t>
      </w:r>
      <w:r w:rsidR="00F30A4F">
        <w:t xml:space="preserve">  </w:t>
      </w:r>
      <w:r w:rsidR="00D04F22">
        <w:t>First, i</w:t>
      </w:r>
      <w:r w:rsidR="00BB1BC4">
        <w:t xml:space="preserve">n </w:t>
      </w:r>
      <w:r w:rsidR="006A66C0">
        <w:rPr>
          <w:i/>
          <w:iCs/>
        </w:rPr>
        <w:t>Mancebo</w:t>
      </w:r>
      <w:r w:rsidR="00BB1BC4">
        <w:t xml:space="preserve">, </w:t>
      </w:r>
      <w:r w:rsidR="00654CAD">
        <w:t>the Supreme Court held that</w:t>
      </w:r>
      <w:r w:rsidR="00B46D23">
        <w:t xml:space="preserve"> the </w:t>
      </w:r>
      <w:r w:rsidR="00C035AE">
        <w:t xml:space="preserve">One Strike </w:t>
      </w:r>
      <w:r w:rsidR="00B83C86">
        <w:t xml:space="preserve">law’s pleading and proof requirements </w:t>
      </w:r>
      <w:r w:rsidR="005F0116">
        <w:t xml:space="preserve">were violated where the trial court imposed </w:t>
      </w:r>
      <w:r>
        <w:t xml:space="preserve">multiple-victim </w:t>
      </w:r>
      <w:r w:rsidR="005F0116">
        <w:t>circumstance</w:t>
      </w:r>
      <w:r w:rsidR="00ED228B">
        <w:t>s</w:t>
      </w:r>
      <w:r w:rsidR="005F0116">
        <w:t xml:space="preserve"> </w:t>
      </w:r>
      <w:r>
        <w:t>that were not alleged</w:t>
      </w:r>
      <w:r w:rsidR="005F0116">
        <w:t>.</w:t>
      </w:r>
      <w:r w:rsidR="00B46D23">
        <w:t xml:space="preserve">  (</w:t>
      </w:r>
      <w:r w:rsidR="008B7169">
        <w:rPr>
          <w:i/>
          <w:iCs/>
        </w:rPr>
        <w:t>Mancebo</w:t>
      </w:r>
      <w:r w:rsidR="008B7169">
        <w:t xml:space="preserve">, </w:t>
      </w:r>
      <w:r w:rsidR="008B7169">
        <w:rPr>
          <w:i/>
          <w:iCs/>
        </w:rPr>
        <w:t>supra</w:t>
      </w:r>
      <w:r w:rsidR="008B7169">
        <w:t>, 27</w:t>
      </w:r>
      <w:r w:rsidR="00A03226">
        <w:t> </w:t>
      </w:r>
      <w:r w:rsidR="008B7169">
        <w:t>Cal.4th</w:t>
      </w:r>
      <w:r w:rsidR="00B46D23">
        <w:t xml:space="preserve"> at p</w:t>
      </w:r>
      <w:r w:rsidR="0081367D">
        <w:t>p.</w:t>
      </w:r>
      <w:r w:rsidR="005A36A4">
        <w:t> </w:t>
      </w:r>
      <w:r w:rsidR="0081367D">
        <w:t>744–745, 754.)</w:t>
      </w:r>
      <w:r w:rsidR="00D04F22">
        <w:t xml:space="preserve">  Although the </w:t>
      </w:r>
      <w:r w:rsidR="00DA7883">
        <w:t xml:space="preserve">information alleged crimes against two victims, the only One Strike circumstances alleged were </w:t>
      </w:r>
      <w:r w:rsidR="007D2429">
        <w:t xml:space="preserve">gun use and kidnapping as to one crime, and gun use and tying or binding as to the other.  </w:t>
      </w:r>
      <w:r w:rsidR="00435A34">
        <w:t>(</w:t>
      </w:r>
      <w:r w:rsidR="00435A34">
        <w:rPr>
          <w:i/>
          <w:iCs/>
        </w:rPr>
        <w:t>Id.</w:t>
      </w:r>
      <w:r w:rsidR="00435A34">
        <w:t xml:space="preserve"> at p</w:t>
      </w:r>
      <w:r w:rsidR="00AD4A8C">
        <w:t>p</w:t>
      </w:r>
      <w:r w:rsidR="00435A34">
        <w:t>. 738</w:t>
      </w:r>
      <w:r w:rsidR="00AD4A8C">
        <w:t>, 740; § 667.61, subds.</w:t>
      </w:r>
      <w:r w:rsidR="007D2429">
        <w:t> </w:t>
      </w:r>
      <w:r w:rsidR="00AD4A8C">
        <w:t>(a), (e)</w:t>
      </w:r>
      <w:r w:rsidR="00373A05">
        <w:t>(1), (</w:t>
      </w:r>
      <w:r w:rsidR="006211F4">
        <w:t>3</w:t>
      </w:r>
      <w:r w:rsidR="00373A05">
        <w:t>), (</w:t>
      </w:r>
      <w:r w:rsidR="006211F4">
        <w:t>5</w:t>
      </w:r>
      <w:r w:rsidR="00373A05">
        <w:t>)</w:t>
      </w:r>
      <w:r w:rsidR="00435A34">
        <w:t>.)</w:t>
      </w:r>
      <w:r>
        <w:rPr>
          <w:rStyle w:val="FootnoteReference"/>
        </w:rPr>
        <w:footnoteReference w:id="14"/>
      </w:r>
      <w:r w:rsidR="00373A05">
        <w:t xml:space="preserve">  The information also alleged </w:t>
      </w:r>
      <w:r w:rsidR="005A36A4">
        <w:t>that the defendant personally used a gun during the crimes</w:t>
      </w:r>
      <w:r w:rsidR="003701F6">
        <w:t xml:space="preserve"> under section 12022.5, subdivision</w:t>
      </w:r>
      <w:r w:rsidR="007D2429">
        <w:t> </w:t>
      </w:r>
      <w:r w:rsidR="003701F6">
        <w:t>(a</w:t>
      </w:r>
      <w:r w:rsidR="007D2429">
        <w:t xml:space="preserve">).  </w:t>
      </w:r>
      <w:r w:rsidR="006211F4">
        <w:t>(</w:t>
      </w:r>
      <w:r w:rsidR="006211F4">
        <w:rPr>
          <w:i/>
          <w:iCs/>
        </w:rPr>
        <w:t>Mancebo</w:t>
      </w:r>
      <w:r w:rsidR="006211F4">
        <w:t>, at p.</w:t>
      </w:r>
      <w:r w:rsidR="00182B7D">
        <w:t> </w:t>
      </w:r>
      <w:r w:rsidR="005A19B7">
        <w:t>740.)</w:t>
      </w:r>
      <w:r w:rsidR="003701F6">
        <w:t xml:space="preserve">  After the jury convicted the defendant of all the charges and allegations, </w:t>
      </w:r>
      <w:r w:rsidR="00A03C16">
        <w:t>the trial court sentenced him</w:t>
      </w:r>
      <w:r w:rsidR="00921ADC">
        <w:t xml:space="preserve"> </w:t>
      </w:r>
      <w:r w:rsidR="00A03C16">
        <w:t xml:space="preserve">to </w:t>
      </w:r>
      <w:r w:rsidR="00E05838">
        <w:t>“</w:t>
      </w:r>
      <w:r w:rsidR="000D26E3">
        <w:t xml:space="preserve">two consecutive 35-year-to-life terms </w:t>
      </w:r>
      <w:r w:rsidR="006E4FF0">
        <w:t xml:space="preserve">. . . </w:t>
      </w:r>
      <w:r w:rsidR="00E05838">
        <w:t>[</w:t>
      </w:r>
      <w:r w:rsidR="000D26E3">
        <w:t>for rape and sodomy</w:t>
      </w:r>
      <w:r w:rsidR="00E05838">
        <w:t>]</w:t>
      </w:r>
      <w:r w:rsidR="00080CB3">
        <w:t xml:space="preserve"> </w:t>
      </w:r>
      <w:r w:rsidR="00E05838">
        <w:t>(25 years to life, plus a 10-year gun-use enhancement for each offense)</w:t>
      </w:r>
      <w:r w:rsidR="001461BC">
        <w:t xml:space="preserve">[,] </w:t>
      </w:r>
      <w:r w:rsidR="005375DF">
        <w:t>. . .</w:t>
      </w:r>
      <w:r w:rsidR="001461BC">
        <w:t xml:space="preserve"> in the belief that it could substitute the multiple victim circumstance </w:t>
      </w:r>
      <w:r w:rsidR="005375DF">
        <w:t>. . .</w:t>
      </w:r>
      <w:r w:rsidR="001461BC">
        <w:t xml:space="preserve"> for the expressly pleaded gun-use circumstances in order to satisfy the ‘minimum number of circumstances’ requirement for One Strike sentencing (</w:t>
      </w:r>
      <w:r w:rsidR="005906E7">
        <w:t>§</w:t>
      </w:r>
      <w:r w:rsidR="00182B7D">
        <w:t> </w:t>
      </w:r>
      <w:r w:rsidR="005906E7">
        <w:t>667.61, subd. (f)), thereby making gun use available as a basis” for the</w:t>
      </w:r>
      <w:r w:rsidR="00921ADC">
        <w:t xml:space="preserve"> personal-use firearm enhancements</w:t>
      </w:r>
      <w:r>
        <w:t>.  (</w:t>
      </w:r>
      <w:r w:rsidR="00080CB3">
        <w:rPr>
          <w:i/>
          <w:iCs/>
        </w:rPr>
        <w:t>Ibid.</w:t>
      </w:r>
      <w:r>
        <w:t>)</w:t>
      </w:r>
    </w:p>
    <w:p w:rsidR="00B83C86" w:rsidRPr="007F75F3" w:rsidP="00CD5435" w14:paraId="5A257314" w14:textId="5B15218D">
      <w:pPr>
        <w:spacing w:line="360" w:lineRule="auto"/>
      </w:pPr>
      <w:r>
        <w:tab/>
      </w:r>
      <w:r w:rsidR="005906E7">
        <w:t> </w:t>
      </w:r>
      <w:r>
        <w:rPr>
          <w:i/>
          <w:iCs/>
        </w:rPr>
        <w:t>Mancebo</w:t>
      </w:r>
      <w:r>
        <w:t xml:space="preserve"> held that the trial court improperly substituted the multiple-victim circumstances for the gun-use circumstances </w:t>
      </w:r>
      <w:r w:rsidR="006A66C0">
        <w:t xml:space="preserve">because doing so violated </w:t>
      </w:r>
      <w:r w:rsidR="00DF2D9E">
        <w:t>section 667.61’s</w:t>
      </w:r>
      <w:r w:rsidR="006A66C0">
        <w:t xml:space="preserve"> </w:t>
      </w:r>
      <w:r w:rsidR="00DF2D9E">
        <w:t>“</w:t>
      </w:r>
      <w:r w:rsidR="006A66C0">
        <w:t>plain wording.”  (</w:t>
      </w:r>
      <w:r w:rsidR="006A66C0">
        <w:rPr>
          <w:i/>
          <w:iCs/>
        </w:rPr>
        <w:t>Mancebo</w:t>
      </w:r>
      <w:r w:rsidR="006A66C0">
        <w:t xml:space="preserve">, </w:t>
      </w:r>
      <w:r w:rsidR="006A66C0">
        <w:rPr>
          <w:i/>
          <w:iCs/>
        </w:rPr>
        <w:t>supra</w:t>
      </w:r>
      <w:r w:rsidR="006A66C0">
        <w:t>, 27</w:t>
      </w:r>
      <w:r w:rsidR="00182B7D">
        <w:t> </w:t>
      </w:r>
      <w:r w:rsidR="006A66C0">
        <w:t>Cal.4th at p.</w:t>
      </w:r>
      <w:r w:rsidR="00182B7D">
        <w:t> </w:t>
      </w:r>
      <w:r w:rsidR="006A66C0">
        <w:t>743.)</w:t>
      </w:r>
      <w:r w:rsidR="0021700F">
        <w:t xml:space="preserve">  </w:t>
      </w:r>
      <w:r w:rsidR="00BA2856">
        <w:t xml:space="preserve">Under </w:t>
      </w:r>
      <w:r w:rsidR="000E2EE4">
        <w:t xml:space="preserve">current </w:t>
      </w:r>
      <w:r w:rsidR="00BA2856">
        <w:t>subdivision (</w:t>
      </w:r>
      <w:r w:rsidR="000E2EE4">
        <w:t>o</w:t>
      </w:r>
      <w:r w:rsidR="00BA2856">
        <w:t>),</w:t>
      </w:r>
      <w:r w:rsidR="00516B3F">
        <w:t xml:space="preserve"> which is </w:t>
      </w:r>
      <w:r w:rsidR="00B205F9">
        <w:t>similar to</w:t>
      </w:r>
      <w:r w:rsidR="00516B3F">
        <w:t xml:space="preserve"> former subdivision (i) </w:t>
      </w:r>
      <w:r w:rsidR="00584B09">
        <w:t>considered in</w:t>
      </w:r>
      <w:r w:rsidR="00516B3F">
        <w:t xml:space="preserve"> </w:t>
      </w:r>
      <w:r w:rsidR="00516B3F">
        <w:rPr>
          <w:i/>
          <w:iCs/>
        </w:rPr>
        <w:t>Mancebo</w:t>
      </w:r>
      <w:r w:rsidR="00C87B41">
        <w:t>,</w:t>
      </w:r>
      <w:r w:rsidR="000E2EE4">
        <w:t xml:space="preserve"> “[t]he penalties provided in this section shall apply only if the existence of any circumstance specified in subdivision</w:t>
      </w:r>
      <w:r w:rsidR="00516B3F">
        <w:t> </w:t>
      </w:r>
      <w:r w:rsidR="000E2EE4">
        <w:t xml:space="preserve">(d) or (e) </w:t>
      </w:r>
      <w:r w:rsidRPr="00584B09" w:rsidR="000E2EE4">
        <w:rPr>
          <w:i/>
          <w:iCs/>
        </w:rPr>
        <w:t>is alleged in the accusatory pleading</w:t>
      </w:r>
      <w:r w:rsidR="000E2EE4">
        <w:t xml:space="preserve"> pursuant to this section, and is either admitted by the defendant in open court or found to be true by the trier of fact.”</w:t>
      </w:r>
      <w:r w:rsidR="00516B3F">
        <w:t xml:space="preserve">  (§ 667.61, subd. (o)</w:t>
      </w:r>
      <w:r w:rsidR="00584B09">
        <w:t>, italics added</w:t>
      </w:r>
      <w:r w:rsidR="00516B3F">
        <w:t xml:space="preserve">; see </w:t>
      </w:r>
      <w:r w:rsidR="00516B3F">
        <w:rPr>
          <w:i/>
          <w:iCs/>
        </w:rPr>
        <w:t>Mancebo</w:t>
      </w:r>
      <w:r w:rsidR="00516B3F">
        <w:t>, at p.</w:t>
      </w:r>
      <w:r w:rsidR="00182B7D">
        <w:t> </w:t>
      </w:r>
      <w:r w:rsidR="00516B3F">
        <w:t xml:space="preserve">743.)  And under </w:t>
      </w:r>
      <w:r w:rsidR="00B205F9">
        <w:t xml:space="preserve">current </w:t>
      </w:r>
      <w:r w:rsidR="00FA5179">
        <w:t>subdivision (f),</w:t>
      </w:r>
      <w:r w:rsidR="00B205F9">
        <w:t xml:space="preserve"> which is similar to former subdivision (f)</w:t>
      </w:r>
      <w:r w:rsidR="00C87B41">
        <w:t xml:space="preserve"> </w:t>
      </w:r>
      <w:r w:rsidR="00584B09">
        <w:t>considered in</w:t>
      </w:r>
      <w:r w:rsidR="00C87B41">
        <w:t xml:space="preserve"> </w:t>
      </w:r>
      <w:r w:rsidR="00C87B41">
        <w:rPr>
          <w:i/>
          <w:iCs/>
        </w:rPr>
        <w:t>Mancebo</w:t>
      </w:r>
      <w:r w:rsidR="00C87B41">
        <w:t xml:space="preserve">, </w:t>
      </w:r>
      <w:r w:rsidR="00FA5179">
        <w:t xml:space="preserve">“[i]f only the minimum number of circumstances specified in subdivision (d) or (e) that are required for the punishment provided in subdivision (a) </w:t>
      </w:r>
      <w:r w:rsidR="00A51F3C">
        <w:t>. . .</w:t>
      </w:r>
      <w:r w:rsidR="00FA5179">
        <w:t xml:space="preserve"> [or] (b) </w:t>
      </w:r>
      <w:r w:rsidR="00A51F3C">
        <w:t>. . .</w:t>
      </w:r>
      <w:r w:rsidR="00C67AAA">
        <w:t xml:space="preserve"> to apply </w:t>
      </w:r>
      <w:r w:rsidRPr="00534837" w:rsidR="00C67AAA">
        <w:rPr>
          <w:i/>
          <w:iCs/>
        </w:rPr>
        <w:t>have been pled and proved</w:t>
      </w:r>
      <w:r w:rsidR="00C67AAA">
        <w:t xml:space="preserve">, that circumstance or those circumstances shall be used as the basis for imposing the term provided in subdivision (a) </w:t>
      </w:r>
      <w:r w:rsidR="0081712D">
        <w:t>. . .</w:t>
      </w:r>
      <w:r w:rsidR="00C67AAA">
        <w:t xml:space="preserve"> [or] (b) </w:t>
      </w:r>
      <w:r w:rsidR="00AF79B4">
        <w:t>. . .</w:t>
      </w:r>
      <w:r w:rsidR="00605AA8">
        <w:t xml:space="preserve"> [,] whichever is greater, rather than being used to impose the punishment authorized under any other law, </w:t>
      </w:r>
      <w:r w:rsidR="00631AC8">
        <w:t>unless another law provides for a greater penalty or the punishment under another law can be imposed in addition to the punishment provided by this section</w:t>
      </w:r>
      <w:r w:rsidR="00B205F9">
        <w:t>.”  (§ 667.61, subd. (f)</w:t>
      </w:r>
      <w:r w:rsidR="00534837">
        <w:t>, italics added</w:t>
      </w:r>
      <w:r w:rsidR="00B205F9">
        <w:t xml:space="preserve">; see </w:t>
      </w:r>
      <w:r w:rsidR="00B205F9">
        <w:rPr>
          <w:i/>
          <w:iCs/>
        </w:rPr>
        <w:t>Mancebo</w:t>
      </w:r>
      <w:r w:rsidR="00B205F9">
        <w:t>, at pp.</w:t>
      </w:r>
      <w:r w:rsidR="00A51F3C">
        <w:t> </w:t>
      </w:r>
      <w:r w:rsidR="00B205F9">
        <w:t>743–744.)</w:t>
      </w:r>
      <w:r w:rsidR="00534837">
        <w:t xml:space="preserve">  Although </w:t>
      </w:r>
      <w:r w:rsidR="00A75BBE">
        <w:t xml:space="preserve">the </w:t>
      </w:r>
      <w:r w:rsidR="00CB3E33">
        <w:rPr>
          <w:i/>
          <w:iCs/>
        </w:rPr>
        <w:t xml:space="preserve">Mancebo </w:t>
      </w:r>
      <w:r w:rsidR="00CB3E33">
        <w:t>i</w:t>
      </w:r>
      <w:r w:rsidR="00A75BBE">
        <w:t xml:space="preserve">nformation alleged offenses against two different victims, </w:t>
      </w:r>
      <w:r w:rsidR="00B6704B">
        <w:t xml:space="preserve">it </w:t>
      </w:r>
      <w:r w:rsidR="004A25BC">
        <w:t xml:space="preserve">did not allege multiple-victim circumstances or refer to the relevant </w:t>
      </w:r>
      <w:r w:rsidR="00CB3E33">
        <w:t xml:space="preserve">statutory provision, so “it failed to put </w:t>
      </w:r>
      <w:r w:rsidR="00AF79B4">
        <w:t>[</w:t>
      </w:r>
      <w:r w:rsidR="00CB3E33">
        <w:t>the</w:t>
      </w:r>
      <w:r w:rsidR="00AF79B4">
        <w:t>]</w:t>
      </w:r>
      <w:r w:rsidR="00CB3E33">
        <w:t xml:space="preserve"> defendant on notice that the People </w:t>
      </w:r>
      <w:r w:rsidR="0081712D">
        <w:t>. . .</w:t>
      </w:r>
      <w:r w:rsidR="00CB3E33">
        <w:t xml:space="preserve"> would seek to use [those circumstances] </w:t>
      </w:r>
      <w:r w:rsidR="007F75F3">
        <w:t xml:space="preserve">to secure </w:t>
      </w:r>
      <w:r w:rsidR="0081712D">
        <w:t>. . .</w:t>
      </w:r>
      <w:r w:rsidR="006636CC">
        <w:t xml:space="preserve"> </w:t>
      </w:r>
      <w:r w:rsidR="007F75F3">
        <w:t xml:space="preserve">One Strike terms </w:t>
      </w:r>
      <w:r w:rsidR="0081712D">
        <w:t>. . .</w:t>
      </w:r>
      <w:r w:rsidR="007F75F3">
        <w:t xml:space="preserve"> </w:t>
      </w:r>
      <w:r w:rsidR="007F75F3">
        <w:rPr>
          <w:i/>
          <w:iCs/>
        </w:rPr>
        <w:t>and</w:t>
      </w:r>
      <w:r w:rsidR="007F75F3">
        <w:t xml:space="preserve"> use the circumstance of gun use to secure additional enhancements under section 12022.5[, subdivision ](a).”  (</w:t>
      </w:r>
      <w:r w:rsidR="007F75F3">
        <w:rPr>
          <w:i/>
          <w:iCs/>
        </w:rPr>
        <w:t>Mancebo</w:t>
      </w:r>
      <w:r w:rsidR="007F75F3">
        <w:t>, at p.</w:t>
      </w:r>
      <w:r w:rsidR="00A51F3C">
        <w:t> </w:t>
      </w:r>
      <w:r w:rsidR="007F75F3">
        <w:t>745.)</w:t>
      </w:r>
    </w:p>
    <w:p w:rsidR="00F9641B" w:rsidP="00CD5435" w14:paraId="336BAD61" w14:textId="7F05822E">
      <w:pPr>
        <w:spacing w:line="360" w:lineRule="auto"/>
      </w:pPr>
      <w:r>
        <w:tab/>
        <w:t xml:space="preserve">In </w:t>
      </w:r>
      <w:r w:rsidR="00F8619F">
        <w:rPr>
          <w:i/>
          <w:iCs/>
        </w:rPr>
        <w:t>Anderson</w:t>
      </w:r>
      <w:r w:rsidR="00F8619F">
        <w:t xml:space="preserve">, </w:t>
      </w:r>
      <w:r w:rsidR="00F8619F">
        <w:rPr>
          <w:i/>
          <w:iCs/>
        </w:rPr>
        <w:t>supra</w:t>
      </w:r>
      <w:r w:rsidR="00F8619F">
        <w:t>, 9</w:t>
      </w:r>
      <w:r w:rsidR="00A51F3C">
        <w:t> </w:t>
      </w:r>
      <w:r w:rsidR="00F8619F">
        <w:t>Cal.5th 946</w:t>
      </w:r>
      <w:r w:rsidR="00047FD6">
        <w:t xml:space="preserve">, the Supreme Court </w:t>
      </w:r>
      <w:r w:rsidR="008321A2">
        <w:t xml:space="preserve">reversed </w:t>
      </w:r>
      <w:r w:rsidR="00476673">
        <w:t xml:space="preserve">firearm enhancements </w:t>
      </w:r>
      <w:r w:rsidR="00782CCB">
        <w:t xml:space="preserve">imposed “in connection with counts as to which </w:t>
      </w:r>
      <w:r w:rsidR="00932DB7">
        <w:t xml:space="preserve">[they] </w:t>
      </w:r>
      <w:r w:rsidR="00782CCB">
        <w:t>had not been alleged.”  (</w:t>
      </w:r>
      <w:r w:rsidR="00782CCB">
        <w:rPr>
          <w:i/>
          <w:iCs/>
        </w:rPr>
        <w:t>Id.</w:t>
      </w:r>
      <w:r w:rsidR="00782CCB">
        <w:t xml:space="preserve"> at p. 950.)  </w:t>
      </w:r>
      <w:r w:rsidR="00047428">
        <w:t xml:space="preserve">In doing so, </w:t>
      </w:r>
      <w:r w:rsidR="00047428">
        <w:rPr>
          <w:i/>
          <w:iCs/>
        </w:rPr>
        <w:t xml:space="preserve">Anderson </w:t>
      </w:r>
      <w:r w:rsidR="00047428">
        <w:t>extended</w:t>
      </w:r>
      <w:r w:rsidR="00C74A76">
        <w:t xml:space="preserve"> </w:t>
      </w:r>
      <w:r w:rsidR="00C74A76">
        <w:rPr>
          <w:i/>
          <w:iCs/>
        </w:rPr>
        <w:t>Mancebo</w:t>
      </w:r>
      <w:r w:rsidR="00C74A76">
        <w:t>’s reasoning</w:t>
      </w:r>
      <w:r w:rsidR="0025646E">
        <w:t xml:space="preserve"> to firearm enhancements under section 12022.53</w:t>
      </w:r>
      <w:r w:rsidR="00C74A76">
        <w:t xml:space="preserve">, </w:t>
      </w:r>
      <w:r w:rsidR="00047428">
        <w:t>which have similar statutory pleading requirements to those under the One Strike law.</w:t>
      </w:r>
      <w:r w:rsidR="0025646E">
        <w:t xml:space="preserve"> </w:t>
      </w:r>
      <w:r w:rsidR="00943D6A">
        <w:t>(</w:t>
      </w:r>
      <w:r w:rsidR="00943D6A">
        <w:rPr>
          <w:i/>
          <w:iCs/>
        </w:rPr>
        <w:t>Anderson</w:t>
      </w:r>
      <w:r w:rsidR="00943D6A">
        <w:t>, at pp.</w:t>
      </w:r>
      <w:r w:rsidR="00A51F3C">
        <w:t> </w:t>
      </w:r>
      <w:r w:rsidR="00943D6A">
        <w:t>953–955</w:t>
      </w:r>
      <w:r w:rsidR="00047428">
        <w:t>; see §§</w:t>
      </w:r>
      <w:r w:rsidR="002603EE">
        <w:t> </w:t>
      </w:r>
      <w:r w:rsidR="00047428">
        <w:t>1170.</w:t>
      </w:r>
      <w:r w:rsidR="006D0CFD">
        <w:t>1, subd. (e)</w:t>
      </w:r>
      <w:r w:rsidR="002122DA">
        <w:t>,</w:t>
      </w:r>
      <w:r w:rsidR="006D0CFD">
        <w:t xml:space="preserve"> 12022.53, subds. (e), (j)</w:t>
      </w:r>
      <w:r w:rsidR="00047428">
        <w:t>.)</w:t>
      </w:r>
      <w:r w:rsidR="001B5206">
        <w:t xml:space="preserve">  Although </w:t>
      </w:r>
      <w:r w:rsidR="009203BF">
        <w:t xml:space="preserve">the </w:t>
      </w:r>
      <w:r w:rsidR="009203BF">
        <w:rPr>
          <w:i/>
          <w:iCs/>
        </w:rPr>
        <w:t>Anderson</w:t>
      </w:r>
      <w:r w:rsidR="009203BF">
        <w:t xml:space="preserve"> information alleged the relevant firearm enhancement in connection with a different count, it alleged lesser firearm enhancements in connection with the counts at issue, and this </w:t>
      </w:r>
      <w:r w:rsidR="002F0544">
        <w:t xml:space="preserve">“failed to provide [the defendant] with fair notice” that the prosecution would seek the greater </w:t>
      </w:r>
      <w:r w:rsidR="00E1168E">
        <w:t>enhancements for those counts.  (</w:t>
      </w:r>
      <w:r w:rsidR="00E1168E">
        <w:rPr>
          <w:i/>
          <w:iCs/>
        </w:rPr>
        <w:t>Ander</w:t>
      </w:r>
      <w:r w:rsidR="00B95202">
        <w:rPr>
          <w:i/>
          <w:iCs/>
        </w:rPr>
        <w:t>son</w:t>
      </w:r>
      <w:r w:rsidR="00B95202">
        <w:t>, at p.</w:t>
      </w:r>
      <w:r w:rsidR="002603EE">
        <w:t> </w:t>
      </w:r>
      <w:r w:rsidR="008E77B3">
        <w:t>957.)</w:t>
      </w:r>
    </w:p>
    <w:p w:rsidR="00F14862" w:rsidP="00CD5435" w14:paraId="46C04017" w14:textId="2E63D635">
      <w:pPr>
        <w:spacing w:line="360" w:lineRule="auto"/>
      </w:pPr>
      <w:r>
        <w:tab/>
        <w:t xml:space="preserve">Waqa </w:t>
      </w:r>
      <w:r w:rsidR="00897DD5">
        <w:t xml:space="preserve">claims that </w:t>
      </w:r>
      <w:r w:rsidR="00272951">
        <w:t xml:space="preserve">reducing the aggravated kidnapping circumstance to the kidnapping circumstance </w:t>
      </w:r>
      <w:r w:rsidR="00AE2F3C">
        <w:t xml:space="preserve">would “not be in conformity with principles of pleading and proof and the holdings in </w:t>
      </w:r>
      <w:r w:rsidR="00AE2F3C">
        <w:rPr>
          <w:i/>
          <w:iCs/>
        </w:rPr>
        <w:t xml:space="preserve">Anderson </w:t>
      </w:r>
      <w:r w:rsidR="00AE2F3C">
        <w:t>and [</w:t>
      </w:r>
      <w:r w:rsidR="00AE2F3C">
        <w:rPr>
          <w:i/>
          <w:iCs/>
        </w:rPr>
        <w:t>Mancebo</w:t>
      </w:r>
      <w:r w:rsidR="00AE2F3C">
        <w:t>]</w:t>
      </w:r>
      <w:r w:rsidR="009D1448">
        <w:t>.</w:t>
      </w:r>
      <w:r w:rsidR="00F2402B">
        <w:t>”</w:t>
      </w:r>
      <w:r w:rsidR="009D1448">
        <w:t xml:space="preserve"> </w:t>
      </w:r>
      <w:r w:rsidR="00082F52">
        <w:t xml:space="preserve"> </w:t>
      </w:r>
      <w:r w:rsidR="002C19A4">
        <w:t xml:space="preserve">But as he recognizes, </w:t>
      </w:r>
      <w:r w:rsidR="002C19A4">
        <w:rPr>
          <w:i/>
          <w:iCs/>
        </w:rPr>
        <w:t>Anderson</w:t>
      </w:r>
      <w:r w:rsidR="002C19A4">
        <w:t xml:space="preserve"> and </w:t>
      </w:r>
      <w:r w:rsidR="002C19A4">
        <w:rPr>
          <w:i/>
          <w:iCs/>
        </w:rPr>
        <w:t xml:space="preserve">Mancebo </w:t>
      </w:r>
      <w:r w:rsidR="002C19A4">
        <w:t xml:space="preserve">are distinguishable because the uncharged enhancements in those decisions “would have resulted in a </w:t>
      </w:r>
      <w:r w:rsidRPr="00D7507B" w:rsidR="002C19A4">
        <w:t xml:space="preserve">greater </w:t>
      </w:r>
      <w:r w:rsidR="002C19A4">
        <w:t xml:space="preserve">sentence than was charged.” </w:t>
      </w:r>
      <w:r w:rsidR="00D7507B">
        <w:t xml:space="preserve"> </w:t>
      </w:r>
      <w:r w:rsidR="002C19A4">
        <w:t xml:space="preserve">Here, in contrast, given Waqa’s </w:t>
      </w:r>
      <w:r w:rsidR="003F1E9D">
        <w:t xml:space="preserve">effective </w:t>
      </w:r>
      <w:r w:rsidR="002C19A4">
        <w:t xml:space="preserve">concession that </w:t>
      </w:r>
      <w:r w:rsidR="00082F52">
        <w:t>the aggravated kidnapping circumstance was adequately pled despite the reference to subdivision (e) of section 667.61,</w:t>
      </w:r>
      <w:r w:rsidR="00F61E87">
        <w:t xml:space="preserve"> </w:t>
      </w:r>
      <w:r w:rsidR="00CA5F65">
        <w:t xml:space="preserve">the question is whether it is appropriate to impose </w:t>
      </w:r>
      <w:r w:rsidR="009204C2">
        <w:t xml:space="preserve">a </w:t>
      </w:r>
      <w:r w:rsidRPr="002C19A4" w:rsidR="009204C2">
        <w:rPr>
          <w:i/>
          <w:iCs/>
        </w:rPr>
        <w:t>lesser</w:t>
      </w:r>
      <w:r w:rsidR="009204C2">
        <w:t xml:space="preserve"> punishment </w:t>
      </w:r>
      <w:r w:rsidR="00351C56">
        <w:t xml:space="preserve">than that </w:t>
      </w:r>
      <w:r w:rsidR="00D3423E">
        <w:t xml:space="preserve">expressly </w:t>
      </w:r>
      <w:r w:rsidR="00351C56">
        <w:t>charged.</w:t>
      </w:r>
      <w:r w:rsidR="00246608">
        <w:t xml:space="preserve">  Thus, this case is more analogous to</w:t>
      </w:r>
      <w:r w:rsidR="00BA5A7B">
        <w:t xml:space="preserve"> </w:t>
      </w:r>
      <w:r w:rsidR="00BA5A7B">
        <w:rPr>
          <w:i/>
          <w:iCs/>
        </w:rPr>
        <w:t xml:space="preserve">Tirado </w:t>
      </w:r>
      <w:r w:rsidR="00BA5A7B">
        <w:t xml:space="preserve">and </w:t>
      </w:r>
      <w:r w:rsidR="00E05CBC">
        <w:t>other</w:t>
      </w:r>
      <w:r w:rsidR="00BA5A7B">
        <w:t xml:space="preserve"> cases approving the imposition </w:t>
      </w:r>
      <w:r w:rsidR="00023D1F">
        <w:t>of “a lesser included, uncharged enhancement so long as the prosecution has charged the greater enhancement and the facts supporting imposition of the lesser enhancement have been alleged and found true.”  (</w:t>
      </w:r>
      <w:r w:rsidR="00023D1F">
        <w:rPr>
          <w:i/>
          <w:iCs/>
        </w:rPr>
        <w:t>People</w:t>
      </w:r>
      <w:r w:rsidR="002603EE">
        <w:rPr>
          <w:i/>
          <w:iCs/>
        </w:rPr>
        <w:t> </w:t>
      </w:r>
      <w:r w:rsidR="00023D1F">
        <w:rPr>
          <w:i/>
          <w:iCs/>
        </w:rPr>
        <w:t>v. Tirado</w:t>
      </w:r>
      <w:r w:rsidR="00023D1F">
        <w:t xml:space="preserve">, </w:t>
      </w:r>
      <w:r w:rsidR="00023D1F">
        <w:rPr>
          <w:i/>
          <w:iCs/>
        </w:rPr>
        <w:t>supra</w:t>
      </w:r>
      <w:r w:rsidR="00023D1F">
        <w:t>, 12</w:t>
      </w:r>
      <w:r w:rsidR="00C0573B">
        <w:t> </w:t>
      </w:r>
      <w:r w:rsidR="00023D1F">
        <w:t>Cal.5th at p.</w:t>
      </w:r>
      <w:r w:rsidR="00C14057">
        <w:t> </w:t>
      </w:r>
      <w:r w:rsidR="00023D1F">
        <w:t>697.)</w:t>
      </w:r>
    </w:p>
    <w:p w:rsidR="00D404F1" w:rsidRPr="00023D1F" w:rsidP="00CD5435" w14:paraId="263FC134" w14:textId="77A77768">
      <w:pPr>
        <w:spacing w:line="360" w:lineRule="auto"/>
      </w:pPr>
      <w:r>
        <w:tab/>
        <w:t>Waqa</w:t>
      </w:r>
      <w:r w:rsidR="00F90B03">
        <w:t xml:space="preserve"> also</w:t>
      </w:r>
      <w:r>
        <w:t xml:space="preserve"> suggests that </w:t>
      </w:r>
      <w:r w:rsidR="008B16C0">
        <w:t>alleging</w:t>
      </w:r>
      <w:r w:rsidR="004870A9">
        <w:t xml:space="preserve"> </w:t>
      </w:r>
      <w:r w:rsidR="00357C9D">
        <w:t>circumstances</w:t>
      </w:r>
      <w:r w:rsidR="004870A9">
        <w:t xml:space="preserve"> requiring a</w:t>
      </w:r>
      <w:r w:rsidR="008B16C0">
        <w:t xml:space="preserve"> 25-year-to-life </w:t>
      </w:r>
      <w:r w:rsidR="004870A9">
        <w:t xml:space="preserve">term under section 667.61, subdivision (a), does not </w:t>
      </w:r>
      <w:r w:rsidR="006D0F50">
        <w:t xml:space="preserve">give </w:t>
      </w:r>
      <w:r w:rsidR="00357C9D">
        <w:t xml:space="preserve">fair notice that a 15-year-to-life term </w:t>
      </w:r>
      <w:r w:rsidR="00154337">
        <w:t xml:space="preserve">might apply under subdivision (b) of the statute, because subdivisions (a) and (b) are “mutually exclusive.”  </w:t>
      </w:r>
      <w:r w:rsidR="006721CC">
        <w:t xml:space="preserve">He </w:t>
      </w:r>
      <w:r w:rsidR="006675B8">
        <w:t>claims</w:t>
      </w:r>
      <w:r w:rsidR="006721CC">
        <w:t xml:space="preserve"> this is so </w:t>
      </w:r>
      <w:r w:rsidR="008F734E">
        <w:t xml:space="preserve">because the latter </w:t>
      </w:r>
      <w:r w:rsidR="005D4DD2">
        <w:t>provision</w:t>
      </w:r>
      <w:r w:rsidR="00D51AD0">
        <w:t xml:space="preserve"> states that “</w:t>
      </w:r>
      <w:r w:rsidRPr="001054A7" w:rsidR="00513DD0">
        <w:rPr>
          <w:i/>
          <w:iCs/>
        </w:rPr>
        <w:t>[e]xcept as provided in subdivision</w:t>
      </w:r>
      <w:r w:rsidR="008F734E">
        <w:rPr>
          <w:i/>
          <w:iCs/>
        </w:rPr>
        <w:t> </w:t>
      </w:r>
      <w:r w:rsidRPr="001054A7" w:rsidR="00513DD0">
        <w:rPr>
          <w:i/>
          <w:iCs/>
        </w:rPr>
        <w:t>(a)</w:t>
      </w:r>
      <w:r w:rsidRPr="001054A7" w:rsidR="00513DD0">
        <w:t>,</w:t>
      </w:r>
      <w:r w:rsidR="008F734E">
        <w:t> </w:t>
      </w:r>
      <w:r w:rsidR="00D51AD0">
        <w:t>.</w:t>
      </w:r>
      <w:r w:rsidR="008F734E">
        <w:t> </w:t>
      </w:r>
      <w:r w:rsidR="00D51AD0">
        <w:t xml:space="preserve">. . a person </w:t>
      </w:r>
      <w:r w:rsidR="006675B8">
        <w:t xml:space="preserve">who is convicted of </w:t>
      </w:r>
      <w:r w:rsidR="001054A7">
        <w:t xml:space="preserve">[a qualifying] offense </w:t>
      </w:r>
      <w:r w:rsidR="0060222D">
        <w:t>. . .</w:t>
      </w:r>
      <w:r w:rsidR="001054A7">
        <w:t xml:space="preserve"> under one of the</w:t>
      </w:r>
      <w:r w:rsidRPr="001054A7" w:rsidR="001054A7">
        <w:rPr>
          <w:i/>
          <w:iCs/>
        </w:rPr>
        <w:t xml:space="preserve"> </w:t>
      </w:r>
      <w:r w:rsidR="001054A7">
        <w:t>circumstances specified in subdivision (e) shall be punished by imprisonment in the state prison for 15 years to life.”  (§ 667.61, subd. (b)</w:t>
      </w:r>
      <w:r w:rsidR="008F734E">
        <w:t>, italics added.</w:t>
      </w:r>
      <w:r w:rsidR="001054A7">
        <w:t>)</w:t>
      </w:r>
      <w:r w:rsidR="006D24AB">
        <w:t xml:space="preserve">  </w:t>
      </w:r>
      <w:r w:rsidR="00213ED5">
        <w:t>But t</w:t>
      </w:r>
      <w:r w:rsidR="006D24AB">
        <w:t xml:space="preserve">he italicized language </w:t>
      </w:r>
      <w:r w:rsidR="002859FB">
        <w:t xml:space="preserve">means merely </w:t>
      </w:r>
      <w:r w:rsidR="00FF057A">
        <w:t xml:space="preserve">that if sufficient circumstances exist to require a 25-year-to-life term, that term must be imposed </w:t>
      </w:r>
      <w:r w:rsidR="00B44BA2">
        <w:t xml:space="preserve">even if the </w:t>
      </w:r>
      <w:r w:rsidR="00CC0793">
        <w:t xml:space="preserve">requirements for </w:t>
      </w:r>
      <w:r w:rsidR="00B44BA2">
        <w:t>a 15</w:t>
      </w:r>
      <w:r w:rsidR="00FF057A">
        <w:t>-year-to-life term</w:t>
      </w:r>
      <w:r w:rsidR="00CC0793">
        <w:t xml:space="preserve"> are also met</w:t>
      </w:r>
      <w:r w:rsidR="003E5425">
        <w:t xml:space="preserve">.  For example, </w:t>
      </w:r>
      <w:r w:rsidR="00307FD1">
        <w:t xml:space="preserve">if </w:t>
      </w:r>
      <w:r w:rsidR="003E5425">
        <w:t xml:space="preserve">“two or more circumstances in subdivision (e)” </w:t>
      </w:r>
      <w:r w:rsidR="00307FD1">
        <w:t>are</w:t>
      </w:r>
      <w:r w:rsidR="00214852">
        <w:t xml:space="preserve"> established</w:t>
      </w:r>
      <w:r w:rsidR="00307FD1">
        <w:t xml:space="preserve"> under subdivision (a), that necessarily means that </w:t>
      </w:r>
      <w:r w:rsidR="006E359F">
        <w:t>“one of the circumstances specified in subdivision</w:t>
      </w:r>
      <w:r w:rsidR="00307FD1">
        <w:t> </w:t>
      </w:r>
      <w:r w:rsidR="006E359F">
        <w:t>(e)”</w:t>
      </w:r>
      <w:r w:rsidR="00307FD1">
        <w:t xml:space="preserve"> is established under subdivision</w:t>
      </w:r>
      <w:r w:rsidR="00CC0793">
        <w:t> </w:t>
      </w:r>
      <w:r w:rsidR="00307FD1">
        <w:t xml:space="preserve">(b), </w:t>
      </w:r>
      <w:r w:rsidR="009A5C20">
        <w:t xml:space="preserve">but the italicized language requires imposition of the greater </w:t>
      </w:r>
      <w:r w:rsidR="005D4DD2">
        <w:t>sentence</w:t>
      </w:r>
      <w:r w:rsidR="009A5C20">
        <w:t>.</w:t>
      </w:r>
      <w:r w:rsidR="0018139F">
        <w:t xml:space="preserve">  Thus, </w:t>
      </w:r>
      <w:r w:rsidR="0029340D">
        <w:t>the decision to charge</w:t>
      </w:r>
      <w:r w:rsidR="003978A5">
        <w:t xml:space="preserve"> under</w:t>
      </w:r>
      <w:r w:rsidR="002E514F">
        <w:t xml:space="preserve"> subdivision (a)</w:t>
      </w:r>
      <w:r w:rsidR="00065C85">
        <w:t xml:space="preserve"> </w:t>
      </w:r>
      <w:r w:rsidR="005D4DD2">
        <w:t xml:space="preserve">does not </w:t>
      </w:r>
      <w:r w:rsidR="00776707">
        <w:t>suggest</w:t>
      </w:r>
      <w:r w:rsidR="00065C85">
        <w:t xml:space="preserve"> that </w:t>
      </w:r>
      <w:r w:rsidR="004B3C7C">
        <w:t xml:space="preserve">subdivision (b) </w:t>
      </w:r>
      <w:r w:rsidR="002342D0">
        <w:t>is inapplicable</w:t>
      </w:r>
      <w:r w:rsidR="004B3C7C">
        <w:t>.</w:t>
      </w:r>
      <w:r w:rsidR="004441C8">
        <w:t xml:space="preserve"> </w:t>
      </w:r>
      <w:r w:rsidR="006E359F">
        <w:t xml:space="preserve"> </w:t>
      </w:r>
    </w:p>
    <w:p w:rsidR="00C9381F" w:rsidP="00023D1F" w14:paraId="0936A7ED" w14:textId="4F1C119B">
      <w:pPr>
        <w:spacing w:line="360" w:lineRule="auto"/>
      </w:pPr>
      <w:r>
        <w:tab/>
        <w:t xml:space="preserve">In </w:t>
      </w:r>
      <w:r w:rsidR="002A12C5">
        <w:t xml:space="preserve">sum, we see no reason that Waqa should </w:t>
      </w:r>
      <w:r w:rsidR="002A163D">
        <w:t xml:space="preserve">avoid </w:t>
      </w:r>
      <w:r w:rsidR="002A12C5">
        <w:t xml:space="preserve">a One Strike sentence </w:t>
      </w:r>
      <w:r w:rsidR="00432537">
        <w:t>where the jury</w:t>
      </w:r>
      <w:r w:rsidR="00DE4BB6">
        <w:t xml:space="preserve"> necessarily made a factual finding that </w:t>
      </w:r>
      <w:r w:rsidR="008F3004">
        <w:t xml:space="preserve">satisfies a circumstance requiring a term of 15 years to life, that circumstance is a lesser included circumstance of the </w:t>
      </w:r>
      <w:r w:rsidR="002A163D">
        <w:t xml:space="preserve">one </w:t>
      </w:r>
      <w:r w:rsidR="008F3004">
        <w:t xml:space="preserve">found true, and </w:t>
      </w:r>
      <w:r w:rsidR="002A163D">
        <w:t xml:space="preserve">that circumstance is supported by </w:t>
      </w:r>
      <w:r w:rsidR="008F3004">
        <w:t>substantial evidence</w:t>
      </w:r>
      <w:r w:rsidR="008038E1">
        <w:t xml:space="preserve">.  </w:t>
      </w:r>
      <w:r w:rsidR="0042672F">
        <w:t xml:space="preserve">Because a 15-year-to-life sentence is mandatory </w:t>
      </w:r>
      <w:r w:rsidR="007D635C">
        <w:t xml:space="preserve">if a simple kidnapping is committed in conjunction with forcible rape </w:t>
      </w:r>
      <w:r w:rsidR="00B4656E">
        <w:t>and Waqa was not convicted of any other charges or enhancements, there is no need to remand for resentencing.  Accordingly, we order the judgment modified to reflect a sentence of 15 years to life for the rape under section 667.61, subdivisions (b) and (e)(1)</w:t>
      </w:r>
      <w:r w:rsidR="00EE0AC3">
        <w:t>.</w:t>
      </w:r>
    </w:p>
    <w:p w:rsidR="002109AE" w:rsidRPr="00131389" w:rsidP="007E2924" w14:paraId="3E756675" w14:textId="28EB3A7F">
      <w:pPr>
        <w:spacing w:line="360" w:lineRule="auto"/>
        <w:rPr>
          <w:i/>
          <w:iCs/>
        </w:rPr>
      </w:pPr>
      <w:r>
        <w:tab/>
      </w:r>
      <w:r>
        <w:rPr>
          <w:i/>
          <w:iCs/>
        </w:rPr>
        <w:t>B.</w:t>
      </w:r>
      <w:r>
        <w:rPr>
          <w:i/>
          <w:iCs/>
        </w:rPr>
        <w:tab/>
      </w:r>
      <w:r w:rsidR="00BC6628">
        <w:rPr>
          <w:i/>
          <w:iCs/>
        </w:rPr>
        <w:t xml:space="preserve">Waqa’s Claim of </w:t>
      </w:r>
      <w:r>
        <w:rPr>
          <w:i/>
          <w:iCs/>
        </w:rPr>
        <w:t>Prosecutorial Error</w:t>
      </w:r>
      <w:r w:rsidR="00BC6628">
        <w:rPr>
          <w:i/>
          <w:iCs/>
        </w:rPr>
        <w:t xml:space="preserve"> Fails.</w:t>
      </w:r>
    </w:p>
    <w:p w:rsidR="008B3056" w:rsidP="007E2924" w14:paraId="28D625A2" w14:textId="1D1F52CB">
      <w:pPr>
        <w:spacing w:line="360" w:lineRule="auto"/>
      </w:pPr>
      <w:r>
        <w:tab/>
      </w:r>
      <w:r w:rsidR="00937EDF">
        <w:t xml:space="preserve">Waqa </w:t>
      </w:r>
      <w:r w:rsidR="00E5751E">
        <w:t xml:space="preserve">also </w:t>
      </w:r>
      <w:r w:rsidR="00937EDF">
        <w:t>c</w:t>
      </w:r>
      <w:r w:rsidR="00615211">
        <w:t>laims</w:t>
      </w:r>
      <w:r w:rsidR="00937EDF">
        <w:t xml:space="preserve"> that the prosecutor </w:t>
      </w:r>
      <w:r w:rsidR="00ED4171">
        <w:t>misstated the</w:t>
      </w:r>
      <w:r w:rsidR="00495CCF">
        <w:t xml:space="preserve"> </w:t>
      </w:r>
      <w:r w:rsidR="007420E7">
        <w:t xml:space="preserve">law governing the “substantial distance” prong of the aggravated </w:t>
      </w:r>
      <w:r w:rsidR="00755576">
        <w:t xml:space="preserve">kidnapping circumstance </w:t>
      </w:r>
      <w:r w:rsidR="005307F7">
        <w:t xml:space="preserve">in her closing argument.  </w:t>
      </w:r>
      <w:r w:rsidR="00ED4171">
        <w:t>Specifically, he c</w:t>
      </w:r>
      <w:r w:rsidR="00615211">
        <w:t>ontend</w:t>
      </w:r>
      <w:r w:rsidR="00ED4171">
        <w:t>s that</w:t>
      </w:r>
      <w:r w:rsidR="00615211">
        <w:t xml:space="preserve"> the prosecutor “essentially equated any movement not inherent in the act of sexual intercourse as meeting that requirement.”</w:t>
      </w:r>
      <w:r>
        <w:rPr>
          <w:rStyle w:val="FootnoteReference"/>
        </w:rPr>
        <w:footnoteReference w:id="15"/>
      </w:r>
      <w:r w:rsidR="00615211">
        <w:t xml:space="preserve">  </w:t>
      </w:r>
      <w:r>
        <w:t>W</w:t>
      </w:r>
      <w:r w:rsidR="009B25D6">
        <w:t xml:space="preserve">aqa forfeited </w:t>
      </w:r>
      <w:r>
        <w:t>this claim by failing to object below</w:t>
      </w:r>
      <w:r w:rsidR="009B25D6">
        <w:t>, and it lacks merit in any event.</w:t>
      </w:r>
    </w:p>
    <w:p w:rsidR="00805B32" w:rsidP="00736A22" w14:paraId="0C4B754F" w14:textId="64162281">
      <w:pPr>
        <w:keepNext/>
        <w:spacing w:line="360" w:lineRule="auto"/>
      </w:pPr>
      <w:r>
        <w:tab/>
      </w:r>
      <w:r>
        <w:tab/>
        <w:t>1.</w:t>
      </w:r>
      <w:r>
        <w:tab/>
        <w:t>Additional facts</w:t>
      </w:r>
    </w:p>
    <w:p w:rsidR="00805B32" w:rsidP="007E2924" w14:paraId="40B137F3" w14:textId="55B7F91B">
      <w:pPr>
        <w:spacing w:line="360" w:lineRule="auto"/>
      </w:pPr>
      <w:r>
        <w:tab/>
      </w:r>
      <w:r w:rsidR="00232CDE">
        <w:t xml:space="preserve">The </w:t>
      </w:r>
      <w:r w:rsidR="004944CA">
        <w:t xml:space="preserve">jury was instructed </w:t>
      </w:r>
      <w:r w:rsidR="00E859BC">
        <w:t xml:space="preserve">under </w:t>
      </w:r>
      <w:r w:rsidR="004612EF">
        <w:t xml:space="preserve">a modified version of </w:t>
      </w:r>
      <w:r w:rsidR="00E859BC">
        <w:t>CALCRIM No.</w:t>
      </w:r>
      <w:r w:rsidR="004612EF">
        <w:t> </w:t>
      </w:r>
      <w:r w:rsidR="00E859BC">
        <w:t>3175 that one element of the aggravated kidnapping circumstance was that</w:t>
      </w:r>
      <w:r w:rsidR="009F3D6E">
        <w:t xml:space="preserve"> using force or fear,</w:t>
      </w:r>
      <w:r w:rsidR="00E859BC">
        <w:t xml:space="preserve"> </w:t>
      </w:r>
      <w:r w:rsidR="00B01602">
        <w:t>Waqa “moved</w:t>
      </w:r>
      <w:r w:rsidR="009F3D6E">
        <w:t xml:space="preserve"> Jane</w:t>
      </w:r>
      <w:r w:rsidR="00B01602">
        <w:t xml:space="preserve"> Doe </w:t>
      </w:r>
      <w:r w:rsidR="009F3D6E">
        <w:t xml:space="preserve">or made her move </w:t>
      </w:r>
      <w:r w:rsidR="00B01602">
        <w:t xml:space="preserve">a substantial distance.”  The instruction </w:t>
      </w:r>
      <w:r w:rsidR="00007F9E">
        <w:t>further stated, “</w:t>
      </w:r>
      <w:r w:rsidR="009F3D6E">
        <w:t xml:space="preserve">As used here, </w:t>
      </w:r>
      <w:r w:rsidRPr="009F3D6E" w:rsidR="00007F9E">
        <w:rPr>
          <w:i/>
          <w:iCs/>
        </w:rPr>
        <w:t>Substantial distance</w:t>
      </w:r>
      <w:r w:rsidR="00007F9E">
        <w:t xml:space="preserve"> means more than a slight or trivial distance.  The movement </w:t>
      </w:r>
      <w:r w:rsidR="004612EF">
        <w:t xml:space="preserve">must have increased the risk of physical or psychological harm to the person beyond that necessarily present in the rape.  The movement must be more than </w:t>
      </w:r>
      <w:r w:rsidR="00007F9E">
        <w:t xml:space="preserve">merely incidental to the commission of </w:t>
      </w:r>
      <w:r w:rsidR="004612EF">
        <w:t>[the rape]</w:t>
      </w:r>
      <w:r w:rsidR="00007F9E">
        <w:t xml:space="preserve">.  In deciding whether the distance was substantial </w:t>
      </w:r>
      <w:r w:rsidR="004612EF">
        <w:t>and whether the movement substantially increased the risk of harm,</w:t>
      </w:r>
      <w:r w:rsidR="00007F9E">
        <w:t xml:space="preserve"> you must consider all the circumstances relating to the movement.”</w:t>
      </w:r>
      <w:r>
        <w:tab/>
      </w:r>
    </w:p>
    <w:p w:rsidR="002324D0" w:rsidP="007E2924" w14:paraId="509A0734" w14:textId="2EFE6F96">
      <w:pPr>
        <w:spacing w:line="360" w:lineRule="auto"/>
      </w:pPr>
      <w:r>
        <w:tab/>
        <w:t xml:space="preserve">In closing argument, </w:t>
      </w:r>
      <w:r w:rsidR="00BC6E17">
        <w:t>the prosecutor defined “substantial distance” as “something more than slight or trivial.</w:t>
      </w:r>
      <w:r w:rsidR="00F54CAA">
        <w:t xml:space="preserve"> </w:t>
      </w:r>
      <w:r w:rsidR="0060222D">
        <w:t>. . .</w:t>
      </w:r>
      <w:r w:rsidR="00F54CAA">
        <w:t xml:space="preserve"> </w:t>
      </w:r>
      <w:r w:rsidR="00BB443B">
        <w:t xml:space="preserve"> </w:t>
      </w:r>
      <w:r w:rsidR="00F54CAA">
        <w:t>It’s about the quali[t]y of the movement, not the quantity.</w:t>
      </w:r>
      <w:r>
        <w:t xml:space="preserve"> [¶] The quantity, the amount of distance, 5 feet or 500 feet or 5 miles isn’t as relevant as the value of the movement.  What did the movement accomplish?  That’s what we’re looking at.  What’s its purpose and what does it accomplish?”  </w:t>
      </w:r>
      <w:r w:rsidR="00E0658C">
        <w:t xml:space="preserve">The prosecutor </w:t>
      </w:r>
      <w:r w:rsidR="00E85509">
        <w:t>argued that Waqa had “[a] specific intent to move [Doe] to facilitate the rape that he intended.”  According to the prosecutor,</w:t>
      </w:r>
      <w:r w:rsidR="00C865F5">
        <w:t xml:space="preserve"> </w:t>
      </w:r>
      <w:r w:rsidR="0026008D">
        <w:t xml:space="preserve">“[h]ad there been no kidnapping, </w:t>
      </w:r>
      <w:r w:rsidR="00E90C55">
        <w:t>[Waqa]</w:t>
      </w:r>
      <w:r w:rsidR="0026008D">
        <w:t xml:space="preserve"> would have raped </w:t>
      </w:r>
      <w:r w:rsidR="00E90C55">
        <w:t>[Doe]</w:t>
      </w:r>
      <w:r w:rsidR="0026008D">
        <w:t xml:space="preserve"> right ther</w:t>
      </w:r>
      <w:r w:rsidR="00C865F5">
        <w:t xml:space="preserve">e </w:t>
      </w:r>
      <w:r w:rsidR="0026008D">
        <w:t xml:space="preserve">[in the small stall],” but </w:t>
      </w:r>
      <w:r w:rsidR="00F75047">
        <w:t xml:space="preserve">he moved her to the large stall so </w:t>
      </w:r>
      <w:r w:rsidR="00B05892">
        <w:t xml:space="preserve">he </w:t>
      </w:r>
      <w:r w:rsidR="006638EC">
        <w:t>would</w:t>
      </w:r>
      <w:r w:rsidR="00F75047">
        <w:t xml:space="preserve"> have more room “to move and maneuver and control.” </w:t>
      </w:r>
      <w:r w:rsidR="006638EC">
        <w:t xml:space="preserve"> The prosecutor</w:t>
      </w:r>
      <w:r w:rsidR="009B6FC3">
        <w:t xml:space="preserve"> also</w:t>
      </w:r>
      <w:r w:rsidR="006638EC">
        <w:t xml:space="preserve"> contended that the movement had both physical and psychological “value”</w:t>
      </w:r>
      <w:r w:rsidR="00B05892">
        <w:t xml:space="preserve"> because </w:t>
      </w:r>
      <w:r w:rsidR="003103F8">
        <w:t>Waqa</w:t>
      </w:r>
      <w:r w:rsidR="001245D3">
        <w:t xml:space="preserve"> was able to lock Doe inside the large stall,</w:t>
      </w:r>
      <w:r w:rsidR="00B05892">
        <w:t xml:space="preserve"> ma</w:t>
      </w:r>
      <w:r w:rsidR="001245D3">
        <w:t>king</w:t>
      </w:r>
      <w:r w:rsidR="00B05892">
        <w:t xml:space="preserve"> it </w:t>
      </w:r>
      <w:r w:rsidR="003103F8">
        <w:t xml:space="preserve">easier </w:t>
      </w:r>
      <w:r w:rsidR="003F3B85">
        <w:t xml:space="preserve">to control her and </w:t>
      </w:r>
      <w:r w:rsidR="00A574FD">
        <w:t xml:space="preserve">harder for her to escape.  </w:t>
      </w:r>
    </w:p>
    <w:p w:rsidR="00C865F5" w:rsidP="007E2924" w14:paraId="7E00746C" w14:textId="43F6F3FF">
      <w:pPr>
        <w:spacing w:line="360" w:lineRule="auto"/>
      </w:pPr>
      <w:r>
        <w:tab/>
        <w:t>The prosecutor also addressed the requirement that the movement not be incidental to the rape.  She</w:t>
      </w:r>
      <w:r w:rsidR="00F9043A">
        <w:t xml:space="preserve"> stated, “What are we talking about when we talk about incidental?  Sex by definition is a dynamic act.  It requires some amount of movement.  There is movement natural in sexual intercourse. [¶] Movement incidental to sexual intercourse would be the movement that is natural to the act, okay?</w:t>
      </w:r>
      <w:r w:rsidR="00B560DD">
        <w:t xml:space="preserve">”  According to the prosecutor, although </w:t>
      </w:r>
      <w:r w:rsidR="00743989">
        <w:t>Doe’s struggling</w:t>
      </w:r>
      <w:r w:rsidR="00B560DD">
        <w:t xml:space="preserve"> during the rape </w:t>
      </w:r>
      <w:r w:rsidR="00630DCD">
        <w:t xml:space="preserve">was incidental to the rape, “[m]oving </w:t>
      </w:r>
      <w:r w:rsidR="000167D0">
        <w:t xml:space="preserve">her </w:t>
      </w:r>
      <w:r w:rsidR="00630DCD">
        <w:t>for purpose</w:t>
      </w:r>
      <w:r w:rsidR="00034241">
        <w:t>s</w:t>
      </w:r>
      <w:r w:rsidR="00630DCD">
        <w:t xml:space="preserve"> of accomplishing [Waqa’s] act is not incidental to the crime.  It’s separate and apart.  The above and beyond.  It’s more than what was necessary to rape her</w:t>
      </w:r>
      <w:r w:rsidR="006931BB">
        <w:t>. . . .</w:t>
      </w:r>
      <w:r w:rsidR="003103F8">
        <w:t xml:space="preserve"> [¶]</w:t>
      </w:r>
      <w:r w:rsidR="00150BBA">
        <w:t xml:space="preserve"> </w:t>
      </w:r>
      <w:r w:rsidR="003103F8">
        <w:t xml:space="preserve">It was movement that is above and beyond to accomplish the psychological or physical goals.” </w:t>
      </w:r>
    </w:p>
    <w:p w:rsidR="00805B32" w:rsidP="00ED1379" w14:paraId="0A299068" w14:textId="74701A3A">
      <w:pPr>
        <w:keepNext/>
        <w:spacing w:line="360" w:lineRule="auto"/>
      </w:pPr>
      <w:r>
        <w:tab/>
      </w:r>
      <w:r>
        <w:tab/>
        <w:t>2.</w:t>
      </w:r>
      <w:r>
        <w:tab/>
        <w:t>Analysis</w:t>
      </w:r>
    </w:p>
    <w:p w:rsidR="000A2661" w:rsidP="007E2924" w14:paraId="4142AB97" w14:textId="6D98825F">
      <w:pPr>
        <w:spacing w:line="360" w:lineRule="auto"/>
      </w:pPr>
      <w:r>
        <w:tab/>
      </w:r>
      <w:r w:rsidR="00FD6060">
        <w:t xml:space="preserve">Prosecutorial error is established, “as a matter of state law, when a prosecutor ‘engage[s] in deceptive or reprehensible tactics in order to persuade the trier of fact to convict.’  [Citation.]  Federal constitutional error occurs only when the prosecutor’s actions ‘comprise a pattern </w:t>
      </w:r>
      <w:r w:rsidR="00E4178B">
        <w:t>of cond</w:t>
      </w:r>
      <w:r w:rsidR="00DF24E4">
        <w:t xml:space="preserve">uct that is serious and egregious, such that the trial is rendered so unfair </w:t>
      </w:r>
      <w:r w:rsidR="0070476A">
        <w:t>that the resulting conviction violates the defendant’s right to due process of law.’</w:t>
      </w:r>
      <w:r w:rsidR="00CE7DAC">
        <w:t> </w:t>
      </w:r>
      <w:r w:rsidR="0070476A">
        <w:t>”  (</w:t>
      </w:r>
      <w:r w:rsidR="0070476A">
        <w:rPr>
          <w:i/>
          <w:iCs/>
        </w:rPr>
        <w:t>People</w:t>
      </w:r>
      <w:r w:rsidR="002F587B">
        <w:rPr>
          <w:i/>
          <w:iCs/>
        </w:rPr>
        <w:t> </w:t>
      </w:r>
      <w:r w:rsidR="0070476A">
        <w:rPr>
          <w:i/>
          <w:iCs/>
        </w:rPr>
        <w:t xml:space="preserve">v. </w:t>
      </w:r>
      <w:r w:rsidR="00D77A2B">
        <w:rPr>
          <w:i/>
          <w:iCs/>
        </w:rPr>
        <w:t>Daveggio</w:t>
      </w:r>
      <w:r w:rsidR="00D72032">
        <w:rPr>
          <w:i/>
          <w:iCs/>
        </w:rPr>
        <w:t xml:space="preserve"> and Michaud</w:t>
      </w:r>
      <w:r w:rsidR="00D72032">
        <w:t xml:space="preserve"> (</w:t>
      </w:r>
      <w:r w:rsidR="00CB7F4D">
        <w:t>2018) 4 Cal.5th 790, 854.)  “</w:t>
      </w:r>
      <w:r w:rsidR="00CE7DAC">
        <w:t> </w:t>
      </w:r>
      <w:r w:rsidR="00CB7F4D">
        <w:t>‘</w:t>
      </w:r>
      <w:r w:rsidR="00CE7DAC">
        <w:t> </w:t>
      </w:r>
      <w:r w:rsidR="00CB7F4D">
        <w:t>“</w:t>
      </w:r>
      <w:r w:rsidR="00CE7DAC">
        <w:t> </w:t>
      </w:r>
      <w:r w:rsidR="0084239E">
        <w:t>‘</w:t>
      </w:r>
      <w:r w:rsidR="00CB7F4D">
        <w:t>It is improper for the prosecutor to misstate the law generally [citation</w:t>
      </w:r>
      <w:r w:rsidR="0084239E">
        <w:t xml:space="preserve">], and particularly to attempt to absolve the prosecution from its prima facie obligation to </w:t>
      </w:r>
      <w:r w:rsidR="00CD0919">
        <w:t>overcome reasonable doubt on all elements.’</w:t>
      </w:r>
      <w:r w:rsidR="00B04A55">
        <w:t> </w:t>
      </w:r>
      <w:r w:rsidR="00CD0919">
        <w:t>”</w:t>
      </w:r>
      <w:r w:rsidR="00CE7DAC">
        <w:t> </w:t>
      </w:r>
      <w:r w:rsidR="00CD0919">
        <w:t>’</w:t>
      </w:r>
      <w:r w:rsidR="00CE7DAC">
        <w:t> </w:t>
      </w:r>
      <w:r>
        <w:t>”  (</w:t>
      </w:r>
      <w:r>
        <w:rPr>
          <w:i/>
          <w:iCs/>
        </w:rPr>
        <w:t>People</w:t>
      </w:r>
      <w:r w:rsidR="002F587B">
        <w:rPr>
          <w:i/>
          <w:iCs/>
        </w:rPr>
        <w:t> </w:t>
      </w:r>
      <w:r>
        <w:rPr>
          <w:i/>
          <w:iCs/>
        </w:rPr>
        <w:t>v. Doane</w:t>
      </w:r>
      <w:r>
        <w:t xml:space="preserve"> (2021) 66 Cal.App.5th 965, 976.)</w:t>
      </w:r>
    </w:p>
    <w:p w:rsidR="00755576" w:rsidRPr="007112B8" w:rsidP="007E2924" w14:paraId="0341370A" w14:textId="1EBBFE1D">
      <w:pPr>
        <w:spacing w:line="360" w:lineRule="auto"/>
      </w:pPr>
      <w:r>
        <w:tab/>
      </w:r>
      <w:r w:rsidR="007112B8">
        <w:t>“</w:t>
      </w:r>
      <w:r w:rsidR="00B04A55">
        <w:t> </w:t>
      </w:r>
      <w:r w:rsidR="007112B8">
        <w:t>‘To prevail on a claim of prosecutorial misconduct based on remarks to the jury, the defendant must show a reasonable likelihood the jury understood or applied the complained-of comments in an improper or erroneous manner.  [Citations.]  In conducting this inquiry, we “do not lightly infer” that the jury drew the most damaging rather than the least damaging meaning from the prosecutor’s statements.’</w:t>
      </w:r>
      <w:r w:rsidR="00B04A55">
        <w:t> </w:t>
      </w:r>
      <w:r w:rsidR="007112B8">
        <w:t>”  (</w:t>
      </w:r>
      <w:r w:rsidR="007112B8">
        <w:rPr>
          <w:i/>
          <w:iCs/>
        </w:rPr>
        <w:t>People</w:t>
      </w:r>
      <w:r w:rsidR="002F587B">
        <w:rPr>
          <w:i/>
          <w:iCs/>
        </w:rPr>
        <w:t> </w:t>
      </w:r>
      <w:r w:rsidR="007112B8">
        <w:rPr>
          <w:i/>
          <w:iCs/>
        </w:rPr>
        <w:t>v. Brown</w:t>
      </w:r>
      <w:r w:rsidR="007112B8">
        <w:t xml:space="preserve"> (2003) 31 Cal.4th 518, 553–554.)  </w:t>
      </w:r>
    </w:p>
    <w:p w:rsidR="00540A0C" w:rsidP="007E2924" w14:paraId="3AC055D5" w14:textId="0F33CE3A">
      <w:pPr>
        <w:spacing w:line="360" w:lineRule="auto"/>
      </w:pPr>
      <w:r>
        <w:tab/>
      </w:r>
      <w:r w:rsidR="008C1796">
        <w:t xml:space="preserve">We agree with the Attorney General that Waqa forfeited this claim by failing to object below.  </w:t>
      </w:r>
      <w:r w:rsidR="00A85D35">
        <w:t>Usually</w:t>
      </w:r>
      <w:r w:rsidR="0050597D">
        <w:t>, to preserve a claim of prosecutorial error, “</w:t>
      </w:r>
      <w:r w:rsidR="00B04A55">
        <w:t> </w:t>
      </w:r>
      <w:r w:rsidR="0050597D">
        <w:t>‘a defendant must make a timely objection and request an admonition; only if an admonition would not have cured the harm is the claim of misconduct preserved for review.</w:t>
      </w:r>
      <w:r w:rsidR="007226E6">
        <w:t>’</w:t>
      </w:r>
      <w:r w:rsidR="00B04A55">
        <w:t> </w:t>
      </w:r>
      <w:r w:rsidR="007226E6">
        <w:t>”</w:t>
      </w:r>
      <w:r w:rsidR="00A5495B">
        <w:t xml:space="preserve">  </w:t>
      </w:r>
      <w:r w:rsidR="002169AE">
        <w:t>(</w:t>
      </w:r>
      <w:r w:rsidR="002169AE">
        <w:rPr>
          <w:i/>
          <w:iCs/>
        </w:rPr>
        <w:t>People</w:t>
      </w:r>
      <w:r w:rsidR="00A14ACE">
        <w:rPr>
          <w:i/>
          <w:iCs/>
        </w:rPr>
        <w:t> </w:t>
      </w:r>
      <w:r w:rsidR="002169AE">
        <w:rPr>
          <w:i/>
          <w:iCs/>
        </w:rPr>
        <w:t>v. Friend</w:t>
      </w:r>
      <w:r w:rsidR="002169AE">
        <w:t xml:space="preserve"> (2009) 47 Cal.4th 1, 29.)</w:t>
      </w:r>
      <w:r w:rsidR="00566255">
        <w:t xml:space="preserve">  Th</w:t>
      </w:r>
      <w:r w:rsidR="00987DA7">
        <w:t>e failure to object</w:t>
      </w:r>
      <w:r w:rsidR="00A85D35">
        <w:t xml:space="preserve"> or request an admonition</w:t>
      </w:r>
      <w:r w:rsidR="00987DA7">
        <w:t xml:space="preserve"> may also be excused if doing so would have been futile.  (</w:t>
      </w:r>
      <w:r w:rsidR="00987DA7">
        <w:rPr>
          <w:i/>
          <w:iCs/>
        </w:rPr>
        <w:t>People</w:t>
      </w:r>
      <w:r w:rsidR="00A14ACE">
        <w:rPr>
          <w:i/>
          <w:iCs/>
        </w:rPr>
        <w:t> </w:t>
      </w:r>
      <w:r w:rsidR="00987DA7">
        <w:rPr>
          <w:i/>
          <w:iCs/>
        </w:rPr>
        <w:t>v. Fayed</w:t>
      </w:r>
      <w:r w:rsidR="00987DA7">
        <w:t xml:space="preserve"> (2020) 9</w:t>
      </w:r>
      <w:r w:rsidR="00A14ACE">
        <w:t> </w:t>
      </w:r>
      <w:r w:rsidR="00987DA7">
        <w:t xml:space="preserve">Cal.5th 147, </w:t>
      </w:r>
      <w:r w:rsidR="00707858">
        <w:t>204.</w:t>
      </w:r>
      <w:r w:rsidR="008C2556">
        <w:t xml:space="preserve">)  </w:t>
      </w:r>
      <w:r w:rsidR="00A60CC0">
        <w:t xml:space="preserve">Waqa does not </w:t>
      </w:r>
      <w:r w:rsidR="003425A2">
        <w:t>contest that he failed to object below</w:t>
      </w:r>
      <w:r w:rsidR="001A1AAC">
        <w:t xml:space="preserve">, and he states only in passing that an objection would have been futile. </w:t>
      </w:r>
      <w:r w:rsidR="001E5CD1">
        <w:t xml:space="preserve"> </w:t>
      </w:r>
      <w:r>
        <w:t>Therefore, the claim is forfeited.</w:t>
      </w:r>
    </w:p>
    <w:p w:rsidR="007B148D" w:rsidRPr="00BC19F8" w:rsidP="007E2924" w14:paraId="08ECF6FA" w14:textId="3F1CDB6D">
      <w:pPr>
        <w:spacing w:line="360" w:lineRule="auto"/>
      </w:pPr>
      <w:r>
        <w:tab/>
        <w:t xml:space="preserve">Even if we </w:t>
      </w:r>
      <w:r w:rsidR="007D4CB1">
        <w:t xml:space="preserve">were to </w:t>
      </w:r>
      <w:r>
        <w:t xml:space="preserve">consider </w:t>
      </w:r>
      <w:r w:rsidR="00E5751E">
        <w:t>the</w:t>
      </w:r>
      <w:r>
        <w:t xml:space="preserve"> claim on the merits, </w:t>
      </w:r>
      <w:r w:rsidR="00D278A6">
        <w:t>we would reject it</w:t>
      </w:r>
      <w:r>
        <w:t xml:space="preserve">.  Waqa fails to convince us that the prosecutor misstated the </w:t>
      </w:r>
      <w:r w:rsidR="00C72F9D">
        <w:t>law governing the substantial</w:t>
      </w:r>
      <w:r w:rsidR="006B6182">
        <w:t>-</w:t>
      </w:r>
      <w:r w:rsidR="00C72F9D">
        <w:t xml:space="preserve">distance prong of the aggravated kidnapping circumstance.  </w:t>
      </w:r>
      <w:r w:rsidR="006346FB">
        <w:t>The</w:t>
      </w:r>
      <w:r w:rsidR="00FE57C2">
        <w:t xml:space="preserve"> prosecutor </w:t>
      </w:r>
      <w:r w:rsidR="00645FA2">
        <w:t xml:space="preserve">correctly </w:t>
      </w:r>
      <w:r w:rsidR="00E470C7">
        <w:t xml:space="preserve">stated that the movement had to be more than trivial and more than </w:t>
      </w:r>
      <w:r w:rsidR="00C61926">
        <w:t xml:space="preserve">that </w:t>
      </w:r>
      <w:r w:rsidR="00A938E0">
        <w:t>inherent in the rape itself.</w:t>
      </w:r>
      <w:r w:rsidR="00AB140C">
        <w:t xml:space="preserve">  (</w:t>
      </w:r>
      <w:r w:rsidR="00AB140C">
        <w:rPr>
          <w:i/>
          <w:iCs/>
        </w:rPr>
        <w:t>People</w:t>
      </w:r>
      <w:r w:rsidR="00A14ACE">
        <w:rPr>
          <w:i/>
          <w:iCs/>
        </w:rPr>
        <w:t> </w:t>
      </w:r>
      <w:r w:rsidR="00AB140C">
        <w:rPr>
          <w:i/>
          <w:iCs/>
        </w:rPr>
        <w:t>v. Gomez</w:t>
      </w:r>
      <w:r w:rsidR="00AB140C">
        <w:t xml:space="preserve">, </w:t>
      </w:r>
      <w:r w:rsidR="00AB140C">
        <w:rPr>
          <w:i/>
          <w:iCs/>
        </w:rPr>
        <w:t>supra</w:t>
      </w:r>
      <w:r w:rsidR="00AB140C">
        <w:t>,</w:t>
      </w:r>
      <w:r w:rsidR="00AB140C">
        <w:rPr>
          <w:i/>
          <w:iCs/>
        </w:rPr>
        <w:t xml:space="preserve"> </w:t>
      </w:r>
      <w:r w:rsidR="00AB140C">
        <w:t>6</w:t>
      </w:r>
      <w:r w:rsidR="006346FB">
        <w:t> </w:t>
      </w:r>
      <w:r w:rsidR="00AB140C">
        <w:t>Cal.5th at p.</w:t>
      </w:r>
      <w:r w:rsidR="00320B2C">
        <w:t> </w:t>
      </w:r>
      <w:r w:rsidR="00AB140C">
        <w:t xml:space="preserve">304; </w:t>
      </w:r>
      <w:r w:rsidR="00AB140C">
        <w:rPr>
          <w:i/>
          <w:iCs/>
        </w:rPr>
        <w:t>Dominguez</w:t>
      </w:r>
      <w:r w:rsidR="00AB140C">
        <w:t xml:space="preserve">, </w:t>
      </w:r>
      <w:r w:rsidR="00AB140C">
        <w:rPr>
          <w:i/>
          <w:iCs/>
        </w:rPr>
        <w:t>supra</w:t>
      </w:r>
      <w:r w:rsidR="00AB140C">
        <w:t>, 39 Cal.4th at p.</w:t>
      </w:r>
      <w:r w:rsidR="00320B2C">
        <w:t> </w:t>
      </w:r>
      <w:r w:rsidR="00AB140C">
        <w:t xml:space="preserve">1150.)  </w:t>
      </w:r>
      <w:r w:rsidR="006346FB">
        <w:t>She also correctly</w:t>
      </w:r>
      <w:r w:rsidR="00A938E0">
        <w:t xml:space="preserve"> </w:t>
      </w:r>
      <w:r w:rsidR="00C1769B">
        <w:t xml:space="preserve">argued </w:t>
      </w:r>
      <w:r w:rsidR="004F333E">
        <w:t>that the movement was substantial because it increased the risk of physical and psychological harm</w:t>
      </w:r>
      <w:r w:rsidR="00862B80">
        <w:t xml:space="preserve">.  </w:t>
      </w:r>
      <w:r w:rsidR="00AB140C">
        <w:t>(</w:t>
      </w:r>
      <w:r w:rsidR="00AB140C">
        <w:rPr>
          <w:i/>
          <w:iCs/>
        </w:rPr>
        <w:t>Gomez</w:t>
      </w:r>
      <w:r w:rsidR="00AB140C">
        <w:t>, at p.</w:t>
      </w:r>
      <w:r w:rsidR="00320B2C">
        <w:t> </w:t>
      </w:r>
      <w:r w:rsidR="00AB140C">
        <w:t>304</w:t>
      </w:r>
      <w:r w:rsidR="00862B80">
        <w:t>.</w:t>
      </w:r>
      <w:r w:rsidR="00AB140C">
        <w:t>)</w:t>
      </w:r>
      <w:r w:rsidR="00862B80">
        <w:t xml:space="preserve">  We do not </w:t>
      </w:r>
      <w:r w:rsidR="006346FB">
        <w:t>see how the prosecutor’s</w:t>
      </w:r>
      <w:r w:rsidR="000C149B">
        <w:t xml:space="preserve"> stray statement that the movement “facilitated the rape” </w:t>
      </w:r>
      <w:r w:rsidR="00691C74">
        <w:t xml:space="preserve">implied that </w:t>
      </w:r>
      <w:r w:rsidR="00220BA4">
        <w:t xml:space="preserve">“any movement that made the rape easier for the rapist” was sufficient to constitute a substantial distance.  To the contrary, the prosecutor </w:t>
      </w:r>
      <w:r w:rsidR="00795634">
        <w:t xml:space="preserve">referred to appropriate factors in arguing that </w:t>
      </w:r>
      <w:r w:rsidR="002523D8">
        <w:t>Doe was moved</w:t>
      </w:r>
      <w:r w:rsidR="00684D82">
        <w:t xml:space="preserve"> </w:t>
      </w:r>
      <w:r w:rsidR="002523D8">
        <w:t>a</w:t>
      </w:r>
      <w:r w:rsidR="005874DF">
        <w:t xml:space="preserve"> substantial</w:t>
      </w:r>
      <w:r w:rsidR="002523D8">
        <w:t xml:space="preserve"> distance</w:t>
      </w:r>
      <w:r w:rsidR="005874DF">
        <w:t>.</w:t>
      </w:r>
      <w:r w:rsidR="002523D8">
        <w:t xml:space="preserve">  No prosecutorial error occurred.</w:t>
      </w:r>
    </w:p>
    <w:p w:rsidR="007E2924" w:rsidRPr="008E4889" w:rsidP="007E2924" w14:paraId="758051B7" w14:textId="77777777">
      <w:pPr>
        <w:spacing w:line="240" w:lineRule="auto"/>
        <w:jc w:val="center"/>
      </w:pPr>
      <w:r w:rsidRPr="008E4889">
        <w:t>III.</w:t>
      </w:r>
      <w:r w:rsidRPr="008E4889">
        <w:br/>
      </w:r>
      <w:r w:rsidRPr="008E4889">
        <w:rPr>
          <w:smallCaps/>
        </w:rPr>
        <w:t>Disposition</w:t>
      </w:r>
    </w:p>
    <w:p w:rsidR="007E2924" w:rsidRPr="008E4889" w:rsidP="007E2924" w14:paraId="56CBCC6B" w14:textId="4250C4C7">
      <w:pPr>
        <w:spacing w:before="180" w:line="360" w:lineRule="auto"/>
      </w:pPr>
      <w:r>
        <w:tab/>
      </w:r>
      <w:r w:rsidR="00AD19B6">
        <w:t>The</w:t>
      </w:r>
      <w:r w:rsidR="00527788">
        <w:t xml:space="preserve"> </w:t>
      </w:r>
      <w:r w:rsidR="00C240C0">
        <w:t>judgment is modified to</w:t>
      </w:r>
      <w:r w:rsidR="00C712AF">
        <w:t xml:space="preserve"> reduce the sentence </w:t>
      </w:r>
      <w:r w:rsidR="00ED61DE">
        <w:t xml:space="preserve">imposed </w:t>
      </w:r>
      <w:r w:rsidR="005C4984">
        <w:t xml:space="preserve">for the rape </w:t>
      </w:r>
      <w:r w:rsidR="00C712AF">
        <w:t>of 25</w:t>
      </w:r>
      <w:r w:rsidR="005C4984">
        <w:t> </w:t>
      </w:r>
      <w:r w:rsidR="00C712AF">
        <w:t>years to life under Penal Code section 667.61, subdivisions (a) and (d)(2),</w:t>
      </w:r>
      <w:r w:rsidR="0098420D">
        <w:t xml:space="preserve"> to a term of 15</w:t>
      </w:r>
      <w:r w:rsidR="005C4984">
        <w:t> </w:t>
      </w:r>
      <w:r w:rsidR="0098420D">
        <w:t xml:space="preserve">years to life under subdivisions (b) and (e)(1) of that statute.  </w:t>
      </w:r>
      <w:r w:rsidR="00460739">
        <w:t>The trial court is directed to prepare an amended abstract of</w:t>
      </w:r>
      <w:r w:rsidR="0091473D">
        <w:t xml:space="preserve"> </w:t>
      </w:r>
      <w:r w:rsidR="00460739">
        <w:t xml:space="preserve">judgment reflecting this </w:t>
      </w:r>
      <w:r w:rsidRPr="00245673" w:rsidR="00460739">
        <w:t>modification</w:t>
      </w:r>
      <w:r w:rsidRPr="00245673" w:rsidR="0091473D">
        <w:t xml:space="preserve"> and correcting the date of conviction to July 27, 2021, </w:t>
      </w:r>
      <w:r w:rsidRPr="00245673" w:rsidR="00460739">
        <w:t xml:space="preserve">and forward it to the Department of Corrections and Rehabilitation.  </w:t>
      </w:r>
      <w:r w:rsidRPr="00245673" w:rsidR="00320B77">
        <w:t>In all other respects</w:t>
      </w:r>
      <w:r w:rsidR="00320B77">
        <w:t>, the judgment is affirmed.</w:t>
      </w:r>
      <w:r w:rsidR="00AD19B6">
        <w:t xml:space="preserve">  </w:t>
      </w:r>
    </w:p>
    <w:p w:rsidR="007E2924" w:rsidRPr="008E4889" w:rsidP="007E2924" w14:paraId="636E1749" w14:textId="37274462">
      <w:pPr>
        <w:spacing w:before="180" w:line="360" w:lineRule="auto"/>
      </w:pPr>
    </w:p>
    <w:p w:rsidR="00962E46" w14:paraId="66B4791F" w14:textId="13A64267">
      <w:pPr>
        <w:tabs>
          <w:tab w:val="clear" w:pos="720"/>
        </w:tabs>
        <w:spacing w:line="360" w:lineRule="auto"/>
      </w:pPr>
      <w:r>
        <w:br w:type="page"/>
      </w:r>
    </w:p>
    <w:p w:rsidR="00435EAF" w:rsidP="003916EA" w14:paraId="6C4E1E9D" w14:textId="77777777">
      <w:pPr>
        <w:spacing w:line="360" w:lineRule="auto"/>
      </w:pPr>
    </w:p>
    <w:p w:rsidR="003916EA" w:rsidP="003916EA" w14:paraId="4E8D26AC" w14:textId="18117B37">
      <w:pPr>
        <w:spacing w:line="360" w:lineRule="auto"/>
      </w:pPr>
      <w:r>
        <w:tab/>
      </w:r>
      <w:r>
        <w:tab/>
      </w:r>
      <w:r>
        <w:tab/>
      </w:r>
      <w:r>
        <w:tab/>
      </w:r>
      <w:r>
        <w:tab/>
      </w:r>
      <w:r>
        <w:tab/>
      </w:r>
      <w:r>
        <w:tab/>
        <w:t>_________________________</w:t>
      </w:r>
    </w:p>
    <w:p w:rsidR="003916EA" w:rsidP="003916EA" w14:paraId="2033983D" w14:textId="14E969A5">
      <w:pPr>
        <w:spacing w:line="360" w:lineRule="auto"/>
      </w:pPr>
      <w:r>
        <w:tab/>
      </w:r>
      <w:r>
        <w:tab/>
      </w:r>
      <w:r>
        <w:tab/>
      </w:r>
      <w:r>
        <w:tab/>
      </w:r>
      <w:r>
        <w:tab/>
      </w:r>
      <w:r>
        <w:tab/>
      </w:r>
      <w:r>
        <w:tab/>
        <w:t>Humes, P.J.</w:t>
      </w:r>
    </w:p>
    <w:p w:rsidR="003916EA" w:rsidP="003916EA" w14:paraId="1E15BD3B" w14:textId="77777777">
      <w:pPr>
        <w:spacing w:line="360" w:lineRule="auto"/>
      </w:pPr>
    </w:p>
    <w:p w:rsidR="003916EA" w:rsidP="003916EA" w14:paraId="5501ED54" w14:textId="77777777">
      <w:pPr>
        <w:spacing w:line="360" w:lineRule="auto"/>
      </w:pPr>
    </w:p>
    <w:p w:rsidR="003916EA" w:rsidP="003916EA" w14:paraId="3BA1899F" w14:textId="3F2973A6">
      <w:pPr>
        <w:spacing w:line="360" w:lineRule="auto"/>
      </w:pPr>
      <w:r>
        <w:t>WE CONCUR:</w:t>
      </w:r>
    </w:p>
    <w:p w:rsidR="003916EA" w:rsidP="003916EA" w14:paraId="11BB0443" w14:textId="77777777">
      <w:pPr>
        <w:spacing w:line="360" w:lineRule="auto"/>
      </w:pPr>
    </w:p>
    <w:p w:rsidR="003916EA" w:rsidP="003916EA" w14:paraId="4B529B97" w14:textId="77777777">
      <w:pPr>
        <w:spacing w:line="360" w:lineRule="auto"/>
      </w:pPr>
    </w:p>
    <w:p w:rsidR="003916EA" w:rsidP="003916EA" w14:paraId="0120DB74" w14:textId="648F8EF6">
      <w:pPr>
        <w:spacing w:line="360" w:lineRule="auto"/>
      </w:pPr>
      <w:r>
        <w:t>_________________________</w:t>
      </w:r>
    </w:p>
    <w:p w:rsidR="003916EA" w:rsidP="003916EA" w14:paraId="4189F3FE" w14:textId="2010343C">
      <w:pPr>
        <w:spacing w:line="360" w:lineRule="auto"/>
      </w:pPr>
      <w:r>
        <w:t>Margulies, J.</w:t>
      </w:r>
    </w:p>
    <w:p w:rsidR="003916EA" w:rsidP="003916EA" w14:paraId="19920DA6" w14:textId="77777777">
      <w:pPr>
        <w:spacing w:line="360" w:lineRule="auto"/>
      </w:pPr>
    </w:p>
    <w:p w:rsidR="003916EA" w:rsidP="003916EA" w14:paraId="259AC9D2" w14:textId="77777777">
      <w:pPr>
        <w:spacing w:line="360" w:lineRule="auto"/>
      </w:pPr>
    </w:p>
    <w:p w:rsidR="003916EA" w:rsidP="003916EA" w14:paraId="51A08608" w14:textId="1642BF05">
      <w:pPr>
        <w:spacing w:line="360" w:lineRule="auto"/>
      </w:pPr>
      <w:r>
        <w:t>_________________________</w:t>
      </w:r>
    </w:p>
    <w:p w:rsidR="003916EA" w:rsidP="003916EA" w14:paraId="3146C39C" w14:textId="05DE0181">
      <w:pPr>
        <w:spacing w:line="360" w:lineRule="auto"/>
      </w:pPr>
      <w:r>
        <w:t>Bowen, J.*</w:t>
      </w:r>
    </w:p>
    <w:p w:rsidR="003916EA" w:rsidP="003916EA" w14:paraId="757A68FC" w14:textId="77777777">
      <w:pPr>
        <w:spacing w:line="360" w:lineRule="auto"/>
      </w:pPr>
    </w:p>
    <w:p w:rsidR="003916EA" w:rsidP="003916EA" w14:paraId="5D7548ED" w14:textId="77777777">
      <w:pPr>
        <w:spacing w:line="360" w:lineRule="auto"/>
      </w:pPr>
    </w:p>
    <w:p w:rsidR="003916EA" w:rsidP="003916EA" w14:paraId="5A2CCA15" w14:textId="77777777">
      <w:pPr>
        <w:spacing w:line="360" w:lineRule="auto"/>
      </w:pPr>
    </w:p>
    <w:p w:rsidR="003916EA" w:rsidP="003916EA" w14:paraId="63689206" w14:textId="77777777">
      <w:pPr>
        <w:spacing w:line="360" w:lineRule="auto"/>
      </w:pPr>
    </w:p>
    <w:p w:rsidR="00693EE0" w:rsidP="003916EA" w14:paraId="088390DF" w14:textId="77777777">
      <w:pPr>
        <w:spacing w:line="360" w:lineRule="auto"/>
      </w:pPr>
    </w:p>
    <w:p w:rsidR="00693EE0" w:rsidP="003916EA" w14:paraId="1674661E" w14:textId="77777777">
      <w:pPr>
        <w:spacing w:line="360" w:lineRule="auto"/>
      </w:pPr>
    </w:p>
    <w:p w:rsidR="00693EE0" w:rsidP="003916EA" w14:paraId="3EBB95C5" w14:textId="77777777">
      <w:pPr>
        <w:spacing w:line="360" w:lineRule="auto"/>
      </w:pPr>
    </w:p>
    <w:p w:rsidR="00FE7BA0" w:rsidP="003916EA" w14:paraId="445F2453" w14:textId="77777777">
      <w:pPr>
        <w:spacing w:line="360" w:lineRule="auto"/>
      </w:pPr>
    </w:p>
    <w:p w:rsidR="00FE7BA0" w:rsidP="003916EA" w14:paraId="7A29C5D8" w14:textId="77777777">
      <w:pPr>
        <w:spacing w:line="360" w:lineRule="auto"/>
      </w:pPr>
    </w:p>
    <w:p w:rsidR="00090EB7" w:rsidRPr="00744058" w:rsidP="00090EB7" w14:paraId="4EA5CC7E" w14:textId="77777777">
      <w:pPr>
        <w:spacing w:line="240" w:lineRule="auto"/>
        <w:ind w:firstLine="720"/>
      </w:pPr>
      <w:r w:rsidRPr="00744058">
        <w:t>*Judge of the Superior Court of the County of Contra Costa, assigned by the Chief Justice pursuant to article VI, section 6 of the California Constitution.</w:t>
      </w:r>
    </w:p>
    <w:p w:rsidR="00FE7BA0" w:rsidP="003916EA" w14:paraId="6EFB5775" w14:textId="77777777">
      <w:pPr>
        <w:spacing w:line="360" w:lineRule="auto"/>
      </w:pPr>
    </w:p>
    <w:p w:rsidR="001C293B" w:rsidP="003916EA" w14:paraId="21F6CAEB" w14:textId="0508934F">
      <w:pPr>
        <w:spacing w:line="360" w:lineRule="auto"/>
      </w:pPr>
      <w:r w:rsidRPr="00693EE0">
        <w:rPr>
          <w:i/>
          <w:iCs/>
        </w:rPr>
        <w:t>People v. Waqa</w:t>
      </w:r>
      <w:r>
        <w:t xml:space="preserve">  A163761</w:t>
      </w:r>
    </w:p>
    <w:p w:rsidR="001A116E" w:rsidRPr="006A2E61" w:rsidP="001A116E" w14:paraId="49806E63" w14:textId="77777777">
      <w:pPr>
        <w:tabs>
          <w:tab w:val="left" w:pos="4230"/>
        </w:tabs>
        <w:spacing w:before="120" w:line="360" w:lineRule="auto"/>
      </w:pPr>
      <w:r>
        <w:br w:type="page"/>
      </w:r>
      <w:r w:rsidRPr="006A2E61">
        <w:t>Trial Court:</w:t>
      </w:r>
    </w:p>
    <w:p w:rsidR="001A116E" w:rsidRPr="006A2E61" w:rsidP="001A116E" w14:paraId="5F179864" w14:textId="77777777">
      <w:pPr>
        <w:tabs>
          <w:tab w:val="left" w:pos="4230"/>
        </w:tabs>
        <w:spacing w:before="120" w:line="360" w:lineRule="auto"/>
      </w:pPr>
      <w:r w:rsidRPr="006A2E61">
        <w:tab/>
        <w:t>Superior Court of the County of Sonoma</w:t>
      </w:r>
    </w:p>
    <w:p w:rsidR="001A116E" w:rsidRPr="006A2E61" w:rsidP="001A116E" w14:paraId="273E18A9" w14:textId="77777777">
      <w:pPr>
        <w:tabs>
          <w:tab w:val="left" w:pos="4230"/>
        </w:tabs>
        <w:spacing w:before="120" w:line="360" w:lineRule="auto"/>
      </w:pPr>
    </w:p>
    <w:p w:rsidR="001A116E" w:rsidRPr="006A2E61" w:rsidP="001A116E" w14:paraId="1444C731" w14:textId="77777777">
      <w:pPr>
        <w:tabs>
          <w:tab w:val="left" w:pos="4230"/>
        </w:tabs>
        <w:spacing w:before="120" w:line="360" w:lineRule="auto"/>
      </w:pPr>
      <w:r w:rsidRPr="006A2E61">
        <w:t>Trial Judge:</w:t>
      </w:r>
    </w:p>
    <w:p w:rsidR="001A116E" w:rsidRPr="006A2E61" w:rsidP="001A116E" w14:paraId="2D9A5454" w14:textId="77777777">
      <w:pPr>
        <w:tabs>
          <w:tab w:val="left" w:pos="4230"/>
        </w:tabs>
        <w:spacing w:before="120" w:line="360" w:lineRule="auto"/>
      </w:pPr>
      <w:r w:rsidRPr="006A2E61">
        <w:tab/>
        <w:t>Hon. Shelly J. Averill</w:t>
      </w:r>
    </w:p>
    <w:p w:rsidR="001A116E" w:rsidRPr="006A2E61" w:rsidP="001A116E" w14:paraId="14A1F6D5" w14:textId="77777777">
      <w:pPr>
        <w:tabs>
          <w:tab w:val="left" w:pos="4230"/>
        </w:tabs>
        <w:spacing w:before="120" w:line="360" w:lineRule="auto"/>
      </w:pPr>
    </w:p>
    <w:p w:rsidR="001A116E" w:rsidRPr="006A2E61" w:rsidP="001A116E" w14:paraId="2486F477" w14:textId="77777777">
      <w:pPr>
        <w:tabs>
          <w:tab w:val="left" w:pos="4230"/>
        </w:tabs>
        <w:spacing w:before="120" w:line="360" w:lineRule="auto"/>
      </w:pPr>
      <w:r w:rsidRPr="006A2E61">
        <w:t xml:space="preserve">Counsel: </w:t>
      </w:r>
    </w:p>
    <w:p w:rsidR="001A116E" w:rsidRPr="006A2E61" w:rsidP="001A116E" w14:paraId="685D3DB6" w14:textId="77777777">
      <w:pPr>
        <w:spacing w:before="120" w:line="240" w:lineRule="auto"/>
      </w:pPr>
      <w:r w:rsidRPr="006A2E61">
        <w:tab/>
        <w:t>Peter F. Goldscheider, for Defendant and Appellant, under appointment by the Court of Appeal</w:t>
      </w:r>
    </w:p>
    <w:p w:rsidR="001A116E" w:rsidRPr="006A2E61" w:rsidP="001A116E" w14:paraId="5C157011" w14:textId="77777777">
      <w:pPr>
        <w:spacing w:before="120" w:line="240" w:lineRule="auto"/>
      </w:pPr>
    </w:p>
    <w:p w:rsidR="001A116E" w:rsidRPr="006A2E61" w:rsidP="00A5495B" w14:paraId="3D792D2B" w14:textId="662C9916">
      <w:pPr>
        <w:spacing w:before="120" w:line="240" w:lineRule="auto"/>
      </w:pPr>
      <w:r w:rsidRPr="006A2E61">
        <w:tab/>
        <w:t xml:space="preserve">Rob Bonta, Attorney General, Lance </w:t>
      </w:r>
      <w:r w:rsidR="00655310">
        <w:t xml:space="preserve">E. </w:t>
      </w:r>
      <w:r w:rsidRPr="006A2E61">
        <w:t>Winters, Chief Assistant Attorney General, Jeffrey M. Laurence, Senior Assistant Attorney General, Catherine A. Rivlin, Supervising Deputy Attorney General, Charlotte Woodfork, Deputy Attorney General, for Plaintiff and Respondent</w:t>
      </w:r>
    </w:p>
    <w:p w:rsidR="001A116E" w:rsidRPr="006A2E61" w:rsidP="001A116E" w14:paraId="6CC6A129" w14:textId="77777777">
      <w:pPr>
        <w:spacing w:before="120"/>
      </w:pPr>
    </w:p>
    <w:p w:rsidR="001A116E" w:rsidRPr="006A2E61" w:rsidP="001A116E" w14:paraId="1B219A3B" w14:textId="77777777">
      <w:pPr>
        <w:spacing w:before="120"/>
      </w:pPr>
    </w:p>
    <w:p w:rsidR="001A116E" w:rsidP="001A116E" w14:paraId="7326987B" w14:textId="77777777">
      <w:pPr>
        <w:spacing w:before="120"/>
      </w:pPr>
    </w:p>
    <w:p w:rsidR="001A116E" w:rsidP="001A116E" w14:paraId="2AB498BA" w14:textId="77777777">
      <w:pPr>
        <w:spacing w:before="120"/>
      </w:pPr>
    </w:p>
    <w:p w:rsidR="001A116E" w:rsidP="001A116E" w14:paraId="6D53DCBA" w14:textId="77777777">
      <w:pPr>
        <w:spacing w:before="120"/>
      </w:pPr>
    </w:p>
    <w:p w:rsidR="001A116E" w:rsidP="001A116E" w14:paraId="4547BE83" w14:textId="77777777">
      <w:pPr>
        <w:spacing w:before="120"/>
      </w:pPr>
    </w:p>
    <w:p w:rsidR="001A116E" w:rsidRPr="006A2E61" w:rsidP="001A116E" w14:paraId="6C6473A4" w14:textId="77777777">
      <w:pPr>
        <w:spacing w:before="120"/>
      </w:pPr>
    </w:p>
    <w:p w:rsidR="001A116E" w:rsidRPr="006A2E61" w:rsidP="001A116E" w14:paraId="64B5426D" w14:textId="77777777">
      <w:pPr>
        <w:spacing w:before="120"/>
      </w:pPr>
    </w:p>
    <w:p w:rsidR="00A5495B" w:rsidP="001A116E" w14:paraId="21810197" w14:textId="77777777">
      <w:pPr>
        <w:spacing w:before="120"/>
        <w:rPr>
          <w:i/>
          <w:iCs/>
        </w:rPr>
      </w:pPr>
    </w:p>
    <w:p w:rsidR="00090EB7" w:rsidP="001A116E" w14:paraId="46854EAE" w14:textId="6D26B84C">
      <w:pPr>
        <w:spacing w:before="120"/>
      </w:pPr>
      <w:r>
        <w:rPr>
          <w:i/>
          <w:iCs/>
        </w:rPr>
        <w:t xml:space="preserve">People v. Waqa  </w:t>
      </w:r>
      <w:r w:rsidRPr="0055566E">
        <w:t>A163761</w:t>
      </w:r>
    </w:p>
    <w:sectPr w:rsidSect="00435E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EAF" w:rsidP="00743840" w14:paraId="01B3849F" w14:textId="3EE5582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35EAF" w:rsidP="00743840" w14:paraId="31477D84" w14:textId="1F2677F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35EAF" w14:paraId="454060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EAF" w:rsidP="00435EAF" w14:paraId="1EA6F404" w14:textId="4ACB26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435EAF" w14:paraId="0F2B5DE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B5A" w14:paraId="4D2D07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714B" w:rsidP="00435EAF" w14:paraId="1023B54F" w14:textId="77777777">
      <w:pPr>
        <w:spacing w:line="240" w:lineRule="auto"/>
      </w:pPr>
      <w:r>
        <w:separator/>
      </w:r>
    </w:p>
  </w:footnote>
  <w:footnote w:type="continuationSeparator" w:id="1">
    <w:p w:rsidR="003E714B" w:rsidP="00435EAF" w14:paraId="2A6BD74C" w14:textId="77777777">
      <w:pPr>
        <w:spacing w:line="240" w:lineRule="auto"/>
      </w:pPr>
      <w:r>
        <w:continuationSeparator/>
      </w:r>
    </w:p>
  </w:footnote>
  <w:footnote w:id="2">
    <w:p w:rsidR="005804B3" w:rsidP="00507C3C" w14:paraId="300C0789" w14:textId="726013A4">
      <w:pPr>
        <w:pStyle w:val="FootnoteText"/>
        <w:ind w:firstLine="720"/>
      </w:pPr>
      <w:r>
        <w:rPr>
          <w:rStyle w:val="FootnoteReference"/>
        </w:rPr>
        <w:t>*</w:t>
      </w:r>
      <w:r>
        <w:t xml:space="preserve"> Pursuant to California Rules of Court, rules 8.1105(b) and 8.1110, this opinion is certified for publication with the exception of part </w:t>
      </w:r>
      <w:r w:rsidR="00507C3C">
        <w:t>II</w:t>
      </w:r>
      <w:r w:rsidR="00BA019B">
        <w:t>.</w:t>
      </w:r>
      <w:r w:rsidR="00507C3C">
        <w:t>B</w:t>
      </w:r>
      <w:r w:rsidR="00BA019B">
        <w:t>.</w:t>
      </w:r>
    </w:p>
  </w:footnote>
  <w:footnote w:id="3">
    <w:p w:rsidR="00C90C74" w:rsidP="00BA019B" w14:paraId="0B9317FC" w14:textId="3BECE0E7">
      <w:pPr>
        <w:pStyle w:val="FootnoteText"/>
        <w:spacing w:before="90"/>
        <w:ind w:firstLine="720"/>
      </w:pPr>
      <w:r>
        <w:rPr>
          <w:rStyle w:val="FootnoteReference"/>
        </w:rPr>
        <w:footnoteRef/>
      </w:r>
      <w:r>
        <w:t xml:space="preserve"> All further statutory references are to the Penal Code.</w:t>
      </w:r>
    </w:p>
  </w:footnote>
  <w:footnote w:id="4">
    <w:p w:rsidR="00DB4E3D" w:rsidP="00C07192" w14:paraId="494E9F9C" w14:textId="101B29E1">
      <w:pPr>
        <w:pStyle w:val="FootnoteText"/>
        <w:ind w:firstLine="720"/>
      </w:pPr>
      <w:r>
        <w:rPr>
          <w:rStyle w:val="FootnoteReference"/>
        </w:rPr>
        <w:footnoteRef/>
      </w:r>
      <w:r>
        <w:t xml:space="preserve"> Waqa also contends the trial court erred by giving a modified version of CALCRIM No.</w:t>
      </w:r>
      <w:r w:rsidR="00867353">
        <w:t> </w:t>
      </w:r>
      <w:r>
        <w:t>3175, the instruction on the aggravated kidnapping circumstance.  We need not address this claim because it involves an element of the aggravated kidnapping circumstance—a substantial increase in the risk of harm—that is not an element of the kidnapping circumstance</w:t>
      </w:r>
      <w:r w:rsidR="00605DD5">
        <w:t xml:space="preserve"> under section</w:t>
      </w:r>
      <w:r w:rsidR="00867353">
        <w:t> </w:t>
      </w:r>
      <w:r w:rsidR="00605DD5">
        <w:t>667.61(e)(1)</w:t>
      </w:r>
      <w:r>
        <w:t>.  In turn, we also need not address Waqa’s claim of cumulative error</w:t>
      </w:r>
      <w:r w:rsidR="003316FF">
        <w:t xml:space="preserve">, which is based on </w:t>
      </w:r>
      <w:r w:rsidR="00282CF7">
        <w:t>only this</w:t>
      </w:r>
      <w:r>
        <w:t xml:space="preserve"> alleged instructional</w:t>
      </w:r>
      <w:r w:rsidR="00282CF7">
        <w:t xml:space="preserve"> </w:t>
      </w:r>
      <w:r>
        <w:t xml:space="preserve">error and </w:t>
      </w:r>
      <w:r w:rsidR="00282CF7">
        <w:t xml:space="preserve">the alleged </w:t>
      </w:r>
      <w:r>
        <w:t>prosecutorial error.</w:t>
      </w:r>
    </w:p>
  </w:footnote>
  <w:footnote w:id="5">
    <w:p w:rsidR="00390439" w:rsidP="00390439" w14:paraId="592B89F1" w14:textId="1DFF8CF1">
      <w:pPr>
        <w:pStyle w:val="FootnoteText"/>
        <w:ind w:firstLine="720"/>
      </w:pPr>
      <w:r>
        <w:rPr>
          <w:rStyle w:val="FootnoteReference"/>
        </w:rPr>
        <w:footnoteRef/>
      </w:r>
      <w:r>
        <w:t xml:space="preserve"> </w:t>
      </w:r>
      <w:r w:rsidR="0097624E">
        <w:t>A</w:t>
      </w:r>
      <w:r>
        <w:t xml:space="preserve"> police officer’s body</w:t>
      </w:r>
      <w:r w:rsidR="0097624E">
        <w:t>-</w:t>
      </w:r>
      <w:r>
        <w:t xml:space="preserve">camera </w:t>
      </w:r>
      <w:r w:rsidR="0097624E">
        <w:t xml:space="preserve">recording of the women’s restroom made </w:t>
      </w:r>
      <w:r>
        <w:t>soon after the rape was admitted and played for the jury.  We reviewed th</w:t>
      </w:r>
      <w:r w:rsidR="005E6FA2">
        <w:t>is</w:t>
      </w:r>
      <w:r>
        <w:t xml:space="preserve"> recording.</w:t>
      </w:r>
    </w:p>
  </w:footnote>
  <w:footnote w:id="6">
    <w:p w:rsidR="009F5FF4" w:rsidP="009F5FF4" w14:paraId="0E46AEDE" w14:textId="692F3BED">
      <w:pPr>
        <w:pStyle w:val="FootnoteText"/>
        <w:spacing w:before="90"/>
        <w:ind w:firstLine="720"/>
      </w:pPr>
      <w:r>
        <w:rPr>
          <w:rStyle w:val="FootnoteReference"/>
        </w:rPr>
        <w:footnoteRef/>
      </w:r>
      <w:r>
        <w:t xml:space="preserve"> Not all of the restroom’s dimensions were measured, but a police officer testified that the large stall is seven and a half feet long and five feet wide, and its door opening is also about five feet wide.  The small stall is about three feet long and two and one third feet wide, which is also about the width of its door opening. </w:t>
      </w:r>
    </w:p>
  </w:footnote>
  <w:footnote w:id="7">
    <w:p w:rsidR="00FC42F3" w:rsidP="00C07192" w14:paraId="69EDC2E3" w14:textId="2D23FCEB">
      <w:pPr>
        <w:pStyle w:val="FootnoteText"/>
        <w:ind w:firstLine="720"/>
      </w:pPr>
      <w:r>
        <w:rPr>
          <w:rStyle w:val="FootnoteReference"/>
        </w:rPr>
        <w:footnoteRef/>
      </w:r>
      <w:r>
        <w:t xml:space="preserve"> </w:t>
      </w:r>
      <w:r w:rsidR="00CF79C0">
        <w:t>T</w:t>
      </w:r>
      <w:r w:rsidR="0050295C">
        <w:t xml:space="preserve">he jury </w:t>
      </w:r>
      <w:r w:rsidR="00AF294F">
        <w:t>saw Doe in person</w:t>
      </w:r>
      <w:r w:rsidR="00C07192">
        <w:t>,</w:t>
      </w:r>
      <w:r w:rsidR="00864EED">
        <w:t xml:space="preserve"> </w:t>
      </w:r>
      <w:r w:rsidR="00AF294F">
        <w:t xml:space="preserve">and </w:t>
      </w:r>
      <w:r w:rsidR="00C60D12">
        <w:t>photographs in the record suggest she is</w:t>
      </w:r>
      <w:r w:rsidR="00E3280F">
        <w:t xml:space="preserve"> of smaller stature,</w:t>
      </w:r>
      <w:r w:rsidR="00CF79C0">
        <w:t xml:space="preserve"> but</w:t>
      </w:r>
      <w:r w:rsidR="00E3280F">
        <w:t xml:space="preserve"> </w:t>
      </w:r>
      <w:r w:rsidR="00887187">
        <w:t xml:space="preserve">no evidence was presented </w:t>
      </w:r>
      <w:r w:rsidR="00BF05B6">
        <w:t>of her specific height or weight.</w:t>
      </w:r>
      <w:r w:rsidR="00987EF2">
        <w:t xml:space="preserve">  One</w:t>
      </w:r>
      <w:r w:rsidR="003203C9">
        <w:t xml:space="preserve"> </w:t>
      </w:r>
      <w:r w:rsidR="00987EF2">
        <w:t xml:space="preserve">witness testified that </w:t>
      </w:r>
      <w:r w:rsidR="003203C9">
        <w:t>at the time of the crime</w:t>
      </w:r>
      <w:r w:rsidR="00185E79">
        <w:t>,</w:t>
      </w:r>
      <w:r w:rsidR="003203C9">
        <w:t xml:space="preserve"> </w:t>
      </w:r>
      <w:r w:rsidR="00730BC7">
        <w:t xml:space="preserve">Waqa </w:t>
      </w:r>
      <w:r w:rsidR="003203C9">
        <w:t xml:space="preserve">was </w:t>
      </w:r>
      <w:r w:rsidR="00987EF2">
        <w:t xml:space="preserve">at least six feet tall and </w:t>
      </w:r>
      <w:r w:rsidR="00D479BE">
        <w:t xml:space="preserve">over </w:t>
      </w:r>
      <w:r w:rsidR="00987EF2">
        <w:t>200 pounds</w:t>
      </w:r>
      <w:r w:rsidR="00397D92">
        <w:t xml:space="preserve">. </w:t>
      </w:r>
      <w:r w:rsidR="008C607C">
        <w:t xml:space="preserve"> </w:t>
      </w:r>
    </w:p>
  </w:footnote>
  <w:footnote w:id="8">
    <w:p w:rsidR="00AE013B" w:rsidP="003D61BA" w14:paraId="3D913A32" w14:textId="381ABDF3">
      <w:pPr>
        <w:pStyle w:val="FootnoteText"/>
        <w:ind w:firstLine="720"/>
      </w:pPr>
      <w:r>
        <w:rPr>
          <w:rStyle w:val="FootnoteReference"/>
        </w:rPr>
        <w:footnoteRef/>
      </w:r>
      <w:r>
        <w:t xml:space="preserve"> The rape charge was brought under section 261, subdivision (a)(2), and </w:t>
      </w:r>
      <w:r w:rsidR="00450CF4">
        <w:t>an</w:t>
      </w:r>
      <w:r w:rsidR="00F516D2">
        <w:t xml:space="preserve"> enhancement</w:t>
      </w:r>
      <w:r w:rsidR="00450CF4">
        <w:t xml:space="preserve"> for “</w:t>
      </w:r>
      <w:r w:rsidRPr="00277BE5" w:rsidR="00450CF4">
        <w:rPr>
          <w:b/>
          <w:bCs/>
        </w:rPr>
        <w:t>AGGR[A]VATED KIDNAPPING</w:t>
      </w:r>
      <w:r w:rsidR="00450CF4">
        <w:t>”</w:t>
      </w:r>
      <w:r w:rsidR="00F516D2">
        <w:t xml:space="preserve"> was alleged under section</w:t>
      </w:r>
      <w:r w:rsidR="00E94957">
        <w:t> </w:t>
      </w:r>
      <w:r w:rsidR="00F516D2">
        <w:t xml:space="preserve">667.61, subdivisions (a) and (e). </w:t>
      </w:r>
      <w:r w:rsidR="00924A47">
        <w:t xml:space="preserve"> In fact, </w:t>
      </w:r>
      <w:r w:rsidR="003D61BA">
        <w:t>the enhancement should have been alleged under subdivisions</w:t>
      </w:r>
      <w:r w:rsidR="00450CF4">
        <w:t> </w:t>
      </w:r>
      <w:r w:rsidR="003D61BA">
        <w:t xml:space="preserve">(a) and </w:t>
      </w:r>
      <w:r w:rsidR="003D61BA">
        <w:rPr>
          <w:i/>
          <w:iCs/>
        </w:rPr>
        <w:t>(d)</w:t>
      </w:r>
      <w:r w:rsidR="003D61BA">
        <w:t xml:space="preserve">, </w:t>
      </w:r>
      <w:r w:rsidR="00B933FC">
        <w:t xml:space="preserve">as </w:t>
      </w:r>
      <w:r w:rsidR="006E498D">
        <w:t>proving one of the circumstances listed in</w:t>
      </w:r>
      <w:r w:rsidR="00516ABC">
        <w:t xml:space="preserve"> s</w:t>
      </w:r>
      <w:r w:rsidR="00B933FC">
        <w:t xml:space="preserve">ubdivision (d) </w:t>
      </w:r>
      <w:r w:rsidR="00516ABC">
        <w:t>require</w:t>
      </w:r>
      <w:r w:rsidR="006E498D">
        <w:t>s</w:t>
      </w:r>
      <w:r w:rsidR="00B933FC">
        <w:t xml:space="preserve"> </w:t>
      </w:r>
      <w:r w:rsidR="00EC584A">
        <w:t xml:space="preserve">a </w:t>
      </w:r>
      <w:r w:rsidR="00B933FC">
        <w:t>sentence of 25 years to life</w:t>
      </w:r>
      <w:r w:rsidR="008B7169">
        <w:t xml:space="preserve"> under subdivision (a)</w:t>
      </w:r>
      <w:r w:rsidR="00EC584A">
        <w:t xml:space="preserve">, whereas </w:t>
      </w:r>
      <w:r w:rsidR="006E498D">
        <w:t>proving one of t</w:t>
      </w:r>
      <w:r w:rsidR="00EC584A">
        <w:t xml:space="preserve">he circumstances listed in </w:t>
      </w:r>
      <w:r w:rsidR="00B933FC">
        <w:t xml:space="preserve">subdivision (e) </w:t>
      </w:r>
      <w:r w:rsidR="00EC584A">
        <w:t>require</w:t>
      </w:r>
      <w:r w:rsidR="006E498D">
        <w:t>s</w:t>
      </w:r>
      <w:r w:rsidR="00EC584A">
        <w:t xml:space="preserve"> a</w:t>
      </w:r>
      <w:r w:rsidR="00B933FC">
        <w:t xml:space="preserve"> sentence of 15 years to life</w:t>
      </w:r>
      <w:r w:rsidR="008B7169">
        <w:t xml:space="preserve"> under subdivision (b)</w:t>
      </w:r>
      <w:r w:rsidR="00B933FC">
        <w:t xml:space="preserve">.  Nonetheless, </w:t>
      </w:r>
      <w:r w:rsidR="00E4065B">
        <w:t xml:space="preserve">the parties and trial court </w:t>
      </w:r>
      <w:r w:rsidR="00557D7D">
        <w:t xml:space="preserve">proceeded </w:t>
      </w:r>
      <w:r w:rsidR="004525DD">
        <w:t xml:space="preserve">as if the greater enhancement was charged, and </w:t>
      </w:r>
      <w:r w:rsidR="003C5C4D">
        <w:t>Waqa</w:t>
      </w:r>
      <w:r w:rsidR="00535067">
        <w:t xml:space="preserve"> does not claim that the </w:t>
      </w:r>
      <w:r w:rsidR="00967674">
        <w:t xml:space="preserve">information failed to </w:t>
      </w:r>
      <w:r w:rsidR="0092029A">
        <w:t>give him “fair notice of the qualifying statutory circumstance .</w:t>
      </w:r>
      <w:r w:rsidR="001C554F">
        <w:t> </w:t>
      </w:r>
      <w:r w:rsidR="0092029A">
        <w:t>.</w:t>
      </w:r>
      <w:r w:rsidR="00EE7A3B">
        <w:t> </w:t>
      </w:r>
      <w:r w:rsidR="0092029A">
        <w:t xml:space="preserve">. being pled, proved, and invoked in support </w:t>
      </w:r>
      <w:r w:rsidR="001B07D3">
        <w:t>of One Strike sentencing.”  (</w:t>
      </w:r>
      <w:r w:rsidR="001B07D3">
        <w:rPr>
          <w:i/>
          <w:iCs/>
        </w:rPr>
        <w:t>People v. Mancebo</w:t>
      </w:r>
      <w:r w:rsidR="001B07D3">
        <w:t xml:space="preserve"> (</w:t>
      </w:r>
      <w:r w:rsidR="00CA4A1F">
        <w:t>2002) 27 Cal.4th 735, 753–754</w:t>
      </w:r>
      <w:r w:rsidR="001D15E3">
        <w:t xml:space="preserve"> (</w:t>
      </w:r>
      <w:r w:rsidR="001D15E3">
        <w:rPr>
          <w:i/>
          <w:iCs/>
        </w:rPr>
        <w:t>Mancebo</w:t>
      </w:r>
      <w:r w:rsidR="001D15E3">
        <w:t>)</w:t>
      </w:r>
      <w:r w:rsidR="00CA4A1F">
        <w:t>.</w:t>
      </w:r>
      <w:r w:rsidR="001D15E3">
        <w:t>)</w:t>
      </w:r>
      <w:r w:rsidR="00535067">
        <w:t xml:space="preserve"> </w:t>
      </w:r>
    </w:p>
  </w:footnote>
  <w:footnote w:id="9">
    <w:p w:rsidR="00AF57DD" w:rsidP="002F4BD1" w14:paraId="44E765FD" w14:textId="5A71D419">
      <w:pPr>
        <w:pStyle w:val="FootnoteText"/>
        <w:ind w:firstLine="720"/>
      </w:pPr>
      <w:r>
        <w:rPr>
          <w:rStyle w:val="FootnoteReference"/>
        </w:rPr>
        <w:footnoteRef/>
      </w:r>
      <w:r>
        <w:t xml:space="preserve"> At our request</w:t>
      </w:r>
      <w:r w:rsidR="004822D1">
        <w:t xml:space="preserve">, the parties submitted supplemental briefing on the propriety of this disposition, as well as the </w:t>
      </w:r>
      <w:r w:rsidR="003F7CD2">
        <w:t xml:space="preserve">error in the information discussed in footnote </w:t>
      </w:r>
      <w:r w:rsidR="00B97719">
        <w:t>six</w:t>
      </w:r>
      <w:r w:rsidR="003F7CD2">
        <w:t xml:space="preserve">, </w:t>
      </w:r>
      <w:r w:rsidRPr="003F7CD2" w:rsidR="003F7CD2">
        <w:rPr>
          <w:i/>
          <w:iCs/>
        </w:rPr>
        <w:t>supra</w:t>
      </w:r>
      <w:r w:rsidR="003F7CD2">
        <w:t>.</w:t>
      </w:r>
    </w:p>
  </w:footnote>
  <w:footnote w:id="10">
    <w:p w:rsidR="00EB497E" w:rsidRPr="007C6426" w:rsidP="00EB497E" w14:paraId="77FFB2F8" w14:textId="55462180">
      <w:pPr>
        <w:pStyle w:val="FootnoteText"/>
        <w:ind w:firstLine="720"/>
        <w:rPr>
          <w:i/>
          <w:iCs/>
        </w:rPr>
      </w:pPr>
      <w:r>
        <w:rPr>
          <w:rStyle w:val="FootnoteReference"/>
        </w:rPr>
        <w:footnoteRef/>
      </w:r>
      <w:r>
        <w:t xml:space="preserve"> The kidnapping circumstance may be established by forms of kidnapping other than simple kidnapping, such as kidnapping during a carjacking under section 209.5.  (§ 667.61(e)(1).)  </w:t>
      </w:r>
      <w:r w:rsidR="00694DA2">
        <w:t>Still, a common element of all kidnappings is m</w:t>
      </w:r>
      <w:r w:rsidR="00120DF7">
        <w:t>ovement of a substantial distance</w:t>
      </w:r>
      <w:r w:rsidR="007C6426">
        <w:t>.</w:t>
      </w:r>
    </w:p>
  </w:footnote>
  <w:footnote w:id="11">
    <w:p w:rsidR="00DA54C4" w:rsidRPr="00681F3F" w:rsidP="00DA54C4" w14:paraId="0FE7DEDC" w14:textId="25CEC594">
      <w:pPr>
        <w:spacing w:line="240" w:lineRule="auto"/>
      </w:pPr>
      <w:r>
        <w:tab/>
      </w:r>
      <w:r>
        <w:rPr>
          <w:rStyle w:val="FootnoteReference"/>
        </w:rPr>
        <w:footnoteRef/>
      </w:r>
      <w:r>
        <w:t xml:space="preserve"> Until 1997, kidnapping for robbery or rape also required that the movement </w:t>
      </w:r>
      <w:r w:rsidRPr="002238A8">
        <w:t xml:space="preserve">substantially </w:t>
      </w:r>
      <w:r>
        <w:t>increase, not just increase, the risk to the victim beyond that inherent in the underlying crime.  (</w:t>
      </w:r>
      <w:r>
        <w:rPr>
          <w:i/>
          <w:iCs/>
        </w:rPr>
        <w:t>Perkins</w:t>
      </w:r>
      <w:r>
        <w:t xml:space="preserve">, </w:t>
      </w:r>
      <w:r>
        <w:rPr>
          <w:i/>
          <w:iCs/>
        </w:rPr>
        <w:t>supra</w:t>
      </w:r>
      <w:r>
        <w:t>, 5</w:t>
      </w:r>
      <w:r w:rsidR="00CB10F8">
        <w:t> </w:t>
      </w:r>
      <w:r>
        <w:t>Cal.App.5th at pp.</w:t>
      </w:r>
      <w:r w:rsidR="00CB10F8">
        <w:t> </w:t>
      </w:r>
      <w:r>
        <w:t>466–467 &amp; fn.</w:t>
      </w:r>
      <w:r w:rsidR="00CB10F8">
        <w:t> </w:t>
      </w:r>
      <w:r>
        <w:t xml:space="preserve">4; </w:t>
      </w:r>
      <w:r>
        <w:rPr>
          <w:i/>
          <w:iCs/>
        </w:rPr>
        <w:t>People v. Robertson</w:t>
      </w:r>
      <w:r>
        <w:t xml:space="preserve"> (2012) 208 Cal.App.4th 965, 979–980 (</w:t>
      </w:r>
      <w:r>
        <w:rPr>
          <w:i/>
          <w:iCs/>
        </w:rPr>
        <w:t>Robertson</w:t>
      </w:r>
      <w:r>
        <w:t xml:space="preserve">).)  Thus, we rely on cases applying the pre-1997 standard for kidnapping for robbery or rape in determining whether Waqa’s movement of Doe substantially increased the risk of harm to her (see </w:t>
      </w:r>
      <w:r>
        <w:rPr>
          <w:i/>
          <w:iCs/>
        </w:rPr>
        <w:t>Perkins</w:t>
      </w:r>
      <w:r>
        <w:t>, at p.</w:t>
      </w:r>
      <w:r w:rsidR="0087681A">
        <w:t> </w:t>
      </w:r>
      <w:r>
        <w:t>466, fn.</w:t>
      </w:r>
      <w:r w:rsidR="00705A08">
        <w:t> </w:t>
      </w:r>
      <w:r>
        <w:t xml:space="preserve">4), as well as later decisions addressing that crime to the extent they elucidate what an increase in the risk of harm requires.  </w:t>
      </w:r>
    </w:p>
    <w:p w:rsidR="00DA54C4" w:rsidP="00DA54C4" w14:paraId="4D5D5465" w14:textId="77777777">
      <w:pPr>
        <w:pStyle w:val="FootnoteText"/>
        <w:ind w:firstLine="720"/>
      </w:pPr>
    </w:p>
  </w:footnote>
  <w:footnote w:id="12">
    <w:p w:rsidR="00CD5435" w:rsidP="00A73CB2" w14:paraId="48FE710B" w14:textId="161B51AA">
      <w:pPr>
        <w:pStyle w:val="FootnoteText"/>
        <w:ind w:firstLine="720"/>
      </w:pPr>
      <w:r>
        <w:rPr>
          <w:rStyle w:val="FootnoteReference"/>
        </w:rPr>
        <w:footnoteRef/>
      </w:r>
      <w:r>
        <w:t xml:space="preserve"> </w:t>
      </w:r>
      <w:r w:rsidR="00DC1CC5">
        <w:t>The</w:t>
      </w:r>
      <w:r>
        <w:t xml:space="preserve"> record is ambiguous about Doe’s location when Waqa began moving her</w:t>
      </w:r>
      <w:r w:rsidR="00C01671">
        <w:t>, a</w:t>
      </w:r>
      <w:r w:rsidR="003C7ABD">
        <w:t>s</w:t>
      </w:r>
      <w:r w:rsidR="00C01671">
        <w:t xml:space="preserve"> some of her testimony suggests he did not grab her arm until she was outside the small stall. </w:t>
      </w:r>
      <w:r>
        <w:t xml:space="preserve"> The parties agree that the relevant movement of Doe was from the small stall to the large stall, </w:t>
      </w:r>
      <w:r w:rsidR="003C7ABD">
        <w:t>however</w:t>
      </w:r>
      <w:r w:rsidR="00D31727">
        <w:t>,</w:t>
      </w:r>
      <w:r w:rsidR="003C7ABD">
        <w:t xml:space="preserve"> and </w:t>
      </w:r>
      <w:r w:rsidR="00D178AC">
        <w:t>Doe’s precise location when the movement began</w:t>
      </w:r>
      <w:r w:rsidR="003C7ABD">
        <w:t xml:space="preserve"> does not affect our ultimate conclusion</w:t>
      </w:r>
      <w:r w:rsidR="00C76C2F">
        <w:t>s</w:t>
      </w:r>
      <w:r w:rsidR="003C7ABD">
        <w:t>.</w:t>
      </w:r>
    </w:p>
  </w:footnote>
  <w:footnote w:id="13">
    <w:p w:rsidR="00271E56" w:rsidRPr="003F6CAA" w:rsidP="00271E56" w14:paraId="2B331BBE" w14:textId="4564C494">
      <w:pPr>
        <w:pStyle w:val="FootnoteText"/>
        <w:ind w:firstLine="720"/>
      </w:pPr>
      <w:r>
        <w:rPr>
          <w:rStyle w:val="FootnoteReference"/>
        </w:rPr>
        <w:footnoteRef/>
      </w:r>
      <w:r>
        <w:t xml:space="preserve"> Waqa also states in passing that simple kidnapping has </w:t>
      </w:r>
      <w:r w:rsidR="002B3FFD">
        <w:t xml:space="preserve">a </w:t>
      </w:r>
      <w:r>
        <w:t>“different intent requirement</w:t>
      </w:r>
      <w:r w:rsidR="002B3FFD">
        <w:t>[]</w:t>
      </w:r>
      <w:r>
        <w:t xml:space="preserve">” than the aggravated kidnapping circumstance, which is incorrect. </w:t>
      </w:r>
      <w:r w:rsidR="004712E3">
        <w:t xml:space="preserve"> </w:t>
      </w:r>
      <w:r w:rsidR="00834EE1">
        <w:t>Unlike kidnapping for rape or robbery,</w:t>
      </w:r>
      <w:r w:rsidR="00F74710">
        <w:t xml:space="preserve"> which requires a specific intent to commit the associated crime,</w:t>
      </w:r>
      <w:r w:rsidR="00834EE1">
        <w:t xml:space="preserve"> simple kidnapping and the aggravated kidnapping circumstance</w:t>
      </w:r>
      <w:r w:rsidR="00AD7F0A">
        <w:t xml:space="preserve"> </w:t>
      </w:r>
      <w:r w:rsidR="00834EE1">
        <w:t>require only general intent</w:t>
      </w:r>
      <w:r w:rsidR="00DD234E">
        <w:t>.  (</w:t>
      </w:r>
      <w:r w:rsidR="00FA070D">
        <w:rPr>
          <w:i/>
          <w:iCs/>
        </w:rPr>
        <w:t>People</w:t>
      </w:r>
      <w:r w:rsidR="00A4428C">
        <w:rPr>
          <w:i/>
          <w:iCs/>
        </w:rPr>
        <w:t> </w:t>
      </w:r>
      <w:r w:rsidR="003F6CAA">
        <w:rPr>
          <w:i/>
          <w:iCs/>
        </w:rPr>
        <w:t>v. Bell</w:t>
      </w:r>
      <w:r w:rsidR="003F6CAA">
        <w:t xml:space="preserve">, </w:t>
      </w:r>
      <w:r w:rsidR="003F6CAA">
        <w:rPr>
          <w:i/>
          <w:iCs/>
        </w:rPr>
        <w:t>supra</w:t>
      </w:r>
      <w:r w:rsidR="003F6CAA">
        <w:t xml:space="preserve">, </w:t>
      </w:r>
      <w:r w:rsidR="00FA070D">
        <w:t>179</w:t>
      </w:r>
      <w:r w:rsidR="00A4428C">
        <w:t> </w:t>
      </w:r>
      <w:r w:rsidR="00FA070D">
        <w:t>Cal.App.4th at p.</w:t>
      </w:r>
      <w:r w:rsidR="00A4428C">
        <w:t> </w:t>
      </w:r>
      <w:r w:rsidR="00FA070D">
        <w:t>435, fn.</w:t>
      </w:r>
      <w:r w:rsidR="00A4428C">
        <w:t> </w:t>
      </w:r>
      <w:r w:rsidR="00FA070D">
        <w:t>2</w:t>
      </w:r>
      <w:r w:rsidR="000B226C">
        <w:t xml:space="preserve">; </w:t>
      </w:r>
      <w:r w:rsidR="000B226C">
        <w:rPr>
          <w:i/>
          <w:iCs/>
        </w:rPr>
        <w:t>People</w:t>
      </w:r>
      <w:r w:rsidR="00A4428C">
        <w:rPr>
          <w:i/>
          <w:iCs/>
        </w:rPr>
        <w:t> </w:t>
      </w:r>
      <w:r w:rsidR="000B226C">
        <w:rPr>
          <w:i/>
          <w:iCs/>
        </w:rPr>
        <w:t xml:space="preserve">v. Jones </w:t>
      </w:r>
      <w:r w:rsidR="000B226C">
        <w:t>(1997) 58</w:t>
      </w:r>
      <w:r w:rsidR="00F74710">
        <w:t> </w:t>
      </w:r>
      <w:r w:rsidR="000B226C">
        <w:t xml:space="preserve">Cal.App.4th 693, </w:t>
      </w:r>
      <w:r w:rsidR="00834EE1">
        <w:t>716–717</w:t>
      </w:r>
      <w:r w:rsidR="00FA070D">
        <w:t xml:space="preserve">.) </w:t>
      </w:r>
    </w:p>
  </w:footnote>
  <w:footnote w:id="14">
    <w:p w:rsidR="005A19B7" w:rsidRPr="00A05815" w:rsidP="005A19B7" w14:paraId="38CA1507" w14:textId="0D097A3C">
      <w:pPr>
        <w:pStyle w:val="FootnoteText"/>
        <w:ind w:firstLine="720"/>
      </w:pPr>
      <w:r>
        <w:rPr>
          <w:rStyle w:val="FootnoteReference"/>
        </w:rPr>
        <w:footnoteRef/>
      </w:r>
      <w:r>
        <w:t xml:space="preserve"> The One Strike law </w:t>
      </w:r>
      <w:r w:rsidR="00A05815">
        <w:t xml:space="preserve">has been amended </w:t>
      </w:r>
      <w:r w:rsidR="00C87B41">
        <w:t xml:space="preserve">several times </w:t>
      </w:r>
      <w:r w:rsidR="00A05815">
        <w:t xml:space="preserve">since </w:t>
      </w:r>
      <w:r w:rsidR="00A05815">
        <w:rPr>
          <w:i/>
          <w:iCs/>
        </w:rPr>
        <w:t>Mancebo</w:t>
      </w:r>
      <w:r w:rsidR="00A05815">
        <w:t xml:space="preserve"> was decided.  We cite to the </w:t>
      </w:r>
      <w:r w:rsidR="001054C3">
        <w:t xml:space="preserve">current </w:t>
      </w:r>
      <w:r w:rsidR="004D7748">
        <w:t>law</w:t>
      </w:r>
      <w:r w:rsidR="00A05815">
        <w:t>, not the 2002 version.</w:t>
      </w:r>
    </w:p>
  </w:footnote>
  <w:footnote w:id="15">
    <w:p w:rsidR="006E1049" w:rsidP="006E1049" w14:paraId="03EEC051" w14:textId="4D50C369">
      <w:pPr>
        <w:pStyle w:val="FootnoteText"/>
        <w:ind w:firstLine="720"/>
      </w:pPr>
      <w:r>
        <w:rPr>
          <w:rStyle w:val="FootnoteReference"/>
        </w:rPr>
        <w:footnoteRef/>
      </w:r>
      <w:r>
        <w:t xml:space="preserve"> </w:t>
      </w:r>
      <w:r w:rsidR="004D073A">
        <w:t xml:space="preserve">Waqa also </w:t>
      </w:r>
      <w:r w:rsidR="00CB6F21">
        <w:t>objects that the pr</w:t>
      </w:r>
      <w:r w:rsidR="00310428">
        <w:t xml:space="preserve">osecutor misstated the law by </w:t>
      </w:r>
      <w:r w:rsidR="00BB443B">
        <w:t>sayin</w:t>
      </w:r>
      <w:r w:rsidR="00310428">
        <w:t xml:space="preserve">g that the aggravated kidnapping circumstance required an increase in the risk of harm, not a substantial increase in the risk of harm. </w:t>
      </w:r>
      <w:r w:rsidR="0069487B">
        <w:t xml:space="preserve"> Given our conclusion that there was insufficient evidence of a substantial increase in the risk of harm, we </w:t>
      </w:r>
      <w:r w:rsidR="007A077B">
        <w:t xml:space="preserve">need </w:t>
      </w:r>
      <w:r w:rsidR="0069487B">
        <w:t>not address this aspect of his argument</w:t>
      </w:r>
      <w:r w:rsidR="004C47F5">
        <w:t>.</w:t>
      </w:r>
      <w:r w:rsidR="0069487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B5A" w14:paraId="3826A7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03A0" w:rsidP="00B203A0" w14:paraId="589324A4" w14:textId="6C187E6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B5A" w14:paraId="401377B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AF"/>
    <w:rsid w:val="00000500"/>
    <w:rsid w:val="0000063D"/>
    <w:rsid w:val="00000FD1"/>
    <w:rsid w:val="00003424"/>
    <w:rsid w:val="00003B5A"/>
    <w:rsid w:val="00004368"/>
    <w:rsid w:val="00005B99"/>
    <w:rsid w:val="00007298"/>
    <w:rsid w:val="00007F9E"/>
    <w:rsid w:val="000100ED"/>
    <w:rsid w:val="00010614"/>
    <w:rsid w:val="00011621"/>
    <w:rsid w:val="000124BB"/>
    <w:rsid w:val="000136DA"/>
    <w:rsid w:val="00013861"/>
    <w:rsid w:val="00014292"/>
    <w:rsid w:val="000146D0"/>
    <w:rsid w:val="000158F2"/>
    <w:rsid w:val="00015A75"/>
    <w:rsid w:val="000167D0"/>
    <w:rsid w:val="00017B16"/>
    <w:rsid w:val="00022919"/>
    <w:rsid w:val="00023CC2"/>
    <w:rsid w:val="00023D1F"/>
    <w:rsid w:val="000258C3"/>
    <w:rsid w:val="00027E19"/>
    <w:rsid w:val="00030286"/>
    <w:rsid w:val="00030AF3"/>
    <w:rsid w:val="00030CF4"/>
    <w:rsid w:val="00031A3F"/>
    <w:rsid w:val="00031B01"/>
    <w:rsid w:val="0003221A"/>
    <w:rsid w:val="00033063"/>
    <w:rsid w:val="00034241"/>
    <w:rsid w:val="000343EF"/>
    <w:rsid w:val="00036A40"/>
    <w:rsid w:val="000400A3"/>
    <w:rsid w:val="00040665"/>
    <w:rsid w:val="0004092B"/>
    <w:rsid w:val="000412D5"/>
    <w:rsid w:val="0004219F"/>
    <w:rsid w:val="000422E4"/>
    <w:rsid w:val="000425C5"/>
    <w:rsid w:val="00042B3C"/>
    <w:rsid w:val="00043128"/>
    <w:rsid w:val="0004345E"/>
    <w:rsid w:val="00043E33"/>
    <w:rsid w:val="000440F0"/>
    <w:rsid w:val="00044929"/>
    <w:rsid w:val="00044ABE"/>
    <w:rsid w:val="00045F8A"/>
    <w:rsid w:val="00047428"/>
    <w:rsid w:val="00047815"/>
    <w:rsid w:val="00047FD6"/>
    <w:rsid w:val="00050245"/>
    <w:rsid w:val="00052B33"/>
    <w:rsid w:val="0005389D"/>
    <w:rsid w:val="00054D10"/>
    <w:rsid w:val="00054FA5"/>
    <w:rsid w:val="00057C58"/>
    <w:rsid w:val="000607E9"/>
    <w:rsid w:val="00061505"/>
    <w:rsid w:val="000637FE"/>
    <w:rsid w:val="0006569C"/>
    <w:rsid w:val="00065C85"/>
    <w:rsid w:val="0006690D"/>
    <w:rsid w:val="000673AA"/>
    <w:rsid w:val="00067D71"/>
    <w:rsid w:val="00067F03"/>
    <w:rsid w:val="00072F37"/>
    <w:rsid w:val="0007479A"/>
    <w:rsid w:val="00075D67"/>
    <w:rsid w:val="00076C29"/>
    <w:rsid w:val="00076C3B"/>
    <w:rsid w:val="000808A6"/>
    <w:rsid w:val="00080CB3"/>
    <w:rsid w:val="000813B8"/>
    <w:rsid w:val="00081E81"/>
    <w:rsid w:val="00082BF4"/>
    <w:rsid w:val="00082F52"/>
    <w:rsid w:val="0008354C"/>
    <w:rsid w:val="00083603"/>
    <w:rsid w:val="00085967"/>
    <w:rsid w:val="000875C3"/>
    <w:rsid w:val="000878B2"/>
    <w:rsid w:val="0009077C"/>
    <w:rsid w:val="00090EB7"/>
    <w:rsid w:val="00090F48"/>
    <w:rsid w:val="00091794"/>
    <w:rsid w:val="00091D2B"/>
    <w:rsid w:val="0009359E"/>
    <w:rsid w:val="00093BA6"/>
    <w:rsid w:val="00093CAF"/>
    <w:rsid w:val="00094008"/>
    <w:rsid w:val="000945E4"/>
    <w:rsid w:val="00094A4D"/>
    <w:rsid w:val="00095FAB"/>
    <w:rsid w:val="00096BD0"/>
    <w:rsid w:val="00097A92"/>
    <w:rsid w:val="00097CA3"/>
    <w:rsid w:val="000A1283"/>
    <w:rsid w:val="000A2661"/>
    <w:rsid w:val="000A2C82"/>
    <w:rsid w:val="000A34A7"/>
    <w:rsid w:val="000A365C"/>
    <w:rsid w:val="000A517C"/>
    <w:rsid w:val="000A5A4C"/>
    <w:rsid w:val="000A6297"/>
    <w:rsid w:val="000A6538"/>
    <w:rsid w:val="000A663C"/>
    <w:rsid w:val="000A67C0"/>
    <w:rsid w:val="000A685B"/>
    <w:rsid w:val="000A68BE"/>
    <w:rsid w:val="000A7DD4"/>
    <w:rsid w:val="000B0694"/>
    <w:rsid w:val="000B0D74"/>
    <w:rsid w:val="000B226C"/>
    <w:rsid w:val="000B28D2"/>
    <w:rsid w:val="000B3007"/>
    <w:rsid w:val="000B3583"/>
    <w:rsid w:val="000B73AE"/>
    <w:rsid w:val="000B7B2F"/>
    <w:rsid w:val="000C010D"/>
    <w:rsid w:val="000C03B7"/>
    <w:rsid w:val="000C0B0A"/>
    <w:rsid w:val="000C149B"/>
    <w:rsid w:val="000C1C98"/>
    <w:rsid w:val="000C28C5"/>
    <w:rsid w:val="000C4B46"/>
    <w:rsid w:val="000C5604"/>
    <w:rsid w:val="000C680F"/>
    <w:rsid w:val="000C69E1"/>
    <w:rsid w:val="000C6DE2"/>
    <w:rsid w:val="000C7476"/>
    <w:rsid w:val="000C7681"/>
    <w:rsid w:val="000D0529"/>
    <w:rsid w:val="000D26E3"/>
    <w:rsid w:val="000D2777"/>
    <w:rsid w:val="000D4025"/>
    <w:rsid w:val="000D5019"/>
    <w:rsid w:val="000D6955"/>
    <w:rsid w:val="000D6CCB"/>
    <w:rsid w:val="000D763E"/>
    <w:rsid w:val="000E24C0"/>
    <w:rsid w:val="000E2EE4"/>
    <w:rsid w:val="000E2FB0"/>
    <w:rsid w:val="000E3620"/>
    <w:rsid w:val="000E4CB8"/>
    <w:rsid w:val="000E58D2"/>
    <w:rsid w:val="000E749D"/>
    <w:rsid w:val="000E7D5B"/>
    <w:rsid w:val="000F0F1D"/>
    <w:rsid w:val="000F25A0"/>
    <w:rsid w:val="000F4154"/>
    <w:rsid w:val="000F444B"/>
    <w:rsid w:val="000F46C3"/>
    <w:rsid w:val="000F6757"/>
    <w:rsid w:val="000F773B"/>
    <w:rsid w:val="000F799E"/>
    <w:rsid w:val="001003BC"/>
    <w:rsid w:val="00100FAB"/>
    <w:rsid w:val="001011C1"/>
    <w:rsid w:val="001016D0"/>
    <w:rsid w:val="001054A7"/>
    <w:rsid w:val="001054C3"/>
    <w:rsid w:val="00106B40"/>
    <w:rsid w:val="00107526"/>
    <w:rsid w:val="001108C4"/>
    <w:rsid w:val="001117EB"/>
    <w:rsid w:val="00111EEF"/>
    <w:rsid w:val="00112140"/>
    <w:rsid w:val="00114956"/>
    <w:rsid w:val="00114C04"/>
    <w:rsid w:val="00115F14"/>
    <w:rsid w:val="00116279"/>
    <w:rsid w:val="001170DE"/>
    <w:rsid w:val="001201CF"/>
    <w:rsid w:val="0012035C"/>
    <w:rsid w:val="00120DF7"/>
    <w:rsid w:val="00121CB3"/>
    <w:rsid w:val="00121D0D"/>
    <w:rsid w:val="00124131"/>
    <w:rsid w:val="001245D3"/>
    <w:rsid w:val="0012482C"/>
    <w:rsid w:val="00124EA9"/>
    <w:rsid w:val="00125C20"/>
    <w:rsid w:val="00125CF8"/>
    <w:rsid w:val="00125E73"/>
    <w:rsid w:val="001261E5"/>
    <w:rsid w:val="0012653C"/>
    <w:rsid w:val="00127484"/>
    <w:rsid w:val="00130639"/>
    <w:rsid w:val="00131389"/>
    <w:rsid w:val="00132D91"/>
    <w:rsid w:val="001341D7"/>
    <w:rsid w:val="00134782"/>
    <w:rsid w:val="00135150"/>
    <w:rsid w:val="0013678D"/>
    <w:rsid w:val="00137178"/>
    <w:rsid w:val="00137437"/>
    <w:rsid w:val="00137650"/>
    <w:rsid w:val="00137AAF"/>
    <w:rsid w:val="00137CF2"/>
    <w:rsid w:val="0014036E"/>
    <w:rsid w:val="00142BCC"/>
    <w:rsid w:val="00143405"/>
    <w:rsid w:val="00145C3D"/>
    <w:rsid w:val="00145D08"/>
    <w:rsid w:val="00145EBF"/>
    <w:rsid w:val="001461BC"/>
    <w:rsid w:val="001467A1"/>
    <w:rsid w:val="00146A41"/>
    <w:rsid w:val="00150BBA"/>
    <w:rsid w:val="0015140C"/>
    <w:rsid w:val="001522F1"/>
    <w:rsid w:val="00152DD4"/>
    <w:rsid w:val="00152FCD"/>
    <w:rsid w:val="00154337"/>
    <w:rsid w:val="001545CE"/>
    <w:rsid w:val="00154730"/>
    <w:rsid w:val="001550E3"/>
    <w:rsid w:val="00156996"/>
    <w:rsid w:val="00157440"/>
    <w:rsid w:val="0016084D"/>
    <w:rsid w:val="00162C4A"/>
    <w:rsid w:val="00163D5E"/>
    <w:rsid w:val="00164A94"/>
    <w:rsid w:val="00165175"/>
    <w:rsid w:val="001658FC"/>
    <w:rsid w:val="0016659C"/>
    <w:rsid w:val="00170518"/>
    <w:rsid w:val="00171644"/>
    <w:rsid w:val="0017472C"/>
    <w:rsid w:val="001759BB"/>
    <w:rsid w:val="001773D6"/>
    <w:rsid w:val="001807BF"/>
    <w:rsid w:val="0018139F"/>
    <w:rsid w:val="00182B7D"/>
    <w:rsid w:val="00182FD4"/>
    <w:rsid w:val="001851AC"/>
    <w:rsid w:val="00185940"/>
    <w:rsid w:val="00185E79"/>
    <w:rsid w:val="00186136"/>
    <w:rsid w:val="00186D78"/>
    <w:rsid w:val="00190500"/>
    <w:rsid w:val="0019129F"/>
    <w:rsid w:val="001923DE"/>
    <w:rsid w:val="0019381E"/>
    <w:rsid w:val="001953F1"/>
    <w:rsid w:val="001959EB"/>
    <w:rsid w:val="00196290"/>
    <w:rsid w:val="00196ACA"/>
    <w:rsid w:val="00196E22"/>
    <w:rsid w:val="00197EC8"/>
    <w:rsid w:val="001A027B"/>
    <w:rsid w:val="001A116E"/>
    <w:rsid w:val="001A15A7"/>
    <w:rsid w:val="001A1AAC"/>
    <w:rsid w:val="001A1CFD"/>
    <w:rsid w:val="001A26A9"/>
    <w:rsid w:val="001A3C83"/>
    <w:rsid w:val="001A5826"/>
    <w:rsid w:val="001A6736"/>
    <w:rsid w:val="001A7F96"/>
    <w:rsid w:val="001B07D3"/>
    <w:rsid w:val="001B15FF"/>
    <w:rsid w:val="001B2DF7"/>
    <w:rsid w:val="001B5206"/>
    <w:rsid w:val="001C0C33"/>
    <w:rsid w:val="001C1989"/>
    <w:rsid w:val="001C1D66"/>
    <w:rsid w:val="001C248B"/>
    <w:rsid w:val="001C293B"/>
    <w:rsid w:val="001C2BD0"/>
    <w:rsid w:val="001C3A23"/>
    <w:rsid w:val="001C4471"/>
    <w:rsid w:val="001C516A"/>
    <w:rsid w:val="001C52CB"/>
    <w:rsid w:val="001C554F"/>
    <w:rsid w:val="001C57BF"/>
    <w:rsid w:val="001D02EE"/>
    <w:rsid w:val="001D0640"/>
    <w:rsid w:val="001D15E3"/>
    <w:rsid w:val="001D286B"/>
    <w:rsid w:val="001D2C2B"/>
    <w:rsid w:val="001D394B"/>
    <w:rsid w:val="001D4083"/>
    <w:rsid w:val="001D5171"/>
    <w:rsid w:val="001D5274"/>
    <w:rsid w:val="001D7FBC"/>
    <w:rsid w:val="001D7FDA"/>
    <w:rsid w:val="001E1ED5"/>
    <w:rsid w:val="001E24F0"/>
    <w:rsid w:val="001E2BDD"/>
    <w:rsid w:val="001E59B1"/>
    <w:rsid w:val="001E59B7"/>
    <w:rsid w:val="001E5CD1"/>
    <w:rsid w:val="001E5DA1"/>
    <w:rsid w:val="001E7F34"/>
    <w:rsid w:val="001F00F3"/>
    <w:rsid w:val="001F263C"/>
    <w:rsid w:val="001F2897"/>
    <w:rsid w:val="001F2FAB"/>
    <w:rsid w:val="001F492E"/>
    <w:rsid w:val="001F53DD"/>
    <w:rsid w:val="001F74E5"/>
    <w:rsid w:val="002001D0"/>
    <w:rsid w:val="00201D72"/>
    <w:rsid w:val="0020301D"/>
    <w:rsid w:val="0020436C"/>
    <w:rsid w:val="0020499B"/>
    <w:rsid w:val="00206D16"/>
    <w:rsid w:val="002109AE"/>
    <w:rsid w:val="00211489"/>
    <w:rsid w:val="002122DA"/>
    <w:rsid w:val="0021247D"/>
    <w:rsid w:val="00213394"/>
    <w:rsid w:val="00213ED5"/>
    <w:rsid w:val="002143FA"/>
    <w:rsid w:val="0021469B"/>
    <w:rsid w:val="00214852"/>
    <w:rsid w:val="00214930"/>
    <w:rsid w:val="00214FF1"/>
    <w:rsid w:val="00215939"/>
    <w:rsid w:val="00216253"/>
    <w:rsid w:val="002169AE"/>
    <w:rsid w:val="0021700F"/>
    <w:rsid w:val="00220BA4"/>
    <w:rsid w:val="00220F1A"/>
    <w:rsid w:val="00222D92"/>
    <w:rsid w:val="00222EDE"/>
    <w:rsid w:val="0022323B"/>
    <w:rsid w:val="002238A8"/>
    <w:rsid w:val="00223DA2"/>
    <w:rsid w:val="00226204"/>
    <w:rsid w:val="00227677"/>
    <w:rsid w:val="00230110"/>
    <w:rsid w:val="002316EA"/>
    <w:rsid w:val="00231C3F"/>
    <w:rsid w:val="002324D0"/>
    <w:rsid w:val="00232886"/>
    <w:rsid w:val="00232CDE"/>
    <w:rsid w:val="00232EFB"/>
    <w:rsid w:val="00233C25"/>
    <w:rsid w:val="002342D0"/>
    <w:rsid w:val="00235288"/>
    <w:rsid w:val="002359B4"/>
    <w:rsid w:val="002367C6"/>
    <w:rsid w:val="0023716D"/>
    <w:rsid w:val="00237EAE"/>
    <w:rsid w:val="00240693"/>
    <w:rsid w:val="00243F61"/>
    <w:rsid w:val="00244F1A"/>
    <w:rsid w:val="00245053"/>
    <w:rsid w:val="00245673"/>
    <w:rsid w:val="00246608"/>
    <w:rsid w:val="002468B0"/>
    <w:rsid w:val="00246EF3"/>
    <w:rsid w:val="00247EC2"/>
    <w:rsid w:val="00251D53"/>
    <w:rsid w:val="00251D8B"/>
    <w:rsid w:val="00251F44"/>
    <w:rsid w:val="002523D8"/>
    <w:rsid w:val="002550C2"/>
    <w:rsid w:val="0025538F"/>
    <w:rsid w:val="00255784"/>
    <w:rsid w:val="00255841"/>
    <w:rsid w:val="00255922"/>
    <w:rsid w:val="0025646E"/>
    <w:rsid w:val="0025719E"/>
    <w:rsid w:val="002571E8"/>
    <w:rsid w:val="0026008D"/>
    <w:rsid w:val="002603EE"/>
    <w:rsid w:val="00261F7E"/>
    <w:rsid w:val="00263203"/>
    <w:rsid w:val="002633D9"/>
    <w:rsid w:val="00265610"/>
    <w:rsid w:val="0026575B"/>
    <w:rsid w:val="00265A4D"/>
    <w:rsid w:val="00265D81"/>
    <w:rsid w:val="00266C3B"/>
    <w:rsid w:val="002704CC"/>
    <w:rsid w:val="00271E56"/>
    <w:rsid w:val="0027259F"/>
    <w:rsid w:val="002726FF"/>
    <w:rsid w:val="00272951"/>
    <w:rsid w:val="0027301E"/>
    <w:rsid w:val="00273318"/>
    <w:rsid w:val="0027636C"/>
    <w:rsid w:val="00276DCE"/>
    <w:rsid w:val="0027711B"/>
    <w:rsid w:val="002774B9"/>
    <w:rsid w:val="00277BE5"/>
    <w:rsid w:val="00277F93"/>
    <w:rsid w:val="00280190"/>
    <w:rsid w:val="00281103"/>
    <w:rsid w:val="00281BD7"/>
    <w:rsid w:val="00282CF7"/>
    <w:rsid w:val="00284C36"/>
    <w:rsid w:val="002859FB"/>
    <w:rsid w:val="00286884"/>
    <w:rsid w:val="00290C2C"/>
    <w:rsid w:val="0029275C"/>
    <w:rsid w:val="00292A74"/>
    <w:rsid w:val="0029340D"/>
    <w:rsid w:val="00294A23"/>
    <w:rsid w:val="00297703"/>
    <w:rsid w:val="00297EE1"/>
    <w:rsid w:val="002A12C5"/>
    <w:rsid w:val="002A163D"/>
    <w:rsid w:val="002A20D1"/>
    <w:rsid w:val="002A5361"/>
    <w:rsid w:val="002A543D"/>
    <w:rsid w:val="002B072C"/>
    <w:rsid w:val="002B20F5"/>
    <w:rsid w:val="002B2D0C"/>
    <w:rsid w:val="002B3FFD"/>
    <w:rsid w:val="002B40E4"/>
    <w:rsid w:val="002B4276"/>
    <w:rsid w:val="002B5979"/>
    <w:rsid w:val="002C03FA"/>
    <w:rsid w:val="002C090B"/>
    <w:rsid w:val="002C0C82"/>
    <w:rsid w:val="002C19A4"/>
    <w:rsid w:val="002C1F9A"/>
    <w:rsid w:val="002C36C2"/>
    <w:rsid w:val="002C49B6"/>
    <w:rsid w:val="002C4E39"/>
    <w:rsid w:val="002C5B49"/>
    <w:rsid w:val="002C5EBE"/>
    <w:rsid w:val="002C6D30"/>
    <w:rsid w:val="002D1C8D"/>
    <w:rsid w:val="002D244E"/>
    <w:rsid w:val="002D2ADF"/>
    <w:rsid w:val="002D3EDD"/>
    <w:rsid w:val="002D5E41"/>
    <w:rsid w:val="002D652F"/>
    <w:rsid w:val="002D673D"/>
    <w:rsid w:val="002E029F"/>
    <w:rsid w:val="002E0EA1"/>
    <w:rsid w:val="002E1C94"/>
    <w:rsid w:val="002E2603"/>
    <w:rsid w:val="002E3D0C"/>
    <w:rsid w:val="002E514F"/>
    <w:rsid w:val="002E576C"/>
    <w:rsid w:val="002E5B80"/>
    <w:rsid w:val="002E6405"/>
    <w:rsid w:val="002E6A82"/>
    <w:rsid w:val="002E72A9"/>
    <w:rsid w:val="002F0544"/>
    <w:rsid w:val="002F1948"/>
    <w:rsid w:val="002F25F8"/>
    <w:rsid w:val="002F3A16"/>
    <w:rsid w:val="002F4170"/>
    <w:rsid w:val="002F4BD1"/>
    <w:rsid w:val="002F5304"/>
    <w:rsid w:val="002F555F"/>
    <w:rsid w:val="002F587B"/>
    <w:rsid w:val="002F6ED9"/>
    <w:rsid w:val="002F72B5"/>
    <w:rsid w:val="002F730B"/>
    <w:rsid w:val="002F7689"/>
    <w:rsid w:val="002F778D"/>
    <w:rsid w:val="00300B6B"/>
    <w:rsid w:val="00300BC3"/>
    <w:rsid w:val="00300EE9"/>
    <w:rsid w:val="00302941"/>
    <w:rsid w:val="00304262"/>
    <w:rsid w:val="00307FD1"/>
    <w:rsid w:val="003103F8"/>
    <w:rsid w:val="00310428"/>
    <w:rsid w:val="00310F11"/>
    <w:rsid w:val="003135D8"/>
    <w:rsid w:val="00314600"/>
    <w:rsid w:val="00315577"/>
    <w:rsid w:val="003159A8"/>
    <w:rsid w:val="003164BF"/>
    <w:rsid w:val="00317497"/>
    <w:rsid w:val="00317780"/>
    <w:rsid w:val="00317F7E"/>
    <w:rsid w:val="003202DC"/>
    <w:rsid w:val="003203C9"/>
    <w:rsid w:val="0032072B"/>
    <w:rsid w:val="00320B2C"/>
    <w:rsid w:val="00320B77"/>
    <w:rsid w:val="00321ED2"/>
    <w:rsid w:val="00322815"/>
    <w:rsid w:val="00324A95"/>
    <w:rsid w:val="00324C4F"/>
    <w:rsid w:val="00324D38"/>
    <w:rsid w:val="00324F40"/>
    <w:rsid w:val="0032537B"/>
    <w:rsid w:val="0032573E"/>
    <w:rsid w:val="00326375"/>
    <w:rsid w:val="003277D6"/>
    <w:rsid w:val="003278AA"/>
    <w:rsid w:val="003306C5"/>
    <w:rsid w:val="00330FBF"/>
    <w:rsid w:val="003316FF"/>
    <w:rsid w:val="00331C4E"/>
    <w:rsid w:val="003376DE"/>
    <w:rsid w:val="003378B6"/>
    <w:rsid w:val="00337E1C"/>
    <w:rsid w:val="00340154"/>
    <w:rsid w:val="00341097"/>
    <w:rsid w:val="00341AEC"/>
    <w:rsid w:val="00341C33"/>
    <w:rsid w:val="003425A2"/>
    <w:rsid w:val="00342C47"/>
    <w:rsid w:val="00344BC7"/>
    <w:rsid w:val="00347670"/>
    <w:rsid w:val="00351C56"/>
    <w:rsid w:val="003543BA"/>
    <w:rsid w:val="00356769"/>
    <w:rsid w:val="00357B42"/>
    <w:rsid w:val="00357C9D"/>
    <w:rsid w:val="00361A77"/>
    <w:rsid w:val="0036257A"/>
    <w:rsid w:val="00362F3E"/>
    <w:rsid w:val="003639B1"/>
    <w:rsid w:val="003643F3"/>
    <w:rsid w:val="00364945"/>
    <w:rsid w:val="00364F90"/>
    <w:rsid w:val="003654AC"/>
    <w:rsid w:val="0036572A"/>
    <w:rsid w:val="0036609C"/>
    <w:rsid w:val="003664BA"/>
    <w:rsid w:val="00367484"/>
    <w:rsid w:val="00367EDC"/>
    <w:rsid w:val="003701F6"/>
    <w:rsid w:val="00371161"/>
    <w:rsid w:val="00371B94"/>
    <w:rsid w:val="00373A05"/>
    <w:rsid w:val="00374D7C"/>
    <w:rsid w:val="0037721E"/>
    <w:rsid w:val="003778AB"/>
    <w:rsid w:val="00377FE7"/>
    <w:rsid w:val="003801E0"/>
    <w:rsid w:val="0038039F"/>
    <w:rsid w:val="003806A6"/>
    <w:rsid w:val="0038095B"/>
    <w:rsid w:val="00382706"/>
    <w:rsid w:val="003827F6"/>
    <w:rsid w:val="00383914"/>
    <w:rsid w:val="00383BD1"/>
    <w:rsid w:val="0038455A"/>
    <w:rsid w:val="00387E17"/>
    <w:rsid w:val="003901D7"/>
    <w:rsid w:val="003901F3"/>
    <w:rsid w:val="00390407"/>
    <w:rsid w:val="00390439"/>
    <w:rsid w:val="003916EA"/>
    <w:rsid w:val="00391A2C"/>
    <w:rsid w:val="00392FE6"/>
    <w:rsid w:val="003937E5"/>
    <w:rsid w:val="00394D30"/>
    <w:rsid w:val="003953B6"/>
    <w:rsid w:val="003978A5"/>
    <w:rsid w:val="00397D92"/>
    <w:rsid w:val="003A1D21"/>
    <w:rsid w:val="003A2128"/>
    <w:rsid w:val="003A2D7A"/>
    <w:rsid w:val="003A38B8"/>
    <w:rsid w:val="003A42CD"/>
    <w:rsid w:val="003A4503"/>
    <w:rsid w:val="003A5B9E"/>
    <w:rsid w:val="003A6E63"/>
    <w:rsid w:val="003B04C6"/>
    <w:rsid w:val="003B088F"/>
    <w:rsid w:val="003B1309"/>
    <w:rsid w:val="003B1794"/>
    <w:rsid w:val="003B3E05"/>
    <w:rsid w:val="003B43D6"/>
    <w:rsid w:val="003B53BD"/>
    <w:rsid w:val="003B7E50"/>
    <w:rsid w:val="003C2926"/>
    <w:rsid w:val="003C2E60"/>
    <w:rsid w:val="003C430F"/>
    <w:rsid w:val="003C4924"/>
    <w:rsid w:val="003C49E1"/>
    <w:rsid w:val="003C5C4D"/>
    <w:rsid w:val="003C728C"/>
    <w:rsid w:val="003C7665"/>
    <w:rsid w:val="003C7ABD"/>
    <w:rsid w:val="003C7B7E"/>
    <w:rsid w:val="003D02F3"/>
    <w:rsid w:val="003D0940"/>
    <w:rsid w:val="003D0E99"/>
    <w:rsid w:val="003D1EC0"/>
    <w:rsid w:val="003D2289"/>
    <w:rsid w:val="003D4001"/>
    <w:rsid w:val="003D4084"/>
    <w:rsid w:val="003D44AE"/>
    <w:rsid w:val="003D5400"/>
    <w:rsid w:val="003D61BA"/>
    <w:rsid w:val="003D61F0"/>
    <w:rsid w:val="003D6E72"/>
    <w:rsid w:val="003D7D53"/>
    <w:rsid w:val="003E03A8"/>
    <w:rsid w:val="003E067B"/>
    <w:rsid w:val="003E1DB8"/>
    <w:rsid w:val="003E28B0"/>
    <w:rsid w:val="003E482A"/>
    <w:rsid w:val="003E5425"/>
    <w:rsid w:val="003E5670"/>
    <w:rsid w:val="003E6936"/>
    <w:rsid w:val="003E69BE"/>
    <w:rsid w:val="003E714B"/>
    <w:rsid w:val="003E7ADE"/>
    <w:rsid w:val="003F0F89"/>
    <w:rsid w:val="003F1E9D"/>
    <w:rsid w:val="003F2201"/>
    <w:rsid w:val="003F3B85"/>
    <w:rsid w:val="003F4C39"/>
    <w:rsid w:val="003F5430"/>
    <w:rsid w:val="003F660A"/>
    <w:rsid w:val="003F6CAA"/>
    <w:rsid w:val="003F7CD2"/>
    <w:rsid w:val="0040150E"/>
    <w:rsid w:val="00401FD0"/>
    <w:rsid w:val="0040263E"/>
    <w:rsid w:val="00402D86"/>
    <w:rsid w:val="00402E2E"/>
    <w:rsid w:val="00403C9F"/>
    <w:rsid w:val="00403F86"/>
    <w:rsid w:val="00405D0E"/>
    <w:rsid w:val="00405E14"/>
    <w:rsid w:val="00406268"/>
    <w:rsid w:val="0041022E"/>
    <w:rsid w:val="00410C44"/>
    <w:rsid w:val="00411B5E"/>
    <w:rsid w:val="0041357D"/>
    <w:rsid w:val="00414C01"/>
    <w:rsid w:val="00420937"/>
    <w:rsid w:val="00420FC3"/>
    <w:rsid w:val="00424A7E"/>
    <w:rsid w:val="0042672F"/>
    <w:rsid w:val="00426D9B"/>
    <w:rsid w:val="00430375"/>
    <w:rsid w:val="00430E97"/>
    <w:rsid w:val="00430FCB"/>
    <w:rsid w:val="004313D9"/>
    <w:rsid w:val="00432537"/>
    <w:rsid w:val="00432B4A"/>
    <w:rsid w:val="00432F93"/>
    <w:rsid w:val="0043376E"/>
    <w:rsid w:val="004345AE"/>
    <w:rsid w:val="00434AB0"/>
    <w:rsid w:val="00434AEB"/>
    <w:rsid w:val="00435A34"/>
    <w:rsid w:val="00435EAF"/>
    <w:rsid w:val="004360AA"/>
    <w:rsid w:val="00436880"/>
    <w:rsid w:val="00436A78"/>
    <w:rsid w:val="004377D3"/>
    <w:rsid w:val="00440ED3"/>
    <w:rsid w:val="00441D0D"/>
    <w:rsid w:val="00442733"/>
    <w:rsid w:val="00442D7F"/>
    <w:rsid w:val="00443788"/>
    <w:rsid w:val="004441C8"/>
    <w:rsid w:val="00445466"/>
    <w:rsid w:val="00446122"/>
    <w:rsid w:val="0044705D"/>
    <w:rsid w:val="0045026C"/>
    <w:rsid w:val="00450CF4"/>
    <w:rsid w:val="00450F11"/>
    <w:rsid w:val="004525DD"/>
    <w:rsid w:val="00456527"/>
    <w:rsid w:val="004571A0"/>
    <w:rsid w:val="00460739"/>
    <w:rsid w:val="0046078B"/>
    <w:rsid w:val="00460BDE"/>
    <w:rsid w:val="004612EF"/>
    <w:rsid w:val="00462731"/>
    <w:rsid w:val="00463C1D"/>
    <w:rsid w:val="00464DD6"/>
    <w:rsid w:val="00464E57"/>
    <w:rsid w:val="004658A7"/>
    <w:rsid w:val="004662B7"/>
    <w:rsid w:val="004669CC"/>
    <w:rsid w:val="00466EB7"/>
    <w:rsid w:val="00470151"/>
    <w:rsid w:val="00470153"/>
    <w:rsid w:val="004712E3"/>
    <w:rsid w:val="00471FD5"/>
    <w:rsid w:val="00472430"/>
    <w:rsid w:val="004734E3"/>
    <w:rsid w:val="00474057"/>
    <w:rsid w:val="00474595"/>
    <w:rsid w:val="0047650D"/>
    <w:rsid w:val="00476673"/>
    <w:rsid w:val="00476A20"/>
    <w:rsid w:val="004776AC"/>
    <w:rsid w:val="004810C1"/>
    <w:rsid w:val="004821E0"/>
    <w:rsid w:val="004822D1"/>
    <w:rsid w:val="00483207"/>
    <w:rsid w:val="0048529D"/>
    <w:rsid w:val="004870A9"/>
    <w:rsid w:val="004879E6"/>
    <w:rsid w:val="00491963"/>
    <w:rsid w:val="00491C9B"/>
    <w:rsid w:val="004929E2"/>
    <w:rsid w:val="00494208"/>
    <w:rsid w:val="004944CA"/>
    <w:rsid w:val="004944EE"/>
    <w:rsid w:val="00495019"/>
    <w:rsid w:val="00495CCF"/>
    <w:rsid w:val="0049612C"/>
    <w:rsid w:val="004967FF"/>
    <w:rsid w:val="004A142D"/>
    <w:rsid w:val="004A1EBB"/>
    <w:rsid w:val="004A25BC"/>
    <w:rsid w:val="004A2BA5"/>
    <w:rsid w:val="004A5088"/>
    <w:rsid w:val="004A67DF"/>
    <w:rsid w:val="004A69F3"/>
    <w:rsid w:val="004A6F54"/>
    <w:rsid w:val="004A7207"/>
    <w:rsid w:val="004B1C72"/>
    <w:rsid w:val="004B21F9"/>
    <w:rsid w:val="004B3C7C"/>
    <w:rsid w:val="004B40FD"/>
    <w:rsid w:val="004B58B8"/>
    <w:rsid w:val="004C1703"/>
    <w:rsid w:val="004C2079"/>
    <w:rsid w:val="004C332E"/>
    <w:rsid w:val="004C47F5"/>
    <w:rsid w:val="004C58AA"/>
    <w:rsid w:val="004C6241"/>
    <w:rsid w:val="004C743E"/>
    <w:rsid w:val="004C7663"/>
    <w:rsid w:val="004D0396"/>
    <w:rsid w:val="004D073A"/>
    <w:rsid w:val="004D0D3D"/>
    <w:rsid w:val="004D141C"/>
    <w:rsid w:val="004D1BBD"/>
    <w:rsid w:val="004D28DA"/>
    <w:rsid w:val="004D2A9A"/>
    <w:rsid w:val="004D307B"/>
    <w:rsid w:val="004D48D1"/>
    <w:rsid w:val="004D574C"/>
    <w:rsid w:val="004D6371"/>
    <w:rsid w:val="004D7391"/>
    <w:rsid w:val="004D7748"/>
    <w:rsid w:val="004D77DF"/>
    <w:rsid w:val="004E17B0"/>
    <w:rsid w:val="004E18D7"/>
    <w:rsid w:val="004E1AC5"/>
    <w:rsid w:val="004E1D5D"/>
    <w:rsid w:val="004E2EB9"/>
    <w:rsid w:val="004E31EF"/>
    <w:rsid w:val="004E339C"/>
    <w:rsid w:val="004E4550"/>
    <w:rsid w:val="004E5C34"/>
    <w:rsid w:val="004E68DC"/>
    <w:rsid w:val="004E6D3C"/>
    <w:rsid w:val="004F1120"/>
    <w:rsid w:val="004F333E"/>
    <w:rsid w:val="004F3AB5"/>
    <w:rsid w:val="004F3F97"/>
    <w:rsid w:val="004F4A25"/>
    <w:rsid w:val="004F5235"/>
    <w:rsid w:val="004F557E"/>
    <w:rsid w:val="004F77D0"/>
    <w:rsid w:val="005020CE"/>
    <w:rsid w:val="0050295C"/>
    <w:rsid w:val="00503075"/>
    <w:rsid w:val="005032EB"/>
    <w:rsid w:val="00503376"/>
    <w:rsid w:val="0050346B"/>
    <w:rsid w:val="0050443E"/>
    <w:rsid w:val="0050597D"/>
    <w:rsid w:val="00506A4B"/>
    <w:rsid w:val="00506B79"/>
    <w:rsid w:val="00507471"/>
    <w:rsid w:val="00507983"/>
    <w:rsid w:val="00507C3C"/>
    <w:rsid w:val="00510655"/>
    <w:rsid w:val="00512C93"/>
    <w:rsid w:val="00513CCF"/>
    <w:rsid w:val="00513DD0"/>
    <w:rsid w:val="00516ABC"/>
    <w:rsid w:val="00516B3F"/>
    <w:rsid w:val="00516D92"/>
    <w:rsid w:val="005174D1"/>
    <w:rsid w:val="00520ABC"/>
    <w:rsid w:val="00521847"/>
    <w:rsid w:val="00522323"/>
    <w:rsid w:val="005232DB"/>
    <w:rsid w:val="00523D9E"/>
    <w:rsid w:val="0052488C"/>
    <w:rsid w:val="005249B7"/>
    <w:rsid w:val="00526E06"/>
    <w:rsid w:val="00526FD6"/>
    <w:rsid w:val="005272F3"/>
    <w:rsid w:val="00527788"/>
    <w:rsid w:val="005307F7"/>
    <w:rsid w:val="00530AC4"/>
    <w:rsid w:val="00530DAC"/>
    <w:rsid w:val="005313F9"/>
    <w:rsid w:val="005325F2"/>
    <w:rsid w:val="00532692"/>
    <w:rsid w:val="00533BAB"/>
    <w:rsid w:val="0053418C"/>
    <w:rsid w:val="00534837"/>
    <w:rsid w:val="00535067"/>
    <w:rsid w:val="005375DF"/>
    <w:rsid w:val="0053761C"/>
    <w:rsid w:val="00537D78"/>
    <w:rsid w:val="00540A0C"/>
    <w:rsid w:val="00541F7B"/>
    <w:rsid w:val="00543B64"/>
    <w:rsid w:val="005444AD"/>
    <w:rsid w:val="005446AF"/>
    <w:rsid w:val="00545216"/>
    <w:rsid w:val="00546850"/>
    <w:rsid w:val="00547814"/>
    <w:rsid w:val="00547868"/>
    <w:rsid w:val="005479AB"/>
    <w:rsid w:val="00551B0F"/>
    <w:rsid w:val="00552A7E"/>
    <w:rsid w:val="00553788"/>
    <w:rsid w:val="0055566E"/>
    <w:rsid w:val="00555DEC"/>
    <w:rsid w:val="00556742"/>
    <w:rsid w:val="00556F10"/>
    <w:rsid w:val="00557D7D"/>
    <w:rsid w:val="0056100B"/>
    <w:rsid w:val="00562B2D"/>
    <w:rsid w:val="00564B42"/>
    <w:rsid w:val="0056531E"/>
    <w:rsid w:val="00566255"/>
    <w:rsid w:val="00566A1B"/>
    <w:rsid w:val="00566D2F"/>
    <w:rsid w:val="005679B3"/>
    <w:rsid w:val="00571E11"/>
    <w:rsid w:val="005720F0"/>
    <w:rsid w:val="005723F4"/>
    <w:rsid w:val="00573250"/>
    <w:rsid w:val="00574DF0"/>
    <w:rsid w:val="00575270"/>
    <w:rsid w:val="00575353"/>
    <w:rsid w:val="005804B3"/>
    <w:rsid w:val="00581432"/>
    <w:rsid w:val="0058218A"/>
    <w:rsid w:val="0058294D"/>
    <w:rsid w:val="00584B09"/>
    <w:rsid w:val="00585298"/>
    <w:rsid w:val="005874DF"/>
    <w:rsid w:val="005906E7"/>
    <w:rsid w:val="00591824"/>
    <w:rsid w:val="005925C5"/>
    <w:rsid w:val="00593009"/>
    <w:rsid w:val="0059302E"/>
    <w:rsid w:val="00593DB4"/>
    <w:rsid w:val="0059589B"/>
    <w:rsid w:val="005A0FB5"/>
    <w:rsid w:val="005A19B7"/>
    <w:rsid w:val="005A241C"/>
    <w:rsid w:val="005A36A4"/>
    <w:rsid w:val="005A37D3"/>
    <w:rsid w:val="005A39C4"/>
    <w:rsid w:val="005A56F1"/>
    <w:rsid w:val="005A6E7D"/>
    <w:rsid w:val="005B09C8"/>
    <w:rsid w:val="005B0D94"/>
    <w:rsid w:val="005B0E5E"/>
    <w:rsid w:val="005B2442"/>
    <w:rsid w:val="005B2CE2"/>
    <w:rsid w:val="005B3315"/>
    <w:rsid w:val="005B426B"/>
    <w:rsid w:val="005B43DB"/>
    <w:rsid w:val="005B457F"/>
    <w:rsid w:val="005B6CDC"/>
    <w:rsid w:val="005C0316"/>
    <w:rsid w:val="005C0C2D"/>
    <w:rsid w:val="005C4984"/>
    <w:rsid w:val="005C4D16"/>
    <w:rsid w:val="005C561A"/>
    <w:rsid w:val="005C6D1D"/>
    <w:rsid w:val="005D0496"/>
    <w:rsid w:val="005D0C46"/>
    <w:rsid w:val="005D2A0E"/>
    <w:rsid w:val="005D30FE"/>
    <w:rsid w:val="005D38AE"/>
    <w:rsid w:val="005D4484"/>
    <w:rsid w:val="005D4DD2"/>
    <w:rsid w:val="005D6F1D"/>
    <w:rsid w:val="005E058B"/>
    <w:rsid w:val="005E211B"/>
    <w:rsid w:val="005E3842"/>
    <w:rsid w:val="005E6FA2"/>
    <w:rsid w:val="005F0116"/>
    <w:rsid w:val="005F0B64"/>
    <w:rsid w:val="005F1A7B"/>
    <w:rsid w:val="005F223D"/>
    <w:rsid w:val="005F2BFF"/>
    <w:rsid w:val="005F369D"/>
    <w:rsid w:val="005F387F"/>
    <w:rsid w:val="005F404E"/>
    <w:rsid w:val="005F460F"/>
    <w:rsid w:val="005F4BC6"/>
    <w:rsid w:val="005F52B2"/>
    <w:rsid w:val="005F7999"/>
    <w:rsid w:val="005F79FC"/>
    <w:rsid w:val="0060008F"/>
    <w:rsid w:val="00600E36"/>
    <w:rsid w:val="00601A4B"/>
    <w:rsid w:val="0060222D"/>
    <w:rsid w:val="00602C25"/>
    <w:rsid w:val="0060364D"/>
    <w:rsid w:val="00604146"/>
    <w:rsid w:val="00604C9F"/>
    <w:rsid w:val="00605406"/>
    <w:rsid w:val="00605846"/>
    <w:rsid w:val="00605A9A"/>
    <w:rsid w:val="00605AA8"/>
    <w:rsid w:val="00605DD5"/>
    <w:rsid w:val="00606785"/>
    <w:rsid w:val="00606CB3"/>
    <w:rsid w:val="006079C5"/>
    <w:rsid w:val="00610CF0"/>
    <w:rsid w:val="00610CFE"/>
    <w:rsid w:val="00610D49"/>
    <w:rsid w:val="00612F0F"/>
    <w:rsid w:val="0061331B"/>
    <w:rsid w:val="00613497"/>
    <w:rsid w:val="00613B82"/>
    <w:rsid w:val="00615211"/>
    <w:rsid w:val="00616995"/>
    <w:rsid w:val="00617412"/>
    <w:rsid w:val="00620ECE"/>
    <w:rsid w:val="006211F4"/>
    <w:rsid w:val="0062244B"/>
    <w:rsid w:val="00623EC1"/>
    <w:rsid w:val="00624344"/>
    <w:rsid w:val="00624747"/>
    <w:rsid w:val="00624B42"/>
    <w:rsid w:val="0062527F"/>
    <w:rsid w:val="00625CEA"/>
    <w:rsid w:val="006303CE"/>
    <w:rsid w:val="00630DCD"/>
    <w:rsid w:val="00631AC8"/>
    <w:rsid w:val="00632302"/>
    <w:rsid w:val="00632FDA"/>
    <w:rsid w:val="006346FB"/>
    <w:rsid w:val="00635724"/>
    <w:rsid w:val="00637826"/>
    <w:rsid w:val="006378A3"/>
    <w:rsid w:val="00640DAC"/>
    <w:rsid w:val="00643E92"/>
    <w:rsid w:val="00643EDD"/>
    <w:rsid w:val="00645FA2"/>
    <w:rsid w:val="0064621D"/>
    <w:rsid w:val="00647C3D"/>
    <w:rsid w:val="00647F4F"/>
    <w:rsid w:val="00647F8F"/>
    <w:rsid w:val="00652012"/>
    <w:rsid w:val="006529B5"/>
    <w:rsid w:val="00654CAD"/>
    <w:rsid w:val="00655310"/>
    <w:rsid w:val="00655762"/>
    <w:rsid w:val="00656544"/>
    <w:rsid w:val="0065683A"/>
    <w:rsid w:val="00660DE8"/>
    <w:rsid w:val="0066123F"/>
    <w:rsid w:val="00662FFF"/>
    <w:rsid w:val="006636CC"/>
    <w:rsid w:val="006638EC"/>
    <w:rsid w:val="00664B7F"/>
    <w:rsid w:val="00666B56"/>
    <w:rsid w:val="00666C70"/>
    <w:rsid w:val="006675B8"/>
    <w:rsid w:val="006704ED"/>
    <w:rsid w:val="006721CC"/>
    <w:rsid w:val="0067321B"/>
    <w:rsid w:val="006745A5"/>
    <w:rsid w:val="006768E1"/>
    <w:rsid w:val="00676EB8"/>
    <w:rsid w:val="0067731E"/>
    <w:rsid w:val="00677896"/>
    <w:rsid w:val="00677ED3"/>
    <w:rsid w:val="00677F15"/>
    <w:rsid w:val="00680426"/>
    <w:rsid w:val="006812BE"/>
    <w:rsid w:val="006819C0"/>
    <w:rsid w:val="00681F3F"/>
    <w:rsid w:val="00683D08"/>
    <w:rsid w:val="00684816"/>
    <w:rsid w:val="00684A07"/>
    <w:rsid w:val="00684D82"/>
    <w:rsid w:val="006873F8"/>
    <w:rsid w:val="00687C30"/>
    <w:rsid w:val="006900FE"/>
    <w:rsid w:val="00690212"/>
    <w:rsid w:val="00690958"/>
    <w:rsid w:val="00690D44"/>
    <w:rsid w:val="00691A77"/>
    <w:rsid w:val="00691C74"/>
    <w:rsid w:val="0069287B"/>
    <w:rsid w:val="00692B8E"/>
    <w:rsid w:val="0069311F"/>
    <w:rsid w:val="006931BB"/>
    <w:rsid w:val="00693EE0"/>
    <w:rsid w:val="006942BB"/>
    <w:rsid w:val="0069487B"/>
    <w:rsid w:val="006949FA"/>
    <w:rsid w:val="00694DA2"/>
    <w:rsid w:val="00695087"/>
    <w:rsid w:val="0069566D"/>
    <w:rsid w:val="0069589C"/>
    <w:rsid w:val="00697778"/>
    <w:rsid w:val="006A1477"/>
    <w:rsid w:val="006A15D6"/>
    <w:rsid w:val="006A2312"/>
    <w:rsid w:val="006A2A3B"/>
    <w:rsid w:val="006A2E61"/>
    <w:rsid w:val="006A37BB"/>
    <w:rsid w:val="006A386F"/>
    <w:rsid w:val="006A38C1"/>
    <w:rsid w:val="006A3D2F"/>
    <w:rsid w:val="006A42A9"/>
    <w:rsid w:val="006A5444"/>
    <w:rsid w:val="006A66C0"/>
    <w:rsid w:val="006A7381"/>
    <w:rsid w:val="006A74F9"/>
    <w:rsid w:val="006B035A"/>
    <w:rsid w:val="006B1B24"/>
    <w:rsid w:val="006B1E9A"/>
    <w:rsid w:val="006B3EAF"/>
    <w:rsid w:val="006B4667"/>
    <w:rsid w:val="006B5925"/>
    <w:rsid w:val="006B6182"/>
    <w:rsid w:val="006B61F4"/>
    <w:rsid w:val="006B6458"/>
    <w:rsid w:val="006C0E69"/>
    <w:rsid w:val="006C1738"/>
    <w:rsid w:val="006C29D3"/>
    <w:rsid w:val="006C3852"/>
    <w:rsid w:val="006C3E68"/>
    <w:rsid w:val="006C56F3"/>
    <w:rsid w:val="006C5A12"/>
    <w:rsid w:val="006C6277"/>
    <w:rsid w:val="006C7B4C"/>
    <w:rsid w:val="006D0031"/>
    <w:rsid w:val="006D0846"/>
    <w:rsid w:val="006D0CFD"/>
    <w:rsid w:val="006D0F50"/>
    <w:rsid w:val="006D1AA0"/>
    <w:rsid w:val="006D1FE8"/>
    <w:rsid w:val="006D24AB"/>
    <w:rsid w:val="006D2C5C"/>
    <w:rsid w:val="006D3C54"/>
    <w:rsid w:val="006D5B0E"/>
    <w:rsid w:val="006D6B26"/>
    <w:rsid w:val="006D7286"/>
    <w:rsid w:val="006E00F9"/>
    <w:rsid w:val="006E0EC8"/>
    <w:rsid w:val="006E1049"/>
    <w:rsid w:val="006E140B"/>
    <w:rsid w:val="006E25F5"/>
    <w:rsid w:val="006E359F"/>
    <w:rsid w:val="006E4628"/>
    <w:rsid w:val="006E498D"/>
    <w:rsid w:val="006E4FF0"/>
    <w:rsid w:val="006F1BCA"/>
    <w:rsid w:val="006F33F1"/>
    <w:rsid w:val="006F3A8A"/>
    <w:rsid w:val="006F4322"/>
    <w:rsid w:val="006F6896"/>
    <w:rsid w:val="00701229"/>
    <w:rsid w:val="007018B6"/>
    <w:rsid w:val="0070476A"/>
    <w:rsid w:val="00704D8B"/>
    <w:rsid w:val="00705A08"/>
    <w:rsid w:val="00706138"/>
    <w:rsid w:val="00706CDD"/>
    <w:rsid w:val="00707494"/>
    <w:rsid w:val="00707858"/>
    <w:rsid w:val="00710DE4"/>
    <w:rsid w:val="007112B8"/>
    <w:rsid w:val="007114F7"/>
    <w:rsid w:val="007127D6"/>
    <w:rsid w:val="00714191"/>
    <w:rsid w:val="0071451D"/>
    <w:rsid w:val="00714F4F"/>
    <w:rsid w:val="00716511"/>
    <w:rsid w:val="00716F4E"/>
    <w:rsid w:val="007226E6"/>
    <w:rsid w:val="00722D7B"/>
    <w:rsid w:val="007231C5"/>
    <w:rsid w:val="00723BA5"/>
    <w:rsid w:val="0072415D"/>
    <w:rsid w:val="00724317"/>
    <w:rsid w:val="007250B3"/>
    <w:rsid w:val="00725DB5"/>
    <w:rsid w:val="007275F7"/>
    <w:rsid w:val="00730BC7"/>
    <w:rsid w:val="00731242"/>
    <w:rsid w:val="00731C50"/>
    <w:rsid w:val="00733751"/>
    <w:rsid w:val="0073381B"/>
    <w:rsid w:val="00733C02"/>
    <w:rsid w:val="00733FBF"/>
    <w:rsid w:val="00735299"/>
    <w:rsid w:val="00735BEB"/>
    <w:rsid w:val="0073638D"/>
    <w:rsid w:val="00736A22"/>
    <w:rsid w:val="00737BA1"/>
    <w:rsid w:val="0074002D"/>
    <w:rsid w:val="0074044B"/>
    <w:rsid w:val="007420E7"/>
    <w:rsid w:val="00742FCF"/>
    <w:rsid w:val="00743840"/>
    <w:rsid w:val="00743989"/>
    <w:rsid w:val="00744058"/>
    <w:rsid w:val="00744A23"/>
    <w:rsid w:val="00745F05"/>
    <w:rsid w:val="007466A1"/>
    <w:rsid w:val="00746A0D"/>
    <w:rsid w:val="007475C6"/>
    <w:rsid w:val="00747D70"/>
    <w:rsid w:val="00747E8A"/>
    <w:rsid w:val="00751AEB"/>
    <w:rsid w:val="00753297"/>
    <w:rsid w:val="00754ABF"/>
    <w:rsid w:val="00755576"/>
    <w:rsid w:val="007566D5"/>
    <w:rsid w:val="00757BD8"/>
    <w:rsid w:val="00761750"/>
    <w:rsid w:val="00763A05"/>
    <w:rsid w:val="00763E68"/>
    <w:rsid w:val="00764052"/>
    <w:rsid w:val="00764D0D"/>
    <w:rsid w:val="00764EBB"/>
    <w:rsid w:val="007669AB"/>
    <w:rsid w:val="00772563"/>
    <w:rsid w:val="00772E61"/>
    <w:rsid w:val="007732E7"/>
    <w:rsid w:val="00774178"/>
    <w:rsid w:val="00775593"/>
    <w:rsid w:val="00776707"/>
    <w:rsid w:val="00777C48"/>
    <w:rsid w:val="00782965"/>
    <w:rsid w:val="00782CCB"/>
    <w:rsid w:val="00782F2F"/>
    <w:rsid w:val="007835A5"/>
    <w:rsid w:val="00784180"/>
    <w:rsid w:val="0078585A"/>
    <w:rsid w:val="007859F6"/>
    <w:rsid w:val="007872F9"/>
    <w:rsid w:val="007912F5"/>
    <w:rsid w:val="0079361C"/>
    <w:rsid w:val="00793A5D"/>
    <w:rsid w:val="00793ED6"/>
    <w:rsid w:val="00794172"/>
    <w:rsid w:val="00794529"/>
    <w:rsid w:val="00794EA7"/>
    <w:rsid w:val="00794F1A"/>
    <w:rsid w:val="00795634"/>
    <w:rsid w:val="00796819"/>
    <w:rsid w:val="00796872"/>
    <w:rsid w:val="00796D91"/>
    <w:rsid w:val="007A077B"/>
    <w:rsid w:val="007A0C4E"/>
    <w:rsid w:val="007A2ADE"/>
    <w:rsid w:val="007A2F56"/>
    <w:rsid w:val="007A31A4"/>
    <w:rsid w:val="007A437B"/>
    <w:rsid w:val="007A517D"/>
    <w:rsid w:val="007A5918"/>
    <w:rsid w:val="007A7217"/>
    <w:rsid w:val="007B148D"/>
    <w:rsid w:val="007B2323"/>
    <w:rsid w:val="007B37CA"/>
    <w:rsid w:val="007B42D2"/>
    <w:rsid w:val="007B47F7"/>
    <w:rsid w:val="007B59BF"/>
    <w:rsid w:val="007B5B51"/>
    <w:rsid w:val="007C05B1"/>
    <w:rsid w:val="007C1254"/>
    <w:rsid w:val="007C4007"/>
    <w:rsid w:val="007C45C7"/>
    <w:rsid w:val="007C49D3"/>
    <w:rsid w:val="007C6426"/>
    <w:rsid w:val="007C7483"/>
    <w:rsid w:val="007D0840"/>
    <w:rsid w:val="007D2429"/>
    <w:rsid w:val="007D3F32"/>
    <w:rsid w:val="007D45DB"/>
    <w:rsid w:val="007D4C39"/>
    <w:rsid w:val="007D4CB1"/>
    <w:rsid w:val="007D5BB8"/>
    <w:rsid w:val="007D635C"/>
    <w:rsid w:val="007D7223"/>
    <w:rsid w:val="007D763B"/>
    <w:rsid w:val="007E1B95"/>
    <w:rsid w:val="007E2924"/>
    <w:rsid w:val="007E2A47"/>
    <w:rsid w:val="007E2B4F"/>
    <w:rsid w:val="007E46A6"/>
    <w:rsid w:val="007E4E86"/>
    <w:rsid w:val="007E5393"/>
    <w:rsid w:val="007E5C12"/>
    <w:rsid w:val="007E5CC9"/>
    <w:rsid w:val="007E62AB"/>
    <w:rsid w:val="007E6B9D"/>
    <w:rsid w:val="007E6DB2"/>
    <w:rsid w:val="007E7EC8"/>
    <w:rsid w:val="007F2A17"/>
    <w:rsid w:val="007F4579"/>
    <w:rsid w:val="007F486E"/>
    <w:rsid w:val="007F5CA9"/>
    <w:rsid w:val="007F68C0"/>
    <w:rsid w:val="007F6D9D"/>
    <w:rsid w:val="007F75F3"/>
    <w:rsid w:val="008028B7"/>
    <w:rsid w:val="00802FDE"/>
    <w:rsid w:val="0080379F"/>
    <w:rsid w:val="008038E1"/>
    <w:rsid w:val="00804DEC"/>
    <w:rsid w:val="00805145"/>
    <w:rsid w:val="00805B32"/>
    <w:rsid w:val="008066A4"/>
    <w:rsid w:val="00810758"/>
    <w:rsid w:val="008108CD"/>
    <w:rsid w:val="00811561"/>
    <w:rsid w:val="00811CF9"/>
    <w:rsid w:val="00812FF8"/>
    <w:rsid w:val="0081367D"/>
    <w:rsid w:val="00815F9E"/>
    <w:rsid w:val="0081712D"/>
    <w:rsid w:val="00817700"/>
    <w:rsid w:val="008206F9"/>
    <w:rsid w:val="008210E6"/>
    <w:rsid w:val="00822F19"/>
    <w:rsid w:val="0082385C"/>
    <w:rsid w:val="0082412B"/>
    <w:rsid w:val="0082446A"/>
    <w:rsid w:val="00824795"/>
    <w:rsid w:val="0082675B"/>
    <w:rsid w:val="00830212"/>
    <w:rsid w:val="00830B32"/>
    <w:rsid w:val="00830C98"/>
    <w:rsid w:val="008321A2"/>
    <w:rsid w:val="00832A73"/>
    <w:rsid w:val="00832C65"/>
    <w:rsid w:val="00834C5D"/>
    <w:rsid w:val="00834EE1"/>
    <w:rsid w:val="00835F69"/>
    <w:rsid w:val="00837542"/>
    <w:rsid w:val="0083767F"/>
    <w:rsid w:val="00837B92"/>
    <w:rsid w:val="00837DEF"/>
    <w:rsid w:val="0084213F"/>
    <w:rsid w:val="0084239E"/>
    <w:rsid w:val="008428DF"/>
    <w:rsid w:val="008458FB"/>
    <w:rsid w:val="00846F3E"/>
    <w:rsid w:val="0085071B"/>
    <w:rsid w:val="00850E8E"/>
    <w:rsid w:val="008510BC"/>
    <w:rsid w:val="00851188"/>
    <w:rsid w:val="00852A93"/>
    <w:rsid w:val="008553ED"/>
    <w:rsid w:val="00855460"/>
    <w:rsid w:val="008555AB"/>
    <w:rsid w:val="00855B20"/>
    <w:rsid w:val="008567D9"/>
    <w:rsid w:val="00856CF0"/>
    <w:rsid w:val="00861C81"/>
    <w:rsid w:val="00862B80"/>
    <w:rsid w:val="00864081"/>
    <w:rsid w:val="008645BD"/>
    <w:rsid w:val="00864EED"/>
    <w:rsid w:val="00865C55"/>
    <w:rsid w:val="00866010"/>
    <w:rsid w:val="008662E5"/>
    <w:rsid w:val="00867353"/>
    <w:rsid w:val="00870372"/>
    <w:rsid w:val="0087227A"/>
    <w:rsid w:val="00872C0D"/>
    <w:rsid w:val="008738B2"/>
    <w:rsid w:val="00873B47"/>
    <w:rsid w:val="0087527F"/>
    <w:rsid w:val="00876689"/>
    <w:rsid w:val="0087681A"/>
    <w:rsid w:val="0087782A"/>
    <w:rsid w:val="00877DC3"/>
    <w:rsid w:val="00881876"/>
    <w:rsid w:val="0088307E"/>
    <w:rsid w:val="00883139"/>
    <w:rsid w:val="00885579"/>
    <w:rsid w:val="00886623"/>
    <w:rsid w:val="00887187"/>
    <w:rsid w:val="00890098"/>
    <w:rsid w:val="008911AD"/>
    <w:rsid w:val="00891EE7"/>
    <w:rsid w:val="00892760"/>
    <w:rsid w:val="008939B9"/>
    <w:rsid w:val="008971FD"/>
    <w:rsid w:val="00897775"/>
    <w:rsid w:val="00897DD5"/>
    <w:rsid w:val="008A1CCC"/>
    <w:rsid w:val="008A24A2"/>
    <w:rsid w:val="008A2A44"/>
    <w:rsid w:val="008A6117"/>
    <w:rsid w:val="008A783E"/>
    <w:rsid w:val="008A79C3"/>
    <w:rsid w:val="008B006B"/>
    <w:rsid w:val="008B042C"/>
    <w:rsid w:val="008B0431"/>
    <w:rsid w:val="008B16C0"/>
    <w:rsid w:val="008B1D72"/>
    <w:rsid w:val="008B3056"/>
    <w:rsid w:val="008B39DB"/>
    <w:rsid w:val="008B3AFB"/>
    <w:rsid w:val="008B3CC8"/>
    <w:rsid w:val="008B48FA"/>
    <w:rsid w:val="008B580D"/>
    <w:rsid w:val="008B7169"/>
    <w:rsid w:val="008B7CAC"/>
    <w:rsid w:val="008C05AE"/>
    <w:rsid w:val="008C07CB"/>
    <w:rsid w:val="008C0A8C"/>
    <w:rsid w:val="008C0EDE"/>
    <w:rsid w:val="008C16DC"/>
    <w:rsid w:val="008C1796"/>
    <w:rsid w:val="008C21E6"/>
    <w:rsid w:val="008C24D1"/>
    <w:rsid w:val="008C2556"/>
    <w:rsid w:val="008C29A8"/>
    <w:rsid w:val="008C3A1E"/>
    <w:rsid w:val="008C3C59"/>
    <w:rsid w:val="008C4122"/>
    <w:rsid w:val="008C4C0E"/>
    <w:rsid w:val="008C4E89"/>
    <w:rsid w:val="008C607C"/>
    <w:rsid w:val="008C623D"/>
    <w:rsid w:val="008C69C3"/>
    <w:rsid w:val="008C727F"/>
    <w:rsid w:val="008C7B88"/>
    <w:rsid w:val="008D0089"/>
    <w:rsid w:val="008D24C8"/>
    <w:rsid w:val="008D2D77"/>
    <w:rsid w:val="008D2E09"/>
    <w:rsid w:val="008D34F0"/>
    <w:rsid w:val="008D3BB3"/>
    <w:rsid w:val="008D4D64"/>
    <w:rsid w:val="008D5413"/>
    <w:rsid w:val="008D6229"/>
    <w:rsid w:val="008D78A3"/>
    <w:rsid w:val="008E005C"/>
    <w:rsid w:val="008E0AF6"/>
    <w:rsid w:val="008E16CC"/>
    <w:rsid w:val="008E1C39"/>
    <w:rsid w:val="008E1C95"/>
    <w:rsid w:val="008E22BD"/>
    <w:rsid w:val="008E2406"/>
    <w:rsid w:val="008E3E75"/>
    <w:rsid w:val="008E4889"/>
    <w:rsid w:val="008E5C00"/>
    <w:rsid w:val="008E6D92"/>
    <w:rsid w:val="008E74BC"/>
    <w:rsid w:val="008E74DA"/>
    <w:rsid w:val="008E77B3"/>
    <w:rsid w:val="008F0D11"/>
    <w:rsid w:val="008F192A"/>
    <w:rsid w:val="008F1FF9"/>
    <w:rsid w:val="008F2513"/>
    <w:rsid w:val="008F3004"/>
    <w:rsid w:val="008F3E25"/>
    <w:rsid w:val="008F6F92"/>
    <w:rsid w:val="008F734E"/>
    <w:rsid w:val="009014E4"/>
    <w:rsid w:val="009016A8"/>
    <w:rsid w:val="00901E84"/>
    <w:rsid w:val="0090301E"/>
    <w:rsid w:val="00903D16"/>
    <w:rsid w:val="00905CC6"/>
    <w:rsid w:val="00907842"/>
    <w:rsid w:val="009121A7"/>
    <w:rsid w:val="009129F4"/>
    <w:rsid w:val="00912D0A"/>
    <w:rsid w:val="00913004"/>
    <w:rsid w:val="0091334C"/>
    <w:rsid w:val="0091473D"/>
    <w:rsid w:val="00915163"/>
    <w:rsid w:val="00915991"/>
    <w:rsid w:val="0092029A"/>
    <w:rsid w:val="009203BF"/>
    <w:rsid w:val="009204C2"/>
    <w:rsid w:val="009205DC"/>
    <w:rsid w:val="00921AAA"/>
    <w:rsid w:val="00921ADC"/>
    <w:rsid w:val="00921E4A"/>
    <w:rsid w:val="00922868"/>
    <w:rsid w:val="009231BC"/>
    <w:rsid w:val="00923BC1"/>
    <w:rsid w:val="00924A47"/>
    <w:rsid w:val="00924CC1"/>
    <w:rsid w:val="009278F7"/>
    <w:rsid w:val="00927BDC"/>
    <w:rsid w:val="009313DD"/>
    <w:rsid w:val="00931B79"/>
    <w:rsid w:val="00932DB7"/>
    <w:rsid w:val="009332CE"/>
    <w:rsid w:val="009349C3"/>
    <w:rsid w:val="00934C2B"/>
    <w:rsid w:val="00936722"/>
    <w:rsid w:val="00936F00"/>
    <w:rsid w:val="00937EDF"/>
    <w:rsid w:val="00937F94"/>
    <w:rsid w:val="00940738"/>
    <w:rsid w:val="0094278C"/>
    <w:rsid w:val="00943D6A"/>
    <w:rsid w:val="009454C2"/>
    <w:rsid w:val="00946EFE"/>
    <w:rsid w:val="0094767D"/>
    <w:rsid w:val="009476F0"/>
    <w:rsid w:val="0095057C"/>
    <w:rsid w:val="0095328E"/>
    <w:rsid w:val="00955E88"/>
    <w:rsid w:val="00956641"/>
    <w:rsid w:val="00960D7C"/>
    <w:rsid w:val="0096125E"/>
    <w:rsid w:val="00962E46"/>
    <w:rsid w:val="009645A3"/>
    <w:rsid w:val="00964FB6"/>
    <w:rsid w:val="00965D51"/>
    <w:rsid w:val="0096608B"/>
    <w:rsid w:val="0096665B"/>
    <w:rsid w:val="009673D3"/>
    <w:rsid w:val="00967674"/>
    <w:rsid w:val="00967D62"/>
    <w:rsid w:val="00973B69"/>
    <w:rsid w:val="00975CBF"/>
    <w:rsid w:val="0097624E"/>
    <w:rsid w:val="00976F24"/>
    <w:rsid w:val="00977FBF"/>
    <w:rsid w:val="00980933"/>
    <w:rsid w:val="0098134C"/>
    <w:rsid w:val="0098178B"/>
    <w:rsid w:val="009821C9"/>
    <w:rsid w:val="00983D0C"/>
    <w:rsid w:val="0098420D"/>
    <w:rsid w:val="00984234"/>
    <w:rsid w:val="00985CB1"/>
    <w:rsid w:val="009867D1"/>
    <w:rsid w:val="00987DA7"/>
    <w:rsid w:val="00987EF2"/>
    <w:rsid w:val="009907E1"/>
    <w:rsid w:val="0099465B"/>
    <w:rsid w:val="009975D2"/>
    <w:rsid w:val="0099776E"/>
    <w:rsid w:val="009A0FB1"/>
    <w:rsid w:val="009A1998"/>
    <w:rsid w:val="009A2C63"/>
    <w:rsid w:val="009A4236"/>
    <w:rsid w:val="009A51DF"/>
    <w:rsid w:val="009A5513"/>
    <w:rsid w:val="009A5C20"/>
    <w:rsid w:val="009A6BFD"/>
    <w:rsid w:val="009B2313"/>
    <w:rsid w:val="009B25D6"/>
    <w:rsid w:val="009B31F7"/>
    <w:rsid w:val="009B4463"/>
    <w:rsid w:val="009B4912"/>
    <w:rsid w:val="009B658C"/>
    <w:rsid w:val="009B6FC3"/>
    <w:rsid w:val="009C0628"/>
    <w:rsid w:val="009C368E"/>
    <w:rsid w:val="009C4D8B"/>
    <w:rsid w:val="009C6662"/>
    <w:rsid w:val="009C72D1"/>
    <w:rsid w:val="009D069F"/>
    <w:rsid w:val="009D1448"/>
    <w:rsid w:val="009D1BB4"/>
    <w:rsid w:val="009D3A9A"/>
    <w:rsid w:val="009D3DC2"/>
    <w:rsid w:val="009D54A4"/>
    <w:rsid w:val="009D5B23"/>
    <w:rsid w:val="009D6B3B"/>
    <w:rsid w:val="009D78FE"/>
    <w:rsid w:val="009E036A"/>
    <w:rsid w:val="009E10C5"/>
    <w:rsid w:val="009E19AF"/>
    <w:rsid w:val="009E25B9"/>
    <w:rsid w:val="009E2E69"/>
    <w:rsid w:val="009E3549"/>
    <w:rsid w:val="009E3739"/>
    <w:rsid w:val="009E3B6F"/>
    <w:rsid w:val="009E3D4F"/>
    <w:rsid w:val="009E51B1"/>
    <w:rsid w:val="009E529F"/>
    <w:rsid w:val="009E544F"/>
    <w:rsid w:val="009E7537"/>
    <w:rsid w:val="009E7603"/>
    <w:rsid w:val="009E767A"/>
    <w:rsid w:val="009F092E"/>
    <w:rsid w:val="009F1955"/>
    <w:rsid w:val="009F1C19"/>
    <w:rsid w:val="009F3300"/>
    <w:rsid w:val="009F3D6E"/>
    <w:rsid w:val="009F45F1"/>
    <w:rsid w:val="009F5245"/>
    <w:rsid w:val="009F5FF4"/>
    <w:rsid w:val="00A00102"/>
    <w:rsid w:val="00A0152F"/>
    <w:rsid w:val="00A0270D"/>
    <w:rsid w:val="00A03226"/>
    <w:rsid w:val="00A03C16"/>
    <w:rsid w:val="00A041B4"/>
    <w:rsid w:val="00A049EB"/>
    <w:rsid w:val="00A04C8B"/>
    <w:rsid w:val="00A04F6F"/>
    <w:rsid w:val="00A05326"/>
    <w:rsid w:val="00A05815"/>
    <w:rsid w:val="00A067F6"/>
    <w:rsid w:val="00A0788F"/>
    <w:rsid w:val="00A116FF"/>
    <w:rsid w:val="00A121B1"/>
    <w:rsid w:val="00A125CB"/>
    <w:rsid w:val="00A1361F"/>
    <w:rsid w:val="00A13A66"/>
    <w:rsid w:val="00A14ACE"/>
    <w:rsid w:val="00A15B9C"/>
    <w:rsid w:val="00A16BC4"/>
    <w:rsid w:val="00A205BD"/>
    <w:rsid w:val="00A209FA"/>
    <w:rsid w:val="00A21577"/>
    <w:rsid w:val="00A21CFC"/>
    <w:rsid w:val="00A22252"/>
    <w:rsid w:val="00A2431E"/>
    <w:rsid w:val="00A25287"/>
    <w:rsid w:val="00A253A1"/>
    <w:rsid w:val="00A257AB"/>
    <w:rsid w:val="00A25B3E"/>
    <w:rsid w:val="00A2730E"/>
    <w:rsid w:val="00A2766C"/>
    <w:rsid w:val="00A27F71"/>
    <w:rsid w:val="00A31D39"/>
    <w:rsid w:val="00A31D4E"/>
    <w:rsid w:val="00A35F84"/>
    <w:rsid w:val="00A407F3"/>
    <w:rsid w:val="00A4184A"/>
    <w:rsid w:val="00A420B8"/>
    <w:rsid w:val="00A42C1D"/>
    <w:rsid w:val="00A4428C"/>
    <w:rsid w:val="00A456A1"/>
    <w:rsid w:val="00A4582C"/>
    <w:rsid w:val="00A458E7"/>
    <w:rsid w:val="00A45ECA"/>
    <w:rsid w:val="00A503CF"/>
    <w:rsid w:val="00A506F7"/>
    <w:rsid w:val="00A50A41"/>
    <w:rsid w:val="00A51F3C"/>
    <w:rsid w:val="00A523A1"/>
    <w:rsid w:val="00A53DBE"/>
    <w:rsid w:val="00A54038"/>
    <w:rsid w:val="00A5481F"/>
    <w:rsid w:val="00A5495B"/>
    <w:rsid w:val="00A56CD2"/>
    <w:rsid w:val="00A574FD"/>
    <w:rsid w:val="00A57A08"/>
    <w:rsid w:val="00A60CC0"/>
    <w:rsid w:val="00A61A17"/>
    <w:rsid w:val="00A62678"/>
    <w:rsid w:val="00A64C37"/>
    <w:rsid w:val="00A6501D"/>
    <w:rsid w:val="00A65819"/>
    <w:rsid w:val="00A66D79"/>
    <w:rsid w:val="00A67103"/>
    <w:rsid w:val="00A708CC"/>
    <w:rsid w:val="00A70ED1"/>
    <w:rsid w:val="00A71674"/>
    <w:rsid w:val="00A71AEA"/>
    <w:rsid w:val="00A71B25"/>
    <w:rsid w:val="00A73CB2"/>
    <w:rsid w:val="00A746CC"/>
    <w:rsid w:val="00A747D1"/>
    <w:rsid w:val="00A750E0"/>
    <w:rsid w:val="00A7565A"/>
    <w:rsid w:val="00A75BBE"/>
    <w:rsid w:val="00A75C80"/>
    <w:rsid w:val="00A75EB3"/>
    <w:rsid w:val="00A76158"/>
    <w:rsid w:val="00A7706A"/>
    <w:rsid w:val="00A77BF5"/>
    <w:rsid w:val="00A77E74"/>
    <w:rsid w:val="00A83350"/>
    <w:rsid w:val="00A85D35"/>
    <w:rsid w:val="00A877FA"/>
    <w:rsid w:val="00A90434"/>
    <w:rsid w:val="00A938E0"/>
    <w:rsid w:val="00A94776"/>
    <w:rsid w:val="00A96EDE"/>
    <w:rsid w:val="00AA0648"/>
    <w:rsid w:val="00AA0A8D"/>
    <w:rsid w:val="00AA0B96"/>
    <w:rsid w:val="00AA1876"/>
    <w:rsid w:val="00AA1BC8"/>
    <w:rsid w:val="00AA3189"/>
    <w:rsid w:val="00AA49F4"/>
    <w:rsid w:val="00AA508E"/>
    <w:rsid w:val="00AA66B3"/>
    <w:rsid w:val="00AA7F9E"/>
    <w:rsid w:val="00AB0C0E"/>
    <w:rsid w:val="00AB140C"/>
    <w:rsid w:val="00AB24FA"/>
    <w:rsid w:val="00AB3FDF"/>
    <w:rsid w:val="00AB42EE"/>
    <w:rsid w:val="00AB4309"/>
    <w:rsid w:val="00AB55FB"/>
    <w:rsid w:val="00AB6541"/>
    <w:rsid w:val="00AB655E"/>
    <w:rsid w:val="00AB6821"/>
    <w:rsid w:val="00AB6CCD"/>
    <w:rsid w:val="00AB7766"/>
    <w:rsid w:val="00AB78A6"/>
    <w:rsid w:val="00AB7ADF"/>
    <w:rsid w:val="00AC347F"/>
    <w:rsid w:val="00AC3AAA"/>
    <w:rsid w:val="00AC5570"/>
    <w:rsid w:val="00AC651E"/>
    <w:rsid w:val="00AC7B6C"/>
    <w:rsid w:val="00AC7D00"/>
    <w:rsid w:val="00AC7F6E"/>
    <w:rsid w:val="00AD03B9"/>
    <w:rsid w:val="00AD19B6"/>
    <w:rsid w:val="00AD4033"/>
    <w:rsid w:val="00AD4A8C"/>
    <w:rsid w:val="00AD5F54"/>
    <w:rsid w:val="00AD60D3"/>
    <w:rsid w:val="00AD7D57"/>
    <w:rsid w:val="00AD7F0A"/>
    <w:rsid w:val="00AE013B"/>
    <w:rsid w:val="00AE1DA7"/>
    <w:rsid w:val="00AE1EEE"/>
    <w:rsid w:val="00AE2946"/>
    <w:rsid w:val="00AE2F3C"/>
    <w:rsid w:val="00AF1B68"/>
    <w:rsid w:val="00AF1C79"/>
    <w:rsid w:val="00AF255F"/>
    <w:rsid w:val="00AF294F"/>
    <w:rsid w:val="00AF2C8E"/>
    <w:rsid w:val="00AF3A8F"/>
    <w:rsid w:val="00AF3B5C"/>
    <w:rsid w:val="00AF4557"/>
    <w:rsid w:val="00AF572F"/>
    <w:rsid w:val="00AF57DD"/>
    <w:rsid w:val="00AF5910"/>
    <w:rsid w:val="00AF6921"/>
    <w:rsid w:val="00AF72BB"/>
    <w:rsid w:val="00AF79B4"/>
    <w:rsid w:val="00B00ECB"/>
    <w:rsid w:val="00B0137A"/>
    <w:rsid w:val="00B01602"/>
    <w:rsid w:val="00B02F64"/>
    <w:rsid w:val="00B039FA"/>
    <w:rsid w:val="00B03C41"/>
    <w:rsid w:val="00B03F7C"/>
    <w:rsid w:val="00B043F8"/>
    <w:rsid w:val="00B04A55"/>
    <w:rsid w:val="00B05892"/>
    <w:rsid w:val="00B06FAC"/>
    <w:rsid w:val="00B07184"/>
    <w:rsid w:val="00B076F5"/>
    <w:rsid w:val="00B1007D"/>
    <w:rsid w:val="00B113EF"/>
    <w:rsid w:val="00B12E33"/>
    <w:rsid w:val="00B13493"/>
    <w:rsid w:val="00B134C9"/>
    <w:rsid w:val="00B1799C"/>
    <w:rsid w:val="00B17E10"/>
    <w:rsid w:val="00B203A0"/>
    <w:rsid w:val="00B203C6"/>
    <w:rsid w:val="00B205F9"/>
    <w:rsid w:val="00B20644"/>
    <w:rsid w:val="00B21F69"/>
    <w:rsid w:val="00B226C2"/>
    <w:rsid w:val="00B237CD"/>
    <w:rsid w:val="00B240BD"/>
    <w:rsid w:val="00B24235"/>
    <w:rsid w:val="00B25155"/>
    <w:rsid w:val="00B30181"/>
    <w:rsid w:val="00B31240"/>
    <w:rsid w:val="00B31553"/>
    <w:rsid w:val="00B3247C"/>
    <w:rsid w:val="00B33EC2"/>
    <w:rsid w:val="00B343B9"/>
    <w:rsid w:val="00B3451D"/>
    <w:rsid w:val="00B35AEE"/>
    <w:rsid w:val="00B3610F"/>
    <w:rsid w:val="00B36C7D"/>
    <w:rsid w:val="00B378BF"/>
    <w:rsid w:val="00B413FF"/>
    <w:rsid w:val="00B43AA6"/>
    <w:rsid w:val="00B43B8B"/>
    <w:rsid w:val="00B44518"/>
    <w:rsid w:val="00B44665"/>
    <w:rsid w:val="00B446EE"/>
    <w:rsid w:val="00B44BA2"/>
    <w:rsid w:val="00B45A6A"/>
    <w:rsid w:val="00B4656E"/>
    <w:rsid w:val="00B46D23"/>
    <w:rsid w:val="00B47FC2"/>
    <w:rsid w:val="00B50773"/>
    <w:rsid w:val="00B51AE5"/>
    <w:rsid w:val="00B525C7"/>
    <w:rsid w:val="00B53B35"/>
    <w:rsid w:val="00B55FD0"/>
    <w:rsid w:val="00B560DD"/>
    <w:rsid w:val="00B577EA"/>
    <w:rsid w:val="00B60F1C"/>
    <w:rsid w:val="00B61BE1"/>
    <w:rsid w:val="00B62AA4"/>
    <w:rsid w:val="00B630CD"/>
    <w:rsid w:val="00B648C9"/>
    <w:rsid w:val="00B6526B"/>
    <w:rsid w:val="00B6704B"/>
    <w:rsid w:val="00B671BE"/>
    <w:rsid w:val="00B71139"/>
    <w:rsid w:val="00B71845"/>
    <w:rsid w:val="00B71B30"/>
    <w:rsid w:val="00B72ECA"/>
    <w:rsid w:val="00B74BCF"/>
    <w:rsid w:val="00B75BC4"/>
    <w:rsid w:val="00B76105"/>
    <w:rsid w:val="00B771B1"/>
    <w:rsid w:val="00B8047F"/>
    <w:rsid w:val="00B825E7"/>
    <w:rsid w:val="00B83C86"/>
    <w:rsid w:val="00B8632F"/>
    <w:rsid w:val="00B86505"/>
    <w:rsid w:val="00B867B3"/>
    <w:rsid w:val="00B877FF"/>
    <w:rsid w:val="00B90D99"/>
    <w:rsid w:val="00B911F5"/>
    <w:rsid w:val="00B924EE"/>
    <w:rsid w:val="00B927B7"/>
    <w:rsid w:val="00B933FC"/>
    <w:rsid w:val="00B93B75"/>
    <w:rsid w:val="00B94E0B"/>
    <w:rsid w:val="00B94EF1"/>
    <w:rsid w:val="00B95202"/>
    <w:rsid w:val="00B97719"/>
    <w:rsid w:val="00B9780A"/>
    <w:rsid w:val="00BA019B"/>
    <w:rsid w:val="00BA0F7F"/>
    <w:rsid w:val="00BA11E2"/>
    <w:rsid w:val="00BA1CA5"/>
    <w:rsid w:val="00BA278D"/>
    <w:rsid w:val="00BA2856"/>
    <w:rsid w:val="00BA319F"/>
    <w:rsid w:val="00BA5A02"/>
    <w:rsid w:val="00BA5A7B"/>
    <w:rsid w:val="00BA70AB"/>
    <w:rsid w:val="00BB002C"/>
    <w:rsid w:val="00BB1BC4"/>
    <w:rsid w:val="00BB28C8"/>
    <w:rsid w:val="00BB2E71"/>
    <w:rsid w:val="00BB305D"/>
    <w:rsid w:val="00BB3713"/>
    <w:rsid w:val="00BB3A6B"/>
    <w:rsid w:val="00BB3B89"/>
    <w:rsid w:val="00BB443B"/>
    <w:rsid w:val="00BB668A"/>
    <w:rsid w:val="00BB7162"/>
    <w:rsid w:val="00BC0066"/>
    <w:rsid w:val="00BC039E"/>
    <w:rsid w:val="00BC19F8"/>
    <w:rsid w:val="00BC1F2F"/>
    <w:rsid w:val="00BC2162"/>
    <w:rsid w:val="00BC4C61"/>
    <w:rsid w:val="00BC4E15"/>
    <w:rsid w:val="00BC4E79"/>
    <w:rsid w:val="00BC6628"/>
    <w:rsid w:val="00BC6E17"/>
    <w:rsid w:val="00BC72E7"/>
    <w:rsid w:val="00BD06A1"/>
    <w:rsid w:val="00BD0B23"/>
    <w:rsid w:val="00BD0D88"/>
    <w:rsid w:val="00BD11D3"/>
    <w:rsid w:val="00BD1672"/>
    <w:rsid w:val="00BD1D60"/>
    <w:rsid w:val="00BD2E8D"/>
    <w:rsid w:val="00BD30CB"/>
    <w:rsid w:val="00BD3164"/>
    <w:rsid w:val="00BD32A1"/>
    <w:rsid w:val="00BD32C0"/>
    <w:rsid w:val="00BD35F1"/>
    <w:rsid w:val="00BD55A5"/>
    <w:rsid w:val="00BD62D3"/>
    <w:rsid w:val="00BD66E3"/>
    <w:rsid w:val="00BD6C2B"/>
    <w:rsid w:val="00BD6CC3"/>
    <w:rsid w:val="00BD715B"/>
    <w:rsid w:val="00BD7238"/>
    <w:rsid w:val="00BE030F"/>
    <w:rsid w:val="00BE3803"/>
    <w:rsid w:val="00BE4A85"/>
    <w:rsid w:val="00BE569A"/>
    <w:rsid w:val="00BE6BEE"/>
    <w:rsid w:val="00BE708B"/>
    <w:rsid w:val="00BE7AAC"/>
    <w:rsid w:val="00BE7AC4"/>
    <w:rsid w:val="00BF0263"/>
    <w:rsid w:val="00BF05B6"/>
    <w:rsid w:val="00BF065E"/>
    <w:rsid w:val="00BF25B8"/>
    <w:rsid w:val="00BF27A2"/>
    <w:rsid w:val="00BF3051"/>
    <w:rsid w:val="00BF43CB"/>
    <w:rsid w:val="00BF5875"/>
    <w:rsid w:val="00BF72D4"/>
    <w:rsid w:val="00C00F6C"/>
    <w:rsid w:val="00C01583"/>
    <w:rsid w:val="00C01671"/>
    <w:rsid w:val="00C0173A"/>
    <w:rsid w:val="00C035AE"/>
    <w:rsid w:val="00C03DDC"/>
    <w:rsid w:val="00C0485A"/>
    <w:rsid w:val="00C0573B"/>
    <w:rsid w:val="00C05D08"/>
    <w:rsid w:val="00C07192"/>
    <w:rsid w:val="00C07943"/>
    <w:rsid w:val="00C1079A"/>
    <w:rsid w:val="00C1125C"/>
    <w:rsid w:val="00C112CF"/>
    <w:rsid w:val="00C11328"/>
    <w:rsid w:val="00C12F18"/>
    <w:rsid w:val="00C13375"/>
    <w:rsid w:val="00C137CF"/>
    <w:rsid w:val="00C14057"/>
    <w:rsid w:val="00C14B7B"/>
    <w:rsid w:val="00C15076"/>
    <w:rsid w:val="00C153E9"/>
    <w:rsid w:val="00C15599"/>
    <w:rsid w:val="00C170DE"/>
    <w:rsid w:val="00C175A8"/>
    <w:rsid w:val="00C1769B"/>
    <w:rsid w:val="00C17B32"/>
    <w:rsid w:val="00C21348"/>
    <w:rsid w:val="00C21A6B"/>
    <w:rsid w:val="00C22BE2"/>
    <w:rsid w:val="00C240C0"/>
    <w:rsid w:val="00C24872"/>
    <w:rsid w:val="00C24AF0"/>
    <w:rsid w:val="00C25CCF"/>
    <w:rsid w:val="00C27B5C"/>
    <w:rsid w:val="00C27CD3"/>
    <w:rsid w:val="00C30C93"/>
    <w:rsid w:val="00C30D05"/>
    <w:rsid w:val="00C30D3C"/>
    <w:rsid w:val="00C30F91"/>
    <w:rsid w:val="00C332C7"/>
    <w:rsid w:val="00C33E86"/>
    <w:rsid w:val="00C352B5"/>
    <w:rsid w:val="00C3571B"/>
    <w:rsid w:val="00C36D54"/>
    <w:rsid w:val="00C41AD6"/>
    <w:rsid w:val="00C422F1"/>
    <w:rsid w:val="00C43780"/>
    <w:rsid w:val="00C4481C"/>
    <w:rsid w:val="00C449C7"/>
    <w:rsid w:val="00C45973"/>
    <w:rsid w:val="00C46926"/>
    <w:rsid w:val="00C46B70"/>
    <w:rsid w:val="00C47552"/>
    <w:rsid w:val="00C47664"/>
    <w:rsid w:val="00C52A70"/>
    <w:rsid w:val="00C53CE6"/>
    <w:rsid w:val="00C53E92"/>
    <w:rsid w:val="00C544B4"/>
    <w:rsid w:val="00C5477D"/>
    <w:rsid w:val="00C55C49"/>
    <w:rsid w:val="00C55E76"/>
    <w:rsid w:val="00C6073C"/>
    <w:rsid w:val="00C60D12"/>
    <w:rsid w:val="00C61926"/>
    <w:rsid w:val="00C62818"/>
    <w:rsid w:val="00C63E20"/>
    <w:rsid w:val="00C64356"/>
    <w:rsid w:val="00C6459B"/>
    <w:rsid w:val="00C64FF5"/>
    <w:rsid w:val="00C653A3"/>
    <w:rsid w:val="00C65496"/>
    <w:rsid w:val="00C654B6"/>
    <w:rsid w:val="00C65DA6"/>
    <w:rsid w:val="00C66D5D"/>
    <w:rsid w:val="00C67AAA"/>
    <w:rsid w:val="00C71175"/>
    <w:rsid w:val="00C712AF"/>
    <w:rsid w:val="00C7292A"/>
    <w:rsid w:val="00C72F9D"/>
    <w:rsid w:val="00C73934"/>
    <w:rsid w:val="00C73D3E"/>
    <w:rsid w:val="00C741E5"/>
    <w:rsid w:val="00C74A76"/>
    <w:rsid w:val="00C75AF0"/>
    <w:rsid w:val="00C76C2F"/>
    <w:rsid w:val="00C775BD"/>
    <w:rsid w:val="00C807CF"/>
    <w:rsid w:val="00C80851"/>
    <w:rsid w:val="00C823EA"/>
    <w:rsid w:val="00C84CF5"/>
    <w:rsid w:val="00C85D8F"/>
    <w:rsid w:val="00C865F5"/>
    <w:rsid w:val="00C87B41"/>
    <w:rsid w:val="00C90C74"/>
    <w:rsid w:val="00C9116A"/>
    <w:rsid w:val="00C911D5"/>
    <w:rsid w:val="00C92626"/>
    <w:rsid w:val="00C9381F"/>
    <w:rsid w:val="00C940F4"/>
    <w:rsid w:val="00C9503F"/>
    <w:rsid w:val="00C95A07"/>
    <w:rsid w:val="00C95A82"/>
    <w:rsid w:val="00C970F8"/>
    <w:rsid w:val="00CA0AEF"/>
    <w:rsid w:val="00CA27D7"/>
    <w:rsid w:val="00CA4298"/>
    <w:rsid w:val="00CA489E"/>
    <w:rsid w:val="00CA4A1F"/>
    <w:rsid w:val="00CA4AA5"/>
    <w:rsid w:val="00CA5F65"/>
    <w:rsid w:val="00CA73E8"/>
    <w:rsid w:val="00CA7747"/>
    <w:rsid w:val="00CB0BD4"/>
    <w:rsid w:val="00CB10F8"/>
    <w:rsid w:val="00CB1613"/>
    <w:rsid w:val="00CB19B7"/>
    <w:rsid w:val="00CB1B44"/>
    <w:rsid w:val="00CB1B8B"/>
    <w:rsid w:val="00CB1DF0"/>
    <w:rsid w:val="00CB1E92"/>
    <w:rsid w:val="00CB22E6"/>
    <w:rsid w:val="00CB3E33"/>
    <w:rsid w:val="00CB5C52"/>
    <w:rsid w:val="00CB6F21"/>
    <w:rsid w:val="00CB74A9"/>
    <w:rsid w:val="00CB7F4D"/>
    <w:rsid w:val="00CC0793"/>
    <w:rsid w:val="00CC3360"/>
    <w:rsid w:val="00CC3A9B"/>
    <w:rsid w:val="00CC3E08"/>
    <w:rsid w:val="00CC4585"/>
    <w:rsid w:val="00CC48E8"/>
    <w:rsid w:val="00CC4C2C"/>
    <w:rsid w:val="00CC5367"/>
    <w:rsid w:val="00CC5995"/>
    <w:rsid w:val="00CC73C1"/>
    <w:rsid w:val="00CD00B5"/>
    <w:rsid w:val="00CD0919"/>
    <w:rsid w:val="00CD0DC6"/>
    <w:rsid w:val="00CD14DD"/>
    <w:rsid w:val="00CD186F"/>
    <w:rsid w:val="00CD2029"/>
    <w:rsid w:val="00CD266B"/>
    <w:rsid w:val="00CD29EA"/>
    <w:rsid w:val="00CD4888"/>
    <w:rsid w:val="00CD5435"/>
    <w:rsid w:val="00CD6DCD"/>
    <w:rsid w:val="00CD6EA1"/>
    <w:rsid w:val="00CD7ECF"/>
    <w:rsid w:val="00CE489E"/>
    <w:rsid w:val="00CE6CA6"/>
    <w:rsid w:val="00CE7031"/>
    <w:rsid w:val="00CE7DAC"/>
    <w:rsid w:val="00CF247C"/>
    <w:rsid w:val="00CF2EB3"/>
    <w:rsid w:val="00CF5EE6"/>
    <w:rsid w:val="00CF68C9"/>
    <w:rsid w:val="00CF69CE"/>
    <w:rsid w:val="00CF79C0"/>
    <w:rsid w:val="00CF79CD"/>
    <w:rsid w:val="00D01017"/>
    <w:rsid w:val="00D02321"/>
    <w:rsid w:val="00D03EBC"/>
    <w:rsid w:val="00D04EA9"/>
    <w:rsid w:val="00D04F22"/>
    <w:rsid w:val="00D06087"/>
    <w:rsid w:val="00D06221"/>
    <w:rsid w:val="00D07C92"/>
    <w:rsid w:val="00D124B5"/>
    <w:rsid w:val="00D12856"/>
    <w:rsid w:val="00D1298A"/>
    <w:rsid w:val="00D1312A"/>
    <w:rsid w:val="00D13292"/>
    <w:rsid w:val="00D178AC"/>
    <w:rsid w:val="00D17CF0"/>
    <w:rsid w:val="00D22C4D"/>
    <w:rsid w:val="00D22D96"/>
    <w:rsid w:val="00D23C18"/>
    <w:rsid w:val="00D245AA"/>
    <w:rsid w:val="00D24CCA"/>
    <w:rsid w:val="00D270E9"/>
    <w:rsid w:val="00D278A6"/>
    <w:rsid w:val="00D301CB"/>
    <w:rsid w:val="00D302BE"/>
    <w:rsid w:val="00D31727"/>
    <w:rsid w:val="00D31D0A"/>
    <w:rsid w:val="00D3276A"/>
    <w:rsid w:val="00D32EBB"/>
    <w:rsid w:val="00D3423E"/>
    <w:rsid w:val="00D34619"/>
    <w:rsid w:val="00D35B9C"/>
    <w:rsid w:val="00D3609E"/>
    <w:rsid w:val="00D404F1"/>
    <w:rsid w:val="00D40B88"/>
    <w:rsid w:val="00D40F94"/>
    <w:rsid w:val="00D4112A"/>
    <w:rsid w:val="00D4241E"/>
    <w:rsid w:val="00D434D2"/>
    <w:rsid w:val="00D43F31"/>
    <w:rsid w:val="00D442A0"/>
    <w:rsid w:val="00D46F13"/>
    <w:rsid w:val="00D46F7F"/>
    <w:rsid w:val="00D479BE"/>
    <w:rsid w:val="00D51061"/>
    <w:rsid w:val="00D51AD0"/>
    <w:rsid w:val="00D528D3"/>
    <w:rsid w:val="00D532E6"/>
    <w:rsid w:val="00D56DE7"/>
    <w:rsid w:val="00D570DF"/>
    <w:rsid w:val="00D57B60"/>
    <w:rsid w:val="00D612CA"/>
    <w:rsid w:val="00D613EF"/>
    <w:rsid w:val="00D622D0"/>
    <w:rsid w:val="00D632B1"/>
    <w:rsid w:val="00D63402"/>
    <w:rsid w:val="00D639C4"/>
    <w:rsid w:val="00D6431A"/>
    <w:rsid w:val="00D65D93"/>
    <w:rsid w:val="00D65F2B"/>
    <w:rsid w:val="00D66D68"/>
    <w:rsid w:val="00D66DB3"/>
    <w:rsid w:val="00D72032"/>
    <w:rsid w:val="00D72DCD"/>
    <w:rsid w:val="00D73141"/>
    <w:rsid w:val="00D735B6"/>
    <w:rsid w:val="00D73DC1"/>
    <w:rsid w:val="00D742A1"/>
    <w:rsid w:val="00D74C48"/>
    <w:rsid w:val="00D7507B"/>
    <w:rsid w:val="00D7664D"/>
    <w:rsid w:val="00D77A2B"/>
    <w:rsid w:val="00D77AFE"/>
    <w:rsid w:val="00D80631"/>
    <w:rsid w:val="00D81000"/>
    <w:rsid w:val="00D81010"/>
    <w:rsid w:val="00D8173C"/>
    <w:rsid w:val="00D81EF4"/>
    <w:rsid w:val="00D81FD0"/>
    <w:rsid w:val="00D826CC"/>
    <w:rsid w:val="00D82817"/>
    <w:rsid w:val="00D836CB"/>
    <w:rsid w:val="00D84A6F"/>
    <w:rsid w:val="00D84B6A"/>
    <w:rsid w:val="00D84FBA"/>
    <w:rsid w:val="00D85CEB"/>
    <w:rsid w:val="00D86D4F"/>
    <w:rsid w:val="00D91357"/>
    <w:rsid w:val="00D928F6"/>
    <w:rsid w:val="00D93799"/>
    <w:rsid w:val="00D93A69"/>
    <w:rsid w:val="00D93EFF"/>
    <w:rsid w:val="00D93FE3"/>
    <w:rsid w:val="00D94683"/>
    <w:rsid w:val="00D94CC6"/>
    <w:rsid w:val="00D95FBE"/>
    <w:rsid w:val="00D96366"/>
    <w:rsid w:val="00D96E1D"/>
    <w:rsid w:val="00DA2801"/>
    <w:rsid w:val="00DA3199"/>
    <w:rsid w:val="00DA45A9"/>
    <w:rsid w:val="00DA54C4"/>
    <w:rsid w:val="00DA58D2"/>
    <w:rsid w:val="00DA58D9"/>
    <w:rsid w:val="00DA5B1B"/>
    <w:rsid w:val="00DA7883"/>
    <w:rsid w:val="00DB04A3"/>
    <w:rsid w:val="00DB0805"/>
    <w:rsid w:val="00DB0F53"/>
    <w:rsid w:val="00DB10B9"/>
    <w:rsid w:val="00DB1117"/>
    <w:rsid w:val="00DB2B65"/>
    <w:rsid w:val="00DB3A93"/>
    <w:rsid w:val="00DB4E3D"/>
    <w:rsid w:val="00DB4F3F"/>
    <w:rsid w:val="00DB5DC1"/>
    <w:rsid w:val="00DB6710"/>
    <w:rsid w:val="00DC079B"/>
    <w:rsid w:val="00DC08A5"/>
    <w:rsid w:val="00DC1CC5"/>
    <w:rsid w:val="00DC280C"/>
    <w:rsid w:val="00DC2BB1"/>
    <w:rsid w:val="00DC4FBF"/>
    <w:rsid w:val="00DC5F7E"/>
    <w:rsid w:val="00DC6904"/>
    <w:rsid w:val="00DC7DC8"/>
    <w:rsid w:val="00DD234E"/>
    <w:rsid w:val="00DD42A9"/>
    <w:rsid w:val="00DD6417"/>
    <w:rsid w:val="00DD6DC4"/>
    <w:rsid w:val="00DE1F15"/>
    <w:rsid w:val="00DE33C0"/>
    <w:rsid w:val="00DE3E1B"/>
    <w:rsid w:val="00DE4BA3"/>
    <w:rsid w:val="00DE4BB6"/>
    <w:rsid w:val="00DE4DAB"/>
    <w:rsid w:val="00DE6483"/>
    <w:rsid w:val="00DE7722"/>
    <w:rsid w:val="00DE7D17"/>
    <w:rsid w:val="00DF1106"/>
    <w:rsid w:val="00DF1429"/>
    <w:rsid w:val="00DF24E4"/>
    <w:rsid w:val="00DF27F4"/>
    <w:rsid w:val="00DF2D9E"/>
    <w:rsid w:val="00DF48E5"/>
    <w:rsid w:val="00DF5F42"/>
    <w:rsid w:val="00DF67AD"/>
    <w:rsid w:val="00DF7F78"/>
    <w:rsid w:val="00E0015B"/>
    <w:rsid w:val="00E0254C"/>
    <w:rsid w:val="00E03FCE"/>
    <w:rsid w:val="00E04550"/>
    <w:rsid w:val="00E0550C"/>
    <w:rsid w:val="00E05838"/>
    <w:rsid w:val="00E05CBC"/>
    <w:rsid w:val="00E0606A"/>
    <w:rsid w:val="00E0658C"/>
    <w:rsid w:val="00E066D3"/>
    <w:rsid w:val="00E0782C"/>
    <w:rsid w:val="00E10B1D"/>
    <w:rsid w:val="00E10E65"/>
    <w:rsid w:val="00E111B4"/>
    <w:rsid w:val="00E1168E"/>
    <w:rsid w:val="00E119F9"/>
    <w:rsid w:val="00E1243F"/>
    <w:rsid w:val="00E12B99"/>
    <w:rsid w:val="00E13A5B"/>
    <w:rsid w:val="00E148EC"/>
    <w:rsid w:val="00E1528C"/>
    <w:rsid w:val="00E1610E"/>
    <w:rsid w:val="00E20250"/>
    <w:rsid w:val="00E2270F"/>
    <w:rsid w:val="00E22F20"/>
    <w:rsid w:val="00E2317A"/>
    <w:rsid w:val="00E31162"/>
    <w:rsid w:val="00E322C0"/>
    <w:rsid w:val="00E3280F"/>
    <w:rsid w:val="00E32FEE"/>
    <w:rsid w:val="00E34D88"/>
    <w:rsid w:val="00E35251"/>
    <w:rsid w:val="00E35E3C"/>
    <w:rsid w:val="00E36E64"/>
    <w:rsid w:val="00E37C96"/>
    <w:rsid w:val="00E4065B"/>
    <w:rsid w:val="00E412AC"/>
    <w:rsid w:val="00E41356"/>
    <w:rsid w:val="00E41617"/>
    <w:rsid w:val="00E4178B"/>
    <w:rsid w:val="00E423D1"/>
    <w:rsid w:val="00E4433A"/>
    <w:rsid w:val="00E46937"/>
    <w:rsid w:val="00E470C7"/>
    <w:rsid w:val="00E476C9"/>
    <w:rsid w:val="00E47C36"/>
    <w:rsid w:val="00E52BEB"/>
    <w:rsid w:val="00E54044"/>
    <w:rsid w:val="00E54A24"/>
    <w:rsid w:val="00E54A30"/>
    <w:rsid w:val="00E54DE1"/>
    <w:rsid w:val="00E55FB8"/>
    <w:rsid w:val="00E57288"/>
    <w:rsid w:val="00E5751E"/>
    <w:rsid w:val="00E60E60"/>
    <w:rsid w:val="00E61827"/>
    <w:rsid w:val="00E61862"/>
    <w:rsid w:val="00E6367F"/>
    <w:rsid w:val="00E6395A"/>
    <w:rsid w:val="00E63DC9"/>
    <w:rsid w:val="00E64DF3"/>
    <w:rsid w:val="00E65E64"/>
    <w:rsid w:val="00E667E9"/>
    <w:rsid w:val="00E66831"/>
    <w:rsid w:val="00E672F9"/>
    <w:rsid w:val="00E70C52"/>
    <w:rsid w:val="00E72944"/>
    <w:rsid w:val="00E72D9C"/>
    <w:rsid w:val="00E734A8"/>
    <w:rsid w:val="00E73714"/>
    <w:rsid w:val="00E7692C"/>
    <w:rsid w:val="00E7767E"/>
    <w:rsid w:val="00E7792E"/>
    <w:rsid w:val="00E809D3"/>
    <w:rsid w:val="00E8254B"/>
    <w:rsid w:val="00E8395F"/>
    <w:rsid w:val="00E850D3"/>
    <w:rsid w:val="00E85509"/>
    <w:rsid w:val="00E85879"/>
    <w:rsid w:val="00E858C9"/>
    <w:rsid w:val="00E859BC"/>
    <w:rsid w:val="00E86190"/>
    <w:rsid w:val="00E86314"/>
    <w:rsid w:val="00E865BB"/>
    <w:rsid w:val="00E86C2F"/>
    <w:rsid w:val="00E90B4F"/>
    <w:rsid w:val="00E90B68"/>
    <w:rsid w:val="00E90C55"/>
    <w:rsid w:val="00E9316D"/>
    <w:rsid w:val="00E945FC"/>
    <w:rsid w:val="00E94957"/>
    <w:rsid w:val="00E952F7"/>
    <w:rsid w:val="00E96AF4"/>
    <w:rsid w:val="00E96D6D"/>
    <w:rsid w:val="00EA0943"/>
    <w:rsid w:val="00EA155E"/>
    <w:rsid w:val="00EA1AA7"/>
    <w:rsid w:val="00EA2112"/>
    <w:rsid w:val="00EA2F0B"/>
    <w:rsid w:val="00EA3086"/>
    <w:rsid w:val="00EA46FC"/>
    <w:rsid w:val="00EA59F3"/>
    <w:rsid w:val="00EA6134"/>
    <w:rsid w:val="00EA70EB"/>
    <w:rsid w:val="00EA7223"/>
    <w:rsid w:val="00EA79BC"/>
    <w:rsid w:val="00EA7A96"/>
    <w:rsid w:val="00EB0B03"/>
    <w:rsid w:val="00EB1C37"/>
    <w:rsid w:val="00EB1FB1"/>
    <w:rsid w:val="00EB232F"/>
    <w:rsid w:val="00EB3787"/>
    <w:rsid w:val="00EB3DE3"/>
    <w:rsid w:val="00EB3FE7"/>
    <w:rsid w:val="00EB416D"/>
    <w:rsid w:val="00EB497E"/>
    <w:rsid w:val="00EB49F4"/>
    <w:rsid w:val="00EB55F1"/>
    <w:rsid w:val="00EB5FB4"/>
    <w:rsid w:val="00EC19D9"/>
    <w:rsid w:val="00EC21D1"/>
    <w:rsid w:val="00EC4085"/>
    <w:rsid w:val="00EC47EC"/>
    <w:rsid w:val="00EC52E2"/>
    <w:rsid w:val="00EC584A"/>
    <w:rsid w:val="00EC5BD3"/>
    <w:rsid w:val="00EC6294"/>
    <w:rsid w:val="00EC6BE1"/>
    <w:rsid w:val="00EC7CC9"/>
    <w:rsid w:val="00EC7F7D"/>
    <w:rsid w:val="00ED008E"/>
    <w:rsid w:val="00ED00CB"/>
    <w:rsid w:val="00ED08E2"/>
    <w:rsid w:val="00ED1379"/>
    <w:rsid w:val="00ED1719"/>
    <w:rsid w:val="00ED228B"/>
    <w:rsid w:val="00ED2EEC"/>
    <w:rsid w:val="00ED4171"/>
    <w:rsid w:val="00ED4DF3"/>
    <w:rsid w:val="00ED55E8"/>
    <w:rsid w:val="00ED61DE"/>
    <w:rsid w:val="00ED7400"/>
    <w:rsid w:val="00ED7D9D"/>
    <w:rsid w:val="00EE0AC3"/>
    <w:rsid w:val="00EE135A"/>
    <w:rsid w:val="00EE18A5"/>
    <w:rsid w:val="00EE1C11"/>
    <w:rsid w:val="00EE26C8"/>
    <w:rsid w:val="00EE2A79"/>
    <w:rsid w:val="00EE2B70"/>
    <w:rsid w:val="00EE32B0"/>
    <w:rsid w:val="00EE3633"/>
    <w:rsid w:val="00EE62AF"/>
    <w:rsid w:val="00EE705C"/>
    <w:rsid w:val="00EE7A3B"/>
    <w:rsid w:val="00EF0AD9"/>
    <w:rsid w:val="00EF17D9"/>
    <w:rsid w:val="00EF3548"/>
    <w:rsid w:val="00EF399A"/>
    <w:rsid w:val="00EF4F16"/>
    <w:rsid w:val="00EF5305"/>
    <w:rsid w:val="00EF6160"/>
    <w:rsid w:val="00EF6462"/>
    <w:rsid w:val="00EF682B"/>
    <w:rsid w:val="00F00D13"/>
    <w:rsid w:val="00F0126E"/>
    <w:rsid w:val="00F02A72"/>
    <w:rsid w:val="00F03787"/>
    <w:rsid w:val="00F03BDC"/>
    <w:rsid w:val="00F0724D"/>
    <w:rsid w:val="00F10BF6"/>
    <w:rsid w:val="00F11A2D"/>
    <w:rsid w:val="00F12142"/>
    <w:rsid w:val="00F12D90"/>
    <w:rsid w:val="00F13E37"/>
    <w:rsid w:val="00F14862"/>
    <w:rsid w:val="00F17D7F"/>
    <w:rsid w:val="00F17E25"/>
    <w:rsid w:val="00F20955"/>
    <w:rsid w:val="00F21DF4"/>
    <w:rsid w:val="00F235C3"/>
    <w:rsid w:val="00F2402B"/>
    <w:rsid w:val="00F25143"/>
    <w:rsid w:val="00F25B85"/>
    <w:rsid w:val="00F27BF7"/>
    <w:rsid w:val="00F30A4F"/>
    <w:rsid w:val="00F3395D"/>
    <w:rsid w:val="00F34242"/>
    <w:rsid w:val="00F343E2"/>
    <w:rsid w:val="00F34B09"/>
    <w:rsid w:val="00F3784B"/>
    <w:rsid w:val="00F40AC0"/>
    <w:rsid w:val="00F41532"/>
    <w:rsid w:val="00F41E74"/>
    <w:rsid w:val="00F42509"/>
    <w:rsid w:val="00F4380C"/>
    <w:rsid w:val="00F44449"/>
    <w:rsid w:val="00F45FDF"/>
    <w:rsid w:val="00F4751F"/>
    <w:rsid w:val="00F506C6"/>
    <w:rsid w:val="00F50F32"/>
    <w:rsid w:val="00F51024"/>
    <w:rsid w:val="00F516D2"/>
    <w:rsid w:val="00F5188B"/>
    <w:rsid w:val="00F52C1B"/>
    <w:rsid w:val="00F52D05"/>
    <w:rsid w:val="00F52E9B"/>
    <w:rsid w:val="00F536D3"/>
    <w:rsid w:val="00F54A0D"/>
    <w:rsid w:val="00F54CAA"/>
    <w:rsid w:val="00F5560F"/>
    <w:rsid w:val="00F55D33"/>
    <w:rsid w:val="00F560B4"/>
    <w:rsid w:val="00F57411"/>
    <w:rsid w:val="00F577B5"/>
    <w:rsid w:val="00F6070C"/>
    <w:rsid w:val="00F61E87"/>
    <w:rsid w:val="00F64E1E"/>
    <w:rsid w:val="00F6548F"/>
    <w:rsid w:val="00F6722B"/>
    <w:rsid w:val="00F704C7"/>
    <w:rsid w:val="00F72A03"/>
    <w:rsid w:val="00F73B22"/>
    <w:rsid w:val="00F73E37"/>
    <w:rsid w:val="00F7408C"/>
    <w:rsid w:val="00F74648"/>
    <w:rsid w:val="00F74710"/>
    <w:rsid w:val="00F74867"/>
    <w:rsid w:val="00F75047"/>
    <w:rsid w:val="00F75187"/>
    <w:rsid w:val="00F76F79"/>
    <w:rsid w:val="00F77ABA"/>
    <w:rsid w:val="00F8011B"/>
    <w:rsid w:val="00F82821"/>
    <w:rsid w:val="00F83131"/>
    <w:rsid w:val="00F83261"/>
    <w:rsid w:val="00F833CD"/>
    <w:rsid w:val="00F846F7"/>
    <w:rsid w:val="00F84DD1"/>
    <w:rsid w:val="00F8619F"/>
    <w:rsid w:val="00F86546"/>
    <w:rsid w:val="00F868C1"/>
    <w:rsid w:val="00F87DED"/>
    <w:rsid w:val="00F9043A"/>
    <w:rsid w:val="00F90B03"/>
    <w:rsid w:val="00F913A7"/>
    <w:rsid w:val="00F918EF"/>
    <w:rsid w:val="00F9226F"/>
    <w:rsid w:val="00F93765"/>
    <w:rsid w:val="00F947B8"/>
    <w:rsid w:val="00F9641B"/>
    <w:rsid w:val="00F9719C"/>
    <w:rsid w:val="00F97365"/>
    <w:rsid w:val="00F97A79"/>
    <w:rsid w:val="00FA070D"/>
    <w:rsid w:val="00FA146C"/>
    <w:rsid w:val="00FA274A"/>
    <w:rsid w:val="00FA2AD8"/>
    <w:rsid w:val="00FA325D"/>
    <w:rsid w:val="00FA4088"/>
    <w:rsid w:val="00FA4EF4"/>
    <w:rsid w:val="00FA5179"/>
    <w:rsid w:val="00FA6271"/>
    <w:rsid w:val="00FA79A8"/>
    <w:rsid w:val="00FB05B8"/>
    <w:rsid w:val="00FB06FC"/>
    <w:rsid w:val="00FB0FF0"/>
    <w:rsid w:val="00FB1213"/>
    <w:rsid w:val="00FB2B9C"/>
    <w:rsid w:val="00FB3A56"/>
    <w:rsid w:val="00FB3AB3"/>
    <w:rsid w:val="00FB496B"/>
    <w:rsid w:val="00FB5732"/>
    <w:rsid w:val="00FB7280"/>
    <w:rsid w:val="00FB793D"/>
    <w:rsid w:val="00FC18C0"/>
    <w:rsid w:val="00FC308F"/>
    <w:rsid w:val="00FC42F3"/>
    <w:rsid w:val="00FC4319"/>
    <w:rsid w:val="00FC4616"/>
    <w:rsid w:val="00FC4A1C"/>
    <w:rsid w:val="00FC6E4D"/>
    <w:rsid w:val="00FC7043"/>
    <w:rsid w:val="00FD155C"/>
    <w:rsid w:val="00FD2208"/>
    <w:rsid w:val="00FD2EDF"/>
    <w:rsid w:val="00FD3146"/>
    <w:rsid w:val="00FD4556"/>
    <w:rsid w:val="00FD5272"/>
    <w:rsid w:val="00FD5634"/>
    <w:rsid w:val="00FD5BBB"/>
    <w:rsid w:val="00FD6060"/>
    <w:rsid w:val="00FD62F0"/>
    <w:rsid w:val="00FD6588"/>
    <w:rsid w:val="00FE10AC"/>
    <w:rsid w:val="00FE2479"/>
    <w:rsid w:val="00FE3094"/>
    <w:rsid w:val="00FE5607"/>
    <w:rsid w:val="00FE57C2"/>
    <w:rsid w:val="00FE59C6"/>
    <w:rsid w:val="00FE5B57"/>
    <w:rsid w:val="00FE717C"/>
    <w:rsid w:val="00FE75D1"/>
    <w:rsid w:val="00FE7BA0"/>
    <w:rsid w:val="00FF057A"/>
    <w:rsid w:val="00FF1189"/>
    <w:rsid w:val="00FF219D"/>
    <w:rsid w:val="00FF30AC"/>
    <w:rsid w:val="00FF3A87"/>
    <w:rsid w:val="00FF4FB8"/>
    <w:rsid w:val="00FF5088"/>
    <w:rsid w:val="00FF6726"/>
    <w:rsid w:val="00FF69F7"/>
    <w:rsid w:val="00FF710F"/>
    <w:rsid w:val="00FF7E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kern w:val="2"/>
        <w:sz w:val="26"/>
        <w:szCs w:val="26"/>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EAF"/>
    <w:pPr>
      <w:tabs>
        <w:tab w:val="center" w:pos="4680"/>
        <w:tab w:val="right" w:pos="9360"/>
      </w:tabs>
      <w:spacing w:line="240" w:lineRule="auto"/>
    </w:pPr>
  </w:style>
  <w:style w:type="character" w:customStyle="1" w:styleId="HeaderChar">
    <w:name w:val="Header Char"/>
    <w:basedOn w:val="DefaultParagraphFont"/>
    <w:link w:val="Header"/>
    <w:uiPriority w:val="99"/>
    <w:rsid w:val="00435EAF"/>
  </w:style>
  <w:style w:type="paragraph" w:styleId="Footer">
    <w:name w:val="footer"/>
    <w:basedOn w:val="Normal"/>
    <w:link w:val="FooterChar"/>
    <w:uiPriority w:val="99"/>
    <w:unhideWhenUsed/>
    <w:rsid w:val="00435EAF"/>
    <w:pPr>
      <w:tabs>
        <w:tab w:val="center" w:pos="4680"/>
        <w:tab w:val="right" w:pos="9360"/>
      </w:tabs>
      <w:spacing w:line="240" w:lineRule="auto"/>
    </w:pPr>
  </w:style>
  <w:style w:type="character" w:customStyle="1" w:styleId="FooterChar">
    <w:name w:val="Footer Char"/>
    <w:basedOn w:val="DefaultParagraphFont"/>
    <w:link w:val="Footer"/>
    <w:uiPriority w:val="99"/>
    <w:rsid w:val="00435EAF"/>
  </w:style>
  <w:style w:type="character" w:styleId="PageNumber">
    <w:name w:val="page number"/>
    <w:basedOn w:val="DefaultParagraphFont"/>
    <w:uiPriority w:val="99"/>
    <w:semiHidden/>
    <w:unhideWhenUsed/>
    <w:rsid w:val="00435EAF"/>
  </w:style>
  <w:style w:type="paragraph" w:styleId="FootnoteText">
    <w:name w:val="footnote text"/>
    <w:link w:val="FootnoteTextChar"/>
    <w:uiPriority w:val="99"/>
    <w:unhideWhenUsed/>
    <w:rsid w:val="00435EAF"/>
    <w:pPr>
      <w:spacing w:line="240" w:lineRule="auto"/>
    </w:pPr>
    <w:rPr>
      <w:szCs w:val="20"/>
    </w:rPr>
  </w:style>
  <w:style w:type="character" w:customStyle="1" w:styleId="FootnoteTextChar">
    <w:name w:val="Footnote Text Char"/>
    <w:basedOn w:val="DefaultParagraphFont"/>
    <w:link w:val="FootnoteText"/>
    <w:uiPriority w:val="99"/>
    <w:rsid w:val="00435EAF"/>
    <w:rPr>
      <w:szCs w:val="20"/>
    </w:rPr>
  </w:style>
  <w:style w:type="character" w:styleId="FootnoteReference">
    <w:name w:val="footnote reference"/>
    <w:basedOn w:val="DefaultParagraphFont"/>
    <w:uiPriority w:val="99"/>
    <w:semiHidden/>
    <w:unhideWhenUsed/>
    <w:rsid w:val="00C90C74"/>
    <w:rPr>
      <w:vertAlign w:val="superscript"/>
    </w:rPr>
  </w:style>
  <w:style w:type="character" w:styleId="Hyperlink">
    <w:name w:val="Hyperlink"/>
    <w:basedOn w:val="DefaultParagraphFont"/>
    <w:uiPriority w:val="99"/>
    <w:unhideWhenUsed/>
    <w:rsid w:val="00E61827"/>
    <w:rPr>
      <w:color w:val="0563C1" w:themeColor="hyperlink"/>
      <w:u w:val="single"/>
    </w:rPr>
  </w:style>
  <w:style w:type="character" w:customStyle="1" w:styleId="UnresolvedMention1">
    <w:name w:val="Unresolved Mention1"/>
    <w:basedOn w:val="DefaultParagraphFont"/>
    <w:uiPriority w:val="99"/>
    <w:semiHidden/>
    <w:unhideWhenUsed/>
    <w:rsid w:val="00E61827"/>
    <w:rPr>
      <w:color w:val="605E5C"/>
      <w:shd w:val="clear" w:color="auto" w:fill="E1DFDD"/>
    </w:rPr>
  </w:style>
  <w:style w:type="paragraph" w:styleId="Revision">
    <w:name w:val="Revision"/>
    <w:hidden/>
    <w:uiPriority w:val="99"/>
    <w:semiHidden/>
    <w:rsid w:val="001F74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D373-A9F7-45E7-A96C-1860FF53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7519</Words>
  <Characters>42861</Characters>
  <Application>Microsoft Office Word</Application>
  <DocSecurity>0</DocSecurity>
  <Lines>357</Lines>
  <Paragraphs>100</Paragraphs>
  <ScaleCrop>false</ScaleCrop>
  <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2023-06-14T17:46:22Z</dcterms:created>
  <dcterms:modified xsi:type="dcterms:W3CDTF">2023-06-14T17:46:22Z</dcterms:modified>
</cp:coreProperties>
</file>