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CF40" w14:textId="5ED91BAE" w:rsidR="00260A99" w:rsidRPr="00FC7AA0" w:rsidRDefault="00B2421D" w:rsidP="00B2421D">
      <w:pPr>
        <w:spacing w:line="240" w:lineRule="auto"/>
        <w:rPr>
          <w:rFonts w:ascii="Century Schoolbook" w:hAnsi="Century Schoolbook"/>
          <w:sz w:val="20"/>
          <w:szCs w:val="24"/>
        </w:rPr>
      </w:pPr>
      <w:r w:rsidRPr="00FC7AA0">
        <w:rPr>
          <w:rFonts w:ascii="Century Schoolbook" w:hAnsi="Century Schoolbook"/>
          <w:sz w:val="20"/>
          <w:szCs w:val="24"/>
        </w:rPr>
        <w:t xml:space="preserve">Filed </w:t>
      </w:r>
      <w:proofErr w:type="gramStart"/>
      <w:r w:rsidRPr="00FC7AA0">
        <w:rPr>
          <w:rFonts w:ascii="Century Schoolbook" w:hAnsi="Century Schoolbook"/>
          <w:sz w:val="20"/>
          <w:szCs w:val="24"/>
        </w:rPr>
        <w:t>4/</w:t>
      </w:r>
      <w:r w:rsidR="00FF3F91" w:rsidRPr="00FC7AA0">
        <w:rPr>
          <w:rFonts w:ascii="Century Schoolbook" w:hAnsi="Century Schoolbook"/>
          <w:sz w:val="20"/>
          <w:szCs w:val="24"/>
        </w:rPr>
        <w:t>4</w:t>
      </w:r>
      <w:r w:rsidRPr="00FC7AA0">
        <w:rPr>
          <w:rFonts w:ascii="Century Schoolbook" w:hAnsi="Century Schoolbook"/>
          <w:sz w:val="20"/>
          <w:szCs w:val="24"/>
        </w:rPr>
        <w:t>/23</w:t>
      </w:r>
      <w:proofErr w:type="gramEnd"/>
    </w:p>
    <w:p w14:paraId="032DFB28" w14:textId="3E1807DA" w:rsidR="00B2421D" w:rsidRPr="00B2421D" w:rsidRDefault="00B2421D" w:rsidP="00B2421D">
      <w:pPr>
        <w:spacing w:line="240" w:lineRule="auto"/>
        <w:jc w:val="center"/>
        <w:rPr>
          <w:rFonts w:ascii="Century Schoolbook" w:hAnsi="Century Schoolbook"/>
          <w:bCs/>
          <w:szCs w:val="24"/>
        </w:rPr>
      </w:pPr>
      <w:r>
        <w:rPr>
          <w:rFonts w:ascii="Century Schoolbook" w:hAnsi="Century Schoolbook"/>
          <w:b/>
          <w:bCs/>
          <w:szCs w:val="24"/>
        </w:rPr>
        <w:t>CERTIFIED FOR PARTIAL PUBLICATION</w:t>
      </w:r>
      <w:r>
        <w:rPr>
          <w:rStyle w:val="FootnoteReference"/>
          <w:rFonts w:ascii="Century Schoolbook" w:hAnsi="Century Schoolbook"/>
          <w:b/>
          <w:bCs/>
          <w:szCs w:val="24"/>
        </w:rPr>
        <w:footnoteReference w:customMarkFollows="1" w:id="1"/>
        <w:t>*</w:t>
      </w:r>
    </w:p>
    <w:p w14:paraId="7044DD86" w14:textId="77777777" w:rsidR="00B2421D" w:rsidRPr="00B2421D" w:rsidRDefault="00B2421D" w:rsidP="00B2421D">
      <w:pPr>
        <w:spacing w:line="240" w:lineRule="auto"/>
        <w:rPr>
          <w:rFonts w:ascii="Century Schoolbook" w:hAnsi="Century Schoolbook"/>
          <w:b/>
          <w:bCs/>
          <w:sz w:val="20"/>
          <w:szCs w:val="24"/>
        </w:rPr>
      </w:pPr>
    </w:p>
    <w:p w14:paraId="07CE2A78" w14:textId="77777777" w:rsidR="00B2421D" w:rsidRPr="00260A99" w:rsidRDefault="00B2421D" w:rsidP="005A236B">
      <w:pPr>
        <w:spacing w:line="240" w:lineRule="auto"/>
        <w:jc w:val="center"/>
        <w:rPr>
          <w:rFonts w:ascii="Century Schoolbook" w:hAnsi="Century Schoolbook"/>
          <w:b/>
          <w:bCs/>
          <w:sz w:val="24"/>
          <w:szCs w:val="24"/>
        </w:rPr>
      </w:pPr>
    </w:p>
    <w:p w14:paraId="0E5F65EB" w14:textId="3FDC8E0C" w:rsidR="000B1558" w:rsidRPr="00307460" w:rsidRDefault="005A236B" w:rsidP="005A236B">
      <w:pPr>
        <w:spacing w:line="240" w:lineRule="auto"/>
        <w:jc w:val="center"/>
        <w:rPr>
          <w:rFonts w:ascii="Century Schoolbook" w:hAnsi="Century Schoolbook"/>
        </w:rPr>
      </w:pPr>
      <w:r w:rsidRPr="00307460">
        <w:rPr>
          <w:rFonts w:ascii="Century Schoolbook" w:hAnsi="Century Schoolbook"/>
        </w:rPr>
        <w:t>IN THE COURT OF APPEAL OF THE STATE OF CALIFORNIA</w:t>
      </w:r>
    </w:p>
    <w:p w14:paraId="7CD5AB5B" w14:textId="77777777" w:rsidR="005A236B" w:rsidRPr="00307460" w:rsidRDefault="005A236B" w:rsidP="005A236B">
      <w:pPr>
        <w:spacing w:line="240" w:lineRule="auto"/>
        <w:jc w:val="center"/>
        <w:rPr>
          <w:rFonts w:ascii="Century Schoolbook" w:hAnsi="Century Schoolbook"/>
        </w:rPr>
      </w:pPr>
    </w:p>
    <w:p w14:paraId="2C1BAABC" w14:textId="77777777" w:rsidR="005A236B" w:rsidRPr="00307460" w:rsidRDefault="005A236B" w:rsidP="005A236B">
      <w:pPr>
        <w:spacing w:line="240" w:lineRule="auto"/>
        <w:jc w:val="center"/>
        <w:rPr>
          <w:rFonts w:ascii="Century Schoolbook" w:hAnsi="Century Schoolbook"/>
        </w:rPr>
      </w:pPr>
      <w:r w:rsidRPr="00307460">
        <w:rPr>
          <w:rFonts w:ascii="Century Schoolbook" w:hAnsi="Century Schoolbook"/>
        </w:rPr>
        <w:t>FIRST APPELLATE DISTRICT</w:t>
      </w:r>
    </w:p>
    <w:p w14:paraId="3C71BEB2" w14:textId="77777777" w:rsidR="005A236B" w:rsidRPr="00307460" w:rsidRDefault="005A236B" w:rsidP="005A236B">
      <w:pPr>
        <w:spacing w:line="240" w:lineRule="auto"/>
        <w:jc w:val="center"/>
        <w:rPr>
          <w:rFonts w:ascii="Century Schoolbook" w:hAnsi="Century Schoolbook"/>
        </w:rPr>
      </w:pPr>
    </w:p>
    <w:p w14:paraId="72AD88AE" w14:textId="5351F924" w:rsidR="005A236B" w:rsidRPr="00307460" w:rsidRDefault="005A236B" w:rsidP="005A236B">
      <w:pPr>
        <w:spacing w:line="240" w:lineRule="auto"/>
        <w:jc w:val="center"/>
        <w:rPr>
          <w:rFonts w:ascii="Century Schoolbook" w:hAnsi="Century Schoolbook"/>
        </w:rPr>
      </w:pPr>
      <w:r w:rsidRPr="00307460">
        <w:rPr>
          <w:rFonts w:ascii="Century Schoolbook" w:hAnsi="Century Schoolbook"/>
        </w:rPr>
        <w:t xml:space="preserve">DIVISION </w:t>
      </w:r>
      <w:r w:rsidR="0092542F" w:rsidRPr="00307460">
        <w:rPr>
          <w:rFonts w:ascii="Century Schoolbook" w:hAnsi="Century Schoolbook"/>
        </w:rPr>
        <w:t>FIVE</w:t>
      </w:r>
    </w:p>
    <w:p w14:paraId="620B02CF" w14:textId="77777777" w:rsidR="005A236B" w:rsidRPr="00307460" w:rsidRDefault="005A236B" w:rsidP="00B2421D">
      <w:pPr>
        <w:spacing w:line="240" w:lineRule="auto"/>
        <w:rPr>
          <w:rFonts w:ascii="Century Schoolbook" w:hAnsi="Century Schoolbook"/>
        </w:rPr>
      </w:pPr>
    </w:p>
    <w:tbl>
      <w:tblPr>
        <w:tblW w:w="0" w:type="auto"/>
        <w:tblLayout w:type="fixed"/>
        <w:tblLook w:val="0000" w:firstRow="0" w:lastRow="0" w:firstColumn="0" w:lastColumn="0" w:noHBand="0" w:noVBand="0"/>
      </w:tblPr>
      <w:tblGrid>
        <w:gridCol w:w="4680"/>
        <w:gridCol w:w="4680"/>
      </w:tblGrid>
      <w:tr w:rsidR="005A236B" w:rsidRPr="00307460" w14:paraId="090C1929" w14:textId="77777777" w:rsidTr="005A236B">
        <w:tc>
          <w:tcPr>
            <w:tcW w:w="4680" w:type="dxa"/>
            <w:tcBorders>
              <w:bottom w:val="single" w:sz="4" w:space="0" w:color="auto"/>
              <w:right w:val="single" w:sz="4" w:space="0" w:color="auto"/>
            </w:tcBorders>
            <w:shd w:val="clear" w:color="auto" w:fill="auto"/>
          </w:tcPr>
          <w:p w14:paraId="18676D17" w14:textId="3CA708BD" w:rsidR="005A236B" w:rsidRPr="00307460" w:rsidRDefault="00C72032" w:rsidP="00322B31">
            <w:pPr>
              <w:spacing w:after="120" w:line="360" w:lineRule="auto"/>
              <w:rPr>
                <w:rFonts w:ascii="Century Schoolbook" w:hAnsi="Century Schoolbook"/>
              </w:rPr>
            </w:pPr>
            <w:r>
              <w:rPr>
                <w:rFonts w:ascii="Century Schoolbook" w:hAnsi="Century Schoolbook"/>
              </w:rPr>
              <w:t xml:space="preserve">THE </w:t>
            </w:r>
            <w:r w:rsidR="00322B31" w:rsidRPr="00307460">
              <w:rPr>
                <w:rFonts w:ascii="Century Schoolbook" w:hAnsi="Century Schoolbook"/>
              </w:rPr>
              <w:t>PEOPLE</w:t>
            </w:r>
            <w:r w:rsidR="005A236B" w:rsidRPr="00307460">
              <w:rPr>
                <w:rFonts w:ascii="Century Schoolbook" w:hAnsi="Century Schoolbook"/>
              </w:rPr>
              <w:t>,</w:t>
            </w:r>
          </w:p>
          <w:p w14:paraId="52D0C067" w14:textId="7289E479" w:rsidR="005A236B" w:rsidRPr="00307460" w:rsidRDefault="007E58DB" w:rsidP="005A236B">
            <w:pPr>
              <w:spacing w:after="120" w:line="240" w:lineRule="auto"/>
              <w:rPr>
                <w:rFonts w:ascii="Century Schoolbook" w:hAnsi="Century Schoolbook"/>
              </w:rPr>
            </w:pPr>
            <w:r w:rsidRPr="00307460">
              <w:rPr>
                <w:rFonts w:ascii="Century Schoolbook" w:hAnsi="Century Schoolbook"/>
              </w:rPr>
              <w:tab/>
            </w:r>
            <w:r w:rsidR="0027309C" w:rsidRPr="00307460">
              <w:rPr>
                <w:rFonts w:ascii="Century Schoolbook" w:hAnsi="Century Schoolbook"/>
              </w:rPr>
              <w:t>Plaintiff and Respondent</w:t>
            </w:r>
            <w:r w:rsidR="005A236B" w:rsidRPr="00307460">
              <w:rPr>
                <w:rFonts w:ascii="Century Schoolbook" w:hAnsi="Century Schoolbook"/>
              </w:rPr>
              <w:t>,</w:t>
            </w:r>
          </w:p>
          <w:p w14:paraId="2D722056" w14:textId="77777777" w:rsidR="005A236B" w:rsidRPr="00307460" w:rsidRDefault="005A236B" w:rsidP="005A236B">
            <w:pPr>
              <w:spacing w:after="120" w:line="240" w:lineRule="auto"/>
              <w:rPr>
                <w:rFonts w:ascii="Century Schoolbook" w:hAnsi="Century Schoolbook"/>
              </w:rPr>
            </w:pPr>
            <w:r w:rsidRPr="00307460">
              <w:rPr>
                <w:rFonts w:ascii="Century Schoolbook" w:hAnsi="Century Schoolbook"/>
              </w:rPr>
              <w:t>v.</w:t>
            </w:r>
          </w:p>
          <w:p w14:paraId="0E4F52D2" w14:textId="50098F4D" w:rsidR="005A236B" w:rsidRPr="00307460" w:rsidRDefault="00C72032" w:rsidP="005A236B">
            <w:pPr>
              <w:spacing w:after="120" w:line="240" w:lineRule="auto"/>
              <w:rPr>
                <w:rFonts w:ascii="Century Schoolbook" w:hAnsi="Century Schoolbook"/>
              </w:rPr>
            </w:pPr>
            <w:r>
              <w:rPr>
                <w:rFonts w:ascii="Century Schoolbook" w:hAnsi="Century Schoolbook"/>
              </w:rPr>
              <w:t>MERLIN SYLVESTER JONES</w:t>
            </w:r>
            <w:r w:rsidR="005A236B" w:rsidRPr="00307460">
              <w:rPr>
                <w:rFonts w:ascii="Century Schoolbook" w:hAnsi="Century Schoolbook"/>
              </w:rPr>
              <w:t>,</w:t>
            </w:r>
          </w:p>
          <w:p w14:paraId="1428F205" w14:textId="31784467" w:rsidR="005A236B" w:rsidRPr="00307460" w:rsidRDefault="005A236B" w:rsidP="0027309C">
            <w:pPr>
              <w:spacing w:after="120" w:line="240" w:lineRule="auto"/>
              <w:rPr>
                <w:rFonts w:ascii="Century Schoolbook" w:hAnsi="Century Schoolbook"/>
              </w:rPr>
            </w:pPr>
            <w:r w:rsidRPr="00307460">
              <w:rPr>
                <w:rFonts w:ascii="Century Schoolbook" w:hAnsi="Century Schoolbook"/>
              </w:rPr>
              <w:tab/>
            </w:r>
            <w:r w:rsidR="0027309C" w:rsidRPr="00307460">
              <w:rPr>
                <w:rFonts w:ascii="Century Schoolbook" w:hAnsi="Century Schoolbook"/>
              </w:rPr>
              <w:t>Defendant and Appellant</w:t>
            </w:r>
            <w:r w:rsidRPr="00307460">
              <w:rPr>
                <w:rFonts w:ascii="Century Schoolbook" w:hAnsi="Century Schoolbook"/>
              </w:rPr>
              <w:t>.</w:t>
            </w:r>
          </w:p>
        </w:tc>
        <w:tc>
          <w:tcPr>
            <w:tcW w:w="4680" w:type="dxa"/>
            <w:tcBorders>
              <w:left w:val="single" w:sz="4" w:space="0" w:color="auto"/>
            </w:tcBorders>
            <w:shd w:val="clear" w:color="auto" w:fill="auto"/>
          </w:tcPr>
          <w:p w14:paraId="01D97858" w14:textId="77777777" w:rsidR="005A236B" w:rsidRPr="00307460" w:rsidRDefault="005A236B" w:rsidP="005A236B">
            <w:pPr>
              <w:spacing w:line="240" w:lineRule="auto"/>
              <w:rPr>
                <w:rFonts w:ascii="Century Schoolbook" w:hAnsi="Century Schoolbook"/>
              </w:rPr>
            </w:pPr>
          </w:p>
          <w:p w14:paraId="0EEA893C" w14:textId="77777777" w:rsidR="005A236B" w:rsidRPr="00307460" w:rsidRDefault="005A236B" w:rsidP="005A236B">
            <w:pPr>
              <w:spacing w:line="240" w:lineRule="auto"/>
              <w:rPr>
                <w:rFonts w:ascii="Century Schoolbook" w:hAnsi="Century Schoolbook"/>
              </w:rPr>
            </w:pPr>
          </w:p>
          <w:p w14:paraId="569F7E4B" w14:textId="12F46619" w:rsidR="005A236B" w:rsidRPr="00307460" w:rsidRDefault="005A236B" w:rsidP="005A236B">
            <w:pPr>
              <w:spacing w:line="240" w:lineRule="auto"/>
              <w:rPr>
                <w:rFonts w:ascii="Century Schoolbook" w:hAnsi="Century Schoolbook"/>
              </w:rPr>
            </w:pPr>
            <w:r w:rsidRPr="00307460">
              <w:rPr>
                <w:rFonts w:ascii="Century Schoolbook" w:hAnsi="Century Schoolbook"/>
              </w:rPr>
              <w:t xml:space="preserve">      </w:t>
            </w:r>
            <w:r w:rsidR="00C72032">
              <w:rPr>
                <w:rFonts w:ascii="Century Schoolbook" w:hAnsi="Century Schoolbook"/>
              </w:rPr>
              <w:t>A163558</w:t>
            </w:r>
          </w:p>
          <w:p w14:paraId="3FBCD644" w14:textId="77777777" w:rsidR="005A236B" w:rsidRPr="00307460" w:rsidRDefault="005A236B" w:rsidP="005A236B">
            <w:pPr>
              <w:spacing w:line="240" w:lineRule="auto"/>
              <w:rPr>
                <w:rFonts w:ascii="Century Schoolbook" w:hAnsi="Century Schoolbook"/>
              </w:rPr>
            </w:pPr>
          </w:p>
          <w:p w14:paraId="4A74D26F" w14:textId="113CDE83" w:rsidR="005A236B" w:rsidRPr="00307460" w:rsidRDefault="005A236B" w:rsidP="005A236B">
            <w:pPr>
              <w:spacing w:line="240" w:lineRule="auto"/>
              <w:rPr>
                <w:rFonts w:ascii="Century Schoolbook" w:hAnsi="Century Schoolbook"/>
              </w:rPr>
            </w:pPr>
            <w:r w:rsidRPr="00307460">
              <w:rPr>
                <w:rFonts w:ascii="Century Schoolbook" w:hAnsi="Century Schoolbook"/>
              </w:rPr>
              <w:t xml:space="preserve">      (</w:t>
            </w:r>
            <w:r w:rsidR="00C72032">
              <w:rPr>
                <w:rFonts w:ascii="Century Schoolbook" w:hAnsi="Century Schoolbook"/>
              </w:rPr>
              <w:t>Solano</w:t>
            </w:r>
            <w:r w:rsidRPr="00307460">
              <w:rPr>
                <w:rFonts w:ascii="Century Schoolbook" w:hAnsi="Century Schoolbook"/>
              </w:rPr>
              <w:t xml:space="preserve"> County</w:t>
            </w:r>
            <w:r w:rsidR="0092542F" w:rsidRPr="00307460">
              <w:rPr>
                <w:rFonts w:ascii="Century Schoolbook" w:hAnsi="Century Schoolbook"/>
              </w:rPr>
              <w:t xml:space="preserve"> Super Ct.</w:t>
            </w:r>
          </w:p>
          <w:p w14:paraId="7EB9BD18" w14:textId="71D4D6EC" w:rsidR="005A236B" w:rsidRPr="00307460" w:rsidRDefault="005A236B" w:rsidP="005A236B">
            <w:pPr>
              <w:spacing w:line="240" w:lineRule="auto"/>
              <w:rPr>
                <w:rFonts w:ascii="Century Schoolbook" w:hAnsi="Century Schoolbook"/>
              </w:rPr>
            </w:pPr>
            <w:r w:rsidRPr="00307460">
              <w:rPr>
                <w:rFonts w:ascii="Century Schoolbook" w:hAnsi="Century Schoolbook"/>
              </w:rPr>
              <w:t xml:space="preserve">      </w:t>
            </w:r>
            <w:r w:rsidR="00307460" w:rsidRPr="00307460">
              <w:rPr>
                <w:rFonts w:ascii="Century Schoolbook" w:hAnsi="Century Schoolbook"/>
              </w:rPr>
              <w:t xml:space="preserve">No. </w:t>
            </w:r>
            <w:r w:rsidR="00C72032" w:rsidRPr="00C72032">
              <w:rPr>
                <w:rFonts w:ascii="Century Schoolbook" w:hAnsi="Century Schoolbook"/>
              </w:rPr>
              <w:t>VCR231658</w:t>
            </w:r>
            <w:r w:rsidRPr="00307460">
              <w:rPr>
                <w:rFonts w:ascii="Century Schoolbook" w:hAnsi="Century Schoolbook"/>
              </w:rPr>
              <w:t>)</w:t>
            </w:r>
          </w:p>
          <w:p w14:paraId="36983A94" w14:textId="77777777" w:rsidR="005A236B" w:rsidRPr="00307460" w:rsidRDefault="005A236B" w:rsidP="005A236B">
            <w:pPr>
              <w:spacing w:line="240" w:lineRule="auto"/>
              <w:rPr>
                <w:rFonts w:ascii="Century Schoolbook" w:hAnsi="Century Schoolbook"/>
              </w:rPr>
            </w:pPr>
          </w:p>
        </w:tc>
      </w:tr>
    </w:tbl>
    <w:p w14:paraId="302DE1C2" w14:textId="77777777" w:rsidR="005A236B" w:rsidRPr="00307460" w:rsidRDefault="005A236B" w:rsidP="005A236B">
      <w:pPr>
        <w:spacing w:line="360" w:lineRule="auto"/>
        <w:rPr>
          <w:rFonts w:ascii="Century Schoolbook" w:hAnsi="Century Schoolbook"/>
        </w:rPr>
      </w:pPr>
    </w:p>
    <w:p w14:paraId="4F3EDD20" w14:textId="4593A499" w:rsidR="00E94D02" w:rsidRPr="00DD1F94" w:rsidRDefault="005A236B" w:rsidP="009125AC">
      <w:pPr>
        <w:spacing w:line="360" w:lineRule="auto"/>
        <w:rPr>
          <w:rFonts w:ascii="Century Schoolbook" w:hAnsi="Century Schoolbook"/>
          <w:bCs/>
        </w:rPr>
      </w:pPr>
      <w:r w:rsidRPr="00307460">
        <w:rPr>
          <w:rFonts w:ascii="Century Schoolbook" w:hAnsi="Century Schoolbook"/>
        </w:rPr>
        <w:tab/>
      </w:r>
      <w:r w:rsidR="00D722E1">
        <w:rPr>
          <w:rFonts w:ascii="Century Schoolbook" w:hAnsi="Century Schoolbook"/>
        </w:rPr>
        <w:t xml:space="preserve">In </w:t>
      </w:r>
      <w:r w:rsidR="00E433DE">
        <w:rPr>
          <w:rFonts w:ascii="Century Schoolbook" w:hAnsi="Century Schoolbook"/>
        </w:rPr>
        <w:t xml:space="preserve">the first part of </w:t>
      </w:r>
      <w:r w:rsidR="00D722E1">
        <w:rPr>
          <w:rFonts w:ascii="Century Schoolbook" w:hAnsi="Century Schoolbook"/>
        </w:rPr>
        <w:t>a bifurcated trial, a jury found appellant guilty of first degree murder (Pen. Code,</w:t>
      </w:r>
      <w:r w:rsidR="00D722E1" w:rsidRPr="0028265D">
        <w:rPr>
          <w:rStyle w:val="FootnoteReference"/>
          <w:rFonts w:ascii="Century Schoolbook" w:hAnsi="Century Schoolbook"/>
        </w:rPr>
        <w:footnoteReference w:id="2"/>
      </w:r>
      <w:r w:rsidR="00D722E1">
        <w:rPr>
          <w:rFonts w:ascii="Century Schoolbook" w:hAnsi="Century Schoolbook"/>
        </w:rPr>
        <w:t xml:space="preserve"> </w:t>
      </w:r>
      <w:r w:rsidR="00D722E1" w:rsidRPr="00307460">
        <w:rPr>
          <w:rFonts w:ascii="Century Schoolbook" w:hAnsi="Century Schoolbook"/>
          <w:bCs/>
        </w:rPr>
        <w:t>§</w:t>
      </w:r>
      <w:r w:rsidR="00D722E1">
        <w:rPr>
          <w:rFonts w:ascii="Century Schoolbook" w:hAnsi="Century Schoolbook"/>
          <w:bCs/>
        </w:rPr>
        <w:t xml:space="preserve"> 1</w:t>
      </w:r>
      <w:r w:rsidR="00090FCC">
        <w:rPr>
          <w:rFonts w:ascii="Century Schoolbook" w:hAnsi="Century Schoolbook"/>
          <w:bCs/>
        </w:rPr>
        <w:t>87</w:t>
      </w:r>
      <w:r w:rsidR="00D722E1">
        <w:rPr>
          <w:rFonts w:ascii="Century Schoolbook" w:hAnsi="Century Schoolbook"/>
          <w:bCs/>
        </w:rPr>
        <w:t>, subd. (a)) and being a felon in possession of a firearm (</w:t>
      </w:r>
      <w:r w:rsidR="00D722E1" w:rsidRPr="00307460">
        <w:rPr>
          <w:rFonts w:ascii="Century Schoolbook" w:hAnsi="Century Schoolbook"/>
          <w:bCs/>
        </w:rPr>
        <w:t>§</w:t>
      </w:r>
      <w:r w:rsidR="00D722E1">
        <w:rPr>
          <w:rFonts w:ascii="Century Schoolbook" w:hAnsi="Century Schoolbook"/>
          <w:bCs/>
        </w:rPr>
        <w:t xml:space="preserve"> 29800, subd. (a)(1)), finding true the allegation that he had personally used a firearm causing death (</w:t>
      </w:r>
      <w:r w:rsidR="00D722E1" w:rsidRPr="00307460">
        <w:rPr>
          <w:rFonts w:ascii="Century Schoolbook" w:hAnsi="Century Schoolbook"/>
          <w:bCs/>
        </w:rPr>
        <w:t>§</w:t>
      </w:r>
      <w:r w:rsidR="00E433DE">
        <w:rPr>
          <w:rFonts w:ascii="Century Schoolbook" w:hAnsi="Century Schoolbook"/>
          <w:bCs/>
        </w:rPr>
        <w:t xml:space="preserve"> 12022.53, subd. (d)</w:t>
      </w:r>
      <w:r w:rsidR="00D722E1">
        <w:rPr>
          <w:rFonts w:ascii="Century Schoolbook" w:hAnsi="Century Schoolbook"/>
          <w:bCs/>
        </w:rPr>
        <w:t>)</w:t>
      </w:r>
      <w:r w:rsidR="00E433DE">
        <w:rPr>
          <w:rFonts w:ascii="Century Schoolbook" w:hAnsi="Century Schoolbook"/>
          <w:bCs/>
        </w:rPr>
        <w:t xml:space="preserve">.  In the second part, the same jurors found that </w:t>
      </w:r>
      <w:r w:rsidR="001D0CF5">
        <w:rPr>
          <w:rFonts w:ascii="Century Schoolbook" w:hAnsi="Century Schoolbook"/>
          <w:bCs/>
        </w:rPr>
        <w:t>he</w:t>
      </w:r>
      <w:r w:rsidR="00E433DE">
        <w:rPr>
          <w:rFonts w:ascii="Century Schoolbook" w:hAnsi="Century Schoolbook"/>
          <w:bCs/>
        </w:rPr>
        <w:t xml:space="preserve"> had been convicted of a prior serious felony (</w:t>
      </w:r>
      <w:r w:rsidR="00E433DE" w:rsidRPr="00307460">
        <w:rPr>
          <w:rFonts w:ascii="Century Schoolbook" w:hAnsi="Century Schoolbook"/>
          <w:bCs/>
        </w:rPr>
        <w:t>§</w:t>
      </w:r>
      <w:r w:rsidR="00E433DE">
        <w:rPr>
          <w:rFonts w:ascii="Century Schoolbook" w:hAnsi="Century Schoolbook"/>
          <w:bCs/>
        </w:rPr>
        <w:t xml:space="preserve"> 1170.12, subd. (a))</w:t>
      </w:r>
      <w:r w:rsidR="001D0CF5">
        <w:rPr>
          <w:rFonts w:ascii="Century Schoolbook" w:hAnsi="Century Schoolbook"/>
          <w:bCs/>
        </w:rPr>
        <w:t>.</w:t>
      </w:r>
      <w:r w:rsidR="00E433DE">
        <w:rPr>
          <w:rFonts w:ascii="Century Schoolbook" w:hAnsi="Century Schoolbook"/>
          <w:bCs/>
        </w:rPr>
        <w:t xml:space="preserve">  </w:t>
      </w:r>
      <w:r w:rsidR="00E433DE" w:rsidRPr="00090FCC">
        <w:rPr>
          <w:rFonts w:ascii="Century Schoolbook" w:hAnsi="Century Schoolbook"/>
          <w:bCs/>
        </w:rPr>
        <w:t xml:space="preserve">In this appeal, he argues that the </w:t>
      </w:r>
      <w:r w:rsidR="00E433DE" w:rsidRPr="00AD0DD5">
        <w:rPr>
          <w:rFonts w:ascii="Century Schoolbook" w:hAnsi="Century Schoolbook"/>
          <w:bCs/>
        </w:rPr>
        <w:t>murder conviction should be rever</w:t>
      </w:r>
      <w:r w:rsidR="00F31367" w:rsidRPr="00AD0DD5">
        <w:rPr>
          <w:rFonts w:ascii="Century Schoolbook" w:hAnsi="Century Schoolbook"/>
          <w:bCs/>
        </w:rPr>
        <w:t>sed for the trial court</w:t>
      </w:r>
      <w:r w:rsidR="001D0CF5" w:rsidRPr="00AD0DD5">
        <w:rPr>
          <w:rFonts w:ascii="Century Schoolbook" w:hAnsi="Century Schoolbook"/>
          <w:bCs/>
        </w:rPr>
        <w:t>’s</w:t>
      </w:r>
      <w:r w:rsidR="00F31367" w:rsidRPr="00AD0DD5">
        <w:rPr>
          <w:rFonts w:ascii="Century Schoolbook" w:hAnsi="Century Schoolbook"/>
          <w:bCs/>
        </w:rPr>
        <w:t xml:space="preserve"> alleged errors in </w:t>
      </w:r>
      <w:r w:rsidR="00E433DE" w:rsidRPr="00AD0DD5">
        <w:rPr>
          <w:rFonts w:ascii="Century Schoolbook" w:hAnsi="Century Schoolbook"/>
          <w:bCs/>
        </w:rPr>
        <w:t xml:space="preserve">instructing the jury and </w:t>
      </w:r>
      <w:r w:rsidR="00F31367" w:rsidRPr="00AD0DD5">
        <w:rPr>
          <w:rFonts w:ascii="Century Schoolbook" w:hAnsi="Century Schoolbook"/>
          <w:bCs/>
        </w:rPr>
        <w:t>failing to declare a mistrial</w:t>
      </w:r>
      <w:r w:rsidR="00E433DE" w:rsidRPr="00090FCC">
        <w:rPr>
          <w:rFonts w:ascii="Century Schoolbook" w:hAnsi="Century Schoolbook"/>
          <w:bCs/>
        </w:rPr>
        <w:t>.</w:t>
      </w:r>
      <w:r w:rsidR="00F31367" w:rsidRPr="00090FCC">
        <w:rPr>
          <w:rFonts w:ascii="Century Schoolbook" w:hAnsi="Century Schoolbook"/>
          <w:bCs/>
        </w:rPr>
        <w:t xml:space="preserve">  In the alternative, he urges us to strike the </w:t>
      </w:r>
      <w:r w:rsidR="001D0CF5" w:rsidRPr="00090FCC">
        <w:rPr>
          <w:rFonts w:ascii="Century Schoolbook" w:hAnsi="Century Schoolbook"/>
          <w:bCs/>
        </w:rPr>
        <w:t>prior serious felony</w:t>
      </w:r>
      <w:r w:rsidR="00F31367" w:rsidRPr="00090FCC">
        <w:rPr>
          <w:rFonts w:ascii="Century Schoolbook" w:hAnsi="Century Schoolbook"/>
          <w:bCs/>
        </w:rPr>
        <w:t xml:space="preserve"> finding because the trial court </w:t>
      </w:r>
      <w:r w:rsidR="001D0CF5" w:rsidRPr="00090FCC">
        <w:rPr>
          <w:rFonts w:ascii="Century Schoolbook" w:hAnsi="Century Schoolbook"/>
          <w:bCs/>
        </w:rPr>
        <w:t xml:space="preserve">erroneously </w:t>
      </w:r>
      <w:r w:rsidR="001D0CF5" w:rsidRPr="00AD0DD5">
        <w:rPr>
          <w:rFonts w:ascii="Century Schoolbook" w:hAnsi="Century Schoolbook"/>
          <w:bCs/>
        </w:rPr>
        <w:t>dis</w:t>
      </w:r>
      <w:r w:rsidR="00393BB3" w:rsidRPr="00AD0DD5">
        <w:rPr>
          <w:rFonts w:ascii="Century Schoolbook" w:hAnsi="Century Schoolbook"/>
          <w:bCs/>
        </w:rPr>
        <w:t>charg</w:t>
      </w:r>
      <w:r w:rsidR="001D0CF5" w:rsidRPr="00AD0DD5">
        <w:rPr>
          <w:rFonts w:ascii="Century Schoolbook" w:hAnsi="Century Schoolbook"/>
          <w:bCs/>
        </w:rPr>
        <w:t>ed and lost control of the jurors af</w:t>
      </w:r>
      <w:r w:rsidR="001D0CF5" w:rsidRPr="00090FCC">
        <w:rPr>
          <w:rFonts w:ascii="Century Schoolbook" w:hAnsi="Century Schoolbook"/>
          <w:bCs/>
        </w:rPr>
        <w:t xml:space="preserve">ter the first part of the </w:t>
      </w:r>
      <w:r w:rsidR="001D0CF5" w:rsidRPr="00090FCC">
        <w:rPr>
          <w:rFonts w:ascii="Century Schoolbook" w:hAnsi="Century Schoolbook"/>
          <w:bCs/>
        </w:rPr>
        <w:lastRenderedPageBreak/>
        <w:t xml:space="preserve">trial, thereby divesting them of the power to render a verdict as to the second.  We reject appellant’s arguments concerning his murder conviction, but we find </w:t>
      </w:r>
      <w:r w:rsidR="001D0CF5" w:rsidRPr="00AD0DD5">
        <w:rPr>
          <w:rFonts w:ascii="Century Schoolbook" w:hAnsi="Century Schoolbook"/>
          <w:bCs/>
        </w:rPr>
        <w:t>merit in his attack on the second part of his bifurcated tri</w:t>
      </w:r>
      <w:r w:rsidR="001D0CF5" w:rsidRPr="00090FCC">
        <w:rPr>
          <w:rFonts w:ascii="Century Schoolbook" w:hAnsi="Century Schoolbook"/>
          <w:bCs/>
        </w:rPr>
        <w:t>al.  We therefore reverse the judgment as to the prior serious felony and affirm it in all other respects.</w:t>
      </w:r>
    </w:p>
    <w:p w14:paraId="1D14FAB8" w14:textId="5ABB482B" w:rsidR="008C77C9" w:rsidRPr="00307460" w:rsidRDefault="00411EA0" w:rsidP="008C77C9">
      <w:pPr>
        <w:spacing w:line="360" w:lineRule="auto"/>
        <w:jc w:val="center"/>
        <w:rPr>
          <w:rFonts w:ascii="Century Schoolbook" w:hAnsi="Century Schoolbook"/>
          <w:b/>
        </w:rPr>
      </w:pPr>
      <w:r w:rsidRPr="00307460">
        <w:rPr>
          <w:rFonts w:ascii="Century Schoolbook" w:hAnsi="Century Schoolbook"/>
          <w:b/>
        </w:rPr>
        <w:t xml:space="preserve">I. </w:t>
      </w:r>
      <w:r w:rsidR="00FF3F91">
        <w:rPr>
          <w:rFonts w:ascii="Century Schoolbook" w:hAnsi="Century Schoolbook"/>
          <w:b/>
        </w:rPr>
        <w:t xml:space="preserve"> </w:t>
      </w:r>
      <w:r w:rsidR="00FA7F49" w:rsidRPr="00307460">
        <w:rPr>
          <w:rFonts w:ascii="Century Schoolbook" w:hAnsi="Century Schoolbook"/>
          <w:b/>
          <w:u w:val="single"/>
        </w:rPr>
        <w:t>BACKGROUND</w:t>
      </w:r>
    </w:p>
    <w:p w14:paraId="6796C7AB" w14:textId="5DCC73D5" w:rsidR="006729C7" w:rsidRDefault="006729C7" w:rsidP="00411EA0">
      <w:pPr>
        <w:spacing w:line="360" w:lineRule="auto"/>
        <w:rPr>
          <w:rFonts w:ascii="Century Schoolbook" w:hAnsi="Century Schoolbook"/>
        </w:rPr>
      </w:pPr>
      <w:r>
        <w:rPr>
          <w:rFonts w:ascii="Century Schoolbook" w:hAnsi="Century Schoolbook"/>
          <w:b/>
          <w:bCs/>
        </w:rPr>
        <w:tab/>
        <w:t>A.</w:t>
      </w:r>
      <w:r w:rsidR="00FF3F91">
        <w:rPr>
          <w:rFonts w:ascii="Century Schoolbook" w:hAnsi="Century Schoolbook"/>
          <w:b/>
          <w:bCs/>
        </w:rPr>
        <w:t xml:space="preserve"> </w:t>
      </w:r>
      <w:r>
        <w:rPr>
          <w:rFonts w:ascii="Century Schoolbook" w:hAnsi="Century Schoolbook"/>
          <w:b/>
          <w:bCs/>
        </w:rPr>
        <w:t xml:space="preserve"> </w:t>
      </w:r>
      <w:r w:rsidRPr="006729C7">
        <w:rPr>
          <w:rFonts w:ascii="Century Schoolbook" w:hAnsi="Century Schoolbook"/>
          <w:b/>
          <w:bCs/>
          <w:u w:val="single"/>
        </w:rPr>
        <w:t>Factual Background</w:t>
      </w:r>
    </w:p>
    <w:p w14:paraId="1B955FD3" w14:textId="727FE314" w:rsidR="000320BE" w:rsidRDefault="006729C7" w:rsidP="00411EA0">
      <w:pPr>
        <w:spacing w:line="360" w:lineRule="auto"/>
        <w:rPr>
          <w:rFonts w:ascii="Century Schoolbook" w:hAnsi="Century Schoolbook"/>
        </w:rPr>
      </w:pPr>
      <w:r>
        <w:rPr>
          <w:rFonts w:ascii="Century Schoolbook" w:hAnsi="Century Schoolbook"/>
        </w:rPr>
        <w:tab/>
      </w:r>
      <w:r w:rsidR="00866995">
        <w:rPr>
          <w:rFonts w:ascii="Century Schoolbook" w:hAnsi="Century Schoolbook"/>
        </w:rPr>
        <w:t xml:space="preserve">Robert McGee met appellant while incarcerated in the Solano County Jail.  When McGee’s friend, Maleek Mitchell, wanted a gun, McGee suggested buying one from appellant.  McGee </w:t>
      </w:r>
      <w:r w:rsidR="00FE4E2D">
        <w:rPr>
          <w:rFonts w:ascii="Century Schoolbook" w:hAnsi="Century Schoolbook"/>
        </w:rPr>
        <w:t xml:space="preserve">then </w:t>
      </w:r>
      <w:r w:rsidR="00866995">
        <w:rPr>
          <w:rFonts w:ascii="Century Schoolbook" w:hAnsi="Century Schoolbook"/>
        </w:rPr>
        <w:t>spoke</w:t>
      </w:r>
      <w:r w:rsidR="00FE4E2D">
        <w:rPr>
          <w:rFonts w:ascii="Century Schoolbook" w:hAnsi="Century Schoolbook"/>
        </w:rPr>
        <w:t xml:space="preserve"> </w:t>
      </w:r>
      <w:r w:rsidR="00866995">
        <w:rPr>
          <w:rFonts w:ascii="Century Schoolbook" w:hAnsi="Century Schoolbook"/>
        </w:rPr>
        <w:t>to appellant</w:t>
      </w:r>
      <w:r w:rsidR="000320BE">
        <w:rPr>
          <w:rFonts w:ascii="Century Schoolbook" w:hAnsi="Century Schoolbook"/>
        </w:rPr>
        <w:t xml:space="preserve">, </w:t>
      </w:r>
      <w:r w:rsidR="00FE4E2D">
        <w:rPr>
          <w:rFonts w:ascii="Century Schoolbook" w:hAnsi="Century Schoolbook"/>
        </w:rPr>
        <w:t>who</w:t>
      </w:r>
      <w:r w:rsidR="000320BE">
        <w:rPr>
          <w:rFonts w:ascii="Century Schoolbook" w:hAnsi="Century Schoolbook"/>
        </w:rPr>
        <w:t xml:space="preserve"> was willing</w:t>
      </w:r>
      <w:r w:rsidR="00866995">
        <w:rPr>
          <w:rFonts w:ascii="Century Schoolbook" w:hAnsi="Century Schoolbook"/>
        </w:rPr>
        <w:t xml:space="preserve"> to sell Mitchell a gun for $700.</w:t>
      </w:r>
      <w:r w:rsidR="000320BE">
        <w:rPr>
          <w:rFonts w:ascii="Century Schoolbook" w:hAnsi="Century Schoolbook"/>
        </w:rPr>
        <w:t xml:space="preserve">  </w:t>
      </w:r>
      <w:r w:rsidR="00FE4E2D">
        <w:rPr>
          <w:rFonts w:ascii="Century Schoolbook" w:hAnsi="Century Schoolbook"/>
        </w:rPr>
        <w:t xml:space="preserve">Ultimately, </w:t>
      </w:r>
      <w:r w:rsidR="000320BE">
        <w:rPr>
          <w:rFonts w:ascii="Century Schoolbook" w:hAnsi="Century Schoolbook"/>
        </w:rPr>
        <w:t xml:space="preserve">McGee relayed appellant’s phone number to Mitchell so the two could </w:t>
      </w:r>
      <w:proofErr w:type="gramStart"/>
      <w:r w:rsidR="000320BE">
        <w:rPr>
          <w:rFonts w:ascii="Century Schoolbook" w:hAnsi="Century Schoolbook"/>
        </w:rPr>
        <w:t>make arrangements</w:t>
      </w:r>
      <w:proofErr w:type="gramEnd"/>
      <w:r w:rsidR="000320BE">
        <w:rPr>
          <w:rFonts w:ascii="Century Schoolbook" w:hAnsi="Century Schoolbook"/>
        </w:rPr>
        <w:t xml:space="preserve"> for the sale. </w:t>
      </w:r>
    </w:p>
    <w:p w14:paraId="29C99B2F" w14:textId="54E4CA76" w:rsidR="000320BE" w:rsidRDefault="000320BE" w:rsidP="00411EA0">
      <w:pPr>
        <w:spacing w:line="360" w:lineRule="auto"/>
        <w:rPr>
          <w:rFonts w:ascii="Century Schoolbook" w:hAnsi="Century Schoolbook"/>
        </w:rPr>
      </w:pPr>
      <w:r>
        <w:rPr>
          <w:rFonts w:ascii="Century Schoolbook" w:hAnsi="Century Schoolbook"/>
        </w:rPr>
        <w:tab/>
        <w:t xml:space="preserve">After Mitchell texted </w:t>
      </w:r>
      <w:proofErr w:type="gramStart"/>
      <w:r>
        <w:rPr>
          <w:rFonts w:ascii="Century Schoolbook" w:hAnsi="Century Schoolbook"/>
        </w:rPr>
        <w:t>appellant</w:t>
      </w:r>
      <w:proofErr w:type="gramEnd"/>
      <w:r>
        <w:rPr>
          <w:rFonts w:ascii="Century Schoolbook" w:hAnsi="Century Schoolbook"/>
        </w:rPr>
        <w:t xml:space="preserve"> several times, appellant made a phone call to Mitchell that lasted four seconds.  </w:t>
      </w:r>
      <w:r w:rsidR="002524D4">
        <w:rPr>
          <w:rFonts w:ascii="Century Schoolbook" w:hAnsi="Century Schoolbook"/>
        </w:rPr>
        <w:t xml:space="preserve">Six hours later, he made another phone call to Mitchell, this one lasting 52 seconds.  </w:t>
      </w:r>
      <w:r w:rsidR="00DE6306">
        <w:rPr>
          <w:rFonts w:ascii="Century Schoolbook" w:hAnsi="Century Schoolbook"/>
        </w:rPr>
        <w:t>A</w:t>
      </w:r>
      <w:r w:rsidR="002524D4">
        <w:rPr>
          <w:rFonts w:ascii="Century Schoolbook" w:hAnsi="Century Schoolbook"/>
        </w:rPr>
        <w:t xml:space="preserve"> text message exchange ensued.  </w:t>
      </w:r>
      <w:r w:rsidR="002524D4" w:rsidRPr="002524D4">
        <w:rPr>
          <w:rFonts w:ascii="Century Schoolbook" w:hAnsi="Century Schoolbook"/>
        </w:rPr>
        <w:t>Mitchell texted appellant</w:t>
      </w:r>
      <w:r w:rsidR="008E7D57">
        <w:rPr>
          <w:rFonts w:ascii="Century Schoolbook" w:hAnsi="Century Schoolbook"/>
        </w:rPr>
        <w:t xml:space="preserve">: </w:t>
      </w:r>
      <w:r w:rsidR="004B18FB">
        <w:rPr>
          <w:rFonts w:ascii="Century Schoolbook" w:hAnsi="Century Schoolbook"/>
        </w:rPr>
        <w:t xml:space="preserve"> </w:t>
      </w:r>
      <w:r w:rsidR="008E7D57" w:rsidRPr="002524D4">
        <w:rPr>
          <w:rFonts w:ascii="Century Schoolbook" w:hAnsi="Century Schoolbook"/>
        </w:rPr>
        <w:t xml:space="preserve">“201 Maine Street, Vallejo. </w:t>
      </w:r>
      <w:r w:rsidR="00FF3F91">
        <w:rPr>
          <w:rFonts w:ascii="Century Schoolbook" w:hAnsi="Century Schoolbook"/>
        </w:rPr>
        <w:t xml:space="preserve"> </w:t>
      </w:r>
      <w:r w:rsidR="008E7D57" w:rsidRPr="002524D4">
        <w:rPr>
          <w:rFonts w:ascii="Century Schoolbook" w:hAnsi="Century Schoolbook"/>
        </w:rPr>
        <w:t xml:space="preserve">See yah.” </w:t>
      </w:r>
      <w:r w:rsidR="008E7D57">
        <w:rPr>
          <w:rFonts w:ascii="Century Schoolbook" w:hAnsi="Century Schoolbook"/>
        </w:rPr>
        <w:t xml:space="preserve"> This was the address of the Marina Vista Apartments where Mitchell was celebrating the birthday of </w:t>
      </w:r>
      <w:proofErr w:type="gramStart"/>
      <w:r w:rsidR="008E7D57">
        <w:rPr>
          <w:rFonts w:ascii="Century Schoolbook" w:hAnsi="Century Schoolbook"/>
        </w:rPr>
        <w:t>friend</w:t>
      </w:r>
      <w:proofErr w:type="gramEnd"/>
      <w:r w:rsidR="002E7857">
        <w:rPr>
          <w:rFonts w:ascii="Century Schoolbook" w:hAnsi="Century Schoolbook"/>
        </w:rPr>
        <w:t>,</w:t>
      </w:r>
      <w:r w:rsidR="008E7D57">
        <w:rPr>
          <w:rFonts w:ascii="Century Schoolbook" w:hAnsi="Century Schoolbook"/>
        </w:rPr>
        <w:t xml:space="preserve"> Mike Allen</w:t>
      </w:r>
      <w:r w:rsidR="002E7857">
        <w:rPr>
          <w:rFonts w:ascii="Century Schoolbook" w:hAnsi="Century Schoolbook"/>
        </w:rPr>
        <w:t>,</w:t>
      </w:r>
      <w:r w:rsidR="008E7D57">
        <w:rPr>
          <w:rFonts w:ascii="Century Schoolbook" w:hAnsi="Century Schoolbook"/>
        </w:rPr>
        <w:t xml:space="preserve"> along with another friend, Kristona Polk. </w:t>
      </w:r>
      <w:r w:rsidR="002524D4" w:rsidRPr="002524D4">
        <w:rPr>
          <w:rFonts w:ascii="Century Schoolbook" w:hAnsi="Century Schoolbook"/>
        </w:rPr>
        <w:t xml:space="preserve"> </w:t>
      </w:r>
      <w:r w:rsidR="008E7D57">
        <w:rPr>
          <w:rFonts w:ascii="Century Schoolbook" w:hAnsi="Century Schoolbook"/>
        </w:rPr>
        <w:t xml:space="preserve">Mitchell’s next message to appellant asked, </w:t>
      </w:r>
      <w:r w:rsidR="002524D4" w:rsidRPr="002524D4">
        <w:rPr>
          <w:rFonts w:ascii="Century Schoolbook" w:hAnsi="Century Schoolbook"/>
        </w:rPr>
        <w:t>“</w:t>
      </w:r>
      <w:r w:rsidR="002524D4">
        <w:rPr>
          <w:rFonts w:ascii="Century Schoolbook" w:hAnsi="Century Schoolbook"/>
        </w:rPr>
        <w:t>[h]</w:t>
      </w:r>
      <w:r w:rsidR="002524D4" w:rsidRPr="002524D4">
        <w:rPr>
          <w:rFonts w:ascii="Century Schoolbook" w:hAnsi="Century Schoolbook"/>
        </w:rPr>
        <w:t>ow long you gone [</w:t>
      </w:r>
      <w:r w:rsidR="002524D4" w:rsidRPr="00B766C9">
        <w:rPr>
          <w:rFonts w:ascii="Century Schoolbook" w:hAnsi="Century Schoolbook"/>
          <w:i/>
          <w:iCs/>
        </w:rPr>
        <w:t>sic</w:t>
      </w:r>
      <w:r w:rsidR="002524D4" w:rsidRPr="002524D4">
        <w:rPr>
          <w:rFonts w:ascii="Century Schoolbook" w:hAnsi="Century Schoolbook"/>
        </w:rPr>
        <w:t>] take?”  “15 min</w:t>
      </w:r>
      <w:r w:rsidR="002524D4">
        <w:rPr>
          <w:rFonts w:ascii="Century Schoolbook" w:hAnsi="Century Schoolbook"/>
        </w:rPr>
        <w:t>,</w:t>
      </w:r>
      <w:r w:rsidR="002524D4" w:rsidRPr="002524D4">
        <w:rPr>
          <w:rFonts w:ascii="Century Schoolbook" w:hAnsi="Century Schoolbook"/>
        </w:rPr>
        <w:t>”</w:t>
      </w:r>
      <w:r w:rsidR="002524D4">
        <w:rPr>
          <w:rFonts w:ascii="Century Schoolbook" w:hAnsi="Century Schoolbook"/>
        </w:rPr>
        <w:t xml:space="preserve"> appellant replied.</w:t>
      </w:r>
      <w:r w:rsidR="002524D4" w:rsidRPr="002524D4">
        <w:rPr>
          <w:rFonts w:ascii="Century Schoolbook" w:hAnsi="Century Schoolbook"/>
        </w:rPr>
        <w:t xml:space="preserve"> </w:t>
      </w:r>
    </w:p>
    <w:p w14:paraId="721B1F51" w14:textId="4ED09B6F" w:rsidR="0001550C" w:rsidRDefault="008E7D57" w:rsidP="00411EA0">
      <w:pPr>
        <w:spacing w:line="360" w:lineRule="auto"/>
        <w:rPr>
          <w:rFonts w:ascii="Century Schoolbook" w:hAnsi="Century Schoolbook"/>
        </w:rPr>
      </w:pPr>
      <w:r>
        <w:rPr>
          <w:rFonts w:ascii="Century Schoolbook" w:hAnsi="Century Schoolbook"/>
        </w:rPr>
        <w:tab/>
        <w:t xml:space="preserve">Another of Mitchell’s friends, Darius Watson, arrived at Marina Vista after the text message exchange.  Soon after his arrival, he spotted Mitchell, Allen, and Polk in the parking lot.  When Mitchell asked Watson for a ride to a bus stop, Watson agreed and drove </w:t>
      </w:r>
      <w:r w:rsidR="00945410">
        <w:rPr>
          <w:rFonts w:ascii="Century Schoolbook" w:hAnsi="Century Schoolbook"/>
        </w:rPr>
        <w:t xml:space="preserve">Polk, </w:t>
      </w:r>
      <w:r>
        <w:rPr>
          <w:rFonts w:ascii="Century Schoolbook" w:hAnsi="Century Schoolbook"/>
        </w:rPr>
        <w:t>Mitchell</w:t>
      </w:r>
      <w:r w:rsidR="00945410">
        <w:rPr>
          <w:rFonts w:ascii="Century Schoolbook" w:hAnsi="Century Schoolbook"/>
        </w:rPr>
        <w:t>,</w:t>
      </w:r>
      <w:r>
        <w:rPr>
          <w:rFonts w:ascii="Century Schoolbook" w:hAnsi="Century Schoolbook"/>
        </w:rPr>
        <w:t xml:space="preserve"> and Allen to another parking lot near the bus stop. </w:t>
      </w:r>
      <w:r w:rsidR="0001550C">
        <w:rPr>
          <w:rFonts w:ascii="Century Schoolbook" w:hAnsi="Century Schoolbook"/>
        </w:rPr>
        <w:t xml:space="preserve"> Appellant then texted Mitchell, “I’m outside,” and a series of phone calls between the two men followed.  Allen overheard the man to whom Mitchell was speaking tell Mitchell </w:t>
      </w:r>
      <w:proofErr w:type="gramStart"/>
      <w:r w:rsidR="0001550C">
        <w:rPr>
          <w:rFonts w:ascii="Century Schoolbook" w:hAnsi="Century Schoolbook"/>
        </w:rPr>
        <w:t>“to</w:t>
      </w:r>
      <w:proofErr w:type="gramEnd"/>
      <w:r w:rsidR="0001550C">
        <w:rPr>
          <w:rFonts w:ascii="Century Schoolbook" w:hAnsi="Century Schoolbook"/>
        </w:rPr>
        <w:t xml:space="preserve"> come by himself.”  </w:t>
      </w:r>
    </w:p>
    <w:p w14:paraId="515558D8" w14:textId="3E58CBDF" w:rsidR="009B4A6A" w:rsidRDefault="0001550C" w:rsidP="00411EA0">
      <w:pPr>
        <w:spacing w:line="360" w:lineRule="auto"/>
        <w:rPr>
          <w:rFonts w:ascii="Century Schoolbook" w:hAnsi="Century Schoolbook"/>
        </w:rPr>
      </w:pPr>
      <w:r>
        <w:rPr>
          <w:rFonts w:ascii="Century Schoolbook" w:hAnsi="Century Schoolbook"/>
        </w:rPr>
        <w:lastRenderedPageBreak/>
        <w:tab/>
        <w:t xml:space="preserve">Tired of waiting in the parking lot, Watson </w:t>
      </w:r>
      <w:r w:rsidR="00945410">
        <w:rPr>
          <w:rFonts w:ascii="Century Schoolbook" w:hAnsi="Century Schoolbook"/>
        </w:rPr>
        <w:t xml:space="preserve">was </w:t>
      </w:r>
      <w:r>
        <w:rPr>
          <w:rFonts w:ascii="Century Schoolbook" w:hAnsi="Century Schoolbook"/>
        </w:rPr>
        <w:t>start</w:t>
      </w:r>
      <w:r w:rsidR="00945410">
        <w:rPr>
          <w:rFonts w:ascii="Century Schoolbook" w:hAnsi="Century Schoolbook"/>
        </w:rPr>
        <w:t>ing</w:t>
      </w:r>
      <w:r>
        <w:rPr>
          <w:rFonts w:ascii="Century Schoolbook" w:hAnsi="Century Schoolbook"/>
        </w:rPr>
        <w:t xml:space="preserve"> to </w:t>
      </w:r>
      <w:r w:rsidR="00945410">
        <w:rPr>
          <w:rFonts w:ascii="Century Schoolbook" w:hAnsi="Century Schoolbook"/>
        </w:rPr>
        <w:t xml:space="preserve">drive toward the exit when a white Volvo sedan with tinted windows pulled up alongside him. </w:t>
      </w:r>
      <w:r w:rsidR="00D62E67">
        <w:rPr>
          <w:rFonts w:ascii="Century Schoolbook" w:hAnsi="Century Schoolbook"/>
        </w:rPr>
        <w:t xml:space="preserve"> </w:t>
      </w:r>
      <w:r w:rsidR="00B0439D">
        <w:rPr>
          <w:rFonts w:ascii="Century Schoolbook" w:hAnsi="Century Schoolbook"/>
        </w:rPr>
        <w:t xml:space="preserve">The same Volvo had been circling the block near Watson’s car for the previous nine minutes.  </w:t>
      </w:r>
      <w:r w:rsidR="00D62E67">
        <w:rPr>
          <w:rFonts w:ascii="Century Schoolbook" w:hAnsi="Century Schoolbook"/>
        </w:rPr>
        <w:t xml:space="preserve">Mitchell </w:t>
      </w:r>
      <w:r w:rsidR="00B0439D">
        <w:rPr>
          <w:rFonts w:ascii="Century Schoolbook" w:hAnsi="Century Schoolbook"/>
        </w:rPr>
        <w:t>said</w:t>
      </w:r>
      <w:r w:rsidR="00D62E67">
        <w:rPr>
          <w:rFonts w:ascii="Century Schoolbook" w:hAnsi="Century Schoolbook"/>
        </w:rPr>
        <w:t xml:space="preserve"> that “that was the car”</w:t>
      </w:r>
      <w:r w:rsidR="00B0439D">
        <w:rPr>
          <w:rFonts w:ascii="Century Schoolbook" w:hAnsi="Century Schoolbook"/>
        </w:rPr>
        <w:t xml:space="preserve"> and promptly exited Watson’s vehicle, engaging in conversation on the driver’s side of the Volvo before getting into the driver’s side backseat.</w:t>
      </w:r>
      <w:r w:rsidR="00D62E67">
        <w:rPr>
          <w:rFonts w:ascii="Century Schoolbook" w:hAnsi="Century Schoolbook"/>
        </w:rPr>
        <w:t xml:space="preserve"> </w:t>
      </w:r>
      <w:r w:rsidR="00B0439D">
        <w:rPr>
          <w:rFonts w:ascii="Century Schoolbook" w:hAnsi="Century Schoolbook"/>
        </w:rPr>
        <w:t xml:space="preserve"> The Volvo drove away toward the boat dock, and about a minute later, Mitchell rolled out of the car onto the pavement. </w:t>
      </w:r>
    </w:p>
    <w:p w14:paraId="7EBA7C61" w14:textId="28CECA8C" w:rsidR="00AC6E5F" w:rsidRPr="006729C7" w:rsidRDefault="009B4A6A" w:rsidP="00411EA0">
      <w:pPr>
        <w:spacing w:line="360" w:lineRule="auto"/>
        <w:rPr>
          <w:rFonts w:ascii="Century Schoolbook" w:hAnsi="Century Schoolbook"/>
        </w:rPr>
      </w:pPr>
      <w:r>
        <w:rPr>
          <w:rFonts w:ascii="Century Schoolbook" w:hAnsi="Century Schoolbook"/>
        </w:rPr>
        <w:tab/>
      </w:r>
      <w:r w:rsidR="00B0439D">
        <w:rPr>
          <w:rFonts w:ascii="Century Schoolbook" w:hAnsi="Century Schoolbook"/>
        </w:rPr>
        <w:t xml:space="preserve">A witness who heard </w:t>
      </w:r>
      <w:r w:rsidR="00AC6E5F">
        <w:rPr>
          <w:rFonts w:ascii="Century Schoolbook" w:hAnsi="Century Schoolbook"/>
        </w:rPr>
        <w:t xml:space="preserve">a </w:t>
      </w:r>
      <w:r w:rsidR="00B0439D">
        <w:rPr>
          <w:rFonts w:ascii="Century Schoolbook" w:hAnsi="Century Schoolbook"/>
        </w:rPr>
        <w:t>gunshot and saw Mitchell lying on the ground called 911.  Mitc</w:t>
      </w:r>
      <w:r w:rsidR="003D4693">
        <w:rPr>
          <w:rFonts w:ascii="Century Schoolbook" w:hAnsi="Century Schoolbook"/>
        </w:rPr>
        <w:t xml:space="preserve">hell was then transported to the hospital, where he died that night. </w:t>
      </w:r>
      <w:r>
        <w:rPr>
          <w:rFonts w:ascii="Century Schoolbook" w:hAnsi="Century Schoolbook"/>
        </w:rPr>
        <w:t xml:space="preserve"> </w:t>
      </w:r>
      <w:r w:rsidR="002502FE">
        <w:rPr>
          <w:rFonts w:ascii="Century Schoolbook" w:hAnsi="Century Schoolbook"/>
        </w:rPr>
        <w:t>Because n</w:t>
      </w:r>
      <w:r w:rsidR="00AC6E5F">
        <w:rPr>
          <w:rFonts w:ascii="Century Schoolbook" w:hAnsi="Century Schoolbook"/>
        </w:rPr>
        <w:t xml:space="preserve">o wallet or identification </w:t>
      </w:r>
      <w:r w:rsidR="002502FE">
        <w:rPr>
          <w:rFonts w:ascii="Century Schoolbook" w:hAnsi="Century Schoolbook"/>
        </w:rPr>
        <w:t xml:space="preserve">was found </w:t>
      </w:r>
      <w:r w:rsidR="00AC6E5F">
        <w:rPr>
          <w:rFonts w:ascii="Century Schoolbook" w:hAnsi="Century Schoolbook"/>
        </w:rPr>
        <w:t xml:space="preserve">near </w:t>
      </w:r>
      <w:r w:rsidR="002502FE">
        <w:rPr>
          <w:rFonts w:ascii="Century Schoolbook" w:hAnsi="Century Schoolbook"/>
        </w:rPr>
        <w:t>Mitchell</w:t>
      </w:r>
      <w:r w:rsidR="00AC6E5F">
        <w:rPr>
          <w:rFonts w:ascii="Century Schoolbook" w:hAnsi="Century Schoolbook"/>
        </w:rPr>
        <w:t xml:space="preserve"> when he was lying in the street, he was ultimately identified through the DMV database. </w:t>
      </w:r>
    </w:p>
    <w:p w14:paraId="7C7E3993" w14:textId="070363FB" w:rsidR="008C77C9" w:rsidRPr="00307460" w:rsidRDefault="00411EA0" w:rsidP="00411EA0">
      <w:pPr>
        <w:spacing w:line="360" w:lineRule="auto"/>
        <w:rPr>
          <w:rFonts w:ascii="Century Schoolbook" w:hAnsi="Century Schoolbook"/>
          <w:b/>
          <w:bCs/>
          <w:u w:val="single"/>
        </w:rPr>
      </w:pPr>
      <w:r w:rsidRPr="00307460">
        <w:rPr>
          <w:rFonts w:ascii="Century Schoolbook" w:hAnsi="Century Schoolbook"/>
          <w:b/>
          <w:bCs/>
        </w:rPr>
        <w:tab/>
      </w:r>
      <w:r w:rsidR="006729C7">
        <w:rPr>
          <w:rFonts w:ascii="Century Schoolbook" w:hAnsi="Century Schoolbook"/>
          <w:b/>
          <w:bCs/>
        </w:rPr>
        <w:t>B</w:t>
      </w:r>
      <w:r w:rsidR="008C77C9" w:rsidRPr="00307460">
        <w:rPr>
          <w:rFonts w:ascii="Century Schoolbook" w:hAnsi="Century Schoolbook"/>
          <w:b/>
          <w:bCs/>
        </w:rPr>
        <w:t>.</w:t>
      </w:r>
      <w:r w:rsidRPr="00307460">
        <w:rPr>
          <w:rFonts w:ascii="Century Schoolbook" w:hAnsi="Century Schoolbook"/>
          <w:b/>
          <w:bCs/>
        </w:rPr>
        <w:t xml:space="preserve"> </w:t>
      </w:r>
      <w:r w:rsidR="00FF3F91">
        <w:rPr>
          <w:rFonts w:ascii="Century Schoolbook" w:hAnsi="Century Schoolbook"/>
          <w:b/>
          <w:bCs/>
        </w:rPr>
        <w:t xml:space="preserve"> </w:t>
      </w:r>
      <w:r w:rsidR="006729C7">
        <w:rPr>
          <w:rFonts w:ascii="Century Schoolbook" w:hAnsi="Century Schoolbook"/>
          <w:b/>
          <w:bCs/>
          <w:u w:val="single"/>
        </w:rPr>
        <w:t>Procedural Background</w:t>
      </w:r>
    </w:p>
    <w:p w14:paraId="62401470" w14:textId="227C1781" w:rsidR="00E40E6B" w:rsidRDefault="00E53E34" w:rsidP="00F26B78">
      <w:pPr>
        <w:spacing w:line="360" w:lineRule="auto"/>
        <w:rPr>
          <w:rFonts w:ascii="Century Schoolbook" w:hAnsi="Century Schoolbook"/>
          <w:bCs/>
        </w:rPr>
      </w:pPr>
      <w:r>
        <w:rPr>
          <w:rFonts w:ascii="Century Schoolbook" w:hAnsi="Century Schoolbook"/>
        </w:rPr>
        <w:tab/>
      </w:r>
      <w:r w:rsidR="00F26B78">
        <w:rPr>
          <w:rFonts w:ascii="Century Schoolbook" w:hAnsi="Century Schoolbook"/>
        </w:rPr>
        <w:t>T</w:t>
      </w:r>
      <w:r>
        <w:rPr>
          <w:rFonts w:ascii="Century Schoolbook" w:hAnsi="Century Schoolbook"/>
        </w:rPr>
        <w:t xml:space="preserve">he </w:t>
      </w:r>
      <w:r w:rsidR="00207F98">
        <w:rPr>
          <w:rFonts w:ascii="Century Schoolbook" w:hAnsi="Century Schoolbook"/>
        </w:rPr>
        <w:t>Solano</w:t>
      </w:r>
      <w:r>
        <w:rPr>
          <w:rFonts w:ascii="Century Schoolbook" w:hAnsi="Century Schoolbook"/>
        </w:rPr>
        <w:t xml:space="preserve"> County District Attorney charged appellant </w:t>
      </w:r>
      <w:r w:rsidR="00F26B78">
        <w:rPr>
          <w:rFonts w:ascii="Century Schoolbook" w:hAnsi="Century Schoolbook"/>
        </w:rPr>
        <w:t xml:space="preserve">by information </w:t>
      </w:r>
      <w:r>
        <w:rPr>
          <w:rFonts w:ascii="Century Schoolbook" w:hAnsi="Century Schoolbook"/>
        </w:rPr>
        <w:t xml:space="preserve">with </w:t>
      </w:r>
      <w:r w:rsidR="00207F98">
        <w:rPr>
          <w:rFonts w:ascii="Century Schoolbook" w:hAnsi="Century Schoolbook"/>
        </w:rPr>
        <w:t>two counts:</w:t>
      </w:r>
      <w:r w:rsidR="004B18FB">
        <w:rPr>
          <w:rFonts w:ascii="Century Schoolbook" w:hAnsi="Century Schoolbook"/>
        </w:rPr>
        <w:t xml:space="preserve"> </w:t>
      </w:r>
      <w:r w:rsidR="00207F98">
        <w:rPr>
          <w:rFonts w:ascii="Century Schoolbook" w:hAnsi="Century Schoolbook"/>
        </w:rPr>
        <w:t xml:space="preserve"> (1) first degree murder (</w:t>
      </w:r>
      <w:r w:rsidR="00207F98" w:rsidRPr="00307460">
        <w:rPr>
          <w:rFonts w:ascii="Century Schoolbook" w:hAnsi="Century Schoolbook"/>
          <w:bCs/>
        </w:rPr>
        <w:t>§</w:t>
      </w:r>
      <w:r w:rsidR="00207F98">
        <w:rPr>
          <w:rFonts w:ascii="Century Schoolbook" w:hAnsi="Century Schoolbook"/>
          <w:bCs/>
        </w:rPr>
        <w:t xml:space="preserve"> 187, subd. (a)), with an allegation of personal use of a firearm causing death (</w:t>
      </w:r>
      <w:r w:rsidR="00207F98" w:rsidRPr="00307460">
        <w:rPr>
          <w:rFonts w:ascii="Century Schoolbook" w:hAnsi="Century Schoolbook"/>
          <w:bCs/>
        </w:rPr>
        <w:t>§</w:t>
      </w:r>
      <w:r w:rsidR="00207F98">
        <w:rPr>
          <w:rFonts w:ascii="Century Schoolbook" w:hAnsi="Century Schoolbook"/>
          <w:bCs/>
        </w:rPr>
        <w:t xml:space="preserve"> 12022.53, subd. (d)); and (2) being a felon in possession of a firearm (</w:t>
      </w:r>
      <w:r w:rsidR="00207F98" w:rsidRPr="00307460">
        <w:rPr>
          <w:rFonts w:ascii="Century Schoolbook" w:hAnsi="Century Schoolbook"/>
          <w:bCs/>
        </w:rPr>
        <w:t>§</w:t>
      </w:r>
      <w:r w:rsidR="00207F98">
        <w:rPr>
          <w:rFonts w:ascii="Century Schoolbook" w:hAnsi="Century Schoolbook"/>
          <w:bCs/>
        </w:rPr>
        <w:t xml:space="preserve"> 29800, subd. (a)(1)). </w:t>
      </w:r>
      <w:r w:rsidR="00B624CC">
        <w:rPr>
          <w:rFonts w:ascii="Century Schoolbook" w:hAnsi="Century Schoolbook"/>
          <w:bCs/>
        </w:rPr>
        <w:t xml:space="preserve"> </w:t>
      </w:r>
      <w:r w:rsidR="00207F98">
        <w:rPr>
          <w:rFonts w:ascii="Century Schoolbook" w:hAnsi="Century Schoolbook"/>
          <w:bCs/>
        </w:rPr>
        <w:t>The information further alleged that in December of 2009, appellant had suffered a conviction for second degree robbery (</w:t>
      </w:r>
      <w:r w:rsidR="00207F98" w:rsidRPr="00307460">
        <w:rPr>
          <w:rFonts w:ascii="Century Schoolbook" w:hAnsi="Century Schoolbook"/>
          <w:bCs/>
        </w:rPr>
        <w:t>§</w:t>
      </w:r>
      <w:r w:rsidR="00207F98">
        <w:rPr>
          <w:rFonts w:ascii="Century Schoolbook" w:hAnsi="Century Schoolbook"/>
          <w:bCs/>
        </w:rPr>
        <w:t xml:space="preserve"> 212.5, subd. (c)), a prior serious felony for the purposes of sentencing under section 1170.12, subdivision (a).</w:t>
      </w:r>
      <w:r w:rsidR="00B624CC">
        <w:rPr>
          <w:rFonts w:ascii="Century Schoolbook" w:hAnsi="Century Schoolbook"/>
          <w:bCs/>
        </w:rPr>
        <w:t xml:space="preserve"> </w:t>
      </w:r>
    </w:p>
    <w:p w14:paraId="13499BEE" w14:textId="78EBC3AE" w:rsidR="00FE09E4" w:rsidRPr="00090FCC" w:rsidRDefault="00B624CC" w:rsidP="00F26B78">
      <w:pPr>
        <w:spacing w:line="360" w:lineRule="auto"/>
        <w:rPr>
          <w:rFonts w:ascii="Century Schoolbook" w:hAnsi="Century Schoolbook"/>
          <w:bCs/>
        </w:rPr>
      </w:pPr>
      <w:r>
        <w:rPr>
          <w:rFonts w:ascii="Century Schoolbook" w:hAnsi="Century Schoolbook"/>
          <w:bCs/>
        </w:rPr>
        <w:tab/>
        <w:t xml:space="preserve">The first part of the bifurcated trial concerned Counts 1 </w:t>
      </w:r>
      <w:r w:rsidR="000C0C78">
        <w:rPr>
          <w:rFonts w:ascii="Century Schoolbook" w:hAnsi="Century Schoolbook"/>
          <w:bCs/>
        </w:rPr>
        <w:t>through</w:t>
      </w:r>
      <w:r>
        <w:rPr>
          <w:rFonts w:ascii="Century Schoolbook" w:hAnsi="Century Schoolbook"/>
          <w:bCs/>
        </w:rPr>
        <w:t xml:space="preserve"> 2 and the</w:t>
      </w:r>
      <w:r w:rsidR="000C0C78">
        <w:rPr>
          <w:rFonts w:ascii="Century Schoolbook" w:hAnsi="Century Schoolbook"/>
          <w:bCs/>
        </w:rPr>
        <w:t xml:space="preserve"> firearm</w:t>
      </w:r>
      <w:r>
        <w:rPr>
          <w:rFonts w:ascii="Century Schoolbook" w:hAnsi="Century Schoolbook"/>
          <w:bCs/>
        </w:rPr>
        <w:t xml:space="preserve"> allegation, leaving the matter of appellant’s prior serious felony conviction for t</w:t>
      </w:r>
      <w:r w:rsidRPr="00090FCC">
        <w:rPr>
          <w:rFonts w:ascii="Century Schoolbook" w:hAnsi="Century Schoolbook"/>
          <w:bCs/>
        </w:rPr>
        <w:t xml:space="preserve">he second part.  </w:t>
      </w:r>
      <w:r w:rsidR="00D82DED" w:rsidRPr="00090FCC">
        <w:rPr>
          <w:rFonts w:ascii="Century Schoolbook" w:hAnsi="Century Schoolbook"/>
          <w:bCs/>
        </w:rPr>
        <w:t xml:space="preserve">During the presentation of evidence, the People called </w:t>
      </w:r>
      <w:r w:rsidR="00D82DED" w:rsidRPr="00AD0DD5">
        <w:rPr>
          <w:rFonts w:ascii="Century Schoolbook" w:hAnsi="Century Schoolbook"/>
          <w:bCs/>
        </w:rPr>
        <w:t>Santa Clara Police Lieutenant Nicholas Richards,</w:t>
      </w:r>
      <w:r w:rsidR="00FE09E4" w:rsidRPr="00AD0DD5">
        <w:rPr>
          <w:rFonts w:ascii="Century Schoolbook" w:hAnsi="Century Schoolbook"/>
          <w:bCs/>
        </w:rPr>
        <w:t xml:space="preserve"> who had arrested appellant in connection with a separate crime committed in Santa Clara</w:t>
      </w:r>
      <w:r w:rsidR="00E40E6B" w:rsidRPr="00AD0DD5">
        <w:rPr>
          <w:rFonts w:ascii="Century Schoolbook" w:hAnsi="Century Schoolbook"/>
          <w:bCs/>
        </w:rPr>
        <w:t>, and had then seized</w:t>
      </w:r>
      <w:r w:rsidR="00FE09E4" w:rsidRPr="00AD0DD5">
        <w:rPr>
          <w:rFonts w:ascii="Century Schoolbook" w:hAnsi="Century Schoolbook"/>
          <w:bCs/>
        </w:rPr>
        <w:t xml:space="preserve"> evidence relevant to the incident underlying the </w:t>
      </w:r>
      <w:r w:rsidR="00FE09E4" w:rsidRPr="00AD0DD5">
        <w:rPr>
          <w:rFonts w:ascii="Century Schoolbook" w:hAnsi="Century Schoolbook"/>
          <w:bCs/>
        </w:rPr>
        <w:lastRenderedPageBreak/>
        <w:t>Solano County murder charge.</w:t>
      </w:r>
      <w:r w:rsidR="00FE09E4" w:rsidRPr="00090FCC">
        <w:rPr>
          <w:rFonts w:ascii="Century Schoolbook" w:hAnsi="Century Schoolbook"/>
          <w:bCs/>
        </w:rPr>
        <w:t xml:space="preserve">  In the course of his testimony, Richards discussed a “similar” shooting in Vallejo involving appellant, notwithstanding </w:t>
      </w:r>
      <w:r w:rsidR="00FE09E4" w:rsidRPr="00AD0DD5">
        <w:rPr>
          <w:rFonts w:ascii="Century Schoolbook" w:hAnsi="Century Schoolbook"/>
          <w:bCs/>
        </w:rPr>
        <w:t xml:space="preserve">the trial court’s ruling </w:t>
      </w:r>
      <w:r w:rsidR="00FE09E4" w:rsidRPr="00AD0DD5">
        <w:rPr>
          <w:rFonts w:ascii="Century Schoolbook" w:hAnsi="Century Schoolbook"/>
          <w:bCs/>
          <w:i/>
          <w:iCs/>
        </w:rPr>
        <w:t>in limine</w:t>
      </w:r>
      <w:r w:rsidR="00FE09E4" w:rsidRPr="00AD0DD5">
        <w:rPr>
          <w:rFonts w:ascii="Century Schoolbook" w:hAnsi="Century Schoolbook"/>
          <w:bCs/>
        </w:rPr>
        <w:t xml:space="preserve"> that Richards was not </w:t>
      </w:r>
      <w:r w:rsidR="00E40E6B" w:rsidRPr="00AD0DD5">
        <w:rPr>
          <w:rFonts w:ascii="Century Schoolbook" w:hAnsi="Century Schoolbook"/>
          <w:bCs/>
        </w:rPr>
        <w:t>to testify to “[h]ow and why he developed” his lead concerning the Vallejo incident.</w:t>
      </w:r>
      <w:r w:rsidR="00E40E6B" w:rsidRPr="00090FCC">
        <w:rPr>
          <w:rFonts w:ascii="Century Schoolbook" w:hAnsi="Century Schoolbook"/>
          <w:bCs/>
        </w:rPr>
        <w:t xml:space="preserve">  The trial court sustained defense counsel’s objections to that testimony and had it </w:t>
      </w:r>
      <w:r w:rsidR="00E40E6B" w:rsidRPr="00AD0DD5">
        <w:rPr>
          <w:rFonts w:ascii="Century Schoolbook" w:hAnsi="Century Schoolbook"/>
          <w:bCs/>
        </w:rPr>
        <w:t>stricken from the record, but declined to declare a mistrial.</w:t>
      </w:r>
      <w:r w:rsidR="00E40E6B" w:rsidRPr="00090FCC">
        <w:rPr>
          <w:rFonts w:ascii="Century Schoolbook" w:hAnsi="Century Schoolbook"/>
          <w:bCs/>
        </w:rPr>
        <w:t xml:space="preserve"> </w:t>
      </w:r>
    </w:p>
    <w:p w14:paraId="27B12C02" w14:textId="43812741" w:rsidR="00207F98" w:rsidRPr="00090FCC" w:rsidRDefault="00E40E6B" w:rsidP="00F26B78">
      <w:pPr>
        <w:spacing w:line="360" w:lineRule="auto"/>
        <w:rPr>
          <w:rFonts w:ascii="Century Schoolbook" w:hAnsi="Century Schoolbook"/>
          <w:bCs/>
        </w:rPr>
      </w:pPr>
      <w:r w:rsidRPr="00090FCC">
        <w:rPr>
          <w:rFonts w:ascii="Century Schoolbook" w:hAnsi="Century Schoolbook"/>
          <w:bCs/>
        </w:rPr>
        <w:tab/>
      </w:r>
      <w:r w:rsidR="00707F6B" w:rsidRPr="00090FCC">
        <w:rPr>
          <w:rFonts w:ascii="Century Schoolbook" w:hAnsi="Century Schoolbook"/>
          <w:bCs/>
        </w:rPr>
        <w:t>T</w:t>
      </w:r>
      <w:r w:rsidR="00E46D47" w:rsidRPr="00090FCC">
        <w:rPr>
          <w:rFonts w:ascii="Century Schoolbook" w:hAnsi="Century Schoolbook"/>
          <w:bCs/>
        </w:rPr>
        <w:t>he trial court instructed the jury with the Judicial Council’s Criminal Jury Instructions (</w:t>
      </w:r>
      <w:r w:rsidR="00E46D47" w:rsidRPr="00AD0DD5">
        <w:rPr>
          <w:rFonts w:ascii="Century Schoolbook" w:hAnsi="Century Schoolbook"/>
          <w:bCs/>
        </w:rPr>
        <w:t>CALCRIM) Nos. 224 and 370, i</w:t>
      </w:r>
      <w:r w:rsidR="00E46D47" w:rsidRPr="00090FCC">
        <w:rPr>
          <w:rFonts w:ascii="Century Schoolbook" w:hAnsi="Century Schoolbook"/>
          <w:bCs/>
        </w:rPr>
        <w:t xml:space="preserve">nter alia. </w:t>
      </w:r>
      <w:r w:rsidR="001A66EE" w:rsidRPr="00090FCC">
        <w:rPr>
          <w:rFonts w:ascii="Century Schoolbook" w:hAnsi="Century Schoolbook"/>
          <w:bCs/>
        </w:rPr>
        <w:t xml:space="preserve"> The former explains the </w:t>
      </w:r>
      <w:r w:rsidR="001A66EE" w:rsidRPr="00AD0DD5">
        <w:rPr>
          <w:rFonts w:ascii="Century Schoolbook" w:hAnsi="Century Schoolbook"/>
          <w:bCs/>
        </w:rPr>
        <w:t>relationship between the juror’s reliance on circumstantial evidence and the prosecution’s burden of proof beyond a reasonable doubt,</w:t>
      </w:r>
      <w:r w:rsidR="001A66EE" w:rsidRPr="00090FCC">
        <w:rPr>
          <w:rFonts w:ascii="Century Schoolbook" w:hAnsi="Century Schoolbook"/>
          <w:bCs/>
        </w:rPr>
        <w:t xml:space="preserve"> while the latter notes that the </w:t>
      </w:r>
      <w:r w:rsidR="001A66EE" w:rsidRPr="00AD0DD5">
        <w:rPr>
          <w:rFonts w:ascii="Century Schoolbook" w:hAnsi="Century Schoolbook"/>
          <w:bCs/>
        </w:rPr>
        <w:t>People have no burden “to prove that the defendant had a motive</w:t>
      </w:r>
      <w:r w:rsidR="001A66EE" w:rsidRPr="00090FCC">
        <w:rPr>
          <w:rFonts w:ascii="Century Schoolbook" w:hAnsi="Century Schoolbook"/>
          <w:bCs/>
        </w:rPr>
        <w:t xml:space="preserve"> to commit any of the crimes charged.”  </w:t>
      </w:r>
      <w:r w:rsidR="00393BB3" w:rsidRPr="00090FCC">
        <w:rPr>
          <w:rFonts w:ascii="Century Schoolbook" w:hAnsi="Century Schoolbook"/>
          <w:bCs/>
        </w:rPr>
        <w:t xml:space="preserve">Having been so instructed, the jury found appellant guilty </w:t>
      </w:r>
      <w:r w:rsidR="00DC34EC" w:rsidRPr="00090FCC">
        <w:rPr>
          <w:rFonts w:ascii="Century Schoolbook" w:hAnsi="Century Schoolbook"/>
          <w:bCs/>
        </w:rPr>
        <w:t>of first degree murder and found true the attendant personal-use-of-a-firearm allegation, as well as convicting appellant of being a felon in possession of a firearm</w:t>
      </w:r>
      <w:r w:rsidR="00393BB3" w:rsidRPr="00090FCC">
        <w:rPr>
          <w:rFonts w:ascii="Century Schoolbook" w:hAnsi="Century Schoolbook"/>
          <w:bCs/>
        </w:rPr>
        <w:t xml:space="preserve">.  </w:t>
      </w:r>
    </w:p>
    <w:p w14:paraId="4DE152FB" w14:textId="25894762" w:rsidR="00322B06" w:rsidRPr="00090FCC" w:rsidRDefault="00393BB3" w:rsidP="002F504A">
      <w:pPr>
        <w:spacing w:line="360" w:lineRule="auto"/>
        <w:rPr>
          <w:rFonts w:ascii="Century Schoolbook" w:hAnsi="Century Schoolbook"/>
        </w:rPr>
      </w:pPr>
      <w:r w:rsidRPr="00090FCC">
        <w:rPr>
          <w:rFonts w:ascii="Century Schoolbook" w:hAnsi="Century Schoolbook"/>
        </w:rPr>
        <w:tab/>
      </w:r>
      <w:r w:rsidR="00701159" w:rsidRPr="00090FCC">
        <w:rPr>
          <w:rFonts w:ascii="Century Schoolbook" w:hAnsi="Century Schoolbook"/>
        </w:rPr>
        <w:t xml:space="preserve">On March 17, 2021, during proceedings that resumed at 10:10 a.m., the trial court </w:t>
      </w:r>
      <w:r w:rsidR="005B6258" w:rsidRPr="00090FCC">
        <w:rPr>
          <w:rFonts w:ascii="Century Schoolbook" w:hAnsi="Century Schoolbook"/>
        </w:rPr>
        <w:t>instruct</w:t>
      </w:r>
      <w:r w:rsidR="00701159" w:rsidRPr="00090FCC">
        <w:rPr>
          <w:rFonts w:ascii="Century Schoolbook" w:hAnsi="Century Schoolbook"/>
        </w:rPr>
        <w:t>ed</w:t>
      </w:r>
      <w:r w:rsidR="005B6258" w:rsidRPr="00090FCC">
        <w:rPr>
          <w:rFonts w:ascii="Century Schoolbook" w:hAnsi="Century Schoolbook"/>
        </w:rPr>
        <w:t xml:space="preserve"> the clerk to record the verdicts</w:t>
      </w:r>
      <w:r w:rsidR="00701159" w:rsidRPr="00090FCC">
        <w:rPr>
          <w:rFonts w:ascii="Century Schoolbook" w:hAnsi="Century Schoolbook"/>
        </w:rPr>
        <w:t xml:space="preserve"> and</w:t>
      </w:r>
      <w:r w:rsidR="005B6258" w:rsidRPr="00090FCC">
        <w:rPr>
          <w:rFonts w:ascii="Century Schoolbook" w:hAnsi="Century Schoolbook"/>
        </w:rPr>
        <w:t xml:space="preserve"> discharged the jury</w:t>
      </w:r>
      <w:r w:rsidR="00701159" w:rsidRPr="00090FCC">
        <w:rPr>
          <w:rFonts w:ascii="Century Schoolbook" w:hAnsi="Century Schoolbook"/>
        </w:rPr>
        <w:t xml:space="preserve">. </w:t>
      </w:r>
      <w:r w:rsidR="005B6258" w:rsidRPr="00090FCC">
        <w:rPr>
          <w:rFonts w:ascii="Century Schoolbook" w:hAnsi="Century Schoolbook"/>
        </w:rPr>
        <w:t xml:space="preserve"> </w:t>
      </w:r>
      <w:r w:rsidR="00701159" w:rsidRPr="00090FCC">
        <w:rPr>
          <w:rFonts w:ascii="Century Schoolbook" w:hAnsi="Century Schoolbook"/>
        </w:rPr>
        <w:t xml:space="preserve">In so doing, the court expressly </w:t>
      </w:r>
      <w:r w:rsidR="005B6258" w:rsidRPr="00090FCC">
        <w:rPr>
          <w:rFonts w:ascii="Century Schoolbook" w:hAnsi="Century Schoolbook"/>
        </w:rPr>
        <w:t>releas</w:t>
      </w:r>
      <w:r w:rsidR="00701159" w:rsidRPr="00090FCC">
        <w:rPr>
          <w:rFonts w:ascii="Century Schoolbook" w:hAnsi="Century Schoolbook"/>
        </w:rPr>
        <w:t>ed</w:t>
      </w:r>
      <w:r w:rsidR="005B6258" w:rsidRPr="00090FCC">
        <w:rPr>
          <w:rFonts w:ascii="Century Schoolbook" w:hAnsi="Century Schoolbook"/>
        </w:rPr>
        <w:t xml:space="preserve"> the jurors from their obligation not to discuss the case with anyone else and inform</w:t>
      </w:r>
      <w:r w:rsidR="00701159" w:rsidRPr="00090FCC">
        <w:rPr>
          <w:rFonts w:ascii="Century Schoolbook" w:hAnsi="Century Schoolbook"/>
        </w:rPr>
        <w:t>ed</w:t>
      </w:r>
      <w:r w:rsidR="005B6258" w:rsidRPr="00090FCC">
        <w:rPr>
          <w:rFonts w:ascii="Century Schoolbook" w:hAnsi="Century Schoolbook"/>
        </w:rPr>
        <w:t xml:space="preserve"> them that they were “all excused from jury duty.”  There followed a pause in the proceedings, after which the prosecutor informed the court that the matter of the prior serious felony conviction remained to be tried.  Upon </w:t>
      </w:r>
      <w:r w:rsidR="00701159" w:rsidRPr="00090FCC">
        <w:rPr>
          <w:rFonts w:ascii="Century Schoolbook" w:hAnsi="Century Schoolbook"/>
        </w:rPr>
        <w:t xml:space="preserve">hearing this, the trial court asked the bailiff to “tell the jurors to wait” and “[t]ell them they’re not excused yet.” </w:t>
      </w:r>
      <w:r w:rsidR="00322B06" w:rsidRPr="00090FCC">
        <w:rPr>
          <w:rFonts w:ascii="Century Schoolbook" w:hAnsi="Century Schoolbook"/>
        </w:rPr>
        <w:t xml:space="preserve"> </w:t>
      </w:r>
      <w:r w:rsidR="002F504A" w:rsidRPr="00090FCC">
        <w:rPr>
          <w:rFonts w:ascii="Century Schoolbook" w:hAnsi="Century Schoolbook"/>
        </w:rPr>
        <w:t>Several more pauses intervened before</w:t>
      </w:r>
      <w:r w:rsidR="00F4682F" w:rsidRPr="00090FCC">
        <w:rPr>
          <w:rFonts w:ascii="Century Schoolbook" w:hAnsi="Century Schoolbook"/>
        </w:rPr>
        <w:t xml:space="preserve"> </w:t>
      </w:r>
      <w:r w:rsidR="00F4682F" w:rsidRPr="00AD0DD5">
        <w:rPr>
          <w:rFonts w:ascii="Century Schoolbook" w:hAnsi="Century Schoolbook"/>
        </w:rPr>
        <w:t>proceedings resumed at 2:05 p.m. and the trial court welcomed the jurors back.</w:t>
      </w:r>
      <w:r w:rsidR="00F4682F" w:rsidRPr="00090FCC">
        <w:rPr>
          <w:rFonts w:ascii="Century Schoolbook" w:hAnsi="Century Schoolbook"/>
        </w:rPr>
        <w:t xml:space="preserve"> </w:t>
      </w:r>
    </w:p>
    <w:p w14:paraId="63BB67D4" w14:textId="77777777" w:rsidR="003907E7" w:rsidRDefault="00322B06" w:rsidP="002F504A">
      <w:pPr>
        <w:spacing w:line="360" w:lineRule="auto"/>
        <w:rPr>
          <w:rFonts w:ascii="Century Schoolbook" w:hAnsi="Century Schoolbook"/>
        </w:rPr>
      </w:pPr>
      <w:r w:rsidRPr="00090FCC">
        <w:rPr>
          <w:rFonts w:ascii="Century Schoolbook" w:hAnsi="Century Schoolbook"/>
        </w:rPr>
        <w:tab/>
        <w:t xml:space="preserve">At the conclusion of the second part of appellant’s bifurcated trial, the jury found that he had been convicted of second degree robbery </w:t>
      </w:r>
    </w:p>
    <w:p w14:paraId="191F59DC" w14:textId="566B0C15" w:rsidR="00F4682F" w:rsidRPr="00090FCC" w:rsidRDefault="00322B06" w:rsidP="002F504A">
      <w:pPr>
        <w:spacing w:line="360" w:lineRule="auto"/>
        <w:rPr>
          <w:rFonts w:ascii="Century Schoolbook" w:hAnsi="Century Schoolbook"/>
          <w:bCs/>
        </w:rPr>
      </w:pPr>
      <w:r w:rsidRPr="00090FCC">
        <w:rPr>
          <w:rFonts w:ascii="Century Schoolbook" w:hAnsi="Century Schoolbook"/>
        </w:rPr>
        <w:lastRenderedPageBreak/>
        <w:t>(</w:t>
      </w:r>
      <w:r w:rsidRPr="00090FCC">
        <w:rPr>
          <w:rFonts w:ascii="Century Schoolbook" w:hAnsi="Century Schoolbook"/>
          <w:bCs/>
        </w:rPr>
        <w:t xml:space="preserve">§ 212.5, subd. (c)) in Santa Clara County Superior Court on or about December 22, 2009. </w:t>
      </w:r>
    </w:p>
    <w:p w14:paraId="387E5163" w14:textId="28687266" w:rsidR="00322B06" w:rsidRPr="00090FCC" w:rsidRDefault="00322B06" w:rsidP="002F504A">
      <w:pPr>
        <w:spacing w:line="360" w:lineRule="auto"/>
        <w:rPr>
          <w:rFonts w:ascii="Century Schoolbook" w:hAnsi="Century Schoolbook"/>
        </w:rPr>
      </w:pPr>
      <w:r w:rsidRPr="00090FCC">
        <w:rPr>
          <w:rFonts w:ascii="Century Schoolbook" w:hAnsi="Century Schoolbook"/>
          <w:bCs/>
        </w:rPr>
        <w:tab/>
        <w:t>This appeal followed.</w:t>
      </w:r>
    </w:p>
    <w:p w14:paraId="74114641" w14:textId="281F3DEC" w:rsidR="00C1723E" w:rsidRPr="00090FCC" w:rsidRDefault="00411EA0" w:rsidP="004A64A9">
      <w:pPr>
        <w:pStyle w:val="ListParagraph"/>
        <w:spacing w:line="360" w:lineRule="auto"/>
        <w:ind w:left="360"/>
        <w:jc w:val="center"/>
        <w:rPr>
          <w:rFonts w:ascii="Century Schoolbook" w:hAnsi="Century Schoolbook"/>
          <w:b/>
          <w:u w:val="single"/>
        </w:rPr>
      </w:pPr>
      <w:r w:rsidRPr="00090FCC">
        <w:rPr>
          <w:rFonts w:ascii="Century Schoolbook" w:hAnsi="Century Schoolbook"/>
          <w:b/>
        </w:rPr>
        <w:t xml:space="preserve">II. </w:t>
      </w:r>
      <w:r w:rsidR="00FF3F91">
        <w:rPr>
          <w:rFonts w:ascii="Century Schoolbook" w:hAnsi="Century Schoolbook"/>
          <w:b/>
        </w:rPr>
        <w:t xml:space="preserve"> </w:t>
      </w:r>
      <w:r w:rsidR="00C1723E" w:rsidRPr="00090FCC">
        <w:rPr>
          <w:rFonts w:ascii="Century Schoolbook" w:hAnsi="Century Schoolbook"/>
          <w:b/>
          <w:u w:val="single"/>
        </w:rPr>
        <w:t>DISCUSSION</w:t>
      </w:r>
    </w:p>
    <w:p w14:paraId="225087F6" w14:textId="519740E1" w:rsidR="00B617B3" w:rsidRPr="00090FCC" w:rsidRDefault="00411EA0" w:rsidP="00411EA0">
      <w:pPr>
        <w:spacing w:line="360" w:lineRule="auto"/>
        <w:rPr>
          <w:rFonts w:ascii="Century Schoolbook" w:hAnsi="Century Schoolbook"/>
          <w:b/>
          <w:bCs/>
        </w:rPr>
      </w:pPr>
      <w:r w:rsidRPr="00090FCC">
        <w:rPr>
          <w:rFonts w:ascii="Century Schoolbook" w:hAnsi="Century Schoolbook"/>
          <w:b/>
          <w:bCs/>
        </w:rPr>
        <w:tab/>
        <w:t>A</w:t>
      </w:r>
      <w:r w:rsidR="00B617B3" w:rsidRPr="00090FCC">
        <w:rPr>
          <w:rFonts w:ascii="Century Schoolbook" w:hAnsi="Century Schoolbook"/>
          <w:b/>
          <w:bCs/>
        </w:rPr>
        <w:t>.</w:t>
      </w:r>
      <w:r w:rsidRPr="00090FCC">
        <w:rPr>
          <w:rFonts w:ascii="Century Schoolbook" w:hAnsi="Century Schoolbook"/>
          <w:b/>
          <w:bCs/>
        </w:rPr>
        <w:t xml:space="preserve"> </w:t>
      </w:r>
      <w:r w:rsidR="00FF3F91">
        <w:rPr>
          <w:rFonts w:ascii="Century Schoolbook" w:hAnsi="Century Schoolbook"/>
          <w:b/>
          <w:bCs/>
        </w:rPr>
        <w:t xml:space="preserve"> </w:t>
      </w:r>
      <w:r w:rsidR="00040602" w:rsidRPr="00AD0DD5">
        <w:rPr>
          <w:rFonts w:ascii="Century Schoolbook" w:hAnsi="Century Schoolbook"/>
          <w:b/>
          <w:bCs/>
          <w:u w:val="single"/>
        </w:rPr>
        <w:t>Alleged Instructional Error as to Evidence of Motive</w:t>
      </w:r>
    </w:p>
    <w:p w14:paraId="214439D8" w14:textId="55C75A80" w:rsidR="00C5272A" w:rsidRPr="00090FCC" w:rsidRDefault="00D923CB" w:rsidP="00F83EE1">
      <w:pPr>
        <w:spacing w:line="360" w:lineRule="auto"/>
        <w:rPr>
          <w:rFonts w:ascii="Century Schoolbook" w:hAnsi="Century Schoolbook"/>
          <w:bCs/>
        </w:rPr>
      </w:pPr>
      <w:r w:rsidRPr="00090FCC">
        <w:rPr>
          <w:rFonts w:ascii="Century Schoolbook" w:hAnsi="Century Schoolbook"/>
          <w:b/>
        </w:rPr>
        <w:tab/>
      </w:r>
      <w:bookmarkStart w:id="0" w:name="_Hlk131089285"/>
      <w:r w:rsidRPr="00090FCC">
        <w:rPr>
          <w:rFonts w:ascii="Century Schoolbook" w:hAnsi="Century Schoolbook"/>
          <w:bCs/>
        </w:rPr>
        <w:t xml:space="preserve">Appellant argues that </w:t>
      </w:r>
      <w:r w:rsidR="00780AE8" w:rsidRPr="00090FCC">
        <w:rPr>
          <w:rFonts w:ascii="Century Schoolbook" w:hAnsi="Century Schoolbook"/>
          <w:bCs/>
        </w:rPr>
        <w:t xml:space="preserve">the trial court erred by instructing the jury with both CALCRIM Nos. 224 and 370.  </w:t>
      </w:r>
      <w:r w:rsidR="00C5272A" w:rsidRPr="00090FCC">
        <w:rPr>
          <w:rFonts w:ascii="Century Schoolbook" w:hAnsi="Century Schoolbook"/>
          <w:bCs/>
        </w:rPr>
        <w:t xml:space="preserve">Specifically, he </w:t>
      </w:r>
      <w:r w:rsidR="00F83EE1" w:rsidRPr="00090FCC">
        <w:rPr>
          <w:rFonts w:ascii="Century Schoolbook" w:hAnsi="Century Schoolbook"/>
          <w:bCs/>
        </w:rPr>
        <w:t>contend</w:t>
      </w:r>
      <w:r w:rsidR="00C5272A" w:rsidRPr="00090FCC">
        <w:rPr>
          <w:rFonts w:ascii="Century Schoolbook" w:hAnsi="Century Schoolbook"/>
          <w:bCs/>
        </w:rPr>
        <w:t xml:space="preserve">s that </w:t>
      </w:r>
      <w:r w:rsidR="00F83EE1" w:rsidRPr="00090FCC">
        <w:rPr>
          <w:rFonts w:ascii="Century Schoolbook" w:hAnsi="Century Schoolbook"/>
          <w:bCs/>
        </w:rPr>
        <w:t>“when motive is a circumstantial fact which” jurors “may, with</w:t>
      </w:r>
      <w:r w:rsidR="00D55034">
        <w:rPr>
          <w:rFonts w:ascii="Century Schoolbook" w:hAnsi="Century Schoolbook"/>
          <w:bCs/>
        </w:rPr>
        <w:t xml:space="preserve"> a</w:t>
      </w:r>
      <w:r w:rsidR="00F83EE1" w:rsidRPr="00090FCC">
        <w:rPr>
          <w:rFonts w:ascii="Century Schoolbook" w:hAnsi="Century Schoolbook"/>
          <w:bCs/>
        </w:rPr>
        <w:t xml:space="preserve"> realistic possibility,” deem a fact necessary to find the defendant guilty, employing both jury instructions erroneously “encroaches on the jury’s freedom to assign the appropriate weight to be given to motive evidence, and thereby may lighten the prosecution’s burden of proof.”  </w:t>
      </w:r>
      <w:r w:rsidR="00780AE8" w:rsidRPr="00090FCC">
        <w:rPr>
          <w:rFonts w:ascii="Century Schoolbook" w:hAnsi="Century Schoolbook"/>
          <w:bCs/>
        </w:rPr>
        <w:t>We disagree.</w:t>
      </w:r>
    </w:p>
    <w:p w14:paraId="2420F63A" w14:textId="062255BA" w:rsidR="001A66EE" w:rsidRPr="00090FCC" w:rsidRDefault="00F83EE1" w:rsidP="00F83EE1">
      <w:pPr>
        <w:spacing w:line="360" w:lineRule="auto"/>
        <w:rPr>
          <w:rFonts w:ascii="Century Schoolbook" w:hAnsi="Century Schoolbook"/>
          <w:bCs/>
        </w:rPr>
      </w:pPr>
      <w:r w:rsidRPr="00090FCC">
        <w:rPr>
          <w:rFonts w:ascii="Century Schoolbook" w:hAnsi="Century Schoolbook"/>
          <w:bCs/>
        </w:rPr>
        <w:tab/>
      </w:r>
      <w:r w:rsidR="001A66EE" w:rsidRPr="00090FCC">
        <w:rPr>
          <w:rFonts w:ascii="Century Schoolbook" w:hAnsi="Century Schoolbook"/>
          <w:bCs/>
        </w:rPr>
        <w:t>“The test” for instructional error “is whether there is a reasonable likelihood that the jury understood the instruction in a manner that violated the defendant’s rights.”  (</w:t>
      </w:r>
      <w:r w:rsidR="001A66EE" w:rsidRPr="00090FCC">
        <w:rPr>
          <w:rFonts w:ascii="Century Schoolbook" w:hAnsi="Century Schoolbook"/>
          <w:bCs/>
          <w:i/>
          <w:iCs/>
        </w:rPr>
        <w:t>People v. Andrade</w:t>
      </w:r>
      <w:r w:rsidR="001A66EE" w:rsidRPr="00090FCC">
        <w:rPr>
          <w:rFonts w:ascii="Century Schoolbook" w:hAnsi="Century Schoolbook"/>
          <w:bCs/>
        </w:rPr>
        <w:t xml:space="preserve"> (2000) 85 Cal.App.4th 579, 585.)  “</w:t>
      </w:r>
      <w:r w:rsidR="00D55034">
        <w:rPr>
          <w:rFonts w:ascii="Century Schoolbook" w:hAnsi="Century Schoolbook"/>
          <w:bCs/>
        </w:rPr>
        <w:t xml:space="preserve"> ‘</w:t>
      </w:r>
      <w:r w:rsidR="001A66EE" w:rsidRPr="00090FCC">
        <w:rPr>
          <w:rFonts w:ascii="Century Schoolbook" w:hAnsi="Century Schoolbook"/>
          <w:bCs/>
        </w:rPr>
        <w:t>Jurors are presumed to be intelligent, capable of understanding instructions and applying them to the facts of the case.</w:t>
      </w:r>
      <w:r w:rsidR="00D55034">
        <w:rPr>
          <w:rFonts w:ascii="Century Schoolbook" w:hAnsi="Century Schoolbook"/>
          <w:bCs/>
        </w:rPr>
        <w:t xml:space="preserve">’ </w:t>
      </w:r>
      <w:r w:rsidR="001A66EE" w:rsidRPr="00090FCC">
        <w:rPr>
          <w:rFonts w:ascii="Century Schoolbook" w:hAnsi="Century Schoolbook"/>
          <w:bCs/>
        </w:rPr>
        <w:t>”  (</w:t>
      </w:r>
      <w:r w:rsidR="001A66EE" w:rsidRPr="00090FCC">
        <w:rPr>
          <w:rFonts w:ascii="Century Schoolbook" w:hAnsi="Century Schoolbook"/>
          <w:bCs/>
          <w:i/>
          <w:iCs/>
        </w:rPr>
        <w:t>People v. Lewis</w:t>
      </w:r>
      <w:r w:rsidR="001A66EE" w:rsidRPr="00090FCC">
        <w:rPr>
          <w:rFonts w:ascii="Century Schoolbook" w:hAnsi="Century Schoolbook"/>
          <w:bCs/>
        </w:rPr>
        <w:t xml:space="preserve"> (2001) 26 Cal.4th 334, 390.)</w:t>
      </w:r>
    </w:p>
    <w:p w14:paraId="501C8100" w14:textId="1198A1C6" w:rsidR="00B8476B" w:rsidRPr="00090FCC" w:rsidRDefault="001A66EE" w:rsidP="00F83EE1">
      <w:pPr>
        <w:spacing w:line="360" w:lineRule="auto"/>
        <w:rPr>
          <w:rFonts w:ascii="Century Schoolbook" w:hAnsi="Century Schoolbook"/>
          <w:bCs/>
        </w:rPr>
      </w:pPr>
      <w:r w:rsidRPr="00090FCC">
        <w:rPr>
          <w:rFonts w:ascii="Century Schoolbook" w:hAnsi="Century Schoolbook"/>
          <w:bCs/>
        </w:rPr>
        <w:tab/>
        <w:t xml:space="preserve">As relevant here, CALCRIM No. 224 reads as follows: </w:t>
      </w:r>
      <w:r w:rsidR="004B18FB">
        <w:rPr>
          <w:rFonts w:ascii="Century Schoolbook" w:hAnsi="Century Schoolbook"/>
          <w:bCs/>
        </w:rPr>
        <w:t xml:space="preserve"> </w:t>
      </w:r>
      <w:r w:rsidRPr="00090FCC">
        <w:rPr>
          <w:rFonts w:ascii="Century Schoolbook" w:hAnsi="Century Schoolbook"/>
          <w:bCs/>
        </w:rPr>
        <w:t>“Before you may rely on circumstantial evidence to conclude that a fact necessary to find the defendant guilty has been proved, you must be convinced that the People have proved each fact essential to that conclusion beyond a reasonable doubt.”  CALCRIM No. 370 instructs:</w:t>
      </w:r>
      <w:r w:rsidR="004B18FB">
        <w:rPr>
          <w:rFonts w:ascii="Century Schoolbook" w:hAnsi="Century Schoolbook"/>
          <w:bCs/>
        </w:rPr>
        <w:t xml:space="preserve"> </w:t>
      </w:r>
      <w:r w:rsidRPr="00090FCC">
        <w:rPr>
          <w:rFonts w:ascii="Century Schoolbook" w:hAnsi="Century Schoolbook"/>
          <w:bCs/>
        </w:rPr>
        <w:t xml:space="preserve"> “The People are not required to prove that the defendant had a motive to commit any of the crimes charged.</w:t>
      </w:r>
      <w:r w:rsidR="00714D33">
        <w:rPr>
          <w:rFonts w:ascii="Century Schoolbook" w:hAnsi="Century Schoolbook"/>
          <w:bCs/>
        </w:rPr>
        <w:t xml:space="preserve"> </w:t>
      </w:r>
      <w:r w:rsidR="00FF3F91">
        <w:rPr>
          <w:rFonts w:ascii="Century Schoolbook" w:hAnsi="Century Schoolbook"/>
          <w:bCs/>
        </w:rPr>
        <w:t xml:space="preserve"> </w:t>
      </w:r>
      <w:r w:rsidR="00351BD4">
        <w:rPr>
          <w:rFonts w:ascii="Century Schoolbook" w:hAnsi="Century Schoolbook"/>
          <w:bCs/>
        </w:rPr>
        <w:t>Despite Appellant’s contention that having the word “prove” in CALCRIM No. 370 would confuse the jury regarding the distinction between relevance of motive and the weight of the prosecution’s burden, when r</w:t>
      </w:r>
      <w:r w:rsidR="002C640C" w:rsidRPr="00090FCC">
        <w:rPr>
          <w:rFonts w:ascii="Century Schoolbook" w:hAnsi="Century Schoolbook"/>
          <w:bCs/>
        </w:rPr>
        <w:t xml:space="preserve">ead together, </w:t>
      </w:r>
      <w:r w:rsidR="00351BD4">
        <w:rPr>
          <w:rFonts w:ascii="Century Schoolbook" w:hAnsi="Century Schoolbook"/>
          <w:bCs/>
        </w:rPr>
        <w:t xml:space="preserve">with </w:t>
      </w:r>
      <w:r w:rsidR="00351BD4">
        <w:rPr>
          <w:rFonts w:ascii="Century Schoolbook" w:hAnsi="Century Schoolbook"/>
          <w:bCs/>
        </w:rPr>
        <w:lastRenderedPageBreak/>
        <w:t>CALCRIM No. 224</w:t>
      </w:r>
      <w:r w:rsidR="00A07F4A">
        <w:rPr>
          <w:rFonts w:ascii="Century Schoolbook" w:hAnsi="Century Schoolbook"/>
          <w:bCs/>
        </w:rPr>
        <w:t>,</w:t>
      </w:r>
      <w:r w:rsidR="002C640C" w:rsidRPr="00090FCC">
        <w:rPr>
          <w:rFonts w:ascii="Century Schoolbook" w:hAnsi="Century Schoolbook"/>
          <w:bCs/>
        </w:rPr>
        <w:t xml:space="preserve"> the intelligent juror </w:t>
      </w:r>
      <w:r w:rsidR="00A07F4A">
        <w:rPr>
          <w:rFonts w:ascii="Century Schoolbook" w:hAnsi="Century Schoolbook"/>
          <w:bCs/>
        </w:rPr>
        <w:t xml:space="preserve">is presented </w:t>
      </w:r>
      <w:r w:rsidR="002C640C" w:rsidRPr="00090FCC">
        <w:rPr>
          <w:rFonts w:ascii="Century Schoolbook" w:hAnsi="Century Schoolbook"/>
          <w:bCs/>
        </w:rPr>
        <w:t>with no great task of harmonization</w:t>
      </w:r>
      <w:r w:rsidR="00351BD4">
        <w:rPr>
          <w:rFonts w:ascii="Century Schoolbook" w:hAnsi="Century Schoolbook"/>
          <w:bCs/>
        </w:rPr>
        <w:t>.</w:t>
      </w:r>
      <w:r w:rsidR="0017111F" w:rsidRPr="00090FCC">
        <w:rPr>
          <w:rStyle w:val="FootnoteReference"/>
          <w:rFonts w:ascii="Century Schoolbook" w:hAnsi="Century Schoolbook"/>
          <w:bCs/>
        </w:rPr>
        <w:footnoteReference w:id="3"/>
      </w:r>
      <w:r w:rsidR="002C640C" w:rsidRPr="00090FCC">
        <w:rPr>
          <w:rFonts w:ascii="Century Schoolbook" w:hAnsi="Century Schoolbook"/>
          <w:bCs/>
        </w:rPr>
        <w:t xml:space="preserve"> </w:t>
      </w:r>
      <w:r w:rsidR="00FF3F91">
        <w:rPr>
          <w:rFonts w:ascii="Century Schoolbook" w:hAnsi="Century Schoolbook"/>
          <w:bCs/>
        </w:rPr>
        <w:t xml:space="preserve"> </w:t>
      </w:r>
      <w:r w:rsidR="00351BD4">
        <w:rPr>
          <w:rFonts w:ascii="Century Schoolbook" w:hAnsi="Century Schoolbook"/>
          <w:bCs/>
        </w:rPr>
        <w:t xml:space="preserve">The jury would have understood that CALCRIM </w:t>
      </w:r>
      <w:r w:rsidR="00A07F4A">
        <w:rPr>
          <w:rFonts w:ascii="Century Schoolbook" w:hAnsi="Century Schoolbook"/>
          <w:bCs/>
        </w:rPr>
        <w:t xml:space="preserve">No. </w:t>
      </w:r>
      <w:r w:rsidR="00351BD4">
        <w:rPr>
          <w:rFonts w:ascii="Century Schoolbook" w:hAnsi="Century Schoolbook"/>
          <w:bCs/>
        </w:rPr>
        <w:t xml:space="preserve">370 explains the relevance of motive evidence and CALCRIM </w:t>
      </w:r>
      <w:r w:rsidR="00A07F4A">
        <w:rPr>
          <w:rFonts w:ascii="Century Schoolbook" w:hAnsi="Century Schoolbook"/>
          <w:bCs/>
        </w:rPr>
        <w:t xml:space="preserve">No. </w:t>
      </w:r>
      <w:r w:rsidR="00351BD4">
        <w:rPr>
          <w:rFonts w:ascii="Century Schoolbook" w:hAnsi="Century Schoolbook"/>
          <w:bCs/>
        </w:rPr>
        <w:t>224 further clarifies the burden of proof as it relates to circumstantial evidence.  In essence, i</w:t>
      </w:r>
      <w:r w:rsidR="002C640C" w:rsidRPr="00090FCC">
        <w:rPr>
          <w:rFonts w:ascii="Century Schoolbook" w:hAnsi="Century Schoolbook"/>
          <w:bCs/>
        </w:rPr>
        <w:t xml:space="preserve">f a defendant’s motive to commit a crime is essential to the jury’s conclusion that he is guilty, then that motive must be proved beyond a reasonable doubt; however, if it is not essential to that conclusion, then it need not be proved at all.  </w:t>
      </w:r>
      <w:r w:rsidR="00351BD4">
        <w:rPr>
          <w:rFonts w:ascii="Century Schoolbook" w:hAnsi="Century Schoolbook"/>
          <w:bCs/>
        </w:rPr>
        <w:t xml:space="preserve">This understanding, coupled with CALCRIM </w:t>
      </w:r>
      <w:r w:rsidR="00A07F4A">
        <w:rPr>
          <w:rFonts w:ascii="Century Schoolbook" w:hAnsi="Century Schoolbook"/>
          <w:bCs/>
        </w:rPr>
        <w:t xml:space="preserve">No. </w:t>
      </w:r>
      <w:r w:rsidR="00351BD4">
        <w:rPr>
          <w:rFonts w:ascii="Century Schoolbook" w:hAnsi="Century Schoolbook"/>
          <w:bCs/>
        </w:rPr>
        <w:t>220</w:t>
      </w:r>
      <w:r w:rsidR="00A07F4A">
        <w:rPr>
          <w:rFonts w:ascii="Century Schoolbook" w:hAnsi="Century Schoolbook"/>
          <w:bCs/>
        </w:rPr>
        <w:t>,</w:t>
      </w:r>
      <w:r w:rsidR="00351BD4">
        <w:rPr>
          <w:rFonts w:ascii="Century Schoolbook" w:hAnsi="Century Schoolbook"/>
          <w:bCs/>
        </w:rPr>
        <w:t xml:space="preserve"> which instructs the jury that the defendant is presumed innocent and that the People are required to prove him guilty beyond a reasonable doubt,</w:t>
      </w:r>
      <w:r w:rsidR="00A957E6" w:rsidRPr="00090FCC">
        <w:rPr>
          <w:rFonts w:ascii="Century Schoolbook" w:hAnsi="Century Schoolbook"/>
          <w:bCs/>
        </w:rPr>
        <w:t xml:space="preserve"> </w:t>
      </w:r>
      <w:r w:rsidR="00714D33">
        <w:rPr>
          <w:rFonts w:ascii="Century Schoolbook" w:hAnsi="Century Schoolbook"/>
          <w:bCs/>
        </w:rPr>
        <w:t xml:space="preserve">means </w:t>
      </w:r>
      <w:r w:rsidR="00A957E6" w:rsidRPr="00090FCC">
        <w:rPr>
          <w:rFonts w:ascii="Century Schoolbook" w:hAnsi="Century Schoolbook"/>
          <w:bCs/>
        </w:rPr>
        <w:t>there</w:t>
      </w:r>
      <w:r w:rsidR="00B8476B" w:rsidRPr="00090FCC">
        <w:rPr>
          <w:rFonts w:ascii="Century Schoolbook" w:hAnsi="Century Schoolbook"/>
          <w:bCs/>
        </w:rPr>
        <w:t xml:space="preserve"> is no “reasonable likelihood that the jury understood” CALCRIM No. 370 “in a manner that violated [appellant’s] rights.”  (</w:t>
      </w:r>
      <w:r w:rsidR="00B8476B" w:rsidRPr="00090FCC">
        <w:rPr>
          <w:rFonts w:ascii="Century Schoolbook" w:hAnsi="Century Schoolbook"/>
          <w:bCs/>
          <w:i/>
          <w:iCs/>
        </w:rPr>
        <w:t>People v. Andrade</w:t>
      </w:r>
      <w:r w:rsidR="00B8476B" w:rsidRPr="00090FCC">
        <w:rPr>
          <w:rFonts w:ascii="Century Schoolbook" w:hAnsi="Century Schoolbook"/>
          <w:bCs/>
        </w:rPr>
        <w:t xml:space="preserve">, </w:t>
      </w:r>
      <w:r w:rsidR="00B8476B" w:rsidRPr="00090FCC">
        <w:rPr>
          <w:rFonts w:ascii="Century Schoolbook" w:hAnsi="Century Schoolbook"/>
          <w:bCs/>
          <w:i/>
          <w:iCs/>
        </w:rPr>
        <w:t>supra</w:t>
      </w:r>
      <w:r w:rsidR="00B8476B" w:rsidRPr="00090FCC">
        <w:rPr>
          <w:rFonts w:ascii="Century Schoolbook" w:hAnsi="Century Schoolbook"/>
          <w:bCs/>
        </w:rPr>
        <w:t xml:space="preserve">, </w:t>
      </w:r>
      <w:r w:rsidR="002D67FE">
        <w:rPr>
          <w:rFonts w:ascii="Century Schoolbook" w:hAnsi="Century Schoolbook"/>
          <w:bCs/>
        </w:rPr>
        <w:t>85</w:t>
      </w:r>
      <w:r w:rsidR="00B8476B" w:rsidRPr="00090FCC">
        <w:rPr>
          <w:rFonts w:ascii="Century Schoolbook" w:hAnsi="Century Schoolbook"/>
          <w:bCs/>
        </w:rPr>
        <w:t xml:space="preserve"> Cal.</w:t>
      </w:r>
      <w:r w:rsidR="002D67FE">
        <w:rPr>
          <w:rFonts w:ascii="Century Schoolbook" w:hAnsi="Century Schoolbook"/>
          <w:bCs/>
        </w:rPr>
        <w:t>App.</w:t>
      </w:r>
      <w:r w:rsidR="00B8476B" w:rsidRPr="00090FCC">
        <w:rPr>
          <w:rFonts w:ascii="Century Schoolbook" w:hAnsi="Century Schoolbook"/>
          <w:bCs/>
        </w:rPr>
        <w:t>4</w:t>
      </w:r>
      <w:r w:rsidR="00080D75">
        <w:rPr>
          <w:rFonts w:ascii="Century Schoolbook" w:hAnsi="Century Schoolbook"/>
          <w:bCs/>
        </w:rPr>
        <w:t xml:space="preserve">th </w:t>
      </w:r>
      <w:r w:rsidR="008E4657">
        <w:rPr>
          <w:rFonts w:ascii="Century Schoolbook" w:hAnsi="Century Schoolbook"/>
          <w:bCs/>
        </w:rPr>
        <w:t>at p.</w:t>
      </w:r>
      <w:r w:rsidR="00B8476B" w:rsidRPr="00090FCC">
        <w:rPr>
          <w:rFonts w:ascii="Century Schoolbook" w:hAnsi="Century Schoolbook"/>
          <w:bCs/>
        </w:rPr>
        <w:t xml:space="preserve"> </w:t>
      </w:r>
      <w:r w:rsidR="002D67FE">
        <w:rPr>
          <w:rFonts w:ascii="Century Schoolbook" w:hAnsi="Century Schoolbook"/>
          <w:bCs/>
        </w:rPr>
        <w:t>585</w:t>
      </w:r>
      <w:r w:rsidR="00B8476B" w:rsidRPr="00090FCC">
        <w:rPr>
          <w:rFonts w:ascii="Century Schoolbook" w:hAnsi="Century Schoolbook"/>
          <w:bCs/>
        </w:rPr>
        <w:t>.)</w:t>
      </w:r>
    </w:p>
    <w:p w14:paraId="620F3585" w14:textId="31F43492" w:rsidR="00B8476B" w:rsidRPr="00090FCC" w:rsidRDefault="0008212C" w:rsidP="00F83EE1">
      <w:pPr>
        <w:spacing w:line="360" w:lineRule="auto"/>
        <w:rPr>
          <w:rFonts w:ascii="Century Schoolbook" w:hAnsi="Century Schoolbook"/>
          <w:bCs/>
        </w:rPr>
      </w:pPr>
      <w:r w:rsidRPr="00090FCC">
        <w:rPr>
          <w:rFonts w:ascii="Century Schoolbook" w:hAnsi="Century Schoolbook"/>
          <w:bCs/>
        </w:rPr>
        <w:tab/>
        <w:t>In sum, there was no instructional error.</w:t>
      </w:r>
    </w:p>
    <w:bookmarkEnd w:id="0"/>
    <w:p w14:paraId="2CF34748" w14:textId="661374BC" w:rsidR="00EA1867" w:rsidRPr="00090FCC" w:rsidRDefault="00EA1867" w:rsidP="00E36668">
      <w:pPr>
        <w:spacing w:line="360" w:lineRule="auto"/>
        <w:rPr>
          <w:rFonts w:ascii="Century Schoolbook" w:hAnsi="Century Schoolbook"/>
          <w:b/>
        </w:rPr>
      </w:pPr>
      <w:r w:rsidRPr="00090FCC">
        <w:rPr>
          <w:rFonts w:ascii="Century Schoolbook" w:hAnsi="Century Schoolbook"/>
          <w:bCs/>
        </w:rPr>
        <w:tab/>
      </w:r>
      <w:r w:rsidRPr="00090FCC">
        <w:rPr>
          <w:rFonts w:ascii="Century Schoolbook" w:hAnsi="Century Schoolbook"/>
          <w:b/>
        </w:rPr>
        <w:t xml:space="preserve">B.  </w:t>
      </w:r>
      <w:r w:rsidR="00CA73E2" w:rsidRPr="00090FCC">
        <w:rPr>
          <w:rFonts w:ascii="Century Schoolbook" w:hAnsi="Century Schoolbook"/>
          <w:b/>
          <w:u w:val="single"/>
        </w:rPr>
        <w:t>The Effect of Discharging the Jury on the Second Part of the Bifurcated Trial</w:t>
      </w:r>
    </w:p>
    <w:p w14:paraId="2125AB97" w14:textId="5BE7B5D8" w:rsidR="00CA73E2" w:rsidRPr="00090FCC" w:rsidRDefault="00CA73E2" w:rsidP="00EA1867">
      <w:pPr>
        <w:spacing w:line="360" w:lineRule="auto"/>
        <w:rPr>
          <w:rFonts w:ascii="Century Schoolbook" w:hAnsi="Century Schoolbook"/>
          <w:bCs/>
        </w:rPr>
      </w:pPr>
      <w:r w:rsidRPr="00090FCC">
        <w:rPr>
          <w:rFonts w:ascii="Century Schoolbook" w:hAnsi="Century Schoolbook"/>
          <w:bCs/>
        </w:rPr>
        <w:tab/>
        <w:t>Appellant argues that because the trial court discharged and lost control of the jury after the first part of the bifurcated trial, any subsequent proceedings were “a nullity</w:t>
      </w:r>
      <w:r w:rsidR="00780AE8" w:rsidRPr="00090FCC">
        <w:rPr>
          <w:rFonts w:ascii="Century Schoolbook" w:hAnsi="Century Schoolbook"/>
          <w:bCs/>
        </w:rPr>
        <w:t>.”  (</w:t>
      </w:r>
      <w:r w:rsidR="00780AE8" w:rsidRPr="00090FCC">
        <w:rPr>
          <w:rFonts w:ascii="Century Schoolbook" w:hAnsi="Century Schoolbook"/>
          <w:bCs/>
          <w:i/>
          <w:iCs/>
        </w:rPr>
        <w:t>People v. Thornton</w:t>
      </w:r>
      <w:r w:rsidR="00780AE8" w:rsidRPr="00090FCC">
        <w:rPr>
          <w:rFonts w:ascii="Century Schoolbook" w:hAnsi="Century Schoolbook"/>
          <w:bCs/>
        </w:rPr>
        <w:t xml:space="preserve"> (1984)</w:t>
      </w:r>
      <w:r w:rsidR="00A22246" w:rsidRPr="00090FCC">
        <w:rPr>
          <w:rFonts w:ascii="Century Schoolbook" w:hAnsi="Century Schoolbook"/>
          <w:bCs/>
        </w:rPr>
        <w:t xml:space="preserve"> 155</w:t>
      </w:r>
      <w:r w:rsidR="00780AE8" w:rsidRPr="00090FCC">
        <w:rPr>
          <w:rFonts w:ascii="Century Schoolbook" w:hAnsi="Century Schoolbook"/>
          <w:bCs/>
        </w:rPr>
        <w:t xml:space="preserve"> Cal.App.3d 845, 856</w:t>
      </w:r>
      <w:r w:rsidR="00A22246" w:rsidRPr="00090FCC">
        <w:rPr>
          <w:rFonts w:ascii="Century Schoolbook" w:hAnsi="Century Schoolbook"/>
          <w:bCs/>
        </w:rPr>
        <w:t xml:space="preserve"> (</w:t>
      </w:r>
      <w:r w:rsidR="00A22246" w:rsidRPr="00090FCC">
        <w:rPr>
          <w:rFonts w:ascii="Century Schoolbook" w:hAnsi="Century Schoolbook"/>
          <w:bCs/>
          <w:i/>
          <w:iCs/>
        </w:rPr>
        <w:t>Thornton</w:t>
      </w:r>
      <w:r w:rsidR="00A22246" w:rsidRPr="00090FCC">
        <w:rPr>
          <w:rFonts w:ascii="Century Schoolbook" w:hAnsi="Century Schoolbook"/>
          <w:bCs/>
        </w:rPr>
        <w:t>)</w:t>
      </w:r>
      <w:r w:rsidR="00780AE8" w:rsidRPr="00090FCC">
        <w:rPr>
          <w:rFonts w:ascii="Century Schoolbook" w:hAnsi="Century Schoolbook"/>
          <w:bCs/>
        </w:rPr>
        <w:t xml:space="preserve">, citing </w:t>
      </w:r>
      <w:r w:rsidRPr="00090FCC">
        <w:rPr>
          <w:rFonts w:ascii="Century Schoolbook" w:hAnsi="Century Schoolbook"/>
          <w:bCs/>
          <w:i/>
          <w:iCs/>
        </w:rPr>
        <w:t xml:space="preserve">People v. Lee Yune Chong </w:t>
      </w:r>
      <w:r w:rsidRPr="00090FCC">
        <w:rPr>
          <w:rFonts w:ascii="Century Schoolbook" w:hAnsi="Century Schoolbook"/>
          <w:bCs/>
        </w:rPr>
        <w:t>(1892) 94 Cal. 37</w:t>
      </w:r>
      <w:r w:rsidR="00A61909" w:rsidRPr="00090FCC">
        <w:rPr>
          <w:rFonts w:ascii="Century Schoolbook" w:hAnsi="Century Schoolbook"/>
          <w:bCs/>
        </w:rPr>
        <w:t>9</w:t>
      </w:r>
      <w:r w:rsidRPr="00090FCC">
        <w:rPr>
          <w:rFonts w:ascii="Century Schoolbook" w:hAnsi="Century Schoolbook"/>
          <w:bCs/>
        </w:rPr>
        <w:t>,</w:t>
      </w:r>
      <w:r w:rsidR="00780AE8" w:rsidRPr="00090FCC">
        <w:rPr>
          <w:rFonts w:ascii="Century Schoolbook" w:hAnsi="Century Schoolbook"/>
          <w:bCs/>
        </w:rPr>
        <w:t xml:space="preserve"> 385–86</w:t>
      </w:r>
      <w:r w:rsidR="00194DC8" w:rsidRPr="00090FCC">
        <w:rPr>
          <w:rFonts w:ascii="Century Schoolbook" w:hAnsi="Century Schoolbook"/>
          <w:bCs/>
        </w:rPr>
        <w:t xml:space="preserve"> (</w:t>
      </w:r>
      <w:r w:rsidR="00194DC8" w:rsidRPr="00090FCC">
        <w:rPr>
          <w:rFonts w:ascii="Century Schoolbook" w:hAnsi="Century Schoolbook"/>
          <w:bCs/>
          <w:i/>
          <w:iCs/>
        </w:rPr>
        <w:t>Chong</w:t>
      </w:r>
      <w:r w:rsidR="00194DC8" w:rsidRPr="00090FCC">
        <w:rPr>
          <w:rFonts w:ascii="Century Schoolbook" w:hAnsi="Century Schoolbook"/>
          <w:bCs/>
        </w:rPr>
        <w:t>)</w:t>
      </w:r>
      <w:r w:rsidR="00780AE8" w:rsidRPr="00090FCC">
        <w:rPr>
          <w:rFonts w:ascii="Century Schoolbook" w:hAnsi="Century Schoolbook"/>
          <w:bCs/>
        </w:rPr>
        <w:t>.)  We agree.</w:t>
      </w:r>
    </w:p>
    <w:p w14:paraId="341B2300" w14:textId="54E16EA0" w:rsidR="00194DC8" w:rsidRPr="00090FCC" w:rsidRDefault="00194DC8" w:rsidP="00EA1867">
      <w:pPr>
        <w:spacing w:line="360" w:lineRule="auto"/>
        <w:rPr>
          <w:rFonts w:ascii="Century Schoolbook" w:hAnsi="Century Schoolbook"/>
          <w:bCs/>
        </w:rPr>
      </w:pPr>
      <w:r w:rsidRPr="00090FCC">
        <w:rPr>
          <w:rFonts w:ascii="Century Schoolbook" w:hAnsi="Century Schoolbook"/>
          <w:bCs/>
        </w:rPr>
        <w:lastRenderedPageBreak/>
        <w:tab/>
        <w:t>“Once a ‘complete</w:t>
      </w:r>
      <w:r w:rsidR="0031069E" w:rsidRPr="00090FCC">
        <w:rPr>
          <w:rFonts w:ascii="Century Schoolbook" w:hAnsi="Century Schoolbook"/>
          <w:bCs/>
        </w:rPr>
        <w:t>’</w:t>
      </w:r>
      <w:r w:rsidRPr="00090FCC">
        <w:rPr>
          <w:rFonts w:ascii="Century Schoolbook" w:hAnsi="Century Schoolbook"/>
          <w:bCs/>
        </w:rPr>
        <w:t xml:space="preserve"> verdict has been rendered per section 1164 and the jurors discharged, the trial court has no jurisdiction to reconvene the jury regardless of whether or not the jury is still under the court’s control ([</w:t>
      </w:r>
      <w:r w:rsidRPr="00090FCC">
        <w:rPr>
          <w:rFonts w:ascii="Century Schoolbook" w:hAnsi="Century Schoolbook"/>
          <w:bCs/>
          <w:i/>
          <w:iCs/>
        </w:rPr>
        <w:t>People v.</w:t>
      </w:r>
      <w:r w:rsidRPr="00090FCC">
        <w:rPr>
          <w:rFonts w:ascii="Century Schoolbook" w:hAnsi="Century Schoolbook"/>
          <w:bCs/>
        </w:rPr>
        <w:t xml:space="preserve"> </w:t>
      </w:r>
      <w:r w:rsidRPr="00090FCC">
        <w:rPr>
          <w:rFonts w:ascii="Century Schoolbook" w:hAnsi="Century Schoolbook"/>
          <w:bCs/>
          <w:i/>
          <w:iCs/>
        </w:rPr>
        <w:t>Peavey</w:t>
      </w:r>
      <w:r w:rsidRPr="00090FCC">
        <w:rPr>
          <w:rFonts w:ascii="Century Schoolbook" w:hAnsi="Century Schoolbook"/>
          <w:bCs/>
        </w:rPr>
        <w:t xml:space="preserve"> (198</w:t>
      </w:r>
      <w:r w:rsidR="004B0783" w:rsidRPr="00090FCC">
        <w:rPr>
          <w:rFonts w:ascii="Century Schoolbook" w:hAnsi="Century Schoolbook"/>
          <w:bCs/>
        </w:rPr>
        <w:t>1</w:t>
      </w:r>
      <w:r w:rsidRPr="00090FCC">
        <w:rPr>
          <w:rFonts w:ascii="Century Schoolbook" w:hAnsi="Century Schoolbook"/>
          <w:bCs/>
        </w:rPr>
        <w:t>) 126 Cal.App.3d 44 (</w:t>
      </w:r>
      <w:r w:rsidRPr="00090FCC">
        <w:rPr>
          <w:rFonts w:ascii="Century Schoolbook" w:hAnsi="Century Schoolbook"/>
          <w:bCs/>
          <w:i/>
          <w:iCs/>
        </w:rPr>
        <w:t>Peavey</w:t>
      </w:r>
      <w:r w:rsidRPr="00090FCC">
        <w:rPr>
          <w:rFonts w:ascii="Century Schoolbook" w:hAnsi="Century Schoolbook"/>
          <w:bCs/>
        </w:rPr>
        <w:t xml:space="preserve">)]). </w:t>
      </w:r>
      <w:r w:rsidR="00FF3F91">
        <w:rPr>
          <w:rFonts w:ascii="Century Schoolbook" w:hAnsi="Century Schoolbook"/>
          <w:bCs/>
        </w:rPr>
        <w:t xml:space="preserve"> </w:t>
      </w:r>
      <w:r w:rsidRPr="00090FCC">
        <w:rPr>
          <w:rFonts w:ascii="Century Schoolbook" w:hAnsi="Century Schoolbook"/>
          <w:bCs/>
        </w:rPr>
        <w:t>However, if a complete verdict has not been rendered ([</w:t>
      </w:r>
      <w:r w:rsidRPr="00090FCC">
        <w:rPr>
          <w:rFonts w:ascii="Century Schoolbook" w:hAnsi="Century Schoolbook"/>
          <w:bCs/>
          <w:i/>
          <w:iCs/>
        </w:rPr>
        <w:t>People v.</w:t>
      </w:r>
      <w:r w:rsidRPr="00090FCC">
        <w:rPr>
          <w:rFonts w:ascii="Century Schoolbook" w:hAnsi="Century Schoolbook"/>
          <w:bCs/>
        </w:rPr>
        <w:t xml:space="preserve"> </w:t>
      </w:r>
      <w:r w:rsidRPr="00090FCC">
        <w:rPr>
          <w:rFonts w:ascii="Century Schoolbook" w:hAnsi="Century Schoolbook"/>
          <w:bCs/>
          <w:i/>
          <w:iCs/>
        </w:rPr>
        <w:t>Powell</w:t>
      </w:r>
      <w:r w:rsidRPr="00090FCC">
        <w:rPr>
          <w:rFonts w:ascii="Century Schoolbook" w:hAnsi="Century Schoolbook"/>
          <w:bCs/>
        </w:rPr>
        <w:t xml:space="preserve"> (195</w:t>
      </w:r>
      <w:r w:rsidR="004B0783" w:rsidRPr="00090FCC">
        <w:rPr>
          <w:rFonts w:ascii="Century Schoolbook" w:hAnsi="Century Schoolbook"/>
          <w:bCs/>
        </w:rPr>
        <w:t>0</w:t>
      </w:r>
      <w:r w:rsidRPr="00090FCC">
        <w:rPr>
          <w:rFonts w:ascii="Century Schoolbook" w:hAnsi="Century Schoolbook"/>
          <w:bCs/>
        </w:rPr>
        <w:t>) 99 Cal.App.2d 178 (</w:t>
      </w:r>
      <w:r w:rsidRPr="00090FCC">
        <w:rPr>
          <w:rFonts w:ascii="Century Schoolbook" w:hAnsi="Century Schoolbook"/>
          <w:bCs/>
          <w:i/>
          <w:iCs/>
        </w:rPr>
        <w:t>Powell</w:t>
      </w:r>
      <w:r w:rsidRPr="00090FCC">
        <w:rPr>
          <w:rFonts w:ascii="Century Schoolbook" w:hAnsi="Century Schoolbook"/>
          <w:bCs/>
        </w:rPr>
        <w:t>)], [</w:t>
      </w:r>
      <w:r w:rsidRPr="00090FCC">
        <w:rPr>
          <w:rFonts w:ascii="Century Schoolbook" w:hAnsi="Century Schoolbook"/>
          <w:bCs/>
          <w:i/>
          <w:iCs/>
        </w:rPr>
        <w:t>People v. Ham</w:t>
      </w:r>
      <w:r w:rsidRPr="00090FCC">
        <w:rPr>
          <w:rFonts w:ascii="Century Schoolbook" w:hAnsi="Century Schoolbook"/>
          <w:bCs/>
        </w:rPr>
        <w:t xml:space="preserve"> (1970) 7 Cal.App.3d 768 (</w:t>
      </w:r>
      <w:r w:rsidRPr="00090FCC">
        <w:rPr>
          <w:rFonts w:ascii="Century Schoolbook" w:hAnsi="Century Schoolbook"/>
          <w:bCs/>
          <w:i/>
          <w:iCs/>
        </w:rPr>
        <w:t>Ham</w:t>
      </w:r>
      <w:r w:rsidRPr="00090FCC">
        <w:rPr>
          <w:rFonts w:ascii="Century Schoolbook" w:hAnsi="Century Schoolbook"/>
          <w:bCs/>
        </w:rPr>
        <w:t>)]) or if the verdict is otherwise irregular (</w:t>
      </w:r>
      <w:r w:rsidRPr="00090FCC">
        <w:rPr>
          <w:rFonts w:ascii="Century Schoolbook" w:hAnsi="Century Schoolbook"/>
          <w:bCs/>
          <w:i/>
          <w:iCs/>
        </w:rPr>
        <w:t>Chong</w:t>
      </w:r>
      <w:r w:rsidRPr="00090FCC">
        <w:rPr>
          <w:rFonts w:ascii="Century Schoolbook" w:hAnsi="Century Schoolbook"/>
          <w:bCs/>
        </w:rPr>
        <w:t xml:space="preserve">, </w:t>
      </w:r>
      <w:r w:rsidR="00092231" w:rsidRPr="00090FCC">
        <w:rPr>
          <w:rFonts w:ascii="Century Schoolbook" w:hAnsi="Century Schoolbook"/>
          <w:bCs/>
        </w:rPr>
        <w:t>[</w:t>
      </w:r>
      <w:r w:rsidR="00092231" w:rsidRPr="00090FCC">
        <w:rPr>
          <w:rFonts w:ascii="Century Schoolbook" w:hAnsi="Century Schoolbook"/>
          <w:bCs/>
          <w:i/>
          <w:iCs/>
        </w:rPr>
        <w:t>People v.</w:t>
      </w:r>
      <w:r w:rsidR="008A39EA" w:rsidRPr="00090FCC">
        <w:rPr>
          <w:rFonts w:ascii="Century Schoolbook" w:hAnsi="Century Schoolbook"/>
          <w:bCs/>
        </w:rPr>
        <w:t xml:space="preserve"> </w:t>
      </w:r>
      <w:r w:rsidRPr="00090FCC">
        <w:rPr>
          <w:rFonts w:ascii="Century Schoolbook" w:hAnsi="Century Schoolbook"/>
          <w:bCs/>
          <w:i/>
          <w:iCs/>
        </w:rPr>
        <w:t>Grider</w:t>
      </w:r>
      <w:r w:rsidR="008A39EA" w:rsidRPr="00090FCC">
        <w:rPr>
          <w:rFonts w:ascii="Century Schoolbook" w:hAnsi="Century Schoolbook"/>
          <w:bCs/>
        </w:rPr>
        <w:t xml:space="preserve"> (1966) 246 Cal.App.2d 149 (</w:t>
      </w:r>
      <w:r w:rsidR="008A39EA" w:rsidRPr="00090FCC">
        <w:rPr>
          <w:rFonts w:ascii="Century Schoolbook" w:hAnsi="Century Schoolbook"/>
          <w:bCs/>
          <w:i/>
          <w:iCs/>
        </w:rPr>
        <w:t>Grider</w:t>
      </w:r>
      <w:r w:rsidR="008A39EA" w:rsidRPr="00090FCC">
        <w:rPr>
          <w:rFonts w:ascii="Century Schoolbook" w:hAnsi="Century Schoolbook"/>
          <w:bCs/>
        </w:rPr>
        <w:t>)]</w:t>
      </w:r>
      <w:r w:rsidRPr="00090FCC">
        <w:rPr>
          <w:rFonts w:ascii="Century Schoolbook" w:hAnsi="Century Schoolbook"/>
          <w:bCs/>
        </w:rPr>
        <w:t>), jurisdiction to reconvene the jury depends on whether the jury has left the court</w:t>
      </w:r>
      <w:r w:rsidR="008A39EA" w:rsidRPr="00090FCC">
        <w:rPr>
          <w:rFonts w:ascii="Century Schoolbook" w:hAnsi="Century Schoolbook"/>
          <w:bCs/>
        </w:rPr>
        <w:t>’</w:t>
      </w:r>
      <w:r w:rsidRPr="00090FCC">
        <w:rPr>
          <w:rFonts w:ascii="Century Schoolbook" w:hAnsi="Century Schoolbook"/>
          <w:bCs/>
        </w:rPr>
        <w:t>s control.</w:t>
      </w:r>
      <w:r w:rsidR="00FF3F91">
        <w:rPr>
          <w:rFonts w:ascii="Century Schoolbook" w:hAnsi="Century Schoolbook"/>
          <w:bCs/>
        </w:rPr>
        <w:t xml:space="preserve"> </w:t>
      </w:r>
      <w:r w:rsidRPr="00090FCC">
        <w:rPr>
          <w:rFonts w:ascii="Century Schoolbook" w:hAnsi="Century Schoolbook"/>
          <w:bCs/>
        </w:rPr>
        <w:t xml:space="preserve"> If it has, there is no jurisdiction (</w:t>
      </w:r>
      <w:r w:rsidRPr="00090FCC">
        <w:rPr>
          <w:rFonts w:ascii="Century Schoolbook" w:hAnsi="Century Schoolbook"/>
          <w:bCs/>
          <w:i/>
          <w:iCs/>
        </w:rPr>
        <w:t>Chong</w:t>
      </w:r>
      <w:r w:rsidRPr="00090FCC">
        <w:rPr>
          <w:rFonts w:ascii="Century Schoolbook" w:hAnsi="Century Schoolbook"/>
          <w:bCs/>
        </w:rPr>
        <w:t xml:space="preserve">, </w:t>
      </w:r>
      <w:r w:rsidRPr="00090FCC">
        <w:rPr>
          <w:rFonts w:ascii="Century Schoolbook" w:hAnsi="Century Schoolbook"/>
          <w:bCs/>
          <w:i/>
          <w:iCs/>
        </w:rPr>
        <w:t>Grider</w:t>
      </w:r>
      <w:r w:rsidRPr="00090FCC">
        <w:rPr>
          <w:rFonts w:ascii="Century Schoolbook" w:hAnsi="Century Schoolbook"/>
          <w:bCs/>
        </w:rPr>
        <w:t>); if it hasn</w:t>
      </w:r>
      <w:r w:rsidR="008A39EA" w:rsidRPr="00090FCC">
        <w:rPr>
          <w:rFonts w:ascii="Century Schoolbook" w:hAnsi="Century Schoolbook"/>
          <w:bCs/>
        </w:rPr>
        <w:t>’</w:t>
      </w:r>
      <w:r w:rsidRPr="00090FCC">
        <w:rPr>
          <w:rFonts w:ascii="Century Schoolbook" w:hAnsi="Century Schoolbook"/>
          <w:bCs/>
        </w:rPr>
        <w:t>t, the jury may be reconvened (</w:t>
      </w:r>
      <w:r w:rsidRPr="00090FCC">
        <w:rPr>
          <w:rFonts w:ascii="Century Schoolbook" w:hAnsi="Century Schoolbook"/>
          <w:bCs/>
          <w:i/>
          <w:iCs/>
        </w:rPr>
        <w:t>Powell</w:t>
      </w:r>
      <w:r w:rsidRPr="00090FCC">
        <w:rPr>
          <w:rFonts w:ascii="Century Schoolbook" w:hAnsi="Century Schoolbook"/>
          <w:bCs/>
        </w:rPr>
        <w:t xml:space="preserve">, </w:t>
      </w:r>
      <w:r w:rsidRPr="00090FCC">
        <w:rPr>
          <w:rFonts w:ascii="Century Schoolbook" w:hAnsi="Century Schoolbook"/>
          <w:bCs/>
          <w:i/>
          <w:iCs/>
        </w:rPr>
        <w:t>Ham</w:t>
      </w:r>
      <w:r w:rsidRPr="00090FCC">
        <w:rPr>
          <w:rFonts w:ascii="Century Schoolbook" w:hAnsi="Century Schoolbook"/>
          <w:bCs/>
        </w:rPr>
        <w:t>).</w:t>
      </w:r>
      <w:r w:rsidR="00A22246" w:rsidRPr="00090FCC">
        <w:rPr>
          <w:rFonts w:ascii="Century Schoolbook" w:hAnsi="Century Schoolbook"/>
          <w:bCs/>
        </w:rPr>
        <w:t>”  (</w:t>
      </w:r>
      <w:r w:rsidR="00A22246" w:rsidRPr="00090FCC">
        <w:rPr>
          <w:rFonts w:ascii="Century Schoolbook" w:hAnsi="Century Schoolbook"/>
          <w:bCs/>
          <w:i/>
          <w:iCs/>
        </w:rPr>
        <w:t>Thornton</w:t>
      </w:r>
      <w:r w:rsidR="00A22246" w:rsidRPr="00090FCC">
        <w:rPr>
          <w:rFonts w:ascii="Century Schoolbook" w:hAnsi="Century Schoolbook"/>
          <w:bCs/>
        </w:rPr>
        <w:t xml:space="preserve">, </w:t>
      </w:r>
      <w:r w:rsidR="00A22246" w:rsidRPr="00090FCC">
        <w:rPr>
          <w:rFonts w:ascii="Century Schoolbook" w:hAnsi="Century Schoolbook"/>
          <w:bCs/>
          <w:i/>
          <w:iCs/>
        </w:rPr>
        <w:t>supra</w:t>
      </w:r>
      <w:r w:rsidR="00A22246" w:rsidRPr="00090FCC">
        <w:rPr>
          <w:rFonts w:ascii="Century Schoolbook" w:hAnsi="Century Schoolbook"/>
          <w:bCs/>
        </w:rPr>
        <w:t>, 155 Cal.App.3d at p. 855.)</w:t>
      </w:r>
    </w:p>
    <w:p w14:paraId="5D7A92AA" w14:textId="6337F509" w:rsidR="007E61DC" w:rsidRPr="00090FCC" w:rsidRDefault="00A22246" w:rsidP="007E61DC">
      <w:pPr>
        <w:spacing w:line="360" w:lineRule="auto"/>
        <w:rPr>
          <w:rFonts w:ascii="Century Schoolbook" w:hAnsi="Century Schoolbook"/>
          <w:bCs/>
        </w:rPr>
      </w:pPr>
      <w:r w:rsidRPr="00090FCC">
        <w:rPr>
          <w:rFonts w:ascii="Century Schoolbook" w:hAnsi="Century Schoolbook"/>
          <w:bCs/>
        </w:rPr>
        <w:tab/>
        <w:t>Here, both parties agree that no complete verdict had been rendered at the time the trial court discharged the jury, so our inquiry concerns “whether the jur</w:t>
      </w:r>
      <w:r w:rsidR="00B76DCF" w:rsidRPr="00090FCC">
        <w:rPr>
          <w:rFonts w:ascii="Century Schoolbook" w:hAnsi="Century Schoolbook"/>
          <w:bCs/>
        </w:rPr>
        <w:t>y</w:t>
      </w:r>
      <w:r w:rsidRPr="00090FCC">
        <w:rPr>
          <w:rFonts w:ascii="Century Schoolbook" w:hAnsi="Century Schoolbook"/>
          <w:bCs/>
        </w:rPr>
        <w:t xml:space="preserve"> left the court’s control</w:t>
      </w:r>
      <w:r w:rsidR="00B76DCF" w:rsidRPr="00090FCC">
        <w:rPr>
          <w:rFonts w:ascii="Century Schoolbook" w:hAnsi="Century Schoolbook"/>
          <w:bCs/>
        </w:rPr>
        <w:t>.</w:t>
      </w:r>
      <w:r w:rsidRPr="00090FCC">
        <w:rPr>
          <w:rFonts w:ascii="Century Schoolbook" w:hAnsi="Century Schoolbook"/>
          <w:bCs/>
        </w:rPr>
        <w:t xml:space="preserve">” </w:t>
      </w:r>
      <w:r w:rsidR="00B76DCF" w:rsidRPr="00090FCC">
        <w:rPr>
          <w:rFonts w:ascii="Century Schoolbook" w:hAnsi="Century Schoolbook"/>
          <w:bCs/>
        </w:rPr>
        <w:t xml:space="preserve"> (</w:t>
      </w:r>
      <w:r w:rsidR="00B76DCF" w:rsidRPr="00090FCC">
        <w:rPr>
          <w:rFonts w:ascii="Century Schoolbook" w:hAnsi="Century Schoolbook"/>
          <w:bCs/>
          <w:i/>
          <w:iCs/>
        </w:rPr>
        <w:t>Ibid</w:t>
      </w:r>
      <w:r w:rsidR="00B76DCF" w:rsidRPr="00090FCC">
        <w:rPr>
          <w:rFonts w:ascii="Century Schoolbook" w:hAnsi="Century Schoolbook"/>
          <w:bCs/>
        </w:rPr>
        <w:t xml:space="preserve">.)  If it did, then the court lost jurisdiction over the jurors, and </w:t>
      </w:r>
      <w:r w:rsidR="000F505F" w:rsidRPr="00090FCC">
        <w:rPr>
          <w:rFonts w:ascii="Century Schoolbook" w:hAnsi="Century Schoolbook"/>
          <w:bCs/>
        </w:rPr>
        <w:t>the</w:t>
      </w:r>
      <w:r w:rsidR="00B76DCF" w:rsidRPr="00090FCC">
        <w:rPr>
          <w:rFonts w:ascii="Century Schoolbook" w:hAnsi="Century Schoolbook"/>
          <w:bCs/>
        </w:rPr>
        <w:t xml:space="preserve"> subsequent actions </w:t>
      </w:r>
      <w:r w:rsidR="000F505F" w:rsidRPr="00090FCC">
        <w:rPr>
          <w:rFonts w:ascii="Century Schoolbook" w:hAnsi="Century Schoolbook"/>
          <w:bCs/>
        </w:rPr>
        <w:t xml:space="preserve">of those jurors </w:t>
      </w:r>
      <w:r w:rsidR="00B76DCF" w:rsidRPr="00090FCC">
        <w:rPr>
          <w:rFonts w:ascii="Century Schoolbook" w:hAnsi="Century Schoolbook"/>
          <w:bCs/>
        </w:rPr>
        <w:t>in trying appellant’s prior serious felony conviction “ ‘were nullities.’ ”  (</w:t>
      </w:r>
      <w:r w:rsidR="00B76DCF" w:rsidRPr="00090FCC">
        <w:rPr>
          <w:rFonts w:ascii="Century Schoolbook" w:hAnsi="Century Schoolbook"/>
          <w:bCs/>
          <w:i/>
          <w:iCs/>
        </w:rPr>
        <w:t>People v. Garcia</w:t>
      </w:r>
      <w:r w:rsidR="00B76DCF" w:rsidRPr="00090FCC">
        <w:rPr>
          <w:rFonts w:ascii="Century Schoolbook" w:hAnsi="Century Schoolbook"/>
          <w:bCs/>
        </w:rPr>
        <w:t xml:space="preserve"> (2012) 204 Cal.App.4th 542, 551–</w:t>
      </w:r>
      <w:r w:rsidR="000F505F" w:rsidRPr="00090FCC">
        <w:rPr>
          <w:rFonts w:ascii="Century Schoolbook" w:hAnsi="Century Schoolbook"/>
          <w:bCs/>
        </w:rPr>
        <w:t>5</w:t>
      </w:r>
      <w:r w:rsidR="00B76DCF" w:rsidRPr="00090FCC">
        <w:rPr>
          <w:rFonts w:ascii="Century Schoolbook" w:hAnsi="Century Schoolbook"/>
          <w:bCs/>
        </w:rPr>
        <w:t xml:space="preserve">52, quoting </w:t>
      </w:r>
      <w:r w:rsidR="00B76DCF" w:rsidRPr="00090FCC">
        <w:rPr>
          <w:rFonts w:ascii="Century Schoolbook" w:hAnsi="Century Schoolbook"/>
          <w:bCs/>
          <w:i/>
          <w:iCs/>
        </w:rPr>
        <w:t>Chong</w:t>
      </w:r>
      <w:r w:rsidR="00B76DCF" w:rsidRPr="00090FCC">
        <w:rPr>
          <w:rFonts w:ascii="Century Schoolbook" w:hAnsi="Century Schoolbook"/>
          <w:bCs/>
        </w:rPr>
        <w:t xml:space="preserve">, </w:t>
      </w:r>
      <w:r w:rsidR="00B76DCF" w:rsidRPr="00090FCC">
        <w:rPr>
          <w:rFonts w:ascii="Century Schoolbook" w:hAnsi="Century Schoolbook"/>
          <w:bCs/>
          <w:i/>
          <w:iCs/>
        </w:rPr>
        <w:t>supra</w:t>
      </w:r>
      <w:r w:rsidR="00B76DCF" w:rsidRPr="00090FCC">
        <w:rPr>
          <w:rFonts w:ascii="Century Schoolbook" w:hAnsi="Century Schoolbook"/>
          <w:bCs/>
        </w:rPr>
        <w:t>, 94 Cal. at pp. 384</w:t>
      </w:r>
      <w:r w:rsidR="000F505F" w:rsidRPr="00090FCC">
        <w:rPr>
          <w:rFonts w:ascii="Century Schoolbook" w:hAnsi="Century Schoolbook"/>
          <w:bCs/>
        </w:rPr>
        <w:t>–</w:t>
      </w:r>
      <w:r w:rsidR="00B76DCF" w:rsidRPr="00090FCC">
        <w:rPr>
          <w:rFonts w:ascii="Century Schoolbook" w:hAnsi="Century Schoolbook"/>
          <w:bCs/>
        </w:rPr>
        <w:t>385</w:t>
      </w:r>
      <w:r w:rsidR="000F505F" w:rsidRPr="00090FCC">
        <w:rPr>
          <w:rFonts w:ascii="Century Schoolbook" w:hAnsi="Century Schoolbook"/>
          <w:bCs/>
        </w:rPr>
        <w:t>.)</w:t>
      </w:r>
    </w:p>
    <w:p w14:paraId="5E814690" w14:textId="09906EA4" w:rsidR="00872AC3" w:rsidRPr="00090FCC" w:rsidRDefault="00872AC3" w:rsidP="00872AC3">
      <w:pPr>
        <w:spacing w:line="360" w:lineRule="auto"/>
        <w:rPr>
          <w:rFonts w:ascii="Century Schoolbook" w:hAnsi="Century Schoolbook"/>
          <w:bCs/>
        </w:rPr>
      </w:pPr>
      <w:r w:rsidRPr="00090FCC">
        <w:rPr>
          <w:rFonts w:ascii="Century Schoolbook" w:hAnsi="Century Schoolbook"/>
          <w:bCs/>
        </w:rPr>
        <w:tab/>
      </w:r>
      <w:r w:rsidR="00BB2128" w:rsidRPr="00090FCC">
        <w:rPr>
          <w:rFonts w:ascii="Century Schoolbook" w:hAnsi="Century Schoolbook"/>
          <w:bCs/>
        </w:rPr>
        <w:t>P</w:t>
      </w:r>
      <w:r w:rsidR="00527330" w:rsidRPr="00090FCC">
        <w:rPr>
          <w:rFonts w:ascii="Century Schoolbook" w:hAnsi="Century Schoolbook"/>
          <w:bCs/>
        </w:rPr>
        <w:t>roceedings resumed for the reading of the verdict at 10:10 a.m.  After the verdict was read and jury was polled, the trial court</w:t>
      </w:r>
      <w:r w:rsidRPr="00090FCC">
        <w:rPr>
          <w:rFonts w:ascii="Century Schoolbook" w:hAnsi="Century Schoolbook"/>
          <w:bCs/>
        </w:rPr>
        <w:t xml:space="preserve"> told </w:t>
      </w:r>
      <w:r w:rsidR="00527330" w:rsidRPr="00090FCC">
        <w:rPr>
          <w:rFonts w:ascii="Century Schoolbook" w:hAnsi="Century Schoolbook"/>
          <w:bCs/>
        </w:rPr>
        <w:t xml:space="preserve">jurors </w:t>
      </w:r>
      <w:r w:rsidRPr="00090FCC">
        <w:rPr>
          <w:rFonts w:ascii="Century Schoolbook" w:hAnsi="Century Schoolbook"/>
          <w:bCs/>
        </w:rPr>
        <w:t xml:space="preserve">that they had “completed [their] jury service” and were offered “sincere thanks for [that] service.”  The trial court continued: </w:t>
      </w:r>
      <w:r w:rsidR="004B18FB">
        <w:rPr>
          <w:rFonts w:ascii="Century Schoolbook" w:hAnsi="Century Schoolbook"/>
          <w:bCs/>
        </w:rPr>
        <w:t xml:space="preserve"> </w:t>
      </w:r>
      <w:r w:rsidRPr="00090FCC">
        <w:rPr>
          <w:rFonts w:ascii="Century Schoolbook" w:hAnsi="Century Schoolbook"/>
          <w:bCs/>
        </w:rPr>
        <w:t xml:space="preserve">“I’ve told you throughout this case, you can’t talk about the case with anyone.  Well, that's over.  Now, if you want to talk about the case, you can, but </w:t>
      </w:r>
      <w:proofErr w:type="gramStart"/>
      <w:r w:rsidRPr="00090FCC">
        <w:rPr>
          <w:rFonts w:ascii="Century Schoolbook" w:hAnsi="Century Schoolbook"/>
          <w:bCs/>
        </w:rPr>
        <w:t>by the same token</w:t>
      </w:r>
      <w:proofErr w:type="gramEnd"/>
      <w:r w:rsidRPr="00090FCC">
        <w:rPr>
          <w:rFonts w:ascii="Century Schoolbook" w:hAnsi="Century Schoolbook"/>
          <w:bCs/>
        </w:rPr>
        <w:t xml:space="preserve">, if you ever wanted to talk about it, that’s your choice as well.”  </w:t>
      </w:r>
      <w:r w:rsidR="00527330" w:rsidRPr="00090FCC">
        <w:rPr>
          <w:rFonts w:ascii="Century Schoolbook" w:hAnsi="Century Schoolbook"/>
          <w:bCs/>
        </w:rPr>
        <w:t>Finally,</w:t>
      </w:r>
      <w:r w:rsidRPr="00090FCC">
        <w:rPr>
          <w:rFonts w:ascii="Century Schoolbook" w:hAnsi="Century Schoolbook"/>
          <w:bCs/>
        </w:rPr>
        <w:t xml:space="preserve"> jurors</w:t>
      </w:r>
      <w:r w:rsidR="00527330" w:rsidRPr="00090FCC">
        <w:rPr>
          <w:rFonts w:ascii="Century Schoolbook" w:hAnsi="Century Schoolbook"/>
          <w:bCs/>
        </w:rPr>
        <w:t xml:space="preserve"> were asked</w:t>
      </w:r>
      <w:r w:rsidRPr="00090FCC">
        <w:rPr>
          <w:rFonts w:ascii="Century Schoolbook" w:hAnsi="Century Schoolbook"/>
          <w:bCs/>
        </w:rPr>
        <w:t xml:space="preserve"> to leave behind any notes from the </w:t>
      </w:r>
      <w:r w:rsidR="00527330" w:rsidRPr="00090FCC">
        <w:rPr>
          <w:rFonts w:ascii="Century Schoolbook" w:hAnsi="Century Schoolbook"/>
          <w:bCs/>
        </w:rPr>
        <w:t>proceedings before</w:t>
      </w:r>
      <w:r w:rsidRPr="00090FCC">
        <w:rPr>
          <w:rFonts w:ascii="Century Schoolbook" w:hAnsi="Century Schoolbook"/>
          <w:bCs/>
        </w:rPr>
        <w:t xml:space="preserve"> </w:t>
      </w:r>
      <w:r w:rsidR="00527330" w:rsidRPr="00090FCC">
        <w:rPr>
          <w:rFonts w:ascii="Century Schoolbook" w:hAnsi="Century Schoolbook"/>
          <w:bCs/>
        </w:rPr>
        <w:t xml:space="preserve">the trial court concluded, “[y]ou are all excused from jury </w:t>
      </w:r>
      <w:r w:rsidR="008361F2">
        <w:rPr>
          <w:rFonts w:ascii="Century Schoolbook" w:hAnsi="Century Schoolbook"/>
          <w:bCs/>
        </w:rPr>
        <w:t>duty</w:t>
      </w:r>
      <w:r w:rsidR="00527330" w:rsidRPr="00090FCC">
        <w:rPr>
          <w:rFonts w:ascii="Century Schoolbook" w:hAnsi="Century Schoolbook"/>
          <w:bCs/>
        </w:rPr>
        <w:t xml:space="preserve">.” </w:t>
      </w:r>
    </w:p>
    <w:p w14:paraId="07696DA4" w14:textId="675DC3AB" w:rsidR="008F6F33" w:rsidRPr="00090FCC" w:rsidRDefault="00527330" w:rsidP="00872AC3">
      <w:pPr>
        <w:spacing w:line="360" w:lineRule="auto"/>
        <w:rPr>
          <w:rFonts w:ascii="Century Schoolbook" w:hAnsi="Century Schoolbook"/>
          <w:bCs/>
        </w:rPr>
      </w:pPr>
      <w:r w:rsidRPr="00090FCC">
        <w:rPr>
          <w:rFonts w:ascii="Century Schoolbook" w:hAnsi="Century Schoolbook"/>
          <w:bCs/>
        </w:rPr>
        <w:lastRenderedPageBreak/>
        <w:tab/>
      </w:r>
      <w:r w:rsidR="008F6F33" w:rsidRPr="00090FCC">
        <w:rPr>
          <w:rFonts w:ascii="Century Schoolbook" w:hAnsi="Century Schoolbook"/>
          <w:bCs/>
        </w:rPr>
        <w:t>After a</w:t>
      </w:r>
      <w:r w:rsidRPr="00090FCC">
        <w:rPr>
          <w:rFonts w:ascii="Century Schoolbook" w:hAnsi="Century Schoolbook"/>
          <w:bCs/>
        </w:rPr>
        <w:t xml:space="preserve"> pause in the proceedings, the prosecutor</w:t>
      </w:r>
      <w:r w:rsidR="00214364" w:rsidRPr="00090FCC">
        <w:rPr>
          <w:rFonts w:ascii="Century Schoolbook" w:hAnsi="Century Schoolbook"/>
          <w:bCs/>
        </w:rPr>
        <w:t xml:space="preserve"> noted that the prior serious felony conviction remained to be tried.  The trial court replied, “Oh, yes.  Thank you.  I just excused my jury.”  Turning to the bailiff, the trial court said, “Hang on.  Can you tell the jurors to wait.  Tell them they can’t leave yet.”  A second pause in the proceedings followed. </w:t>
      </w:r>
    </w:p>
    <w:p w14:paraId="41F608EE" w14:textId="04F13E55" w:rsidR="008F6F33" w:rsidRPr="00090FCC" w:rsidRDefault="008F6F33" w:rsidP="00872AC3">
      <w:pPr>
        <w:spacing w:line="360" w:lineRule="auto"/>
        <w:rPr>
          <w:rFonts w:ascii="Century Schoolbook" w:hAnsi="Century Schoolbook"/>
          <w:bCs/>
        </w:rPr>
      </w:pPr>
      <w:r w:rsidRPr="00090FCC">
        <w:rPr>
          <w:rFonts w:ascii="Century Schoolbook" w:hAnsi="Century Schoolbook"/>
          <w:bCs/>
        </w:rPr>
        <w:tab/>
        <w:t>The trial court then urged t</w:t>
      </w:r>
      <w:r w:rsidR="00214364" w:rsidRPr="00090FCC">
        <w:rPr>
          <w:rFonts w:ascii="Century Schoolbook" w:hAnsi="Century Schoolbook"/>
          <w:bCs/>
        </w:rPr>
        <w:t xml:space="preserve">he prosecutor to secure documents needed to try the prior serious felony conviction, </w:t>
      </w:r>
      <w:r w:rsidRPr="00090FCC">
        <w:rPr>
          <w:rFonts w:ascii="Century Schoolbook" w:hAnsi="Century Schoolbook"/>
          <w:bCs/>
        </w:rPr>
        <w:t>and</w:t>
      </w:r>
      <w:r w:rsidR="00214364" w:rsidRPr="00090FCC">
        <w:rPr>
          <w:rFonts w:ascii="Century Schoolbook" w:hAnsi="Century Schoolbook"/>
          <w:bCs/>
        </w:rPr>
        <w:t xml:space="preserve"> said, “Okay.  Can we tell our jurors that we will see that there may be one more thing I need them to do, and that I</w:t>
      </w:r>
      <w:r w:rsidRPr="00090FCC">
        <w:rPr>
          <w:rFonts w:ascii="Century Schoolbook" w:hAnsi="Century Schoolbook"/>
          <w:bCs/>
        </w:rPr>
        <w:t xml:space="preserve"> </w:t>
      </w:r>
      <w:r w:rsidR="00214364" w:rsidRPr="00090FCC">
        <w:rPr>
          <w:rFonts w:ascii="Century Schoolbook" w:hAnsi="Century Schoolbook"/>
          <w:bCs/>
        </w:rPr>
        <w:t xml:space="preserve">need them to reassemble outside the door at 11:30.”  </w:t>
      </w:r>
      <w:r w:rsidR="003263C4" w:rsidRPr="00090FCC">
        <w:rPr>
          <w:rFonts w:ascii="Century Schoolbook" w:hAnsi="Century Schoolbook"/>
          <w:bCs/>
        </w:rPr>
        <w:t>The</w:t>
      </w:r>
      <w:r w:rsidR="00214364" w:rsidRPr="00090FCC">
        <w:rPr>
          <w:rFonts w:ascii="Century Schoolbook" w:hAnsi="Century Schoolbook"/>
          <w:bCs/>
        </w:rPr>
        <w:t>n</w:t>
      </w:r>
      <w:r w:rsidR="003263C4" w:rsidRPr="00090FCC">
        <w:rPr>
          <w:rFonts w:ascii="Century Schoolbook" w:hAnsi="Century Schoolbook"/>
          <w:bCs/>
        </w:rPr>
        <w:t>, the trial court made</w:t>
      </w:r>
      <w:r w:rsidR="00214364" w:rsidRPr="00090FCC">
        <w:rPr>
          <w:rFonts w:ascii="Century Schoolbook" w:hAnsi="Century Schoolbook"/>
          <w:bCs/>
        </w:rPr>
        <w:t xml:space="preserve"> an ambiguous comment that was interrupted by defense counsel</w:t>
      </w:r>
      <w:r w:rsidR="003263C4" w:rsidRPr="00090FCC">
        <w:rPr>
          <w:rFonts w:ascii="Century Schoolbook" w:hAnsi="Century Schoolbook"/>
          <w:bCs/>
        </w:rPr>
        <w:t xml:space="preserve">: </w:t>
      </w:r>
      <w:r w:rsidR="004B18FB">
        <w:rPr>
          <w:rFonts w:ascii="Century Schoolbook" w:hAnsi="Century Schoolbook"/>
          <w:bCs/>
        </w:rPr>
        <w:t xml:space="preserve"> </w:t>
      </w:r>
      <w:r w:rsidR="003263C4" w:rsidRPr="00090FCC">
        <w:rPr>
          <w:rFonts w:ascii="Century Schoolbook" w:hAnsi="Century Schoolbook"/>
          <w:bCs/>
        </w:rPr>
        <w:t>“One second.  I have someone -- they’ve already signed out of the -- .”</w:t>
      </w:r>
      <w:r w:rsidRPr="00090FCC">
        <w:rPr>
          <w:rFonts w:ascii="Century Schoolbook" w:hAnsi="Century Schoolbook"/>
          <w:bCs/>
        </w:rPr>
        <w:t xml:space="preserve">  </w:t>
      </w:r>
      <w:r w:rsidR="003263C4" w:rsidRPr="00090FCC">
        <w:rPr>
          <w:rFonts w:ascii="Century Schoolbook" w:hAnsi="Century Schoolbook"/>
          <w:bCs/>
        </w:rPr>
        <w:t xml:space="preserve">Defense counsel moved for dismissal as to the prior serious felony on the grounds that the jury had been discharged.  In denying that motion, the trial court noted that he had “told the jurors they were excused, and now . . . will have the unenviable task of telling them in fact they’re not.” </w:t>
      </w:r>
    </w:p>
    <w:p w14:paraId="72DCC167" w14:textId="0E8D1FC3" w:rsidR="00872AC3" w:rsidRPr="00090FCC" w:rsidRDefault="008F6F33" w:rsidP="00872AC3">
      <w:pPr>
        <w:spacing w:line="360" w:lineRule="auto"/>
        <w:rPr>
          <w:rFonts w:ascii="Century Schoolbook" w:hAnsi="Century Schoolbook"/>
          <w:bCs/>
        </w:rPr>
      </w:pPr>
      <w:r w:rsidRPr="00090FCC">
        <w:rPr>
          <w:rFonts w:ascii="Century Schoolbook" w:hAnsi="Century Schoolbook"/>
          <w:bCs/>
        </w:rPr>
        <w:tab/>
      </w:r>
      <w:r w:rsidR="003263C4" w:rsidRPr="00090FCC">
        <w:rPr>
          <w:rFonts w:ascii="Century Schoolbook" w:hAnsi="Century Schoolbook"/>
          <w:bCs/>
        </w:rPr>
        <w:t xml:space="preserve">At 11:50 </w:t>
      </w:r>
      <w:r w:rsidR="00212BF6">
        <w:rPr>
          <w:rFonts w:ascii="Century Schoolbook" w:hAnsi="Century Schoolbook"/>
          <w:bCs/>
        </w:rPr>
        <w:t>a</w:t>
      </w:r>
      <w:r w:rsidR="003263C4" w:rsidRPr="00090FCC">
        <w:rPr>
          <w:rFonts w:ascii="Century Schoolbook" w:hAnsi="Century Schoolbook"/>
          <w:bCs/>
        </w:rPr>
        <w:t xml:space="preserve">.m., proceedings resumed without any indication that the jurors had returned to the courtroom or reassembled at 11:30.  </w:t>
      </w:r>
      <w:r w:rsidR="00D86BC7" w:rsidRPr="00090FCC">
        <w:rPr>
          <w:rFonts w:ascii="Century Schoolbook" w:hAnsi="Century Schoolbook"/>
          <w:bCs/>
        </w:rPr>
        <w:t>A</w:t>
      </w:r>
      <w:r w:rsidR="003263C4" w:rsidRPr="00090FCC">
        <w:rPr>
          <w:rFonts w:ascii="Century Schoolbook" w:hAnsi="Century Schoolbook"/>
          <w:bCs/>
        </w:rPr>
        <w:t>nother recess</w:t>
      </w:r>
      <w:r w:rsidR="00D86BC7" w:rsidRPr="00090FCC">
        <w:rPr>
          <w:rFonts w:ascii="Century Schoolbook" w:hAnsi="Century Schoolbook"/>
          <w:bCs/>
        </w:rPr>
        <w:t xml:space="preserve"> was taken before </w:t>
      </w:r>
      <w:r w:rsidR="003263C4" w:rsidRPr="00090FCC">
        <w:rPr>
          <w:rFonts w:ascii="Century Schoolbook" w:hAnsi="Century Schoolbook"/>
          <w:bCs/>
        </w:rPr>
        <w:t xml:space="preserve">proceedings resumed again </w:t>
      </w:r>
      <w:r w:rsidR="00D86BC7" w:rsidRPr="00090FCC">
        <w:rPr>
          <w:rFonts w:ascii="Century Schoolbook" w:hAnsi="Century Schoolbook"/>
          <w:bCs/>
        </w:rPr>
        <w:t>from</w:t>
      </w:r>
      <w:r w:rsidR="003263C4" w:rsidRPr="00090FCC">
        <w:rPr>
          <w:rFonts w:ascii="Century Schoolbook" w:hAnsi="Century Schoolbook"/>
          <w:bCs/>
        </w:rPr>
        <w:t xml:space="preserve"> 1:22 </w:t>
      </w:r>
      <w:r w:rsidR="00D86BC7" w:rsidRPr="00090FCC">
        <w:rPr>
          <w:rFonts w:ascii="Century Schoolbook" w:hAnsi="Century Schoolbook"/>
          <w:bCs/>
        </w:rPr>
        <w:t xml:space="preserve">to 1:40 </w:t>
      </w:r>
      <w:r w:rsidR="003263C4" w:rsidRPr="00090FCC">
        <w:rPr>
          <w:rFonts w:ascii="Century Schoolbook" w:hAnsi="Century Schoolbook"/>
          <w:bCs/>
        </w:rPr>
        <w:t>p.m.</w:t>
      </w:r>
      <w:r w:rsidR="00D86BC7" w:rsidRPr="00090FCC">
        <w:rPr>
          <w:rFonts w:ascii="Century Schoolbook" w:hAnsi="Century Schoolbook"/>
          <w:bCs/>
        </w:rPr>
        <w:t>,</w:t>
      </w:r>
      <w:r w:rsidR="003263C4" w:rsidRPr="00090FCC">
        <w:rPr>
          <w:rFonts w:ascii="Century Schoolbook" w:hAnsi="Century Schoolbook"/>
          <w:bCs/>
        </w:rPr>
        <w:t xml:space="preserve"> outside the presence of the jury. </w:t>
      </w:r>
      <w:r w:rsidR="00D86BC7" w:rsidRPr="00090FCC">
        <w:rPr>
          <w:rFonts w:ascii="Century Schoolbook" w:hAnsi="Century Schoolbook"/>
          <w:bCs/>
        </w:rPr>
        <w:t xml:space="preserve"> At 2:05 p.m., again outside the presence of the jury, exhibits were marked in anticipation of the second part of the bifurcated trial.  Finally, the trial court ordered the jurors to be brought in.  No admonition was given before proceeding to </w:t>
      </w:r>
      <w:r w:rsidR="00BE0044" w:rsidRPr="00090FCC">
        <w:rPr>
          <w:rFonts w:ascii="Century Schoolbook" w:hAnsi="Century Schoolbook"/>
          <w:bCs/>
        </w:rPr>
        <w:t>try</w:t>
      </w:r>
      <w:r w:rsidR="00D86BC7" w:rsidRPr="00090FCC">
        <w:rPr>
          <w:rFonts w:ascii="Century Schoolbook" w:hAnsi="Century Schoolbook"/>
          <w:bCs/>
        </w:rPr>
        <w:t xml:space="preserve"> the prior serious felony conviction.  </w:t>
      </w:r>
      <w:r w:rsidR="00BE0044" w:rsidRPr="00090FCC">
        <w:rPr>
          <w:rFonts w:ascii="Century Schoolbook" w:hAnsi="Century Schoolbook"/>
          <w:bCs/>
        </w:rPr>
        <w:t xml:space="preserve">Months later, in denying appellant’s motion for new trial, the trial court remarked that the jury “never even left the courthouse.” </w:t>
      </w:r>
    </w:p>
    <w:p w14:paraId="1CADD3A6" w14:textId="0530379F" w:rsidR="008F6F33" w:rsidRPr="00090FCC" w:rsidRDefault="00BE0044" w:rsidP="00872AC3">
      <w:pPr>
        <w:spacing w:line="360" w:lineRule="auto"/>
        <w:rPr>
          <w:rFonts w:ascii="Century Schoolbook" w:hAnsi="Century Schoolbook"/>
          <w:bCs/>
        </w:rPr>
      </w:pPr>
      <w:r w:rsidRPr="00090FCC">
        <w:rPr>
          <w:rFonts w:ascii="Century Schoolbook" w:hAnsi="Century Schoolbook"/>
          <w:bCs/>
        </w:rPr>
        <w:tab/>
        <w:t xml:space="preserve">Thus, the jurors were discharged and freed of any admonition </w:t>
      </w:r>
      <w:r w:rsidR="00BB2128" w:rsidRPr="00090FCC">
        <w:rPr>
          <w:rFonts w:ascii="Century Schoolbook" w:hAnsi="Century Schoolbook"/>
          <w:bCs/>
        </w:rPr>
        <w:t xml:space="preserve">shortly after 10:10 a.m. and did not return to the courtroom until hours later, at 2:05 p.m.  The trial court’s contemporaneous instructions to the bailiff, along with </w:t>
      </w:r>
      <w:r w:rsidR="00BB2128" w:rsidRPr="00090FCC">
        <w:rPr>
          <w:rFonts w:ascii="Century Schoolbook" w:hAnsi="Century Schoolbook"/>
          <w:bCs/>
        </w:rPr>
        <w:lastRenderedPageBreak/>
        <w:t xml:space="preserve">the trial court’s own remarks months later, suggest that the jurors stayed </w:t>
      </w:r>
      <w:r w:rsidR="003E222C" w:rsidRPr="00090FCC">
        <w:rPr>
          <w:rFonts w:ascii="Century Schoolbook" w:hAnsi="Century Schoolbook"/>
          <w:bCs/>
        </w:rPr>
        <w:t>within the courthouse, but the record is silent as to whether they abided by the terms of the admonition from which they had already been released.  The record does not account for the jurors’ conduct or specific whereabouts during their hours-long absence from the courtroom, and it is not clear whether even the trial court had such knowledge at the time.  Given such a paucity of evidence, we cannot conclude that the jury remained within the court’s control.</w:t>
      </w:r>
    </w:p>
    <w:p w14:paraId="199145FD" w14:textId="35F0F18F" w:rsidR="00A22246" w:rsidRPr="00090FCC" w:rsidRDefault="003E222C" w:rsidP="00A22246">
      <w:pPr>
        <w:spacing w:line="360" w:lineRule="auto"/>
        <w:rPr>
          <w:rFonts w:ascii="Century Schoolbook" w:hAnsi="Century Schoolbook"/>
          <w:bCs/>
        </w:rPr>
      </w:pPr>
      <w:r w:rsidRPr="00090FCC">
        <w:rPr>
          <w:rFonts w:ascii="Century Schoolbook" w:hAnsi="Century Schoolbook"/>
          <w:bCs/>
        </w:rPr>
        <w:tab/>
        <w:t xml:space="preserve">That </w:t>
      </w:r>
      <w:r w:rsidR="0021397E" w:rsidRPr="00090FCC">
        <w:rPr>
          <w:rFonts w:ascii="Century Schoolbook" w:hAnsi="Century Schoolbook"/>
          <w:bCs/>
        </w:rPr>
        <w:t>analysis</w:t>
      </w:r>
      <w:r w:rsidRPr="00090FCC">
        <w:rPr>
          <w:rFonts w:ascii="Century Schoolbook" w:hAnsi="Century Schoolbook"/>
          <w:bCs/>
        </w:rPr>
        <w:t xml:space="preserve"> is only reinforced by comparison of the record here to the cases relied upon by respondent, in which the trial courts did not lose control.  </w:t>
      </w:r>
      <w:r w:rsidR="007E61DC" w:rsidRPr="00090FCC">
        <w:rPr>
          <w:rFonts w:ascii="Century Schoolbook" w:hAnsi="Century Schoolbook"/>
          <w:bCs/>
        </w:rPr>
        <w:t xml:space="preserve">In </w:t>
      </w:r>
      <w:r w:rsidR="007E61DC" w:rsidRPr="00090FCC">
        <w:rPr>
          <w:rFonts w:ascii="Century Schoolbook" w:hAnsi="Century Schoolbook"/>
          <w:bCs/>
          <w:i/>
          <w:iCs/>
        </w:rPr>
        <w:t>People v. Shaffer</w:t>
      </w:r>
      <w:r w:rsidR="007E61DC" w:rsidRPr="00090FCC">
        <w:rPr>
          <w:rFonts w:ascii="Century Schoolbook" w:hAnsi="Century Schoolbook"/>
          <w:bCs/>
        </w:rPr>
        <w:t xml:space="preserve"> (1987) 195 Cal.App.3d 939, 941</w:t>
      </w:r>
      <w:r w:rsidRPr="00090FCC">
        <w:rPr>
          <w:rFonts w:ascii="Century Schoolbook" w:hAnsi="Century Schoolbook"/>
          <w:bCs/>
        </w:rPr>
        <w:t xml:space="preserve"> (</w:t>
      </w:r>
      <w:r w:rsidRPr="00090FCC">
        <w:rPr>
          <w:rFonts w:ascii="Century Schoolbook" w:hAnsi="Century Schoolbook"/>
          <w:bCs/>
          <w:i/>
          <w:iCs/>
        </w:rPr>
        <w:t>Shaffer</w:t>
      </w:r>
      <w:r w:rsidRPr="00090FCC">
        <w:rPr>
          <w:rFonts w:ascii="Century Schoolbook" w:hAnsi="Century Schoolbook"/>
          <w:bCs/>
        </w:rPr>
        <w:t>)</w:t>
      </w:r>
      <w:r w:rsidR="007E61DC" w:rsidRPr="00090FCC">
        <w:rPr>
          <w:rFonts w:ascii="Century Schoolbook" w:hAnsi="Century Schoolbook"/>
          <w:bCs/>
        </w:rPr>
        <w:t xml:space="preserve">, the trial court told the jury: </w:t>
      </w:r>
      <w:r w:rsidR="004B18FB">
        <w:rPr>
          <w:rFonts w:ascii="Century Schoolbook" w:hAnsi="Century Schoolbook"/>
          <w:bCs/>
        </w:rPr>
        <w:t xml:space="preserve"> </w:t>
      </w:r>
      <w:r w:rsidR="007E61DC" w:rsidRPr="00090FCC">
        <w:rPr>
          <w:rFonts w:ascii="Century Schoolbook" w:hAnsi="Century Schoolbook"/>
          <w:bCs/>
        </w:rPr>
        <w:t xml:space="preserve">“ ‘I would like to meet with you, </w:t>
      </w:r>
      <w:proofErr w:type="gramStart"/>
      <w:r w:rsidR="007E61DC" w:rsidRPr="00090FCC">
        <w:rPr>
          <w:rFonts w:ascii="Century Schoolbook" w:hAnsi="Century Schoolbook"/>
          <w:bCs/>
        </w:rPr>
        <w:t>ladies</w:t>
      </w:r>
      <w:proofErr w:type="gramEnd"/>
      <w:r w:rsidR="007E61DC" w:rsidRPr="00090FCC">
        <w:rPr>
          <w:rFonts w:ascii="Century Schoolbook" w:hAnsi="Century Schoolbook"/>
          <w:bCs/>
        </w:rPr>
        <w:t xml:space="preserve"> and gentlemen, if you wish to. </w:t>
      </w:r>
      <w:r w:rsidR="00FF3F91">
        <w:rPr>
          <w:rFonts w:ascii="Century Schoolbook" w:hAnsi="Century Schoolbook"/>
          <w:bCs/>
        </w:rPr>
        <w:t xml:space="preserve"> </w:t>
      </w:r>
      <w:r w:rsidR="007E61DC" w:rsidRPr="00090FCC">
        <w:rPr>
          <w:rFonts w:ascii="Century Schoolbook" w:hAnsi="Century Schoolbook"/>
          <w:bCs/>
        </w:rPr>
        <w:t>You are not required to because in a moment I will excuse you and I will ask you to return to the jury assembly room for further instructions there.</w:t>
      </w:r>
      <w:r w:rsidR="00FF3F91">
        <w:rPr>
          <w:rFonts w:ascii="Century Schoolbook" w:hAnsi="Century Schoolbook"/>
          <w:bCs/>
        </w:rPr>
        <w:t xml:space="preserve"> </w:t>
      </w:r>
      <w:r w:rsidR="007E61DC" w:rsidRPr="00090FCC">
        <w:rPr>
          <w:rFonts w:ascii="Century Schoolbook" w:hAnsi="Century Schoolbook"/>
          <w:bCs/>
        </w:rPr>
        <w:t xml:space="preserve"> But if you are inclined, I would like to meet with you in chambers now and the bailiff will show you the way. </w:t>
      </w:r>
      <w:r w:rsidR="00FF3F91">
        <w:rPr>
          <w:rFonts w:ascii="Century Schoolbook" w:hAnsi="Century Schoolbook"/>
          <w:bCs/>
        </w:rPr>
        <w:t xml:space="preserve"> </w:t>
      </w:r>
      <w:r w:rsidR="007E61DC" w:rsidRPr="00090FCC">
        <w:rPr>
          <w:rFonts w:ascii="Century Schoolbook" w:hAnsi="Century Schoolbook"/>
          <w:bCs/>
        </w:rPr>
        <w:t>Thank you.’ ”  Then, consistent with what the trial court had already indicated, “the jury did in fact meet with [the court] in chambers” before “the Court had the original jurors and alternates reconvene in the jury room to await further order of the Court.”  (</w:t>
      </w:r>
      <w:r w:rsidR="007E61DC" w:rsidRPr="00090FCC">
        <w:rPr>
          <w:rFonts w:ascii="Century Schoolbook" w:hAnsi="Century Schoolbook"/>
          <w:bCs/>
          <w:i/>
          <w:iCs/>
        </w:rPr>
        <w:t>Ibid</w:t>
      </w:r>
      <w:r w:rsidR="007E61DC" w:rsidRPr="00090FCC">
        <w:rPr>
          <w:rFonts w:ascii="Century Schoolbook" w:hAnsi="Century Schoolbook"/>
          <w:bCs/>
        </w:rPr>
        <w:t>.)</w:t>
      </w:r>
      <w:r w:rsidR="00B76DCF" w:rsidRPr="00090FCC">
        <w:rPr>
          <w:rFonts w:ascii="Century Schoolbook" w:hAnsi="Century Schoolbook"/>
          <w:bCs/>
        </w:rPr>
        <w:t xml:space="preserve">  There, “the clerk buzzed to indicate that the priors had not been attended to, and that is when the jury was reconstituted.”  (</w:t>
      </w:r>
      <w:r w:rsidR="00B76DCF" w:rsidRPr="00090FCC">
        <w:rPr>
          <w:rFonts w:ascii="Century Schoolbook" w:hAnsi="Century Schoolbook"/>
          <w:bCs/>
          <w:i/>
          <w:iCs/>
        </w:rPr>
        <w:t>Ibid</w:t>
      </w:r>
      <w:r w:rsidR="00B76DCF" w:rsidRPr="00090FCC">
        <w:rPr>
          <w:rFonts w:ascii="Century Schoolbook" w:hAnsi="Century Schoolbook"/>
          <w:bCs/>
        </w:rPr>
        <w:t>.)</w:t>
      </w:r>
      <w:r w:rsidRPr="00090FCC">
        <w:rPr>
          <w:rFonts w:ascii="Century Schoolbook" w:hAnsi="Century Schoolbook"/>
          <w:bCs/>
        </w:rPr>
        <w:t xml:space="preserve">  Thus, in </w:t>
      </w:r>
      <w:r w:rsidRPr="00090FCC">
        <w:rPr>
          <w:rFonts w:ascii="Century Schoolbook" w:hAnsi="Century Schoolbook"/>
          <w:bCs/>
          <w:i/>
          <w:iCs/>
        </w:rPr>
        <w:t>Shaffer</w:t>
      </w:r>
      <w:r w:rsidRPr="00090FCC">
        <w:rPr>
          <w:rFonts w:ascii="Century Schoolbook" w:hAnsi="Century Schoolbook"/>
          <w:bCs/>
        </w:rPr>
        <w:t>, the discharged jury was released to two rooms not ordinarily open to the public, not “the courthouse” at large.  And i</w:t>
      </w:r>
      <w:r w:rsidR="003D4234" w:rsidRPr="00090FCC">
        <w:rPr>
          <w:rFonts w:ascii="Century Schoolbook" w:hAnsi="Century Schoolbook"/>
          <w:bCs/>
        </w:rPr>
        <w:t xml:space="preserve">n </w:t>
      </w:r>
      <w:r w:rsidR="003D4234" w:rsidRPr="00090FCC">
        <w:rPr>
          <w:rFonts w:ascii="Century Schoolbook" w:hAnsi="Century Schoolbook"/>
          <w:bCs/>
          <w:i/>
          <w:iCs/>
        </w:rPr>
        <w:t>People v. Kimbell</w:t>
      </w:r>
      <w:r w:rsidR="003D4234" w:rsidRPr="00090FCC">
        <w:rPr>
          <w:rFonts w:ascii="Century Schoolbook" w:hAnsi="Century Schoolbook"/>
          <w:bCs/>
        </w:rPr>
        <w:t xml:space="preserve"> (2008) 168 Cal.App.4th 904, 908, “the jury had not even left the jury box.”</w:t>
      </w:r>
    </w:p>
    <w:p w14:paraId="75DC3569" w14:textId="74B369A9" w:rsidR="00927FD8" w:rsidRPr="00AD0DD5" w:rsidRDefault="003E222C" w:rsidP="00D77630">
      <w:pPr>
        <w:spacing w:line="360" w:lineRule="auto"/>
        <w:rPr>
          <w:rFonts w:ascii="Century Schoolbook" w:hAnsi="Century Schoolbook"/>
          <w:bCs/>
        </w:rPr>
      </w:pPr>
      <w:r w:rsidRPr="00090FCC">
        <w:rPr>
          <w:rFonts w:ascii="Century Schoolbook" w:hAnsi="Century Schoolbook"/>
          <w:bCs/>
        </w:rPr>
        <w:tab/>
      </w:r>
      <w:r w:rsidR="00D77630" w:rsidRPr="00090FCC">
        <w:rPr>
          <w:rFonts w:ascii="Century Schoolbook" w:hAnsi="Century Schoolbook"/>
          <w:bCs/>
        </w:rPr>
        <w:t xml:space="preserve">Accordingly, we </w:t>
      </w:r>
      <w:r w:rsidR="0021397E" w:rsidRPr="00090FCC">
        <w:rPr>
          <w:rFonts w:ascii="Century Schoolbook" w:hAnsi="Century Schoolbook"/>
          <w:bCs/>
        </w:rPr>
        <w:t>conclude</w:t>
      </w:r>
      <w:r w:rsidR="00D77630" w:rsidRPr="00090FCC">
        <w:rPr>
          <w:rFonts w:ascii="Century Schoolbook" w:hAnsi="Century Schoolbook"/>
          <w:bCs/>
        </w:rPr>
        <w:t xml:space="preserve"> that the court lost jurisdiction over the jurors before they were ostensibly reconvened, thus rendering their verdict as to appellant’s prior serious felony conviction a nullity.</w:t>
      </w:r>
    </w:p>
    <w:p w14:paraId="2260C933" w14:textId="4BD24FF2" w:rsidR="00792BFD" w:rsidRPr="00090FCC" w:rsidRDefault="00A0171D" w:rsidP="003753F9">
      <w:pPr>
        <w:spacing w:line="360" w:lineRule="auto"/>
        <w:rPr>
          <w:rFonts w:ascii="Century Schoolbook" w:hAnsi="Century Schoolbook"/>
          <w:b/>
        </w:rPr>
      </w:pPr>
      <w:r w:rsidRPr="00090FCC">
        <w:rPr>
          <w:rFonts w:ascii="Century Schoolbook" w:hAnsi="Century Schoolbook"/>
          <w:bCs/>
        </w:rPr>
        <w:lastRenderedPageBreak/>
        <w:tab/>
      </w:r>
      <w:r w:rsidRPr="00090FCC">
        <w:rPr>
          <w:rFonts w:ascii="Century Schoolbook" w:hAnsi="Century Schoolbook"/>
          <w:b/>
        </w:rPr>
        <w:t xml:space="preserve">C.  </w:t>
      </w:r>
      <w:r w:rsidR="00780AE8" w:rsidRPr="00090FCC">
        <w:rPr>
          <w:rFonts w:ascii="Century Schoolbook" w:hAnsi="Century Schoolbook"/>
          <w:b/>
          <w:u w:val="single"/>
        </w:rPr>
        <w:t xml:space="preserve">Alleged Error in the Trial Court’s </w:t>
      </w:r>
      <w:r w:rsidR="00122BDC" w:rsidRPr="00090FCC">
        <w:rPr>
          <w:rFonts w:ascii="Century Schoolbook" w:hAnsi="Century Schoolbook"/>
          <w:b/>
          <w:u w:val="single"/>
        </w:rPr>
        <w:t xml:space="preserve">Denial of Appellant’s Motion for </w:t>
      </w:r>
      <w:r w:rsidR="00EE0D2A" w:rsidRPr="00090FCC">
        <w:rPr>
          <w:rFonts w:ascii="Century Schoolbook" w:hAnsi="Century Schoolbook"/>
          <w:b/>
          <w:u w:val="single"/>
        </w:rPr>
        <w:t xml:space="preserve">a </w:t>
      </w:r>
      <w:r w:rsidR="008C0D49" w:rsidRPr="00090FCC">
        <w:rPr>
          <w:rFonts w:ascii="Century Schoolbook" w:hAnsi="Century Schoolbook"/>
          <w:b/>
          <w:u w:val="single"/>
        </w:rPr>
        <w:t>New Trial</w:t>
      </w:r>
    </w:p>
    <w:p w14:paraId="15F1978C" w14:textId="508C0DCD" w:rsidR="00D50042" w:rsidRPr="00090FCC" w:rsidRDefault="008C0D49" w:rsidP="00D50042">
      <w:pPr>
        <w:spacing w:line="360" w:lineRule="auto"/>
        <w:rPr>
          <w:rFonts w:ascii="Century Schoolbook" w:hAnsi="Century Schoolbook"/>
          <w:bCs/>
        </w:rPr>
      </w:pPr>
      <w:r w:rsidRPr="00090FCC">
        <w:rPr>
          <w:rFonts w:ascii="Century Schoolbook" w:hAnsi="Century Schoolbook"/>
          <w:bCs/>
        </w:rPr>
        <w:tab/>
        <w:t xml:space="preserve">Appellant argues that the trial court erred in denying </w:t>
      </w:r>
      <w:r w:rsidR="008C2BF2" w:rsidRPr="00090FCC">
        <w:rPr>
          <w:rFonts w:ascii="Century Schoolbook" w:hAnsi="Century Schoolbook"/>
          <w:bCs/>
        </w:rPr>
        <w:t>his purported request</w:t>
      </w:r>
      <w:r w:rsidRPr="00090FCC">
        <w:rPr>
          <w:rFonts w:ascii="Century Schoolbook" w:hAnsi="Century Schoolbook"/>
          <w:bCs/>
        </w:rPr>
        <w:t xml:space="preserve"> for mistrial</w:t>
      </w:r>
      <w:r w:rsidR="008C2BF2" w:rsidRPr="00090FCC">
        <w:rPr>
          <w:rFonts w:ascii="Century Schoolbook" w:hAnsi="Century Schoolbook"/>
          <w:bCs/>
        </w:rPr>
        <w:t xml:space="preserve"> occasioned by Richards’s testimony about a shooting in Vallejo.</w:t>
      </w:r>
      <w:r w:rsidRPr="00090FCC">
        <w:rPr>
          <w:rFonts w:ascii="Century Schoolbook" w:hAnsi="Century Schoolbook"/>
          <w:bCs/>
        </w:rPr>
        <w:t xml:space="preserve"> </w:t>
      </w:r>
      <w:r w:rsidR="008C2BF2" w:rsidRPr="00090FCC">
        <w:rPr>
          <w:rFonts w:ascii="Century Schoolbook" w:hAnsi="Century Schoolbook"/>
          <w:bCs/>
        </w:rPr>
        <w:t xml:space="preserve"> However, </w:t>
      </w:r>
      <w:r w:rsidR="008C2BF2" w:rsidRPr="00AD0DD5">
        <w:rPr>
          <w:rFonts w:ascii="Century Schoolbook" w:hAnsi="Century Schoolbook"/>
          <w:bCs/>
        </w:rPr>
        <w:t>appellant made no such request</w:t>
      </w:r>
      <w:r w:rsidR="008C2BF2" w:rsidRPr="00090FCC">
        <w:rPr>
          <w:rStyle w:val="FootnoteReference"/>
          <w:rFonts w:ascii="Century Schoolbook" w:hAnsi="Century Schoolbook"/>
          <w:bCs/>
        </w:rPr>
        <w:footnoteReference w:id="4"/>
      </w:r>
      <w:r w:rsidR="008C2BF2" w:rsidRPr="00090FCC">
        <w:rPr>
          <w:rFonts w:ascii="Century Schoolbook" w:hAnsi="Century Schoolbook"/>
          <w:bCs/>
        </w:rPr>
        <w:t xml:space="preserve"> and in such circumstances </w:t>
      </w:r>
      <w:r w:rsidR="00957B30" w:rsidRPr="00090FCC">
        <w:rPr>
          <w:rFonts w:ascii="Century Schoolbook" w:hAnsi="Century Schoolbook"/>
          <w:bCs/>
        </w:rPr>
        <w:t>a</w:t>
      </w:r>
      <w:r w:rsidR="008C2BF2" w:rsidRPr="00090FCC">
        <w:rPr>
          <w:rFonts w:ascii="Century Schoolbook" w:hAnsi="Century Schoolbook"/>
          <w:bCs/>
        </w:rPr>
        <w:t xml:space="preserve"> </w:t>
      </w:r>
      <w:r w:rsidR="00A6371B" w:rsidRPr="00090FCC">
        <w:rPr>
          <w:rFonts w:ascii="Century Schoolbook" w:hAnsi="Century Schoolbook"/>
          <w:bCs/>
        </w:rPr>
        <w:t xml:space="preserve">mistrial </w:t>
      </w:r>
      <w:r w:rsidR="0020703F" w:rsidRPr="00090FCC">
        <w:rPr>
          <w:rFonts w:ascii="Century Schoolbook" w:hAnsi="Century Schoolbook"/>
          <w:bCs/>
        </w:rPr>
        <w:t xml:space="preserve">ordered by the </w:t>
      </w:r>
      <w:r w:rsidR="008C2BF2" w:rsidRPr="00090FCC">
        <w:rPr>
          <w:rFonts w:ascii="Century Schoolbook" w:hAnsi="Century Schoolbook"/>
          <w:bCs/>
        </w:rPr>
        <w:t>trial court on its own motion</w:t>
      </w:r>
      <w:r w:rsidR="0020703F" w:rsidRPr="00090FCC">
        <w:rPr>
          <w:rFonts w:ascii="Century Schoolbook" w:hAnsi="Century Schoolbook"/>
          <w:bCs/>
        </w:rPr>
        <w:t xml:space="preserve"> will bar a re-trial under </w:t>
      </w:r>
      <w:r w:rsidR="00101001" w:rsidRPr="00090FCC">
        <w:rPr>
          <w:rFonts w:ascii="Century Schoolbook" w:hAnsi="Century Schoolbook"/>
          <w:bCs/>
        </w:rPr>
        <w:t>t</w:t>
      </w:r>
      <w:r w:rsidR="0020703F" w:rsidRPr="00090FCC">
        <w:rPr>
          <w:rFonts w:ascii="Century Schoolbook" w:hAnsi="Century Schoolbook"/>
          <w:bCs/>
        </w:rPr>
        <w:t xml:space="preserve">he double jeopardy </w:t>
      </w:r>
      <w:r w:rsidR="009F426D" w:rsidRPr="00090FCC">
        <w:rPr>
          <w:rFonts w:ascii="Century Schoolbook" w:hAnsi="Century Schoolbook"/>
          <w:bCs/>
        </w:rPr>
        <w:t>clause</w:t>
      </w:r>
      <w:r w:rsidR="008C2BF2" w:rsidRPr="00090FCC">
        <w:rPr>
          <w:rFonts w:ascii="Century Schoolbook" w:hAnsi="Century Schoolbook"/>
          <w:bCs/>
        </w:rPr>
        <w:t>.</w:t>
      </w:r>
      <w:r w:rsidR="00FF3F91">
        <w:rPr>
          <w:rFonts w:ascii="Century Schoolbook" w:hAnsi="Century Schoolbook"/>
          <w:bCs/>
        </w:rPr>
        <w:t xml:space="preserve"> </w:t>
      </w:r>
      <w:r w:rsidR="008C2BF2" w:rsidRPr="00090FCC">
        <w:rPr>
          <w:rFonts w:ascii="Century Schoolbook" w:hAnsi="Century Schoolbook"/>
          <w:bCs/>
        </w:rPr>
        <w:t xml:space="preserve"> (</w:t>
      </w:r>
      <w:r w:rsidR="008C2BF2" w:rsidRPr="00090FCC">
        <w:rPr>
          <w:rFonts w:ascii="Century Schoolbook" w:hAnsi="Century Schoolbook"/>
          <w:bCs/>
          <w:i/>
          <w:iCs/>
        </w:rPr>
        <w:t>Curry v. Superior Court</w:t>
      </w:r>
      <w:r w:rsidR="008C2BF2" w:rsidRPr="00090FCC">
        <w:rPr>
          <w:rFonts w:ascii="Century Schoolbook" w:hAnsi="Century Schoolbook"/>
          <w:bCs/>
        </w:rPr>
        <w:t xml:space="preserve"> (1970) 2 Cal.3d 707,</w:t>
      </w:r>
      <w:r w:rsidR="00212BF6">
        <w:rPr>
          <w:rFonts w:ascii="Century Schoolbook" w:hAnsi="Century Schoolbook"/>
          <w:bCs/>
        </w:rPr>
        <w:t xml:space="preserve"> 713–</w:t>
      </w:r>
      <w:r w:rsidR="008C2BF2" w:rsidRPr="00090FCC">
        <w:rPr>
          <w:rFonts w:ascii="Century Schoolbook" w:hAnsi="Century Schoolbook"/>
          <w:bCs/>
        </w:rPr>
        <w:t>714.)  Accordingly, we address only appellant’s contention that “at least, the motion for new trial should have been granted.”  We reject that contention.</w:t>
      </w:r>
    </w:p>
    <w:p w14:paraId="0F5F140A" w14:textId="77777777" w:rsidR="00581ECB" w:rsidRPr="00090FCC" w:rsidRDefault="00581ECB" w:rsidP="00581ECB">
      <w:pPr>
        <w:spacing w:line="360" w:lineRule="auto"/>
        <w:jc w:val="center"/>
        <w:rPr>
          <w:rFonts w:ascii="Century Schoolbook" w:hAnsi="Century Schoolbook"/>
          <w:b/>
        </w:rPr>
      </w:pPr>
      <w:r w:rsidRPr="00090FCC">
        <w:rPr>
          <w:rFonts w:ascii="Century Schoolbook" w:hAnsi="Century Schoolbook"/>
          <w:b/>
        </w:rPr>
        <w:t xml:space="preserve">1.  </w:t>
      </w:r>
      <w:r w:rsidRPr="00090FCC">
        <w:rPr>
          <w:rFonts w:ascii="Century Schoolbook" w:hAnsi="Century Schoolbook"/>
          <w:b/>
          <w:i/>
          <w:iCs/>
        </w:rPr>
        <w:t>Standard of Review</w:t>
      </w:r>
    </w:p>
    <w:p w14:paraId="5BA7CA44" w14:textId="5698648B" w:rsidR="0071336A" w:rsidRPr="00090FCC" w:rsidRDefault="0071336A" w:rsidP="0071336A">
      <w:pPr>
        <w:spacing w:line="360" w:lineRule="auto"/>
        <w:rPr>
          <w:rFonts w:ascii="Century Schoolbook" w:hAnsi="Century Schoolbook"/>
          <w:bCs/>
        </w:rPr>
      </w:pPr>
      <w:r w:rsidRPr="00090FCC">
        <w:rPr>
          <w:rFonts w:ascii="Century Schoolbook" w:hAnsi="Century Schoolbook"/>
          <w:bCs/>
        </w:rPr>
        <w:tab/>
        <w:t>“ ‘We review a trial court’s ruling on a motion for a new trial under a deferential abuse-of-discretion standard.’</w:t>
      </w:r>
      <w:r w:rsidR="00FF3F91">
        <w:rPr>
          <w:rFonts w:ascii="Century Schoolbook" w:hAnsi="Century Schoolbook"/>
          <w:bCs/>
        </w:rPr>
        <w:t xml:space="preserve"> </w:t>
      </w:r>
      <w:r w:rsidRPr="00090FCC">
        <w:rPr>
          <w:rFonts w:ascii="Century Schoolbook" w:hAnsi="Century Schoolbook"/>
          <w:bCs/>
        </w:rPr>
        <w:t xml:space="preserve"> [Citations.]</w:t>
      </w:r>
      <w:r w:rsidR="00FF3F91">
        <w:rPr>
          <w:rFonts w:ascii="Century Schoolbook" w:hAnsi="Century Schoolbook"/>
          <w:bCs/>
        </w:rPr>
        <w:t xml:space="preserve"> </w:t>
      </w:r>
      <w:r w:rsidRPr="00090FCC">
        <w:rPr>
          <w:rFonts w:ascii="Century Schoolbook" w:hAnsi="Century Schoolbook"/>
          <w:bCs/>
        </w:rPr>
        <w:t xml:space="preserve"> ‘ “A trial court’s ruling on a motion for new trial is so completely within that court’s discretion that a reviewing court will not disturb the ruling absent a manifest and unmistakable abuse of that discretion.” ’ ” (</w:t>
      </w:r>
      <w:r w:rsidRPr="00090FCC">
        <w:rPr>
          <w:rFonts w:ascii="Century Schoolbook" w:hAnsi="Century Schoolbook"/>
          <w:bCs/>
          <w:i/>
          <w:iCs/>
        </w:rPr>
        <w:t>People v. Thompson</w:t>
      </w:r>
      <w:r w:rsidRPr="00090FCC">
        <w:rPr>
          <w:rFonts w:ascii="Century Schoolbook" w:hAnsi="Century Schoolbook"/>
          <w:bCs/>
        </w:rPr>
        <w:t xml:space="preserve"> (2010) 49 Cal.4th 79, 140.)</w:t>
      </w:r>
    </w:p>
    <w:p w14:paraId="3D07BE62" w14:textId="7303EF41" w:rsidR="00581ECB" w:rsidRPr="00090FCC" w:rsidRDefault="00E8122C" w:rsidP="00E8122C">
      <w:pPr>
        <w:spacing w:line="360" w:lineRule="auto"/>
        <w:jc w:val="center"/>
        <w:rPr>
          <w:rFonts w:ascii="Century Schoolbook" w:hAnsi="Century Schoolbook"/>
          <w:b/>
          <w:i/>
          <w:iCs/>
        </w:rPr>
      </w:pPr>
      <w:r w:rsidRPr="00090FCC">
        <w:rPr>
          <w:rFonts w:ascii="Century Schoolbook" w:hAnsi="Century Schoolbook"/>
          <w:b/>
        </w:rPr>
        <w:t xml:space="preserve">2.  </w:t>
      </w:r>
      <w:r w:rsidRPr="00090FCC">
        <w:rPr>
          <w:rFonts w:ascii="Century Schoolbook" w:hAnsi="Century Schoolbook"/>
          <w:b/>
          <w:i/>
          <w:iCs/>
        </w:rPr>
        <w:t>In the Light of the Trial Court’s Curative Admonition, No Abuse of Discretion Appears</w:t>
      </w:r>
    </w:p>
    <w:p w14:paraId="0423DEC6" w14:textId="776FDB01" w:rsidR="00C25185" w:rsidRPr="00090FCC" w:rsidRDefault="00C25185" w:rsidP="0071336A">
      <w:pPr>
        <w:spacing w:line="360" w:lineRule="auto"/>
        <w:rPr>
          <w:rFonts w:ascii="Century Schoolbook" w:hAnsi="Century Schoolbook"/>
          <w:bCs/>
        </w:rPr>
      </w:pPr>
      <w:r w:rsidRPr="00090FCC">
        <w:rPr>
          <w:rFonts w:ascii="Century Schoolbook" w:hAnsi="Century Schoolbook"/>
          <w:bCs/>
        </w:rPr>
        <w:tab/>
        <w:t xml:space="preserve">Appellant’s motion for new trial mentioned Richards’s testimony only once.  In a section alleging “[o]ther violations” </w:t>
      </w:r>
      <w:r w:rsidR="00F272AC" w:rsidRPr="00090FCC">
        <w:rPr>
          <w:rFonts w:ascii="Century Schoolbook" w:hAnsi="Century Schoolbook"/>
          <w:bCs/>
        </w:rPr>
        <w:t xml:space="preserve">constituting prosecutorial misconduct, appellant argued that “the prosecution violated the </w:t>
      </w:r>
      <w:r w:rsidR="00F272AC" w:rsidRPr="00090FCC">
        <w:rPr>
          <w:rFonts w:ascii="Century Schoolbook" w:hAnsi="Century Schoolbook"/>
          <w:bCs/>
          <w:i/>
          <w:iCs/>
        </w:rPr>
        <w:t>in limine</w:t>
      </w:r>
      <w:r w:rsidR="00F272AC" w:rsidRPr="00090FCC">
        <w:rPr>
          <w:rFonts w:ascii="Century Schoolbook" w:hAnsi="Century Schoolbook"/>
          <w:bCs/>
        </w:rPr>
        <w:t xml:space="preserve"> ruling prohibiting Evidence Code 110</w:t>
      </w:r>
      <w:r w:rsidR="00090FCC" w:rsidRPr="00090FCC">
        <w:rPr>
          <w:rFonts w:ascii="Century Schoolbook" w:hAnsi="Century Schoolbook"/>
          <w:bCs/>
        </w:rPr>
        <w:t>1</w:t>
      </w:r>
      <w:r w:rsidR="00F272AC" w:rsidRPr="00090FCC">
        <w:rPr>
          <w:rFonts w:ascii="Century Schoolbook" w:hAnsi="Century Schoolbook"/>
          <w:bCs/>
        </w:rPr>
        <w:t xml:space="preserve"> prior bad conduct evidence from Santa Clara County through eliciting testimony from [Lieutenant] Nick Richards, who offered testimony of Mr. Jones engaging in some similar crime in Santa </w:t>
      </w:r>
      <w:r w:rsidR="00F272AC" w:rsidRPr="00090FCC">
        <w:rPr>
          <w:rFonts w:ascii="Century Schoolbook" w:hAnsi="Century Schoolbook"/>
          <w:bCs/>
        </w:rPr>
        <w:lastRenderedPageBreak/>
        <w:t xml:space="preserve">Clara.”  Indeed, Richards testified that he spoke to Vallejo Police Department Sergeant Greenberg.  And when the prosecutor asked Richards whether he spoke to Greenberg “about anything that . . . might relate to” a particular “Vallejo shooting,” Richards replied: </w:t>
      </w:r>
      <w:r w:rsidR="004B18FB">
        <w:rPr>
          <w:rFonts w:ascii="Century Schoolbook" w:hAnsi="Century Schoolbook"/>
          <w:bCs/>
        </w:rPr>
        <w:t xml:space="preserve"> </w:t>
      </w:r>
      <w:r w:rsidR="00F272AC" w:rsidRPr="00090FCC">
        <w:rPr>
          <w:rFonts w:ascii="Century Schoolbook" w:hAnsi="Century Schoolbook"/>
          <w:bCs/>
        </w:rPr>
        <w:t xml:space="preserve">“Yes.  I told him what I was investigating for my city, and I asked him if he had any similar crimes happen.” </w:t>
      </w:r>
    </w:p>
    <w:p w14:paraId="5F8FF606" w14:textId="31ABEE5D" w:rsidR="00F272AC" w:rsidRPr="00090FCC" w:rsidRDefault="00F272AC" w:rsidP="0071336A">
      <w:pPr>
        <w:spacing w:line="360" w:lineRule="auto"/>
        <w:rPr>
          <w:rFonts w:ascii="Century Schoolbook" w:hAnsi="Century Schoolbook"/>
          <w:bCs/>
        </w:rPr>
      </w:pPr>
      <w:r w:rsidRPr="00090FCC">
        <w:rPr>
          <w:rFonts w:ascii="Century Schoolbook" w:hAnsi="Century Schoolbook"/>
          <w:bCs/>
        </w:rPr>
        <w:tab/>
        <w:t>The clear i</w:t>
      </w:r>
      <w:r w:rsidR="00032781" w:rsidRPr="00090FCC">
        <w:rPr>
          <w:rFonts w:ascii="Century Schoolbook" w:hAnsi="Century Schoolbook"/>
          <w:bCs/>
        </w:rPr>
        <w:t>mplication</w:t>
      </w:r>
      <w:r w:rsidR="008E4657">
        <w:rPr>
          <w:rFonts w:ascii="Century Schoolbook" w:hAnsi="Century Schoolbook"/>
          <w:bCs/>
        </w:rPr>
        <w:t xml:space="preserve"> of</w:t>
      </w:r>
      <w:r w:rsidRPr="00090FCC">
        <w:rPr>
          <w:rFonts w:ascii="Century Schoolbook" w:hAnsi="Century Schoolbook"/>
          <w:bCs/>
        </w:rPr>
        <w:t xml:space="preserve"> Richards’s testimony was that the crime he was investigating for the city of Santa Clara was </w:t>
      </w:r>
      <w:r w:rsidR="00032781" w:rsidRPr="00090FCC">
        <w:rPr>
          <w:rFonts w:ascii="Century Schoolbook" w:hAnsi="Century Schoolbook"/>
          <w:bCs/>
        </w:rPr>
        <w:t xml:space="preserve">a shooting “similar” to the one that occurred in Vallejo.  That implication ran afoul of the court’s </w:t>
      </w:r>
      <w:r w:rsidR="00032781" w:rsidRPr="00090FCC">
        <w:rPr>
          <w:rFonts w:ascii="Century Schoolbook" w:hAnsi="Century Schoolbook"/>
          <w:bCs/>
          <w:i/>
          <w:iCs/>
        </w:rPr>
        <w:t>in limine</w:t>
      </w:r>
      <w:r w:rsidR="00032781" w:rsidRPr="00090FCC">
        <w:rPr>
          <w:rFonts w:ascii="Century Schoolbook" w:hAnsi="Century Schoolbook"/>
          <w:bCs/>
        </w:rPr>
        <w:t xml:space="preserve"> ruling that the Santa Clara crime was inadmissible as other-crimes evidence under Evidence Code section 110</w:t>
      </w:r>
      <w:r w:rsidR="00C552AE" w:rsidRPr="00090FCC">
        <w:rPr>
          <w:rFonts w:ascii="Century Schoolbook" w:hAnsi="Century Schoolbook"/>
          <w:bCs/>
        </w:rPr>
        <w:t>1</w:t>
      </w:r>
      <w:r w:rsidR="00032781" w:rsidRPr="00090FCC">
        <w:rPr>
          <w:rFonts w:ascii="Century Schoolbook" w:hAnsi="Century Schoolbook"/>
          <w:bCs/>
        </w:rPr>
        <w:t xml:space="preserve"> and that Richards was not to testify as to “[h]ow and why” he developed an investigative lead </w:t>
      </w:r>
      <w:r w:rsidR="0076183D" w:rsidRPr="00090FCC">
        <w:rPr>
          <w:rFonts w:ascii="Century Schoolbook" w:hAnsi="Century Schoolbook"/>
          <w:bCs/>
        </w:rPr>
        <w:t>in relation to</w:t>
      </w:r>
      <w:r w:rsidR="00032781" w:rsidRPr="00090FCC">
        <w:rPr>
          <w:rFonts w:ascii="Century Schoolbook" w:hAnsi="Century Schoolbook"/>
          <w:bCs/>
        </w:rPr>
        <w:t xml:space="preserve"> the Vallejo shooting. </w:t>
      </w:r>
    </w:p>
    <w:p w14:paraId="7EF393F6" w14:textId="29A57A35" w:rsidR="003705B1" w:rsidRPr="00090FCC" w:rsidRDefault="00032781" w:rsidP="003753F9">
      <w:pPr>
        <w:spacing w:line="360" w:lineRule="auto"/>
        <w:rPr>
          <w:rFonts w:ascii="Century Schoolbook" w:hAnsi="Century Schoolbook"/>
          <w:bCs/>
        </w:rPr>
      </w:pPr>
      <w:r w:rsidRPr="00090FCC">
        <w:rPr>
          <w:rFonts w:ascii="Century Schoolbook" w:hAnsi="Century Schoolbook"/>
          <w:bCs/>
        </w:rPr>
        <w:tab/>
        <w:t xml:space="preserve">However, </w:t>
      </w:r>
      <w:r w:rsidR="00EE0D2A" w:rsidRPr="00090FCC">
        <w:rPr>
          <w:rFonts w:ascii="Century Schoolbook" w:hAnsi="Century Schoolbook"/>
          <w:bCs/>
        </w:rPr>
        <w:t>the trial court sustained appellant’s objections to the offending portions of Richards’s testimony.  That testimony was stricken from the record</w:t>
      </w:r>
      <w:r w:rsidR="0076183D" w:rsidRPr="00090FCC">
        <w:rPr>
          <w:rFonts w:ascii="Century Schoolbook" w:hAnsi="Century Schoolbook"/>
          <w:bCs/>
        </w:rPr>
        <w:t>,</w:t>
      </w:r>
      <w:r w:rsidR="00EE0D2A" w:rsidRPr="00090FCC">
        <w:rPr>
          <w:rFonts w:ascii="Century Schoolbook" w:hAnsi="Century Schoolbook"/>
          <w:bCs/>
        </w:rPr>
        <w:t xml:space="preserve"> and in turn, the jurors were admonished that any such stricken testimony must be “disregard[ed]” and “not consider[ed].”  “In the absence of evidence to the contrary, we presume the jury heeded the admonition.”  (</w:t>
      </w:r>
      <w:r w:rsidR="00EE0D2A" w:rsidRPr="00090FCC">
        <w:rPr>
          <w:rFonts w:ascii="Century Schoolbook" w:hAnsi="Century Schoolbook"/>
          <w:bCs/>
          <w:i/>
          <w:iCs/>
        </w:rPr>
        <w:t>People v. Burgener</w:t>
      </w:r>
      <w:r w:rsidR="00EE0D2A" w:rsidRPr="00090FCC">
        <w:rPr>
          <w:rFonts w:ascii="Century Schoolbook" w:hAnsi="Century Schoolbook"/>
          <w:bCs/>
        </w:rPr>
        <w:t xml:space="preserve"> (2003) 29 Cal. 4th 833, 874.)  </w:t>
      </w:r>
      <w:r w:rsidR="0076183D" w:rsidRPr="00090FCC">
        <w:rPr>
          <w:rFonts w:ascii="Century Schoolbook" w:hAnsi="Century Schoolbook"/>
          <w:bCs/>
        </w:rPr>
        <w:t>W</w:t>
      </w:r>
      <w:r w:rsidR="00EE0D2A" w:rsidRPr="00090FCC">
        <w:rPr>
          <w:rFonts w:ascii="Century Schoolbook" w:hAnsi="Century Schoolbook"/>
          <w:bCs/>
        </w:rPr>
        <w:t xml:space="preserve">e </w:t>
      </w:r>
      <w:r w:rsidR="0076183D" w:rsidRPr="00090FCC">
        <w:rPr>
          <w:rFonts w:ascii="Century Schoolbook" w:hAnsi="Century Schoolbook"/>
          <w:bCs/>
        </w:rPr>
        <w:t xml:space="preserve">therefore </w:t>
      </w:r>
      <w:r w:rsidR="00EE0D2A" w:rsidRPr="00090FCC">
        <w:rPr>
          <w:rFonts w:ascii="Century Schoolbook" w:hAnsi="Century Schoolbook"/>
          <w:bCs/>
        </w:rPr>
        <w:t>find no abuse of discretion in the trial court’s denial of appellant’s motion for a new trial.</w:t>
      </w:r>
    </w:p>
    <w:p w14:paraId="4CE18B44" w14:textId="7281ED87" w:rsidR="00C1685B" w:rsidRPr="00090FCC" w:rsidRDefault="00A4370F" w:rsidP="009F5A49">
      <w:pPr>
        <w:spacing w:line="360" w:lineRule="auto"/>
        <w:rPr>
          <w:rFonts w:ascii="Century Schoolbook" w:hAnsi="Century Schoolbook"/>
          <w:b/>
        </w:rPr>
      </w:pPr>
      <w:r w:rsidRPr="00090FCC">
        <w:rPr>
          <w:rFonts w:ascii="Century Schoolbook" w:hAnsi="Century Schoolbook"/>
          <w:b/>
        </w:rPr>
        <w:tab/>
      </w:r>
      <w:r w:rsidR="00957B30" w:rsidRPr="00090FCC">
        <w:rPr>
          <w:rFonts w:ascii="Century Schoolbook" w:hAnsi="Century Schoolbook"/>
          <w:b/>
        </w:rPr>
        <w:t>D</w:t>
      </w:r>
      <w:r w:rsidR="00C1685B" w:rsidRPr="00090FCC">
        <w:rPr>
          <w:rFonts w:ascii="Century Schoolbook" w:hAnsi="Century Schoolbook"/>
          <w:b/>
        </w:rPr>
        <w:t xml:space="preserve">.  </w:t>
      </w:r>
      <w:r w:rsidR="00D50042" w:rsidRPr="00090FCC">
        <w:rPr>
          <w:rFonts w:ascii="Century Schoolbook" w:hAnsi="Century Schoolbook"/>
          <w:b/>
          <w:u w:val="single"/>
        </w:rPr>
        <w:t>Alleged Error in Failing to Instruct the Jury on Involuntary Manslaughter</w:t>
      </w:r>
    </w:p>
    <w:p w14:paraId="73947BFA" w14:textId="4C4E0BB6" w:rsidR="00435661" w:rsidRPr="00090FCC" w:rsidRDefault="0076183D" w:rsidP="0051590B">
      <w:pPr>
        <w:spacing w:line="360" w:lineRule="auto"/>
        <w:rPr>
          <w:rFonts w:ascii="Century Schoolbook" w:hAnsi="Century Schoolbook"/>
          <w:bCs/>
        </w:rPr>
      </w:pPr>
      <w:r w:rsidRPr="00090FCC">
        <w:rPr>
          <w:rFonts w:ascii="Century Schoolbook" w:hAnsi="Century Schoolbook"/>
          <w:bCs/>
        </w:rPr>
        <w:tab/>
        <w:t>Appellant argues that the trial court erred in failing, sua sponte, to instruct the jury on involuntary manslaughter as a lesser included offense for Count 1.  We disagree.</w:t>
      </w:r>
    </w:p>
    <w:p w14:paraId="56B04F72" w14:textId="61A326C0" w:rsidR="0051590B" w:rsidRDefault="00435661" w:rsidP="0051590B">
      <w:pPr>
        <w:spacing w:line="360" w:lineRule="auto"/>
        <w:rPr>
          <w:rFonts w:ascii="Century Schoolbook" w:hAnsi="Century Schoolbook"/>
          <w:bCs/>
        </w:rPr>
      </w:pPr>
      <w:r w:rsidRPr="00090FCC">
        <w:rPr>
          <w:rFonts w:ascii="Century Schoolbook" w:hAnsi="Century Schoolbook"/>
          <w:bCs/>
        </w:rPr>
        <w:tab/>
      </w:r>
      <w:r w:rsidR="0098655B" w:rsidRPr="00090FCC">
        <w:rPr>
          <w:rFonts w:ascii="Century Schoolbook" w:hAnsi="Century Schoolbook"/>
          <w:bCs/>
        </w:rPr>
        <w:t xml:space="preserve">“We review the trial court’s failure to instruct on a lesser included offense de novo . . . considering the evidence in the light most favorable to the </w:t>
      </w:r>
      <w:r w:rsidR="0098655B" w:rsidRPr="00090FCC">
        <w:rPr>
          <w:rFonts w:ascii="Century Schoolbook" w:hAnsi="Century Schoolbook"/>
          <w:bCs/>
        </w:rPr>
        <w:lastRenderedPageBreak/>
        <w:t>defendant.”  (</w:t>
      </w:r>
      <w:r w:rsidR="0098655B" w:rsidRPr="00090FCC">
        <w:rPr>
          <w:rFonts w:ascii="Century Schoolbook" w:hAnsi="Century Schoolbook"/>
          <w:bCs/>
          <w:i/>
          <w:iCs/>
        </w:rPr>
        <w:t>People v. Brothers</w:t>
      </w:r>
      <w:r w:rsidR="0098655B" w:rsidRPr="00090FCC">
        <w:rPr>
          <w:rFonts w:ascii="Century Schoolbook" w:hAnsi="Century Schoolbook"/>
          <w:bCs/>
        </w:rPr>
        <w:t xml:space="preserve"> (2015) 236 Cal.App.4th 24, 30.)  </w:t>
      </w:r>
      <w:r w:rsidR="0051590B" w:rsidRPr="00090FCC">
        <w:rPr>
          <w:rFonts w:ascii="Century Schoolbook" w:hAnsi="Century Schoolbook"/>
          <w:bCs/>
        </w:rPr>
        <w:t>However, if “defendants cannot demonstrate a reasonable probability that the jury would have . . . reached a different result” in the absence of such an error, the “error is harmless” and no grounds for reversal appear.  (</w:t>
      </w:r>
      <w:r w:rsidR="0051590B" w:rsidRPr="00090FCC">
        <w:rPr>
          <w:rFonts w:ascii="Century Schoolbook" w:hAnsi="Century Schoolbook"/>
          <w:bCs/>
          <w:i/>
          <w:iCs/>
        </w:rPr>
        <w:t>People v. Gonzales</w:t>
      </w:r>
      <w:r w:rsidR="0051590B" w:rsidRPr="00090FCC">
        <w:rPr>
          <w:rFonts w:ascii="Century Schoolbook" w:hAnsi="Century Schoolbook"/>
          <w:bCs/>
        </w:rPr>
        <w:t xml:space="preserve"> (2018) </w:t>
      </w:r>
      <w:r w:rsidR="00901650" w:rsidRPr="00090FCC">
        <w:rPr>
          <w:rFonts w:ascii="Century Schoolbook" w:hAnsi="Century Schoolbook"/>
          <w:bCs/>
        </w:rPr>
        <w:t>5</w:t>
      </w:r>
      <w:r w:rsidR="0051590B" w:rsidRPr="00090FCC">
        <w:rPr>
          <w:rFonts w:ascii="Century Schoolbook" w:hAnsi="Century Schoolbook"/>
          <w:bCs/>
        </w:rPr>
        <w:t xml:space="preserve"> Cal.5th 186, 191.)</w:t>
      </w:r>
    </w:p>
    <w:p w14:paraId="2CB961C7" w14:textId="27BC2616" w:rsidR="0051590B" w:rsidRPr="0051590B" w:rsidRDefault="0051590B" w:rsidP="0051590B">
      <w:pPr>
        <w:spacing w:line="360" w:lineRule="auto"/>
        <w:rPr>
          <w:rFonts w:ascii="Century Schoolbook" w:hAnsi="Century Schoolbook"/>
          <w:bCs/>
        </w:rPr>
      </w:pPr>
      <w:r>
        <w:rPr>
          <w:rFonts w:ascii="Century Schoolbook" w:hAnsi="Century Schoolbook"/>
          <w:bCs/>
        </w:rPr>
        <w:tab/>
        <w:t xml:space="preserve">Here, the jury </w:t>
      </w:r>
      <w:r w:rsidR="00682B8E">
        <w:rPr>
          <w:rFonts w:ascii="Century Schoolbook" w:hAnsi="Century Schoolbook"/>
          <w:bCs/>
        </w:rPr>
        <w:t xml:space="preserve">could have convicted </w:t>
      </w:r>
      <w:proofErr w:type="gramStart"/>
      <w:r w:rsidR="00682B8E">
        <w:rPr>
          <w:rFonts w:ascii="Century Schoolbook" w:hAnsi="Century Schoolbook"/>
          <w:bCs/>
        </w:rPr>
        <w:t>appellant</w:t>
      </w:r>
      <w:proofErr w:type="gramEnd"/>
      <w:r w:rsidR="00682B8E">
        <w:rPr>
          <w:rFonts w:ascii="Century Schoolbook" w:hAnsi="Century Schoolbook"/>
          <w:bCs/>
        </w:rPr>
        <w:t xml:space="preserve"> of second degree murder.  Instead, having been instructed that a </w:t>
      </w:r>
      <w:r w:rsidR="00682B8E" w:rsidRPr="006B5226">
        <w:rPr>
          <w:rFonts w:ascii="Century Schoolbook" w:hAnsi="Century Schoolbook"/>
          <w:bCs/>
          <w:i/>
          <w:iCs/>
        </w:rPr>
        <w:t>first</w:t>
      </w:r>
      <w:r w:rsidR="00682B8E">
        <w:rPr>
          <w:rFonts w:ascii="Century Schoolbook" w:hAnsi="Century Schoolbook"/>
          <w:bCs/>
        </w:rPr>
        <w:t xml:space="preserve"> degree murder conviction requires </w:t>
      </w:r>
      <w:r w:rsidR="00B63D5E">
        <w:rPr>
          <w:rFonts w:ascii="Century Schoolbook" w:hAnsi="Century Schoolbook"/>
          <w:bCs/>
        </w:rPr>
        <w:t xml:space="preserve">additional </w:t>
      </w:r>
      <w:r w:rsidR="00682B8E">
        <w:rPr>
          <w:rFonts w:ascii="Century Schoolbook" w:hAnsi="Century Schoolbook"/>
          <w:bCs/>
        </w:rPr>
        <w:t xml:space="preserve">proof beyond a </w:t>
      </w:r>
      <w:r>
        <w:rPr>
          <w:rFonts w:ascii="Century Schoolbook" w:hAnsi="Century Schoolbook"/>
          <w:bCs/>
        </w:rPr>
        <w:t xml:space="preserve">reasonable doubt that </w:t>
      </w:r>
      <w:r w:rsidR="00682B8E">
        <w:rPr>
          <w:rFonts w:ascii="Century Schoolbook" w:hAnsi="Century Schoolbook"/>
          <w:bCs/>
        </w:rPr>
        <w:t>the defendant</w:t>
      </w:r>
      <w:r>
        <w:rPr>
          <w:rFonts w:ascii="Century Schoolbook" w:hAnsi="Century Schoolbook"/>
          <w:bCs/>
        </w:rPr>
        <w:t xml:space="preserve"> </w:t>
      </w:r>
      <w:r w:rsidR="00682B8E">
        <w:rPr>
          <w:rFonts w:ascii="Century Schoolbook" w:hAnsi="Century Schoolbook"/>
          <w:bCs/>
        </w:rPr>
        <w:t>kill</w:t>
      </w:r>
      <w:r>
        <w:rPr>
          <w:rFonts w:ascii="Century Schoolbook" w:hAnsi="Century Schoolbook"/>
          <w:bCs/>
        </w:rPr>
        <w:t>ed willfully, deliberately, and with premeditation</w:t>
      </w:r>
      <w:r w:rsidR="00682B8E">
        <w:rPr>
          <w:rFonts w:ascii="Century Schoolbook" w:hAnsi="Century Schoolbook"/>
          <w:bCs/>
        </w:rPr>
        <w:t>, the jury found him guilty of that crime</w:t>
      </w:r>
      <w:r>
        <w:rPr>
          <w:rFonts w:ascii="Century Schoolbook" w:hAnsi="Century Schoolbook"/>
          <w:bCs/>
        </w:rPr>
        <w:t xml:space="preserve">.  </w:t>
      </w:r>
      <w:r w:rsidR="00682B8E">
        <w:rPr>
          <w:rFonts w:ascii="Century Schoolbook" w:hAnsi="Century Schoolbook"/>
          <w:bCs/>
        </w:rPr>
        <w:t xml:space="preserve">Because the jury found </w:t>
      </w:r>
      <w:r w:rsidR="006B5226">
        <w:rPr>
          <w:rFonts w:ascii="Century Schoolbook" w:hAnsi="Century Schoolbook"/>
          <w:bCs/>
        </w:rPr>
        <w:t>that appellant</w:t>
      </w:r>
      <w:r w:rsidR="00682B8E">
        <w:rPr>
          <w:rFonts w:ascii="Century Schoolbook" w:hAnsi="Century Schoolbook"/>
          <w:bCs/>
        </w:rPr>
        <w:t xml:space="preserve"> </w:t>
      </w:r>
      <w:r w:rsidR="006B5226">
        <w:rPr>
          <w:rFonts w:ascii="Century Schoolbook" w:hAnsi="Century Schoolbook"/>
          <w:bCs/>
        </w:rPr>
        <w:t>acted</w:t>
      </w:r>
      <w:r w:rsidR="00682B8E">
        <w:rPr>
          <w:rFonts w:ascii="Century Schoolbook" w:hAnsi="Century Schoolbook"/>
          <w:bCs/>
        </w:rPr>
        <w:t xml:space="preserve"> willful</w:t>
      </w:r>
      <w:r w:rsidR="006B5226">
        <w:rPr>
          <w:rFonts w:ascii="Century Schoolbook" w:hAnsi="Century Schoolbook"/>
          <w:bCs/>
        </w:rPr>
        <w:t>ly</w:t>
      </w:r>
      <w:r w:rsidR="00682B8E">
        <w:rPr>
          <w:rFonts w:ascii="Century Schoolbook" w:hAnsi="Century Schoolbook"/>
          <w:bCs/>
        </w:rPr>
        <w:t xml:space="preserve">, </w:t>
      </w:r>
      <w:r w:rsidR="006B5226">
        <w:rPr>
          <w:rFonts w:ascii="Century Schoolbook" w:hAnsi="Century Schoolbook"/>
          <w:bCs/>
        </w:rPr>
        <w:t xml:space="preserve">deliberately, and with </w:t>
      </w:r>
      <w:r w:rsidR="00682B8E">
        <w:rPr>
          <w:rFonts w:ascii="Century Schoolbook" w:hAnsi="Century Schoolbook"/>
          <w:bCs/>
        </w:rPr>
        <w:t xml:space="preserve">premeditation, there is no reasonable probability that </w:t>
      </w:r>
      <w:r w:rsidR="003F5A02">
        <w:rPr>
          <w:rFonts w:ascii="Century Schoolbook" w:hAnsi="Century Schoolbook"/>
          <w:bCs/>
        </w:rPr>
        <w:t xml:space="preserve">it would have convicted </w:t>
      </w:r>
      <w:r w:rsidR="002604AD">
        <w:rPr>
          <w:rFonts w:ascii="Century Schoolbook" w:hAnsi="Century Schoolbook"/>
          <w:bCs/>
        </w:rPr>
        <w:t xml:space="preserve">appellant of </w:t>
      </w:r>
      <w:r w:rsidR="00435661">
        <w:rPr>
          <w:rFonts w:ascii="Century Schoolbook" w:hAnsi="Century Schoolbook"/>
          <w:bCs/>
        </w:rPr>
        <w:t xml:space="preserve">involuntary manslaughter </w:t>
      </w:r>
      <w:r w:rsidR="002604AD">
        <w:rPr>
          <w:rFonts w:ascii="Century Schoolbook" w:hAnsi="Century Schoolbook"/>
          <w:bCs/>
        </w:rPr>
        <w:t xml:space="preserve">if </w:t>
      </w:r>
      <w:r w:rsidR="003A1A61">
        <w:rPr>
          <w:rFonts w:ascii="Century Schoolbook" w:hAnsi="Century Schoolbook"/>
          <w:bCs/>
        </w:rPr>
        <w:t xml:space="preserve">it had been </w:t>
      </w:r>
      <w:r w:rsidR="00435661">
        <w:rPr>
          <w:rFonts w:ascii="Century Schoolbook" w:hAnsi="Century Schoolbook"/>
          <w:bCs/>
        </w:rPr>
        <w:t>instruct</w:t>
      </w:r>
      <w:r w:rsidR="002604AD">
        <w:rPr>
          <w:rFonts w:ascii="Century Schoolbook" w:hAnsi="Century Schoolbook"/>
          <w:bCs/>
        </w:rPr>
        <w:t>ed</w:t>
      </w:r>
      <w:r w:rsidR="00682B8E">
        <w:rPr>
          <w:rFonts w:ascii="Century Schoolbook" w:hAnsi="Century Schoolbook"/>
          <w:bCs/>
        </w:rPr>
        <w:t xml:space="preserve"> </w:t>
      </w:r>
      <w:r w:rsidR="002604AD">
        <w:rPr>
          <w:rFonts w:ascii="Century Schoolbook" w:hAnsi="Century Schoolbook"/>
          <w:bCs/>
        </w:rPr>
        <w:t>on that offense</w:t>
      </w:r>
      <w:r w:rsidR="00090FCC">
        <w:rPr>
          <w:rFonts w:ascii="Century Schoolbook" w:hAnsi="Century Schoolbook"/>
          <w:bCs/>
        </w:rPr>
        <w:t>,</w:t>
      </w:r>
      <w:r w:rsidR="00440EFD">
        <w:rPr>
          <w:rFonts w:ascii="Century Schoolbook" w:hAnsi="Century Schoolbook"/>
          <w:bCs/>
        </w:rPr>
        <w:t xml:space="preserve"> </w:t>
      </w:r>
      <w:r w:rsidR="00090FCC">
        <w:rPr>
          <w:rFonts w:ascii="Century Schoolbook" w:hAnsi="Century Schoolbook"/>
          <w:bCs/>
        </w:rPr>
        <w:t>which</w:t>
      </w:r>
      <w:r w:rsidR="00440EFD">
        <w:rPr>
          <w:rFonts w:ascii="Century Schoolbook" w:hAnsi="Century Schoolbook"/>
          <w:bCs/>
        </w:rPr>
        <w:t xml:space="preserve"> requires a lack of malice</w:t>
      </w:r>
      <w:r w:rsidR="00F25C17">
        <w:rPr>
          <w:rFonts w:ascii="Century Schoolbook" w:hAnsi="Century Schoolbook"/>
          <w:bCs/>
        </w:rPr>
        <w:t>.</w:t>
      </w:r>
      <w:r w:rsidR="00090FCC">
        <w:rPr>
          <w:rFonts w:ascii="Century Schoolbook" w:hAnsi="Century Schoolbook"/>
          <w:bCs/>
        </w:rPr>
        <w:t xml:space="preserve">  For that reason,</w:t>
      </w:r>
      <w:r w:rsidR="008866DA">
        <w:rPr>
          <w:rFonts w:ascii="Century Schoolbook" w:hAnsi="Century Schoolbook"/>
          <w:bCs/>
        </w:rPr>
        <w:t xml:space="preserve"> </w:t>
      </w:r>
      <w:r w:rsidR="00682B8E">
        <w:rPr>
          <w:rFonts w:ascii="Century Schoolbook" w:hAnsi="Century Schoolbook"/>
          <w:bCs/>
        </w:rPr>
        <w:t xml:space="preserve">we find no reversible error in the </w:t>
      </w:r>
      <w:r w:rsidR="008866DA">
        <w:rPr>
          <w:rFonts w:ascii="Century Schoolbook" w:hAnsi="Century Schoolbook"/>
          <w:bCs/>
        </w:rPr>
        <w:t>trial court’s purported failure to instruct the jury on involuntary manslaughter.</w:t>
      </w:r>
      <w:r w:rsidR="00A96D1E">
        <w:rPr>
          <w:rStyle w:val="FootnoteReference"/>
          <w:rFonts w:ascii="Century Schoolbook" w:hAnsi="Century Schoolbook"/>
          <w:bCs/>
        </w:rPr>
        <w:footnoteReference w:id="5"/>
      </w:r>
      <w:r w:rsidR="00440EFD">
        <w:rPr>
          <w:rFonts w:ascii="Century Schoolbook" w:hAnsi="Century Schoolbook"/>
          <w:bCs/>
        </w:rPr>
        <w:t xml:space="preserve">  </w:t>
      </w:r>
      <w:r w:rsidR="00440EFD" w:rsidRPr="008866DA">
        <w:rPr>
          <w:rFonts w:ascii="Century Schoolbook" w:hAnsi="Century Schoolbook"/>
          <w:bCs/>
        </w:rPr>
        <w:t>(§ 192</w:t>
      </w:r>
      <w:r w:rsidR="00440EFD">
        <w:rPr>
          <w:rFonts w:ascii="Century Schoolbook" w:hAnsi="Century Schoolbook"/>
          <w:bCs/>
        </w:rPr>
        <w:t>.</w:t>
      </w:r>
      <w:r w:rsidR="00440EFD" w:rsidRPr="008866DA">
        <w:rPr>
          <w:rFonts w:ascii="Century Schoolbook" w:hAnsi="Century Schoolbook"/>
          <w:bCs/>
        </w:rPr>
        <w:t>)</w:t>
      </w:r>
    </w:p>
    <w:p w14:paraId="607E4CCD" w14:textId="2F55F9DF" w:rsidR="003D48FB" w:rsidRPr="00307460" w:rsidRDefault="00F674BD" w:rsidP="0076183D">
      <w:pPr>
        <w:spacing w:line="360" w:lineRule="auto"/>
        <w:jc w:val="center"/>
        <w:rPr>
          <w:rFonts w:ascii="Century Schoolbook" w:hAnsi="Century Schoolbook"/>
          <w:b/>
        </w:rPr>
      </w:pPr>
      <w:r>
        <w:rPr>
          <w:rFonts w:ascii="Century Schoolbook" w:hAnsi="Century Schoolbook"/>
          <w:b/>
        </w:rPr>
        <w:t xml:space="preserve">III. </w:t>
      </w:r>
      <w:r w:rsidR="00FF3F91">
        <w:rPr>
          <w:rFonts w:ascii="Century Schoolbook" w:hAnsi="Century Schoolbook"/>
          <w:b/>
        </w:rPr>
        <w:t xml:space="preserve"> </w:t>
      </w:r>
      <w:r w:rsidR="003D48FB" w:rsidRPr="00307460">
        <w:rPr>
          <w:rFonts w:ascii="Century Schoolbook" w:hAnsi="Century Schoolbook"/>
          <w:b/>
        </w:rPr>
        <w:t>D</w:t>
      </w:r>
      <w:r w:rsidR="00A72F6B" w:rsidRPr="00307460">
        <w:rPr>
          <w:rFonts w:ascii="Century Schoolbook" w:hAnsi="Century Schoolbook"/>
          <w:b/>
        </w:rPr>
        <w:t>ISPOSITION</w:t>
      </w:r>
    </w:p>
    <w:p w14:paraId="68553AF9" w14:textId="5E2F196C" w:rsidR="003D48FB" w:rsidRDefault="003D48FB" w:rsidP="003B7C0F">
      <w:pPr>
        <w:spacing w:line="360" w:lineRule="auto"/>
        <w:rPr>
          <w:rFonts w:ascii="Century Schoolbook" w:hAnsi="Century Schoolbook"/>
        </w:rPr>
      </w:pPr>
      <w:r w:rsidRPr="00307460">
        <w:rPr>
          <w:rFonts w:ascii="Century Schoolbook" w:hAnsi="Century Schoolbook"/>
        </w:rPr>
        <w:tab/>
      </w:r>
      <w:r w:rsidR="00376CDF" w:rsidRPr="00195450">
        <w:rPr>
          <w:rFonts w:ascii="Century Schoolbook" w:hAnsi="Century Schoolbook"/>
        </w:rPr>
        <w:t xml:space="preserve">We </w:t>
      </w:r>
      <w:r w:rsidR="00E467A8">
        <w:rPr>
          <w:rFonts w:ascii="Century Schoolbook" w:hAnsi="Century Schoolbook"/>
        </w:rPr>
        <w:t xml:space="preserve">reverse the judgment as to the true finding </w:t>
      </w:r>
      <w:r w:rsidR="00D722E1">
        <w:rPr>
          <w:rFonts w:ascii="Century Schoolbook" w:hAnsi="Century Schoolbook"/>
        </w:rPr>
        <w:t>concerning</w:t>
      </w:r>
      <w:r w:rsidR="00E467A8">
        <w:rPr>
          <w:rFonts w:ascii="Century Schoolbook" w:hAnsi="Century Schoolbook"/>
        </w:rPr>
        <w:t xml:space="preserve"> appellant’s </w:t>
      </w:r>
      <w:r w:rsidR="00E467A8" w:rsidRPr="00207F98">
        <w:rPr>
          <w:rFonts w:ascii="Century Schoolbook" w:hAnsi="Century Schoolbook"/>
        </w:rPr>
        <w:t>December 2009</w:t>
      </w:r>
      <w:r w:rsidR="00E467A8">
        <w:rPr>
          <w:rFonts w:ascii="Century Schoolbook" w:hAnsi="Century Schoolbook"/>
        </w:rPr>
        <w:t xml:space="preserve"> conviction for second degree robbery and affirm the judgment in all other respects.  </w:t>
      </w:r>
      <w:r w:rsidR="008A4962">
        <w:rPr>
          <w:rFonts w:ascii="Century Schoolbook" w:hAnsi="Century Schoolbook"/>
        </w:rPr>
        <w:t>On remand, the trial court is instructed to strike that true finding from its records and resentence appellant accordingly</w:t>
      </w:r>
      <w:r w:rsidR="00470BED" w:rsidRPr="00195450">
        <w:rPr>
          <w:rFonts w:ascii="Century Schoolbook" w:hAnsi="Century Schoolbook"/>
        </w:rPr>
        <w:t>.</w:t>
      </w:r>
    </w:p>
    <w:p w14:paraId="4FEF1BC0" w14:textId="77777777" w:rsidR="00CD3866" w:rsidRPr="00D55034" w:rsidRDefault="00CD3866" w:rsidP="003B7C0F">
      <w:pPr>
        <w:spacing w:line="360" w:lineRule="auto"/>
        <w:rPr>
          <w:rFonts w:ascii="Century Schoolbook" w:hAnsi="Century Schoolbook"/>
        </w:rPr>
      </w:pPr>
    </w:p>
    <w:p w14:paraId="1DAA5EBC" w14:textId="2C0109AC" w:rsidR="004B18FB" w:rsidRDefault="004B18FB" w:rsidP="007E5593">
      <w:pPr>
        <w:spacing w:line="360" w:lineRule="auto"/>
        <w:rPr>
          <w:rFonts w:ascii="Century Schoolbook" w:hAnsi="Century Schoolbook"/>
        </w:rPr>
      </w:pPr>
    </w:p>
    <w:p w14:paraId="3EDCC7E1" w14:textId="36ECC5A6" w:rsidR="004B18FB" w:rsidRDefault="004B18FB" w:rsidP="007E5593">
      <w:pPr>
        <w:spacing w:line="360" w:lineRule="auto"/>
        <w:rPr>
          <w:rFonts w:ascii="Century Schoolbook" w:hAnsi="Century Schoolbook"/>
        </w:rPr>
      </w:pPr>
    </w:p>
    <w:p w14:paraId="41E54C72" w14:textId="77777777" w:rsidR="004B18FB" w:rsidRPr="00D55034" w:rsidRDefault="004B18FB" w:rsidP="007E5593">
      <w:pPr>
        <w:spacing w:line="360" w:lineRule="auto"/>
        <w:rPr>
          <w:rFonts w:ascii="Century Schoolbook" w:hAnsi="Century Schoolbook"/>
        </w:rPr>
      </w:pPr>
    </w:p>
    <w:p w14:paraId="795043AD" w14:textId="77777777" w:rsidR="00D55034" w:rsidRPr="00D55034" w:rsidRDefault="00D55034" w:rsidP="007E5593">
      <w:pPr>
        <w:spacing w:line="360" w:lineRule="auto"/>
        <w:rPr>
          <w:rFonts w:ascii="Century Schoolbook" w:hAnsi="Century Schoolbook"/>
        </w:rPr>
      </w:pPr>
    </w:p>
    <w:p w14:paraId="0E12E136" w14:textId="6F0FD3F0" w:rsidR="003D48FB" w:rsidRPr="00D55034" w:rsidRDefault="00062188" w:rsidP="007E5593">
      <w:pPr>
        <w:spacing w:line="360" w:lineRule="auto"/>
        <w:rPr>
          <w:rFonts w:ascii="Century Schoolbook" w:hAnsi="Century Schoolbook"/>
        </w:rPr>
      </w:pPr>
      <w:r w:rsidRPr="00D55034">
        <w:rPr>
          <w:rFonts w:ascii="Century Schoolbook" w:hAnsi="Century Schoolbook"/>
        </w:rPr>
        <w:tab/>
      </w:r>
      <w:r w:rsidR="003D48FB" w:rsidRPr="00D55034">
        <w:rPr>
          <w:rFonts w:ascii="Century Schoolbook" w:hAnsi="Century Schoolbook"/>
        </w:rPr>
        <w:tab/>
      </w:r>
      <w:r w:rsidR="003D48FB" w:rsidRPr="00D55034">
        <w:rPr>
          <w:rFonts w:ascii="Century Schoolbook" w:hAnsi="Century Schoolbook"/>
        </w:rPr>
        <w:tab/>
      </w:r>
      <w:r w:rsidR="003D48FB" w:rsidRPr="00D55034">
        <w:rPr>
          <w:rFonts w:ascii="Century Schoolbook" w:hAnsi="Century Schoolbook"/>
        </w:rPr>
        <w:tab/>
      </w:r>
      <w:r w:rsidR="003D48FB" w:rsidRPr="00D55034">
        <w:rPr>
          <w:rFonts w:ascii="Century Schoolbook" w:hAnsi="Century Schoolbook"/>
        </w:rPr>
        <w:tab/>
      </w:r>
      <w:r w:rsidR="003D48FB" w:rsidRPr="00D55034">
        <w:rPr>
          <w:rFonts w:ascii="Century Schoolbook" w:hAnsi="Century Schoolbook"/>
        </w:rPr>
        <w:tab/>
      </w:r>
      <w:r w:rsidR="003D48FB" w:rsidRPr="00D55034">
        <w:rPr>
          <w:rFonts w:ascii="Century Schoolbook" w:hAnsi="Century Schoolbook"/>
        </w:rPr>
        <w:tab/>
        <w:t>_________________________</w:t>
      </w:r>
    </w:p>
    <w:p w14:paraId="0556956F" w14:textId="2975556E" w:rsidR="003D48FB" w:rsidRPr="00D55034" w:rsidRDefault="003D48FB" w:rsidP="007E5593">
      <w:pPr>
        <w:spacing w:line="360" w:lineRule="auto"/>
        <w:rPr>
          <w:rFonts w:ascii="Century Schoolbook" w:hAnsi="Century Schoolbook"/>
        </w:rPr>
      </w:pPr>
      <w:r w:rsidRPr="00D55034">
        <w:rPr>
          <w:rFonts w:ascii="Century Schoolbook" w:hAnsi="Century Schoolbook"/>
        </w:rPr>
        <w:tab/>
      </w:r>
      <w:r w:rsidRPr="00D55034">
        <w:rPr>
          <w:rFonts w:ascii="Century Schoolbook" w:hAnsi="Century Schoolbook"/>
        </w:rPr>
        <w:tab/>
      </w:r>
      <w:r w:rsidRPr="00D55034">
        <w:rPr>
          <w:rFonts w:ascii="Century Schoolbook" w:hAnsi="Century Schoolbook"/>
        </w:rPr>
        <w:tab/>
      </w:r>
      <w:r w:rsidRPr="00D55034">
        <w:rPr>
          <w:rFonts w:ascii="Century Schoolbook" w:hAnsi="Century Schoolbook"/>
        </w:rPr>
        <w:tab/>
      </w:r>
      <w:r w:rsidRPr="00D55034">
        <w:rPr>
          <w:rFonts w:ascii="Century Schoolbook" w:hAnsi="Century Schoolbook"/>
        </w:rPr>
        <w:tab/>
      </w:r>
      <w:r w:rsidRPr="00D55034">
        <w:rPr>
          <w:rFonts w:ascii="Century Schoolbook" w:hAnsi="Century Schoolbook"/>
        </w:rPr>
        <w:tab/>
      </w:r>
      <w:r w:rsidRPr="00D55034">
        <w:rPr>
          <w:rFonts w:ascii="Century Schoolbook" w:hAnsi="Century Schoolbook"/>
        </w:rPr>
        <w:tab/>
      </w:r>
      <w:r w:rsidR="008A4962" w:rsidRPr="00D55034">
        <w:rPr>
          <w:rFonts w:ascii="Century Schoolbook" w:hAnsi="Century Schoolbook"/>
        </w:rPr>
        <w:t>Langhorne</w:t>
      </w:r>
      <w:r w:rsidRPr="00D55034">
        <w:rPr>
          <w:rFonts w:ascii="Century Schoolbook" w:hAnsi="Century Schoolbook"/>
        </w:rPr>
        <w:t>, J.</w:t>
      </w:r>
      <w:r w:rsidR="00D55034" w:rsidRPr="00D55034">
        <w:rPr>
          <w:rFonts w:ascii="Century Schoolbook" w:hAnsi="Century Schoolbook"/>
        </w:rPr>
        <w:t xml:space="preserve"> </w:t>
      </w:r>
      <w:r w:rsidR="00D55034" w:rsidRPr="00D55034">
        <w:rPr>
          <w:rStyle w:val="FootnoteReference"/>
          <w:rFonts w:ascii="Century Schoolbook" w:hAnsi="Century Schoolbook"/>
        </w:rPr>
        <w:footnoteReference w:customMarkFollows="1" w:id="6"/>
        <w:t>*</w:t>
      </w:r>
    </w:p>
    <w:p w14:paraId="181CC042" w14:textId="77777777" w:rsidR="003D48FB" w:rsidRPr="00D55034" w:rsidRDefault="003D48FB" w:rsidP="007E5593">
      <w:pPr>
        <w:spacing w:line="360" w:lineRule="auto"/>
        <w:rPr>
          <w:rFonts w:ascii="Century Schoolbook" w:hAnsi="Century Schoolbook"/>
        </w:rPr>
      </w:pPr>
    </w:p>
    <w:p w14:paraId="2208682A" w14:textId="77777777" w:rsidR="003D48FB" w:rsidRPr="00D55034" w:rsidRDefault="003D48FB" w:rsidP="007E5593">
      <w:pPr>
        <w:spacing w:line="360" w:lineRule="auto"/>
        <w:rPr>
          <w:rFonts w:ascii="Century Schoolbook" w:hAnsi="Century Schoolbook"/>
        </w:rPr>
      </w:pPr>
      <w:r w:rsidRPr="00D55034">
        <w:rPr>
          <w:rFonts w:ascii="Century Schoolbook" w:hAnsi="Century Schoolbook"/>
        </w:rPr>
        <w:t>We concur:</w:t>
      </w:r>
    </w:p>
    <w:p w14:paraId="753A6387" w14:textId="77777777" w:rsidR="003D48FB" w:rsidRPr="00D55034" w:rsidRDefault="003D48FB" w:rsidP="003D48FB">
      <w:pPr>
        <w:spacing w:line="240" w:lineRule="auto"/>
        <w:rPr>
          <w:rFonts w:ascii="Century Schoolbook" w:hAnsi="Century Schoolbook"/>
        </w:rPr>
      </w:pPr>
    </w:p>
    <w:p w14:paraId="5C093504" w14:textId="68FFBFB7" w:rsidR="003D48FB" w:rsidRPr="00D55034" w:rsidRDefault="003D48FB" w:rsidP="003D48FB">
      <w:pPr>
        <w:spacing w:line="240" w:lineRule="auto"/>
        <w:rPr>
          <w:rFonts w:ascii="Century Schoolbook" w:hAnsi="Century Schoolbook"/>
        </w:rPr>
      </w:pPr>
    </w:p>
    <w:p w14:paraId="366AB156" w14:textId="671698C8" w:rsidR="00D55034" w:rsidRPr="00D55034" w:rsidRDefault="00D55034" w:rsidP="003D48FB">
      <w:pPr>
        <w:spacing w:line="240" w:lineRule="auto"/>
        <w:rPr>
          <w:rFonts w:ascii="Century Schoolbook" w:hAnsi="Century Schoolbook"/>
        </w:rPr>
      </w:pPr>
    </w:p>
    <w:p w14:paraId="68F01E33" w14:textId="77777777" w:rsidR="00D55034" w:rsidRPr="00D55034" w:rsidRDefault="00D55034" w:rsidP="003D48FB">
      <w:pPr>
        <w:spacing w:line="240" w:lineRule="auto"/>
        <w:rPr>
          <w:rFonts w:ascii="Century Schoolbook" w:hAnsi="Century Schoolbook"/>
        </w:rPr>
      </w:pPr>
    </w:p>
    <w:p w14:paraId="6843C7C5" w14:textId="77777777" w:rsidR="003D48FB" w:rsidRPr="00D55034" w:rsidRDefault="003D48FB" w:rsidP="003D48FB">
      <w:pPr>
        <w:spacing w:line="240" w:lineRule="auto"/>
        <w:rPr>
          <w:rFonts w:ascii="Century Schoolbook" w:hAnsi="Century Schoolbook"/>
        </w:rPr>
      </w:pPr>
      <w:r w:rsidRPr="00D55034">
        <w:rPr>
          <w:rFonts w:ascii="Century Schoolbook" w:hAnsi="Century Schoolbook"/>
        </w:rPr>
        <w:t>_________________________</w:t>
      </w:r>
    </w:p>
    <w:p w14:paraId="0B53D14C" w14:textId="3B0F9233" w:rsidR="003D48FB" w:rsidRPr="00D55034" w:rsidRDefault="00D55034" w:rsidP="003D48FB">
      <w:pPr>
        <w:spacing w:line="240" w:lineRule="auto"/>
        <w:rPr>
          <w:rFonts w:ascii="Century Schoolbook" w:hAnsi="Century Schoolbook"/>
        </w:rPr>
      </w:pPr>
      <w:r w:rsidRPr="00D55034">
        <w:rPr>
          <w:rFonts w:ascii="Century Schoolbook" w:hAnsi="Century Schoolbook"/>
        </w:rPr>
        <w:t>Simon</w:t>
      </w:r>
      <w:r w:rsidR="00794880" w:rsidRPr="00D55034">
        <w:rPr>
          <w:rFonts w:ascii="Century Schoolbook" w:hAnsi="Century Schoolbook"/>
        </w:rPr>
        <w:t>s</w:t>
      </w:r>
      <w:r w:rsidR="003D48FB" w:rsidRPr="00D55034">
        <w:rPr>
          <w:rFonts w:ascii="Century Schoolbook" w:hAnsi="Century Schoolbook"/>
        </w:rPr>
        <w:t>,</w:t>
      </w:r>
      <w:r w:rsidRPr="00D55034">
        <w:rPr>
          <w:rFonts w:ascii="Century Schoolbook" w:hAnsi="Century Schoolbook"/>
        </w:rPr>
        <w:t xml:space="preserve"> Acting P.</w:t>
      </w:r>
      <w:r w:rsidR="003D48FB" w:rsidRPr="00D55034">
        <w:rPr>
          <w:rFonts w:ascii="Century Schoolbook" w:hAnsi="Century Schoolbook"/>
        </w:rPr>
        <w:t>J.</w:t>
      </w:r>
    </w:p>
    <w:p w14:paraId="29910656" w14:textId="77777777" w:rsidR="003D48FB" w:rsidRPr="00D55034" w:rsidRDefault="003D48FB" w:rsidP="003D48FB">
      <w:pPr>
        <w:spacing w:line="240" w:lineRule="auto"/>
        <w:rPr>
          <w:rFonts w:ascii="Century Schoolbook" w:hAnsi="Century Schoolbook"/>
        </w:rPr>
      </w:pPr>
    </w:p>
    <w:p w14:paraId="34E1B492" w14:textId="3C78E19A" w:rsidR="00794880" w:rsidRPr="00D55034" w:rsidRDefault="00794880" w:rsidP="00794880">
      <w:pPr>
        <w:spacing w:line="240" w:lineRule="auto"/>
        <w:rPr>
          <w:rFonts w:ascii="Century Schoolbook" w:hAnsi="Century Schoolbook"/>
        </w:rPr>
      </w:pPr>
    </w:p>
    <w:p w14:paraId="04739B21" w14:textId="005E25AC" w:rsidR="00D55034" w:rsidRPr="00D55034" w:rsidRDefault="00D55034" w:rsidP="00794880">
      <w:pPr>
        <w:spacing w:line="240" w:lineRule="auto"/>
        <w:rPr>
          <w:rFonts w:ascii="Century Schoolbook" w:hAnsi="Century Schoolbook"/>
        </w:rPr>
      </w:pPr>
    </w:p>
    <w:p w14:paraId="36D7E9E9" w14:textId="77777777" w:rsidR="00D55034" w:rsidRPr="00D55034" w:rsidRDefault="00D55034" w:rsidP="00794880">
      <w:pPr>
        <w:spacing w:line="240" w:lineRule="auto"/>
        <w:rPr>
          <w:rFonts w:ascii="Century Schoolbook" w:hAnsi="Century Schoolbook"/>
        </w:rPr>
      </w:pPr>
    </w:p>
    <w:p w14:paraId="51D91A75" w14:textId="77777777" w:rsidR="00794880" w:rsidRPr="00D55034" w:rsidRDefault="00794880" w:rsidP="00794880">
      <w:pPr>
        <w:spacing w:line="240" w:lineRule="auto"/>
        <w:rPr>
          <w:rFonts w:ascii="Century Schoolbook" w:hAnsi="Century Schoolbook"/>
        </w:rPr>
      </w:pPr>
      <w:r w:rsidRPr="00D55034">
        <w:rPr>
          <w:rFonts w:ascii="Century Schoolbook" w:hAnsi="Century Schoolbook"/>
        </w:rPr>
        <w:t>_________________________</w:t>
      </w:r>
    </w:p>
    <w:p w14:paraId="10D8D70B" w14:textId="5F6893AE" w:rsidR="00794880" w:rsidRPr="00D55034" w:rsidRDefault="00D55034" w:rsidP="00794880">
      <w:pPr>
        <w:spacing w:line="240" w:lineRule="auto"/>
        <w:rPr>
          <w:rFonts w:ascii="Century Schoolbook" w:hAnsi="Century Schoolbook"/>
        </w:rPr>
      </w:pPr>
      <w:r w:rsidRPr="00D55034">
        <w:rPr>
          <w:rFonts w:ascii="Century Schoolbook" w:hAnsi="Century Schoolbook"/>
        </w:rPr>
        <w:t>Burns</w:t>
      </w:r>
      <w:r w:rsidR="00794880" w:rsidRPr="00D55034">
        <w:rPr>
          <w:rFonts w:ascii="Century Schoolbook" w:hAnsi="Century Schoolbook"/>
        </w:rPr>
        <w:t>, J.</w:t>
      </w:r>
    </w:p>
    <w:p w14:paraId="6F5F68DD" w14:textId="0C3A931C" w:rsidR="003D48FB" w:rsidRPr="00D55034" w:rsidRDefault="003D48FB" w:rsidP="003D48FB">
      <w:pPr>
        <w:rPr>
          <w:rFonts w:ascii="Century Schoolbook" w:hAnsi="Century Schoolbook"/>
        </w:rPr>
      </w:pPr>
    </w:p>
    <w:p w14:paraId="3E2A4A66" w14:textId="2C6EA2C3" w:rsidR="00794880" w:rsidRPr="00D55034" w:rsidRDefault="00794880" w:rsidP="003D48FB">
      <w:pPr>
        <w:rPr>
          <w:rFonts w:ascii="Century Schoolbook" w:hAnsi="Century Schoolbook"/>
        </w:rPr>
      </w:pPr>
    </w:p>
    <w:p w14:paraId="2B66ECFB" w14:textId="13E685DC" w:rsidR="00D55034" w:rsidRPr="00D55034" w:rsidRDefault="00D55034" w:rsidP="003D48FB">
      <w:pPr>
        <w:rPr>
          <w:rFonts w:ascii="Century Schoolbook" w:hAnsi="Century Schoolbook"/>
        </w:rPr>
      </w:pPr>
    </w:p>
    <w:p w14:paraId="0DA9FD60" w14:textId="49DD740D" w:rsidR="00D55034" w:rsidRPr="00D55034" w:rsidRDefault="00D55034" w:rsidP="003D48FB">
      <w:pPr>
        <w:rPr>
          <w:rFonts w:ascii="Century Schoolbook" w:hAnsi="Century Schoolbook"/>
        </w:rPr>
      </w:pPr>
    </w:p>
    <w:p w14:paraId="4FB9F32F" w14:textId="5BB7F9E9" w:rsidR="00D55034" w:rsidRPr="00D55034" w:rsidRDefault="00D55034" w:rsidP="003D48FB">
      <w:pPr>
        <w:rPr>
          <w:rFonts w:ascii="Century Schoolbook" w:hAnsi="Century Schoolbook"/>
        </w:rPr>
      </w:pPr>
    </w:p>
    <w:p w14:paraId="3BFB3FA1" w14:textId="1EF5BE77" w:rsidR="00D55034" w:rsidRDefault="00D55034" w:rsidP="003D48FB">
      <w:pPr>
        <w:rPr>
          <w:rFonts w:ascii="Century Schoolbook" w:hAnsi="Century Schoolbook"/>
        </w:rPr>
      </w:pPr>
    </w:p>
    <w:p w14:paraId="5498A4E2" w14:textId="77777777" w:rsidR="00074FE6" w:rsidRPr="00D55034" w:rsidRDefault="00074FE6" w:rsidP="003D48FB">
      <w:pPr>
        <w:rPr>
          <w:rFonts w:ascii="Century Schoolbook" w:hAnsi="Century Schoolbook"/>
        </w:rPr>
      </w:pPr>
    </w:p>
    <w:p w14:paraId="1F02A065" w14:textId="77777777" w:rsidR="004B18FB" w:rsidRDefault="004B18FB" w:rsidP="00A74EC0">
      <w:pPr>
        <w:rPr>
          <w:rFonts w:ascii="Century Schoolbook" w:hAnsi="Century Schoolbook"/>
          <w:i/>
        </w:rPr>
      </w:pPr>
    </w:p>
    <w:p w14:paraId="3F4BDF7C" w14:textId="77777777" w:rsidR="004B18FB" w:rsidRDefault="004B18FB" w:rsidP="00A74EC0">
      <w:pPr>
        <w:rPr>
          <w:rFonts w:ascii="Century Schoolbook" w:hAnsi="Century Schoolbook"/>
          <w:i/>
        </w:rPr>
      </w:pPr>
    </w:p>
    <w:p w14:paraId="342C0548" w14:textId="77777777" w:rsidR="004B18FB" w:rsidRDefault="004B18FB" w:rsidP="00A74EC0">
      <w:pPr>
        <w:rPr>
          <w:rFonts w:ascii="Century Schoolbook" w:hAnsi="Century Schoolbook"/>
          <w:i/>
        </w:rPr>
      </w:pPr>
    </w:p>
    <w:p w14:paraId="5A571DD8" w14:textId="5CC95E1A" w:rsidR="003E36B0" w:rsidRDefault="00350CD8" w:rsidP="00A74EC0">
      <w:pPr>
        <w:rPr>
          <w:rFonts w:ascii="Century Schoolbook" w:hAnsi="Century Schoolbook"/>
        </w:rPr>
      </w:pPr>
      <w:r w:rsidRPr="00D55034">
        <w:rPr>
          <w:rFonts w:ascii="Century Schoolbook" w:hAnsi="Century Schoolbook"/>
          <w:i/>
        </w:rPr>
        <w:t xml:space="preserve">People v. </w:t>
      </w:r>
      <w:r w:rsidR="00C72032" w:rsidRPr="00D55034">
        <w:rPr>
          <w:rFonts w:ascii="Century Schoolbook" w:hAnsi="Century Schoolbook"/>
          <w:i/>
        </w:rPr>
        <w:t>Jones</w:t>
      </w:r>
      <w:r w:rsidR="004F3AB0" w:rsidRPr="00D55034">
        <w:rPr>
          <w:rFonts w:ascii="Century Schoolbook" w:hAnsi="Century Schoolbook"/>
          <w:i/>
        </w:rPr>
        <w:t xml:space="preserve"> </w:t>
      </w:r>
      <w:r w:rsidR="00074FE6">
        <w:rPr>
          <w:rFonts w:ascii="Century Schoolbook" w:hAnsi="Century Schoolbook"/>
        </w:rPr>
        <w:t xml:space="preserve">/ </w:t>
      </w:r>
      <w:r w:rsidR="00C72032" w:rsidRPr="00D55034">
        <w:rPr>
          <w:rFonts w:ascii="Century Schoolbook" w:hAnsi="Century Schoolbook"/>
        </w:rPr>
        <w:t>A163558</w:t>
      </w:r>
    </w:p>
    <w:p w14:paraId="14994846" w14:textId="16448544" w:rsidR="00074FE6" w:rsidRPr="00074FE6" w:rsidRDefault="00074FE6" w:rsidP="00074FE6">
      <w:pPr>
        <w:rPr>
          <w:rFonts w:ascii="Century Schoolbook" w:hAnsi="Century Schoolbook"/>
        </w:rPr>
      </w:pPr>
      <w:r w:rsidRPr="00074FE6">
        <w:rPr>
          <w:rFonts w:ascii="Century Schoolbook" w:hAnsi="Century Schoolbook"/>
        </w:rPr>
        <w:lastRenderedPageBreak/>
        <w:t>A163558 / People v. Jones</w:t>
      </w:r>
    </w:p>
    <w:p w14:paraId="57766C50" w14:textId="77777777" w:rsidR="00074FE6" w:rsidRPr="00074FE6" w:rsidRDefault="00074FE6" w:rsidP="00074FE6">
      <w:pPr>
        <w:rPr>
          <w:rFonts w:ascii="Century Schoolbook" w:hAnsi="Century Schoolbook"/>
        </w:rPr>
      </w:pPr>
    </w:p>
    <w:p w14:paraId="75260C74" w14:textId="45D64084" w:rsidR="00074FE6" w:rsidRPr="00074FE6" w:rsidRDefault="00074FE6" w:rsidP="00074FE6">
      <w:pPr>
        <w:rPr>
          <w:rFonts w:ascii="Century Schoolbook" w:hAnsi="Century Schoolbook"/>
        </w:rPr>
      </w:pPr>
      <w:r w:rsidRPr="00074FE6">
        <w:rPr>
          <w:rFonts w:ascii="Century Schoolbook" w:hAnsi="Century Schoolbook"/>
        </w:rPr>
        <w:t>Trial Court:</w:t>
      </w:r>
      <w:r w:rsidRPr="00074FE6">
        <w:rPr>
          <w:rFonts w:ascii="Century Schoolbook" w:hAnsi="Century Schoolbook"/>
        </w:rPr>
        <w:tab/>
      </w:r>
      <w:r>
        <w:rPr>
          <w:rFonts w:ascii="Century Schoolbook" w:hAnsi="Century Schoolbook"/>
        </w:rPr>
        <w:t xml:space="preserve">  </w:t>
      </w:r>
      <w:r w:rsidRPr="00074FE6">
        <w:rPr>
          <w:rFonts w:ascii="Century Schoolbook" w:hAnsi="Century Schoolbook"/>
        </w:rPr>
        <w:t xml:space="preserve">Superior Court of </w:t>
      </w:r>
      <w:r>
        <w:rPr>
          <w:rFonts w:ascii="Century Schoolbook" w:hAnsi="Century Schoolbook"/>
        </w:rPr>
        <w:t>Solano County</w:t>
      </w:r>
    </w:p>
    <w:p w14:paraId="4FB8C4B6" w14:textId="77777777" w:rsidR="00074FE6" w:rsidRPr="00074FE6" w:rsidRDefault="00074FE6" w:rsidP="00074FE6">
      <w:pPr>
        <w:rPr>
          <w:rFonts w:ascii="Century Schoolbook" w:hAnsi="Century Schoolbook"/>
        </w:rPr>
      </w:pPr>
    </w:p>
    <w:p w14:paraId="7E5F5CA5" w14:textId="3237DEF8" w:rsidR="00074FE6" w:rsidRPr="00074FE6" w:rsidRDefault="00074FE6" w:rsidP="00074FE6">
      <w:pPr>
        <w:rPr>
          <w:rFonts w:ascii="Century Schoolbook" w:hAnsi="Century Schoolbook"/>
        </w:rPr>
      </w:pPr>
      <w:r w:rsidRPr="00074FE6">
        <w:rPr>
          <w:rFonts w:ascii="Century Schoolbook" w:hAnsi="Century Schoolbook"/>
        </w:rPr>
        <w:t>Trial Judge:</w:t>
      </w:r>
      <w:r w:rsidRPr="00074FE6">
        <w:rPr>
          <w:rFonts w:ascii="Century Schoolbook" w:hAnsi="Century Schoolbook"/>
        </w:rPr>
        <w:tab/>
      </w:r>
      <w:r w:rsidR="001459F2">
        <w:rPr>
          <w:rFonts w:ascii="Century Schoolbook" w:hAnsi="Century Schoolbook"/>
        </w:rPr>
        <w:t>William Pendergast III</w:t>
      </w:r>
    </w:p>
    <w:p w14:paraId="2B7220AD" w14:textId="77777777" w:rsidR="00074FE6" w:rsidRPr="00074FE6" w:rsidRDefault="00074FE6" w:rsidP="00074FE6">
      <w:pPr>
        <w:rPr>
          <w:rFonts w:ascii="Century Schoolbook" w:hAnsi="Century Schoolbook"/>
        </w:rPr>
      </w:pPr>
    </w:p>
    <w:p w14:paraId="545C54B4" w14:textId="3DE8B7A3" w:rsidR="00074FE6" w:rsidRPr="00074FE6" w:rsidRDefault="00074FE6" w:rsidP="00074FE6">
      <w:pPr>
        <w:rPr>
          <w:rFonts w:ascii="Century Schoolbook" w:hAnsi="Century Schoolbook"/>
        </w:rPr>
      </w:pPr>
      <w:r w:rsidRPr="00074FE6">
        <w:rPr>
          <w:rFonts w:ascii="Century Schoolbook" w:hAnsi="Century Schoolbook"/>
        </w:rPr>
        <w:t>Counsel:</w:t>
      </w:r>
      <w:r w:rsidRPr="00074FE6">
        <w:rPr>
          <w:rFonts w:ascii="Century Schoolbook" w:hAnsi="Century Schoolbook"/>
        </w:rPr>
        <w:tab/>
      </w:r>
      <w:r w:rsidR="001459F2">
        <w:rPr>
          <w:rFonts w:ascii="Century Schoolbook" w:hAnsi="Century Schoolbook"/>
        </w:rPr>
        <w:t xml:space="preserve">Mark David Greenberg, By Appointment of the First District Court of Appeal under the First District Appellate Project, </w:t>
      </w:r>
      <w:r w:rsidRPr="00074FE6">
        <w:rPr>
          <w:rFonts w:ascii="Century Schoolbook" w:hAnsi="Century Schoolbook"/>
        </w:rPr>
        <w:t>for</w:t>
      </w:r>
      <w:r w:rsidR="0079611F">
        <w:rPr>
          <w:rFonts w:ascii="Century Schoolbook" w:hAnsi="Century Schoolbook"/>
        </w:rPr>
        <w:t xml:space="preserve"> Defendant and Appellant</w:t>
      </w:r>
      <w:r w:rsidRPr="00074FE6">
        <w:rPr>
          <w:rFonts w:ascii="Century Schoolbook" w:hAnsi="Century Schoolbook"/>
        </w:rPr>
        <w:t>.</w:t>
      </w:r>
    </w:p>
    <w:p w14:paraId="752A5EA5" w14:textId="77777777" w:rsidR="00074FE6" w:rsidRPr="00074FE6" w:rsidRDefault="00074FE6" w:rsidP="00074FE6">
      <w:pPr>
        <w:rPr>
          <w:rFonts w:ascii="Century Schoolbook" w:hAnsi="Century Schoolbook"/>
        </w:rPr>
      </w:pPr>
    </w:p>
    <w:p w14:paraId="757DD74D" w14:textId="2FD1D278" w:rsidR="00074FE6" w:rsidRPr="00074FE6" w:rsidRDefault="001459F2" w:rsidP="00074FE6">
      <w:pPr>
        <w:rPr>
          <w:rFonts w:ascii="Century Schoolbook" w:hAnsi="Century Schoolbook"/>
        </w:rPr>
      </w:pPr>
      <w:r>
        <w:rPr>
          <w:rFonts w:ascii="Century Schoolbook" w:hAnsi="Century Schoolbook"/>
        </w:rPr>
        <w:t>Rob Bonta</w:t>
      </w:r>
      <w:r w:rsidR="00074FE6" w:rsidRPr="00074FE6">
        <w:rPr>
          <w:rFonts w:ascii="Century Schoolbook" w:hAnsi="Century Schoolbook"/>
        </w:rPr>
        <w:t xml:space="preserve">, Attorney General of California; </w:t>
      </w:r>
      <w:r>
        <w:rPr>
          <w:rFonts w:ascii="Century Schoolbook" w:hAnsi="Century Schoolbook"/>
        </w:rPr>
        <w:t>Lance E. Winters</w:t>
      </w:r>
      <w:r w:rsidR="00074FE6" w:rsidRPr="00074FE6">
        <w:rPr>
          <w:rFonts w:ascii="Century Schoolbook" w:hAnsi="Century Schoolbook"/>
        </w:rPr>
        <w:t>,</w:t>
      </w:r>
      <w:r>
        <w:rPr>
          <w:rFonts w:ascii="Century Schoolbook" w:hAnsi="Century Schoolbook"/>
        </w:rPr>
        <w:t xml:space="preserve"> Chief</w:t>
      </w:r>
      <w:r w:rsidR="00074FE6" w:rsidRPr="00074FE6">
        <w:rPr>
          <w:rFonts w:ascii="Century Schoolbook" w:hAnsi="Century Schoolbook"/>
        </w:rPr>
        <w:t xml:space="preserve"> Assistant Attorney General; </w:t>
      </w:r>
      <w:r>
        <w:rPr>
          <w:rFonts w:ascii="Century Schoolbook" w:hAnsi="Century Schoolbook"/>
        </w:rPr>
        <w:t>Jeffrey M. Laurence</w:t>
      </w:r>
      <w:r w:rsidR="00074FE6" w:rsidRPr="00074FE6">
        <w:rPr>
          <w:rFonts w:ascii="Century Schoolbook" w:hAnsi="Century Schoolbook"/>
        </w:rPr>
        <w:t>, S</w:t>
      </w:r>
      <w:r>
        <w:rPr>
          <w:rFonts w:ascii="Century Schoolbook" w:hAnsi="Century Schoolbook"/>
        </w:rPr>
        <w:t>enior Assistant</w:t>
      </w:r>
      <w:r w:rsidR="00074FE6" w:rsidRPr="00074FE6">
        <w:rPr>
          <w:rFonts w:ascii="Century Schoolbook" w:hAnsi="Century Schoolbook"/>
        </w:rPr>
        <w:t xml:space="preserve"> Attorney General; </w:t>
      </w:r>
      <w:r>
        <w:rPr>
          <w:rFonts w:ascii="Century Schoolbook" w:hAnsi="Century Schoolbook"/>
        </w:rPr>
        <w:t>Catherin</w:t>
      </w:r>
      <w:r w:rsidR="004F0125">
        <w:rPr>
          <w:rFonts w:ascii="Century Schoolbook" w:hAnsi="Century Schoolbook"/>
        </w:rPr>
        <w:t>e</w:t>
      </w:r>
      <w:r>
        <w:rPr>
          <w:rFonts w:ascii="Century Schoolbook" w:hAnsi="Century Schoolbook"/>
        </w:rPr>
        <w:t xml:space="preserve"> A. Rivlin, Supervising Deputy Attorney General; Ann P. Wathen</w:t>
      </w:r>
      <w:r w:rsidR="00CD4FDC">
        <w:rPr>
          <w:rFonts w:ascii="Century Schoolbook" w:hAnsi="Century Schoolbook"/>
        </w:rPr>
        <w:t xml:space="preserve"> and Basil Williams, </w:t>
      </w:r>
      <w:r w:rsidR="00074FE6" w:rsidRPr="00074FE6">
        <w:rPr>
          <w:rFonts w:ascii="Century Schoolbook" w:hAnsi="Century Schoolbook"/>
        </w:rPr>
        <w:t>Deputy Attorney</w:t>
      </w:r>
      <w:r w:rsidR="00CD4FDC">
        <w:rPr>
          <w:rFonts w:ascii="Century Schoolbook" w:hAnsi="Century Schoolbook"/>
        </w:rPr>
        <w:t>s</w:t>
      </w:r>
      <w:r w:rsidR="00074FE6" w:rsidRPr="00074FE6">
        <w:rPr>
          <w:rFonts w:ascii="Century Schoolbook" w:hAnsi="Century Schoolbook"/>
        </w:rPr>
        <w:t xml:space="preserve"> General</w:t>
      </w:r>
      <w:r w:rsidR="00160B5E">
        <w:rPr>
          <w:rFonts w:ascii="Century Schoolbook" w:hAnsi="Century Schoolbook"/>
        </w:rPr>
        <w:t>,</w:t>
      </w:r>
      <w:r w:rsidR="00074FE6" w:rsidRPr="00074FE6">
        <w:rPr>
          <w:rFonts w:ascii="Century Schoolbook" w:hAnsi="Century Schoolbook"/>
        </w:rPr>
        <w:t xml:space="preserve"> for </w:t>
      </w:r>
      <w:r w:rsidR="008934A6">
        <w:rPr>
          <w:rFonts w:ascii="Century Schoolbook" w:hAnsi="Century Schoolbook"/>
        </w:rPr>
        <w:t xml:space="preserve">Plaintiff and </w:t>
      </w:r>
      <w:r w:rsidR="00074FE6" w:rsidRPr="00074FE6">
        <w:rPr>
          <w:rFonts w:ascii="Century Schoolbook" w:hAnsi="Century Schoolbook"/>
        </w:rPr>
        <w:t>Respondent.</w:t>
      </w:r>
    </w:p>
    <w:p w14:paraId="15FF85D9" w14:textId="77777777" w:rsidR="00074FE6" w:rsidRPr="00074FE6" w:rsidRDefault="00074FE6" w:rsidP="00A74EC0">
      <w:pPr>
        <w:rPr>
          <w:rFonts w:ascii="Century Schoolbook" w:hAnsi="Century Schoolbook"/>
        </w:rPr>
      </w:pPr>
    </w:p>
    <w:sectPr w:rsidR="00074FE6" w:rsidRPr="00074FE6" w:rsidSect="005A236B">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33461" w14:textId="77777777" w:rsidR="004850A5" w:rsidRDefault="004850A5" w:rsidP="005A236B">
      <w:pPr>
        <w:spacing w:line="240" w:lineRule="auto"/>
      </w:pPr>
      <w:r>
        <w:separator/>
      </w:r>
    </w:p>
  </w:endnote>
  <w:endnote w:type="continuationSeparator" w:id="0">
    <w:p w14:paraId="49F26615" w14:textId="77777777" w:rsidR="004850A5" w:rsidRDefault="004850A5" w:rsidP="005A23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C3B0" w14:textId="72C0FC47" w:rsidR="007E5593" w:rsidRDefault="007E5593" w:rsidP="00894F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B18FB">
      <w:rPr>
        <w:rStyle w:val="PageNumber"/>
        <w:noProof/>
      </w:rPr>
      <w:t>3</w:t>
    </w:r>
    <w:r>
      <w:rPr>
        <w:rStyle w:val="PageNumber"/>
      </w:rPr>
      <w:fldChar w:fldCharType="end"/>
    </w:r>
  </w:p>
  <w:p w14:paraId="34EE0CBB" w14:textId="0C453EB2" w:rsidR="007E5593" w:rsidRDefault="007E5593" w:rsidP="00894F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B18FB">
      <w:rPr>
        <w:rStyle w:val="PageNumber"/>
        <w:noProof/>
      </w:rPr>
      <w:t>3</w:t>
    </w:r>
    <w:r>
      <w:rPr>
        <w:rStyle w:val="PageNumber"/>
      </w:rPr>
      <w:fldChar w:fldCharType="end"/>
    </w:r>
  </w:p>
  <w:p w14:paraId="2B6B3AF3" w14:textId="77777777" w:rsidR="007E5593" w:rsidRDefault="007E5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1C89" w14:textId="76A351FA" w:rsidR="007E5593" w:rsidRPr="004B18FB" w:rsidRDefault="007E5593" w:rsidP="005A236B">
    <w:pPr>
      <w:pStyle w:val="Footer"/>
      <w:framePr w:wrap="around" w:vAnchor="text" w:hAnchor="margin" w:xAlign="center" w:y="1"/>
      <w:rPr>
        <w:rStyle w:val="PageNumber"/>
        <w:rFonts w:ascii="Century Schoolbook" w:hAnsi="Century Schoolbook"/>
      </w:rPr>
    </w:pPr>
    <w:r w:rsidRPr="004B18FB">
      <w:rPr>
        <w:rStyle w:val="PageNumber"/>
        <w:rFonts w:ascii="Century Schoolbook" w:hAnsi="Century Schoolbook"/>
      </w:rPr>
      <w:fldChar w:fldCharType="begin"/>
    </w:r>
    <w:r w:rsidRPr="004B18FB">
      <w:rPr>
        <w:rStyle w:val="PageNumber"/>
        <w:rFonts w:ascii="Century Schoolbook" w:hAnsi="Century Schoolbook"/>
      </w:rPr>
      <w:instrText xml:space="preserve"> PAGE </w:instrText>
    </w:r>
    <w:r w:rsidRPr="004B18FB">
      <w:rPr>
        <w:rStyle w:val="PageNumber"/>
        <w:rFonts w:ascii="Century Schoolbook" w:hAnsi="Century Schoolbook"/>
      </w:rPr>
      <w:fldChar w:fldCharType="separate"/>
    </w:r>
    <w:r w:rsidRPr="004B18FB">
      <w:rPr>
        <w:rStyle w:val="PageNumber"/>
        <w:rFonts w:ascii="Century Schoolbook" w:hAnsi="Century Schoolbook"/>
        <w:noProof/>
      </w:rPr>
      <w:t>10</w:t>
    </w:r>
    <w:r w:rsidRPr="004B18FB">
      <w:rPr>
        <w:rStyle w:val="PageNumber"/>
        <w:rFonts w:ascii="Century Schoolbook" w:hAnsi="Century Schoolbook"/>
      </w:rPr>
      <w:fldChar w:fldCharType="end"/>
    </w:r>
  </w:p>
  <w:p w14:paraId="5DE2A43C" w14:textId="77777777" w:rsidR="007E5593" w:rsidRDefault="007E5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34F71" w14:textId="77777777" w:rsidR="004850A5" w:rsidRDefault="004850A5" w:rsidP="005A236B">
      <w:pPr>
        <w:spacing w:line="240" w:lineRule="auto"/>
      </w:pPr>
      <w:r>
        <w:separator/>
      </w:r>
    </w:p>
  </w:footnote>
  <w:footnote w:type="continuationSeparator" w:id="0">
    <w:p w14:paraId="0701219E" w14:textId="77777777" w:rsidR="004850A5" w:rsidRDefault="004850A5" w:rsidP="005A236B">
      <w:pPr>
        <w:spacing w:line="240" w:lineRule="auto"/>
      </w:pPr>
      <w:r>
        <w:continuationSeparator/>
      </w:r>
    </w:p>
  </w:footnote>
  <w:footnote w:id="1">
    <w:p w14:paraId="3AF201E0" w14:textId="34A063DE" w:rsidR="00B2421D" w:rsidRPr="00B2421D" w:rsidRDefault="00B2421D" w:rsidP="00B2421D">
      <w:pPr>
        <w:pStyle w:val="FootnoteText"/>
        <w:ind w:firstLine="720"/>
        <w:rPr>
          <w:rFonts w:ascii="Century Schoolbook" w:hAnsi="Century Schoolbook"/>
        </w:rPr>
      </w:pPr>
      <w:r w:rsidRPr="00B2421D">
        <w:rPr>
          <w:rStyle w:val="FootnoteReference"/>
          <w:rFonts w:ascii="Century Schoolbook" w:hAnsi="Century Schoolbook"/>
        </w:rPr>
        <w:t>*</w:t>
      </w:r>
      <w:r w:rsidRPr="00B2421D">
        <w:rPr>
          <w:rFonts w:ascii="Century Schoolbook" w:hAnsi="Century Schoolbook"/>
        </w:rPr>
        <w:t xml:space="preserve"> Pursuant to California Rules of Court, rules 8.1105(b) and 8.1110, this opinion is certified for publication with the exception of part</w:t>
      </w:r>
      <w:r>
        <w:rPr>
          <w:rFonts w:ascii="Century Schoolbook" w:hAnsi="Century Schoolbook"/>
        </w:rPr>
        <w:t>s A, C, and D</w:t>
      </w:r>
      <w:r w:rsidR="00131348">
        <w:rPr>
          <w:rFonts w:ascii="Century Schoolbook" w:hAnsi="Century Schoolbook"/>
        </w:rPr>
        <w:t xml:space="preserve"> of the Discussion</w:t>
      </w:r>
      <w:r>
        <w:rPr>
          <w:rFonts w:ascii="Century Schoolbook" w:hAnsi="Century Schoolbook"/>
        </w:rPr>
        <w:t>.</w:t>
      </w:r>
    </w:p>
    <w:p w14:paraId="499DB9C8" w14:textId="77777777" w:rsidR="00B2421D" w:rsidRDefault="00B2421D">
      <w:pPr>
        <w:pStyle w:val="FootnoteText"/>
      </w:pPr>
    </w:p>
  </w:footnote>
  <w:footnote w:id="2">
    <w:p w14:paraId="57E7B956" w14:textId="77777777" w:rsidR="00D722E1" w:rsidRPr="0028265D" w:rsidRDefault="00D722E1" w:rsidP="001D0CF5">
      <w:pPr>
        <w:pStyle w:val="FootnoteText"/>
        <w:ind w:firstLine="720"/>
        <w:rPr>
          <w:rFonts w:ascii="Century Schoolbook" w:hAnsi="Century Schoolbook"/>
        </w:rPr>
      </w:pPr>
      <w:r w:rsidRPr="0028265D">
        <w:rPr>
          <w:rStyle w:val="FootnoteReference"/>
          <w:rFonts w:ascii="Century Schoolbook" w:hAnsi="Century Schoolbook"/>
        </w:rPr>
        <w:footnoteRef/>
      </w:r>
      <w:r w:rsidRPr="0028265D">
        <w:rPr>
          <w:rFonts w:ascii="Century Schoolbook" w:hAnsi="Century Schoolbook"/>
        </w:rPr>
        <w:t xml:space="preserve"> All subsequent references to statute are to the Penal Code, unless otherwise noted.</w:t>
      </w:r>
    </w:p>
  </w:footnote>
  <w:footnote w:id="3">
    <w:p w14:paraId="1B5CEC81" w14:textId="77777777" w:rsidR="007C3668" w:rsidRDefault="0017111F" w:rsidP="0017111F">
      <w:pPr>
        <w:pStyle w:val="FootnoteText"/>
        <w:ind w:firstLine="720"/>
        <w:rPr>
          <w:rFonts w:ascii="Century Schoolbook" w:hAnsi="Century Schoolbook"/>
        </w:rPr>
      </w:pPr>
      <w:r w:rsidRPr="00D95BA7">
        <w:rPr>
          <w:rStyle w:val="FootnoteReference"/>
          <w:rFonts w:ascii="Century Schoolbook" w:hAnsi="Century Schoolbook"/>
        </w:rPr>
        <w:footnoteRef/>
      </w:r>
      <w:r w:rsidRPr="00D95BA7">
        <w:rPr>
          <w:rFonts w:ascii="Century Schoolbook" w:hAnsi="Century Schoolbook"/>
        </w:rPr>
        <w:t xml:space="preserve"> For the same reason, appellant’s reliance on </w:t>
      </w:r>
      <w:r w:rsidRPr="00D95BA7">
        <w:rPr>
          <w:rFonts w:ascii="Century Schoolbook" w:hAnsi="Century Schoolbook"/>
          <w:i/>
          <w:iCs/>
        </w:rPr>
        <w:t>People v. Hillhouse</w:t>
      </w:r>
      <w:r w:rsidRPr="00D95BA7">
        <w:rPr>
          <w:rFonts w:ascii="Century Schoolbook" w:hAnsi="Century Schoolbook"/>
        </w:rPr>
        <w:t xml:space="preserve"> (2002) 27 Cal.4th 469, is misplaced.  In that case, the </w:t>
      </w:r>
      <w:r w:rsidR="00D95BA7" w:rsidRPr="00D95BA7">
        <w:rPr>
          <w:rFonts w:ascii="Century Schoolbook" w:hAnsi="Century Schoolbook"/>
        </w:rPr>
        <w:t>appellant</w:t>
      </w:r>
      <w:r w:rsidRPr="00D95BA7">
        <w:rPr>
          <w:rFonts w:ascii="Century Schoolbook" w:hAnsi="Century Schoolbook"/>
        </w:rPr>
        <w:t xml:space="preserve"> argue</w:t>
      </w:r>
      <w:r w:rsidR="00D95BA7" w:rsidRPr="00D95BA7">
        <w:rPr>
          <w:rFonts w:ascii="Century Schoolbook" w:hAnsi="Century Schoolbook"/>
        </w:rPr>
        <w:t>d</w:t>
      </w:r>
      <w:r w:rsidRPr="00D95BA7">
        <w:rPr>
          <w:rFonts w:ascii="Century Schoolbook" w:hAnsi="Century Schoolbook"/>
        </w:rPr>
        <w:t xml:space="preserve"> </w:t>
      </w:r>
      <w:r w:rsidR="00D95BA7" w:rsidRPr="00D95BA7">
        <w:rPr>
          <w:rFonts w:ascii="Century Schoolbook" w:hAnsi="Century Schoolbook"/>
        </w:rPr>
        <w:t>“</w:t>
      </w:r>
      <w:r w:rsidRPr="00D95BA7">
        <w:rPr>
          <w:rFonts w:ascii="Century Schoolbook" w:hAnsi="Century Schoolbook"/>
        </w:rPr>
        <w:t>that motive is an element of the crimes</w:t>
      </w:r>
      <w:r w:rsidR="00D95BA7" w:rsidRPr="00D95BA7">
        <w:rPr>
          <w:rFonts w:ascii="Century Schoolbook" w:hAnsi="Century Schoolbook"/>
        </w:rPr>
        <w:t>” with which he was charged.  (</w:t>
      </w:r>
      <w:r w:rsidR="00D95BA7" w:rsidRPr="00D95BA7">
        <w:rPr>
          <w:rFonts w:ascii="Century Schoolbook" w:hAnsi="Century Schoolbook"/>
          <w:i/>
          <w:iCs/>
        </w:rPr>
        <w:t>Id</w:t>
      </w:r>
      <w:r w:rsidR="00D95BA7" w:rsidRPr="00D95BA7">
        <w:rPr>
          <w:rFonts w:ascii="Century Schoolbook" w:hAnsi="Century Schoolbook"/>
        </w:rPr>
        <w:t xml:space="preserve">. at </w:t>
      </w:r>
    </w:p>
    <w:p w14:paraId="276A95B7" w14:textId="7ED0626D" w:rsidR="0017111F" w:rsidRPr="00D95BA7" w:rsidRDefault="00D95BA7" w:rsidP="007C3668">
      <w:pPr>
        <w:pStyle w:val="FootnoteText"/>
        <w:rPr>
          <w:rFonts w:ascii="Century Schoolbook" w:hAnsi="Century Schoolbook"/>
        </w:rPr>
      </w:pPr>
      <w:r w:rsidRPr="00D95BA7">
        <w:rPr>
          <w:rFonts w:ascii="Century Schoolbook" w:hAnsi="Century Schoolbook"/>
        </w:rPr>
        <w:t>p. 503.)  Our Supreme Court observed:</w:t>
      </w:r>
      <w:r w:rsidR="0017111F" w:rsidRPr="00D95BA7">
        <w:rPr>
          <w:rFonts w:ascii="Century Schoolbook" w:hAnsi="Century Schoolbook"/>
        </w:rPr>
        <w:t xml:space="preserve"> </w:t>
      </w:r>
      <w:r w:rsidR="004B18FB">
        <w:rPr>
          <w:rFonts w:ascii="Century Schoolbook" w:hAnsi="Century Schoolbook"/>
        </w:rPr>
        <w:t xml:space="preserve"> </w:t>
      </w:r>
      <w:r w:rsidRPr="00D95BA7">
        <w:rPr>
          <w:rFonts w:ascii="Century Schoolbook" w:hAnsi="Century Schoolbook"/>
        </w:rPr>
        <w:t>“I</w:t>
      </w:r>
      <w:r w:rsidR="0017111F" w:rsidRPr="00D95BA7">
        <w:rPr>
          <w:rFonts w:ascii="Century Schoolbook" w:hAnsi="Century Schoolbook"/>
        </w:rPr>
        <w:t>f he were correct (as we explain, he is not),</w:t>
      </w:r>
      <w:r w:rsidRPr="00D95BA7">
        <w:rPr>
          <w:rFonts w:ascii="Century Schoolbook" w:hAnsi="Century Schoolbook"/>
        </w:rPr>
        <w:t>”</w:t>
      </w:r>
      <w:r w:rsidR="0017111F" w:rsidRPr="00D95BA7">
        <w:rPr>
          <w:rFonts w:ascii="Century Schoolbook" w:hAnsi="Century Schoolbook"/>
        </w:rPr>
        <w:t xml:space="preserve"> </w:t>
      </w:r>
      <w:r w:rsidRPr="00D95BA7">
        <w:rPr>
          <w:rFonts w:ascii="Century Schoolbook" w:hAnsi="Century Schoolbook"/>
        </w:rPr>
        <w:t>a jury instruction telling jurors that motive was not an element of the charged crimes “</w:t>
      </w:r>
      <w:r w:rsidR="0017111F" w:rsidRPr="00D95BA7">
        <w:rPr>
          <w:rFonts w:ascii="Century Schoolbook" w:hAnsi="Century Schoolbook"/>
        </w:rPr>
        <w:t>would have contradicted other instructions regarding the elements of the crimes.</w:t>
      </w:r>
      <w:r w:rsidRPr="00D95BA7">
        <w:rPr>
          <w:rFonts w:ascii="Century Schoolbook" w:hAnsi="Century Schoolbook"/>
        </w:rPr>
        <w:t>”  (</w:t>
      </w:r>
      <w:r w:rsidRPr="00D95BA7">
        <w:rPr>
          <w:rFonts w:ascii="Century Schoolbook" w:hAnsi="Century Schoolbook"/>
          <w:i/>
          <w:iCs/>
        </w:rPr>
        <w:t>Ibid</w:t>
      </w:r>
      <w:r w:rsidRPr="00D95BA7">
        <w:rPr>
          <w:rFonts w:ascii="Century Schoolbook" w:hAnsi="Century Schoolbook"/>
        </w:rPr>
        <w:t>.)  Here, there is no such contradiction.</w:t>
      </w:r>
    </w:p>
  </w:footnote>
  <w:footnote w:id="4">
    <w:p w14:paraId="43BBE489" w14:textId="470B89AF" w:rsidR="008C2BF2" w:rsidRDefault="008C2BF2" w:rsidP="008C2BF2">
      <w:pPr>
        <w:pStyle w:val="FootnoteText"/>
        <w:ind w:firstLine="720"/>
      </w:pPr>
      <w:r w:rsidRPr="00090FCC">
        <w:rPr>
          <w:rStyle w:val="FootnoteReference"/>
          <w:rFonts w:ascii="Century Schoolbook" w:hAnsi="Century Schoolbook"/>
        </w:rPr>
        <w:footnoteRef/>
      </w:r>
      <w:r w:rsidRPr="00090FCC">
        <w:rPr>
          <w:rFonts w:ascii="Century Schoolbook" w:hAnsi="Century Schoolbook"/>
        </w:rPr>
        <w:t xml:space="preserve"> The trial court asked appellant, “[a]re you asking me to declare a mistrial or only a dismissal with prejudice?”  Appellant replied, “[o]nly with prejudice at this point.” </w:t>
      </w:r>
    </w:p>
  </w:footnote>
  <w:footnote w:id="5">
    <w:p w14:paraId="71F053EB" w14:textId="243EB546" w:rsidR="00A96D1E" w:rsidRDefault="00A96D1E" w:rsidP="00A96D1E">
      <w:pPr>
        <w:pStyle w:val="FootnoteText"/>
        <w:ind w:firstLine="720"/>
        <w:rPr>
          <w:rFonts w:ascii="Century Schoolbook" w:hAnsi="Century Schoolbook"/>
        </w:rPr>
      </w:pPr>
      <w:r w:rsidRPr="00A96D1E">
        <w:rPr>
          <w:rStyle w:val="FootnoteReference"/>
          <w:rFonts w:ascii="Century Schoolbook" w:hAnsi="Century Schoolbook"/>
        </w:rPr>
        <w:footnoteRef/>
      </w:r>
      <w:r w:rsidRPr="00A96D1E">
        <w:rPr>
          <w:rFonts w:ascii="Century Schoolbook" w:hAnsi="Century Schoolbook"/>
        </w:rPr>
        <w:t xml:space="preserve"> </w:t>
      </w:r>
      <w:r w:rsidR="0008212C">
        <w:rPr>
          <w:rFonts w:ascii="Century Schoolbook" w:hAnsi="Century Schoolbook"/>
        </w:rPr>
        <w:t>Nor</w:t>
      </w:r>
      <w:r w:rsidRPr="00A96D1E">
        <w:rPr>
          <w:rFonts w:ascii="Century Schoolbook" w:hAnsi="Century Schoolbook"/>
        </w:rPr>
        <w:t xml:space="preserve"> would </w:t>
      </w:r>
      <w:r w:rsidR="0008212C">
        <w:rPr>
          <w:rFonts w:ascii="Century Schoolbook" w:hAnsi="Century Schoolbook"/>
        </w:rPr>
        <w:t xml:space="preserve">it </w:t>
      </w:r>
      <w:r w:rsidRPr="00A96D1E">
        <w:rPr>
          <w:rFonts w:ascii="Century Schoolbook" w:hAnsi="Century Schoolbook"/>
        </w:rPr>
        <w:t xml:space="preserve">make </w:t>
      </w:r>
      <w:r w:rsidR="0008212C">
        <w:rPr>
          <w:rFonts w:ascii="Century Schoolbook" w:hAnsi="Century Schoolbook"/>
        </w:rPr>
        <w:t>any</w:t>
      </w:r>
      <w:r w:rsidRPr="00A96D1E">
        <w:rPr>
          <w:rFonts w:ascii="Century Schoolbook" w:hAnsi="Century Schoolbook"/>
        </w:rPr>
        <w:t xml:space="preserve"> difference if we were to employ the “harmless beyond a reasonable doubt” standard for prejudicial error articulated in </w:t>
      </w:r>
      <w:r w:rsidRPr="00A96D1E">
        <w:rPr>
          <w:rFonts w:ascii="Century Schoolbook" w:hAnsi="Century Schoolbook"/>
          <w:i/>
          <w:iCs/>
        </w:rPr>
        <w:t>People v. Chapman</w:t>
      </w:r>
      <w:r w:rsidRPr="00A96D1E">
        <w:rPr>
          <w:rFonts w:ascii="Century Schoolbook" w:hAnsi="Century Schoolbook"/>
        </w:rPr>
        <w:t xml:space="preserve"> (1967) 386 U.S. 18, 22–23, as appellant urges us to do</w:t>
      </w:r>
      <w:r>
        <w:rPr>
          <w:rFonts w:ascii="Century Schoolbook" w:hAnsi="Century Schoolbook"/>
        </w:rPr>
        <w:t xml:space="preserve">. </w:t>
      </w:r>
      <w:r w:rsidR="00523518">
        <w:rPr>
          <w:rFonts w:ascii="Century Schoolbook" w:hAnsi="Century Schoolbook"/>
        </w:rPr>
        <w:t xml:space="preserve"> Ou</w:t>
      </w:r>
      <w:r w:rsidR="00EA0415">
        <w:rPr>
          <w:rFonts w:ascii="Century Schoolbook" w:hAnsi="Century Schoolbook"/>
        </w:rPr>
        <w:t xml:space="preserve">r analysis leads us </w:t>
      </w:r>
      <w:r w:rsidR="00A81DF4">
        <w:rPr>
          <w:rFonts w:ascii="Century Schoolbook" w:hAnsi="Century Schoolbook"/>
        </w:rPr>
        <w:t xml:space="preserve">to </w:t>
      </w:r>
      <w:r w:rsidR="00523518">
        <w:rPr>
          <w:rFonts w:ascii="Century Schoolbook" w:hAnsi="Century Schoolbook"/>
        </w:rPr>
        <w:t>conclu</w:t>
      </w:r>
      <w:r w:rsidR="00EA0415">
        <w:rPr>
          <w:rFonts w:ascii="Century Schoolbook" w:hAnsi="Century Schoolbook"/>
        </w:rPr>
        <w:t>de</w:t>
      </w:r>
      <w:r w:rsidR="00523518">
        <w:rPr>
          <w:rFonts w:ascii="Century Schoolbook" w:hAnsi="Century Schoolbook"/>
        </w:rPr>
        <w:t xml:space="preserve"> that the</w:t>
      </w:r>
      <w:r w:rsidRPr="00A96D1E">
        <w:rPr>
          <w:rFonts w:ascii="Century Schoolbook" w:hAnsi="Century Schoolbook"/>
        </w:rPr>
        <w:t xml:space="preserve"> error </w:t>
      </w:r>
      <w:r w:rsidR="00523518">
        <w:rPr>
          <w:rFonts w:ascii="Century Schoolbook" w:hAnsi="Century Schoolbook"/>
        </w:rPr>
        <w:t>wa</w:t>
      </w:r>
      <w:r w:rsidRPr="00A96D1E">
        <w:rPr>
          <w:rFonts w:ascii="Century Schoolbook" w:hAnsi="Century Schoolbook"/>
        </w:rPr>
        <w:t>s harmless under any standard.</w:t>
      </w:r>
    </w:p>
    <w:p w14:paraId="4DBB1657" w14:textId="77777777" w:rsidR="00D55034" w:rsidRPr="00A96D1E" w:rsidRDefault="00D55034" w:rsidP="00A96D1E">
      <w:pPr>
        <w:pStyle w:val="FootnoteText"/>
        <w:ind w:firstLine="720"/>
        <w:rPr>
          <w:rFonts w:ascii="Century Schoolbook" w:hAnsi="Century Schoolbook"/>
        </w:rPr>
      </w:pPr>
    </w:p>
  </w:footnote>
  <w:footnote w:id="6">
    <w:p w14:paraId="155B2FFC" w14:textId="77777777" w:rsidR="00D55034" w:rsidRDefault="00D55034" w:rsidP="00D55034">
      <w:pPr>
        <w:pStyle w:val="FootnoteText"/>
        <w:rPr>
          <w:szCs w:val="26"/>
        </w:rPr>
      </w:pPr>
      <w:r w:rsidRPr="00450899">
        <w:rPr>
          <w:szCs w:val="26"/>
        </w:rPr>
        <w:tab/>
      </w:r>
      <w:r w:rsidRPr="00450899">
        <w:rPr>
          <w:rStyle w:val="FootnoteReference"/>
          <w:szCs w:val="26"/>
        </w:rPr>
        <w:t>*</w:t>
      </w:r>
      <w:r w:rsidRPr="00450899">
        <w:rPr>
          <w:szCs w:val="26"/>
        </w:rPr>
        <w:t xml:space="preserve"> </w:t>
      </w:r>
      <w:r w:rsidRPr="00D55034">
        <w:rPr>
          <w:rFonts w:ascii="Century Schoolbook" w:hAnsi="Century Schoolbook"/>
          <w:szCs w:val="26"/>
        </w:rPr>
        <w:t>Judge of the Superior Court of Napa County, assigned by the Chief Justice pursuant to article VI, section 6 of the California Constitution.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3116"/>
    <w:multiLevelType w:val="hybridMultilevel"/>
    <w:tmpl w:val="EADEF0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30F36"/>
    <w:multiLevelType w:val="hybridMultilevel"/>
    <w:tmpl w:val="28CCA0A6"/>
    <w:lvl w:ilvl="0" w:tplc="7472B1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154AE5"/>
    <w:multiLevelType w:val="hybridMultilevel"/>
    <w:tmpl w:val="C1AA4A86"/>
    <w:lvl w:ilvl="0" w:tplc="E6F83F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E3B0C"/>
    <w:multiLevelType w:val="hybridMultilevel"/>
    <w:tmpl w:val="40600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4644C"/>
    <w:multiLevelType w:val="hybridMultilevel"/>
    <w:tmpl w:val="2F5417B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034F2"/>
    <w:multiLevelType w:val="hybridMultilevel"/>
    <w:tmpl w:val="C93C8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24F70"/>
    <w:multiLevelType w:val="hybridMultilevel"/>
    <w:tmpl w:val="1AD60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8225D"/>
    <w:multiLevelType w:val="hybridMultilevel"/>
    <w:tmpl w:val="9C12F2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A646B6"/>
    <w:multiLevelType w:val="hybridMultilevel"/>
    <w:tmpl w:val="4A400BD4"/>
    <w:lvl w:ilvl="0" w:tplc="399A35EE">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8E41DB"/>
    <w:multiLevelType w:val="hybridMultilevel"/>
    <w:tmpl w:val="9DDEB80A"/>
    <w:lvl w:ilvl="0" w:tplc="2DB26E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954118"/>
    <w:multiLevelType w:val="hybridMultilevel"/>
    <w:tmpl w:val="BF9C4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75F42"/>
    <w:multiLevelType w:val="hybridMultilevel"/>
    <w:tmpl w:val="3EB62DD8"/>
    <w:lvl w:ilvl="0" w:tplc="6652CA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C21A97"/>
    <w:multiLevelType w:val="hybridMultilevel"/>
    <w:tmpl w:val="12C2FB1C"/>
    <w:lvl w:ilvl="0" w:tplc="6174F9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23726C"/>
    <w:multiLevelType w:val="hybridMultilevel"/>
    <w:tmpl w:val="37CE3676"/>
    <w:lvl w:ilvl="0" w:tplc="88C6A1A8">
      <w:start w:val="1"/>
      <w:numFmt w:val="upp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80323E"/>
    <w:multiLevelType w:val="hybridMultilevel"/>
    <w:tmpl w:val="E12CE53C"/>
    <w:lvl w:ilvl="0" w:tplc="965CB3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3548146">
    <w:abstractNumId w:val="8"/>
  </w:num>
  <w:num w:numId="2" w16cid:durableId="993677700">
    <w:abstractNumId w:val="1"/>
  </w:num>
  <w:num w:numId="3" w16cid:durableId="779641409">
    <w:abstractNumId w:val="14"/>
  </w:num>
  <w:num w:numId="4" w16cid:durableId="1165361314">
    <w:abstractNumId w:val="9"/>
  </w:num>
  <w:num w:numId="5" w16cid:durableId="867068185">
    <w:abstractNumId w:val="11"/>
  </w:num>
  <w:num w:numId="6" w16cid:durableId="2068717853">
    <w:abstractNumId w:val="12"/>
  </w:num>
  <w:num w:numId="7" w16cid:durableId="1346519729">
    <w:abstractNumId w:val="5"/>
  </w:num>
  <w:num w:numId="8" w16cid:durableId="1262639511">
    <w:abstractNumId w:val="7"/>
  </w:num>
  <w:num w:numId="9" w16cid:durableId="1460609934">
    <w:abstractNumId w:val="3"/>
  </w:num>
  <w:num w:numId="10" w16cid:durableId="2080905454">
    <w:abstractNumId w:val="13"/>
  </w:num>
  <w:num w:numId="11" w16cid:durableId="1119226870">
    <w:abstractNumId w:val="6"/>
  </w:num>
  <w:num w:numId="12" w16cid:durableId="561254019">
    <w:abstractNumId w:val="2"/>
  </w:num>
  <w:num w:numId="13" w16cid:durableId="35084212">
    <w:abstractNumId w:val="0"/>
  </w:num>
  <w:num w:numId="14" w16cid:durableId="1227687810">
    <w:abstractNumId w:val="4"/>
  </w:num>
  <w:num w:numId="15" w16cid:durableId="17076338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36B"/>
    <w:rsid w:val="000012EE"/>
    <w:rsid w:val="0000411F"/>
    <w:rsid w:val="00015257"/>
    <w:rsid w:val="0001550C"/>
    <w:rsid w:val="000211B3"/>
    <w:rsid w:val="00021374"/>
    <w:rsid w:val="00022FF2"/>
    <w:rsid w:val="000244C8"/>
    <w:rsid w:val="00024EA9"/>
    <w:rsid w:val="00025330"/>
    <w:rsid w:val="00025415"/>
    <w:rsid w:val="00030458"/>
    <w:rsid w:val="00031303"/>
    <w:rsid w:val="000313A0"/>
    <w:rsid w:val="000320BE"/>
    <w:rsid w:val="00032781"/>
    <w:rsid w:val="000335C0"/>
    <w:rsid w:val="00033872"/>
    <w:rsid w:val="0004028D"/>
    <w:rsid w:val="00040602"/>
    <w:rsid w:val="00040DDD"/>
    <w:rsid w:val="00042A54"/>
    <w:rsid w:val="000448BC"/>
    <w:rsid w:val="000454C3"/>
    <w:rsid w:val="000465CE"/>
    <w:rsid w:val="00046F94"/>
    <w:rsid w:val="00047948"/>
    <w:rsid w:val="00052AAA"/>
    <w:rsid w:val="00054A16"/>
    <w:rsid w:val="0006141A"/>
    <w:rsid w:val="00062188"/>
    <w:rsid w:val="00065E1A"/>
    <w:rsid w:val="000674AC"/>
    <w:rsid w:val="00070195"/>
    <w:rsid w:val="00071834"/>
    <w:rsid w:val="00072237"/>
    <w:rsid w:val="0007248D"/>
    <w:rsid w:val="00074FE6"/>
    <w:rsid w:val="00076474"/>
    <w:rsid w:val="00076D66"/>
    <w:rsid w:val="00077876"/>
    <w:rsid w:val="00080D75"/>
    <w:rsid w:val="000819B7"/>
    <w:rsid w:val="0008212C"/>
    <w:rsid w:val="00083BBD"/>
    <w:rsid w:val="00084208"/>
    <w:rsid w:val="00090688"/>
    <w:rsid w:val="00090FCC"/>
    <w:rsid w:val="00091FD4"/>
    <w:rsid w:val="00092231"/>
    <w:rsid w:val="00093ACE"/>
    <w:rsid w:val="00093B08"/>
    <w:rsid w:val="00096B73"/>
    <w:rsid w:val="00096E0D"/>
    <w:rsid w:val="000A0665"/>
    <w:rsid w:val="000A237D"/>
    <w:rsid w:val="000A29D9"/>
    <w:rsid w:val="000A5285"/>
    <w:rsid w:val="000B1558"/>
    <w:rsid w:val="000B29BB"/>
    <w:rsid w:val="000B2A97"/>
    <w:rsid w:val="000B4FBE"/>
    <w:rsid w:val="000B6DC7"/>
    <w:rsid w:val="000C0C78"/>
    <w:rsid w:val="000C1C58"/>
    <w:rsid w:val="000C4E3B"/>
    <w:rsid w:val="000C564F"/>
    <w:rsid w:val="000C66B5"/>
    <w:rsid w:val="000D0029"/>
    <w:rsid w:val="000D05BE"/>
    <w:rsid w:val="000D0A1E"/>
    <w:rsid w:val="000D3164"/>
    <w:rsid w:val="000D3E27"/>
    <w:rsid w:val="000D5032"/>
    <w:rsid w:val="000D63A1"/>
    <w:rsid w:val="000D732A"/>
    <w:rsid w:val="000D7B51"/>
    <w:rsid w:val="000E1378"/>
    <w:rsid w:val="000E3B05"/>
    <w:rsid w:val="000E467C"/>
    <w:rsid w:val="000E4FAB"/>
    <w:rsid w:val="000F109C"/>
    <w:rsid w:val="000F25C4"/>
    <w:rsid w:val="000F3F2E"/>
    <w:rsid w:val="000F4F5C"/>
    <w:rsid w:val="000F505F"/>
    <w:rsid w:val="000F5B78"/>
    <w:rsid w:val="00101001"/>
    <w:rsid w:val="001052EA"/>
    <w:rsid w:val="00106638"/>
    <w:rsid w:val="00107DD7"/>
    <w:rsid w:val="00112340"/>
    <w:rsid w:val="001150AD"/>
    <w:rsid w:val="00122882"/>
    <w:rsid w:val="00122BDC"/>
    <w:rsid w:val="00131348"/>
    <w:rsid w:val="001323A9"/>
    <w:rsid w:val="00133802"/>
    <w:rsid w:val="0013417F"/>
    <w:rsid w:val="0013584B"/>
    <w:rsid w:val="0013619D"/>
    <w:rsid w:val="00136BDE"/>
    <w:rsid w:val="001378C9"/>
    <w:rsid w:val="00141358"/>
    <w:rsid w:val="00142BAD"/>
    <w:rsid w:val="0014391F"/>
    <w:rsid w:val="00144808"/>
    <w:rsid w:val="001459F2"/>
    <w:rsid w:val="00145DBC"/>
    <w:rsid w:val="00152196"/>
    <w:rsid w:val="0015428A"/>
    <w:rsid w:val="0015464D"/>
    <w:rsid w:val="00155EBA"/>
    <w:rsid w:val="00160B5E"/>
    <w:rsid w:val="00163531"/>
    <w:rsid w:val="00163DA8"/>
    <w:rsid w:val="0016472C"/>
    <w:rsid w:val="0017082A"/>
    <w:rsid w:val="00170DEE"/>
    <w:rsid w:val="0017111F"/>
    <w:rsid w:val="001729FB"/>
    <w:rsid w:val="00173368"/>
    <w:rsid w:val="00177B81"/>
    <w:rsid w:val="00180B74"/>
    <w:rsid w:val="00180D95"/>
    <w:rsid w:val="001816CE"/>
    <w:rsid w:val="00181FCF"/>
    <w:rsid w:val="00182A56"/>
    <w:rsid w:val="0018321E"/>
    <w:rsid w:val="0018436E"/>
    <w:rsid w:val="00192418"/>
    <w:rsid w:val="00192B53"/>
    <w:rsid w:val="0019464A"/>
    <w:rsid w:val="00194DC8"/>
    <w:rsid w:val="00194E89"/>
    <w:rsid w:val="00195450"/>
    <w:rsid w:val="00197B90"/>
    <w:rsid w:val="001A1FEF"/>
    <w:rsid w:val="001A2BF9"/>
    <w:rsid w:val="001A3FBB"/>
    <w:rsid w:val="001A6293"/>
    <w:rsid w:val="001A64B8"/>
    <w:rsid w:val="001A66EE"/>
    <w:rsid w:val="001A72F4"/>
    <w:rsid w:val="001A7324"/>
    <w:rsid w:val="001B49E2"/>
    <w:rsid w:val="001C19D3"/>
    <w:rsid w:val="001C2ABA"/>
    <w:rsid w:val="001C3EDE"/>
    <w:rsid w:val="001C5F32"/>
    <w:rsid w:val="001C6D27"/>
    <w:rsid w:val="001C742F"/>
    <w:rsid w:val="001C754F"/>
    <w:rsid w:val="001C7792"/>
    <w:rsid w:val="001D00BB"/>
    <w:rsid w:val="001D04F5"/>
    <w:rsid w:val="001D0CF5"/>
    <w:rsid w:val="001D1322"/>
    <w:rsid w:val="001D49EE"/>
    <w:rsid w:val="001D4B2D"/>
    <w:rsid w:val="001D7C13"/>
    <w:rsid w:val="001E0C4D"/>
    <w:rsid w:val="001E18E6"/>
    <w:rsid w:val="001E2E35"/>
    <w:rsid w:val="001F0618"/>
    <w:rsid w:val="001F135E"/>
    <w:rsid w:val="001F1DBE"/>
    <w:rsid w:val="001F3A1E"/>
    <w:rsid w:val="001F4B71"/>
    <w:rsid w:val="001F6086"/>
    <w:rsid w:val="001F6893"/>
    <w:rsid w:val="002003C7"/>
    <w:rsid w:val="00200BA7"/>
    <w:rsid w:val="00200DF0"/>
    <w:rsid w:val="0020384A"/>
    <w:rsid w:val="00206D50"/>
    <w:rsid w:val="00206DE7"/>
    <w:rsid w:val="0020703F"/>
    <w:rsid w:val="00207F98"/>
    <w:rsid w:val="0021058E"/>
    <w:rsid w:val="00212BF6"/>
    <w:rsid w:val="0021309E"/>
    <w:rsid w:val="0021397E"/>
    <w:rsid w:val="00214364"/>
    <w:rsid w:val="002159C3"/>
    <w:rsid w:val="00216B1C"/>
    <w:rsid w:val="002173E4"/>
    <w:rsid w:val="0022094B"/>
    <w:rsid w:val="00221D0B"/>
    <w:rsid w:val="00224C23"/>
    <w:rsid w:val="00227079"/>
    <w:rsid w:val="002275C3"/>
    <w:rsid w:val="00227682"/>
    <w:rsid w:val="00230315"/>
    <w:rsid w:val="00231F1F"/>
    <w:rsid w:val="0023299F"/>
    <w:rsid w:val="0023339F"/>
    <w:rsid w:val="0023700E"/>
    <w:rsid w:val="002406D3"/>
    <w:rsid w:val="00243474"/>
    <w:rsid w:val="00245FE1"/>
    <w:rsid w:val="002502FE"/>
    <w:rsid w:val="00250CBA"/>
    <w:rsid w:val="002524D4"/>
    <w:rsid w:val="00252D92"/>
    <w:rsid w:val="0025426B"/>
    <w:rsid w:val="00254D14"/>
    <w:rsid w:val="00255FF3"/>
    <w:rsid w:val="002604AD"/>
    <w:rsid w:val="00260A99"/>
    <w:rsid w:val="00262164"/>
    <w:rsid w:val="00262B29"/>
    <w:rsid w:val="002656CC"/>
    <w:rsid w:val="0027002F"/>
    <w:rsid w:val="00270CC7"/>
    <w:rsid w:val="002715F9"/>
    <w:rsid w:val="0027309C"/>
    <w:rsid w:val="00273632"/>
    <w:rsid w:val="002749C3"/>
    <w:rsid w:val="002750C8"/>
    <w:rsid w:val="00281F1E"/>
    <w:rsid w:val="0028265D"/>
    <w:rsid w:val="002848DA"/>
    <w:rsid w:val="00285500"/>
    <w:rsid w:val="002877C7"/>
    <w:rsid w:val="0029032B"/>
    <w:rsid w:val="002914BE"/>
    <w:rsid w:val="0029417E"/>
    <w:rsid w:val="002949F2"/>
    <w:rsid w:val="00294E5B"/>
    <w:rsid w:val="0029611E"/>
    <w:rsid w:val="002A4A34"/>
    <w:rsid w:val="002A701F"/>
    <w:rsid w:val="002A7504"/>
    <w:rsid w:val="002B059D"/>
    <w:rsid w:val="002B2D6E"/>
    <w:rsid w:val="002B3BC7"/>
    <w:rsid w:val="002B494A"/>
    <w:rsid w:val="002C01ED"/>
    <w:rsid w:val="002C0F44"/>
    <w:rsid w:val="002C15C1"/>
    <w:rsid w:val="002C1E96"/>
    <w:rsid w:val="002C35A9"/>
    <w:rsid w:val="002C52D9"/>
    <w:rsid w:val="002C640C"/>
    <w:rsid w:val="002C7B7B"/>
    <w:rsid w:val="002D293F"/>
    <w:rsid w:val="002D2CC6"/>
    <w:rsid w:val="002D34DE"/>
    <w:rsid w:val="002D50F0"/>
    <w:rsid w:val="002D59E9"/>
    <w:rsid w:val="002D67FE"/>
    <w:rsid w:val="002D72E9"/>
    <w:rsid w:val="002E2D5D"/>
    <w:rsid w:val="002E5027"/>
    <w:rsid w:val="002E576B"/>
    <w:rsid w:val="002E7857"/>
    <w:rsid w:val="002F0A1C"/>
    <w:rsid w:val="002F129B"/>
    <w:rsid w:val="002F2307"/>
    <w:rsid w:val="002F498A"/>
    <w:rsid w:val="002F5025"/>
    <w:rsid w:val="002F504A"/>
    <w:rsid w:val="00305956"/>
    <w:rsid w:val="00307460"/>
    <w:rsid w:val="0031069E"/>
    <w:rsid w:val="0031085B"/>
    <w:rsid w:val="00311963"/>
    <w:rsid w:val="0031543D"/>
    <w:rsid w:val="00315E80"/>
    <w:rsid w:val="00315F31"/>
    <w:rsid w:val="00316F4D"/>
    <w:rsid w:val="00320129"/>
    <w:rsid w:val="003207A5"/>
    <w:rsid w:val="00322B06"/>
    <w:rsid w:val="00322B31"/>
    <w:rsid w:val="00323121"/>
    <w:rsid w:val="00325648"/>
    <w:rsid w:val="003263C4"/>
    <w:rsid w:val="003316EA"/>
    <w:rsid w:val="003321DE"/>
    <w:rsid w:val="00335279"/>
    <w:rsid w:val="00336876"/>
    <w:rsid w:val="003400E8"/>
    <w:rsid w:val="00341FA5"/>
    <w:rsid w:val="00343465"/>
    <w:rsid w:val="0034469C"/>
    <w:rsid w:val="0034687E"/>
    <w:rsid w:val="00350CC5"/>
    <w:rsid w:val="00350CD8"/>
    <w:rsid w:val="00351AD9"/>
    <w:rsid w:val="00351BD4"/>
    <w:rsid w:val="003538F0"/>
    <w:rsid w:val="003550A4"/>
    <w:rsid w:val="003557FC"/>
    <w:rsid w:val="003621F7"/>
    <w:rsid w:val="003654A7"/>
    <w:rsid w:val="003669C3"/>
    <w:rsid w:val="00366AB4"/>
    <w:rsid w:val="0036729D"/>
    <w:rsid w:val="003705B1"/>
    <w:rsid w:val="00370872"/>
    <w:rsid w:val="00372375"/>
    <w:rsid w:val="00373A5C"/>
    <w:rsid w:val="0037475B"/>
    <w:rsid w:val="003753F9"/>
    <w:rsid w:val="003769D2"/>
    <w:rsid w:val="00376CDF"/>
    <w:rsid w:val="003779FA"/>
    <w:rsid w:val="00380752"/>
    <w:rsid w:val="00381BAE"/>
    <w:rsid w:val="003833CA"/>
    <w:rsid w:val="0038763B"/>
    <w:rsid w:val="003907E7"/>
    <w:rsid w:val="00391F89"/>
    <w:rsid w:val="00393BB3"/>
    <w:rsid w:val="003A0E63"/>
    <w:rsid w:val="003A13CC"/>
    <w:rsid w:val="003A1A61"/>
    <w:rsid w:val="003A58FD"/>
    <w:rsid w:val="003B39FE"/>
    <w:rsid w:val="003B41B8"/>
    <w:rsid w:val="003B4FAA"/>
    <w:rsid w:val="003B5652"/>
    <w:rsid w:val="003B5875"/>
    <w:rsid w:val="003B602D"/>
    <w:rsid w:val="003B7C0F"/>
    <w:rsid w:val="003C03BB"/>
    <w:rsid w:val="003C07ED"/>
    <w:rsid w:val="003D1AFA"/>
    <w:rsid w:val="003D3CA8"/>
    <w:rsid w:val="003D3E4A"/>
    <w:rsid w:val="003D4234"/>
    <w:rsid w:val="003D4693"/>
    <w:rsid w:val="003D48FB"/>
    <w:rsid w:val="003D63E5"/>
    <w:rsid w:val="003D657E"/>
    <w:rsid w:val="003D6981"/>
    <w:rsid w:val="003D6991"/>
    <w:rsid w:val="003D720E"/>
    <w:rsid w:val="003D72C1"/>
    <w:rsid w:val="003E14EF"/>
    <w:rsid w:val="003E1826"/>
    <w:rsid w:val="003E222C"/>
    <w:rsid w:val="003E23AF"/>
    <w:rsid w:val="003E23C1"/>
    <w:rsid w:val="003E36B0"/>
    <w:rsid w:val="003E57F6"/>
    <w:rsid w:val="003E7C87"/>
    <w:rsid w:val="003F4AF9"/>
    <w:rsid w:val="003F5A02"/>
    <w:rsid w:val="003F70D7"/>
    <w:rsid w:val="004011E8"/>
    <w:rsid w:val="00404011"/>
    <w:rsid w:val="004063E8"/>
    <w:rsid w:val="00406BC7"/>
    <w:rsid w:val="00411EA0"/>
    <w:rsid w:val="004147B0"/>
    <w:rsid w:val="00415C6F"/>
    <w:rsid w:val="00423A04"/>
    <w:rsid w:val="00425849"/>
    <w:rsid w:val="004262E0"/>
    <w:rsid w:val="00427F80"/>
    <w:rsid w:val="0043180A"/>
    <w:rsid w:val="00431E91"/>
    <w:rsid w:val="00435661"/>
    <w:rsid w:val="00440422"/>
    <w:rsid w:val="004405A0"/>
    <w:rsid w:val="00440EFD"/>
    <w:rsid w:val="0044501C"/>
    <w:rsid w:val="004471D9"/>
    <w:rsid w:val="0045068E"/>
    <w:rsid w:val="0045445A"/>
    <w:rsid w:val="00454E7F"/>
    <w:rsid w:val="00455AC3"/>
    <w:rsid w:val="00462731"/>
    <w:rsid w:val="004635DA"/>
    <w:rsid w:val="0046398B"/>
    <w:rsid w:val="00463C4E"/>
    <w:rsid w:val="00464364"/>
    <w:rsid w:val="00464A36"/>
    <w:rsid w:val="00465B24"/>
    <w:rsid w:val="004667C6"/>
    <w:rsid w:val="00466D78"/>
    <w:rsid w:val="00467CFD"/>
    <w:rsid w:val="00470112"/>
    <w:rsid w:val="00470BED"/>
    <w:rsid w:val="00472317"/>
    <w:rsid w:val="00473A06"/>
    <w:rsid w:val="004741E7"/>
    <w:rsid w:val="004754B5"/>
    <w:rsid w:val="004762E7"/>
    <w:rsid w:val="00481BCE"/>
    <w:rsid w:val="00481DAC"/>
    <w:rsid w:val="004850A5"/>
    <w:rsid w:val="0048658C"/>
    <w:rsid w:val="0048661E"/>
    <w:rsid w:val="00486AC8"/>
    <w:rsid w:val="00487278"/>
    <w:rsid w:val="004915E8"/>
    <w:rsid w:val="00491A79"/>
    <w:rsid w:val="00492176"/>
    <w:rsid w:val="004922B5"/>
    <w:rsid w:val="00496212"/>
    <w:rsid w:val="004A2804"/>
    <w:rsid w:val="004A335F"/>
    <w:rsid w:val="004A61F1"/>
    <w:rsid w:val="004A64A9"/>
    <w:rsid w:val="004A7310"/>
    <w:rsid w:val="004B0783"/>
    <w:rsid w:val="004B18FB"/>
    <w:rsid w:val="004B1A44"/>
    <w:rsid w:val="004B26B0"/>
    <w:rsid w:val="004B3157"/>
    <w:rsid w:val="004B6A76"/>
    <w:rsid w:val="004B6F1A"/>
    <w:rsid w:val="004C05C1"/>
    <w:rsid w:val="004C0995"/>
    <w:rsid w:val="004C79D6"/>
    <w:rsid w:val="004D19FD"/>
    <w:rsid w:val="004D1C77"/>
    <w:rsid w:val="004D63C1"/>
    <w:rsid w:val="004E2EED"/>
    <w:rsid w:val="004F0125"/>
    <w:rsid w:val="004F0B2A"/>
    <w:rsid w:val="004F2B42"/>
    <w:rsid w:val="004F3262"/>
    <w:rsid w:val="004F3677"/>
    <w:rsid w:val="004F3AB0"/>
    <w:rsid w:val="004F44D0"/>
    <w:rsid w:val="004F45A5"/>
    <w:rsid w:val="004F5750"/>
    <w:rsid w:val="004F6281"/>
    <w:rsid w:val="004F7FC5"/>
    <w:rsid w:val="0050467D"/>
    <w:rsid w:val="00505C0D"/>
    <w:rsid w:val="00505F57"/>
    <w:rsid w:val="00505F68"/>
    <w:rsid w:val="00510FC4"/>
    <w:rsid w:val="00511A60"/>
    <w:rsid w:val="005136E1"/>
    <w:rsid w:val="00513953"/>
    <w:rsid w:val="0051473C"/>
    <w:rsid w:val="00515807"/>
    <w:rsid w:val="0051590B"/>
    <w:rsid w:val="00522169"/>
    <w:rsid w:val="00523518"/>
    <w:rsid w:val="00523C49"/>
    <w:rsid w:val="00526B71"/>
    <w:rsid w:val="00527330"/>
    <w:rsid w:val="00527C9A"/>
    <w:rsid w:val="00531311"/>
    <w:rsid w:val="0053180F"/>
    <w:rsid w:val="00531EF4"/>
    <w:rsid w:val="005330DF"/>
    <w:rsid w:val="00533B77"/>
    <w:rsid w:val="00535124"/>
    <w:rsid w:val="00535408"/>
    <w:rsid w:val="00540103"/>
    <w:rsid w:val="005431EF"/>
    <w:rsid w:val="005461C9"/>
    <w:rsid w:val="00546A3C"/>
    <w:rsid w:val="00552140"/>
    <w:rsid w:val="0055427B"/>
    <w:rsid w:val="00555F16"/>
    <w:rsid w:val="00556295"/>
    <w:rsid w:val="00564AE7"/>
    <w:rsid w:val="0056700E"/>
    <w:rsid w:val="0056763E"/>
    <w:rsid w:val="00570439"/>
    <w:rsid w:val="0057043D"/>
    <w:rsid w:val="00571B58"/>
    <w:rsid w:val="005725C3"/>
    <w:rsid w:val="005744E7"/>
    <w:rsid w:val="00575EC4"/>
    <w:rsid w:val="005763FE"/>
    <w:rsid w:val="005817D8"/>
    <w:rsid w:val="00581ECB"/>
    <w:rsid w:val="005825FB"/>
    <w:rsid w:val="005829F7"/>
    <w:rsid w:val="00587CDC"/>
    <w:rsid w:val="00590639"/>
    <w:rsid w:val="005909B4"/>
    <w:rsid w:val="00590E87"/>
    <w:rsid w:val="00591F79"/>
    <w:rsid w:val="00592F47"/>
    <w:rsid w:val="00593C2B"/>
    <w:rsid w:val="0059565C"/>
    <w:rsid w:val="00596260"/>
    <w:rsid w:val="00596A4A"/>
    <w:rsid w:val="00597B8B"/>
    <w:rsid w:val="005A236B"/>
    <w:rsid w:val="005A28B4"/>
    <w:rsid w:val="005A40BA"/>
    <w:rsid w:val="005B26AB"/>
    <w:rsid w:val="005B3255"/>
    <w:rsid w:val="005B4C81"/>
    <w:rsid w:val="005B4F48"/>
    <w:rsid w:val="005B6258"/>
    <w:rsid w:val="005B7EED"/>
    <w:rsid w:val="005C17F6"/>
    <w:rsid w:val="005C67B1"/>
    <w:rsid w:val="005C7D3F"/>
    <w:rsid w:val="005D235B"/>
    <w:rsid w:val="005D4605"/>
    <w:rsid w:val="005D4891"/>
    <w:rsid w:val="005D4FE6"/>
    <w:rsid w:val="005E1987"/>
    <w:rsid w:val="005E1DDB"/>
    <w:rsid w:val="005E27E8"/>
    <w:rsid w:val="005E290C"/>
    <w:rsid w:val="005E2EAD"/>
    <w:rsid w:val="005E3D2A"/>
    <w:rsid w:val="005E41C9"/>
    <w:rsid w:val="005E525A"/>
    <w:rsid w:val="005E65BC"/>
    <w:rsid w:val="005F4C0A"/>
    <w:rsid w:val="005F58E1"/>
    <w:rsid w:val="005F6FB7"/>
    <w:rsid w:val="00601DC0"/>
    <w:rsid w:val="006050B3"/>
    <w:rsid w:val="0061227B"/>
    <w:rsid w:val="006160F8"/>
    <w:rsid w:val="00616184"/>
    <w:rsid w:val="0062039D"/>
    <w:rsid w:val="00624225"/>
    <w:rsid w:val="0062580E"/>
    <w:rsid w:val="00626548"/>
    <w:rsid w:val="00626B6E"/>
    <w:rsid w:val="006275B4"/>
    <w:rsid w:val="006305A0"/>
    <w:rsid w:val="006340C0"/>
    <w:rsid w:val="006340EE"/>
    <w:rsid w:val="006341C8"/>
    <w:rsid w:val="006376D1"/>
    <w:rsid w:val="00641DEF"/>
    <w:rsid w:val="00642591"/>
    <w:rsid w:val="0064292B"/>
    <w:rsid w:val="006452AD"/>
    <w:rsid w:val="00650464"/>
    <w:rsid w:val="0065251C"/>
    <w:rsid w:val="0065398B"/>
    <w:rsid w:val="00654FB1"/>
    <w:rsid w:val="00655489"/>
    <w:rsid w:val="00656FBB"/>
    <w:rsid w:val="00660DA7"/>
    <w:rsid w:val="00667205"/>
    <w:rsid w:val="0067242B"/>
    <w:rsid w:val="006729C7"/>
    <w:rsid w:val="00674C10"/>
    <w:rsid w:val="00674F21"/>
    <w:rsid w:val="00674FE2"/>
    <w:rsid w:val="0067645E"/>
    <w:rsid w:val="00677B25"/>
    <w:rsid w:val="0068073B"/>
    <w:rsid w:val="0068209C"/>
    <w:rsid w:val="00682B8E"/>
    <w:rsid w:val="00683F7C"/>
    <w:rsid w:val="00684D18"/>
    <w:rsid w:val="00687A9D"/>
    <w:rsid w:val="00690031"/>
    <w:rsid w:val="006933D9"/>
    <w:rsid w:val="006950C2"/>
    <w:rsid w:val="00695426"/>
    <w:rsid w:val="00696915"/>
    <w:rsid w:val="006A19CA"/>
    <w:rsid w:val="006A32D5"/>
    <w:rsid w:val="006A458E"/>
    <w:rsid w:val="006A5B52"/>
    <w:rsid w:val="006B02B6"/>
    <w:rsid w:val="006B1B80"/>
    <w:rsid w:val="006B2AE8"/>
    <w:rsid w:val="006B5226"/>
    <w:rsid w:val="006B6A91"/>
    <w:rsid w:val="006C001E"/>
    <w:rsid w:val="006C26F1"/>
    <w:rsid w:val="006C2728"/>
    <w:rsid w:val="006C2D82"/>
    <w:rsid w:val="006C36F2"/>
    <w:rsid w:val="006C4347"/>
    <w:rsid w:val="006C5F87"/>
    <w:rsid w:val="006C7010"/>
    <w:rsid w:val="006D0039"/>
    <w:rsid w:val="006D0BCD"/>
    <w:rsid w:val="006D1095"/>
    <w:rsid w:val="006D2387"/>
    <w:rsid w:val="006D248A"/>
    <w:rsid w:val="006D3558"/>
    <w:rsid w:val="006E2DBB"/>
    <w:rsid w:val="006F0345"/>
    <w:rsid w:val="006F137A"/>
    <w:rsid w:val="006F28CA"/>
    <w:rsid w:val="006F3DD6"/>
    <w:rsid w:val="006F406C"/>
    <w:rsid w:val="006F5FFB"/>
    <w:rsid w:val="006F699E"/>
    <w:rsid w:val="006F6EFB"/>
    <w:rsid w:val="00701159"/>
    <w:rsid w:val="007025D4"/>
    <w:rsid w:val="00707F6B"/>
    <w:rsid w:val="00710066"/>
    <w:rsid w:val="00711491"/>
    <w:rsid w:val="007124AF"/>
    <w:rsid w:val="0071336A"/>
    <w:rsid w:val="00714D33"/>
    <w:rsid w:val="00715B17"/>
    <w:rsid w:val="007165AB"/>
    <w:rsid w:val="007169CA"/>
    <w:rsid w:val="00716E0D"/>
    <w:rsid w:val="00720C7D"/>
    <w:rsid w:val="00722B9C"/>
    <w:rsid w:val="007234E0"/>
    <w:rsid w:val="007242D7"/>
    <w:rsid w:val="00730E42"/>
    <w:rsid w:val="00732CBD"/>
    <w:rsid w:val="007351E2"/>
    <w:rsid w:val="00735DA3"/>
    <w:rsid w:val="0073604F"/>
    <w:rsid w:val="007445C2"/>
    <w:rsid w:val="007450BE"/>
    <w:rsid w:val="007503CA"/>
    <w:rsid w:val="00750DBC"/>
    <w:rsid w:val="00751D57"/>
    <w:rsid w:val="00760A75"/>
    <w:rsid w:val="0076183D"/>
    <w:rsid w:val="00765D1E"/>
    <w:rsid w:val="00766193"/>
    <w:rsid w:val="00770535"/>
    <w:rsid w:val="007719CD"/>
    <w:rsid w:val="0077453A"/>
    <w:rsid w:val="00775885"/>
    <w:rsid w:val="00776A76"/>
    <w:rsid w:val="0077739F"/>
    <w:rsid w:val="00780AE8"/>
    <w:rsid w:val="00781A1B"/>
    <w:rsid w:val="00784601"/>
    <w:rsid w:val="007849B1"/>
    <w:rsid w:val="00785143"/>
    <w:rsid w:val="007866CB"/>
    <w:rsid w:val="00787831"/>
    <w:rsid w:val="00790F96"/>
    <w:rsid w:val="00792BFD"/>
    <w:rsid w:val="007946B2"/>
    <w:rsid w:val="00794880"/>
    <w:rsid w:val="0079611F"/>
    <w:rsid w:val="007A0606"/>
    <w:rsid w:val="007A41F1"/>
    <w:rsid w:val="007A5875"/>
    <w:rsid w:val="007A6560"/>
    <w:rsid w:val="007A7158"/>
    <w:rsid w:val="007B067B"/>
    <w:rsid w:val="007B0E4B"/>
    <w:rsid w:val="007B4274"/>
    <w:rsid w:val="007B6E35"/>
    <w:rsid w:val="007C035B"/>
    <w:rsid w:val="007C234E"/>
    <w:rsid w:val="007C3668"/>
    <w:rsid w:val="007C410A"/>
    <w:rsid w:val="007C46BD"/>
    <w:rsid w:val="007C48E1"/>
    <w:rsid w:val="007D050D"/>
    <w:rsid w:val="007D0C43"/>
    <w:rsid w:val="007D183A"/>
    <w:rsid w:val="007D1D7E"/>
    <w:rsid w:val="007D3A8F"/>
    <w:rsid w:val="007D50E5"/>
    <w:rsid w:val="007D5CAE"/>
    <w:rsid w:val="007D5CE0"/>
    <w:rsid w:val="007D71BD"/>
    <w:rsid w:val="007E2E65"/>
    <w:rsid w:val="007E3830"/>
    <w:rsid w:val="007E3D9B"/>
    <w:rsid w:val="007E5593"/>
    <w:rsid w:val="007E58DB"/>
    <w:rsid w:val="007E5A9B"/>
    <w:rsid w:val="007E61DC"/>
    <w:rsid w:val="007E6C5C"/>
    <w:rsid w:val="007E7497"/>
    <w:rsid w:val="007E76A1"/>
    <w:rsid w:val="007E7C60"/>
    <w:rsid w:val="007F064C"/>
    <w:rsid w:val="007F0AA8"/>
    <w:rsid w:val="007F238B"/>
    <w:rsid w:val="007F3445"/>
    <w:rsid w:val="007F3BCC"/>
    <w:rsid w:val="007F6248"/>
    <w:rsid w:val="00800F6D"/>
    <w:rsid w:val="00802C31"/>
    <w:rsid w:val="0080556C"/>
    <w:rsid w:val="00807D7A"/>
    <w:rsid w:val="00810521"/>
    <w:rsid w:val="008141C7"/>
    <w:rsid w:val="00814461"/>
    <w:rsid w:val="00814CE3"/>
    <w:rsid w:val="00815FD5"/>
    <w:rsid w:val="0081792C"/>
    <w:rsid w:val="00823815"/>
    <w:rsid w:val="00823AE7"/>
    <w:rsid w:val="008268A7"/>
    <w:rsid w:val="00830D5E"/>
    <w:rsid w:val="00831553"/>
    <w:rsid w:val="00835A88"/>
    <w:rsid w:val="00835F17"/>
    <w:rsid w:val="008361F2"/>
    <w:rsid w:val="0084092A"/>
    <w:rsid w:val="00843B57"/>
    <w:rsid w:val="008445B9"/>
    <w:rsid w:val="00844C5C"/>
    <w:rsid w:val="00847A05"/>
    <w:rsid w:val="008530E4"/>
    <w:rsid w:val="00853C14"/>
    <w:rsid w:val="00854050"/>
    <w:rsid w:val="00856989"/>
    <w:rsid w:val="0086110C"/>
    <w:rsid w:val="00861C9C"/>
    <w:rsid w:val="00862E7D"/>
    <w:rsid w:val="00863A31"/>
    <w:rsid w:val="00865AB1"/>
    <w:rsid w:val="00866995"/>
    <w:rsid w:val="00871F34"/>
    <w:rsid w:val="00872AC3"/>
    <w:rsid w:val="0087449C"/>
    <w:rsid w:val="00877219"/>
    <w:rsid w:val="00881B4A"/>
    <w:rsid w:val="00882AB6"/>
    <w:rsid w:val="00884FF3"/>
    <w:rsid w:val="008855C2"/>
    <w:rsid w:val="008866DA"/>
    <w:rsid w:val="00886718"/>
    <w:rsid w:val="0088679D"/>
    <w:rsid w:val="00887552"/>
    <w:rsid w:val="0088782E"/>
    <w:rsid w:val="00887E1F"/>
    <w:rsid w:val="00891F21"/>
    <w:rsid w:val="008926F2"/>
    <w:rsid w:val="008934A6"/>
    <w:rsid w:val="0089400B"/>
    <w:rsid w:val="00894FD6"/>
    <w:rsid w:val="00895AE7"/>
    <w:rsid w:val="00896093"/>
    <w:rsid w:val="008A1357"/>
    <w:rsid w:val="008A39EA"/>
    <w:rsid w:val="008A4962"/>
    <w:rsid w:val="008A5E64"/>
    <w:rsid w:val="008A6B01"/>
    <w:rsid w:val="008B4268"/>
    <w:rsid w:val="008B568F"/>
    <w:rsid w:val="008B5FC5"/>
    <w:rsid w:val="008C0D49"/>
    <w:rsid w:val="008C0EB6"/>
    <w:rsid w:val="008C268F"/>
    <w:rsid w:val="008C2ADC"/>
    <w:rsid w:val="008C2BF2"/>
    <w:rsid w:val="008C3922"/>
    <w:rsid w:val="008C4863"/>
    <w:rsid w:val="008C5608"/>
    <w:rsid w:val="008C77C9"/>
    <w:rsid w:val="008C7815"/>
    <w:rsid w:val="008D1C3C"/>
    <w:rsid w:val="008D24B6"/>
    <w:rsid w:val="008E0A84"/>
    <w:rsid w:val="008E342E"/>
    <w:rsid w:val="008E3A35"/>
    <w:rsid w:val="008E3B9B"/>
    <w:rsid w:val="008E4657"/>
    <w:rsid w:val="008E4FF1"/>
    <w:rsid w:val="008E60E3"/>
    <w:rsid w:val="008E67E6"/>
    <w:rsid w:val="008E6EE8"/>
    <w:rsid w:val="008E7D57"/>
    <w:rsid w:val="008F0023"/>
    <w:rsid w:val="008F054C"/>
    <w:rsid w:val="008F0830"/>
    <w:rsid w:val="008F56DE"/>
    <w:rsid w:val="008F6F33"/>
    <w:rsid w:val="00901650"/>
    <w:rsid w:val="0090320D"/>
    <w:rsid w:val="00903E02"/>
    <w:rsid w:val="0090501F"/>
    <w:rsid w:val="00905A60"/>
    <w:rsid w:val="009125AC"/>
    <w:rsid w:val="00914B22"/>
    <w:rsid w:val="00915617"/>
    <w:rsid w:val="00915BF5"/>
    <w:rsid w:val="00920202"/>
    <w:rsid w:val="0092073C"/>
    <w:rsid w:val="00922953"/>
    <w:rsid w:val="0092366B"/>
    <w:rsid w:val="009237F6"/>
    <w:rsid w:val="00924BC8"/>
    <w:rsid w:val="0092542F"/>
    <w:rsid w:val="009260D0"/>
    <w:rsid w:val="00927FD8"/>
    <w:rsid w:val="009303D1"/>
    <w:rsid w:val="00930891"/>
    <w:rsid w:val="0093292D"/>
    <w:rsid w:val="00935800"/>
    <w:rsid w:val="00936A43"/>
    <w:rsid w:val="00945410"/>
    <w:rsid w:val="00951073"/>
    <w:rsid w:val="00951176"/>
    <w:rsid w:val="009518F7"/>
    <w:rsid w:val="00954530"/>
    <w:rsid w:val="00954A48"/>
    <w:rsid w:val="009551ED"/>
    <w:rsid w:val="00957B30"/>
    <w:rsid w:val="00962410"/>
    <w:rsid w:val="00962531"/>
    <w:rsid w:val="009667F0"/>
    <w:rsid w:val="009707A1"/>
    <w:rsid w:val="009715E2"/>
    <w:rsid w:val="009740A4"/>
    <w:rsid w:val="009742E2"/>
    <w:rsid w:val="00976B3B"/>
    <w:rsid w:val="00977BF3"/>
    <w:rsid w:val="00980DC6"/>
    <w:rsid w:val="00980DF2"/>
    <w:rsid w:val="00982D26"/>
    <w:rsid w:val="009855A2"/>
    <w:rsid w:val="0098655B"/>
    <w:rsid w:val="0099259F"/>
    <w:rsid w:val="00992705"/>
    <w:rsid w:val="009A10B4"/>
    <w:rsid w:val="009A17F5"/>
    <w:rsid w:val="009A1A95"/>
    <w:rsid w:val="009A1DEB"/>
    <w:rsid w:val="009A5F83"/>
    <w:rsid w:val="009B2B8A"/>
    <w:rsid w:val="009B4A6A"/>
    <w:rsid w:val="009C0A04"/>
    <w:rsid w:val="009C2021"/>
    <w:rsid w:val="009C324D"/>
    <w:rsid w:val="009C387F"/>
    <w:rsid w:val="009C6D7F"/>
    <w:rsid w:val="009C71A5"/>
    <w:rsid w:val="009D09FF"/>
    <w:rsid w:val="009D7CC4"/>
    <w:rsid w:val="009E1CDE"/>
    <w:rsid w:val="009E1F4B"/>
    <w:rsid w:val="009E2644"/>
    <w:rsid w:val="009F4019"/>
    <w:rsid w:val="009F426D"/>
    <w:rsid w:val="009F5A49"/>
    <w:rsid w:val="009F5F8B"/>
    <w:rsid w:val="009F645D"/>
    <w:rsid w:val="009F6E25"/>
    <w:rsid w:val="00A0171D"/>
    <w:rsid w:val="00A03822"/>
    <w:rsid w:val="00A0719C"/>
    <w:rsid w:val="00A07F4A"/>
    <w:rsid w:val="00A104D7"/>
    <w:rsid w:val="00A12848"/>
    <w:rsid w:val="00A16111"/>
    <w:rsid w:val="00A173F4"/>
    <w:rsid w:val="00A221A1"/>
    <w:rsid w:val="00A22246"/>
    <w:rsid w:val="00A2556D"/>
    <w:rsid w:val="00A26851"/>
    <w:rsid w:val="00A26C63"/>
    <w:rsid w:val="00A30B9C"/>
    <w:rsid w:val="00A30B9E"/>
    <w:rsid w:val="00A30C58"/>
    <w:rsid w:val="00A30DDC"/>
    <w:rsid w:val="00A31437"/>
    <w:rsid w:val="00A34090"/>
    <w:rsid w:val="00A3605A"/>
    <w:rsid w:val="00A363A7"/>
    <w:rsid w:val="00A40749"/>
    <w:rsid w:val="00A436B6"/>
    <w:rsid w:val="00A4370F"/>
    <w:rsid w:val="00A53965"/>
    <w:rsid w:val="00A57F0F"/>
    <w:rsid w:val="00A6154A"/>
    <w:rsid w:val="00A61909"/>
    <w:rsid w:val="00A623D7"/>
    <w:rsid w:val="00A6371B"/>
    <w:rsid w:val="00A63C52"/>
    <w:rsid w:val="00A64030"/>
    <w:rsid w:val="00A6647E"/>
    <w:rsid w:val="00A66FF1"/>
    <w:rsid w:val="00A6711B"/>
    <w:rsid w:val="00A715E5"/>
    <w:rsid w:val="00A72F6B"/>
    <w:rsid w:val="00A73622"/>
    <w:rsid w:val="00A74414"/>
    <w:rsid w:val="00A746EB"/>
    <w:rsid w:val="00A74A69"/>
    <w:rsid w:val="00A74EC0"/>
    <w:rsid w:val="00A75189"/>
    <w:rsid w:val="00A77C8B"/>
    <w:rsid w:val="00A80635"/>
    <w:rsid w:val="00A813FA"/>
    <w:rsid w:val="00A81A09"/>
    <w:rsid w:val="00A81DF4"/>
    <w:rsid w:val="00A8596C"/>
    <w:rsid w:val="00A879FC"/>
    <w:rsid w:val="00A903CF"/>
    <w:rsid w:val="00A92AAB"/>
    <w:rsid w:val="00A957E6"/>
    <w:rsid w:val="00A96D1E"/>
    <w:rsid w:val="00A97D5D"/>
    <w:rsid w:val="00AA09ED"/>
    <w:rsid w:val="00AA2458"/>
    <w:rsid w:val="00AA2D37"/>
    <w:rsid w:val="00AA5B40"/>
    <w:rsid w:val="00AA5D54"/>
    <w:rsid w:val="00AB0D00"/>
    <w:rsid w:val="00AB131A"/>
    <w:rsid w:val="00AB43D9"/>
    <w:rsid w:val="00AB4E96"/>
    <w:rsid w:val="00AB4FC0"/>
    <w:rsid w:val="00AB56F8"/>
    <w:rsid w:val="00AC35CA"/>
    <w:rsid w:val="00AC4407"/>
    <w:rsid w:val="00AC4CE1"/>
    <w:rsid w:val="00AC6E5F"/>
    <w:rsid w:val="00AC7F19"/>
    <w:rsid w:val="00AD0DD5"/>
    <w:rsid w:val="00AD1A23"/>
    <w:rsid w:val="00AD45C0"/>
    <w:rsid w:val="00AD4B23"/>
    <w:rsid w:val="00AD4FB3"/>
    <w:rsid w:val="00AE493D"/>
    <w:rsid w:val="00AE51DE"/>
    <w:rsid w:val="00AE5C9D"/>
    <w:rsid w:val="00AF1AC7"/>
    <w:rsid w:val="00AF57B6"/>
    <w:rsid w:val="00AF6693"/>
    <w:rsid w:val="00AF66E8"/>
    <w:rsid w:val="00AF7CB7"/>
    <w:rsid w:val="00AF7E60"/>
    <w:rsid w:val="00B00081"/>
    <w:rsid w:val="00B00409"/>
    <w:rsid w:val="00B01B58"/>
    <w:rsid w:val="00B01BE3"/>
    <w:rsid w:val="00B0251F"/>
    <w:rsid w:val="00B025A8"/>
    <w:rsid w:val="00B03A65"/>
    <w:rsid w:val="00B0439D"/>
    <w:rsid w:val="00B05C6A"/>
    <w:rsid w:val="00B10851"/>
    <w:rsid w:val="00B1372C"/>
    <w:rsid w:val="00B1533F"/>
    <w:rsid w:val="00B160A4"/>
    <w:rsid w:val="00B20FB5"/>
    <w:rsid w:val="00B21D4B"/>
    <w:rsid w:val="00B229FC"/>
    <w:rsid w:val="00B23CA6"/>
    <w:rsid w:val="00B23EAC"/>
    <w:rsid w:val="00B2421D"/>
    <w:rsid w:val="00B24380"/>
    <w:rsid w:val="00B24C40"/>
    <w:rsid w:val="00B306F6"/>
    <w:rsid w:val="00B3076C"/>
    <w:rsid w:val="00B311E0"/>
    <w:rsid w:val="00B3267F"/>
    <w:rsid w:val="00B32A7F"/>
    <w:rsid w:val="00B33C51"/>
    <w:rsid w:val="00B35C99"/>
    <w:rsid w:val="00B373A3"/>
    <w:rsid w:val="00B377EA"/>
    <w:rsid w:val="00B40036"/>
    <w:rsid w:val="00B40315"/>
    <w:rsid w:val="00B40B97"/>
    <w:rsid w:val="00B41DCE"/>
    <w:rsid w:val="00B45BF8"/>
    <w:rsid w:val="00B47131"/>
    <w:rsid w:val="00B51B57"/>
    <w:rsid w:val="00B51C53"/>
    <w:rsid w:val="00B54354"/>
    <w:rsid w:val="00B5485B"/>
    <w:rsid w:val="00B60212"/>
    <w:rsid w:val="00B617B3"/>
    <w:rsid w:val="00B624CC"/>
    <w:rsid w:val="00B63CFF"/>
    <w:rsid w:val="00B63D5E"/>
    <w:rsid w:val="00B6653C"/>
    <w:rsid w:val="00B67DD6"/>
    <w:rsid w:val="00B67E37"/>
    <w:rsid w:val="00B70092"/>
    <w:rsid w:val="00B70118"/>
    <w:rsid w:val="00B70C96"/>
    <w:rsid w:val="00B728E3"/>
    <w:rsid w:val="00B73C4E"/>
    <w:rsid w:val="00B74C25"/>
    <w:rsid w:val="00B766C9"/>
    <w:rsid w:val="00B76DCF"/>
    <w:rsid w:val="00B80D68"/>
    <w:rsid w:val="00B812E9"/>
    <w:rsid w:val="00B83C25"/>
    <w:rsid w:val="00B8476B"/>
    <w:rsid w:val="00B92071"/>
    <w:rsid w:val="00B93284"/>
    <w:rsid w:val="00B94FC4"/>
    <w:rsid w:val="00B9529B"/>
    <w:rsid w:val="00B953E0"/>
    <w:rsid w:val="00BA2D76"/>
    <w:rsid w:val="00BA2E6F"/>
    <w:rsid w:val="00BA55F4"/>
    <w:rsid w:val="00BA5B1F"/>
    <w:rsid w:val="00BA741B"/>
    <w:rsid w:val="00BA7480"/>
    <w:rsid w:val="00BB2128"/>
    <w:rsid w:val="00BB22C2"/>
    <w:rsid w:val="00BB3F34"/>
    <w:rsid w:val="00BB476E"/>
    <w:rsid w:val="00BB5E75"/>
    <w:rsid w:val="00BB7F23"/>
    <w:rsid w:val="00BC1F51"/>
    <w:rsid w:val="00BC2FAA"/>
    <w:rsid w:val="00BC4FF5"/>
    <w:rsid w:val="00BD286C"/>
    <w:rsid w:val="00BD29AE"/>
    <w:rsid w:val="00BD7271"/>
    <w:rsid w:val="00BD74CB"/>
    <w:rsid w:val="00BE0044"/>
    <w:rsid w:val="00BE0812"/>
    <w:rsid w:val="00BE2C27"/>
    <w:rsid w:val="00BE357C"/>
    <w:rsid w:val="00BE3D2D"/>
    <w:rsid w:val="00BE4030"/>
    <w:rsid w:val="00BE4249"/>
    <w:rsid w:val="00BE4E9C"/>
    <w:rsid w:val="00BE6E9A"/>
    <w:rsid w:val="00BE7F68"/>
    <w:rsid w:val="00BF26EF"/>
    <w:rsid w:val="00BF26F0"/>
    <w:rsid w:val="00BF3461"/>
    <w:rsid w:val="00BF3701"/>
    <w:rsid w:val="00BF3CB5"/>
    <w:rsid w:val="00BF42FC"/>
    <w:rsid w:val="00BF4771"/>
    <w:rsid w:val="00BF49A9"/>
    <w:rsid w:val="00BF5AF1"/>
    <w:rsid w:val="00BF6899"/>
    <w:rsid w:val="00BF6E10"/>
    <w:rsid w:val="00C00A74"/>
    <w:rsid w:val="00C0232C"/>
    <w:rsid w:val="00C029FC"/>
    <w:rsid w:val="00C03514"/>
    <w:rsid w:val="00C06CDF"/>
    <w:rsid w:val="00C07716"/>
    <w:rsid w:val="00C1002B"/>
    <w:rsid w:val="00C106E5"/>
    <w:rsid w:val="00C11EB7"/>
    <w:rsid w:val="00C12015"/>
    <w:rsid w:val="00C1685B"/>
    <w:rsid w:val="00C1723E"/>
    <w:rsid w:val="00C22F40"/>
    <w:rsid w:val="00C23896"/>
    <w:rsid w:val="00C25185"/>
    <w:rsid w:val="00C260A6"/>
    <w:rsid w:val="00C27A7F"/>
    <w:rsid w:val="00C27EE1"/>
    <w:rsid w:val="00C31486"/>
    <w:rsid w:val="00C31B67"/>
    <w:rsid w:val="00C325E1"/>
    <w:rsid w:val="00C330F0"/>
    <w:rsid w:val="00C33205"/>
    <w:rsid w:val="00C33A6F"/>
    <w:rsid w:val="00C33C5C"/>
    <w:rsid w:val="00C35E8C"/>
    <w:rsid w:val="00C375E6"/>
    <w:rsid w:val="00C377C0"/>
    <w:rsid w:val="00C400D3"/>
    <w:rsid w:val="00C41706"/>
    <w:rsid w:val="00C4543C"/>
    <w:rsid w:val="00C46E21"/>
    <w:rsid w:val="00C51A00"/>
    <w:rsid w:val="00C5272A"/>
    <w:rsid w:val="00C54709"/>
    <w:rsid w:val="00C552AE"/>
    <w:rsid w:val="00C55622"/>
    <w:rsid w:val="00C571E4"/>
    <w:rsid w:val="00C573C2"/>
    <w:rsid w:val="00C57C07"/>
    <w:rsid w:val="00C61AAC"/>
    <w:rsid w:val="00C62E92"/>
    <w:rsid w:val="00C6350A"/>
    <w:rsid w:val="00C67CBD"/>
    <w:rsid w:val="00C72032"/>
    <w:rsid w:val="00C7227A"/>
    <w:rsid w:val="00C727F7"/>
    <w:rsid w:val="00C72DA0"/>
    <w:rsid w:val="00C84491"/>
    <w:rsid w:val="00C875A7"/>
    <w:rsid w:val="00C91128"/>
    <w:rsid w:val="00C91762"/>
    <w:rsid w:val="00C96985"/>
    <w:rsid w:val="00C9758B"/>
    <w:rsid w:val="00CA73E2"/>
    <w:rsid w:val="00CB2568"/>
    <w:rsid w:val="00CB3352"/>
    <w:rsid w:val="00CB5419"/>
    <w:rsid w:val="00CB60D3"/>
    <w:rsid w:val="00CB621F"/>
    <w:rsid w:val="00CB7368"/>
    <w:rsid w:val="00CC57FE"/>
    <w:rsid w:val="00CD0F68"/>
    <w:rsid w:val="00CD3866"/>
    <w:rsid w:val="00CD43C8"/>
    <w:rsid w:val="00CD4FDC"/>
    <w:rsid w:val="00CD5408"/>
    <w:rsid w:val="00CD789E"/>
    <w:rsid w:val="00CD7985"/>
    <w:rsid w:val="00CE0998"/>
    <w:rsid w:val="00CE2CC4"/>
    <w:rsid w:val="00CE41E7"/>
    <w:rsid w:val="00CE63A8"/>
    <w:rsid w:val="00CF2976"/>
    <w:rsid w:val="00CF3C6E"/>
    <w:rsid w:val="00D016CA"/>
    <w:rsid w:val="00D01A96"/>
    <w:rsid w:val="00D03138"/>
    <w:rsid w:val="00D033DA"/>
    <w:rsid w:val="00D04D84"/>
    <w:rsid w:val="00D07790"/>
    <w:rsid w:val="00D124FD"/>
    <w:rsid w:val="00D14F52"/>
    <w:rsid w:val="00D1514C"/>
    <w:rsid w:val="00D16FC9"/>
    <w:rsid w:val="00D1779C"/>
    <w:rsid w:val="00D20075"/>
    <w:rsid w:val="00D202F2"/>
    <w:rsid w:val="00D2062C"/>
    <w:rsid w:val="00D20A91"/>
    <w:rsid w:val="00D225A2"/>
    <w:rsid w:val="00D22B4A"/>
    <w:rsid w:val="00D24789"/>
    <w:rsid w:val="00D273C8"/>
    <w:rsid w:val="00D27A7B"/>
    <w:rsid w:val="00D30F98"/>
    <w:rsid w:val="00D33448"/>
    <w:rsid w:val="00D3373C"/>
    <w:rsid w:val="00D348E5"/>
    <w:rsid w:val="00D35975"/>
    <w:rsid w:val="00D37E29"/>
    <w:rsid w:val="00D41B13"/>
    <w:rsid w:val="00D46DDB"/>
    <w:rsid w:val="00D50042"/>
    <w:rsid w:val="00D519CB"/>
    <w:rsid w:val="00D521B1"/>
    <w:rsid w:val="00D52854"/>
    <w:rsid w:val="00D52984"/>
    <w:rsid w:val="00D55034"/>
    <w:rsid w:val="00D5673C"/>
    <w:rsid w:val="00D57D59"/>
    <w:rsid w:val="00D60DAF"/>
    <w:rsid w:val="00D62E67"/>
    <w:rsid w:val="00D63AE8"/>
    <w:rsid w:val="00D64E79"/>
    <w:rsid w:val="00D662C1"/>
    <w:rsid w:val="00D67040"/>
    <w:rsid w:val="00D67EE1"/>
    <w:rsid w:val="00D71687"/>
    <w:rsid w:val="00D722E1"/>
    <w:rsid w:val="00D72D28"/>
    <w:rsid w:val="00D735CF"/>
    <w:rsid w:val="00D766F2"/>
    <w:rsid w:val="00D77253"/>
    <w:rsid w:val="00D77526"/>
    <w:rsid w:val="00D77630"/>
    <w:rsid w:val="00D82597"/>
    <w:rsid w:val="00D82DED"/>
    <w:rsid w:val="00D83CEA"/>
    <w:rsid w:val="00D86BC7"/>
    <w:rsid w:val="00D923CB"/>
    <w:rsid w:val="00D94024"/>
    <w:rsid w:val="00D95BA7"/>
    <w:rsid w:val="00D97145"/>
    <w:rsid w:val="00D97EEB"/>
    <w:rsid w:val="00DA1871"/>
    <w:rsid w:val="00DA2384"/>
    <w:rsid w:val="00DA27ED"/>
    <w:rsid w:val="00DA4BD9"/>
    <w:rsid w:val="00DB260B"/>
    <w:rsid w:val="00DB3D11"/>
    <w:rsid w:val="00DB4085"/>
    <w:rsid w:val="00DB69C3"/>
    <w:rsid w:val="00DB6A19"/>
    <w:rsid w:val="00DB71B5"/>
    <w:rsid w:val="00DC0367"/>
    <w:rsid w:val="00DC0588"/>
    <w:rsid w:val="00DC34EC"/>
    <w:rsid w:val="00DC5DF6"/>
    <w:rsid w:val="00DC661C"/>
    <w:rsid w:val="00DC77A6"/>
    <w:rsid w:val="00DD00D0"/>
    <w:rsid w:val="00DD05F3"/>
    <w:rsid w:val="00DD06A1"/>
    <w:rsid w:val="00DD1F94"/>
    <w:rsid w:val="00DD2915"/>
    <w:rsid w:val="00DD2E93"/>
    <w:rsid w:val="00DD3A25"/>
    <w:rsid w:val="00DD6433"/>
    <w:rsid w:val="00DD6658"/>
    <w:rsid w:val="00DD760B"/>
    <w:rsid w:val="00DE0FED"/>
    <w:rsid w:val="00DE1383"/>
    <w:rsid w:val="00DE6306"/>
    <w:rsid w:val="00DF0631"/>
    <w:rsid w:val="00DF15FC"/>
    <w:rsid w:val="00DF1C6C"/>
    <w:rsid w:val="00DF3EAC"/>
    <w:rsid w:val="00DF5CAF"/>
    <w:rsid w:val="00DF6645"/>
    <w:rsid w:val="00DF7FEF"/>
    <w:rsid w:val="00E01308"/>
    <w:rsid w:val="00E04732"/>
    <w:rsid w:val="00E05B6C"/>
    <w:rsid w:val="00E0717B"/>
    <w:rsid w:val="00E14000"/>
    <w:rsid w:val="00E14D44"/>
    <w:rsid w:val="00E15FA7"/>
    <w:rsid w:val="00E2354D"/>
    <w:rsid w:val="00E24C65"/>
    <w:rsid w:val="00E275A8"/>
    <w:rsid w:val="00E27B1F"/>
    <w:rsid w:val="00E308C1"/>
    <w:rsid w:val="00E3124B"/>
    <w:rsid w:val="00E3166E"/>
    <w:rsid w:val="00E32D62"/>
    <w:rsid w:val="00E330AC"/>
    <w:rsid w:val="00E35FFE"/>
    <w:rsid w:val="00E36668"/>
    <w:rsid w:val="00E36D99"/>
    <w:rsid w:val="00E3742F"/>
    <w:rsid w:val="00E37F27"/>
    <w:rsid w:val="00E40E6B"/>
    <w:rsid w:val="00E420A0"/>
    <w:rsid w:val="00E433DE"/>
    <w:rsid w:val="00E446D1"/>
    <w:rsid w:val="00E467A8"/>
    <w:rsid w:val="00E46D47"/>
    <w:rsid w:val="00E47C69"/>
    <w:rsid w:val="00E47C6B"/>
    <w:rsid w:val="00E47E3C"/>
    <w:rsid w:val="00E52204"/>
    <w:rsid w:val="00E52C9A"/>
    <w:rsid w:val="00E533C6"/>
    <w:rsid w:val="00E5385B"/>
    <w:rsid w:val="00E53E34"/>
    <w:rsid w:val="00E54BEE"/>
    <w:rsid w:val="00E56677"/>
    <w:rsid w:val="00E57A11"/>
    <w:rsid w:val="00E60620"/>
    <w:rsid w:val="00E60D4D"/>
    <w:rsid w:val="00E64650"/>
    <w:rsid w:val="00E72E99"/>
    <w:rsid w:val="00E8122C"/>
    <w:rsid w:val="00E85DD0"/>
    <w:rsid w:val="00E8744B"/>
    <w:rsid w:val="00E94D02"/>
    <w:rsid w:val="00E9544A"/>
    <w:rsid w:val="00E95B36"/>
    <w:rsid w:val="00EA0174"/>
    <w:rsid w:val="00EA0415"/>
    <w:rsid w:val="00EA1867"/>
    <w:rsid w:val="00EA1A08"/>
    <w:rsid w:val="00EA3625"/>
    <w:rsid w:val="00EA38D3"/>
    <w:rsid w:val="00EA46F6"/>
    <w:rsid w:val="00EA54F4"/>
    <w:rsid w:val="00EA6601"/>
    <w:rsid w:val="00EB0801"/>
    <w:rsid w:val="00EB36E2"/>
    <w:rsid w:val="00EB6183"/>
    <w:rsid w:val="00EC0B54"/>
    <w:rsid w:val="00EC10B9"/>
    <w:rsid w:val="00EC15AE"/>
    <w:rsid w:val="00EC3CC6"/>
    <w:rsid w:val="00EC4964"/>
    <w:rsid w:val="00EC49EE"/>
    <w:rsid w:val="00EC75D4"/>
    <w:rsid w:val="00ED06CC"/>
    <w:rsid w:val="00ED4AED"/>
    <w:rsid w:val="00ED5E5A"/>
    <w:rsid w:val="00EE0D2A"/>
    <w:rsid w:val="00EE0DFC"/>
    <w:rsid w:val="00EE21A0"/>
    <w:rsid w:val="00EE235E"/>
    <w:rsid w:val="00EE471D"/>
    <w:rsid w:val="00EF0471"/>
    <w:rsid w:val="00EF4924"/>
    <w:rsid w:val="00EF7C5D"/>
    <w:rsid w:val="00F02072"/>
    <w:rsid w:val="00F02F36"/>
    <w:rsid w:val="00F03689"/>
    <w:rsid w:val="00F03DCF"/>
    <w:rsid w:val="00F05021"/>
    <w:rsid w:val="00F061C9"/>
    <w:rsid w:val="00F121F6"/>
    <w:rsid w:val="00F13151"/>
    <w:rsid w:val="00F13E29"/>
    <w:rsid w:val="00F1447E"/>
    <w:rsid w:val="00F14C51"/>
    <w:rsid w:val="00F15656"/>
    <w:rsid w:val="00F177E5"/>
    <w:rsid w:val="00F20029"/>
    <w:rsid w:val="00F2060C"/>
    <w:rsid w:val="00F24DB2"/>
    <w:rsid w:val="00F25C17"/>
    <w:rsid w:val="00F26B78"/>
    <w:rsid w:val="00F272AC"/>
    <w:rsid w:val="00F31010"/>
    <w:rsid w:val="00F31367"/>
    <w:rsid w:val="00F31EAC"/>
    <w:rsid w:val="00F32CD3"/>
    <w:rsid w:val="00F34299"/>
    <w:rsid w:val="00F4186E"/>
    <w:rsid w:val="00F448CC"/>
    <w:rsid w:val="00F4682F"/>
    <w:rsid w:val="00F47FD2"/>
    <w:rsid w:val="00F53530"/>
    <w:rsid w:val="00F57BB0"/>
    <w:rsid w:val="00F60AA0"/>
    <w:rsid w:val="00F61836"/>
    <w:rsid w:val="00F674BD"/>
    <w:rsid w:val="00F70191"/>
    <w:rsid w:val="00F70F2E"/>
    <w:rsid w:val="00F71464"/>
    <w:rsid w:val="00F735D6"/>
    <w:rsid w:val="00F75E28"/>
    <w:rsid w:val="00F80220"/>
    <w:rsid w:val="00F808AC"/>
    <w:rsid w:val="00F817F4"/>
    <w:rsid w:val="00F8241B"/>
    <w:rsid w:val="00F83C11"/>
    <w:rsid w:val="00F83EE1"/>
    <w:rsid w:val="00F840C5"/>
    <w:rsid w:val="00F85923"/>
    <w:rsid w:val="00F909EF"/>
    <w:rsid w:val="00F90DB9"/>
    <w:rsid w:val="00F91B5B"/>
    <w:rsid w:val="00F91BC7"/>
    <w:rsid w:val="00F91F26"/>
    <w:rsid w:val="00F92331"/>
    <w:rsid w:val="00F92C37"/>
    <w:rsid w:val="00F94F0A"/>
    <w:rsid w:val="00F978FB"/>
    <w:rsid w:val="00F97B0B"/>
    <w:rsid w:val="00F97B34"/>
    <w:rsid w:val="00FA08F4"/>
    <w:rsid w:val="00FA0A5F"/>
    <w:rsid w:val="00FA2997"/>
    <w:rsid w:val="00FA59F3"/>
    <w:rsid w:val="00FA7F49"/>
    <w:rsid w:val="00FB0734"/>
    <w:rsid w:val="00FB1F6D"/>
    <w:rsid w:val="00FB4E4F"/>
    <w:rsid w:val="00FB5E00"/>
    <w:rsid w:val="00FC2959"/>
    <w:rsid w:val="00FC5B85"/>
    <w:rsid w:val="00FC7AA0"/>
    <w:rsid w:val="00FD06DA"/>
    <w:rsid w:val="00FD265A"/>
    <w:rsid w:val="00FD57CF"/>
    <w:rsid w:val="00FD7537"/>
    <w:rsid w:val="00FD7E50"/>
    <w:rsid w:val="00FE09E4"/>
    <w:rsid w:val="00FE3121"/>
    <w:rsid w:val="00FE3A12"/>
    <w:rsid w:val="00FE4E2D"/>
    <w:rsid w:val="00FE55D7"/>
    <w:rsid w:val="00FE5B38"/>
    <w:rsid w:val="00FE6992"/>
    <w:rsid w:val="00FF0234"/>
    <w:rsid w:val="00FF37C6"/>
    <w:rsid w:val="00FF3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84B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20"/>
      </w:tabs>
      <w:spacing w:after="0" w:line="480" w:lineRule="atLeast"/>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36B"/>
    <w:pPr>
      <w:tabs>
        <w:tab w:val="center" w:pos="4680"/>
        <w:tab w:val="right" w:pos="9360"/>
      </w:tabs>
      <w:spacing w:line="240" w:lineRule="auto"/>
    </w:pPr>
  </w:style>
  <w:style w:type="character" w:customStyle="1" w:styleId="HeaderChar">
    <w:name w:val="Header Char"/>
    <w:basedOn w:val="DefaultParagraphFont"/>
    <w:link w:val="Header"/>
    <w:uiPriority w:val="99"/>
    <w:rsid w:val="005A236B"/>
  </w:style>
  <w:style w:type="paragraph" w:styleId="Footer">
    <w:name w:val="footer"/>
    <w:basedOn w:val="Normal"/>
    <w:link w:val="FooterChar"/>
    <w:uiPriority w:val="99"/>
    <w:unhideWhenUsed/>
    <w:rsid w:val="005A236B"/>
    <w:pPr>
      <w:tabs>
        <w:tab w:val="center" w:pos="4680"/>
        <w:tab w:val="right" w:pos="9360"/>
      </w:tabs>
      <w:spacing w:line="240" w:lineRule="auto"/>
    </w:pPr>
  </w:style>
  <w:style w:type="character" w:customStyle="1" w:styleId="FooterChar">
    <w:name w:val="Footer Char"/>
    <w:basedOn w:val="DefaultParagraphFont"/>
    <w:link w:val="Footer"/>
    <w:uiPriority w:val="99"/>
    <w:rsid w:val="005A236B"/>
  </w:style>
  <w:style w:type="character" w:styleId="PageNumber">
    <w:name w:val="page number"/>
    <w:basedOn w:val="DefaultParagraphFont"/>
    <w:uiPriority w:val="99"/>
    <w:semiHidden/>
    <w:unhideWhenUsed/>
    <w:rsid w:val="005A236B"/>
  </w:style>
  <w:style w:type="paragraph" w:styleId="FootnoteText">
    <w:name w:val="footnote text"/>
    <w:link w:val="FootnoteTextChar"/>
    <w:uiPriority w:val="99"/>
    <w:unhideWhenUsed/>
    <w:rsid w:val="005A236B"/>
    <w:pPr>
      <w:spacing w:after="0" w:line="240" w:lineRule="auto"/>
    </w:pPr>
    <w:rPr>
      <w:rFonts w:cs="Times New Roman"/>
      <w:szCs w:val="20"/>
    </w:rPr>
  </w:style>
  <w:style w:type="character" w:customStyle="1" w:styleId="FootnoteTextChar">
    <w:name w:val="Footnote Text Char"/>
    <w:basedOn w:val="DefaultParagraphFont"/>
    <w:link w:val="FootnoteText"/>
    <w:uiPriority w:val="99"/>
    <w:rsid w:val="005A236B"/>
    <w:rPr>
      <w:rFonts w:cs="Times New Roman"/>
      <w:szCs w:val="20"/>
    </w:rPr>
  </w:style>
  <w:style w:type="character" w:styleId="FootnoteReference">
    <w:name w:val="footnote reference"/>
    <w:basedOn w:val="DefaultParagraphFont"/>
    <w:uiPriority w:val="99"/>
    <w:semiHidden/>
    <w:unhideWhenUsed/>
    <w:rsid w:val="00BF3701"/>
    <w:rPr>
      <w:vertAlign w:val="superscript"/>
    </w:rPr>
  </w:style>
  <w:style w:type="paragraph" w:styleId="BalloonText">
    <w:name w:val="Balloon Text"/>
    <w:basedOn w:val="Normal"/>
    <w:link w:val="BalloonTextChar"/>
    <w:uiPriority w:val="99"/>
    <w:semiHidden/>
    <w:unhideWhenUsed/>
    <w:rsid w:val="007169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9CA"/>
    <w:rPr>
      <w:rFonts w:ascii="Segoe UI" w:hAnsi="Segoe UI" w:cs="Segoe UI"/>
      <w:sz w:val="18"/>
      <w:szCs w:val="18"/>
    </w:rPr>
  </w:style>
  <w:style w:type="character" w:styleId="CommentReference">
    <w:name w:val="annotation reference"/>
    <w:basedOn w:val="DefaultParagraphFont"/>
    <w:uiPriority w:val="99"/>
    <w:semiHidden/>
    <w:unhideWhenUsed/>
    <w:rsid w:val="00523C49"/>
    <w:rPr>
      <w:sz w:val="16"/>
      <w:szCs w:val="16"/>
    </w:rPr>
  </w:style>
  <w:style w:type="paragraph" w:styleId="CommentText">
    <w:name w:val="annotation text"/>
    <w:basedOn w:val="Normal"/>
    <w:link w:val="CommentTextChar"/>
    <w:uiPriority w:val="99"/>
    <w:semiHidden/>
    <w:unhideWhenUsed/>
    <w:rsid w:val="00523C49"/>
    <w:pPr>
      <w:spacing w:line="240" w:lineRule="auto"/>
    </w:pPr>
    <w:rPr>
      <w:sz w:val="20"/>
      <w:szCs w:val="20"/>
    </w:rPr>
  </w:style>
  <w:style w:type="character" w:customStyle="1" w:styleId="CommentTextChar">
    <w:name w:val="Comment Text Char"/>
    <w:basedOn w:val="DefaultParagraphFont"/>
    <w:link w:val="CommentText"/>
    <w:uiPriority w:val="99"/>
    <w:semiHidden/>
    <w:rsid w:val="00523C49"/>
    <w:rPr>
      <w:rFonts w:cs="Times New Roman"/>
      <w:sz w:val="20"/>
      <w:szCs w:val="20"/>
    </w:rPr>
  </w:style>
  <w:style w:type="paragraph" w:styleId="CommentSubject">
    <w:name w:val="annotation subject"/>
    <w:basedOn w:val="CommentText"/>
    <w:next w:val="CommentText"/>
    <w:link w:val="CommentSubjectChar"/>
    <w:uiPriority w:val="99"/>
    <w:semiHidden/>
    <w:unhideWhenUsed/>
    <w:rsid w:val="00523C49"/>
    <w:rPr>
      <w:b/>
      <w:bCs/>
    </w:rPr>
  </w:style>
  <w:style w:type="character" w:customStyle="1" w:styleId="CommentSubjectChar">
    <w:name w:val="Comment Subject Char"/>
    <w:basedOn w:val="CommentTextChar"/>
    <w:link w:val="CommentSubject"/>
    <w:uiPriority w:val="99"/>
    <w:semiHidden/>
    <w:rsid w:val="00523C49"/>
    <w:rPr>
      <w:rFonts w:cs="Times New Roman"/>
      <w:b/>
      <w:bCs/>
      <w:sz w:val="20"/>
      <w:szCs w:val="20"/>
    </w:rPr>
  </w:style>
  <w:style w:type="paragraph" w:styleId="ListParagraph">
    <w:name w:val="List Paragraph"/>
    <w:basedOn w:val="Normal"/>
    <w:uiPriority w:val="34"/>
    <w:qFormat/>
    <w:rsid w:val="00800F6D"/>
    <w:pPr>
      <w:ind w:left="720"/>
      <w:contextualSpacing/>
    </w:pPr>
  </w:style>
  <w:style w:type="character" w:styleId="Emphasis">
    <w:name w:val="Emphasis"/>
    <w:basedOn w:val="DefaultParagraphFont"/>
    <w:uiPriority w:val="20"/>
    <w:qFormat/>
    <w:rsid w:val="001C3EDE"/>
    <w:rPr>
      <w:i/>
      <w:iCs/>
    </w:rPr>
  </w:style>
  <w:style w:type="character" w:customStyle="1" w:styleId="costarpage">
    <w:name w:val="co_starpage"/>
    <w:basedOn w:val="DefaultParagraphFont"/>
    <w:rsid w:val="00EF0471"/>
  </w:style>
  <w:style w:type="paragraph" w:styleId="Revision">
    <w:name w:val="Revision"/>
    <w:hidden/>
    <w:uiPriority w:val="99"/>
    <w:semiHidden/>
    <w:rsid w:val="0064292B"/>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583">
      <w:bodyDiv w:val="1"/>
      <w:marLeft w:val="0"/>
      <w:marRight w:val="0"/>
      <w:marTop w:val="0"/>
      <w:marBottom w:val="0"/>
      <w:divBdr>
        <w:top w:val="none" w:sz="0" w:space="0" w:color="auto"/>
        <w:left w:val="none" w:sz="0" w:space="0" w:color="auto"/>
        <w:bottom w:val="none" w:sz="0" w:space="0" w:color="auto"/>
        <w:right w:val="none" w:sz="0" w:space="0" w:color="auto"/>
      </w:divBdr>
    </w:div>
    <w:div w:id="59520109">
      <w:bodyDiv w:val="1"/>
      <w:marLeft w:val="0"/>
      <w:marRight w:val="0"/>
      <w:marTop w:val="0"/>
      <w:marBottom w:val="0"/>
      <w:divBdr>
        <w:top w:val="none" w:sz="0" w:space="0" w:color="auto"/>
        <w:left w:val="none" w:sz="0" w:space="0" w:color="auto"/>
        <w:bottom w:val="none" w:sz="0" w:space="0" w:color="auto"/>
        <w:right w:val="none" w:sz="0" w:space="0" w:color="auto"/>
      </w:divBdr>
    </w:div>
    <w:div w:id="313294344">
      <w:bodyDiv w:val="1"/>
      <w:marLeft w:val="0"/>
      <w:marRight w:val="0"/>
      <w:marTop w:val="0"/>
      <w:marBottom w:val="0"/>
      <w:divBdr>
        <w:top w:val="none" w:sz="0" w:space="0" w:color="auto"/>
        <w:left w:val="none" w:sz="0" w:space="0" w:color="auto"/>
        <w:bottom w:val="none" w:sz="0" w:space="0" w:color="auto"/>
        <w:right w:val="none" w:sz="0" w:space="0" w:color="auto"/>
      </w:divBdr>
    </w:div>
    <w:div w:id="337007916">
      <w:bodyDiv w:val="1"/>
      <w:marLeft w:val="0"/>
      <w:marRight w:val="0"/>
      <w:marTop w:val="0"/>
      <w:marBottom w:val="0"/>
      <w:divBdr>
        <w:top w:val="none" w:sz="0" w:space="0" w:color="auto"/>
        <w:left w:val="none" w:sz="0" w:space="0" w:color="auto"/>
        <w:bottom w:val="none" w:sz="0" w:space="0" w:color="auto"/>
        <w:right w:val="none" w:sz="0" w:space="0" w:color="auto"/>
      </w:divBdr>
    </w:div>
    <w:div w:id="412364281">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0"/>
          <w:marBottom w:val="0"/>
          <w:divBdr>
            <w:top w:val="none" w:sz="0" w:space="0" w:color="auto"/>
            <w:left w:val="none" w:sz="0" w:space="0" w:color="auto"/>
            <w:bottom w:val="none" w:sz="0" w:space="0" w:color="auto"/>
            <w:right w:val="none" w:sz="0" w:space="0" w:color="auto"/>
          </w:divBdr>
        </w:div>
      </w:divsChild>
    </w:div>
    <w:div w:id="468327175">
      <w:bodyDiv w:val="1"/>
      <w:marLeft w:val="0"/>
      <w:marRight w:val="0"/>
      <w:marTop w:val="0"/>
      <w:marBottom w:val="0"/>
      <w:divBdr>
        <w:top w:val="none" w:sz="0" w:space="0" w:color="auto"/>
        <w:left w:val="none" w:sz="0" w:space="0" w:color="auto"/>
        <w:bottom w:val="none" w:sz="0" w:space="0" w:color="auto"/>
        <w:right w:val="none" w:sz="0" w:space="0" w:color="auto"/>
      </w:divBdr>
    </w:div>
    <w:div w:id="575478603">
      <w:bodyDiv w:val="1"/>
      <w:marLeft w:val="0"/>
      <w:marRight w:val="0"/>
      <w:marTop w:val="0"/>
      <w:marBottom w:val="0"/>
      <w:divBdr>
        <w:top w:val="none" w:sz="0" w:space="0" w:color="auto"/>
        <w:left w:val="none" w:sz="0" w:space="0" w:color="auto"/>
        <w:bottom w:val="none" w:sz="0" w:space="0" w:color="auto"/>
        <w:right w:val="none" w:sz="0" w:space="0" w:color="auto"/>
      </w:divBdr>
    </w:div>
    <w:div w:id="635452411">
      <w:bodyDiv w:val="1"/>
      <w:marLeft w:val="0"/>
      <w:marRight w:val="0"/>
      <w:marTop w:val="0"/>
      <w:marBottom w:val="0"/>
      <w:divBdr>
        <w:top w:val="none" w:sz="0" w:space="0" w:color="auto"/>
        <w:left w:val="none" w:sz="0" w:space="0" w:color="auto"/>
        <w:bottom w:val="none" w:sz="0" w:space="0" w:color="auto"/>
        <w:right w:val="none" w:sz="0" w:space="0" w:color="auto"/>
      </w:divBdr>
    </w:div>
    <w:div w:id="673335283">
      <w:bodyDiv w:val="1"/>
      <w:marLeft w:val="0"/>
      <w:marRight w:val="0"/>
      <w:marTop w:val="0"/>
      <w:marBottom w:val="0"/>
      <w:divBdr>
        <w:top w:val="none" w:sz="0" w:space="0" w:color="auto"/>
        <w:left w:val="none" w:sz="0" w:space="0" w:color="auto"/>
        <w:bottom w:val="none" w:sz="0" w:space="0" w:color="auto"/>
        <w:right w:val="none" w:sz="0" w:space="0" w:color="auto"/>
      </w:divBdr>
      <w:divsChild>
        <w:div w:id="1470439624">
          <w:marLeft w:val="0"/>
          <w:marRight w:val="0"/>
          <w:marTop w:val="0"/>
          <w:marBottom w:val="0"/>
          <w:divBdr>
            <w:top w:val="none" w:sz="0" w:space="0" w:color="auto"/>
            <w:left w:val="none" w:sz="0" w:space="0" w:color="auto"/>
            <w:bottom w:val="none" w:sz="0" w:space="0" w:color="auto"/>
            <w:right w:val="none" w:sz="0" w:space="0" w:color="auto"/>
          </w:divBdr>
          <w:divsChild>
            <w:div w:id="746075689">
              <w:marLeft w:val="0"/>
              <w:marRight w:val="0"/>
              <w:marTop w:val="0"/>
              <w:marBottom w:val="0"/>
              <w:divBdr>
                <w:top w:val="none" w:sz="0" w:space="0" w:color="auto"/>
                <w:left w:val="none" w:sz="0" w:space="0" w:color="auto"/>
                <w:bottom w:val="none" w:sz="0" w:space="0" w:color="auto"/>
                <w:right w:val="none" w:sz="0" w:space="0" w:color="auto"/>
              </w:divBdr>
              <w:divsChild>
                <w:div w:id="18754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75623">
      <w:bodyDiv w:val="1"/>
      <w:marLeft w:val="0"/>
      <w:marRight w:val="0"/>
      <w:marTop w:val="0"/>
      <w:marBottom w:val="0"/>
      <w:divBdr>
        <w:top w:val="none" w:sz="0" w:space="0" w:color="auto"/>
        <w:left w:val="none" w:sz="0" w:space="0" w:color="auto"/>
        <w:bottom w:val="none" w:sz="0" w:space="0" w:color="auto"/>
        <w:right w:val="none" w:sz="0" w:space="0" w:color="auto"/>
      </w:divBdr>
      <w:divsChild>
        <w:div w:id="7949368">
          <w:marLeft w:val="0"/>
          <w:marRight w:val="0"/>
          <w:marTop w:val="0"/>
          <w:marBottom w:val="0"/>
          <w:divBdr>
            <w:top w:val="none" w:sz="0" w:space="0" w:color="auto"/>
            <w:left w:val="none" w:sz="0" w:space="0" w:color="auto"/>
            <w:bottom w:val="none" w:sz="0" w:space="0" w:color="auto"/>
            <w:right w:val="none" w:sz="0" w:space="0" w:color="auto"/>
          </w:divBdr>
        </w:div>
      </w:divsChild>
    </w:div>
    <w:div w:id="831792723">
      <w:bodyDiv w:val="1"/>
      <w:marLeft w:val="0"/>
      <w:marRight w:val="0"/>
      <w:marTop w:val="0"/>
      <w:marBottom w:val="0"/>
      <w:divBdr>
        <w:top w:val="none" w:sz="0" w:space="0" w:color="auto"/>
        <w:left w:val="none" w:sz="0" w:space="0" w:color="auto"/>
        <w:bottom w:val="none" w:sz="0" w:space="0" w:color="auto"/>
        <w:right w:val="none" w:sz="0" w:space="0" w:color="auto"/>
      </w:divBdr>
      <w:divsChild>
        <w:div w:id="234436006">
          <w:marLeft w:val="0"/>
          <w:marRight w:val="0"/>
          <w:marTop w:val="0"/>
          <w:marBottom w:val="0"/>
          <w:divBdr>
            <w:top w:val="none" w:sz="0" w:space="0" w:color="auto"/>
            <w:left w:val="none" w:sz="0" w:space="0" w:color="auto"/>
            <w:bottom w:val="none" w:sz="0" w:space="0" w:color="auto"/>
            <w:right w:val="none" w:sz="0" w:space="0" w:color="auto"/>
          </w:divBdr>
        </w:div>
      </w:divsChild>
    </w:div>
    <w:div w:id="857348859">
      <w:bodyDiv w:val="1"/>
      <w:marLeft w:val="0"/>
      <w:marRight w:val="0"/>
      <w:marTop w:val="0"/>
      <w:marBottom w:val="0"/>
      <w:divBdr>
        <w:top w:val="none" w:sz="0" w:space="0" w:color="auto"/>
        <w:left w:val="none" w:sz="0" w:space="0" w:color="auto"/>
        <w:bottom w:val="none" w:sz="0" w:space="0" w:color="auto"/>
        <w:right w:val="none" w:sz="0" w:space="0" w:color="auto"/>
      </w:divBdr>
      <w:divsChild>
        <w:div w:id="1253120777">
          <w:marLeft w:val="0"/>
          <w:marRight w:val="0"/>
          <w:marTop w:val="0"/>
          <w:marBottom w:val="0"/>
          <w:divBdr>
            <w:top w:val="none" w:sz="0" w:space="0" w:color="auto"/>
            <w:left w:val="none" w:sz="0" w:space="0" w:color="auto"/>
            <w:bottom w:val="none" w:sz="0" w:space="0" w:color="auto"/>
            <w:right w:val="none" w:sz="0" w:space="0" w:color="auto"/>
          </w:divBdr>
        </w:div>
      </w:divsChild>
    </w:div>
    <w:div w:id="900019672">
      <w:bodyDiv w:val="1"/>
      <w:marLeft w:val="0"/>
      <w:marRight w:val="0"/>
      <w:marTop w:val="0"/>
      <w:marBottom w:val="0"/>
      <w:divBdr>
        <w:top w:val="none" w:sz="0" w:space="0" w:color="auto"/>
        <w:left w:val="none" w:sz="0" w:space="0" w:color="auto"/>
        <w:bottom w:val="none" w:sz="0" w:space="0" w:color="auto"/>
        <w:right w:val="none" w:sz="0" w:space="0" w:color="auto"/>
      </w:divBdr>
    </w:div>
    <w:div w:id="1043558020">
      <w:bodyDiv w:val="1"/>
      <w:marLeft w:val="0"/>
      <w:marRight w:val="0"/>
      <w:marTop w:val="0"/>
      <w:marBottom w:val="0"/>
      <w:divBdr>
        <w:top w:val="none" w:sz="0" w:space="0" w:color="auto"/>
        <w:left w:val="none" w:sz="0" w:space="0" w:color="auto"/>
        <w:bottom w:val="none" w:sz="0" w:space="0" w:color="auto"/>
        <w:right w:val="none" w:sz="0" w:space="0" w:color="auto"/>
      </w:divBdr>
    </w:div>
    <w:div w:id="1067151419">
      <w:bodyDiv w:val="1"/>
      <w:marLeft w:val="0"/>
      <w:marRight w:val="0"/>
      <w:marTop w:val="0"/>
      <w:marBottom w:val="0"/>
      <w:divBdr>
        <w:top w:val="none" w:sz="0" w:space="0" w:color="auto"/>
        <w:left w:val="none" w:sz="0" w:space="0" w:color="auto"/>
        <w:bottom w:val="none" w:sz="0" w:space="0" w:color="auto"/>
        <w:right w:val="none" w:sz="0" w:space="0" w:color="auto"/>
      </w:divBdr>
    </w:div>
    <w:div w:id="1156606788">
      <w:bodyDiv w:val="1"/>
      <w:marLeft w:val="0"/>
      <w:marRight w:val="0"/>
      <w:marTop w:val="0"/>
      <w:marBottom w:val="0"/>
      <w:divBdr>
        <w:top w:val="none" w:sz="0" w:space="0" w:color="auto"/>
        <w:left w:val="none" w:sz="0" w:space="0" w:color="auto"/>
        <w:bottom w:val="none" w:sz="0" w:space="0" w:color="auto"/>
        <w:right w:val="none" w:sz="0" w:space="0" w:color="auto"/>
      </w:divBdr>
    </w:div>
    <w:div w:id="1204247440">
      <w:bodyDiv w:val="1"/>
      <w:marLeft w:val="0"/>
      <w:marRight w:val="0"/>
      <w:marTop w:val="0"/>
      <w:marBottom w:val="0"/>
      <w:divBdr>
        <w:top w:val="none" w:sz="0" w:space="0" w:color="auto"/>
        <w:left w:val="none" w:sz="0" w:space="0" w:color="auto"/>
        <w:bottom w:val="none" w:sz="0" w:space="0" w:color="auto"/>
        <w:right w:val="none" w:sz="0" w:space="0" w:color="auto"/>
      </w:divBdr>
    </w:div>
    <w:div w:id="1279949902">
      <w:bodyDiv w:val="1"/>
      <w:marLeft w:val="0"/>
      <w:marRight w:val="0"/>
      <w:marTop w:val="0"/>
      <w:marBottom w:val="0"/>
      <w:divBdr>
        <w:top w:val="none" w:sz="0" w:space="0" w:color="auto"/>
        <w:left w:val="none" w:sz="0" w:space="0" w:color="auto"/>
        <w:bottom w:val="none" w:sz="0" w:space="0" w:color="auto"/>
        <w:right w:val="none" w:sz="0" w:space="0" w:color="auto"/>
      </w:divBdr>
    </w:div>
    <w:div w:id="1337919997">
      <w:bodyDiv w:val="1"/>
      <w:marLeft w:val="0"/>
      <w:marRight w:val="0"/>
      <w:marTop w:val="0"/>
      <w:marBottom w:val="0"/>
      <w:divBdr>
        <w:top w:val="none" w:sz="0" w:space="0" w:color="auto"/>
        <w:left w:val="none" w:sz="0" w:space="0" w:color="auto"/>
        <w:bottom w:val="none" w:sz="0" w:space="0" w:color="auto"/>
        <w:right w:val="none" w:sz="0" w:space="0" w:color="auto"/>
      </w:divBdr>
    </w:div>
    <w:div w:id="1390298782">
      <w:bodyDiv w:val="1"/>
      <w:marLeft w:val="0"/>
      <w:marRight w:val="0"/>
      <w:marTop w:val="0"/>
      <w:marBottom w:val="0"/>
      <w:divBdr>
        <w:top w:val="none" w:sz="0" w:space="0" w:color="auto"/>
        <w:left w:val="none" w:sz="0" w:space="0" w:color="auto"/>
        <w:bottom w:val="none" w:sz="0" w:space="0" w:color="auto"/>
        <w:right w:val="none" w:sz="0" w:space="0" w:color="auto"/>
      </w:divBdr>
    </w:div>
    <w:div w:id="1523012818">
      <w:bodyDiv w:val="1"/>
      <w:marLeft w:val="0"/>
      <w:marRight w:val="0"/>
      <w:marTop w:val="0"/>
      <w:marBottom w:val="0"/>
      <w:divBdr>
        <w:top w:val="none" w:sz="0" w:space="0" w:color="auto"/>
        <w:left w:val="none" w:sz="0" w:space="0" w:color="auto"/>
        <w:bottom w:val="none" w:sz="0" w:space="0" w:color="auto"/>
        <w:right w:val="none" w:sz="0" w:space="0" w:color="auto"/>
      </w:divBdr>
    </w:div>
    <w:div w:id="1591619495">
      <w:bodyDiv w:val="1"/>
      <w:marLeft w:val="0"/>
      <w:marRight w:val="0"/>
      <w:marTop w:val="0"/>
      <w:marBottom w:val="0"/>
      <w:divBdr>
        <w:top w:val="none" w:sz="0" w:space="0" w:color="auto"/>
        <w:left w:val="none" w:sz="0" w:space="0" w:color="auto"/>
        <w:bottom w:val="none" w:sz="0" w:space="0" w:color="auto"/>
        <w:right w:val="none" w:sz="0" w:space="0" w:color="auto"/>
      </w:divBdr>
    </w:div>
    <w:div w:id="1614550905">
      <w:bodyDiv w:val="1"/>
      <w:marLeft w:val="0"/>
      <w:marRight w:val="0"/>
      <w:marTop w:val="0"/>
      <w:marBottom w:val="0"/>
      <w:divBdr>
        <w:top w:val="none" w:sz="0" w:space="0" w:color="auto"/>
        <w:left w:val="none" w:sz="0" w:space="0" w:color="auto"/>
        <w:bottom w:val="none" w:sz="0" w:space="0" w:color="auto"/>
        <w:right w:val="none" w:sz="0" w:space="0" w:color="auto"/>
      </w:divBdr>
    </w:div>
    <w:div w:id="1674143648">
      <w:bodyDiv w:val="1"/>
      <w:marLeft w:val="0"/>
      <w:marRight w:val="0"/>
      <w:marTop w:val="0"/>
      <w:marBottom w:val="0"/>
      <w:divBdr>
        <w:top w:val="none" w:sz="0" w:space="0" w:color="auto"/>
        <w:left w:val="none" w:sz="0" w:space="0" w:color="auto"/>
        <w:bottom w:val="none" w:sz="0" w:space="0" w:color="auto"/>
        <w:right w:val="none" w:sz="0" w:space="0" w:color="auto"/>
      </w:divBdr>
    </w:div>
    <w:div w:id="1729499217">
      <w:bodyDiv w:val="1"/>
      <w:marLeft w:val="0"/>
      <w:marRight w:val="0"/>
      <w:marTop w:val="0"/>
      <w:marBottom w:val="0"/>
      <w:divBdr>
        <w:top w:val="none" w:sz="0" w:space="0" w:color="auto"/>
        <w:left w:val="none" w:sz="0" w:space="0" w:color="auto"/>
        <w:bottom w:val="none" w:sz="0" w:space="0" w:color="auto"/>
        <w:right w:val="none" w:sz="0" w:space="0" w:color="auto"/>
      </w:divBdr>
    </w:div>
    <w:div w:id="1794400616">
      <w:bodyDiv w:val="1"/>
      <w:marLeft w:val="0"/>
      <w:marRight w:val="0"/>
      <w:marTop w:val="0"/>
      <w:marBottom w:val="0"/>
      <w:divBdr>
        <w:top w:val="none" w:sz="0" w:space="0" w:color="auto"/>
        <w:left w:val="none" w:sz="0" w:space="0" w:color="auto"/>
        <w:bottom w:val="none" w:sz="0" w:space="0" w:color="auto"/>
        <w:right w:val="none" w:sz="0" w:space="0" w:color="auto"/>
      </w:divBdr>
      <w:divsChild>
        <w:div w:id="1763181444">
          <w:marLeft w:val="0"/>
          <w:marRight w:val="0"/>
          <w:marTop w:val="0"/>
          <w:marBottom w:val="0"/>
          <w:divBdr>
            <w:top w:val="none" w:sz="0" w:space="0" w:color="auto"/>
            <w:left w:val="none" w:sz="0" w:space="0" w:color="auto"/>
            <w:bottom w:val="none" w:sz="0" w:space="0" w:color="auto"/>
            <w:right w:val="none" w:sz="0" w:space="0" w:color="auto"/>
          </w:divBdr>
        </w:div>
      </w:divsChild>
    </w:div>
    <w:div w:id="1853494846">
      <w:bodyDiv w:val="1"/>
      <w:marLeft w:val="0"/>
      <w:marRight w:val="0"/>
      <w:marTop w:val="0"/>
      <w:marBottom w:val="0"/>
      <w:divBdr>
        <w:top w:val="none" w:sz="0" w:space="0" w:color="auto"/>
        <w:left w:val="none" w:sz="0" w:space="0" w:color="auto"/>
        <w:bottom w:val="none" w:sz="0" w:space="0" w:color="auto"/>
        <w:right w:val="none" w:sz="0" w:space="0" w:color="auto"/>
      </w:divBdr>
    </w:div>
    <w:div w:id="197880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3175</Words>
  <Characters>18103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2023-04-04T20:27:00Z</dcterms:created>
  <dcterms:modified xsi:type="dcterms:W3CDTF">2023-04-04T20:27:00Z</dcterms:modified>
</cp:coreProperties>
</file>