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5A37E7" w:rsidP="005A37E7" w14:paraId="3B1E4A3D" w14:textId="4BD39EC1">
      <w:pPr>
        <w:spacing w:line="240" w:lineRule="auto"/>
        <w:rPr>
          <w:sz w:val="20"/>
        </w:rPr>
      </w:pPr>
      <w:r>
        <w:rPr>
          <w:sz w:val="20"/>
        </w:rPr>
        <w:t xml:space="preserve">Filed </w:t>
      </w:r>
      <w:r w:rsidR="00A12F01">
        <w:rPr>
          <w:sz w:val="20"/>
        </w:rPr>
        <w:t>5/31/23</w:t>
      </w:r>
    </w:p>
    <w:p w:rsidR="005A37E7" w:rsidP="005A37E7" w14:paraId="733701DD" w14:textId="77777777">
      <w:pPr>
        <w:spacing w:line="240" w:lineRule="auto"/>
        <w:jc w:val="center"/>
        <w:rPr>
          <w:b/>
        </w:rPr>
      </w:pPr>
      <w:r>
        <w:rPr>
          <w:b/>
        </w:rPr>
        <w:t>CERTIFIED FOR PUBLICATION</w:t>
      </w:r>
    </w:p>
    <w:p w:rsidR="005A37E7" w:rsidP="005A37E7" w14:paraId="233BA7DA" w14:textId="77777777">
      <w:pPr>
        <w:spacing w:line="240" w:lineRule="auto"/>
        <w:jc w:val="center"/>
      </w:pPr>
    </w:p>
    <w:p w:rsidR="008C69C3" w:rsidRPr="00F17B44" w:rsidP="005A37E7" w14:paraId="063D8365" w14:textId="204F74AC">
      <w:pPr>
        <w:spacing w:line="240" w:lineRule="auto"/>
        <w:jc w:val="center"/>
      </w:pPr>
      <w:r w:rsidRPr="00F17B44">
        <w:t>IN THE COURT OF APPEAL OF THE STATE OF CALIFORNIA</w:t>
      </w:r>
    </w:p>
    <w:p w:rsidR="00B775AC" w:rsidRPr="00F17B44" w:rsidP="00B775AC" w14:paraId="6C9D16FF" w14:textId="61883284">
      <w:pPr>
        <w:spacing w:line="240" w:lineRule="auto"/>
        <w:jc w:val="center"/>
      </w:pPr>
    </w:p>
    <w:p w:rsidR="00B775AC" w:rsidRPr="00F17B44" w:rsidP="00B775AC" w14:paraId="4106D1C9" w14:textId="62158583">
      <w:pPr>
        <w:spacing w:line="240" w:lineRule="auto"/>
        <w:jc w:val="center"/>
      </w:pPr>
      <w:r w:rsidRPr="00F17B44">
        <w:t>FIRST APPELLATE DISTRICT</w:t>
      </w:r>
    </w:p>
    <w:p w:rsidR="00B775AC" w:rsidRPr="00F17B44" w:rsidP="00B775AC" w14:paraId="6EAFDEC9" w14:textId="6C02A9F2">
      <w:pPr>
        <w:spacing w:line="240" w:lineRule="auto"/>
        <w:jc w:val="center"/>
      </w:pPr>
    </w:p>
    <w:p w:rsidR="00B775AC" w:rsidRPr="00F17B44" w:rsidP="00B775AC" w14:paraId="3D3E9C87" w14:textId="1411DDAC">
      <w:pPr>
        <w:spacing w:line="240" w:lineRule="auto"/>
        <w:jc w:val="center"/>
      </w:pPr>
      <w:r w:rsidRPr="00F17B44">
        <w:t>DIVISION ONE</w:t>
      </w:r>
    </w:p>
    <w:p w:rsidR="00B775AC" w:rsidRPr="00F17B44" w:rsidP="00B775AC" w14:paraId="0C71C104" w14:textId="03066C68">
      <w:pPr>
        <w:spacing w:line="240" w:lineRule="auto"/>
        <w:jc w:val="center"/>
      </w:pPr>
    </w:p>
    <w:p w:rsidR="00B775AC" w:rsidRPr="00F17B44" w:rsidP="00B775AC" w14:paraId="28797CDE" w14:textId="57B81522">
      <w:pPr>
        <w:spacing w:line="240" w:lineRule="auto"/>
        <w:jc w:val="center"/>
      </w:pPr>
    </w:p>
    <w:tbl>
      <w:tblPr>
        <w:tblW w:w="0" w:type="auto"/>
        <w:tblInd w:w="0" w:type="dxa"/>
        <w:tblLayout w:type="fixed"/>
        <w:tblCellMar>
          <w:top w:w="0" w:type="dxa"/>
          <w:left w:w="108" w:type="dxa"/>
          <w:bottom w:w="0" w:type="dxa"/>
          <w:right w:w="108" w:type="dxa"/>
        </w:tblCellMar>
        <w:tblLook w:val="0000"/>
      </w:tblPr>
      <w:tblGrid>
        <w:gridCol w:w="4860"/>
        <w:gridCol w:w="3060"/>
      </w:tblGrid>
      <w:tr w14:paraId="5ACE0EB5" w14:textId="77777777" w:rsidTr="0058628D">
        <w:tblPrEx>
          <w:tblW w:w="0" w:type="auto"/>
          <w:tblInd w:w="0" w:type="dxa"/>
          <w:tblLayout w:type="fixed"/>
          <w:tblCellMar>
            <w:top w:w="0" w:type="dxa"/>
            <w:left w:w="108" w:type="dxa"/>
            <w:bottom w:w="0" w:type="dxa"/>
            <w:right w:w="108" w:type="dxa"/>
          </w:tblCellMar>
          <w:tblLook w:val="0000"/>
        </w:tblPrEx>
        <w:tc>
          <w:tcPr>
            <w:tcW w:w="4860" w:type="dxa"/>
            <w:tcBorders>
              <w:bottom w:val="single" w:sz="4" w:space="0" w:color="auto"/>
              <w:right w:val="single" w:sz="4" w:space="0" w:color="auto"/>
            </w:tcBorders>
            <w:shd w:val="clear" w:color="auto" w:fill="auto"/>
          </w:tcPr>
          <w:p w:rsidR="00B775AC" w:rsidRPr="00F17B44" w:rsidP="00B775AC" w14:paraId="2E193C27" w14:textId="0FFFFA9B">
            <w:pPr>
              <w:tabs>
                <w:tab w:val="left" w:pos="720"/>
              </w:tabs>
              <w:spacing w:after="120" w:line="240" w:lineRule="auto"/>
              <w:rPr>
                <w:rFonts w:ascii="Century Schoolbook" w:hAnsi="Century Schoolbook" w:eastAsiaTheme="minorHAnsi" w:cstheme="minorBidi"/>
                <w:sz w:val="26"/>
                <w:szCs w:val="26"/>
                <w:lang w:val="en-US" w:eastAsia="en-US" w:bidi="ar-SA"/>
              </w:rPr>
            </w:pPr>
            <w:r w:rsidRPr="00F17B44">
              <w:rPr>
                <w:rFonts w:ascii="Century Schoolbook" w:hAnsi="Century Schoolbook" w:eastAsiaTheme="minorHAnsi" w:cstheme="minorBidi"/>
                <w:sz w:val="26"/>
                <w:szCs w:val="26"/>
                <w:lang w:val="en-US" w:eastAsia="en-US" w:bidi="ar-SA"/>
              </w:rPr>
              <w:t>CSHV 1999 HARRISON, LLC</w:t>
            </w:r>
            <w:r w:rsidRPr="00F17B44" w:rsidR="004D698E">
              <w:rPr>
                <w:rFonts w:ascii="Century Schoolbook" w:hAnsi="Century Schoolbook" w:eastAsiaTheme="minorHAnsi" w:cstheme="minorBidi"/>
                <w:sz w:val="26"/>
                <w:szCs w:val="26"/>
                <w:lang w:val="en-US" w:eastAsia="en-US" w:bidi="ar-SA"/>
              </w:rPr>
              <w:t>,</w:t>
            </w:r>
            <w:r w:rsidRPr="00F17B44">
              <w:rPr>
                <w:rFonts w:ascii="Century Schoolbook" w:hAnsi="Century Schoolbook" w:eastAsiaTheme="minorHAnsi" w:cstheme="minorBidi"/>
                <w:sz w:val="26"/>
                <w:szCs w:val="26"/>
                <w:lang w:val="en-US" w:eastAsia="en-US" w:bidi="ar-SA"/>
              </w:rPr>
              <w:t xml:space="preserve"> </w:t>
            </w:r>
            <w:r w:rsidRPr="00F17B44" w:rsidR="00023A24">
              <w:rPr>
                <w:rFonts w:ascii="Century Schoolbook" w:hAnsi="Century Schoolbook" w:eastAsiaTheme="minorHAnsi" w:cstheme="minorBidi"/>
                <w:sz w:val="26"/>
                <w:szCs w:val="26"/>
                <w:lang w:val="en-US" w:eastAsia="en-US" w:bidi="ar-SA"/>
              </w:rPr>
              <w:t>et al.,</w:t>
            </w:r>
          </w:p>
          <w:p w:rsidR="00B775AC" w:rsidRPr="00F17B44" w:rsidP="00B775AC" w14:paraId="08E39E03" w14:textId="77777777">
            <w:pPr>
              <w:tabs>
                <w:tab w:val="left" w:pos="720"/>
              </w:tabs>
              <w:spacing w:after="120" w:line="240" w:lineRule="auto"/>
              <w:rPr>
                <w:rFonts w:ascii="Century Schoolbook" w:hAnsi="Century Schoolbook" w:eastAsiaTheme="minorHAnsi" w:cstheme="minorBidi"/>
                <w:sz w:val="26"/>
                <w:szCs w:val="26"/>
                <w:lang w:val="en-US" w:eastAsia="en-US" w:bidi="ar-SA"/>
              </w:rPr>
            </w:pPr>
            <w:r w:rsidRPr="00F17B44">
              <w:rPr>
                <w:rFonts w:ascii="Century Schoolbook" w:hAnsi="Century Schoolbook" w:eastAsiaTheme="minorHAnsi" w:cstheme="minorBidi"/>
                <w:sz w:val="26"/>
                <w:szCs w:val="26"/>
                <w:lang w:val="en-US" w:eastAsia="en-US" w:bidi="ar-SA"/>
              </w:rPr>
              <w:tab/>
              <w:t>Plaintiffs and Appellants,</w:t>
            </w:r>
          </w:p>
          <w:p w:rsidR="00B775AC" w:rsidRPr="00F17B44" w:rsidP="00B775AC" w14:paraId="7690207B" w14:textId="77777777">
            <w:pPr>
              <w:tabs>
                <w:tab w:val="left" w:pos="720"/>
              </w:tabs>
              <w:spacing w:after="120" w:line="240" w:lineRule="auto"/>
              <w:rPr>
                <w:rFonts w:ascii="Century Schoolbook" w:hAnsi="Century Schoolbook" w:eastAsiaTheme="minorHAnsi" w:cstheme="minorBidi"/>
                <w:sz w:val="26"/>
                <w:szCs w:val="26"/>
                <w:lang w:val="en-US" w:eastAsia="en-US" w:bidi="ar-SA"/>
              </w:rPr>
            </w:pPr>
            <w:r w:rsidRPr="00F17B44">
              <w:rPr>
                <w:rFonts w:ascii="Century Schoolbook" w:hAnsi="Century Schoolbook" w:eastAsiaTheme="minorHAnsi" w:cstheme="minorBidi"/>
                <w:sz w:val="26"/>
                <w:szCs w:val="26"/>
                <w:lang w:val="en-US" w:eastAsia="en-US" w:bidi="ar-SA"/>
              </w:rPr>
              <w:t>v.</w:t>
            </w:r>
          </w:p>
          <w:p w:rsidR="00B775AC" w:rsidRPr="00F17B44" w:rsidP="00B775AC" w14:paraId="4F192ABE" w14:textId="11494631">
            <w:pPr>
              <w:tabs>
                <w:tab w:val="left" w:pos="720"/>
              </w:tabs>
              <w:spacing w:after="120" w:line="240" w:lineRule="auto"/>
              <w:rPr>
                <w:rFonts w:ascii="Century Schoolbook" w:hAnsi="Century Schoolbook" w:eastAsiaTheme="minorHAnsi" w:cstheme="minorBidi"/>
                <w:sz w:val="26"/>
                <w:szCs w:val="26"/>
                <w:lang w:val="en-US" w:eastAsia="en-US" w:bidi="ar-SA"/>
              </w:rPr>
            </w:pPr>
            <w:r w:rsidRPr="00F17B44">
              <w:rPr>
                <w:rFonts w:ascii="Century Schoolbook" w:hAnsi="Century Schoolbook" w:eastAsiaTheme="minorHAnsi" w:cstheme="minorBidi"/>
                <w:sz w:val="26"/>
                <w:szCs w:val="26"/>
                <w:lang w:val="en-US" w:eastAsia="en-US" w:bidi="ar-SA"/>
              </w:rPr>
              <w:t>COUNTY OF ALAM</w:t>
            </w:r>
            <w:r w:rsidRPr="00F17B44" w:rsidR="004D698E">
              <w:rPr>
                <w:rFonts w:ascii="Century Schoolbook" w:hAnsi="Century Schoolbook" w:eastAsiaTheme="minorHAnsi" w:cstheme="minorBidi"/>
                <w:sz w:val="26"/>
                <w:szCs w:val="26"/>
                <w:lang w:val="en-US" w:eastAsia="en-US" w:bidi="ar-SA"/>
              </w:rPr>
              <w:t>EDA</w:t>
            </w:r>
            <w:r w:rsidRPr="00F17B44" w:rsidR="00023A24">
              <w:rPr>
                <w:rFonts w:ascii="Century Schoolbook" w:hAnsi="Century Schoolbook" w:eastAsiaTheme="minorHAnsi" w:cstheme="minorBidi"/>
                <w:sz w:val="26"/>
                <w:szCs w:val="26"/>
                <w:lang w:val="en-US" w:eastAsia="en-US" w:bidi="ar-SA"/>
              </w:rPr>
              <w:t xml:space="preserve"> et al.</w:t>
            </w:r>
            <w:r w:rsidRPr="00F17B44">
              <w:rPr>
                <w:rFonts w:ascii="Century Schoolbook" w:hAnsi="Century Schoolbook" w:eastAsiaTheme="minorHAnsi" w:cstheme="minorBidi"/>
                <w:sz w:val="26"/>
                <w:szCs w:val="26"/>
                <w:lang w:val="en-US" w:eastAsia="en-US" w:bidi="ar-SA"/>
              </w:rPr>
              <w:t>,</w:t>
            </w:r>
          </w:p>
          <w:p w:rsidR="00B775AC" w:rsidRPr="00F17B44" w:rsidP="00B775AC" w14:paraId="305BB3D6" w14:textId="1389A773">
            <w:pPr>
              <w:tabs>
                <w:tab w:val="left" w:pos="720"/>
              </w:tabs>
              <w:spacing w:after="120" w:line="240" w:lineRule="auto"/>
              <w:rPr>
                <w:rFonts w:ascii="Century Schoolbook" w:hAnsi="Century Schoolbook" w:eastAsiaTheme="minorHAnsi" w:cstheme="minorBidi"/>
                <w:sz w:val="26"/>
                <w:szCs w:val="26"/>
                <w:lang w:val="en-US" w:eastAsia="en-US" w:bidi="ar-SA"/>
              </w:rPr>
            </w:pPr>
            <w:r w:rsidRPr="00F17B44">
              <w:rPr>
                <w:rFonts w:ascii="Century Schoolbook" w:hAnsi="Century Schoolbook" w:eastAsiaTheme="minorHAnsi" w:cstheme="minorBidi"/>
                <w:sz w:val="26"/>
                <w:szCs w:val="26"/>
                <w:lang w:val="en-US" w:eastAsia="en-US" w:bidi="ar-SA"/>
              </w:rPr>
              <w:tab/>
              <w:t>Defendants and Respondents.</w:t>
            </w:r>
          </w:p>
        </w:tc>
        <w:tc>
          <w:tcPr>
            <w:tcW w:w="3060" w:type="dxa"/>
            <w:tcBorders>
              <w:left w:val="single" w:sz="4" w:space="0" w:color="auto"/>
            </w:tcBorders>
            <w:shd w:val="clear" w:color="auto" w:fill="auto"/>
          </w:tcPr>
          <w:p w:rsidR="00B775AC" w:rsidRPr="00F17B44" w:rsidP="00B775AC" w14:paraId="75DB2C46" w14:textId="77777777">
            <w:pPr>
              <w:tabs>
                <w:tab w:val="left" w:pos="720"/>
              </w:tabs>
              <w:spacing w:line="240" w:lineRule="auto"/>
              <w:rPr>
                <w:rFonts w:ascii="Century Schoolbook" w:hAnsi="Century Schoolbook" w:eastAsiaTheme="minorHAnsi" w:cstheme="minorBidi"/>
                <w:sz w:val="26"/>
                <w:szCs w:val="26"/>
                <w:lang w:val="en-US" w:eastAsia="en-US" w:bidi="ar-SA"/>
              </w:rPr>
            </w:pPr>
          </w:p>
          <w:p w:rsidR="00B775AC" w:rsidRPr="00F17B44" w:rsidP="00B775AC" w14:paraId="1C7C65A3" w14:textId="77777777">
            <w:pPr>
              <w:tabs>
                <w:tab w:val="left" w:pos="720"/>
              </w:tabs>
              <w:spacing w:line="240" w:lineRule="auto"/>
              <w:rPr>
                <w:rFonts w:ascii="Century Schoolbook" w:hAnsi="Century Schoolbook" w:eastAsiaTheme="minorHAnsi" w:cstheme="minorBidi"/>
                <w:sz w:val="26"/>
                <w:szCs w:val="26"/>
                <w:lang w:val="en-US" w:eastAsia="en-US" w:bidi="ar-SA"/>
              </w:rPr>
            </w:pPr>
          </w:p>
          <w:p w:rsidR="00B775AC" w:rsidRPr="00F17B44" w:rsidP="00B775AC" w14:paraId="621F8581" w14:textId="77777777">
            <w:pPr>
              <w:tabs>
                <w:tab w:val="left" w:pos="720"/>
              </w:tabs>
              <w:spacing w:line="240" w:lineRule="auto"/>
              <w:rPr>
                <w:rFonts w:ascii="Century Schoolbook" w:hAnsi="Century Schoolbook" w:eastAsiaTheme="minorHAnsi" w:cstheme="minorBidi"/>
                <w:sz w:val="26"/>
                <w:szCs w:val="26"/>
                <w:lang w:val="en-US" w:eastAsia="en-US" w:bidi="ar-SA"/>
              </w:rPr>
            </w:pPr>
            <w:r w:rsidRPr="00F17B44">
              <w:rPr>
                <w:rFonts w:ascii="Century Schoolbook" w:hAnsi="Century Schoolbook" w:eastAsiaTheme="minorHAnsi" w:cstheme="minorBidi"/>
                <w:sz w:val="26"/>
                <w:szCs w:val="26"/>
                <w:lang w:val="en-US" w:eastAsia="en-US" w:bidi="ar-SA"/>
              </w:rPr>
              <w:t xml:space="preserve">      A163369</w:t>
            </w:r>
          </w:p>
          <w:p w:rsidR="00B775AC" w:rsidRPr="00F17B44" w:rsidP="00B775AC" w14:paraId="4909FDA3" w14:textId="77777777">
            <w:pPr>
              <w:tabs>
                <w:tab w:val="left" w:pos="720"/>
              </w:tabs>
              <w:spacing w:line="240" w:lineRule="auto"/>
              <w:rPr>
                <w:rFonts w:ascii="Century Schoolbook" w:hAnsi="Century Schoolbook" w:eastAsiaTheme="minorHAnsi" w:cstheme="minorBidi"/>
                <w:sz w:val="26"/>
                <w:szCs w:val="26"/>
                <w:lang w:val="en-US" w:eastAsia="en-US" w:bidi="ar-SA"/>
              </w:rPr>
            </w:pPr>
          </w:p>
          <w:p w:rsidR="00B775AC" w:rsidRPr="00F17B44" w:rsidP="00B775AC" w14:paraId="63D03E67" w14:textId="77777777">
            <w:pPr>
              <w:tabs>
                <w:tab w:val="left" w:pos="720"/>
              </w:tabs>
              <w:spacing w:line="240" w:lineRule="auto"/>
              <w:rPr>
                <w:rFonts w:ascii="Century Schoolbook" w:hAnsi="Century Schoolbook" w:eastAsiaTheme="minorHAnsi" w:cstheme="minorBidi"/>
                <w:sz w:val="26"/>
                <w:szCs w:val="26"/>
                <w:lang w:val="en-US" w:eastAsia="en-US" w:bidi="ar-SA"/>
              </w:rPr>
            </w:pPr>
            <w:r w:rsidRPr="00F17B44">
              <w:rPr>
                <w:rFonts w:ascii="Century Schoolbook" w:hAnsi="Century Schoolbook" w:eastAsiaTheme="minorHAnsi" w:cstheme="minorBidi"/>
                <w:sz w:val="26"/>
                <w:szCs w:val="26"/>
                <w:lang w:val="en-US" w:eastAsia="en-US" w:bidi="ar-SA"/>
              </w:rPr>
              <w:t xml:space="preserve">      (Alameda County</w:t>
            </w:r>
          </w:p>
          <w:p w:rsidR="00B775AC" w:rsidRPr="00F17B44" w:rsidP="00B775AC" w14:paraId="2E7BA934" w14:textId="77777777">
            <w:pPr>
              <w:tabs>
                <w:tab w:val="left" w:pos="720"/>
              </w:tabs>
              <w:spacing w:line="240" w:lineRule="auto"/>
              <w:rPr>
                <w:rFonts w:ascii="Century Schoolbook" w:hAnsi="Century Schoolbook" w:eastAsiaTheme="minorHAnsi" w:cstheme="minorBidi"/>
                <w:sz w:val="26"/>
                <w:szCs w:val="26"/>
                <w:lang w:val="en-US" w:eastAsia="en-US" w:bidi="ar-SA"/>
              </w:rPr>
            </w:pPr>
            <w:r w:rsidRPr="00F17B44">
              <w:rPr>
                <w:rFonts w:ascii="Century Schoolbook" w:hAnsi="Century Schoolbook" w:eastAsiaTheme="minorHAnsi" w:cstheme="minorBidi"/>
                <w:sz w:val="26"/>
                <w:szCs w:val="26"/>
                <w:lang w:val="en-US" w:eastAsia="en-US" w:bidi="ar-SA"/>
              </w:rPr>
              <w:t xml:space="preserve">      Super. Ct. No. RG20060588)</w:t>
            </w:r>
          </w:p>
          <w:p w:rsidR="00B775AC" w:rsidRPr="00F17B44" w:rsidP="00B775AC" w14:paraId="490EE0AC" w14:textId="07FDCBAF">
            <w:pPr>
              <w:tabs>
                <w:tab w:val="left" w:pos="720"/>
              </w:tabs>
              <w:spacing w:line="240" w:lineRule="auto"/>
              <w:rPr>
                <w:rFonts w:ascii="Century Schoolbook" w:hAnsi="Century Schoolbook" w:eastAsiaTheme="minorHAnsi" w:cstheme="minorBidi"/>
                <w:sz w:val="26"/>
                <w:szCs w:val="26"/>
                <w:lang w:val="en-US" w:eastAsia="en-US" w:bidi="ar-SA"/>
              </w:rPr>
            </w:pPr>
          </w:p>
        </w:tc>
      </w:tr>
    </w:tbl>
    <w:p w:rsidR="00B775AC" w:rsidRPr="00F17B44" w:rsidP="00B775AC" w14:paraId="4C0FAAF1" w14:textId="5917054F">
      <w:pPr>
        <w:spacing w:line="360" w:lineRule="auto"/>
      </w:pPr>
    </w:p>
    <w:p w:rsidR="00B775AC" w:rsidRPr="00F17B44" w:rsidP="00B775AC" w14:paraId="6333843C" w14:textId="5CE40AEE">
      <w:pPr>
        <w:spacing w:line="360" w:lineRule="auto"/>
      </w:pPr>
      <w:r w:rsidRPr="00F17B44">
        <w:tab/>
      </w:r>
      <w:r w:rsidRPr="00F17B44" w:rsidR="00BD5473">
        <w:t>CalSTRS, the California</w:t>
      </w:r>
      <w:r w:rsidRPr="00F17B44" w:rsidR="007D1A4A">
        <w:t xml:space="preserve"> State Teachers’ Retirement System, </w:t>
      </w:r>
      <w:r w:rsidRPr="00F17B44" w:rsidR="003956BE">
        <w:t>created</w:t>
      </w:r>
      <w:r w:rsidRPr="00F17B44" w:rsidR="007D1A4A">
        <w:t xml:space="preserve"> two </w:t>
      </w:r>
      <w:r w:rsidRPr="00F17B44" w:rsidR="002D59CF">
        <w:t>limited liability companies (</w:t>
      </w:r>
      <w:r w:rsidRPr="00F17B44" w:rsidR="007D1A4A">
        <w:t>LLCs</w:t>
      </w:r>
      <w:r w:rsidRPr="00F17B44" w:rsidR="002D59CF">
        <w:t>)</w:t>
      </w:r>
      <w:r w:rsidRPr="00F17B44" w:rsidR="007D1A4A">
        <w:t>, a</w:t>
      </w:r>
      <w:r w:rsidRPr="00F17B44" w:rsidR="006C76A1">
        <w:t>ppellants CSHV 1999 Harrison, LLC and CSHV 1956 Webster, LLC</w:t>
      </w:r>
      <w:r w:rsidRPr="00F17B44" w:rsidR="002D59CF">
        <w:t xml:space="preserve">, </w:t>
      </w:r>
      <w:r w:rsidRPr="00F17B44" w:rsidR="007D1A4A">
        <w:t>for the purpose of</w:t>
      </w:r>
      <w:r w:rsidRPr="00F17B44" w:rsidR="001C090E">
        <w:t xml:space="preserve"> purchasing</w:t>
      </w:r>
      <w:r w:rsidRPr="00F17B44" w:rsidR="004A396A">
        <w:t xml:space="preserve"> </w:t>
      </w:r>
      <w:r w:rsidRPr="00F17B44" w:rsidR="001C090E">
        <w:t xml:space="preserve">and holding title to </w:t>
      </w:r>
      <w:r w:rsidRPr="00F17B44" w:rsidR="004B56FD">
        <w:t xml:space="preserve">two </w:t>
      </w:r>
      <w:r w:rsidRPr="00F17B44" w:rsidR="004A396A">
        <w:t xml:space="preserve">investment </w:t>
      </w:r>
      <w:r w:rsidRPr="00F17B44" w:rsidR="004B56FD">
        <w:t>properties in Oakland</w:t>
      </w:r>
      <w:r w:rsidRPr="00F17B44" w:rsidR="007D1A4A">
        <w:t>.</w:t>
      </w:r>
      <w:r w:rsidRPr="00F17B44" w:rsidR="00174567">
        <w:t xml:space="preserve"> </w:t>
      </w:r>
      <w:r w:rsidRPr="00F17B44" w:rsidR="0058628D">
        <w:t xml:space="preserve"> </w:t>
      </w:r>
      <w:r w:rsidRPr="00F17B44" w:rsidR="000A014D">
        <w:t xml:space="preserve">Respondents City of Oakland </w:t>
      </w:r>
      <w:r w:rsidRPr="00F17B44" w:rsidR="005B42B6">
        <w:t>(</w:t>
      </w:r>
      <w:r w:rsidRPr="00F17B44" w:rsidR="00442439">
        <w:t>C</w:t>
      </w:r>
      <w:r w:rsidRPr="00F17B44" w:rsidR="00733CF5">
        <w:t>ity</w:t>
      </w:r>
      <w:r w:rsidRPr="00F17B44" w:rsidR="005B42B6">
        <w:t xml:space="preserve">) </w:t>
      </w:r>
      <w:r w:rsidRPr="00F17B44" w:rsidR="002D59CF">
        <w:t xml:space="preserve">and County of Alameda (County) </w:t>
      </w:r>
      <w:r w:rsidRPr="00F17B44" w:rsidR="000A014D">
        <w:t xml:space="preserve">imposed </w:t>
      </w:r>
      <w:r w:rsidRPr="00F17B44" w:rsidR="001C090E">
        <w:t xml:space="preserve">documentary </w:t>
      </w:r>
      <w:r w:rsidRPr="00F17B44" w:rsidR="000A014D">
        <w:t>transfer tax</w:t>
      </w:r>
      <w:r w:rsidRPr="00F17B44" w:rsidR="00733CF5">
        <w:t>es</w:t>
      </w:r>
      <w:r w:rsidRPr="00F17B44" w:rsidR="000A014D">
        <w:t xml:space="preserve"> totaling </w:t>
      </w:r>
      <w:r w:rsidRPr="00F17B44" w:rsidR="00743C2A">
        <w:t xml:space="preserve">over </w:t>
      </w:r>
      <w:r w:rsidRPr="00F17B44" w:rsidR="00623D2D">
        <w:t>$3.5 million</w:t>
      </w:r>
      <w:r w:rsidRPr="00F17B44" w:rsidR="005F389A">
        <w:t>, which the LLCs paid</w:t>
      </w:r>
      <w:r w:rsidRPr="00F17B44" w:rsidR="00623D2D">
        <w:t>.</w:t>
      </w:r>
      <w:r w:rsidRPr="00F17B44" w:rsidR="0058628D">
        <w:t xml:space="preserve"> </w:t>
      </w:r>
      <w:r w:rsidRPr="00F17B44" w:rsidR="005B42B6">
        <w:t xml:space="preserve"> </w:t>
      </w:r>
      <w:r w:rsidRPr="00F17B44" w:rsidR="00B924FC">
        <w:t>The</w:t>
      </w:r>
      <w:r w:rsidRPr="00F17B44" w:rsidR="00987BF7">
        <w:t xml:space="preserve"> LLCs </w:t>
      </w:r>
      <w:r w:rsidRPr="00F17B44" w:rsidR="00E96D83">
        <w:t xml:space="preserve">subsequently </w:t>
      </w:r>
      <w:r w:rsidRPr="00F17B44" w:rsidR="00F54AC2">
        <w:t>filed a petition for writ of mandate seeking refunds, asserting t</w:t>
      </w:r>
      <w:r w:rsidRPr="00F17B44" w:rsidR="009E3A52">
        <w:t>he</w:t>
      </w:r>
      <w:r w:rsidRPr="00F17B44" w:rsidR="00AC0B7A">
        <w:t>y</w:t>
      </w:r>
      <w:r w:rsidRPr="00F17B44" w:rsidR="001C090E">
        <w:t>, like their sole member CalSTRS,</w:t>
      </w:r>
      <w:r w:rsidRPr="00F17B44" w:rsidR="00962043">
        <w:t xml:space="preserve"> </w:t>
      </w:r>
      <w:r w:rsidRPr="00F17B44" w:rsidR="00E96D83">
        <w:t>are</w:t>
      </w:r>
      <w:r w:rsidRPr="00F17B44" w:rsidR="00F54AC2">
        <w:t xml:space="preserve"> </w:t>
      </w:r>
      <w:r w:rsidRPr="00F17B44" w:rsidR="00E96D83">
        <w:t>“</w:t>
      </w:r>
      <w:r w:rsidRPr="00F17B44" w:rsidR="0079449F">
        <w:t>political subdivisions</w:t>
      </w:r>
      <w:r w:rsidRPr="00F17B44" w:rsidR="00E96D83">
        <w:t>”</w:t>
      </w:r>
      <w:r w:rsidRPr="00F17B44" w:rsidR="0079449F">
        <w:t xml:space="preserve"> of the </w:t>
      </w:r>
      <w:r w:rsidRPr="00F17B44" w:rsidR="004A396A">
        <w:t>S</w:t>
      </w:r>
      <w:r w:rsidRPr="00F17B44" w:rsidR="0079449F">
        <w:t>tate of California</w:t>
      </w:r>
      <w:r w:rsidRPr="00F17B44" w:rsidR="003B25C2">
        <w:t xml:space="preserve"> and therefore exempt from paying the tax</w:t>
      </w:r>
      <w:r w:rsidRPr="00F17B44" w:rsidR="00F54AC2">
        <w:t>.</w:t>
      </w:r>
      <w:r w:rsidRPr="00F17B44" w:rsidR="00E060E8">
        <w:t xml:space="preserve"> </w:t>
      </w:r>
      <w:r w:rsidRPr="00F17B44" w:rsidR="0058628D">
        <w:t xml:space="preserve"> </w:t>
      </w:r>
      <w:r w:rsidRPr="00F17B44" w:rsidR="00C23267">
        <w:t xml:space="preserve">The trial court </w:t>
      </w:r>
      <w:r w:rsidRPr="00F17B44" w:rsidR="002D59CF">
        <w:t xml:space="preserve">disagreed and </w:t>
      </w:r>
      <w:r w:rsidRPr="00F17B44" w:rsidR="00987BF7">
        <w:t xml:space="preserve">denied their petition.  </w:t>
      </w:r>
      <w:r w:rsidRPr="00F17B44" w:rsidR="00E96D83">
        <w:t>We affirm</w:t>
      </w:r>
      <w:r w:rsidRPr="00F17B44" w:rsidR="00987BF7">
        <w:t>.</w:t>
      </w:r>
      <w:r w:rsidRPr="00F17B44" w:rsidR="000B6C18">
        <w:t xml:space="preserve">  </w:t>
      </w:r>
    </w:p>
    <w:p w:rsidR="00E060E8" w:rsidRPr="00F17B44" w:rsidP="00E060E8" w14:paraId="704767D2" w14:textId="124AAB95">
      <w:pPr>
        <w:spacing w:line="360" w:lineRule="auto"/>
        <w:jc w:val="center"/>
        <w:rPr>
          <w:b/>
          <w:bCs/>
        </w:rPr>
      </w:pPr>
      <w:r w:rsidRPr="00F17B44">
        <w:rPr>
          <w:b/>
          <w:bCs/>
        </w:rPr>
        <w:t>BACKGROUND</w:t>
      </w:r>
    </w:p>
    <w:p w:rsidR="00E060E8" w:rsidRPr="00F17B44" w:rsidP="0008595E" w14:paraId="55A530B8" w14:textId="5BF620B3">
      <w:pPr>
        <w:rPr>
          <w:rFonts w:eastAsia="Times New Roman" w:cs="Arial"/>
          <w:color w:val="000000"/>
        </w:rPr>
      </w:pPr>
      <w:r w:rsidRPr="00F17B44">
        <w:rPr>
          <w:b/>
          <w:bCs/>
        </w:rPr>
        <w:tab/>
      </w:r>
      <w:r w:rsidRPr="00F17B44" w:rsidR="001D69CC">
        <w:t>CalSTRS</w:t>
      </w:r>
      <w:r w:rsidRPr="00F17B44" w:rsidR="00181F50">
        <w:t xml:space="preserve"> </w:t>
      </w:r>
      <w:r w:rsidRPr="00F17B44" w:rsidR="00E84B90">
        <w:t xml:space="preserve">is </w:t>
      </w:r>
      <w:r w:rsidRPr="00F17B44" w:rsidR="00312ADE">
        <w:t>a “unit of the Government Operations Agency”</w:t>
      </w:r>
      <w:r w:rsidRPr="00F17B44" w:rsidR="003730A4">
        <w:t xml:space="preserve"> authorized to “invest the as</w:t>
      </w:r>
      <w:r w:rsidRPr="00F17B44" w:rsidR="007F008A">
        <w:t>s</w:t>
      </w:r>
      <w:r w:rsidRPr="00F17B44" w:rsidR="003730A4">
        <w:t>e</w:t>
      </w:r>
      <w:r w:rsidRPr="00F17B44" w:rsidR="007F008A">
        <w:t>t</w:t>
      </w:r>
      <w:r w:rsidRPr="00F17B44" w:rsidR="003730A4">
        <w:t>s of the [Teachers’ Retir</w:t>
      </w:r>
      <w:r w:rsidRPr="00F17B44" w:rsidR="007F008A">
        <w:t>e</w:t>
      </w:r>
      <w:r w:rsidRPr="00F17B44" w:rsidR="003730A4">
        <w:t xml:space="preserve">ment Fund] through the purchase, holding, or sale thereof of any investment, financial instrument, or </w:t>
      </w:r>
      <w:r w:rsidRPr="00F17B44" w:rsidR="003730A4">
        <w:t xml:space="preserve">financial </w:t>
      </w:r>
      <w:r w:rsidRPr="00F17B44" w:rsidR="007F008A">
        <w:t>transaction.”</w:t>
      </w:r>
      <w:r w:rsidRPr="00F17B44" w:rsidR="0058628D">
        <w:t xml:space="preserve"> </w:t>
      </w:r>
      <w:r w:rsidRPr="00F17B44" w:rsidR="007F008A">
        <w:t xml:space="preserve"> (Ed. Code, </w:t>
      </w:r>
      <w:r w:rsidRPr="00F17B44" w:rsidR="0008595E">
        <w:t>§</w:t>
      </w:r>
      <w:r w:rsidRPr="00F17B44" w:rsidR="00BD524D">
        <w:t>§</w:t>
      </w:r>
      <w:r w:rsidRPr="00F17B44" w:rsidR="0008595E">
        <w:rPr>
          <w:rFonts w:eastAsia="Times New Roman" w:cs="Arial"/>
          <w:color w:val="000000"/>
        </w:rPr>
        <w:t xml:space="preserve"> </w:t>
      </w:r>
      <w:r w:rsidRPr="00F17B44" w:rsidR="007E1980">
        <w:rPr>
          <w:rFonts w:eastAsia="Times New Roman" w:cs="Arial"/>
          <w:color w:val="000000"/>
        </w:rPr>
        <w:t>22001</w:t>
      </w:r>
      <w:r w:rsidRPr="00F17B44" w:rsidR="00BD524D">
        <w:rPr>
          <w:rFonts w:eastAsia="Times New Roman" w:cs="Arial"/>
          <w:color w:val="000000"/>
        </w:rPr>
        <w:t xml:space="preserve">, </w:t>
      </w:r>
      <w:r w:rsidRPr="00F17B44" w:rsidR="007E1980">
        <w:rPr>
          <w:rFonts w:eastAsia="Times New Roman" w:cs="Arial"/>
          <w:color w:val="000000"/>
        </w:rPr>
        <w:t>22203</w:t>
      </w:r>
      <w:r w:rsidRPr="00F17B44" w:rsidR="00BD524D">
        <w:rPr>
          <w:rFonts w:eastAsia="Times New Roman" w:cs="Arial"/>
          <w:color w:val="000000"/>
        </w:rPr>
        <w:t>.)</w:t>
      </w:r>
      <w:r w:rsidRPr="00F17B44" w:rsidR="00C813AA">
        <w:rPr>
          <w:rFonts w:eastAsia="Times New Roman" w:cs="Arial"/>
          <w:color w:val="000000"/>
        </w:rPr>
        <w:t xml:space="preserve">  The Legislature has expressly declared the importance of CalSTRS’s </w:t>
      </w:r>
      <w:r w:rsidRPr="00F17B44" w:rsidR="001F4F68">
        <w:rPr>
          <w:rFonts w:eastAsia="Times New Roman" w:cs="Arial"/>
          <w:color w:val="000000"/>
        </w:rPr>
        <w:t xml:space="preserve">effective </w:t>
      </w:r>
      <w:r w:rsidRPr="00F17B44" w:rsidR="00006A5D">
        <w:rPr>
          <w:rFonts w:eastAsia="Times New Roman" w:cs="Arial"/>
          <w:color w:val="000000"/>
        </w:rPr>
        <w:t>ad</w:t>
      </w:r>
      <w:r w:rsidRPr="00F17B44" w:rsidR="00C813AA">
        <w:rPr>
          <w:rFonts w:eastAsia="Times New Roman" w:cs="Arial"/>
          <w:color w:val="000000"/>
        </w:rPr>
        <w:t>ministration of retirement funds, stating it “finds and declares that changing economic conditions and increasing complexity in the investment market make it necessary and desirable that the system obtain the best possible investment expertise.”  (</w:t>
      </w:r>
      <w:r w:rsidRPr="00F17B44" w:rsidR="00C813AA">
        <w:rPr>
          <w:rFonts w:eastAsia="Times New Roman" w:cs="Arial"/>
          <w:i/>
          <w:iCs/>
          <w:color w:val="000000"/>
        </w:rPr>
        <w:t xml:space="preserve">Id. </w:t>
      </w:r>
      <w:r w:rsidRPr="00F17B44" w:rsidR="00C813AA">
        <w:t xml:space="preserve">§ 22350; see </w:t>
      </w:r>
      <w:r w:rsidRPr="00F17B44" w:rsidR="00B3704F">
        <w:rPr>
          <w:i/>
          <w:iCs/>
        </w:rPr>
        <w:t>i</w:t>
      </w:r>
      <w:r w:rsidRPr="00F17B44" w:rsidR="00C813AA">
        <w:rPr>
          <w:i/>
          <w:iCs/>
        </w:rPr>
        <w:t xml:space="preserve">d. </w:t>
      </w:r>
      <w:r w:rsidRPr="00F17B44" w:rsidR="00C813AA">
        <w:t>§ 22362</w:t>
      </w:r>
      <w:r w:rsidRPr="00F17B44" w:rsidR="00B3704F">
        <w:t>, subd. (d)</w:t>
      </w:r>
      <w:r w:rsidRPr="00F17B44" w:rsidR="00C813AA">
        <w:t xml:space="preserve"> </w:t>
      </w:r>
      <w:r w:rsidRPr="00F17B44" w:rsidR="00B3704F">
        <w:t>[</w:t>
      </w:r>
      <w:r w:rsidRPr="00F17B44" w:rsidR="001C090E">
        <w:t>requiring CalSTRS to make</w:t>
      </w:r>
      <w:r w:rsidRPr="00F17B44" w:rsidR="00C813AA">
        <w:t xml:space="preserve"> certain </w:t>
      </w:r>
      <w:r w:rsidRPr="00F17B44" w:rsidR="001C090E">
        <w:t xml:space="preserve">kinds of </w:t>
      </w:r>
      <w:r w:rsidRPr="00F17B44" w:rsidR="00C813AA">
        <w:t>investments unless that “will result in lower overall earnings</w:t>
      </w:r>
      <w:r w:rsidRPr="00F17B44" w:rsidR="00523C46">
        <w:t xml:space="preserve"> for the retirement fund than obtainable from alternative investment opportunities”].)</w:t>
      </w:r>
      <w:r w:rsidRPr="00F17B44" w:rsidR="00C813AA">
        <w:rPr>
          <w:rFonts w:eastAsia="Times New Roman" w:cs="Arial"/>
          <w:color w:val="000000"/>
        </w:rPr>
        <w:t xml:space="preserve"> </w:t>
      </w:r>
    </w:p>
    <w:p w:rsidR="004F264F" w:rsidRPr="00F17B44" w:rsidP="004F264F" w14:paraId="0E331D96" w14:textId="02BB9E59">
      <w:pPr>
        <w:rPr>
          <w:rFonts w:eastAsia="Times New Roman" w:cs="Arial"/>
          <w:color w:val="000000"/>
        </w:rPr>
      </w:pPr>
      <w:r w:rsidRPr="00F17B44">
        <w:rPr>
          <w:rFonts w:eastAsia="Times New Roman" w:cs="Arial"/>
          <w:color w:val="000000"/>
        </w:rPr>
        <w:tab/>
        <w:t xml:space="preserve">In </w:t>
      </w:r>
      <w:r w:rsidRPr="00F17B44" w:rsidR="00BB16A9">
        <w:rPr>
          <w:rFonts w:eastAsia="Times New Roman" w:cs="Arial"/>
          <w:color w:val="000000"/>
        </w:rPr>
        <w:t>2016</w:t>
      </w:r>
      <w:r w:rsidRPr="00F17B44">
        <w:rPr>
          <w:rFonts w:eastAsia="Times New Roman" w:cs="Arial"/>
          <w:color w:val="000000"/>
        </w:rPr>
        <w:t xml:space="preserve">, </w:t>
      </w:r>
      <w:r w:rsidRPr="00F17B44" w:rsidR="00E96D83">
        <w:t>CalSTRS</w:t>
      </w:r>
      <w:r w:rsidRPr="00F17B44" w:rsidR="00E96D83">
        <w:rPr>
          <w:rFonts w:eastAsia="Times New Roman" w:cs="Arial"/>
          <w:color w:val="000000"/>
        </w:rPr>
        <w:t xml:space="preserve"> </w:t>
      </w:r>
      <w:r w:rsidRPr="00F17B44">
        <w:rPr>
          <w:rFonts w:eastAsia="Times New Roman" w:cs="Arial"/>
          <w:color w:val="000000"/>
        </w:rPr>
        <w:t xml:space="preserve">formed two </w:t>
      </w:r>
      <w:r w:rsidRPr="00F17B44" w:rsidR="00C63E4B">
        <w:rPr>
          <w:rFonts w:eastAsia="Times New Roman" w:cs="Arial"/>
          <w:color w:val="000000"/>
        </w:rPr>
        <w:t>LLCs</w:t>
      </w:r>
      <w:r w:rsidRPr="00F17B44" w:rsidR="007A05BC">
        <w:rPr>
          <w:rFonts w:eastAsia="Times New Roman" w:cs="Arial"/>
          <w:color w:val="000000"/>
        </w:rPr>
        <w:t xml:space="preserve"> incorporated in Delaware</w:t>
      </w:r>
      <w:r w:rsidRPr="00F17B44">
        <w:rPr>
          <w:rFonts w:eastAsia="Times New Roman" w:cs="Arial"/>
          <w:color w:val="000000"/>
        </w:rPr>
        <w:t xml:space="preserve"> </w:t>
      </w:r>
      <w:r w:rsidRPr="00F17B44" w:rsidR="00BB16A9">
        <w:rPr>
          <w:rFonts w:eastAsia="Times New Roman" w:cs="Arial"/>
          <w:color w:val="000000"/>
        </w:rPr>
        <w:t xml:space="preserve">for the purpose of acquiring </w:t>
      </w:r>
      <w:r w:rsidRPr="00F17B44" w:rsidR="00CB23A3">
        <w:rPr>
          <w:rFonts w:eastAsia="Times New Roman" w:cs="Arial"/>
          <w:color w:val="000000"/>
        </w:rPr>
        <w:t xml:space="preserve">two properties in Oakland. </w:t>
      </w:r>
      <w:r w:rsidRPr="00F17B44" w:rsidR="00104837">
        <w:rPr>
          <w:rFonts w:eastAsia="Times New Roman" w:cs="Arial"/>
          <w:color w:val="000000"/>
        </w:rPr>
        <w:t xml:space="preserve"> </w:t>
      </w:r>
      <w:r w:rsidRPr="00F17B44" w:rsidR="00320A0E">
        <w:rPr>
          <w:rFonts w:eastAsia="Times New Roman" w:cs="Arial"/>
          <w:color w:val="000000"/>
        </w:rPr>
        <w:t>Both LLC agreements state “</w:t>
      </w:r>
      <w:r w:rsidRPr="00F17B44" w:rsidR="00572FEA">
        <w:rPr>
          <w:rFonts w:eastAsia="Times New Roman" w:cs="Arial"/>
          <w:color w:val="000000"/>
        </w:rPr>
        <w:t xml:space="preserve">The purpose of the Company is to implement the essential governmental </w:t>
      </w:r>
      <w:r w:rsidRPr="00F17B44" w:rsidR="00606759">
        <w:rPr>
          <w:rFonts w:eastAsia="Times New Roman" w:cs="Arial"/>
          <w:color w:val="000000"/>
        </w:rPr>
        <w:t xml:space="preserve">function </w:t>
      </w:r>
      <w:r w:rsidRPr="00F17B44" w:rsidR="00572FEA">
        <w:rPr>
          <w:rFonts w:eastAsia="Times New Roman" w:cs="Arial"/>
          <w:color w:val="000000"/>
        </w:rPr>
        <w:t>of the Member</w:t>
      </w:r>
      <w:r w:rsidRPr="00F17B44" w:rsidR="007E3770">
        <w:rPr>
          <w:rFonts w:eastAsia="Times New Roman" w:cs="Arial"/>
          <w:color w:val="000000"/>
        </w:rPr>
        <w:t xml:space="preserve"> ([CalSTRS])</w:t>
      </w:r>
      <w:r w:rsidRPr="00F17B44" w:rsidR="00606759">
        <w:rPr>
          <w:rFonts w:eastAsia="Times New Roman" w:cs="Arial"/>
          <w:color w:val="000000"/>
        </w:rPr>
        <w:t xml:space="preserve"> by entering into that certain </w:t>
      </w:r>
      <w:r w:rsidRPr="00F17B44" w:rsidR="00D20E2F">
        <w:rPr>
          <w:rFonts w:eastAsia="Times New Roman" w:cs="Arial"/>
          <w:color w:val="000000"/>
        </w:rPr>
        <w:t>C</w:t>
      </w:r>
      <w:r w:rsidRPr="00F17B44" w:rsidR="00606759">
        <w:rPr>
          <w:rFonts w:eastAsia="Times New Roman" w:cs="Arial"/>
          <w:color w:val="000000"/>
        </w:rPr>
        <w:t xml:space="preserve">ontract of </w:t>
      </w:r>
      <w:r w:rsidRPr="00F17B44" w:rsidR="00D20E2F">
        <w:rPr>
          <w:rFonts w:eastAsia="Times New Roman" w:cs="Arial"/>
          <w:color w:val="000000"/>
        </w:rPr>
        <w:t>S</w:t>
      </w:r>
      <w:r w:rsidRPr="00F17B44" w:rsidR="00606759">
        <w:rPr>
          <w:rFonts w:eastAsia="Times New Roman" w:cs="Arial"/>
          <w:color w:val="000000"/>
        </w:rPr>
        <w:t>ale</w:t>
      </w:r>
      <w:r w:rsidRPr="00F17B44" w:rsidR="00096586">
        <w:rPr>
          <w:rFonts w:eastAsia="Times New Roman" w:cs="Arial"/>
          <w:color w:val="000000"/>
        </w:rPr>
        <w:t xml:space="preserve"> (the </w:t>
      </w:r>
      <w:r w:rsidRPr="00F17B44" w:rsidR="00D20E2F">
        <w:rPr>
          <w:rFonts w:eastAsia="Times New Roman" w:cs="Arial"/>
          <w:color w:val="000000"/>
        </w:rPr>
        <w:t>‘</w:t>
      </w:r>
      <w:r w:rsidRPr="00F17B44" w:rsidR="00096586">
        <w:rPr>
          <w:rFonts w:eastAsia="Times New Roman" w:cs="Arial"/>
          <w:color w:val="000000"/>
        </w:rPr>
        <w:t>Purchase Agreement</w:t>
      </w:r>
      <w:r w:rsidRPr="00F17B44" w:rsidR="00D20E2F">
        <w:rPr>
          <w:rFonts w:eastAsia="Times New Roman" w:cs="Arial"/>
          <w:color w:val="000000"/>
        </w:rPr>
        <w:t>’</w:t>
      </w:r>
      <w:r w:rsidRPr="00F17B44" w:rsidR="00096586">
        <w:rPr>
          <w:rFonts w:eastAsia="Times New Roman" w:cs="Arial"/>
          <w:color w:val="000000"/>
        </w:rPr>
        <w:t>) between the Company and</w:t>
      </w:r>
      <w:r w:rsidRPr="00F17B44" w:rsidR="00DE6E12">
        <w:rPr>
          <w:rFonts w:eastAsia="Times New Roman" w:cs="Arial"/>
          <w:color w:val="000000"/>
        </w:rPr>
        <w:t xml:space="preserve"> [the LLC]</w:t>
      </w:r>
      <w:r w:rsidRPr="00F17B44" w:rsidR="003F53C6">
        <w:rPr>
          <w:rFonts w:eastAsia="Times New Roman" w:cs="Arial"/>
          <w:color w:val="000000"/>
        </w:rPr>
        <w:t>, . . . among others,</w:t>
      </w:r>
      <w:r w:rsidRPr="00F17B44" w:rsidR="002B2E1A">
        <w:rPr>
          <w:rFonts w:eastAsia="Times New Roman" w:cs="Arial"/>
          <w:color w:val="000000"/>
        </w:rPr>
        <w:t xml:space="preserve"> in connection with the acquisition by the Company of the property located at </w:t>
      </w:r>
      <w:r w:rsidRPr="00F17B44" w:rsidR="00483D29">
        <w:rPr>
          <w:rFonts w:eastAsia="Times New Roman" w:cs="Arial"/>
          <w:color w:val="000000"/>
        </w:rPr>
        <w:t>[the specified location]</w:t>
      </w:r>
      <w:r w:rsidRPr="00F17B44" w:rsidR="00971674">
        <w:rPr>
          <w:rFonts w:eastAsia="Times New Roman" w:cs="Arial"/>
          <w:color w:val="000000"/>
        </w:rPr>
        <w:t xml:space="preserve">. . . .” </w:t>
      </w:r>
      <w:r w:rsidRPr="00F17B44" w:rsidR="00467586">
        <w:rPr>
          <w:rFonts w:eastAsia="Times New Roman" w:cs="Arial"/>
          <w:color w:val="000000"/>
        </w:rPr>
        <w:t xml:space="preserve"> Both agreements provide that CalSTRS </w:t>
      </w:r>
      <w:r w:rsidRPr="00F17B44" w:rsidR="00E96D83">
        <w:rPr>
          <w:rFonts w:eastAsia="Times New Roman" w:cs="Arial"/>
          <w:color w:val="000000"/>
        </w:rPr>
        <w:t>i</w:t>
      </w:r>
      <w:r w:rsidRPr="00F17B44" w:rsidR="00467586">
        <w:rPr>
          <w:rFonts w:eastAsia="Times New Roman" w:cs="Arial"/>
          <w:color w:val="000000"/>
        </w:rPr>
        <w:t>s the “only member of the Company and owns one hu</w:t>
      </w:r>
      <w:r w:rsidRPr="00F17B44" w:rsidR="000909DF">
        <w:rPr>
          <w:rFonts w:eastAsia="Times New Roman" w:cs="Arial"/>
          <w:color w:val="000000"/>
        </w:rPr>
        <w:t>n</w:t>
      </w:r>
      <w:r w:rsidRPr="00F17B44" w:rsidR="00467586">
        <w:rPr>
          <w:rFonts w:eastAsia="Times New Roman" w:cs="Arial"/>
          <w:color w:val="000000"/>
        </w:rPr>
        <w:t>dred percent (100%) of the interests in the Company.</w:t>
      </w:r>
      <w:r w:rsidRPr="00F17B44" w:rsidR="00D20E2F">
        <w:rPr>
          <w:rFonts w:eastAsia="Times New Roman" w:cs="Arial"/>
          <w:color w:val="000000"/>
        </w:rPr>
        <w:t xml:space="preserve"> </w:t>
      </w:r>
      <w:r w:rsidRPr="00F17B44" w:rsidR="00467586">
        <w:rPr>
          <w:rFonts w:eastAsia="Times New Roman" w:cs="Arial"/>
          <w:color w:val="000000"/>
        </w:rPr>
        <w:t xml:space="preserve"> </w:t>
      </w:r>
      <w:r w:rsidRPr="00F17B44" w:rsidR="000909DF">
        <w:rPr>
          <w:rFonts w:eastAsia="Times New Roman" w:cs="Arial"/>
          <w:color w:val="000000"/>
        </w:rPr>
        <w:t xml:space="preserve">No other person or entity may become a member of the Company. . . . </w:t>
      </w:r>
      <w:r w:rsidRPr="00F17B44" w:rsidR="008D4C01">
        <w:rPr>
          <w:rFonts w:eastAsia="Times New Roman" w:cs="Arial"/>
          <w:color w:val="000000"/>
        </w:rPr>
        <w:t>[¶]</w:t>
      </w:r>
      <w:r w:rsidRPr="00F17B44" w:rsidR="00D20E2F">
        <w:rPr>
          <w:rFonts w:eastAsia="Times New Roman" w:cs="Arial"/>
          <w:color w:val="000000"/>
        </w:rPr>
        <w:t> . . . [¶] </w:t>
      </w:r>
      <w:r w:rsidRPr="00F17B44" w:rsidR="008D4C01">
        <w:rPr>
          <w:rFonts w:eastAsia="Times New Roman" w:cs="Arial"/>
          <w:color w:val="000000"/>
        </w:rPr>
        <w:t xml:space="preserve"> [CalSTRS] shall</w:t>
      </w:r>
      <w:r w:rsidRPr="00F17B44" w:rsidR="00B104A3">
        <w:rPr>
          <w:rFonts w:eastAsia="Times New Roman" w:cs="Arial"/>
          <w:color w:val="000000"/>
        </w:rPr>
        <w:t xml:space="preserve"> contribute the </w:t>
      </w:r>
      <w:r w:rsidRPr="00F17B44" w:rsidR="00D20E2F">
        <w:rPr>
          <w:rFonts w:eastAsia="Times New Roman" w:cs="Arial"/>
          <w:color w:val="000000"/>
        </w:rPr>
        <w:t>‘</w:t>
      </w:r>
      <w:r w:rsidRPr="00F17B44" w:rsidR="00B104A3">
        <w:rPr>
          <w:rFonts w:eastAsia="Times New Roman" w:cs="Arial"/>
          <w:color w:val="000000"/>
        </w:rPr>
        <w:t>Purchase Price</w:t>
      </w:r>
      <w:r w:rsidRPr="00F17B44" w:rsidR="00D20E2F">
        <w:rPr>
          <w:rFonts w:eastAsia="Times New Roman" w:cs="Arial"/>
          <w:color w:val="000000"/>
        </w:rPr>
        <w:t>’</w:t>
      </w:r>
      <w:r w:rsidRPr="00F17B44" w:rsidR="00B104A3">
        <w:rPr>
          <w:rFonts w:eastAsia="Times New Roman" w:cs="Arial"/>
          <w:color w:val="000000"/>
        </w:rPr>
        <w:t xml:space="preserve"> of the Property pursuant to the Purchase Agreement.</w:t>
      </w:r>
      <w:r w:rsidRPr="00F17B44" w:rsidR="00B352E0">
        <w:rPr>
          <w:rFonts w:eastAsia="Times New Roman" w:cs="Arial"/>
          <w:color w:val="000000"/>
        </w:rPr>
        <w:t>”</w:t>
      </w:r>
      <w:r w:rsidRPr="00F17B44">
        <w:rPr>
          <w:rFonts w:eastAsia="Times New Roman" w:cs="Arial"/>
          <w:color w:val="000000"/>
        </w:rPr>
        <w:t xml:space="preserve">  “[CalSTRS] is a unit of the California Government Operations Agency and is an integral part of the State of California performing an essential governmental function. </w:t>
      </w:r>
      <w:r w:rsidRPr="00F17B44" w:rsidR="00CF2B6A">
        <w:rPr>
          <w:rFonts w:eastAsia="Times New Roman" w:cs="Arial"/>
          <w:color w:val="000000"/>
        </w:rPr>
        <w:t xml:space="preserve"> </w:t>
      </w:r>
      <w:r w:rsidRPr="00F17B44">
        <w:rPr>
          <w:rFonts w:eastAsia="Times New Roman" w:cs="Arial"/>
          <w:color w:val="000000"/>
        </w:rPr>
        <w:t>The [LLCs], which [are] wholly owned by [CalSTRS], [are] also an integral part of the State of California performing an essential governmental function.</w:t>
      </w:r>
      <w:r w:rsidRPr="00F17B44" w:rsidR="00CF2B6A">
        <w:rPr>
          <w:rFonts w:eastAsia="Times New Roman" w:cs="Arial"/>
          <w:color w:val="000000"/>
        </w:rPr>
        <w:t xml:space="preserve"> </w:t>
      </w:r>
      <w:r w:rsidRPr="00F17B44">
        <w:rPr>
          <w:rFonts w:eastAsia="Times New Roman" w:cs="Arial"/>
          <w:color w:val="000000"/>
        </w:rPr>
        <w:t xml:space="preserve"> The income of the [LLCs] will be derived from the exercise of an essential governmental function and will accrue only to [CalSTRS].” </w:t>
      </w:r>
    </w:p>
    <w:p w:rsidR="0076670B" w:rsidRPr="00F17B44" w:rsidP="00C8591E" w14:paraId="2AC7835D" w14:textId="19844A9D">
      <w:pPr>
        <w:rPr>
          <w:rFonts w:eastAsia="Times New Roman" w:cs="Arial"/>
          <w:color w:val="000000"/>
        </w:rPr>
      </w:pPr>
      <w:r w:rsidRPr="00F17B44">
        <w:rPr>
          <w:rFonts w:eastAsia="Times New Roman" w:cs="Arial"/>
          <w:color w:val="000000"/>
        </w:rPr>
        <w:tab/>
      </w:r>
      <w:r w:rsidRPr="00F17B44" w:rsidR="00987BF7">
        <w:rPr>
          <w:rFonts w:eastAsia="Times New Roman" w:cs="Arial"/>
          <w:color w:val="000000"/>
        </w:rPr>
        <w:t>As to liability, t</w:t>
      </w:r>
      <w:r w:rsidRPr="00F17B44" w:rsidR="00C907AF">
        <w:rPr>
          <w:rFonts w:eastAsia="Times New Roman" w:cs="Arial"/>
          <w:color w:val="000000"/>
        </w:rPr>
        <w:t>he agreements provide “The debts, obligations</w:t>
      </w:r>
      <w:r w:rsidRPr="00F17B44" w:rsidR="00CF2B6A">
        <w:rPr>
          <w:rFonts w:eastAsia="Times New Roman" w:cs="Arial"/>
          <w:color w:val="000000"/>
        </w:rPr>
        <w:t>[</w:t>
      </w:r>
      <w:r w:rsidRPr="00F17B44" w:rsidR="00C907AF">
        <w:rPr>
          <w:rFonts w:eastAsia="Times New Roman" w:cs="Arial"/>
          <w:color w:val="000000"/>
        </w:rPr>
        <w:t>,</w:t>
      </w:r>
      <w:r w:rsidRPr="00F17B44" w:rsidR="00CF2B6A">
        <w:rPr>
          <w:rFonts w:eastAsia="Times New Roman" w:cs="Arial"/>
          <w:color w:val="000000"/>
        </w:rPr>
        <w:t>]</w:t>
      </w:r>
      <w:r w:rsidRPr="00F17B44" w:rsidR="00C907AF">
        <w:rPr>
          <w:rFonts w:eastAsia="Times New Roman" w:cs="Arial"/>
          <w:color w:val="000000"/>
        </w:rPr>
        <w:t xml:space="preserve"> and liabilities of the Company, whether arising in contract, tort</w:t>
      </w:r>
      <w:r w:rsidRPr="00F17B44" w:rsidR="00CF2B6A">
        <w:rPr>
          <w:rFonts w:eastAsia="Times New Roman" w:cs="Arial"/>
          <w:color w:val="000000"/>
        </w:rPr>
        <w:t>[</w:t>
      </w:r>
      <w:r w:rsidRPr="00F17B44" w:rsidR="00C907AF">
        <w:rPr>
          <w:rFonts w:eastAsia="Times New Roman" w:cs="Arial"/>
          <w:color w:val="000000"/>
        </w:rPr>
        <w:t>,</w:t>
      </w:r>
      <w:r w:rsidRPr="00F17B44" w:rsidR="00CF2B6A">
        <w:rPr>
          <w:rFonts w:eastAsia="Times New Roman" w:cs="Arial"/>
          <w:color w:val="000000"/>
        </w:rPr>
        <w:t>]</w:t>
      </w:r>
      <w:r w:rsidRPr="00F17B44" w:rsidR="00C907AF">
        <w:rPr>
          <w:rFonts w:eastAsia="Times New Roman" w:cs="Arial"/>
          <w:color w:val="000000"/>
        </w:rPr>
        <w:t xml:space="preserve"> or otherwise, shall be solely the debts, obligations</w:t>
      </w:r>
      <w:r w:rsidRPr="00F17B44" w:rsidR="00CF2B6A">
        <w:rPr>
          <w:rFonts w:eastAsia="Times New Roman" w:cs="Arial"/>
          <w:color w:val="000000"/>
        </w:rPr>
        <w:t>[</w:t>
      </w:r>
      <w:r w:rsidRPr="00F17B44" w:rsidR="00C907AF">
        <w:rPr>
          <w:rFonts w:eastAsia="Times New Roman" w:cs="Arial"/>
          <w:color w:val="000000"/>
        </w:rPr>
        <w:t>,</w:t>
      </w:r>
      <w:r w:rsidRPr="00F17B44" w:rsidR="00CF2B6A">
        <w:rPr>
          <w:rFonts w:eastAsia="Times New Roman" w:cs="Arial"/>
          <w:color w:val="000000"/>
        </w:rPr>
        <w:t>]</w:t>
      </w:r>
      <w:r w:rsidRPr="00F17B44" w:rsidR="00C907AF">
        <w:rPr>
          <w:rFonts w:eastAsia="Times New Roman" w:cs="Arial"/>
          <w:color w:val="000000"/>
        </w:rPr>
        <w:t xml:space="preserve"> and liabilities of the Company, and the Member shall not be obligated personally for any such debt, obligation</w:t>
      </w:r>
      <w:r w:rsidRPr="00F17B44" w:rsidR="00CF2B6A">
        <w:rPr>
          <w:rFonts w:eastAsia="Times New Roman" w:cs="Arial"/>
          <w:color w:val="000000"/>
        </w:rPr>
        <w:t>[</w:t>
      </w:r>
      <w:r w:rsidRPr="00F17B44" w:rsidR="00C907AF">
        <w:rPr>
          <w:rFonts w:eastAsia="Times New Roman" w:cs="Arial"/>
          <w:color w:val="000000"/>
        </w:rPr>
        <w:t>,</w:t>
      </w:r>
      <w:r w:rsidRPr="00F17B44" w:rsidR="00CF2B6A">
        <w:rPr>
          <w:rFonts w:eastAsia="Times New Roman" w:cs="Arial"/>
          <w:color w:val="000000"/>
        </w:rPr>
        <w:t>]</w:t>
      </w:r>
      <w:r w:rsidRPr="00F17B44" w:rsidR="00C907AF">
        <w:rPr>
          <w:rFonts w:eastAsia="Times New Roman" w:cs="Arial"/>
          <w:color w:val="000000"/>
        </w:rPr>
        <w:t xml:space="preserve"> or liability of the Company solely by reason of being a member of the Company.” </w:t>
      </w:r>
      <w:r w:rsidRPr="00F17B44" w:rsidR="00FA3C22">
        <w:rPr>
          <w:rFonts w:eastAsia="Times New Roman" w:cs="Arial"/>
          <w:color w:val="000000"/>
        </w:rPr>
        <w:t xml:space="preserve"> </w:t>
      </w:r>
    </w:p>
    <w:p w:rsidR="00DB6FF8" w:rsidRPr="00F17B44" w:rsidP="00C8591E" w14:paraId="435D9455" w14:textId="4F2F82F5">
      <w:pPr>
        <w:rPr>
          <w:rFonts w:eastAsia="Times New Roman" w:cs="Arial"/>
          <w:color w:val="000000"/>
        </w:rPr>
      </w:pPr>
      <w:r w:rsidRPr="00F17B44">
        <w:rPr>
          <w:rFonts w:eastAsia="Times New Roman" w:cs="Arial"/>
          <w:color w:val="000000"/>
        </w:rPr>
        <w:tab/>
      </w:r>
      <w:r w:rsidRPr="00F17B44" w:rsidR="00D41F4F">
        <w:rPr>
          <w:rFonts w:eastAsia="Times New Roman" w:cs="Arial"/>
          <w:color w:val="000000"/>
        </w:rPr>
        <w:t xml:space="preserve">As to tax matters, the agreements </w:t>
      </w:r>
      <w:r w:rsidRPr="00F17B44" w:rsidR="00375CC8">
        <w:rPr>
          <w:rFonts w:eastAsia="Times New Roman" w:cs="Arial"/>
          <w:color w:val="000000"/>
        </w:rPr>
        <w:t>state</w:t>
      </w:r>
      <w:r w:rsidRPr="00F17B44" w:rsidR="00953238">
        <w:rPr>
          <w:rFonts w:eastAsia="Times New Roman" w:cs="Arial"/>
          <w:color w:val="000000"/>
        </w:rPr>
        <w:t xml:space="preserve"> </w:t>
      </w:r>
      <w:r w:rsidRPr="00F17B44" w:rsidR="00B352E0">
        <w:rPr>
          <w:rFonts w:eastAsia="Times New Roman" w:cs="Arial"/>
          <w:color w:val="000000"/>
        </w:rPr>
        <w:t>“</w:t>
      </w:r>
      <w:r w:rsidRPr="00F17B44" w:rsidR="00C8591E">
        <w:rPr>
          <w:rFonts w:eastAsia="Times New Roman" w:cs="Arial"/>
          <w:color w:val="000000"/>
        </w:rPr>
        <w:t xml:space="preserve">For Federal and relevant State income </w:t>
      </w:r>
      <w:r w:rsidRPr="00F17B44" w:rsidR="00BD388C">
        <w:rPr>
          <w:rFonts w:eastAsia="Times New Roman" w:cs="Arial"/>
          <w:color w:val="000000"/>
        </w:rPr>
        <w:t xml:space="preserve">and/or franchise </w:t>
      </w:r>
      <w:r w:rsidRPr="00F17B44" w:rsidR="00C8591E">
        <w:rPr>
          <w:rFonts w:eastAsia="Times New Roman" w:cs="Arial"/>
          <w:color w:val="000000"/>
        </w:rPr>
        <w:t>tax</w:t>
      </w:r>
      <w:r w:rsidRPr="00F17B44" w:rsidR="00BD388C">
        <w:rPr>
          <w:rFonts w:eastAsia="Times New Roman" w:cs="Arial"/>
          <w:color w:val="000000"/>
        </w:rPr>
        <w:t xml:space="preserve"> purposes and for no other purposes whatsoever, the Company shall be disregarded as an entity separate from [CalSTRS]</w:t>
      </w:r>
      <w:r w:rsidRPr="00F17B44" w:rsidR="0033098C">
        <w:rPr>
          <w:rFonts w:eastAsia="Times New Roman" w:cs="Arial"/>
          <w:color w:val="000000"/>
        </w:rPr>
        <w:t>, as provided in Section 301</w:t>
      </w:r>
      <w:r w:rsidRPr="00F17B44" w:rsidR="00CF2B6A">
        <w:rPr>
          <w:rFonts w:eastAsia="Times New Roman" w:cs="Arial"/>
          <w:color w:val="000000"/>
        </w:rPr>
        <w:t>.</w:t>
      </w:r>
      <w:r w:rsidRPr="00F17B44" w:rsidR="0033098C">
        <w:rPr>
          <w:rFonts w:eastAsia="Times New Roman" w:cs="Arial"/>
          <w:color w:val="000000"/>
        </w:rPr>
        <w:t>7701-3(a)</w:t>
      </w:r>
      <w:r w:rsidRPr="00F17B44" w:rsidR="001B770E">
        <w:rPr>
          <w:rFonts w:eastAsia="Times New Roman" w:cs="Arial"/>
          <w:color w:val="000000"/>
        </w:rPr>
        <w:t xml:space="preserve"> of the Federal Income Tax Regulations</w:t>
      </w:r>
      <w:r w:rsidRPr="00F17B44" w:rsidR="00CF2B6A">
        <w:rPr>
          <w:rFonts w:eastAsia="Times New Roman" w:cs="Arial"/>
          <w:color w:val="000000"/>
          <w:vertAlign w:val="superscript"/>
        </w:rPr>
        <w:t>[</w:t>
      </w:r>
      <w:r>
        <w:rPr>
          <w:rStyle w:val="FootnoteReference"/>
          <w:rFonts w:eastAsia="Times New Roman" w:cs="Arial"/>
          <w:color w:val="000000"/>
        </w:rPr>
        <w:footnoteReference w:id="2"/>
      </w:r>
      <w:r w:rsidRPr="00F17B44" w:rsidR="00CF2B6A">
        <w:rPr>
          <w:rFonts w:eastAsia="Times New Roman" w:cs="Arial"/>
          <w:color w:val="000000"/>
          <w:vertAlign w:val="superscript"/>
        </w:rPr>
        <w:t>]</w:t>
      </w:r>
      <w:r w:rsidRPr="00F17B44" w:rsidR="001B770E">
        <w:rPr>
          <w:rFonts w:eastAsia="Times New Roman" w:cs="Arial"/>
          <w:color w:val="000000"/>
        </w:rPr>
        <w:t xml:space="preserve"> and any comparable provision of the relevant State income or franchise tax law</w:t>
      </w:r>
      <w:r w:rsidRPr="00F17B44" w:rsidR="00A61598">
        <w:rPr>
          <w:rFonts w:eastAsia="Times New Roman" w:cs="Arial"/>
          <w:color w:val="000000"/>
        </w:rPr>
        <w:t xml:space="preserve">. . . .”  </w:t>
      </w:r>
    </w:p>
    <w:p w:rsidR="00F1683F" w:rsidRPr="00F17B44" w:rsidP="00F1683F" w14:paraId="78207146" w14:textId="34C36C3A">
      <w:pPr>
        <w:rPr>
          <w:rFonts w:eastAsia="Times New Roman" w:cs="Arial"/>
          <w:color w:val="000000"/>
        </w:rPr>
      </w:pPr>
      <w:r w:rsidRPr="00F17B44">
        <w:rPr>
          <w:rFonts w:eastAsia="Times New Roman" w:cs="Arial"/>
          <w:color w:val="000000"/>
        </w:rPr>
        <w:tab/>
      </w:r>
      <w:r w:rsidRPr="00F17B44" w:rsidR="002D33A3">
        <w:rPr>
          <w:rFonts w:eastAsia="Times New Roman" w:cs="Arial"/>
          <w:color w:val="000000"/>
        </w:rPr>
        <w:t xml:space="preserve">The following month, </w:t>
      </w:r>
      <w:r w:rsidRPr="00F17B44" w:rsidR="00FE1355">
        <w:rPr>
          <w:rFonts w:eastAsia="Times New Roman" w:cs="Arial"/>
          <w:color w:val="000000"/>
        </w:rPr>
        <w:t xml:space="preserve">the LLCs acquired the Harrison and Webster properties.  </w:t>
      </w:r>
      <w:r w:rsidRPr="00F17B44" w:rsidR="000D15DA">
        <w:rPr>
          <w:rFonts w:eastAsia="Times New Roman" w:cs="Arial"/>
          <w:color w:val="000000"/>
        </w:rPr>
        <w:t xml:space="preserve">In connection </w:t>
      </w:r>
      <w:r w:rsidRPr="00F17B44" w:rsidR="00826C4F">
        <w:rPr>
          <w:rFonts w:eastAsia="Times New Roman" w:cs="Arial"/>
          <w:color w:val="000000"/>
        </w:rPr>
        <w:t>with</w:t>
      </w:r>
      <w:r w:rsidRPr="00F17B44" w:rsidR="000D15DA">
        <w:rPr>
          <w:rFonts w:eastAsia="Times New Roman" w:cs="Arial"/>
          <w:color w:val="000000"/>
        </w:rPr>
        <w:t xml:space="preserve"> the purchase of the Harrison property, t</w:t>
      </w:r>
      <w:r w:rsidRPr="00F17B44" w:rsidR="00FE1355">
        <w:rPr>
          <w:rFonts w:eastAsia="Times New Roman" w:cs="Arial"/>
          <w:color w:val="000000"/>
        </w:rPr>
        <w:t xml:space="preserve">he </w:t>
      </w:r>
      <w:r w:rsidRPr="00F17B44" w:rsidR="00826C4F">
        <w:rPr>
          <w:rFonts w:eastAsia="Times New Roman" w:cs="Arial"/>
          <w:color w:val="000000"/>
        </w:rPr>
        <w:t xml:space="preserve">Harrison </w:t>
      </w:r>
      <w:r w:rsidRPr="00F17B44" w:rsidR="00FE1355">
        <w:rPr>
          <w:rFonts w:eastAsia="Times New Roman" w:cs="Arial"/>
          <w:color w:val="000000"/>
        </w:rPr>
        <w:t xml:space="preserve">LLC paid </w:t>
      </w:r>
      <w:r w:rsidRPr="00F17B44" w:rsidR="001C090E">
        <w:rPr>
          <w:rFonts w:eastAsia="Times New Roman" w:cs="Arial"/>
          <w:color w:val="000000"/>
        </w:rPr>
        <w:t xml:space="preserve">documentary </w:t>
      </w:r>
      <w:r w:rsidRPr="00F17B44" w:rsidR="00FE1355">
        <w:rPr>
          <w:rFonts w:eastAsia="Times New Roman" w:cs="Arial"/>
          <w:color w:val="000000"/>
        </w:rPr>
        <w:t>transfer taxes of $3,371,250 to</w:t>
      </w:r>
      <w:r w:rsidRPr="00F17B44" w:rsidR="000D15DA">
        <w:rPr>
          <w:rFonts w:eastAsia="Times New Roman" w:cs="Arial"/>
          <w:color w:val="000000"/>
        </w:rPr>
        <w:t xml:space="preserve"> the City of Oakland, and $</w:t>
      </w:r>
      <w:r w:rsidRPr="00F17B44" w:rsidR="00FD0989">
        <w:rPr>
          <w:rFonts w:eastAsia="Times New Roman" w:cs="Arial"/>
          <w:color w:val="000000"/>
        </w:rPr>
        <w:t xml:space="preserve">247,225 to Alameda County.  </w:t>
      </w:r>
      <w:r w:rsidRPr="00F17B44" w:rsidR="00826C4F">
        <w:rPr>
          <w:rFonts w:eastAsia="Times New Roman" w:cs="Arial"/>
          <w:color w:val="000000"/>
        </w:rPr>
        <w:t xml:space="preserve">In connection with the </w:t>
      </w:r>
      <w:r w:rsidRPr="00F17B44" w:rsidR="00444036">
        <w:rPr>
          <w:rFonts w:eastAsia="Times New Roman" w:cs="Arial"/>
          <w:color w:val="000000"/>
        </w:rPr>
        <w:t xml:space="preserve">Webster property, the Webster LLC paid taxes of $161,250 to the City of Oakland, and $11,825 to Alameda County. </w:t>
      </w:r>
    </w:p>
    <w:p w:rsidR="00F773D0" w:rsidRPr="00F17B44" w:rsidP="00215C04" w14:paraId="59C915BB" w14:textId="02309139">
      <w:pPr>
        <w:rPr>
          <w:rFonts w:eastAsia="Times New Roman" w:cs="Arial"/>
          <w:color w:val="000000"/>
        </w:rPr>
      </w:pPr>
      <w:r w:rsidRPr="00F17B44">
        <w:rPr>
          <w:rFonts w:eastAsia="Times New Roman" w:cs="Arial"/>
          <w:color w:val="000000"/>
        </w:rPr>
        <w:tab/>
      </w:r>
      <w:r w:rsidRPr="00F17B44" w:rsidR="002C2BD8">
        <w:rPr>
          <w:rFonts w:eastAsia="Times New Roman" w:cs="Arial"/>
          <w:color w:val="000000"/>
        </w:rPr>
        <w:t>About a year later, t</w:t>
      </w:r>
      <w:r w:rsidRPr="00F17B44">
        <w:rPr>
          <w:rFonts w:eastAsia="Times New Roman" w:cs="Arial"/>
          <w:color w:val="000000"/>
        </w:rPr>
        <w:t xml:space="preserve">he LLCs sought refunds of the </w:t>
      </w:r>
      <w:r w:rsidRPr="00F17B44" w:rsidR="001C090E">
        <w:rPr>
          <w:rFonts w:eastAsia="Times New Roman" w:cs="Arial"/>
          <w:color w:val="000000"/>
        </w:rPr>
        <w:t xml:space="preserve">documentary </w:t>
      </w:r>
      <w:r w:rsidRPr="00F17B44">
        <w:rPr>
          <w:rFonts w:eastAsia="Times New Roman" w:cs="Arial"/>
          <w:color w:val="000000"/>
        </w:rPr>
        <w:t>transfer taxes</w:t>
      </w:r>
      <w:r w:rsidRPr="00F17B44" w:rsidR="00593DA5">
        <w:rPr>
          <w:rFonts w:eastAsia="Times New Roman" w:cs="Arial"/>
          <w:color w:val="000000"/>
        </w:rPr>
        <w:t xml:space="preserve"> by pursuing their administrative remedies with the City and County. </w:t>
      </w:r>
      <w:r w:rsidRPr="00F17B44" w:rsidR="00FC0798">
        <w:rPr>
          <w:rFonts w:eastAsia="Times New Roman" w:cs="Arial"/>
        </w:rPr>
        <w:t xml:space="preserve"> </w:t>
      </w:r>
      <w:r w:rsidRPr="00F17B44" w:rsidR="00FC0798">
        <w:rPr>
          <w:rFonts w:eastAsia="Times New Roman" w:cs="Arial"/>
          <w:color w:val="000000"/>
        </w:rPr>
        <w:t>After their refund requests</w:t>
      </w:r>
      <w:r w:rsidRPr="00F17B44" w:rsidR="00987BF7">
        <w:rPr>
          <w:rFonts w:eastAsia="Times New Roman" w:cs="Arial"/>
          <w:color w:val="000000"/>
        </w:rPr>
        <w:t xml:space="preserve"> were denied</w:t>
      </w:r>
      <w:r w:rsidRPr="00F17B44" w:rsidR="00FC0798">
        <w:rPr>
          <w:rFonts w:eastAsia="Times New Roman" w:cs="Arial"/>
          <w:color w:val="000000"/>
        </w:rPr>
        <w:t xml:space="preserve">, the LLCs </w:t>
      </w:r>
      <w:r w:rsidRPr="00F17B44" w:rsidR="00592E9D">
        <w:rPr>
          <w:rFonts w:eastAsia="Times New Roman" w:cs="Arial"/>
          <w:color w:val="000000"/>
        </w:rPr>
        <w:t xml:space="preserve">filed </w:t>
      </w:r>
      <w:r w:rsidRPr="00F17B44" w:rsidR="00CB536C">
        <w:rPr>
          <w:rFonts w:eastAsia="Times New Roman" w:cs="Arial"/>
          <w:color w:val="000000"/>
        </w:rPr>
        <w:t xml:space="preserve">a </w:t>
      </w:r>
      <w:r w:rsidRPr="00F17B44" w:rsidR="00592E9D">
        <w:rPr>
          <w:rFonts w:eastAsia="Times New Roman" w:cs="Arial"/>
          <w:color w:val="000000"/>
        </w:rPr>
        <w:t>pet</w:t>
      </w:r>
      <w:r w:rsidRPr="00F17B44" w:rsidR="007F23AF">
        <w:rPr>
          <w:rFonts w:eastAsia="Times New Roman" w:cs="Arial"/>
          <w:color w:val="000000"/>
        </w:rPr>
        <w:t>ition for writ of mandate</w:t>
      </w:r>
      <w:r w:rsidRPr="00F17B44" w:rsidR="00987BF7">
        <w:rPr>
          <w:rFonts w:eastAsia="Times New Roman" w:cs="Arial"/>
          <w:color w:val="000000"/>
        </w:rPr>
        <w:t>.</w:t>
      </w:r>
      <w:r w:rsidRPr="00F17B44" w:rsidR="007149B9">
        <w:rPr>
          <w:rFonts w:eastAsia="Times New Roman" w:cs="Arial"/>
          <w:color w:val="000000"/>
        </w:rPr>
        <w:t xml:space="preserve"> </w:t>
      </w:r>
      <w:r w:rsidRPr="00F17B44" w:rsidR="00D97E0A">
        <w:rPr>
          <w:rFonts w:eastAsia="Times New Roman" w:cs="Arial"/>
          <w:color w:val="000000"/>
        </w:rPr>
        <w:t xml:space="preserve"> </w:t>
      </w:r>
    </w:p>
    <w:p w:rsidR="004D0546" w:rsidRPr="00F17B44" w:rsidP="00215C04" w14:paraId="4F4ED082" w14:textId="600E5119">
      <w:pPr>
        <w:rPr>
          <w:rFonts w:eastAsia="Times New Roman" w:cs="Arial"/>
          <w:color w:val="000000"/>
        </w:rPr>
      </w:pPr>
      <w:r w:rsidRPr="00F17B44">
        <w:rPr>
          <w:rFonts w:eastAsia="Times New Roman" w:cs="Arial"/>
          <w:color w:val="000000"/>
        </w:rPr>
        <w:tab/>
      </w:r>
      <w:r w:rsidRPr="00F17B44" w:rsidR="00261217">
        <w:rPr>
          <w:rFonts w:eastAsia="Times New Roman" w:cs="Arial"/>
          <w:color w:val="000000"/>
        </w:rPr>
        <w:t xml:space="preserve">Following a bench trial, the </w:t>
      </w:r>
      <w:r w:rsidRPr="00F17B44" w:rsidR="00987BF7">
        <w:rPr>
          <w:rFonts w:eastAsia="Times New Roman" w:cs="Arial"/>
          <w:color w:val="000000"/>
        </w:rPr>
        <w:t xml:space="preserve">superior </w:t>
      </w:r>
      <w:r w:rsidRPr="00F17B44" w:rsidR="00261217">
        <w:rPr>
          <w:rFonts w:eastAsia="Times New Roman" w:cs="Arial"/>
          <w:color w:val="000000"/>
        </w:rPr>
        <w:t>court ruled “[t]he LLCs are not governmental entities even if a governmental entity is the sole member of the LLC</w:t>
      </w:r>
      <w:r w:rsidRPr="00F17B44" w:rsidR="004078A7">
        <w:rPr>
          <w:rFonts w:eastAsia="Times New Roman" w:cs="Arial"/>
          <w:color w:val="000000"/>
        </w:rPr>
        <w:t>.</w:t>
      </w:r>
      <w:r w:rsidRPr="00F17B44" w:rsidR="00261217">
        <w:rPr>
          <w:rFonts w:eastAsia="Times New Roman" w:cs="Arial"/>
          <w:color w:val="000000"/>
        </w:rPr>
        <w:t xml:space="preserve">” </w:t>
      </w:r>
      <w:r w:rsidRPr="00F17B44" w:rsidR="0067666A">
        <w:rPr>
          <w:rFonts w:eastAsia="Times New Roman" w:cs="Arial"/>
          <w:color w:val="000000"/>
        </w:rPr>
        <w:t xml:space="preserve"> The court </w:t>
      </w:r>
      <w:r w:rsidRPr="00F17B44" w:rsidR="00375CC8">
        <w:rPr>
          <w:rFonts w:eastAsia="Times New Roman" w:cs="Arial"/>
          <w:color w:val="000000"/>
        </w:rPr>
        <w:t>further ruled</w:t>
      </w:r>
      <w:r w:rsidRPr="00F17B44" w:rsidR="00261217">
        <w:rPr>
          <w:rFonts w:eastAsia="Times New Roman" w:cs="Arial"/>
          <w:color w:val="000000"/>
        </w:rPr>
        <w:t xml:space="preserve"> the City and County ordi</w:t>
      </w:r>
      <w:r w:rsidRPr="00F17B44" w:rsidR="00C801C4">
        <w:rPr>
          <w:rFonts w:eastAsia="Times New Roman" w:cs="Arial"/>
          <w:color w:val="000000"/>
        </w:rPr>
        <w:t>n</w:t>
      </w:r>
      <w:r w:rsidRPr="00F17B44" w:rsidR="00261217">
        <w:rPr>
          <w:rFonts w:eastAsia="Times New Roman" w:cs="Arial"/>
          <w:color w:val="000000"/>
        </w:rPr>
        <w:t xml:space="preserve">ances do not “provide a textual basis for an exemption for transactions in which a business entity takes ownership of real property </w:t>
      </w:r>
      <w:r w:rsidRPr="00F17B44" w:rsidR="00C801C4">
        <w:rPr>
          <w:rFonts w:eastAsia="Times New Roman" w:cs="Arial"/>
          <w:color w:val="000000"/>
        </w:rPr>
        <w:t>based on that entity’s ownership</w:t>
      </w:r>
      <w:r w:rsidRPr="00F17B44" w:rsidR="006D232C">
        <w:rPr>
          <w:rFonts w:eastAsia="Times New Roman" w:cs="Arial"/>
          <w:color w:val="000000"/>
        </w:rPr>
        <w:t>”</w:t>
      </w:r>
      <w:r w:rsidRPr="00F17B44" w:rsidR="00C801C4">
        <w:rPr>
          <w:rFonts w:eastAsia="Times New Roman" w:cs="Arial"/>
          <w:color w:val="000000"/>
        </w:rPr>
        <w:t xml:space="preserve"> by an exempt state agency. </w:t>
      </w:r>
      <w:r w:rsidRPr="00F17B44" w:rsidR="008F3484">
        <w:rPr>
          <w:rFonts w:eastAsia="Times New Roman" w:cs="Arial"/>
          <w:color w:val="000000"/>
        </w:rPr>
        <w:t xml:space="preserve"> The court </w:t>
      </w:r>
      <w:r w:rsidRPr="00F17B44" w:rsidR="00987BF7">
        <w:rPr>
          <w:rFonts w:eastAsia="Times New Roman" w:cs="Arial"/>
          <w:color w:val="000000"/>
        </w:rPr>
        <w:t xml:space="preserve">therefore </w:t>
      </w:r>
      <w:r w:rsidRPr="00F17B44" w:rsidR="008F3484">
        <w:rPr>
          <w:rFonts w:eastAsia="Times New Roman" w:cs="Arial"/>
          <w:color w:val="000000"/>
        </w:rPr>
        <w:t>denied the petition and entered ju</w:t>
      </w:r>
      <w:r w:rsidRPr="00F17B44" w:rsidR="00854627">
        <w:rPr>
          <w:rFonts w:eastAsia="Times New Roman" w:cs="Arial"/>
          <w:color w:val="000000"/>
        </w:rPr>
        <w:t xml:space="preserve">dgment in favor of </w:t>
      </w:r>
      <w:r w:rsidRPr="00F17B44" w:rsidR="00733CF5">
        <w:rPr>
          <w:rFonts w:eastAsia="Times New Roman" w:cs="Arial"/>
          <w:color w:val="000000"/>
        </w:rPr>
        <w:t>the City and County.</w:t>
      </w:r>
      <w:r>
        <w:rPr>
          <w:rStyle w:val="FootnoteReference"/>
        </w:rPr>
        <w:footnoteReference w:id="3"/>
      </w:r>
      <w:r w:rsidRPr="00F17B44" w:rsidR="00854627">
        <w:rPr>
          <w:rFonts w:eastAsia="Times New Roman" w:cs="Arial"/>
          <w:color w:val="000000"/>
        </w:rPr>
        <w:t xml:space="preserve"> </w:t>
      </w:r>
    </w:p>
    <w:p w:rsidR="0047598D" w:rsidRPr="00F17B44" w:rsidP="0058628D" w14:paraId="63FFF749" w14:textId="097E59FC">
      <w:pPr>
        <w:keepNext/>
        <w:jc w:val="center"/>
        <w:rPr>
          <w:rFonts w:eastAsia="Times New Roman" w:cs="Arial"/>
          <w:b/>
          <w:bCs/>
          <w:color w:val="000000"/>
        </w:rPr>
      </w:pPr>
      <w:r w:rsidRPr="00F17B44">
        <w:rPr>
          <w:rFonts w:eastAsia="Times New Roman" w:cs="Arial"/>
          <w:b/>
          <w:bCs/>
          <w:color w:val="000000"/>
        </w:rPr>
        <w:t>DISCUSSION</w:t>
      </w:r>
    </w:p>
    <w:p w:rsidR="009F5662" w:rsidRPr="00F17B44" w:rsidP="0058628D" w14:paraId="15E5C75A" w14:textId="57885280">
      <w:pPr>
        <w:keepNext/>
        <w:rPr>
          <w:rFonts w:eastAsia="Times New Roman" w:cs="Arial"/>
          <w:b/>
          <w:bCs/>
          <w:i/>
          <w:iCs/>
          <w:color w:val="000000"/>
        </w:rPr>
      </w:pPr>
      <w:r w:rsidRPr="00F17B44">
        <w:rPr>
          <w:rFonts w:eastAsia="Times New Roman" w:cs="Arial"/>
          <w:b/>
          <w:bCs/>
          <w:i/>
          <w:iCs/>
          <w:color w:val="000000"/>
        </w:rPr>
        <w:t>The Documentary Transfer Tax</w:t>
      </w:r>
    </w:p>
    <w:p w:rsidR="00D4593E" w:rsidRPr="00F17B44" w:rsidP="0058628D" w14:paraId="1E0CD98F" w14:textId="6FD8FCA0">
      <w:pPr>
        <w:keepNext/>
        <w:rPr>
          <w:rFonts w:eastAsia="Times New Roman" w:cs="Arial"/>
          <w:color w:val="000000"/>
        </w:rPr>
      </w:pPr>
      <w:r w:rsidRPr="00F17B44">
        <w:rPr>
          <w:rFonts w:eastAsia="Times New Roman" w:cs="Arial"/>
          <w:color w:val="000000"/>
        </w:rPr>
        <w:tab/>
      </w:r>
      <w:r w:rsidRPr="00F17B44" w:rsidR="00F06755">
        <w:rPr>
          <w:rFonts w:eastAsia="Times New Roman" w:cs="Arial"/>
          <w:color w:val="000000"/>
        </w:rPr>
        <w:t>“The documentary transfer tax is a tax that may be imposed upon the transfer of ownership of real property.”</w:t>
      </w:r>
      <w:r w:rsidRPr="00F17B44" w:rsidR="0058628D">
        <w:rPr>
          <w:rFonts w:eastAsia="Times New Roman" w:cs="Arial"/>
          <w:color w:val="000000"/>
        </w:rPr>
        <w:t xml:space="preserve"> </w:t>
      </w:r>
      <w:r w:rsidRPr="00F17B44" w:rsidR="00F06755">
        <w:rPr>
          <w:rFonts w:eastAsia="Times New Roman" w:cs="Arial"/>
          <w:color w:val="000000"/>
        </w:rPr>
        <w:t xml:space="preserve"> (102 Ops.Cal.Atty.Gen. 78 (2019).)</w:t>
      </w:r>
      <w:r w:rsidRPr="00F17B44" w:rsidR="00A50CA7">
        <w:rPr>
          <w:rFonts w:eastAsia="Times New Roman" w:cs="Arial"/>
          <w:color w:val="000000"/>
        </w:rPr>
        <w:t xml:space="preserve"> </w:t>
      </w:r>
      <w:r w:rsidRPr="00F17B44" w:rsidR="0058628D">
        <w:rPr>
          <w:rFonts w:eastAsia="Times New Roman" w:cs="Arial"/>
          <w:color w:val="000000"/>
        </w:rPr>
        <w:t xml:space="preserve"> </w:t>
      </w:r>
      <w:r w:rsidRPr="00F17B44" w:rsidR="00702608">
        <w:rPr>
          <w:rFonts w:eastAsia="Times New Roman" w:cs="Arial"/>
          <w:color w:val="000000"/>
        </w:rPr>
        <w:t>It is “an excise tax</w:t>
      </w:r>
      <w:r w:rsidRPr="00F17B44" w:rsidR="00CA3FF7">
        <w:rPr>
          <w:rFonts w:eastAsia="Times New Roman" w:cs="Arial"/>
          <w:color w:val="000000"/>
        </w:rPr>
        <w:t xml:space="preserve"> on the privilege of conveying real property by means of a written instrument.”</w:t>
      </w:r>
      <w:r w:rsidRPr="00F17B44" w:rsidR="0058628D">
        <w:rPr>
          <w:rFonts w:eastAsia="Times New Roman" w:cs="Arial"/>
          <w:color w:val="000000"/>
        </w:rPr>
        <w:t xml:space="preserve"> </w:t>
      </w:r>
      <w:r w:rsidRPr="00F17B44" w:rsidR="00CA3FF7">
        <w:rPr>
          <w:rFonts w:eastAsia="Times New Roman" w:cs="Arial"/>
          <w:color w:val="000000"/>
        </w:rPr>
        <w:t xml:space="preserve"> (</w:t>
      </w:r>
      <w:r w:rsidRPr="00F17B44" w:rsidR="00CA3FF7">
        <w:rPr>
          <w:rFonts w:eastAsia="Times New Roman" w:cs="Arial"/>
          <w:i/>
          <w:iCs/>
          <w:color w:val="000000"/>
        </w:rPr>
        <w:t xml:space="preserve">926 North Ardmore Ave., LLC v. County of Los Angeles </w:t>
      </w:r>
      <w:r w:rsidRPr="00F17B44" w:rsidR="00CA3FF7">
        <w:rPr>
          <w:rFonts w:eastAsia="Times New Roman" w:cs="Arial"/>
          <w:color w:val="000000"/>
        </w:rPr>
        <w:t>(2017) 3 Cal.5</w:t>
      </w:r>
      <w:r w:rsidRPr="00F17B44" w:rsidR="00F04F5B">
        <w:rPr>
          <w:rFonts w:eastAsia="Times New Roman" w:cs="Arial"/>
          <w:color w:val="000000"/>
        </w:rPr>
        <w:t>th</w:t>
      </w:r>
      <w:r w:rsidRPr="00F17B44" w:rsidR="00CA3FF7">
        <w:rPr>
          <w:rFonts w:eastAsia="Times New Roman" w:cs="Arial"/>
          <w:color w:val="000000"/>
        </w:rPr>
        <w:t xml:space="preserve"> 319, 332</w:t>
      </w:r>
      <w:r w:rsidRPr="00F17B44" w:rsidR="0037558F">
        <w:rPr>
          <w:rFonts w:eastAsia="Times New Roman" w:cs="Arial"/>
          <w:color w:val="000000"/>
        </w:rPr>
        <w:t>, fn. 13</w:t>
      </w:r>
      <w:r w:rsidRPr="00F17B44" w:rsidR="000375F5">
        <w:rPr>
          <w:rFonts w:eastAsia="Times New Roman" w:cs="Arial"/>
          <w:color w:val="000000"/>
        </w:rPr>
        <w:t xml:space="preserve"> (</w:t>
      </w:r>
      <w:r w:rsidRPr="00F17B44" w:rsidR="000375F5">
        <w:rPr>
          <w:rFonts w:eastAsia="Times New Roman" w:cs="Arial"/>
          <w:i/>
          <w:iCs/>
          <w:color w:val="000000"/>
        </w:rPr>
        <w:t>North Ardmore</w:t>
      </w:r>
      <w:r w:rsidRPr="00F17B44" w:rsidR="000375F5">
        <w:rPr>
          <w:rFonts w:eastAsia="Times New Roman" w:cs="Arial"/>
          <w:color w:val="000000"/>
        </w:rPr>
        <w:t>)</w:t>
      </w:r>
      <w:r w:rsidRPr="00F17B44" w:rsidR="00CA3FF7">
        <w:rPr>
          <w:rFonts w:eastAsia="Times New Roman" w:cs="Arial"/>
          <w:color w:val="000000"/>
        </w:rPr>
        <w:t xml:space="preserve">.) </w:t>
      </w:r>
    </w:p>
    <w:p w:rsidR="00A50917" w:rsidRPr="00F17B44" w:rsidP="00A50917" w14:paraId="10ED4A55" w14:textId="28C09F79">
      <w:pPr>
        <w:rPr>
          <w:rFonts w:eastAsia="Times New Roman" w:cs="Arial"/>
          <w:color w:val="000000"/>
        </w:rPr>
      </w:pPr>
      <w:r w:rsidRPr="00F17B44">
        <w:rPr>
          <w:rFonts w:eastAsia="Times New Roman" w:cs="Arial"/>
          <w:color w:val="000000"/>
        </w:rPr>
        <w:tab/>
        <w:t>Local governments may impose “a tax upon conveyances of real property as authorized under the Documentary Transfer Tax Act (Rev. &amp; Tax. Code, §§ 11901</w:t>
      </w:r>
      <w:r w:rsidR="00C10AE5">
        <w:rPr>
          <w:rFonts w:eastAsia="Times New Roman" w:cs="Arial"/>
          <w:color w:val="000000"/>
        </w:rPr>
        <w:t>–</w:t>
      </w:r>
      <w:r w:rsidRPr="00F17B44">
        <w:rPr>
          <w:rFonts w:eastAsia="Times New Roman" w:cs="Arial"/>
          <w:color w:val="000000"/>
        </w:rPr>
        <w:t>11934</w:t>
      </w:r>
      <w:r w:rsidRPr="00F17B44" w:rsidR="00F04F5B">
        <w:rPr>
          <w:rFonts w:eastAsia="Times New Roman" w:cs="Arial"/>
          <w:color w:val="000000"/>
        </w:rPr>
        <w:t xml:space="preserve"> (the </w:t>
      </w:r>
      <w:r w:rsidRPr="00F17B44" w:rsidR="006D232C">
        <w:rPr>
          <w:rFonts w:eastAsia="Times New Roman" w:cs="Arial"/>
          <w:color w:val="000000"/>
        </w:rPr>
        <w:t>‘</w:t>
      </w:r>
      <w:r w:rsidRPr="00F17B44">
        <w:rPr>
          <w:rFonts w:eastAsia="Times New Roman" w:cs="Arial"/>
          <w:color w:val="000000"/>
        </w:rPr>
        <w:t>Act</w:t>
      </w:r>
      <w:r w:rsidRPr="00F17B44" w:rsidR="006D232C">
        <w:rPr>
          <w:rFonts w:eastAsia="Times New Roman" w:cs="Arial"/>
          <w:color w:val="000000"/>
        </w:rPr>
        <w:t>’</w:t>
      </w:r>
      <w:r w:rsidRPr="00F17B44">
        <w:rPr>
          <w:rFonts w:eastAsia="Times New Roman" w:cs="Arial"/>
          <w:color w:val="000000"/>
        </w:rPr>
        <w:t>)</w:t>
      </w:r>
      <w:r w:rsidRPr="00F17B44" w:rsidR="00F04F5B">
        <w:rPr>
          <w:rFonts w:eastAsia="Times New Roman" w:cs="Arial"/>
          <w:color w:val="000000"/>
        </w:rPr>
        <w:t>)</w:t>
      </w:r>
      <w:r w:rsidRPr="00F17B44">
        <w:rPr>
          <w:rFonts w:eastAsia="Times New Roman" w:cs="Arial"/>
          <w:color w:val="000000"/>
        </w:rPr>
        <w:t>.</w:t>
      </w:r>
      <w:r w:rsidRPr="00F17B44" w:rsidR="006D232C">
        <w:rPr>
          <w:rFonts w:eastAsia="Times New Roman" w:cs="Arial"/>
          <w:color w:val="000000"/>
          <w:vertAlign w:val="superscript"/>
        </w:rPr>
        <w:t>[</w:t>
      </w:r>
      <w:r>
        <w:rPr>
          <w:rStyle w:val="FootnoteReference"/>
          <w:rFonts w:eastAsia="Times New Roman" w:cs="Arial"/>
          <w:color w:val="000000"/>
        </w:rPr>
        <w:footnoteReference w:id="4"/>
      </w:r>
      <w:r w:rsidRPr="00F17B44" w:rsidR="006D232C">
        <w:rPr>
          <w:rFonts w:eastAsia="Times New Roman" w:cs="Arial"/>
          <w:color w:val="000000"/>
          <w:vertAlign w:val="superscript"/>
        </w:rPr>
        <w:t>]</w:t>
      </w:r>
      <w:r w:rsidRPr="00F17B44">
        <w:rPr>
          <w:rFonts w:eastAsia="Times New Roman" w:cs="Arial"/>
          <w:color w:val="000000"/>
        </w:rPr>
        <w:t xml:space="preserve"> </w:t>
      </w:r>
      <w:r w:rsidRPr="00F17B44" w:rsidR="0058628D">
        <w:rPr>
          <w:rFonts w:eastAsia="Times New Roman" w:cs="Arial"/>
          <w:color w:val="000000"/>
        </w:rPr>
        <w:t xml:space="preserve"> </w:t>
      </w:r>
      <w:r w:rsidRPr="00F17B44">
        <w:rPr>
          <w:rFonts w:eastAsia="Times New Roman" w:cs="Arial"/>
          <w:color w:val="000000"/>
        </w:rPr>
        <w:t>The Act provides numerous exemptions from the tax (§§ 11921</w:t>
      </w:r>
      <w:r w:rsidR="00C10AE5">
        <w:rPr>
          <w:rFonts w:eastAsia="Times New Roman" w:cs="Arial"/>
          <w:color w:val="000000"/>
        </w:rPr>
        <w:t>–</w:t>
      </w:r>
      <w:r w:rsidRPr="00F17B44">
        <w:rPr>
          <w:rFonts w:eastAsia="Times New Roman" w:cs="Arial"/>
          <w:color w:val="000000"/>
        </w:rPr>
        <w:t>11930), including when a government agency is acquiring title to real property.”</w:t>
      </w:r>
      <w:r w:rsidRPr="00F17B44" w:rsidR="0058628D">
        <w:rPr>
          <w:rFonts w:eastAsia="Times New Roman" w:cs="Arial"/>
          <w:color w:val="000000"/>
        </w:rPr>
        <w:t xml:space="preserve"> </w:t>
      </w:r>
      <w:r w:rsidRPr="00F17B44">
        <w:rPr>
          <w:rFonts w:eastAsia="Times New Roman" w:cs="Arial"/>
          <w:color w:val="000000"/>
        </w:rPr>
        <w:t xml:space="preserve"> (85 Ops.Cal.Atty.Gen. 235 (2002).) </w:t>
      </w:r>
    </w:p>
    <w:p w:rsidR="00A320F0" w:rsidRPr="00F17B44" w:rsidP="00455BB2" w14:paraId="568D2072" w14:textId="00B29FA1">
      <w:pPr>
        <w:rPr>
          <w:rFonts w:eastAsia="Times New Roman" w:cs="Arial"/>
          <w:color w:val="000000"/>
        </w:rPr>
      </w:pPr>
      <w:r w:rsidRPr="00F17B44">
        <w:rPr>
          <w:rFonts w:eastAsia="Times New Roman" w:cs="Arial"/>
          <w:color w:val="000000"/>
        </w:rPr>
        <w:tab/>
      </w:r>
      <w:r w:rsidRPr="00F17B44" w:rsidR="00375CC8">
        <w:rPr>
          <w:rFonts w:eastAsia="Times New Roman" w:cs="Arial"/>
          <w:color w:val="000000"/>
        </w:rPr>
        <w:t>Specifically, s</w:t>
      </w:r>
      <w:r w:rsidRPr="00F17B44" w:rsidR="00100B9E">
        <w:rPr>
          <w:rFonts w:eastAsia="Times New Roman" w:cs="Arial"/>
          <w:color w:val="000000"/>
        </w:rPr>
        <w:t xml:space="preserve">ection 11911 </w:t>
      </w:r>
      <w:r w:rsidRPr="00F17B44" w:rsidR="00AA088E">
        <w:rPr>
          <w:rFonts w:eastAsia="Times New Roman" w:cs="Arial"/>
          <w:color w:val="000000"/>
        </w:rPr>
        <w:t xml:space="preserve">authorizes a </w:t>
      </w:r>
      <w:r w:rsidRPr="00F17B44" w:rsidR="00231D1F">
        <w:rPr>
          <w:rFonts w:eastAsia="Times New Roman" w:cs="Arial"/>
          <w:color w:val="000000"/>
        </w:rPr>
        <w:t xml:space="preserve">city or </w:t>
      </w:r>
      <w:r w:rsidRPr="00F17B44" w:rsidR="00AA088E">
        <w:rPr>
          <w:rFonts w:eastAsia="Times New Roman" w:cs="Arial"/>
          <w:color w:val="000000"/>
        </w:rPr>
        <w:t xml:space="preserve">county to </w:t>
      </w:r>
      <w:r w:rsidRPr="00F17B44" w:rsidR="00100B9E">
        <w:rPr>
          <w:rFonts w:eastAsia="Times New Roman" w:cs="Arial"/>
          <w:color w:val="000000"/>
        </w:rPr>
        <w:t xml:space="preserve">levy a tax “on each deed, instrument, or writing by which any lands, tenements, or other realty sold within the county shall be granted, assigned, transferred, or otherwise conveyed to, or vested in, the purchaser or purchasers” if “the consideration or value of the interest or property conveyed (exclusive of the value of any lien or encumbrance remaining thereon at the time of sale) exceeds </w:t>
      </w:r>
      <w:r w:rsidRPr="00F17B44" w:rsidR="0037558F">
        <w:rPr>
          <w:rFonts w:eastAsia="Times New Roman" w:cs="Arial"/>
          <w:color w:val="000000"/>
        </w:rPr>
        <w:t>one hundred dollars (</w:t>
      </w:r>
      <w:r w:rsidRPr="00F17B44" w:rsidR="00100B9E">
        <w:rPr>
          <w:rFonts w:eastAsia="Times New Roman" w:cs="Arial"/>
          <w:color w:val="000000"/>
        </w:rPr>
        <w:t>$100</w:t>
      </w:r>
      <w:r w:rsidRPr="00F17B44" w:rsidR="0037558F">
        <w:rPr>
          <w:rFonts w:eastAsia="Times New Roman" w:cs="Arial"/>
          <w:color w:val="000000"/>
        </w:rPr>
        <w:t>)</w:t>
      </w:r>
      <w:r w:rsidRPr="00F17B44" w:rsidR="00100B9E">
        <w:rPr>
          <w:rFonts w:eastAsia="Times New Roman" w:cs="Arial"/>
          <w:color w:val="000000"/>
        </w:rPr>
        <w:t>.</w:t>
      </w:r>
      <w:r w:rsidRPr="00F17B44" w:rsidR="0037558F">
        <w:rPr>
          <w:rFonts w:eastAsia="Times New Roman" w:cs="Arial"/>
          <w:color w:val="000000"/>
        </w:rPr>
        <w:t>”</w:t>
      </w:r>
      <w:r w:rsidRPr="00F17B44" w:rsidR="00100B9E">
        <w:rPr>
          <w:rFonts w:eastAsia="Times New Roman" w:cs="Arial"/>
          <w:color w:val="000000"/>
        </w:rPr>
        <w:t xml:space="preserve"> </w:t>
      </w:r>
      <w:r w:rsidRPr="00F17B44" w:rsidR="0058628D">
        <w:rPr>
          <w:rFonts w:eastAsia="Times New Roman" w:cs="Arial"/>
          <w:color w:val="000000"/>
        </w:rPr>
        <w:t xml:space="preserve"> </w:t>
      </w:r>
      <w:r w:rsidRPr="00F17B44" w:rsidR="00100B9E">
        <w:rPr>
          <w:rFonts w:eastAsia="Times New Roman" w:cs="Arial"/>
          <w:color w:val="000000"/>
        </w:rPr>
        <w:t>(§</w:t>
      </w:r>
      <w:r w:rsidRPr="00F17B44" w:rsidR="0058628D">
        <w:rPr>
          <w:rFonts w:eastAsia="Times New Roman" w:cs="Arial"/>
          <w:color w:val="000000"/>
        </w:rPr>
        <w:t> </w:t>
      </w:r>
      <w:r w:rsidRPr="00F17B44" w:rsidR="00100B9E">
        <w:rPr>
          <w:rFonts w:eastAsia="Times New Roman" w:cs="Arial"/>
          <w:color w:val="000000"/>
        </w:rPr>
        <w:t>11911, subd</w:t>
      </w:r>
      <w:r w:rsidRPr="00F17B44" w:rsidR="00AC2C38">
        <w:rPr>
          <w:rFonts w:eastAsia="Times New Roman" w:cs="Arial"/>
          <w:color w:val="000000"/>
        </w:rPr>
        <w:t>s</w:t>
      </w:r>
      <w:r w:rsidRPr="00F17B44" w:rsidR="00100B9E">
        <w:rPr>
          <w:rFonts w:eastAsia="Times New Roman" w:cs="Arial"/>
          <w:color w:val="000000"/>
        </w:rPr>
        <w:t>. (a)</w:t>
      </w:r>
      <w:r w:rsidRPr="00F17B44" w:rsidR="00AC2C38">
        <w:rPr>
          <w:rFonts w:eastAsia="Times New Roman" w:cs="Arial"/>
          <w:color w:val="000000"/>
        </w:rPr>
        <w:t>, (b)</w:t>
      </w:r>
      <w:r w:rsidRPr="00F17B44" w:rsidR="00100B9E">
        <w:rPr>
          <w:rFonts w:eastAsia="Times New Roman" w:cs="Arial"/>
          <w:color w:val="000000"/>
        </w:rPr>
        <w:t>.)</w:t>
      </w:r>
      <w:r w:rsidRPr="00F17B44" w:rsidR="006417CD">
        <w:rPr>
          <w:rFonts w:eastAsia="Times New Roman" w:cs="Arial"/>
          <w:color w:val="000000"/>
        </w:rPr>
        <w:t xml:space="preserve"> </w:t>
      </w:r>
      <w:r w:rsidRPr="00F17B44" w:rsidR="0058628D">
        <w:rPr>
          <w:rFonts w:eastAsia="Times New Roman" w:cs="Arial"/>
          <w:color w:val="000000"/>
        </w:rPr>
        <w:t xml:space="preserve"> </w:t>
      </w:r>
      <w:r w:rsidRPr="00F17B44">
        <w:rPr>
          <w:rFonts w:eastAsia="Times New Roman" w:cs="Arial"/>
          <w:color w:val="000000"/>
        </w:rPr>
        <w:t>“Any tax imposed pursuant to Section 11911 shall be paid by any person who makes, signs or issues any document or instrument subject to the tax, or for whose use or benefit the same is made, signed or issued.”</w:t>
      </w:r>
      <w:r w:rsidRPr="00F17B44" w:rsidR="0058628D">
        <w:rPr>
          <w:rFonts w:eastAsia="Times New Roman" w:cs="Arial"/>
          <w:color w:val="000000"/>
        </w:rPr>
        <w:t xml:space="preserve"> </w:t>
      </w:r>
      <w:r w:rsidRPr="00F17B44">
        <w:rPr>
          <w:rFonts w:eastAsia="Times New Roman" w:cs="Arial"/>
          <w:color w:val="000000"/>
        </w:rPr>
        <w:t xml:space="preserve"> (§ 11912</w:t>
      </w:r>
      <w:r w:rsidRPr="00F17B44" w:rsidR="004C6303">
        <w:rPr>
          <w:rFonts w:eastAsia="Times New Roman" w:cs="Arial"/>
          <w:color w:val="000000"/>
        </w:rPr>
        <w:t>.)</w:t>
      </w:r>
      <w:r w:rsidRPr="00F17B44" w:rsidR="0001468B">
        <w:rPr>
          <w:rFonts w:eastAsia="Times New Roman" w:cs="Arial"/>
          <w:color w:val="000000"/>
        </w:rPr>
        <w:t xml:space="preserve"> </w:t>
      </w:r>
      <w:r w:rsidRPr="00F17B44" w:rsidR="0058628D">
        <w:rPr>
          <w:rFonts w:eastAsia="Times New Roman" w:cs="Arial"/>
          <w:color w:val="000000"/>
        </w:rPr>
        <w:t xml:space="preserve"> </w:t>
      </w:r>
      <w:r w:rsidRPr="00F17B44" w:rsidR="0001468B">
        <w:rPr>
          <w:rFonts w:eastAsia="Times New Roman" w:cs="Arial"/>
          <w:color w:val="000000"/>
        </w:rPr>
        <w:t xml:space="preserve">Oakland, as a charter city, is </w:t>
      </w:r>
      <w:r w:rsidRPr="00F17B44" w:rsidR="0033280E">
        <w:rPr>
          <w:rFonts w:eastAsia="Times New Roman" w:cs="Arial"/>
          <w:color w:val="000000"/>
        </w:rPr>
        <w:t xml:space="preserve">also </w:t>
      </w:r>
      <w:r w:rsidRPr="00F17B44" w:rsidR="0001468B">
        <w:rPr>
          <w:rFonts w:eastAsia="Times New Roman" w:cs="Arial"/>
          <w:color w:val="000000"/>
        </w:rPr>
        <w:t xml:space="preserve">authorized </w:t>
      </w:r>
      <w:r w:rsidRPr="00F17B44" w:rsidR="00455BB2">
        <w:rPr>
          <w:rFonts w:eastAsia="Times New Roman" w:cs="Arial"/>
          <w:color w:val="000000"/>
        </w:rPr>
        <w:t xml:space="preserve">by </w:t>
      </w:r>
      <w:r w:rsidRPr="00F17B44" w:rsidR="00375CC8">
        <w:rPr>
          <w:rFonts w:eastAsia="Times New Roman" w:cs="Arial"/>
          <w:color w:val="000000"/>
        </w:rPr>
        <w:t>our</w:t>
      </w:r>
      <w:r w:rsidRPr="00F17B44" w:rsidR="00455BB2">
        <w:rPr>
          <w:rFonts w:eastAsia="Times New Roman" w:cs="Arial"/>
          <w:color w:val="000000"/>
        </w:rPr>
        <w:t xml:space="preserve"> state Constitution</w:t>
      </w:r>
      <w:r w:rsidRPr="00F17B44" w:rsidR="0074735E">
        <w:rPr>
          <w:rFonts w:eastAsia="Times New Roman" w:cs="Arial"/>
          <w:color w:val="000000"/>
        </w:rPr>
        <w:t xml:space="preserve"> </w:t>
      </w:r>
      <w:r w:rsidRPr="00F17B44" w:rsidR="0001468B">
        <w:rPr>
          <w:rFonts w:eastAsia="Times New Roman" w:cs="Arial"/>
          <w:color w:val="000000"/>
        </w:rPr>
        <w:t>to</w:t>
      </w:r>
      <w:r w:rsidRPr="00F17B44" w:rsidR="00CC6384">
        <w:rPr>
          <w:rFonts w:eastAsia="Times New Roman" w:cs="Arial"/>
          <w:color w:val="000000"/>
        </w:rPr>
        <w:t xml:space="preserve"> impose a transfer tax under the “home rule” </w:t>
      </w:r>
      <w:r w:rsidRPr="00F17B44" w:rsidR="00455BB2">
        <w:rPr>
          <w:rFonts w:eastAsia="Times New Roman" w:cs="Arial"/>
          <w:color w:val="000000"/>
        </w:rPr>
        <w:t>doct</w:t>
      </w:r>
      <w:r w:rsidRPr="00F17B44" w:rsidR="0074735E">
        <w:rPr>
          <w:rFonts w:eastAsia="Times New Roman" w:cs="Arial"/>
          <w:color w:val="000000"/>
        </w:rPr>
        <w:t>r</w:t>
      </w:r>
      <w:r w:rsidRPr="00F17B44" w:rsidR="00455BB2">
        <w:rPr>
          <w:rFonts w:eastAsia="Times New Roman" w:cs="Arial"/>
          <w:color w:val="000000"/>
        </w:rPr>
        <w:t>ine</w:t>
      </w:r>
      <w:r w:rsidRPr="00F17B44" w:rsidR="00CC6384">
        <w:rPr>
          <w:rFonts w:eastAsia="Times New Roman" w:cs="Arial"/>
          <w:color w:val="000000"/>
        </w:rPr>
        <w:t xml:space="preserve">. </w:t>
      </w:r>
      <w:r w:rsidRPr="00F17B44" w:rsidR="0058628D">
        <w:rPr>
          <w:rFonts w:eastAsia="Times New Roman" w:cs="Arial"/>
          <w:color w:val="000000"/>
        </w:rPr>
        <w:t xml:space="preserve"> </w:t>
      </w:r>
      <w:r w:rsidRPr="00F17B44" w:rsidR="0074735E">
        <w:rPr>
          <w:rFonts w:eastAsia="Times New Roman" w:cs="Arial"/>
          <w:color w:val="000000"/>
        </w:rPr>
        <w:t xml:space="preserve">(See </w:t>
      </w:r>
      <w:r w:rsidRPr="00F17B44" w:rsidR="00455BB2">
        <w:rPr>
          <w:rFonts w:eastAsia="Times New Roman" w:cs="Arial"/>
          <w:i/>
          <w:iCs/>
          <w:color w:val="000000"/>
        </w:rPr>
        <w:t>CIM Urban Reit 211 Main St. (SF), LP v. City and County of San Francisco</w:t>
      </w:r>
      <w:r w:rsidRPr="00F17B44" w:rsidR="00455BB2">
        <w:rPr>
          <w:rFonts w:eastAsia="Times New Roman" w:cs="Arial"/>
          <w:color w:val="000000"/>
        </w:rPr>
        <w:t xml:space="preserve"> (2022) 75 Cal.App.5th 939, 949–950</w:t>
      </w:r>
      <w:r w:rsidRPr="00F17B44" w:rsidR="0074735E">
        <w:rPr>
          <w:rFonts w:eastAsia="Times New Roman" w:cs="Arial"/>
          <w:color w:val="000000"/>
        </w:rPr>
        <w:t>.)</w:t>
      </w:r>
    </w:p>
    <w:p w:rsidR="005B6B48" w:rsidRPr="00F17B44" w:rsidP="00100B9E" w14:paraId="20F3BB55" w14:textId="321E2E77">
      <w:pPr>
        <w:rPr>
          <w:rFonts w:eastAsia="Times New Roman" w:cs="Arial"/>
          <w:color w:val="000000"/>
        </w:rPr>
      </w:pPr>
      <w:r w:rsidRPr="00F17B44">
        <w:rPr>
          <w:rFonts w:eastAsia="Times New Roman" w:cs="Arial"/>
          <w:color w:val="000000"/>
        </w:rPr>
        <w:tab/>
      </w:r>
      <w:r w:rsidRPr="00F17B44" w:rsidR="006417CD">
        <w:rPr>
          <w:rFonts w:eastAsia="Times New Roman" w:cs="Arial"/>
          <w:color w:val="000000"/>
        </w:rPr>
        <w:t>“</w:t>
      </w:r>
      <w:r w:rsidRPr="00F17B44" w:rsidR="00100B9E">
        <w:rPr>
          <w:rFonts w:eastAsia="Times New Roman" w:cs="Arial"/>
          <w:color w:val="000000"/>
        </w:rPr>
        <w:t xml:space="preserve">Section 11911 is derived from a provision of the former federal documentary stamp act </w:t>
      </w:r>
      <w:r w:rsidRPr="00F17B44" w:rsidR="001D6DF2">
        <w:rPr>
          <w:rFonts w:eastAsia="Times New Roman" w:cs="Arial"/>
          <w:color w:val="000000"/>
        </w:rPr>
        <w:t xml:space="preserve">. . . </w:t>
      </w:r>
      <w:r w:rsidRPr="00F17B44" w:rsidR="00100B9E">
        <w:rPr>
          <w:rFonts w:eastAsia="Times New Roman" w:cs="Arial"/>
          <w:color w:val="000000"/>
        </w:rPr>
        <w:t xml:space="preserve">(26 U.S.C. former § 4301 et seq. (1964), repealed by Pub.L. </w:t>
      </w:r>
      <w:r w:rsidRPr="00F17B44" w:rsidR="001D48B2">
        <w:rPr>
          <w:rFonts w:eastAsia="Times New Roman" w:cs="Arial"/>
          <w:color w:val="000000"/>
        </w:rPr>
        <w:t xml:space="preserve">No. </w:t>
      </w:r>
      <w:r w:rsidRPr="00F17B44" w:rsidR="00100B9E">
        <w:rPr>
          <w:rFonts w:eastAsia="Times New Roman" w:cs="Arial"/>
          <w:color w:val="000000"/>
        </w:rPr>
        <w:t>89-44, tit. VIII, § 802(a)(2) (June 21, 1965) 79 Stat. 159).</w:t>
      </w:r>
      <w:r w:rsidR="00C10AE5">
        <w:rPr>
          <w:rFonts w:eastAsia="Times New Roman" w:cs="Arial"/>
          <w:color w:val="000000"/>
        </w:rPr>
        <w:t>”</w:t>
      </w:r>
      <w:r w:rsidRPr="00F17B44" w:rsidR="00100B9E">
        <w:rPr>
          <w:rFonts w:eastAsia="Times New Roman" w:cs="Arial"/>
          <w:color w:val="000000"/>
        </w:rPr>
        <w:t xml:space="preserve"> </w:t>
      </w:r>
      <w:r w:rsidRPr="00F17B44" w:rsidR="0058628D">
        <w:rPr>
          <w:rFonts w:eastAsia="Times New Roman" w:cs="Arial"/>
          <w:color w:val="000000"/>
        </w:rPr>
        <w:t xml:space="preserve"> </w:t>
      </w:r>
      <w:r w:rsidRPr="00F17B44" w:rsidR="00C10AE5">
        <w:rPr>
          <w:rFonts w:eastAsia="Times New Roman" w:cs="Arial"/>
          <w:color w:val="000000"/>
        </w:rPr>
        <w:t>(</w:t>
      </w:r>
      <w:r w:rsidRPr="00F17B44" w:rsidR="00C10AE5">
        <w:rPr>
          <w:rFonts w:eastAsia="Times New Roman" w:cs="Arial"/>
          <w:i/>
          <w:iCs/>
          <w:color w:val="000000"/>
        </w:rPr>
        <w:t>North Ardmore, supra,</w:t>
      </w:r>
      <w:r w:rsidRPr="00F17B44" w:rsidR="00C10AE5">
        <w:rPr>
          <w:rFonts w:eastAsia="Times New Roman" w:cs="Arial"/>
          <w:color w:val="000000"/>
        </w:rPr>
        <w:t xml:space="preserve"> 3 Cal.5th at p. 329.)</w:t>
      </w:r>
      <w:r w:rsidR="00C10AE5">
        <w:rPr>
          <w:rFonts w:eastAsia="Times New Roman" w:cs="Arial"/>
          <w:color w:val="000000"/>
        </w:rPr>
        <w:t xml:space="preserve">  </w:t>
      </w:r>
      <w:r w:rsidRPr="00F17B44" w:rsidR="001F4F68">
        <w:rPr>
          <w:rFonts w:eastAsia="Times New Roman" w:cs="Arial"/>
          <w:color w:val="000000"/>
        </w:rPr>
        <w:t>Like documentary transfer taxes under our state and local law, t</w:t>
      </w:r>
      <w:r w:rsidRPr="00F17B44" w:rsidR="00100B9E">
        <w:rPr>
          <w:rFonts w:eastAsia="Times New Roman" w:cs="Arial"/>
          <w:color w:val="000000"/>
        </w:rPr>
        <w:t xml:space="preserve">he </w:t>
      </w:r>
      <w:r w:rsidRPr="00F17B44" w:rsidR="001F4F68">
        <w:rPr>
          <w:rFonts w:eastAsia="Times New Roman" w:cs="Arial"/>
          <w:color w:val="000000"/>
        </w:rPr>
        <w:t>federal “</w:t>
      </w:r>
      <w:r w:rsidRPr="00F17B44" w:rsidR="00100B9E">
        <w:rPr>
          <w:rFonts w:eastAsia="Times New Roman" w:cs="Arial"/>
          <w:color w:val="000000"/>
        </w:rPr>
        <w:t xml:space="preserve">stamp act also imposed a tax on written instruments conveying </w:t>
      </w:r>
      <w:r w:rsidRPr="00F17B44" w:rsidR="00B76F5D">
        <w:rPr>
          <w:rFonts w:eastAsia="Times New Roman" w:cs="Arial"/>
          <w:color w:val="000000"/>
        </w:rPr>
        <w:t>‘</w:t>
      </w:r>
      <w:r w:rsidRPr="00F17B44" w:rsidR="00100B9E">
        <w:rPr>
          <w:rFonts w:eastAsia="Times New Roman" w:cs="Arial"/>
          <w:color w:val="000000"/>
        </w:rPr>
        <w:t>lands, tenements, or other realty sold</w:t>
      </w:r>
      <w:r w:rsidRPr="00F17B44" w:rsidR="001D48B2">
        <w:rPr>
          <w:rFonts w:eastAsia="Times New Roman" w:cs="Arial"/>
          <w:color w:val="000000"/>
        </w:rPr>
        <w:t>’</w:t>
      </w:r>
      <w:r w:rsidRPr="00F17B44" w:rsidR="00100B9E">
        <w:rPr>
          <w:rFonts w:eastAsia="Times New Roman" w:cs="Arial"/>
          <w:color w:val="000000"/>
        </w:rPr>
        <w:t xml:space="preserve"> in return for consideration.</w:t>
      </w:r>
      <w:r w:rsidRPr="00F17B44" w:rsidR="0058628D">
        <w:rPr>
          <w:rFonts w:eastAsia="Times New Roman" w:cs="Arial"/>
          <w:color w:val="000000"/>
        </w:rPr>
        <w:t xml:space="preserve"> </w:t>
      </w:r>
      <w:r w:rsidRPr="00F17B44" w:rsidR="00100B9E">
        <w:rPr>
          <w:rFonts w:eastAsia="Times New Roman" w:cs="Arial"/>
          <w:color w:val="000000"/>
        </w:rPr>
        <w:t xml:space="preserve"> (26 U.S.C. former § 4361 (1964).)</w:t>
      </w:r>
      <w:r w:rsidRPr="00F17B44" w:rsidR="00B76F5D">
        <w:rPr>
          <w:rFonts w:eastAsia="Times New Roman" w:cs="Arial"/>
          <w:color w:val="000000"/>
        </w:rPr>
        <w:t>”</w:t>
      </w:r>
      <w:r w:rsidRPr="00F17B44" w:rsidR="0058628D">
        <w:rPr>
          <w:rFonts w:eastAsia="Times New Roman" w:cs="Arial"/>
          <w:color w:val="000000"/>
        </w:rPr>
        <w:t xml:space="preserve"> </w:t>
      </w:r>
      <w:r w:rsidRPr="00F17B44" w:rsidR="00B76F5D">
        <w:rPr>
          <w:rFonts w:eastAsia="Times New Roman" w:cs="Arial"/>
          <w:color w:val="000000"/>
        </w:rPr>
        <w:t xml:space="preserve"> (</w:t>
      </w:r>
      <w:r w:rsidR="00C10AE5">
        <w:rPr>
          <w:rFonts w:eastAsia="Times New Roman" w:cs="Arial"/>
          <w:i/>
          <w:iCs/>
          <w:color w:val="000000"/>
        </w:rPr>
        <w:t>Ibid.)</w:t>
      </w:r>
    </w:p>
    <w:p w:rsidR="00CE764B" w:rsidRPr="00F17B44" w:rsidP="005E59E8" w14:paraId="03540556" w14:textId="1D20A8BD">
      <w:pPr>
        <w:rPr>
          <w:rFonts w:eastAsia="Times New Roman" w:cs="Arial"/>
          <w:color w:val="000000"/>
        </w:rPr>
      </w:pPr>
      <w:r w:rsidRPr="00F17B44">
        <w:rPr>
          <w:rFonts w:eastAsia="Times New Roman" w:cs="Arial"/>
          <w:color w:val="000000"/>
        </w:rPr>
        <w:tab/>
      </w:r>
      <w:r w:rsidRPr="00F17B44" w:rsidR="00AF1A02">
        <w:rPr>
          <w:rFonts w:eastAsia="Times New Roman" w:cs="Arial"/>
          <w:color w:val="000000"/>
        </w:rPr>
        <w:t>S</w:t>
      </w:r>
      <w:r w:rsidRPr="00F17B44" w:rsidR="00983A95">
        <w:rPr>
          <w:rFonts w:eastAsia="Times New Roman" w:cs="Arial"/>
          <w:color w:val="000000"/>
        </w:rPr>
        <w:t xml:space="preserve">ection 11922 provides </w:t>
      </w:r>
      <w:r w:rsidRPr="00F17B44" w:rsidR="00EC539E">
        <w:rPr>
          <w:rFonts w:eastAsia="Times New Roman" w:cs="Arial"/>
          <w:color w:val="000000"/>
        </w:rPr>
        <w:t xml:space="preserve">for </w:t>
      </w:r>
      <w:r w:rsidRPr="00F17B44" w:rsidR="003F5445">
        <w:rPr>
          <w:rFonts w:eastAsia="Times New Roman" w:cs="Arial"/>
          <w:color w:val="000000"/>
        </w:rPr>
        <w:t xml:space="preserve">an </w:t>
      </w:r>
      <w:r w:rsidRPr="00F17B44" w:rsidR="00DF5304">
        <w:rPr>
          <w:rFonts w:eastAsia="Times New Roman" w:cs="Arial"/>
          <w:color w:val="000000"/>
        </w:rPr>
        <w:t>e</w:t>
      </w:r>
      <w:r w:rsidRPr="00F17B44" w:rsidR="00EC539E">
        <w:rPr>
          <w:rFonts w:eastAsia="Times New Roman" w:cs="Arial"/>
          <w:color w:val="000000"/>
        </w:rPr>
        <w:t>xemption</w:t>
      </w:r>
      <w:r w:rsidRPr="00F17B44" w:rsidR="003F5445">
        <w:rPr>
          <w:rFonts w:eastAsia="Times New Roman" w:cs="Arial"/>
          <w:color w:val="000000"/>
        </w:rPr>
        <w:t xml:space="preserve"> for</w:t>
      </w:r>
      <w:r w:rsidRPr="00F17B44" w:rsidR="000610FF">
        <w:rPr>
          <w:rFonts w:eastAsia="Times New Roman" w:cs="Arial"/>
          <w:color w:val="000000"/>
        </w:rPr>
        <w:t xml:space="preserve"> state </w:t>
      </w:r>
      <w:r w:rsidRPr="00F17B44" w:rsidR="007E7AA0">
        <w:rPr>
          <w:rFonts w:eastAsia="Times New Roman" w:cs="Arial"/>
          <w:color w:val="000000"/>
        </w:rPr>
        <w:t xml:space="preserve">entities and </w:t>
      </w:r>
      <w:r w:rsidRPr="00F17B44" w:rsidR="000610FF">
        <w:rPr>
          <w:rFonts w:eastAsia="Times New Roman" w:cs="Arial"/>
          <w:color w:val="000000"/>
        </w:rPr>
        <w:t>political subdivision</w:t>
      </w:r>
      <w:r w:rsidRPr="00F17B44" w:rsidR="007E7AA0">
        <w:rPr>
          <w:rFonts w:eastAsia="Times New Roman" w:cs="Arial"/>
          <w:color w:val="000000"/>
        </w:rPr>
        <w:t>s</w:t>
      </w:r>
      <w:r w:rsidRPr="00F17B44" w:rsidR="001F4F68">
        <w:rPr>
          <w:rFonts w:eastAsia="Times New Roman" w:cs="Arial"/>
          <w:color w:val="000000"/>
        </w:rPr>
        <w:t xml:space="preserve">, stating </w:t>
      </w:r>
      <w:r w:rsidRPr="00F17B44" w:rsidR="00983A95">
        <w:rPr>
          <w:rFonts w:eastAsia="Times New Roman" w:cs="Arial"/>
          <w:color w:val="000000"/>
        </w:rPr>
        <w:t>“</w:t>
      </w:r>
      <w:r w:rsidRPr="00F17B44" w:rsidR="005E59E8">
        <w:rPr>
          <w:rFonts w:eastAsia="Times New Roman" w:cs="Arial"/>
          <w:color w:val="000000"/>
        </w:rPr>
        <w:t>Any deed, instrument or writing to which the United States or any agency or instrumentality thereof, any state or territory, or political subdivision thereof, is a party shall be exempt from any tax imposed pursuant to this part when the exempt agency is acquiring title.</w:t>
      </w:r>
      <w:r w:rsidRPr="00F17B44" w:rsidR="005F1499">
        <w:rPr>
          <w:rFonts w:eastAsia="Times New Roman" w:cs="Arial"/>
          <w:color w:val="000000"/>
        </w:rPr>
        <w:t>”</w:t>
      </w:r>
      <w:r w:rsidRPr="00F17B44" w:rsidR="0058628D">
        <w:rPr>
          <w:rFonts w:eastAsia="Times New Roman" w:cs="Arial"/>
          <w:color w:val="000000"/>
        </w:rPr>
        <w:t xml:space="preserve"> </w:t>
      </w:r>
      <w:r w:rsidRPr="00F17B44" w:rsidR="00983A95">
        <w:rPr>
          <w:rFonts w:eastAsia="Times New Roman" w:cs="Arial"/>
          <w:color w:val="000000"/>
        </w:rPr>
        <w:t xml:space="preserve"> </w:t>
      </w:r>
    </w:p>
    <w:p w:rsidR="00F04F5B" w:rsidRPr="00F17B44" w:rsidP="001D48B2" w14:paraId="360BE6A1" w14:textId="258C05F1">
      <w:r w:rsidRPr="00F17B44">
        <w:tab/>
      </w:r>
      <w:r w:rsidRPr="00F17B44" w:rsidR="007E7AA0">
        <w:t xml:space="preserve">Pursuant to </w:t>
      </w:r>
      <w:r w:rsidRPr="00F17B44" w:rsidR="00D04716">
        <w:t xml:space="preserve">this </w:t>
      </w:r>
      <w:r w:rsidRPr="00F17B44" w:rsidR="007E7AA0">
        <w:t xml:space="preserve">statutory </w:t>
      </w:r>
      <w:r w:rsidRPr="00F17B44" w:rsidR="00D04716">
        <w:t xml:space="preserve">authority, both </w:t>
      </w:r>
      <w:r w:rsidRPr="00F17B44" w:rsidR="00733CF5">
        <w:t>the City and County</w:t>
      </w:r>
      <w:r w:rsidRPr="00F17B44" w:rsidR="00D04716">
        <w:t xml:space="preserve"> enacted </w:t>
      </w:r>
      <w:r w:rsidRPr="00F17B44" w:rsidR="00987BF7">
        <w:t xml:space="preserve">documentary </w:t>
      </w:r>
      <w:r w:rsidRPr="00F17B44" w:rsidR="00D04716">
        <w:t>transfer taxes</w:t>
      </w:r>
      <w:r w:rsidRPr="00F17B44" w:rsidR="00A66AC4">
        <w:t xml:space="preserve"> </w:t>
      </w:r>
      <w:r w:rsidRPr="00F17B44" w:rsidR="00591C1E">
        <w:t xml:space="preserve">that </w:t>
      </w:r>
      <w:r w:rsidRPr="00F17B44" w:rsidR="00A66AC4">
        <w:t xml:space="preserve">provide </w:t>
      </w:r>
      <w:r w:rsidRPr="00F17B44" w:rsidR="00591C1E">
        <w:t xml:space="preserve">an </w:t>
      </w:r>
      <w:r w:rsidRPr="00F17B44" w:rsidR="00A66AC4">
        <w:t>exemption for government entities.</w:t>
      </w:r>
      <w:r w:rsidRPr="00F17B44" w:rsidR="00D04716">
        <w:t xml:space="preserve"> </w:t>
      </w:r>
      <w:r w:rsidRPr="00F17B44" w:rsidR="0058628D">
        <w:t xml:space="preserve"> </w:t>
      </w:r>
      <w:r w:rsidRPr="00F17B44" w:rsidR="00002365">
        <w:t>(</w:t>
      </w:r>
      <w:r w:rsidRPr="00F17B44" w:rsidR="002817B5">
        <w:t xml:space="preserve">Oakland </w:t>
      </w:r>
      <w:r w:rsidRPr="00F17B44" w:rsidR="001D48B2">
        <w:t>Mun.</w:t>
      </w:r>
      <w:r w:rsidRPr="00F17B44" w:rsidR="00BD5688">
        <w:t xml:space="preserve"> Code</w:t>
      </w:r>
      <w:r w:rsidRPr="00F17B44" w:rsidR="0058628D">
        <w:t>,</w:t>
      </w:r>
      <w:r w:rsidRPr="00F17B44" w:rsidR="00BD5688">
        <w:t xml:space="preserve"> </w:t>
      </w:r>
      <w:r w:rsidRPr="00F17B44" w:rsidR="00E22ABA">
        <w:t>§§</w:t>
      </w:r>
      <w:r w:rsidRPr="00F17B44" w:rsidR="001D48B2">
        <w:t> </w:t>
      </w:r>
      <w:r w:rsidRPr="00F17B44" w:rsidR="00BD5688">
        <w:t>4.20.020</w:t>
      </w:r>
      <w:r w:rsidRPr="00F17B44" w:rsidR="00EC6F27">
        <w:t>, 4.20.040</w:t>
      </w:r>
      <w:r w:rsidRPr="00F17B44" w:rsidR="00E85408">
        <w:t>, 4.20.050(</w:t>
      </w:r>
      <w:r w:rsidRPr="00F17B44" w:rsidR="0056555D">
        <w:t>E)</w:t>
      </w:r>
      <w:r w:rsidRPr="00F17B44" w:rsidR="00733CF5">
        <w:t xml:space="preserve">; Alameda </w:t>
      </w:r>
      <w:r w:rsidRPr="00F17B44" w:rsidR="001D48B2">
        <w:t>Ord.</w:t>
      </w:r>
      <w:r w:rsidRPr="00F17B44" w:rsidR="00733CF5">
        <w:t xml:space="preserve"> Code</w:t>
      </w:r>
      <w:r w:rsidRPr="00F17B44" w:rsidR="0058628D">
        <w:t>,</w:t>
      </w:r>
      <w:r w:rsidRPr="00F17B44" w:rsidR="00733CF5">
        <w:t xml:space="preserve"> §§</w:t>
      </w:r>
      <w:r w:rsidRPr="00F17B44" w:rsidR="0058628D">
        <w:t> </w:t>
      </w:r>
      <w:r w:rsidRPr="00F17B44" w:rsidR="00733CF5">
        <w:t>2.04.020, 2.04.060</w:t>
      </w:r>
      <w:r w:rsidRPr="00F17B44" w:rsidR="00BD5688">
        <w:t>.)</w:t>
      </w:r>
      <w:r w:rsidRPr="00F17B44" w:rsidR="00716EB6">
        <w:t xml:space="preserve"> </w:t>
      </w:r>
    </w:p>
    <w:p w:rsidR="00517B57" w:rsidRPr="00F17B44" w:rsidP="005E59E8" w14:paraId="7D8EFE9B" w14:textId="0D93D6B7">
      <w:pPr>
        <w:rPr>
          <w:rFonts w:eastAsia="Times New Roman" w:cs="Arial"/>
          <w:color w:val="000000"/>
        </w:rPr>
      </w:pPr>
      <w:r w:rsidRPr="00F17B44">
        <w:rPr>
          <w:rFonts w:eastAsia="Times New Roman" w:cs="Arial"/>
          <w:color w:val="000000"/>
        </w:rPr>
        <w:tab/>
        <w:t>Oakland’s exemption states</w:t>
      </w:r>
      <w:r w:rsidRPr="00F17B44" w:rsidR="00591C1E">
        <w:rPr>
          <w:rFonts w:eastAsia="Times New Roman" w:cs="Arial"/>
          <w:color w:val="000000"/>
        </w:rPr>
        <w:t>,</w:t>
      </w:r>
      <w:r w:rsidRPr="00F17B44">
        <w:rPr>
          <w:rFonts w:eastAsia="Times New Roman" w:cs="Arial"/>
          <w:color w:val="000000"/>
        </w:rPr>
        <w:t xml:space="preserve"> “</w:t>
      </w:r>
      <w:r w:rsidRPr="00F17B44" w:rsidR="00591C1E">
        <w:rPr>
          <w:rFonts w:eastAsia="Times New Roman" w:cs="Arial"/>
          <w:color w:val="000000"/>
        </w:rPr>
        <w:t>t</w:t>
      </w:r>
      <w:r w:rsidRPr="00F17B44">
        <w:rPr>
          <w:rFonts w:eastAsia="Times New Roman" w:cs="Arial"/>
          <w:color w:val="000000"/>
        </w:rPr>
        <w:t xml:space="preserve">he United States, state of California, any city, county, city and county, district or any other political subdivision of the state of California shall be exempt from any liability for the tax imposed herein.” </w:t>
      </w:r>
      <w:r w:rsidRPr="00F17B44" w:rsidR="005F380A">
        <w:rPr>
          <w:rFonts w:eastAsia="Times New Roman" w:cs="Arial"/>
          <w:color w:val="000000"/>
        </w:rPr>
        <w:t xml:space="preserve"> </w:t>
      </w:r>
      <w:r w:rsidRPr="00F17B44">
        <w:rPr>
          <w:rFonts w:eastAsia="Times New Roman" w:cs="Arial"/>
          <w:color w:val="000000"/>
        </w:rPr>
        <w:t>(Oakland Mun</w:t>
      </w:r>
      <w:r w:rsidRPr="00F17B44" w:rsidR="0058628D">
        <w:rPr>
          <w:rFonts w:eastAsia="Times New Roman" w:cs="Arial"/>
          <w:color w:val="000000"/>
        </w:rPr>
        <w:t>.</w:t>
      </w:r>
      <w:r w:rsidRPr="00F17B44">
        <w:rPr>
          <w:rFonts w:eastAsia="Times New Roman" w:cs="Arial"/>
          <w:color w:val="000000"/>
        </w:rPr>
        <w:t xml:space="preserve"> Code</w:t>
      </w:r>
      <w:r w:rsidRPr="00F17B44" w:rsidR="0058628D">
        <w:rPr>
          <w:rFonts w:eastAsia="Times New Roman" w:cs="Arial"/>
          <w:color w:val="000000"/>
        </w:rPr>
        <w:t>,</w:t>
      </w:r>
      <w:r w:rsidRPr="00F17B44">
        <w:rPr>
          <w:rFonts w:eastAsia="Times New Roman" w:cs="Arial"/>
          <w:color w:val="000000"/>
        </w:rPr>
        <w:t xml:space="preserve"> </w:t>
      </w:r>
      <w:r w:rsidRPr="00F17B44">
        <w:t>§</w:t>
      </w:r>
      <w:r w:rsidRPr="00F17B44">
        <w:rPr>
          <w:rFonts w:eastAsia="Times New Roman" w:cs="Arial"/>
          <w:color w:val="000000"/>
        </w:rPr>
        <w:t xml:space="preserve"> 4.</w:t>
      </w:r>
      <w:r w:rsidRPr="00F17B44" w:rsidR="005F380A">
        <w:rPr>
          <w:rFonts w:eastAsia="Times New Roman" w:cs="Arial"/>
          <w:color w:val="000000"/>
        </w:rPr>
        <w:t>2</w:t>
      </w:r>
      <w:r w:rsidRPr="00F17B44">
        <w:rPr>
          <w:rFonts w:eastAsia="Times New Roman" w:cs="Arial"/>
          <w:color w:val="000000"/>
        </w:rPr>
        <w:t xml:space="preserve">0.040.)  </w:t>
      </w:r>
      <w:r w:rsidRPr="00F17B44" w:rsidR="00A13DE5">
        <w:rPr>
          <w:rFonts w:eastAsia="Times New Roman" w:cs="Arial"/>
          <w:color w:val="000000"/>
        </w:rPr>
        <w:t>Alameda County</w:t>
      </w:r>
      <w:r w:rsidRPr="00F17B44" w:rsidR="007E7AA0">
        <w:rPr>
          <w:rFonts w:eastAsia="Times New Roman" w:cs="Arial"/>
          <w:color w:val="000000"/>
        </w:rPr>
        <w:t>’s</w:t>
      </w:r>
      <w:r w:rsidRPr="00F17B44" w:rsidR="00A13DE5">
        <w:rPr>
          <w:rFonts w:eastAsia="Times New Roman" w:cs="Arial"/>
          <w:color w:val="000000"/>
        </w:rPr>
        <w:t xml:space="preserve"> </w:t>
      </w:r>
      <w:r w:rsidRPr="00F17B44">
        <w:rPr>
          <w:rFonts w:eastAsia="Times New Roman" w:cs="Arial"/>
          <w:color w:val="000000"/>
        </w:rPr>
        <w:t>exemption similarly states</w:t>
      </w:r>
      <w:r w:rsidRPr="00F17B44" w:rsidR="00591C1E">
        <w:rPr>
          <w:rFonts w:eastAsia="Times New Roman" w:cs="Arial"/>
          <w:color w:val="000000"/>
        </w:rPr>
        <w:t xml:space="preserve">, </w:t>
      </w:r>
      <w:r w:rsidRPr="00F17B44" w:rsidR="00A13DE5">
        <w:rPr>
          <w:rFonts w:eastAsia="Times New Roman" w:cs="Arial"/>
          <w:color w:val="000000"/>
        </w:rPr>
        <w:t>“Any deed</w:t>
      </w:r>
      <w:r w:rsidRPr="00F17B44" w:rsidR="005F380A">
        <w:rPr>
          <w:rFonts w:eastAsia="Times New Roman" w:cs="Arial"/>
          <w:color w:val="000000"/>
        </w:rPr>
        <w:t>,</w:t>
      </w:r>
      <w:r w:rsidRPr="00F17B44" w:rsidR="00A13DE5">
        <w:rPr>
          <w:rFonts w:eastAsia="Times New Roman" w:cs="Arial"/>
          <w:color w:val="000000"/>
        </w:rPr>
        <w:t xml:space="preserve"> instrument </w:t>
      </w:r>
      <w:r w:rsidRPr="00F17B44" w:rsidR="005F380A">
        <w:rPr>
          <w:rFonts w:eastAsia="Times New Roman" w:cs="Arial"/>
          <w:color w:val="000000"/>
        </w:rPr>
        <w:t xml:space="preserve">or </w:t>
      </w:r>
      <w:r w:rsidRPr="00F17B44" w:rsidR="00A13DE5">
        <w:rPr>
          <w:rFonts w:eastAsia="Times New Roman" w:cs="Arial"/>
          <w:color w:val="000000"/>
        </w:rPr>
        <w:t>writing to which the United States or agency or instrumentality ther</w:t>
      </w:r>
      <w:r w:rsidRPr="00F17B44" w:rsidR="00CC524A">
        <w:rPr>
          <w:rFonts w:eastAsia="Times New Roman" w:cs="Arial"/>
          <w:color w:val="000000"/>
        </w:rPr>
        <w:t>e</w:t>
      </w:r>
      <w:r w:rsidRPr="00F17B44" w:rsidR="00A13DE5">
        <w:rPr>
          <w:rFonts w:eastAsia="Times New Roman" w:cs="Arial"/>
          <w:color w:val="000000"/>
        </w:rPr>
        <w:t xml:space="preserve">of, </w:t>
      </w:r>
      <w:r w:rsidRPr="00F17B44" w:rsidR="00CC524A">
        <w:rPr>
          <w:rFonts w:eastAsia="Times New Roman" w:cs="Arial"/>
          <w:color w:val="000000"/>
        </w:rPr>
        <w:t xml:space="preserve">any state or territory, or political subdivision </w:t>
      </w:r>
      <w:r w:rsidRPr="00F17B44" w:rsidR="00FA0DA9">
        <w:rPr>
          <w:rFonts w:eastAsia="Times New Roman" w:cs="Arial"/>
          <w:color w:val="000000"/>
        </w:rPr>
        <w:t>thereof, is a party shall be exempt from any tax imposed pursuant to this cha</w:t>
      </w:r>
      <w:r w:rsidRPr="00F17B44" w:rsidR="002816F8">
        <w:rPr>
          <w:rFonts w:eastAsia="Times New Roman" w:cs="Arial"/>
          <w:color w:val="000000"/>
        </w:rPr>
        <w:t>p</w:t>
      </w:r>
      <w:r w:rsidRPr="00F17B44" w:rsidR="00FA0DA9">
        <w:rPr>
          <w:rFonts w:eastAsia="Times New Roman" w:cs="Arial"/>
          <w:color w:val="000000"/>
        </w:rPr>
        <w:t>ter when the exempt entity of government i</w:t>
      </w:r>
      <w:r w:rsidRPr="00F17B44" w:rsidR="00E93451">
        <w:rPr>
          <w:rFonts w:eastAsia="Times New Roman" w:cs="Arial"/>
          <w:color w:val="000000"/>
        </w:rPr>
        <w:t>s acquiring title.”</w:t>
      </w:r>
      <w:r w:rsidRPr="00F17B44">
        <w:rPr>
          <w:rFonts w:eastAsia="Times New Roman" w:cs="Arial"/>
          <w:color w:val="000000"/>
        </w:rPr>
        <w:t xml:space="preserve">  (Alameda Ord</w:t>
      </w:r>
      <w:r w:rsidRPr="00F17B44" w:rsidR="0058628D">
        <w:rPr>
          <w:rFonts w:eastAsia="Times New Roman" w:cs="Arial"/>
          <w:color w:val="000000"/>
        </w:rPr>
        <w:t>.</w:t>
      </w:r>
      <w:r w:rsidRPr="00F17B44">
        <w:rPr>
          <w:rFonts w:eastAsia="Times New Roman" w:cs="Arial"/>
          <w:color w:val="000000"/>
        </w:rPr>
        <w:t xml:space="preserve"> Code</w:t>
      </w:r>
      <w:r w:rsidRPr="00F17B44" w:rsidR="0058628D">
        <w:rPr>
          <w:rFonts w:eastAsia="Times New Roman" w:cs="Arial"/>
          <w:color w:val="000000"/>
        </w:rPr>
        <w:t>,</w:t>
      </w:r>
      <w:r w:rsidRPr="00F17B44">
        <w:rPr>
          <w:rFonts w:eastAsia="Times New Roman" w:cs="Arial"/>
          <w:color w:val="000000"/>
        </w:rPr>
        <w:t xml:space="preserve"> </w:t>
      </w:r>
      <w:r w:rsidRPr="00F17B44">
        <w:t xml:space="preserve">§ </w:t>
      </w:r>
      <w:r w:rsidRPr="00F17B44">
        <w:rPr>
          <w:rFonts w:eastAsia="Times New Roman" w:cs="Arial"/>
          <w:color w:val="000000"/>
        </w:rPr>
        <w:t>2.04.060.)</w:t>
      </w:r>
      <w:r w:rsidRPr="00F17B44" w:rsidR="00D04716">
        <w:rPr>
          <w:rFonts w:eastAsia="Times New Roman" w:cs="Arial"/>
          <w:color w:val="000000"/>
        </w:rPr>
        <w:t xml:space="preserve"> </w:t>
      </w:r>
    </w:p>
    <w:p w:rsidR="004477E0" w:rsidRPr="00F17B44" w:rsidP="004477E0" w14:paraId="633312FD" w14:textId="30D29D14">
      <w:pPr>
        <w:rPr>
          <w:rFonts w:eastAsia="Times New Roman" w:cs="Arial"/>
          <w:color w:val="000000"/>
        </w:rPr>
      </w:pPr>
      <w:r w:rsidRPr="00F17B44">
        <w:rPr>
          <w:rFonts w:eastAsia="Times New Roman" w:cs="Arial"/>
          <w:color w:val="000000"/>
        </w:rPr>
        <w:tab/>
        <w:t>“ ‘While it is generally recognized that tax exemption provisions must be strictly construed in favor of the taxing agency and against the taxpayer, nonetheless such construction must be fair and reasonable with due regard for the ordinary meaning of the language used and the objective sought to be accomplished.’</w:t>
      </w:r>
      <w:r w:rsidRPr="00F17B44" w:rsidR="0058628D">
        <w:rPr>
          <w:rFonts w:eastAsia="Times New Roman" w:cs="Arial"/>
          <w:color w:val="000000"/>
        </w:rPr>
        <w:t xml:space="preserve"> </w:t>
      </w:r>
      <w:r w:rsidRPr="00F17B44">
        <w:rPr>
          <w:rFonts w:eastAsia="Times New Roman" w:cs="Arial"/>
          <w:color w:val="000000"/>
        </w:rPr>
        <w:t xml:space="preserve"> [Citation.]</w:t>
      </w:r>
      <w:r w:rsidRPr="00F17B44" w:rsidR="0058628D">
        <w:rPr>
          <w:rFonts w:eastAsia="Times New Roman" w:cs="Arial"/>
          <w:color w:val="000000"/>
        </w:rPr>
        <w:t xml:space="preserve"> </w:t>
      </w:r>
      <w:r w:rsidRPr="00F17B44">
        <w:rPr>
          <w:rFonts w:eastAsia="Times New Roman" w:cs="Arial"/>
          <w:color w:val="000000"/>
        </w:rPr>
        <w:t xml:space="preserve"> The rule requiring strict construction of tax exemption provisions does not apply to taxation of state property.</w:t>
      </w:r>
      <w:r w:rsidRPr="00F17B44" w:rsidR="0058628D">
        <w:rPr>
          <w:rFonts w:eastAsia="Times New Roman" w:cs="Arial"/>
          <w:color w:val="000000"/>
        </w:rPr>
        <w:t xml:space="preserve"> </w:t>
      </w:r>
      <w:r w:rsidRPr="00F17B44">
        <w:rPr>
          <w:rFonts w:eastAsia="Times New Roman" w:cs="Arial"/>
          <w:color w:val="000000"/>
        </w:rPr>
        <w:t xml:space="preserve"> (</w:t>
      </w:r>
      <w:r w:rsidRPr="00F17B44">
        <w:rPr>
          <w:rFonts w:eastAsia="Times New Roman" w:cs="Arial"/>
          <w:i/>
          <w:iCs/>
          <w:color w:val="000000"/>
        </w:rPr>
        <w:t>State Land Settlement Bd. v. Henderson</w:t>
      </w:r>
      <w:r w:rsidRPr="00F17B44">
        <w:rPr>
          <w:rFonts w:eastAsia="Times New Roman" w:cs="Arial"/>
          <w:color w:val="000000"/>
        </w:rPr>
        <w:t xml:space="preserve"> (1925) 197 Cal. 470, 481. . . .) </w:t>
      </w:r>
      <w:r w:rsidRPr="00F17B44" w:rsidR="0058628D">
        <w:rPr>
          <w:rFonts w:eastAsia="Times New Roman" w:cs="Arial"/>
          <w:color w:val="000000"/>
        </w:rPr>
        <w:t xml:space="preserve"> </w:t>
      </w:r>
      <w:r w:rsidRPr="00F17B44">
        <w:rPr>
          <w:rFonts w:eastAsia="Times New Roman" w:cs="Arial"/>
          <w:color w:val="000000"/>
        </w:rPr>
        <w:t xml:space="preserve">If it did, the constitutional exclusion of sovereign state property from taxation would be diluted. </w:t>
      </w:r>
      <w:r w:rsidRPr="00F17B44" w:rsidR="00717C95">
        <w:rPr>
          <w:rFonts w:eastAsia="Times New Roman" w:cs="Arial"/>
          <w:color w:val="000000"/>
        </w:rPr>
        <w:t xml:space="preserve"> </w:t>
      </w:r>
      <w:r w:rsidRPr="00F17B44">
        <w:rPr>
          <w:rFonts w:eastAsia="Times New Roman" w:cs="Arial"/>
          <w:color w:val="000000"/>
        </w:rPr>
        <w:t>Instead, state property is not to be taxed unless there is express authority for the taxation.</w:t>
      </w:r>
      <w:r w:rsidRPr="00F17B44" w:rsidR="0058628D">
        <w:rPr>
          <w:rFonts w:eastAsia="Times New Roman" w:cs="Arial"/>
          <w:color w:val="000000"/>
        </w:rPr>
        <w:t xml:space="preserve"> </w:t>
      </w:r>
      <w:r w:rsidRPr="00F17B44">
        <w:rPr>
          <w:rFonts w:eastAsia="Times New Roman" w:cs="Arial"/>
          <w:color w:val="000000"/>
        </w:rPr>
        <w:t xml:space="preserve"> (</w:t>
      </w:r>
      <w:r w:rsidRPr="00F17B44">
        <w:rPr>
          <w:rFonts w:eastAsia="Times New Roman" w:cs="Arial"/>
          <w:i/>
          <w:iCs/>
          <w:color w:val="000000"/>
        </w:rPr>
        <w:t>Ibid</w:t>
      </w:r>
      <w:r w:rsidRPr="00F17B44">
        <w:rPr>
          <w:rFonts w:eastAsia="Times New Roman" w:cs="Arial"/>
          <w:color w:val="000000"/>
        </w:rPr>
        <w:t xml:space="preserve">.)” </w:t>
      </w:r>
      <w:r w:rsidRPr="00F17B44" w:rsidR="0058628D">
        <w:rPr>
          <w:rFonts w:eastAsia="Times New Roman" w:cs="Arial"/>
          <w:color w:val="000000"/>
        </w:rPr>
        <w:t xml:space="preserve"> </w:t>
      </w:r>
      <w:r w:rsidRPr="00F17B44">
        <w:rPr>
          <w:rFonts w:eastAsia="Times New Roman" w:cs="Arial"/>
          <w:color w:val="000000"/>
        </w:rPr>
        <w:t>(</w:t>
      </w:r>
      <w:r w:rsidRPr="00F17B44">
        <w:rPr>
          <w:rFonts w:eastAsia="Times New Roman" w:cs="Arial"/>
          <w:i/>
          <w:iCs/>
          <w:color w:val="000000"/>
        </w:rPr>
        <w:t>Mayhew Tech Center, Phase II v. County of Sacramento</w:t>
      </w:r>
      <w:r w:rsidRPr="00F17B44">
        <w:rPr>
          <w:rFonts w:eastAsia="Times New Roman" w:cs="Arial"/>
          <w:color w:val="000000"/>
        </w:rPr>
        <w:t xml:space="preserve"> (1992) 4 Cal.App.4th 497, 506–507</w:t>
      </w:r>
      <w:r w:rsidRPr="00F17B44" w:rsidR="00023A24">
        <w:rPr>
          <w:rFonts w:eastAsia="Times New Roman" w:cs="Arial"/>
          <w:color w:val="000000"/>
        </w:rPr>
        <w:t xml:space="preserve"> (</w:t>
      </w:r>
      <w:r w:rsidRPr="00F17B44" w:rsidR="00023A24">
        <w:rPr>
          <w:rFonts w:eastAsia="Times New Roman" w:cs="Arial"/>
          <w:i/>
          <w:iCs/>
          <w:color w:val="000000"/>
        </w:rPr>
        <w:t>Mayhew</w:t>
      </w:r>
      <w:r w:rsidRPr="00F17B44" w:rsidR="00023A24">
        <w:rPr>
          <w:rFonts w:eastAsia="Times New Roman" w:cs="Arial"/>
          <w:color w:val="000000"/>
        </w:rPr>
        <w:t>)</w:t>
      </w:r>
      <w:r w:rsidRPr="00F17B44" w:rsidR="00717C95">
        <w:rPr>
          <w:rFonts w:eastAsia="Times New Roman" w:cs="Arial"/>
          <w:color w:val="000000"/>
        </w:rPr>
        <w:t>, italics omitted</w:t>
      </w:r>
      <w:r w:rsidRPr="00F17B44">
        <w:rPr>
          <w:rFonts w:eastAsia="Times New Roman" w:cs="Arial"/>
          <w:color w:val="000000"/>
        </w:rPr>
        <w:t>.)</w:t>
      </w:r>
    </w:p>
    <w:p w:rsidR="00FF0B04" w:rsidRPr="00F17B44" w:rsidP="0047598D" w14:paraId="4E45F198" w14:textId="3B58C4F2">
      <w:pPr>
        <w:rPr>
          <w:rFonts w:eastAsia="Times New Roman" w:cs="Arial"/>
          <w:b/>
          <w:bCs/>
          <w:i/>
          <w:iCs/>
          <w:color w:val="000000"/>
        </w:rPr>
      </w:pPr>
      <w:r w:rsidRPr="00F17B44">
        <w:rPr>
          <w:rFonts w:eastAsia="Times New Roman" w:cs="Arial"/>
          <w:b/>
          <w:bCs/>
          <w:i/>
          <w:iCs/>
          <w:color w:val="000000"/>
        </w:rPr>
        <w:t xml:space="preserve">The </w:t>
      </w:r>
      <w:r w:rsidRPr="00F17B44" w:rsidR="00D80BD1">
        <w:rPr>
          <w:rFonts w:eastAsia="Times New Roman" w:cs="Arial"/>
          <w:b/>
          <w:bCs/>
          <w:i/>
          <w:iCs/>
          <w:color w:val="000000"/>
        </w:rPr>
        <w:t xml:space="preserve">LLC </w:t>
      </w:r>
      <w:r w:rsidRPr="00F17B44">
        <w:rPr>
          <w:rFonts w:eastAsia="Times New Roman" w:cs="Arial"/>
          <w:b/>
          <w:bCs/>
          <w:i/>
          <w:iCs/>
          <w:color w:val="000000"/>
        </w:rPr>
        <w:t>Statut</w:t>
      </w:r>
      <w:r w:rsidRPr="00F17B44" w:rsidR="00D80BD1">
        <w:rPr>
          <w:rFonts w:eastAsia="Times New Roman" w:cs="Arial"/>
          <w:b/>
          <w:bCs/>
          <w:i/>
          <w:iCs/>
          <w:color w:val="000000"/>
        </w:rPr>
        <w:t>es</w:t>
      </w:r>
      <w:r w:rsidRPr="00F17B44">
        <w:rPr>
          <w:rFonts w:eastAsia="Times New Roman" w:cs="Arial"/>
          <w:b/>
          <w:bCs/>
          <w:i/>
          <w:iCs/>
          <w:color w:val="000000"/>
        </w:rPr>
        <w:t xml:space="preserve"> </w:t>
      </w:r>
      <w:r w:rsidRPr="00F17B44" w:rsidR="000426AE">
        <w:rPr>
          <w:rFonts w:eastAsia="Times New Roman" w:cs="Arial"/>
          <w:b/>
          <w:bCs/>
          <w:i/>
          <w:iCs/>
          <w:color w:val="000000"/>
        </w:rPr>
        <w:t xml:space="preserve">and </w:t>
      </w:r>
      <w:r w:rsidRPr="00F17B44" w:rsidR="0048569D">
        <w:rPr>
          <w:rFonts w:eastAsia="Times New Roman" w:cs="Arial"/>
          <w:b/>
          <w:bCs/>
          <w:i/>
          <w:iCs/>
          <w:color w:val="000000"/>
        </w:rPr>
        <w:t>Agreements</w:t>
      </w:r>
    </w:p>
    <w:p w:rsidR="00551C68" w:rsidRPr="00F17B44" w:rsidP="00551C68" w14:paraId="3EA76F5A" w14:textId="149F9714">
      <w:pPr>
        <w:rPr>
          <w:rFonts w:eastAsia="Times New Roman" w:cs="Arial"/>
          <w:color w:val="000000"/>
        </w:rPr>
      </w:pPr>
      <w:r w:rsidRPr="00F17B44">
        <w:rPr>
          <w:rFonts w:eastAsia="Times New Roman" w:cs="Arial"/>
          <w:color w:val="000000"/>
        </w:rPr>
        <w:tab/>
        <w:t xml:space="preserve">The parties </w:t>
      </w:r>
      <w:r w:rsidRPr="00F17B44" w:rsidR="00664072">
        <w:rPr>
          <w:rFonts w:eastAsia="Times New Roman" w:cs="Arial"/>
          <w:color w:val="000000"/>
        </w:rPr>
        <w:t>do not dispute that</w:t>
      </w:r>
      <w:r w:rsidRPr="00F17B44">
        <w:rPr>
          <w:rFonts w:eastAsia="Times New Roman" w:cs="Arial"/>
          <w:color w:val="000000"/>
        </w:rPr>
        <w:t xml:space="preserve"> CalSTRS</w:t>
      </w:r>
      <w:r w:rsidRPr="00F17B44" w:rsidR="00523C46">
        <w:rPr>
          <w:rFonts w:eastAsia="Times New Roman" w:cs="Arial"/>
          <w:color w:val="000000"/>
        </w:rPr>
        <w:t xml:space="preserve"> </w:t>
      </w:r>
      <w:r w:rsidRPr="00F17B44" w:rsidR="007E7AA0">
        <w:rPr>
          <w:rFonts w:eastAsia="Times New Roman" w:cs="Arial"/>
          <w:color w:val="000000"/>
        </w:rPr>
        <w:t>is</w:t>
      </w:r>
      <w:r w:rsidRPr="00F17B44">
        <w:rPr>
          <w:rFonts w:eastAsia="Times New Roman" w:cs="Arial"/>
          <w:color w:val="000000"/>
        </w:rPr>
        <w:t xml:space="preserve"> a state agency</w:t>
      </w:r>
      <w:r w:rsidRPr="00F17B44" w:rsidR="007E7AA0">
        <w:rPr>
          <w:rFonts w:eastAsia="Times New Roman" w:cs="Arial"/>
          <w:color w:val="000000"/>
        </w:rPr>
        <w:t xml:space="preserve"> and </w:t>
      </w:r>
      <w:r w:rsidRPr="00F17B44">
        <w:rPr>
          <w:rFonts w:eastAsia="Times New Roman" w:cs="Arial"/>
          <w:color w:val="000000"/>
        </w:rPr>
        <w:t>exempt from paying a</w:t>
      </w:r>
      <w:r w:rsidRPr="00F17B44" w:rsidR="007E7AA0">
        <w:rPr>
          <w:rFonts w:eastAsia="Times New Roman" w:cs="Arial"/>
          <w:color w:val="000000"/>
        </w:rPr>
        <w:t>ny</w:t>
      </w:r>
      <w:r w:rsidRPr="00F17B44">
        <w:rPr>
          <w:rFonts w:eastAsia="Times New Roman" w:cs="Arial"/>
          <w:color w:val="000000"/>
        </w:rPr>
        <w:t xml:space="preserve"> documentary transfer tax in connection with real property it acquires.</w:t>
      </w:r>
      <w:r>
        <w:rPr>
          <w:rStyle w:val="FootnoteReference"/>
          <w:rFonts w:eastAsia="Times New Roman" w:cs="Arial"/>
          <w:color w:val="000000"/>
        </w:rPr>
        <w:footnoteReference w:id="5"/>
      </w:r>
      <w:r w:rsidRPr="00F17B44">
        <w:rPr>
          <w:rFonts w:eastAsia="Times New Roman" w:cs="Arial"/>
          <w:color w:val="000000"/>
        </w:rPr>
        <w:t xml:space="preserve">  </w:t>
      </w:r>
      <w:r w:rsidRPr="00F17B44" w:rsidR="00F01141">
        <w:rPr>
          <w:rFonts w:eastAsia="Times New Roman" w:cs="Arial"/>
          <w:color w:val="000000"/>
        </w:rPr>
        <w:t>Rather, the</w:t>
      </w:r>
      <w:r w:rsidRPr="00F17B44" w:rsidR="007E7AA0">
        <w:rPr>
          <w:rFonts w:eastAsia="Times New Roman" w:cs="Arial"/>
          <w:color w:val="000000"/>
        </w:rPr>
        <w:t>y</w:t>
      </w:r>
      <w:r w:rsidRPr="00F17B44" w:rsidR="00F01141">
        <w:rPr>
          <w:rFonts w:eastAsia="Times New Roman" w:cs="Arial"/>
          <w:color w:val="000000"/>
        </w:rPr>
        <w:t xml:space="preserve"> dispute whether t</w:t>
      </w:r>
      <w:r w:rsidRPr="00F17B44">
        <w:rPr>
          <w:rFonts w:eastAsia="Times New Roman" w:cs="Arial"/>
          <w:color w:val="000000"/>
        </w:rPr>
        <w:t xml:space="preserve">he LLCs </w:t>
      </w:r>
      <w:r w:rsidRPr="00F17B44" w:rsidR="00F01141">
        <w:rPr>
          <w:rFonts w:eastAsia="Times New Roman" w:cs="Arial"/>
          <w:color w:val="000000"/>
        </w:rPr>
        <w:t xml:space="preserve">share </w:t>
      </w:r>
      <w:r w:rsidRPr="00F17B44" w:rsidR="007E7AA0">
        <w:rPr>
          <w:rFonts w:eastAsia="Times New Roman" w:cs="Arial"/>
          <w:color w:val="000000"/>
        </w:rPr>
        <w:t xml:space="preserve">CalSTRS’s </w:t>
      </w:r>
      <w:r w:rsidRPr="00F17B44" w:rsidR="00A34434">
        <w:rPr>
          <w:rFonts w:eastAsia="Times New Roman" w:cs="Arial"/>
          <w:color w:val="000000"/>
        </w:rPr>
        <w:t xml:space="preserve">exempt status </w:t>
      </w:r>
      <w:r w:rsidRPr="00F17B44" w:rsidR="00075F79">
        <w:rPr>
          <w:rFonts w:eastAsia="Times New Roman" w:cs="Arial"/>
          <w:color w:val="000000"/>
        </w:rPr>
        <w:t xml:space="preserve">because </w:t>
      </w:r>
      <w:r w:rsidRPr="00F17B44" w:rsidR="007E7AA0">
        <w:rPr>
          <w:rFonts w:eastAsia="Times New Roman" w:cs="Arial"/>
          <w:color w:val="000000"/>
        </w:rPr>
        <w:t xml:space="preserve">CalSTRS </w:t>
      </w:r>
      <w:r w:rsidRPr="00F17B44" w:rsidR="00F01141">
        <w:rPr>
          <w:rFonts w:eastAsia="Times New Roman" w:cs="Arial"/>
          <w:color w:val="000000"/>
        </w:rPr>
        <w:t xml:space="preserve">created and </w:t>
      </w:r>
      <w:r w:rsidRPr="00F17B44">
        <w:rPr>
          <w:rFonts w:eastAsia="Times New Roman" w:cs="Arial"/>
          <w:color w:val="000000"/>
        </w:rPr>
        <w:t xml:space="preserve">is the sole member of </w:t>
      </w:r>
      <w:r w:rsidRPr="00F17B44" w:rsidR="00F01141">
        <w:rPr>
          <w:rFonts w:eastAsia="Times New Roman" w:cs="Arial"/>
          <w:color w:val="000000"/>
        </w:rPr>
        <w:t xml:space="preserve">the </w:t>
      </w:r>
      <w:r w:rsidRPr="00F17B44">
        <w:rPr>
          <w:rFonts w:eastAsia="Times New Roman" w:cs="Arial"/>
          <w:color w:val="000000"/>
        </w:rPr>
        <w:t>LLCs</w:t>
      </w:r>
      <w:r w:rsidRPr="00F17B44" w:rsidR="0089504C">
        <w:rPr>
          <w:rFonts w:eastAsia="Times New Roman" w:cs="Arial"/>
          <w:color w:val="000000"/>
        </w:rPr>
        <w:t xml:space="preserve"> and because the LLCs have no purpose other than furthering CalSTRS’s </w:t>
      </w:r>
      <w:r w:rsidRPr="00F17B44" w:rsidR="00591C1E">
        <w:rPr>
          <w:rFonts w:eastAsia="Times New Roman" w:cs="Arial"/>
          <w:color w:val="000000"/>
        </w:rPr>
        <w:t xml:space="preserve">public </w:t>
      </w:r>
      <w:r w:rsidRPr="00F17B44" w:rsidR="0089504C">
        <w:rPr>
          <w:rFonts w:eastAsia="Times New Roman" w:cs="Arial"/>
          <w:color w:val="000000"/>
        </w:rPr>
        <w:t xml:space="preserve">mission to manage </w:t>
      </w:r>
      <w:r w:rsidRPr="00F17B44" w:rsidR="001F4F68">
        <w:rPr>
          <w:rFonts w:eastAsia="Times New Roman" w:cs="Arial"/>
          <w:color w:val="000000"/>
        </w:rPr>
        <w:t>public</w:t>
      </w:r>
      <w:r w:rsidRPr="00F17B44" w:rsidR="0089504C">
        <w:rPr>
          <w:rFonts w:eastAsia="Times New Roman" w:cs="Arial"/>
          <w:color w:val="000000"/>
        </w:rPr>
        <w:t xml:space="preserve"> pension </w:t>
      </w:r>
      <w:r w:rsidRPr="00F17B44" w:rsidR="001F4F68">
        <w:rPr>
          <w:rFonts w:eastAsia="Times New Roman" w:cs="Arial"/>
          <w:color w:val="000000"/>
        </w:rPr>
        <w:t>funds</w:t>
      </w:r>
      <w:r w:rsidRPr="00F17B44" w:rsidR="00591C1E">
        <w:rPr>
          <w:rFonts w:eastAsia="Times New Roman" w:cs="Arial"/>
          <w:color w:val="000000"/>
        </w:rPr>
        <w:t xml:space="preserve"> as effectively as possible</w:t>
      </w:r>
      <w:r w:rsidRPr="00F17B44" w:rsidR="00F01141">
        <w:rPr>
          <w:rFonts w:eastAsia="Times New Roman" w:cs="Arial"/>
          <w:color w:val="000000"/>
        </w:rPr>
        <w:t>.</w:t>
      </w:r>
      <w:r w:rsidRPr="00F17B44">
        <w:rPr>
          <w:rFonts w:eastAsia="Times New Roman" w:cs="Arial"/>
          <w:color w:val="000000"/>
        </w:rPr>
        <w:t xml:space="preserve"> </w:t>
      </w:r>
    </w:p>
    <w:p w:rsidR="001E703E" w:rsidRPr="00F17B44" w:rsidP="001E703E" w14:paraId="7B0468C7" w14:textId="46D36986">
      <w:pPr>
        <w:rPr>
          <w:rFonts w:eastAsia="Times New Roman" w:cs="Arial"/>
          <w:color w:val="000000"/>
        </w:rPr>
      </w:pPr>
      <w:r w:rsidRPr="00F17B44">
        <w:rPr>
          <w:rFonts w:eastAsia="Times New Roman" w:cs="Arial"/>
          <w:color w:val="000000"/>
        </w:rPr>
        <w:tab/>
      </w:r>
      <w:r w:rsidRPr="00F17B44" w:rsidR="00D11998">
        <w:rPr>
          <w:rFonts w:eastAsia="Times New Roman" w:cs="Arial"/>
          <w:color w:val="000000"/>
        </w:rPr>
        <w:t xml:space="preserve">A considerable number of </w:t>
      </w:r>
      <w:r w:rsidRPr="00F17B44" w:rsidR="0047624D">
        <w:rPr>
          <w:rFonts w:eastAsia="Times New Roman" w:cs="Arial"/>
          <w:color w:val="000000"/>
        </w:rPr>
        <w:t xml:space="preserve">states, including California and </w:t>
      </w:r>
      <w:r w:rsidRPr="00C242DE" w:rsidR="0047624D">
        <w:rPr>
          <w:rFonts w:eastAsia="Times New Roman" w:cs="Arial"/>
          <w:color w:val="000000"/>
        </w:rPr>
        <w:t>Delaware</w:t>
      </w:r>
      <w:r w:rsidR="00C242DE">
        <w:rPr>
          <w:rFonts w:eastAsia="Times New Roman" w:cs="Arial"/>
          <w:color w:val="000000"/>
        </w:rPr>
        <w:t xml:space="preserve"> </w:t>
      </w:r>
      <w:r w:rsidRPr="00F17B44" w:rsidR="00D738CE">
        <w:rPr>
          <w:rFonts w:eastAsia="Times New Roman" w:cs="Arial"/>
          <w:color w:val="000000"/>
        </w:rPr>
        <w:t>under which the LLCs here were formed</w:t>
      </w:r>
      <w:r w:rsidRPr="00F17B44" w:rsidR="0047624D">
        <w:rPr>
          <w:rFonts w:eastAsia="Times New Roman" w:cs="Arial"/>
          <w:color w:val="000000"/>
        </w:rPr>
        <w:t xml:space="preserve">, have </w:t>
      </w:r>
      <w:r w:rsidRPr="00F17B44" w:rsidR="0089504C">
        <w:rPr>
          <w:rFonts w:eastAsia="Times New Roman" w:cs="Arial"/>
          <w:color w:val="000000"/>
        </w:rPr>
        <w:t xml:space="preserve">enacted </w:t>
      </w:r>
      <w:r w:rsidRPr="00F17B44" w:rsidR="0047624D">
        <w:rPr>
          <w:rFonts w:eastAsia="Times New Roman" w:cs="Arial"/>
          <w:color w:val="000000"/>
        </w:rPr>
        <w:t xml:space="preserve">a </w:t>
      </w:r>
      <w:r w:rsidRPr="00F17B44" w:rsidR="0089504C">
        <w:rPr>
          <w:rFonts w:eastAsia="Times New Roman" w:cs="Arial"/>
          <w:color w:val="000000"/>
        </w:rPr>
        <w:t>statutory scheme govern</w:t>
      </w:r>
      <w:r w:rsidRPr="00F17B44" w:rsidR="009C0D63">
        <w:rPr>
          <w:rFonts w:eastAsia="Times New Roman" w:cs="Arial"/>
          <w:color w:val="000000"/>
        </w:rPr>
        <w:t>ing</w:t>
      </w:r>
      <w:r w:rsidRPr="00F17B44" w:rsidR="0089504C">
        <w:rPr>
          <w:rFonts w:eastAsia="Times New Roman" w:cs="Arial"/>
          <w:color w:val="000000"/>
        </w:rPr>
        <w:t xml:space="preserve"> </w:t>
      </w:r>
      <w:r w:rsidRPr="00F17B44" w:rsidR="00591C1E">
        <w:rPr>
          <w:rFonts w:eastAsia="Times New Roman" w:cs="Arial"/>
          <w:color w:val="000000"/>
        </w:rPr>
        <w:t xml:space="preserve">LLCs </w:t>
      </w:r>
      <w:r w:rsidRPr="00F17B44" w:rsidR="0047624D">
        <w:rPr>
          <w:rFonts w:eastAsia="Times New Roman" w:cs="Arial"/>
          <w:color w:val="000000"/>
        </w:rPr>
        <w:t>based on the Revised Uniform Limited Liability Company Act</w:t>
      </w:r>
      <w:r>
        <w:rPr>
          <w:rStyle w:val="FootnoteReference"/>
          <w:rFonts w:eastAsia="Times New Roman" w:cs="Arial"/>
          <w:color w:val="000000"/>
        </w:rPr>
        <w:footnoteReference w:id="6"/>
      </w:r>
      <w:r w:rsidRPr="00F17B44" w:rsidR="0047624D">
        <w:rPr>
          <w:rFonts w:eastAsia="Times New Roman" w:cs="Arial"/>
          <w:color w:val="000000"/>
        </w:rPr>
        <w:t xml:space="preserve"> as promulgated by the National Conference of Commissioners on Uniform State Laws in 2006.</w:t>
      </w:r>
      <w:r>
        <w:rPr>
          <w:rStyle w:val="FootnoteReference"/>
          <w:rFonts w:eastAsia="Times New Roman" w:cs="Arial"/>
          <w:color w:val="000000"/>
        </w:rPr>
        <w:footnoteReference w:id="7"/>
      </w:r>
      <w:r w:rsidRPr="00F17B44" w:rsidR="0047624D">
        <w:rPr>
          <w:rFonts w:eastAsia="Times New Roman" w:cs="Arial"/>
          <w:color w:val="000000"/>
        </w:rPr>
        <w:t xml:space="preserve">  (Brent A. Olson, Cal</w:t>
      </w:r>
      <w:r w:rsidRPr="00F17B44" w:rsidR="009F0EF3">
        <w:rPr>
          <w:rFonts w:eastAsia="Times New Roman" w:cs="Arial"/>
          <w:color w:val="000000"/>
        </w:rPr>
        <w:t>ifornia</w:t>
      </w:r>
      <w:r w:rsidRPr="00F17B44" w:rsidR="0047624D">
        <w:rPr>
          <w:rFonts w:eastAsia="Times New Roman" w:cs="Arial"/>
          <w:color w:val="000000"/>
        </w:rPr>
        <w:t xml:space="preserve"> Bus</w:t>
      </w:r>
      <w:r w:rsidRPr="00F17B44" w:rsidR="009F0EF3">
        <w:rPr>
          <w:rFonts w:eastAsia="Times New Roman" w:cs="Arial"/>
          <w:color w:val="000000"/>
        </w:rPr>
        <w:t>iness</w:t>
      </w:r>
      <w:r w:rsidRPr="00F17B44" w:rsidR="0047624D">
        <w:rPr>
          <w:rFonts w:eastAsia="Times New Roman" w:cs="Arial"/>
          <w:color w:val="000000"/>
        </w:rPr>
        <w:t xml:space="preserve"> Law Deskbook (2022) §</w:t>
      </w:r>
      <w:r w:rsidRPr="00F17B44" w:rsidR="00D11998">
        <w:rPr>
          <w:rFonts w:eastAsia="Times New Roman" w:cs="Arial"/>
          <w:color w:val="000000"/>
        </w:rPr>
        <w:t>§ </w:t>
      </w:r>
      <w:r w:rsidRPr="00F17B44" w:rsidR="0047624D">
        <w:rPr>
          <w:rFonts w:eastAsia="Times New Roman" w:cs="Arial"/>
          <w:color w:val="000000"/>
        </w:rPr>
        <w:t>1:5</w:t>
      </w:r>
      <w:r w:rsidRPr="00F17B44" w:rsidR="009F0EF3">
        <w:rPr>
          <w:rFonts w:eastAsia="Times New Roman" w:cs="Arial"/>
          <w:color w:val="000000"/>
        </w:rPr>
        <w:t>(</w:t>
      </w:r>
      <w:r w:rsidRPr="00F17B44" w:rsidR="0047624D">
        <w:rPr>
          <w:rFonts w:eastAsia="Times New Roman" w:cs="Arial"/>
          <w:color w:val="000000"/>
        </w:rPr>
        <w:t>a</w:t>
      </w:r>
      <w:r w:rsidRPr="00F17B44" w:rsidR="009F0EF3">
        <w:rPr>
          <w:rFonts w:eastAsia="Times New Roman" w:cs="Arial"/>
          <w:color w:val="000000"/>
        </w:rPr>
        <w:t>)</w:t>
      </w:r>
      <w:r w:rsidRPr="00F17B44" w:rsidR="00E57858">
        <w:rPr>
          <w:rFonts w:eastAsia="Times New Roman" w:cs="Arial"/>
          <w:color w:val="000000"/>
        </w:rPr>
        <w:t xml:space="preserve">, </w:t>
      </w:r>
      <w:r w:rsidRPr="00F17B44" w:rsidR="00D11998">
        <w:rPr>
          <w:rFonts w:eastAsia="Times New Roman" w:cs="Arial"/>
          <w:color w:val="000000"/>
        </w:rPr>
        <w:t>3:1</w:t>
      </w:r>
      <w:r w:rsidRPr="00F17B44" w:rsidR="009F0EF3">
        <w:rPr>
          <w:rFonts w:eastAsia="Times New Roman" w:cs="Arial"/>
          <w:color w:val="000000"/>
        </w:rPr>
        <w:t>(</w:t>
      </w:r>
      <w:r w:rsidRPr="00F17B44" w:rsidR="00D11998">
        <w:rPr>
          <w:rFonts w:eastAsia="Times New Roman" w:cs="Arial"/>
          <w:color w:val="000000"/>
        </w:rPr>
        <w:t>a</w:t>
      </w:r>
      <w:r w:rsidRPr="00F17B44" w:rsidR="009F0EF3">
        <w:rPr>
          <w:rFonts w:eastAsia="Times New Roman" w:cs="Arial"/>
          <w:color w:val="000000"/>
        </w:rPr>
        <w:t>)</w:t>
      </w:r>
      <w:r w:rsidRPr="00F17B44" w:rsidR="00D11998">
        <w:rPr>
          <w:rFonts w:eastAsia="Times New Roman" w:cs="Arial"/>
          <w:color w:val="000000"/>
        </w:rPr>
        <w:t xml:space="preserve">, </w:t>
      </w:r>
      <w:r w:rsidRPr="00F17B44" w:rsidR="009F0EF3">
        <w:rPr>
          <w:rFonts w:eastAsia="Times New Roman" w:cs="Arial"/>
          <w:color w:val="000000"/>
        </w:rPr>
        <w:t>(</w:t>
      </w:r>
      <w:r w:rsidRPr="00F17B44" w:rsidR="00D11998">
        <w:rPr>
          <w:rFonts w:eastAsia="Times New Roman" w:cs="Arial"/>
          <w:color w:val="000000"/>
        </w:rPr>
        <w:t>e</w:t>
      </w:r>
      <w:r w:rsidRPr="00F17B44" w:rsidR="009F0EF3">
        <w:rPr>
          <w:rFonts w:eastAsia="Times New Roman" w:cs="Arial"/>
          <w:color w:val="000000"/>
        </w:rPr>
        <w:t>)</w:t>
      </w:r>
      <w:r w:rsidR="00C242DE">
        <w:rPr>
          <w:rFonts w:eastAsia="Times New Roman" w:cs="Arial"/>
          <w:color w:val="000000"/>
        </w:rPr>
        <w:t xml:space="preserve">; </w:t>
      </w:r>
      <w:r w:rsidR="00C242DE">
        <w:rPr>
          <w:i/>
          <w:iCs/>
        </w:rPr>
        <w:t>Elf Atochem North American, Inc. v. Jaffari</w:t>
      </w:r>
      <w:r w:rsidR="00C242DE">
        <w:t xml:space="preserve"> (Del. 1999) 727 A.2d 286, 290</w:t>
      </w:r>
      <w:r w:rsidRPr="00F17B44" w:rsidR="00D11998">
        <w:rPr>
          <w:rFonts w:eastAsia="Times New Roman" w:cs="Arial"/>
          <w:color w:val="000000"/>
        </w:rPr>
        <w:t>.</w:t>
      </w:r>
      <w:r w:rsidRPr="00F17B44" w:rsidR="0047624D">
        <w:rPr>
          <w:rFonts w:eastAsia="Times New Roman" w:cs="Arial"/>
          <w:color w:val="000000"/>
        </w:rPr>
        <w:t>)  Generally, LLCs “can be created with flow-through tax treatment, limited liability for its owners, perpetual existence, free transferability of interests, and either centralized management or some other management structure.”  (</w:t>
      </w:r>
      <w:r w:rsidRPr="00F17B44" w:rsidR="0047624D">
        <w:rPr>
          <w:rFonts w:eastAsia="Times New Roman" w:cs="Arial"/>
          <w:i/>
          <w:iCs/>
          <w:color w:val="000000"/>
        </w:rPr>
        <w:t>Id.</w:t>
      </w:r>
      <w:r w:rsidRPr="00F17B44" w:rsidR="00E57858">
        <w:rPr>
          <w:rFonts w:eastAsia="Times New Roman" w:cs="Arial"/>
          <w:i/>
          <w:iCs/>
          <w:color w:val="000000"/>
        </w:rPr>
        <w:t xml:space="preserve"> </w:t>
      </w:r>
      <w:r w:rsidRPr="00F17B44" w:rsidR="00E57858">
        <w:rPr>
          <w:rFonts w:eastAsia="Times New Roman" w:cs="Arial"/>
          <w:color w:val="000000"/>
        </w:rPr>
        <w:t>at §§ 1:5</w:t>
      </w:r>
      <w:r w:rsidRPr="00F17B44" w:rsidR="00641703">
        <w:rPr>
          <w:rFonts w:eastAsia="Times New Roman" w:cs="Arial"/>
          <w:color w:val="000000"/>
        </w:rPr>
        <w:t>(</w:t>
      </w:r>
      <w:r w:rsidRPr="00F17B44" w:rsidR="00E57858">
        <w:rPr>
          <w:rFonts w:eastAsia="Times New Roman" w:cs="Arial"/>
          <w:color w:val="000000"/>
        </w:rPr>
        <w:t>a</w:t>
      </w:r>
      <w:r w:rsidRPr="00F17B44" w:rsidR="00641703">
        <w:rPr>
          <w:rFonts w:eastAsia="Times New Roman" w:cs="Arial"/>
          <w:color w:val="000000"/>
        </w:rPr>
        <w:t>)</w:t>
      </w:r>
      <w:r w:rsidRPr="00F17B44" w:rsidR="00E57858">
        <w:rPr>
          <w:rFonts w:eastAsia="Times New Roman" w:cs="Arial"/>
          <w:color w:val="000000"/>
        </w:rPr>
        <w:t>, 3:1</w:t>
      </w:r>
      <w:r w:rsidRPr="00F17B44" w:rsidR="00641703">
        <w:rPr>
          <w:rFonts w:eastAsia="Times New Roman" w:cs="Arial"/>
          <w:color w:val="000000"/>
        </w:rPr>
        <w:t>(</w:t>
      </w:r>
      <w:r w:rsidRPr="00F17B44" w:rsidR="00E57858">
        <w:rPr>
          <w:rFonts w:eastAsia="Times New Roman" w:cs="Arial"/>
          <w:color w:val="000000"/>
        </w:rPr>
        <w:t>a</w:t>
      </w:r>
      <w:r w:rsidRPr="00F17B44" w:rsidR="00641703">
        <w:rPr>
          <w:rFonts w:eastAsia="Times New Roman" w:cs="Arial"/>
          <w:color w:val="000000"/>
        </w:rPr>
        <w:t>)</w:t>
      </w:r>
      <w:r w:rsidRPr="00F17B44" w:rsidR="00E57858">
        <w:rPr>
          <w:rFonts w:eastAsia="Times New Roman" w:cs="Arial"/>
          <w:color w:val="000000"/>
        </w:rPr>
        <w:t xml:space="preserve">, </w:t>
      </w:r>
      <w:r w:rsidRPr="00F17B44" w:rsidR="00641703">
        <w:rPr>
          <w:rFonts w:eastAsia="Times New Roman" w:cs="Arial"/>
          <w:color w:val="000000"/>
        </w:rPr>
        <w:t>(</w:t>
      </w:r>
      <w:r w:rsidRPr="00F17B44" w:rsidR="00E57858">
        <w:rPr>
          <w:rFonts w:eastAsia="Times New Roman" w:cs="Arial"/>
          <w:color w:val="000000"/>
        </w:rPr>
        <w:t>c</w:t>
      </w:r>
      <w:r w:rsidRPr="00F17B44" w:rsidR="00641703">
        <w:rPr>
          <w:rFonts w:eastAsia="Times New Roman" w:cs="Arial"/>
          <w:color w:val="000000"/>
        </w:rPr>
        <w:t>)</w:t>
      </w:r>
      <w:r w:rsidRPr="00F17B44" w:rsidR="0047624D">
        <w:rPr>
          <w:rFonts w:eastAsia="Times New Roman" w:cs="Arial"/>
          <w:color w:val="000000"/>
        </w:rPr>
        <w:t xml:space="preserve">; see generally </w:t>
      </w:r>
      <w:r w:rsidRPr="00F17B44" w:rsidR="00D738CE">
        <w:rPr>
          <w:rFonts w:eastAsia="Times New Roman" w:cs="Arial"/>
          <w:i/>
          <w:iCs/>
          <w:color w:val="000000"/>
        </w:rPr>
        <w:t xml:space="preserve">Northwest Energetic Services, </w:t>
      </w:r>
      <w:r w:rsidRPr="00F17B44" w:rsidR="001F4F68">
        <w:rPr>
          <w:rFonts w:eastAsia="Times New Roman" w:cs="Arial"/>
          <w:i/>
          <w:iCs/>
          <w:color w:val="000000"/>
        </w:rPr>
        <w:t xml:space="preserve">supra, </w:t>
      </w:r>
      <w:r w:rsidRPr="005A37E7" w:rsidR="00D738CE">
        <w:rPr>
          <w:rFonts w:eastAsia="Times New Roman" w:cs="Arial"/>
          <w:color w:val="000000"/>
          <w:sz w:val="24"/>
          <w:szCs w:val="24"/>
        </w:rPr>
        <w:t xml:space="preserve">159 Cal.App.4th </w:t>
      </w:r>
      <w:r w:rsidRPr="00F17B44" w:rsidR="001F4F68">
        <w:rPr>
          <w:rFonts w:eastAsia="Times New Roman" w:cs="Arial"/>
          <w:color w:val="000000"/>
        </w:rPr>
        <w:t xml:space="preserve">at pp. </w:t>
      </w:r>
      <w:r w:rsidRPr="00F17B44" w:rsidR="00D738CE">
        <w:rPr>
          <w:rFonts w:eastAsia="Times New Roman" w:cs="Arial"/>
          <w:color w:val="000000"/>
        </w:rPr>
        <w:t>852</w:t>
      </w:r>
      <w:r w:rsidRPr="00F17B44" w:rsidR="00641703">
        <w:rPr>
          <w:rFonts w:eastAsia="Times New Roman" w:cs="Arial"/>
          <w:color w:val="000000"/>
        </w:rPr>
        <w:t>–</w:t>
      </w:r>
      <w:r w:rsidRPr="00F17B44" w:rsidR="00D738CE">
        <w:rPr>
          <w:rFonts w:eastAsia="Times New Roman" w:cs="Arial"/>
          <w:color w:val="000000"/>
        </w:rPr>
        <w:t>853</w:t>
      </w:r>
      <w:r w:rsidRPr="00F17B44" w:rsidR="0047624D">
        <w:rPr>
          <w:rFonts w:eastAsia="Times New Roman" w:cs="Arial"/>
          <w:color w:val="000000"/>
        </w:rPr>
        <w:t xml:space="preserve">.)  “These developments make the LLC the most appealing non-corporate entity for business organization purposes. </w:t>
      </w:r>
      <w:r w:rsidRPr="00F17B44" w:rsidR="00641703">
        <w:rPr>
          <w:rFonts w:eastAsia="Times New Roman" w:cs="Arial"/>
          <w:color w:val="000000"/>
        </w:rPr>
        <w:t xml:space="preserve"> </w:t>
      </w:r>
      <w:r w:rsidRPr="00F17B44" w:rsidR="0047624D">
        <w:rPr>
          <w:rFonts w:eastAsia="Times New Roman" w:cs="Arial"/>
          <w:color w:val="000000"/>
        </w:rPr>
        <w:t>As such, the LLC is fast becoming the entity of choice for closely held businesses in the United States.”  (Cal</w:t>
      </w:r>
      <w:r w:rsidRPr="00F17B44" w:rsidR="00641703">
        <w:rPr>
          <w:rFonts w:eastAsia="Times New Roman" w:cs="Arial"/>
          <w:color w:val="000000"/>
        </w:rPr>
        <w:t>ifornia</w:t>
      </w:r>
      <w:r w:rsidRPr="00F17B44" w:rsidR="0047624D">
        <w:rPr>
          <w:rFonts w:eastAsia="Times New Roman" w:cs="Arial"/>
          <w:color w:val="000000"/>
        </w:rPr>
        <w:t xml:space="preserve"> Bus</w:t>
      </w:r>
      <w:r w:rsidRPr="00F17B44" w:rsidR="00641703">
        <w:rPr>
          <w:rFonts w:eastAsia="Times New Roman" w:cs="Arial"/>
          <w:color w:val="000000"/>
        </w:rPr>
        <w:t>iness</w:t>
      </w:r>
      <w:r w:rsidRPr="00F17B44" w:rsidR="0047624D">
        <w:rPr>
          <w:rFonts w:eastAsia="Times New Roman" w:cs="Arial"/>
          <w:color w:val="000000"/>
        </w:rPr>
        <w:t xml:space="preserve"> Law Deskbook,</w:t>
      </w:r>
      <w:r w:rsidRPr="00F17B44" w:rsidR="0047624D">
        <w:rPr>
          <w:rFonts w:eastAsia="Times New Roman" w:cs="Arial"/>
          <w:i/>
          <w:iCs/>
          <w:color w:val="000000"/>
        </w:rPr>
        <w:t xml:space="preserve"> </w:t>
      </w:r>
      <w:r w:rsidRPr="00F17B44" w:rsidR="0047624D">
        <w:rPr>
          <w:rFonts w:eastAsia="Times New Roman" w:cs="Arial"/>
          <w:color w:val="000000"/>
        </w:rPr>
        <w:t>at §</w:t>
      </w:r>
      <w:r w:rsidRPr="00F17B44" w:rsidR="00E57858">
        <w:rPr>
          <w:rFonts w:eastAsia="Times New Roman" w:cs="Arial"/>
          <w:color w:val="000000"/>
        </w:rPr>
        <w:t>§ </w:t>
      </w:r>
      <w:r w:rsidRPr="00F17B44" w:rsidR="0047624D">
        <w:rPr>
          <w:rFonts w:eastAsia="Times New Roman" w:cs="Arial"/>
          <w:color w:val="000000"/>
        </w:rPr>
        <w:t>1.5</w:t>
      </w:r>
      <w:r w:rsidRPr="00F17B44" w:rsidR="00641703">
        <w:rPr>
          <w:rFonts w:eastAsia="Times New Roman" w:cs="Arial"/>
          <w:color w:val="000000"/>
        </w:rPr>
        <w:t>(</w:t>
      </w:r>
      <w:r w:rsidRPr="00F17B44" w:rsidR="0047624D">
        <w:rPr>
          <w:rFonts w:eastAsia="Times New Roman" w:cs="Arial"/>
          <w:color w:val="000000"/>
        </w:rPr>
        <w:t>a</w:t>
      </w:r>
      <w:r w:rsidRPr="00F17B44" w:rsidR="00641703">
        <w:rPr>
          <w:rFonts w:eastAsia="Times New Roman" w:cs="Arial"/>
          <w:color w:val="000000"/>
        </w:rPr>
        <w:t>)</w:t>
      </w:r>
      <w:r w:rsidRPr="00F17B44" w:rsidR="00E57858">
        <w:rPr>
          <w:rFonts w:eastAsia="Times New Roman" w:cs="Arial"/>
          <w:color w:val="000000"/>
        </w:rPr>
        <w:t>, 3:1</w:t>
      </w:r>
      <w:r w:rsidRPr="00F17B44" w:rsidR="00641703">
        <w:rPr>
          <w:rFonts w:eastAsia="Times New Roman" w:cs="Arial"/>
          <w:color w:val="000000"/>
        </w:rPr>
        <w:t>(</w:t>
      </w:r>
      <w:r w:rsidRPr="00F17B44" w:rsidR="00E57858">
        <w:rPr>
          <w:rFonts w:eastAsia="Times New Roman" w:cs="Arial"/>
          <w:color w:val="000000"/>
        </w:rPr>
        <w:t>a</w:t>
      </w:r>
      <w:r w:rsidRPr="00F17B44" w:rsidR="00641703">
        <w:rPr>
          <w:rFonts w:eastAsia="Times New Roman" w:cs="Arial"/>
          <w:color w:val="000000"/>
        </w:rPr>
        <w:t>)</w:t>
      </w:r>
      <w:r w:rsidRPr="00F17B44" w:rsidR="00D738CE">
        <w:rPr>
          <w:rFonts w:eastAsia="Times New Roman" w:cs="Arial"/>
          <w:color w:val="000000"/>
        </w:rPr>
        <w:t xml:space="preserve">; see also </w:t>
      </w:r>
      <w:r w:rsidRPr="00F17B44" w:rsidR="00D46EC4">
        <w:rPr>
          <w:rFonts w:eastAsia="Times New Roman" w:cs="Arial"/>
          <w:i/>
          <w:iCs/>
          <w:color w:val="000000"/>
        </w:rPr>
        <w:t>N</w:t>
      </w:r>
      <w:r w:rsidRPr="00F17B44" w:rsidR="00D738CE">
        <w:rPr>
          <w:rFonts w:eastAsia="Times New Roman" w:cs="Arial"/>
          <w:i/>
          <w:iCs/>
          <w:color w:val="000000"/>
        </w:rPr>
        <w:t xml:space="preserve">orthwest Energetic Services, </w:t>
      </w:r>
      <w:r w:rsidRPr="00F17B44" w:rsidR="00D738CE">
        <w:rPr>
          <w:rFonts w:eastAsia="Times New Roman" w:cs="Arial"/>
          <w:color w:val="000000"/>
        </w:rPr>
        <w:t>at p. 852 [“In light of the growing popularity of LLC</w:t>
      </w:r>
      <w:r w:rsidRPr="00F17B44" w:rsidR="00E57858">
        <w:rPr>
          <w:rFonts w:eastAsia="Times New Roman" w:cs="Arial"/>
          <w:color w:val="000000"/>
        </w:rPr>
        <w:t>’</w:t>
      </w:r>
      <w:r w:rsidRPr="00F17B44" w:rsidR="00D738CE">
        <w:rPr>
          <w:rFonts w:eastAsia="Times New Roman" w:cs="Arial"/>
          <w:color w:val="000000"/>
        </w:rPr>
        <w:t>s, the California Legislature enacted the LLC Act with the aim of expanding California's competitive business environment.”].</w:t>
      </w:r>
      <w:r>
        <w:rPr>
          <w:rStyle w:val="FootnoteReference"/>
          <w:rFonts w:eastAsia="Times New Roman" w:cs="Arial"/>
          <w:color w:val="000000"/>
        </w:rPr>
        <w:footnoteReference w:id="8"/>
      </w:r>
      <w:r w:rsidRPr="00F17B44" w:rsidR="0047624D">
        <w:rPr>
          <w:rFonts w:eastAsia="Times New Roman" w:cs="Arial"/>
          <w:color w:val="000000"/>
        </w:rPr>
        <w:t>)</w:t>
      </w:r>
    </w:p>
    <w:p w:rsidR="00FF31AB" w:rsidP="001E703E" w14:paraId="74C062AB" w14:textId="2A36EA8E">
      <w:pPr>
        <w:rPr>
          <w:rFonts w:eastAsia="Times New Roman" w:cs="Arial"/>
          <w:color w:val="000000"/>
        </w:rPr>
      </w:pPr>
      <w:r w:rsidRPr="00F17B44">
        <w:rPr>
          <w:rFonts w:eastAsia="Times New Roman" w:cs="Arial"/>
          <w:color w:val="000000"/>
        </w:rPr>
        <w:tab/>
        <w:t xml:space="preserve">Under both California and Delaware law, a </w:t>
      </w:r>
      <w:r w:rsidRPr="00F17B44" w:rsidR="009029C1">
        <w:rPr>
          <w:rFonts w:eastAsia="Times New Roman" w:cs="Arial"/>
          <w:color w:val="000000"/>
        </w:rPr>
        <w:t xml:space="preserve">“limited liability company is an entity distinct from its members.” </w:t>
      </w:r>
      <w:r w:rsidRPr="00F17B44" w:rsidR="0058628D">
        <w:rPr>
          <w:rFonts w:eastAsia="Times New Roman" w:cs="Arial"/>
          <w:color w:val="000000"/>
        </w:rPr>
        <w:t xml:space="preserve"> </w:t>
      </w:r>
      <w:r w:rsidRPr="00F17B44" w:rsidR="009029C1">
        <w:rPr>
          <w:rFonts w:eastAsia="Times New Roman" w:cs="Arial"/>
          <w:color w:val="000000"/>
        </w:rPr>
        <w:t>(Corp. Code, § 17701.04, subd. (a)</w:t>
      </w:r>
      <w:r w:rsidRPr="00F17B44">
        <w:rPr>
          <w:rFonts w:eastAsia="Times New Roman" w:cs="Arial"/>
          <w:color w:val="000000"/>
        </w:rPr>
        <w:t>; Del. C</w:t>
      </w:r>
      <w:r w:rsidRPr="00F17B44" w:rsidR="00174F8B">
        <w:rPr>
          <w:rFonts w:eastAsia="Times New Roman" w:cs="Arial"/>
          <w:color w:val="000000"/>
        </w:rPr>
        <w:t>ode Ann., tit. 6,</w:t>
      </w:r>
      <w:r w:rsidRPr="00F17B44">
        <w:rPr>
          <w:rFonts w:eastAsia="Times New Roman" w:cs="Arial"/>
          <w:color w:val="000000"/>
        </w:rPr>
        <w:t xml:space="preserve"> § 18-701</w:t>
      </w:r>
      <w:r w:rsidRPr="00F17B44" w:rsidR="00687E94">
        <w:rPr>
          <w:rFonts w:eastAsia="Times New Roman" w:cs="Arial"/>
          <w:color w:val="000000"/>
        </w:rPr>
        <w:t xml:space="preserve">; </w:t>
      </w:r>
      <w:r w:rsidRPr="00F17B44" w:rsidR="00EE4EB7">
        <w:rPr>
          <w:rFonts w:eastAsia="Times New Roman" w:cs="Arial"/>
          <w:i/>
          <w:iCs/>
          <w:color w:val="000000"/>
        </w:rPr>
        <w:t xml:space="preserve">Curci </w:t>
      </w:r>
      <w:r w:rsidRPr="00F17B44" w:rsidR="00174F8B">
        <w:rPr>
          <w:rFonts w:eastAsia="Times New Roman" w:cs="Arial"/>
          <w:i/>
          <w:iCs/>
          <w:color w:val="000000"/>
        </w:rPr>
        <w:t xml:space="preserve">Investments, </w:t>
      </w:r>
      <w:r w:rsidRPr="00F17B44" w:rsidR="00EE4EB7">
        <w:rPr>
          <w:rFonts w:eastAsia="Times New Roman" w:cs="Arial"/>
          <w:i/>
          <w:iCs/>
          <w:color w:val="000000"/>
        </w:rPr>
        <w:t>LLC</w:t>
      </w:r>
      <w:r w:rsidRPr="00F17B44" w:rsidR="00BC18D8">
        <w:rPr>
          <w:rFonts w:eastAsia="Times New Roman" w:cs="Arial"/>
          <w:i/>
          <w:iCs/>
          <w:color w:val="000000"/>
        </w:rPr>
        <w:t xml:space="preserve"> v. Baldwin</w:t>
      </w:r>
      <w:r w:rsidRPr="00F17B44" w:rsidR="004110B4">
        <w:rPr>
          <w:rFonts w:eastAsia="Times New Roman" w:cs="Arial"/>
          <w:color w:val="000000"/>
        </w:rPr>
        <w:t xml:space="preserve"> (2017)</w:t>
      </w:r>
      <w:r w:rsidRPr="00F17B44" w:rsidR="00EE4EB7">
        <w:rPr>
          <w:rFonts w:eastAsia="Times New Roman" w:cs="Arial"/>
          <w:color w:val="000000"/>
        </w:rPr>
        <w:t xml:space="preserve"> 14</w:t>
      </w:r>
      <w:r w:rsidRPr="00F17B44" w:rsidR="00174F8B">
        <w:rPr>
          <w:rFonts w:eastAsia="Times New Roman" w:cs="Arial"/>
          <w:color w:val="000000"/>
        </w:rPr>
        <w:t> </w:t>
      </w:r>
      <w:r w:rsidRPr="00F17B44" w:rsidR="00EE4EB7">
        <w:rPr>
          <w:rFonts w:eastAsia="Times New Roman" w:cs="Arial"/>
          <w:color w:val="000000"/>
        </w:rPr>
        <w:t xml:space="preserve">Cal.App.5th </w:t>
      </w:r>
      <w:r w:rsidRPr="00F17B44" w:rsidR="003B45D1">
        <w:rPr>
          <w:rFonts w:eastAsia="Times New Roman" w:cs="Arial"/>
          <w:color w:val="000000"/>
        </w:rPr>
        <w:t>214, 220</w:t>
      </w:r>
      <w:r w:rsidRPr="00F17B44" w:rsidR="001E703E">
        <w:rPr>
          <w:rFonts w:eastAsia="Times New Roman" w:cs="Arial"/>
          <w:color w:val="000000"/>
        </w:rPr>
        <w:t xml:space="preserve"> [</w:t>
      </w:r>
      <w:r w:rsidRPr="00F17B44" w:rsidR="00987BF7">
        <w:rPr>
          <w:rFonts w:eastAsia="Times New Roman" w:cs="Arial"/>
          <w:color w:val="000000"/>
        </w:rPr>
        <w:t xml:space="preserve">under California law, </w:t>
      </w:r>
      <w:r w:rsidRPr="00F17B44" w:rsidR="001E703E">
        <w:rPr>
          <w:rFonts w:eastAsia="Times New Roman" w:cs="Arial"/>
          <w:color w:val="000000"/>
        </w:rPr>
        <w:t>a</w:t>
      </w:r>
      <w:r w:rsidR="00C85384">
        <w:rPr>
          <w:rFonts w:eastAsia="Times New Roman" w:cs="Arial"/>
          <w:color w:val="000000"/>
        </w:rPr>
        <w:t>n</w:t>
      </w:r>
      <w:r w:rsidRPr="00F17B44" w:rsidR="001E703E">
        <w:rPr>
          <w:rFonts w:eastAsia="Times New Roman" w:cs="Arial"/>
          <w:color w:val="000000"/>
        </w:rPr>
        <w:t xml:space="preserve"> LLC is </w:t>
      </w:r>
      <w:r w:rsidRPr="00F17B44" w:rsidR="00987BF7">
        <w:rPr>
          <w:rFonts w:eastAsia="Times New Roman" w:cs="Arial"/>
          <w:color w:val="000000"/>
        </w:rPr>
        <w:t xml:space="preserve">ordinarily </w:t>
      </w:r>
      <w:r w:rsidRPr="00F17B44" w:rsidR="001E703E">
        <w:rPr>
          <w:rFonts w:eastAsia="Times New Roman" w:cs="Arial"/>
          <w:color w:val="000000"/>
        </w:rPr>
        <w:t>considered a distinct entity from its members and manager];</w:t>
      </w:r>
      <w:r w:rsidRPr="001E703E" w:rsidR="00687E94">
        <w:rPr>
          <w:rFonts w:eastAsia="Times New Roman" w:cs="Arial"/>
          <w:color w:val="000000"/>
        </w:rPr>
        <w:t xml:space="preserve"> </w:t>
      </w:r>
      <w:r w:rsidR="00C242DE">
        <w:rPr>
          <w:i/>
          <w:iCs/>
          <w:color w:val="000000"/>
        </w:rPr>
        <w:t>In re Opus East, LLC</w:t>
      </w:r>
      <w:r w:rsidR="00C242DE">
        <w:rPr>
          <w:color w:val="000000"/>
        </w:rPr>
        <w:t xml:space="preserve"> (Bankr. D.Del. 2012) 480 B.R</w:t>
      </w:r>
      <w:r w:rsidRPr="00C242DE" w:rsidR="00C242DE">
        <w:rPr>
          <w:color w:val="000000"/>
        </w:rPr>
        <w:t xml:space="preserve">. 561, 575 </w:t>
      </w:r>
      <w:r w:rsidR="00C242DE">
        <w:rPr>
          <w:color w:val="000000"/>
        </w:rPr>
        <w:t>[</w:t>
      </w:r>
      <w:r w:rsidRPr="00C242DE" w:rsidR="00C242DE">
        <w:rPr>
          <w:color w:val="000000"/>
        </w:rPr>
        <w:t>“</w:t>
      </w:r>
      <w:r w:rsidR="00C242DE">
        <w:rPr>
          <w:color w:val="000000"/>
        </w:rPr>
        <w:t xml:space="preserve"> ‘</w:t>
      </w:r>
      <w:r w:rsidRPr="00C242DE" w:rsidR="00C242DE">
        <w:rPr>
          <w:color w:val="000000"/>
        </w:rPr>
        <w:t>A member has no interest in specific limited liability company property.</w:t>
      </w:r>
      <w:r w:rsidR="00C242DE">
        <w:rPr>
          <w:color w:val="000000"/>
        </w:rPr>
        <w:t xml:space="preserve">’ </w:t>
      </w:r>
      <w:r w:rsidRPr="00C242DE" w:rsidR="00C242DE">
        <w:rPr>
          <w:color w:val="000000"/>
        </w:rPr>
        <w:t>”</w:t>
      </w:r>
      <w:r w:rsidR="00C242DE">
        <w:rPr>
          <w:color w:val="000000"/>
        </w:rPr>
        <w:t>].)</w:t>
      </w:r>
    </w:p>
    <w:p w:rsidR="00EE4EB7" w:rsidRPr="00F17B44" w:rsidP="00FF31AB" w14:paraId="60F3EB49" w14:textId="6577D886">
      <w:pPr>
        <w:rPr>
          <w:rFonts w:eastAsia="Times New Roman" w:cs="Arial"/>
          <w:color w:val="000000"/>
        </w:rPr>
      </w:pPr>
      <w:r>
        <w:rPr>
          <w:rFonts w:eastAsia="Times New Roman" w:cs="Arial"/>
          <w:color w:val="000000"/>
        </w:rPr>
        <w:tab/>
      </w:r>
      <w:r w:rsidRPr="00F17B44" w:rsidR="00687E94">
        <w:rPr>
          <w:rFonts w:eastAsia="Times New Roman" w:cs="Arial"/>
          <w:color w:val="000000"/>
        </w:rPr>
        <w:t xml:space="preserve">The tax advantages of </w:t>
      </w:r>
      <w:r w:rsidRPr="00F17B44">
        <w:rPr>
          <w:rFonts w:eastAsia="Times New Roman" w:cs="Arial"/>
          <w:color w:val="000000"/>
        </w:rPr>
        <w:t xml:space="preserve">“the LLC form of business is the ability, assuming proper organization, to avoid the double taxation of corporate income and shareholder dividends by having an eligible LLC elect to be treated as a partnership for federal tax purposes without being subject to as many restrictions as ‘subchapter S corporations.’  </w:t>
      </w:r>
      <w:r w:rsidRPr="00F17B44" w:rsidR="00551509">
        <w:rPr>
          <w:rFonts w:eastAsia="Times New Roman" w:cs="Arial"/>
          <w:color w:val="000000"/>
        </w:rPr>
        <w:t>[</w:t>
      </w:r>
      <w:r w:rsidRPr="00F17B44">
        <w:rPr>
          <w:rFonts w:eastAsia="Times New Roman" w:cs="Arial"/>
          <w:color w:val="000000"/>
        </w:rPr>
        <w:t>Citatio</w:t>
      </w:r>
      <w:r w:rsidRPr="00F17B44" w:rsidR="00551509">
        <w:rPr>
          <w:rFonts w:eastAsia="Times New Roman" w:cs="Arial"/>
          <w:color w:val="000000"/>
        </w:rPr>
        <w:t>n.]</w:t>
      </w:r>
      <w:r w:rsidRPr="00F17B44">
        <w:rPr>
          <w:rFonts w:eastAsia="Times New Roman" w:cs="Arial"/>
          <w:color w:val="000000"/>
        </w:rPr>
        <w:t xml:space="preserve">  [¶] Moreover, a ‘single-member’ LLC . . . has the option of electing either to be taxed as an association (i.e., a corporation) or, like a sole proprietorship, to be disregarded as an entity separate from its owner. 26 C.F.R. § 301.7701–3(a) (2003).</w:t>
      </w:r>
      <w:r w:rsidRPr="00F17B44" w:rsidR="008A4443">
        <w:rPr>
          <w:rFonts w:eastAsia="Times New Roman" w:cs="Arial"/>
          <w:color w:val="000000"/>
        </w:rPr>
        <w:t xml:space="preserve"> </w:t>
      </w:r>
      <w:r w:rsidRPr="00F17B44">
        <w:rPr>
          <w:rFonts w:eastAsia="Times New Roman" w:cs="Arial"/>
          <w:color w:val="000000"/>
        </w:rPr>
        <w:t xml:space="preserve"> If the single-member LLC elects to be taxed as a sole proprietorship, the LLC itself does not pay taxes and does not have to file a separate tax return. 26 C.F.R. 301.7701–2(a) (2003);</w:t>
      </w:r>
      <w:r w:rsidRPr="00F17B44" w:rsidR="008A4443">
        <w:rPr>
          <w:rFonts w:eastAsia="Times New Roman" w:cs="Arial"/>
          <w:color w:val="000000"/>
        </w:rPr>
        <w:t xml:space="preserve"> </w:t>
      </w:r>
      <w:r w:rsidRPr="00F17B44">
        <w:rPr>
          <w:rFonts w:eastAsia="Times New Roman" w:cs="Arial"/>
          <w:color w:val="000000"/>
        </w:rPr>
        <w:t xml:space="preserve">Cal. Rev &amp; Tax Code § 23038(b)(2)(B)(iii). </w:t>
      </w:r>
      <w:r w:rsidRPr="00F17B44" w:rsidR="008A4443">
        <w:rPr>
          <w:rFonts w:eastAsia="Times New Roman" w:cs="Arial"/>
          <w:color w:val="000000"/>
        </w:rPr>
        <w:t xml:space="preserve"> </w:t>
      </w:r>
      <w:r w:rsidRPr="00F17B44">
        <w:rPr>
          <w:rFonts w:eastAsia="Times New Roman" w:cs="Arial"/>
          <w:color w:val="000000"/>
        </w:rPr>
        <w:t>Rather, the single member reports all LLC profits or losses on a personal tax return as if the business was a sole proprietorship.”  (</w:t>
      </w:r>
      <w:r w:rsidRPr="00F17B44">
        <w:rPr>
          <w:rFonts w:eastAsia="Times New Roman" w:cs="Arial"/>
          <w:i/>
          <w:iCs/>
          <w:color w:val="000000"/>
        </w:rPr>
        <w:t>In re KRSM Properties, LLC</w:t>
      </w:r>
      <w:r w:rsidRPr="00F17B44">
        <w:rPr>
          <w:rFonts w:eastAsia="Times New Roman" w:cs="Arial"/>
          <w:color w:val="000000"/>
        </w:rPr>
        <w:t xml:space="preserve"> (</w:t>
      </w:r>
      <w:r w:rsidR="00C10AE5">
        <w:rPr>
          <w:rFonts w:eastAsia="Times New Roman" w:cs="Arial"/>
          <w:color w:val="000000"/>
        </w:rPr>
        <w:t xml:space="preserve">Bankr. </w:t>
      </w:r>
      <w:r w:rsidRPr="00F17B44">
        <w:rPr>
          <w:rFonts w:eastAsia="Times New Roman" w:cs="Arial"/>
          <w:color w:val="000000"/>
        </w:rPr>
        <w:t>9th Cir.</w:t>
      </w:r>
      <w:r w:rsidRPr="00F17B44" w:rsidR="008A4443">
        <w:rPr>
          <w:rFonts w:eastAsia="Times New Roman" w:cs="Arial"/>
          <w:color w:val="000000"/>
        </w:rPr>
        <w:t xml:space="preserve"> </w:t>
      </w:r>
      <w:r w:rsidRPr="00F17B44">
        <w:rPr>
          <w:rFonts w:eastAsia="Times New Roman" w:cs="Arial"/>
          <w:color w:val="000000"/>
        </w:rPr>
        <w:t xml:space="preserve">2004) </w:t>
      </w:r>
      <w:r w:rsidRPr="00F17B44" w:rsidR="008A4443">
        <w:rPr>
          <w:rFonts w:eastAsia="Times New Roman" w:cs="Arial"/>
          <w:color w:val="000000"/>
        </w:rPr>
        <w:t>318 B.R. 712</w:t>
      </w:r>
      <w:r w:rsidRPr="00F17B44">
        <w:rPr>
          <w:rFonts w:eastAsia="Times New Roman" w:cs="Arial"/>
          <w:color w:val="000000"/>
        </w:rPr>
        <w:t>, 718–719</w:t>
      </w:r>
      <w:r w:rsidRPr="00F17B44" w:rsidR="008A4443">
        <w:rPr>
          <w:rFonts w:eastAsia="Times New Roman" w:cs="Arial"/>
          <w:color w:val="000000"/>
        </w:rPr>
        <w:t>, fns. omitted</w:t>
      </w:r>
      <w:r w:rsidRPr="00F17B44">
        <w:rPr>
          <w:rFonts w:eastAsia="Times New Roman" w:cs="Arial"/>
          <w:color w:val="000000"/>
        </w:rPr>
        <w:t>.)</w:t>
      </w:r>
      <w:r w:rsidRPr="00F17B44" w:rsidR="008C7E77">
        <w:rPr>
          <w:rFonts w:eastAsia="Times New Roman" w:cs="Arial"/>
          <w:color w:val="000000"/>
        </w:rPr>
        <w:t xml:space="preserve"> </w:t>
      </w:r>
    </w:p>
    <w:p w:rsidR="0069491C" w:rsidRPr="00F17B44" w:rsidP="0069491C" w14:paraId="7612A3BD" w14:textId="185869CC">
      <w:pPr>
        <w:rPr>
          <w:rFonts w:eastAsia="Times New Roman" w:cs="Arial"/>
          <w:color w:val="000000"/>
        </w:rPr>
      </w:pPr>
      <w:r w:rsidRPr="00F17B44">
        <w:rPr>
          <w:rFonts w:eastAsia="Times New Roman" w:cs="Arial"/>
          <w:color w:val="000000"/>
        </w:rPr>
        <w:tab/>
      </w:r>
      <w:r w:rsidRPr="00F17B44" w:rsidR="00D46EC4">
        <w:rPr>
          <w:rFonts w:eastAsia="Times New Roman" w:cs="Arial"/>
          <w:color w:val="000000"/>
        </w:rPr>
        <w:t>Consistent with the governing statutes, t</w:t>
      </w:r>
      <w:r w:rsidRPr="00F17B44" w:rsidR="009029C1">
        <w:rPr>
          <w:rFonts w:eastAsia="Times New Roman" w:cs="Arial"/>
          <w:color w:val="000000"/>
        </w:rPr>
        <w:t xml:space="preserve">he LLC agreements </w:t>
      </w:r>
      <w:r w:rsidRPr="00F17B44" w:rsidR="00FF31AB">
        <w:rPr>
          <w:rFonts w:eastAsia="Times New Roman" w:cs="Arial"/>
          <w:color w:val="000000"/>
        </w:rPr>
        <w:t xml:space="preserve">here </w:t>
      </w:r>
      <w:r w:rsidRPr="00F17B44" w:rsidR="009029C1">
        <w:rPr>
          <w:rFonts w:eastAsia="Times New Roman" w:cs="Arial"/>
          <w:color w:val="000000"/>
        </w:rPr>
        <w:t>provid</w:t>
      </w:r>
      <w:r w:rsidRPr="00F17B44" w:rsidR="00F229A3">
        <w:rPr>
          <w:rFonts w:eastAsia="Times New Roman" w:cs="Arial"/>
          <w:color w:val="000000"/>
        </w:rPr>
        <w:t>e</w:t>
      </w:r>
      <w:r w:rsidRPr="00F17B44" w:rsidR="00FF31AB">
        <w:rPr>
          <w:rFonts w:eastAsia="Times New Roman" w:cs="Arial"/>
          <w:color w:val="000000"/>
        </w:rPr>
        <w:t>,</w:t>
      </w:r>
      <w:r w:rsidRPr="00F17B44" w:rsidR="009029C1">
        <w:rPr>
          <w:rFonts w:eastAsia="Times New Roman" w:cs="Arial"/>
          <w:color w:val="000000"/>
        </w:rPr>
        <w:t xml:space="preserve"> </w:t>
      </w:r>
      <w:r w:rsidRPr="00F17B44">
        <w:rPr>
          <w:rFonts w:eastAsia="Times New Roman" w:cs="Arial"/>
          <w:color w:val="000000"/>
        </w:rPr>
        <w:t>“The debts, obligations</w:t>
      </w:r>
      <w:r w:rsidRPr="00F17B44" w:rsidR="00AD2778">
        <w:rPr>
          <w:rFonts w:eastAsia="Times New Roman" w:cs="Arial"/>
          <w:color w:val="000000"/>
        </w:rPr>
        <w:t>[</w:t>
      </w:r>
      <w:r w:rsidRPr="00F17B44">
        <w:rPr>
          <w:rFonts w:eastAsia="Times New Roman" w:cs="Arial"/>
          <w:color w:val="000000"/>
        </w:rPr>
        <w:t>,</w:t>
      </w:r>
      <w:r w:rsidRPr="00F17B44" w:rsidR="00AD2778">
        <w:rPr>
          <w:rFonts w:eastAsia="Times New Roman" w:cs="Arial"/>
          <w:color w:val="000000"/>
        </w:rPr>
        <w:t>]</w:t>
      </w:r>
      <w:r w:rsidRPr="00F17B44">
        <w:rPr>
          <w:rFonts w:eastAsia="Times New Roman" w:cs="Arial"/>
          <w:color w:val="000000"/>
        </w:rPr>
        <w:t xml:space="preserve"> and liabilities of the Company, whether arising in contract, tort</w:t>
      </w:r>
      <w:r w:rsidRPr="00F17B44" w:rsidR="00AD2778">
        <w:rPr>
          <w:rFonts w:eastAsia="Times New Roman" w:cs="Arial"/>
          <w:color w:val="000000"/>
        </w:rPr>
        <w:t>[</w:t>
      </w:r>
      <w:r w:rsidRPr="00F17B44">
        <w:rPr>
          <w:rFonts w:eastAsia="Times New Roman" w:cs="Arial"/>
          <w:color w:val="000000"/>
        </w:rPr>
        <w:t>,</w:t>
      </w:r>
      <w:r w:rsidRPr="00F17B44" w:rsidR="00AD2778">
        <w:rPr>
          <w:rFonts w:eastAsia="Times New Roman" w:cs="Arial"/>
          <w:color w:val="000000"/>
        </w:rPr>
        <w:t>]</w:t>
      </w:r>
      <w:r w:rsidRPr="00F17B44">
        <w:rPr>
          <w:rFonts w:eastAsia="Times New Roman" w:cs="Arial"/>
          <w:color w:val="000000"/>
        </w:rPr>
        <w:t xml:space="preserve"> or otherwise, shall be solely the debts, obligations</w:t>
      </w:r>
      <w:r w:rsidRPr="00F17B44" w:rsidR="00AD2778">
        <w:rPr>
          <w:rFonts w:eastAsia="Times New Roman" w:cs="Arial"/>
          <w:color w:val="000000"/>
        </w:rPr>
        <w:t>[</w:t>
      </w:r>
      <w:r w:rsidRPr="00F17B44">
        <w:rPr>
          <w:rFonts w:eastAsia="Times New Roman" w:cs="Arial"/>
          <w:color w:val="000000"/>
        </w:rPr>
        <w:t>,</w:t>
      </w:r>
      <w:r w:rsidRPr="00F17B44" w:rsidR="00AD2778">
        <w:rPr>
          <w:rFonts w:eastAsia="Times New Roman" w:cs="Arial"/>
          <w:color w:val="000000"/>
        </w:rPr>
        <w:t>]</w:t>
      </w:r>
      <w:r w:rsidRPr="00F17B44">
        <w:rPr>
          <w:rFonts w:eastAsia="Times New Roman" w:cs="Arial"/>
          <w:color w:val="000000"/>
        </w:rPr>
        <w:t xml:space="preserve"> and liabilities of the Company, and the Member shall not be obligated personally for any such debt, obligation</w:t>
      </w:r>
      <w:r w:rsidRPr="00F17B44" w:rsidR="00AD2778">
        <w:rPr>
          <w:rFonts w:eastAsia="Times New Roman" w:cs="Arial"/>
          <w:color w:val="000000"/>
        </w:rPr>
        <w:t>[</w:t>
      </w:r>
      <w:r w:rsidRPr="00F17B44">
        <w:rPr>
          <w:rFonts w:eastAsia="Times New Roman" w:cs="Arial"/>
          <w:color w:val="000000"/>
        </w:rPr>
        <w:t>,</w:t>
      </w:r>
      <w:r w:rsidRPr="00F17B44" w:rsidR="00AD2778">
        <w:rPr>
          <w:rFonts w:eastAsia="Times New Roman" w:cs="Arial"/>
          <w:color w:val="000000"/>
        </w:rPr>
        <w:t>]</w:t>
      </w:r>
      <w:r w:rsidRPr="00F17B44">
        <w:rPr>
          <w:rFonts w:eastAsia="Times New Roman" w:cs="Arial"/>
          <w:color w:val="000000"/>
        </w:rPr>
        <w:t xml:space="preserve"> or liability of the Company solely by reason of being a member of the Company.”</w:t>
      </w:r>
      <w:r w:rsidRPr="00F17B44" w:rsidR="00D46EC4">
        <w:rPr>
          <w:rFonts w:eastAsia="Times New Roman" w:cs="Arial"/>
          <w:color w:val="000000"/>
        </w:rPr>
        <w:t xml:space="preserve">  (See Corp. Code, § 17703.04, subd. (a)(1).) </w:t>
      </w:r>
      <w:r w:rsidRPr="00F17B44">
        <w:rPr>
          <w:rFonts w:eastAsia="Times New Roman" w:cs="Arial"/>
          <w:color w:val="000000"/>
        </w:rPr>
        <w:t xml:space="preserve"> </w:t>
      </w:r>
    </w:p>
    <w:p w:rsidR="00FF31AB" w:rsidRPr="00F17B44" w:rsidP="00FF31AB" w14:paraId="05211FA7" w14:textId="76855F83">
      <w:pPr>
        <w:rPr>
          <w:rFonts w:eastAsia="Times New Roman" w:cs="Arial"/>
          <w:color w:val="000000"/>
        </w:rPr>
      </w:pPr>
      <w:r w:rsidRPr="00F17B44">
        <w:rPr>
          <w:rFonts w:eastAsia="Times New Roman" w:cs="Arial"/>
          <w:color w:val="000000"/>
        </w:rPr>
        <w:tab/>
      </w:r>
      <w:r w:rsidRPr="00F17B44" w:rsidR="00D46EC4">
        <w:rPr>
          <w:rFonts w:eastAsia="Times New Roman" w:cs="Arial"/>
          <w:color w:val="000000"/>
        </w:rPr>
        <w:t xml:space="preserve">With respect to taxation, </w:t>
      </w:r>
      <w:r w:rsidRPr="00F17B44" w:rsidR="00955471">
        <w:rPr>
          <w:rFonts w:eastAsia="Times New Roman" w:cs="Arial"/>
          <w:color w:val="000000"/>
        </w:rPr>
        <w:t xml:space="preserve">the agreements </w:t>
      </w:r>
      <w:r w:rsidRPr="00F17B44" w:rsidR="00D46EC4">
        <w:rPr>
          <w:rFonts w:eastAsia="Times New Roman" w:cs="Arial"/>
          <w:color w:val="000000"/>
        </w:rPr>
        <w:t xml:space="preserve">specify, </w:t>
      </w:r>
      <w:r w:rsidRPr="00F17B44" w:rsidR="009029C1">
        <w:rPr>
          <w:rFonts w:eastAsia="Times New Roman" w:cs="Arial"/>
          <w:color w:val="000000"/>
        </w:rPr>
        <w:t xml:space="preserve">“For Federal and relevant State income and/or franchise tax purposes </w:t>
      </w:r>
      <w:r w:rsidRPr="00F17B44" w:rsidR="009029C1">
        <w:rPr>
          <w:rFonts w:eastAsia="Times New Roman" w:cs="Arial"/>
          <w:i/>
          <w:iCs/>
          <w:color w:val="000000"/>
        </w:rPr>
        <w:t>and for no other purpose whatsoever</w:t>
      </w:r>
      <w:r w:rsidRPr="00F17B44" w:rsidR="009029C1">
        <w:rPr>
          <w:rFonts w:eastAsia="Times New Roman" w:cs="Arial"/>
          <w:color w:val="000000"/>
        </w:rPr>
        <w:t>, the Company shall be disregarded as an entity separate from [CalSTRS], as provided in Section 301.7701-3(a) of the Federal Income Tax Regulations and any comparable provision of relevant State income or franchise tax law. . . .</w:t>
      </w:r>
      <w:r w:rsidRPr="00F17B44" w:rsidR="0058628D">
        <w:rPr>
          <w:rFonts w:eastAsia="Times New Roman" w:cs="Arial"/>
          <w:color w:val="000000"/>
        </w:rPr>
        <w:t xml:space="preserve"> </w:t>
      </w:r>
      <w:r w:rsidRPr="00F17B44" w:rsidR="009029C1">
        <w:rPr>
          <w:rFonts w:eastAsia="Times New Roman" w:cs="Arial"/>
          <w:color w:val="000000"/>
        </w:rPr>
        <w:t xml:space="preserve"> [E]ach of the assets and each of the liabilities of the Company shall be treated as an asset or a liability (as appropriate) of [CalSTRS] (and not of the Company) for Federal and relevant State income and/or franchise tax purposes </w:t>
      </w:r>
      <w:r w:rsidRPr="00F17B44" w:rsidR="009029C1">
        <w:rPr>
          <w:rFonts w:eastAsia="Times New Roman" w:cs="Arial"/>
          <w:i/>
          <w:iCs/>
          <w:color w:val="000000"/>
        </w:rPr>
        <w:t>and for no other purpose whatsoever</w:t>
      </w:r>
      <w:r w:rsidRPr="00F17B44" w:rsidR="009029C1">
        <w:rPr>
          <w:rFonts w:eastAsia="Times New Roman" w:cs="Arial"/>
          <w:color w:val="000000"/>
        </w:rPr>
        <w:t>.”</w:t>
      </w:r>
      <w:r>
        <w:rPr>
          <w:rStyle w:val="FootnoteReference"/>
          <w:rFonts w:eastAsia="Times New Roman" w:cs="Arial"/>
          <w:color w:val="000000"/>
        </w:rPr>
        <w:footnoteReference w:id="9"/>
      </w:r>
      <w:r w:rsidRPr="00F17B44" w:rsidR="00AD2778">
        <w:rPr>
          <w:rFonts w:eastAsia="Times New Roman" w:cs="Arial"/>
          <w:color w:val="000000"/>
        </w:rPr>
        <w:t xml:space="preserve">  (Italics added.)</w:t>
      </w:r>
    </w:p>
    <w:p w:rsidR="000E11F8" w:rsidRPr="00F17B44" w:rsidP="00FF31AB" w14:paraId="6F43E1F6" w14:textId="2773B8A0">
      <w:pPr>
        <w:rPr>
          <w:rFonts w:eastAsia="Times New Roman" w:cs="Arial"/>
          <w:color w:val="000000"/>
        </w:rPr>
      </w:pPr>
      <w:r w:rsidRPr="00F17B44">
        <w:rPr>
          <w:rFonts w:eastAsia="Times New Roman" w:cs="Arial"/>
          <w:color w:val="000000"/>
        </w:rPr>
        <w:tab/>
        <w:t xml:space="preserve">Thus, the statutory provisions governing </w:t>
      </w:r>
      <w:r w:rsidRPr="00F17B44" w:rsidR="00D51439">
        <w:rPr>
          <w:rFonts w:eastAsia="Times New Roman" w:cs="Arial"/>
          <w:color w:val="000000"/>
        </w:rPr>
        <w:t xml:space="preserve">the </w:t>
      </w:r>
      <w:r w:rsidRPr="00F17B44" w:rsidR="00687E94">
        <w:rPr>
          <w:rFonts w:eastAsia="Times New Roman" w:cs="Arial"/>
          <w:color w:val="000000"/>
        </w:rPr>
        <w:t xml:space="preserve">two </w:t>
      </w:r>
      <w:r w:rsidRPr="00F17B44">
        <w:rPr>
          <w:rFonts w:eastAsia="Times New Roman" w:cs="Arial"/>
          <w:color w:val="000000"/>
        </w:rPr>
        <w:t xml:space="preserve">LLCs </w:t>
      </w:r>
      <w:r w:rsidRPr="00F17B44" w:rsidR="001E703E">
        <w:rPr>
          <w:rFonts w:eastAsia="Times New Roman" w:cs="Arial"/>
          <w:color w:val="000000"/>
        </w:rPr>
        <w:t xml:space="preserve">expressly provide </w:t>
      </w:r>
      <w:r w:rsidRPr="00F17B44" w:rsidR="00D51439">
        <w:rPr>
          <w:rFonts w:eastAsia="Times New Roman" w:cs="Arial"/>
          <w:color w:val="000000"/>
        </w:rPr>
        <w:t xml:space="preserve">they are </w:t>
      </w:r>
      <w:r w:rsidRPr="00F17B44" w:rsidR="00D51439">
        <w:rPr>
          <w:rFonts w:eastAsia="Times New Roman" w:cs="Arial"/>
          <w:i/>
          <w:iCs/>
          <w:color w:val="000000"/>
        </w:rPr>
        <w:t>separate</w:t>
      </w:r>
      <w:r w:rsidRPr="00F17B44" w:rsidR="00D51439">
        <w:rPr>
          <w:rFonts w:eastAsia="Times New Roman" w:cs="Arial"/>
          <w:color w:val="000000"/>
        </w:rPr>
        <w:t xml:space="preserve"> entities</w:t>
      </w:r>
      <w:r w:rsidRPr="00F17B44" w:rsidR="00D51439">
        <w:rPr>
          <w:rFonts w:eastAsia="Times New Roman" w:cs="Arial"/>
          <w:i/>
          <w:iCs/>
          <w:color w:val="000000"/>
        </w:rPr>
        <w:t xml:space="preserve"> </w:t>
      </w:r>
      <w:r w:rsidRPr="00F17B44" w:rsidR="00D6634B">
        <w:rPr>
          <w:rFonts w:eastAsia="Times New Roman" w:cs="Arial"/>
          <w:color w:val="000000"/>
        </w:rPr>
        <w:t>distinct from</w:t>
      </w:r>
      <w:r w:rsidRPr="00F17B44" w:rsidR="00D51439">
        <w:rPr>
          <w:rFonts w:eastAsia="Times New Roman" w:cs="Arial"/>
          <w:color w:val="000000"/>
        </w:rPr>
        <w:t xml:space="preserve"> their member, CalSTRS.  The LLC agreements, in turn, expressly state</w:t>
      </w:r>
      <w:r w:rsidRPr="00F17B44" w:rsidR="00D6634B">
        <w:rPr>
          <w:rFonts w:eastAsia="Times New Roman" w:cs="Arial"/>
          <w:color w:val="000000"/>
        </w:rPr>
        <w:t xml:space="preserve"> </w:t>
      </w:r>
      <w:r w:rsidRPr="00F17B44" w:rsidR="00987BF7">
        <w:rPr>
          <w:rFonts w:eastAsia="Times New Roman" w:cs="Arial"/>
          <w:color w:val="000000"/>
        </w:rPr>
        <w:t xml:space="preserve">the </w:t>
      </w:r>
      <w:r w:rsidRPr="00F17B44" w:rsidR="00987BF7">
        <w:rPr>
          <w:rFonts w:eastAsia="Times New Roman" w:cs="Arial"/>
          <w:i/>
          <w:iCs/>
          <w:color w:val="000000"/>
        </w:rPr>
        <w:t xml:space="preserve">only </w:t>
      </w:r>
      <w:r w:rsidRPr="00F17B44" w:rsidR="00987BF7">
        <w:rPr>
          <w:rFonts w:eastAsia="Times New Roman" w:cs="Arial"/>
          <w:color w:val="000000"/>
        </w:rPr>
        <w:t xml:space="preserve">exception in this regard is </w:t>
      </w:r>
      <w:r w:rsidRPr="00F17B44" w:rsidR="00D6634B">
        <w:rPr>
          <w:rFonts w:eastAsia="Times New Roman" w:cs="Arial"/>
          <w:color w:val="000000"/>
        </w:rPr>
        <w:t xml:space="preserve">as permitted by </w:t>
      </w:r>
      <w:r w:rsidRPr="00F17B44" w:rsidR="00987BF7">
        <w:rPr>
          <w:rFonts w:eastAsia="Times New Roman" w:cs="Arial"/>
          <w:color w:val="000000"/>
        </w:rPr>
        <w:t xml:space="preserve">federal and state </w:t>
      </w:r>
      <w:r w:rsidRPr="00F17B44" w:rsidR="00687E94">
        <w:rPr>
          <w:rFonts w:eastAsia="Times New Roman" w:cs="Arial"/>
          <w:color w:val="000000"/>
        </w:rPr>
        <w:t xml:space="preserve">income </w:t>
      </w:r>
      <w:r w:rsidRPr="00F17B44" w:rsidR="00D6634B">
        <w:rPr>
          <w:rFonts w:eastAsia="Times New Roman" w:cs="Arial"/>
          <w:color w:val="000000"/>
        </w:rPr>
        <w:t>tax law</w:t>
      </w:r>
      <w:r w:rsidRPr="00F17B44" w:rsidR="00987BF7">
        <w:rPr>
          <w:rFonts w:eastAsia="Times New Roman" w:cs="Arial"/>
          <w:color w:val="000000"/>
        </w:rPr>
        <w:t>.</w:t>
      </w:r>
      <w:r w:rsidRPr="00F17B44" w:rsidR="00D6634B">
        <w:rPr>
          <w:rFonts w:eastAsia="Times New Roman" w:cs="Arial"/>
          <w:color w:val="000000"/>
        </w:rPr>
        <w:t xml:space="preserve"> </w:t>
      </w:r>
    </w:p>
    <w:p w:rsidR="00FF31AB" w:rsidRPr="00F17B44" w:rsidP="00FF31AB" w14:paraId="75AE1B80" w14:textId="410CB53A">
      <w:pPr>
        <w:rPr>
          <w:rFonts w:eastAsia="Times New Roman" w:cs="Arial"/>
          <w:color w:val="000000"/>
        </w:rPr>
      </w:pPr>
      <w:r w:rsidRPr="00F17B44">
        <w:rPr>
          <w:rFonts w:eastAsia="Times New Roman" w:cs="Arial"/>
          <w:color w:val="000000"/>
        </w:rPr>
        <w:tab/>
      </w:r>
      <w:r w:rsidRPr="00F17B44" w:rsidR="00D6634B">
        <w:rPr>
          <w:rFonts w:eastAsia="Times New Roman" w:cs="Arial"/>
          <w:color w:val="000000"/>
        </w:rPr>
        <w:t xml:space="preserve">The LLCs nevertheless urge that we </w:t>
      </w:r>
      <w:r w:rsidRPr="00F17B44">
        <w:rPr>
          <w:rFonts w:eastAsia="Times New Roman" w:cs="Arial"/>
          <w:color w:val="000000"/>
        </w:rPr>
        <w:t xml:space="preserve">can, and should, disregard </w:t>
      </w:r>
      <w:r w:rsidRPr="00F17B44" w:rsidR="00C43084">
        <w:rPr>
          <w:rFonts w:eastAsia="Times New Roman" w:cs="Arial"/>
          <w:color w:val="000000"/>
        </w:rPr>
        <w:t xml:space="preserve">their </w:t>
      </w:r>
      <w:r w:rsidRPr="00F17B44">
        <w:rPr>
          <w:rFonts w:eastAsia="Times New Roman" w:cs="Arial"/>
          <w:color w:val="000000"/>
        </w:rPr>
        <w:t>separate</w:t>
      </w:r>
      <w:r w:rsidRPr="00F17B44" w:rsidR="00987BF7">
        <w:rPr>
          <w:rFonts w:eastAsia="Times New Roman" w:cs="Arial"/>
          <w:color w:val="000000"/>
        </w:rPr>
        <w:t xml:space="preserve"> </w:t>
      </w:r>
      <w:r w:rsidRPr="00F17B44">
        <w:rPr>
          <w:rFonts w:eastAsia="Times New Roman" w:cs="Arial"/>
          <w:color w:val="000000"/>
        </w:rPr>
        <w:t xml:space="preserve">entity status for </w:t>
      </w:r>
      <w:r w:rsidRPr="00F17B44" w:rsidR="00687E94">
        <w:rPr>
          <w:rFonts w:eastAsia="Times New Roman" w:cs="Arial"/>
          <w:color w:val="000000"/>
        </w:rPr>
        <w:t xml:space="preserve">the additional </w:t>
      </w:r>
      <w:r w:rsidRPr="00F17B44">
        <w:rPr>
          <w:rFonts w:eastAsia="Times New Roman" w:cs="Arial"/>
          <w:color w:val="000000"/>
        </w:rPr>
        <w:t xml:space="preserve">purpose of the documentary transfer tax, citing a recent opinion by our </w:t>
      </w:r>
      <w:r w:rsidRPr="00F17B44" w:rsidR="00AD36A6">
        <w:rPr>
          <w:rFonts w:eastAsia="Times New Roman" w:cs="Arial"/>
          <w:color w:val="000000"/>
        </w:rPr>
        <w:t xml:space="preserve">state </w:t>
      </w:r>
      <w:r w:rsidRPr="00F17B44">
        <w:rPr>
          <w:rFonts w:eastAsia="Times New Roman" w:cs="Arial"/>
          <w:color w:val="000000"/>
        </w:rPr>
        <w:t>Attorney General</w:t>
      </w:r>
      <w:r w:rsidRPr="00F17B44" w:rsidR="00AD36A6">
        <w:rPr>
          <w:rFonts w:eastAsia="Times New Roman" w:cs="Arial"/>
          <w:color w:val="000000"/>
        </w:rPr>
        <w:t xml:space="preserve">, cases decided under the former </w:t>
      </w:r>
      <w:r w:rsidRPr="00F17B44" w:rsidR="008B0402">
        <w:rPr>
          <w:rFonts w:eastAsia="Times New Roman" w:cs="Arial"/>
          <w:color w:val="000000"/>
        </w:rPr>
        <w:t>F</w:t>
      </w:r>
      <w:r w:rsidRPr="00F17B44" w:rsidR="00AD36A6">
        <w:rPr>
          <w:rFonts w:eastAsia="Times New Roman" w:cs="Arial"/>
          <w:color w:val="000000"/>
        </w:rPr>
        <w:t xml:space="preserve">ederal </w:t>
      </w:r>
      <w:r w:rsidRPr="00F17B44" w:rsidR="008B0402">
        <w:rPr>
          <w:rFonts w:eastAsia="Times New Roman" w:cs="Arial"/>
          <w:color w:val="000000"/>
        </w:rPr>
        <w:t>S</w:t>
      </w:r>
      <w:r w:rsidRPr="00F17B44" w:rsidR="00AD36A6">
        <w:rPr>
          <w:rFonts w:eastAsia="Times New Roman" w:cs="Arial"/>
          <w:color w:val="000000"/>
        </w:rPr>
        <w:t xml:space="preserve">tamp </w:t>
      </w:r>
      <w:r w:rsidRPr="00F17B44" w:rsidR="008B0402">
        <w:rPr>
          <w:rFonts w:eastAsia="Times New Roman" w:cs="Arial"/>
          <w:color w:val="000000"/>
        </w:rPr>
        <w:t>A</w:t>
      </w:r>
      <w:r w:rsidRPr="00F17B44" w:rsidR="00AD36A6">
        <w:rPr>
          <w:rFonts w:eastAsia="Times New Roman" w:cs="Arial"/>
          <w:color w:val="000000"/>
        </w:rPr>
        <w:t>ct,</w:t>
      </w:r>
      <w:r w:rsidRPr="00F17B44">
        <w:rPr>
          <w:rFonts w:eastAsia="Times New Roman" w:cs="Arial"/>
          <w:color w:val="000000"/>
        </w:rPr>
        <w:t xml:space="preserve"> and case</w:t>
      </w:r>
      <w:r w:rsidRPr="00F17B44" w:rsidR="00AD36A6">
        <w:rPr>
          <w:rFonts w:eastAsia="Times New Roman" w:cs="Arial"/>
          <w:color w:val="000000"/>
        </w:rPr>
        <w:t>s</w:t>
      </w:r>
      <w:r w:rsidRPr="00F17B44">
        <w:rPr>
          <w:rFonts w:eastAsia="Times New Roman" w:cs="Arial"/>
          <w:color w:val="000000"/>
        </w:rPr>
        <w:t xml:space="preserve"> discussing </w:t>
      </w:r>
      <w:r w:rsidRPr="00F17B44" w:rsidR="00F069DE">
        <w:rPr>
          <w:rFonts w:eastAsia="Times New Roman" w:cs="Arial"/>
          <w:color w:val="000000"/>
        </w:rPr>
        <w:t xml:space="preserve">“beneficial ownership” and </w:t>
      </w:r>
      <w:r w:rsidRPr="00F17B44">
        <w:rPr>
          <w:rFonts w:eastAsia="Times New Roman" w:cs="Arial"/>
          <w:color w:val="000000"/>
        </w:rPr>
        <w:t>“change of ownership</w:t>
      </w:r>
      <w:r w:rsidRPr="00F17B44" w:rsidR="00687E94">
        <w:rPr>
          <w:rFonts w:eastAsia="Times New Roman" w:cs="Arial"/>
          <w:color w:val="000000"/>
        </w:rPr>
        <w:t>.</w:t>
      </w:r>
      <w:r w:rsidRPr="00F17B44">
        <w:rPr>
          <w:rFonts w:eastAsia="Times New Roman" w:cs="Arial"/>
          <w:color w:val="000000"/>
        </w:rPr>
        <w:t xml:space="preserve">”  </w:t>
      </w:r>
      <w:r w:rsidRPr="00F17B44" w:rsidR="004C6E89">
        <w:rPr>
          <w:rFonts w:eastAsia="Times New Roman" w:cs="Arial"/>
          <w:color w:val="000000"/>
        </w:rPr>
        <w:t xml:space="preserve">As the LLCs’ </w:t>
      </w:r>
      <w:r w:rsidRPr="00F17B44" w:rsidR="00AD36A6">
        <w:rPr>
          <w:rFonts w:eastAsia="Times New Roman" w:cs="Arial"/>
          <w:color w:val="000000"/>
        </w:rPr>
        <w:t xml:space="preserve">legal </w:t>
      </w:r>
      <w:r w:rsidRPr="00F17B44" w:rsidR="00687E94">
        <w:rPr>
          <w:rFonts w:eastAsia="Times New Roman" w:cs="Arial"/>
          <w:color w:val="000000"/>
        </w:rPr>
        <w:t xml:space="preserve">authorities </w:t>
      </w:r>
      <w:r w:rsidRPr="00F17B44" w:rsidR="004C6E89">
        <w:rPr>
          <w:rFonts w:eastAsia="Times New Roman" w:cs="Arial"/>
          <w:color w:val="000000"/>
        </w:rPr>
        <w:t xml:space="preserve">evidence, the parties have not cited to, nor are we aware of, any case addressing the </w:t>
      </w:r>
      <w:r w:rsidRPr="00F17B44" w:rsidR="00AD36A6">
        <w:rPr>
          <w:rFonts w:eastAsia="Times New Roman" w:cs="Arial"/>
          <w:color w:val="000000"/>
        </w:rPr>
        <w:t xml:space="preserve">specific </w:t>
      </w:r>
      <w:r w:rsidRPr="00F17B44" w:rsidR="004C6E89">
        <w:rPr>
          <w:rFonts w:eastAsia="Times New Roman" w:cs="Arial"/>
          <w:color w:val="000000"/>
        </w:rPr>
        <w:t>issue at hand</w:t>
      </w:r>
      <w:r w:rsidRPr="00F17B44" w:rsidR="000B0DC7">
        <w:rPr>
          <w:rFonts w:eastAsia="Times New Roman" w:cs="Arial"/>
          <w:color w:val="000000"/>
        </w:rPr>
        <w:t>—</w:t>
      </w:r>
      <w:r w:rsidRPr="00F17B44" w:rsidR="004C6E89">
        <w:rPr>
          <w:rFonts w:eastAsia="Times New Roman" w:cs="Arial"/>
          <w:color w:val="000000"/>
        </w:rPr>
        <w:t>whether an LLC created by a government entity to accomplish its public functions can be deemed a “political subdivision</w:t>
      </w:r>
      <w:r w:rsidRPr="00F17B44" w:rsidR="00AD36A6">
        <w:rPr>
          <w:rFonts w:eastAsia="Times New Roman" w:cs="Arial"/>
          <w:color w:val="000000"/>
        </w:rPr>
        <w:t xml:space="preserve">” of the state </w:t>
      </w:r>
      <w:r w:rsidRPr="00F17B44" w:rsidR="004C6E89">
        <w:rPr>
          <w:rFonts w:eastAsia="Times New Roman" w:cs="Arial"/>
          <w:color w:val="000000"/>
        </w:rPr>
        <w:t xml:space="preserve">exempt from </w:t>
      </w:r>
      <w:r w:rsidRPr="00F17B44" w:rsidR="00A70836">
        <w:rPr>
          <w:rFonts w:eastAsia="Times New Roman" w:cs="Arial"/>
          <w:color w:val="000000"/>
        </w:rPr>
        <w:t xml:space="preserve">a documentary </w:t>
      </w:r>
      <w:r w:rsidRPr="00F17B44" w:rsidR="000B0DC7">
        <w:rPr>
          <w:rFonts w:eastAsia="Times New Roman" w:cs="Arial"/>
          <w:color w:val="000000"/>
        </w:rPr>
        <w:t xml:space="preserve">transfer </w:t>
      </w:r>
      <w:r w:rsidRPr="00F17B44" w:rsidR="004C6E89">
        <w:rPr>
          <w:rFonts w:eastAsia="Times New Roman" w:cs="Arial"/>
          <w:color w:val="000000"/>
        </w:rPr>
        <w:t>tax.</w:t>
      </w:r>
      <w:r w:rsidRPr="00F17B44" w:rsidR="00AD36A6">
        <w:rPr>
          <w:rFonts w:eastAsia="Times New Roman" w:cs="Arial"/>
          <w:color w:val="000000"/>
        </w:rPr>
        <w:t xml:space="preserve">  </w:t>
      </w:r>
      <w:r w:rsidRPr="00F17B44">
        <w:rPr>
          <w:rFonts w:eastAsia="Times New Roman" w:cs="Arial"/>
          <w:color w:val="000000"/>
        </w:rPr>
        <w:t>We therefore turn to the</w:t>
      </w:r>
      <w:r w:rsidRPr="00F17B44" w:rsidR="00AD36A6">
        <w:rPr>
          <w:rFonts w:eastAsia="Times New Roman" w:cs="Arial"/>
          <w:color w:val="000000"/>
        </w:rPr>
        <w:t xml:space="preserve"> authorities cited by the LLCs.</w:t>
      </w:r>
      <w:r w:rsidRPr="00F17B44" w:rsidR="004C6E89">
        <w:rPr>
          <w:rFonts w:eastAsia="Times New Roman" w:cs="Arial"/>
          <w:color w:val="000000"/>
        </w:rPr>
        <w:t xml:space="preserve">  </w:t>
      </w:r>
      <w:r w:rsidRPr="00F17B44" w:rsidR="00D6634B">
        <w:rPr>
          <w:rFonts w:eastAsia="Times New Roman" w:cs="Arial"/>
          <w:color w:val="000000"/>
        </w:rPr>
        <w:t xml:space="preserve"> </w:t>
      </w:r>
    </w:p>
    <w:p w:rsidR="006D1432" w:rsidRPr="00F17B44" w:rsidP="006D1432" w14:paraId="2360D943" w14:textId="316B5A51">
      <w:pPr>
        <w:rPr>
          <w:rFonts w:eastAsia="Times New Roman" w:cs="Arial"/>
          <w:b/>
          <w:bCs/>
          <w:i/>
          <w:iCs/>
          <w:color w:val="000000"/>
        </w:rPr>
      </w:pPr>
      <w:r w:rsidRPr="00F17B44">
        <w:rPr>
          <w:rFonts w:eastAsia="Times New Roman" w:cs="Arial"/>
          <w:b/>
          <w:bCs/>
          <w:i/>
          <w:iCs/>
          <w:color w:val="000000"/>
        </w:rPr>
        <w:t xml:space="preserve">Attorney General </w:t>
      </w:r>
      <w:r w:rsidRPr="00F17B44" w:rsidR="000E11F8">
        <w:rPr>
          <w:rFonts w:eastAsia="Times New Roman" w:cs="Arial"/>
          <w:b/>
          <w:bCs/>
          <w:i/>
          <w:iCs/>
          <w:color w:val="000000"/>
        </w:rPr>
        <w:t xml:space="preserve">Opinions </w:t>
      </w:r>
    </w:p>
    <w:p w:rsidR="006D1432" w:rsidRPr="00F17B44" w:rsidP="006D1432" w14:paraId="4512A299" w14:textId="25EEE298">
      <w:pPr>
        <w:rPr>
          <w:rFonts w:eastAsia="Times New Roman" w:cs="Arial"/>
          <w:color w:val="000000"/>
        </w:rPr>
      </w:pPr>
      <w:r w:rsidRPr="00F17B44">
        <w:rPr>
          <w:rFonts w:eastAsia="Times New Roman" w:cs="Arial"/>
          <w:b/>
          <w:bCs/>
          <w:i/>
          <w:iCs/>
          <w:color w:val="000000"/>
        </w:rPr>
        <w:tab/>
      </w:r>
      <w:r w:rsidRPr="00F17B44">
        <w:t xml:space="preserve"> “</w:t>
      </w:r>
      <w:r w:rsidRPr="00F17B44">
        <w:rPr>
          <w:rFonts w:eastAsia="Times New Roman" w:cs="Arial"/>
          <w:color w:val="000000"/>
        </w:rPr>
        <w:t>Although we are not bound by the Attorney General’s interpretation of a statute, ‘ “ ‘[a]bsent controlling authority, [the Attorney General’s opinion] is persuasive because we presume that the Legislature was cognizant of the Attorney General’s construction of [the statute] and would have taken corrective action if it disagreed with that construction.’ ” ’ ”  (</w:t>
      </w:r>
      <w:r w:rsidRPr="00F17B44">
        <w:rPr>
          <w:rFonts w:eastAsia="Times New Roman" w:cs="Arial"/>
          <w:i/>
          <w:iCs/>
          <w:color w:val="000000"/>
        </w:rPr>
        <w:t>Towner v. County of Ventura</w:t>
      </w:r>
      <w:r w:rsidRPr="00F17B44">
        <w:rPr>
          <w:rFonts w:eastAsia="Times New Roman" w:cs="Arial"/>
          <w:color w:val="000000"/>
        </w:rPr>
        <w:t xml:space="preserve"> (2021) 63 Cal.App.5th 761, 773</w:t>
      </w:r>
      <w:r w:rsidRPr="00F17B44" w:rsidR="00F7137F">
        <w:rPr>
          <w:rFonts w:eastAsia="Times New Roman" w:cs="Arial"/>
          <w:color w:val="000000"/>
        </w:rPr>
        <w:t xml:space="preserve"> (</w:t>
      </w:r>
      <w:r w:rsidRPr="00F17B44" w:rsidR="00F7137F">
        <w:rPr>
          <w:rFonts w:eastAsia="Times New Roman" w:cs="Arial"/>
          <w:i/>
          <w:iCs/>
          <w:color w:val="000000"/>
        </w:rPr>
        <w:t>Towner</w:t>
      </w:r>
      <w:r w:rsidRPr="00F17B44" w:rsidR="00F7137F">
        <w:rPr>
          <w:rFonts w:eastAsia="Times New Roman" w:cs="Arial"/>
          <w:color w:val="000000"/>
        </w:rPr>
        <w:t>)</w:t>
      </w:r>
      <w:r w:rsidRPr="00F17B44">
        <w:rPr>
          <w:rFonts w:eastAsia="Times New Roman" w:cs="Arial"/>
          <w:color w:val="000000"/>
        </w:rPr>
        <w:t>.)</w:t>
      </w:r>
    </w:p>
    <w:p w:rsidR="00C43084" w:rsidRPr="00F17B44" w:rsidP="00C43084" w14:paraId="7A19033B" w14:textId="6268D042">
      <w:pPr>
        <w:rPr>
          <w:rFonts w:eastAsia="Times New Roman" w:cs="Arial"/>
          <w:color w:val="000000"/>
        </w:rPr>
      </w:pPr>
      <w:r w:rsidRPr="00F17B44">
        <w:rPr>
          <w:rFonts w:eastAsia="Times New Roman" w:cs="Arial"/>
          <w:color w:val="000000"/>
        </w:rPr>
        <w:tab/>
        <w:t xml:space="preserve">The LLCs </w:t>
      </w:r>
      <w:r w:rsidRPr="00F17B44" w:rsidR="00213C36">
        <w:rPr>
          <w:rFonts w:eastAsia="Times New Roman" w:cs="Arial"/>
          <w:color w:val="000000"/>
        </w:rPr>
        <w:t xml:space="preserve">direct our attention to a 2019 opinion responding to an inquiry by the County of Santa Barbara as to whether “a nonprofit public benefit corporation that is an instrumentality of a city housing authority” </w:t>
      </w:r>
      <w:r w:rsidRPr="00F17B44" w:rsidR="00687E94">
        <w:rPr>
          <w:rFonts w:eastAsia="Times New Roman" w:cs="Arial"/>
          <w:color w:val="000000"/>
        </w:rPr>
        <w:t>is</w:t>
      </w:r>
      <w:r w:rsidRPr="00F17B44" w:rsidR="00213C36">
        <w:rPr>
          <w:rFonts w:eastAsia="Times New Roman" w:cs="Arial"/>
          <w:color w:val="000000"/>
        </w:rPr>
        <w:t xml:space="preserve"> exempt from the documentary transfer tax.  </w:t>
      </w:r>
      <w:r w:rsidRPr="00F17B44">
        <w:rPr>
          <w:rFonts w:eastAsia="Times New Roman" w:cs="Arial"/>
          <w:color w:val="000000"/>
        </w:rPr>
        <w:t>(</w:t>
      </w:r>
      <w:r w:rsidRPr="00F17B44">
        <w:rPr>
          <w:rFonts w:eastAsia="Times New Roman" w:cs="Arial"/>
        </w:rPr>
        <w:t>102 Ops.Cal.Atty.Gen. 78</w:t>
      </w:r>
      <w:r w:rsidRPr="00F17B44" w:rsidR="00B77DF3">
        <w:rPr>
          <w:rFonts w:eastAsia="Times New Roman" w:cs="Arial"/>
        </w:rPr>
        <w:t xml:space="preserve">, </w:t>
      </w:r>
      <w:r w:rsidR="00C10AE5">
        <w:rPr>
          <w:rFonts w:eastAsia="Times New Roman" w:cs="Arial"/>
        </w:rPr>
        <w:t>at p. </w:t>
      </w:r>
      <w:r w:rsidRPr="00F17B44" w:rsidR="00B77DF3">
        <w:rPr>
          <w:rFonts w:eastAsia="Times New Roman" w:cs="Arial"/>
        </w:rPr>
        <w:t>*1</w:t>
      </w:r>
      <w:r w:rsidRPr="00F17B44" w:rsidR="007B0E43">
        <w:rPr>
          <w:rFonts w:eastAsia="Times New Roman" w:cs="Arial"/>
        </w:rPr>
        <w:t xml:space="preserve"> (2019)</w:t>
      </w:r>
      <w:r w:rsidRPr="00F17B44" w:rsidR="00B77DF3">
        <w:rPr>
          <w:rFonts w:eastAsia="Times New Roman" w:cs="Arial"/>
        </w:rPr>
        <w:t>.)</w:t>
      </w:r>
      <w:r w:rsidRPr="00F17B44" w:rsidR="00213C36">
        <w:rPr>
          <w:rFonts w:eastAsia="Times New Roman" w:cs="Arial"/>
        </w:rPr>
        <w:t xml:space="preserve">  </w:t>
      </w:r>
      <w:r w:rsidRPr="00F17B44">
        <w:rPr>
          <w:rFonts w:eastAsia="Times New Roman" w:cs="Arial"/>
          <w:color w:val="000000"/>
        </w:rPr>
        <w:t>The Attorney General concluded</w:t>
      </w:r>
      <w:r w:rsidRPr="00F17B44" w:rsidR="00213C36">
        <w:rPr>
          <w:rFonts w:eastAsia="Times New Roman" w:cs="Arial"/>
          <w:color w:val="000000"/>
        </w:rPr>
        <w:t>,</w:t>
      </w:r>
      <w:r w:rsidRPr="00F17B44">
        <w:rPr>
          <w:rFonts w:eastAsia="Times New Roman" w:cs="Arial"/>
          <w:color w:val="000000"/>
        </w:rPr>
        <w:t xml:space="preserve"> “A housing authority created under state law ‘constitutes a corporate and politic public body, exercising public and essential governmental functions. . . .’  Therefore[,] a housing authority is a government agency, and thus exempt from the documentary transfer tax under section 11922. [¶] We see no material difference arising from the circumstance that the taxable event—filing a deed or other instrument of property transfer—is undertaken by the nonprofit public benefit corporation created by the public agency, rather than by the housing agency itself.  When it exercises the powers of a public housing agency, a nonprofit created by the housing agency is a ‘political subdivision’ entitled to an exemption from the documentary transfer tax.”  (</w:t>
      </w:r>
      <w:r w:rsidRPr="00F17B44" w:rsidR="008B0402">
        <w:rPr>
          <w:rFonts w:eastAsia="Times New Roman" w:cs="Arial"/>
          <w:i/>
          <w:iCs/>
        </w:rPr>
        <w:t>Id</w:t>
      </w:r>
      <w:r w:rsidRPr="00F17B44" w:rsidR="008B0402">
        <w:rPr>
          <w:rFonts w:eastAsia="Times New Roman" w:cs="Arial"/>
        </w:rPr>
        <w:t>.</w:t>
      </w:r>
      <w:r w:rsidRPr="00F17B44" w:rsidR="00B77DF3">
        <w:rPr>
          <w:rFonts w:eastAsia="Times New Roman" w:cs="Arial"/>
          <w:i/>
          <w:iCs/>
        </w:rPr>
        <w:t xml:space="preserve"> </w:t>
      </w:r>
      <w:r w:rsidRPr="00F17B44" w:rsidR="00B77DF3">
        <w:rPr>
          <w:rFonts w:eastAsia="Times New Roman" w:cs="Arial"/>
        </w:rPr>
        <w:t xml:space="preserve">at </w:t>
      </w:r>
      <w:r w:rsidR="00C10AE5">
        <w:rPr>
          <w:rFonts w:eastAsia="Times New Roman" w:cs="Arial"/>
        </w:rPr>
        <w:t xml:space="preserve">p. </w:t>
      </w:r>
      <w:r w:rsidRPr="00F17B44" w:rsidR="00213C36">
        <w:rPr>
          <w:rFonts w:eastAsia="Times New Roman" w:cs="Arial"/>
        </w:rPr>
        <w:t>*</w:t>
      </w:r>
      <w:r w:rsidRPr="00F17B44" w:rsidR="008B0402">
        <w:rPr>
          <w:rFonts w:eastAsia="Times New Roman" w:cs="Arial"/>
        </w:rPr>
        <w:t>3</w:t>
      </w:r>
      <w:r w:rsidRPr="00F17B44" w:rsidR="00213C36">
        <w:rPr>
          <w:rFonts w:eastAsia="Times New Roman" w:cs="Arial"/>
        </w:rPr>
        <w:t>.</w:t>
      </w:r>
      <w:r w:rsidRPr="00F17B44">
        <w:rPr>
          <w:rFonts w:eastAsia="Times New Roman" w:cs="Arial"/>
        </w:rPr>
        <w:t>)</w:t>
      </w:r>
    </w:p>
    <w:p w:rsidR="00C43084" w:rsidRPr="00F17B44" w:rsidP="00C43084" w14:paraId="2C9DF2C2" w14:textId="78345CB7">
      <w:pPr>
        <w:rPr>
          <w:rFonts w:eastAsia="Times New Roman" w:cs="Arial"/>
          <w:color w:val="000000"/>
        </w:rPr>
      </w:pPr>
      <w:r w:rsidRPr="00F17B44">
        <w:rPr>
          <w:rFonts w:eastAsia="Times New Roman" w:cs="Arial"/>
          <w:color w:val="000000"/>
        </w:rPr>
        <w:tab/>
        <w:t>The LLCs maintain “</w:t>
      </w:r>
      <w:r w:rsidRPr="00F17B44" w:rsidR="00AA7538">
        <w:rPr>
          <w:rFonts w:eastAsia="Times New Roman" w:cs="Arial"/>
          <w:color w:val="000000"/>
        </w:rPr>
        <w:t>[</w:t>
      </w:r>
      <w:r w:rsidRPr="00F17B44">
        <w:rPr>
          <w:rFonts w:eastAsia="Times New Roman" w:cs="Arial"/>
          <w:color w:val="000000"/>
        </w:rPr>
        <w:t>t</w:t>
      </w:r>
      <w:r w:rsidRPr="00F17B44" w:rsidR="00AA7538">
        <w:rPr>
          <w:rFonts w:eastAsia="Times New Roman" w:cs="Arial"/>
          <w:color w:val="000000"/>
        </w:rPr>
        <w:t>]</w:t>
      </w:r>
      <w:r w:rsidRPr="00F17B44">
        <w:rPr>
          <w:rFonts w:eastAsia="Times New Roman" w:cs="Arial"/>
          <w:color w:val="000000"/>
        </w:rPr>
        <w:t>he same rule should be applied to a single member limited liability company that is wholly owned by a state agency and irrevocably dedicated to essential government functions.”</w:t>
      </w:r>
    </w:p>
    <w:p w:rsidR="004927A5" w:rsidRPr="00F17B44" w:rsidP="00C43084" w14:paraId="499899FD" w14:textId="02455EA7">
      <w:pPr>
        <w:rPr>
          <w:rFonts w:eastAsia="Times New Roman" w:cs="Arial"/>
          <w:color w:val="000000"/>
        </w:rPr>
      </w:pPr>
      <w:r w:rsidRPr="00F17B44">
        <w:rPr>
          <w:rFonts w:eastAsia="Times New Roman" w:cs="Arial"/>
          <w:color w:val="000000"/>
        </w:rPr>
        <w:tab/>
      </w:r>
      <w:r w:rsidRPr="00F17B44" w:rsidR="00C43084">
        <w:rPr>
          <w:rFonts w:eastAsia="Times New Roman" w:cs="Arial"/>
          <w:color w:val="000000"/>
        </w:rPr>
        <w:t xml:space="preserve">The Attorney General’s opinion, however, </w:t>
      </w:r>
      <w:r w:rsidRPr="00F17B44" w:rsidR="00C43084">
        <w:rPr>
          <w:rFonts w:eastAsia="Times New Roman" w:cs="Arial"/>
          <w:i/>
          <w:iCs/>
          <w:color w:val="000000"/>
        </w:rPr>
        <w:t>presumed</w:t>
      </w:r>
      <w:r w:rsidRPr="00F17B44" w:rsidR="00C43084">
        <w:rPr>
          <w:rFonts w:eastAsia="Times New Roman" w:cs="Arial"/>
          <w:color w:val="000000"/>
        </w:rPr>
        <w:t xml:space="preserve"> the nonprofit public benefit corporation </w:t>
      </w:r>
      <w:r w:rsidRPr="00F17B44" w:rsidR="00A70836">
        <w:rPr>
          <w:rFonts w:eastAsia="Times New Roman" w:cs="Arial"/>
          <w:color w:val="000000"/>
        </w:rPr>
        <w:t xml:space="preserve">in question </w:t>
      </w:r>
      <w:r w:rsidRPr="00F17B44" w:rsidR="00C43084">
        <w:rPr>
          <w:rFonts w:eastAsia="Times New Roman" w:cs="Arial"/>
          <w:color w:val="000000"/>
        </w:rPr>
        <w:t>was an instrumentality of the city housing authority—it did not decide that issue.</w:t>
      </w:r>
      <w:r w:rsidRPr="00F17B44" w:rsidR="00B77DF3">
        <w:rPr>
          <w:rFonts w:eastAsia="Times New Roman" w:cs="Arial"/>
          <w:color w:val="000000"/>
        </w:rPr>
        <w:t xml:space="preserve">  (</w:t>
      </w:r>
      <w:r w:rsidRPr="00F17B44" w:rsidR="00B77DF3">
        <w:rPr>
          <w:rFonts w:eastAsia="Times New Roman" w:cs="Arial"/>
        </w:rPr>
        <w:t xml:space="preserve">102 Ops.Cal.Atty.Gen., </w:t>
      </w:r>
      <w:r w:rsidRPr="00F17B44" w:rsidR="00B77DF3">
        <w:rPr>
          <w:rFonts w:eastAsia="Times New Roman" w:cs="Arial"/>
          <w:i/>
          <w:iCs/>
        </w:rPr>
        <w:t xml:space="preserve">supra, </w:t>
      </w:r>
      <w:r w:rsidRPr="00F17B44" w:rsidR="00B77DF3">
        <w:rPr>
          <w:rFonts w:eastAsia="Times New Roman" w:cs="Arial"/>
        </w:rPr>
        <w:t xml:space="preserve">at </w:t>
      </w:r>
      <w:r w:rsidRPr="00F17B44" w:rsidR="00192389">
        <w:rPr>
          <w:rFonts w:eastAsia="Times New Roman" w:cs="Arial"/>
        </w:rPr>
        <w:t xml:space="preserve">p. </w:t>
      </w:r>
      <w:r w:rsidRPr="00F17B44" w:rsidR="00551509">
        <w:rPr>
          <w:rFonts w:eastAsia="Times New Roman" w:cs="Arial"/>
        </w:rPr>
        <w:t xml:space="preserve">* </w:t>
      </w:r>
      <w:r w:rsidRPr="00F17B44" w:rsidR="00B77DF3">
        <w:rPr>
          <w:rFonts w:eastAsia="Times New Roman" w:cs="Arial"/>
        </w:rPr>
        <w:t>1.)</w:t>
      </w:r>
      <w:r w:rsidRPr="00F17B44">
        <w:rPr>
          <w:rFonts w:eastAsia="Times New Roman" w:cs="Arial"/>
          <w:color w:val="000000"/>
        </w:rPr>
        <w:t xml:space="preserve">  </w:t>
      </w:r>
      <w:r w:rsidRPr="00F17B44" w:rsidR="004A1B2A">
        <w:rPr>
          <w:rFonts w:eastAsia="Times New Roman" w:cs="Arial"/>
          <w:color w:val="000000"/>
        </w:rPr>
        <w:t xml:space="preserve">Rather, </w:t>
      </w:r>
      <w:r w:rsidRPr="00F17B44" w:rsidR="00B77DF3">
        <w:rPr>
          <w:rFonts w:eastAsia="Times New Roman" w:cs="Arial"/>
          <w:color w:val="000000"/>
        </w:rPr>
        <w:t xml:space="preserve">it </w:t>
      </w:r>
      <w:r w:rsidRPr="00F17B44">
        <w:rPr>
          <w:rFonts w:eastAsia="Times New Roman" w:cs="Arial"/>
          <w:color w:val="000000"/>
        </w:rPr>
        <w:t xml:space="preserve">observed “it is common for housing authorities in California to create nonprofit public benefit corporations.”  It further observed that in a prior opinion, the Attorney General “noted that the [Documentary Transfer Tax] statute uses the term </w:t>
      </w:r>
      <w:r w:rsidRPr="00F17B44" w:rsidR="00AA7538">
        <w:rPr>
          <w:rFonts w:eastAsia="Times New Roman" w:cs="Arial"/>
          <w:color w:val="000000"/>
        </w:rPr>
        <w:t>‘</w:t>
      </w:r>
      <w:r w:rsidRPr="00F17B44">
        <w:rPr>
          <w:rFonts w:eastAsia="Times New Roman" w:cs="Arial"/>
          <w:color w:val="000000"/>
        </w:rPr>
        <w:t>exempt agency</w:t>
      </w:r>
      <w:r w:rsidRPr="00F17B44" w:rsidR="00AA7538">
        <w:rPr>
          <w:rFonts w:eastAsia="Times New Roman" w:cs="Arial"/>
          <w:color w:val="000000"/>
        </w:rPr>
        <w:t>’</w:t>
      </w:r>
      <w:r w:rsidRPr="00F17B44">
        <w:rPr>
          <w:rFonts w:eastAsia="Times New Roman" w:cs="Arial"/>
          <w:color w:val="000000"/>
        </w:rPr>
        <w:t xml:space="preserve"> as a broad catch-all in its final phrase: </w:t>
      </w:r>
      <w:r w:rsidRPr="00F17B44" w:rsidR="00AA7538">
        <w:rPr>
          <w:rFonts w:eastAsia="Times New Roman" w:cs="Arial"/>
          <w:color w:val="000000"/>
        </w:rPr>
        <w:t>‘</w:t>
      </w:r>
      <w:r w:rsidRPr="00F17B44">
        <w:rPr>
          <w:rFonts w:eastAsia="Times New Roman" w:cs="Arial"/>
          <w:color w:val="000000"/>
        </w:rPr>
        <w:t>when the exempt agency is acquiring title.</w:t>
      </w:r>
      <w:r w:rsidRPr="00F17B44" w:rsidR="00AA7538">
        <w:rPr>
          <w:rFonts w:eastAsia="Times New Roman" w:cs="Arial"/>
          <w:color w:val="000000"/>
        </w:rPr>
        <w:t>’ </w:t>
      </w:r>
      <w:r w:rsidRPr="00F17B44">
        <w:rPr>
          <w:rFonts w:eastAsia="Times New Roman" w:cs="Arial"/>
          <w:color w:val="000000"/>
        </w:rPr>
        <w:t>”  (</w:t>
      </w:r>
      <w:r w:rsidRPr="00E30225" w:rsidR="00E30225">
        <w:rPr>
          <w:rFonts w:eastAsia="Times New Roman" w:cs="Arial"/>
          <w:i/>
          <w:iCs/>
        </w:rPr>
        <w:t>Id</w:t>
      </w:r>
      <w:r w:rsidR="00E30225">
        <w:rPr>
          <w:rFonts w:eastAsia="Times New Roman" w:cs="Arial"/>
        </w:rPr>
        <w:t xml:space="preserve">. </w:t>
      </w:r>
      <w:r w:rsidRPr="00F17B44">
        <w:rPr>
          <w:rFonts w:eastAsia="Times New Roman" w:cs="Arial"/>
        </w:rPr>
        <w:t>at</w:t>
      </w:r>
      <w:r w:rsidRPr="00F17B44" w:rsidR="00551509">
        <w:rPr>
          <w:rFonts w:eastAsia="Times New Roman" w:cs="Arial"/>
        </w:rPr>
        <w:t xml:space="preserve"> </w:t>
      </w:r>
      <w:r w:rsidRPr="00F17B44" w:rsidR="00192389">
        <w:rPr>
          <w:rFonts w:eastAsia="Times New Roman" w:cs="Arial"/>
        </w:rPr>
        <w:t xml:space="preserve">p. </w:t>
      </w:r>
      <w:r w:rsidRPr="00F17B44" w:rsidR="00551509">
        <w:rPr>
          <w:rFonts w:eastAsia="Times New Roman" w:cs="Arial"/>
        </w:rPr>
        <w:t xml:space="preserve">* </w:t>
      </w:r>
      <w:r w:rsidRPr="00F17B44" w:rsidR="00AA7538">
        <w:rPr>
          <w:rFonts w:eastAsia="Times New Roman" w:cs="Arial"/>
        </w:rPr>
        <w:t>3</w:t>
      </w:r>
      <w:r w:rsidRPr="00F17B44">
        <w:rPr>
          <w:rFonts w:eastAsia="Times New Roman" w:cs="Arial"/>
        </w:rPr>
        <w:t>.)</w:t>
      </w:r>
      <w:r w:rsidRPr="00F17B44">
        <w:rPr>
          <w:rFonts w:eastAsia="Times New Roman" w:cs="Arial"/>
          <w:color w:val="000000"/>
        </w:rPr>
        <w:t xml:space="preserve">  “</w:t>
      </w:r>
      <w:r w:rsidRPr="00F17B44" w:rsidR="004A1B2A">
        <w:rPr>
          <w:rFonts w:eastAsia="Times New Roman" w:cs="Arial"/>
          <w:color w:val="000000"/>
        </w:rPr>
        <w:t>T</w:t>
      </w:r>
      <w:r w:rsidRPr="00F17B44">
        <w:rPr>
          <w:rFonts w:eastAsia="Times New Roman" w:cs="Arial"/>
          <w:color w:val="000000"/>
        </w:rPr>
        <w:t>his sweeping usage indicated</w:t>
      </w:r>
      <w:r w:rsidRPr="00F17B44" w:rsidR="004A1B2A">
        <w:rPr>
          <w:rFonts w:eastAsia="Times New Roman" w:cs="Arial"/>
          <w:color w:val="000000"/>
        </w:rPr>
        <w:t xml:space="preserve"> . . . </w:t>
      </w:r>
      <w:r w:rsidRPr="00F17B44">
        <w:rPr>
          <w:rFonts w:eastAsia="Times New Roman" w:cs="Arial"/>
          <w:color w:val="000000"/>
        </w:rPr>
        <w:t xml:space="preserve">the exemption was intended to be applied inclusively: ‘[I]f the entity involved can be classified as a government agency, it is exempt from the tax.’  After also examining the legislative history, we concluded that the use of </w:t>
      </w:r>
      <w:r w:rsidRPr="00F17B44" w:rsidR="00AA7538">
        <w:rPr>
          <w:rFonts w:eastAsia="Times New Roman" w:cs="Arial"/>
          <w:color w:val="000000"/>
        </w:rPr>
        <w:t>‘</w:t>
      </w:r>
      <w:r w:rsidRPr="00F17B44">
        <w:rPr>
          <w:rFonts w:eastAsia="Times New Roman" w:cs="Arial"/>
          <w:color w:val="000000"/>
        </w:rPr>
        <w:t>political subdivision</w:t>
      </w:r>
      <w:r w:rsidRPr="00F17B44" w:rsidR="00AA7538">
        <w:rPr>
          <w:rFonts w:eastAsia="Times New Roman" w:cs="Arial"/>
          <w:color w:val="000000"/>
        </w:rPr>
        <w:t>’</w:t>
      </w:r>
      <w:r w:rsidRPr="00F17B44">
        <w:rPr>
          <w:rFonts w:eastAsia="Times New Roman" w:cs="Arial"/>
          <w:color w:val="000000"/>
        </w:rPr>
        <w:t xml:space="preserve"> in section 11922 was meant to apply broadly rather than restrictively, and that county water districts did qualify for the exemption.”  (</w:t>
      </w:r>
      <w:r w:rsidRPr="00F17B44">
        <w:rPr>
          <w:rFonts w:eastAsia="Times New Roman" w:cs="Arial"/>
          <w:i/>
          <w:iCs/>
          <w:color w:val="000000"/>
        </w:rPr>
        <w:t>Ibid.</w:t>
      </w:r>
      <w:r w:rsidRPr="00F17B44">
        <w:rPr>
          <w:rFonts w:eastAsia="Times New Roman" w:cs="Arial"/>
          <w:color w:val="000000"/>
        </w:rPr>
        <w:t>)</w:t>
      </w:r>
      <w:r w:rsidRPr="00F17B44" w:rsidR="00B77DF3">
        <w:rPr>
          <w:rFonts w:eastAsia="Times New Roman" w:cs="Arial"/>
          <w:color w:val="000000"/>
        </w:rPr>
        <w:t xml:space="preserve">  </w:t>
      </w:r>
    </w:p>
    <w:p w:rsidR="00C26543" w:rsidRPr="00F17B44" w:rsidP="00C26543" w14:paraId="423A9AFA" w14:textId="377EDC76">
      <w:pPr>
        <w:rPr>
          <w:rFonts w:eastAsia="Times New Roman" w:cs="Arial"/>
          <w:color w:val="000000"/>
        </w:rPr>
      </w:pPr>
      <w:r w:rsidRPr="00F17B44">
        <w:rPr>
          <w:rFonts w:eastAsia="Times New Roman" w:cs="Arial"/>
          <w:color w:val="000000"/>
        </w:rPr>
        <w:tab/>
      </w:r>
      <w:r w:rsidRPr="00F17B44" w:rsidR="007B0E43">
        <w:rPr>
          <w:rFonts w:eastAsia="Times New Roman" w:cs="Arial"/>
          <w:color w:val="000000"/>
        </w:rPr>
        <w:t xml:space="preserve">The opinion to which the </w:t>
      </w:r>
      <w:r w:rsidRPr="00F17B44" w:rsidR="00687E94">
        <w:rPr>
          <w:rFonts w:eastAsia="Times New Roman" w:cs="Arial"/>
          <w:color w:val="000000"/>
        </w:rPr>
        <w:t xml:space="preserve">2019 opinion </w:t>
      </w:r>
      <w:r w:rsidRPr="00F17B44" w:rsidR="007B0E43">
        <w:rPr>
          <w:rFonts w:eastAsia="Times New Roman" w:cs="Arial"/>
          <w:color w:val="000000"/>
        </w:rPr>
        <w:t xml:space="preserve">referred considered whether a county water district </w:t>
      </w:r>
      <w:r w:rsidRPr="00F17B44" w:rsidR="00687E94">
        <w:rPr>
          <w:rFonts w:eastAsia="Times New Roman" w:cs="Arial"/>
          <w:color w:val="000000"/>
        </w:rPr>
        <w:t>is</w:t>
      </w:r>
      <w:r w:rsidRPr="00F17B44" w:rsidR="007B0E43">
        <w:rPr>
          <w:rFonts w:eastAsia="Times New Roman" w:cs="Arial"/>
          <w:color w:val="000000"/>
        </w:rPr>
        <w:t xml:space="preserve"> a “</w:t>
      </w:r>
      <w:r w:rsidRPr="00F17B44" w:rsidR="00AA7538">
        <w:rPr>
          <w:rFonts w:eastAsia="Times New Roman" w:cs="Arial"/>
          <w:color w:val="000000"/>
        </w:rPr>
        <w:t xml:space="preserve"> ‘</w:t>
      </w:r>
      <w:r w:rsidRPr="00F17B44" w:rsidR="007B0E43">
        <w:rPr>
          <w:rFonts w:eastAsia="Times New Roman" w:cs="Arial"/>
          <w:color w:val="000000"/>
        </w:rPr>
        <w:t>political subdivision</w:t>
      </w:r>
      <w:r w:rsidRPr="00F17B44" w:rsidR="00AA7538">
        <w:rPr>
          <w:rFonts w:eastAsia="Times New Roman" w:cs="Arial"/>
          <w:color w:val="000000"/>
        </w:rPr>
        <w:t xml:space="preserve">’ </w:t>
      </w:r>
      <w:r w:rsidRPr="00F17B44" w:rsidR="007B0E43">
        <w:rPr>
          <w:rFonts w:eastAsia="Times New Roman" w:cs="Arial"/>
          <w:color w:val="000000"/>
        </w:rPr>
        <w:t xml:space="preserve">” </w:t>
      </w:r>
      <w:r w:rsidRPr="00F17B44" w:rsidR="00AD36A6">
        <w:rPr>
          <w:rFonts w:eastAsia="Times New Roman" w:cs="Arial"/>
          <w:color w:val="000000"/>
        </w:rPr>
        <w:t xml:space="preserve">of the state </w:t>
      </w:r>
      <w:r w:rsidRPr="00F17B44" w:rsidR="007B0E43">
        <w:rPr>
          <w:rFonts w:eastAsia="Times New Roman" w:cs="Arial"/>
          <w:color w:val="000000"/>
        </w:rPr>
        <w:t xml:space="preserve">for purposes of the </w:t>
      </w:r>
      <w:r w:rsidRPr="00F17B44" w:rsidR="000B0DC7">
        <w:rPr>
          <w:rFonts w:eastAsia="Times New Roman" w:cs="Arial"/>
          <w:color w:val="000000"/>
        </w:rPr>
        <w:t xml:space="preserve">documentary </w:t>
      </w:r>
      <w:r w:rsidRPr="00F17B44" w:rsidR="007B0E43">
        <w:rPr>
          <w:rFonts w:eastAsia="Times New Roman" w:cs="Arial"/>
          <w:color w:val="000000"/>
        </w:rPr>
        <w:t>transfer tax.  (56 Cal.Ops.Atty.Gen. 79 (1973).)  Th</w:t>
      </w:r>
      <w:r w:rsidRPr="00F17B44" w:rsidR="00A70836">
        <w:rPr>
          <w:rFonts w:eastAsia="Times New Roman" w:cs="Arial"/>
          <w:color w:val="000000"/>
        </w:rPr>
        <w:t xml:space="preserve">e Attorney General therein </w:t>
      </w:r>
      <w:r w:rsidRPr="00F17B44" w:rsidR="007B0E43">
        <w:rPr>
          <w:rFonts w:eastAsia="Times New Roman" w:cs="Arial"/>
          <w:color w:val="000000"/>
        </w:rPr>
        <w:t>observed “there are different California authorities which could be mechanically cited in favor of or against the inclusion of county water districts within the term ‘political subdivision.’ ”  (</w:t>
      </w:r>
      <w:r w:rsidRPr="00F17B44" w:rsidR="007B0E43">
        <w:rPr>
          <w:rFonts w:eastAsia="Times New Roman" w:cs="Arial"/>
          <w:i/>
          <w:iCs/>
          <w:color w:val="000000"/>
        </w:rPr>
        <w:t>Id.</w:t>
      </w:r>
      <w:r w:rsidRPr="00F17B44" w:rsidR="007B0E43">
        <w:rPr>
          <w:rFonts w:eastAsia="Times New Roman" w:cs="Arial"/>
          <w:color w:val="000000"/>
        </w:rPr>
        <w:t xml:space="preserve"> at </w:t>
      </w:r>
      <w:r w:rsidRPr="00F17B44" w:rsidR="00192389">
        <w:rPr>
          <w:rFonts w:eastAsia="Times New Roman" w:cs="Arial"/>
          <w:color w:val="000000"/>
        </w:rPr>
        <w:t>p.</w:t>
      </w:r>
      <w:r w:rsidRPr="00F17B44" w:rsidR="007B0E43">
        <w:rPr>
          <w:rFonts w:eastAsia="Times New Roman" w:cs="Arial"/>
          <w:color w:val="000000"/>
        </w:rPr>
        <w:t xml:space="preserve"> 8</w:t>
      </w:r>
      <w:r w:rsidRPr="00F17B44" w:rsidR="00192389">
        <w:rPr>
          <w:rFonts w:eastAsia="Times New Roman" w:cs="Arial"/>
          <w:color w:val="000000"/>
        </w:rPr>
        <w:t>1</w:t>
      </w:r>
      <w:r w:rsidRPr="00F17B44" w:rsidR="007B0E43">
        <w:rPr>
          <w:rFonts w:eastAsia="Times New Roman" w:cs="Arial"/>
          <w:color w:val="000000"/>
        </w:rPr>
        <w:t xml:space="preserve">.)  </w:t>
      </w:r>
      <w:r w:rsidRPr="00F17B44" w:rsidR="00A70836">
        <w:rPr>
          <w:rFonts w:eastAsia="Times New Roman" w:cs="Arial"/>
          <w:color w:val="000000"/>
        </w:rPr>
        <w:t xml:space="preserve">He </w:t>
      </w:r>
      <w:r w:rsidRPr="00F17B44" w:rsidR="007B0E43">
        <w:rPr>
          <w:rFonts w:eastAsia="Times New Roman" w:cs="Arial"/>
          <w:color w:val="000000"/>
        </w:rPr>
        <w:t>therefore endeavored “to discover whatever legislative intent can be found regarding the scop</w:t>
      </w:r>
      <w:r w:rsidRPr="00F17B44" w:rsidR="004A1B2A">
        <w:rPr>
          <w:rFonts w:eastAsia="Times New Roman" w:cs="Arial"/>
          <w:color w:val="000000"/>
        </w:rPr>
        <w:t>e</w:t>
      </w:r>
      <w:r w:rsidRPr="00F17B44" w:rsidR="007B0E43">
        <w:rPr>
          <w:rFonts w:eastAsia="Times New Roman" w:cs="Arial"/>
          <w:color w:val="000000"/>
        </w:rPr>
        <w:t xml:space="preserve"> of the </w:t>
      </w:r>
      <w:r w:rsidRPr="00F17B44" w:rsidR="004A1B2A">
        <w:rPr>
          <w:rFonts w:eastAsia="Times New Roman" w:cs="Arial"/>
          <w:color w:val="000000"/>
        </w:rPr>
        <w:t>t</w:t>
      </w:r>
      <w:r w:rsidRPr="00F17B44" w:rsidR="007B0E43">
        <w:rPr>
          <w:rFonts w:eastAsia="Times New Roman" w:cs="Arial"/>
          <w:color w:val="000000"/>
        </w:rPr>
        <w:t>erm ‘political subdivision’ as used in the particular statute at hand.”  (</w:t>
      </w:r>
      <w:r w:rsidRPr="00F17B44" w:rsidR="007B0E43">
        <w:rPr>
          <w:rFonts w:eastAsia="Times New Roman" w:cs="Arial"/>
          <w:i/>
          <w:iCs/>
          <w:color w:val="000000"/>
        </w:rPr>
        <w:t>Ibid.</w:t>
      </w:r>
      <w:r w:rsidRPr="00F17B44" w:rsidR="007B0E43">
        <w:rPr>
          <w:rFonts w:eastAsia="Times New Roman" w:cs="Arial"/>
          <w:color w:val="000000"/>
        </w:rPr>
        <w:t xml:space="preserve">)  And in that undertaking, the Attorney General examined the former federal stamp tax, which the state tax replaced and on which it </w:t>
      </w:r>
      <w:r w:rsidRPr="00F17B44" w:rsidR="000B0DC7">
        <w:rPr>
          <w:rFonts w:eastAsia="Times New Roman" w:cs="Arial"/>
          <w:color w:val="000000"/>
        </w:rPr>
        <w:t>was</w:t>
      </w:r>
      <w:r w:rsidRPr="00F17B44" w:rsidR="007B0E43">
        <w:rPr>
          <w:rFonts w:eastAsia="Times New Roman" w:cs="Arial"/>
          <w:color w:val="000000"/>
        </w:rPr>
        <w:t xml:space="preserve"> modeled.  (</w:t>
      </w:r>
      <w:r w:rsidRPr="00F17B44" w:rsidR="007B0E43">
        <w:rPr>
          <w:rFonts w:eastAsia="Times New Roman" w:cs="Arial"/>
          <w:i/>
          <w:iCs/>
          <w:color w:val="000000"/>
        </w:rPr>
        <w:t xml:space="preserve">Id. </w:t>
      </w:r>
      <w:r w:rsidRPr="00F17B44" w:rsidR="007B0E43">
        <w:rPr>
          <w:rFonts w:eastAsia="Times New Roman" w:cs="Arial"/>
          <w:color w:val="000000"/>
        </w:rPr>
        <w:t xml:space="preserve">at pp. </w:t>
      </w:r>
      <w:r w:rsidRPr="00F17B44">
        <w:rPr>
          <w:rFonts w:eastAsia="Times New Roman" w:cs="Arial"/>
          <w:color w:val="000000"/>
        </w:rPr>
        <w:t>81</w:t>
      </w:r>
      <w:r w:rsidRPr="00F17B44" w:rsidR="00192389">
        <w:rPr>
          <w:rFonts w:eastAsia="Times New Roman" w:cs="Arial"/>
          <w:color w:val="000000"/>
        </w:rPr>
        <w:t>–</w:t>
      </w:r>
      <w:r w:rsidRPr="00F17B44">
        <w:rPr>
          <w:rFonts w:eastAsia="Times New Roman" w:cs="Arial"/>
          <w:color w:val="000000"/>
        </w:rPr>
        <w:t xml:space="preserve">83.)  He concluded Congress had “acted to </w:t>
      </w:r>
      <w:r w:rsidRPr="00F17B44">
        <w:rPr>
          <w:rFonts w:eastAsia="Times New Roman" w:cs="Arial"/>
          <w:i/>
          <w:iCs/>
          <w:color w:val="000000"/>
        </w:rPr>
        <w:t xml:space="preserve">broaden </w:t>
      </w:r>
      <w:r w:rsidRPr="00F17B44">
        <w:rPr>
          <w:rFonts w:eastAsia="Times New Roman" w:cs="Arial"/>
          <w:color w:val="000000"/>
        </w:rPr>
        <w:t>the coverage of the exemption as to the type of property acquired by governmental entities” and, thus, endorsed a view of the state exemption for “</w:t>
      </w:r>
      <w:r w:rsidRPr="00F17B44" w:rsidR="00192389">
        <w:rPr>
          <w:rFonts w:eastAsia="Times New Roman" w:cs="Arial"/>
          <w:color w:val="000000"/>
        </w:rPr>
        <w:t xml:space="preserve"> ‘</w:t>
      </w:r>
      <w:r w:rsidRPr="00F17B44">
        <w:rPr>
          <w:rFonts w:eastAsia="Times New Roman" w:cs="Arial"/>
          <w:color w:val="000000"/>
        </w:rPr>
        <w:t>political subdivision[s]</w:t>
      </w:r>
      <w:r w:rsidRPr="00F17B44" w:rsidR="00192389">
        <w:rPr>
          <w:rFonts w:eastAsia="Times New Roman" w:cs="Arial"/>
          <w:color w:val="000000"/>
        </w:rPr>
        <w:t xml:space="preserve">’ </w:t>
      </w:r>
      <w:r w:rsidRPr="00F17B44">
        <w:rPr>
          <w:rFonts w:eastAsia="Times New Roman" w:cs="Arial"/>
          <w:color w:val="000000"/>
        </w:rPr>
        <w:t>” “broad enough to include special districts such as the county water district</w:t>
      </w:r>
      <w:r w:rsidRPr="00F17B44" w:rsidR="004A1B2A">
        <w:rPr>
          <w:rFonts w:eastAsia="Times New Roman" w:cs="Arial"/>
          <w:color w:val="000000"/>
        </w:rPr>
        <w:t>.</w:t>
      </w:r>
      <w:r w:rsidRPr="00F17B44">
        <w:rPr>
          <w:rFonts w:eastAsia="Times New Roman" w:cs="Arial"/>
          <w:color w:val="000000"/>
        </w:rPr>
        <w:t>”</w:t>
      </w:r>
      <w:r w:rsidRPr="00F17B44" w:rsidR="00192389">
        <w:rPr>
          <w:rFonts w:eastAsia="Times New Roman" w:cs="Arial"/>
          <w:color w:val="000000"/>
        </w:rPr>
        <w:t xml:space="preserve"> </w:t>
      </w:r>
      <w:r w:rsidRPr="00F17B44">
        <w:rPr>
          <w:rFonts w:eastAsia="Times New Roman" w:cs="Arial"/>
          <w:color w:val="000000"/>
        </w:rPr>
        <w:t xml:space="preserve"> (</w:t>
      </w:r>
      <w:r w:rsidRPr="00F17B44">
        <w:rPr>
          <w:rFonts w:eastAsia="Times New Roman" w:cs="Arial"/>
          <w:i/>
          <w:iCs/>
          <w:color w:val="000000"/>
        </w:rPr>
        <w:t>Id.</w:t>
      </w:r>
      <w:r w:rsidRPr="00F17B44">
        <w:rPr>
          <w:rFonts w:eastAsia="Times New Roman" w:cs="Arial"/>
          <w:color w:val="000000"/>
        </w:rPr>
        <w:t xml:space="preserve"> at p. 83</w:t>
      </w:r>
      <w:r w:rsidRPr="00F17B44" w:rsidR="00192389">
        <w:rPr>
          <w:rFonts w:eastAsia="Times New Roman" w:cs="Arial"/>
          <w:color w:val="000000"/>
        </w:rPr>
        <w:t xml:space="preserve">; </w:t>
      </w:r>
      <w:r w:rsidRPr="00F17B44" w:rsidR="00192389">
        <w:rPr>
          <w:rFonts w:eastAsia="Times New Roman" w:cs="Arial"/>
          <w:i/>
          <w:iCs/>
          <w:color w:val="000000"/>
        </w:rPr>
        <w:t>ibid</w:t>
      </w:r>
      <w:r w:rsidRPr="00F17B44" w:rsidR="00192389">
        <w:rPr>
          <w:rFonts w:eastAsia="Times New Roman" w:cs="Arial"/>
          <w:color w:val="000000"/>
        </w:rPr>
        <w:t>.</w:t>
      </w:r>
      <w:r w:rsidRPr="00F17B44">
        <w:rPr>
          <w:rFonts w:eastAsia="Times New Roman" w:cs="Arial"/>
          <w:color w:val="000000"/>
        </w:rPr>
        <w:t xml:space="preserve"> [“the section as presently worded indicates by its use of the term ‘exempt agency’ as an all-inclusive term that if the entity involved can be classified as a governmental agency</w:t>
      </w:r>
      <w:r w:rsidRPr="00F17B44" w:rsidR="004A1B2A">
        <w:rPr>
          <w:rFonts w:eastAsia="Times New Roman" w:cs="Arial"/>
          <w:color w:val="000000"/>
        </w:rPr>
        <w:t>, it is exempt from the tax</w:t>
      </w:r>
      <w:r w:rsidRPr="00F17B44">
        <w:rPr>
          <w:rFonts w:eastAsia="Times New Roman" w:cs="Arial"/>
          <w:color w:val="000000"/>
        </w:rPr>
        <w:t xml:space="preserve">”].)  Citing to a number of cases treating water districts as government entities in a variety of contexts, the Attorney General </w:t>
      </w:r>
      <w:r w:rsidRPr="00F17B44" w:rsidR="004A1B2A">
        <w:rPr>
          <w:rFonts w:eastAsia="Times New Roman" w:cs="Arial"/>
          <w:color w:val="000000"/>
        </w:rPr>
        <w:t>stated</w:t>
      </w:r>
      <w:r w:rsidRPr="00F17B44">
        <w:rPr>
          <w:rFonts w:eastAsia="Times New Roman" w:cs="Arial"/>
          <w:color w:val="000000"/>
        </w:rPr>
        <w:t xml:space="preserve"> “[a]bout the clearest conclusion that can be drawn in this entire area of classification of governmental entities is that county water districts and similar special districts can be classified as </w:t>
      </w:r>
      <w:r w:rsidRPr="00F17B44" w:rsidR="008E6451">
        <w:rPr>
          <w:rFonts w:eastAsia="Times New Roman" w:cs="Arial"/>
          <w:color w:val="000000"/>
        </w:rPr>
        <w:t>‘</w:t>
      </w:r>
      <w:r w:rsidRPr="00F17B44">
        <w:rPr>
          <w:rFonts w:eastAsia="Times New Roman" w:cs="Arial"/>
          <w:color w:val="000000"/>
        </w:rPr>
        <w:t>state,</w:t>
      </w:r>
      <w:r w:rsidRPr="00F17B44" w:rsidR="008E6451">
        <w:rPr>
          <w:rFonts w:eastAsia="Times New Roman" w:cs="Arial"/>
          <w:color w:val="000000"/>
        </w:rPr>
        <w:t>’</w:t>
      </w:r>
      <w:r w:rsidRPr="00F17B44">
        <w:rPr>
          <w:rFonts w:eastAsia="Times New Roman" w:cs="Arial"/>
          <w:color w:val="000000"/>
        </w:rPr>
        <w:t xml:space="preserve"> </w:t>
      </w:r>
      <w:r w:rsidRPr="00F17B44" w:rsidR="008E6451">
        <w:rPr>
          <w:rFonts w:eastAsia="Times New Roman" w:cs="Arial"/>
          <w:color w:val="000000"/>
        </w:rPr>
        <w:t>‘</w:t>
      </w:r>
      <w:r w:rsidRPr="00F17B44">
        <w:rPr>
          <w:rFonts w:eastAsia="Times New Roman" w:cs="Arial"/>
          <w:color w:val="000000"/>
        </w:rPr>
        <w:t>governmental,</w:t>
      </w:r>
      <w:r w:rsidRPr="00F17B44" w:rsidR="008E6451">
        <w:rPr>
          <w:rFonts w:eastAsia="Times New Roman" w:cs="Arial"/>
          <w:color w:val="000000"/>
        </w:rPr>
        <w:t>’</w:t>
      </w:r>
      <w:r w:rsidRPr="00F17B44">
        <w:rPr>
          <w:rFonts w:eastAsia="Times New Roman" w:cs="Arial"/>
          <w:color w:val="000000"/>
        </w:rPr>
        <w:t xml:space="preserve"> and </w:t>
      </w:r>
      <w:r w:rsidRPr="00F17B44" w:rsidR="008E6451">
        <w:rPr>
          <w:rFonts w:eastAsia="Times New Roman" w:cs="Arial"/>
          <w:color w:val="000000"/>
        </w:rPr>
        <w:t>‘</w:t>
      </w:r>
      <w:r w:rsidRPr="00F17B44">
        <w:rPr>
          <w:rFonts w:eastAsia="Times New Roman" w:cs="Arial"/>
          <w:color w:val="000000"/>
        </w:rPr>
        <w:t>public</w:t>
      </w:r>
      <w:r w:rsidRPr="00F17B44" w:rsidR="008E6451">
        <w:rPr>
          <w:rFonts w:eastAsia="Times New Roman" w:cs="Arial"/>
          <w:color w:val="000000"/>
        </w:rPr>
        <w:t>’</w:t>
      </w:r>
      <w:r w:rsidRPr="00F17B44">
        <w:rPr>
          <w:rFonts w:eastAsia="Times New Roman" w:cs="Arial"/>
          <w:color w:val="000000"/>
        </w:rPr>
        <w:t xml:space="preserve"> agencies.”  (</w:t>
      </w:r>
      <w:r w:rsidRPr="00F17B44">
        <w:rPr>
          <w:rFonts w:eastAsia="Times New Roman" w:cs="Arial"/>
          <w:i/>
          <w:iCs/>
          <w:color w:val="000000"/>
        </w:rPr>
        <w:t>Ibid.</w:t>
      </w:r>
      <w:r w:rsidRPr="00F17B44">
        <w:rPr>
          <w:rFonts w:eastAsia="Times New Roman" w:cs="Arial"/>
          <w:color w:val="000000"/>
        </w:rPr>
        <w:t xml:space="preserve">)  </w:t>
      </w:r>
    </w:p>
    <w:p w:rsidR="00810770" w:rsidRPr="00F17B44" w:rsidP="00C43084" w14:paraId="2AC945AF" w14:textId="39678160">
      <w:pPr>
        <w:rPr>
          <w:rFonts w:eastAsia="Times New Roman" w:cs="Arial"/>
          <w:color w:val="000000"/>
        </w:rPr>
      </w:pPr>
      <w:r w:rsidRPr="00F17B44">
        <w:rPr>
          <w:rFonts w:eastAsia="Times New Roman" w:cs="Arial"/>
          <w:color w:val="000000"/>
        </w:rPr>
        <w:tab/>
      </w:r>
      <w:r w:rsidRPr="00F17B44" w:rsidR="004A1B2A">
        <w:rPr>
          <w:rFonts w:eastAsia="Times New Roman" w:cs="Arial"/>
          <w:color w:val="000000"/>
        </w:rPr>
        <w:t xml:space="preserve">The Attorney General took the same approach </w:t>
      </w:r>
      <w:r w:rsidRPr="00F17B44">
        <w:rPr>
          <w:rFonts w:eastAsia="Times New Roman" w:cs="Arial"/>
          <w:color w:val="000000"/>
        </w:rPr>
        <w:t xml:space="preserve">nearly three decades later </w:t>
      </w:r>
      <w:r w:rsidRPr="00F17B44" w:rsidR="004A1B2A">
        <w:rPr>
          <w:rFonts w:eastAsia="Times New Roman" w:cs="Arial"/>
          <w:color w:val="000000"/>
        </w:rPr>
        <w:t xml:space="preserve">in </w:t>
      </w:r>
      <w:r w:rsidRPr="00F17B44" w:rsidR="001D04C4">
        <w:rPr>
          <w:rFonts w:eastAsia="Times New Roman" w:cs="Arial"/>
          <w:color w:val="000000"/>
        </w:rPr>
        <w:t xml:space="preserve">2002, when </w:t>
      </w:r>
      <w:r w:rsidRPr="00F17B44" w:rsidR="004A1B2A">
        <w:rPr>
          <w:rFonts w:eastAsia="Times New Roman" w:cs="Arial"/>
          <w:color w:val="000000"/>
        </w:rPr>
        <w:t xml:space="preserve">considering whether a “city” </w:t>
      </w:r>
      <w:r w:rsidRPr="00F17B44" w:rsidR="001D04C4">
        <w:rPr>
          <w:rFonts w:eastAsia="Times New Roman" w:cs="Arial"/>
          <w:color w:val="000000"/>
        </w:rPr>
        <w:t>i</w:t>
      </w:r>
      <w:r w:rsidRPr="00F17B44" w:rsidR="004A1B2A">
        <w:rPr>
          <w:rFonts w:eastAsia="Times New Roman" w:cs="Arial"/>
          <w:color w:val="000000"/>
        </w:rPr>
        <w:t xml:space="preserve">s </w:t>
      </w:r>
      <w:r w:rsidRPr="00F17B44" w:rsidR="001D04C4">
        <w:rPr>
          <w:rFonts w:eastAsia="Times New Roman" w:cs="Arial"/>
          <w:color w:val="000000"/>
        </w:rPr>
        <w:t xml:space="preserve">a </w:t>
      </w:r>
      <w:r w:rsidRPr="00F17B44" w:rsidR="004A1B2A">
        <w:rPr>
          <w:rFonts w:eastAsia="Times New Roman" w:cs="Arial"/>
          <w:color w:val="000000"/>
        </w:rPr>
        <w:t>“</w:t>
      </w:r>
      <w:r w:rsidRPr="00F17B44" w:rsidR="008E6451">
        <w:rPr>
          <w:rFonts w:eastAsia="Times New Roman" w:cs="Arial"/>
          <w:color w:val="000000"/>
        </w:rPr>
        <w:t xml:space="preserve"> ‘</w:t>
      </w:r>
      <w:r w:rsidRPr="00F17B44" w:rsidR="004A1B2A">
        <w:rPr>
          <w:rFonts w:eastAsia="Times New Roman" w:cs="Arial"/>
          <w:color w:val="000000"/>
        </w:rPr>
        <w:t>political subdivision</w:t>
      </w:r>
      <w:r w:rsidRPr="00F17B44" w:rsidR="008E6451">
        <w:rPr>
          <w:rFonts w:eastAsia="Times New Roman" w:cs="Arial"/>
          <w:color w:val="000000"/>
        </w:rPr>
        <w:t xml:space="preserve">’ </w:t>
      </w:r>
      <w:r w:rsidRPr="00F17B44" w:rsidR="004A1B2A">
        <w:rPr>
          <w:rFonts w:eastAsia="Times New Roman" w:cs="Arial"/>
          <w:color w:val="000000"/>
        </w:rPr>
        <w:t xml:space="preserve">” of the state for purposes </w:t>
      </w:r>
      <w:r w:rsidRPr="00F17B44">
        <w:rPr>
          <w:rFonts w:eastAsia="Times New Roman" w:cs="Arial"/>
          <w:color w:val="000000"/>
        </w:rPr>
        <w:t xml:space="preserve">of the documentary transfer tax.  (85 Ops.Cal.Atty.Gen. 235, </w:t>
      </w:r>
      <w:r w:rsidR="00C10AE5">
        <w:rPr>
          <w:rFonts w:eastAsia="Times New Roman" w:cs="Arial"/>
          <w:color w:val="000000"/>
        </w:rPr>
        <w:t xml:space="preserve">at </w:t>
      </w:r>
      <w:r w:rsidR="00E30225">
        <w:rPr>
          <w:rFonts w:eastAsia="Times New Roman" w:cs="Arial"/>
          <w:color w:val="000000"/>
        </w:rPr>
        <w:t xml:space="preserve">pp. </w:t>
      </w:r>
      <w:r w:rsidRPr="00F17B44" w:rsidR="00551509">
        <w:rPr>
          <w:rFonts w:eastAsia="Times New Roman" w:cs="Arial"/>
          <w:color w:val="000000"/>
        </w:rPr>
        <w:t>*</w:t>
      </w:r>
      <w:r w:rsidRPr="00F17B44">
        <w:rPr>
          <w:rFonts w:eastAsia="Times New Roman" w:cs="Arial"/>
          <w:color w:val="000000"/>
        </w:rPr>
        <w:t>1</w:t>
      </w:r>
      <w:r w:rsidR="00E30225">
        <w:rPr>
          <w:rFonts w:eastAsia="Times New Roman" w:cs="Arial"/>
          <w:color w:val="000000"/>
        </w:rPr>
        <w:t>–</w:t>
      </w:r>
      <w:r w:rsidRPr="00F17B44">
        <w:rPr>
          <w:rFonts w:eastAsia="Times New Roman" w:cs="Arial"/>
          <w:color w:val="000000"/>
        </w:rPr>
        <w:t xml:space="preserve">2 (2002).)  </w:t>
      </w:r>
      <w:r w:rsidRPr="00F17B44" w:rsidR="001D04C4">
        <w:rPr>
          <w:rFonts w:eastAsia="Times New Roman" w:cs="Arial"/>
          <w:color w:val="000000"/>
        </w:rPr>
        <w:t xml:space="preserve">That opinion recited that for some purposes </w:t>
      </w:r>
      <w:r w:rsidRPr="00F17B44">
        <w:rPr>
          <w:rFonts w:eastAsia="Times New Roman" w:cs="Arial"/>
          <w:color w:val="000000"/>
        </w:rPr>
        <w:t xml:space="preserve">cities are recognized as </w:t>
      </w:r>
      <w:r w:rsidRPr="00F17B44" w:rsidR="000B0DC7">
        <w:rPr>
          <w:rFonts w:eastAsia="Times New Roman" w:cs="Arial"/>
          <w:color w:val="000000"/>
        </w:rPr>
        <w:t>political subdivisions of the state</w:t>
      </w:r>
      <w:r w:rsidRPr="00F17B44">
        <w:rPr>
          <w:rFonts w:eastAsia="Times New Roman" w:cs="Arial"/>
          <w:color w:val="000000"/>
        </w:rPr>
        <w:t xml:space="preserve">, </w:t>
      </w:r>
      <w:r w:rsidRPr="00F17B44" w:rsidR="001D04C4">
        <w:rPr>
          <w:rFonts w:eastAsia="Times New Roman" w:cs="Arial"/>
          <w:color w:val="000000"/>
        </w:rPr>
        <w:t xml:space="preserve">and </w:t>
      </w:r>
      <w:r w:rsidRPr="00F17B44">
        <w:rPr>
          <w:rFonts w:eastAsia="Times New Roman" w:cs="Arial"/>
          <w:color w:val="000000"/>
        </w:rPr>
        <w:t xml:space="preserve">for others they are not.  Thus, as with </w:t>
      </w:r>
      <w:r w:rsidRPr="00F17B44" w:rsidR="00A70836">
        <w:rPr>
          <w:rFonts w:eastAsia="Times New Roman" w:cs="Arial"/>
          <w:color w:val="000000"/>
        </w:rPr>
        <w:t xml:space="preserve">county </w:t>
      </w:r>
      <w:r w:rsidRPr="00F17B44">
        <w:rPr>
          <w:rFonts w:eastAsia="Times New Roman" w:cs="Arial"/>
          <w:color w:val="000000"/>
        </w:rPr>
        <w:t>water districts, different California authorities “</w:t>
      </w:r>
      <w:r w:rsidRPr="00F17B44" w:rsidR="008E6451">
        <w:rPr>
          <w:rFonts w:eastAsia="Times New Roman" w:cs="Arial"/>
          <w:color w:val="000000"/>
        </w:rPr>
        <w:t xml:space="preserve"> ‘</w:t>
      </w:r>
      <w:r w:rsidRPr="00F17B44">
        <w:rPr>
          <w:rFonts w:eastAsia="Times New Roman" w:cs="Arial"/>
          <w:color w:val="000000"/>
        </w:rPr>
        <w:t>could be mechanically cited</w:t>
      </w:r>
      <w:r w:rsidRPr="00F17B44" w:rsidR="008E6451">
        <w:rPr>
          <w:rFonts w:eastAsia="Times New Roman" w:cs="Arial"/>
          <w:color w:val="000000"/>
        </w:rPr>
        <w:t xml:space="preserve">’ </w:t>
      </w:r>
      <w:r w:rsidRPr="00F17B44">
        <w:rPr>
          <w:rFonts w:eastAsia="Times New Roman" w:cs="Arial"/>
          <w:color w:val="000000"/>
        </w:rPr>
        <w:t xml:space="preserve">” for </w:t>
      </w:r>
      <w:r w:rsidRPr="00F17B44" w:rsidR="000B0DC7">
        <w:rPr>
          <w:rFonts w:eastAsia="Times New Roman" w:cs="Arial"/>
          <w:color w:val="000000"/>
        </w:rPr>
        <w:t xml:space="preserve">designating a city </w:t>
      </w:r>
      <w:r w:rsidRPr="00F17B44">
        <w:rPr>
          <w:rFonts w:eastAsia="Times New Roman" w:cs="Arial"/>
          <w:color w:val="000000"/>
        </w:rPr>
        <w:t xml:space="preserve">either </w:t>
      </w:r>
      <w:r w:rsidRPr="00F17B44" w:rsidR="000B0DC7">
        <w:rPr>
          <w:rFonts w:eastAsia="Times New Roman" w:cs="Arial"/>
          <w:color w:val="000000"/>
        </w:rPr>
        <w:t>way.</w:t>
      </w:r>
      <w:r w:rsidRPr="00F17B44">
        <w:rPr>
          <w:rFonts w:eastAsia="Times New Roman" w:cs="Arial"/>
          <w:color w:val="000000"/>
        </w:rPr>
        <w:t xml:space="preserve">  (</w:t>
      </w:r>
      <w:r w:rsidRPr="00F17B44">
        <w:rPr>
          <w:rFonts w:eastAsia="Times New Roman" w:cs="Arial"/>
          <w:i/>
          <w:iCs/>
          <w:color w:val="000000"/>
        </w:rPr>
        <w:t>Id.</w:t>
      </w:r>
      <w:r w:rsidRPr="00F17B44" w:rsidR="008E6451">
        <w:rPr>
          <w:rFonts w:eastAsia="Times New Roman" w:cs="Arial"/>
          <w:i/>
          <w:iCs/>
          <w:color w:val="000000"/>
        </w:rPr>
        <w:t xml:space="preserve"> </w:t>
      </w:r>
      <w:r w:rsidRPr="00F17B44" w:rsidR="008E6451">
        <w:rPr>
          <w:rFonts w:eastAsia="Times New Roman" w:cs="Arial"/>
          <w:color w:val="000000"/>
        </w:rPr>
        <w:t>at p. *4</w:t>
      </w:r>
      <w:r w:rsidRPr="00F17B44" w:rsidR="008E6451">
        <w:rPr>
          <w:rFonts w:eastAsia="Times New Roman" w:cs="Arial"/>
          <w:i/>
          <w:iCs/>
          <w:color w:val="000000"/>
        </w:rPr>
        <w:t>.</w:t>
      </w:r>
      <w:r w:rsidRPr="00F17B44">
        <w:rPr>
          <w:rFonts w:eastAsia="Times New Roman" w:cs="Arial"/>
          <w:color w:val="000000"/>
        </w:rPr>
        <w:t xml:space="preserve">)  Looking to both the prior </w:t>
      </w:r>
      <w:r w:rsidRPr="00F17B44" w:rsidR="008E6451">
        <w:rPr>
          <w:rFonts w:eastAsia="Times New Roman" w:cs="Arial"/>
          <w:color w:val="000000"/>
        </w:rPr>
        <w:t>F</w:t>
      </w:r>
      <w:r w:rsidRPr="00F17B44">
        <w:rPr>
          <w:rFonts w:eastAsia="Times New Roman" w:cs="Arial"/>
          <w:color w:val="000000"/>
        </w:rPr>
        <w:t xml:space="preserve">ederal </w:t>
      </w:r>
      <w:r w:rsidRPr="00F17B44" w:rsidR="008E6451">
        <w:rPr>
          <w:rFonts w:eastAsia="Times New Roman" w:cs="Arial"/>
          <w:color w:val="000000"/>
        </w:rPr>
        <w:t>S</w:t>
      </w:r>
      <w:r w:rsidRPr="00F17B44" w:rsidR="000B0DC7">
        <w:rPr>
          <w:rFonts w:eastAsia="Times New Roman" w:cs="Arial"/>
          <w:color w:val="000000"/>
        </w:rPr>
        <w:t xml:space="preserve">tamp </w:t>
      </w:r>
      <w:r w:rsidRPr="00F17B44" w:rsidR="008E6451">
        <w:rPr>
          <w:rFonts w:eastAsia="Times New Roman" w:cs="Arial"/>
          <w:color w:val="000000"/>
        </w:rPr>
        <w:t>A</w:t>
      </w:r>
      <w:r w:rsidRPr="00F17B44" w:rsidR="000B0DC7">
        <w:rPr>
          <w:rFonts w:eastAsia="Times New Roman" w:cs="Arial"/>
          <w:color w:val="000000"/>
        </w:rPr>
        <w:t xml:space="preserve">ct </w:t>
      </w:r>
      <w:r w:rsidRPr="00F17B44">
        <w:rPr>
          <w:rFonts w:eastAsia="Times New Roman" w:cs="Arial"/>
          <w:color w:val="000000"/>
        </w:rPr>
        <w:t>exemption, and the legislative history of the state statute which included broad statements that “</w:t>
      </w:r>
      <w:r w:rsidRPr="00F17B44" w:rsidR="008E6451">
        <w:rPr>
          <w:rFonts w:eastAsia="Times New Roman" w:cs="Arial"/>
          <w:color w:val="000000"/>
        </w:rPr>
        <w:t xml:space="preserve"> ‘</w:t>
      </w:r>
      <w:r w:rsidRPr="00F17B44">
        <w:rPr>
          <w:rFonts w:eastAsia="Times New Roman" w:cs="Arial"/>
          <w:color w:val="000000"/>
        </w:rPr>
        <w:t xml:space="preserve">Federal, state and local </w:t>
      </w:r>
      <w:r w:rsidRPr="00F17B44" w:rsidR="008E6451">
        <w:rPr>
          <w:rFonts w:eastAsia="Times New Roman" w:cs="Arial"/>
          <w:color w:val="000000"/>
        </w:rPr>
        <w:t xml:space="preserve">government </w:t>
      </w:r>
      <w:r w:rsidRPr="00F17B44">
        <w:rPr>
          <w:rFonts w:eastAsia="Times New Roman" w:cs="Arial"/>
          <w:color w:val="000000"/>
        </w:rPr>
        <w:t>agencies are exempted from the tax,</w:t>
      </w:r>
      <w:r w:rsidRPr="00F17B44" w:rsidR="008E6451">
        <w:rPr>
          <w:rFonts w:eastAsia="Times New Roman" w:cs="Arial"/>
          <w:color w:val="000000"/>
        </w:rPr>
        <w:t xml:space="preserve">’ </w:t>
      </w:r>
      <w:r w:rsidRPr="00F17B44">
        <w:rPr>
          <w:rFonts w:eastAsia="Times New Roman" w:cs="Arial"/>
          <w:color w:val="000000"/>
        </w:rPr>
        <w:t>” the Attorney General concluded cities are “</w:t>
      </w:r>
      <w:r w:rsidRPr="00F17B44" w:rsidR="008E6451">
        <w:rPr>
          <w:rFonts w:eastAsia="Times New Roman" w:cs="Arial"/>
          <w:color w:val="000000"/>
        </w:rPr>
        <w:t xml:space="preserve"> ‘</w:t>
      </w:r>
      <w:r w:rsidRPr="00F17B44">
        <w:rPr>
          <w:rFonts w:eastAsia="Times New Roman" w:cs="Arial"/>
          <w:color w:val="000000"/>
        </w:rPr>
        <w:t>political subdivisions</w:t>
      </w:r>
      <w:r w:rsidRPr="00F17B44" w:rsidR="008E6451">
        <w:rPr>
          <w:rFonts w:eastAsia="Times New Roman" w:cs="Arial"/>
          <w:color w:val="000000"/>
        </w:rPr>
        <w:t xml:space="preserve">’ </w:t>
      </w:r>
      <w:r w:rsidRPr="00F17B44">
        <w:rPr>
          <w:rFonts w:eastAsia="Times New Roman" w:cs="Arial"/>
          <w:color w:val="000000"/>
        </w:rPr>
        <w:t xml:space="preserve">” of the state for purposes of the </w:t>
      </w:r>
      <w:r w:rsidRPr="00F17B44" w:rsidR="00A70836">
        <w:rPr>
          <w:rFonts w:eastAsia="Times New Roman" w:cs="Arial"/>
          <w:color w:val="000000"/>
        </w:rPr>
        <w:t xml:space="preserve">documentary </w:t>
      </w:r>
      <w:r w:rsidRPr="00F17B44">
        <w:rPr>
          <w:rFonts w:eastAsia="Times New Roman" w:cs="Arial"/>
          <w:color w:val="000000"/>
        </w:rPr>
        <w:t>transfer tax.  (</w:t>
      </w:r>
      <w:r w:rsidRPr="00F17B44">
        <w:rPr>
          <w:rFonts w:eastAsia="Times New Roman" w:cs="Arial"/>
          <w:i/>
          <w:iCs/>
          <w:color w:val="000000"/>
        </w:rPr>
        <w:t>Id.</w:t>
      </w:r>
      <w:r w:rsidRPr="00F17B44">
        <w:rPr>
          <w:rFonts w:eastAsia="Times New Roman" w:cs="Arial"/>
          <w:color w:val="000000"/>
        </w:rPr>
        <w:t xml:space="preserve"> at </w:t>
      </w:r>
      <w:r w:rsidRPr="00F17B44" w:rsidR="008E6451">
        <w:rPr>
          <w:rFonts w:eastAsia="Times New Roman" w:cs="Arial"/>
          <w:color w:val="000000"/>
        </w:rPr>
        <w:t>pp. *8–9</w:t>
      </w:r>
      <w:r w:rsidRPr="00F17B44">
        <w:rPr>
          <w:rFonts w:eastAsia="Times New Roman" w:cs="Arial"/>
          <w:color w:val="000000"/>
        </w:rPr>
        <w:t>.)</w:t>
      </w:r>
    </w:p>
    <w:p w:rsidR="00C41789" w:rsidRPr="00F17B44" w:rsidP="00D21CC7" w14:paraId="3C55F3C2" w14:textId="1B045FEF">
      <w:r w:rsidRPr="00F17B44">
        <w:rPr>
          <w:rFonts w:eastAsia="Times New Roman" w:cs="Arial"/>
          <w:color w:val="000000"/>
        </w:rPr>
        <w:tab/>
      </w:r>
      <w:r w:rsidRPr="00F17B44" w:rsidR="00AD36A6">
        <w:rPr>
          <w:rFonts w:eastAsia="Times New Roman" w:cs="Arial"/>
          <w:color w:val="000000"/>
        </w:rPr>
        <w:t>It is true t</w:t>
      </w:r>
      <w:r w:rsidRPr="00F17B44" w:rsidR="0061562E">
        <w:rPr>
          <w:rFonts w:eastAsia="Times New Roman" w:cs="Arial"/>
          <w:color w:val="000000"/>
        </w:rPr>
        <w:t>he</w:t>
      </w:r>
      <w:r w:rsidRPr="00F17B44" w:rsidR="001D04C4">
        <w:rPr>
          <w:rFonts w:eastAsia="Times New Roman" w:cs="Arial"/>
          <w:color w:val="000000"/>
        </w:rPr>
        <w:t>se</w:t>
      </w:r>
      <w:r w:rsidRPr="00F17B44" w:rsidR="0061562E">
        <w:rPr>
          <w:rFonts w:eastAsia="Times New Roman" w:cs="Arial"/>
          <w:color w:val="000000"/>
        </w:rPr>
        <w:t xml:space="preserve"> Attorney General opinions reflect a “broad” view as to whether an entity is a political subdivision of the state for purposes of the</w:t>
      </w:r>
      <w:r w:rsidRPr="00F17B44" w:rsidR="000B0DC7">
        <w:rPr>
          <w:rFonts w:eastAsia="Times New Roman" w:cs="Arial"/>
          <w:color w:val="000000"/>
        </w:rPr>
        <w:t xml:space="preserve"> documentary </w:t>
      </w:r>
      <w:r w:rsidRPr="00F17B44" w:rsidR="0061562E">
        <w:rPr>
          <w:rFonts w:eastAsia="Times New Roman" w:cs="Arial"/>
          <w:color w:val="000000"/>
        </w:rPr>
        <w:t xml:space="preserve">transfer tax.  However, a nonprofit public benefit corporation, a </w:t>
      </w:r>
      <w:r w:rsidRPr="00F17B44" w:rsidR="00A70836">
        <w:rPr>
          <w:rFonts w:eastAsia="Times New Roman" w:cs="Arial"/>
          <w:color w:val="000000"/>
        </w:rPr>
        <w:t>county</w:t>
      </w:r>
      <w:r w:rsidRPr="00F17B44" w:rsidR="0061562E">
        <w:rPr>
          <w:rFonts w:eastAsia="Times New Roman" w:cs="Arial"/>
          <w:color w:val="000000"/>
        </w:rPr>
        <w:t xml:space="preserve"> water district, and a city are fundamentally different creatures from </w:t>
      </w:r>
      <w:r w:rsidRPr="00F17B44" w:rsidR="00905BE7">
        <w:rPr>
          <w:rFonts w:eastAsia="Times New Roman" w:cs="Arial"/>
          <w:color w:val="000000"/>
        </w:rPr>
        <w:t>an</w:t>
      </w:r>
      <w:r w:rsidRPr="00F17B44" w:rsidR="0061562E">
        <w:rPr>
          <w:rFonts w:eastAsia="Times New Roman" w:cs="Arial"/>
          <w:color w:val="000000"/>
        </w:rPr>
        <w:t xml:space="preserve"> LLC</w:t>
      </w:r>
      <w:r w:rsidRPr="00F17B44" w:rsidR="00AD36A6">
        <w:rPr>
          <w:rFonts w:eastAsia="Times New Roman" w:cs="Arial"/>
          <w:color w:val="000000"/>
        </w:rPr>
        <w:t xml:space="preserve">.  Nor can we say </w:t>
      </w:r>
      <w:r w:rsidRPr="00F17B44" w:rsidR="00D94BB7">
        <w:rPr>
          <w:rFonts w:eastAsia="Times New Roman" w:cs="Arial"/>
          <w:color w:val="000000"/>
        </w:rPr>
        <w:t>“there are different California authorities</w:t>
      </w:r>
      <w:r w:rsidRPr="00F17B44" w:rsidR="001D04C4">
        <w:rPr>
          <w:rFonts w:eastAsia="Times New Roman" w:cs="Arial"/>
          <w:color w:val="000000"/>
        </w:rPr>
        <w:t>”</w:t>
      </w:r>
      <w:r w:rsidRPr="00F17B44" w:rsidR="00D94BB7">
        <w:rPr>
          <w:rFonts w:eastAsia="Times New Roman" w:cs="Arial"/>
          <w:color w:val="000000"/>
        </w:rPr>
        <w:t xml:space="preserve"> </w:t>
      </w:r>
      <w:r w:rsidRPr="00F17B44" w:rsidR="001D04C4">
        <w:rPr>
          <w:rFonts w:eastAsia="Times New Roman" w:cs="Arial"/>
          <w:color w:val="000000"/>
        </w:rPr>
        <w:t>that can be “</w:t>
      </w:r>
      <w:r w:rsidRPr="00F17B44" w:rsidR="00D94BB7">
        <w:rPr>
          <w:rFonts w:eastAsia="Times New Roman" w:cs="Arial"/>
          <w:color w:val="000000"/>
        </w:rPr>
        <w:t xml:space="preserve">mechanically cited in favor of or against the inclusion of” </w:t>
      </w:r>
      <w:r w:rsidRPr="00F17B44" w:rsidR="00905BE7">
        <w:rPr>
          <w:rFonts w:eastAsia="Times New Roman" w:cs="Arial"/>
          <w:color w:val="000000"/>
        </w:rPr>
        <w:t>an</w:t>
      </w:r>
      <w:r w:rsidRPr="00F17B44" w:rsidR="0061562E">
        <w:rPr>
          <w:rFonts w:eastAsia="Times New Roman" w:cs="Arial"/>
          <w:color w:val="000000"/>
        </w:rPr>
        <w:t xml:space="preserve"> LLC created by a </w:t>
      </w:r>
      <w:r w:rsidRPr="00F17B44">
        <w:rPr>
          <w:rFonts w:eastAsia="Times New Roman" w:cs="Arial"/>
          <w:color w:val="000000"/>
        </w:rPr>
        <w:t xml:space="preserve">government </w:t>
      </w:r>
      <w:r w:rsidRPr="00F17B44" w:rsidR="00AD36A6">
        <w:rPr>
          <w:rFonts w:eastAsia="Times New Roman" w:cs="Arial"/>
          <w:color w:val="000000"/>
        </w:rPr>
        <w:t xml:space="preserve">entity </w:t>
      </w:r>
      <w:r w:rsidRPr="00F17B44" w:rsidR="001D04C4">
        <w:rPr>
          <w:rFonts w:eastAsia="Times New Roman" w:cs="Arial"/>
          <w:color w:val="000000"/>
        </w:rPr>
        <w:t xml:space="preserve">to advance </w:t>
      </w:r>
      <w:r w:rsidRPr="00F17B44" w:rsidR="00116410">
        <w:rPr>
          <w:rFonts w:eastAsia="Times New Roman" w:cs="Arial"/>
          <w:color w:val="000000"/>
        </w:rPr>
        <w:t>the entity’s public purposes</w:t>
      </w:r>
      <w:r w:rsidRPr="00F17B44" w:rsidR="00D94BB7">
        <w:rPr>
          <w:rFonts w:eastAsia="Times New Roman" w:cs="Arial"/>
          <w:color w:val="000000"/>
        </w:rPr>
        <w:t xml:space="preserve"> “within the term ‘political subdivision.’ ”  (56 Cal.Ops.Atty.Gen., </w:t>
      </w:r>
      <w:r w:rsidRPr="00F17B44" w:rsidR="00D94BB7">
        <w:rPr>
          <w:rFonts w:eastAsia="Times New Roman" w:cs="Arial"/>
          <w:i/>
          <w:iCs/>
          <w:color w:val="000000"/>
        </w:rPr>
        <w:t xml:space="preserve">supra, </w:t>
      </w:r>
      <w:r w:rsidRPr="00F17B44" w:rsidR="00D94BB7">
        <w:rPr>
          <w:rFonts w:eastAsia="Times New Roman" w:cs="Arial"/>
          <w:color w:val="000000"/>
        </w:rPr>
        <w:t>at p. 81.)</w:t>
      </w:r>
      <w:r w:rsidRPr="00F17B44" w:rsidR="001D04C4">
        <w:t xml:space="preserve">  </w:t>
      </w:r>
    </w:p>
    <w:p w:rsidR="00256C62" w:rsidRPr="00F17B44" w:rsidP="00D21CC7" w14:paraId="49D993F0" w14:textId="67D61AA4">
      <w:r w:rsidRPr="00F17B44">
        <w:tab/>
      </w:r>
      <w:r w:rsidRPr="00F17B44" w:rsidR="00A70836">
        <w:t xml:space="preserve">Thus, </w:t>
      </w:r>
      <w:r w:rsidRPr="00F17B44">
        <w:t>the Attorney General opinions do not carry the weight required to disregard the general statutory provisions governing LL</w:t>
      </w:r>
      <w:r w:rsidR="005475B5">
        <w:t>C</w:t>
      </w:r>
      <w:r w:rsidRPr="00F17B44">
        <w:t xml:space="preserve">s </w:t>
      </w:r>
      <w:r w:rsidRPr="00F17B44" w:rsidR="00892CDA">
        <w:t xml:space="preserve">and </w:t>
      </w:r>
      <w:r w:rsidRPr="00F17B44">
        <w:t>the correlative language of the LL</w:t>
      </w:r>
      <w:r w:rsidR="005475B5">
        <w:t>C</w:t>
      </w:r>
      <w:r w:rsidRPr="00F17B44">
        <w:t xml:space="preserve"> agreements at issue.  </w:t>
      </w:r>
    </w:p>
    <w:p w:rsidR="0011556D" w:rsidRPr="00F17B44" w:rsidP="00D21CC7" w14:paraId="52F257C1" w14:textId="0022FDE5">
      <w:pPr>
        <w:rPr>
          <w:rFonts w:eastAsia="Times New Roman" w:cs="Arial"/>
          <w:b/>
          <w:bCs/>
          <w:i/>
          <w:iCs/>
          <w:color w:val="000000"/>
        </w:rPr>
      </w:pPr>
      <w:r w:rsidRPr="00F17B44">
        <w:tab/>
        <w:t xml:space="preserve">We </w:t>
      </w:r>
      <w:r w:rsidRPr="00F17B44" w:rsidR="00C10FAD">
        <w:t xml:space="preserve">nevertheless </w:t>
      </w:r>
      <w:r w:rsidRPr="00F17B44">
        <w:t xml:space="preserve">acknowledge </w:t>
      </w:r>
      <w:r w:rsidRPr="00F17B44" w:rsidR="001D04C4">
        <w:t xml:space="preserve">there is some tension </w:t>
      </w:r>
      <w:r w:rsidRPr="00F17B44" w:rsidR="00A26F71">
        <w:rPr>
          <w:rFonts w:eastAsia="Times New Roman" w:cs="Arial"/>
          <w:color w:val="000000"/>
        </w:rPr>
        <w:t xml:space="preserve">between </w:t>
      </w:r>
      <w:r w:rsidRPr="00F17B44" w:rsidR="00736117">
        <w:rPr>
          <w:rFonts w:eastAsia="Times New Roman" w:cs="Arial"/>
          <w:color w:val="000000"/>
        </w:rPr>
        <w:t xml:space="preserve">the express statutory </w:t>
      </w:r>
      <w:r w:rsidRPr="00F17B44">
        <w:rPr>
          <w:rFonts w:eastAsia="Times New Roman" w:cs="Arial"/>
          <w:color w:val="000000"/>
        </w:rPr>
        <w:t xml:space="preserve">mandate </w:t>
      </w:r>
      <w:r w:rsidRPr="00F17B44" w:rsidR="00736117">
        <w:rPr>
          <w:rFonts w:eastAsia="Times New Roman" w:cs="Arial"/>
          <w:color w:val="000000"/>
        </w:rPr>
        <w:t xml:space="preserve">to CalSTRS to </w:t>
      </w:r>
      <w:r w:rsidRPr="00F17B44">
        <w:rPr>
          <w:rFonts w:eastAsia="Times New Roman" w:cs="Arial"/>
          <w:color w:val="000000"/>
        </w:rPr>
        <w:t xml:space="preserve">maximize returns on the retirement funds it manages </w:t>
      </w:r>
      <w:r w:rsidRPr="00F17B44" w:rsidR="004A396A">
        <w:rPr>
          <w:rFonts w:eastAsia="Times New Roman" w:cs="Arial"/>
          <w:color w:val="000000"/>
        </w:rPr>
        <w:t xml:space="preserve">and the general statutory provisions </w:t>
      </w:r>
      <w:r w:rsidRPr="00F17B44">
        <w:rPr>
          <w:rFonts w:eastAsia="Times New Roman" w:cs="Arial"/>
          <w:color w:val="000000"/>
        </w:rPr>
        <w:t xml:space="preserve">applicable to </w:t>
      </w:r>
      <w:r w:rsidRPr="00F17B44" w:rsidR="004A396A">
        <w:rPr>
          <w:rFonts w:eastAsia="Times New Roman" w:cs="Arial"/>
          <w:color w:val="000000"/>
        </w:rPr>
        <w:t>LLCs</w:t>
      </w:r>
      <w:r w:rsidRPr="00F17B44">
        <w:rPr>
          <w:rFonts w:eastAsia="Times New Roman" w:cs="Arial"/>
          <w:color w:val="000000"/>
        </w:rPr>
        <w:t xml:space="preserve"> that specify their separateness from members and managers</w:t>
      </w:r>
      <w:r w:rsidRPr="00F17B44" w:rsidR="00736117">
        <w:rPr>
          <w:rFonts w:eastAsia="Times New Roman" w:cs="Arial"/>
          <w:color w:val="000000"/>
        </w:rPr>
        <w:t>.</w:t>
      </w:r>
      <w:r w:rsidRPr="00F17B44" w:rsidR="00285911">
        <w:rPr>
          <w:rFonts w:eastAsia="Times New Roman" w:cs="Arial"/>
          <w:color w:val="000000"/>
        </w:rPr>
        <w:t xml:space="preserve">  </w:t>
      </w:r>
      <w:r w:rsidRPr="00F17B44" w:rsidR="001D04C4">
        <w:rPr>
          <w:rFonts w:eastAsia="Times New Roman" w:cs="Arial"/>
          <w:color w:val="000000"/>
        </w:rPr>
        <w:t>C</w:t>
      </w:r>
      <w:r w:rsidRPr="00F17B44" w:rsidR="00736117">
        <w:rPr>
          <w:rFonts w:eastAsia="Times New Roman" w:cs="Arial"/>
          <w:color w:val="000000"/>
        </w:rPr>
        <w:t>oncluding that the LLCs</w:t>
      </w:r>
      <w:r w:rsidRPr="00F17B44" w:rsidR="00892CDA">
        <w:rPr>
          <w:rFonts w:eastAsia="Times New Roman" w:cs="Arial"/>
          <w:color w:val="000000"/>
        </w:rPr>
        <w:t xml:space="preserve"> </w:t>
      </w:r>
      <w:r w:rsidRPr="00F17B44" w:rsidR="00736117">
        <w:rPr>
          <w:rFonts w:eastAsia="Times New Roman" w:cs="Arial"/>
          <w:color w:val="000000"/>
        </w:rPr>
        <w:t xml:space="preserve">must pay </w:t>
      </w:r>
      <w:r w:rsidRPr="00F17B44" w:rsidR="00C10FAD">
        <w:rPr>
          <w:rFonts w:eastAsia="Times New Roman" w:cs="Arial"/>
          <w:color w:val="000000"/>
        </w:rPr>
        <w:t xml:space="preserve">the </w:t>
      </w:r>
      <w:r w:rsidR="00C10AE5">
        <w:rPr>
          <w:rFonts w:eastAsia="Times New Roman" w:cs="Arial"/>
          <w:color w:val="000000"/>
        </w:rPr>
        <w:t>C</w:t>
      </w:r>
      <w:r w:rsidRPr="00F17B44">
        <w:rPr>
          <w:rFonts w:eastAsia="Times New Roman" w:cs="Arial"/>
          <w:color w:val="000000"/>
        </w:rPr>
        <w:t>ity</w:t>
      </w:r>
      <w:r w:rsidRPr="00F17B44" w:rsidR="00C10FAD">
        <w:rPr>
          <w:rFonts w:eastAsia="Times New Roman" w:cs="Arial"/>
          <w:color w:val="000000"/>
        </w:rPr>
        <w:t>’s</w:t>
      </w:r>
      <w:r w:rsidRPr="00F17B44">
        <w:rPr>
          <w:rFonts w:eastAsia="Times New Roman" w:cs="Arial"/>
          <w:color w:val="000000"/>
        </w:rPr>
        <w:t xml:space="preserve"> and </w:t>
      </w:r>
      <w:r w:rsidR="00C10AE5">
        <w:rPr>
          <w:rFonts w:eastAsia="Times New Roman" w:cs="Arial"/>
          <w:color w:val="000000"/>
        </w:rPr>
        <w:t>C</w:t>
      </w:r>
      <w:r w:rsidRPr="00F17B44">
        <w:rPr>
          <w:rFonts w:eastAsia="Times New Roman" w:cs="Arial"/>
          <w:color w:val="000000"/>
        </w:rPr>
        <w:t>ounty</w:t>
      </w:r>
      <w:r w:rsidRPr="00F17B44" w:rsidR="00C10FAD">
        <w:rPr>
          <w:rFonts w:eastAsia="Times New Roman" w:cs="Arial"/>
          <w:color w:val="000000"/>
        </w:rPr>
        <w:t>’s</w:t>
      </w:r>
      <w:r w:rsidRPr="00F17B44">
        <w:rPr>
          <w:rFonts w:eastAsia="Times New Roman" w:cs="Arial"/>
          <w:color w:val="000000"/>
        </w:rPr>
        <w:t xml:space="preserve"> </w:t>
      </w:r>
      <w:r w:rsidRPr="00F17B44" w:rsidR="004C2962">
        <w:rPr>
          <w:rFonts w:eastAsia="Times New Roman" w:cs="Arial"/>
          <w:color w:val="000000"/>
        </w:rPr>
        <w:t>documentary transfer tax</w:t>
      </w:r>
      <w:r w:rsidRPr="00F17B44">
        <w:rPr>
          <w:rFonts w:eastAsia="Times New Roman" w:cs="Arial"/>
          <w:color w:val="000000"/>
        </w:rPr>
        <w:t>es</w:t>
      </w:r>
      <w:r w:rsidRPr="00F17B44" w:rsidR="004C2962">
        <w:rPr>
          <w:rFonts w:eastAsia="Times New Roman" w:cs="Arial"/>
          <w:color w:val="000000"/>
        </w:rPr>
        <w:t xml:space="preserve"> </w:t>
      </w:r>
      <w:r w:rsidRPr="00F17B44" w:rsidR="00A70836">
        <w:rPr>
          <w:rFonts w:eastAsia="Times New Roman" w:cs="Arial"/>
          <w:color w:val="000000"/>
        </w:rPr>
        <w:t xml:space="preserve">effectively </w:t>
      </w:r>
      <w:r w:rsidRPr="00F17B44" w:rsidR="004C2962">
        <w:rPr>
          <w:rFonts w:eastAsia="Times New Roman" w:cs="Arial"/>
          <w:color w:val="000000"/>
        </w:rPr>
        <w:t xml:space="preserve">removes $3.53 million from the teacher’s retirement system </w:t>
      </w:r>
      <w:r w:rsidRPr="00F17B44" w:rsidR="0083736B">
        <w:rPr>
          <w:rFonts w:eastAsia="Times New Roman" w:cs="Arial"/>
          <w:color w:val="000000"/>
        </w:rPr>
        <w:t xml:space="preserve">solely </w:t>
      </w:r>
      <w:r w:rsidRPr="00F17B44" w:rsidR="004C2962">
        <w:rPr>
          <w:rFonts w:eastAsia="Times New Roman" w:cs="Arial"/>
          <w:color w:val="000000"/>
        </w:rPr>
        <w:t xml:space="preserve">because CalSTRS utilized this relatively new form of entity to </w:t>
      </w:r>
      <w:r w:rsidRPr="00F17B44" w:rsidR="003255DD">
        <w:rPr>
          <w:rFonts w:eastAsia="Times New Roman" w:cs="Arial"/>
          <w:color w:val="000000"/>
        </w:rPr>
        <w:t xml:space="preserve">acquire </w:t>
      </w:r>
      <w:r w:rsidRPr="00F17B44" w:rsidR="00A70836">
        <w:rPr>
          <w:rFonts w:eastAsia="Times New Roman" w:cs="Arial"/>
          <w:color w:val="000000"/>
        </w:rPr>
        <w:t xml:space="preserve">the </w:t>
      </w:r>
      <w:r w:rsidRPr="00F17B44" w:rsidR="004C2962">
        <w:rPr>
          <w:rFonts w:eastAsia="Times New Roman" w:cs="Arial"/>
          <w:color w:val="000000"/>
        </w:rPr>
        <w:t>investment properties.  Had CalSTRS</w:t>
      </w:r>
      <w:r w:rsidRPr="00F17B44" w:rsidR="00D21CC7">
        <w:rPr>
          <w:rFonts w:eastAsia="Times New Roman" w:cs="Arial"/>
          <w:color w:val="000000"/>
        </w:rPr>
        <w:t xml:space="preserve">, itself, purchased the properties, </w:t>
      </w:r>
      <w:r w:rsidRPr="00F17B44" w:rsidR="004C2962">
        <w:rPr>
          <w:rFonts w:eastAsia="Times New Roman" w:cs="Arial"/>
          <w:color w:val="000000"/>
        </w:rPr>
        <w:t xml:space="preserve">no transfer tax would </w:t>
      </w:r>
      <w:r w:rsidRPr="00F17B44" w:rsidR="00C10FAD">
        <w:rPr>
          <w:rFonts w:eastAsia="Times New Roman" w:cs="Arial"/>
          <w:color w:val="000000"/>
        </w:rPr>
        <w:t>have been assessed</w:t>
      </w:r>
      <w:r w:rsidRPr="00F17B44" w:rsidR="004C2962">
        <w:rPr>
          <w:rFonts w:eastAsia="Times New Roman" w:cs="Arial"/>
          <w:color w:val="000000"/>
        </w:rPr>
        <w:t xml:space="preserve">.  Thus, </w:t>
      </w:r>
      <w:r w:rsidRPr="00F17B44" w:rsidR="00A70836">
        <w:rPr>
          <w:rFonts w:eastAsia="Times New Roman" w:cs="Arial"/>
          <w:color w:val="000000"/>
        </w:rPr>
        <w:t xml:space="preserve">it </w:t>
      </w:r>
      <w:r w:rsidRPr="00F17B44" w:rsidR="00C10FAD">
        <w:rPr>
          <w:rFonts w:eastAsia="Times New Roman" w:cs="Arial"/>
          <w:color w:val="000000"/>
        </w:rPr>
        <w:t xml:space="preserve">might be argued </w:t>
      </w:r>
      <w:r w:rsidRPr="00F17B44" w:rsidR="004C2962">
        <w:rPr>
          <w:rFonts w:eastAsia="Times New Roman" w:cs="Arial"/>
          <w:color w:val="000000"/>
        </w:rPr>
        <w:t xml:space="preserve">the city and county </w:t>
      </w:r>
      <w:r w:rsidRPr="00F17B44" w:rsidR="00A70836">
        <w:rPr>
          <w:rFonts w:eastAsia="Times New Roman" w:cs="Arial"/>
          <w:color w:val="000000"/>
        </w:rPr>
        <w:t xml:space="preserve">have </w:t>
      </w:r>
      <w:r w:rsidRPr="00F17B44" w:rsidR="004A396A">
        <w:rPr>
          <w:rFonts w:eastAsia="Times New Roman" w:cs="Arial"/>
          <w:color w:val="000000"/>
        </w:rPr>
        <w:t xml:space="preserve">effectively </w:t>
      </w:r>
      <w:r w:rsidRPr="00F17B44" w:rsidR="004C2962">
        <w:rPr>
          <w:rFonts w:eastAsia="Times New Roman" w:cs="Arial"/>
          <w:color w:val="000000"/>
        </w:rPr>
        <w:t>receiv</w:t>
      </w:r>
      <w:r w:rsidRPr="00F17B44" w:rsidR="00A70836">
        <w:rPr>
          <w:rFonts w:eastAsia="Times New Roman" w:cs="Arial"/>
          <w:color w:val="000000"/>
        </w:rPr>
        <w:t>ed</w:t>
      </w:r>
      <w:r w:rsidRPr="00F17B44" w:rsidR="004C2962">
        <w:rPr>
          <w:rFonts w:eastAsia="Times New Roman" w:cs="Arial"/>
          <w:color w:val="000000"/>
        </w:rPr>
        <w:t xml:space="preserve"> a windfall solely because CalSTRS</w:t>
      </w:r>
      <w:r w:rsidRPr="00F17B44">
        <w:rPr>
          <w:rFonts w:eastAsia="Times New Roman" w:cs="Arial"/>
          <w:color w:val="000000"/>
        </w:rPr>
        <w:t xml:space="preserve"> used LLCs, of which it is the sole member and which </w:t>
      </w:r>
      <w:r w:rsidRPr="00F17B44" w:rsidR="004C2962">
        <w:rPr>
          <w:rFonts w:eastAsia="Times New Roman" w:cs="Arial"/>
          <w:color w:val="000000"/>
        </w:rPr>
        <w:t>have no purpose other than to fulfill CalSTRS</w:t>
      </w:r>
      <w:r w:rsidRPr="00F17B44" w:rsidR="0083736B">
        <w:rPr>
          <w:rFonts w:eastAsia="Times New Roman" w:cs="Arial"/>
          <w:color w:val="000000"/>
        </w:rPr>
        <w:t>’s</w:t>
      </w:r>
      <w:r w:rsidRPr="00F17B44" w:rsidR="004C2962">
        <w:rPr>
          <w:rFonts w:eastAsia="Times New Roman" w:cs="Arial"/>
          <w:color w:val="000000"/>
        </w:rPr>
        <w:t xml:space="preserve"> statutory mission to manage </w:t>
      </w:r>
      <w:r w:rsidRPr="00F17B44" w:rsidR="0083736B">
        <w:rPr>
          <w:rFonts w:eastAsia="Times New Roman" w:cs="Arial"/>
          <w:color w:val="000000"/>
        </w:rPr>
        <w:t xml:space="preserve">and maximize </w:t>
      </w:r>
      <w:r w:rsidRPr="00F17B44" w:rsidR="004C2962">
        <w:rPr>
          <w:rFonts w:eastAsia="Times New Roman" w:cs="Arial"/>
          <w:color w:val="000000"/>
        </w:rPr>
        <w:t>public pension funds</w:t>
      </w:r>
      <w:r w:rsidRPr="00F17B44" w:rsidR="00892CDA">
        <w:rPr>
          <w:rFonts w:eastAsia="Times New Roman" w:cs="Arial"/>
          <w:color w:val="000000"/>
        </w:rPr>
        <w:t>, to purchase the properties rather than purchasing them directly</w:t>
      </w:r>
      <w:r w:rsidRPr="00F17B44" w:rsidR="004C2962">
        <w:rPr>
          <w:rFonts w:eastAsia="Times New Roman" w:cs="Arial"/>
          <w:color w:val="000000"/>
        </w:rPr>
        <w:t>.</w:t>
      </w:r>
      <w:r w:rsidRPr="00F17B44" w:rsidR="00892CDA">
        <w:rPr>
          <w:rFonts w:eastAsia="Times New Roman" w:cs="Arial"/>
          <w:color w:val="000000"/>
        </w:rPr>
        <w:t xml:space="preserve">  But </w:t>
      </w:r>
      <w:r w:rsidRPr="00F17B44" w:rsidR="00C10FAD">
        <w:rPr>
          <w:rFonts w:eastAsia="Times New Roman" w:cs="Arial"/>
          <w:color w:val="000000"/>
        </w:rPr>
        <w:t xml:space="preserve">that is a case </w:t>
      </w:r>
      <w:r w:rsidRPr="00F17B44" w:rsidR="00892CDA">
        <w:rPr>
          <w:rFonts w:eastAsia="Times New Roman" w:cs="Arial"/>
          <w:color w:val="000000"/>
        </w:rPr>
        <w:t>CalSTRS must make to the Legislature.</w:t>
      </w:r>
      <w:r>
        <w:rPr>
          <w:rStyle w:val="FootnoteReference"/>
          <w:rFonts w:eastAsia="Times New Roman" w:cs="Arial"/>
          <w:color w:val="000000"/>
        </w:rPr>
        <w:footnoteReference w:id="10"/>
      </w:r>
      <w:r w:rsidRPr="00F17B44" w:rsidR="00D94BB7">
        <w:rPr>
          <w:rFonts w:eastAsia="Times New Roman" w:cs="Arial"/>
          <w:color w:val="000000"/>
        </w:rPr>
        <w:t xml:space="preserve"> </w:t>
      </w:r>
    </w:p>
    <w:p w:rsidR="00647581" w:rsidRPr="00F17B44" w:rsidP="00647581" w14:paraId="3153C555" w14:textId="3C2629E3">
      <w:pPr>
        <w:rPr>
          <w:rFonts w:eastAsia="Times New Roman" w:cs="Arial"/>
          <w:b/>
          <w:bCs/>
          <w:i/>
          <w:iCs/>
          <w:color w:val="000000"/>
        </w:rPr>
      </w:pPr>
      <w:r w:rsidRPr="00F17B44">
        <w:rPr>
          <w:rFonts w:eastAsia="Times New Roman" w:cs="Arial"/>
          <w:b/>
          <w:bCs/>
          <w:i/>
          <w:iCs/>
          <w:color w:val="000000"/>
        </w:rPr>
        <w:t>Former Federal Stamp Tax</w:t>
      </w:r>
      <w:r w:rsidRPr="00F17B44" w:rsidR="00116410">
        <w:rPr>
          <w:rFonts w:eastAsia="Times New Roman" w:cs="Arial"/>
          <w:b/>
          <w:bCs/>
          <w:i/>
          <w:iCs/>
          <w:color w:val="000000"/>
        </w:rPr>
        <w:t xml:space="preserve"> Cases</w:t>
      </w:r>
    </w:p>
    <w:p w:rsidR="00647581" w:rsidRPr="00F17B44" w:rsidP="00647581" w14:paraId="5075066E" w14:textId="10AD04B8">
      <w:pPr>
        <w:rPr>
          <w:rFonts w:eastAsia="Times New Roman" w:cs="Arial"/>
          <w:color w:val="000000"/>
        </w:rPr>
      </w:pPr>
      <w:r w:rsidRPr="00F17B44">
        <w:rPr>
          <w:rFonts w:eastAsia="Times New Roman" w:cs="Arial"/>
          <w:color w:val="000000"/>
        </w:rPr>
        <w:tab/>
      </w:r>
      <w:r w:rsidRPr="00F17B44" w:rsidR="00285911">
        <w:rPr>
          <w:rFonts w:eastAsia="Times New Roman" w:cs="Arial"/>
          <w:color w:val="000000"/>
        </w:rPr>
        <w:t>The LLCs also r</w:t>
      </w:r>
      <w:r w:rsidRPr="00F17B44">
        <w:rPr>
          <w:rFonts w:eastAsia="Times New Roman" w:cs="Arial"/>
          <w:color w:val="000000"/>
        </w:rPr>
        <w:t>ely on four cases</w:t>
      </w:r>
      <w:r w:rsidRPr="00F17B44" w:rsidR="008F5DA4">
        <w:rPr>
          <w:rFonts w:eastAsia="Times New Roman" w:cs="Arial"/>
          <w:color w:val="000000"/>
        </w:rPr>
        <w:t xml:space="preserve"> </w:t>
      </w:r>
      <w:r w:rsidRPr="00F17B44" w:rsidR="009408A0">
        <w:rPr>
          <w:rFonts w:eastAsia="Times New Roman" w:cs="Arial"/>
          <w:color w:val="000000"/>
        </w:rPr>
        <w:t xml:space="preserve">involving </w:t>
      </w:r>
      <w:r w:rsidRPr="00F17B44" w:rsidR="008F5DA4">
        <w:rPr>
          <w:rFonts w:eastAsia="Times New Roman" w:cs="Arial"/>
          <w:color w:val="000000"/>
        </w:rPr>
        <w:t xml:space="preserve">the former federal </w:t>
      </w:r>
      <w:r w:rsidRPr="00F17B44" w:rsidR="00B13E9E">
        <w:rPr>
          <w:rFonts w:eastAsia="Times New Roman" w:cs="Arial"/>
          <w:color w:val="000000"/>
        </w:rPr>
        <w:t>s</w:t>
      </w:r>
      <w:r w:rsidRPr="00F17B44" w:rsidR="008F5DA4">
        <w:rPr>
          <w:rFonts w:eastAsia="Times New Roman" w:cs="Arial"/>
          <w:color w:val="000000"/>
        </w:rPr>
        <w:t xml:space="preserve">tamp </w:t>
      </w:r>
      <w:r w:rsidRPr="00F17B44" w:rsidR="00B13E9E">
        <w:rPr>
          <w:rFonts w:eastAsia="Times New Roman" w:cs="Arial"/>
          <w:color w:val="000000"/>
        </w:rPr>
        <w:t>a</w:t>
      </w:r>
      <w:r w:rsidRPr="00F17B44" w:rsidR="008F5DA4">
        <w:rPr>
          <w:rFonts w:eastAsia="Times New Roman" w:cs="Arial"/>
          <w:color w:val="000000"/>
        </w:rPr>
        <w:t>ct</w:t>
      </w:r>
      <w:r w:rsidRPr="00F17B44">
        <w:rPr>
          <w:rFonts w:eastAsia="Times New Roman" w:cs="Arial"/>
          <w:color w:val="000000"/>
        </w:rPr>
        <w:t xml:space="preserve">, </w:t>
      </w:r>
      <w:r w:rsidRPr="00F17B44" w:rsidR="008F5DA4">
        <w:rPr>
          <w:rFonts w:eastAsia="Times New Roman" w:cs="Arial"/>
          <w:color w:val="000000"/>
        </w:rPr>
        <w:t>asserting th</w:t>
      </w:r>
      <w:r w:rsidRPr="00F17B44" w:rsidR="00892CDA">
        <w:rPr>
          <w:rFonts w:eastAsia="Times New Roman" w:cs="Arial"/>
          <w:color w:val="000000"/>
        </w:rPr>
        <w:t>e</w:t>
      </w:r>
      <w:r w:rsidRPr="00F17B44" w:rsidR="008F5DA4">
        <w:rPr>
          <w:rFonts w:eastAsia="Times New Roman" w:cs="Arial"/>
          <w:color w:val="000000"/>
        </w:rPr>
        <w:t xml:space="preserve"> act </w:t>
      </w:r>
      <w:r w:rsidRPr="00F17B44">
        <w:rPr>
          <w:rFonts w:eastAsia="Times New Roman" w:cs="Arial"/>
          <w:color w:val="000000"/>
        </w:rPr>
        <w:t xml:space="preserve">would have “exempt[ed] a state agency’s acquisition of realty by a wholly-owned, single-member limited liability company.”  </w:t>
      </w:r>
      <w:r w:rsidRPr="00F17B44" w:rsidR="00551509">
        <w:rPr>
          <w:rFonts w:eastAsia="Times New Roman" w:cs="Arial"/>
          <w:color w:val="000000"/>
        </w:rPr>
        <w:t>(</w:t>
      </w:r>
      <w:r w:rsidRPr="00F17B44">
        <w:rPr>
          <w:rFonts w:eastAsia="Times New Roman" w:cs="Arial"/>
          <w:color w:val="000000"/>
        </w:rPr>
        <w:t xml:space="preserve">Capitalization omitted.)  </w:t>
      </w:r>
      <w:r w:rsidRPr="00F17B44" w:rsidR="00B13E9E">
        <w:rPr>
          <w:rFonts w:eastAsia="Times New Roman" w:cs="Arial"/>
          <w:color w:val="000000"/>
        </w:rPr>
        <w:t xml:space="preserve">Even apart from the fact LLCs </w:t>
      </w:r>
      <w:r w:rsidRPr="00F17B44" w:rsidR="00905BE7">
        <w:rPr>
          <w:rFonts w:eastAsia="Times New Roman" w:cs="Arial"/>
          <w:color w:val="000000"/>
        </w:rPr>
        <w:t xml:space="preserve">did </w:t>
      </w:r>
      <w:r w:rsidRPr="00F17B44" w:rsidR="00B13E9E">
        <w:rPr>
          <w:rFonts w:eastAsia="Times New Roman" w:cs="Arial"/>
          <w:color w:val="000000"/>
        </w:rPr>
        <w:t>not exist during the time the stamp act was operative</w:t>
      </w:r>
      <w:r w:rsidRPr="00F17B44" w:rsidR="00C10FAD">
        <w:rPr>
          <w:rFonts w:eastAsia="Times New Roman" w:cs="Arial"/>
          <w:color w:val="000000"/>
        </w:rPr>
        <w:t xml:space="preserve"> (see </w:t>
      </w:r>
      <w:r w:rsidRPr="00F17B44" w:rsidR="00C10FAD">
        <w:rPr>
          <w:rFonts w:eastAsia="Times New Roman" w:cs="Arial"/>
          <w:i/>
          <w:iCs/>
          <w:color w:val="000000"/>
        </w:rPr>
        <w:t xml:space="preserve">North Ardmore Avenue, supra, </w:t>
      </w:r>
      <w:r w:rsidRPr="00F17B44" w:rsidR="00C10FAD">
        <w:rPr>
          <w:rFonts w:eastAsia="Times New Roman" w:cs="Arial"/>
          <w:color w:val="000000"/>
        </w:rPr>
        <w:t>3</w:t>
      </w:r>
      <w:r w:rsidR="00C10AE5">
        <w:rPr>
          <w:rFonts w:eastAsia="Times New Roman" w:cs="Arial"/>
          <w:color w:val="000000"/>
        </w:rPr>
        <w:t> </w:t>
      </w:r>
      <w:r w:rsidRPr="00F17B44" w:rsidR="00C10FAD">
        <w:rPr>
          <w:rFonts w:eastAsia="Times New Roman" w:cs="Arial"/>
          <w:color w:val="000000"/>
        </w:rPr>
        <w:t xml:space="preserve">Cal.5th at p. 334 [commenting it was unsurprising that </w:t>
      </w:r>
      <w:r w:rsidRPr="00F17B44" w:rsidR="00C10FAD">
        <w:t>no federal authority addressed “the stamp act’s application to a transaction exactly like this one” involving a commercial LLP because “[w]hen the stamp act was in effect, limited liability companies did not exist and tax laws created disincentives for small businesses to take the corporate form”])</w:t>
      </w:r>
      <w:r w:rsidRPr="00F17B44" w:rsidR="00B13E9E">
        <w:rPr>
          <w:rFonts w:eastAsia="Times New Roman" w:cs="Arial"/>
          <w:color w:val="000000"/>
        </w:rPr>
        <w:t>, the cases are</w:t>
      </w:r>
      <w:r w:rsidRPr="00F17B44" w:rsidR="009408A0">
        <w:rPr>
          <w:rFonts w:eastAsia="Times New Roman" w:cs="Arial"/>
          <w:color w:val="000000"/>
        </w:rPr>
        <w:t xml:space="preserve"> </w:t>
      </w:r>
      <w:r w:rsidRPr="00F17B44">
        <w:rPr>
          <w:rFonts w:eastAsia="Times New Roman" w:cs="Arial"/>
          <w:color w:val="000000"/>
        </w:rPr>
        <w:t>distinguishable.</w:t>
      </w:r>
    </w:p>
    <w:p w:rsidR="00647581" w:rsidRPr="00F17B44" w:rsidP="00647581" w14:paraId="3484793C" w14:textId="589AB8F8">
      <w:pPr>
        <w:rPr>
          <w:rFonts w:eastAsia="Times New Roman" w:cs="Arial"/>
          <w:color w:val="000000"/>
        </w:rPr>
      </w:pPr>
      <w:r w:rsidRPr="00F17B44">
        <w:rPr>
          <w:rFonts w:eastAsia="Times New Roman" w:cs="Arial"/>
          <w:color w:val="000000"/>
        </w:rPr>
        <w:tab/>
      </w:r>
      <w:r w:rsidRPr="00F17B44">
        <w:rPr>
          <w:rFonts w:eastAsia="Times New Roman" w:cs="Arial"/>
          <w:i/>
          <w:iCs/>
          <w:color w:val="000000"/>
        </w:rPr>
        <w:t>Murray v. Hoey</w:t>
      </w:r>
      <w:r w:rsidRPr="00F17B44">
        <w:rPr>
          <w:rFonts w:eastAsia="Times New Roman" w:cs="Arial"/>
          <w:color w:val="000000"/>
        </w:rPr>
        <w:t xml:space="preserve"> (S.D.N.Y. 1940) 32 F.Supp. 1008, </w:t>
      </w:r>
      <w:r w:rsidRPr="00F17B44" w:rsidR="009408A0">
        <w:rPr>
          <w:rFonts w:eastAsia="Times New Roman" w:cs="Arial"/>
          <w:color w:val="000000"/>
        </w:rPr>
        <w:t xml:space="preserve">involved a </w:t>
      </w:r>
      <w:r w:rsidRPr="00F17B44">
        <w:rPr>
          <w:rFonts w:eastAsia="Times New Roman" w:cs="Arial"/>
          <w:color w:val="000000"/>
        </w:rPr>
        <w:t>will</w:t>
      </w:r>
      <w:r w:rsidRPr="00F17B44" w:rsidR="009408A0">
        <w:rPr>
          <w:rFonts w:eastAsia="Times New Roman" w:cs="Arial"/>
          <w:color w:val="000000"/>
        </w:rPr>
        <w:t xml:space="preserve"> that</w:t>
      </w:r>
      <w:r w:rsidRPr="00F17B44">
        <w:rPr>
          <w:rFonts w:eastAsia="Times New Roman" w:cs="Arial"/>
          <w:color w:val="000000"/>
        </w:rPr>
        <w:t xml:space="preserve"> provided the residue </w:t>
      </w:r>
      <w:r w:rsidRPr="00F17B44" w:rsidR="009408A0">
        <w:rPr>
          <w:rFonts w:eastAsia="Times New Roman" w:cs="Arial"/>
          <w:color w:val="000000"/>
        </w:rPr>
        <w:t xml:space="preserve">of a sizeable estate </w:t>
      </w:r>
      <w:r w:rsidRPr="00F17B44">
        <w:rPr>
          <w:rFonts w:eastAsia="Times New Roman" w:cs="Arial"/>
          <w:color w:val="000000"/>
        </w:rPr>
        <w:t xml:space="preserve">would be allocated among </w:t>
      </w:r>
      <w:r w:rsidRPr="00F17B44" w:rsidR="00B338BF">
        <w:rPr>
          <w:rFonts w:eastAsia="Times New Roman" w:cs="Arial"/>
          <w:color w:val="000000"/>
        </w:rPr>
        <w:t>14</w:t>
      </w:r>
      <w:r w:rsidRPr="00F17B44">
        <w:rPr>
          <w:rFonts w:eastAsia="Times New Roman" w:cs="Arial"/>
          <w:color w:val="000000"/>
        </w:rPr>
        <w:t xml:space="preserve"> corporate charitable beneficiaries.  (</w:t>
      </w:r>
      <w:r w:rsidRPr="00F17B44">
        <w:rPr>
          <w:rFonts w:eastAsia="Times New Roman" w:cs="Arial"/>
          <w:i/>
          <w:iCs/>
          <w:color w:val="000000"/>
        </w:rPr>
        <w:t>Id</w:t>
      </w:r>
      <w:r w:rsidRPr="00F17B44">
        <w:rPr>
          <w:rFonts w:eastAsia="Times New Roman" w:cs="Arial"/>
          <w:color w:val="000000"/>
        </w:rPr>
        <w:t xml:space="preserve">. at p. 1009.)  </w:t>
      </w:r>
      <w:r w:rsidRPr="00F17B44" w:rsidR="009408A0">
        <w:rPr>
          <w:rFonts w:eastAsia="Times New Roman" w:cs="Arial"/>
          <w:color w:val="000000"/>
        </w:rPr>
        <w:t>T</w:t>
      </w:r>
      <w:r w:rsidRPr="00F17B44">
        <w:rPr>
          <w:rFonts w:eastAsia="Times New Roman" w:cs="Arial"/>
          <w:color w:val="000000"/>
        </w:rPr>
        <w:t xml:space="preserve">o facilitate the management of the </w:t>
      </w:r>
      <w:r w:rsidRPr="00F17B44" w:rsidR="009408A0">
        <w:rPr>
          <w:rFonts w:eastAsia="Times New Roman" w:cs="Arial"/>
          <w:color w:val="000000"/>
        </w:rPr>
        <w:t xml:space="preserve">residual </w:t>
      </w:r>
      <w:r w:rsidRPr="00F17B44">
        <w:rPr>
          <w:rFonts w:eastAsia="Times New Roman" w:cs="Arial"/>
          <w:color w:val="000000"/>
        </w:rPr>
        <w:t xml:space="preserve">properties, the beneficiaries had an act introduced in the New York State Legislature to incorporate a foundation </w:t>
      </w:r>
      <w:r w:rsidRPr="00F17B44" w:rsidR="00892CDA">
        <w:rPr>
          <w:rFonts w:eastAsia="Times New Roman" w:cs="Arial"/>
          <w:color w:val="000000"/>
        </w:rPr>
        <w:t xml:space="preserve">to </w:t>
      </w:r>
      <w:r w:rsidRPr="00F17B44">
        <w:rPr>
          <w:rFonts w:eastAsia="Times New Roman" w:cs="Arial"/>
          <w:color w:val="000000"/>
        </w:rPr>
        <w:t>manage and liquidat</w:t>
      </w:r>
      <w:r w:rsidRPr="00F17B44" w:rsidR="00892CDA">
        <w:rPr>
          <w:rFonts w:eastAsia="Times New Roman" w:cs="Arial"/>
          <w:color w:val="000000"/>
        </w:rPr>
        <w:t>e</w:t>
      </w:r>
      <w:r w:rsidRPr="00F17B44">
        <w:rPr>
          <w:rFonts w:eastAsia="Times New Roman" w:cs="Arial"/>
          <w:color w:val="000000"/>
        </w:rPr>
        <w:t xml:space="preserve"> the properties.  (</w:t>
      </w:r>
      <w:r w:rsidRPr="00F17B44">
        <w:rPr>
          <w:rFonts w:eastAsia="Times New Roman" w:cs="Arial"/>
          <w:i/>
          <w:iCs/>
          <w:color w:val="000000"/>
        </w:rPr>
        <w:t>Ibid</w:t>
      </w:r>
      <w:r w:rsidRPr="00F17B44">
        <w:rPr>
          <w:rFonts w:eastAsia="Times New Roman" w:cs="Arial"/>
          <w:color w:val="000000"/>
        </w:rPr>
        <w:t xml:space="preserve">.)  The beneficiaries deeded the properties to the new foundation, and the federal </w:t>
      </w:r>
      <w:r w:rsidRPr="00F17B44">
        <w:rPr>
          <w:iCs/>
        </w:rPr>
        <w:t>government imposed the stamp</w:t>
      </w:r>
      <w:r w:rsidRPr="00F17B44">
        <w:rPr>
          <w:rFonts w:eastAsia="Times New Roman" w:cs="Arial"/>
          <w:color w:val="000000"/>
        </w:rPr>
        <w:t xml:space="preserve"> tax on th</w:t>
      </w:r>
      <w:r w:rsidRPr="00F17B44" w:rsidR="009408A0">
        <w:rPr>
          <w:rFonts w:eastAsia="Times New Roman" w:cs="Arial"/>
          <w:color w:val="000000"/>
        </w:rPr>
        <w:t>e</w:t>
      </w:r>
      <w:r w:rsidRPr="00F17B44">
        <w:rPr>
          <w:rFonts w:eastAsia="Times New Roman" w:cs="Arial"/>
          <w:color w:val="000000"/>
        </w:rPr>
        <w:t xml:space="preserve"> deeds.  (</w:t>
      </w:r>
      <w:r w:rsidRPr="00F17B44">
        <w:rPr>
          <w:rFonts w:eastAsia="Times New Roman" w:cs="Arial"/>
          <w:i/>
          <w:iCs/>
          <w:color w:val="000000"/>
        </w:rPr>
        <w:t>Ibid.</w:t>
      </w:r>
      <w:r w:rsidRPr="00F17B44">
        <w:rPr>
          <w:rFonts w:eastAsia="Times New Roman" w:cs="Arial"/>
          <w:color w:val="000000"/>
        </w:rPr>
        <w:t xml:space="preserve">)  The </w:t>
      </w:r>
      <w:r w:rsidRPr="00F17B44" w:rsidR="009408A0">
        <w:rPr>
          <w:rFonts w:eastAsia="Times New Roman" w:cs="Arial"/>
          <w:color w:val="000000"/>
        </w:rPr>
        <w:t xml:space="preserve">federal </w:t>
      </w:r>
      <w:r w:rsidRPr="00F17B44">
        <w:rPr>
          <w:rFonts w:eastAsia="Times New Roman" w:cs="Arial"/>
          <w:color w:val="000000"/>
        </w:rPr>
        <w:t xml:space="preserve">district court invalidated the </w:t>
      </w:r>
      <w:r w:rsidRPr="00F17B44" w:rsidR="009408A0">
        <w:rPr>
          <w:rFonts w:eastAsia="Times New Roman" w:cs="Arial"/>
          <w:color w:val="000000"/>
        </w:rPr>
        <w:t xml:space="preserve">imposition of the </w:t>
      </w:r>
      <w:r w:rsidRPr="00F17B44">
        <w:rPr>
          <w:rFonts w:eastAsia="Times New Roman" w:cs="Arial"/>
          <w:color w:val="000000"/>
        </w:rPr>
        <w:t xml:space="preserve">tax, </w:t>
      </w:r>
      <w:r w:rsidRPr="00F17B44" w:rsidR="009408A0">
        <w:rPr>
          <w:rFonts w:eastAsia="Times New Roman" w:cs="Arial"/>
          <w:color w:val="000000"/>
        </w:rPr>
        <w:t xml:space="preserve">stating </w:t>
      </w:r>
      <w:r w:rsidRPr="00F17B44">
        <w:rPr>
          <w:rFonts w:eastAsia="Times New Roman" w:cs="Arial"/>
          <w:color w:val="000000"/>
        </w:rPr>
        <w:t xml:space="preserve">the </w:t>
      </w:r>
      <w:r w:rsidRPr="00F17B44" w:rsidR="009408A0">
        <w:rPr>
          <w:rFonts w:eastAsia="Times New Roman" w:cs="Arial"/>
          <w:color w:val="000000"/>
        </w:rPr>
        <w:t xml:space="preserve">state </w:t>
      </w:r>
      <w:r w:rsidRPr="00F17B44">
        <w:rPr>
          <w:rFonts w:eastAsia="Times New Roman" w:cs="Arial"/>
          <w:color w:val="000000"/>
        </w:rPr>
        <w:t xml:space="preserve">act creating the foundation “sufficiently characterize[d] its status as </w:t>
      </w:r>
      <w:r w:rsidRPr="00F17B44">
        <w:rPr>
          <w:rFonts w:eastAsia="Times New Roman" w:cs="Arial"/>
          <w:i/>
          <w:iCs/>
          <w:color w:val="000000"/>
        </w:rPr>
        <w:t>trustee</w:t>
      </w:r>
      <w:r w:rsidRPr="00F17B44">
        <w:rPr>
          <w:rFonts w:eastAsia="Times New Roman" w:cs="Arial"/>
          <w:color w:val="000000"/>
        </w:rPr>
        <w:t>,” thus exempting the transfers from the tax.  (</w:t>
      </w:r>
      <w:r w:rsidRPr="00F17B44">
        <w:rPr>
          <w:rFonts w:eastAsia="Times New Roman" w:cs="Arial"/>
          <w:i/>
          <w:iCs/>
          <w:color w:val="000000"/>
        </w:rPr>
        <w:t>Id</w:t>
      </w:r>
      <w:r w:rsidRPr="00F17B44">
        <w:rPr>
          <w:rFonts w:eastAsia="Times New Roman" w:cs="Arial"/>
          <w:color w:val="000000"/>
        </w:rPr>
        <w:t>. at p. 1012</w:t>
      </w:r>
      <w:r w:rsidRPr="00F17B44" w:rsidR="009408A0">
        <w:rPr>
          <w:rFonts w:eastAsia="Times New Roman" w:cs="Arial"/>
          <w:color w:val="000000"/>
        </w:rPr>
        <w:t>, italics added</w:t>
      </w:r>
      <w:r w:rsidRPr="00F17B44">
        <w:rPr>
          <w:rFonts w:eastAsia="Times New Roman" w:cs="Arial"/>
          <w:color w:val="000000"/>
        </w:rPr>
        <w:t xml:space="preserve">.) </w:t>
      </w:r>
    </w:p>
    <w:p w:rsidR="00647581" w:rsidRPr="00F17B44" w:rsidP="00647581" w14:paraId="592BD361" w14:textId="52CDB307">
      <w:pPr>
        <w:rPr>
          <w:rFonts w:eastAsia="Times New Roman" w:cs="Arial"/>
          <w:color w:val="000000"/>
        </w:rPr>
      </w:pPr>
      <w:r w:rsidRPr="00F17B44">
        <w:rPr>
          <w:rFonts w:eastAsia="Times New Roman" w:cs="Arial"/>
          <w:color w:val="000000"/>
        </w:rPr>
        <w:tab/>
      </w:r>
      <w:r w:rsidRPr="00F17B44">
        <w:rPr>
          <w:rFonts w:eastAsia="Times New Roman" w:cs="Arial"/>
          <w:i/>
          <w:iCs/>
          <w:color w:val="000000"/>
        </w:rPr>
        <w:t>Berry v. Kavanagh</w:t>
      </w:r>
      <w:r w:rsidRPr="00F17B44">
        <w:rPr>
          <w:rFonts w:eastAsia="Times New Roman" w:cs="Arial"/>
          <w:color w:val="000000"/>
        </w:rPr>
        <w:t xml:space="preserve"> (6th Cir. 1943) 137 F.2d 574, </w:t>
      </w:r>
      <w:r w:rsidRPr="00F17B44" w:rsidR="009408A0">
        <w:rPr>
          <w:rFonts w:eastAsia="Times New Roman" w:cs="Arial"/>
          <w:color w:val="000000"/>
        </w:rPr>
        <w:t xml:space="preserve">involved </w:t>
      </w:r>
      <w:r w:rsidRPr="00F17B44">
        <w:rPr>
          <w:rFonts w:eastAsia="Times New Roman" w:cs="Arial"/>
          <w:color w:val="000000"/>
        </w:rPr>
        <w:t>“deeds executed to a reinsurer by a statutory receiver of a reserve life insurance company in liquidation</w:t>
      </w:r>
      <w:r w:rsidRPr="00F17B44" w:rsidR="009408A0">
        <w:rPr>
          <w:rFonts w:eastAsia="Times New Roman" w:cs="Arial"/>
          <w:color w:val="000000"/>
        </w:rPr>
        <w:t>.</w:t>
      </w:r>
      <w:r w:rsidRPr="00F17B44">
        <w:rPr>
          <w:rFonts w:eastAsia="Times New Roman" w:cs="Arial"/>
          <w:color w:val="000000"/>
        </w:rPr>
        <w:t>”</w:t>
      </w:r>
      <w:r w:rsidRPr="00F17B44" w:rsidR="009408A0">
        <w:rPr>
          <w:rFonts w:eastAsia="Times New Roman" w:cs="Arial"/>
          <w:color w:val="000000"/>
        </w:rPr>
        <w:t xml:space="preserve">  </w:t>
      </w:r>
      <w:r w:rsidRPr="00F17B44">
        <w:rPr>
          <w:rFonts w:eastAsia="Times New Roman" w:cs="Arial"/>
          <w:color w:val="000000"/>
        </w:rPr>
        <w:t>(</w:t>
      </w:r>
      <w:r w:rsidRPr="00F17B44">
        <w:rPr>
          <w:rFonts w:eastAsia="Times New Roman" w:cs="Arial"/>
          <w:i/>
          <w:iCs/>
          <w:color w:val="000000"/>
        </w:rPr>
        <w:t>Id</w:t>
      </w:r>
      <w:r w:rsidRPr="00F17B44">
        <w:rPr>
          <w:rFonts w:eastAsia="Times New Roman" w:cs="Arial"/>
          <w:color w:val="000000"/>
        </w:rPr>
        <w:t xml:space="preserve">. at p. 574.)  The </w:t>
      </w:r>
      <w:r w:rsidRPr="00F17B44" w:rsidR="009408A0">
        <w:rPr>
          <w:rFonts w:eastAsia="Times New Roman" w:cs="Arial"/>
          <w:color w:val="000000"/>
        </w:rPr>
        <w:t xml:space="preserve">federal circuit </w:t>
      </w:r>
      <w:r w:rsidRPr="00F17B44">
        <w:rPr>
          <w:rFonts w:eastAsia="Times New Roman" w:cs="Arial"/>
          <w:color w:val="000000"/>
        </w:rPr>
        <w:t>court concluded the deeds were executed “to convey the naked legal title of the real estate in question to the grantee for the purpose of managing, conserving and liquidating the real estate for the benefit of the policyholders of the insolvent company.”  (</w:t>
      </w:r>
      <w:r w:rsidRPr="00F17B44">
        <w:rPr>
          <w:rFonts w:eastAsia="Times New Roman" w:cs="Arial"/>
          <w:i/>
          <w:iCs/>
          <w:color w:val="000000"/>
        </w:rPr>
        <w:t>Id</w:t>
      </w:r>
      <w:r w:rsidRPr="00F17B44">
        <w:rPr>
          <w:rFonts w:eastAsia="Times New Roman" w:cs="Arial"/>
          <w:color w:val="000000"/>
        </w:rPr>
        <w:t xml:space="preserve">. at p. 576.)  The court construed the contract and deed “as a whole” and concluded “there was created an </w:t>
      </w:r>
      <w:r w:rsidRPr="00F17B44">
        <w:rPr>
          <w:rFonts w:eastAsia="Times New Roman" w:cs="Arial"/>
          <w:i/>
          <w:iCs/>
          <w:color w:val="000000"/>
        </w:rPr>
        <w:t>agency to sell</w:t>
      </w:r>
      <w:r w:rsidRPr="00F17B44">
        <w:rPr>
          <w:rFonts w:eastAsia="Times New Roman" w:cs="Arial"/>
          <w:color w:val="000000"/>
        </w:rPr>
        <w:t xml:space="preserve"> and not the relationship of vendor and vendee.”  (</w:t>
      </w:r>
      <w:r w:rsidRPr="00F17B44">
        <w:rPr>
          <w:rFonts w:eastAsia="Times New Roman" w:cs="Arial"/>
          <w:i/>
          <w:iCs/>
          <w:color w:val="000000"/>
        </w:rPr>
        <w:t>Ibid</w:t>
      </w:r>
      <w:r w:rsidRPr="00F17B44">
        <w:rPr>
          <w:rFonts w:eastAsia="Times New Roman" w:cs="Arial"/>
          <w:color w:val="000000"/>
        </w:rPr>
        <w:t>.</w:t>
      </w:r>
      <w:r w:rsidRPr="00F17B44" w:rsidR="009408A0">
        <w:rPr>
          <w:rFonts w:eastAsia="Times New Roman" w:cs="Arial"/>
          <w:color w:val="000000"/>
        </w:rPr>
        <w:t>, italics added</w:t>
      </w:r>
      <w:r w:rsidRPr="00F17B44" w:rsidR="00B338BF">
        <w:rPr>
          <w:rFonts w:eastAsia="Times New Roman" w:cs="Arial"/>
          <w:color w:val="000000"/>
        </w:rPr>
        <w:t>.</w:t>
      </w:r>
      <w:r w:rsidRPr="00F17B44">
        <w:rPr>
          <w:rFonts w:eastAsia="Times New Roman" w:cs="Arial"/>
          <w:color w:val="000000"/>
        </w:rPr>
        <w:t>)</w:t>
      </w:r>
    </w:p>
    <w:p w:rsidR="00647581" w:rsidRPr="00F17B44" w:rsidP="00647581" w14:paraId="01590F40" w14:textId="63FFB658">
      <w:pPr>
        <w:rPr>
          <w:rFonts w:eastAsia="Times New Roman" w:cs="Arial"/>
          <w:color w:val="000000"/>
        </w:rPr>
      </w:pPr>
      <w:r w:rsidRPr="00F17B44">
        <w:rPr>
          <w:rFonts w:eastAsia="Times New Roman" w:cs="Arial"/>
          <w:color w:val="000000"/>
        </w:rPr>
        <w:tab/>
      </w:r>
      <w:r w:rsidRPr="00F17B44">
        <w:rPr>
          <w:rFonts w:eastAsia="Times New Roman" w:cs="Arial"/>
          <w:i/>
          <w:iCs/>
          <w:color w:val="000000"/>
        </w:rPr>
        <w:t>Berkeley Savings &amp; L. Ass’n of Newark, N.J. v. United States</w:t>
      </w:r>
      <w:r w:rsidRPr="00F17B44">
        <w:rPr>
          <w:rFonts w:eastAsia="Times New Roman" w:cs="Arial"/>
          <w:color w:val="000000"/>
        </w:rPr>
        <w:t xml:space="preserve"> (D. Ct. N.J 1969) 301 F.Supp. 22, </w:t>
      </w:r>
      <w:r w:rsidRPr="00F17B44" w:rsidR="00B30858">
        <w:rPr>
          <w:rFonts w:eastAsia="Times New Roman" w:cs="Arial"/>
          <w:color w:val="000000"/>
        </w:rPr>
        <w:t xml:space="preserve">dealt with a loan guarantee program under which the </w:t>
      </w:r>
      <w:r w:rsidRPr="00F17B44">
        <w:rPr>
          <w:rFonts w:eastAsia="Times New Roman" w:cs="Arial"/>
          <w:color w:val="000000"/>
        </w:rPr>
        <w:t xml:space="preserve">Veterans Administration (VA) sold properties to individual purchasers </w:t>
      </w:r>
      <w:r w:rsidRPr="00F17B44" w:rsidR="00B30858">
        <w:rPr>
          <w:rFonts w:eastAsia="Times New Roman" w:cs="Arial"/>
          <w:color w:val="000000"/>
        </w:rPr>
        <w:t xml:space="preserve">through </w:t>
      </w:r>
      <w:r w:rsidRPr="00F17B44">
        <w:rPr>
          <w:rFonts w:eastAsia="Times New Roman" w:cs="Arial"/>
          <w:color w:val="000000"/>
        </w:rPr>
        <w:t>installment contracts</w:t>
      </w:r>
      <w:r w:rsidRPr="00F17B44" w:rsidR="00B30858">
        <w:rPr>
          <w:rFonts w:eastAsia="Times New Roman" w:cs="Arial"/>
          <w:color w:val="000000"/>
        </w:rPr>
        <w:t xml:space="preserve"> and </w:t>
      </w:r>
      <w:r w:rsidRPr="00F17B44">
        <w:rPr>
          <w:rFonts w:eastAsia="Times New Roman" w:cs="Arial"/>
          <w:color w:val="000000"/>
        </w:rPr>
        <w:t xml:space="preserve">retained legal title “until an individual purchaser’s monthly payments had reduced the balance of the purchase price to a certain amount,” </w:t>
      </w:r>
      <w:r w:rsidRPr="00F17B44" w:rsidR="00B30858">
        <w:rPr>
          <w:rFonts w:eastAsia="Times New Roman" w:cs="Arial"/>
          <w:color w:val="000000"/>
        </w:rPr>
        <w:t>at which point the</w:t>
      </w:r>
      <w:r w:rsidRPr="00F17B44">
        <w:rPr>
          <w:rFonts w:eastAsia="Times New Roman" w:cs="Arial"/>
          <w:color w:val="000000"/>
        </w:rPr>
        <w:t xml:space="preserve"> </w:t>
      </w:r>
      <w:r w:rsidRPr="00F17B44" w:rsidR="00B30858">
        <w:rPr>
          <w:rFonts w:eastAsia="Times New Roman" w:cs="Arial"/>
          <w:color w:val="000000"/>
        </w:rPr>
        <w:t xml:space="preserve">purchaser </w:t>
      </w:r>
      <w:r w:rsidRPr="00F17B44">
        <w:rPr>
          <w:rFonts w:eastAsia="Times New Roman" w:cs="Arial"/>
          <w:color w:val="000000"/>
        </w:rPr>
        <w:t>would gain legal title.  (</w:t>
      </w:r>
      <w:r w:rsidRPr="00F17B44">
        <w:rPr>
          <w:rFonts w:eastAsia="Times New Roman" w:cs="Arial"/>
          <w:i/>
          <w:iCs/>
          <w:color w:val="000000"/>
        </w:rPr>
        <w:t>Id</w:t>
      </w:r>
      <w:r w:rsidRPr="00F17B44">
        <w:rPr>
          <w:rFonts w:eastAsia="Times New Roman" w:cs="Arial"/>
          <w:color w:val="000000"/>
        </w:rPr>
        <w:t xml:space="preserve">. at p. 23.)  Before some of the individual purchasers acquired legal title, the VA assigned the installment contracts and conveyed legal title to </w:t>
      </w:r>
      <w:r w:rsidRPr="00F17B44" w:rsidR="00B30858">
        <w:rPr>
          <w:rFonts w:eastAsia="Times New Roman" w:cs="Arial"/>
          <w:color w:val="000000"/>
        </w:rPr>
        <w:t xml:space="preserve">the </w:t>
      </w:r>
      <w:r w:rsidRPr="00F17B44">
        <w:rPr>
          <w:rFonts w:eastAsia="Times New Roman" w:cs="Arial"/>
          <w:color w:val="000000"/>
        </w:rPr>
        <w:t>plaintiff savings and loan.  (</w:t>
      </w:r>
      <w:r w:rsidRPr="00F17B44">
        <w:rPr>
          <w:rFonts w:eastAsia="Times New Roman" w:cs="Arial"/>
          <w:i/>
          <w:iCs/>
          <w:color w:val="000000"/>
        </w:rPr>
        <w:t>Id</w:t>
      </w:r>
      <w:r w:rsidRPr="00F17B44">
        <w:rPr>
          <w:rFonts w:eastAsia="Times New Roman" w:cs="Arial"/>
          <w:color w:val="000000"/>
        </w:rPr>
        <w:t xml:space="preserve">. at p. 24.)  The </w:t>
      </w:r>
      <w:r w:rsidRPr="00F17B44" w:rsidR="00CF12E8">
        <w:rPr>
          <w:rFonts w:eastAsia="Times New Roman" w:cs="Arial"/>
          <w:color w:val="000000"/>
        </w:rPr>
        <w:t xml:space="preserve">district </w:t>
      </w:r>
      <w:r w:rsidRPr="00F17B44">
        <w:rPr>
          <w:rFonts w:eastAsia="Times New Roman" w:cs="Arial"/>
          <w:color w:val="000000"/>
        </w:rPr>
        <w:t xml:space="preserve">court concluded no tax was due on those deeds, </w:t>
      </w:r>
      <w:r w:rsidRPr="00F17B44" w:rsidR="00B30858">
        <w:rPr>
          <w:rFonts w:eastAsia="Times New Roman" w:cs="Arial"/>
          <w:color w:val="000000"/>
        </w:rPr>
        <w:t xml:space="preserve">stating </w:t>
      </w:r>
      <w:r w:rsidRPr="00F17B44">
        <w:rPr>
          <w:rFonts w:eastAsia="Times New Roman" w:cs="Arial"/>
          <w:color w:val="000000"/>
        </w:rPr>
        <w:t xml:space="preserve">“the tax does not apply to a conveyance of realty to a building and loan association for the purpose of </w:t>
      </w:r>
      <w:r w:rsidRPr="00F17B44">
        <w:rPr>
          <w:rFonts w:eastAsia="Times New Roman" w:cs="Arial"/>
          <w:i/>
          <w:iCs/>
          <w:color w:val="000000"/>
        </w:rPr>
        <w:t>securing a loan</w:t>
      </w:r>
      <w:r w:rsidRPr="00F17B44">
        <w:rPr>
          <w:rFonts w:eastAsia="Times New Roman" w:cs="Arial"/>
          <w:color w:val="000000"/>
        </w:rPr>
        <w:t xml:space="preserve"> thereon. . . .”  (</w:t>
      </w:r>
      <w:r w:rsidRPr="00F17B44">
        <w:rPr>
          <w:rFonts w:eastAsia="Times New Roman" w:cs="Arial"/>
          <w:i/>
          <w:iCs/>
          <w:color w:val="000000"/>
        </w:rPr>
        <w:t>Id</w:t>
      </w:r>
      <w:r w:rsidRPr="00F17B44">
        <w:rPr>
          <w:rFonts w:eastAsia="Times New Roman" w:cs="Arial"/>
          <w:color w:val="000000"/>
        </w:rPr>
        <w:t>. at p. 28</w:t>
      </w:r>
      <w:r w:rsidRPr="00F17B44" w:rsidR="00B30858">
        <w:rPr>
          <w:rFonts w:eastAsia="Times New Roman" w:cs="Arial"/>
          <w:color w:val="000000"/>
        </w:rPr>
        <w:t>, italics added</w:t>
      </w:r>
      <w:r w:rsidRPr="00F17B44">
        <w:rPr>
          <w:rFonts w:eastAsia="Times New Roman" w:cs="Arial"/>
          <w:color w:val="000000"/>
        </w:rPr>
        <w:t>.)</w:t>
      </w:r>
    </w:p>
    <w:p w:rsidR="00647581" w:rsidRPr="00F17B44" w:rsidP="00647581" w14:paraId="50AACA03" w14:textId="6FC41E98">
      <w:pPr>
        <w:rPr>
          <w:rFonts w:eastAsia="Times New Roman" w:cs="Arial"/>
          <w:color w:val="000000"/>
        </w:rPr>
      </w:pPr>
      <w:r w:rsidRPr="00F17B44">
        <w:rPr>
          <w:rFonts w:eastAsia="Times New Roman" w:cs="Arial"/>
          <w:color w:val="000000"/>
        </w:rPr>
        <w:tab/>
      </w:r>
      <w:r w:rsidRPr="00F17B44">
        <w:rPr>
          <w:rFonts w:eastAsia="Times New Roman" w:cs="Arial"/>
          <w:i/>
          <w:iCs/>
          <w:color w:val="000000"/>
        </w:rPr>
        <w:t>Columbia Gas of Pennsylvania, Inc. v. United States</w:t>
      </w:r>
      <w:r w:rsidR="005475B5">
        <w:rPr>
          <w:rFonts w:eastAsia="Times New Roman" w:cs="Arial"/>
          <w:color w:val="000000"/>
        </w:rPr>
        <w:t xml:space="preserve"> (3rd Circ. 1971) </w:t>
      </w:r>
      <w:r w:rsidRPr="00F17B44">
        <w:rPr>
          <w:rFonts w:eastAsia="Times New Roman" w:cs="Arial"/>
          <w:color w:val="000000"/>
        </w:rPr>
        <w:t>446 F.2d 320, involved a stamp tax imposed on a transfer of stock and real estate between a corporation and its subsidiary as part of a “plan of corporate simplification.”  (</w:t>
      </w:r>
      <w:r w:rsidRPr="00F17B44">
        <w:rPr>
          <w:rFonts w:eastAsia="Times New Roman" w:cs="Arial"/>
          <w:i/>
          <w:iCs/>
          <w:color w:val="000000"/>
        </w:rPr>
        <w:t>Id</w:t>
      </w:r>
      <w:r w:rsidRPr="00F17B44">
        <w:rPr>
          <w:rFonts w:eastAsia="Times New Roman" w:cs="Arial"/>
          <w:color w:val="000000"/>
        </w:rPr>
        <w:t>. at pp. 320–321.)  The issue was whether a</w:t>
      </w:r>
      <w:r w:rsidRPr="00F17B44" w:rsidR="00B30858">
        <w:rPr>
          <w:rFonts w:eastAsia="Times New Roman" w:cs="Arial"/>
          <w:color w:val="000000"/>
        </w:rPr>
        <w:t xml:space="preserve"> former</w:t>
      </w:r>
      <w:r w:rsidRPr="00F17B44">
        <w:rPr>
          <w:rFonts w:eastAsia="Times New Roman" w:cs="Arial"/>
          <w:color w:val="000000"/>
        </w:rPr>
        <w:t xml:space="preserve"> Internal Revenue Code exemption</w:t>
      </w:r>
      <w:r w:rsidRPr="00F17B44" w:rsidR="00B30858">
        <w:rPr>
          <w:rFonts w:eastAsia="Times New Roman" w:cs="Arial"/>
          <w:color w:val="000000"/>
        </w:rPr>
        <w:t xml:space="preserve">—for </w:t>
      </w:r>
      <w:r w:rsidRPr="00F17B44">
        <w:rPr>
          <w:rFonts w:eastAsia="Times New Roman" w:cs="Arial"/>
          <w:color w:val="000000"/>
        </w:rPr>
        <w:t>“ ‘[t]he issuance, transfer, or exchange of securities, or the making, delivery, or filing of conveyance, to make effective any plan of reorganization or adjustment . . . [¶] . . . [w]hereby a mere change in identity, form or place of organization is effected’ ”</w:t>
      </w:r>
      <w:r w:rsidRPr="00F17B44" w:rsidR="00B30858">
        <w:rPr>
          <w:rFonts w:eastAsia="Times New Roman" w:cs="Arial"/>
          <w:color w:val="000000"/>
        </w:rPr>
        <w:t xml:space="preserve">—applied. </w:t>
      </w:r>
      <w:r w:rsidRPr="00F17B44">
        <w:rPr>
          <w:rFonts w:eastAsia="Times New Roman" w:cs="Arial"/>
          <w:color w:val="000000"/>
        </w:rPr>
        <w:t xml:space="preserve"> (</w:t>
      </w:r>
      <w:r w:rsidRPr="00F17B44">
        <w:rPr>
          <w:rFonts w:eastAsia="Times New Roman" w:cs="Arial"/>
          <w:i/>
          <w:iCs/>
          <w:color w:val="000000"/>
        </w:rPr>
        <w:t>Id</w:t>
      </w:r>
      <w:r w:rsidRPr="00F17B44">
        <w:rPr>
          <w:rFonts w:eastAsia="Times New Roman" w:cs="Arial"/>
          <w:color w:val="000000"/>
        </w:rPr>
        <w:t xml:space="preserve">. at p. 322, italics omitted, quoting former Int.Rev. Code, § 4382 (b)(1)(D).)  The </w:t>
      </w:r>
      <w:r w:rsidRPr="00F17B44" w:rsidR="00B30858">
        <w:rPr>
          <w:rFonts w:eastAsia="Times New Roman" w:cs="Arial"/>
          <w:color w:val="000000"/>
        </w:rPr>
        <w:t xml:space="preserve">circuit </w:t>
      </w:r>
      <w:r w:rsidRPr="00F17B44">
        <w:rPr>
          <w:rFonts w:eastAsia="Times New Roman" w:cs="Arial"/>
          <w:color w:val="000000"/>
        </w:rPr>
        <w:t>court concluded “Congress intended to exempt a generic class of formalistic transactions involving no change in ownership and no new dedication of capital.”  (</w:t>
      </w:r>
      <w:r w:rsidRPr="00F17B44">
        <w:rPr>
          <w:rFonts w:eastAsia="Times New Roman" w:cs="Arial"/>
          <w:i/>
          <w:iCs/>
          <w:color w:val="000000"/>
        </w:rPr>
        <w:t>Columbia Gas of Pennsylvania, Inc.,</w:t>
      </w:r>
      <w:r w:rsidRPr="00F17B44">
        <w:rPr>
          <w:rFonts w:eastAsia="Times New Roman" w:cs="Arial"/>
          <w:color w:val="000000"/>
        </w:rPr>
        <w:t xml:space="preserve"> at p. 324.)</w:t>
      </w:r>
    </w:p>
    <w:p w:rsidR="008E0E6D" w:rsidRPr="00F17B44" w:rsidP="00614AD2" w14:paraId="55DD0EDD" w14:textId="7D904077">
      <w:pPr>
        <w:rPr>
          <w:rFonts w:eastAsia="Times New Roman" w:cs="Arial"/>
          <w:color w:val="000000"/>
        </w:rPr>
      </w:pPr>
      <w:r w:rsidRPr="00F17B44">
        <w:rPr>
          <w:rFonts w:eastAsia="Times New Roman" w:cs="Arial"/>
          <w:color w:val="000000"/>
        </w:rPr>
        <w:tab/>
      </w:r>
      <w:r w:rsidRPr="00F17B44" w:rsidR="00DD4A9F">
        <w:rPr>
          <w:rFonts w:eastAsia="Times New Roman" w:cs="Arial"/>
          <w:color w:val="000000"/>
        </w:rPr>
        <w:t xml:space="preserve">In short, these cases all considered whether a “change in ownership” had occurred such that the transaction constituted a transfer under the former </w:t>
      </w:r>
      <w:r w:rsidRPr="00F17B44" w:rsidR="000508E2">
        <w:rPr>
          <w:rFonts w:eastAsia="Times New Roman" w:cs="Arial"/>
          <w:color w:val="000000"/>
        </w:rPr>
        <w:t xml:space="preserve">federal </w:t>
      </w:r>
      <w:r w:rsidRPr="00F17B44" w:rsidR="00B13E9E">
        <w:rPr>
          <w:rFonts w:eastAsia="Times New Roman" w:cs="Arial"/>
          <w:color w:val="000000"/>
        </w:rPr>
        <w:t>s</w:t>
      </w:r>
      <w:r w:rsidRPr="00F17B44" w:rsidR="00DD4A9F">
        <w:rPr>
          <w:rFonts w:eastAsia="Times New Roman" w:cs="Arial"/>
          <w:color w:val="000000"/>
        </w:rPr>
        <w:t xml:space="preserve">tamp </w:t>
      </w:r>
      <w:r w:rsidRPr="00F17B44" w:rsidR="00B13E9E">
        <w:rPr>
          <w:rFonts w:eastAsia="Times New Roman" w:cs="Arial"/>
          <w:color w:val="000000"/>
        </w:rPr>
        <w:t>a</w:t>
      </w:r>
      <w:r w:rsidRPr="00F17B44" w:rsidR="00DD4A9F">
        <w:rPr>
          <w:rFonts w:eastAsia="Times New Roman" w:cs="Arial"/>
          <w:color w:val="000000"/>
        </w:rPr>
        <w:t xml:space="preserve">ct, a question not at issue in this case.  </w:t>
      </w:r>
      <w:r w:rsidRPr="00F17B44" w:rsidR="00C10FAD">
        <w:rPr>
          <w:rFonts w:eastAsia="Times New Roman" w:cs="Arial"/>
          <w:color w:val="000000"/>
        </w:rPr>
        <w:t>Indeed, t</w:t>
      </w:r>
      <w:r w:rsidRPr="00F17B44" w:rsidR="00DD4A9F">
        <w:rPr>
          <w:rFonts w:eastAsia="Times New Roman" w:cs="Arial"/>
          <w:color w:val="000000"/>
        </w:rPr>
        <w:t>here is no dispute a change in ownership occurred</w:t>
      </w:r>
      <w:r w:rsidRPr="00F17B44" w:rsidR="00F069DE">
        <w:rPr>
          <w:rFonts w:eastAsia="Times New Roman" w:cs="Arial"/>
          <w:color w:val="000000"/>
        </w:rPr>
        <w:t xml:space="preserve"> here</w:t>
      </w:r>
      <w:r w:rsidRPr="00F17B44" w:rsidR="00DD4A9F">
        <w:rPr>
          <w:rFonts w:eastAsia="Times New Roman" w:cs="Arial"/>
          <w:color w:val="000000"/>
        </w:rPr>
        <w:t xml:space="preserve">.  </w:t>
      </w:r>
      <w:r w:rsidRPr="00F17B44" w:rsidR="00C10FAD">
        <w:rPr>
          <w:rFonts w:eastAsia="Times New Roman" w:cs="Arial"/>
          <w:color w:val="000000"/>
        </w:rPr>
        <w:t>Moreover, n</w:t>
      </w:r>
      <w:r w:rsidRPr="00F17B44">
        <w:rPr>
          <w:rFonts w:eastAsia="Times New Roman" w:cs="Arial"/>
          <w:color w:val="000000"/>
        </w:rPr>
        <w:t>one of the</w:t>
      </w:r>
      <w:r w:rsidRPr="00F17B44" w:rsidR="001F0DB7">
        <w:rPr>
          <w:rFonts w:eastAsia="Times New Roman" w:cs="Arial"/>
          <w:color w:val="000000"/>
        </w:rPr>
        <w:t>se</w:t>
      </w:r>
      <w:r w:rsidRPr="00F17B44">
        <w:rPr>
          <w:rFonts w:eastAsia="Times New Roman" w:cs="Arial"/>
          <w:color w:val="000000"/>
        </w:rPr>
        <w:t xml:space="preserve"> cases </w:t>
      </w:r>
      <w:r w:rsidRPr="00F17B44" w:rsidR="00F069DE">
        <w:rPr>
          <w:rFonts w:eastAsia="Times New Roman" w:cs="Arial"/>
          <w:color w:val="000000"/>
        </w:rPr>
        <w:t xml:space="preserve">considered </w:t>
      </w:r>
      <w:r w:rsidRPr="00F17B44" w:rsidR="00B13E9E">
        <w:rPr>
          <w:rFonts w:eastAsia="Times New Roman" w:cs="Arial"/>
          <w:color w:val="000000"/>
        </w:rPr>
        <w:t>a context akin to that here</w:t>
      </w:r>
      <w:r w:rsidRPr="00F17B44" w:rsidR="00CF12E8">
        <w:rPr>
          <w:rFonts w:eastAsia="Times New Roman" w:cs="Arial"/>
          <w:color w:val="000000"/>
        </w:rPr>
        <w:t xml:space="preserve">, namely </w:t>
      </w:r>
      <w:r w:rsidRPr="00F17B44">
        <w:rPr>
          <w:rFonts w:eastAsia="Times New Roman" w:cs="Arial"/>
          <w:color w:val="000000"/>
        </w:rPr>
        <w:t xml:space="preserve">whether an LLC </w:t>
      </w:r>
      <w:r w:rsidRPr="00F17B44" w:rsidR="00B30858">
        <w:rPr>
          <w:rFonts w:eastAsia="Times New Roman" w:cs="Arial"/>
          <w:color w:val="000000"/>
        </w:rPr>
        <w:t xml:space="preserve">created </w:t>
      </w:r>
      <w:r w:rsidRPr="00F17B44" w:rsidR="00B13E9E">
        <w:rPr>
          <w:rFonts w:eastAsia="Times New Roman" w:cs="Arial"/>
          <w:color w:val="000000"/>
        </w:rPr>
        <w:t xml:space="preserve">by </w:t>
      </w:r>
      <w:r w:rsidRPr="00F17B44" w:rsidR="00F069DE">
        <w:rPr>
          <w:rFonts w:eastAsia="Times New Roman" w:cs="Arial"/>
          <w:color w:val="000000"/>
        </w:rPr>
        <w:t xml:space="preserve">a government entity </w:t>
      </w:r>
      <w:r w:rsidRPr="00F17B44" w:rsidR="00DD4A9F">
        <w:rPr>
          <w:rFonts w:eastAsia="Times New Roman" w:cs="Arial"/>
          <w:color w:val="000000"/>
        </w:rPr>
        <w:t>to facilitate th</w:t>
      </w:r>
      <w:r w:rsidRPr="00F17B44" w:rsidR="00F069DE">
        <w:rPr>
          <w:rFonts w:eastAsia="Times New Roman" w:cs="Arial"/>
          <w:color w:val="000000"/>
        </w:rPr>
        <w:t>e</w:t>
      </w:r>
      <w:r w:rsidRPr="00F17B44" w:rsidR="00DD4A9F">
        <w:rPr>
          <w:rFonts w:eastAsia="Times New Roman" w:cs="Arial"/>
          <w:color w:val="000000"/>
        </w:rPr>
        <w:t xml:space="preserve"> </w:t>
      </w:r>
      <w:r w:rsidRPr="00F17B44" w:rsidR="00B13E9E">
        <w:rPr>
          <w:rFonts w:eastAsia="Times New Roman" w:cs="Arial"/>
          <w:color w:val="000000"/>
        </w:rPr>
        <w:t xml:space="preserve">entity’s </w:t>
      </w:r>
      <w:r w:rsidRPr="00F17B44" w:rsidR="00DD4A9F">
        <w:rPr>
          <w:rFonts w:eastAsia="Times New Roman" w:cs="Arial"/>
          <w:color w:val="000000"/>
        </w:rPr>
        <w:t>public purposes, is exempt from paying a documentary transfer tax.</w:t>
      </w:r>
      <w:r>
        <w:rPr>
          <w:rStyle w:val="FootnoteReference"/>
        </w:rPr>
        <w:footnoteReference w:id="11"/>
      </w:r>
      <w:r w:rsidRPr="00F17B44" w:rsidR="00A70836">
        <w:rPr>
          <w:rFonts w:eastAsia="Times New Roman" w:cs="Arial"/>
          <w:color w:val="000000"/>
        </w:rPr>
        <w:t xml:space="preserve"> </w:t>
      </w:r>
    </w:p>
    <w:p w:rsidR="00F069DE" w:rsidRPr="00F17B44" w:rsidP="00E30225" w14:paraId="587D1A53" w14:textId="4D38D689">
      <w:pPr>
        <w:keepNext/>
        <w:rPr>
          <w:rFonts w:eastAsia="Times New Roman" w:cs="Arial"/>
          <w:b/>
          <w:bCs/>
          <w:color w:val="000000"/>
        </w:rPr>
      </w:pPr>
      <w:r w:rsidRPr="00F17B44">
        <w:rPr>
          <w:rFonts w:eastAsia="Times New Roman" w:cs="Arial"/>
          <w:b/>
          <w:bCs/>
          <w:i/>
          <w:iCs/>
          <w:color w:val="000000"/>
        </w:rPr>
        <w:t xml:space="preserve">“Beneficial Ownership” Cases </w:t>
      </w:r>
    </w:p>
    <w:p w:rsidR="00F069DE" w:rsidRPr="00F17B44" w:rsidP="00E30225" w14:paraId="5267CE46" w14:textId="5CAA23F8">
      <w:pPr>
        <w:keepNext/>
        <w:rPr>
          <w:rFonts w:eastAsia="Times New Roman" w:cs="Arial"/>
          <w:color w:val="000000"/>
        </w:rPr>
      </w:pPr>
      <w:r w:rsidRPr="00F17B44">
        <w:rPr>
          <w:rFonts w:eastAsia="Times New Roman" w:cs="Arial"/>
          <w:color w:val="000000"/>
        </w:rPr>
        <w:tab/>
        <w:t xml:space="preserve">Asserting “it is well-established that taxing authorities must elevate substance over form,” the LLCs </w:t>
      </w:r>
      <w:r w:rsidRPr="00F17B44" w:rsidR="00703A7F">
        <w:rPr>
          <w:rFonts w:eastAsia="Times New Roman" w:cs="Arial"/>
          <w:color w:val="000000"/>
        </w:rPr>
        <w:t xml:space="preserve">also </w:t>
      </w:r>
      <w:r w:rsidRPr="00F17B44">
        <w:rPr>
          <w:rFonts w:eastAsia="Times New Roman" w:cs="Arial"/>
          <w:color w:val="000000"/>
        </w:rPr>
        <w:t>maintain CalSTRS acquired a “beneficial interest in the properties” and thus “ ‘holds “the essential indicia of ownership</w:t>
      </w:r>
      <w:r w:rsidRPr="00F17B44" w:rsidR="00B13E9E">
        <w:rPr>
          <w:rFonts w:eastAsia="Times New Roman" w:cs="Arial"/>
          <w:color w:val="000000"/>
        </w:rPr>
        <w:t>,</w:t>
      </w:r>
      <w:r w:rsidRPr="00F17B44">
        <w:rPr>
          <w:rFonts w:eastAsia="Times New Roman" w:cs="Arial"/>
          <w:color w:val="000000"/>
        </w:rPr>
        <w:t>” ’</w:t>
      </w:r>
      <w:r w:rsidR="00C10AE5">
        <w:rPr>
          <w:rFonts w:eastAsia="Times New Roman" w:cs="Arial"/>
          <w:color w:val="000000"/>
        </w:rPr>
        <w:t xml:space="preserve"> ”</w:t>
      </w:r>
      <w:r w:rsidRPr="00F17B44">
        <w:rPr>
          <w:rFonts w:eastAsia="Times New Roman" w:cs="Arial"/>
          <w:color w:val="000000"/>
        </w:rPr>
        <w:t xml:space="preserve"> </w:t>
      </w:r>
      <w:r w:rsidRPr="00F17B44" w:rsidR="00703A7F">
        <w:rPr>
          <w:rFonts w:eastAsia="Times New Roman" w:cs="Arial"/>
          <w:color w:val="000000"/>
        </w:rPr>
        <w:t xml:space="preserve">thereby </w:t>
      </w:r>
      <w:r w:rsidRPr="00F17B44" w:rsidR="000508E2">
        <w:rPr>
          <w:rFonts w:eastAsia="Times New Roman" w:cs="Arial"/>
          <w:color w:val="000000"/>
        </w:rPr>
        <w:t xml:space="preserve">imbuing </w:t>
      </w:r>
      <w:r w:rsidRPr="00F17B44">
        <w:rPr>
          <w:rFonts w:eastAsia="Times New Roman" w:cs="Arial"/>
          <w:color w:val="000000"/>
        </w:rPr>
        <w:t xml:space="preserve">the LLCs </w:t>
      </w:r>
      <w:r w:rsidRPr="00F17B44" w:rsidR="000508E2">
        <w:rPr>
          <w:rFonts w:eastAsia="Times New Roman" w:cs="Arial"/>
          <w:color w:val="000000"/>
        </w:rPr>
        <w:t xml:space="preserve">with </w:t>
      </w:r>
      <w:r w:rsidRPr="00F17B44" w:rsidR="00703A7F">
        <w:rPr>
          <w:rFonts w:eastAsia="Times New Roman" w:cs="Arial"/>
          <w:color w:val="000000"/>
        </w:rPr>
        <w:t xml:space="preserve">CalSTRS’s </w:t>
      </w:r>
      <w:r w:rsidRPr="00F17B44" w:rsidR="000508E2">
        <w:rPr>
          <w:rFonts w:eastAsia="Times New Roman" w:cs="Arial"/>
          <w:color w:val="000000"/>
        </w:rPr>
        <w:t xml:space="preserve">tax </w:t>
      </w:r>
      <w:r w:rsidRPr="00F17B44">
        <w:rPr>
          <w:rFonts w:eastAsia="Times New Roman" w:cs="Arial"/>
          <w:color w:val="000000"/>
        </w:rPr>
        <w:t>exempt</w:t>
      </w:r>
      <w:r w:rsidRPr="00F17B44" w:rsidR="000508E2">
        <w:rPr>
          <w:rFonts w:eastAsia="Times New Roman" w:cs="Arial"/>
          <w:color w:val="000000"/>
        </w:rPr>
        <w:t xml:space="preserve"> status</w:t>
      </w:r>
      <w:r w:rsidRPr="00F17B44" w:rsidR="006C398B">
        <w:rPr>
          <w:rFonts w:eastAsia="Times New Roman" w:cs="Arial"/>
          <w:color w:val="000000"/>
        </w:rPr>
        <w:t xml:space="preserve">.  The LLCs cite </w:t>
      </w:r>
      <w:r w:rsidRPr="00F17B44">
        <w:rPr>
          <w:rFonts w:eastAsia="Times New Roman" w:cs="Arial"/>
          <w:i/>
          <w:iCs/>
          <w:color w:val="000000"/>
        </w:rPr>
        <w:t xml:space="preserve">Mayhew, supra, </w:t>
      </w:r>
      <w:r w:rsidRPr="00F17B44">
        <w:rPr>
          <w:rFonts w:eastAsia="Times New Roman" w:cs="Arial"/>
          <w:color w:val="000000"/>
        </w:rPr>
        <w:t xml:space="preserve">4 Cal.App.4th 497 and </w:t>
      </w:r>
      <w:r w:rsidRPr="00F17B44">
        <w:rPr>
          <w:rFonts w:eastAsia="Times New Roman" w:cs="Arial"/>
          <w:i/>
          <w:iCs/>
          <w:color w:val="000000"/>
        </w:rPr>
        <w:t xml:space="preserve">North Ardmore, supra, </w:t>
      </w:r>
      <w:r w:rsidRPr="00F17B44">
        <w:rPr>
          <w:rFonts w:eastAsia="Times New Roman" w:cs="Arial"/>
          <w:color w:val="000000"/>
        </w:rPr>
        <w:t>3 Cal.5th 319</w:t>
      </w:r>
      <w:r w:rsidRPr="00F17B44" w:rsidR="006C398B">
        <w:rPr>
          <w:rFonts w:eastAsia="Times New Roman" w:cs="Arial"/>
          <w:color w:val="000000"/>
        </w:rPr>
        <w:t xml:space="preserve">, </w:t>
      </w:r>
      <w:r w:rsidRPr="00F17B44" w:rsidR="000508E2">
        <w:rPr>
          <w:rFonts w:eastAsia="Times New Roman" w:cs="Arial"/>
          <w:color w:val="000000"/>
        </w:rPr>
        <w:t>in</w:t>
      </w:r>
      <w:r w:rsidRPr="00F17B44" w:rsidR="006C398B">
        <w:rPr>
          <w:rFonts w:eastAsia="Times New Roman" w:cs="Arial"/>
          <w:color w:val="000000"/>
        </w:rPr>
        <w:t xml:space="preserve"> support this </w:t>
      </w:r>
      <w:r w:rsidRPr="00F17B44" w:rsidR="000508E2">
        <w:rPr>
          <w:rFonts w:eastAsia="Times New Roman" w:cs="Arial"/>
          <w:color w:val="000000"/>
        </w:rPr>
        <w:t>assertion</w:t>
      </w:r>
      <w:r w:rsidRPr="00F17B44">
        <w:rPr>
          <w:rFonts w:eastAsia="Times New Roman" w:cs="Arial"/>
          <w:color w:val="000000"/>
        </w:rPr>
        <w:t>.</w:t>
      </w:r>
      <w:r w:rsidRPr="00F17B44" w:rsidR="00703A7F">
        <w:rPr>
          <w:rFonts w:eastAsia="Times New Roman" w:cs="Arial"/>
          <w:color w:val="000000"/>
        </w:rPr>
        <w:t xml:space="preserve">  Both cases are distinguishable.</w:t>
      </w:r>
    </w:p>
    <w:p w:rsidR="00F069DE" w:rsidRPr="00F17B44" w:rsidP="00F069DE" w14:paraId="73613163" w14:textId="44770064">
      <w:pPr>
        <w:rPr>
          <w:rFonts w:eastAsia="Times New Roman" w:cs="Arial"/>
          <w:color w:val="000000"/>
        </w:rPr>
      </w:pPr>
      <w:r w:rsidRPr="00F17B44">
        <w:rPr>
          <w:rFonts w:eastAsia="Times New Roman" w:cs="Arial"/>
          <w:color w:val="000000"/>
        </w:rPr>
        <w:tab/>
        <w:t xml:space="preserve">In </w:t>
      </w:r>
      <w:r w:rsidRPr="00F17B44">
        <w:rPr>
          <w:rFonts w:eastAsia="Times New Roman" w:cs="Arial"/>
          <w:i/>
          <w:iCs/>
          <w:color w:val="000000"/>
        </w:rPr>
        <w:t>Mayhew</w:t>
      </w:r>
      <w:r w:rsidRPr="00F17B44">
        <w:rPr>
          <w:rFonts w:eastAsia="Times New Roman" w:cs="Arial"/>
          <w:color w:val="000000"/>
        </w:rPr>
        <w:t xml:space="preserve">, the State of California accepted the bid of </w:t>
      </w:r>
      <w:r w:rsidRPr="00F17B44" w:rsidR="000508E2">
        <w:rPr>
          <w:rFonts w:eastAsia="Times New Roman" w:cs="Arial"/>
          <w:color w:val="000000"/>
        </w:rPr>
        <w:t>a developer (</w:t>
      </w:r>
      <w:r w:rsidRPr="00F17B44">
        <w:rPr>
          <w:rFonts w:eastAsia="Times New Roman" w:cs="Arial"/>
          <w:color w:val="000000"/>
        </w:rPr>
        <w:t>Mayhew Tech Center, Phase II (Mayhew)</w:t>
      </w:r>
      <w:r w:rsidRPr="00F17B44" w:rsidR="000508E2">
        <w:rPr>
          <w:rFonts w:eastAsia="Times New Roman" w:cs="Arial"/>
          <w:color w:val="000000"/>
        </w:rPr>
        <w:t>)</w:t>
      </w:r>
      <w:r w:rsidRPr="00F17B44">
        <w:rPr>
          <w:rFonts w:eastAsia="Times New Roman" w:cs="Arial"/>
          <w:color w:val="000000"/>
        </w:rPr>
        <w:t xml:space="preserve"> to build a new facility for the Franchise Tax Board.  (</w:t>
      </w:r>
      <w:r w:rsidRPr="00F17B44">
        <w:rPr>
          <w:rFonts w:eastAsia="Times New Roman" w:cs="Arial"/>
          <w:i/>
          <w:iCs/>
          <w:color w:val="000000"/>
        </w:rPr>
        <w:t>Mayhew, supra,</w:t>
      </w:r>
      <w:r w:rsidRPr="00F17B44">
        <w:rPr>
          <w:rFonts w:eastAsia="Times New Roman" w:cs="Arial"/>
          <w:color w:val="000000"/>
        </w:rPr>
        <w:t xml:space="preserve"> 4 Cal.App.4th at p. 501.)  Funds for acquisition of the property came from the proceeds of </w:t>
      </w:r>
      <w:r w:rsidRPr="00F17B44" w:rsidR="000508E2">
        <w:rPr>
          <w:rFonts w:eastAsia="Times New Roman" w:cs="Arial"/>
          <w:color w:val="000000"/>
        </w:rPr>
        <w:t>a</w:t>
      </w:r>
      <w:r w:rsidRPr="00F17B44">
        <w:rPr>
          <w:rFonts w:eastAsia="Times New Roman" w:cs="Arial"/>
          <w:color w:val="000000"/>
        </w:rPr>
        <w:t xml:space="preserve"> sale of certificates issued by a trustee. </w:t>
      </w:r>
      <w:r w:rsidRPr="00F17B44" w:rsidR="00B96073">
        <w:rPr>
          <w:rFonts w:eastAsia="Times New Roman" w:cs="Arial"/>
          <w:color w:val="000000"/>
        </w:rPr>
        <w:t xml:space="preserve"> </w:t>
      </w:r>
      <w:r w:rsidRPr="00F17B44">
        <w:rPr>
          <w:rFonts w:eastAsia="Times New Roman" w:cs="Arial"/>
          <w:color w:val="000000"/>
        </w:rPr>
        <w:t>(</w:t>
      </w:r>
      <w:r w:rsidRPr="00F17B44">
        <w:rPr>
          <w:rFonts w:eastAsia="Times New Roman" w:cs="Arial"/>
          <w:i/>
          <w:iCs/>
          <w:color w:val="000000"/>
        </w:rPr>
        <w:t>Ibid</w:t>
      </w:r>
      <w:r w:rsidRPr="00F17B44">
        <w:rPr>
          <w:rFonts w:eastAsia="Times New Roman" w:cs="Arial"/>
          <w:color w:val="000000"/>
        </w:rPr>
        <w:t xml:space="preserve">.) </w:t>
      </w:r>
      <w:r w:rsidRPr="00F17B44" w:rsidR="00B96073">
        <w:rPr>
          <w:rFonts w:eastAsia="Times New Roman" w:cs="Arial"/>
          <w:color w:val="000000"/>
        </w:rPr>
        <w:t xml:space="preserve"> </w:t>
      </w:r>
      <w:r w:rsidRPr="00F17B44">
        <w:rPr>
          <w:rFonts w:eastAsia="Times New Roman" w:cs="Arial"/>
          <w:color w:val="000000"/>
        </w:rPr>
        <w:t>The State leased the property from Mayhew, with the rental payments going to pay the certificate holders</w:t>
      </w:r>
      <w:r w:rsidRPr="00F17B44" w:rsidR="000508E2">
        <w:rPr>
          <w:rFonts w:eastAsia="Times New Roman" w:cs="Arial"/>
          <w:color w:val="000000"/>
        </w:rPr>
        <w:t xml:space="preserve">. </w:t>
      </w:r>
      <w:r w:rsidRPr="00F17B44" w:rsidR="00551509">
        <w:rPr>
          <w:rFonts w:eastAsia="Times New Roman" w:cs="Arial"/>
          <w:color w:val="000000"/>
        </w:rPr>
        <w:t xml:space="preserve"> </w:t>
      </w:r>
      <w:r w:rsidRPr="00F17B44" w:rsidR="000508E2">
        <w:rPr>
          <w:rFonts w:eastAsia="Times New Roman" w:cs="Arial"/>
          <w:color w:val="000000"/>
        </w:rPr>
        <w:t>(</w:t>
      </w:r>
      <w:r w:rsidRPr="00F17B44" w:rsidR="000508E2">
        <w:rPr>
          <w:rFonts w:eastAsia="Times New Roman" w:cs="Arial"/>
          <w:i/>
          <w:iCs/>
          <w:color w:val="000000"/>
        </w:rPr>
        <w:t>Ibid</w:t>
      </w:r>
      <w:r w:rsidRPr="00F17B44" w:rsidR="000508E2">
        <w:rPr>
          <w:rFonts w:eastAsia="Times New Roman" w:cs="Arial"/>
          <w:color w:val="000000"/>
        </w:rPr>
        <w:t xml:space="preserve">.)  </w:t>
      </w:r>
      <w:r w:rsidRPr="00F17B44">
        <w:rPr>
          <w:rFonts w:eastAsia="Times New Roman" w:cs="Arial"/>
          <w:color w:val="000000"/>
        </w:rPr>
        <w:t>Mayhew</w:t>
      </w:r>
      <w:r w:rsidRPr="00F17B44" w:rsidR="000508E2">
        <w:rPr>
          <w:rFonts w:eastAsia="Times New Roman" w:cs="Arial"/>
          <w:color w:val="000000"/>
        </w:rPr>
        <w:t>, in turn,</w:t>
      </w:r>
      <w:r w:rsidRPr="00F17B44">
        <w:rPr>
          <w:rFonts w:eastAsia="Times New Roman" w:cs="Arial"/>
          <w:color w:val="000000"/>
        </w:rPr>
        <w:t xml:space="preserve"> “transferred its right to receive rental payments to the trustee for the benefit of the certificate holders . . . [and] transferred legal title to the property to ComPlan, Inc. (ComPlan).”</w:t>
      </w:r>
      <w:r w:rsidRPr="00F17B44" w:rsidR="00551509">
        <w:rPr>
          <w:rFonts w:eastAsia="Times New Roman" w:cs="Arial"/>
          <w:color w:val="000000"/>
        </w:rPr>
        <w:t xml:space="preserve"> </w:t>
      </w:r>
      <w:r w:rsidRPr="00F17B44">
        <w:rPr>
          <w:rFonts w:eastAsia="Times New Roman" w:cs="Arial"/>
          <w:color w:val="000000"/>
        </w:rPr>
        <w:t xml:space="preserve"> </w:t>
      </w:r>
      <w:r w:rsidRPr="00F17B44" w:rsidR="000508E2">
        <w:rPr>
          <w:rFonts w:eastAsia="Times New Roman" w:cs="Arial"/>
          <w:color w:val="000000"/>
        </w:rPr>
        <w:t>(</w:t>
      </w:r>
      <w:r w:rsidRPr="00F17B44" w:rsidR="000508E2">
        <w:rPr>
          <w:rFonts w:eastAsia="Times New Roman" w:cs="Arial"/>
          <w:i/>
          <w:iCs/>
          <w:color w:val="000000"/>
        </w:rPr>
        <w:t>Ibid</w:t>
      </w:r>
      <w:r w:rsidRPr="00F17B44" w:rsidR="000508E2">
        <w:rPr>
          <w:rFonts w:eastAsia="Times New Roman" w:cs="Arial"/>
          <w:color w:val="000000"/>
        </w:rPr>
        <w:t>.)</w:t>
      </w:r>
      <w:r w:rsidRPr="00F17B44">
        <w:rPr>
          <w:rFonts w:eastAsia="Times New Roman" w:cs="Arial"/>
          <w:color w:val="000000"/>
        </w:rPr>
        <w:t xml:space="preserve"> </w:t>
      </w:r>
      <w:r w:rsidRPr="00F17B44" w:rsidR="00B13E9E">
        <w:rPr>
          <w:rFonts w:eastAsia="Times New Roman" w:cs="Arial"/>
          <w:color w:val="000000"/>
        </w:rPr>
        <w:t xml:space="preserve"> </w:t>
      </w:r>
      <w:r w:rsidRPr="00F17B44">
        <w:rPr>
          <w:rFonts w:eastAsia="Times New Roman" w:cs="Arial"/>
          <w:color w:val="000000"/>
        </w:rPr>
        <w:t xml:space="preserve">At the end of the lease, legal title would “automatically vest in the State if all rental payments </w:t>
      </w:r>
      <w:r w:rsidRPr="00F17B44" w:rsidR="000508E2">
        <w:rPr>
          <w:rFonts w:eastAsia="Times New Roman" w:cs="Arial"/>
          <w:color w:val="000000"/>
        </w:rPr>
        <w:t>[were]</w:t>
      </w:r>
      <w:r w:rsidRPr="00F17B44">
        <w:rPr>
          <w:rFonts w:eastAsia="Times New Roman" w:cs="Arial"/>
          <w:color w:val="000000"/>
        </w:rPr>
        <w:t xml:space="preserve"> made.”  (</w:t>
      </w:r>
      <w:r w:rsidRPr="00F17B44">
        <w:rPr>
          <w:rFonts w:eastAsia="Times New Roman" w:cs="Arial"/>
          <w:i/>
          <w:iCs/>
          <w:color w:val="000000"/>
        </w:rPr>
        <w:t>Ibid</w:t>
      </w:r>
      <w:r w:rsidRPr="00F17B44">
        <w:rPr>
          <w:rFonts w:eastAsia="Times New Roman" w:cs="Arial"/>
          <w:color w:val="000000"/>
        </w:rPr>
        <w:t xml:space="preserve">.)  </w:t>
      </w:r>
      <w:r w:rsidRPr="00F17B44" w:rsidR="000508E2">
        <w:rPr>
          <w:rFonts w:eastAsia="Times New Roman" w:cs="Arial"/>
          <w:color w:val="000000"/>
        </w:rPr>
        <w:t>T</w:t>
      </w:r>
      <w:r w:rsidRPr="00F17B44">
        <w:rPr>
          <w:rFonts w:eastAsia="Times New Roman" w:cs="Arial"/>
          <w:color w:val="000000"/>
        </w:rPr>
        <w:t>he State could “unilaterally terminate the lease, without penalty, in the event the Legislature and Governor fail to provide funds for a rental payment.  In such an event, the State would have no further rights in the property.”  (</w:t>
      </w:r>
      <w:r w:rsidRPr="00F17B44">
        <w:rPr>
          <w:rFonts w:eastAsia="Times New Roman" w:cs="Arial"/>
          <w:i/>
          <w:iCs/>
          <w:color w:val="000000"/>
        </w:rPr>
        <w:t>Id</w:t>
      </w:r>
      <w:r w:rsidRPr="00F17B44">
        <w:rPr>
          <w:rFonts w:eastAsia="Times New Roman" w:cs="Arial"/>
          <w:color w:val="000000"/>
        </w:rPr>
        <w:t>. at pp. 501–502.)</w:t>
      </w:r>
    </w:p>
    <w:p w:rsidR="00F069DE" w:rsidRPr="00F17B44" w:rsidP="00F069DE" w14:paraId="72B09A9F" w14:textId="0754A955">
      <w:pPr>
        <w:rPr>
          <w:rFonts w:eastAsia="Times New Roman" w:cs="Arial"/>
          <w:color w:val="000000"/>
        </w:rPr>
      </w:pPr>
      <w:r w:rsidRPr="00F17B44">
        <w:rPr>
          <w:rFonts w:eastAsia="Times New Roman" w:cs="Arial"/>
          <w:color w:val="000000"/>
        </w:rPr>
        <w:tab/>
        <w:t xml:space="preserve">Mayhew and ComPlan, as well as the State, </w:t>
      </w:r>
      <w:r w:rsidRPr="00F17B44" w:rsidR="000508E2">
        <w:rPr>
          <w:rFonts w:eastAsia="Times New Roman" w:cs="Arial"/>
          <w:color w:val="000000"/>
        </w:rPr>
        <w:t xml:space="preserve">subsequently </w:t>
      </w:r>
      <w:r w:rsidRPr="00F17B44" w:rsidR="00B13E9E">
        <w:rPr>
          <w:rFonts w:eastAsia="Times New Roman" w:cs="Arial"/>
          <w:color w:val="000000"/>
        </w:rPr>
        <w:t xml:space="preserve">sought </w:t>
      </w:r>
      <w:r w:rsidRPr="00F17B44">
        <w:rPr>
          <w:rFonts w:eastAsia="Times New Roman" w:cs="Arial"/>
          <w:color w:val="000000"/>
        </w:rPr>
        <w:t>a refund of property taxes they had paid, claiming the property was state-owned and therefore exempt from taxation.</w:t>
      </w:r>
      <w:r>
        <w:rPr>
          <w:rStyle w:val="FootnoteReference"/>
          <w:rFonts w:eastAsia="Times New Roman" w:cs="Arial"/>
          <w:color w:val="000000"/>
        </w:rPr>
        <w:footnoteReference w:id="12"/>
      </w:r>
      <w:r w:rsidRPr="00F17B44">
        <w:rPr>
          <w:rFonts w:eastAsia="Times New Roman" w:cs="Arial"/>
          <w:color w:val="000000"/>
        </w:rPr>
        <w:t xml:space="preserve">  (</w:t>
      </w:r>
      <w:r w:rsidRPr="00F17B44">
        <w:rPr>
          <w:rFonts w:eastAsia="Times New Roman" w:cs="Arial"/>
          <w:i/>
          <w:iCs/>
          <w:color w:val="000000"/>
        </w:rPr>
        <w:t>Mayhew</w:t>
      </w:r>
      <w:r w:rsidRPr="00F17B44">
        <w:rPr>
          <w:rFonts w:eastAsia="Times New Roman" w:cs="Arial"/>
          <w:color w:val="000000"/>
        </w:rPr>
        <w:t xml:space="preserve">, </w:t>
      </w:r>
      <w:r w:rsidRPr="00F17B44">
        <w:rPr>
          <w:rFonts w:eastAsia="Times New Roman" w:cs="Arial"/>
          <w:i/>
          <w:iCs/>
          <w:color w:val="000000"/>
        </w:rPr>
        <w:t>supra</w:t>
      </w:r>
      <w:r w:rsidRPr="00F17B44">
        <w:rPr>
          <w:rFonts w:eastAsia="Times New Roman" w:cs="Arial"/>
          <w:color w:val="000000"/>
        </w:rPr>
        <w:t xml:space="preserve">, 4 Cal.App.4th at pp. 503–504.)  The </w:t>
      </w:r>
      <w:r w:rsidRPr="00F17B44" w:rsidR="000508E2">
        <w:rPr>
          <w:rFonts w:eastAsia="Times New Roman" w:cs="Arial"/>
          <w:color w:val="000000"/>
        </w:rPr>
        <w:t>c</w:t>
      </w:r>
      <w:r w:rsidRPr="00F17B44">
        <w:rPr>
          <w:rFonts w:eastAsia="Times New Roman" w:cs="Arial"/>
          <w:color w:val="000000"/>
        </w:rPr>
        <w:t>ounty maintained the “agreements create[d] no more than a leasehold in the State, not ownership.”  (</w:t>
      </w:r>
      <w:r w:rsidRPr="00F17B44">
        <w:rPr>
          <w:rFonts w:eastAsia="Times New Roman" w:cs="Arial"/>
          <w:i/>
          <w:iCs/>
          <w:color w:val="000000"/>
        </w:rPr>
        <w:t>Id</w:t>
      </w:r>
      <w:r w:rsidRPr="00F17B44">
        <w:rPr>
          <w:rFonts w:eastAsia="Times New Roman" w:cs="Arial"/>
          <w:color w:val="000000"/>
        </w:rPr>
        <w:t>. at p. 504.)  The trial court ordered refunds, and the Court of Appeal affirmed.  (</w:t>
      </w:r>
      <w:r w:rsidRPr="00F17B44">
        <w:rPr>
          <w:rFonts w:eastAsia="Times New Roman" w:cs="Arial"/>
          <w:i/>
          <w:iCs/>
          <w:color w:val="000000"/>
        </w:rPr>
        <w:t xml:space="preserve">Id. </w:t>
      </w:r>
      <w:r w:rsidRPr="00F17B44">
        <w:rPr>
          <w:rFonts w:eastAsia="Times New Roman" w:cs="Arial"/>
          <w:color w:val="000000"/>
        </w:rPr>
        <w:t xml:space="preserve">at pp. 503–504, 510.) </w:t>
      </w:r>
    </w:p>
    <w:p w:rsidR="00F069DE" w:rsidRPr="00F17B44" w:rsidP="00F069DE" w14:paraId="7C28C91C" w14:textId="77777777">
      <w:pPr>
        <w:rPr>
          <w:rFonts w:eastAsia="Times New Roman" w:cs="Arial"/>
          <w:color w:val="000000"/>
        </w:rPr>
      </w:pPr>
      <w:r w:rsidRPr="00F17B44">
        <w:rPr>
          <w:rFonts w:eastAsia="Times New Roman" w:cs="Arial"/>
          <w:color w:val="000000"/>
        </w:rPr>
        <w:tab/>
        <w:t xml:space="preserve">The appellate court observed that, although “ ‘[t]he owner of the legal title to property is presumed to be the owner of the full beneficial title, . . . [a] title clause standing alone is not conclusive of ownership for tax purposes,’ ” quoting </w:t>
      </w:r>
      <w:r w:rsidRPr="00F17B44">
        <w:rPr>
          <w:rFonts w:eastAsia="Times New Roman" w:cs="Arial"/>
          <w:i/>
          <w:iCs/>
          <w:color w:val="000000"/>
        </w:rPr>
        <w:t>General Dynamics Corp. v, County of L.A.</w:t>
      </w:r>
      <w:r w:rsidRPr="00F17B44">
        <w:rPr>
          <w:rFonts w:eastAsia="Times New Roman" w:cs="Arial"/>
          <w:color w:val="000000"/>
        </w:rPr>
        <w:t xml:space="preserve"> (1958) 51 Cal.2d 59, 67.  (</w:t>
      </w:r>
      <w:r w:rsidRPr="00F17B44">
        <w:rPr>
          <w:rFonts w:eastAsia="Times New Roman" w:cs="Arial"/>
          <w:i/>
          <w:iCs/>
          <w:color w:val="000000"/>
        </w:rPr>
        <w:t>Mayhew</w:t>
      </w:r>
      <w:r w:rsidRPr="00F17B44">
        <w:rPr>
          <w:rFonts w:eastAsia="Times New Roman" w:cs="Arial"/>
          <w:color w:val="000000"/>
        </w:rPr>
        <w:t xml:space="preserve">, </w:t>
      </w:r>
      <w:r w:rsidRPr="00F17B44">
        <w:rPr>
          <w:rFonts w:eastAsia="Times New Roman" w:cs="Arial"/>
          <w:i/>
          <w:iCs/>
          <w:color w:val="000000"/>
        </w:rPr>
        <w:t>supra</w:t>
      </w:r>
      <w:r w:rsidRPr="00F17B44">
        <w:rPr>
          <w:rFonts w:eastAsia="Times New Roman" w:cs="Arial"/>
          <w:color w:val="000000"/>
        </w:rPr>
        <w:t>, 4 Cal.App.4th at pp. 504–505.)  “To ascertain ownership for tax purposes, the court must examine the terms of the agreements involved and determine who holds ‘the essential indicia of ownership.’ ”  (</w:t>
      </w:r>
      <w:r w:rsidRPr="00F17B44">
        <w:rPr>
          <w:rFonts w:eastAsia="Times New Roman" w:cs="Arial"/>
          <w:i/>
          <w:iCs/>
          <w:color w:val="000000"/>
        </w:rPr>
        <w:t xml:space="preserve">Id. </w:t>
      </w:r>
      <w:r w:rsidRPr="00F17B44">
        <w:rPr>
          <w:rFonts w:eastAsia="Times New Roman" w:cs="Arial"/>
          <w:color w:val="000000"/>
        </w:rPr>
        <w:t>at p. 505.)</w:t>
      </w:r>
    </w:p>
    <w:p w:rsidR="00F069DE" w:rsidRPr="00F17B44" w:rsidP="00F069DE" w14:paraId="43B8210C" w14:textId="2C29E2CC">
      <w:pPr>
        <w:rPr>
          <w:rFonts w:eastAsia="Times New Roman" w:cs="Arial"/>
          <w:color w:val="000000"/>
        </w:rPr>
      </w:pPr>
      <w:r w:rsidRPr="00F17B44">
        <w:rPr>
          <w:rFonts w:eastAsia="Times New Roman" w:cs="Arial"/>
          <w:color w:val="000000"/>
        </w:rPr>
        <w:tab/>
        <w:t xml:space="preserve">The court then </w:t>
      </w:r>
      <w:r w:rsidRPr="00F17B44" w:rsidR="000508E2">
        <w:rPr>
          <w:rFonts w:eastAsia="Times New Roman" w:cs="Arial"/>
          <w:color w:val="000000"/>
        </w:rPr>
        <w:t xml:space="preserve">examined </w:t>
      </w:r>
      <w:r w:rsidRPr="00F17B44">
        <w:rPr>
          <w:rFonts w:eastAsia="Times New Roman" w:cs="Arial"/>
          <w:color w:val="000000"/>
        </w:rPr>
        <w:t>the financial arrangement between Mayhew and the State</w:t>
      </w:r>
      <w:r w:rsidRPr="00F17B44" w:rsidR="000508E2">
        <w:rPr>
          <w:rFonts w:eastAsia="Times New Roman" w:cs="Arial"/>
          <w:color w:val="000000"/>
        </w:rPr>
        <w:t xml:space="preserve">, concluding it </w:t>
      </w:r>
      <w:r w:rsidRPr="00F17B44">
        <w:rPr>
          <w:rFonts w:eastAsia="Times New Roman" w:cs="Arial"/>
          <w:color w:val="000000"/>
        </w:rPr>
        <w:t>“closely resembl</w:t>
      </w:r>
      <w:r w:rsidR="00C85384">
        <w:rPr>
          <w:rFonts w:eastAsia="Times New Roman" w:cs="Arial"/>
          <w:color w:val="000000"/>
        </w:rPr>
        <w:t>e</w:t>
      </w:r>
      <w:r w:rsidRPr="00F17B44" w:rsidR="000508E2">
        <w:rPr>
          <w:rFonts w:eastAsia="Times New Roman" w:cs="Arial"/>
          <w:color w:val="000000"/>
        </w:rPr>
        <w:t>[d]</w:t>
      </w:r>
      <w:r w:rsidRPr="00F17B44">
        <w:rPr>
          <w:rFonts w:eastAsia="Times New Roman" w:cs="Arial"/>
          <w:color w:val="000000"/>
        </w:rPr>
        <w:t xml:space="preserve"> the financing of a purchase through a loan secured by a deed of trust on the subject property.”  (</w:t>
      </w:r>
      <w:r w:rsidRPr="00F17B44">
        <w:rPr>
          <w:rFonts w:eastAsia="Times New Roman" w:cs="Arial"/>
          <w:i/>
          <w:iCs/>
          <w:color w:val="000000"/>
        </w:rPr>
        <w:t>Mayhew</w:t>
      </w:r>
      <w:r w:rsidRPr="00F17B44">
        <w:rPr>
          <w:rFonts w:eastAsia="Times New Roman" w:cs="Arial"/>
          <w:color w:val="000000"/>
        </w:rPr>
        <w:t xml:space="preserve">, </w:t>
      </w:r>
      <w:r w:rsidRPr="00F17B44">
        <w:rPr>
          <w:rFonts w:eastAsia="Times New Roman" w:cs="Arial"/>
          <w:i/>
          <w:iCs/>
          <w:color w:val="000000"/>
        </w:rPr>
        <w:t>supra</w:t>
      </w:r>
      <w:r w:rsidRPr="00F17B44">
        <w:rPr>
          <w:rFonts w:eastAsia="Times New Roman" w:cs="Arial"/>
          <w:color w:val="000000"/>
        </w:rPr>
        <w:t>, 4 Cal.App.4th at p. 505.)  Under the arrangement, “the buyers of the certificates . . . provided funds for the purchase. . . .  The rents paid under the lease are for the benefit of the certificate holders, and in the event of default in paying the rent, the trustee will sell or lease the property to pay off, first, the certificate holders.  The remaining funds will go to the State.  Mayhew is left without an interest in the property, and the legal title transferred to ComPlan does not include the right to receive rents, contains no reversionary interest, and will be automatically divested in the event of expiration of the lease or default on the payment of rent.”  (</w:t>
      </w:r>
      <w:r w:rsidRPr="00F17B44">
        <w:rPr>
          <w:rFonts w:eastAsia="Times New Roman" w:cs="Arial"/>
          <w:i/>
          <w:iCs/>
          <w:color w:val="000000"/>
        </w:rPr>
        <w:t>Ibid</w:t>
      </w:r>
      <w:r w:rsidRPr="00F17B44">
        <w:rPr>
          <w:rFonts w:eastAsia="Times New Roman" w:cs="Arial"/>
          <w:color w:val="000000"/>
        </w:rPr>
        <w:t xml:space="preserve">.) </w:t>
      </w:r>
    </w:p>
    <w:p w:rsidR="00F069DE" w:rsidRPr="00F17B44" w:rsidP="00F069DE" w14:paraId="09D8962A" w14:textId="77777777">
      <w:pPr>
        <w:rPr>
          <w:rFonts w:eastAsia="Times New Roman" w:cs="Arial"/>
          <w:color w:val="000000"/>
        </w:rPr>
      </w:pPr>
      <w:r w:rsidRPr="00F17B44">
        <w:rPr>
          <w:rFonts w:eastAsia="Times New Roman" w:cs="Arial"/>
          <w:color w:val="000000"/>
        </w:rPr>
        <w:tab/>
        <w:t>“Furthermore, the lease provides for automatic vesting of title in the State at the expiration of the lease if all rental payments are made.  Even in the event of [a] default on rental payments, the State would receive the funds remaining after sale of the property and payment of the certificate holders.  In other words, any equity remaining in the property belongs to the State.  As in a conditional sale setting, the State holds beneficial ownership both in the practical and legal sense because it has possession and use of the property to the complete exclusion of all others, subject only to its own default and the remedies which would result.”  (</w:t>
      </w:r>
      <w:r w:rsidRPr="00F17B44">
        <w:rPr>
          <w:rFonts w:eastAsia="Times New Roman" w:cs="Arial"/>
          <w:i/>
          <w:iCs/>
          <w:color w:val="000000"/>
        </w:rPr>
        <w:t>Mayhew</w:t>
      </w:r>
      <w:r w:rsidRPr="00F17B44">
        <w:rPr>
          <w:rFonts w:eastAsia="Times New Roman" w:cs="Arial"/>
          <w:color w:val="000000"/>
        </w:rPr>
        <w:t xml:space="preserve">, </w:t>
      </w:r>
      <w:r w:rsidRPr="00F17B44">
        <w:rPr>
          <w:rFonts w:eastAsia="Times New Roman" w:cs="Arial"/>
          <w:i/>
          <w:iCs/>
          <w:color w:val="000000"/>
        </w:rPr>
        <w:t>supra</w:t>
      </w:r>
      <w:r w:rsidRPr="00F17B44">
        <w:rPr>
          <w:rFonts w:eastAsia="Times New Roman" w:cs="Arial"/>
          <w:color w:val="000000"/>
        </w:rPr>
        <w:t>, 4 Cal.App.4th at p. 505.)  Under these circumstances, the court concluded the State “holds beneficial ownership for [property] tax purposes.”  (</w:t>
      </w:r>
      <w:r w:rsidRPr="00F17B44">
        <w:rPr>
          <w:rFonts w:eastAsia="Times New Roman" w:cs="Arial"/>
          <w:i/>
          <w:iCs/>
          <w:color w:val="000000"/>
        </w:rPr>
        <w:t>Ibid</w:t>
      </w:r>
      <w:r w:rsidRPr="00F17B44">
        <w:rPr>
          <w:rFonts w:eastAsia="Times New Roman" w:cs="Arial"/>
          <w:color w:val="000000"/>
        </w:rPr>
        <w:t xml:space="preserve">.) </w:t>
      </w:r>
    </w:p>
    <w:p w:rsidR="00F069DE" w:rsidRPr="00F17B44" w:rsidP="00F069DE" w14:paraId="550583B3" w14:textId="20FD6AE7">
      <w:pPr>
        <w:ind w:firstLine="720"/>
        <w:rPr>
          <w:rFonts w:eastAsia="Times New Roman" w:cs="Arial"/>
          <w:color w:val="000000"/>
        </w:rPr>
      </w:pPr>
      <w:r w:rsidRPr="00F17B44">
        <w:rPr>
          <w:rFonts w:eastAsia="Times New Roman" w:cs="Arial"/>
          <w:color w:val="000000"/>
        </w:rPr>
        <w:t xml:space="preserve">The circumstances in </w:t>
      </w:r>
      <w:r w:rsidRPr="00F17B44">
        <w:rPr>
          <w:rFonts w:eastAsia="Times New Roman" w:cs="Arial"/>
          <w:i/>
          <w:iCs/>
          <w:color w:val="000000"/>
        </w:rPr>
        <w:t>Mayhew</w:t>
      </w:r>
      <w:r w:rsidRPr="00F17B44">
        <w:rPr>
          <w:rFonts w:eastAsia="Times New Roman" w:cs="Arial"/>
          <w:color w:val="000000"/>
        </w:rPr>
        <w:t xml:space="preserve"> differ markedly from those here.  </w:t>
      </w:r>
      <w:r w:rsidRPr="00F17B44">
        <w:rPr>
          <w:rFonts w:eastAsia="Times New Roman" w:cs="Arial"/>
          <w:i/>
          <w:iCs/>
          <w:color w:val="000000"/>
        </w:rPr>
        <w:t>Mayhew</w:t>
      </w:r>
      <w:r w:rsidRPr="00F17B44">
        <w:rPr>
          <w:rFonts w:eastAsia="Times New Roman" w:cs="Arial"/>
          <w:color w:val="000000"/>
        </w:rPr>
        <w:t xml:space="preserve"> involved a </w:t>
      </w:r>
      <w:r w:rsidRPr="00F17B44" w:rsidR="009479CB">
        <w:rPr>
          <w:rFonts w:eastAsia="Times New Roman" w:cs="Arial"/>
          <w:color w:val="000000"/>
        </w:rPr>
        <w:t xml:space="preserve">rather complex </w:t>
      </w:r>
      <w:r w:rsidRPr="00F17B44">
        <w:rPr>
          <w:rFonts w:eastAsia="Times New Roman" w:cs="Arial"/>
          <w:color w:val="000000"/>
        </w:rPr>
        <w:t xml:space="preserve">financial transaction in which the state </w:t>
      </w:r>
      <w:r w:rsidRPr="00F17B44" w:rsidR="001E4F5F">
        <w:rPr>
          <w:rFonts w:eastAsia="Times New Roman" w:cs="Arial"/>
          <w:color w:val="000000"/>
        </w:rPr>
        <w:t xml:space="preserve">not only </w:t>
      </w:r>
      <w:r w:rsidRPr="00F17B44">
        <w:rPr>
          <w:rFonts w:eastAsia="Times New Roman" w:cs="Arial"/>
          <w:color w:val="000000"/>
        </w:rPr>
        <w:t xml:space="preserve">had “possession and use of the property to the complete exclusion of all others,” </w:t>
      </w:r>
      <w:r w:rsidRPr="00F17B44" w:rsidR="001E4F5F">
        <w:rPr>
          <w:rFonts w:eastAsia="Times New Roman" w:cs="Arial"/>
          <w:color w:val="000000"/>
        </w:rPr>
        <w:t xml:space="preserve">but also would automatically be vested with title upon conclusion of the lease term.  </w:t>
      </w:r>
      <w:r w:rsidRPr="00F17B44" w:rsidR="00B96073">
        <w:rPr>
          <w:rFonts w:eastAsia="Times New Roman" w:cs="Arial"/>
          <w:color w:val="000000"/>
        </w:rPr>
        <w:t>(</w:t>
      </w:r>
      <w:r w:rsidRPr="00F17B44" w:rsidR="00B96073">
        <w:rPr>
          <w:rFonts w:eastAsia="Times New Roman" w:cs="Arial"/>
          <w:i/>
          <w:iCs/>
          <w:color w:val="000000"/>
        </w:rPr>
        <w:t>Mayhew</w:t>
      </w:r>
      <w:r w:rsidRPr="00F17B44" w:rsidR="00B96073">
        <w:rPr>
          <w:rFonts w:eastAsia="Times New Roman" w:cs="Arial"/>
          <w:color w:val="000000"/>
        </w:rPr>
        <w:t xml:space="preserve">, </w:t>
      </w:r>
      <w:r w:rsidRPr="00F17B44" w:rsidR="00B96073">
        <w:rPr>
          <w:rFonts w:eastAsia="Times New Roman" w:cs="Arial"/>
          <w:i/>
          <w:iCs/>
          <w:color w:val="000000"/>
        </w:rPr>
        <w:t>supra</w:t>
      </w:r>
      <w:r w:rsidRPr="00F17B44" w:rsidR="00B96073">
        <w:rPr>
          <w:rFonts w:eastAsia="Times New Roman" w:cs="Arial"/>
          <w:color w:val="000000"/>
        </w:rPr>
        <w:t xml:space="preserve">, 4 Cal.App.4th at p. 505.)  </w:t>
      </w:r>
      <w:r w:rsidRPr="00F17B44" w:rsidR="001E4F5F">
        <w:rPr>
          <w:rFonts w:eastAsia="Times New Roman" w:cs="Arial"/>
          <w:color w:val="000000"/>
        </w:rPr>
        <w:t xml:space="preserve">And even if the full transaction was not consummated, the state would recoup any equity.  In short, the transaction was effectively a financed “sale” to the state.  </w:t>
      </w:r>
      <w:r w:rsidRPr="00F17B44">
        <w:rPr>
          <w:rFonts w:eastAsia="Times New Roman" w:cs="Arial"/>
          <w:color w:val="000000"/>
        </w:rPr>
        <w:t>Under th</w:t>
      </w:r>
      <w:r w:rsidRPr="00F17B44" w:rsidR="00CF12E8">
        <w:rPr>
          <w:rFonts w:eastAsia="Times New Roman" w:cs="Arial"/>
          <w:color w:val="000000"/>
        </w:rPr>
        <w:t>e</w:t>
      </w:r>
      <w:r w:rsidRPr="00F17B44">
        <w:rPr>
          <w:rFonts w:eastAsia="Times New Roman" w:cs="Arial"/>
          <w:color w:val="000000"/>
        </w:rPr>
        <w:t xml:space="preserve">se circumstances, the state was the beneficial owner for </w:t>
      </w:r>
      <w:r w:rsidRPr="00F17B44" w:rsidR="001E4F5F">
        <w:rPr>
          <w:rFonts w:eastAsia="Times New Roman" w:cs="Arial"/>
          <w:color w:val="000000"/>
        </w:rPr>
        <w:t xml:space="preserve">property </w:t>
      </w:r>
      <w:r w:rsidRPr="00F17B44">
        <w:rPr>
          <w:rFonts w:eastAsia="Times New Roman" w:cs="Arial"/>
          <w:color w:val="000000"/>
        </w:rPr>
        <w:t xml:space="preserve">tax purposes.  </w:t>
      </w:r>
      <w:r w:rsidRPr="00F17B44" w:rsidR="001E4F5F">
        <w:rPr>
          <w:rFonts w:eastAsia="Times New Roman" w:cs="Arial"/>
          <w:color w:val="000000"/>
        </w:rPr>
        <w:t xml:space="preserve">Here, in contrast, there was a straightforward sale to the LLCs and they are not effectively fulfilling the role of a lender that holds naked title </w:t>
      </w:r>
      <w:r w:rsidRPr="00F17B44" w:rsidR="00CF12E8">
        <w:rPr>
          <w:rFonts w:eastAsia="Times New Roman" w:cs="Arial"/>
          <w:color w:val="000000"/>
        </w:rPr>
        <w:t>to</w:t>
      </w:r>
      <w:r w:rsidRPr="00F17B44" w:rsidR="001E4F5F">
        <w:rPr>
          <w:rFonts w:eastAsia="Times New Roman" w:cs="Arial"/>
          <w:color w:val="000000"/>
        </w:rPr>
        <w:t xml:space="preserve"> the property for security.</w:t>
      </w:r>
      <w:r w:rsidRPr="00F17B44">
        <w:rPr>
          <w:rFonts w:eastAsia="Times New Roman" w:cs="Arial"/>
          <w:color w:val="000000"/>
        </w:rPr>
        <w:t xml:space="preserve"> </w:t>
      </w:r>
    </w:p>
    <w:p w:rsidR="00F069DE" w:rsidRPr="00F17B44" w:rsidP="00F069DE" w14:paraId="4F9A5DF1" w14:textId="767C5125">
      <w:pPr>
        <w:tabs>
          <w:tab w:val="left" w:pos="2880"/>
        </w:tabs>
        <w:ind w:firstLine="720"/>
        <w:rPr>
          <w:rFonts w:eastAsia="Times New Roman" w:cs="Arial"/>
          <w:color w:val="000000"/>
        </w:rPr>
      </w:pPr>
      <w:r w:rsidRPr="00F17B44">
        <w:rPr>
          <w:rFonts w:eastAsia="Times New Roman" w:cs="Arial"/>
          <w:color w:val="000000"/>
        </w:rPr>
        <w:t xml:space="preserve">In </w:t>
      </w:r>
      <w:r w:rsidRPr="00F17B44">
        <w:rPr>
          <w:rFonts w:eastAsia="Times New Roman" w:cs="Arial"/>
          <w:i/>
          <w:iCs/>
          <w:color w:val="000000"/>
        </w:rPr>
        <w:t xml:space="preserve">North Ardmore, supra, </w:t>
      </w:r>
      <w:r w:rsidRPr="00F17B44">
        <w:rPr>
          <w:rFonts w:eastAsia="Times New Roman" w:cs="Arial"/>
          <w:color w:val="000000"/>
        </w:rPr>
        <w:t>3 Cal.5th 319 a couple established a family trust to which they transferred an apartment building.  (</w:t>
      </w:r>
      <w:r w:rsidRPr="00F17B44">
        <w:rPr>
          <w:rFonts w:eastAsia="Times New Roman" w:cs="Arial"/>
          <w:i/>
          <w:iCs/>
          <w:color w:val="000000"/>
        </w:rPr>
        <w:t>Id</w:t>
      </w:r>
      <w:r w:rsidRPr="00F17B44">
        <w:rPr>
          <w:rFonts w:eastAsia="Times New Roman" w:cs="Arial"/>
          <w:color w:val="000000"/>
        </w:rPr>
        <w:t>. at pp. 324–325.)  After the husband’s death, the family trust’s assets were transferred to an administrative trust for the wife’s benefit, with the couple’s two sons named as successor trustees.  (</w:t>
      </w:r>
      <w:r w:rsidRPr="00F17B44">
        <w:rPr>
          <w:rFonts w:eastAsia="Times New Roman" w:cs="Arial"/>
          <w:i/>
          <w:iCs/>
          <w:color w:val="000000"/>
        </w:rPr>
        <w:t>Id</w:t>
      </w:r>
      <w:r w:rsidRPr="00F17B44">
        <w:rPr>
          <w:rFonts w:eastAsia="Times New Roman" w:cs="Arial"/>
          <w:color w:val="000000"/>
        </w:rPr>
        <w:t>. at p. 325.)  The sons formed an LLC to acquire and hold the apartment building, with the administrative trust as the sole member.  They also formed a partnership in which the administrative trust owned a 99 percent interest.  (</w:t>
      </w:r>
      <w:r w:rsidRPr="00F17B44">
        <w:rPr>
          <w:rFonts w:eastAsia="Times New Roman" w:cs="Arial"/>
          <w:i/>
          <w:iCs/>
          <w:color w:val="000000"/>
        </w:rPr>
        <w:t>Ibid</w:t>
      </w:r>
      <w:r w:rsidRPr="00F17B44">
        <w:rPr>
          <w:rFonts w:eastAsia="Times New Roman" w:cs="Arial"/>
          <w:color w:val="000000"/>
        </w:rPr>
        <w:t xml:space="preserve">.) </w:t>
      </w:r>
    </w:p>
    <w:p w:rsidR="00F069DE" w:rsidRPr="00F17B44" w:rsidP="00F069DE" w14:paraId="7012C050" w14:textId="2523D75D">
      <w:pPr>
        <w:tabs>
          <w:tab w:val="left" w:pos="2880"/>
        </w:tabs>
        <w:ind w:firstLine="720"/>
        <w:rPr>
          <w:rFonts w:eastAsia="Times New Roman" w:cs="Arial"/>
          <w:color w:val="000000"/>
        </w:rPr>
      </w:pPr>
      <w:r w:rsidRPr="00F17B44">
        <w:rPr>
          <w:rFonts w:eastAsia="Times New Roman" w:cs="Arial"/>
          <w:color w:val="000000"/>
        </w:rPr>
        <w:t xml:space="preserve">The administrative trust conveyed the building to the LLC and </w:t>
      </w:r>
      <w:r w:rsidRPr="00F17B44" w:rsidR="009479CB">
        <w:rPr>
          <w:rFonts w:eastAsia="Times New Roman" w:cs="Arial"/>
          <w:color w:val="000000"/>
        </w:rPr>
        <w:t xml:space="preserve">conveyed </w:t>
      </w:r>
      <w:r w:rsidRPr="00F17B44">
        <w:rPr>
          <w:rFonts w:eastAsia="Times New Roman" w:cs="Arial"/>
          <w:color w:val="000000"/>
        </w:rPr>
        <w:t>its membership interest in the LLC to the partnership.  (</w:t>
      </w:r>
      <w:r w:rsidRPr="00F17B44">
        <w:rPr>
          <w:rFonts w:eastAsia="Times New Roman" w:cs="Arial"/>
          <w:i/>
          <w:iCs/>
          <w:color w:val="000000"/>
        </w:rPr>
        <w:t>North Ardmore</w:t>
      </w:r>
      <w:r w:rsidRPr="00F17B44">
        <w:rPr>
          <w:rFonts w:eastAsia="Times New Roman" w:cs="Arial"/>
          <w:color w:val="000000"/>
        </w:rPr>
        <w:t xml:space="preserve">, </w:t>
      </w:r>
      <w:r w:rsidRPr="00F17B44">
        <w:rPr>
          <w:rFonts w:eastAsia="Times New Roman" w:cs="Arial"/>
          <w:i/>
          <w:iCs/>
          <w:color w:val="000000"/>
        </w:rPr>
        <w:t>supra</w:t>
      </w:r>
      <w:r w:rsidRPr="00F17B44">
        <w:rPr>
          <w:rFonts w:eastAsia="Times New Roman" w:cs="Arial"/>
          <w:color w:val="000000"/>
        </w:rPr>
        <w:t xml:space="preserve">, 3 Cal.5th at p. 325.)  </w:t>
      </w:r>
      <w:r w:rsidRPr="00F17B44" w:rsidR="009479CB">
        <w:rPr>
          <w:rFonts w:eastAsia="Times New Roman" w:cs="Arial"/>
          <w:color w:val="000000"/>
        </w:rPr>
        <w:t xml:space="preserve">The trust </w:t>
      </w:r>
      <w:r w:rsidRPr="00F17B44">
        <w:rPr>
          <w:rFonts w:eastAsia="Times New Roman" w:cs="Arial"/>
          <w:color w:val="000000"/>
        </w:rPr>
        <w:t xml:space="preserve">also divided its </w:t>
      </w:r>
      <w:r w:rsidRPr="00F17B44" w:rsidR="009479CB">
        <w:rPr>
          <w:rFonts w:eastAsia="Times New Roman" w:cs="Arial"/>
          <w:color w:val="000000"/>
        </w:rPr>
        <w:t xml:space="preserve">99 percent </w:t>
      </w:r>
      <w:r w:rsidRPr="00F17B44">
        <w:rPr>
          <w:rFonts w:eastAsia="Times New Roman" w:cs="Arial"/>
          <w:color w:val="000000"/>
        </w:rPr>
        <w:t xml:space="preserve">interest in the partnership and distributed it to four subtrusts for the benefit of </w:t>
      </w:r>
      <w:r w:rsidRPr="00F17B44" w:rsidR="009479CB">
        <w:rPr>
          <w:rFonts w:eastAsia="Times New Roman" w:cs="Arial"/>
          <w:color w:val="000000"/>
        </w:rPr>
        <w:t>the wife</w:t>
      </w:r>
      <w:r w:rsidRPr="00F17B44">
        <w:rPr>
          <w:rFonts w:eastAsia="Times New Roman" w:cs="Arial"/>
          <w:color w:val="000000"/>
        </w:rPr>
        <w:t>.  None of the</w:t>
      </w:r>
      <w:r w:rsidRPr="00F17B44" w:rsidR="00CF12E8">
        <w:rPr>
          <w:rFonts w:eastAsia="Times New Roman" w:cs="Arial"/>
          <w:color w:val="000000"/>
        </w:rPr>
        <w:t>se</w:t>
      </w:r>
      <w:r w:rsidRPr="00F17B44">
        <w:rPr>
          <w:rFonts w:eastAsia="Times New Roman" w:cs="Arial"/>
          <w:color w:val="000000"/>
        </w:rPr>
        <w:t xml:space="preserve"> transfers triggered the documentary transfer tax, because the transaction</w:t>
      </w:r>
      <w:r w:rsidRPr="00F17B44" w:rsidR="009479CB">
        <w:rPr>
          <w:rFonts w:eastAsia="Times New Roman" w:cs="Arial"/>
          <w:color w:val="000000"/>
        </w:rPr>
        <w:t>s</w:t>
      </w:r>
      <w:r w:rsidRPr="00F17B44">
        <w:rPr>
          <w:rFonts w:eastAsia="Times New Roman" w:cs="Arial"/>
          <w:color w:val="000000"/>
        </w:rPr>
        <w:t xml:space="preserve"> </w:t>
      </w:r>
      <w:r w:rsidRPr="00F17B44" w:rsidR="009479CB">
        <w:rPr>
          <w:rFonts w:eastAsia="Times New Roman" w:cs="Arial"/>
          <w:color w:val="000000"/>
        </w:rPr>
        <w:t xml:space="preserve">simply </w:t>
      </w:r>
      <w:r w:rsidRPr="00F17B44">
        <w:rPr>
          <w:rFonts w:eastAsia="Times New Roman" w:cs="Arial"/>
          <w:color w:val="000000"/>
        </w:rPr>
        <w:t>“moved the [apartment building’s] legal ownership among the various entities . . . [b]ut [</w:t>
      </w:r>
      <w:r w:rsidRPr="00F17B44" w:rsidR="009479CB">
        <w:rPr>
          <w:rFonts w:eastAsia="Times New Roman" w:cs="Arial"/>
          <w:color w:val="000000"/>
        </w:rPr>
        <w:t>the wife’s</w:t>
      </w:r>
      <w:r w:rsidRPr="00F17B44">
        <w:rPr>
          <w:rFonts w:eastAsia="Times New Roman" w:cs="Arial"/>
          <w:color w:val="000000"/>
        </w:rPr>
        <w:t>] beneficial interest remained unchanged.”  (</w:t>
      </w:r>
      <w:r w:rsidRPr="00F17B44">
        <w:rPr>
          <w:rFonts w:eastAsia="Times New Roman" w:cs="Arial"/>
          <w:i/>
          <w:iCs/>
          <w:color w:val="000000"/>
        </w:rPr>
        <w:t>Ibid</w:t>
      </w:r>
      <w:r w:rsidRPr="00F17B44">
        <w:rPr>
          <w:rFonts w:eastAsia="Times New Roman" w:cs="Arial"/>
          <w:color w:val="000000"/>
        </w:rPr>
        <w:t xml:space="preserve">.) </w:t>
      </w:r>
    </w:p>
    <w:p w:rsidR="00F069DE" w:rsidRPr="00F17B44" w:rsidP="00F069DE" w14:paraId="1A68AE22" w14:textId="0684E449">
      <w:pPr>
        <w:tabs>
          <w:tab w:val="left" w:pos="2880"/>
        </w:tabs>
        <w:ind w:firstLine="720"/>
        <w:rPr>
          <w:rFonts w:eastAsia="Times New Roman" w:cs="Arial"/>
          <w:color w:val="000000"/>
        </w:rPr>
      </w:pPr>
      <w:r w:rsidRPr="00F17B44">
        <w:rPr>
          <w:rFonts w:eastAsia="Times New Roman" w:cs="Arial"/>
          <w:color w:val="000000"/>
        </w:rPr>
        <w:t>However, the following year, three of the subtrusts transferred their interests in the partnership to two trusts maintained for the two sons, resulting in the two sons acquiring “a beneficial interest in the [apartment building] they had not held before.”  (</w:t>
      </w:r>
      <w:r w:rsidRPr="00F17B44">
        <w:rPr>
          <w:rFonts w:eastAsia="Times New Roman" w:cs="Arial"/>
          <w:i/>
          <w:iCs/>
          <w:color w:val="000000"/>
        </w:rPr>
        <w:t>North Ardmore</w:t>
      </w:r>
      <w:r w:rsidRPr="00F17B44">
        <w:rPr>
          <w:rFonts w:eastAsia="Times New Roman" w:cs="Arial"/>
          <w:color w:val="000000"/>
        </w:rPr>
        <w:t xml:space="preserve">, </w:t>
      </w:r>
      <w:r w:rsidRPr="00F17B44">
        <w:rPr>
          <w:rFonts w:eastAsia="Times New Roman" w:cs="Arial"/>
          <w:i/>
          <w:iCs/>
          <w:color w:val="000000"/>
        </w:rPr>
        <w:t>supra</w:t>
      </w:r>
      <w:r w:rsidRPr="00F17B44">
        <w:rPr>
          <w:rFonts w:eastAsia="Times New Roman" w:cs="Arial"/>
          <w:color w:val="000000"/>
        </w:rPr>
        <w:t>, 3 Cal.5th at p.</w:t>
      </w:r>
      <w:r w:rsidRPr="00F17B44" w:rsidR="00D21B8B">
        <w:rPr>
          <w:rFonts w:eastAsia="Times New Roman" w:cs="Arial"/>
          <w:color w:val="000000"/>
        </w:rPr>
        <w:t> </w:t>
      </w:r>
      <w:r w:rsidRPr="00F17B44">
        <w:rPr>
          <w:rFonts w:eastAsia="Times New Roman" w:cs="Arial"/>
          <w:color w:val="000000"/>
        </w:rPr>
        <w:t>325.)  After the transfers, each of the sons’ trusts held a 44.595 percent interest in the partnership, which was the sole member of the LLC.  (</w:t>
      </w:r>
      <w:r w:rsidRPr="00F17B44">
        <w:rPr>
          <w:rFonts w:eastAsia="Times New Roman" w:cs="Arial"/>
          <w:i/>
          <w:iCs/>
          <w:color w:val="000000"/>
        </w:rPr>
        <w:t>Id</w:t>
      </w:r>
      <w:r w:rsidRPr="00F17B44">
        <w:rPr>
          <w:rFonts w:eastAsia="Times New Roman" w:cs="Arial"/>
          <w:color w:val="000000"/>
        </w:rPr>
        <w:t>. at p.</w:t>
      </w:r>
      <w:r w:rsidRPr="00F17B44" w:rsidR="00551509">
        <w:rPr>
          <w:rFonts w:eastAsia="Times New Roman" w:cs="Arial"/>
          <w:color w:val="000000"/>
        </w:rPr>
        <w:t> </w:t>
      </w:r>
      <w:r w:rsidRPr="00F17B44">
        <w:rPr>
          <w:rFonts w:eastAsia="Times New Roman" w:cs="Arial"/>
          <w:color w:val="000000"/>
        </w:rPr>
        <w:t>326.)  The LLC continued to hold legal title to the apartment building.  (</w:t>
      </w:r>
      <w:r w:rsidRPr="00F17B44">
        <w:rPr>
          <w:rFonts w:eastAsia="Times New Roman" w:cs="Arial"/>
          <w:i/>
          <w:iCs/>
          <w:color w:val="000000"/>
        </w:rPr>
        <w:t>Ibid</w:t>
      </w:r>
      <w:r w:rsidRPr="00F17B44">
        <w:rPr>
          <w:rFonts w:eastAsia="Times New Roman" w:cs="Arial"/>
          <w:color w:val="000000"/>
        </w:rPr>
        <w:t>.)  The sons’ trusts executed promissory notes to the three subtrusts in consideration for the transferred assets.  (</w:t>
      </w:r>
      <w:r w:rsidRPr="00F17B44">
        <w:rPr>
          <w:rFonts w:eastAsia="Times New Roman" w:cs="Arial"/>
          <w:i/>
          <w:iCs/>
          <w:color w:val="000000"/>
        </w:rPr>
        <w:t>Ibid</w:t>
      </w:r>
      <w:r w:rsidRPr="00F17B44">
        <w:rPr>
          <w:rFonts w:eastAsia="Times New Roman" w:cs="Arial"/>
          <w:color w:val="000000"/>
        </w:rPr>
        <w:t xml:space="preserve">.) </w:t>
      </w:r>
    </w:p>
    <w:p w:rsidR="00F069DE" w:rsidRPr="00F17B44" w:rsidP="00F069DE" w14:paraId="3CED0593" w14:textId="135151AA">
      <w:pPr>
        <w:tabs>
          <w:tab w:val="left" w:pos="2880"/>
        </w:tabs>
        <w:ind w:firstLine="720"/>
        <w:rPr>
          <w:rFonts w:eastAsia="Times New Roman" w:cs="Arial"/>
          <w:color w:val="000000"/>
        </w:rPr>
      </w:pPr>
      <w:r w:rsidRPr="00F17B44">
        <w:rPr>
          <w:rFonts w:eastAsia="Times New Roman" w:cs="Arial"/>
          <w:color w:val="000000"/>
        </w:rPr>
        <w:t xml:space="preserve">The issue </w:t>
      </w:r>
      <w:r w:rsidRPr="00F17B44" w:rsidR="009479CB">
        <w:rPr>
          <w:rFonts w:eastAsia="Times New Roman" w:cs="Arial"/>
          <w:color w:val="000000"/>
        </w:rPr>
        <w:t xml:space="preserve">before the </w:t>
      </w:r>
      <w:r w:rsidRPr="00F17B44" w:rsidR="00CF12E8">
        <w:rPr>
          <w:rFonts w:eastAsia="Times New Roman" w:cs="Arial"/>
          <w:color w:val="000000"/>
        </w:rPr>
        <w:t xml:space="preserve">high </w:t>
      </w:r>
      <w:r w:rsidRPr="00F17B44" w:rsidR="009479CB">
        <w:rPr>
          <w:rFonts w:eastAsia="Times New Roman" w:cs="Arial"/>
          <w:color w:val="000000"/>
        </w:rPr>
        <w:t>court</w:t>
      </w:r>
      <w:r w:rsidRPr="00F17B44">
        <w:rPr>
          <w:rFonts w:eastAsia="Times New Roman" w:cs="Arial"/>
          <w:color w:val="000000"/>
        </w:rPr>
        <w:t xml:space="preserve"> was whether</w:t>
      </w:r>
      <w:r w:rsidRPr="00F17B44" w:rsidR="009479CB">
        <w:rPr>
          <w:rFonts w:eastAsia="Times New Roman" w:cs="Arial"/>
          <w:color w:val="000000"/>
        </w:rPr>
        <w:t xml:space="preserve"> there had been a “change in ownership” for the purposes of the documentary transfer tax</w:t>
      </w:r>
      <w:r w:rsidRPr="00F17B44" w:rsidR="00CF12E8">
        <w:rPr>
          <w:rFonts w:eastAsia="Times New Roman" w:cs="Arial"/>
          <w:color w:val="000000"/>
        </w:rPr>
        <w:t>,</w:t>
      </w:r>
      <w:r w:rsidRPr="00F17B44" w:rsidR="00FD678D">
        <w:rPr>
          <w:rFonts w:eastAsia="Times New Roman" w:cs="Arial"/>
          <w:color w:val="000000"/>
        </w:rPr>
        <w:t xml:space="preserve"> thus</w:t>
      </w:r>
      <w:r w:rsidRPr="00F17B44" w:rsidR="009479CB">
        <w:rPr>
          <w:rFonts w:eastAsia="Times New Roman" w:cs="Arial"/>
          <w:color w:val="000000"/>
        </w:rPr>
        <w:t xml:space="preserve"> allowing the </w:t>
      </w:r>
      <w:r w:rsidRPr="00F17B44">
        <w:rPr>
          <w:rFonts w:eastAsia="Times New Roman" w:cs="Arial"/>
          <w:color w:val="000000"/>
        </w:rPr>
        <w:t xml:space="preserve">county to tax </w:t>
      </w:r>
      <w:r w:rsidRPr="00F17B44" w:rsidR="009479CB">
        <w:rPr>
          <w:rFonts w:eastAsia="Times New Roman" w:cs="Arial"/>
          <w:color w:val="000000"/>
        </w:rPr>
        <w:t>the “</w:t>
      </w:r>
      <w:r w:rsidRPr="00F17B44">
        <w:rPr>
          <w:rFonts w:eastAsia="Times New Roman" w:cs="Arial"/>
          <w:color w:val="000000"/>
        </w:rPr>
        <w:t xml:space="preserve">written instruments that transferred </w:t>
      </w:r>
      <w:r w:rsidRPr="00F17B44" w:rsidR="00FD678D">
        <w:rPr>
          <w:rFonts w:eastAsia="Times New Roman" w:cs="Arial"/>
          <w:color w:val="000000"/>
        </w:rPr>
        <w:t xml:space="preserve">[the] </w:t>
      </w:r>
      <w:r w:rsidRPr="00F17B44">
        <w:rPr>
          <w:rFonts w:eastAsia="Times New Roman" w:cs="Arial"/>
          <w:color w:val="000000"/>
        </w:rPr>
        <w:t>interests in [the partnership] from [the] subtrusts to the [sons’] trusts</w:t>
      </w:r>
      <w:r w:rsidRPr="00F17B44" w:rsidR="009479CB">
        <w:rPr>
          <w:rFonts w:eastAsia="Times New Roman" w:cs="Arial"/>
          <w:color w:val="000000"/>
        </w:rPr>
        <w:t>.</w:t>
      </w:r>
      <w:r w:rsidRPr="00F17B44">
        <w:rPr>
          <w:rFonts w:eastAsia="Times New Roman" w:cs="Arial"/>
          <w:color w:val="000000"/>
        </w:rPr>
        <w:t>”</w:t>
      </w:r>
      <w:r w:rsidRPr="00F17B44" w:rsidR="009479CB">
        <w:rPr>
          <w:rFonts w:eastAsia="Times New Roman" w:cs="Arial"/>
          <w:color w:val="000000"/>
        </w:rPr>
        <w:t xml:space="preserve">  </w:t>
      </w:r>
      <w:r w:rsidRPr="00F17B44">
        <w:rPr>
          <w:rFonts w:eastAsia="Times New Roman" w:cs="Arial"/>
          <w:color w:val="000000"/>
        </w:rPr>
        <w:t>(</w:t>
      </w:r>
      <w:r w:rsidRPr="00F17B44">
        <w:rPr>
          <w:rFonts w:eastAsia="Times New Roman" w:cs="Arial"/>
          <w:i/>
          <w:iCs/>
          <w:color w:val="000000"/>
        </w:rPr>
        <w:t>North Ardmore</w:t>
      </w:r>
      <w:r w:rsidRPr="00F17B44">
        <w:rPr>
          <w:rFonts w:eastAsia="Times New Roman" w:cs="Arial"/>
          <w:color w:val="000000"/>
        </w:rPr>
        <w:t xml:space="preserve">, </w:t>
      </w:r>
      <w:r w:rsidRPr="00F17B44">
        <w:rPr>
          <w:rFonts w:eastAsia="Times New Roman" w:cs="Arial"/>
          <w:i/>
          <w:iCs/>
          <w:color w:val="000000"/>
        </w:rPr>
        <w:t>supra</w:t>
      </w:r>
      <w:r w:rsidRPr="00F17B44">
        <w:rPr>
          <w:rFonts w:eastAsia="Times New Roman" w:cs="Arial"/>
          <w:color w:val="000000"/>
        </w:rPr>
        <w:t>, 3 Cal.5th at pp. 326, 328.)</w:t>
      </w:r>
      <w:r w:rsidRPr="00F17B44" w:rsidR="00FD678D">
        <w:rPr>
          <w:rFonts w:eastAsia="Times New Roman" w:cs="Arial"/>
          <w:color w:val="000000"/>
        </w:rPr>
        <w:t xml:space="preserve">  In other words, the issue was whether a transfer of an </w:t>
      </w:r>
      <w:r w:rsidRPr="00F17B44" w:rsidR="00FD678D">
        <w:rPr>
          <w:rFonts w:eastAsia="Times New Roman" w:cs="Arial"/>
          <w:i/>
          <w:iCs/>
          <w:color w:val="000000"/>
        </w:rPr>
        <w:t>interest in a legal entity</w:t>
      </w:r>
      <w:r w:rsidRPr="00F17B44" w:rsidR="00FD678D">
        <w:rPr>
          <w:rFonts w:eastAsia="Times New Roman" w:cs="Arial"/>
          <w:color w:val="000000"/>
        </w:rPr>
        <w:t xml:space="preserve"> </w:t>
      </w:r>
      <w:r w:rsidRPr="00F17B44" w:rsidR="00CF12E8">
        <w:rPr>
          <w:rFonts w:eastAsia="Times New Roman" w:cs="Arial"/>
          <w:color w:val="000000"/>
        </w:rPr>
        <w:t xml:space="preserve">holding title to a property </w:t>
      </w:r>
      <w:r w:rsidRPr="00F17B44" w:rsidR="00FD678D">
        <w:rPr>
          <w:rFonts w:eastAsia="Times New Roman" w:cs="Arial"/>
          <w:color w:val="000000"/>
        </w:rPr>
        <w:t xml:space="preserve">can result in a change in ownership in </w:t>
      </w:r>
      <w:r w:rsidRPr="00F17B44" w:rsidR="00CF12E8">
        <w:rPr>
          <w:rFonts w:eastAsia="Times New Roman" w:cs="Arial"/>
          <w:color w:val="000000"/>
        </w:rPr>
        <w:t>the</w:t>
      </w:r>
      <w:r w:rsidRPr="00F17B44" w:rsidR="00FD678D">
        <w:rPr>
          <w:rFonts w:eastAsia="Times New Roman" w:cs="Arial"/>
          <w:color w:val="000000"/>
        </w:rPr>
        <w:t xml:space="preserve"> property triggering the transfer tax.   </w:t>
      </w:r>
      <w:r w:rsidRPr="00F17B44" w:rsidR="009479CB">
        <w:rPr>
          <w:rFonts w:eastAsia="Times New Roman" w:cs="Arial"/>
          <w:color w:val="000000"/>
        </w:rPr>
        <w:t xml:space="preserve"> </w:t>
      </w:r>
      <w:r w:rsidRPr="00F17B44">
        <w:rPr>
          <w:rFonts w:eastAsia="Times New Roman" w:cs="Arial"/>
          <w:color w:val="000000"/>
        </w:rPr>
        <w:t xml:space="preserve"> </w:t>
      </w:r>
    </w:p>
    <w:p w:rsidR="00F069DE" w:rsidRPr="00F17B44" w:rsidP="00F069DE" w14:paraId="6BFBAD38" w14:textId="7B4BF160">
      <w:pPr>
        <w:tabs>
          <w:tab w:val="left" w:pos="2880"/>
        </w:tabs>
        <w:ind w:firstLine="720"/>
        <w:rPr>
          <w:rFonts w:eastAsia="Times New Roman" w:cs="Arial"/>
          <w:color w:val="000000"/>
        </w:rPr>
      </w:pPr>
      <w:r w:rsidRPr="00F17B44">
        <w:rPr>
          <w:rFonts w:eastAsia="Times New Roman" w:cs="Arial"/>
          <w:color w:val="000000"/>
        </w:rPr>
        <w:t xml:space="preserve">The </w:t>
      </w:r>
      <w:r w:rsidRPr="00F17B44" w:rsidR="00FD678D">
        <w:rPr>
          <w:rFonts w:eastAsia="Times New Roman" w:cs="Arial"/>
          <w:color w:val="000000"/>
        </w:rPr>
        <w:t>Supreme Court concluded a transfer of an interest in a legal entity can trigger the tax “</w:t>
      </w:r>
      <w:r w:rsidRPr="00F17B44">
        <w:rPr>
          <w:rFonts w:eastAsia="Times New Roman" w:cs="Arial"/>
          <w:color w:val="000000"/>
        </w:rPr>
        <w:t>so long as there is a written instrument reflecting a sale of the property for consideration.”  (</w:t>
      </w:r>
      <w:r w:rsidRPr="00F17B44" w:rsidR="00E30225">
        <w:rPr>
          <w:rFonts w:eastAsia="Times New Roman" w:cs="Arial"/>
          <w:i/>
          <w:iCs/>
          <w:color w:val="000000"/>
        </w:rPr>
        <w:t>North Ardmore</w:t>
      </w:r>
      <w:r w:rsidRPr="00F17B44" w:rsidR="00E30225">
        <w:rPr>
          <w:rFonts w:eastAsia="Times New Roman" w:cs="Arial"/>
          <w:color w:val="000000"/>
        </w:rPr>
        <w:t xml:space="preserve">, </w:t>
      </w:r>
      <w:r w:rsidRPr="00F17B44" w:rsidR="00E30225">
        <w:rPr>
          <w:rFonts w:eastAsia="Times New Roman" w:cs="Arial"/>
          <w:i/>
          <w:iCs/>
          <w:color w:val="000000"/>
        </w:rPr>
        <w:t>supra</w:t>
      </w:r>
      <w:r w:rsidRPr="00F17B44" w:rsidR="00E30225">
        <w:rPr>
          <w:rFonts w:eastAsia="Times New Roman" w:cs="Arial"/>
          <w:color w:val="000000"/>
        </w:rPr>
        <w:t>, 3 Cal.5th</w:t>
      </w:r>
      <w:r w:rsidRPr="00F17B44">
        <w:rPr>
          <w:rFonts w:eastAsia="Times New Roman" w:cs="Arial"/>
          <w:color w:val="000000"/>
        </w:rPr>
        <w:t xml:space="preserve"> at p.</w:t>
      </w:r>
      <w:r w:rsidR="00E30225">
        <w:rPr>
          <w:rFonts w:eastAsia="Times New Roman" w:cs="Arial"/>
          <w:color w:val="000000"/>
        </w:rPr>
        <w:t> </w:t>
      </w:r>
      <w:r w:rsidRPr="00F17B44">
        <w:rPr>
          <w:rFonts w:eastAsia="Times New Roman" w:cs="Arial"/>
          <w:color w:val="000000"/>
        </w:rPr>
        <w:t xml:space="preserve">338.)  Because the sons’ trusts paid </w:t>
      </w:r>
      <w:r w:rsidRPr="00F17B44" w:rsidR="00FD678D">
        <w:rPr>
          <w:rFonts w:eastAsia="Times New Roman" w:cs="Arial"/>
          <w:color w:val="000000"/>
        </w:rPr>
        <w:t>the w</w:t>
      </w:r>
      <w:r w:rsidRPr="00F17B44">
        <w:rPr>
          <w:rFonts w:eastAsia="Times New Roman" w:cs="Arial"/>
          <w:color w:val="000000"/>
        </w:rPr>
        <w:t>ife’s subtrusts “for the interests they acquired in the [b]uilding,” there was consideration for the sale.  (</w:t>
      </w:r>
      <w:r w:rsidRPr="00F17B44">
        <w:rPr>
          <w:rFonts w:eastAsia="Times New Roman" w:cs="Arial"/>
          <w:i/>
          <w:iCs/>
          <w:color w:val="000000"/>
        </w:rPr>
        <w:t>Ibid</w:t>
      </w:r>
      <w:r w:rsidRPr="00F17B44">
        <w:rPr>
          <w:rFonts w:eastAsia="Times New Roman" w:cs="Arial"/>
          <w:color w:val="000000"/>
        </w:rPr>
        <w:t xml:space="preserve">.)  Accordingly, the transfer from the </w:t>
      </w:r>
      <w:r w:rsidRPr="00F17B44" w:rsidR="00FD678D">
        <w:rPr>
          <w:rFonts w:eastAsia="Times New Roman" w:cs="Arial"/>
          <w:color w:val="000000"/>
        </w:rPr>
        <w:t xml:space="preserve">wife’s </w:t>
      </w:r>
      <w:r w:rsidRPr="00F17B44">
        <w:rPr>
          <w:rFonts w:eastAsia="Times New Roman" w:cs="Arial"/>
          <w:color w:val="000000"/>
        </w:rPr>
        <w:t xml:space="preserve">three subtrusts to the sons’ trusts was a sale </w:t>
      </w:r>
      <w:r w:rsidRPr="00F17B44" w:rsidR="00FD678D">
        <w:rPr>
          <w:rFonts w:eastAsia="Times New Roman" w:cs="Arial"/>
          <w:color w:val="000000"/>
        </w:rPr>
        <w:t xml:space="preserve">of property </w:t>
      </w:r>
      <w:r w:rsidRPr="00F17B44">
        <w:rPr>
          <w:rFonts w:eastAsia="Times New Roman" w:cs="Arial"/>
          <w:color w:val="000000"/>
        </w:rPr>
        <w:t>to which the documentary transfer tax applied.  (</w:t>
      </w:r>
      <w:r w:rsidRPr="00F17B44">
        <w:rPr>
          <w:rFonts w:eastAsia="Times New Roman" w:cs="Arial"/>
          <w:i/>
          <w:iCs/>
          <w:color w:val="000000"/>
        </w:rPr>
        <w:t>Ibid</w:t>
      </w:r>
      <w:r w:rsidRPr="00F17B44">
        <w:rPr>
          <w:rFonts w:eastAsia="Times New Roman" w:cs="Arial"/>
          <w:color w:val="000000"/>
        </w:rPr>
        <w:t>.)</w:t>
      </w:r>
    </w:p>
    <w:p w:rsidR="00F069DE" w:rsidRPr="00F17B44" w:rsidP="00F069DE" w14:paraId="31312EDD" w14:textId="62F7F67F">
      <w:pPr>
        <w:rPr>
          <w:rFonts w:eastAsia="Times New Roman" w:cs="Arial"/>
          <w:color w:val="000000"/>
        </w:rPr>
      </w:pPr>
      <w:r w:rsidRPr="00F17B44">
        <w:rPr>
          <w:rFonts w:eastAsia="Times New Roman" w:cs="Arial"/>
          <w:color w:val="000000"/>
        </w:rPr>
        <w:tab/>
      </w:r>
      <w:r w:rsidRPr="00F17B44" w:rsidR="00FD678D">
        <w:rPr>
          <w:rFonts w:eastAsia="Times New Roman" w:cs="Arial"/>
          <w:color w:val="000000"/>
        </w:rPr>
        <w:t xml:space="preserve">As we have pointed out, there is no “change of ownership” issue in this case, let alone any issue arising from the transfer of an interest in an entity </w:t>
      </w:r>
      <w:r w:rsidRPr="00F17B44" w:rsidR="00306348">
        <w:rPr>
          <w:rFonts w:eastAsia="Times New Roman" w:cs="Arial"/>
          <w:color w:val="000000"/>
        </w:rPr>
        <w:t xml:space="preserve">for consideration as was the case in </w:t>
      </w:r>
      <w:r w:rsidRPr="00F17B44">
        <w:rPr>
          <w:rFonts w:eastAsia="Times New Roman" w:cs="Arial"/>
          <w:i/>
          <w:iCs/>
          <w:color w:val="000000"/>
        </w:rPr>
        <w:t>North Ardmore</w:t>
      </w:r>
      <w:r w:rsidRPr="00F17B44" w:rsidR="00306348">
        <w:rPr>
          <w:rFonts w:eastAsia="Times New Roman" w:cs="Arial"/>
          <w:i/>
          <w:iCs/>
          <w:color w:val="000000"/>
        </w:rPr>
        <w:t>.</w:t>
      </w:r>
    </w:p>
    <w:p w:rsidR="00F069DE" w:rsidRPr="00F17B44" w:rsidP="00F069DE" w14:paraId="584B8A36" w14:textId="33D49168">
      <w:pPr>
        <w:rPr>
          <w:rFonts w:eastAsia="Times New Roman" w:cs="Arial"/>
          <w:b/>
          <w:bCs/>
          <w:i/>
          <w:iCs/>
          <w:color w:val="000000"/>
        </w:rPr>
      </w:pPr>
      <w:r w:rsidRPr="00F17B44">
        <w:rPr>
          <w:rFonts w:eastAsia="Times New Roman" w:cs="Arial"/>
          <w:color w:val="000000"/>
        </w:rPr>
        <w:tab/>
        <w:t xml:space="preserve">In sum, the </w:t>
      </w:r>
      <w:r w:rsidRPr="00F17B44" w:rsidR="00306348">
        <w:rPr>
          <w:rFonts w:eastAsia="Times New Roman" w:cs="Arial"/>
          <w:color w:val="000000"/>
        </w:rPr>
        <w:t>“beneficial interest” cas</w:t>
      </w:r>
      <w:r w:rsidRPr="00F17B44">
        <w:rPr>
          <w:rFonts w:eastAsia="Times New Roman" w:cs="Arial"/>
          <w:color w:val="000000"/>
        </w:rPr>
        <w:t xml:space="preserve">es on which the LLCs rely </w:t>
      </w:r>
      <w:r w:rsidRPr="00F17B44" w:rsidR="00306348">
        <w:rPr>
          <w:rFonts w:eastAsia="Times New Roman" w:cs="Arial"/>
          <w:color w:val="000000"/>
        </w:rPr>
        <w:t xml:space="preserve">involved materially different circumstances and do not advance their assertion that CalSTRS holds all “beneficial interest in the properties” and therefore “the essential indicia of ownership” for </w:t>
      </w:r>
      <w:r w:rsidRPr="00F17B44" w:rsidR="00FC4463">
        <w:rPr>
          <w:rFonts w:eastAsia="Times New Roman" w:cs="Arial"/>
          <w:color w:val="000000"/>
        </w:rPr>
        <w:t xml:space="preserve">purposes of the documentary transfer </w:t>
      </w:r>
      <w:r w:rsidRPr="00F17B44" w:rsidR="00306348">
        <w:rPr>
          <w:rFonts w:eastAsia="Times New Roman" w:cs="Arial"/>
          <w:color w:val="000000"/>
        </w:rPr>
        <w:t>tax</w:t>
      </w:r>
      <w:r w:rsidRPr="00F17B44" w:rsidR="00FC4463">
        <w:rPr>
          <w:rFonts w:eastAsia="Times New Roman" w:cs="Arial"/>
          <w:color w:val="000000"/>
        </w:rPr>
        <w:t>.</w:t>
      </w:r>
      <w:r>
        <w:rPr>
          <w:rStyle w:val="FootnoteReference"/>
          <w:rFonts w:eastAsia="Times New Roman" w:cs="Arial"/>
          <w:color w:val="000000"/>
        </w:rPr>
        <w:footnoteReference w:id="13"/>
      </w:r>
      <w:r w:rsidRPr="00F17B44" w:rsidR="00306348">
        <w:rPr>
          <w:rFonts w:eastAsia="Times New Roman" w:cs="Arial"/>
          <w:color w:val="000000"/>
        </w:rPr>
        <w:t xml:space="preserve"> </w:t>
      </w:r>
    </w:p>
    <w:p w:rsidR="0032591F" w:rsidRPr="00F17B44" w:rsidP="00E30225" w14:paraId="2F1AF968" w14:textId="2D20A0F8">
      <w:pPr>
        <w:keepNext/>
        <w:rPr>
          <w:rFonts w:eastAsia="Times New Roman" w:cs="Arial"/>
          <w:b/>
          <w:bCs/>
          <w:i/>
          <w:iCs/>
          <w:color w:val="000000"/>
        </w:rPr>
      </w:pPr>
      <w:r w:rsidRPr="00F17B44">
        <w:rPr>
          <w:rFonts w:eastAsia="Times New Roman" w:cs="Arial"/>
          <w:b/>
          <w:bCs/>
          <w:i/>
          <w:iCs/>
          <w:color w:val="000000"/>
        </w:rPr>
        <w:t>The Property Tax Context</w:t>
      </w:r>
    </w:p>
    <w:p w:rsidR="00473722" w:rsidRPr="00F17B44" w:rsidP="00E30225" w14:paraId="1F025B02" w14:textId="4EF4A2B0">
      <w:pPr>
        <w:keepNext/>
        <w:ind w:firstLine="720"/>
        <w:rPr>
          <w:rFonts w:eastAsia="Times New Roman" w:cs="Arial"/>
          <w:color w:val="000000"/>
        </w:rPr>
      </w:pPr>
      <w:r w:rsidRPr="00F17B44">
        <w:rPr>
          <w:rFonts w:eastAsia="Times New Roman" w:cs="Arial"/>
          <w:color w:val="000000"/>
        </w:rPr>
        <w:t>In urging affirmance, t</w:t>
      </w:r>
      <w:r w:rsidRPr="00F17B44" w:rsidR="00E54124">
        <w:rPr>
          <w:rFonts w:eastAsia="Times New Roman" w:cs="Arial"/>
          <w:color w:val="000000"/>
        </w:rPr>
        <w:t xml:space="preserve">he </w:t>
      </w:r>
      <w:r w:rsidR="00C10AE5">
        <w:rPr>
          <w:rFonts w:eastAsia="Times New Roman" w:cs="Arial"/>
          <w:color w:val="000000"/>
        </w:rPr>
        <w:t>C</w:t>
      </w:r>
      <w:r w:rsidRPr="00F17B44" w:rsidR="003A72F1">
        <w:rPr>
          <w:rFonts w:eastAsia="Times New Roman" w:cs="Arial"/>
          <w:color w:val="000000"/>
        </w:rPr>
        <w:t xml:space="preserve">ity and </w:t>
      </w:r>
      <w:r w:rsidR="00C10AE5">
        <w:rPr>
          <w:rFonts w:eastAsia="Times New Roman" w:cs="Arial"/>
          <w:color w:val="000000"/>
        </w:rPr>
        <w:t>C</w:t>
      </w:r>
      <w:r w:rsidRPr="00F17B44" w:rsidR="003A72F1">
        <w:rPr>
          <w:rFonts w:eastAsia="Times New Roman" w:cs="Arial"/>
          <w:color w:val="000000"/>
        </w:rPr>
        <w:t xml:space="preserve">ounty direct our attention to </w:t>
      </w:r>
      <w:r w:rsidRPr="00F17B44">
        <w:rPr>
          <w:rFonts w:eastAsia="Times New Roman" w:cs="Arial"/>
          <w:color w:val="000000"/>
        </w:rPr>
        <w:t xml:space="preserve">constitutional and </w:t>
      </w:r>
      <w:r w:rsidRPr="00F17B44" w:rsidR="003A72F1">
        <w:rPr>
          <w:rFonts w:eastAsia="Times New Roman" w:cs="Arial"/>
          <w:color w:val="000000"/>
        </w:rPr>
        <w:t>statutory provisions pertaining to property taxation</w:t>
      </w:r>
      <w:r w:rsidRPr="00F17B44">
        <w:rPr>
          <w:rFonts w:eastAsia="Times New Roman" w:cs="Arial"/>
          <w:color w:val="000000"/>
        </w:rPr>
        <w:t xml:space="preserve"> and point out that despite the constitutional exemption from such tax for property “</w:t>
      </w:r>
      <w:r w:rsidRPr="00F17B44" w:rsidR="009D568A">
        <w:rPr>
          <w:rFonts w:eastAsia="Times New Roman" w:cs="Arial"/>
          <w:color w:val="000000"/>
        </w:rPr>
        <w:t xml:space="preserve">owned by the State” (Cal. Const., art. XIII, § 3, subd. (a)), </w:t>
      </w:r>
      <w:r w:rsidRPr="00F17B44">
        <w:rPr>
          <w:rFonts w:eastAsia="Times New Roman" w:cs="Arial"/>
          <w:color w:val="000000"/>
        </w:rPr>
        <w:t xml:space="preserve">the LLCs have never claimed to be exempt and have paid property taxes since purchasing the properties.  Indeed, the </w:t>
      </w:r>
      <w:r w:rsidR="00C10AE5">
        <w:rPr>
          <w:rFonts w:eastAsia="Times New Roman" w:cs="Arial"/>
          <w:color w:val="000000"/>
        </w:rPr>
        <w:t>C</w:t>
      </w:r>
      <w:r w:rsidRPr="00F17B44">
        <w:rPr>
          <w:rFonts w:eastAsia="Times New Roman" w:cs="Arial"/>
          <w:color w:val="000000"/>
        </w:rPr>
        <w:t xml:space="preserve">ity and </w:t>
      </w:r>
      <w:r w:rsidR="00C10AE5">
        <w:rPr>
          <w:rFonts w:eastAsia="Times New Roman" w:cs="Arial"/>
          <w:color w:val="000000"/>
        </w:rPr>
        <w:t>C</w:t>
      </w:r>
      <w:r w:rsidRPr="00F17B44">
        <w:rPr>
          <w:rFonts w:eastAsia="Times New Roman" w:cs="Arial"/>
          <w:color w:val="000000"/>
        </w:rPr>
        <w:t xml:space="preserve">ounty assert the Legislature has expressly stated that only property directly owned by CalSTRS is exempt from property taxation and that property owned indirectly </w:t>
      </w:r>
      <w:r w:rsidRPr="00F17B44" w:rsidR="00BF6D1B">
        <w:rPr>
          <w:rFonts w:eastAsia="Times New Roman" w:cs="Arial"/>
          <w:color w:val="000000"/>
        </w:rPr>
        <w:t xml:space="preserve">by CalSTRS </w:t>
      </w:r>
      <w:r w:rsidRPr="00F17B44">
        <w:rPr>
          <w:rFonts w:eastAsia="Times New Roman" w:cs="Arial"/>
          <w:color w:val="000000"/>
        </w:rPr>
        <w:t>through an entity like an LLC</w:t>
      </w:r>
      <w:r w:rsidRPr="00F17B44" w:rsidR="00BF6D1B">
        <w:rPr>
          <w:rFonts w:eastAsia="Times New Roman" w:cs="Arial"/>
          <w:color w:val="000000"/>
        </w:rPr>
        <w:t xml:space="preserve"> is not exempt.</w:t>
      </w:r>
      <w:r w:rsidRPr="00F17B44" w:rsidR="003A72F1">
        <w:rPr>
          <w:rFonts w:eastAsia="Times New Roman" w:cs="Arial"/>
          <w:color w:val="000000"/>
        </w:rPr>
        <w:t xml:space="preserve">  </w:t>
      </w:r>
    </w:p>
    <w:p w:rsidR="00FA1F0C" w:rsidRPr="00F17B44" w:rsidP="007F6E7E" w14:paraId="666035C4" w14:textId="60B2FA9E">
      <w:pPr>
        <w:ind w:firstLine="720"/>
        <w:rPr>
          <w:rFonts w:eastAsia="Times New Roman" w:cs="Arial"/>
          <w:color w:val="000000"/>
        </w:rPr>
      </w:pPr>
      <w:r w:rsidRPr="00F17B44">
        <w:rPr>
          <w:rFonts w:eastAsia="Times New Roman" w:cs="Arial"/>
          <w:color w:val="000000"/>
        </w:rPr>
        <w:t xml:space="preserve">The Legislature has made a number of explicit references to LLCs, in the context of property taxation.  </w:t>
      </w:r>
      <w:r w:rsidRPr="00F17B44" w:rsidR="005909CC">
        <w:rPr>
          <w:rFonts w:eastAsia="Times New Roman" w:cs="Arial"/>
          <w:color w:val="000000"/>
        </w:rPr>
        <w:t>S</w:t>
      </w:r>
      <w:r w:rsidRPr="00F17B44" w:rsidR="007F6E7E">
        <w:rPr>
          <w:rFonts w:eastAsia="Times New Roman" w:cs="Arial"/>
          <w:color w:val="000000"/>
        </w:rPr>
        <w:t>ection 214</w:t>
      </w:r>
      <w:r w:rsidRPr="00F17B44" w:rsidR="00BF6D1B">
        <w:rPr>
          <w:rFonts w:eastAsia="Times New Roman" w:cs="Arial"/>
          <w:color w:val="000000"/>
        </w:rPr>
        <w:t>, for example,</w:t>
      </w:r>
      <w:r w:rsidRPr="00F17B44" w:rsidR="003F59C4">
        <w:rPr>
          <w:rFonts w:eastAsia="Times New Roman" w:cs="Arial"/>
          <w:color w:val="000000"/>
        </w:rPr>
        <w:t xml:space="preserve"> </w:t>
      </w:r>
      <w:r w:rsidRPr="00F17B44">
        <w:rPr>
          <w:rFonts w:eastAsia="Times New Roman" w:cs="Arial"/>
          <w:color w:val="000000"/>
        </w:rPr>
        <w:t xml:space="preserve">expands on the state constitutional exemptions from property taxation and </w:t>
      </w:r>
      <w:r w:rsidRPr="00F17B44" w:rsidR="003F59C4">
        <w:rPr>
          <w:rFonts w:eastAsia="Times New Roman" w:cs="Arial"/>
          <w:color w:val="000000"/>
        </w:rPr>
        <w:t xml:space="preserve">provides a litany of </w:t>
      </w:r>
      <w:r w:rsidRPr="00F17B44">
        <w:rPr>
          <w:rFonts w:eastAsia="Times New Roman" w:cs="Arial"/>
          <w:color w:val="000000"/>
        </w:rPr>
        <w:t xml:space="preserve">additional </w:t>
      </w:r>
      <w:r w:rsidRPr="00F17B44" w:rsidR="003F59C4">
        <w:rPr>
          <w:rFonts w:eastAsia="Times New Roman" w:cs="Arial"/>
          <w:color w:val="000000"/>
        </w:rPr>
        <w:t xml:space="preserve">exemptions.  One </w:t>
      </w:r>
      <w:r w:rsidRPr="00F17B44">
        <w:rPr>
          <w:rFonts w:eastAsia="Times New Roman" w:cs="Arial"/>
          <w:color w:val="000000"/>
        </w:rPr>
        <w:t xml:space="preserve">such </w:t>
      </w:r>
      <w:r w:rsidRPr="00F17B44" w:rsidR="003F59C4">
        <w:rPr>
          <w:rFonts w:eastAsia="Times New Roman" w:cs="Arial"/>
          <w:color w:val="000000"/>
        </w:rPr>
        <w:t>exemption, commonly referred to as the “welfare exemption</w:t>
      </w:r>
      <w:r w:rsidRPr="00F17B44">
        <w:rPr>
          <w:rFonts w:eastAsia="Times New Roman" w:cs="Arial"/>
          <w:color w:val="000000"/>
        </w:rPr>
        <w:t>,</w:t>
      </w:r>
      <w:r w:rsidRPr="00F17B44" w:rsidR="003F59C4">
        <w:rPr>
          <w:rFonts w:eastAsia="Times New Roman" w:cs="Arial"/>
          <w:color w:val="000000"/>
        </w:rPr>
        <w:t xml:space="preserve">” states </w:t>
      </w:r>
      <w:r w:rsidRPr="00F17B44" w:rsidR="007F6E7E">
        <w:rPr>
          <w:rFonts w:eastAsia="Times New Roman" w:cs="Arial"/>
          <w:color w:val="000000"/>
        </w:rPr>
        <w:t xml:space="preserve">in </w:t>
      </w:r>
      <w:r w:rsidRPr="00F17B44" w:rsidR="003F59C4">
        <w:rPr>
          <w:rFonts w:eastAsia="Times New Roman" w:cs="Arial"/>
          <w:color w:val="000000"/>
        </w:rPr>
        <w:t xml:space="preserve">pertinent </w:t>
      </w:r>
      <w:r w:rsidRPr="00F17B44" w:rsidR="007F6E7E">
        <w:rPr>
          <w:rFonts w:eastAsia="Times New Roman" w:cs="Arial"/>
          <w:color w:val="000000"/>
        </w:rPr>
        <w:t xml:space="preserve">part: “Property used exclusively for religious, hospital, scientific, or charitable purposes owned and operated by community chests, funds, foundations, </w:t>
      </w:r>
      <w:r w:rsidRPr="00F17B44" w:rsidR="007F6E7E">
        <w:rPr>
          <w:rFonts w:eastAsia="Times New Roman" w:cs="Arial"/>
          <w:i/>
          <w:iCs/>
          <w:color w:val="000000"/>
        </w:rPr>
        <w:t>limited liability companies</w:t>
      </w:r>
      <w:r w:rsidRPr="00F17B44" w:rsidR="007F6E7E">
        <w:rPr>
          <w:rFonts w:eastAsia="Times New Roman" w:cs="Arial"/>
          <w:color w:val="000000"/>
        </w:rPr>
        <w:t>, or corporations organized and operated for religious, hospital, scientific, or charitable purposes is exempt from taxation. . . .”</w:t>
      </w:r>
      <w:r w:rsidRPr="00F17B44" w:rsidR="00551509">
        <w:rPr>
          <w:rFonts w:eastAsia="Times New Roman" w:cs="Arial"/>
          <w:color w:val="000000"/>
        </w:rPr>
        <w:t xml:space="preserve"> </w:t>
      </w:r>
      <w:r w:rsidRPr="00F17B44" w:rsidR="007F6E7E">
        <w:rPr>
          <w:rFonts w:eastAsia="Times New Roman" w:cs="Arial"/>
          <w:color w:val="000000"/>
        </w:rPr>
        <w:t xml:space="preserve"> (§ 214, subd. (a)</w:t>
      </w:r>
      <w:r w:rsidRPr="00F17B44" w:rsidR="003F59C4">
        <w:rPr>
          <w:rFonts w:eastAsia="Times New Roman" w:cs="Arial"/>
          <w:color w:val="000000"/>
        </w:rPr>
        <w:t>, italics</w:t>
      </w:r>
      <w:r w:rsidRPr="00F17B44" w:rsidR="005909CC">
        <w:rPr>
          <w:rFonts w:eastAsia="Times New Roman" w:cs="Arial"/>
          <w:color w:val="000000"/>
        </w:rPr>
        <w:t xml:space="preserve"> added</w:t>
      </w:r>
      <w:r w:rsidRPr="00F17B44" w:rsidR="007F6E7E">
        <w:rPr>
          <w:rFonts w:eastAsia="Times New Roman" w:cs="Arial"/>
          <w:color w:val="000000"/>
        </w:rPr>
        <w:t>.)</w:t>
      </w:r>
      <w:r w:rsidRPr="00F17B44">
        <w:rPr>
          <w:rFonts w:eastAsia="Times New Roman" w:cs="Arial"/>
          <w:color w:val="000000"/>
        </w:rPr>
        <w:t xml:space="preserve">  </w:t>
      </w:r>
    </w:p>
    <w:p w:rsidR="00BF6D1B" w:rsidRPr="00F17B44" w:rsidP="00E33E36" w14:paraId="1668C97D" w14:textId="0C79D4BF">
      <w:pPr>
        <w:ind w:firstLine="720"/>
        <w:rPr>
          <w:rFonts w:eastAsia="Times New Roman" w:cs="Arial"/>
          <w:color w:val="000000"/>
        </w:rPr>
      </w:pPr>
      <w:r w:rsidRPr="00F17B44">
        <w:rPr>
          <w:rFonts w:eastAsia="Times New Roman" w:cs="Arial"/>
          <w:color w:val="000000"/>
        </w:rPr>
        <w:t>S</w:t>
      </w:r>
      <w:r w:rsidRPr="00F17B44" w:rsidR="00D52AF2">
        <w:rPr>
          <w:rFonts w:eastAsia="Times New Roman" w:cs="Arial"/>
          <w:color w:val="000000"/>
        </w:rPr>
        <w:t>ection 214.8, in turn, s</w:t>
      </w:r>
      <w:r w:rsidRPr="00F17B44" w:rsidR="00FA1F0C">
        <w:rPr>
          <w:rFonts w:eastAsia="Times New Roman" w:cs="Arial"/>
          <w:color w:val="000000"/>
        </w:rPr>
        <w:t xml:space="preserve">tates </w:t>
      </w:r>
      <w:r w:rsidRPr="00F17B44" w:rsidR="00D52AF2">
        <w:rPr>
          <w:rFonts w:eastAsia="Times New Roman" w:cs="Arial"/>
          <w:color w:val="000000"/>
        </w:rPr>
        <w:t>“the ‘welfare exemption’ shall not be granted to any organization unless it is qualified as an exempt organization” under specified state or federal tax statutes.  (§</w:t>
      </w:r>
      <w:r w:rsidRPr="00F17B44" w:rsidR="00551509">
        <w:rPr>
          <w:rFonts w:eastAsia="Times New Roman" w:cs="Arial"/>
          <w:color w:val="000000"/>
        </w:rPr>
        <w:t> </w:t>
      </w:r>
      <w:r w:rsidRPr="00F17B44" w:rsidR="00D52AF2">
        <w:rPr>
          <w:rFonts w:eastAsia="Times New Roman" w:cs="Arial"/>
          <w:color w:val="000000"/>
        </w:rPr>
        <w:t>214.8, subd. (a).)</w:t>
      </w:r>
      <w:r w:rsidRPr="00F17B44" w:rsidR="00FA1F0C">
        <w:rPr>
          <w:rFonts w:eastAsia="Times New Roman" w:cs="Arial"/>
          <w:color w:val="000000"/>
        </w:rPr>
        <w:t xml:space="preserve">  Subdivision (c) specifically addresses LLCs and states in pertinent part, “a limited liability company wholly owned by one or more qualifying organizations, </w:t>
      </w:r>
      <w:r w:rsidRPr="00F17B44" w:rsidR="00FA1F0C">
        <w:rPr>
          <w:rFonts w:eastAsia="Times New Roman" w:cs="Arial"/>
          <w:i/>
          <w:iCs/>
          <w:color w:val="000000"/>
        </w:rPr>
        <w:t>which may include governmental entities</w:t>
      </w:r>
      <w:r w:rsidRPr="00F17B44" w:rsidR="00FA1F0C">
        <w:rPr>
          <w:rFonts w:eastAsia="Times New Roman" w:cs="Arial"/>
          <w:color w:val="000000"/>
        </w:rPr>
        <w:t xml:space="preserve"> and nonprofit organizations, that are exempt under Section 23701d or under Section 501(c)(3) of the Internal Revenue Code</w:t>
      </w:r>
      <w:r w:rsidRPr="00F17B44">
        <w:rPr>
          <w:rFonts w:eastAsia="Times New Roman" w:cs="Arial"/>
          <w:color w:val="000000"/>
        </w:rPr>
        <w:t>,</w:t>
      </w:r>
      <w:r w:rsidRPr="00F17B44" w:rsidR="00FA1F0C">
        <w:rPr>
          <w:rFonts w:eastAsia="Times New Roman" w:cs="Arial"/>
          <w:color w:val="000000"/>
        </w:rPr>
        <w:t xml:space="preserve"> shall qualify as an exempt organization.”  (</w:t>
      </w:r>
      <w:r w:rsidRPr="00F17B44">
        <w:rPr>
          <w:rFonts w:eastAsia="Times New Roman" w:cs="Arial"/>
          <w:i/>
          <w:iCs/>
          <w:color w:val="000000"/>
        </w:rPr>
        <w:t>Id</w:t>
      </w:r>
      <w:r w:rsidRPr="00F17B44">
        <w:rPr>
          <w:rFonts w:eastAsia="Times New Roman" w:cs="Arial"/>
          <w:color w:val="000000"/>
        </w:rPr>
        <w:t>.</w:t>
      </w:r>
      <w:r w:rsidRPr="00F17B44" w:rsidR="00FA1F0C">
        <w:rPr>
          <w:rFonts w:eastAsia="Times New Roman" w:cs="Arial"/>
          <w:color w:val="000000"/>
        </w:rPr>
        <w:t>, subd. (c)(1)</w:t>
      </w:r>
      <w:r w:rsidRPr="00F17B44">
        <w:rPr>
          <w:rFonts w:eastAsia="Times New Roman" w:cs="Arial"/>
          <w:color w:val="000000"/>
        </w:rPr>
        <w:t>, italics added</w:t>
      </w:r>
      <w:r w:rsidRPr="00F17B44" w:rsidR="00FA1F0C">
        <w:rPr>
          <w:rFonts w:eastAsia="Times New Roman" w:cs="Arial"/>
          <w:color w:val="000000"/>
        </w:rPr>
        <w:t>.)</w:t>
      </w:r>
      <w:r w:rsidRPr="00F17B44" w:rsidR="009332CF">
        <w:rPr>
          <w:rFonts w:eastAsia="Times New Roman" w:cs="Arial"/>
          <w:color w:val="000000"/>
        </w:rPr>
        <w:t xml:space="preserve">  </w:t>
      </w:r>
    </w:p>
    <w:p w:rsidR="00E33E36" w:rsidRPr="00F17B44" w:rsidP="00E33E36" w14:paraId="04B43BC4" w14:textId="4D068724">
      <w:pPr>
        <w:ind w:firstLine="720"/>
        <w:rPr>
          <w:rFonts w:eastAsia="Times New Roman" w:cs="Arial"/>
          <w:color w:val="000000"/>
        </w:rPr>
      </w:pPr>
      <w:r w:rsidRPr="00F17B44">
        <w:rPr>
          <w:rFonts w:eastAsia="Times New Roman" w:cs="Arial"/>
          <w:color w:val="000000"/>
        </w:rPr>
        <w:t xml:space="preserve">State Board of Equalization regulations further elucidate that, “A qualifying organization is also a government entity that is exempt from property taxation under section 3 of Article XIII of the California Constitution, as to property owned by the state under subdivision (a), or as to property owned by a local government under subdivision (b), or as to property used exclusively for public schools, community colleges, state colleges and state universities under subdivision (d). </w:t>
      </w:r>
      <w:r w:rsidRPr="00F17B44" w:rsidR="00BF6D1B">
        <w:rPr>
          <w:rFonts w:eastAsia="Times New Roman" w:cs="Arial"/>
          <w:color w:val="000000"/>
        </w:rPr>
        <w:t xml:space="preserve"> </w:t>
      </w:r>
      <w:r w:rsidRPr="00F17B44">
        <w:rPr>
          <w:rFonts w:eastAsia="Times New Roman" w:cs="Arial"/>
          <w:color w:val="000000"/>
        </w:rPr>
        <w:t>A limited liability company is a qualifying organization if one or more of its members is a government entity, as specified, and all other members are exempt under section 501(c)(3) of the Internal Revenue Code or under section 23701d of the Revenue and Taxation Code and qualify for exemption under section 214 of the Revenue and Taxation Code.”  (Cal. Code Regs., tit. 18, § 136, subd. (b)(2).)</w:t>
      </w:r>
    </w:p>
    <w:p w:rsidR="005E6383" w:rsidRPr="00F17B44" w:rsidP="007F6E7E" w14:paraId="1B89686E" w14:textId="5DEE64C1">
      <w:pPr>
        <w:ind w:firstLine="720"/>
        <w:rPr>
          <w:rFonts w:eastAsia="Times New Roman" w:cs="Arial"/>
        </w:rPr>
      </w:pPr>
      <w:r w:rsidRPr="00F17B44">
        <w:rPr>
          <w:rFonts w:eastAsia="Times New Roman" w:cs="Arial"/>
          <w:color w:val="000000"/>
        </w:rPr>
        <w:t xml:space="preserve">Thus, </w:t>
      </w:r>
      <w:r w:rsidRPr="00F17B44" w:rsidR="00E33E36">
        <w:rPr>
          <w:rFonts w:eastAsia="Times New Roman" w:cs="Arial"/>
          <w:color w:val="000000"/>
        </w:rPr>
        <w:t xml:space="preserve">in </w:t>
      </w:r>
      <w:r w:rsidRPr="00F17B44">
        <w:rPr>
          <w:rFonts w:eastAsia="Times New Roman" w:cs="Arial"/>
          <w:color w:val="000000"/>
        </w:rPr>
        <w:t>the</w:t>
      </w:r>
      <w:r w:rsidRPr="00F17B44" w:rsidR="00E33E36">
        <w:rPr>
          <w:rFonts w:eastAsia="Times New Roman" w:cs="Arial"/>
          <w:color w:val="000000"/>
        </w:rPr>
        <w:t xml:space="preserve"> context of property taxation, the</w:t>
      </w:r>
      <w:r w:rsidRPr="00F17B44">
        <w:rPr>
          <w:rFonts w:eastAsia="Times New Roman" w:cs="Arial"/>
          <w:color w:val="000000"/>
        </w:rPr>
        <w:t xml:space="preserve"> Legislature </w:t>
      </w:r>
      <w:r w:rsidRPr="00F17B44" w:rsidR="00E33E36">
        <w:rPr>
          <w:rFonts w:eastAsia="Times New Roman" w:cs="Arial"/>
          <w:color w:val="000000"/>
        </w:rPr>
        <w:t xml:space="preserve">and the Board of Equalization have drawn a clear distinction between property owned </w:t>
      </w:r>
      <w:r w:rsidRPr="00F17B44" w:rsidR="00BF6D1B">
        <w:rPr>
          <w:rFonts w:eastAsia="Times New Roman" w:cs="Arial"/>
          <w:color w:val="000000"/>
        </w:rPr>
        <w:t xml:space="preserve">directly </w:t>
      </w:r>
      <w:r w:rsidRPr="00F17B44" w:rsidR="00E33E36">
        <w:rPr>
          <w:rFonts w:eastAsia="Times New Roman" w:cs="Arial"/>
          <w:color w:val="000000"/>
        </w:rPr>
        <w:t xml:space="preserve">by the “state” </w:t>
      </w:r>
      <w:r w:rsidRPr="00F17B44">
        <w:rPr>
          <w:rFonts w:eastAsia="Times New Roman" w:cs="Arial"/>
          <w:color w:val="000000"/>
        </w:rPr>
        <w:t>and</w:t>
      </w:r>
      <w:r w:rsidRPr="00F17B44" w:rsidR="00E33E36">
        <w:rPr>
          <w:rFonts w:eastAsia="Times New Roman" w:cs="Arial"/>
          <w:color w:val="000000"/>
        </w:rPr>
        <w:t xml:space="preserve"> local government</w:t>
      </w:r>
      <w:r w:rsidRPr="00F17B44">
        <w:rPr>
          <w:rFonts w:eastAsia="Times New Roman" w:cs="Arial"/>
          <w:color w:val="000000"/>
        </w:rPr>
        <w:t>s</w:t>
      </w:r>
      <w:r w:rsidRPr="00F17B44" w:rsidR="00E33E36">
        <w:rPr>
          <w:rFonts w:eastAsia="Times New Roman" w:cs="Arial"/>
          <w:color w:val="000000"/>
        </w:rPr>
        <w:t xml:space="preserve">, and property owned by an LLC of which a “government entity” </w:t>
      </w:r>
      <w:r w:rsidRPr="00F17B44" w:rsidR="004164DA">
        <w:rPr>
          <w:rFonts w:eastAsia="Times New Roman" w:cs="Arial"/>
          <w:color w:val="000000"/>
        </w:rPr>
        <w:t xml:space="preserve">may be a </w:t>
      </w:r>
      <w:r w:rsidRPr="00F17B44" w:rsidR="00E33E36">
        <w:rPr>
          <w:rFonts w:eastAsia="Times New Roman" w:cs="Arial"/>
          <w:color w:val="000000"/>
        </w:rPr>
        <w:t>member</w:t>
      </w:r>
      <w:r w:rsidRPr="00F17B44" w:rsidR="004164DA">
        <w:rPr>
          <w:rFonts w:eastAsia="Times New Roman" w:cs="Arial"/>
          <w:color w:val="000000"/>
        </w:rPr>
        <w:t>.</w:t>
      </w:r>
      <w:r w:rsidRPr="00F17B44" w:rsidR="00BF6D1B">
        <w:rPr>
          <w:rFonts w:eastAsia="Times New Roman" w:cs="Arial"/>
          <w:color w:val="000000"/>
        </w:rPr>
        <w:t xml:space="preserve">  In other words, the Legislature and Board </w:t>
      </w:r>
      <w:r w:rsidRPr="00F17B44" w:rsidR="00362696">
        <w:rPr>
          <w:rFonts w:eastAsia="Times New Roman" w:cs="Arial"/>
          <w:color w:val="000000"/>
        </w:rPr>
        <w:t xml:space="preserve">appear to </w:t>
      </w:r>
      <w:r w:rsidRPr="00F17B44" w:rsidR="00BF6D1B">
        <w:rPr>
          <w:rFonts w:eastAsia="Times New Roman" w:cs="Arial"/>
          <w:color w:val="000000"/>
        </w:rPr>
        <w:t>consider the general statutory provision</w:t>
      </w:r>
      <w:r w:rsidR="00C85384">
        <w:rPr>
          <w:rFonts w:eastAsia="Times New Roman" w:cs="Arial"/>
          <w:color w:val="000000"/>
        </w:rPr>
        <w:t>s</w:t>
      </w:r>
      <w:r w:rsidRPr="00F17B44" w:rsidR="00BF6D1B">
        <w:rPr>
          <w:rFonts w:eastAsia="Times New Roman" w:cs="Arial"/>
          <w:color w:val="000000"/>
        </w:rPr>
        <w:t xml:space="preserve"> governing LLCs to be controlling in the tax context unless a statutory provision specifies otherwise.</w:t>
      </w:r>
      <w:r w:rsidRPr="00F17B44" w:rsidR="004164DA">
        <w:rPr>
          <w:rFonts w:eastAsia="Times New Roman" w:cs="Arial"/>
          <w:color w:val="000000"/>
        </w:rPr>
        <w:t xml:space="preserve"> </w:t>
      </w:r>
      <w:r w:rsidRPr="00F17B44" w:rsidR="00BF6D1B">
        <w:rPr>
          <w:rFonts w:eastAsia="Times New Roman" w:cs="Arial"/>
          <w:color w:val="000000"/>
        </w:rPr>
        <w:t xml:space="preserve"> </w:t>
      </w:r>
      <w:r w:rsidRPr="00F17B44" w:rsidR="004164DA">
        <w:rPr>
          <w:rFonts w:eastAsia="Times New Roman" w:cs="Arial"/>
          <w:color w:val="000000"/>
        </w:rPr>
        <w:t xml:space="preserve">The Board has therefore </w:t>
      </w:r>
      <w:r w:rsidRPr="00F17B44">
        <w:rPr>
          <w:rFonts w:eastAsia="Times New Roman" w:cs="Arial"/>
          <w:color w:val="000000"/>
        </w:rPr>
        <w:t>observe</w:t>
      </w:r>
      <w:r w:rsidRPr="00F17B44" w:rsidR="004164DA">
        <w:rPr>
          <w:rFonts w:eastAsia="Times New Roman" w:cs="Arial"/>
          <w:color w:val="000000"/>
        </w:rPr>
        <w:t xml:space="preserve">d, </w:t>
      </w:r>
      <w:r w:rsidRPr="00F17B44">
        <w:rPr>
          <w:rFonts w:eastAsia="Times New Roman" w:cs="Arial"/>
          <w:color w:val="000000"/>
        </w:rPr>
        <w:t>“While specific statutory and regulatory provisions may allow a single member limited liability company (LLC) to disregard its separate existence for purposes of income tax filing, there is no authority for disregarding an LLC</w:t>
      </w:r>
      <w:r w:rsidRPr="00F17B44" w:rsidR="00BF6D1B">
        <w:rPr>
          <w:rFonts w:eastAsia="Times New Roman" w:cs="Arial"/>
          <w:color w:val="000000"/>
        </w:rPr>
        <w:t>’</w:t>
      </w:r>
      <w:r w:rsidRPr="00F17B44">
        <w:rPr>
          <w:rFonts w:eastAsia="Times New Roman" w:cs="Arial"/>
          <w:color w:val="000000"/>
        </w:rPr>
        <w:t>s separate entity status for purposes of ownership, operation, or use of property in determining eligibility for the welfare exemption under Revenue and Taxation Code section 214.”</w:t>
      </w:r>
      <w:r>
        <w:rPr>
          <w:rStyle w:val="FootnoteReference"/>
          <w:rFonts w:eastAsia="Times New Roman" w:cs="Arial"/>
          <w:color w:val="000000"/>
        </w:rPr>
        <w:footnoteReference w:id="14"/>
      </w:r>
      <w:r w:rsidRPr="00F17B44">
        <w:rPr>
          <w:rFonts w:eastAsia="Times New Roman" w:cs="Arial"/>
          <w:color w:val="000000"/>
        </w:rPr>
        <w:t xml:space="preserve">  </w:t>
      </w:r>
      <w:r w:rsidRPr="00F17B44" w:rsidR="007F6E7E">
        <w:rPr>
          <w:rFonts w:eastAsia="Times New Roman" w:cs="Arial"/>
        </w:rPr>
        <w:t>(</w:t>
      </w:r>
      <w:r w:rsidRPr="00F17B44" w:rsidR="005909CC">
        <w:rPr>
          <w:rFonts w:eastAsia="Times New Roman" w:cs="Arial"/>
        </w:rPr>
        <w:t xml:space="preserve">California State </w:t>
      </w:r>
      <w:r w:rsidRPr="00F17B44" w:rsidR="00D218F8">
        <w:rPr>
          <w:rFonts w:eastAsia="Times New Roman" w:cs="Arial"/>
        </w:rPr>
        <w:t>Board</w:t>
      </w:r>
      <w:r w:rsidRPr="00F17B44" w:rsidR="005909CC">
        <w:rPr>
          <w:rFonts w:eastAsia="Times New Roman" w:cs="Arial"/>
        </w:rPr>
        <w:t xml:space="preserve"> of </w:t>
      </w:r>
      <w:r w:rsidRPr="00F17B44" w:rsidR="00D218F8">
        <w:rPr>
          <w:rFonts w:eastAsia="Times New Roman" w:cs="Arial"/>
        </w:rPr>
        <w:t>Equalization</w:t>
      </w:r>
      <w:r w:rsidRPr="00F17B44" w:rsidR="005909CC">
        <w:rPr>
          <w:rFonts w:eastAsia="Times New Roman" w:cs="Arial"/>
        </w:rPr>
        <w:t>, Property Tax Annotation</w:t>
      </w:r>
      <w:r w:rsidRPr="00F17B44" w:rsidR="00D218F8">
        <w:rPr>
          <w:rFonts w:eastAsia="Times New Roman" w:cs="Arial"/>
        </w:rPr>
        <w:t>, &lt;https://www.boe.ca.gov/lawguides/property/current/ptlg/annt/880-0641.html&gt; [as of May 3</w:t>
      </w:r>
      <w:r w:rsidR="00C10AE5">
        <w:rPr>
          <w:rFonts w:eastAsia="Times New Roman" w:cs="Arial"/>
        </w:rPr>
        <w:t>1</w:t>
      </w:r>
      <w:r w:rsidRPr="00F17B44" w:rsidR="00D218F8">
        <w:rPr>
          <w:rFonts w:eastAsia="Times New Roman" w:cs="Arial"/>
        </w:rPr>
        <w:t>, 2023].</w:t>
      </w:r>
      <w:r w:rsidRPr="00F17B44" w:rsidR="007F6E7E">
        <w:rPr>
          <w:rFonts w:eastAsia="Times New Roman" w:cs="Arial"/>
        </w:rPr>
        <w:t>)</w:t>
      </w:r>
    </w:p>
    <w:p w:rsidR="00802B3B" w:rsidRPr="00F17B44" w:rsidP="00802B3B" w14:paraId="244B69B4" w14:textId="634A088D">
      <w:pPr>
        <w:ind w:firstLine="720"/>
        <w:rPr>
          <w:rFonts w:eastAsia="Times New Roman" w:cs="Arial"/>
          <w:color w:val="000000"/>
        </w:rPr>
      </w:pPr>
      <w:r w:rsidRPr="00F17B44">
        <w:rPr>
          <w:rFonts w:eastAsia="Times New Roman" w:cs="Arial"/>
          <w:color w:val="000000"/>
        </w:rPr>
        <w:t xml:space="preserve">The </w:t>
      </w:r>
      <w:r w:rsidR="00C10AE5">
        <w:rPr>
          <w:rFonts w:eastAsia="Times New Roman" w:cs="Arial"/>
          <w:color w:val="000000"/>
        </w:rPr>
        <w:t>C</w:t>
      </w:r>
      <w:r w:rsidRPr="00F17B44">
        <w:rPr>
          <w:rFonts w:eastAsia="Times New Roman" w:cs="Arial"/>
          <w:color w:val="000000"/>
        </w:rPr>
        <w:t xml:space="preserve">ity and </w:t>
      </w:r>
      <w:r w:rsidR="00C10AE5">
        <w:rPr>
          <w:rFonts w:eastAsia="Times New Roman" w:cs="Arial"/>
          <w:color w:val="000000"/>
        </w:rPr>
        <w:t>C</w:t>
      </w:r>
      <w:r w:rsidRPr="00F17B44">
        <w:rPr>
          <w:rFonts w:eastAsia="Times New Roman" w:cs="Arial"/>
          <w:color w:val="000000"/>
        </w:rPr>
        <w:t xml:space="preserve">ounty direct our attention </w:t>
      </w:r>
      <w:r w:rsidRPr="00F17B44" w:rsidR="00BF6D1B">
        <w:rPr>
          <w:rFonts w:eastAsia="Times New Roman" w:cs="Arial"/>
          <w:color w:val="000000"/>
        </w:rPr>
        <w:t xml:space="preserve">specifically </w:t>
      </w:r>
      <w:r w:rsidRPr="00F17B44">
        <w:rPr>
          <w:rFonts w:eastAsia="Times New Roman" w:cs="Arial"/>
          <w:color w:val="000000"/>
        </w:rPr>
        <w:t xml:space="preserve">to Government Code section 7510, which states in pertinent part: “An investment by a state public retirement system in a legal entity that invests </w:t>
      </w:r>
      <w:r w:rsidRPr="00F17B44" w:rsidR="00D218F8">
        <w:rPr>
          <w:rFonts w:eastAsia="Times New Roman" w:cs="Arial"/>
          <w:color w:val="000000"/>
        </w:rPr>
        <w:t xml:space="preserve">assets </w:t>
      </w:r>
      <w:r w:rsidRPr="00F17B44">
        <w:rPr>
          <w:rFonts w:eastAsia="Times New Roman" w:cs="Arial"/>
          <w:color w:val="000000"/>
        </w:rPr>
        <w:t xml:space="preserve">in real property and improvements thereon shall not constitute an investment by the state public retirement system of assets in real property and improvements thereon. </w:t>
      </w:r>
      <w:r w:rsidR="00C85384">
        <w:rPr>
          <w:rFonts w:eastAsia="Times New Roman" w:cs="Arial"/>
          <w:color w:val="000000"/>
        </w:rPr>
        <w:t xml:space="preserve"> </w:t>
      </w:r>
      <w:r w:rsidRPr="00F17B44">
        <w:rPr>
          <w:rFonts w:eastAsia="Times New Roman" w:cs="Arial"/>
          <w:color w:val="000000"/>
        </w:rPr>
        <w:t xml:space="preserve">For purposes of this paragraph, ‘legal entity’ includes, but is not limited to, partnership, joint venture, corporation, trust, or association. </w:t>
      </w:r>
      <w:r w:rsidRPr="00F17B44" w:rsidR="00D218F8">
        <w:rPr>
          <w:rFonts w:eastAsia="Times New Roman" w:cs="Arial"/>
          <w:color w:val="000000"/>
        </w:rPr>
        <w:t xml:space="preserve"> </w:t>
      </w:r>
      <w:r w:rsidRPr="00F17B44">
        <w:rPr>
          <w:rFonts w:eastAsia="Times New Roman" w:cs="Arial"/>
          <w:color w:val="000000"/>
        </w:rPr>
        <w:t xml:space="preserve">When a state public retirement system invests in a legal entity, the state public retirement system shall be deemed to be a person for the purpose of determining a change in ownership under Section 64 of the Revenue and Taxation </w:t>
      </w:r>
      <w:r w:rsidRPr="00A32D52">
        <w:rPr>
          <w:rFonts w:eastAsia="Times New Roman" w:cs="Arial"/>
          <w:color w:val="000000"/>
        </w:rPr>
        <w:t xml:space="preserve">Code.” </w:t>
      </w:r>
      <w:r w:rsidRPr="00A32D52" w:rsidR="00E30225">
        <w:rPr>
          <w:rFonts w:eastAsia="Times New Roman" w:cs="Arial"/>
          <w:color w:val="000000"/>
        </w:rPr>
        <w:t xml:space="preserve"> </w:t>
      </w:r>
      <w:r w:rsidRPr="00A32D52">
        <w:rPr>
          <w:rFonts w:eastAsia="Times New Roman" w:cs="Arial"/>
          <w:color w:val="000000"/>
        </w:rPr>
        <w:t xml:space="preserve">(Gov. Code, </w:t>
      </w:r>
      <w:r w:rsidRPr="00A32D52" w:rsidR="00551509">
        <w:rPr>
          <w:rFonts w:eastAsia="Times New Roman" w:cs="Arial"/>
          <w:color w:val="000000"/>
        </w:rPr>
        <w:t xml:space="preserve">§ </w:t>
      </w:r>
      <w:r w:rsidRPr="00A32D52">
        <w:rPr>
          <w:rFonts w:eastAsia="Times New Roman" w:cs="Arial"/>
          <w:color w:val="000000"/>
        </w:rPr>
        <w:t>7510, subd. (b)(3).)</w:t>
      </w:r>
    </w:p>
    <w:p w:rsidR="00FE69E6" w:rsidRPr="00F17B44" w:rsidP="00802B3B" w14:paraId="5A64D082" w14:textId="0D1C2382">
      <w:pPr>
        <w:ind w:firstLine="720"/>
        <w:rPr>
          <w:rFonts w:eastAsia="Times New Roman" w:cs="Arial"/>
          <w:color w:val="000000"/>
        </w:rPr>
      </w:pPr>
      <w:r w:rsidRPr="00F17B44">
        <w:rPr>
          <w:rFonts w:eastAsia="Times New Roman" w:cs="Arial"/>
          <w:color w:val="000000"/>
        </w:rPr>
        <w:t xml:space="preserve">As the court explained in </w:t>
      </w:r>
      <w:r w:rsidRPr="00F17B44">
        <w:rPr>
          <w:i/>
          <w:iCs/>
        </w:rPr>
        <w:t>California State Teachers’ Retirement System v. County of Los Angeles</w:t>
      </w:r>
      <w:r w:rsidRPr="00F17B44">
        <w:t xml:space="preserve"> (2013) 216 Cal.App.4th 41 (</w:t>
      </w:r>
      <w:r w:rsidRPr="00F17B44">
        <w:rPr>
          <w:i/>
          <w:iCs/>
        </w:rPr>
        <w:t>Teachers’ Retirement System</w:t>
      </w:r>
      <w:r w:rsidRPr="00F17B44">
        <w:t>), this statut</w:t>
      </w:r>
      <w:r w:rsidRPr="00F17B44" w:rsidR="00BF6D1B">
        <w:t>e</w:t>
      </w:r>
      <w:r w:rsidRPr="00F17B44">
        <w:t xml:space="preserve"> was enacted </w:t>
      </w:r>
      <w:r w:rsidRPr="00F17B44" w:rsidR="001556B6">
        <w:t xml:space="preserve">in 1982 </w:t>
      </w:r>
      <w:r w:rsidRPr="00F17B44" w:rsidR="00802B3B">
        <w:t>when</w:t>
      </w:r>
      <w:r w:rsidRPr="00F17B44">
        <w:t xml:space="preserve"> CalSTRS was </w:t>
      </w:r>
      <w:r w:rsidRPr="00F17B44" w:rsidR="00BF6D1B">
        <w:t>s</w:t>
      </w:r>
      <w:r w:rsidRPr="00F17B44">
        <w:t>tatutor</w:t>
      </w:r>
      <w:r w:rsidRPr="00F17B44" w:rsidR="00BF6D1B">
        <w:t>il</w:t>
      </w:r>
      <w:r w:rsidRPr="00F17B44">
        <w:t>y authoriz</w:t>
      </w:r>
      <w:r w:rsidRPr="00F17B44" w:rsidR="00BF6D1B">
        <w:t>ed</w:t>
      </w:r>
      <w:r w:rsidRPr="00F17B44">
        <w:t xml:space="preserve"> “to invest a portion of its assets in real estate, so as to broaden </w:t>
      </w:r>
      <w:r w:rsidRPr="00F17B44" w:rsidR="00802B3B">
        <w:t>[Cal]</w:t>
      </w:r>
      <w:r w:rsidRPr="00F17B44">
        <w:t>STR</w:t>
      </w:r>
      <w:r w:rsidRPr="00F17B44" w:rsidR="00802B3B">
        <w:t>[S]</w:t>
      </w:r>
      <w:r w:rsidRPr="00F17B44">
        <w:t>’s investment opportunities on behalf of its members and retirees.”  (</w:t>
      </w:r>
      <w:r w:rsidRPr="00F17B44">
        <w:rPr>
          <w:i/>
          <w:iCs/>
        </w:rPr>
        <w:t xml:space="preserve">Id. </w:t>
      </w:r>
      <w:r w:rsidRPr="00F17B44">
        <w:t>at p. 57.)  The Legislature recognized</w:t>
      </w:r>
      <w:r w:rsidRPr="00F17B44" w:rsidR="001556B6">
        <w:t>, however,</w:t>
      </w:r>
      <w:r w:rsidRPr="00F17B44" w:rsidR="00E278DF">
        <w:t xml:space="preserve"> </w:t>
      </w:r>
      <w:r w:rsidRPr="00F17B44">
        <w:t>that since property owned by CalSTRS is constitutionally exempt from property taxation, its purchase</w:t>
      </w:r>
      <w:r w:rsidRPr="00F17B44" w:rsidR="00E278DF">
        <w:t>s</w:t>
      </w:r>
      <w:r w:rsidRPr="00F17B44">
        <w:t xml:space="preserve"> would negatively affect the local tax base.  (</w:t>
      </w:r>
      <w:r w:rsidRPr="00F17B44">
        <w:rPr>
          <w:i/>
          <w:iCs/>
        </w:rPr>
        <w:t>Ibid.</w:t>
      </w:r>
      <w:r w:rsidRPr="00F17B44">
        <w:t xml:space="preserve">)  The Legislature </w:t>
      </w:r>
      <w:r w:rsidRPr="00F17B44" w:rsidR="001556B6">
        <w:t>therefore required CalSTRS “</w:t>
      </w:r>
      <w:r w:rsidRPr="00F17B44" w:rsidR="001556B6">
        <w:rPr>
          <w:rFonts w:eastAsia="Times New Roman" w:cs="Arial"/>
          <w:color w:val="000000"/>
        </w:rPr>
        <w:t xml:space="preserve">to reimburse local governments by way of an </w:t>
      </w:r>
      <w:r w:rsidRPr="00F17B44" w:rsidR="00791B86">
        <w:rPr>
          <w:rFonts w:eastAsia="Times New Roman" w:cs="Arial"/>
          <w:color w:val="000000"/>
        </w:rPr>
        <w:t>‘</w:t>
      </w:r>
      <w:r w:rsidRPr="00F17B44" w:rsidR="001556B6">
        <w:rPr>
          <w:rFonts w:eastAsia="Times New Roman" w:cs="Arial"/>
          <w:color w:val="000000"/>
        </w:rPr>
        <w:t>in lieu</w:t>
      </w:r>
      <w:r w:rsidRPr="00F17B44" w:rsidR="00791B86">
        <w:rPr>
          <w:rFonts w:eastAsia="Times New Roman" w:cs="Arial"/>
          <w:color w:val="000000"/>
        </w:rPr>
        <w:t>’</w:t>
      </w:r>
      <w:r w:rsidRPr="00F17B44" w:rsidR="001556B6">
        <w:rPr>
          <w:rFonts w:eastAsia="Times New Roman" w:cs="Arial"/>
          <w:color w:val="000000"/>
        </w:rPr>
        <w:t xml:space="preserve"> fee</w:t>
      </w:r>
      <w:r w:rsidRPr="00F17B44" w:rsidR="00802B3B">
        <w:rPr>
          <w:rFonts w:eastAsia="Times New Roman" w:cs="Arial"/>
          <w:color w:val="000000"/>
        </w:rPr>
        <w:t>,</w:t>
      </w:r>
      <w:r w:rsidRPr="00F17B44" w:rsidR="001556B6">
        <w:rPr>
          <w:rFonts w:eastAsia="Times New Roman" w:cs="Arial"/>
          <w:color w:val="000000"/>
        </w:rPr>
        <w:t xml:space="preserve"> so as to offset the local governments</w:t>
      </w:r>
      <w:r w:rsidRPr="00F17B44" w:rsidR="00802B3B">
        <w:rPr>
          <w:rFonts w:eastAsia="Times New Roman" w:cs="Arial"/>
          <w:color w:val="000000"/>
        </w:rPr>
        <w:t>’</w:t>
      </w:r>
      <w:r w:rsidRPr="00F17B44" w:rsidR="001556B6">
        <w:rPr>
          <w:rFonts w:eastAsia="Times New Roman" w:cs="Arial"/>
          <w:color w:val="000000"/>
        </w:rPr>
        <w:t xml:space="preserve"> loss of property tax revenues resulting from such investments.”  (</w:t>
      </w:r>
      <w:r w:rsidRPr="00F17B44" w:rsidR="001556B6">
        <w:rPr>
          <w:rFonts w:eastAsia="Times New Roman" w:cs="Arial"/>
          <w:i/>
          <w:iCs/>
          <w:color w:val="000000"/>
        </w:rPr>
        <w:t>I</w:t>
      </w:r>
      <w:r w:rsidRPr="00F17B44" w:rsidR="00791B86">
        <w:rPr>
          <w:rFonts w:eastAsia="Times New Roman" w:cs="Arial"/>
          <w:i/>
          <w:iCs/>
          <w:color w:val="000000"/>
        </w:rPr>
        <w:t>bid</w:t>
      </w:r>
      <w:r w:rsidRPr="00F17B44" w:rsidR="001556B6">
        <w:rPr>
          <w:rFonts w:eastAsia="Times New Roman" w:cs="Arial"/>
          <w:color w:val="000000"/>
        </w:rPr>
        <w:t xml:space="preserve">.)  </w:t>
      </w:r>
    </w:p>
    <w:p w:rsidR="00D372DD" w:rsidRPr="00F17B44" w:rsidP="00802B3B" w14:paraId="394C5932" w14:textId="590ACF99">
      <w:pPr>
        <w:ind w:firstLine="720"/>
      </w:pPr>
      <w:r w:rsidRPr="00F17B44">
        <w:rPr>
          <w:rFonts w:eastAsia="Times New Roman" w:cs="Arial"/>
          <w:color w:val="000000"/>
        </w:rPr>
        <w:t>In 1991, the Attorney General opined the “</w:t>
      </w:r>
      <w:r w:rsidRPr="00F17B44" w:rsidR="00791B86">
        <w:rPr>
          <w:rFonts w:eastAsia="Times New Roman" w:cs="Arial"/>
          <w:color w:val="000000"/>
        </w:rPr>
        <w:t xml:space="preserve"> ‘</w:t>
      </w:r>
      <w:r w:rsidRPr="00F17B44">
        <w:rPr>
          <w:rFonts w:eastAsia="Times New Roman" w:cs="Arial"/>
          <w:color w:val="000000"/>
        </w:rPr>
        <w:t>in lieu</w:t>
      </w:r>
      <w:r w:rsidRPr="00F17B44" w:rsidR="00791B86">
        <w:rPr>
          <w:rFonts w:eastAsia="Times New Roman" w:cs="Arial"/>
          <w:color w:val="000000"/>
        </w:rPr>
        <w:t xml:space="preserve">’ </w:t>
      </w:r>
      <w:r w:rsidRPr="00F17B44">
        <w:rPr>
          <w:rFonts w:eastAsia="Times New Roman" w:cs="Arial"/>
          <w:color w:val="000000"/>
        </w:rPr>
        <w:t>” fee was unconstitutional</w:t>
      </w:r>
      <w:r w:rsidRPr="00F17B44" w:rsidR="00DC3CEF">
        <w:rPr>
          <w:rFonts w:eastAsia="Times New Roman" w:cs="Arial"/>
          <w:color w:val="000000"/>
        </w:rPr>
        <w:t xml:space="preserve"> because it was effectively an</w:t>
      </w:r>
      <w:r w:rsidRPr="00F17B44">
        <w:rPr>
          <w:rFonts w:eastAsia="Times New Roman" w:cs="Arial"/>
          <w:color w:val="000000"/>
        </w:rPr>
        <w:t xml:space="preserve"> ad valorem tax on </w:t>
      </w:r>
      <w:r w:rsidRPr="00F17B44" w:rsidR="00DC3CEF">
        <w:rPr>
          <w:rFonts w:eastAsia="Times New Roman" w:cs="Arial"/>
          <w:color w:val="000000"/>
        </w:rPr>
        <w:t>property owned by CalSTRS.  (</w:t>
      </w:r>
      <w:r w:rsidRPr="00F17B44" w:rsidR="00551509">
        <w:rPr>
          <w:i/>
          <w:iCs/>
        </w:rPr>
        <w:t xml:space="preserve">Teachers’ Retirement System, supra, </w:t>
      </w:r>
      <w:r w:rsidRPr="00F17B44" w:rsidR="00551509">
        <w:t xml:space="preserve">216 Cal.App.4th </w:t>
      </w:r>
      <w:r w:rsidRPr="00F17B44" w:rsidR="00DC3CEF">
        <w:rPr>
          <w:rFonts w:eastAsia="Times New Roman" w:cs="Arial"/>
          <w:color w:val="000000"/>
        </w:rPr>
        <w:t xml:space="preserve">at p. 58.)  In light of this opinion, CalSTRS commenced a number of lawsuits to recoup the fees it had paid.  To resolve this litigation, the Legislature </w:t>
      </w:r>
      <w:r w:rsidRPr="00F17B44">
        <w:rPr>
          <w:rFonts w:eastAsia="Times New Roman" w:cs="Arial"/>
          <w:color w:val="000000"/>
        </w:rPr>
        <w:t xml:space="preserve">amended </w:t>
      </w:r>
      <w:r w:rsidRPr="00F17B44" w:rsidR="00791B86">
        <w:rPr>
          <w:rFonts w:eastAsia="Times New Roman" w:cs="Arial"/>
          <w:color w:val="000000"/>
        </w:rPr>
        <w:t xml:space="preserve">former </w:t>
      </w:r>
      <w:r w:rsidRPr="00F17B44">
        <w:rPr>
          <w:rFonts w:eastAsia="Times New Roman" w:cs="Arial"/>
          <w:color w:val="000000"/>
        </w:rPr>
        <w:t xml:space="preserve">section 7510 </w:t>
      </w:r>
      <w:r w:rsidRPr="00F17B44" w:rsidR="00FE69E6">
        <w:rPr>
          <w:rFonts w:eastAsia="Times New Roman" w:cs="Arial"/>
          <w:color w:val="000000"/>
        </w:rPr>
        <w:t xml:space="preserve">in 1992 </w:t>
      </w:r>
      <w:r w:rsidRPr="00F17B44">
        <w:rPr>
          <w:rFonts w:eastAsia="Times New Roman" w:cs="Arial"/>
          <w:color w:val="000000"/>
        </w:rPr>
        <w:t>to abolish the “</w:t>
      </w:r>
      <w:r w:rsidRPr="00F17B44" w:rsidR="00DC3CEF">
        <w:rPr>
          <w:rFonts w:eastAsia="Times New Roman" w:cs="Arial"/>
          <w:color w:val="000000"/>
        </w:rPr>
        <w:t xml:space="preserve"> ‘</w:t>
      </w:r>
      <w:r w:rsidRPr="00F17B44">
        <w:rPr>
          <w:rFonts w:eastAsia="Times New Roman" w:cs="Arial"/>
          <w:color w:val="000000"/>
        </w:rPr>
        <w:t>in-lieu fee and instead require that all leases include a provision which would directly pass the full property tax onto the lessee.</w:t>
      </w:r>
      <w:r w:rsidRPr="00F17B44" w:rsidR="00DC3CEF">
        <w:rPr>
          <w:rFonts w:eastAsia="Times New Roman" w:cs="Arial"/>
          <w:color w:val="000000"/>
        </w:rPr>
        <w:t>’</w:t>
      </w:r>
      <w:r w:rsidRPr="00F17B44" w:rsidR="00551509">
        <w:rPr>
          <w:rFonts w:eastAsia="Times New Roman" w:cs="Arial"/>
          <w:color w:val="000000"/>
        </w:rPr>
        <w:t xml:space="preserve"> </w:t>
      </w:r>
      <w:r w:rsidRPr="00F17B44">
        <w:rPr>
          <w:rFonts w:eastAsia="Times New Roman" w:cs="Arial"/>
          <w:color w:val="000000"/>
        </w:rPr>
        <w:t xml:space="preserve"> (Governor</w:t>
      </w:r>
      <w:r w:rsidR="00C10AE5">
        <w:rPr>
          <w:rFonts w:eastAsia="Times New Roman" w:cs="Arial"/>
          <w:color w:val="000000"/>
        </w:rPr>
        <w:t>’</w:t>
      </w:r>
      <w:r w:rsidRPr="00F17B44">
        <w:rPr>
          <w:rFonts w:eastAsia="Times New Roman" w:cs="Arial"/>
          <w:color w:val="000000"/>
        </w:rPr>
        <w:t>s Office of Planning &amp; Research, Enrolled Bill Rep. on S</w:t>
      </w:r>
      <w:r w:rsidRPr="00F17B44" w:rsidR="00791B86">
        <w:rPr>
          <w:rFonts w:eastAsia="Times New Roman" w:cs="Arial"/>
          <w:color w:val="000000"/>
        </w:rPr>
        <w:t>en. Bill</w:t>
      </w:r>
      <w:r w:rsidRPr="00F17B44">
        <w:rPr>
          <w:rFonts w:eastAsia="Times New Roman" w:cs="Arial"/>
          <w:color w:val="000000"/>
        </w:rPr>
        <w:t xml:space="preserve"> 1687, Sept. 2, 1992, p. 1.)</w:t>
      </w:r>
      <w:r w:rsidRPr="00F17B44" w:rsidR="00DC3CEF">
        <w:rPr>
          <w:rFonts w:eastAsia="Times New Roman" w:cs="Arial"/>
          <w:color w:val="000000"/>
        </w:rPr>
        <w:t xml:space="preserve"> </w:t>
      </w:r>
      <w:r w:rsidRPr="00F17B44">
        <w:rPr>
          <w:rFonts w:eastAsia="Times New Roman" w:cs="Arial"/>
          <w:color w:val="000000"/>
        </w:rPr>
        <w:t xml:space="preserve"> Thus, the Legislature decided to shift the entire property tax burden to the lessee, even though the lessee merely held a possessory interest in the property.</w:t>
      </w:r>
      <w:r w:rsidRPr="00F17B44" w:rsidR="00DC3CEF">
        <w:rPr>
          <w:rFonts w:eastAsia="Times New Roman" w:cs="Arial"/>
          <w:color w:val="000000"/>
        </w:rPr>
        <w:t>”  (</w:t>
      </w:r>
      <w:r w:rsidRPr="00F17B44" w:rsidR="00DC3CEF">
        <w:rPr>
          <w:rFonts w:eastAsia="Times New Roman" w:cs="Arial"/>
          <w:i/>
          <w:iCs/>
          <w:color w:val="000000"/>
        </w:rPr>
        <w:t>Ibid.</w:t>
      </w:r>
      <w:r w:rsidRPr="00F17B44" w:rsidR="00DC3CEF">
        <w:rPr>
          <w:rFonts w:eastAsia="Times New Roman" w:cs="Arial"/>
          <w:color w:val="000000"/>
        </w:rPr>
        <w:t>)</w:t>
      </w:r>
      <w:r w:rsidRPr="00F17B44" w:rsidR="00FE69E6">
        <w:rPr>
          <w:rFonts w:eastAsia="Times New Roman" w:cs="Arial"/>
          <w:color w:val="000000"/>
        </w:rPr>
        <w:t xml:space="preserve">  </w:t>
      </w:r>
      <w:r w:rsidRPr="00F17B44" w:rsidR="00362696">
        <w:rPr>
          <w:rFonts w:eastAsia="Times New Roman" w:cs="Arial"/>
          <w:color w:val="000000"/>
        </w:rPr>
        <w:t>Even at the time this amendment was moving through the Legislature t</w:t>
      </w:r>
      <w:r w:rsidRPr="00F17B44" w:rsidR="00DC3CEF">
        <w:rPr>
          <w:rFonts w:eastAsia="Times New Roman" w:cs="Arial"/>
          <w:color w:val="000000"/>
        </w:rPr>
        <w:t>here was considerable concern th</w:t>
      </w:r>
      <w:r w:rsidRPr="00F17B44" w:rsidR="00362696">
        <w:rPr>
          <w:rFonts w:eastAsia="Times New Roman" w:cs="Arial"/>
          <w:color w:val="000000"/>
        </w:rPr>
        <w:t>e</w:t>
      </w:r>
      <w:r w:rsidRPr="00F17B44" w:rsidR="00DC3CEF">
        <w:rPr>
          <w:rFonts w:eastAsia="Times New Roman" w:cs="Arial"/>
          <w:color w:val="000000"/>
        </w:rPr>
        <w:t xml:space="preserve"> </w:t>
      </w:r>
      <w:r w:rsidRPr="00F17B44" w:rsidR="00362696">
        <w:rPr>
          <w:rFonts w:eastAsia="Times New Roman" w:cs="Arial"/>
          <w:color w:val="000000"/>
        </w:rPr>
        <w:t xml:space="preserve">new </w:t>
      </w:r>
      <w:r w:rsidRPr="00F17B44" w:rsidR="00DC3CEF">
        <w:rPr>
          <w:rFonts w:eastAsia="Times New Roman" w:cs="Arial"/>
          <w:color w:val="000000"/>
        </w:rPr>
        <w:t xml:space="preserve">methodology did not cure the constitutional problem, and CalSTRS </w:t>
      </w:r>
      <w:r w:rsidRPr="00F17B44" w:rsidR="00362696">
        <w:rPr>
          <w:rFonts w:eastAsia="Times New Roman" w:cs="Arial"/>
          <w:color w:val="000000"/>
        </w:rPr>
        <w:t xml:space="preserve">eventually challenged </w:t>
      </w:r>
      <w:r w:rsidRPr="00F17B44" w:rsidR="00FE69E6">
        <w:rPr>
          <w:rFonts w:eastAsia="Times New Roman" w:cs="Arial"/>
          <w:color w:val="000000"/>
        </w:rPr>
        <w:t xml:space="preserve">it </w:t>
      </w:r>
      <w:r w:rsidRPr="00F17B44" w:rsidR="00DC3CEF">
        <w:rPr>
          <w:rFonts w:eastAsia="Times New Roman" w:cs="Arial"/>
          <w:color w:val="000000"/>
        </w:rPr>
        <w:t>in court.</w:t>
      </w:r>
      <w:r w:rsidRPr="00F17B44" w:rsidR="00802B3B">
        <w:rPr>
          <w:rFonts w:eastAsia="Times New Roman" w:cs="Arial"/>
          <w:color w:val="000000"/>
        </w:rPr>
        <w:t xml:space="preserve">  (</w:t>
      </w:r>
      <w:r w:rsidRPr="00F17B44" w:rsidR="00802B3B">
        <w:rPr>
          <w:rFonts w:eastAsia="Times New Roman" w:cs="Arial"/>
          <w:i/>
          <w:iCs/>
          <w:color w:val="000000"/>
        </w:rPr>
        <w:t xml:space="preserve">Id. </w:t>
      </w:r>
      <w:r w:rsidRPr="00F17B44" w:rsidR="00802B3B">
        <w:rPr>
          <w:rFonts w:eastAsia="Times New Roman" w:cs="Arial"/>
          <w:color w:val="000000"/>
        </w:rPr>
        <w:t xml:space="preserve">at p. 59.)  </w:t>
      </w:r>
      <w:r w:rsidRPr="00F17B44" w:rsidR="00362696">
        <w:rPr>
          <w:rFonts w:eastAsia="Times New Roman" w:cs="Arial"/>
          <w:color w:val="000000"/>
        </w:rPr>
        <w:t xml:space="preserve">CalSTRS lost in the trial court but prevailed on appeal, the </w:t>
      </w:r>
      <w:r w:rsidRPr="00F17B44" w:rsidR="00551509">
        <w:rPr>
          <w:rFonts w:eastAsia="Times New Roman" w:cs="Arial"/>
          <w:color w:val="000000"/>
        </w:rPr>
        <w:t>C</w:t>
      </w:r>
      <w:r w:rsidRPr="00F17B44" w:rsidR="00E278DF">
        <w:t xml:space="preserve">ourt of </w:t>
      </w:r>
      <w:r w:rsidRPr="00F17B44" w:rsidR="00551509">
        <w:t>A</w:t>
      </w:r>
      <w:r w:rsidRPr="00F17B44" w:rsidR="00E278DF">
        <w:t xml:space="preserve">ppeal </w:t>
      </w:r>
      <w:r w:rsidRPr="00F17B44" w:rsidR="00802B3B">
        <w:t>agree</w:t>
      </w:r>
      <w:r w:rsidRPr="00F17B44" w:rsidR="00362696">
        <w:t>ing</w:t>
      </w:r>
      <w:r w:rsidRPr="00F17B44" w:rsidR="00802B3B">
        <w:t xml:space="preserve"> </w:t>
      </w:r>
      <w:r w:rsidRPr="00F17B44" w:rsidR="002B425D">
        <w:t xml:space="preserve">that </w:t>
      </w:r>
      <w:r w:rsidRPr="00F17B44" w:rsidR="00802B3B">
        <w:t xml:space="preserve">the new methodology </w:t>
      </w:r>
      <w:r w:rsidRPr="00F17B44" w:rsidR="0012036F">
        <w:t>impermissibly tax</w:t>
      </w:r>
      <w:r w:rsidRPr="00F17B44" w:rsidR="00FE69E6">
        <w:t>ed</w:t>
      </w:r>
      <w:r w:rsidRPr="00F17B44" w:rsidR="0012036F">
        <w:t xml:space="preserve"> lessees </w:t>
      </w:r>
      <w:r w:rsidRPr="00F17B44" w:rsidR="002B425D">
        <w:t>for more than</w:t>
      </w:r>
      <w:r w:rsidRPr="00F17B44" w:rsidR="0012036F">
        <w:t xml:space="preserve"> </w:t>
      </w:r>
      <w:r w:rsidRPr="00F17B44" w:rsidR="002B425D">
        <w:t xml:space="preserve">the </w:t>
      </w:r>
      <w:r w:rsidRPr="00F17B44" w:rsidR="0012036F">
        <w:t xml:space="preserve">value of their leaseholds and effectively </w:t>
      </w:r>
      <w:r w:rsidRPr="00F17B44" w:rsidR="00802B3B">
        <w:t xml:space="preserve">continued to </w:t>
      </w:r>
      <w:r w:rsidRPr="00F17B44" w:rsidR="002B425D">
        <w:t xml:space="preserve">be </w:t>
      </w:r>
      <w:r w:rsidRPr="00F17B44" w:rsidR="00802B3B">
        <w:t xml:space="preserve">an unconstitutional tax on CalSTRS’s property.  </w:t>
      </w:r>
      <w:r w:rsidRPr="00F17B44">
        <w:t>(</w:t>
      </w:r>
      <w:r w:rsidRPr="00F17B44">
        <w:rPr>
          <w:i/>
          <w:iCs/>
        </w:rPr>
        <w:t xml:space="preserve">Id. </w:t>
      </w:r>
      <w:r w:rsidRPr="00F17B44">
        <w:t xml:space="preserve">at pp. </w:t>
      </w:r>
      <w:r w:rsidRPr="00F17B44" w:rsidR="0012036F">
        <w:t>60</w:t>
      </w:r>
      <w:r w:rsidRPr="00F17B44" w:rsidR="00551509">
        <w:t>–</w:t>
      </w:r>
      <w:r w:rsidRPr="00F17B44">
        <w:t>6</w:t>
      </w:r>
      <w:r w:rsidRPr="00F17B44" w:rsidR="00791B86">
        <w:t>4</w:t>
      </w:r>
      <w:r w:rsidRPr="00F17B44">
        <w:t xml:space="preserve">.)  The Legislature subsequently amended the statute to eliminate the offending provisions.  </w:t>
      </w:r>
      <w:r w:rsidRPr="00F17B44" w:rsidR="00483D29">
        <w:t>(Gov. Code, § 7510, subd. (b)(1)</w:t>
      </w:r>
      <w:r w:rsidRPr="00F17B44" w:rsidR="00791B86">
        <w:t>, Stats. 2015, ch. 454,</w:t>
      </w:r>
      <w:r w:rsidRPr="00F17B44" w:rsidR="003F4AD5">
        <w:t xml:space="preserve"> § 1</w:t>
      </w:r>
      <w:r w:rsidRPr="00F17B44" w:rsidR="00483D29">
        <w:t>.</w:t>
      </w:r>
      <w:r w:rsidRPr="00F17B44">
        <w:t>)</w:t>
      </w:r>
    </w:p>
    <w:p w:rsidR="00D372DD" w:rsidP="00483D29" w14:paraId="2F3794A1" w14:textId="2B615567">
      <w:pPr>
        <w:rPr>
          <w:rFonts w:eastAsia="Times New Roman" w:cs="Arial"/>
        </w:rPr>
      </w:pPr>
      <w:r w:rsidRPr="00F17B44">
        <w:tab/>
        <w:t xml:space="preserve">The </w:t>
      </w:r>
      <w:r w:rsidRPr="00F17B44" w:rsidR="004164DA">
        <w:t xml:space="preserve">statutory </w:t>
      </w:r>
      <w:r w:rsidRPr="00F17B44">
        <w:t>provision pertinent here</w:t>
      </w:r>
      <w:r w:rsidRPr="00F17B44" w:rsidR="004164DA">
        <w:t xml:space="preserve"> </w:t>
      </w:r>
      <w:r w:rsidRPr="00F17B44">
        <w:t>is that stating “</w:t>
      </w:r>
      <w:r w:rsidRPr="00F17B44">
        <w:rPr>
          <w:rFonts w:eastAsia="Times New Roman" w:cs="Arial"/>
          <w:color w:val="000000"/>
        </w:rPr>
        <w:t xml:space="preserve">An investment by a state public retirement system in a </w:t>
      </w:r>
      <w:r w:rsidRPr="00F17B44">
        <w:rPr>
          <w:rFonts w:eastAsia="Times New Roman" w:cs="Arial"/>
          <w:i/>
          <w:iCs/>
          <w:color w:val="000000"/>
        </w:rPr>
        <w:t>legal entity that invests</w:t>
      </w:r>
      <w:r w:rsidRPr="00F17B44" w:rsidR="003F4AD5">
        <w:rPr>
          <w:rFonts w:eastAsia="Times New Roman" w:cs="Arial"/>
          <w:i/>
          <w:iCs/>
          <w:color w:val="000000"/>
        </w:rPr>
        <w:t xml:space="preserve"> assets</w:t>
      </w:r>
      <w:r w:rsidRPr="00F17B44">
        <w:rPr>
          <w:rFonts w:eastAsia="Times New Roman" w:cs="Arial"/>
          <w:i/>
          <w:iCs/>
          <w:color w:val="000000"/>
        </w:rPr>
        <w:t xml:space="preserve"> in real property</w:t>
      </w:r>
      <w:r w:rsidRPr="00F17B44">
        <w:rPr>
          <w:rFonts w:eastAsia="Times New Roman" w:cs="Arial"/>
          <w:color w:val="000000"/>
        </w:rPr>
        <w:t xml:space="preserve"> and improvements thereon shall not constitute an investment by the state public retirement system of assets in real property. . . .</w:t>
      </w:r>
      <w:r w:rsidRPr="00F17B44" w:rsidR="00551509">
        <w:rPr>
          <w:rFonts w:eastAsia="Times New Roman" w:cs="Arial"/>
          <w:color w:val="000000"/>
        </w:rPr>
        <w:t xml:space="preserve"> </w:t>
      </w:r>
      <w:r w:rsidRPr="00F17B44" w:rsidR="00E278DF">
        <w:rPr>
          <w:rFonts w:eastAsia="Times New Roman" w:cs="Arial"/>
          <w:color w:val="000000"/>
        </w:rPr>
        <w:t xml:space="preserve"> For purposes of this paragraph, ‘legal entity’ includes, </w:t>
      </w:r>
      <w:r w:rsidRPr="00F17B44" w:rsidR="00E278DF">
        <w:rPr>
          <w:rFonts w:eastAsia="Times New Roman" w:cs="Arial"/>
          <w:i/>
          <w:iCs/>
          <w:color w:val="000000"/>
        </w:rPr>
        <w:t>but is not limited to</w:t>
      </w:r>
      <w:r w:rsidRPr="00F17B44" w:rsidR="00E278DF">
        <w:rPr>
          <w:rFonts w:eastAsia="Times New Roman" w:cs="Arial"/>
          <w:color w:val="000000"/>
        </w:rPr>
        <w:t>, partnership, joint venture, corporation, trust, or association.</w:t>
      </w:r>
      <w:r w:rsidRPr="00F17B44">
        <w:rPr>
          <w:rFonts w:eastAsia="Times New Roman" w:cs="Arial"/>
          <w:color w:val="000000"/>
        </w:rPr>
        <w:t xml:space="preserve">”  (Gov. Code, </w:t>
      </w:r>
      <w:r w:rsidRPr="00F17B44">
        <w:t xml:space="preserve">§ </w:t>
      </w:r>
      <w:r w:rsidRPr="00F17B44">
        <w:rPr>
          <w:rFonts w:eastAsia="Times New Roman" w:cs="Arial"/>
          <w:color w:val="000000"/>
        </w:rPr>
        <w:t>7510, subd. (b)(3)</w:t>
      </w:r>
      <w:r w:rsidRPr="00F17B44" w:rsidR="00E278DF">
        <w:rPr>
          <w:rFonts w:eastAsia="Times New Roman" w:cs="Arial"/>
          <w:color w:val="000000"/>
        </w:rPr>
        <w:t>, italics added</w:t>
      </w:r>
      <w:r w:rsidRPr="00F17B44">
        <w:rPr>
          <w:rFonts w:eastAsia="Times New Roman" w:cs="Arial"/>
          <w:color w:val="000000"/>
        </w:rPr>
        <w:t>.)</w:t>
      </w:r>
      <w:r w:rsidR="0012036F">
        <w:rPr>
          <w:rFonts w:eastAsia="Times New Roman" w:cs="Arial"/>
          <w:color w:val="000000"/>
        </w:rPr>
        <w:t xml:space="preserve"> </w:t>
      </w:r>
      <w:r w:rsidR="00551509">
        <w:rPr>
          <w:rFonts w:eastAsia="Times New Roman" w:cs="Arial"/>
          <w:color w:val="000000"/>
        </w:rPr>
        <w:t xml:space="preserve"> </w:t>
      </w:r>
      <w:r w:rsidRPr="00DF5858" w:rsidR="0012036F">
        <w:rPr>
          <w:rFonts w:eastAsia="Times New Roman" w:cs="Arial"/>
          <w:color w:val="000000"/>
        </w:rPr>
        <w:t>This provision was added to the statute</w:t>
      </w:r>
      <w:r w:rsidRPr="00DF5858" w:rsidR="00FE69E6">
        <w:rPr>
          <w:rFonts w:eastAsia="Times New Roman" w:cs="Arial"/>
          <w:color w:val="000000"/>
        </w:rPr>
        <w:t xml:space="preserve"> as part of the 1992 amendments at the request of the Board of Equalization.  (</w:t>
      </w:r>
      <w:bookmarkStart w:id="0" w:name="_Hlk136333741"/>
      <w:r w:rsidRPr="00DF5858" w:rsidR="00FE69E6">
        <w:rPr>
          <w:rFonts w:eastAsia="Times New Roman" w:cs="Arial"/>
          <w:color w:val="000000"/>
        </w:rPr>
        <w:t>State Board of Equalization</w:t>
      </w:r>
      <w:r w:rsidRPr="00DF5858" w:rsidR="00551509">
        <w:rPr>
          <w:rFonts w:eastAsia="Times New Roman" w:cs="Arial"/>
          <w:color w:val="000000"/>
        </w:rPr>
        <w:t>,</w:t>
      </w:r>
      <w:r w:rsidRPr="00DF5858" w:rsidR="00FE69E6">
        <w:rPr>
          <w:rFonts w:eastAsia="Times New Roman" w:cs="Arial"/>
          <w:color w:val="000000"/>
        </w:rPr>
        <w:t xml:space="preserve"> Legislative Bill </w:t>
      </w:r>
      <w:r w:rsidRPr="00DF5858" w:rsidR="00FD4C93">
        <w:rPr>
          <w:rFonts w:eastAsia="Times New Roman" w:cs="Arial"/>
          <w:color w:val="000000"/>
        </w:rPr>
        <w:t>A</w:t>
      </w:r>
      <w:r w:rsidRPr="00DF5858" w:rsidR="00FE69E6">
        <w:rPr>
          <w:rFonts w:eastAsia="Times New Roman" w:cs="Arial"/>
          <w:color w:val="000000"/>
        </w:rPr>
        <w:t>nalysis on S</w:t>
      </w:r>
      <w:r w:rsidRPr="00DF5858" w:rsidR="00551509">
        <w:rPr>
          <w:rFonts w:eastAsia="Times New Roman" w:cs="Arial"/>
          <w:color w:val="000000"/>
        </w:rPr>
        <w:t>en. Bill No.</w:t>
      </w:r>
      <w:r w:rsidRPr="00DF5858" w:rsidR="00FE69E6">
        <w:rPr>
          <w:rFonts w:eastAsia="Times New Roman" w:cs="Arial"/>
          <w:color w:val="000000"/>
        </w:rPr>
        <w:t xml:space="preserve"> 1687</w:t>
      </w:r>
      <w:r w:rsidRPr="00DF5858" w:rsidR="00DF5858">
        <w:rPr>
          <w:rFonts w:eastAsia="Times New Roman" w:cs="Arial"/>
          <w:color w:val="000000"/>
        </w:rPr>
        <w:t xml:space="preserve"> (1991–1992 Reg. Sess.)</w:t>
      </w:r>
      <w:r w:rsidRPr="00DF5858" w:rsidR="00FE69E6">
        <w:rPr>
          <w:rFonts w:eastAsia="Times New Roman" w:cs="Arial"/>
          <w:color w:val="000000"/>
        </w:rPr>
        <w:t xml:space="preserve"> </w:t>
      </w:r>
      <w:r w:rsidRPr="00DF5858" w:rsidR="00DF5858">
        <w:rPr>
          <w:rFonts w:eastAsia="Times New Roman" w:cs="Arial"/>
          <w:color w:val="000000"/>
        </w:rPr>
        <w:t xml:space="preserve">amended </w:t>
      </w:r>
      <w:r w:rsidRPr="00DF5858" w:rsidR="00FE69E6">
        <w:rPr>
          <w:rFonts w:eastAsia="Times New Roman" w:cs="Arial"/>
          <w:color w:val="000000"/>
        </w:rPr>
        <w:t xml:space="preserve">June </w:t>
      </w:r>
      <w:r w:rsidRPr="00DF5858" w:rsidR="00DF5858">
        <w:rPr>
          <w:rFonts w:eastAsia="Times New Roman" w:cs="Arial"/>
          <w:color w:val="000000"/>
        </w:rPr>
        <w:t>15</w:t>
      </w:r>
      <w:r w:rsidRPr="00DF5858" w:rsidR="00FE69E6">
        <w:rPr>
          <w:rFonts w:eastAsia="Times New Roman" w:cs="Arial"/>
          <w:color w:val="000000"/>
        </w:rPr>
        <w:t>, 1992, p. 3.</w:t>
      </w:r>
      <w:r>
        <w:rPr>
          <w:rStyle w:val="FootnoteReference"/>
          <w:rFonts w:eastAsia="Times New Roman" w:cs="Arial"/>
          <w:color w:val="000000"/>
        </w:rPr>
        <w:footnoteReference w:id="15"/>
      </w:r>
      <w:bookmarkEnd w:id="0"/>
      <w:r w:rsidRPr="00DF5858" w:rsidR="00FE69E6">
        <w:rPr>
          <w:rFonts w:eastAsia="Times New Roman" w:cs="Arial"/>
          <w:color w:val="000000"/>
        </w:rPr>
        <w:t>)</w:t>
      </w:r>
      <w:r w:rsidRPr="00DF5858" w:rsidR="00FD3D74">
        <w:rPr>
          <w:rFonts w:eastAsia="Times New Roman" w:cs="Arial"/>
          <w:color w:val="000000"/>
        </w:rPr>
        <w:t xml:space="preserve">  The Board urged that the term “</w:t>
      </w:r>
      <w:r w:rsidRPr="00DF5858" w:rsidR="00DF5858">
        <w:rPr>
          <w:rFonts w:eastAsia="Times New Roman" w:cs="Arial"/>
          <w:color w:val="000000"/>
        </w:rPr>
        <w:t> ‘</w:t>
      </w:r>
      <w:r w:rsidRPr="00DF5858" w:rsidR="00FD3D74">
        <w:rPr>
          <w:rFonts w:eastAsia="Times New Roman" w:cs="Arial"/>
          <w:color w:val="000000"/>
        </w:rPr>
        <w:t>investment</w:t>
      </w:r>
      <w:r w:rsidRPr="00DF5858" w:rsidR="00DF5858">
        <w:rPr>
          <w:rFonts w:eastAsia="Times New Roman" w:cs="Arial"/>
          <w:color w:val="000000"/>
        </w:rPr>
        <w:t xml:space="preserve">’ </w:t>
      </w:r>
      <w:r w:rsidRPr="00DF5858" w:rsidR="00FD3D74">
        <w:rPr>
          <w:rFonts w:eastAsia="Times New Roman" w:cs="Arial"/>
          <w:color w:val="000000"/>
        </w:rPr>
        <w:t xml:space="preserve">” be “clarified to mean the acquisition of stock or other ownership interest in a legal entity as an investment to differentiate between that term, as it is used in Section 64 of the Revenue and Taxation Code, and an </w:t>
      </w:r>
      <w:r w:rsidRPr="00C171E9" w:rsidR="00FD3D74">
        <w:rPr>
          <w:rFonts w:eastAsia="Times New Roman" w:cs="Arial"/>
          <w:color w:val="000000"/>
        </w:rPr>
        <w:t>investment in real property.”  (</w:t>
      </w:r>
      <w:r w:rsidRPr="00C171E9" w:rsidR="00FD3D74">
        <w:rPr>
          <w:rFonts w:eastAsia="Times New Roman" w:cs="Arial"/>
          <w:i/>
          <w:iCs/>
          <w:color w:val="000000"/>
        </w:rPr>
        <w:t>Ibid.</w:t>
      </w:r>
      <w:r w:rsidRPr="00C171E9" w:rsidR="000306EA">
        <w:rPr>
          <w:rFonts w:eastAsia="Times New Roman" w:cs="Arial"/>
          <w:color w:val="000000"/>
        </w:rPr>
        <w:t xml:space="preserve">; </w:t>
      </w:r>
      <w:bookmarkStart w:id="1" w:name="_Hlk136333766"/>
      <w:r w:rsidRPr="00C171E9" w:rsidR="000306EA">
        <w:rPr>
          <w:rFonts w:eastAsia="Times New Roman" w:cs="Arial"/>
          <w:color w:val="000000"/>
        </w:rPr>
        <w:t>Assem</w:t>
      </w:r>
      <w:r w:rsidRPr="00C171E9" w:rsidR="00C171E9">
        <w:rPr>
          <w:rFonts w:eastAsia="Times New Roman" w:cs="Arial"/>
          <w:color w:val="000000"/>
        </w:rPr>
        <w:t>.</w:t>
      </w:r>
      <w:r w:rsidRPr="00C171E9" w:rsidR="000306EA">
        <w:rPr>
          <w:rFonts w:eastAsia="Times New Roman" w:cs="Arial"/>
          <w:color w:val="000000"/>
        </w:rPr>
        <w:t xml:space="preserve"> Com.</w:t>
      </w:r>
      <w:r w:rsidRPr="00C171E9" w:rsidR="00FD4C93">
        <w:rPr>
          <w:rFonts w:eastAsia="Times New Roman" w:cs="Arial"/>
          <w:color w:val="000000"/>
        </w:rPr>
        <w:t xml:space="preserve"> </w:t>
      </w:r>
      <w:r w:rsidRPr="00C171E9" w:rsidR="00551509">
        <w:rPr>
          <w:rFonts w:eastAsia="Times New Roman" w:cs="Arial"/>
          <w:color w:val="000000"/>
        </w:rPr>
        <w:t>o</w:t>
      </w:r>
      <w:r w:rsidRPr="00C171E9" w:rsidR="00FD4C93">
        <w:rPr>
          <w:rFonts w:eastAsia="Times New Roman" w:cs="Arial"/>
          <w:color w:val="000000"/>
        </w:rPr>
        <w:t>n Rev</w:t>
      </w:r>
      <w:r w:rsidR="00C10AE5">
        <w:rPr>
          <w:rFonts w:eastAsia="Times New Roman" w:cs="Arial"/>
          <w:color w:val="000000"/>
        </w:rPr>
        <w:t>.</w:t>
      </w:r>
      <w:r w:rsidRPr="00C171E9" w:rsidR="00FD4C93">
        <w:rPr>
          <w:rFonts w:eastAsia="Times New Roman" w:cs="Arial"/>
          <w:color w:val="000000"/>
        </w:rPr>
        <w:t xml:space="preserve"> </w:t>
      </w:r>
      <w:r w:rsidRPr="00C171E9" w:rsidR="00C171E9">
        <w:rPr>
          <w:rFonts w:eastAsia="Times New Roman" w:cs="Arial"/>
          <w:color w:val="000000"/>
        </w:rPr>
        <w:t>&amp;</w:t>
      </w:r>
      <w:r w:rsidRPr="00C171E9" w:rsidR="00FD4C93">
        <w:rPr>
          <w:rFonts w:eastAsia="Times New Roman" w:cs="Arial"/>
          <w:color w:val="000000"/>
        </w:rPr>
        <w:t xml:space="preserve"> Tax</w:t>
      </w:r>
      <w:r w:rsidR="00C10AE5">
        <w:rPr>
          <w:rFonts w:eastAsia="Times New Roman" w:cs="Arial"/>
          <w:color w:val="000000"/>
        </w:rPr>
        <w:t>.</w:t>
      </w:r>
      <w:r w:rsidRPr="00C171E9" w:rsidR="00C171E9">
        <w:rPr>
          <w:rFonts w:eastAsia="Times New Roman" w:cs="Arial"/>
          <w:color w:val="000000"/>
        </w:rPr>
        <w:t xml:space="preserve">, </w:t>
      </w:r>
      <w:r w:rsidRPr="00C171E9" w:rsidR="00551509">
        <w:rPr>
          <w:rFonts w:eastAsia="Times New Roman" w:cs="Arial"/>
          <w:color w:val="000000"/>
        </w:rPr>
        <w:t>Sen. Bill No.</w:t>
      </w:r>
      <w:r w:rsidRPr="00C171E9" w:rsidR="00FD4C93">
        <w:rPr>
          <w:rFonts w:eastAsia="Times New Roman" w:cs="Arial"/>
          <w:color w:val="000000"/>
        </w:rPr>
        <w:t xml:space="preserve"> 1687</w:t>
      </w:r>
      <w:r w:rsidRPr="00C171E9" w:rsidR="00C171E9">
        <w:rPr>
          <w:rFonts w:eastAsia="Times New Roman" w:cs="Arial"/>
          <w:color w:val="000000"/>
        </w:rPr>
        <w:t xml:space="preserve"> (1991–1992 Reg. Sess.)</w:t>
      </w:r>
      <w:r w:rsidRPr="00C171E9" w:rsidR="00FD4C93">
        <w:rPr>
          <w:rFonts w:eastAsia="Times New Roman" w:cs="Arial"/>
          <w:color w:val="000000"/>
        </w:rPr>
        <w:t xml:space="preserve"> </w:t>
      </w:r>
      <w:r w:rsidRPr="00C171E9" w:rsidR="00C171E9">
        <w:rPr>
          <w:rFonts w:eastAsia="Times New Roman" w:cs="Arial"/>
          <w:color w:val="000000"/>
        </w:rPr>
        <w:t>amended June 26,</w:t>
      </w:r>
      <w:r w:rsidRPr="00C171E9" w:rsidR="00FD4C93">
        <w:rPr>
          <w:rFonts w:eastAsia="Times New Roman" w:cs="Arial"/>
          <w:color w:val="000000"/>
        </w:rPr>
        <w:t xml:space="preserve"> 1992, p. 3 </w:t>
      </w:r>
      <w:bookmarkEnd w:id="1"/>
      <w:r w:rsidRPr="00C171E9" w:rsidR="00FD4C93">
        <w:rPr>
          <w:rFonts w:eastAsia="Times New Roman" w:cs="Arial"/>
          <w:color w:val="000000"/>
        </w:rPr>
        <w:t xml:space="preserve">[Board requested “[t]he term ‘investment’ [] be clarified to distinguish between entity ownership </w:t>
      </w:r>
      <w:r w:rsidRPr="00C171E9" w:rsidR="00C171E9">
        <w:rPr>
          <w:rFonts w:eastAsia="Times New Roman" w:cs="Arial"/>
          <w:color w:val="000000"/>
        </w:rPr>
        <w:t xml:space="preserve">interest </w:t>
      </w:r>
      <w:r w:rsidRPr="00C171E9" w:rsidR="00FD4C93">
        <w:rPr>
          <w:rFonts w:eastAsia="Times New Roman" w:cs="Arial"/>
          <w:color w:val="000000"/>
        </w:rPr>
        <w:t>in a business and an investment in real property”].)</w:t>
      </w:r>
      <w:r w:rsidRPr="00C171E9" w:rsidR="00FD3D74">
        <w:rPr>
          <w:rFonts w:eastAsia="Times New Roman" w:cs="Arial"/>
          <w:color w:val="000000"/>
        </w:rPr>
        <w:t xml:space="preserve">  It further urged that the clarifying language “should use language parallel to that of Section 64, using ‘corporation, partnership, or other legal entity” in order to maintain consistency between the sections.  (</w:t>
      </w:r>
      <w:r w:rsidRPr="00C171E9" w:rsidR="00C171E9">
        <w:rPr>
          <w:rFonts w:eastAsia="Times New Roman" w:cs="Arial"/>
          <w:color w:val="000000"/>
        </w:rPr>
        <w:t>State Board</w:t>
      </w:r>
      <w:r w:rsidRPr="00DF5858" w:rsidR="00C171E9">
        <w:rPr>
          <w:rFonts w:eastAsia="Times New Roman" w:cs="Arial"/>
          <w:color w:val="000000"/>
        </w:rPr>
        <w:t xml:space="preserve"> of Equalization, </w:t>
      </w:r>
      <w:r w:rsidRPr="00C171E9" w:rsidR="00C171E9">
        <w:rPr>
          <w:rFonts w:eastAsia="Times New Roman" w:cs="Arial"/>
          <w:i/>
          <w:iCs/>
          <w:color w:val="000000"/>
        </w:rPr>
        <w:t>supra</w:t>
      </w:r>
      <w:r w:rsidR="00C171E9">
        <w:rPr>
          <w:rFonts w:eastAsia="Times New Roman" w:cs="Arial"/>
          <w:color w:val="000000"/>
        </w:rPr>
        <w:t xml:space="preserve">, </w:t>
      </w:r>
      <w:r w:rsidRPr="00DF5858" w:rsidR="00C171E9">
        <w:rPr>
          <w:rFonts w:eastAsia="Times New Roman" w:cs="Arial"/>
          <w:color w:val="000000"/>
        </w:rPr>
        <w:t>amended June 15, 19</w:t>
      </w:r>
      <w:r w:rsidRPr="00C171E9" w:rsidR="00C171E9">
        <w:rPr>
          <w:rFonts w:eastAsia="Times New Roman" w:cs="Arial"/>
          <w:color w:val="000000"/>
        </w:rPr>
        <w:t>92, p. 3</w:t>
      </w:r>
      <w:r w:rsidRPr="00C171E9" w:rsidR="00FD3D74">
        <w:rPr>
          <w:rFonts w:eastAsia="Times New Roman" w:cs="Arial"/>
          <w:i/>
          <w:iCs/>
          <w:color w:val="000000"/>
        </w:rPr>
        <w:t>.</w:t>
      </w:r>
      <w:r w:rsidRPr="00C171E9" w:rsidR="00FD3D74">
        <w:rPr>
          <w:rFonts w:eastAsia="Times New Roman" w:cs="Arial"/>
          <w:color w:val="000000"/>
        </w:rPr>
        <w:t>)</w:t>
      </w:r>
      <w:r w:rsidRPr="00C171E9" w:rsidR="002B425D">
        <w:rPr>
          <w:rFonts w:eastAsia="Times New Roman" w:cs="Arial"/>
          <w:color w:val="000000"/>
        </w:rPr>
        <w:t xml:space="preserve">  </w:t>
      </w:r>
      <w:r w:rsidRPr="00C171E9" w:rsidR="00FD3D74">
        <w:rPr>
          <w:rFonts w:eastAsia="Times New Roman" w:cs="Arial"/>
          <w:color w:val="000000"/>
        </w:rPr>
        <w:t xml:space="preserve">Thus, the purpose of the </w:t>
      </w:r>
      <w:r w:rsidRPr="00C171E9" w:rsidR="000306EA">
        <w:rPr>
          <w:rFonts w:eastAsia="Times New Roman" w:cs="Arial"/>
          <w:color w:val="000000"/>
        </w:rPr>
        <w:t xml:space="preserve">additional language was to reinforce the distinction between </w:t>
      </w:r>
      <w:r w:rsidRPr="00C171E9" w:rsidR="00FD4C93">
        <w:rPr>
          <w:rFonts w:eastAsia="Times New Roman" w:cs="Arial"/>
          <w:color w:val="000000"/>
        </w:rPr>
        <w:t xml:space="preserve">direct </w:t>
      </w:r>
      <w:r w:rsidRPr="00C171E9" w:rsidR="000306EA">
        <w:rPr>
          <w:rFonts w:eastAsia="Times New Roman" w:cs="Arial"/>
          <w:color w:val="000000"/>
        </w:rPr>
        <w:t>ownership of real property and ownership of an interest in an entity owning real property</w:t>
      </w:r>
      <w:r w:rsidRPr="00C171E9" w:rsidR="00FD4C93">
        <w:rPr>
          <w:rFonts w:eastAsia="Times New Roman" w:cs="Arial"/>
          <w:color w:val="000000"/>
        </w:rPr>
        <w:t xml:space="preserve">.  </w:t>
      </w:r>
      <w:r w:rsidRPr="00C171E9" w:rsidR="002B425D">
        <w:rPr>
          <w:rFonts w:eastAsia="Times New Roman" w:cs="Arial"/>
          <w:color w:val="000000"/>
        </w:rPr>
        <w:t xml:space="preserve">Moreover, </w:t>
      </w:r>
      <w:r w:rsidRPr="00C171E9" w:rsidR="000306EA">
        <w:rPr>
          <w:rFonts w:eastAsia="Times New Roman" w:cs="Arial"/>
          <w:color w:val="000000"/>
        </w:rPr>
        <w:t>this was done in the context of trying to ameliorate the loss of local property tax revenue arising from the purchase of income producing properties by the state’s pension plans.</w:t>
      </w:r>
      <w:r w:rsidRPr="00DF5858" w:rsidR="00FD4C93">
        <w:rPr>
          <w:rFonts w:eastAsia="Times New Roman" w:cs="Arial"/>
          <w:color w:val="000000"/>
        </w:rPr>
        <w:t xml:space="preserve">  (</w:t>
      </w:r>
      <w:bookmarkStart w:id="2" w:name="_Hlk136333777"/>
      <w:r w:rsidRPr="00DF5858" w:rsidR="00FD4C93">
        <w:rPr>
          <w:rFonts w:eastAsia="Times New Roman" w:cs="Arial"/>
          <w:color w:val="000000"/>
        </w:rPr>
        <w:t>Sen</w:t>
      </w:r>
      <w:r w:rsidRPr="00DF5858" w:rsidR="00551509">
        <w:rPr>
          <w:rFonts w:eastAsia="Times New Roman" w:cs="Arial"/>
          <w:color w:val="000000"/>
        </w:rPr>
        <w:t>.</w:t>
      </w:r>
      <w:r w:rsidRPr="00DF5858" w:rsidR="00FD4C93">
        <w:rPr>
          <w:rFonts w:eastAsia="Times New Roman" w:cs="Arial"/>
          <w:color w:val="000000"/>
        </w:rPr>
        <w:t xml:space="preserve"> Rules Com.</w:t>
      </w:r>
      <w:r w:rsidR="00DF5858">
        <w:rPr>
          <w:rFonts w:eastAsia="Times New Roman" w:cs="Arial"/>
          <w:color w:val="000000"/>
        </w:rPr>
        <w:t>,</w:t>
      </w:r>
      <w:r w:rsidRPr="00DF5858" w:rsidR="00FD4C93">
        <w:rPr>
          <w:rFonts w:eastAsia="Times New Roman" w:cs="Arial"/>
          <w:color w:val="000000"/>
        </w:rPr>
        <w:t xml:space="preserve"> </w:t>
      </w:r>
      <w:r w:rsidRPr="00DF5858" w:rsidR="00551509">
        <w:rPr>
          <w:rFonts w:eastAsia="Times New Roman" w:cs="Arial"/>
          <w:color w:val="000000"/>
        </w:rPr>
        <w:t>Sen. Bill No.</w:t>
      </w:r>
      <w:r w:rsidRPr="00DF5858" w:rsidR="00FD4C93">
        <w:rPr>
          <w:rFonts w:eastAsia="Times New Roman" w:cs="Arial"/>
          <w:color w:val="000000"/>
        </w:rPr>
        <w:t xml:space="preserve"> 1687</w:t>
      </w:r>
      <w:r w:rsidRPr="00DF5858" w:rsidR="00DF5858">
        <w:rPr>
          <w:rFonts w:eastAsia="Times New Roman" w:cs="Arial"/>
          <w:color w:val="000000"/>
        </w:rPr>
        <w:t xml:space="preserve"> (1991–1992 Reg. Sess.)</w:t>
      </w:r>
      <w:r w:rsidRPr="00DF5858" w:rsidR="00FD4C93">
        <w:rPr>
          <w:rFonts w:eastAsia="Times New Roman" w:cs="Arial"/>
          <w:color w:val="000000"/>
        </w:rPr>
        <w:t xml:space="preserve"> </w:t>
      </w:r>
      <w:r w:rsidR="00DF5858">
        <w:rPr>
          <w:rFonts w:eastAsia="Times New Roman" w:cs="Arial"/>
          <w:color w:val="000000"/>
        </w:rPr>
        <w:t>amended June 26, 1992,</w:t>
      </w:r>
      <w:r w:rsidRPr="00DF5858" w:rsidR="00FD4C93">
        <w:rPr>
          <w:rFonts w:eastAsia="Times New Roman" w:cs="Arial"/>
          <w:color w:val="000000"/>
        </w:rPr>
        <w:t xml:space="preserve"> p. 3 </w:t>
      </w:r>
      <w:bookmarkEnd w:id="2"/>
      <w:r w:rsidRPr="00DF5858" w:rsidR="00FD4C93">
        <w:rPr>
          <w:rFonts w:eastAsia="Times New Roman" w:cs="Arial"/>
          <w:color w:val="000000"/>
        </w:rPr>
        <w:t>[“The revisions proposed by Senate Bill 1687 will conform to the legislative intent of Section 7510 by protecting local agencies from revenue losses associated with PERS investment in real property.”].)</w:t>
      </w:r>
      <w:r w:rsidR="00FD4C93">
        <w:rPr>
          <w:rFonts w:eastAsia="Times New Roman" w:cs="Arial"/>
          <w:color w:val="000000"/>
        </w:rPr>
        <w:t xml:space="preserve"> </w:t>
      </w:r>
      <w:r w:rsidR="00FD3D74">
        <w:rPr>
          <w:rFonts w:eastAsia="Times New Roman" w:cs="Arial"/>
          <w:color w:val="000000"/>
        </w:rPr>
        <w:t xml:space="preserve">   </w:t>
      </w:r>
      <w:r w:rsidR="00FE69E6">
        <w:rPr>
          <w:rFonts w:eastAsia="Times New Roman" w:cs="Arial"/>
          <w:color w:val="000000"/>
        </w:rPr>
        <w:t xml:space="preserve"> </w:t>
      </w:r>
      <w:r w:rsidR="0012036F">
        <w:rPr>
          <w:rFonts w:eastAsia="Times New Roman" w:cs="Arial"/>
          <w:color w:val="000000"/>
        </w:rPr>
        <w:t xml:space="preserve">   </w:t>
      </w:r>
    </w:p>
    <w:p w:rsidR="00BC338E" w:rsidRPr="00F17B44" w:rsidP="00AF3FA4" w14:paraId="7FC1E81A" w14:textId="79448709">
      <w:pPr>
        <w:ind w:firstLine="720"/>
        <w:rPr>
          <w:rFonts w:eastAsia="Times New Roman" w:cs="Arial"/>
          <w:color w:val="000000"/>
        </w:rPr>
      </w:pPr>
      <w:r w:rsidRPr="00F17B44">
        <w:rPr>
          <w:rFonts w:eastAsia="Times New Roman" w:cs="Arial"/>
        </w:rPr>
        <w:t>I</w:t>
      </w:r>
      <w:r w:rsidRPr="00F17B44" w:rsidR="005E6383">
        <w:rPr>
          <w:rFonts w:eastAsia="Times New Roman" w:cs="Arial"/>
        </w:rPr>
        <w:t xml:space="preserve">n </w:t>
      </w:r>
      <w:r w:rsidRPr="00F17B44" w:rsidR="001D4D6E">
        <w:rPr>
          <w:rFonts w:eastAsia="Times New Roman" w:cs="Arial"/>
        </w:rPr>
        <w:t xml:space="preserve">a </w:t>
      </w:r>
      <w:r w:rsidRPr="00F17B44" w:rsidR="005E6383">
        <w:rPr>
          <w:rFonts w:eastAsia="Times New Roman" w:cs="Arial"/>
        </w:rPr>
        <w:t xml:space="preserve">2010 </w:t>
      </w:r>
      <w:r w:rsidRPr="00F17B44" w:rsidR="001D4D6E">
        <w:rPr>
          <w:rFonts w:eastAsia="Times New Roman" w:cs="Arial"/>
        </w:rPr>
        <w:t xml:space="preserve">annotation, </w:t>
      </w:r>
      <w:r w:rsidRPr="00F17B44" w:rsidR="005E6383">
        <w:rPr>
          <w:rFonts w:eastAsia="Times New Roman" w:cs="Arial"/>
        </w:rPr>
        <w:t xml:space="preserve">the Board </w:t>
      </w:r>
      <w:r w:rsidRPr="00F17B44">
        <w:rPr>
          <w:rFonts w:eastAsia="Times New Roman" w:cs="Arial"/>
        </w:rPr>
        <w:t>of Equalization relied</w:t>
      </w:r>
      <w:r w:rsidRPr="00F17B44" w:rsidR="00E278DF">
        <w:rPr>
          <w:rFonts w:eastAsia="Times New Roman" w:cs="Arial"/>
        </w:rPr>
        <w:t xml:space="preserve"> in part</w:t>
      </w:r>
      <w:r w:rsidRPr="00F17B44">
        <w:rPr>
          <w:rFonts w:eastAsia="Times New Roman" w:cs="Arial"/>
        </w:rPr>
        <w:t xml:space="preserve"> on this provision in considering </w:t>
      </w:r>
      <w:r w:rsidRPr="00F17B44" w:rsidR="005E6383">
        <w:rPr>
          <w:rFonts w:eastAsia="Times New Roman" w:cs="Arial"/>
        </w:rPr>
        <w:t xml:space="preserve">whether property purchased by a limited partnership in which CalSTRS held a two-thirds interest and subsequently held a one hundred percent interest which it </w:t>
      </w:r>
      <w:r w:rsidRPr="00F17B44" w:rsidR="001D4D6E">
        <w:rPr>
          <w:rFonts w:eastAsia="Times New Roman" w:cs="Arial"/>
        </w:rPr>
        <w:t>converted to an</w:t>
      </w:r>
      <w:r w:rsidRPr="00F17B44" w:rsidR="005E6383">
        <w:rPr>
          <w:rFonts w:eastAsia="Times New Roman" w:cs="Arial"/>
        </w:rPr>
        <w:t xml:space="preserve"> LLC</w:t>
      </w:r>
      <w:r w:rsidRPr="00F17B44" w:rsidR="001D4D6E">
        <w:rPr>
          <w:rFonts w:eastAsia="Times New Roman" w:cs="Arial"/>
        </w:rPr>
        <w:t>, was exempt from property taxation</w:t>
      </w:r>
      <w:r w:rsidRPr="00F17B44">
        <w:rPr>
          <w:rFonts w:eastAsia="Times New Roman" w:cs="Arial"/>
        </w:rPr>
        <w:t>.</w:t>
      </w:r>
      <w:r w:rsidRPr="00F17B44" w:rsidR="001D4D6E">
        <w:rPr>
          <w:rFonts w:eastAsia="Times New Roman" w:cs="Arial"/>
        </w:rPr>
        <w:t xml:space="preserve">  </w:t>
      </w:r>
      <w:r w:rsidRPr="00F17B44" w:rsidR="001D4D6E">
        <w:rPr>
          <w:rFonts w:eastAsia="Times New Roman" w:cs="Arial"/>
          <w:color w:val="000000"/>
        </w:rPr>
        <w:t>There was “no dispute</w:t>
      </w:r>
      <w:r w:rsidRPr="00F17B44" w:rsidR="00CD28D0">
        <w:rPr>
          <w:rFonts w:eastAsia="Times New Roman" w:cs="Arial"/>
          <w:color w:val="000000"/>
        </w:rPr>
        <w:t>,” said the Board,</w:t>
      </w:r>
      <w:r w:rsidRPr="00F17B44" w:rsidR="001D4D6E">
        <w:rPr>
          <w:rFonts w:eastAsia="Times New Roman" w:cs="Arial"/>
          <w:color w:val="000000"/>
        </w:rPr>
        <w:t xml:space="preserve"> </w:t>
      </w:r>
      <w:r w:rsidRPr="00F17B44" w:rsidR="00CD28D0">
        <w:rPr>
          <w:rFonts w:eastAsia="Times New Roman" w:cs="Arial"/>
          <w:color w:val="000000"/>
        </w:rPr>
        <w:t>“</w:t>
      </w:r>
      <w:r w:rsidRPr="00F17B44" w:rsidR="001D4D6E">
        <w:rPr>
          <w:rFonts w:eastAsia="Times New Roman" w:cs="Arial"/>
          <w:color w:val="000000"/>
        </w:rPr>
        <w:t xml:space="preserve">that property directly owned by CalSTRS is property owned by the state” and </w:t>
      </w:r>
      <w:r w:rsidRPr="00F17B44" w:rsidR="00CD28D0">
        <w:rPr>
          <w:rFonts w:eastAsia="Times New Roman" w:cs="Arial"/>
          <w:color w:val="000000"/>
        </w:rPr>
        <w:t xml:space="preserve">thus </w:t>
      </w:r>
      <w:r w:rsidRPr="00F17B44" w:rsidR="001D4D6E">
        <w:rPr>
          <w:rFonts w:eastAsia="Times New Roman" w:cs="Arial"/>
          <w:color w:val="000000"/>
        </w:rPr>
        <w:t xml:space="preserve">constitutionally exempt from property taxation.  (California State Board of Equalization, Property Tax Annotation 735.0009, Retirement Systems (Public) Property, </w:t>
      </w:r>
      <w:r w:rsidRPr="00F17B44" w:rsidR="003F4AD5">
        <w:rPr>
          <w:rFonts w:eastAsia="Times New Roman" w:cs="Arial"/>
          <w:color w:val="000000"/>
        </w:rPr>
        <w:t xml:space="preserve">p. 2 </w:t>
      </w:r>
      <w:r w:rsidRPr="00F17B44" w:rsidR="001D4D6E">
        <w:rPr>
          <w:rFonts w:eastAsia="Times New Roman" w:cs="Arial"/>
          <w:color w:val="000000"/>
        </w:rPr>
        <w:t>&lt;</w:t>
      </w:r>
      <w:r w:rsidRPr="00F17B44" w:rsidR="001D4D6E">
        <w:rPr>
          <w:rFonts w:eastAsia="Times New Roman" w:cs="Arial"/>
        </w:rPr>
        <w:t>https://www.boe.ca.gov/lawguides/property/current/ptlg/annt/735-0009.html</w:t>
      </w:r>
      <w:r w:rsidRPr="00F17B44" w:rsidR="001D4D6E">
        <w:rPr>
          <w:rFonts w:eastAsia="Times New Roman" w:cs="Arial"/>
          <w:color w:val="000000"/>
        </w:rPr>
        <w:t xml:space="preserve"> [as of </w:t>
      </w:r>
      <w:r w:rsidRPr="00F17B44" w:rsidR="003F4AD5">
        <w:rPr>
          <w:rFonts w:eastAsia="Times New Roman" w:cs="Arial"/>
          <w:color w:val="000000"/>
        </w:rPr>
        <w:t>May</w:t>
      </w:r>
      <w:r w:rsidRPr="00F17B44" w:rsidR="001D4D6E">
        <w:rPr>
          <w:rFonts w:eastAsia="Times New Roman" w:cs="Arial"/>
          <w:color w:val="000000"/>
        </w:rPr>
        <w:t xml:space="preserve"> </w:t>
      </w:r>
      <w:r w:rsidRPr="00F17B44" w:rsidR="003F4AD5">
        <w:rPr>
          <w:rFonts w:eastAsia="Times New Roman" w:cs="Arial"/>
          <w:color w:val="000000"/>
        </w:rPr>
        <w:t>30</w:t>
      </w:r>
      <w:r w:rsidRPr="00F17B44" w:rsidR="001D4D6E">
        <w:rPr>
          <w:rFonts w:eastAsia="Times New Roman" w:cs="Arial"/>
          <w:color w:val="000000"/>
        </w:rPr>
        <w:t xml:space="preserve">, 2023]&gt;.)  The Board concluded, however, that </w:t>
      </w:r>
      <w:r w:rsidRPr="00F17B44" w:rsidR="00CD28D0">
        <w:rPr>
          <w:rFonts w:eastAsia="Times New Roman" w:cs="Arial"/>
          <w:color w:val="000000"/>
        </w:rPr>
        <w:t>o</w:t>
      </w:r>
      <w:r w:rsidRPr="00F17B44" w:rsidR="001D4D6E">
        <w:rPr>
          <w:rFonts w:eastAsia="Times New Roman" w:cs="Arial"/>
          <w:color w:val="000000"/>
        </w:rPr>
        <w:t xml:space="preserve">wnership of </w:t>
      </w:r>
      <w:r w:rsidRPr="00F17B44" w:rsidR="00905BE7">
        <w:rPr>
          <w:rFonts w:eastAsia="Times New Roman" w:cs="Arial"/>
          <w:color w:val="000000"/>
        </w:rPr>
        <w:t>an</w:t>
      </w:r>
      <w:r w:rsidRPr="00F17B44" w:rsidR="00CD28D0">
        <w:rPr>
          <w:rFonts w:eastAsia="Times New Roman" w:cs="Arial"/>
          <w:color w:val="000000"/>
        </w:rPr>
        <w:t xml:space="preserve"> LLC </w:t>
      </w:r>
      <w:r w:rsidRPr="00F17B44" w:rsidR="001D4D6E">
        <w:rPr>
          <w:rFonts w:eastAsia="Times New Roman" w:cs="Arial"/>
          <w:color w:val="000000"/>
        </w:rPr>
        <w:t>that owns real property is not equivalent to direct ownership of th</w:t>
      </w:r>
      <w:r w:rsidRPr="00F17B44" w:rsidR="004164DA">
        <w:rPr>
          <w:rFonts w:eastAsia="Times New Roman" w:cs="Arial"/>
          <w:color w:val="000000"/>
        </w:rPr>
        <w:t>e</w:t>
      </w:r>
      <w:r w:rsidRPr="00F17B44" w:rsidR="001D4D6E">
        <w:rPr>
          <w:rFonts w:eastAsia="Times New Roman" w:cs="Arial"/>
          <w:color w:val="000000"/>
        </w:rPr>
        <w:t xml:space="preserve"> property</w:t>
      </w:r>
      <w:r w:rsidRPr="00F17B44" w:rsidR="00CD28D0">
        <w:rPr>
          <w:rFonts w:eastAsia="Times New Roman" w:cs="Arial"/>
          <w:color w:val="000000"/>
        </w:rPr>
        <w:t xml:space="preserve">.  It first cited to the general </w:t>
      </w:r>
      <w:r w:rsidRPr="00F17B44" w:rsidR="00E278DF">
        <w:rPr>
          <w:rFonts w:eastAsia="Times New Roman" w:cs="Arial"/>
          <w:color w:val="000000"/>
        </w:rPr>
        <w:t xml:space="preserve">statutory </w:t>
      </w:r>
      <w:r w:rsidRPr="00F17B44" w:rsidR="00CD28D0">
        <w:rPr>
          <w:rFonts w:eastAsia="Times New Roman" w:cs="Arial"/>
          <w:color w:val="000000"/>
        </w:rPr>
        <w:t>provisions governing LLCs</w:t>
      </w:r>
      <w:r w:rsidRPr="00F17B44" w:rsidR="00EE0DEE">
        <w:rPr>
          <w:rFonts w:eastAsia="Times New Roman" w:cs="Arial"/>
          <w:color w:val="000000"/>
        </w:rPr>
        <w:t xml:space="preserve">, stating </w:t>
      </w:r>
      <w:r w:rsidRPr="00F17B44" w:rsidR="00E278DF">
        <w:rPr>
          <w:rFonts w:eastAsia="Times New Roman" w:cs="Arial"/>
          <w:color w:val="000000"/>
        </w:rPr>
        <w:t xml:space="preserve">Corporations Code </w:t>
      </w:r>
      <w:r w:rsidRPr="00F17B44" w:rsidR="00053A88">
        <w:rPr>
          <w:rFonts w:eastAsia="Times New Roman" w:cs="Arial"/>
          <w:color w:val="000000"/>
        </w:rPr>
        <w:t>“</w:t>
      </w:r>
      <w:r w:rsidRPr="00F17B44" w:rsidR="00EE0DEE">
        <w:rPr>
          <w:rFonts w:eastAsia="Times New Roman" w:cs="Arial"/>
          <w:color w:val="000000"/>
        </w:rPr>
        <w:t>section 17300 specifically states that members of a limited liability company h</w:t>
      </w:r>
      <w:r w:rsidRPr="00F17B44" w:rsidR="00053A88">
        <w:rPr>
          <w:rFonts w:eastAsia="Times New Roman" w:cs="Arial"/>
          <w:color w:val="000000"/>
        </w:rPr>
        <w:t xml:space="preserve">old </w:t>
      </w:r>
      <w:r w:rsidRPr="00F17B44" w:rsidR="00EE0DEE">
        <w:rPr>
          <w:rFonts w:eastAsia="Times New Roman" w:cs="Arial"/>
          <w:color w:val="000000"/>
        </w:rPr>
        <w:t>no direct ownership interest in an LLC’s</w:t>
      </w:r>
      <w:r w:rsidRPr="00F17B44" w:rsidR="00053A88">
        <w:rPr>
          <w:rFonts w:eastAsia="Times New Roman" w:cs="Arial"/>
          <w:color w:val="000000"/>
        </w:rPr>
        <w:t xml:space="preserve"> </w:t>
      </w:r>
      <w:r w:rsidRPr="00F17B44" w:rsidR="00EE0DEE">
        <w:rPr>
          <w:rFonts w:eastAsia="Times New Roman" w:cs="Arial"/>
          <w:color w:val="000000"/>
        </w:rPr>
        <w:t xml:space="preserve">assets, and as such, ownership of such interests is not simply a method of holding title </w:t>
      </w:r>
      <w:r w:rsidRPr="00F17B44" w:rsidR="00905BE7">
        <w:rPr>
          <w:rFonts w:eastAsia="Times New Roman" w:cs="Arial"/>
          <w:color w:val="000000"/>
        </w:rPr>
        <w:t>tantamount</w:t>
      </w:r>
      <w:r w:rsidRPr="00F17B44" w:rsidR="00EE0DEE">
        <w:rPr>
          <w:rFonts w:eastAsia="Times New Roman" w:cs="Arial"/>
          <w:color w:val="000000"/>
        </w:rPr>
        <w:t xml:space="preserve"> to direct ownership.  The </w:t>
      </w:r>
      <w:r w:rsidRPr="00F17B44" w:rsidR="00053A88">
        <w:rPr>
          <w:rFonts w:eastAsia="Times New Roman" w:cs="Arial"/>
          <w:color w:val="000000"/>
        </w:rPr>
        <w:t>L</w:t>
      </w:r>
      <w:r w:rsidRPr="00F17B44" w:rsidR="00EE0DEE">
        <w:rPr>
          <w:rFonts w:eastAsia="Times New Roman" w:cs="Arial"/>
          <w:color w:val="000000"/>
        </w:rPr>
        <w:t>egal Department has also opined that for property tax purposes</w:t>
      </w:r>
      <w:r w:rsidRPr="00F17B44" w:rsidR="00053A88">
        <w:rPr>
          <w:rFonts w:eastAsia="Times New Roman" w:cs="Arial"/>
          <w:color w:val="000000"/>
        </w:rPr>
        <w:t>,</w:t>
      </w:r>
      <w:r w:rsidRPr="00F17B44" w:rsidR="00EE0DEE">
        <w:rPr>
          <w:rFonts w:eastAsia="Times New Roman" w:cs="Arial"/>
          <w:color w:val="000000"/>
        </w:rPr>
        <w:t xml:space="preserve"> an LLC is a separate and distinct entity from its sole member.  Thus, although limited liability companies may be treated as a disregarded entity and ‘looked through’ for income tax purposes, such is not the case for Calif</w:t>
      </w:r>
      <w:r w:rsidRPr="00F17B44" w:rsidR="00DC1CF8">
        <w:rPr>
          <w:rFonts w:eastAsia="Times New Roman" w:cs="Arial"/>
          <w:color w:val="000000"/>
        </w:rPr>
        <w:t>ornia</w:t>
      </w:r>
      <w:r w:rsidRPr="00F17B44" w:rsidR="00EE0DEE">
        <w:rPr>
          <w:rFonts w:eastAsia="Times New Roman" w:cs="Arial"/>
          <w:color w:val="000000"/>
        </w:rPr>
        <w:t xml:space="preserve"> property tax purposes.</w:t>
      </w:r>
      <w:r w:rsidRPr="00F17B44" w:rsidR="00053A88">
        <w:rPr>
          <w:rFonts w:eastAsia="Times New Roman" w:cs="Arial"/>
          <w:color w:val="000000"/>
        </w:rPr>
        <w:t>”  (</w:t>
      </w:r>
      <w:r w:rsidRPr="00F17B44" w:rsidR="00C10AE5">
        <w:rPr>
          <w:rFonts w:eastAsia="Times New Roman" w:cs="Arial"/>
          <w:color w:val="000000"/>
        </w:rPr>
        <w:t>California State Board of Equalization, Property Tax Annotation 735.0009</w:t>
      </w:r>
      <w:r w:rsidR="00C10AE5">
        <w:rPr>
          <w:rFonts w:eastAsia="Times New Roman" w:cs="Arial"/>
          <w:color w:val="000000"/>
        </w:rPr>
        <w:t xml:space="preserve">, </w:t>
      </w:r>
      <w:r w:rsidRPr="00F17B44" w:rsidR="00053A88">
        <w:rPr>
          <w:rFonts w:eastAsia="Times New Roman" w:cs="Arial"/>
          <w:color w:val="000000"/>
        </w:rPr>
        <w:t xml:space="preserve">at p. 3, fn. omitted.)  </w:t>
      </w:r>
      <w:r w:rsidRPr="00F17B44" w:rsidR="00CD28D0">
        <w:rPr>
          <w:rFonts w:eastAsia="Times New Roman" w:cs="Arial"/>
          <w:color w:val="000000"/>
        </w:rPr>
        <w:t>“</w:t>
      </w:r>
      <w:r w:rsidRPr="00F17B44" w:rsidR="00EE0DEE">
        <w:rPr>
          <w:rFonts w:eastAsia="Times New Roman" w:cs="Arial"/>
          <w:color w:val="000000"/>
        </w:rPr>
        <w:t>[</w:t>
      </w:r>
      <w:r w:rsidRPr="00F17B44" w:rsidR="00CD28D0">
        <w:rPr>
          <w:rFonts w:eastAsia="Times New Roman" w:cs="Arial"/>
          <w:color w:val="000000"/>
        </w:rPr>
        <w:t>A] member of a limited liability company does not hold any interest in the real property owned by the limited liability company.  Once members contribute assets to an LLC, those assets become</w:t>
      </w:r>
      <w:r w:rsidRPr="00F17B44" w:rsidR="00EE0DEE">
        <w:rPr>
          <w:rFonts w:eastAsia="Times New Roman" w:cs="Arial"/>
          <w:color w:val="000000"/>
        </w:rPr>
        <w:t xml:space="preserve"> assets of the LLC and the members lose any direct ownership interest they had in the assets.”  (</w:t>
      </w:r>
      <w:r w:rsidRPr="00F17B44" w:rsidR="00EE0DEE">
        <w:rPr>
          <w:rFonts w:eastAsia="Times New Roman" w:cs="Arial"/>
          <w:i/>
          <w:iCs/>
          <w:color w:val="000000"/>
        </w:rPr>
        <w:t xml:space="preserve">Id. </w:t>
      </w:r>
      <w:r w:rsidRPr="00F17B44" w:rsidR="00EE0DEE">
        <w:rPr>
          <w:rFonts w:eastAsia="Times New Roman" w:cs="Arial"/>
          <w:color w:val="000000"/>
        </w:rPr>
        <w:t>at p. 2</w:t>
      </w:r>
      <w:r w:rsidRPr="00F17B44" w:rsidR="00053A88">
        <w:rPr>
          <w:rFonts w:eastAsia="Times New Roman" w:cs="Arial"/>
          <w:color w:val="000000"/>
        </w:rPr>
        <w:t>, fns. omitted</w:t>
      </w:r>
      <w:r w:rsidRPr="00F17B44" w:rsidR="00EE0DEE">
        <w:rPr>
          <w:rFonts w:eastAsia="Times New Roman" w:cs="Arial"/>
          <w:color w:val="000000"/>
        </w:rPr>
        <w:t xml:space="preserve">.)  </w:t>
      </w:r>
    </w:p>
    <w:p w:rsidR="00BC338E" w:rsidRPr="00F17B44" w:rsidP="00AF3FA4" w14:paraId="7F97C49A" w14:textId="0CC187C3">
      <w:pPr>
        <w:ind w:firstLine="720"/>
        <w:rPr>
          <w:rFonts w:eastAsia="Times New Roman" w:cs="Arial"/>
          <w:color w:val="000000"/>
        </w:rPr>
      </w:pPr>
      <w:r w:rsidRPr="00F17B44">
        <w:rPr>
          <w:rFonts w:eastAsia="Times New Roman" w:cs="Arial"/>
          <w:color w:val="000000"/>
        </w:rPr>
        <w:t xml:space="preserve">The Board cited secondly to </w:t>
      </w:r>
      <w:r w:rsidRPr="00F17B44" w:rsidR="00053A88">
        <w:rPr>
          <w:rFonts w:eastAsia="Times New Roman" w:cs="Arial"/>
          <w:color w:val="000000"/>
        </w:rPr>
        <w:t xml:space="preserve">Government Code </w:t>
      </w:r>
      <w:r w:rsidRPr="00F17B44">
        <w:rPr>
          <w:rFonts w:eastAsia="Times New Roman" w:cs="Arial"/>
          <w:color w:val="000000"/>
        </w:rPr>
        <w:t>section 7510, subdivision (b)(3).  “That section provides specifically that investment by a state public retirement system in a legal entity that invests assets in real property and improvements is not an investment by the state public retirement system of assets in the real property and improvements themselves.”  (</w:t>
      </w:r>
      <w:r w:rsidRPr="00F17B44" w:rsidR="00053A88">
        <w:rPr>
          <w:rFonts w:eastAsia="Times New Roman" w:cs="Arial"/>
          <w:color w:val="000000"/>
        </w:rPr>
        <w:t xml:space="preserve">California State Board of Equalization, Property Tax Annotation 735.0009, Retirement Systems (Public) Property, </w:t>
      </w:r>
      <w:r w:rsidRPr="00F17B44" w:rsidR="00053A88">
        <w:rPr>
          <w:rFonts w:eastAsia="Times New Roman" w:cs="Arial"/>
          <w:i/>
          <w:iCs/>
          <w:color w:val="000000"/>
        </w:rPr>
        <w:t>supra</w:t>
      </w:r>
      <w:r w:rsidRPr="00F17B44" w:rsidR="00053A88">
        <w:rPr>
          <w:rFonts w:eastAsia="Times New Roman" w:cs="Arial"/>
          <w:color w:val="000000"/>
        </w:rPr>
        <w:t xml:space="preserve">, </w:t>
      </w:r>
      <w:r w:rsidRPr="00F17B44" w:rsidR="00AF3FA4">
        <w:rPr>
          <w:rFonts w:eastAsia="Times New Roman" w:cs="Arial"/>
          <w:color w:val="000000"/>
        </w:rPr>
        <w:t>at pp. 3</w:t>
      </w:r>
      <w:r w:rsidRPr="00F17B44" w:rsidR="00053A88">
        <w:rPr>
          <w:rFonts w:eastAsia="Times New Roman" w:cs="Arial"/>
          <w:color w:val="000000"/>
        </w:rPr>
        <w:t>–</w:t>
      </w:r>
      <w:r w:rsidRPr="00F17B44" w:rsidR="00AF3FA4">
        <w:rPr>
          <w:rFonts w:eastAsia="Times New Roman" w:cs="Arial"/>
          <w:color w:val="000000"/>
        </w:rPr>
        <w:t xml:space="preserve">4.)  The Board expressly rejected the assertion </w:t>
      </w:r>
      <w:r w:rsidRPr="00F17B44" w:rsidR="00053A88">
        <w:rPr>
          <w:rFonts w:eastAsia="Times New Roman" w:cs="Arial"/>
          <w:color w:val="000000"/>
        </w:rPr>
        <w:t xml:space="preserve">Government Code </w:t>
      </w:r>
      <w:r w:rsidRPr="00F17B44" w:rsidR="00AF3FA4">
        <w:rPr>
          <w:rFonts w:eastAsia="Times New Roman" w:cs="Arial"/>
          <w:color w:val="000000"/>
        </w:rPr>
        <w:t>section 7510 is “meant to address partial ownership” and not “wholly owned legal entities” as “not supported by the plain language of the statute.”  (</w:t>
      </w:r>
      <w:r w:rsidRPr="00F17B44" w:rsidR="00C10AE5">
        <w:rPr>
          <w:rFonts w:eastAsia="Times New Roman" w:cs="Arial"/>
          <w:color w:val="000000"/>
        </w:rPr>
        <w:t>California State Board of Equalization, Property Tax Annotation 735.0009</w:t>
      </w:r>
      <w:r w:rsidR="00C10AE5">
        <w:rPr>
          <w:rFonts w:eastAsia="Times New Roman" w:cs="Arial"/>
          <w:color w:val="000000"/>
        </w:rPr>
        <w:t xml:space="preserve">, </w:t>
      </w:r>
      <w:r w:rsidRPr="00F17B44" w:rsidR="00AF3FA4">
        <w:rPr>
          <w:rFonts w:eastAsia="Times New Roman" w:cs="Arial"/>
          <w:color w:val="000000"/>
        </w:rPr>
        <w:t>at p. 4.)  “If the legislature did not intend for this subdivision to apply to wholly owned legal entities, the legislature could have so provided.”  (</w:t>
      </w:r>
      <w:r w:rsidRPr="00F17B44" w:rsidR="00AF3FA4">
        <w:rPr>
          <w:rFonts w:eastAsia="Times New Roman" w:cs="Arial"/>
          <w:i/>
          <w:iCs/>
          <w:color w:val="000000"/>
        </w:rPr>
        <w:t>Ibid.</w:t>
      </w:r>
      <w:r w:rsidRPr="00F17B44" w:rsidR="00AF3FA4">
        <w:rPr>
          <w:rFonts w:eastAsia="Times New Roman" w:cs="Arial"/>
          <w:color w:val="000000"/>
        </w:rPr>
        <w:t>)</w:t>
      </w:r>
      <w:r w:rsidRPr="00F17B44">
        <w:rPr>
          <w:rFonts w:eastAsia="Times New Roman" w:cs="Arial"/>
          <w:color w:val="000000"/>
        </w:rPr>
        <w:t xml:space="preserve">  </w:t>
      </w:r>
    </w:p>
    <w:p w:rsidR="00AF3FA4" w:rsidRPr="00F17B44" w:rsidP="00AF3FA4" w14:paraId="08E68C07" w14:textId="0BA6991B">
      <w:pPr>
        <w:ind w:firstLine="720"/>
        <w:rPr>
          <w:rFonts w:eastAsia="Times New Roman" w:cs="Arial"/>
          <w:color w:val="000000"/>
        </w:rPr>
      </w:pPr>
      <w:r w:rsidRPr="00F17B44">
        <w:rPr>
          <w:rFonts w:eastAsia="Times New Roman" w:cs="Arial"/>
          <w:color w:val="000000"/>
        </w:rPr>
        <w:t>In the more than a decade that has ensued since the Board of Equalization’s opinion, the Legislature has taken no action to alter the propositions therein articulated.</w:t>
      </w:r>
      <w:r>
        <w:rPr>
          <w:rStyle w:val="FootnoteReference"/>
          <w:rFonts w:eastAsia="Times New Roman" w:cs="Arial"/>
          <w:color w:val="000000"/>
        </w:rPr>
        <w:footnoteReference w:id="16"/>
      </w:r>
      <w:r w:rsidRPr="00F17B44">
        <w:rPr>
          <w:rFonts w:eastAsia="Times New Roman" w:cs="Arial"/>
          <w:color w:val="000000"/>
        </w:rPr>
        <w:t xml:space="preserve">  (See </w:t>
      </w:r>
      <w:r w:rsidRPr="00F17B44" w:rsidR="00F7137F">
        <w:rPr>
          <w:rFonts w:eastAsia="Times New Roman" w:cs="Arial"/>
          <w:i/>
          <w:iCs/>
          <w:color w:val="000000"/>
        </w:rPr>
        <w:t>Towner, supra,</w:t>
      </w:r>
      <w:r w:rsidRPr="00F17B44" w:rsidR="00F7137F">
        <w:rPr>
          <w:rFonts w:eastAsia="Times New Roman" w:cs="Arial"/>
          <w:color w:val="000000"/>
        </w:rPr>
        <w:t xml:space="preserve"> 63 Cal.App.5th at p.</w:t>
      </w:r>
      <w:r w:rsidRPr="00F17B44" w:rsidR="00551509">
        <w:rPr>
          <w:rFonts w:eastAsia="Times New Roman" w:cs="Arial"/>
          <w:color w:val="000000"/>
        </w:rPr>
        <w:t> </w:t>
      </w:r>
      <w:r w:rsidRPr="00F17B44" w:rsidR="00F7137F">
        <w:rPr>
          <w:rFonts w:eastAsia="Times New Roman" w:cs="Arial"/>
          <w:color w:val="000000"/>
        </w:rPr>
        <w:t>773</w:t>
      </w:r>
      <w:r w:rsidRPr="00F17B44">
        <w:rPr>
          <w:rFonts w:eastAsia="Times New Roman" w:cs="Arial"/>
          <w:color w:val="000000"/>
        </w:rPr>
        <w:t xml:space="preserve">.)  </w:t>
      </w:r>
    </w:p>
    <w:p w:rsidR="000E65F9" w:rsidRPr="00F17B44" w:rsidP="003B25C2" w14:paraId="587DB831" w14:textId="302E316E">
      <w:pPr>
        <w:ind w:firstLine="720"/>
        <w:rPr>
          <w:rFonts w:eastAsia="Times New Roman" w:cs="Arial"/>
          <w:color w:val="000000"/>
        </w:rPr>
      </w:pPr>
      <w:r w:rsidRPr="00F17B44">
        <w:rPr>
          <w:rFonts w:eastAsia="Times New Roman" w:cs="Arial"/>
          <w:color w:val="000000"/>
        </w:rPr>
        <w:t>Given th</w:t>
      </w:r>
      <w:r w:rsidRPr="00F17B44" w:rsidR="00E05B64">
        <w:rPr>
          <w:rFonts w:eastAsia="Times New Roman" w:cs="Arial"/>
          <w:color w:val="000000"/>
        </w:rPr>
        <w:t xml:space="preserve">ese </w:t>
      </w:r>
      <w:r w:rsidRPr="00F17B44">
        <w:rPr>
          <w:rFonts w:eastAsia="Times New Roman" w:cs="Arial"/>
          <w:color w:val="000000"/>
        </w:rPr>
        <w:t xml:space="preserve">legislative </w:t>
      </w:r>
      <w:r w:rsidRPr="00F17B44" w:rsidR="00DC1CF8">
        <w:rPr>
          <w:rFonts w:eastAsia="Times New Roman" w:cs="Arial"/>
          <w:color w:val="000000"/>
        </w:rPr>
        <w:t xml:space="preserve">and administrative </w:t>
      </w:r>
      <w:r w:rsidRPr="00F17B44">
        <w:rPr>
          <w:rFonts w:eastAsia="Times New Roman" w:cs="Arial"/>
          <w:color w:val="000000"/>
        </w:rPr>
        <w:t>pronouncements acknowledg</w:t>
      </w:r>
      <w:r w:rsidRPr="00F17B44" w:rsidR="00E05B64">
        <w:rPr>
          <w:rFonts w:eastAsia="Times New Roman" w:cs="Arial"/>
          <w:color w:val="000000"/>
        </w:rPr>
        <w:t>ing that g</w:t>
      </w:r>
      <w:r w:rsidRPr="00F17B44">
        <w:rPr>
          <w:rFonts w:eastAsia="Times New Roman" w:cs="Arial"/>
          <w:color w:val="000000"/>
        </w:rPr>
        <w:t>overnment entities can be members</w:t>
      </w:r>
      <w:r w:rsidRPr="00F17B44" w:rsidR="00C23CBB">
        <w:rPr>
          <w:rFonts w:eastAsia="Times New Roman" w:cs="Arial"/>
          <w:color w:val="000000"/>
        </w:rPr>
        <w:t>, and even the sole member,</w:t>
      </w:r>
      <w:r w:rsidRPr="00F17B44">
        <w:rPr>
          <w:rFonts w:eastAsia="Times New Roman" w:cs="Arial"/>
          <w:color w:val="000000"/>
        </w:rPr>
        <w:t xml:space="preserve"> of an LLC and reinforc</w:t>
      </w:r>
      <w:r w:rsidRPr="00F17B44" w:rsidR="00E05B64">
        <w:rPr>
          <w:rFonts w:eastAsia="Times New Roman" w:cs="Arial"/>
          <w:color w:val="000000"/>
        </w:rPr>
        <w:t>ing</w:t>
      </w:r>
      <w:r w:rsidRPr="00F17B44">
        <w:rPr>
          <w:rFonts w:eastAsia="Times New Roman" w:cs="Arial"/>
          <w:color w:val="000000"/>
        </w:rPr>
        <w:t xml:space="preserve"> the separateness of LLCs from its members</w:t>
      </w:r>
      <w:r w:rsidRPr="00F17B44" w:rsidR="00C23CBB">
        <w:rPr>
          <w:rFonts w:eastAsia="Times New Roman" w:cs="Arial"/>
          <w:color w:val="000000"/>
        </w:rPr>
        <w:t>,</w:t>
      </w:r>
      <w:r w:rsidRPr="00F17B44" w:rsidR="0061438A">
        <w:rPr>
          <w:rFonts w:eastAsia="Times New Roman" w:cs="Arial"/>
          <w:color w:val="000000"/>
        </w:rPr>
        <w:t xml:space="preserve"> </w:t>
      </w:r>
      <w:r w:rsidRPr="00F17B44" w:rsidR="00E05B64">
        <w:rPr>
          <w:rFonts w:eastAsia="Times New Roman" w:cs="Arial"/>
          <w:color w:val="000000"/>
        </w:rPr>
        <w:t xml:space="preserve">and </w:t>
      </w:r>
      <w:r w:rsidRPr="00F17B44">
        <w:rPr>
          <w:rFonts w:eastAsia="Times New Roman" w:cs="Arial"/>
          <w:color w:val="000000"/>
        </w:rPr>
        <w:t>even a sole member, we conclude th</w:t>
      </w:r>
      <w:r w:rsidRPr="00F17B44" w:rsidR="0061438A">
        <w:rPr>
          <w:rFonts w:eastAsia="Times New Roman" w:cs="Arial"/>
          <w:color w:val="000000"/>
        </w:rPr>
        <w:t>ese</w:t>
      </w:r>
      <w:r w:rsidRPr="00F17B44">
        <w:rPr>
          <w:rFonts w:eastAsia="Times New Roman" w:cs="Arial"/>
          <w:color w:val="000000"/>
        </w:rPr>
        <w:t xml:space="preserve"> </w:t>
      </w:r>
      <w:r w:rsidRPr="00F17B44" w:rsidR="00E05B64">
        <w:rPr>
          <w:rFonts w:eastAsia="Times New Roman" w:cs="Arial"/>
          <w:color w:val="000000"/>
        </w:rPr>
        <w:t xml:space="preserve">propositions </w:t>
      </w:r>
      <w:r w:rsidRPr="00F17B44">
        <w:rPr>
          <w:rFonts w:eastAsia="Times New Roman" w:cs="Arial"/>
          <w:color w:val="000000"/>
        </w:rPr>
        <w:t>reasonably extend to the documentary transfer tax</w:t>
      </w:r>
      <w:r w:rsidRPr="00F17B44" w:rsidR="00DC1CF8">
        <w:rPr>
          <w:rFonts w:eastAsia="Times New Roman" w:cs="Arial"/>
          <w:color w:val="000000"/>
        </w:rPr>
        <w:t xml:space="preserve"> context</w:t>
      </w:r>
      <w:r w:rsidRPr="00F17B44">
        <w:rPr>
          <w:rFonts w:eastAsia="Times New Roman" w:cs="Arial"/>
          <w:color w:val="000000"/>
        </w:rPr>
        <w:t>.</w:t>
      </w:r>
      <w:r w:rsidRPr="00F17B44" w:rsidR="00E05B64">
        <w:rPr>
          <w:rFonts w:eastAsia="Times New Roman" w:cs="Arial"/>
          <w:color w:val="000000"/>
        </w:rPr>
        <w:t xml:space="preserve">  </w:t>
      </w:r>
      <w:r w:rsidRPr="00F17B44" w:rsidR="00DC1CF8">
        <w:rPr>
          <w:rFonts w:eastAsia="Times New Roman" w:cs="Arial"/>
          <w:color w:val="000000"/>
        </w:rPr>
        <w:t xml:space="preserve">This also </w:t>
      </w:r>
      <w:r w:rsidRPr="00F17B44" w:rsidR="00F46BAE">
        <w:rPr>
          <w:rFonts w:eastAsia="Times New Roman" w:cs="Arial"/>
          <w:color w:val="000000"/>
        </w:rPr>
        <w:t xml:space="preserve">comports with the Legislature’s concern that </w:t>
      </w:r>
      <w:r w:rsidRPr="00F17B44">
        <w:rPr>
          <w:rFonts w:eastAsia="Times New Roman" w:cs="Arial"/>
          <w:color w:val="000000"/>
        </w:rPr>
        <w:t xml:space="preserve">cities and counties </w:t>
      </w:r>
      <w:r w:rsidRPr="00F17B44" w:rsidR="00F46BAE">
        <w:rPr>
          <w:rFonts w:eastAsia="Times New Roman" w:cs="Arial"/>
          <w:color w:val="000000"/>
        </w:rPr>
        <w:t>not lose tax revenue they would other</w:t>
      </w:r>
      <w:r w:rsidRPr="00F17B44" w:rsidR="00C23CBB">
        <w:rPr>
          <w:rFonts w:eastAsia="Times New Roman" w:cs="Arial"/>
          <w:color w:val="000000"/>
        </w:rPr>
        <w:t>wise</w:t>
      </w:r>
      <w:r w:rsidRPr="00F17B44" w:rsidR="00F46BAE">
        <w:rPr>
          <w:rFonts w:eastAsia="Times New Roman" w:cs="Arial"/>
          <w:color w:val="000000"/>
        </w:rPr>
        <w:t xml:space="preserve"> </w:t>
      </w:r>
      <w:r w:rsidRPr="00F17B44" w:rsidR="00C23CBB">
        <w:rPr>
          <w:rFonts w:eastAsia="Times New Roman" w:cs="Arial"/>
          <w:color w:val="000000"/>
        </w:rPr>
        <w:t>derive</w:t>
      </w:r>
      <w:r w:rsidRPr="00F17B44" w:rsidR="00F46BAE">
        <w:rPr>
          <w:rFonts w:eastAsia="Times New Roman" w:cs="Arial"/>
          <w:color w:val="000000"/>
        </w:rPr>
        <w:t xml:space="preserve"> from </w:t>
      </w:r>
      <w:r w:rsidRPr="00F17B44">
        <w:rPr>
          <w:rFonts w:eastAsia="Times New Roman" w:cs="Arial"/>
          <w:color w:val="000000"/>
        </w:rPr>
        <w:t xml:space="preserve">a </w:t>
      </w:r>
      <w:r w:rsidRPr="00F17B44" w:rsidR="00F46BAE">
        <w:rPr>
          <w:rFonts w:eastAsia="Times New Roman" w:cs="Arial"/>
          <w:color w:val="000000"/>
        </w:rPr>
        <w:t xml:space="preserve">private sale of </w:t>
      </w:r>
      <w:r w:rsidRPr="00F17B44" w:rsidR="00DC1CF8">
        <w:rPr>
          <w:rFonts w:eastAsia="Times New Roman" w:cs="Arial"/>
          <w:color w:val="000000"/>
        </w:rPr>
        <w:t xml:space="preserve">an </w:t>
      </w:r>
      <w:r w:rsidRPr="00F17B44" w:rsidR="00F46BAE">
        <w:rPr>
          <w:rFonts w:eastAsia="Times New Roman" w:cs="Arial"/>
          <w:color w:val="000000"/>
        </w:rPr>
        <w:t>investment propert</w:t>
      </w:r>
      <w:r w:rsidRPr="00F17B44" w:rsidR="00DC1CF8">
        <w:rPr>
          <w:rFonts w:eastAsia="Times New Roman" w:cs="Arial"/>
          <w:color w:val="000000"/>
        </w:rPr>
        <w:t>y</w:t>
      </w:r>
      <w:r w:rsidRPr="00F17B44" w:rsidR="00E05B64">
        <w:rPr>
          <w:rFonts w:eastAsia="Times New Roman" w:cs="Arial"/>
          <w:color w:val="000000"/>
        </w:rPr>
        <w:t>,</w:t>
      </w:r>
      <w:r w:rsidRPr="00F17B44" w:rsidR="00F46BAE">
        <w:rPr>
          <w:rFonts w:eastAsia="Times New Roman" w:cs="Arial"/>
          <w:color w:val="000000"/>
        </w:rPr>
        <w:t xml:space="preserve"> </w:t>
      </w:r>
      <w:r w:rsidRPr="00F17B44" w:rsidR="00DC1CF8">
        <w:rPr>
          <w:rFonts w:eastAsia="Times New Roman" w:cs="Arial"/>
          <w:color w:val="000000"/>
        </w:rPr>
        <w:t xml:space="preserve">when the property is </w:t>
      </w:r>
      <w:r w:rsidRPr="00F17B44" w:rsidR="00F46BAE">
        <w:rPr>
          <w:rFonts w:eastAsia="Times New Roman" w:cs="Arial"/>
          <w:color w:val="000000"/>
        </w:rPr>
        <w:t xml:space="preserve">procured by a </w:t>
      </w:r>
      <w:r w:rsidRPr="00F17B44" w:rsidR="00905BE7">
        <w:rPr>
          <w:rFonts w:eastAsia="Times New Roman" w:cs="Arial"/>
          <w:color w:val="000000"/>
        </w:rPr>
        <w:t>tax-exempt</w:t>
      </w:r>
      <w:r w:rsidRPr="00F17B44">
        <w:rPr>
          <w:rFonts w:eastAsia="Times New Roman" w:cs="Arial"/>
          <w:color w:val="000000"/>
        </w:rPr>
        <w:t xml:space="preserve"> public retirement system</w:t>
      </w:r>
      <w:r w:rsidRPr="00F17B44" w:rsidR="00F46BAE">
        <w:rPr>
          <w:rFonts w:eastAsia="Times New Roman" w:cs="Arial"/>
          <w:color w:val="000000"/>
        </w:rPr>
        <w:t xml:space="preserve">.  </w:t>
      </w:r>
      <w:r w:rsidRPr="00F17B44" w:rsidR="00B05C18">
        <w:rPr>
          <w:rFonts w:eastAsia="Times New Roman" w:cs="Arial"/>
          <w:color w:val="000000"/>
        </w:rPr>
        <w:t>Government Code s</w:t>
      </w:r>
      <w:r w:rsidRPr="00F17B44" w:rsidR="00F46BAE">
        <w:rPr>
          <w:rFonts w:eastAsia="Times New Roman" w:cs="Arial"/>
          <w:color w:val="000000"/>
        </w:rPr>
        <w:t xml:space="preserve">ection 7510 </w:t>
      </w:r>
      <w:r w:rsidRPr="00F17B44" w:rsidR="00C23CBB">
        <w:rPr>
          <w:rFonts w:eastAsia="Times New Roman" w:cs="Arial"/>
          <w:color w:val="000000"/>
        </w:rPr>
        <w:t>resolves this problem with respect to the loss of property tax revenue through the taxation of lessees’ personal property interests.  That, of course, is not a strategy that can be employed to recoup a lost documentary transfer tax.  Th</w:t>
      </w:r>
      <w:r w:rsidRPr="00F17B44" w:rsidR="002B425D">
        <w:rPr>
          <w:rFonts w:eastAsia="Times New Roman" w:cs="Arial"/>
          <w:color w:val="000000"/>
        </w:rPr>
        <w:t>is</w:t>
      </w:r>
      <w:r w:rsidRPr="00F17B44" w:rsidR="00C23CBB">
        <w:rPr>
          <w:rFonts w:eastAsia="Times New Roman" w:cs="Arial"/>
          <w:color w:val="000000"/>
        </w:rPr>
        <w:t xml:space="preserve"> loss is mitigated, however, by acknowledging the separateness of </w:t>
      </w:r>
      <w:r w:rsidRPr="00F17B44" w:rsidR="00905BE7">
        <w:rPr>
          <w:rFonts w:eastAsia="Times New Roman" w:cs="Arial"/>
          <w:color w:val="000000"/>
        </w:rPr>
        <w:t>an</w:t>
      </w:r>
      <w:r w:rsidRPr="00F17B44" w:rsidR="00C23CBB">
        <w:rPr>
          <w:rFonts w:eastAsia="Times New Roman" w:cs="Arial"/>
          <w:color w:val="000000"/>
        </w:rPr>
        <w:t xml:space="preserve"> LLC </w:t>
      </w:r>
      <w:r w:rsidRPr="00F17B44" w:rsidR="00DC1CF8">
        <w:rPr>
          <w:rFonts w:eastAsia="Times New Roman" w:cs="Arial"/>
          <w:color w:val="000000"/>
        </w:rPr>
        <w:t xml:space="preserve">or any other </w:t>
      </w:r>
      <w:r w:rsidRPr="00F17B44">
        <w:rPr>
          <w:rFonts w:eastAsia="Times New Roman" w:cs="Arial"/>
          <w:color w:val="000000"/>
        </w:rPr>
        <w:t xml:space="preserve">legal </w:t>
      </w:r>
      <w:r w:rsidRPr="00F17B44" w:rsidR="00DC1CF8">
        <w:rPr>
          <w:rFonts w:eastAsia="Times New Roman" w:cs="Arial"/>
          <w:color w:val="000000"/>
        </w:rPr>
        <w:t xml:space="preserve">entity </w:t>
      </w:r>
      <w:r w:rsidRPr="00F17B44">
        <w:rPr>
          <w:rFonts w:eastAsia="Times New Roman" w:cs="Arial"/>
          <w:color w:val="000000"/>
        </w:rPr>
        <w:t>through which a public retirement system</w:t>
      </w:r>
      <w:r w:rsidRPr="00F17B44" w:rsidR="00C23CBB">
        <w:rPr>
          <w:rFonts w:eastAsia="Times New Roman" w:cs="Arial"/>
          <w:color w:val="000000"/>
        </w:rPr>
        <w:t xml:space="preserve"> </w:t>
      </w:r>
      <w:r w:rsidRPr="00F17B44">
        <w:rPr>
          <w:rFonts w:eastAsia="Times New Roman" w:cs="Arial"/>
          <w:color w:val="000000"/>
        </w:rPr>
        <w:t xml:space="preserve">acquires the property.  </w:t>
      </w:r>
    </w:p>
    <w:p w:rsidR="00C927B4" w:rsidRPr="00F17B44" w:rsidP="003B25C2" w14:paraId="07D3311A" w14:textId="06F1892B">
      <w:pPr>
        <w:ind w:firstLine="720"/>
        <w:rPr>
          <w:rFonts w:eastAsia="Times New Roman" w:cs="Arial"/>
          <w:color w:val="000000"/>
        </w:rPr>
      </w:pPr>
      <w:r w:rsidRPr="00F17B44">
        <w:rPr>
          <w:rFonts w:eastAsia="Times New Roman" w:cs="Arial"/>
          <w:color w:val="000000"/>
        </w:rPr>
        <w:t>T</w:t>
      </w:r>
      <w:r w:rsidRPr="00F17B44" w:rsidR="00D70BE8">
        <w:rPr>
          <w:rFonts w:eastAsia="Times New Roman" w:cs="Arial"/>
          <w:color w:val="000000"/>
        </w:rPr>
        <w:t xml:space="preserve">he </w:t>
      </w:r>
      <w:r w:rsidRPr="00F17B44" w:rsidR="0061438A">
        <w:rPr>
          <w:rFonts w:eastAsia="Times New Roman" w:cs="Arial"/>
          <w:color w:val="000000"/>
        </w:rPr>
        <w:t>Legislature could</w:t>
      </w:r>
      <w:r w:rsidRPr="00F17B44">
        <w:rPr>
          <w:rFonts w:eastAsia="Times New Roman" w:cs="Arial"/>
          <w:color w:val="000000"/>
        </w:rPr>
        <w:t>, of course,</w:t>
      </w:r>
      <w:r w:rsidRPr="00F17B44" w:rsidR="0061438A">
        <w:rPr>
          <w:rFonts w:eastAsia="Times New Roman" w:cs="Arial"/>
          <w:color w:val="000000"/>
        </w:rPr>
        <w:t xml:space="preserve"> enact legislation providing that </w:t>
      </w:r>
      <w:r w:rsidRPr="00F17B44">
        <w:rPr>
          <w:rFonts w:eastAsia="Times New Roman" w:cs="Arial"/>
          <w:color w:val="000000"/>
        </w:rPr>
        <w:t xml:space="preserve">such </w:t>
      </w:r>
      <w:r w:rsidRPr="00F17B44" w:rsidR="0061438A">
        <w:rPr>
          <w:rFonts w:eastAsia="Times New Roman" w:cs="Arial"/>
          <w:color w:val="000000"/>
        </w:rPr>
        <w:t xml:space="preserve">separateness </w:t>
      </w:r>
      <w:r w:rsidRPr="00F17B44" w:rsidR="003B25C2">
        <w:rPr>
          <w:rFonts w:eastAsia="Times New Roman" w:cs="Arial"/>
          <w:color w:val="000000"/>
        </w:rPr>
        <w:t xml:space="preserve">be </w:t>
      </w:r>
      <w:r w:rsidRPr="00F17B44" w:rsidR="0061438A">
        <w:rPr>
          <w:rFonts w:eastAsia="Times New Roman" w:cs="Arial"/>
          <w:color w:val="000000"/>
        </w:rPr>
        <w:t xml:space="preserve">overlooked in the </w:t>
      </w:r>
      <w:r w:rsidRPr="00F17B44" w:rsidR="00D70BE8">
        <w:rPr>
          <w:rFonts w:eastAsia="Times New Roman" w:cs="Arial"/>
          <w:color w:val="000000"/>
        </w:rPr>
        <w:t>context of</w:t>
      </w:r>
      <w:r w:rsidRPr="00F17B44" w:rsidR="0061438A">
        <w:rPr>
          <w:rFonts w:eastAsia="Times New Roman" w:cs="Arial"/>
          <w:color w:val="000000"/>
        </w:rPr>
        <w:t xml:space="preserve"> documentary transfer taxes, </w:t>
      </w:r>
      <w:r w:rsidRPr="00F17B44" w:rsidR="003B25C2">
        <w:rPr>
          <w:rFonts w:eastAsia="Times New Roman" w:cs="Arial"/>
          <w:color w:val="000000"/>
        </w:rPr>
        <w:t xml:space="preserve">just </w:t>
      </w:r>
      <w:r w:rsidRPr="00F17B44" w:rsidR="0061438A">
        <w:rPr>
          <w:rFonts w:eastAsia="Times New Roman" w:cs="Arial"/>
          <w:color w:val="000000"/>
        </w:rPr>
        <w:t xml:space="preserve">as </w:t>
      </w:r>
      <w:r w:rsidRPr="00F17B44" w:rsidR="003B25C2">
        <w:rPr>
          <w:rFonts w:eastAsia="Times New Roman" w:cs="Arial"/>
          <w:color w:val="000000"/>
        </w:rPr>
        <w:t xml:space="preserve">the </w:t>
      </w:r>
      <w:r w:rsidRPr="00F17B44" w:rsidR="00F46BAE">
        <w:rPr>
          <w:rFonts w:eastAsia="Times New Roman" w:cs="Arial"/>
          <w:color w:val="000000"/>
        </w:rPr>
        <w:t xml:space="preserve">LLC </w:t>
      </w:r>
      <w:r w:rsidRPr="00F17B44" w:rsidR="0061438A">
        <w:rPr>
          <w:rFonts w:eastAsia="Times New Roman" w:cs="Arial"/>
          <w:color w:val="000000"/>
        </w:rPr>
        <w:t xml:space="preserve">statutes provide with respect to income taxation.  </w:t>
      </w:r>
      <w:r w:rsidRPr="00F17B44">
        <w:rPr>
          <w:rFonts w:eastAsia="Times New Roman" w:cs="Arial"/>
          <w:color w:val="000000"/>
        </w:rPr>
        <w:t xml:space="preserve">And as we have observed, </w:t>
      </w:r>
      <w:r w:rsidRPr="00F17B44" w:rsidR="0061438A">
        <w:rPr>
          <w:rFonts w:eastAsia="Times New Roman" w:cs="Arial"/>
          <w:color w:val="000000"/>
        </w:rPr>
        <w:t xml:space="preserve">there is some tension between the statutory mandate to CalSTRS to achieve the highest return </w:t>
      </w:r>
      <w:r w:rsidRPr="00F17B44">
        <w:rPr>
          <w:rFonts w:eastAsia="Times New Roman" w:cs="Arial"/>
          <w:color w:val="000000"/>
        </w:rPr>
        <w:t xml:space="preserve">responsibly </w:t>
      </w:r>
      <w:r w:rsidRPr="00F17B44" w:rsidR="0061438A">
        <w:rPr>
          <w:rFonts w:eastAsia="Times New Roman" w:cs="Arial"/>
          <w:color w:val="000000"/>
        </w:rPr>
        <w:t>possible on the retirement funds it manages</w:t>
      </w:r>
      <w:r w:rsidRPr="00F17B44">
        <w:rPr>
          <w:rFonts w:eastAsia="Times New Roman" w:cs="Arial"/>
          <w:color w:val="000000"/>
        </w:rPr>
        <w:t>,</w:t>
      </w:r>
      <w:r w:rsidRPr="00F17B44" w:rsidR="0061438A">
        <w:rPr>
          <w:rFonts w:eastAsia="Times New Roman" w:cs="Arial"/>
          <w:color w:val="000000"/>
        </w:rPr>
        <w:t xml:space="preserve"> and the exaction of </w:t>
      </w:r>
      <w:r w:rsidRPr="00F17B44" w:rsidR="00F46BAE">
        <w:rPr>
          <w:rFonts w:eastAsia="Times New Roman" w:cs="Arial"/>
          <w:color w:val="000000"/>
        </w:rPr>
        <w:t xml:space="preserve">transfer taxes </w:t>
      </w:r>
      <w:r w:rsidRPr="00F17B44" w:rsidR="002B425D">
        <w:rPr>
          <w:rFonts w:eastAsia="Times New Roman" w:cs="Arial"/>
          <w:color w:val="000000"/>
        </w:rPr>
        <w:t>when</w:t>
      </w:r>
      <w:r w:rsidRPr="00F17B44">
        <w:rPr>
          <w:rFonts w:eastAsia="Times New Roman" w:cs="Arial"/>
          <w:color w:val="000000"/>
        </w:rPr>
        <w:t xml:space="preserve"> </w:t>
      </w:r>
      <w:r w:rsidRPr="00F17B44" w:rsidR="00F46BAE">
        <w:rPr>
          <w:rFonts w:eastAsia="Times New Roman" w:cs="Arial"/>
          <w:color w:val="000000"/>
        </w:rPr>
        <w:t xml:space="preserve">CalSTRS </w:t>
      </w:r>
      <w:r w:rsidRPr="00F17B44">
        <w:rPr>
          <w:rFonts w:eastAsia="Times New Roman" w:cs="Arial"/>
          <w:color w:val="000000"/>
        </w:rPr>
        <w:t xml:space="preserve">creates </w:t>
      </w:r>
      <w:r w:rsidRPr="00F17B44" w:rsidR="00905BE7">
        <w:rPr>
          <w:rFonts w:eastAsia="Times New Roman" w:cs="Arial"/>
          <w:color w:val="000000"/>
        </w:rPr>
        <w:t>an</w:t>
      </w:r>
      <w:r w:rsidRPr="00F17B44">
        <w:rPr>
          <w:rFonts w:eastAsia="Times New Roman" w:cs="Arial"/>
          <w:color w:val="000000"/>
        </w:rPr>
        <w:t xml:space="preserve"> </w:t>
      </w:r>
      <w:r w:rsidRPr="00F17B44" w:rsidR="00F46BAE">
        <w:rPr>
          <w:rFonts w:eastAsia="Times New Roman" w:cs="Arial"/>
          <w:color w:val="000000"/>
        </w:rPr>
        <w:t xml:space="preserve">LLP of which it is a sole member to purchase an investment property rather than purchasing the property itself.  </w:t>
      </w:r>
      <w:r w:rsidRPr="00F17B44" w:rsidR="00F7137F">
        <w:rPr>
          <w:rFonts w:eastAsia="Times New Roman" w:cs="Arial"/>
          <w:color w:val="000000"/>
        </w:rPr>
        <w:t>However, r</w:t>
      </w:r>
      <w:r w:rsidRPr="00F17B44" w:rsidR="00F46BAE">
        <w:rPr>
          <w:rFonts w:eastAsia="Times New Roman" w:cs="Arial"/>
          <w:color w:val="000000"/>
        </w:rPr>
        <w:t>econciling th</w:t>
      </w:r>
      <w:r w:rsidRPr="00F17B44" w:rsidR="00F7137F">
        <w:rPr>
          <w:rFonts w:eastAsia="Times New Roman" w:cs="Arial"/>
          <w:color w:val="000000"/>
        </w:rPr>
        <w:t xml:space="preserve">ese varying concerns and </w:t>
      </w:r>
      <w:r w:rsidRPr="00F17B44" w:rsidR="003B25C2">
        <w:rPr>
          <w:rFonts w:eastAsia="Times New Roman" w:cs="Arial"/>
          <w:color w:val="000000"/>
        </w:rPr>
        <w:t>objective</w:t>
      </w:r>
      <w:r w:rsidRPr="00F17B44" w:rsidR="00F7137F">
        <w:rPr>
          <w:rFonts w:eastAsia="Times New Roman" w:cs="Arial"/>
          <w:color w:val="000000"/>
        </w:rPr>
        <w:t>s</w:t>
      </w:r>
      <w:r w:rsidRPr="00F17B44" w:rsidR="003B25C2">
        <w:rPr>
          <w:rFonts w:eastAsia="Times New Roman" w:cs="Arial"/>
          <w:color w:val="000000"/>
        </w:rPr>
        <w:t xml:space="preserve"> is </w:t>
      </w:r>
      <w:r w:rsidRPr="00F17B44" w:rsidR="00F46BAE">
        <w:rPr>
          <w:rFonts w:eastAsia="Times New Roman" w:cs="Arial"/>
          <w:color w:val="000000"/>
        </w:rPr>
        <w:t xml:space="preserve">a matter that remains </w:t>
      </w:r>
      <w:r w:rsidRPr="00F17B44" w:rsidR="003B25C2">
        <w:rPr>
          <w:rFonts w:eastAsia="Times New Roman" w:cs="Arial"/>
          <w:color w:val="000000"/>
        </w:rPr>
        <w:t>with the Legislature.</w:t>
      </w:r>
    </w:p>
    <w:p w:rsidR="000534A6" w:rsidRPr="00F17B44" w:rsidP="00023A24" w14:paraId="33720981" w14:textId="4917E63F">
      <w:pPr>
        <w:keepNext/>
        <w:jc w:val="center"/>
        <w:rPr>
          <w:b/>
          <w:bCs/>
        </w:rPr>
      </w:pPr>
      <w:r w:rsidRPr="00F17B44">
        <w:rPr>
          <w:b/>
          <w:bCs/>
        </w:rPr>
        <w:t>DISPOSITION</w:t>
      </w:r>
    </w:p>
    <w:p w:rsidR="00551509" w:rsidP="00023A24" w14:paraId="431C1DD2" w14:textId="06D0F373">
      <w:pPr>
        <w:keepNext/>
      </w:pPr>
      <w:r w:rsidRPr="00F17B44">
        <w:tab/>
      </w:r>
      <w:r w:rsidRPr="00F17B44" w:rsidR="000534A6">
        <w:t xml:space="preserve">The judgment is affirmed. </w:t>
      </w:r>
      <w:r w:rsidRPr="00F17B44" w:rsidR="00071B56">
        <w:t xml:space="preserve"> </w:t>
      </w:r>
      <w:r w:rsidRPr="00F17B44" w:rsidR="000534A6">
        <w:t>Costs on appeal to respondent.</w:t>
      </w:r>
    </w:p>
    <w:p w:rsidR="00551509" w14:paraId="19183E33" w14:textId="77777777">
      <w:pPr>
        <w:tabs>
          <w:tab w:val="clear" w:pos="720"/>
        </w:tabs>
        <w:spacing w:line="360" w:lineRule="auto"/>
      </w:pPr>
      <w:r>
        <w:br w:type="page"/>
      </w:r>
    </w:p>
    <w:p w:rsidR="00551509" w:rsidP="00551509" w14:paraId="25F1C445" w14:textId="77777777">
      <w:pPr>
        <w:pStyle w:val="Normal2"/>
        <w:rPr>
          <w:rFonts w:ascii="Century Schoolbook" w:hAnsi="Century Schoolbook"/>
        </w:rPr>
      </w:pPr>
    </w:p>
    <w:p w:rsidR="00551509" w:rsidP="00551509" w14:paraId="470363DB" w14:textId="77777777">
      <w:pPr>
        <w:pStyle w:val="Normal2"/>
        <w:rPr>
          <w:rFonts w:ascii="Century Schoolbook" w:hAnsi="Century Schoolbook"/>
        </w:rPr>
      </w:pPr>
    </w:p>
    <w:p w:rsidR="00551509" w:rsidP="00551509" w14:paraId="681AABC3" w14:textId="77777777">
      <w:pPr>
        <w:pStyle w:val="Normal2"/>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w:t>
      </w:r>
    </w:p>
    <w:p w:rsidR="00551509" w:rsidP="00551509" w14:paraId="623C448F" w14:textId="77777777">
      <w:pPr>
        <w:pStyle w:val="Normal2"/>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Banke, J.</w:t>
      </w:r>
    </w:p>
    <w:p w:rsidR="00551509" w:rsidP="00551509" w14:paraId="3D1F114B" w14:textId="77777777">
      <w:pPr>
        <w:pStyle w:val="Normal2"/>
        <w:rPr>
          <w:rFonts w:ascii="Century Schoolbook" w:hAnsi="Century Schoolbook"/>
        </w:rPr>
      </w:pPr>
    </w:p>
    <w:p w:rsidR="00551509" w:rsidP="00551509" w14:paraId="6BE740F0" w14:textId="77777777">
      <w:pPr>
        <w:pStyle w:val="Normal2"/>
        <w:tabs>
          <w:tab w:val="left" w:pos="2860"/>
        </w:tabs>
        <w:rPr>
          <w:rFonts w:ascii="Century Schoolbook" w:hAnsi="Century Schoolbook"/>
        </w:rPr>
      </w:pPr>
      <w:r>
        <w:rPr>
          <w:rFonts w:ascii="Century Schoolbook" w:hAnsi="Century Schoolbook"/>
        </w:rPr>
        <w:tab/>
      </w:r>
    </w:p>
    <w:p w:rsidR="00551509" w:rsidP="00551509" w14:paraId="21B31719" w14:textId="77777777">
      <w:pPr>
        <w:pStyle w:val="Normal2"/>
        <w:rPr>
          <w:rFonts w:ascii="Century Schoolbook" w:hAnsi="Century Schoolbook"/>
        </w:rPr>
      </w:pPr>
      <w:r>
        <w:rPr>
          <w:rFonts w:ascii="Century Schoolbook" w:hAnsi="Century Schoolbook"/>
        </w:rPr>
        <w:t>We concur:</w:t>
      </w:r>
    </w:p>
    <w:p w:rsidR="00551509" w:rsidP="00551509" w14:paraId="6E89E0BD" w14:textId="77777777">
      <w:pPr>
        <w:pStyle w:val="Normal2"/>
        <w:rPr>
          <w:rFonts w:ascii="Century Schoolbook" w:hAnsi="Century Schoolbook"/>
        </w:rPr>
      </w:pPr>
    </w:p>
    <w:p w:rsidR="00551509" w:rsidP="00551509" w14:paraId="3A7F9784" w14:textId="77777777">
      <w:pPr>
        <w:pStyle w:val="Normal2"/>
        <w:rPr>
          <w:rFonts w:ascii="Century Schoolbook" w:hAnsi="Century Schoolbook"/>
        </w:rPr>
      </w:pPr>
    </w:p>
    <w:p w:rsidR="00551509" w:rsidP="00551509" w14:paraId="4BE4694F" w14:textId="77777777">
      <w:pPr>
        <w:pStyle w:val="Normal2"/>
        <w:rPr>
          <w:rFonts w:ascii="Century Schoolbook" w:hAnsi="Century Schoolbook"/>
        </w:rPr>
      </w:pPr>
      <w:r>
        <w:rPr>
          <w:rFonts w:ascii="Century Schoolbook" w:hAnsi="Century Schoolbook"/>
        </w:rPr>
        <w:t>_________________________</w:t>
      </w:r>
    </w:p>
    <w:p w:rsidR="00551509" w:rsidP="00551509" w14:paraId="14A8EB0C" w14:textId="7D74814A">
      <w:pPr>
        <w:pStyle w:val="Normal2"/>
        <w:rPr>
          <w:rFonts w:ascii="Century Schoolbook" w:hAnsi="Century Schoolbook"/>
        </w:rPr>
      </w:pPr>
      <w:r>
        <w:rPr>
          <w:rFonts w:ascii="Century Schoolbook" w:hAnsi="Century Schoolbook"/>
        </w:rPr>
        <w:t>Margulies, Acting P.J.</w:t>
      </w:r>
    </w:p>
    <w:p w:rsidR="00551509" w:rsidP="00551509" w14:paraId="2F4DDBB1" w14:textId="77777777">
      <w:pPr>
        <w:pStyle w:val="Normal2"/>
        <w:rPr>
          <w:rFonts w:ascii="Century Schoolbook" w:hAnsi="Century Schoolbook"/>
        </w:rPr>
      </w:pPr>
    </w:p>
    <w:p w:rsidR="00551509" w:rsidP="00551509" w14:paraId="58F1CED8" w14:textId="77777777">
      <w:pPr>
        <w:pStyle w:val="Normal2"/>
        <w:rPr>
          <w:rFonts w:ascii="Century Schoolbook" w:hAnsi="Century Schoolbook"/>
        </w:rPr>
      </w:pPr>
    </w:p>
    <w:p w:rsidR="00551509" w:rsidP="00551509" w14:paraId="4F99217D" w14:textId="77777777">
      <w:pPr>
        <w:pStyle w:val="Normal2"/>
        <w:rPr>
          <w:rFonts w:ascii="Century Schoolbook" w:hAnsi="Century Schoolbook"/>
        </w:rPr>
      </w:pPr>
      <w:r>
        <w:rPr>
          <w:rFonts w:ascii="Century Schoolbook" w:hAnsi="Century Schoolbook"/>
        </w:rPr>
        <w:t>_________________________</w:t>
      </w:r>
    </w:p>
    <w:p w:rsidR="00551509" w:rsidP="00551509" w14:paraId="40A69D44" w14:textId="77777777">
      <w:pPr>
        <w:pStyle w:val="Normal2"/>
        <w:rPr>
          <w:rFonts w:ascii="Century Schoolbook" w:hAnsi="Century Schoolbook"/>
        </w:rPr>
      </w:pPr>
      <w:r>
        <w:rPr>
          <w:rFonts w:ascii="Century Schoolbook" w:hAnsi="Century Schoolbook"/>
        </w:rPr>
        <w:t>Swope, J.*</w:t>
      </w:r>
    </w:p>
    <w:p w:rsidR="00551509" w:rsidP="00551509" w14:paraId="52EBFFE9" w14:textId="77777777">
      <w:pPr>
        <w:pStyle w:val="Normal2"/>
        <w:rPr>
          <w:rFonts w:ascii="Century Schoolbook" w:hAnsi="Century Schoolbook"/>
        </w:rPr>
      </w:pPr>
    </w:p>
    <w:p w:rsidR="00551509" w:rsidP="00551509" w14:paraId="42C56F0D" w14:textId="77777777">
      <w:pPr>
        <w:pStyle w:val="Normal2"/>
        <w:rPr>
          <w:rFonts w:ascii="Century Schoolbook" w:hAnsi="Century Schoolbook"/>
        </w:rPr>
      </w:pPr>
    </w:p>
    <w:p w:rsidR="00551509" w:rsidP="00551509" w14:paraId="2B4224A9" w14:textId="77777777">
      <w:pPr>
        <w:pStyle w:val="Normal2"/>
        <w:rPr>
          <w:rFonts w:ascii="Century Schoolbook" w:hAnsi="Century Schoolbook"/>
        </w:rPr>
      </w:pPr>
    </w:p>
    <w:p w:rsidR="00551509" w:rsidP="00551509" w14:paraId="23852031" w14:textId="77777777">
      <w:pPr>
        <w:pStyle w:val="Normal2"/>
        <w:rPr>
          <w:rFonts w:ascii="Century Schoolbook" w:hAnsi="Century Schoolbook"/>
        </w:rPr>
      </w:pPr>
    </w:p>
    <w:p w:rsidR="00551509" w:rsidP="00551509" w14:paraId="4530C580" w14:textId="77777777">
      <w:pPr>
        <w:pStyle w:val="Normal2"/>
        <w:rPr>
          <w:rFonts w:ascii="Century Schoolbook" w:hAnsi="Century Schoolbook"/>
        </w:rPr>
      </w:pPr>
    </w:p>
    <w:p w:rsidR="00551509" w:rsidP="00551509" w14:paraId="7B15A733" w14:textId="77777777">
      <w:pPr>
        <w:pStyle w:val="Normal2"/>
        <w:rPr>
          <w:rFonts w:ascii="Century Schoolbook" w:hAnsi="Century Schoolbook"/>
        </w:rPr>
      </w:pPr>
    </w:p>
    <w:p w:rsidR="00551509" w:rsidP="00551509" w14:paraId="08BC385B" w14:textId="77777777">
      <w:pPr>
        <w:pStyle w:val="Normal2"/>
        <w:rPr>
          <w:rFonts w:ascii="Century Schoolbook" w:hAnsi="Century Schoolbook"/>
        </w:rPr>
      </w:pPr>
    </w:p>
    <w:p w:rsidR="00551509" w:rsidP="00551509" w14:paraId="37CAB308" w14:textId="77777777">
      <w:pPr>
        <w:pStyle w:val="Normal2"/>
        <w:rPr>
          <w:rFonts w:ascii="Century Schoolbook" w:hAnsi="Century Schoolbook"/>
        </w:rPr>
      </w:pPr>
    </w:p>
    <w:p w:rsidR="00551509" w:rsidP="00551509" w14:paraId="764307AE" w14:textId="77777777">
      <w:pPr>
        <w:pStyle w:val="Normal2"/>
        <w:rPr>
          <w:rFonts w:ascii="Century Schoolbook" w:hAnsi="Century Schoolbook"/>
        </w:rPr>
      </w:pPr>
    </w:p>
    <w:p w:rsidR="00551509" w:rsidP="00551509" w14:paraId="048A8CE2" w14:textId="77777777">
      <w:pPr>
        <w:pStyle w:val="Normal2"/>
        <w:rPr>
          <w:rFonts w:ascii="Century Schoolbook" w:hAnsi="Century Schoolbook"/>
        </w:rPr>
      </w:pPr>
    </w:p>
    <w:p w:rsidR="00551509" w:rsidP="00551509" w14:paraId="524B7884" w14:textId="77777777">
      <w:pPr>
        <w:pStyle w:val="Normal2"/>
        <w:rPr>
          <w:rFonts w:ascii="Century Schoolbook" w:hAnsi="Century Schoolbook"/>
        </w:rPr>
      </w:pPr>
    </w:p>
    <w:p w:rsidR="00551509" w:rsidP="00551509" w14:paraId="345B458F" w14:textId="77777777">
      <w:pPr>
        <w:pStyle w:val="Normal2"/>
        <w:rPr>
          <w:rFonts w:ascii="Century Schoolbook" w:hAnsi="Century Schoolbook"/>
        </w:rPr>
      </w:pPr>
    </w:p>
    <w:p w:rsidR="00551509" w:rsidP="00551509" w14:paraId="2C883E1E" w14:textId="77777777">
      <w:pPr>
        <w:pStyle w:val="Normal2"/>
        <w:rPr>
          <w:rFonts w:ascii="Century Schoolbook" w:hAnsi="Century Schoolbook"/>
        </w:rPr>
      </w:pPr>
    </w:p>
    <w:p w:rsidR="00551509" w:rsidP="00551509" w14:paraId="01C3BD19" w14:textId="77777777">
      <w:pPr>
        <w:pStyle w:val="Normal2"/>
        <w:rPr>
          <w:rFonts w:ascii="Century Schoolbook" w:hAnsi="Century Schoolbook"/>
        </w:rPr>
      </w:pPr>
    </w:p>
    <w:p w:rsidR="00551509" w:rsidP="00551509" w14:paraId="4D3A2466" w14:textId="77777777">
      <w:pPr>
        <w:pStyle w:val="Normal2"/>
        <w:rPr>
          <w:rFonts w:ascii="Century Schoolbook" w:hAnsi="Century Schoolbook"/>
        </w:rPr>
      </w:pPr>
    </w:p>
    <w:p w:rsidR="00551509" w:rsidP="00551509" w14:paraId="4A933F5D" w14:textId="77777777">
      <w:pPr>
        <w:pStyle w:val="Normal2"/>
        <w:rPr>
          <w:rFonts w:ascii="Century Schoolbook" w:hAnsi="Century Schoolbook"/>
        </w:rPr>
      </w:pPr>
    </w:p>
    <w:p w:rsidR="00551509" w:rsidP="00551509" w14:paraId="0DF2A941" w14:textId="77777777">
      <w:pPr>
        <w:spacing w:line="240" w:lineRule="auto"/>
      </w:pPr>
      <w:r>
        <w:t xml:space="preserve">**Judge of the San Mateo County Superior Court, assigned by the Chief Justice pursuant to article VI, section 6 of the California Constitution.  </w:t>
      </w:r>
    </w:p>
    <w:p w:rsidR="00551509" w:rsidP="00551509" w14:paraId="3153ED9E" w14:textId="77777777">
      <w:pPr>
        <w:spacing w:line="240" w:lineRule="auto"/>
      </w:pPr>
    </w:p>
    <w:p w:rsidR="00551509" w:rsidP="00551509" w14:paraId="7BCF996A" w14:textId="77777777">
      <w:pPr>
        <w:pStyle w:val="Normal2"/>
        <w:rPr>
          <w:rFonts w:ascii="Century Schoolbook" w:hAnsi="Century Schoolbook"/>
        </w:rPr>
      </w:pPr>
    </w:p>
    <w:p w:rsidR="00551509" w:rsidP="00551509" w14:paraId="663D8199" w14:textId="77777777">
      <w:pPr>
        <w:pStyle w:val="Normal2"/>
        <w:rPr>
          <w:rFonts w:ascii="Century Schoolbook" w:hAnsi="Century Schoolbook"/>
        </w:rPr>
      </w:pPr>
    </w:p>
    <w:p w:rsidR="00551509" w:rsidP="00551509" w14:paraId="60A1C1CB" w14:textId="77777777">
      <w:pPr>
        <w:pStyle w:val="Normal2"/>
        <w:rPr>
          <w:rFonts w:ascii="Century Schoolbook" w:hAnsi="Century Schoolbook"/>
        </w:rPr>
      </w:pPr>
    </w:p>
    <w:p w:rsidR="00770F24" w:rsidP="00551509" w14:paraId="38946236" w14:textId="0558D7FD">
      <w:r>
        <w:t>A</w:t>
      </w:r>
      <w:r w:rsidRPr="00551509">
        <w:t>163369</w:t>
      </w:r>
      <w:r>
        <w:t>,</w:t>
      </w:r>
      <w:r w:rsidRPr="00551509">
        <w:t xml:space="preserve"> CSHV 1999 Harrison v. County of Alameda</w:t>
      </w:r>
    </w:p>
    <w:p w:rsidR="00770F24" w14:paraId="3C62A6DA" w14:textId="77777777">
      <w:pPr>
        <w:tabs>
          <w:tab w:val="clear" w:pos="720"/>
        </w:tabs>
        <w:spacing w:line="360" w:lineRule="auto"/>
      </w:pPr>
      <w:r>
        <w:br w:type="page"/>
      </w:r>
    </w:p>
    <w:p w:rsidR="00770F24" w:rsidP="00770F24" w14:paraId="36A32D11" w14:textId="77777777">
      <w:pPr>
        <w:spacing w:line="240" w:lineRule="auto"/>
      </w:pPr>
      <w:r>
        <w:t>Trial Court:</w:t>
      </w:r>
      <w:r>
        <w:tab/>
        <w:t xml:space="preserve"> Alameda County Superior Court</w:t>
      </w:r>
    </w:p>
    <w:p w:rsidR="00770F24" w:rsidP="00770F24" w14:paraId="2D04BEDE" w14:textId="77777777">
      <w:pPr>
        <w:spacing w:line="240" w:lineRule="auto"/>
      </w:pPr>
    </w:p>
    <w:p w:rsidR="00770F24" w:rsidP="00770F24" w14:paraId="2A1B0E63" w14:textId="77777777">
      <w:pPr>
        <w:spacing w:line="240" w:lineRule="auto"/>
      </w:pPr>
      <w:r>
        <w:t>Trial Judge:</w:t>
      </w:r>
      <w:r>
        <w:tab/>
        <w:t>Hon. Frank Roesch</w:t>
      </w:r>
    </w:p>
    <w:p w:rsidR="00770F24" w:rsidP="00770F24" w14:paraId="6B03A73B" w14:textId="77777777">
      <w:pPr>
        <w:spacing w:line="240" w:lineRule="auto"/>
      </w:pPr>
    </w:p>
    <w:p w:rsidR="00770F24" w:rsidP="00770F24" w14:paraId="06337647" w14:textId="77777777">
      <w:pPr>
        <w:spacing w:line="240" w:lineRule="auto"/>
      </w:pPr>
      <w:r>
        <w:t xml:space="preserve">Counsel:  </w:t>
      </w:r>
    </w:p>
    <w:p w:rsidR="00770F24" w:rsidP="00770F24" w14:paraId="7F4D2E5F" w14:textId="77777777">
      <w:pPr>
        <w:spacing w:line="240" w:lineRule="auto"/>
      </w:pPr>
    </w:p>
    <w:p w:rsidR="00770F24" w:rsidP="00770F24" w14:paraId="4EF8F5A3" w14:textId="77777777">
      <w:pPr>
        <w:spacing w:line="240" w:lineRule="auto"/>
      </w:pPr>
      <w:r>
        <w:t>Greenberg Traurig LLP, Bradly Randolph Marsh, Brian Quinn Hall and Colin W. Fraser for Plaintiffs and Appellants.</w:t>
      </w:r>
    </w:p>
    <w:p w:rsidR="00770F24" w:rsidP="00770F24" w14:paraId="3FF44342" w14:textId="77777777">
      <w:pPr>
        <w:spacing w:line="240" w:lineRule="auto"/>
      </w:pPr>
    </w:p>
    <w:p w:rsidR="00770F24" w:rsidP="00770F24" w14:paraId="18C51B0A" w14:textId="77777777">
      <w:pPr>
        <w:spacing w:line="240" w:lineRule="auto"/>
      </w:pPr>
      <w:r>
        <w:t>Office of the Alameda County Counsel, Farand Kan; Office of the City Attorney, Maria S. Bee; Jarvis Fay LLP, Benjamin Peters Fay, Gabriel James McWhirter, Carolyn C. Liu for Defendants and Respondents.</w:t>
      </w:r>
    </w:p>
    <w:p w:rsidR="00770F24" w:rsidP="00770F24" w14:paraId="5CAAFCDD" w14:textId="77777777">
      <w:pPr>
        <w:rPr>
          <w:color w:val="000000"/>
        </w:rPr>
      </w:pPr>
    </w:p>
    <w:p w:rsidR="00770F24" w:rsidRPr="00F1316C" w:rsidP="00770F24" w14:paraId="26B386E6" w14:textId="77777777">
      <w:pPr>
        <w:rPr>
          <w:rFonts w:ascii="Times New Roman" w:hAnsi="Times New Roman" w:cs="Times New Roman"/>
        </w:rPr>
      </w:pPr>
      <w:r w:rsidRPr="00F1316C">
        <w:rPr>
          <w:rFonts w:ascii="Times New Roman" w:hAnsi="Times New Roman" w:cs="Times New Roman"/>
          <w:color w:val="000000"/>
        </w:rPr>
        <w:t>Colantuono, Highsmith &amp; Whatley, PC,</w:t>
      </w:r>
      <w:r>
        <w:rPr>
          <w:color w:val="000000"/>
        </w:rPr>
        <w:t xml:space="preserve"> </w:t>
      </w:r>
      <w:r w:rsidRPr="00F1316C">
        <w:rPr>
          <w:rFonts w:ascii="Times New Roman" w:hAnsi="Times New Roman" w:cs="Times New Roman"/>
          <w:color w:val="000000"/>
        </w:rPr>
        <w:t>Ryan Thomas Dunn</w:t>
      </w:r>
      <w:r w:rsidRPr="00F1316C">
        <w:rPr>
          <w:rFonts w:ascii="Times New Roman" w:hAnsi="Times New Roman" w:cs="Times New Roman"/>
        </w:rPr>
        <w:t xml:space="preserve"> as Amicus Curiae on behalf of Respondent.</w:t>
      </w:r>
    </w:p>
    <w:sectPr w:rsidSect="005862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5AC" w:rsidP="00CB39F3" w14:paraId="72C5FCEF" w14:textId="1BFCEE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35E58">
      <w:rPr>
        <w:rStyle w:val="PageNumber"/>
        <w:noProof/>
      </w:rPr>
      <w:t>11</w:t>
    </w:r>
    <w:r>
      <w:rPr>
        <w:rStyle w:val="PageNumber"/>
      </w:rPr>
      <w:fldChar w:fldCharType="end"/>
    </w:r>
  </w:p>
  <w:p w:rsidR="00B775AC" w:rsidP="00CB39F3" w14:paraId="6D1BD2EC" w14:textId="65D281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35E58">
      <w:rPr>
        <w:rStyle w:val="PageNumber"/>
        <w:noProof/>
      </w:rPr>
      <w:t>11</w:t>
    </w:r>
    <w:r>
      <w:rPr>
        <w:rStyle w:val="PageNumber"/>
      </w:rPr>
      <w:fldChar w:fldCharType="end"/>
    </w:r>
  </w:p>
  <w:p w:rsidR="00B775AC" w14:paraId="6BE8B02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5AC" w:rsidP="00B775AC" w14:paraId="5F77A862" w14:textId="337CF38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p>
  <w:p w:rsidR="00B775AC" w14:paraId="04DB7E0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220C" w14:paraId="131F5A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D72A5" w:rsidP="00B775AC" w14:paraId="07A8D8ED" w14:textId="77777777">
      <w:pPr>
        <w:spacing w:line="240" w:lineRule="auto"/>
      </w:pPr>
      <w:r>
        <w:separator/>
      </w:r>
    </w:p>
  </w:footnote>
  <w:footnote w:type="continuationSeparator" w:id="1">
    <w:p w:rsidR="008D72A5" w:rsidP="00B775AC" w14:paraId="76DA6C12" w14:textId="77777777">
      <w:pPr>
        <w:spacing w:line="240" w:lineRule="auto"/>
      </w:pPr>
      <w:r>
        <w:continuationSeparator/>
      </w:r>
    </w:p>
  </w:footnote>
  <w:footnote w:id="2">
    <w:p w:rsidR="00E96D83" w:rsidRPr="00F17B44" w:rsidP="00641703" w14:paraId="261EB6A4" w14:textId="6554A09F">
      <w:pPr>
        <w:pStyle w:val="FootnoteText"/>
        <w:spacing w:after="120"/>
        <w:ind w:firstLine="720"/>
      </w:pPr>
      <w:r w:rsidRPr="00F17B44">
        <w:rPr>
          <w:rStyle w:val="FootnoteReference"/>
        </w:rPr>
        <w:footnoteRef/>
      </w:r>
      <w:r w:rsidRPr="00F17B44">
        <w:t xml:space="preserve">  26 C</w:t>
      </w:r>
      <w:r w:rsidRPr="00F17B44" w:rsidR="00280585">
        <w:t xml:space="preserve">ode of Federal Regulations section </w:t>
      </w:r>
      <w:r w:rsidRPr="00F17B44">
        <w:rPr>
          <w:rFonts w:eastAsia="Times New Roman" w:cs="Arial"/>
          <w:color w:val="000000"/>
        </w:rPr>
        <w:t>301.7701-3(a).</w:t>
      </w:r>
    </w:p>
  </w:footnote>
  <w:footnote w:id="3">
    <w:p w:rsidR="00E96D83" w:rsidRPr="00F17B44" w:rsidP="00641703" w14:paraId="74524FBB" w14:textId="42B30A58">
      <w:pPr>
        <w:pStyle w:val="FootnoteText"/>
        <w:spacing w:after="120"/>
        <w:ind w:firstLine="720"/>
      </w:pPr>
      <w:r w:rsidRPr="00F17B44">
        <w:rPr>
          <w:rStyle w:val="FootnoteReference"/>
        </w:rPr>
        <w:footnoteRef/>
      </w:r>
      <w:r w:rsidRPr="00F17B44">
        <w:t xml:space="preserve">  We granted the request of the League of California Cities and the California State Association of Counties </w:t>
      </w:r>
      <w:r w:rsidRPr="00F17B44" w:rsidR="00375CC8">
        <w:t xml:space="preserve">for leave </w:t>
      </w:r>
      <w:r w:rsidRPr="00F17B44">
        <w:t xml:space="preserve">to file an amicus brief in support of the City and County. </w:t>
      </w:r>
    </w:p>
  </w:footnote>
  <w:footnote w:id="4">
    <w:p w:rsidR="00A50917" w:rsidRPr="00F17B44" w:rsidP="00641703" w14:paraId="31B50CFC" w14:textId="3103E1B2">
      <w:pPr>
        <w:pStyle w:val="FootnoteText"/>
        <w:spacing w:after="120"/>
        <w:ind w:firstLine="720"/>
      </w:pPr>
      <w:r w:rsidRPr="00F17B44">
        <w:rPr>
          <w:rStyle w:val="FootnoteReference"/>
        </w:rPr>
        <w:footnoteRef/>
      </w:r>
      <w:r w:rsidRPr="00F17B44">
        <w:t xml:space="preserve"> </w:t>
      </w:r>
      <w:r w:rsidRPr="00F17B44" w:rsidR="0058628D">
        <w:t xml:space="preserve"> </w:t>
      </w:r>
      <w:r w:rsidRPr="00F17B44" w:rsidR="000E4D73">
        <w:t>All further undesignated statutory references are to the Revenue and Taxation Code.</w:t>
      </w:r>
    </w:p>
  </w:footnote>
  <w:footnote w:id="5">
    <w:p w:rsidR="00713F98" w:rsidRPr="00F17B44" w:rsidP="00641703" w14:paraId="1D84F33C" w14:textId="612E5C41">
      <w:pPr>
        <w:pStyle w:val="FootnoteText"/>
        <w:spacing w:after="120"/>
        <w:ind w:firstLine="720"/>
      </w:pPr>
      <w:r w:rsidRPr="00F17B44">
        <w:rPr>
          <w:rStyle w:val="FootnoteReference"/>
        </w:rPr>
        <w:footnoteRef/>
      </w:r>
      <w:r w:rsidRPr="00F17B44">
        <w:t xml:space="preserve">  “[T]he State Teachers’ Retirement System is . . . a unit of the Government Operations Agency.”  (Ed. Code, § 22001.) </w:t>
      </w:r>
      <w:r w:rsidRPr="00F17B44" w:rsidR="00C63E4B">
        <w:t xml:space="preserve"> </w:t>
      </w:r>
      <w:r w:rsidRPr="00F17B44">
        <w:t>“Deeds transferring title of real property to the State Teachers’ Retirement System are not subject to a county documentary transfer tax.” (68 Ops. Atty. Gen. 71 (1985).)</w:t>
      </w:r>
    </w:p>
  </w:footnote>
  <w:footnote w:id="6">
    <w:p w:rsidR="00B3704F" w:rsidRPr="00F17B44" w:rsidP="00641703" w14:paraId="0E4FBF5E" w14:textId="597FE147">
      <w:pPr>
        <w:pStyle w:val="FootnoteText"/>
        <w:spacing w:after="120"/>
        <w:ind w:firstLine="720"/>
      </w:pPr>
      <w:r w:rsidRPr="00F17B44">
        <w:rPr>
          <w:rStyle w:val="FootnoteReference"/>
        </w:rPr>
        <w:footnoteRef/>
      </w:r>
      <w:r w:rsidRPr="00F17B44">
        <w:t xml:space="preserve">  Corporations Code section 17701.01 et seq.</w:t>
      </w:r>
    </w:p>
  </w:footnote>
  <w:footnote w:id="7">
    <w:p w:rsidR="00987BF7" w:rsidRPr="00F17B44" w:rsidP="00641703" w14:paraId="5489E903" w14:textId="7BD59616">
      <w:pPr>
        <w:pStyle w:val="FootnoteText"/>
        <w:spacing w:after="120"/>
        <w:ind w:firstLine="720"/>
      </w:pPr>
      <w:r w:rsidRPr="00F17B44">
        <w:rPr>
          <w:rStyle w:val="FootnoteReference"/>
        </w:rPr>
        <w:footnoteRef/>
      </w:r>
      <w:r w:rsidRPr="00F17B44">
        <w:t xml:space="preserve">  California first enacted legislation authorizing LLCs in 1994 as part of the Beverly–Killea Limited Liability Company Act</w:t>
      </w:r>
      <w:r w:rsidRPr="00F17B44" w:rsidR="009854BE">
        <w:t xml:space="preserve"> (former Corp. Code, </w:t>
      </w:r>
      <w:r w:rsidRPr="00F17B44" w:rsidR="009854BE">
        <w:rPr>
          <w:rFonts w:eastAsia="Times New Roman" w:cs="Arial"/>
          <w:color w:val="000000"/>
        </w:rPr>
        <w:t>§ 17000 et seq.)</w:t>
      </w:r>
      <w:r w:rsidRPr="00F17B44">
        <w:t>.  “Before the enactment, a business entity could form in California only as a corporation, partnership, or sole proprietorship.”  (</w:t>
      </w:r>
      <w:r w:rsidRPr="00F17B44">
        <w:rPr>
          <w:i/>
          <w:iCs/>
        </w:rPr>
        <w:t>Northwest Energetic Services, LLC v. California Franchise Tax Bd.</w:t>
      </w:r>
      <w:r w:rsidRPr="00F17B44">
        <w:t xml:space="preserve"> (2008) 159 Cal.App.4th 841, 852</w:t>
      </w:r>
      <w:r w:rsidRPr="00F17B44" w:rsidR="001F4F68">
        <w:t xml:space="preserve"> (</w:t>
      </w:r>
      <w:r w:rsidRPr="00F17B44" w:rsidR="001F4F68">
        <w:rPr>
          <w:i/>
          <w:iCs/>
        </w:rPr>
        <w:t>Northwest Energetic Services</w:t>
      </w:r>
      <w:r w:rsidRPr="00F17B44" w:rsidR="001F4F68">
        <w:t>)</w:t>
      </w:r>
      <w:r w:rsidRPr="00F17B44">
        <w:t xml:space="preserve">.) </w:t>
      </w:r>
    </w:p>
  </w:footnote>
  <w:footnote w:id="8">
    <w:p w:rsidR="00E57858" w:rsidRPr="00F17B44" w:rsidP="00641703" w14:paraId="64B9AD7A" w14:textId="0BFD67EB">
      <w:pPr>
        <w:pStyle w:val="FootnoteText"/>
        <w:spacing w:after="120"/>
        <w:ind w:firstLine="720"/>
      </w:pPr>
      <w:r w:rsidRPr="00F17B44">
        <w:rPr>
          <w:rStyle w:val="FootnoteReference"/>
        </w:rPr>
        <w:footnoteRef/>
      </w:r>
      <w:r w:rsidRPr="00F17B44">
        <w:t xml:space="preserve">  LLCs are perceived as being particularly advantageous to small business enterprises.  (</w:t>
      </w:r>
      <w:r w:rsidRPr="00F17B44">
        <w:rPr>
          <w:i/>
          <w:iCs/>
        </w:rPr>
        <w:t xml:space="preserve">Northwest Energetic Services, supra, </w:t>
      </w:r>
      <w:r w:rsidRPr="00F17B44" w:rsidR="009854BE">
        <w:t xml:space="preserve">159 Cal.App.4th </w:t>
      </w:r>
      <w:r w:rsidRPr="00F17B44">
        <w:t xml:space="preserve">at p. 852; </w:t>
      </w:r>
      <w:r w:rsidRPr="00F17B44" w:rsidR="009854BE">
        <w:rPr>
          <w:rFonts w:eastAsia="Times New Roman" w:cs="Arial"/>
          <w:color w:val="000000"/>
        </w:rPr>
        <w:t>Brent A. Olson, California Business Law Deskbook</w:t>
      </w:r>
      <w:r w:rsidRPr="00F17B44">
        <w:rPr>
          <w:rFonts w:eastAsia="Times New Roman" w:cs="Arial"/>
          <w:color w:val="000000"/>
        </w:rPr>
        <w:t xml:space="preserve">, </w:t>
      </w:r>
      <w:r w:rsidRPr="00F17B44">
        <w:rPr>
          <w:rFonts w:eastAsia="Times New Roman" w:cs="Arial"/>
          <w:i/>
          <w:iCs/>
          <w:color w:val="000000"/>
        </w:rPr>
        <w:t xml:space="preserve">supra, </w:t>
      </w:r>
      <w:r w:rsidRPr="00F17B44">
        <w:rPr>
          <w:rFonts w:eastAsia="Times New Roman" w:cs="Arial"/>
          <w:color w:val="000000"/>
        </w:rPr>
        <w:t>at §</w:t>
      </w:r>
      <w:r w:rsidRPr="00F17B44" w:rsidR="009854BE">
        <w:rPr>
          <w:rFonts w:eastAsia="Times New Roman" w:cs="Arial"/>
          <w:color w:val="000000"/>
        </w:rPr>
        <w:t> </w:t>
      </w:r>
      <w:r w:rsidRPr="00F17B44">
        <w:rPr>
          <w:rFonts w:eastAsia="Times New Roman" w:cs="Arial"/>
          <w:color w:val="000000"/>
        </w:rPr>
        <w:t>3:1</w:t>
      </w:r>
      <w:r w:rsidRPr="00F17B44" w:rsidR="009854BE">
        <w:rPr>
          <w:rFonts w:eastAsia="Times New Roman" w:cs="Arial"/>
          <w:color w:val="000000"/>
        </w:rPr>
        <w:t>(</w:t>
      </w:r>
      <w:r w:rsidRPr="00F17B44">
        <w:rPr>
          <w:rFonts w:eastAsia="Times New Roman" w:cs="Arial"/>
          <w:color w:val="000000"/>
        </w:rPr>
        <w:t>a</w:t>
      </w:r>
      <w:r w:rsidRPr="00F17B44" w:rsidR="009854BE">
        <w:rPr>
          <w:rFonts w:eastAsia="Times New Roman" w:cs="Arial"/>
          <w:color w:val="000000"/>
        </w:rPr>
        <w:t>)</w:t>
      </w:r>
      <w:r w:rsidRPr="00F17B44">
        <w:rPr>
          <w:rFonts w:eastAsia="Times New Roman" w:cs="Arial"/>
          <w:color w:val="000000"/>
        </w:rPr>
        <w:t xml:space="preserve"> [given that an LLC “will have flow-through tax status even though it exhibits the ‘corporate’ characteristics of limited liability, continuity of life, and free transferability of ‘transferable interests,’ ” “the LLC is the typical choice of entity for the small business organization, particularly for a business seeking flexibility in its governance and operations”].)</w:t>
      </w:r>
      <w:r w:rsidRPr="00F17B44">
        <w:t xml:space="preserve"> </w:t>
      </w:r>
    </w:p>
  </w:footnote>
  <w:footnote w:id="9">
    <w:p w:rsidR="00F01141" w:rsidRPr="00F17B44" w:rsidP="00641703" w14:paraId="0C434A69" w14:textId="50B5CA77">
      <w:pPr>
        <w:pStyle w:val="FootnoteText"/>
        <w:spacing w:after="120"/>
        <w:ind w:firstLine="720"/>
      </w:pPr>
      <w:r w:rsidRPr="00F17B44">
        <w:rPr>
          <w:rStyle w:val="FootnoteReference"/>
        </w:rPr>
        <w:footnoteRef/>
      </w:r>
      <w:r w:rsidRPr="00F17B44">
        <w:t xml:space="preserve"> </w:t>
      </w:r>
      <w:r w:rsidRPr="00F17B44" w:rsidR="0058628D">
        <w:t xml:space="preserve"> </w:t>
      </w:r>
      <w:r w:rsidRPr="00F17B44" w:rsidR="00FB2465">
        <w:t>T</w:t>
      </w:r>
      <w:r w:rsidRPr="00F17B44" w:rsidR="00E81F3B">
        <w:t>hese provisions are in conformance with</w:t>
      </w:r>
      <w:r w:rsidRPr="00F17B44" w:rsidR="00CD21FE">
        <w:t xml:space="preserve"> </w:t>
      </w:r>
      <w:r w:rsidRPr="00F17B44" w:rsidR="006119F5">
        <w:t>income tax l</w:t>
      </w:r>
      <w:r w:rsidRPr="00F17B44" w:rsidR="00C22246">
        <w:t>a</w:t>
      </w:r>
      <w:r w:rsidRPr="00F17B44" w:rsidR="006119F5">
        <w:t xml:space="preserve">w </w:t>
      </w:r>
      <w:r w:rsidRPr="00F17B44" w:rsidR="00E018C7">
        <w:t xml:space="preserve">allowing </w:t>
      </w:r>
      <w:r w:rsidRPr="00F17B44" w:rsidR="006119F5">
        <w:t>LL</w:t>
      </w:r>
      <w:r w:rsidRPr="00F17B44" w:rsidR="00C22246">
        <w:t xml:space="preserve">Cs </w:t>
      </w:r>
      <w:r w:rsidRPr="00F17B44" w:rsidR="00E018C7">
        <w:t xml:space="preserve">with </w:t>
      </w:r>
      <w:r w:rsidRPr="00F17B44" w:rsidR="003060E5">
        <w:t>“</w:t>
      </w:r>
      <w:r w:rsidRPr="00F17B44" w:rsidR="00E018C7">
        <w:t xml:space="preserve">a single owner </w:t>
      </w:r>
      <w:r w:rsidRPr="00F17B44" w:rsidR="003060E5">
        <w:t>[to]</w:t>
      </w:r>
      <w:r w:rsidRPr="00F17B44" w:rsidR="00E018C7">
        <w:t xml:space="preserve"> elect to be classified as an association or to be disregarded as an entity separate from its owner.</w:t>
      </w:r>
      <w:r w:rsidRPr="00F17B44" w:rsidR="003060E5">
        <w:t>”</w:t>
      </w:r>
      <w:r w:rsidRPr="00F17B44" w:rsidR="0058628D">
        <w:t xml:space="preserve"> </w:t>
      </w:r>
      <w:r w:rsidRPr="00F17B44" w:rsidR="003060E5">
        <w:t xml:space="preserve"> (</w:t>
      </w:r>
      <w:r w:rsidRPr="00F17B44" w:rsidR="00E018C7">
        <w:t>26 C.F.R. § 301.7701-3</w:t>
      </w:r>
      <w:r w:rsidRPr="00F17B44" w:rsidR="00AD2778">
        <w:t>(a)</w:t>
      </w:r>
      <w:r w:rsidRPr="00F17B44" w:rsidR="003060E5">
        <w:t>.)</w:t>
      </w:r>
      <w:r w:rsidRPr="00F17B44" w:rsidR="00AD2778">
        <w:t xml:space="preserve"> </w:t>
      </w:r>
      <w:r w:rsidRPr="00F17B44" w:rsidR="00C22246">
        <w:t xml:space="preserve"> </w:t>
      </w:r>
      <w:r w:rsidRPr="00F17B44" w:rsidR="006617EF">
        <w:t xml:space="preserve">“If the separate existence of an eligible business entity is disregarded for federal tax purposes, the separate existence of that business entity shall be disregarded for purposes of this part.” </w:t>
      </w:r>
      <w:r w:rsidRPr="00F17B44" w:rsidR="0058628D">
        <w:t xml:space="preserve"> (</w:t>
      </w:r>
      <w:r w:rsidRPr="00F17B44" w:rsidR="006617EF">
        <w:t xml:space="preserve">§ 23038, subd. </w:t>
      </w:r>
      <w:r w:rsidRPr="00F17B44" w:rsidR="00276371">
        <w:t>(b)(2)(B)(iii).)</w:t>
      </w:r>
    </w:p>
  </w:footnote>
  <w:footnote w:id="10">
    <w:p w:rsidR="00D21CC7" w:rsidRPr="00F17B44" w:rsidP="00641703" w14:paraId="20D283DA" w14:textId="638E4526">
      <w:pPr>
        <w:pStyle w:val="FootnoteText"/>
        <w:spacing w:after="120"/>
        <w:ind w:firstLine="720"/>
      </w:pPr>
      <w:r w:rsidRPr="00F17B44">
        <w:rPr>
          <w:rStyle w:val="FootnoteReference"/>
        </w:rPr>
        <w:footnoteRef/>
      </w:r>
      <w:r w:rsidRPr="00F17B44">
        <w:t xml:space="preserve">  </w:t>
      </w:r>
      <w:r w:rsidRPr="00F17B44">
        <w:rPr>
          <w:rFonts w:eastAsia="Times New Roman" w:cs="Arial"/>
          <w:color w:val="000000"/>
        </w:rPr>
        <w:t xml:space="preserve">The </w:t>
      </w:r>
      <w:r w:rsidR="00C10AE5">
        <w:rPr>
          <w:rFonts w:eastAsia="Times New Roman" w:cs="Arial"/>
          <w:color w:val="000000"/>
        </w:rPr>
        <w:t>C</w:t>
      </w:r>
      <w:r w:rsidRPr="00F17B44">
        <w:rPr>
          <w:rFonts w:eastAsia="Times New Roman" w:cs="Arial"/>
          <w:color w:val="000000"/>
        </w:rPr>
        <w:t xml:space="preserve">ity and </w:t>
      </w:r>
      <w:r w:rsidR="00C10AE5">
        <w:rPr>
          <w:rFonts w:eastAsia="Times New Roman" w:cs="Arial"/>
          <w:color w:val="000000"/>
        </w:rPr>
        <w:t>C</w:t>
      </w:r>
      <w:r w:rsidRPr="00F17B44">
        <w:rPr>
          <w:rFonts w:eastAsia="Times New Roman" w:cs="Arial"/>
          <w:color w:val="000000"/>
        </w:rPr>
        <w:t>ounty point out that by employing LLCs CalSTRS is able to limit its liability and receive certain tax benefits.  But these are hardly reasons to conclude the LLPs cannot share CalSTRS’s exempt status.  T</w:t>
      </w:r>
      <w:r w:rsidRPr="00F17B44" w:rsidR="00892CDA">
        <w:rPr>
          <w:rFonts w:eastAsia="Times New Roman" w:cs="Arial"/>
          <w:color w:val="000000"/>
        </w:rPr>
        <w:t>o the contrary, th</w:t>
      </w:r>
      <w:r w:rsidRPr="00F17B44">
        <w:rPr>
          <w:rFonts w:eastAsia="Times New Roman" w:cs="Arial"/>
          <w:color w:val="000000"/>
        </w:rPr>
        <w:t>ey are the sort of benefits we would expect CalSTRS to seek in fulfilling its mission to responsibly maximize returns on the pension funds it invests.</w:t>
      </w:r>
      <w:r w:rsidRPr="00F17B44">
        <w:t xml:space="preserve"> </w:t>
      </w:r>
    </w:p>
  </w:footnote>
  <w:footnote w:id="11">
    <w:p w:rsidR="00DD4A9F" w:rsidRPr="00F17B44" w:rsidP="00641703" w14:paraId="3DD009E4" w14:textId="4D20B5C4">
      <w:pPr>
        <w:pStyle w:val="FootnoteText"/>
        <w:spacing w:after="120"/>
        <w:ind w:firstLine="720"/>
      </w:pPr>
      <w:r w:rsidRPr="00F17B44">
        <w:rPr>
          <w:rStyle w:val="FootnoteReference"/>
        </w:rPr>
        <w:footnoteRef/>
      </w:r>
      <w:r w:rsidRPr="00F17B44">
        <w:t xml:space="preserve">  The LLCs also </w:t>
      </w:r>
      <w:r w:rsidRPr="00F17B44" w:rsidR="000508E2">
        <w:t>assert</w:t>
      </w:r>
      <w:r w:rsidRPr="00F17B44">
        <w:t xml:space="preserve"> “the city and county ordinances are founded on federal income tax principles</w:t>
      </w:r>
      <w:r w:rsidRPr="00F17B44" w:rsidR="004C6E89">
        <w:t xml:space="preserve">” </w:t>
      </w:r>
      <w:r w:rsidRPr="00F17B44">
        <w:t>(</w:t>
      </w:r>
      <w:r w:rsidRPr="00F17B44" w:rsidR="004C6E89">
        <w:t>c</w:t>
      </w:r>
      <w:r w:rsidRPr="00F17B44">
        <w:t>apitalization omitted)</w:t>
      </w:r>
      <w:r w:rsidRPr="00F17B44" w:rsidR="004C6E89">
        <w:t xml:space="preserve"> and </w:t>
      </w:r>
      <w:r w:rsidRPr="00F17B44">
        <w:t xml:space="preserve">because “[f]ederal income tax recognizes disregarded entities,” such as when a member of an LLC “elects to disregard the single-member limited liability company for federal income tax purposes, the entity is required to be disregarded for California income tax purposes.”  </w:t>
      </w:r>
      <w:r w:rsidRPr="00F17B44" w:rsidR="004C6E89">
        <w:t xml:space="preserve">As we have discussed, the </w:t>
      </w:r>
      <w:r w:rsidRPr="00F17B44" w:rsidR="00CF12E8">
        <w:t>state do</w:t>
      </w:r>
      <w:r w:rsidRPr="00F17B44">
        <w:t xml:space="preserve">cumentary </w:t>
      </w:r>
      <w:r w:rsidRPr="00F17B44" w:rsidR="00CF12E8">
        <w:t>t</w:t>
      </w:r>
      <w:r w:rsidRPr="00F17B44">
        <w:t xml:space="preserve">ransfer </w:t>
      </w:r>
      <w:r w:rsidRPr="00F17B44" w:rsidR="00CF12E8">
        <w:t>tax</w:t>
      </w:r>
      <w:r w:rsidRPr="00F17B44">
        <w:t xml:space="preserve"> is based on the former federal </w:t>
      </w:r>
      <w:r w:rsidRPr="00F17B44" w:rsidR="00B13E9E">
        <w:t>s</w:t>
      </w:r>
      <w:r w:rsidRPr="00F17B44">
        <w:t xml:space="preserve">tamp </w:t>
      </w:r>
      <w:r w:rsidRPr="00F17B44" w:rsidR="00B13E9E">
        <w:t>a</w:t>
      </w:r>
      <w:r w:rsidRPr="00F17B44">
        <w:t xml:space="preserve">ct, not federal income tax law.  (See </w:t>
      </w:r>
      <w:r w:rsidRPr="00F17B44">
        <w:rPr>
          <w:i/>
          <w:iCs/>
        </w:rPr>
        <w:t>North Ardmore</w:t>
      </w:r>
      <w:r w:rsidRPr="00F17B44">
        <w:t xml:space="preserve">, </w:t>
      </w:r>
      <w:r w:rsidRPr="00F17B44">
        <w:rPr>
          <w:i/>
          <w:iCs/>
        </w:rPr>
        <w:t>supra</w:t>
      </w:r>
      <w:r w:rsidRPr="00F17B44">
        <w:t xml:space="preserve">, 3 Cal.5th at p. 329.)   </w:t>
      </w:r>
      <w:r w:rsidRPr="00F17B44">
        <w:rPr>
          <w:rFonts w:eastAsia="Times New Roman" w:cs="Arial"/>
          <w:color w:val="000000"/>
        </w:rPr>
        <w:t xml:space="preserve"> </w:t>
      </w:r>
    </w:p>
  </w:footnote>
  <w:footnote w:id="12">
    <w:p w:rsidR="001E4F5F" w:rsidRPr="00F17B44" w:rsidP="00641703" w14:paraId="6E493508" w14:textId="3FC772B5">
      <w:pPr>
        <w:pStyle w:val="FootnoteText"/>
        <w:spacing w:after="120"/>
        <w:ind w:firstLine="720"/>
      </w:pPr>
      <w:r w:rsidRPr="00F17B44">
        <w:rPr>
          <w:rStyle w:val="FootnoteReference"/>
        </w:rPr>
        <w:footnoteRef/>
      </w:r>
      <w:r w:rsidRPr="00F17B44">
        <w:t xml:space="preserve">  </w:t>
      </w:r>
      <w:r w:rsidRPr="00F17B44">
        <w:rPr>
          <w:rFonts w:eastAsia="Times New Roman" w:cs="Arial"/>
          <w:color w:val="000000"/>
        </w:rPr>
        <w:t>Mayhew and ComPlan claimed exemption from property taxes, not documentary transfer taxes, under article XIII, section 3 of the California Constitution (</w:t>
      </w:r>
      <w:r w:rsidRPr="00F17B44">
        <w:rPr>
          <w:rFonts w:eastAsia="Times New Roman" w:cs="Arial"/>
          <w:i/>
          <w:iCs/>
          <w:color w:val="000000"/>
        </w:rPr>
        <w:t>Mayhew</w:t>
      </w:r>
      <w:r w:rsidRPr="00F17B44">
        <w:rPr>
          <w:rFonts w:eastAsia="Times New Roman" w:cs="Arial"/>
          <w:color w:val="000000"/>
        </w:rPr>
        <w:t xml:space="preserve">, </w:t>
      </w:r>
      <w:r w:rsidRPr="00F17B44">
        <w:rPr>
          <w:rFonts w:eastAsia="Times New Roman" w:cs="Arial"/>
          <w:i/>
          <w:iCs/>
          <w:color w:val="000000"/>
        </w:rPr>
        <w:t>supra</w:t>
      </w:r>
      <w:r w:rsidRPr="00F17B44">
        <w:rPr>
          <w:rFonts w:eastAsia="Times New Roman" w:cs="Arial"/>
          <w:color w:val="000000"/>
        </w:rPr>
        <w:t>, 4 Cal.App.4th at p. 501), which provides: “The following are exempt from property taxation: (a) Property owned by the State.”  (Cal. Const., art. XIII § 3</w:t>
      </w:r>
      <w:r w:rsidRPr="00F17B44" w:rsidR="00DA794E">
        <w:rPr>
          <w:rFonts w:eastAsia="Times New Roman" w:cs="Arial"/>
          <w:color w:val="000000"/>
        </w:rPr>
        <w:t xml:space="preserve">, subd. </w:t>
      </w:r>
      <w:r w:rsidRPr="00F17B44">
        <w:rPr>
          <w:rFonts w:eastAsia="Times New Roman" w:cs="Arial"/>
          <w:color w:val="000000"/>
        </w:rPr>
        <w:t>(a).)</w:t>
      </w:r>
    </w:p>
  </w:footnote>
  <w:footnote w:id="13">
    <w:p w:rsidR="00FC4463" w:rsidRPr="00F17B44" w:rsidP="00641703" w14:paraId="03F92347" w14:textId="77777777">
      <w:pPr>
        <w:pStyle w:val="FootnoteText"/>
        <w:spacing w:after="120"/>
        <w:ind w:firstLine="720"/>
      </w:pPr>
      <w:r w:rsidRPr="00F17B44">
        <w:rPr>
          <w:rStyle w:val="FootnoteReference"/>
        </w:rPr>
        <w:footnoteRef/>
      </w:r>
      <w:r w:rsidRPr="00F17B44">
        <w:t xml:space="preserve">  The LLCs have sought judicial notice of a copy of the July 21, 2016, contract of sale, asserting it supports their exemption claim because it was signed on behalf of the LLCs by the deputy chief investment officer of CalSTRS, the LLCs’ “sole member.”  The document was not before the trial court or part of the administrative record.  It is also irrelevant as there is no dispute that CalSTRS is the sole member of the LLCs and as such manages and controls the LLCs.  In any case, “the existence of a contract between private parties cannot be established by judicial notice under Evidence Code section 452, subdivision (h).”  (</w:t>
      </w:r>
      <w:r w:rsidRPr="00F17B44">
        <w:rPr>
          <w:i/>
          <w:iCs/>
        </w:rPr>
        <w:t>Gould v. Maryland Sound Industries, Inc.</w:t>
      </w:r>
      <w:r w:rsidRPr="00F17B44">
        <w:t xml:space="preserve"> (1995) 31 Cal.App.4th 1137, 1145.)  Nor is the document subject to judicial notice an “[o]fficial act[]”of a government agency as it was signed by the deputy chief investment officer of CalSTRS as the sole </w:t>
      </w:r>
      <w:r w:rsidRPr="00F17B44">
        <w:rPr>
          <w:i/>
          <w:iCs/>
        </w:rPr>
        <w:t>member</w:t>
      </w:r>
      <w:r w:rsidRPr="00F17B44">
        <w:t xml:space="preserve"> of the LLCs.  We therefore deny the request for notice.  </w:t>
      </w:r>
    </w:p>
  </w:footnote>
  <w:footnote w:id="14">
    <w:p w:rsidR="00D218F8" w:rsidRPr="00F17B44" w:rsidP="00641703" w14:paraId="50C7E5FC" w14:textId="19587DFB">
      <w:pPr>
        <w:pStyle w:val="FootnoteText"/>
        <w:spacing w:after="120"/>
        <w:ind w:firstLine="720"/>
        <w:rPr>
          <w:rFonts w:eastAsia="Times New Roman" w:cs="Arial"/>
          <w:color w:val="000000"/>
        </w:rPr>
      </w:pPr>
      <w:r w:rsidRPr="00F17B44">
        <w:rPr>
          <w:rStyle w:val="FootnoteReference"/>
        </w:rPr>
        <w:footnoteRef/>
      </w:r>
      <w:r w:rsidRPr="00F17B44">
        <w:rPr>
          <w:color w:val="FF0000"/>
        </w:rPr>
        <w:t xml:space="preserve">  </w:t>
      </w:r>
      <w:r w:rsidRPr="00F17B44">
        <w:t>California Board of Equalization annotations are not controlling upon the courts, but they do “ ‘ “ ‘constitute a body of experience and informed judgment to which courts and litigants may properly resort for guidance.’ ” ’</w:t>
      </w:r>
      <w:r w:rsidR="00E30225">
        <w:t> </w:t>
      </w:r>
      <w:r w:rsidRPr="00F17B44">
        <w:t>”</w:t>
      </w:r>
      <w:r w:rsidR="00E30225">
        <w:t xml:space="preserve">  </w:t>
      </w:r>
      <w:r w:rsidRPr="00F17B44">
        <w:t>(</w:t>
      </w:r>
      <w:r w:rsidRPr="00F17B44">
        <w:rPr>
          <w:i/>
          <w:iCs/>
        </w:rPr>
        <w:t>Letterman Digital Arts Ltd. v. City and County of San Francisco</w:t>
      </w:r>
      <w:r w:rsidRPr="00F17B44">
        <w:t xml:space="preserve"> (2020) 59 Cal.App.5th 317, 326, fn. 6, quoting </w:t>
      </w:r>
      <w:r w:rsidRPr="00F17B44">
        <w:rPr>
          <w:i/>
          <w:iCs/>
        </w:rPr>
        <w:t>Dyanlyn Two v. County of Orange</w:t>
      </w:r>
      <w:r w:rsidRPr="00F17B44">
        <w:t xml:space="preserve"> (2015) 234</w:t>
      </w:r>
      <w:r w:rsidRPr="00F17B44" w:rsidR="00551509">
        <w:t> </w:t>
      </w:r>
      <w:r w:rsidRPr="00F17B44">
        <w:t xml:space="preserve">Cal.App.4th 800, 811.) </w:t>
      </w:r>
      <w:r w:rsidRPr="00F17B44">
        <w:rPr>
          <w:rStyle w:val="FootnoteReference"/>
          <w:rFonts w:eastAsia="Times New Roman" w:cs="Arial"/>
          <w:color w:val="000000"/>
        </w:rPr>
        <w:t xml:space="preserve"> </w:t>
      </w:r>
    </w:p>
    <w:p w:rsidR="005E6383" w:rsidRPr="00F17B44" w:rsidP="00641703" w14:paraId="1DAE2686" w14:textId="5F4BFCAE">
      <w:pPr>
        <w:pStyle w:val="FootnoteText"/>
        <w:spacing w:after="120"/>
        <w:ind w:firstLine="720"/>
      </w:pPr>
      <w:r w:rsidRPr="00F17B44">
        <w:t xml:space="preserve">As the Board has explained, “Annotations are primarily summaries of the conclusions reached in selected legal rulings of counsel.  ‘Legal rulings of counsel’ means a legal opinion written and signed by the Chief Counsel or an attorney who is the Chief Counsel’s designee, addressing a specific tax application inquiry from a taxpayer or taxpayer representative, a local government, or Board of Equalization staff.  </w:t>
      </w:r>
      <w:r w:rsidRPr="00F17B44">
        <w:rPr>
          <w:rFonts w:eastAsia="Times New Roman" w:cs="Arial"/>
          <w:color w:val="000000"/>
        </w:rPr>
        <w:t>[¶]</w:t>
      </w:r>
      <w:r w:rsidRPr="00F17B44">
        <w:t xml:space="preserve"> Property Taxes annotations are a research tool to locate selected legal rulings of counsel.  Annotations are intended to provide guidance regarding the interpretation of statutes and Board rules as applied to specific factual situations.  They do not have the force or effect of law.  Although annotations are synopses of past advice provided by the Board’s legal staff, the advice is not binding and may be revised at any time.  The date appearing at the end of an annotation reflects the agency’s interpretation of statutes existing as of that date.  In any instance where there is an inconsistency between the statute and an annotation, statutory law is controlling.”  (</w:t>
      </w:r>
      <w:r w:rsidRPr="00F17B44" w:rsidR="00D218F8">
        <w:rPr>
          <w:rFonts w:eastAsia="Times New Roman" w:cs="Arial"/>
        </w:rPr>
        <w:t xml:space="preserve">California State Board of Equalization, Applicability of Annotations and Source Documents </w:t>
      </w:r>
      <w:r w:rsidRPr="00F17B44">
        <w:t xml:space="preserve">&lt;https://www.boe.ca.gov/lawguides/property/current/ptlg/annt/property-tax-annotations.htm [as of </w:t>
      </w:r>
      <w:r w:rsidRPr="00F17B44" w:rsidR="00D218F8">
        <w:t>May</w:t>
      </w:r>
      <w:r w:rsidRPr="00F17B44">
        <w:t xml:space="preserve"> </w:t>
      </w:r>
      <w:r w:rsidRPr="00F17B44" w:rsidR="00D218F8">
        <w:t>3</w:t>
      </w:r>
      <w:r w:rsidR="00C10AE5">
        <w:t>1</w:t>
      </w:r>
      <w:r w:rsidRPr="00F17B44">
        <w:t>, 2023]&gt;</w:t>
      </w:r>
      <w:r w:rsidRPr="00F17B44" w:rsidR="00D218F8">
        <w:t>.</w:t>
      </w:r>
      <w:r w:rsidRPr="00F17B44">
        <w:t xml:space="preserve">) </w:t>
      </w:r>
    </w:p>
  </w:footnote>
  <w:footnote w:id="15">
    <w:p w:rsidR="00FD3D74" w:rsidRPr="00F17B44" w:rsidP="00641703" w14:paraId="58DC2AA2" w14:textId="3A3BCCD8">
      <w:pPr>
        <w:pStyle w:val="FootnoteText"/>
        <w:spacing w:after="120"/>
        <w:ind w:firstLine="720"/>
      </w:pPr>
      <w:r w:rsidRPr="00F17B44">
        <w:rPr>
          <w:rStyle w:val="FootnoteReference"/>
        </w:rPr>
        <w:footnoteRef/>
      </w:r>
      <w:r w:rsidRPr="00F17B44">
        <w:t xml:space="preserve">  We take judicial notice of this legislative history on our own motion.  (Evid. Code</w:t>
      </w:r>
      <w:r w:rsidRPr="00F17B44" w:rsidR="00551509">
        <w:t>,</w:t>
      </w:r>
      <w:r w:rsidRPr="00F17B44">
        <w:t xml:space="preserve"> §§ 452, subds. (a), (c), 459.) </w:t>
      </w:r>
    </w:p>
  </w:footnote>
  <w:footnote w:id="16">
    <w:p w:rsidR="001076A0" w:rsidP="00641703" w14:paraId="44ED91A5" w14:textId="7A3A5B5F">
      <w:pPr>
        <w:pStyle w:val="FootnoteText"/>
        <w:spacing w:after="120"/>
        <w:ind w:firstLine="720"/>
      </w:pPr>
      <w:r w:rsidRPr="00F17B44">
        <w:rPr>
          <w:rStyle w:val="FootnoteReference"/>
        </w:rPr>
        <w:footnoteRef/>
      </w:r>
      <w:r w:rsidRPr="00F17B44">
        <w:t xml:space="preserve">  At least one other jurisdiction has taken the same view as the Board of Equalization.  </w:t>
      </w:r>
      <w:r w:rsidRPr="00F17B44">
        <w:rPr>
          <w:rFonts w:eastAsia="Times New Roman" w:cs="Arial"/>
          <w:color w:val="000000"/>
        </w:rPr>
        <w:t xml:space="preserve">(See </w:t>
      </w:r>
      <w:r w:rsidRPr="00F17B44">
        <w:rPr>
          <w:rFonts w:eastAsia="Times New Roman" w:cs="Arial"/>
          <w:i/>
          <w:iCs/>
          <w:color w:val="000000"/>
        </w:rPr>
        <w:t>Middlesex Retirement System, LLC v. Board of Assessors of Billerica</w:t>
      </w:r>
      <w:r w:rsidRPr="00F17B44">
        <w:rPr>
          <w:rFonts w:eastAsia="Times New Roman" w:cs="Arial"/>
          <w:color w:val="000000"/>
        </w:rPr>
        <w:t xml:space="preserve"> (Mass. 2009) 453 Mass. 495, 500 [rejecting argument that LLC whose sole member was a government retirement system was exempt from paying </w:t>
      </w:r>
      <w:r w:rsidRPr="00F17B44" w:rsidR="00E05B64">
        <w:rPr>
          <w:rFonts w:eastAsia="Times New Roman" w:cs="Arial"/>
          <w:color w:val="000000"/>
        </w:rPr>
        <w:t xml:space="preserve">state </w:t>
      </w:r>
      <w:r w:rsidRPr="00F17B44">
        <w:rPr>
          <w:rFonts w:eastAsia="Times New Roman" w:cs="Arial"/>
          <w:color w:val="000000"/>
        </w:rPr>
        <w:t>property tax; “the property here is not owned by a regional retirement system but by LLC, which is not an instrumentality of government, and the [property] taxes were properly assessed to LLC, as owner”].)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220C" w14:paraId="483D957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7F04" w:rsidP="00077F04" w14:paraId="753521AF" w14:textId="788DA8B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220C" w14:paraId="6D6A9D5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3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AC"/>
    <w:rsid w:val="00000543"/>
    <w:rsid w:val="00000F9F"/>
    <w:rsid w:val="00001557"/>
    <w:rsid w:val="00001FEF"/>
    <w:rsid w:val="00002365"/>
    <w:rsid w:val="0000511D"/>
    <w:rsid w:val="00006A5D"/>
    <w:rsid w:val="000131A5"/>
    <w:rsid w:val="0001468B"/>
    <w:rsid w:val="00014BE3"/>
    <w:rsid w:val="00023A24"/>
    <w:rsid w:val="00023C14"/>
    <w:rsid w:val="0002469E"/>
    <w:rsid w:val="00025E1E"/>
    <w:rsid w:val="000306EA"/>
    <w:rsid w:val="000323D1"/>
    <w:rsid w:val="000341C9"/>
    <w:rsid w:val="000363AD"/>
    <w:rsid w:val="000375F5"/>
    <w:rsid w:val="00040743"/>
    <w:rsid w:val="000407CB"/>
    <w:rsid w:val="000426AE"/>
    <w:rsid w:val="00042E0F"/>
    <w:rsid w:val="00043E83"/>
    <w:rsid w:val="00046699"/>
    <w:rsid w:val="000504C2"/>
    <w:rsid w:val="000508E2"/>
    <w:rsid w:val="000509BE"/>
    <w:rsid w:val="000514DC"/>
    <w:rsid w:val="0005180F"/>
    <w:rsid w:val="0005185F"/>
    <w:rsid w:val="000518EA"/>
    <w:rsid w:val="00051D7B"/>
    <w:rsid w:val="000522B4"/>
    <w:rsid w:val="0005284C"/>
    <w:rsid w:val="000534A6"/>
    <w:rsid w:val="00053A88"/>
    <w:rsid w:val="00054377"/>
    <w:rsid w:val="00054736"/>
    <w:rsid w:val="00055347"/>
    <w:rsid w:val="000574C4"/>
    <w:rsid w:val="000578CD"/>
    <w:rsid w:val="000578D8"/>
    <w:rsid w:val="000610FF"/>
    <w:rsid w:val="00061A42"/>
    <w:rsid w:val="000644F9"/>
    <w:rsid w:val="00064EB5"/>
    <w:rsid w:val="00065005"/>
    <w:rsid w:val="00065333"/>
    <w:rsid w:val="000658EF"/>
    <w:rsid w:val="00065AFE"/>
    <w:rsid w:val="00067785"/>
    <w:rsid w:val="00071B56"/>
    <w:rsid w:val="00071F59"/>
    <w:rsid w:val="000738FA"/>
    <w:rsid w:val="000740BF"/>
    <w:rsid w:val="00075D3A"/>
    <w:rsid w:val="00075F79"/>
    <w:rsid w:val="00077F04"/>
    <w:rsid w:val="00081406"/>
    <w:rsid w:val="00083513"/>
    <w:rsid w:val="00084D46"/>
    <w:rsid w:val="0008595E"/>
    <w:rsid w:val="00085FEF"/>
    <w:rsid w:val="00086885"/>
    <w:rsid w:val="000876C3"/>
    <w:rsid w:val="00087D8B"/>
    <w:rsid w:val="00090496"/>
    <w:rsid w:val="00090796"/>
    <w:rsid w:val="000909DF"/>
    <w:rsid w:val="0009135A"/>
    <w:rsid w:val="0009220D"/>
    <w:rsid w:val="00093804"/>
    <w:rsid w:val="00094C55"/>
    <w:rsid w:val="00094D17"/>
    <w:rsid w:val="0009547A"/>
    <w:rsid w:val="000959C2"/>
    <w:rsid w:val="00096586"/>
    <w:rsid w:val="000A014D"/>
    <w:rsid w:val="000A0440"/>
    <w:rsid w:val="000A0E9C"/>
    <w:rsid w:val="000A22E2"/>
    <w:rsid w:val="000A32AB"/>
    <w:rsid w:val="000A3E13"/>
    <w:rsid w:val="000A4760"/>
    <w:rsid w:val="000B0DC7"/>
    <w:rsid w:val="000B3C2B"/>
    <w:rsid w:val="000B6C18"/>
    <w:rsid w:val="000C43D8"/>
    <w:rsid w:val="000C5125"/>
    <w:rsid w:val="000C54DF"/>
    <w:rsid w:val="000C5A88"/>
    <w:rsid w:val="000C689E"/>
    <w:rsid w:val="000C6C1F"/>
    <w:rsid w:val="000C7837"/>
    <w:rsid w:val="000D14D7"/>
    <w:rsid w:val="000D15DA"/>
    <w:rsid w:val="000D5BCD"/>
    <w:rsid w:val="000D700F"/>
    <w:rsid w:val="000D7532"/>
    <w:rsid w:val="000D76C7"/>
    <w:rsid w:val="000D7DD5"/>
    <w:rsid w:val="000E11F8"/>
    <w:rsid w:val="000E312D"/>
    <w:rsid w:val="000E4D73"/>
    <w:rsid w:val="000E5A9F"/>
    <w:rsid w:val="000E5FB4"/>
    <w:rsid w:val="000E65F9"/>
    <w:rsid w:val="000E7CC1"/>
    <w:rsid w:val="000F0DAC"/>
    <w:rsid w:val="000F4018"/>
    <w:rsid w:val="000F791A"/>
    <w:rsid w:val="00100B9E"/>
    <w:rsid w:val="00101139"/>
    <w:rsid w:val="00102884"/>
    <w:rsid w:val="00104837"/>
    <w:rsid w:val="0010725B"/>
    <w:rsid w:val="001076A0"/>
    <w:rsid w:val="00107848"/>
    <w:rsid w:val="00107C85"/>
    <w:rsid w:val="001126B3"/>
    <w:rsid w:val="0011556D"/>
    <w:rsid w:val="00116410"/>
    <w:rsid w:val="0012036F"/>
    <w:rsid w:val="001221C3"/>
    <w:rsid w:val="00122F7E"/>
    <w:rsid w:val="0012415A"/>
    <w:rsid w:val="00124467"/>
    <w:rsid w:val="00127BEA"/>
    <w:rsid w:val="00130EE3"/>
    <w:rsid w:val="00133D2E"/>
    <w:rsid w:val="00133DEC"/>
    <w:rsid w:val="001350D7"/>
    <w:rsid w:val="00135EAA"/>
    <w:rsid w:val="00136924"/>
    <w:rsid w:val="00136FB9"/>
    <w:rsid w:val="00140D41"/>
    <w:rsid w:val="00141EB4"/>
    <w:rsid w:val="0014289B"/>
    <w:rsid w:val="00144318"/>
    <w:rsid w:val="00144F58"/>
    <w:rsid w:val="00145A82"/>
    <w:rsid w:val="00145B28"/>
    <w:rsid w:val="00145FBA"/>
    <w:rsid w:val="0014711A"/>
    <w:rsid w:val="00150226"/>
    <w:rsid w:val="001556A1"/>
    <w:rsid w:val="001556B6"/>
    <w:rsid w:val="0015596B"/>
    <w:rsid w:val="00156FC6"/>
    <w:rsid w:val="0016512D"/>
    <w:rsid w:val="001655B9"/>
    <w:rsid w:val="001657A6"/>
    <w:rsid w:val="001664F0"/>
    <w:rsid w:val="00166966"/>
    <w:rsid w:val="001700BD"/>
    <w:rsid w:val="00170B68"/>
    <w:rsid w:val="00170F4D"/>
    <w:rsid w:val="00174567"/>
    <w:rsid w:val="00174F8B"/>
    <w:rsid w:val="00175A73"/>
    <w:rsid w:val="00181E01"/>
    <w:rsid w:val="00181F50"/>
    <w:rsid w:val="00182974"/>
    <w:rsid w:val="00185038"/>
    <w:rsid w:val="00185D6C"/>
    <w:rsid w:val="00187A4A"/>
    <w:rsid w:val="0019080A"/>
    <w:rsid w:val="00190D4A"/>
    <w:rsid w:val="00192389"/>
    <w:rsid w:val="00192D51"/>
    <w:rsid w:val="00193699"/>
    <w:rsid w:val="0019522D"/>
    <w:rsid w:val="001960B4"/>
    <w:rsid w:val="00196E86"/>
    <w:rsid w:val="001A0F5C"/>
    <w:rsid w:val="001A10D8"/>
    <w:rsid w:val="001A529F"/>
    <w:rsid w:val="001A76BF"/>
    <w:rsid w:val="001A7FE5"/>
    <w:rsid w:val="001B10B9"/>
    <w:rsid w:val="001B23F3"/>
    <w:rsid w:val="001B39DF"/>
    <w:rsid w:val="001B3CC9"/>
    <w:rsid w:val="001B4317"/>
    <w:rsid w:val="001B4D27"/>
    <w:rsid w:val="001B5ACC"/>
    <w:rsid w:val="001B6052"/>
    <w:rsid w:val="001B6D43"/>
    <w:rsid w:val="001B770E"/>
    <w:rsid w:val="001C090E"/>
    <w:rsid w:val="001C2BDD"/>
    <w:rsid w:val="001C317C"/>
    <w:rsid w:val="001C4255"/>
    <w:rsid w:val="001C4B19"/>
    <w:rsid w:val="001C4F98"/>
    <w:rsid w:val="001C51CB"/>
    <w:rsid w:val="001C5601"/>
    <w:rsid w:val="001C6662"/>
    <w:rsid w:val="001D04C4"/>
    <w:rsid w:val="001D0DD4"/>
    <w:rsid w:val="001D10E9"/>
    <w:rsid w:val="001D2FE4"/>
    <w:rsid w:val="001D48B2"/>
    <w:rsid w:val="001D4D6E"/>
    <w:rsid w:val="001D69CC"/>
    <w:rsid w:val="001D6D71"/>
    <w:rsid w:val="001D6DF2"/>
    <w:rsid w:val="001E1513"/>
    <w:rsid w:val="001E168A"/>
    <w:rsid w:val="001E18FF"/>
    <w:rsid w:val="001E2A66"/>
    <w:rsid w:val="001E3CF3"/>
    <w:rsid w:val="001E4F5F"/>
    <w:rsid w:val="001E57E5"/>
    <w:rsid w:val="001E703E"/>
    <w:rsid w:val="001E77F1"/>
    <w:rsid w:val="001F0DB7"/>
    <w:rsid w:val="001F2C00"/>
    <w:rsid w:val="001F381E"/>
    <w:rsid w:val="001F4F68"/>
    <w:rsid w:val="001F6B9B"/>
    <w:rsid w:val="001F71E6"/>
    <w:rsid w:val="001F78D1"/>
    <w:rsid w:val="00200D12"/>
    <w:rsid w:val="00201512"/>
    <w:rsid w:val="002044FE"/>
    <w:rsid w:val="00204D04"/>
    <w:rsid w:val="00205164"/>
    <w:rsid w:val="00207C97"/>
    <w:rsid w:val="00207D1D"/>
    <w:rsid w:val="00210E05"/>
    <w:rsid w:val="00211700"/>
    <w:rsid w:val="00211822"/>
    <w:rsid w:val="00213C36"/>
    <w:rsid w:val="0021428F"/>
    <w:rsid w:val="002144A5"/>
    <w:rsid w:val="00214D7B"/>
    <w:rsid w:val="00215C04"/>
    <w:rsid w:val="00215D19"/>
    <w:rsid w:val="002163FF"/>
    <w:rsid w:val="002170FF"/>
    <w:rsid w:val="002174F5"/>
    <w:rsid w:val="00221650"/>
    <w:rsid w:val="00221AF7"/>
    <w:rsid w:val="00223FCB"/>
    <w:rsid w:val="00225674"/>
    <w:rsid w:val="002263C3"/>
    <w:rsid w:val="00226AF7"/>
    <w:rsid w:val="00231D1F"/>
    <w:rsid w:val="00237285"/>
    <w:rsid w:val="002424C4"/>
    <w:rsid w:val="0024364F"/>
    <w:rsid w:val="00247615"/>
    <w:rsid w:val="002513FB"/>
    <w:rsid w:val="00253657"/>
    <w:rsid w:val="00253F17"/>
    <w:rsid w:val="00254DFB"/>
    <w:rsid w:val="00256C62"/>
    <w:rsid w:val="002606C3"/>
    <w:rsid w:val="00261217"/>
    <w:rsid w:val="00261DC8"/>
    <w:rsid w:val="002621FC"/>
    <w:rsid w:val="002634A2"/>
    <w:rsid w:val="002638E4"/>
    <w:rsid w:val="00264450"/>
    <w:rsid w:val="00267F5F"/>
    <w:rsid w:val="0027122C"/>
    <w:rsid w:val="00271ADC"/>
    <w:rsid w:val="002736B9"/>
    <w:rsid w:val="002736BF"/>
    <w:rsid w:val="002743F3"/>
    <w:rsid w:val="00276371"/>
    <w:rsid w:val="0027766A"/>
    <w:rsid w:val="002776BA"/>
    <w:rsid w:val="00277885"/>
    <w:rsid w:val="00280171"/>
    <w:rsid w:val="00280585"/>
    <w:rsid w:val="002816F8"/>
    <w:rsid w:val="002817B5"/>
    <w:rsid w:val="00281900"/>
    <w:rsid w:val="002826BF"/>
    <w:rsid w:val="002846B6"/>
    <w:rsid w:val="00284D8C"/>
    <w:rsid w:val="00284E6C"/>
    <w:rsid w:val="00285020"/>
    <w:rsid w:val="00285302"/>
    <w:rsid w:val="00285911"/>
    <w:rsid w:val="00285BF3"/>
    <w:rsid w:val="0028667E"/>
    <w:rsid w:val="00286BD2"/>
    <w:rsid w:val="002904F2"/>
    <w:rsid w:val="00291F27"/>
    <w:rsid w:val="00295A54"/>
    <w:rsid w:val="00295C08"/>
    <w:rsid w:val="00295CAC"/>
    <w:rsid w:val="002961AD"/>
    <w:rsid w:val="00296289"/>
    <w:rsid w:val="002965EC"/>
    <w:rsid w:val="00297311"/>
    <w:rsid w:val="00297A40"/>
    <w:rsid w:val="002A0477"/>
    <w:rsid w:val="002A0809"/>
    <w:rsid w:val="002A0B90"/>
    <w:rsid w:val="002A2892"/>
    <w:rsid w:val="002A290F"/>
    <w:rsid w:val="002A3083"/>
    <w:rsid w:val="002A3D43"/>
    <w:rsid w:val="002A3DB4"/>
    <w:rsid w:val="002A5054"/>
    <w:rsid w:val="002B1348"/>
    <w:rsid w:val="002B2E1A"/>
    <w:rsid w:val="002B3906"/>
    <w:rsid w:val="002B425D"/>
    <w:rsid w:val="002B4E7C"/>
    <w:rsid w:val="002B6999"/>
    <w:rsid w:val="002C12E8"/>
    <w:rsid w:val="002C2BD8"/>
    <w:rsid w:val="002C3417"/>
    <w:rsid w:val="002C3866"/>
    <w:rsid w:val="002C38BB"/>
    <w:rsid w:val="002C3C94"/>
    <w:rsid w:val="002C4B0C"/>
    <w:rsid w:val="002C5145"/>
    <w:rsid w:val="002D0A3A"/>
    <w:rsid w:val="002D2100"/>
    <w:rsid w:val="002D2FB8"/>
    <w:rsid w:val="002D33A3"/>
    <w:rsid w:val="002D59CF"/>
    <w:rsid w:val="002E0999"/>
    <w:rsid w:val="002E3705"/>
    <w:rsid w:val="002E5044"/>
    <w:rsid w:val="002F00B5"/>
    <w:rsid w:val="002F10C5"/>
    <w:rsid w:val="002F16AF"/>
    <w:rsid w:val="002F2462"/>
    <w:rsid w:val="002F4604"/>
    <w:rsid w:val="002F64DC"/>
    <w:rsid w:val="002F6F21"/>
    <w:rsid w:val="002F728D"/>
    <w:rsid w:val="003006DC"/>
    <w:rsid w:val="00304137"/>
    <w:rsid w:val="0030451D"/>
    <w:rsid w:val="003060E5"/>
    <w:rsid w:val="00306348"/>
    <w:rsid w:val="00310B24"/>
    <w:rsid w:val="00311509"/>
    <w:rsid w:val="00311678"/>
    <w:rsid w:val="00311A2B"/>
    <w:rsid w:val="00312273"/>
    <w:rsid w:val="00312537"/>
    <w:rsid w:val="00312ADE"/>
    <w:rsid w:val="00312BE6"/>
    <w:rsid w:val="00312CA7"/>
    <w:rsid w:val="00312D3D"/>
    <w:rsid w:val="00320A0E"/>
    <w:rsid w:val="003233C7"/>
    <w:rsid w:val="003255DD"/>
    <w:rsid w:val="0032591F"/>
    <w:rsid w:val="00325C9D"/>
    <w:rsid w:val="00326419"/>
    <w:rsid w:val="003279B7"/>
    <w:rsid w:val="0033098C"/>
    <w:rsid w:val="00330EDC"/>
    <w:rsid w:val="0033280E"/>
    <w:rsid w:val="00333F24"/>
    <w:rsid w:val="0033636F"/>
    <w:rsid w:val="00336A96"/>
    <w:rsid w:val="00336AF1"/>
    <w:rsid w:val="003370F6"/>
    <w:rsid w:val="003416D0"/>
    <w:rsid w:val="00343721"/>
    <w:rsid w:val="00345580"/>
    <w:rsid w:val="0034679F"/>
    <w:rsid w:val="00346D7A"/>
    <w:rsid w:val="00347177"/>
    <w:rsid w:val="00347324"/>
    <w:rsid w:val="0034752C"/>
    <w:rsid w:val="00347652"/>
    <w:rsid w:val="00353CDB"/>
    <w:rsid w:val="00354A9B"/>
    <w:rsid w:val="00355005"/>
    <w:rsid w:val="003576F5"/>
    <w:rsid w:val="00360CC3"/>
    <w:rsid w:val="00362696"/>
    <w:rsid w:val="0036446C"/>
    <w:rsid w:val="0036470E"/>
    <w:rsid w:val="00364BDA"/>
    <w:rsid w:val="0037190B"/>
    <w:rsid w:val="003730A4"/>
    <w:rsid w:val="0037428D"/>
    <w:rsid w:val="0037558F"/>
    <w:rsid w:val="0037578C"/>
    <w:rsid w:val="00375CC8"/>
    <w:rsid w:val="00377DBC"/>
    <w:rsid w:val="003801E7"/>
    <w:rsid w:val="00381B04"/>
    <w:rsid w:val="0039170A"/>
    <w:rsid w:val="00391EBC"/>
    <w:rsid w:val="00392EE7"/>
    <w:rsid w:val="00393A8A"/>
    <w:rsid w:val="00394021"/>
    <w:rsid w:val="003956BE"/>
    <w:rsid w:val="003963B7"/>
    <w:rsid w:val="00396C4B"/>
    <w:rsid w:val="00397796"/>
    <w:rsid w:val="00397E36"/>
    <w:rsid w:val="003A1F2F"/>
    <w:rsid w:val="003A2633"/>
    <w:rsid w:val="003A72F1"/>
    <w:rsid w:val="003B0ECE"/>
    <w:rsid w:val="003B25C2"/>
    <w:rsid w:val="003B2FA4"/>
    <w:rsid w:val="003B45D1"/>
    <w:rsid w:val="003B5A65"/>
    <w:rsid w:val="003B5FEE"/>
    <w:rsid w:val="003B6543"/>
    <w:rsid w:val="003B74A0"/>
    <w:rsid w:val="003C17FF"/>
    <w:rsid w:val="003C340C"/>
    <w:rsid w:val="003C57EF"/>
    <w:rsid w:val="003C6081"/>
    <w:rsid w:val="003C65AD"/>
    <w:rsid w:val="003D4693"/>
    <w:rsid w:val="003D4E4D"/>
    <w:rsid w:val="003D5A89"/>
    <w:rsid w:val="003E127F"/>
    <w:rsid w:val="003E2EDA"/>
    <w:rsid w:val="003E2FDE"/>
    <w:rsid w:val="003E395B"/>
    <w:rsid w:val="003E719E"/>
    <w:rsid w:val="003F1EBE"/>
    <w:rsid w:val="003F4AD5"/>
    <w:rsid w:val="003F4C32"/>
    <w:rsid w:val="003F4F13"/>
    <w:rsid w:val="003F530A"/>
    <w:rsid w:val="003F53C6"/>
    <w:rsid w:val="003F5445"/>
    <w:rsid w:val="003F5792"/>
    <w:rsid w:val="003F59C4"/>
    <w:rsid w:val="003F669F"/>
    <w:rsid w:val="00401CC1"/>
    <w:rsid w:val="00405CC2"/>
    <w:rsid w:val="00406D7B"/>
    <w:rsid w:val="004078A7"/>
    <w:rsid w:val="004110B4"/>
    <w:rsid w:val="0041120C"/>
    <w:rsid w:val="004120C9"/>
    <w:rsid w:val="00413180"/>
    <w:rsid w:val="004150DD"/>
    <w:rsid w:val="0041520A"/>
    <w:rsid w:val="004164DA"/>
    <w:rsid w:val="00417DC6"/>
    <w:rsid w:val="00420717"/>
    <w:rsid w:val="0042177A"/>
    <w:rsid w:val="00424628"/>
    <w:rsid w:val="00426DA1"/>
    <w:rsid w:val="004315E1"/>
    <w:rsid w:val="00434D5D"/>
    <w:rsid w:val="00435025"/>
    <w:rsid w:val="004377B4"/>
    <w:rsid w:val="00440A3C"/>
    <w:rsid w:val="00442070"/>
    <w:rsid w:val="00442244"/>
    <w:rsid w:val="00442439"/>
    <w:rsid w:val="00443AAE"/>
    <w:rsid w:val="00444036"/>
    <w:rsid w:val="00444967"/>
    <w:rsid w:val="00445AEE"/>
    <w:rsid w:val="004477E0"/>
    <w:rsid w:val="0045077D"/>
    <w:rsid w:val="00453829"/>
    <w:rsid w:val="00455BB2"/>
    <w:rsid w:val="00456976"/>
    <w:rsid w:val="00457E56"/>
    <w:rsid w:val="00463FFF"/>
    <w:rsid w:val="00464AFA"/>
    <w:rsid w:val="00465B2F"/>
    <w:rsid w:val="00467586"/>
    <w:rsid w:val="00467D4E"/>
    <w:rsid w:val="0047307E"/>
    <w:rsid w:val="00473722"/>
    <w:rsid w:val="00473CCA"/>
    <w:rsid w:val="0047561C"/>
    <w:rsid w:val="0047598D"/>
    <w:rsid w:val="0047624D"/>
    <w:rsid w:val="004767F9"/>
    <w:rsid w:val="004809C2"/>
    <w:rsid w:val="00480EBA"/>
    <w:rsid w:val="00483D29"/>
    <w:rsid w:val="00483F1A"/>
    <w:rsid w:val="0048569D"/>
    <w:rsid w:val="00487B2E"/>
    <w:rsid w:val="004927A5"/>
    <w:rsid w:val="00493005"/>
    <w:rsid w:val="00497175"/>
    <w:rsid w:val="004A010B"/>
    <w:rsid w:val="004A01F2"/>
    <w:rsid w:val="004A0642"/>
    <w:rsid w:val="004A147B"/>
    <w:rsid w:val="004A1B2A"/>
    <w:rsid w:val="004A396A"/>
    <w:rsid w:val="004A61EE"/>
    <w:rsid w:val="004A6E4B"/>
    <w:rsid w:val="004B0261"/>
    <w:rsid w:val="004B05F1"/>
    <w:rsid w:val="004B3A4A"/>
    <w:rsid w:val="004B522A"/>
    <w:rsid w:val="004B56FD"/>
    <w:rsid w:val="004B6AC4"/>
    <w:rsid w:val="004B7803"/>
    <w:rsid w:val="004B7DDF"/>
    <w:rsid w:val="004C28E0"/>
    <w:rsid w:val="004C2962"/>
    <w:rsid w:val="004C56F5"/>
    <w:rsid w:val="004C581E"/>
    <w:rsid w:val="004C6303"/>
    <w:rsid w:val="004C6E89"/>
    <w:rsid w:val="004C70D0"/>
    <w:rsid w:val="004D0546"/>
    <w:rsid w:val="004D1010"/>
    <w:rsid w:val="004D6456"/>
    <w:rsid w:val="004D698E"/>
    <w:rsid w:val="004E0183"/>
    <w:rsid w:val="004E09A8"/>
    <w:rsid w:val="004E5D07"/>
    <w:rsid w:val="004F06F9"/>
    <w:rsid w:val="004F15E0"/>
    <w:rsid w:val="004F264F"/>
    <w:rsid w:val="004F27E2"/>
    <w:rsid w:val="004F4B9B"/>
    <w:rsid w:val="004F5549"/>
    <w:rsid w:val="004F645D"/>
    <w:rsid w:val="004F697A"/>
    <w:rsid w:val="005033A5"/>
    <w:rsid w:val="0050443E"/>
    <w:rsid w:val="00507761"/>
    <w:rsid w:val="005109ED"/>
    <w:rsid w:val="00512C08"/>
    <w:rsid w:val="00514199"/>
    <w:rsid w:val="005143B4"/>
    <w:rsid w:val="005147F4"/>
    <w:rsid w:val="00514D7C"/>
    <w:rsid w:val="00517B57"/>
    <w:rsid w:val="00517D0C"/>
    <w:rsid w:val="005206CC"/>
    <w:rsid w:val="00523C46"/>
    <w:rsid w:val="005246CF"/>
    <w:rsid w:val="00527196"/>
    <w:rsid w:val="0053178B"/>
    <w:rsid w:val="00533019"/>
    <w:rsid w:val="0053575A"/>
    <w:rsid w:val="0054233E"/>
    <w:rsid w:val="005449BD"/>
    <w:rsid w:val="00545B29"/>
    <w:rsid w:val="0054671D"/>
    <w:rsid w:val="005471F8"/>
    <w:rsid w:val="005475B5"/>
    <w:rsid w:val="00547CD4"/>
    <w:rsid w:val="00551509"/>
    <w:rsid w:val="00551C68"/>
    <w:rsid w:val="0055753E"/>
    <w:rsid w:val="00563B52"/>
    <w:rsid w:val="00565511"/>
    <w:rsid w:val="0056555D"/>
    <w:rsid w:val="00566470"/>
    <w:rsid w:val="005668D1"/>
    <w:rsid w:val="0056771D"/>
    <w:rsid w:val="00570FC6"/>
    <w:rsid w:val="00571D6C"/>
    <w:rsid w:val="00572FEA"/>
    <w:rsid w:val="0057532F"/>
    <w:rsid w:val="005816EB"/>
    <w:rsid w:val="00583B31"/>
    <w:rsid w:val="005847C5"/>
    <w:rsid w:val="0058628D"/>
    <w:rsid w:val="00587CBF"/>
    <w:rsid w:val="005909CC"/>
    <w:rsid w:val="00591C1E"/>
    <w:rsid w:val="00592E9D"/>
    <w:rsid w:val="00593DA5"/>
    <w:rsid w:val="00596E05"/>
    <w:rsid w:val="005A1D1E"/>
    <w:rsid w:val="005A37E7"/>
    <w:rsid w:val="005A4B32"/>
    <w:rsid w:val="005A6A58"/>
    <w:rsid w:val="005B2503"/>
    <w:rsid w:val="005B29A4"/>
    <w:rsid w:val="005B2B1E"/>
    <w:rsid w:val="005B3649"/>
    <w:rsid w:val="005B42B6"/>
    <w:rsid w:val="005B4AC1"/>
    <w:rsid w:val="005B55F1"/>
    <w:rsid w:val="005B6B48"/>
    <w:rsid w:val="005B7167"/>
    <w:rsid w:val="005C0E37"/>
    <w:rsid w:val="005C2BCF"/>
    <w:rsid w:val="005C2DE3"/>
    <w:rsid w:val="005D0952"/>
    <w:rsid w:val="005D0F35"/>
    <w:rsid w:val="005D218C"/>
    <w:rsid w:val="005D41D4"/>
    <w:rsid w:val="005D46A6"/>
    <w:rsid w:val="005D5660"/>
    <w:rsid w:val="005E0155"/>
    <w:rsid w:val="005E01B4"/>
    <w:rsid w:val="005E3490"/>
    <w:rsid w:val="005E4EF6"/>
    <w:rsid w:val="005E57B7"/>
    <w:rsid w:val="005E59E8"/>
    <w:rsid w:val="005E5D1F"/>
    <w:rsid w:val="005E6256"/>
    <w:rsid w:val="005E6383"/>
    <w:rsid w:val="005E73CA"/>
    <w:rsid w:val="005E7E5F"/>
    <w:rsid w:val="005F0197"/>
    <w:rsid w:val="005F1499"/>
    <w:rsid w:val="005F18AF"/>
    <w:rsid w:val="005F2937"/>
    <w:rsid w:val="005F2A36"/>
    <w:rsid w:val="005F3801"/>
    <w:rsid w:val="005F380A"/>
    <w:rsid w:val="005F389A"/>
    <w:rsid w:val="005F5E0B"/>
    <w:rsid w:val="005F6DE1"/>
    <w:rsid w:val="005F7DA2"/>
    <w:rsid w:val="0060050B"/>
    <w:rsid w:val="006023F6"/>
    <w:rsid w:val="00604F1A"/>
    <w:rsid w:val="00606759"/>
    <w:rsid w:val="00606FE5"/>
    <w:rsid w:val="006119F5"/>
    <w:rsid w:val="00612D54"/>
    <w:rsid w:val="00613526"/>
    <w:rsid w:val="0061438A"/>
    <w:rsid w:val="006146BF"/>
    <w:rsid w:val="00614AD2"/>
    <w:rsid w:val="0061562E"/>
    <w:rsid w:val="00615FC3"/>
    <w:rsid w:val="006221BE"/>
    <w:rsid w:val="0062232A"/>
    <w:rsid w:val="00623D2D"/>
    <w:rsid w:val="00624BD1"/>
    <w:rsid w:val="00625270"/>
    <w:rsid w:val="006257F9"/>
    <w:rsid w:val="00625895"/>
    <w:rsid w:val="00630E07"/>
    <w:rsid w:val="00633B32"/>
    <w:rsid w:val="0063546B"/>
    <w:rsid w:val="00635E58"/>
    <w:rsid w:val="00637DD4"/>
    <w:rsid w:val="00641703"/>
    <w:rsid w:val="0064175A"/>
    <w:rsid w:val="006417CD"/>
    <w:rsid w:val="0064352E"/>
    <w:rsid w:val="006435D4"/>
    <w:rsid w:val="00643614"/>
    <w:rsid w:val="00644CE4"/>
    <w:rsid w:val="00644DA0"/>
    <w:rsid w:val="00645036"/>
    <w:rsid w:val="00645602"/>
    <w:rsid w:val="00645F26"/>
    <w:rsid w:val="00647581"/>
    <w:rsid w:val="00650C2D"/>
    <w:rsid w:val="00651099"/>
    <w:rsid w:val="00651A70"/>
    <w:rsid w:val="00652DFB"/>
    <w:rsid w:val="00652FC0"/>
    <w:rsid w:val="00653922"/>
    <w:rsid w:val="0065417F"/>
    <w:rsid w:val="00654F25"/>
    <w:rsid w:val="00656596"/>
    <w:rsid w:val="00661225"/>
    <w:rsid w:val="006617EF"/>
    <w:rsid w:val="00661D2F"/>
    <w:rsid w:val="00661D6B"/>
    <w:rsid w:val="00664072"/>
    <w:rsid w:val="00667572"/>
    <w:rsid w:val="00667B9B"/>
    <w:rsid w:val="00667D10"/>
    <w:rsid w:val="0067029A"/>
    <w:rsid w:val="006707BC"/>
    <w:rsid w:val="00670CDB"/>
    <w:rsid w:val="00670EDB"/>
    <w:rsid w:val="0067147B"/>
    <w:rsid w:val="00671509"/>
    <w:rsid w:val="00673952"/>
    <w:rsid w:val="00674CD6"/>
    <w:rsid w:val="00675FD4"/>
    <w:rsid w:val="0067608D"/>
    <w:rsid w:val="0067666A"/>
    <w:rsid w:val="00682635"/>
    <w:rsid w:val="006826C2"/>
    <w:rsid w:val="00682A70"/>
    <w:rsid w:val="00682D23"/>
    <w:rsid w:val="0068306B"/>
    <w:rsid w:val="00683460"/>
    <w:rsid w:val="00684411"/>
    <w:rsid w:val="00686E08"/>
    <w:rsid w:val="00687E94"/>
    <w:rsid w:val="006920DE"/>
    <w:rsid w:val="0069491C"/>
    <w:rsid w:val="00695C1B"/>
    <w:rsid w:val="00696E51"/>
    <w:rsid w:val="006A0D6D"/>
    <w:rsid w:val="006A1E38"/>
    <w:rsid w:val="006A34B9"/>
    <w:rsid w:val="006A580C"/>
    <w:rsid w:val="006A5D86"/>
    <w:rsid w:val="006A64A0"/>
    <w:rsid w:val="006A690E"/>
    <w:rsid w:val="006B1B3D"/>
    <w:rsid w:val="006B20AB"/>
    <w:rsid w:val="006B2825"/>
    <w:rsid w:val="006B3781"/>
    <w:rsid w:val="006B43D0"/>
    <w:rsid w:val="006B4483"/>
    <w:rsid w:val="006B68DC"/>
    <w:rsid w:val="006B744A"/>
    <w:rsid w:val="006B7863"/>
    <w:rsid w:val="006C0660"/>
    <w:rsid w:val="006C0B1B"/>
    <w:rsid w:val="006C170C"/>
    <w:rsid w:val="006C398B"/>
    <w:rsid w:val="006C4FE6"/>
    <w:rsid w:val="006C70ED"/>
    <w:rsid w:val="006C7410"/>
    <w:rsid w:val="006C76A1"/>
    <w:rsid w:val="006C7B09"/>
    <w:rsid w:val="006C7E60"/>
    <w:rsid w:val="006D1432"/>
    <w:rsid w:val="006D1524"/>
    <w:rsid w:val="006D232C"/>
    <w:rsid w:val="006D2D8B"/>
    <w:rsid w:val="006D2ED5"/>
    <w:rsid w:val="006D51C9"/>
    <w:rsid w:val="006D56BE"/>
    <w:rsid w:val="006D6BBD"/>
    <w:rsid w:val="006D6E82"/>
    <w:rsid w:val="006D760E"/>
    <w:rsid w:val="006D7CCF"/>
    <w:rsid w:val="006E10E8"/>
    <w:rsid w:val="006E290B"/>
    <w:rsid w:val="006E475F"/>
    <w:rsid w:val="006E6A18"/>
    <w:rsid w:val="006E6DE8"/>
    <w:rsid w:val="006E76D8"/>
    <w:rsid w:val="006F02A8"/>
    <w:rsid w:val="006F174B"/>
    <w:rsid w:val="006F1D3D"/>
    <w:rsid w:val="00702608"/>
    <w:rsid w:val="00703A7F"/>
    <w:rsid w:val="00705926"/>
    <w:rsid w:val="007066DF"/>
    <w:rsid w:val="00706946"/>
    <w:rsid w:val="00710BC1"/>
    <w:rsid w:val="007125D5"/>
    <w:rsid w:val="00713F98"/>
    <w:rsid w:val="007149B9"/>
    <w:rsid w:val="00716EB6"/>
    <w:rsid w:val="0071716A"/>
    <w:rsid w:val="00717C95"/>
    <w:rsid w:val="00720C40"/>
    <w:rsid w:val="00722391"/>
    <w:rsid w:val="00722BD0"/>
    <w:rsid w:val="00724F67"/>
    <w:rsid w:val="00724F7C"/>
    <w:rsid w:val="00725658"/>
    <w:rsid w:val="00730EBB"/>
    <w:rsid w:val="00730EFA"/>
    <w:rsid w:val="00733CF5"/>
    <w:rsid w:val="0073450D"/>
    <w:rsid w:val="00735204"/>
    <w:rsid w:val="00736117"/>
    <w:rsid w:val="00736ABF"/>
    <w:rsid w:val="00740FE2"/>
    <w:rsid w:val="00742EBD"/>
    <w:rsid w:val="007430EF"/>
    <w:rsid w:val="00743248"/>
    <w:rsid w:val="00743C2A"/>
    <w:rsid w:val="007467B5"/>
    <w:rsid w:val="007468F1"/>
    <w:rsid w:val="0074735E"/>
    <w:rsid w:val="00747609"/>
    <w:rsid w:val="00750735"/>
    <w:rsid w:val="00751AAF"/>
    <w:rsid w:val="0075206E"/>
    <w:rsid w:val="007524EB"/>
    <w:rsid w:val="00752A44"/>
    <w:rsid w:val="00754B24"/>
    <w:rsid w:val="00756512"/>
    <w:rsid w:val="00757181"/>
    <w:rsid w:val="00757AC3"/>
    <w:rsid w:val="00757FE3"/>
    <w:rsid w:val="0076000A"/>
    <w:rsid w:val="007623F5"/>
    <w:rsid w:val="00763858"/>
    <w:rsid w:val="00763D50"/>
    <w:rsid w:val="0076670B"/>
    <w:rsid w:val="007676C1"/>
    <w:rsid w:val="007705B4"/>
    <w:rsid w:val="00770F24"/>
    <w:rsid w:val="007743C1"/>
    <w:rsid w:val="00783879"/>
    <w:rsid w:val="00791534"/>
    <w:rsid w:val="00791A5D"/>
    <w:rsid w:val="00791B86"/>
    <w:rsid w:val="00791FB9"/>
    <w:rsid w:val="0079449F"/>
    <w:rsid w:val="00795813"/>
    <w:rsid w:val="007A05BC"/>
    <w:rsid w:val="007A421A"/>
    <w:rsid w:val="007A4EC3"/>
    <w:rsid w:val="007A53F3"/>
    <w:rsid w:val="007A694E"/>
    <w:rsid w:val="007B0E43"/>
    <w:rsid w:val="007B3D64"/>
    <w:rsid w:val="007B6988"/>
    <w:rsid w:val="007B6F31"/>
    <w:rsid w:val="007C2059"/>
    <w:rsid w:val="007C408B"/>
    <w:rsid w:val="007C469D"/>
    <w:rsid w:val="007C63AE"/>
    <w:rsid w:val="007C6970"/>
    <w:rsid w:val="007D1A4A"/>
    <w:rsid w:val="007D231A"/>
    <w:rsid w:val="007D428C"/>
    <w:rsid w:val="007D4929"/>
    <w:rsid w:val="007D78D9"/>
    <w:rsid w:val="007E1980"/>
    <w:rsid w:val="007E1C55"/>
    <w:rsid w:val="007E3770"/>
    <w:rsid w:val="007E4305"/>
    <w:rsid w:val="007E60BC"/>
    <w:rsid w:val="007E7AA0"/>
    <w:rsid w:val="007E7AF4"/>
    <w:rsid w:val="007F008A"/>
    <w:rsid w:val="007F1242"/>
    <w:rsid w:val="007F23AF"/>
    <w:rsid w:val="007F4FD2"/>
    <w:rsid w:val="007F51A7"/>
    <w:rsid w:val="007F6E7E"/>
    <w:rsid w:val="008002F4"/>
    <w:rsid w:val="00801C27"/>
    <w:rsid w:val="0080273C"/>
    <w:rsid w:val="00802B3B"/>
    <w:rsid w:val="00806545"/>
    <w:rsid w:val="00806552"/>
    <w:rsid w:val="00806BBD"/>
    <w:rsid w:val="008078A3"/>
    <w:rsid w:val="00810770"/>
    <w:rsid w:val="0081213B"/>
    <w:rsid w:val="00813CFB"/>
    <w:rsid w:val="00814FF8"/>
    <w:rsid w:val="00815565"/>
    <w:rsid w:val="00821665"/>
    <w:rsid w:val="008218A7"/>
    <w:rsid w:val="0082257E"/>
    <w:rsid w:val="00822733"/>
    <w:rsid w:val="008228BD"/>
    <w:rsid w:val="00824984"/>
    <w:rsid w:val="008258FF"/>
    <w:rsid w:val="00826C4F"/>
    <w:rsid w:val="00830260"/>
    <w:rsid w:val="00830540"/>
    <w:rsid w:val="00831C6E"/>
    <w:rsid w:val="0083232D"/>
    <w:rsid w:val="008326B9"/>
    <w:rsid w:val="00836F98"/>
    <w:rsid w:val="0083736B"/>
    <w:rsid w:val="00840429"/>
    <w:rsid w:val="008431EE"/>
    <w:rsid w:val="00843CEF"/>
    <w:rsid w:val="00843E11"/>
    <w:rsid w:val="00846510"/>
    <w:rsid w:val="00852C48"/>
    <w:rsid w:val="00854627"/>
    <w:rsid w:val="00856E73"/>
    <w:rsid w:val="00857FAD"/>
    <w:rsid w:val="00860784"/>
    <w:rsid w:val="00861572"/>
    <w:rsid w:val="00863367"/>
    <w:rsid w:val="00865090"/>
    <w:rsid w:val="00865D80"/>
    <w:rsid w:val="0086614F"/>
    <w:rsid w:val="00870E05"/>
    <w:rsid w:val="00874ED9"/>
    <w:rsid w:val="00876544"/>
    <w:rsid w:val="00877CD3"/>
    <w:rsid w:val="00877E9B"/>
    <w:rsid w:val="00880199"/>
    <w:rsid w:val="00880451"/>
    <w:rsid w:val="00882471"/>
    <w:rsid w:val="00884862"/>
    <w:rsid w:val="008849CF"/>
    <w:rsid w:val="008859F0"/>
    <w:rsid w:val="00886EA7"/>
    <w:rsid w:val="00887960"/>
    <w:rsid w:val="00892CDA"/>
    <w:rsid w:val="00894A38"/>
    <w:rsid w:val="0089504C"/>
    <w:rsid w:val="008A09EE"/>
    <w:rsid w:val="008A2FCC"/>
    <w:rsid w:val="008A3938"/>
    <w:rsid w:val="008A4443"/>
    <w:rsid w:val="008A5A68"/>
    <w:rsid w:val="008A7422"/>
    <w:rsid w:val="008B026D"/>
    <w:rsid w:val="008B0402"/>
    <w:rsid w:val="008B3203"/>
    <w:rsid w:val="008B3235"/>
    <w:rsid w:val="008B3864"/>
    <w:rsid w:val="008B3955"/>
    <w:rsid w:val="008B4954"/>
    <w:rsid w:val="008B575D"/>
    <w:rsid w:val="008B5809"/>
    <w:rsid w:val="008B5EF0"/>
    <w:rsid w:val="008C108C"/>
    <w:rsid w:val="008C30FF"/>
    <w:rsid w:val="008C4BC8"/>
    <w:rsid w:val="008C50E5"/>
    <w:rsid w:val="008C65B7"/>
    <w:rsid w:val="008C69C3"/>
    <w:rsid w:val="008C7E77"/>
    <w:rsid w:val="008D0D39"/>
    <w:rsid w:val="008D26C6"/>
    <w:rsid w:val="008D342D"/>
    <w:rsid w:val="008D47FE"/>
    <w:rsid w:val="008D4C01"/>
    <w:rsid w:val="008D72A5"/>
    <w:rsid w:val="008D7D23"/>
    <w:rsid w:val="008E0ABE"/>
    <w:rsid w:val="008E0E6D"/>
    <w:rsid w:val="008E17CF"/>
    <w:rsid w:val="008E218E"/>
    <w:rsid w:val="008E29C8"/>
    <w:rsid w:val="008E383D"/>
    <w:rsid w:val="008E50D4"/>
    <w:rsid w:val="008E6451"/>
    <w:rsid w:val="008E67CE"/>
    <w:rsid w:val="008F2877"/>
    <w:rsid w:val="008F28FB"/>
    <w:rsid w:val="008F3484"/>
    <w:rsid w:val="008F526E"/>
    <w:rsid w:val="008F5DA4"/>
    <w:rsid w:val="008F6D7F"/>
    <w:rsid w:val="009008C1"/>
    <w:rsid w:val="00901854"/>
    <w:rsid w:val="00902583"/>
    <w:rsid w:val="009029C1"/>
    <w:rsid w:val="00903159"/>
    <w:rsid w:val="009056FF"/>
    <w:rsid w:val="009057EA"/>
    <w:rsid w:val="00905BE7"/>
    <w:rsid w:val="00910995"/>
    <w:rsid w:val="00912800"/>
    <w:rsid w:val="00913A0B"/>
    <w:rsid w:val="00913AE4"/>
    <w:rsid w:val="00915220"/>
    <w:rsid w:val="00916B97"/>
    <w:rsid w:val="00917491"/>
    <w:rsid w:val="00921049"/>
    <w:rsid w:val="009212EB"/>
    <w:rsid w:val="00921DAD"/>
    <w:rsid w:val="00922183"/>
    <w:rsid w:val="00923F04"/>
    <w:rsid w:val="00924309"/>
    <w:rsid w:val="00925D7B"/>
    <w:rsid w:val="0093058F"/>
    <w:rsid w:val="00930C8E"/>
    <w:rsid w:val="00930E6D"/>
    <w:rsid w:val="009332CF"/>
    <w:rsid w:val="00936752"/>
    <w:rsid w:val="0093721A"/>
    <w:rsid w:val="00937445"/>
    <w:rsid w:val="009404DB"/>
    <w:rsid w:val="009407B2"/>
    <w:rsid w:val="009408A0"/>
    <w:rsid w:val="00941438"/>
    <w:rsid w:val="0094262B"/>
    <w:rsid w:val="009433A4"/>
    <w:rsid w:val="009479CB"/>
    <w:rsid w:val="00947A05"/>
    <w:rsid w:val="009506C1"/>
    <w:rsid w:val="009509F4"/>
    <w:rsid w:val="00951724"/>
    <w:rsid w:val="00953238"/>
    <w:rsid w:val="00955471"/>
    <w:rsid w:val="00956184"/>
    <w:rsid w:val="009571F4"/>
    <w:rsid w:val="00960284"/>
    <w:rsid w:val="00962043"/>
    <w:rsid w:val="00962CAE"/>
    <w:rsid w:val="00962DBF"/>
    <w:rsid w:val="00964797"/>
    <w:rsid w:val="00964880"/>
    <w:rsid w:val="00965B43"/>
    <w:rsid w:val="0096603C"/>
    <w:rsid w:val="00971674"/>
    <w:rsid w:val="00971D9B"/>
    <w:rsid w:val="009766B8"/>
    <w:rsid w:val="00983A95"/>
    <w:rsid w:val="009842A1"/>
    <w:rsid w:val="00985122"/>
    <w:rsid w:val="009854BE"/>
    <w:rsid w:val="00987BF7"/>
    <w:rsid w:val="00990F85"/>
    <w:rsid w:val="009918E2"/>
    <w:rsid w:val="009927A5"/>
    <w:rsid w:val="0099779E"/>
    <w:rsid w:val="009A1F64"/>
    <w:rsid w:val="009A2A06"/>
    <w:rsid w:val="009A39E3"/>
    <w:rsid w:val="009A77F5"/>
    <w:rsid w:val="009B503E"/>
    <w:rsid w:val="009B5456"/>
    <w:rsid w:val="009C0661"/>
    <w:rsid w:val="009C09CF"/>
    <w:rsid w:val="009C0D63"/>
    <w:rsid w:val="009C4C6D"/>
    <w:rsid w:val="009C4EDE"/>
    <w:rsid w:val="009C731D"/>
    <w:rsid w:val="009C793A"/>
    <w:rsid w:val="009D0B47"/>
    <w:rsid w:val="009D1292"/>
    <w:rsid w:val="009D272C"/>
    <w:rsid w:val="009D2C08"/>
    <w:rsid w:val="009D568A"/>
    <w:rsid w:val="009D7226"/>
    <w:rsid w:val="009D74C4"/>
    <w:rsid w:val="009E14EA"/>
    <w:rsid w:val="009E30D3"/>
    <w:rsid w:val="009E3A52"/>
    <w:rsid w:val="009E457C"/>
    <w:rsid w:val="009E6620"/>
    <w:rsid w:val="009E7D61"/>
    <w:rsid w:val="009F0E72"/>
    <w:rsid w:val="009F0EF3"/>
    <w:rsid w:val="009F18C2"/>
    <w:rsid w:val="009F3847"/>
    <w:rsid w:val="009F5662"/>
    <w:rsid w:val="009F5BC4"/>
    <w:rsid w:val="009F6DE9"/>
    <w:rsid w:val="00A01599"/>
    <w:rsid w:val="00A01FC7"/>
    <w:rsid w:val="00A047E8"/>
    <w:rsid w:val="00A06808"/>
    <w:rsid w:val="00A07CE1"/>
    <w:rsid w:val="00A12F01"/>
    <w:rsid w:val="00A13DE5"/>
    <w:rsid w:val="00A2132B"/>
    <w:rsid w:val="00A215D5"/>
    <w:rsid w:val="00A2335F"/>
    <w:rsid w:val="00A23D48"/>
    <w:rsid w:val="00A23DB9"/>
    <w:rsid w:val="00A26F71"/>
    <w:rsid w:val="00A277B7"/>
    <w:rsid w:val="00A319F8"/>
    <w:rsid w:val="00A320F0"/>
    <w:rsid w:val="00A32D52"/>
    <w:rsid w:val="00A33461"/>
    <w:rsid w:val="00A341CF"/>
    <w:rsid w:val="00A34434"/>
    <w:rsid w:val="00A34A29"/>
    <w:rsid w:val="00A35236"/>
    <w:rsid w:val="00A35F17"/>
    <w:rsid w:val="00A370E0"/>
    <w:rsid w:val="00A407E3"/>
    <w:rsid w:val="00A41FC7"/>
    <w:rsid w:val="00A43C30"/>
    <w:rsid w:val="00A45236"/>
    <w:rsid w:val="00A50917"/>
    <w:rsid w:val="00A509E8"/>
    <w:rsid w:val="00A50CA7"/>
    <w:rsid w:val="00A55147"/>
    <w:rsid w:val="00A553F1"/>
    <w:rsid w:val="00A57364"/>
    <w:rsid w:val="00A576AC"/>
    <w:rsid w:val="00A61598"/>
    <w:rsid w:val="00A61641"/>
    <w:rsid w:val="00A62281"/>
    <w:rsid w:val="00A6322A"/>
    <w:rsid w:val="00A65DDC"/>
    <w:rsid w:val="00A6616F"/>
    <w:rsid w:val="00A66AC4"/>
    <w:rsid w:val="00A7003A"/>
    <w:rsid w:val="00A7070B"/>
    <w:rsid w:val="00A70836"/>
    <w:rsid w:val="00A73142"/>
    <w:rsid w:val="00A73C2A"/>
    <w:rsid w:val="00A777ED"/>
    <w:rsid w:val="00A77C1A"/>
    <w:rsid w:val="00A80273"/>
    <w:rsid w:val="00A80C8F"/>
    <w:rsid w:val="00A821CF"/>
    <w:rsid w:val="00A8611D"/>
    <w:rsid w:val="00A86299"/>
    <w:rsid w:val="00A90C43"/>
    <w:rsid w:val="00A91845"/>
    <w:rsid w:val="00A94E13"/>
    <w:rsid w:val="00A97954"/>
    <w:rsid w:val="00AA088E"/>
    <w:rsid w:val="00AA274C"/>
    <w:rsid w:val="00AA2F3D"/>
    <w:rsid w:val="00AA358D"/>
    <w:rsid w:val="00AA706C"/>
    <w:rsid w:val="00AA7538"/>
    <w:rsid w:val="00AB05A1"/>
    <w:rsid w:val="00AB17E8"/>
    <w:rsid w:val="00AB2A2E"/>
    <w:rsid w:val="00AB63F2"/>
    <w:rsid w:val="00AB7DF3"/>
    <w:rsid w:val="00AC09D5"/>
    <w:rsid w:val="00AC0B7A"/>
    <w:rsid w:val="00AC2C38"/>
    <w:rsid w:val="00AC2FB6"/>
    <w:rsid w:val="00AC5314"/>
    <w:rsid w:val="00AD148D"/>
    <w:rsid w:val="00AD2778"/>
    <w:rsid w:val="00AD36A6"/>
    <w:rsid w:val="00AD4D9A"/>
    <w:rsid w:val="00AD52ED"/>
    <w:rsid w:val="00AD5D51"/>
    <w:rsid w:val="00AD691A"/>
    <w:rsid w:val="00AE0596"/>
    <w:rsid w:val="00AE0A09"/>
    <w:rsid w:val="00AE0B09"/>
    <w:rsid w:val="00AE2801"/>
    <w:rsid w:val="00AE39A0"/>
    <w:rsid w:val="00AE3B5B"/>
    <w:rsid w:val="00AE4BE7"/>
    <w:rsid w:val="00AE716E"/>
    <w:rsid w:val="00AE75DD"/>
    <w:rsid w:val="00AF07C5"/>
    <w:rsid w:val="00AF1A02"/>
    <w:rsid w:val="00AF2B4C"/>
    <w:rsid w:val="00AF385E"/>
    <w:rsid w:val="00AF3FA4"/>
    <w:rsid w:val="00AF42C1"/>
    <w:rsid w:val="00AF4966"/>
    <w:rsid w:val="00AF6D72"/>
    <w:rsid w:val="00B03C9C"/>
    <w:rsid w:val="00B05C18"/>
    <w:rsid w:val="00B06F0D"/>
    <w:rsid w:val="00B072C3"/>
    <w:rsid w:val="00B104A3"/>
    <w:rsid w:val="00B1121F"/>
    <w:rsid w:val="00B13E9E"/>
    <w:rsid w:val="00B147E2"/>
    <w:rsid w:val="00B14E54"/>
    <w:rsid w:val="00B15767"/>
    <w:rsid w:val="00B161EB"/>
    <w:rsid w:val="00B16DEC"/>
    <w:rsid w:val="00B238BE"/>
    <w:rsid w:val="00B245CA"/>
    <w:rsid w:val="00B25352"/>
    <w:rsid w:val="00B2692A"/>
    <w:rsid w:val="00B27B12"/>
    <w:rsid w:val="00B30858"/>
    <w:rsid w:val="00B338BF"/>
    <w:rsid w:val="00B34194"/>
    <w:rsid w:val="00B3429B"/>
    <w:rsid w:val="00B343CE"/>
    <w:rsid w:val="00B34D62"/>
    <w:rsid w:val="00B352E0"/>
    <w:rsid w:val="00B3546A"/>
    <w:rsid w:val="00B3704F"/>
    <w:rsid w:val="00B405AF"/>
    <w:rsid w:val="00B445CA"/>
    <w:rsid w:val="00B459CD"/>
    <w:rsid w:val="00B45C88"/>
    <w:rsid w:val="00B53FC0"/>
    <w:rsid w:val="00B54A78"/>
    <w:rsid w:val="00B61DE4"/>
    <w:rsid w:val="00B6316E"/>
    <w:rsid w:val="00B65305"/>
    <w:rsid w:val="00B65B59"/>
    <w:rsid w:val="00B668D7"/>
    <w:rsid w:val="00B7112A"/>
    <w:rsid w:val="00B747FF"/>
    <w:rsid w:val="00B755E2"/>
    <w:rsid w:val="00B76B9C"/>
    <w:rsid w:val="00B76F5D"/>
    <w:rsid w:val="00B775AC"/>
    <w:rsid w:val="00B77DF3"/>
    <w:rsid w:val="00B822CE"/>
    <w:rsid w:val="00B83AD4"/>
    <w:rsid w:val="00B845E7"/>
    <w:rsid w:val="00B84825"/>
    <w:rsid w:val="00B850D8"/>
    <w:rsid w:val="00B861FF"/>
    <w:rsid w:val="00B9090D"/>
    <w:rsid w:val="00B91FA3"/>
    <w:rsid w:val="00B924FC"/>
    <w:rsid w:val="00B944E0"/>
    <w:rsid w:val="00B94899"/>
    <w:rsid w:val="00B95FF5"/>
    <w:rsid w:val="00B96073"/>
    <w:rsid w:val="00BA1B21"/>
    <w:rsid w:val="00BA4841"/>
    <w:rsid w:val="00BB0A88"/>
    <w:rsid w:val="00BB10E7"/>
    <w:rsid w:val="00BB16A9"/>
    <w:rsid w:val="00BB19C8"/>
    <w:rsid w:val="00BB20D9"/>
    <w:rsid w:val="00BB3C21"/>
    <w:rsid w:val="00BB4223"/>
    <w:rsid w:val="00BB7DBD"/>
    <w:rsid w:val="00BC18D8"/>
    <w:rsid w:val="00BC2EAF"/>
    <w:rsid w:val="00BC338E"/>
    <w:rsid w:val="00BC37BA"/>
    <w:rsid w:val="00BC3C70"/>
    <w:rsid w:val="00BC4FC2"/>
    <w:rsid w:val="00BC7294"/>
    <w:rsid w:val="00BD06DC"/>
    <w:rsid w:val="00BD0A01"/>
    <w:rsid w:val="00BD116B"/>
    <w:rsid w:val="00BD388C"/>
    <w:rsid w:val="00BD3E57"/>
    <w:rsid w:val="00BD524D"/>
    <w:rsid w:val="00BD5473"/>
    <w:rsid w:val="00BD5688"/>
    <w:rsid w:val="00BD68D5"/>
    <w:rsid w:val="00BD6C3B"/>
    <w:rsid w:val="00BE0A69"/>
    <w:rsid w:val="00BE15F3"/>
    <w:rsid w:val="00BE3188"/>
    <w:rsid w:val="00BE36A9"/>
    <w:rsid w:val="00BE3D69"/>
    <w:rsid w:val="00BE5A34"/>
    <w:rsid w:val="00BE5CAF"/>
    <w:rsid w:val="00BF1C33"/>
    <w:rsid w:val="00BF1D32"/>
    <w:rsid w:val="00BF22A4"/>
    <w:rsid w:val="00BF2F3F"/>
    <w:rsid w:val="00BF6D1B"/>
    <w:rsid w:val="00C00DD2"/>
    <w:rsid w:val="00C013E2"/>
    <w:rsid w:val="00C02FEF"/>
    <w:rsid w:val="00C039F1"/>
    <w:rsid w:val="00C03ECF"/>
    <w:rsid w:val="00C04BC3"/>
    <w:rsid w:val="00C05602"/>
    <w:rsid w:val="00C07632"/>
    <w:rsid w:val="00C07E9F"/>
    <w:rsid w:val="00C10AE5"/>
    <w:rsid w:val="00C10FAD"/>
    <w:rsid w:val="00C115CB"/>
    <w:rsid w:val="00C117FC"/>
    <w:rsid w:val="00C133D2"/>
    <w:rsid w:val="00C1347F"/>
    <w:rsid w:val="00C143A3"/>
    <w:rsid w:val="00C1596B"/>
    <w:rsid w:val="00C16F75"/>
    <w:rsid w:val="00C171A2"/>
    <w:rsid w:val="00C171E9"/>
    <w:rsid w:val="00C20B34"/>
    <w:rsid w:val="00C220B7"/>
    <w:rsid w:val="00C22246"/>
    <w:rsid w:val="00C23267"/>
    <w:rsid w:val="00C23CBB"/>
    <w:rsid w:val="00C242DE"/>
    <w:rsid w:val="00C26543"/>
    <w:rsid w:val="00C2657F"/>
    <w:rsid w:val="00C26D92"/>
    <w:rsid w:val="00C27BB4"/>
    <w:rsid w:val="00C300BA"/>
    <w:rsid w:val="00C30F28"/>
    <w:rsid w:val="00C31A30"/>
    <w:rsid w:val="00C33F22"/>
    <w:rsid w:val="00C340B5"/>
    <w:rsid w:val="00C34A7D"/>
    <w:rsid w:val="00C34F2F"/>
    <w:rsid w:val="00C35A5B"/>
    <w:rsid w:val="00C36F32"/>
    <w:rsid w:val="00C37057"/>
    <w:rsid w:val="00C37D9B"/>
    <w:rsid w:val="00C40EEE"/>
    <w:rsid w:val="00C41789"/>
    <w:rsid w:val="00C43084"/>
    <w:rsid w:val="00C439BD"/>
    <w:rsid w:val="00C43F73"/>
    <w:rsid w:val="00C45240"/>
    <w:rsid w:val="00C50907"/>
    <w:rsid w:val="00C515E7"/>
    <w:rsid w:val="00C5409B"/>
    <w:rsid w:val="00C573F0"/>
    <w:rsid w:val="00C620BF"/>
    <w:rsid w:val="00C63E4B"/>
    <w:rsid w:val="00C67DD7"/>
    <w:rsid w:val="00C7080A"/>
    <w:rsid w:val="00C70CB6"/>
    <w:rsid w:val="00C734F3"/>
    <w:rsid w:val="00C736E9"/>
    <w:rsid w:val="00C75707"/>
    <w:rsid w:val="00C7688C"/>
    <w:rsid w:val="00C801C4"/>
    <w:rsid w:val="00C8054A"/>
    <w:rsid w:val="00C80B57"/>
    <w:rsid w:val="00C813AA"/>
    <w:rsid w:val="00C847EF"/>
    <w:rsid w:val="00C8481C"/>
    <w:rsid w:val="00C85384"/>
    <w:rsid w:val="00C8572A"/>
    <w:rsid w:val="00C8591E"/>
    <w:rsid w:val="00C85FB7"/>
    <w:rsid w:val="00C874A5"/>
    <w:rsid w:val="00C905E8"/>
    <w:rsid w:val="00C907AF"/>
    <w:rsid w:val="00C91F2C"/>
    <w:rsid w:val="00C9257E"/>
    <w:rsid w:val="00C927B4"/>
    <w:rsid w:val="00C938D2"/>
    <w:rsid w:val="00C9477D"/>
    <w:rsid w:val="00C949A2"/>
    <w:rsid w:val="00C9510D"/>
    <w:rsid w:val="00C955B5"/>
    <w:rsid w:val="00CA0A65"/>
    <w:rsid w:val="00CA0E2E"/>
    <w:rsid w:val="00CA1080"/>
    <w:rsid w:val="00CA3FF7"/>
    <w:rsid w:val="00CA40B5"/>
    <w:rsid w:val="00CA4F97"/>
    <w:rsid w:val="00CA5A62"/>
    <w:rsid w:val="00CA5F43"/>
    <w:rsid w:val="00CA7C3B"/>
    <w:rsid w:val="00CB23A3"/>
    <w:rsid w:val="00CB298C"/>
    <w:rsid w:val="00CB39F3"/>
    <w:rsid w:val="00CB3A6A"/>
    <w:rsid w:val="00CB536C"/>
    <w:rsid w:val="00CB5C97"/>
    <w:rsid w:val="00CB6A48"/>
    <w:rsid w:val="00CC26C9"/>
    <w:rsid w:val="00CC444E"/>
    <w:rsid w:val="00CC524A"/>
    <w:rsid w:val="00CC5D66"/>
    <w:rsid w:val="00CC6282"/>
    <w:rsid w:val="00CC6384"/>
    <w:rsid w:val="00CC65E6"/>
    <w:rsid w:val="00CD08F3"/>
    <w:rsid w:val="00CD21FE"/>
    <w:rsid w:val="00CD28D0"/>
    <w:rsid w:val="00CD3791"/>
    <w:rsid w:val="00CD55D6"/>
    <w:rsid w:val="00CD589B"/>
    <w:rsid w:val="00CD5E4C"/>
    <w:rsid w:val="00CD6946"/>
    <w:rsid w:val="00CD712E"/>
    <w:rsid w:val="00CD797E"/>
    <w:rsid w:val="00CE0FA8"/>
    <w:rsid w:val="00CE278D"/>
    <w:rsid w:val="00CE2F8C"/>
    <w:rsid w:val="00CE47E5"/>
    <w:rsid w:val="00CE62DE"/>
    <w:rsid w:val="00CE6B18"/>
    <w:rsid w:val="00CE764B"/>
    <w:rsid w:val="00CF0837"/>
    <w:rsid w:val="00CF12E8"/>
    <w:rsid w:val="00CF1772"/>
    <w:rsid w:val="00CF2B6A"/>
    <w:rsid w:val="00CF2F73"/>
    <w:rsid w:val="00CF4E79"/>
    <w:rsid w:val="00CF5360"/>
    <w:rsid w:val="00CF57E5"/>
    <w:rsid w:val="00D02373"/>
    <w:rsid w:val="00D033CB"/>
    <w:rsid w:val="00D04716"/>
    <w:rsid w:val="00D04BE0"/>
    <w:rsid w:val="00D05B64"/>
    <w:rsid w:val="00D11864"/>
    <w:rsid w:val="00D11998"/>
    <w:rsid w:val="00D12133"/>
    <w:rsid w:val="00D122A4"/>
    <w:rsid w:val="00D1247F"/>
    <w:rsid w:val="00D128AC"/>
    <w:rsid w:val="00D1301F"/>
    <w:rsid w:val="00D14F40"/>
    <w:rsid w:val="00D15EE9"/>
    <w:rsid w:val="00D16615"/>
    <w:rsid w:val="00D20E2F"/>
    <w:rsid w:val="00D21326"/>
    <w:rsid w:val="00D218F8"/>
    <w:rsid w:val="00D21B8B"/>
    <w:rsid w:val="00D21CC7"/>
    <w:rsid w:val="00D2289E"/>
    <w:rsid w:val="00D239CA"/>
    <w:rsid w:val="00D26699"/>
    <w:rsid w:val="00D2719F"/>
    <w:rsid w:val="00D304DF"/>
    <w:rsid w:val="00D3099E"/>
    <w:rsid w:val="00D32AAD"/>
    <w:rsid w:val="00D33922"/>
    <w:rsid w:val="00D34865"/>
    <w:rsid w:val="00D35897"/>
    <w:rsid w:val="00D35B01"/>
    <w:rsid w:val="00D372DD"/>
    <w:rsid w:val="00D379AA"/>
    <w:rsid w:val="00D40C78"/>
    <w:rsid w:val="00D41F4F"/>
    <w:rsid w:val="00D4255F"/>
    <w:rsid w:val="00D433F1"/>
    <w:rsid w:val="00D4448D"/>
    <w:rsid w:val="00D44BD8"/>
    <w:rsid w:val="00D44EB2"/>
    <w:rsid w:val="00D44FFF"/>
    <w:rsid w:val="00D455AC"/>
    <w:rsid w:val="00D4593E"/>
    <w:rsid w:val="00D46EC4"/>
    <w:rsid w:val="00D50487"/>
    <w:rsid w:val="00D50E32"/>
    <w:rsid w:val="00D51439"/>
    <w:rsid w:val="00D52AF2"/>
    <w:rsid w:val="00D57BB8"/>
    <w:rsid w:val="00D61E8D"/>
    <w:rsid w:val="00D63530"/>
    <w:rsid w:val="00D6634B"/>
    <w:rsid w:val="00D679B3"/>
    <w:rsid w:val="00D70BE8"/>
    <w:rsid w:val="00D720E6"/>
    <w:rsid w:val="00D738CE"/>
    <w:rsid w:val="00D73DC0"/>
    <w:rsid w:val="00D73E66"/>
    <w:rsid w:val="00D746F4"/>
    <w:rsid w:val="00D761AB"/>
    <w:rsid w:val="00D80AE7"/>
    <w:rsid w:val="00D80BD1"/>
    <w:rsid w:val="00D82A20"/>
    <w:rsid w:val="00D839DA"/>
    <w:rsid w:val="00D85304"/>
    <w:rsid w:val="00D876E1"/>
    <w:rsid w:val="00D904EA"/>
    <w:rsid w:val="00D906AE"/>
    <w:rsid w:val="00D915DA"/>
    <w:rsid w:val="00D92260"/>
    <w:rsid w:val="00D933DC"/>
    <w:rsid w:val="00D948A6"/>
    <w:rsid w:val="00D94BB7"/>
    <w:rsid w:val="00D96743"/>
    <w:rsid w:val="00D96EB6"/>
    <w:rsid w:val="00D97E0A"/>
    <w:rsid w:val="00DA0D31"/>
    <w:rsid w:val="00DA1BEC"/>
    <w:rsid w:val="00DA2144"/>
    <w:rsid w:val="00DA2575"/>
    <w:rsid w:val="00DA2631"/>
    <w:rsid w:val="00DA4455"/>
    <w:rsid w:val="00DA47F7"/>
    <w:rsid w:val="00DA5EBE"/>
    <w:rsid w:val="00DA6299"/>
    <w:rsid w:val="00DA6389"/>
    <w:rsid w:val="00DA794E"/>
    <w:rsid w:val="00DB10C7"/>
    <w:rsid w:val="00DB1354"/>
    <w:rsid w:val="00DB19A3"/>
    <w:rsid w:val="00DB245C"/>
    <w:rsid w:val="00DB2704"/>
    <w:rsid w:val="00DB3387"/>
    <w:rsid w:val="00DB39C2"/>
    <w:rsid w:val="00DB3F56"/>
    <w:rsid w:val="00DB63C5"/>
    <w:rsid w:val="00DB68D5"/>
    <w:rsid w:val="00DB6FF8"/>
    <w:rsid w:val="00DB7086"/>
    <w:rsid w:val="00DC145C"/>
    <w:rsid w:val="00DC1CF8"/>
    <w:rsid w:val="00DC3CEF"/>
    <w:rsid w:val="00DC5E95"/>
    <w:rsid w:val="00DC7DB0"/>
    <w:rsid w:val="00DD06B6"/>
    <w:rsid w:val="00DD1C9A"/>
    <w:rsid w:val="00DD24BD"/>
    <w:rsid w:val="00DD419F"/>
    <w:rsid w:val="00DD4A9F"/>
    <w:rsid w:val="00DD5263"/>
    <w:rsid w:val="00DD56A2"/>
    <w:rsid w:val="00DE0918"/>
    <w:rsid w:val="00DE15C2"/>
    <w:rsid w:val="00DE6E12"/>
    <w:rsid w:val="00DE6E59"/>
    <w:rsid w:val="00DE7AC5"/>
    <w:rsid w:val="00DF220C"/>
    <w:rsid w:val="00DF5304"/>
    <w:rsid w:val="00DF5858"/>
    <w:rsid w:val="00DF7C63"/>
    <w:rsid w:val="00E018C7"/>
    <w:rsid w:val="00E023F4"/>
    <w:rsid w:val="00E05B64"/>
    <w:rsid w:val="00E060E8"/>
    <w:rsid w:val="00E06F79"/>
    <w:rsid w:val="00E078B4"/>
    <w:rsid w:val="00E10153"/>
    <w:rsid w:val="00E103AE"/>
    <w:rsid w:val="00E114E1"/>
    <w:rsid w:val="00E132BE"/>
    <w:rsid w:val="00E14B22"/>
    <w:rsid w:val="00E16501"/>
    <w:rsid w:val="00E16A02"/>
    <w:rsid w:val="00E2147C"/>
    <w:rsid w:val="00E22ABA"/>
    <w:rsid w:val="00E26A2A"/>
    <w:rsid w:val="00E278DF"/>
    <w:rsid w:val="00E30225"/>
    <w:rsid w:val="00E3025B"/>
    <w:rsid w:val="00E30B21"/>
    <w:rsid w:val="00E30B57"/>
    <w:rsid w:val="00E32FF4"/>
    <w:rsid w:val="00E33E36"/>
    <w:rsid w:val="00E34FAB"/>
    <w:rsid w:val="00E35E28"/>
    <w:rsid w:val="00E36E3C"/>
    <w:rsid w:val="00E41611"/>
    <w:rsid w:val="00E51308"/>
    <w:rsid w:val="00E5195A"/>
    <w:rsid w:val="00E52181"/>
    <w:rsid w:val="00E52ABC"/>
    <w:rsid w:val="00E54124"/>
    <w:rsid w:val="00E55530"/>
    <w:rsid w:val="00E55C43"/>
    <w:rsid w:val="00E55FAF"/>
    <w:rsid w:val="00E57858"/>
    <w:rsid w:val="00E6170C"/>
    <w:rsid w:val="00E64C74"/>
    <w:rsid w:val="00E65C79"/>
    <w:rsid w:val="00E66C58"/>
    <w:rsid w:val="00E67FB9"/>
    <w:rsid w:val="00E72E9F"/>
    <w:rsid w:val="00E7301E"/>
    <w:rsid w:val="00E7311B"/>
    <w:rsid w:val="00E732C2"/>
    <w:rsid w:val="00E7350A"/>
    <w:rsid w:val="00E73AE6"/>
    <w:rsid w:val="00E73F6A"/>
    <w:rsid w:val="00E74984"/>
    <w:rsid w:val="00E81F3B"/>
    <w:rsid w:val="00E828AA"/>
    <w:rsid w:val="00E83344"/>
    <w:rsid w:val="00E84B90"/>
    <w:rsid w:val="00E85408"/>
    <w:rsid w:val="00E86586"/>
    <w:rsid w:val="00E91FD0"/>
    <w:rsid w:val="00E92069"/>
    <w:rsid w:val="00E93451"/>
    <w:rsid w:val="00E934FE"/>
    <w:rsid w:val="00E9425A"/>
    <w:rsid w:val="00E95806"/>
    <w:rsid w:val="00E960C5"/>
    <w:rsid w:val="00E96D83"/>
    <w:rsid w:val="00EA0031"/>
    <w:rsid w:val="00EA0982"/>
    <w:rsid w:val="00EA20F4"/>
    <w:rsid w:val="00EA3AC2"/>
    <w:rsid w:val="00EA5265"/>
    <w:rsid w:val="00EA59BA"/>
    <w:rsid w:val="00EA6060"/>
    <w:rsid w:val="00EA72FA"/>
    <w:rsid w:val="00EB05F8"/>
    <w:rsid w:val="00EB0F0A"/>
    <w:rsid w:val="00EB13C2"/>
    <w:rsid w:val="00EB25DA"/>
    <w:rsid w:val="00EB4943"/>
    <w:rsid w:val="00EB4F0C"/>
    <w:rsid w:val="00EB6D6B"/>
    <w:rsid w:val="00EB72B1"/>
    <w:rsid w:val="00EC0068"/>
    <w:rsid w:val="00EC0511"/>
    <w:rsid w:val="00EC166E"/>
    <w:rsid w:val="00EC27BB"/>
    <w:rsid w:val="00EC33EB"/>
    <w:rsid w:val="00EC472F"/>
    <w:rsid w:val="00EC4C64"/>
    <w:rsid w:val="00EC51CE"/>
    <w:rsid w:val="00EC539E"/>
    <w:rsid w:val="00EC6273"/>
    <w:rsid w:val="00EC6F27"/>
    <w:rsid w:val="00ED0356"/>
    <w:rsid w:val="00ED0D07"/>
    <w:rsid w:val="00EE0DEE"/>
    <w:rsid w:val="00EE126A"/>
    <w:rsid w:val="00EE2696"/>
    <w:rsid w:val="00EE4EB7"/>
    <w:rsid w:val="00EE5096"/>
    <w:rsid w:val="00EF0E49"/>
    <w:rsid w:val="00EF14F2"/>
    <w:rsid w:val="00EF2EC2"/>
    <w:rsid w:val="00EF3218"/>
    <w:rsid w:val="00EF4AB4"/>
    <w:rsid w:val="00F01141"/>
    <w:rsid w:val="00F022D4"/>
    <w:rsid w:val="00F028DE"/>
    <w:rsid w:val="00F02DB5"/>
    <w:rsid w:val="00F04556"/>
    <w:rsid w:val="00F04F5B"/>
    <w:rsid w:val="00F05556"/>
    <w:rsid w:val="00F05E5D"/>
    <w:rsid w:val="00F06755"/>
    <w:rsid w:val="00F069DE"/>
    <w:rsid w:val="00F118FD"/>
    <w:rsid w:val="00F1316C"/>
    <w:rsid w:val="00F1683F"/>
    <w:rsid w:val="00F16D8A"/>
    <w:rsid w:val="00F179F7"/>
    <w:rsid w:val="00F17B44"/>
    <w:rsid w:val="00F21307"/>
    <w:rsid w:val="00F223C0"/>
    <w:rsid w:val="00F229A3"/>
    <w:rsid w:val="00F22D53"/>
    <w:rsid w:val="00F23647"/>
    <w:rsid w:val="00F2774A"/>
    <w:rsid w:val="00F33ECA"/>
    <w:rsid w:val="00F342A1"/>
    <w:rsid w:val="00F36615"/>
    <w:rsid w:val="00F3728C"/>
    <w:rsid w:val="00F379B1"/>
    <w:rsid w:val="00F4066C"/>
    <w:rsid w:val="00F409DB"/>
    <w:rsid w:val="00F41CEE"/>
    <w:rsid w:val="00F44B8D"/>
    <w:rsid w:val="00F454E1"/>
    <w:rsid w:val="00F46BAE"/>
    <w:rsid w:val="00F50A2A"/>
    <w:rsid w:val="00F54AC2"/>
    <w:rsid w:val="00F55C18"/>
    <w:rsid w:val="00F56014"/>
    <w:rsid w:val="00F562D2"/>
    <w:rsid w:val="00F623A0"/>
    <w:rsid w:val="00F640D0"/>
    <w:rsid w:val="00F649B3"/>
    <w:rsid w:val="00F64E46"/>
    <w:rsid w:val="00F66EAB"/>
    <w:rsid w:val="00F7137F"/>
    <w:rsid w:val="00F7163D"/>
    <w:rsid w:val="00F71D0A"/>
    <w:rsid w:val="00F72DFE"/>
    <w:rsid w:val="00F748B3"/>
    <w:rsid w:val="00F75DCE"/>
    <w:rsid w:val="00F76364"/>
    <w:rsid w:val="00F773D0"/>
    <w:rsid w:val="00F823DF"/>
    <w:rsid w:val="00F828B2"/>
    <w:rsid w:val="00F83BB9"/>
    <w:rsid w:val="00F83EB3"/>
    <w:rsid w:val="00F859D3"/>
    <w:rsid w:val="00F86029"/>
    <w:rsid w:val="00F87C30"/>
    <w:rsid w:val="00F9089A"/>
    <w:rsid w:val="00F92928"/>
    <w:rsid w:val="00F93B05"/>
    <w:rsid w:val="00F94E9C"/>
    <w:rsid w:val="00F9659F"/>
    <w:rsid w:val="00F96605"/>
    <w:rsid w:val="00F971E1"/>
    <w:rsid w:val="00FA0DA9"/>
    <w:rsid w:val="00FA1F0C"/>
    <w:rsid w:val="00FA1FE3"/>
    <w:rsid w:val="00FA2205"/>
    <w:rsid w:val="00FA37BB"/>
    <w:rsid w:val="00FA3C22"/>
    <w:rsid w:val="00FA4879"/>
    <w:rsid w:val="00FA77F6"/>
    <w:rsid w:val="00FB083A"/>
    <w:rsid w:val="00FB2465"/>
    <w:rsid w:val="00FB360A"/>
    <w:rsid w:val="00FB3CEB"/>
    <w:rsid w:val="00FB5F0B"/>
    <w:rsid w:val="00FB698C"/>
    <w:rsid w:val="00FC033E"/>
    <w:rsid w:val="00FC0798"/>
    <w:rsid w:val="00FC164A"/>
    <w:rsid w:val="00FC4181"/>
    <w:rsid w:val="00FC4463"/>
    <w:rsid w:val="00FC5347"/>
    <w:rsid w:val="00FC58C7"/>
    <w:rsid w:val="00FC6ACD"/>
    <w:rsid w:val="00FD072D"/>
    <w:rsid w:val="00FD0989"/>
    <w:rsid w:val="00FD0CBE"/>
    <w:rsid w:val="00FD1612"/>
    <w:rsid w:val="00FD27B2"/>
    <w:rsid w:val="00FD2963"/>
    <w:rsid w:val="00FD3D74"/>
    <w:rsid w:val="00FD41DB"/>
    <w:rsid w:val="00FD4C93"/>
    <w:rsid w:val="00FD63BA"/>
    <w:rsid w:val="00FD678D"/>
    <w:rsid w:val="00FE1355"/>
    <w:rsid w:val="00FE13CF"/>
    <w:rsid w:val="00FE32FB"/>
    <w:rsid w:val="00FE5181"/>
    <w:rsid w:val="00FE5D6D"/>
    <w:rsid w:val="00FE69E6"/>
    <w:rsid w:val="00FE7A66"/>
    <w:rsid w:val="00FF0B04"/>
    <w:rsid w:val="00FF0F84"/>
    <w:rsid w:val="00FF31AB"/>
    <w:rsid w:val="00FF38E5"/>
    <w:rsid w:val="00FF6149"/>
    <w:rsid w:val="00FF711E"/>
    <w:rsid w:val="00FF78B8"/>
    <w:rsid w:val="00FF7C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5AC"/>
    <w:pPr>
      <w:tabs>
        <w:tab w:val="center" w:pos="4680"/>
        <w:tab w:val="right" w:pos="9360"/>
      </w:tabs>
      <w:spacing w:line="240" w:lineRule="auto"/>
    </w:pPr>
  </w:style>
  <w:style w:type="character" w:customStyle="1" w:styleId="HeaderChar">
    <w:name w:val="Header Char"/>
    <w:basedOn w:val="DefaultParagraphFont"/>
    <w:link w:val="Header"/>
    <w:uiPriority w:val="99"/>
    <w:rsid w:val="00B775AC"/>
  </w:style>
  <w:style w:type="paragraph" w:styleId="Footer">
    <w:name w:val="footer"/>
    <w:basedOn w:val="Normal"/>
    <w:link w:val="FooterChar"/>
    <w:uiPriority w:val="99"/>
    <w:unhideWhenUsed/>
    <w:rsid w:val="00B775AC"/>
    <w:pPr>
      <w:tabs>
        <w:tab w:val="center" w:pos="4680"/>
        <w:tab w:val="right" w:pos="9360"/>
      </w:tabs>
      <w:spacing w:line="240" w:lineRule="auto"/>
    </w:pPr>
  </w:style>
  <w:style w:type="character" w:customStyle="1" w:styleId="FooterChar">
    <w:name w:val="Footer Char"/>
    <w:basedOn w:val="DefaultParagraphFont"/>
    <w:link w:val="Footer"/>
    <w:uiPriority w:val="99"/>
    <w:rsid w:val="00B775AC"/>
  </w:style>
  <w:style w:type="character" w:styleId="PageNumber">
    <w:name w:val="page number"/>
    <w:basedOn w:val="DefaultParagraphFont"/>
    <w:uiPriority w:val="99"/>
    <w:semiHidden/>
    <w:unhideWhenUsed/>
    <w:rsid w:val="00B775AC"/>
  </w:style>
  <w:style w:type="paragraph" w:styleId="FootnoteText">
    <w:name w:val="footnote text"/>
    <w:link w:val="FootnoteTextChar"/>
    <w:uiPriority w:val="99"/>
    <w:unhideWhenUsed/>
    <w:rsid w:val="00B775AC"/>
    <w:pPr>
      <w:spacing w:line="240" w:lineRule="auto"/>
    </w:pPr>
    <w:rPr>
      <w:szCs w:val="20"/>
    </w:rPr>
  </w:style>
  <w:style w:type="character" w:customStyle="1" w:styleId="FootnoteTextChar">
    <w:name w:val="Footnote Text Char"/>
    <w:basedOn w:val="DefaultParagraphFont"/>
    <w:link w:val="FootnoteText"/>
    <w:uiPriority w:val="99"/>
    <w:rsid w:val="00B775AC"/>
    <w:rPr>
      <w:szCs w:val="20"/>
    </w:rPr>
  </w:style>
  <w:style w:type="character" w:styleId="FootnoteReference">
    <w:name w:val="footnote reference"/>
    <w:basedOn w:val="DefaultParagraphFont"/>
    <w:uiPriority w:val="99"/>
    <w:semiHidden/>
    <w:unhideWhenUsed/>
    <w:rsid w:val="00C955B5"/>
    <w:rPr>
      <w:vertAlign w:val="superscript"/>
    </w:rPr>
  </w:style>
  <w:style w:type="character" w:styleId="Hyperlink">
    <w:name w:val="Hyperlink"/>
    <w:basedOn w:val="DefaultParagraphFont"/>
    <w:uiPriority w:val="99"/>
    <w:unhideWhenUsed/>
    <w:rsid w:val="00795813"/>
    <w:rPr>
      <w:color w:val="0563C1" w:themeColor="hyperlink"/>
      <w:u w:val="single"/>
    </w:rPr>
  </w:style>
  <w:style w:type="character" w:customStyle="1" w:styleId="UnresolvedMention1">
    <w:name w:val="Unresolved Mention1"/>
    <w:basedOn w:val="DefaultParagraphFont"/>
    <w:uiPriority w:val="99"/>
    <w:semiHidden/>
    <w:unhideWhenUsed/>
    <w:rsid w:val="00795813"/>
    <w:rPr>
      <w:color w:val="605E5C"/>
      <w:shd w:val="clear" w:color="auto" w:fill="E1DFDD"/>
    </w:rPr>
  </w:style>
  <w:style w:type="character" w:styleId="CommentReference">
    <w:name w:val="annotation reference"/>
    <w:basedOn w:val="DefaultParagraphFont"/>
    <w:uiPriority w:val="99"/>
    <w:semiHidden/>
    <w:unhideWhenUsed/>
    <w:rsid w:val="00A047E8"/>
    <w:rPr>
      <w:sz w:val="16"/>
      <w:szCs w:val="16"/>
    </w:rPr>
  </w:style>
  <w:style w:type="paragraph" w:styleId="CommentText">
    <w:name w:val="annotation text"/>
    <w:basedOn w:val="Normal"/>
    <w:link w:val="CommentTextChar"/>
    <w:uiPriority w:val="99"/>
    <w:semiHidden/>
    <w:unhideWhenUsed/>
    <w:rsid w:val="00A047E8"/>
    <w:pPr>
      <w:spacing w:line="240" w:lineRule="auto"/>
    </w:pPr>
    <w:rPr>
      <w:sz w:val="20"/>
      <w:szCs w:val="20"/>
    </w:rPr>
  </w:style>
  <w:style w:type="character" w:customStyle="1" w:styleId="CommentTextChar">
    <w:name w:val="Comment Text Char"/>
    <w:basedOn w:val="DefaultParagraphFont"/>
    <w:link w:val="CommentText"/>
    <w:uiPriority w:val="99"/>
    <w:semiHidden/>
    <w:rsid w:val="00A047E8"/>
    <w:rPr>
      <w:sz w:val="20"/>
      <w:szCs w:val="20"/>
    </w:rPr>
  </w:style>
  <w:style w:type="paragraph" w:styleId="CommentSubject">
    <w:name w:val="annotation subject"/>
    <w:basedOn w:val="CommentText"/>
    <w:next w:val="CommentText"/>
    <w:link w:val="CommentSubjectChar"/>
    <w:uiPriority w:val="99"/>
    <w:semiHidden/>
    <w:unhideWhenUsed/>
    <w:rsid w:val="00A047E8"/>
    <w:rPr>
      <w:b/>
      <w:bCs/>
    </w:rPr>
  </w:style>
  <w:style w:type="character" w:customStyle="1" w:styleId="CommentSubjectChar">
    <w:name w:val="Comment Subject Char"/>
    <w:basedOn w:val="CommentTextChar"/>
    <w:link w:val="CommentSubject"/>
    <w:uiPriority w:val="99"/>
    <w:semiHidden/>
    <w:rsid w:val="00A047E8"/>
    <w:rPr>
      <w:b/>
      <w:bCs/>
      <w:sz w:val="20"/>
      <w:szCs w:val="20"/>
    </w:rPr>
  </w:style>
  <w:style w:type="paragraph" w:styleId="Revision">
    <w:name w:val="Revision"/>
    <w:hidden/>
    <w:uiPriority w:val="99"/>
    <w:semiHidden/>
    <w:rsid w:val="00A047E8"/>
    <w:pPr>
      <w:spacing w:line="240" w:lineRule="auto"/>
    </w:pPr>
  </w:style>
  <w:style w:type="character" w:styleId="Emphasis">
    <w:name w:val="Emphasis"/>
    <w:basedOn w:val="DefaultParagraphFont"/>
    <w:uiPriority w:val="20"/>
    <w:qFormat/>
    <w:rsid w:val="001556B6"/>
    <w:rPr>
      <w:i/>
      <w:iCs/>
    </w:rPr>
  </w:style>
  <w:style w:type="paragraph" w:customStyle="1" w:styleId="Normal2">
    <w:name w:val="Normal2"/>
    <w:basedOn w:val="Normal"/>
    <w:rsid w:val="00551509"/>
    <w:pPr>
      <w:tabs>
        <w:tab w:val="clear" w:pos="720"/>
      </w:tabs>
      <w:suppressAutoHyphens/>
      <w:autoSpaceDN w:val="0"/>
      <w:spacing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3622A-B688-411C-8AF9-A058D890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7455</Words>
  <Characters>42495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2023-05-31T20:16:24Z</dcterms:created>
  <dcterms:modified xsi:type="dcterms:W3CDTF">2023-05-31T20:16:24Z</dcterms:modified>
</cp:coreProperties>
</file>