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9524D0" w:rsidRPr="00C133A1" w:rsidP="006D75D4" w14:paraId="12283BB3" w14:textId="2560657E">
      <w:pPr>
        <w:pStyle w:val="FootnoteText"/>
        <w:ind w:firstLine="0"/>
        <w:rPr>
          <w:bCs/>
          <w:sz w:val="20"/>
        </w:rPr>
      </w:pPr>
      <w:r w:rsidRPr="004A378A">
        <w:rPr>
          <w:bCs/>
          <w:sz w:val="20"/>
        </w:rPr>
        <w:t xml:space="preserve">Filed </w:t>
      </w:r>
      <w:r w:rsidRPr="004A378A" w:rsidR="00777DDD">
        <w:rPr>
          <w:bCs/>
          <w:sz w:val="20"/>
        </w:rPr>
        <w:t>2</w:t>
      </w:r>
      <w:r w:rsidRPr="004A378A" w:rsidR="00C133A1">
        <w:rPr>
          <w:bCs/>
          <w:sz w:val="20"/>
        </w:rPr>
        <w:t>/</w:t>
      </w:r>
      <w:r w:rsidRPr="004A378A" w:rsidR="004A378A">
        <w:rPr>
          <w:bCs/>
          <w:sz w:val="20"/>
        </w:rPr>
        <w:t>2</w:t>
      </w:r>
      <w:r w:rsidR="00F61B87">
        <w:rPr>
          <w:bCs/>
          <w:sz w:val="20"/>
        </w:rPr>
        <w:t>1</w:t>
      </w:r>
      <w:r w:rsidRPr="004A378A" w:rsidR="00C133A1">
        <w:rPr>
          <w:bCs/>
          <w:sz w:val="20"/>
        </w:rPr>
        <w:t>/</w:t>
      </w:r>
      <w:r w:rsidRPr="004A378A" w:rsidR="00511E91">
        <w:rPr>
          <w:bCs/>
          <w:sz w:val="20"/>
        </w:rPr>
        <w:t>23</w:t>
      </w:r>
    </w:p>
    <w:p w:rsidR="00FA2F4F" w:rsidP="006D75D4" w14:paraId="487479EA" w14:textId="1C0B2CC7">
      <w:pPr>
        <w:pStyle w:val="FootnoteText"/>
        <w:spacing w:after="240"/>
        <w:ind w:firstLine="0"/>
        <w:jc w:val="center"/>
      </w:pPr>
      <w:r w:rsidRPr="00EC2DE3">
        <w:rPr>
          <w:b/>
        </w:rPr>
        <w:t>CERTIFIED FOR PARTIAL PUBLICATION</w:t>
      </w:r>
      <w:r>
        <w:rPr>
          <w:rStyle w:val="FootnoteReference"/>
        </w:rPr>
        <w:footnoteReference w:customMarkFollows="1" w:id="3"/>
        <w:t xml:space="preserve">*</w:t>
      </w:r>
    </w:p>
    <w:p w:rsidR="00737B68" w:rsidRPr="00944C2C" w:rsidP="00F85CE6" w14:paraId="1CB90AA7" w14:textId="77777777">
      <w:pPr>
        <w:spacing w:line="480" w:lineRule="auto"/>
        <w:ind w:firstLine="0"/>
        <w:jc w:val="center"/>
      </w:pPr>
      <w:r w:rsidRPr="00944C2C">
        <w:t>IN THE COURT OF APPEAL OF THE STATE OF CALIFORNIA</w:t>
      </w:r>
    </w:p>
    <w:p w:rsidR="00043C30" w:rsidP="00043C30" w14:paraId="6D76A124" w14:textId="14E51670">
      <w:pPr>
        <w:spacing w:line="480" w:lineRule="auto"/>
        <w:ind w:firstLine="0"/>
        <w:jc w:val="center"/>
      </w:pPr>
      <w:r>
        <w:t>FIRST APPELLATE DISTRICT</w:t>
      </w:r>
    </w:p>
    <w:p w:rsidR="00737B68" w:rsidP="00F85CE6" w14:paraId="359F27C5" w14:textId="19A10D90">
      <w:pPr>
        <w:spacing w:line="480" w:lineRule="auto"/>
        <w:ind w:firstLine="0"/>
        <w:jc w:val="center"/>
      </w:pPr>
      <w:r>
        <w:t>DIVISION FOUR</w:t>
      </w:r>
    </w:p>
    <w:p w:rsidR="00737B68" w:rsidP="00F85CE6" w14:paraId="74AF3CB8" w14:textId="77777777">
      <w:pPr>
        <w:spacing w:line="240" w:lineRule="auto"/>
        <w:ind w:firstLine="0"/>
        <w:jc w:val="center"/>
      </w:pPr>
    </w:p>
    <w:tbl>
      <w:tblPr>
        <w:tblW w:w="0" w:type="auto"/>
        <w:tblInd w:w="0" w:type="dxa"/>
        <w:tblLayout w:type="fixed"/>
        <w:tblCellMar>
          <w:top w:w="0" w:type="dxa"/>
          <w:left w:w="108" w:type="dxa"/>
          <w:bottom w:w="0" w:type="dxa"/>
          <w:right w:w="108" w:type="dxa"/>
        </w:tblCellMar>
        <w:tblLook w:val="0000"/>
      </w:tblPr>
      <w:tblGrid>
        <w:gridCol w:w="4680"/>
        <w:gridCol w:w="4680"/>
      </w:tblGrid>
      <w:tr w14:paraId="6A8F53CE" w14:textId="77777777">
        <w:tblPrEx>
          <w:tblW w:w="0" w:type="auto"/>
          <w:tblInd w:w="0" w:type="dxa"/>
          <w:tblLayout w:type="fixed"/>
          <w:tblCellMar>
            <w:top w:w="0" w:type="dxa"/>
            <w:left w:w="108" w:type="dxa"/>
            <w:bottom w:w="0" w:type="dxa"/>
            <w:right w:w="108" w:type="dxa"/>
          </w:tblCellMar>
          <w:tblLook w:val="0000"/>
        </w:tblPrEx>
        <w:tc>
          <w:tcPr>
            <w:tcW w:w="4680" w:type="dxa"/>
            <w:tcBorders>
              <w:bottom w:val="single" w:sz="4" w:space="0" w:color="auto"/>
              <w:right w:val="single" w:sz="4" w:space="0" w:color="auto"/>
            </w:tcBorders>
            <w:shd w:val="clear" w:color="auto" w:fill="auto"/>
          </w:tcPr>
          <w:p w:rsidR="00737B68" w:rsidRPr="00FC6809" w:rsidP="00F239EC" w14:paraId="01B95ED3" w14:textId="1E8C9FB8">
            <w:pPr>
              <w:spacing w:after="120" w:line="240" w:lineRule="auto"/>
              <w:ind w:firstLine="0"/>
              <w:rPr>
                <w:rFonts w:ascii="Century Schoolbook" w:hAnsi="Century Schoolbook" w:eastAsiaTheme="minorHAnsi" w:cstheme="minorBidi"/>
                <w:sz w:val="26"/>
                <w:szCs w:val="26"/>
                <w:lang w:val="en-US" w:eastAsia="en-US" w:bidi="ar-SA"/>
              </w:rPr>
            </w:pPr>
            <w:r w:rsidRPr="00FC6809">
              <w:rPr>
                <w:rFonts w:ascii="Century Schoolbook" w:hAnsi="Century Schoolbook" w:eastAsiaTheme="minorHAnsi" w:cstheme="minorBidi"/>
                <w:sz w:val="26"/>
                <w:szCs w:val="26"/>
                <w:lang w:val="en-US" w:eastAsia="en-US" w:bidi="ar-SA"/>
              </w:rPr>
              <w:t>THE PEOPLE,</w:t>
            </w:r>
          </w:p>
          <w:p w:rsidR="00737B68" w:rsidRPr="00FC6809" w:rsidP="00F239EC" w14:paraId="3F77816B" w14:textId="13D82951">
            <w:pPr>
              <w:tabs>
                <w:tab w:val="left" w:pos="610"/>
              </w:tabs>
              <w:spacing w:after="120" w:line="240" w:lineRule="auto"/>
              <w:ind w:firstLine="0"/>
              <w:rPr>
                <w:rFonts w:ascii="Century Schoolbook" w:hAnsi="Century Schoolbook" w:eastAsiaTheme="minorHAnsi" w:cstheme="minorBidi"/>
                <w:sz w:val="26"/>
                <w:szCs w:val="26"/>
                <w:lang w:val="en-US" w:eastAsia="en-US" w:bidi="ar-SA"/>
              </w:rPr>
            </w:pPr>
            <w:r w:rsidRPr="00FC6809">
              <w:rPr>
                <w:rFonts w:ascii="Century Schoolbook" w:hAnsi="Century Schoolbook" w:eastAsiaTheme="minorHAnsi" w:cstheme="minorBidi"/>
                <w:sz w:val="26"/>
                <w:szCs w:val="26"/>
                <w:lang w:val="en-US" w:eastAsia="en-US" w:bidi="ar-SA"/>
              </w:rPr>
              <w:tab/>
              <w:t xml:space="preserve">Plaintiff and </w:t>
            </w:r>
            <w:r w:rsidRPr="00FC6809" w:rsidR="00FC250E">
              <w:rPr>
                <w:rFonts w:ascii="Century Schoolbook" w:hAnsi="Century Schoolbook" w:eastAsiaTheme="minorHAnsi" w:cstheme="minorBidi"/>
                <w:sz w:val="26"/>
                <w:szCs w:val="26"/>
                <w:lang w:val="en-US" w:eastAsia="en-US" w:bidi="ar-SA"/>
              </w:rPr>
              <w:t>Respondent</w:t>
            </w:r>
            <w:r w:rsidRPr="00FC6809">
              <w:rPr>
                <w:rFonts w:ascii="Century Schoolbook" w:hAnsi="Century Schoolbook" w:eastAsiaTheme="minorHAnsi" w:cstheme="minorBidi"/>
                <w:sz w:val="26"/>
                <w:szCs w:val="26"/>
                <w:lang w:val="en-US" w:eastAsia="en-US" w:bidi="ar-SA"/>
              </w:rPr>
              <w:t>,</w:t>
            </w:r>
          </w:p>
          <w:p w:rsidR="00737B68" w:rsidRPr="00FC6809" w:rsidP="00F239EC" w14:paraId="66ACCBA0" w14:textId="12BB1823">
            <w:pPr>
              <w:tabs>
                <w:tab w:val="left" w:pos="1870"/>
              </w:tabs>
              <w:spacing w:after="120" w:line="240" w:lineRule="auto"/>
              <w:ind w:firstLine="0"/>
              <w:rPr>
                <w:rFonts w:ascii="Century Schoolbook" w:hAnsi="Century Schoolbook" w:eastAsiaTheme="minorHAnsi" w:cstheme="minorBidi"/>
                <w:sz w:val="26"/>
                <w:szCs w:val="26"/>
                <w:lang w:val="en-US" w:eastAsia="en-US" w:bidi="ar-SA"/>
              </w:rPr>
            </w:pPr>
            <w:r w:rsidRPr="00FC6809">
              <w:rPr>
                <w:rFonts w:ascii="Century Schoolbook" w:hAnsi="Century Schoolbook" w:eastAsiaTheme="minorHAnsi" w:cstheme="minorBidi"/>
                <w:sz w:val="26"/>
                <w:szCs w:val="26"/>
                <w:lang w:val="en-US" w:eastAsia="en-US" w:bidi="ar-SA"/>
              </w:rPr>
              <w:tab/>
              <w:t>v.</w:t>
            </w:r>
          </w:p>
          <w:p w:rsidR="00737B68" w:rsidRPr="00FC6809" w:rsidP="00F239EC" w14:paraId="0E0C9D3C" w14:textId="20FDC585">
            <w:pPr>
              <w:tabs>
                <w:tab w:val="left" w:pos="610"/>
              </w:tabs>
              <w:spacing w:line="240" w:lineRule="auto"/>
              <w:ind w:firstLine="0"/>
              <w:rPr>
                <w:rFonts w:ascii="Century Schoolbook" w:hAnsi="Century Schoolbook" w:eastAsiaTheme="minorHAnsi" w:cstheme="minorBidi"/>
                <w:sz w:val="26"/>
                <w:szCs w:val="26"/>
                <w:lang w:val="en-US" w:eastAsia="en-US" w:bidi="ar-SA"/>
              </w:rPr>
            </w:pPr>
            <w:r w:rsidRPr="00FC6809">
              <w:rPr>
                <w:rFonts w:ascii="Century Schoolbook" w:hAnsi="Century Schoolbook" w:eastAsiaTheme="minorHAnsi" w:cstheme="minorBidi"/>
                <w:sz w:val="26"/>
                <w:szCs w:val="26"/>
                <w:lang w:val="en-US" w:eastAsia="en-US" w:bidi="ar-SA"/>
              </w:rPr>
              <w:t>CHRISTOPHER M. JOHNSON</w:t>
            </w:r>
            <w:r w:rsidRPr="00FC6809" w:rsidR="00FC250E">
              <w:rPr>
                <w:rFonts w:ascii="Century Schoolbook" w:hAnsi="Century Schoolbook" w:eastAsiaTheme="minorHAnsi" w:cstheme="minorBidi"/>
                <w:sz w:val="26"/>
                <w:szCs w:val="26"/>
                <w:lang w:val="en-US" w:eastAsia="en-US" w:bidi="ar-SA"/>
              </w:rPr>
              <w:t>,</w:t>
            </w:r>
          </w:p>
          <w:p w:rsidR="00737B68" w:rsidRPr="00FC6809" w:rsidP="00F239EC" w14:paraId="14F8ADB0" w14:textId="4271D7AA">
            <w:pPr>
              <w:tabs>
                <w:tab w:val="left" w:pos="610"/>
              </w:tabs>
              <w:spacing w:before="120" w:after="240" w:line="240" w:lineRule="auto"/>
              <w:ind w:firstLine="0"/>
              <w:rPr>
                <w:rFonts w:ascii="Century Schoolbook" w:hAnsi="Century Schoolbook" w:eastAsiaTheme="minorHAnsi" w:cstheme="minorBidi"/>
                <w:sz w:val="26"/>
                <w:szCs w:val="26"/>
                <w:lang w:val="en-US" w:eastAsia="en-US" w:bidi="ar-SA"/>
              </w:rPr>
            </w:pPr>
            <w:r w:rsidRPr="00FC6809">
              <w:rPr>
                <w:rFonts w:ascii="Century Schoolbook" w:hAnsi="Century Schoolbook" w:eastAsiaTheme="minorHAnsi" w:cstheme="minorBidi"/>
                <w:sz w:val="26"/>
                <w:szCs w:val="26"/>
                <w:lang w:val="en-US" w:eastAsia="en-US" w:bidi="ar-SA"/>
              </w:rPr>
              <w:tab/>
              <w:t xml:space="preserve">Defendant and </w:t>
            </w:r>
            <w:r w:rsidRPr="00FC6809" w:rsidR="00FC250E">
              <w:rPr>
                <w:rFonts w:ascii="Century Schoolbook" w:hAnsi="Century Schoolbook" w:eastAsiaTheme="minorHAnsi" w:cstheme="minorBidi"/>
                <w:sz w:val="26"/>
                <w:szCs w:val="26"/>
                <w:lang w:val="en-US" w:eastAsia="en-US" w:bidi="ar-SA"/>
              </w:rPr>
              <w:t>Appellant</w:t>
            </w:r>
            <w:r w:rsidRPr="00FC6809">
              <w:rPr>
                <w:rFonts w:ascii="Century Schoolbook" w:hAnsi="Century Schoolbook" w:eastAsiaTheme="minorHAnsi" w:cstheme="minorBidi"/>
                <w:sz w:val="26"/>
                <w:szCs w:val="26"/>
                <w:lang w:val="en-US" w:eastAsia="en-US" w:bidi="ar-SA"/>
              </w:rPr>
              <w:t>.</w:t>
            </w:r>
          </w:p>
        </w:tc>
        <w:tc>
          <w:tcPr>
            <w:tcW w:w="4680" w:type="dxa"/>
            <w:tcBorders>
              <w:left w:val="single" w:sz="4" w:space="0" w:color="auto"/>
            </w:tcBorders>
            <w:shd w:val="clear" w:color="auto" w:fill="auto"/>
          </w:tcPr>
          <w:p w:rsidR="00737B68" w:rsidRPr="00FC6809" w:rsidP="00E7127E" w14:paraId="232BF6D5" w14:textId="77777777">
            <w:pPr>
              <w:spacing w:after="120" w:line="240" w:lineRule="auto"/>
              <w:ind w:firstLine="0"/>
              <w:rPr>
                <w:rFonts w:ascii="Century Schoolbook" w:hAnsi="Century Schoolbook" w:eastAsiaTheme="minorHAnsi" w:cstheme="minorBidi"/>
                <w:sz w:val="26"/>
                <w:szCs w:val="26"/>
                <w:lang w:val="en-US" w:eastAsia="en-US" w:bidi="ar-SA"/>
              </w:rPr>
            </w:pPr>
          </w:p>
          <w:p w:rsidR="00737B68" w:rsidRPr="00FC6809" w:rsidP="00AF290D" w14:paraId="68A8FE34" w14:textId="2A27442C">
            <w:pPr>
              <w:tabs>
                <w:tab w:val="left" w:pos="346"/>
              </w:tabs>
              <w:spacing w:after="240" w:line="240" w:lineRule="auto"/>
              <w:ind w:firstLine="0"/>
              <w:rPr>
                <w:rFonts w:ascii="Century Schoolbook" w:hAnsi="Century Schoolbook" w:eastAsiaTheme="minorHAnsi" w:cstheme="minorBidi"/>
                <w:sz w:val="26"/>
                <w:szCs w:val="26"/>
                <w:lang w:val="en-US" w:eastAsia="en-US" w:bidi="ar-SA"/>
              </w:rPr>
            </w:pPr>
            <w:r w:rsidRPr="00FC6809">
              <w:rPr>
                <w:rFonts w:ascii="Century Schoolbook" w:hAnsi="Century Schoolbook" w:eastAsiaTheme="minorHAnsi" w:cstheme="minorBidi"/>
                <w:sz w:val="26"/>
                <w:szCs w:val="26"/>
                <w:lang w:val="en-US" w:eastAsia="en-US" w:bidi="ar-SA"/>
              </w:rPr>
              <w:tab/>
            </w:r>
            <w:r w:rsidRPr="00FC6809" w:rsidR="00FC250E">
              <w:rPr>
                <w:rFonts w:ascii="Century Schoolbook" w:hAnsi="Century Schoolbook" w:eastAsiaTheme="minorHAnsi" w:cstheme="minorBidi"/>
                <w:sz w:val="26"/>
                <w:szCs w:val="26"/>
                <w:lang w:val="en-US" w:eastAsia="en-US" w:bidi="ar-SA"/>
              </w:rPr>
              <w:t>A</w:t>
            </w:r>
            <w:r w:rsidRPr="00FC6809" w:rsidR="00FC6809">
              <w:rPr>
                <w:rFonts w:ascii="Century Schoolbook" w:hAnsi="Century Schoolbook" w:eastAsiaTheme="minorHAnsi" w:cstheme="minorBidi"/>
                <w:sz w:val="26"/>
                <w:szCs w:val="26"/>
                <w:lang w:val="en-US" w:eastAsia="en-US" w:bidi="ar-SA"/>
              </w:rPr>
              <w:t>1625</w:t>
            </w:r>
            <w:r w:rsidR="004360C9">
              <w:rPr>
                <w:rFonts w:ascii="Century Schoolbook" w:hAnsi="Century Schoolbook" w:eastAsiaTheme="minorHAnsi" w:cstheme="minorBidi"/>
                <w:sz w:val="26"/>
                <w:szCs w:val="26"/>
                <w:lang w:val="en-US" w:eastAsia="en-US" w:bidi="ar-SA"/>
              </w:rPr>
              <w:t>9</w:t>
            </w:r>
            <w:r w:rsidRPr="00FC6809" w:rsidR="00FC6809">
              <w:rPr>
                <w:rFonts w:ascii="Century Schoolbook" w:hAnsi="Century Schoolbook" w:eastAsiaTheme="minorHAnsi" w:cstheme="minorBidi"/>
                <w:sz w:val="26"/>
                <w:szCs w:val="26"/>
                <w:lang w:val="en-US" w:eastAsia="en-US" w:bidi="ar-SA"/>
              </w:rPr>
              <w:t>9</w:t>
            </w:r>
          </w:p>
          <w:p w:rsidR="00AF290D" w:rsidRPr="00FC6809" w:rsidP="00AF290D" w14:paraId="06597BB3" w14:textId="56F2AD89">
            <w:pPr>
              <w:tabs>
                <w:tab w:val="left" w:pos="346"/>
              </w:tabs>
              <w:spacing w:line="240" w:lineRule="auto"/>
              <w:ind w:firstLine="0"/>
              <w:rPr>
                <w:rFonts w:ascii="Century Schoolbook" w:hAnsi="Century Schoolbook" w:eastAsiaTheme="minorHAnsi" w:cstheme="minorBidi"/>
                <w:sz w:val="26"/>
                <w:szCs w:val="26"/>
                <w:lang w:val="en-US" w:eastAsia="en-US" w:bidi="ar-SA"/>
              </w:rPr>
            </w:pPr>
            <w:r w:rsidRPr="00FC6809">
              <w:rPr>
                <w:rFonts w:ascii="Century Schoolbook" w:hAnsi="Century Schoolbook" w:eastAsiaTheme="minorHAnsi" w:cstheme="minorBidi"/>
                <w:sz w:val="26"/>
                <w:szCs w:val="26"/>
                <w:lang w:val="en-US" w:eastAsia="en-US" w:bidi="ar-SA"/>
              </w:rPr>
              <w:tab/>
              <w:t>(</w:t>
            </w:r>
            <w:r w:rsidRPr="00FC6809" w:rsidR="00FC6809">
              <w:rPr>
                <w:rFonts w:ascii="Century Schoolbook" w:hAnsi="Century Schoolbook" w:eastAsiaTheme="minorHAnsi" w:cstheme="minorBidi"/>
                <w:sz w:val="26"/>
                <w:szCs w:val="26"/>
                <w:lang w:val="en-US" w:eastAsia="en-US" w:bidi="ar-SA"/>
              </w:rPr>
              <w:t>Napa</w:t>
            </w:r>
            <w:r w:rsidRPr="00FC6809">
              <w:rPr>
                <w:rFonts w:ascii="Century Schoolbook" w:hAnsi="Century Schoolbook" w:eastAsiaTheme="minorHAnsi" w:cstheme="minorBidi"/>
                <w:sz w:val="26"/>
                <w:szCs w:val="26"/>
                <w:lang w:val="en-US" w:eastAsia="en-US" w:bidi="ar-SA"/>
              </w:rPr>
              <w:t xml:space="preserve"> </w:t>
            </w:r>
            <w:r w:rsidRPr="00FC6809" w:rsidR="009D4144">
              <w:rPr>
                <w:rFonts w:ascii="Century Schoolbook" w:hAnsi="Century Schoolbook" w:eastAsiaTheme="minorHAnsi" w:cstheme="minorBidi"/>
                <w:sz w:val="26"/>
                <w:szCs w:val="26"/>
                <w:lang w:val="en-US" w:eastAsia="en-US" w:bidi="ar-SA"/>
              </w:rPr>
              <w:t>County Super</w:t>
            </w:r>
            <w:r w:rsidRPr="00FC6809" w:rsidR="003E3477">
              <w:rPr>
                <w:rFonts w:ascii="Century Schoolbook" w:hAnsi="Century Schoolbook" w:eastAsiaTheme="minorHAnsi" w:cstheme="minorBidi"/>
                <w:sz w:val="26"/>
                <w:szCs w:val="26"/>
                <w:lang w:val="en-US" w:eastAsia="en-US" w:bidi="ar-SA"/>
              </w:rPr>
              <w:t>.</w:t>
            </w:r>
            <w:r w:rsidRPr="00FC6809" w:rsidR="009D4144">
              <w:rPr>
                <w:rFonts w:ascii="Century Schoolbook" w:hAnsi="Century Schoolbook" w:eastAsiaTheme="minorHAnsi" w:cstheme="minorBidi"/>
                <w:sz w:val="26"/>
                <w:szCs w:val="26"/>
                <w:lang w:val="en-US" w:eastAsia="en-US" w:bidi="ar-SA"/>
              </w:rPr>
              <w:t xml:space="preserve"> C</w:t>
            </w:r>
            <w:r w:rsidRPr="00FC6809" w:rsidR="003E3477">
              <w:rPr>
                <w:rFonts w:ascii="Century Schoolbook" w:hAnsi="Century Schoolbook" w:eastAsiaTheme="minorHAnsi" w:cstheme="minorBidi"/>
                <w:sz w:val="26"/>
                <w:szCs w:val="26"/>
                <w:lang w:val="en-US" w:eastAsia="en-US" w:bidi="ar-SA"/>
              </w:rPr>
              <w:t>t.</w:t>
            </w:r>
          </w:p>
          <w:p w:rsidR="00737B68" w:rsidRPr="00FC6809" w:rsidP="00E7127E" w14:paraId="1835FF49" w14:textId="3229D331">
            <w:pPr>
              <w:tabs>
                <w:tab w:val="left" w:pos="346"/>
              </w:tabs>
              <w:spacing w:line="240" w:lineRule="auto"/>
              <w:ind w:firstLine="0"/>
              <w:rPr>
                <w:rFonts w:ascii="Century Schoolbook" w:hAnsi="Century Schoolbook" w:eastAsiaTheme="minorHAnsi" w:cstheme="minorBidi"/>
                <w:sz w:val="26"/>
                <w:szCs w:val="26"/>
                <w:lang w:val="en-US" w:eastAsia="en-US" w:bidi="ar-SA"/>
              </w:rPr>
            </w:pPr>
            <w:r w:rsidRPr="00FC6809">
              <w:rPr>
                <w:rFonts w:ascii="Century Schoolbook" w:hAnsi="Century Schoolbook" w:eastAsiaTheme="minorHAnsi" w:cstheme="minorBidi"/>
                <w:sz w:val="26"/>
                <w:szCs w:val="26"/>
                <w:lang w:val="en-US" w:eastAsia="en-US" w:bidi="ar-SA"/>
              </w:rPr>
              <w:tab/>
            </w:r>
            <w:r w:rsidRPr="00FC6809" w:rsidR="009D4144">
              <w:rPr>
                <w:rFonts w:ascii="Century Schoolbook" w:hAnsi="Century Schoolbook" w:eastAsiaTheme="minorHAnsi" w:cstheme="minorBidi"/>
                <w:sz w:val="26"/>
                <w:szCs w:val="26"/>
                <w:lang w:val="en-US" w:eastAsia="en-US" w:bidi="ar-SA"/>
              </w:rPr>
              <w:t>No.</w:t>
            </w:r>
            <w:r w:rsidRPr="00FC6809" w:rsidR="000072F4">
              <w:rPr>
                <w:rFonts w:ascii="Century Schoolbook" w:hAnsi="Century Schoolbook" w:eastAsiaTheme="minorHAnsi" w:cstheme="minorBidi"/>
                <w:sz w:val="26"/>
                <w:szCs w:val="26"/>
                <w:lang w:val="en-US" w:eastAsia="en-US" w:bidi="ar-SA"/>
              </w:rPr>
              <w:t> </w:t>
            </w:r>
            <w:r w:rsidRPr="00FC6809" w:rsidR="00FC6809">
              <w:rPr>
                <w:rFonts w:ascii="Century Schoolbook" w:hAnsi="Century Schoolbook" w:eastAsiaTheme="minorHAnsi" w:cstheme="minorBidi"/>
                <w:sz w:val="26"/>
                <w:szCs w:val="26"/>
                <w:lang w:val="en-US" w:eastAsia="en-US" w:bidi="ar-SA"/>
              </w:rPr>
              <w:t>19CR003549</w:t>
            </w:r>
            <w:r w:rsidRPr="00FC6809">
              <w:rPr>
                <w:rFonts w:ascii="Century Schoolbook" w:hAnsi="Century Schoolbook" w:eastAsiaTheme="minorHAnsi" w:cstheme="minorBidi"/>
                <w:sz w:val="26"/>
                <w:szCs w:val="26"/>
                <w:lang w:val="en-US" w:eastAsia="en-US" w:bidi="ar-SA"/>
              </w:rPr>
              <w:t>)</w:t>
            </w:r>
          </w:p>
        </w:tc>
      </w:tr>
    </w:tbl>
    <w:p w:rsidR="00737B68" w:rsidRPr="00FC6809" w14:paraId="178F0032" w14:textId="3D6685CB">
      <w:pPr>
        <w:spacing w:line="240" w:lineRule="auto"/>
      </w:pPr>
    </w:p>
    <w:p w:rsidR="00663D95" w:rsidRPr="00106595" w:rsidP="00663D95" w14:paraId="56027344" w14:textId="35522BC6">
      <w:pPr>
        <w:rPr>
          <w:i/>
          <w:iCs/>
        </w:rPr>
      </w:pPr>
      <w:r>
        <w:t>Defendant Christopher Johnson</w:t>
      </w:r>
      <w:r w:rsidR="00E122B0">
        <w:t xml:space="preserve"> appeals his sentence and </w:t>
      </w:r>
      <w:r w:rsidR="00262CC7">
        <w:t>13</w:t>
      </w:r>
      <w:r w:rsidR="00E122B0">
        <w:t xml:space="preserve"> of his </w:t>
      </w:r>
      <w:r w:rsidR="00262CC7">
        <w:t xml:space="preserve">22 </w:t>
      </w:r>
      <w:r w:rsidRPr="00660479" w:rsidR="00E122B0">
        <w:t xml:space="preserve">convictions </w:t>
      </w:r>
      <w:r w:rsidRPr="00660479" w:rsidR="00D2115C">
        <w:t xml:space="preserve">for </w:t>
      </w:r>
      <w:r w:rsidRPr="00660479" w:rsidR="00E42528">
        <w:t>sexual</w:t>
      </w:r>
      <w:r w:rsidRPr="00660479" w:rsidR="0089122E">
        <w:t>ly</w:t>
      </w:r>
      <w:r w:rsidRPr="00660479" w:rsidR="00E42528">
        <w:t xml:space="preserve"> abus</w:t>
      </w:r>
      <w:r w:rsidRPr="00660479" w:rsidR="0089122E">
        <w:t>ing</w:t>
      </w:r>
      <w:r w:rsidRPr="00660479" w:rsidR="00E42528">
        <w:t xml:space="preserve"> his </w:t>
      </w:r>
      <w:r w:rsidR="007550BF">
        <w:t>nine</w:t>
      </w:r>
      <w:r w:rsidRPr="00660479" w:rsidR="00E42528">
        <w:t>-year-old daughter</w:t>
      </w:r>
      <w:r w:rsidRPr="00660479" w:rsidR="009B59B0">
        <w:t>.</w:t>
      </w:r>
      <w:r w:rsidR="008C2127">
        <w:t xml:space="preserve"> </w:t>
      </w:r>
      <w:r w:rsidR="007B7995">
        <w:t xml:space="preserve"> </w:t>
      </w:r>
      <w:r w:rsidR="008C2127">
        <w:t xml:space="preserve">A jury found </w:t>
      </w:r>
      <w:r w:rsidR="004876A7">
        <w:t>him</w:t>
      </w:r>
      <w:r w:rsidR="008C2127">
        <w:t xml:space="preserve"> guilty on </w:t>
      </w:r>
      <w:r w:rsidR="00BD306D">
        <w:t>nine</w:t>
      </w:r>
      <w:r w:rsidR="008C2127">
        <w:t xml:space="preserve"> counts of </w:t>
      </w:r>
      <w:r w:rsidR="00195E10">
        <w:t xml:space="preserve">aggravated sexual assault of a </w:t>
      </w:r>
      <w:r w:rsidRPr="00660479" w:rsidR="00195E10">
        <w:t>child (Pen</w:t>
      </w:r>
      <w:r w:rsidRPr="00660479" w:rsidR="006A23FE">
        <w:t>.</w:t>
      </w:r>
      <w:r w:rsidRPr="00660479" w:rsidR="00195E10">
        <w:t xml:space="preserve"> Code</w:t>
      </w:r>
      <w:r w:rsidRPr="00A06AB5" w:rsidR="00A67DB2">
        <w:rPr>
          <w:spacing w:val="-40"/>
        </w:rPr>
        <w:t>,</w:t>
      </w:r>
      <w:r>
        <w:rPr>
          <w:rStyle w:val="FootnoteReference"/>
        </w:rPr>
        <w:footnoteReference w:id="4"/>
      </w:r>
      <w:r w:rsidRPr="00660479" w:rsidR="00A67DB2">
        <w:t xml:space="preserve"> §</w:t>
      </w:r>
      <w:r w:rsidRPr="00660479" w:rsidR="006A23FE">
        <w:t> </w:t>
      </w:r>
      <w:r w:rsidRPr="00660479" w:rsidR="00E565B5">
        <w:t>269, subd.</w:t>
      </w:r>
      <w:r w:rsidRPr="00660479" w:rsidR="006A23FE">
        <w:t> </w:t>
      </w:r>
      <w:r w:rsidRPr="00660479" w:rsidR="00E565B5">
        <w:t>(a)(4)</w:t>
      </w:r>
      <w:r w:rsidRPr="00660479" w:rsidR="0063547E">
        <w:t>)</w:t>
      </w:r>
      <w:r w:rsidR="002D07D3">
        <w:t>;</w:t>
      </w:r>
      <w:r w:rsidRPr="00660479" w:rsidR="0063547E">
        <w:t xml:space="preserve"> </w:t>
      </w:r>
      <w:r w:rsidR="00BD306D">
        <w:t>nine</w:t>
      </w:r>
      <w:r w:rsidRPr="00660479" w:rsidR="00E06FC7">
        <w:t xml:space="preserve"> </w:t>
      </w:r>
      <w:r w:rsidRPr="00660479" w:rsidR="0063547E">
        <w:t>parallel counts</w:t>
      </w:r>
      <w:r w:rsidRPr="00660479" w:rsidR="00E06FC7">
        <w:t xml:space="preserve">, based on the same </w:t>
      </w:r>
      <w:r w:rsidRPr="00660479" w:rsidR="00D57A25">
        <w:t>conduct</w:t>
      </w:r>
      <w:r w:rsidRPr="00660479" w:rsidR="00E06FC7">
        <w:t>,</w:t>
      </w:r>
      <w:r w:rsidRPr="00660479" w:rsidR="0063547E">
        <w:t xml:space="preserve"> of sexual acts </w:t>
      </w:r>
      <w:r w:rsidRPr="00660479" w:rsidR="00957973">
        <w:t>on a child</w:t>
      </w:r>
      <w:r w:rsidRPr="00660479" w:rsidR="00E06FC7">
        <w:t xml:space="preserve"> </w:t>
      </w:r>
      <w:r w:rsidRPr="00660479" w:rsidR="00957973">
        <w:t>(§ 288.7, subd.</w:t>
      </w:r>
      <w:r w:rsidRPr="00660479" w:rsidR="007B7995">
        <w:t> </w:t>
      </w:r>
      <w:r w:rsidRPr="00660479" w:rsidR="00957973">
        <w:t>(b))</w:t>
      </w:r>
      <w:r w:rsidRPr="00660479" w:rsidR="00F04E5F">
        <w:t>;</w:t>
      </w:r>
      <w:r w:rsidR="00957973">
        <w:t xml:space="preserve"> and </w:t>
      </w:r>
      <w:r w:rsidR="00BD306D">
        <w:t>four</w:t>
      </w:r>
      <w:r w:rsidR="00C1406B">
        <w:t xml:space="preserve"> </w:t>
      </w:r>
      <w:r w:rsidR="00957973">
        <w:t xml:space="preserve">counts of forcible lewd acts on a child </w:t>
      </w:r>
      <w:r w:rsidR="00E06FC7">
        <w:t>(§ </w:t>
      </w:r>
      <w:r w:rsidR="00493D6A">
        <w:t>288, subd.</w:t>
      </w:r>
      <w:r w:rsidR="007B7995">
        <w:t> </w:t>
      </w:r>
      <w:r w:rsidR="00493D6A">
        <w:t>(b)</w:t>
      </w:r>
      <w:r w:rsidR="00A374A1">
        <w:t>(1)</w:t>
      </w:r>
      <w:r w:rsidR="00493D6A">
        <w:t xml:space="preserve">). </w:t>
      </w:r>
      <w:r w:rsidR="007B7995">
        <w:t xml:space="preserve"> </w:t>
      </w:r>
      <w:r w:rsidR="00F04E5F">
        <w:t xml:space="preserve">Johnson </w:t>
      </w:r>
      <w:r w:rsidR="00702085">
        <w:t xml:space="preserve">admits </w:t>
      </w:r>
      <w:r w:rsidR="00F04E5F">
        <w:t xml:space="preserve">the sexual </w:t>
      </w:r>
      <w:r w:rsidR="00F04F0B">
        <w:t>conduct</w:t>
      </w:r>
      <w:r w:rsidR="00C3764A">
        <w:t xml:space="preserve"> </w:t>
      </w:r>
      <w:r w:rsidR="00F04E5F">
        <w:t>and concedes that substantial evidence supports his conviction</w:t>
      </w:r>
      <w:r w:rsidR="003C33C2">
        <w:t>s</w:t>
      </w:r>
      <w:r w:rsidR="00F04E5F">
        <w:t xml:space="preserve"> on the </w:t>
      </w:r>
      <w:r w:rsidR="00BD306D">
        <w:t>nine</w:t>
      </w:r>
      <w:r w:rsidR="008321B8">
        <w:t xml:space="preserve"> </w:t>
      </w:r>
      <w:r w:rsidR="00C3764A">
        <w:t xml:space="preserve">lesser </w:t>
      </w:r>
      <w:r w:rsidR="00F04E5F">
        <w:t>counts</w:t>
      </w:r>
      <w:r w:rsidR="00485DDC">
        <w:t>,</w:t>
      </w:r>
      <w:r w:rsidR="00A35905">
        <w:t xml:space="preserve"> </w:t>
      </w:r>
      <w:r w:rsidR="00C3764A">
        <w:t xml:space="preserve">but </w:t>
      </w:r>
      <w:r w:rsidR="005B0E85">
        <w:t xml:space="preserve">for the other </w:t>
      </w:r>
      <w:r w:rsidR="003F1254">
        <w:t xml:space="preserve">thirteen </w:t>
      </w:r>
      <w:r w:rsidR="005B0E85">
        <w:t xml:space="preserve">convictions </w:t>
      </w:r>
      <w:r w:rsidR="00F73601">
        <w:t xml:space="preserve">he argues the </w:t>
      </w:r>
      <w:r w:rsidR="00F5597A">
        <w:t xml:space="preserve">evidence </w:t>
      </w:r>
      <w:r w:rsidR="00F73601">
        <w:t xml:space="preserve">is </w:t>
      </w:r>
      <w:r w:rsidR="005B0E85">
        <w:t xml:space="preserve">insufficient </w:t>
      </w:r>
      <w:r w:rsidR="00294117">
        <w:t xml:space="preserve">to show </w:t>
      </w:r>
      <w:r w:rsidR="00F5597A">
        <w:t xml:space="preserve">he used force, fear, or duress to </w:t>
      </w:r>
      <w:r w:rsidR="00644EFE">
        <w:t xml:space="preserve">effect </w:t>
      </w:r>
      <w:r w:rsidR="000B540E">
        <w:t xml:space="preserve">the </w:t>
      </w:r>
      <w:r w:rsidR="003D228D">
        <w:t>abuse</w:t>
      </w:r>
      <w:r w:rsidR="00F73601">
        <w:t>.</w:t>
      </w:r>
      <w:r w:rsidR="00B23B32">
        <w:t xml:space="preserve"> </w:t>
      </w:r>
      <w:r w:rsidR="00D22C30">
        <w:t xml:space="preserve"> He also </w:t>
      </w:r>
      <w:r w:rsidR="00A423F6">
        <w:t>argue</w:t>
      </w:r>
      <w:r w:rsidR="00D22C30">
        <w:t xml:space="preserve">s that </w:t>
      </w:r>
      <w:r w:rsidR="00C93B65">
        <w:t xml:space="preserve">the court </w:t>
      </w:r>
      <w:r w:rsidRPr="00660479" w:rsidR="00C93B65">
        <w:t xml:space="preserve">abused its discretion </w:t>
      </w:r>
      <w:r w:rsidRPr="00660479" w:rsidR="002E7392">
        <w:t xml:space="preserve">and </w:t>
      </w:r>
      <w:r w:rsidRPr="00660479" w:rsidR="00E05F58">
        <w:t>deni</w:t>
      </w:r>
      <w:r w:rsidRPr="00660479" w:rsidR="00702085">
        <w:t xml:space="preserve">ed </w:t>
      </w:r>
      <w:r w:rsidRPr="00660479" w:rsidR="007C2113">
        <w:t xml:space="preserve">his </w:t>
      </w:r>
      <w:r w:rsidRPr="00660479" w:rsidR="002E7392">
        <w:t>right to confront witness</w:t>
      </w:r>
      <w:r w:rsidRPr="00660479" w:rsidR="0080250D">
        <w:t xml:space="preserve">es </w:t>
      </w:r>
      <w:r w:rsidRPr="00660479" w:rsidR="00C93B65">
        <w:t xml:space="preserve">by </w:t>
      </w:r>
      <w:r w:rsidRPr="00660479" w:rsidR="00A07783">
        <w:t>precluding questions about</w:t>
      </w:r>
      <w:r w:rsidR="00A07783">
        <w:t xml:space="preserve"> </w:t>
      </w:r>
      <w:r w:rsidRPr="00660479" w:rsidR="00C93B65">
        <w:t>p</w:t>
      </w:r>
      <w:r w:rsidRPr="00660479" w:rsidR="00951389">
        <w:t>ast</w:t>
      </w:r>
      <w:r w:rsidRPr="00660479" w:rsidR="00C93B65">
        <w:t xml:space="preserve"> sexual abuse</w:t>
      </w:r>
      <w:r w:rsidRPr="00660479" w:rsidR="00A07783">
        <w:t xml:space="preserve"> of </w:t>
      </w:r>
      <w:r w:rsidRPr="00660479" w:rsidR="00A423F6">
        <w:t>the victim</w:t>
      </w:r>
      <w:r w:rsidR="00725C9C">
        <w:t xml:space="preserve">; that his </w:t>
      </w:r>
      <w:r w:rsidR="00B45E49">
        <w:t>aggregate</w:t>
      </w:r>
      <w:r w:rsidR="00725C9C">
        <w:t xml:space="preserve"> sentence of 32</w:t>
      </w:r>
      <w:r w:rsidR="00B23B32">
        <w:t xml:space="preserve"> </w:t>
      </w:r>
      <w:r w:rsidR="00725C9C">
        <w:t xml:space="preserve">years plus </w:t>
      </w:r>
      <w:r w:rsidRPr="00660479" w:rsidR="00725C9C">
        <w:t xml:space="preserve">135 years to life is unconstitutionally </w:t>
      </w:r>
      <w:r w:rsidRPr="00660479" w:rsidR="00725C9C">
        <w:t xml:space="preserve">cruel </w:t>
      </w:r>
      <w:r w:rsidRPr="00660479" w:rsidR="00A07783">
        <w:t>and/</w:t>
      </w:r>
      <w:r w:rsidRPr="00660479" w:rsidR="002E6C6E">
        <w:t>or</w:t>
      </w:r>
      <w:r w:rsidRPr="00660479" w:rsidR="00725C9C">
        <w:t xml:space="preserve"> unusual; </w:t>
      </w:r>
      <w:r w:rsidRPr="00660479" w:rsidR="00E01BD1">
        <w:t xml:space="preserve">and that </w:t>
      </w:r>
      <w:r w:rsidRPr="00660479" w:rsidR="00116FFB">
        <w:t>the court</w:t>
      </w:r>
      <w:r w:rsidR="00116FFB">
        <w:t xml:space="preserve"> infringed his right to a jury trial</w:t>
      </w:r>
      <w:r w:rsidR="003C33C2">
        <w:t xml:space="preserve"> </w:t>
      </w:r>
      <w:r w:rsidR="00AC0487">
        <w:t xml:space="preserve">when, as </w:t>
      </w:r>
      <w:r w:rsidR="00335A75">
        <w:t>mandat</w:t>
      </w:r>
      <w:r w:rsidR="00AC0487">
        <w:t>ed by section 667.6, subdivision</w:t>
      </w:r>
      <w:r w:rsidR="00B23B32">
        <w:t> </w:t>
      </w:r>
      <w:r w:rsidR="00AC0487">
        <w:t>(d)</w:t>
      </w:r>
      <w:r w:rsidR="00433DB9">
        <w:t xml:space="preserve"> (section 667.6(d))</w:t>
      </w:r>
      <w:r w:rsidR="00AC0487">
        <w:t xml:space="preserve">, it imposed “full, separate, and consecutive” </w:t>
      </w:r>
      <w:r w:rsidR="00794706">
        <w:t>term</w:t>
      </w:r>
      <w:r w:rsidR="00AC0487">
        <w:t>s on all 22</w:t>
      </w:r>
      <w:r w:rsidR="00BF6530">
        <w:t xml:space="preserve"> </w:t>
      </w:r>
      <w:r w:rsidR="00AC0487">
        <w:t xml:space="preserve">counts </w:t>
      </w:r>
      <w:r w:rsidR="000E6024">
        <w:t xml:space="preserve">based on a fact </w:t>
      </w:r>
      <w:r w:rsidR="00F82CEE">
        <w:t xml:space="preserve">found </w:t>
      </w:r>
      <w:r w:rsidR="00B64B7E">
        <w:t xml:space="preserve">not by a jury but </w:t>
      </w:r>
      <w:r w:rsidR="000E6024">
        <w:t>by the judge</w:t>
      </w:r>
      <w:r w:rsidRPr="00660479" w:rsidR="00126951">
        <w:t xml:space="preserve">—namely, </w:t>
      </w:r>
      <w:r w:rsidRPr="00660479" w:rsidR="000E6024">
        <w:t xml:space="preserve">that </w:t>
      </w:r>
      <w:r w:rsidRPr="00660479" w:rsidR="004551C2">
        <w:t>he</w:t>
      </w:r>
      <w:r w:rsidRPr="00660479" w:rsidR="00951389">
        <w:t xml:space="preserve"> </w:t>
      </w:r>
      <w:r w:rsidRPr="00660479" w:rsidR="004551C2">
        <w:t xml:space="preserve">committed </w:t>
      </w:r>
      <w:r w:rsidRPr="00660479" w:rsidR="000E6024">
        <w:t xml:space="preserve">the </w:t>
      </w:r>
      <w:r w:rsidRPr="00660479" w:rsidR="00951389">
        <w:t>crim</w:t>
      </w:r>
      <w:r w:rsidRPr="00660479" w:rsidR="000E6024">
        <w:t>es on “separate occasions</w:t>
      </w:r>
      <w:r w:rsidRPr="00660479" w:rsidR="006831CF">
        <w:t>.</w:t>
      </w:r>
      <w:r w:rsidRPr="00660479" w:rsidR="002E6C6E">
        <w:t>”</w:t>
      </w:r>
      <w:r>
        <w:rPr>
          <w:rStyle w:val="FootnoteReference"/>
        </w:rPr>
        <w:footnoteReference w:id="5"/>
      </w:r>
    </w:p>
    <w:p w:rsidR="006831CF" w:rsidRPr="005F4059" w:rsidP="00663D95" w14:paraId="0C4EB80D" w14:textId="093C322D">
      <w:r w:rsidRPr="00E764B7">
        <w:t>We conclude that all of defendant’s contentions but the last lack merit.  On that issue, we hold that, insofar as section 667.6(d) required the court to make his sentences consecutive rather than concurrent based on a judicially found fact, it was consistent with controlling precedent.</w:t>
      </w:r>
      <w:r w:rsidRPr="00E764B7" w:rsidR="00E245CA">
        <w:t xml:space="preserve"> </w:t>
      </w:r>
      <w:r w:rsidRPr="00E764B7">
        <w:t xml:space="preserve"> (</w:t>
      </w:r>
      <w:r w:rsidRPr="00E764B7">
        <w:rPr>
          <w:i/>
          <w:iCs/>
        </w:rPr>
        <w:t>Oregon v. Ice</w:t>
      </w:r>
      <w:r w:rsidRPr="00E764B7">
        <w:t xml:space="preserve"> (2009) 555 U.S. 160 (</w:t>
      </w:r>
      <w:r w:rsidRPr="00E764B7">
        <w:rPr>
          <w:i/>
          <w:iCs/>
        </w:rPr>
        <w:t>Ice</w:t>
      </w:r>
      <w:r w:rsidRPr="00E764B7">
        <w:t>).)</w:t>
      </w:r>
      <w:r w:rsidR="00E245CA">
        <w:t xml:space="preserve"> </w:t>
      </w:r>
      <w:r w:rsidRPr="00660479" w:rsidR="002A4ED9">
        <w:t xml:space="preserve"> </w:t>
      </w:r>
      <w:r w:rsidRPr="00660479" w:rsidR="008C5CE3">
        <w:t>But insofar as section 667.6(d)</w:t>
      </w:r>
      <w:r w:rsidR="008C5CE3">
        <w:t xml:space="preserve"> mandated the imposition of “full” </w:t>
      </w:r>
      <w:r w:rsidR="007B22ED">
        <w:t>term</w:t>
      </w:r>
      <w:r w:rsidR="008C5CE3">
        <w:t xml:space="preserve">s on </w:t>
      </w:r>
      <w:r w:rsidR="000C6A45">
        <w:t>the</w:t>
      </w:r>
      <w:r w:rsidR="008C5CE3">
        <w:t xml:space="preserve"> second through fourth forcible</w:t>
      </w:r>
      <w:r w:rsidR="006F3FAE">
        <w:t xml:space="preserve"> </w:t>
      </w:r>
      <w:r w:rsidR="008C5CE3">
        <w:t>lewd</w:t>
      </w:r>
      <w:r w:rsidR="006F3FAE">
        <w:t xml:space="preserve"> </w:t>
      </w:r>
      <w:r w:rsidR="008C5CE3">
        <w:t>act</w:t>
      </w:r>
      <w:r w:rsidR="00D30BE9">
        <w:t xml:space="preserve"> c</w:t>
      </w:r>
      <w:r w:rsidR="00463502">
        <w:t>ount</w:t>
      </w:r>
      <w:r w:rsidR="00D30BE9">
        <w:t xml:space="preserve">s, </w:t>
      </w:r>
      <w:r w:rsidR="00124480">
        <w:t>on which</w:t>
      </w:r>
      <w:r w:rsidR="000C6A45">
        <w:t xml:space="preserve"> the </w:t>
      </w:r>
      <w:r w:rsidR="00CD2DE1">
        <w:t>court</w:t>
      </w:r>
      <w:r w:rsidR="00124480">
        <w:t xml:space="preserve"> would otherwise have had</w:t>
      </w:r>
      <w:r w:rsidR="000C6A45">
        <w:t xml:space="preserve"> discretion to </w:t>
      </w:r>
      <w:r w:rsidR="00994A38">
        <w:t xml:space="preserve">impose </w:t>
      </w:r>
      <w:r w:rsidR="00B94FDB">
        <w:t xml:space="preserve">either </w:t>
      </w:r>
      <w:r w:rsidR="009D1FED">
        <w:t xml:space="preserve">a </w:t>
      </w:r>
      <w:r w:rsidR="00994A38">
        <w:t xml:space="preserve">full </w:t>
      </w:r>
      <w:r w:rsidR="007B22ED">
        <w:t>term</w:t>
      </w:r>
      <w:r w:rsidR="00994A38">
        <w:t xml:space="preserve"> </w:t>
      </w:r>
      <w:r w:rsidR="0013698A">
        <w:t>(§ 667.6, subd.</w:t>
      </w:r>
      <w:r w:rsidR="00455F11">
        <w:t> </w:t>
      </w:r>
      <w:r w:rsidR="0013698A">
        <w:t xml:space="preserve">(c)) </w:t>
      </w:r>
      <w:r w:rsidR="00994A38">
        <w:t xml:space="preserve">or </w:t>
      </w:r>
      <w:r w:rsidR="009D1FED">
        <w:t xml:space="preserve">a </w:t>
      </w:r>
      <w:r w:rsidR="007B22ED">
        <w:t>term</w:t>
      </w:r>
      <w:r w:rsidR="00994A38">
        <w:t xml:space="preserve"> equal to one-third the middle term</w:t>
      </w:r>
      <w:r w:rsidR="0013698A">
        <w:t xml:space="preserve"> (§ 1170.1, subd.</w:t>
      </w:r>
      <w:r w:rsidRPr="00660479" w:rsidR="002A4ED9">
        <w:t> </w:t>
      </w:r>
      <w:r w:rsidR="0013698A">
        <w:t>(</w:t>
      </w:r>
      <w:r w:rsidR="000E7F4B">
        <w:t>a</w:t>
      </w:r>
      <w:r w:rsidR="0013698A">
        <w:t>))</w:t>
      </w:r>
      <w:r w:rsidR="00994A38">
        <w:t xml:space="preserve">, </w:t>
      </w:r>
      <w:r w:rsidR="000E7F4B">
        <w:t xml:space="preserve">the statute </w:t>
      </w:r>
      <w:r w:rsidR="000219D8">
        <w:t>increas</w:t>
      </w:r>
      <w:r w:rsidR="0053367E">
        <w:t>ed</w:t>
      </w:r>
      <w:r w:rsidR="000219D8">
        <w:t xml:space="preserve"> the mandatory minimum sentence for th</w:t>
      </w:r>
      <w:r w:rsidR="00700363">
        <w:t>os</w:t>
      </w:r>
      <w:r w:rsidR="000219D8">
        <w:t xml:space="preserve">e </w:t>
      </w:r>
      <w:r w:rsidR="00700363">
        <w:t>discrete crim</w:t>
      </w:r>
      <w:r w:rsidR="000219D8">
        <w:t xml:space="preserve">es based on </w:t>
      </w:r>
      <w:r w:rsidR="007E1080">
        <w:t>jud</w:t>
      </w:r>
      <w:r w:rsidR="00F016D7">
        <w:t xml:space="preserve">icial </w:t>
      </w:r>
      <w:r w:rsidR="000219D8">
        <w:t>fact</w:t>
      </w:r>
      <w:r w:rsidR="00F016D7">
        <w:t>finding</w:t>
      </w:r>
      <w:r w:rsidR="005942BA">
        <w:t xml:space="preserve">. </w:t>
      </w:r>
      <w:r w:rsidRPr="00660479" w:rsidR="002A4ED9">
        <w:t xml:space="preserve"> </w:t>
      </w:r>
      <w:r w:rsidR="005942BA">
        <w:t>No</w:t>
      </w:r>
      <w:r w:rsidR="00006A18">
        <w:t xml:space="preserve"> </w:t>
      </w:r>
      <w:r w:rsidR="005942BA">
        <w:t xml:space="preserve">published decision </w:t>
      </w:r>
      <w:r w:rsidRPr="00660479" w:rsidR="005942BA">
        <w:t>addresse</w:t>
      </w:r>
      <w:r w:rsidRPr="00660479" w:rsidR="00326AC3">
        <w:t>s</w:t>
      </w:r>
      <w:r w:rsidRPr="00660479" w:rsidR="005942BA">
        <w:t xml:space="preserve"> the constitutionality of that aspect of </w:t>
      </w:r>
      <w:r w:rsidRPr="00660479" w:rsidR="00731C8A">
        <w:t>section 667.6(d)</w:t>
      </w:r>
      <w:r w:rsidRPr="00660479" w:rsidR="000E7F4B">
        <w:t>.  W</w:t>
      </w:r>
      <w:r w:rsidRPr="00660479" w:rsidR="00731C8A">
        <w:t xml:space="preserve">e conclude </w:t>
      </w:r>
      <w:r w:rsidRPr="00660479" w:rsidR="00FE5EAA">
        <w:t xml:space="preserve">that </w:t>
      </w:r>
      <w:r w:rsidRPr="00660479" w:rsidR="00731C8A">
        <w:t xml:space="preserve">it violates </w:t>
      </w:r>
      <w:r w:rsidRPr="00660479" w:rsidR="005F4059">
        <w:t>the Sixth Amendment as construed in</w:t>
      </w:r>
      <w:r w:rsidRPr="00660479" w:rsidR="00B86239">
        <w:t xml:space="preserve"> </w:t>
      </w:r>
      <w:r w:rsidRPr="007E1080" w:rsidR="00DD71F7">
        <w:rPr>
          <w:i/>
          <w:iCs/>
        </w:rPr>
        <w:t>Alleyne v. United States</w:t>
      </w:r>
      <w:r w:rsidRPr="005F4059" w:rsidR="00DD71F7">
        <w:t xml:space="preserve"> (2013) 570</w:t>
      </w:r>
      <w:r w:rsidR="00006A18">
        <w:t> </w:t>
      </w:r>
      <w:r w:rsidRPr="005F4059" w:rsidR="00DD71F7">
        <w:t>U.S. 99</w:t>
      </w:r>
      <w:r w:rsidR="00DD71F7">
        <w:t xml:space="preserve"> </w:t>
      </w:r>
      <w:r w:rsidRPr="00660479" w:rsidR="00DD71F7">
        <w:t>(</w:t>
      </w:r>
      <w:r w:rsidRPr="00660479" w:rsidR="00DD71F7">
        <w:rPr>
          <w:i/>
        </w:rPr>
        <w:t>Alleyne</w:t>
      </w:r>
      <w:r w:rsidRPr="00660479" w:rsidR="00DD71F7">
        <w:t>)</w:t>
      </w:r>
      <w:r w:rsidRPr="00660479" w:rsidR="005F4059">
        <w:t>.</w:t>
      </w:r>
      <w:r w:rsidR="005F4059">
        <w:t xml:space="preserve"> </w:t>
      </w:r>
      <w:r w:rsidRPr="00660479" w:rsidR="005F4059">
        <w:t xml:space="preserve"> </w:t>
      </w:r>
      <w:r w:rsidR="00522124">
        <w:t>We further conclude that the error was not harmless.</w:t>
      </w:r>
    </w:p>
    <w:p w:rsidR="000B540E" w:rsidRPr="00E06FC7" w:rsidP="00663D95" w14:paraId="7BE1243E" w14:textId="0C9DF157">
      <w:r>
        <w:t xml:space="preserve">We </w:t>
      </w:r>
      <w:r w:rsidR="001256D6">
        <w:t xml:space="preserve">will </w:t>
      </w:r>
      <w:r w:rsidR="00F26ACC">
        <w:t xml:space="preserve">therefore </w:t>
      </w:r>
      <w:r>
        <w:t xml:space="preserve">affirm </w:t>
      </w:r>
      <w:r w:rsidR="00086BD5">
        <w:t>defendant’s</w:t>
      </w:r>
      <w:r w:rsidR="00A94F11">
        <w:t xml:space="preserve"> convictions on all counts</w:t>
      </w:r>
      <w:r w:rsidR="00E437E3">
        <w:t>;</w:t>
      </w:r>
      <w:r w:rsidR="00A94F11">
        <w:t xml:space="preserve"> affirm his sentences on the </w:t>
      </w:r>
      <w:r w:rsidR="00693CDE">
        <w:t>eighteen</w:t>
      </w:r>
      <w:r w:rsidR="00863F53">
        <w:t xml:space="preserve"> counts other than forcible lewd acts</w:t>
      </w:r>
      <w:r w:rsidRPr="00BD58F9" w:rsidR="00E437E3">
        <w:t xml:space="preserve">; but remand </w:t>
      </w:r>
      <w:r w:rsidRPr="00BD58F9" w:rsidR="005C0EC1">
        <w:t>for the court to exercise</w:t>
      </w:r>
      <w:r w:rsidR="005C0EC1">
        <w:t xml:space="preserve"> </w:t>
      </w:r>
      <w:r w:rsidR="00F11208">
        <w:t xml:space="preserve">its </w:t>
      </w:r>
      <w:r w:rsidR="005C0EC1">
        <w:t xml:space="preserve">discretion to resentence </w:t>
      </w:r>
      <w:r w:rsidR="00567AB9">
        <w:t>defendant</w:t>
      </w:r>
      <w:r w:rsidR="005C0EC1">
        <w:t xml:space="preserve"> on </w:t>
      </w:r>
      <w:r w:rsidR="00F11208">
        <w:t>th</w:t>
      </w:r>
      <w:r w:rsidR="00443480">
        <w:t>e</w:t>
      </w:r>
      <w:r w:rsidR="00F11208">
        <w:t xml:space="preserve"> </w:t>
      </w:r>
      <w:r w:rsidR="0098070A">
        <w:t>four</w:t>
      </w:r>
      <w:r w:rsidR="00567AB9">
        <w:t xml:space="preserve"> </w:t>
      </w:r>
      <w:r w:rsidR="00443480">
        <w:t>lewd acts</w:t>
      </w:r>
      <w:r w:rsidR="00A546CF">
        <w:t xml:space="preserve"> </w:t>
      </w:r>
      <w:r w:rsidR="00C95F4C">
        <w:t>counts</w:t>
      </w:r>
      <w:r w:rsidR="001256D6">
        <w:t>.</w:t>
      </w:r>
    </w:p>
    <w:p w:rsidR="00D92215" w:rsidRPr="00FC6809" w:rsidP="00394626" w14:paraId="1E76CC8A" w14:textId="3AB22361">
      <w:pPr>
        <w:pStyle w:val="Heading1"/>
        <w:numPr>
          <w:ilvl w:val="0"/>
          <w:numId w:val="17"/>
        </w:numPr>
      </w:pPr>
      <w:r w:rsidRPr="00FC6809">
        <w:t>BACKGROUND</w:t>
      </w:r>
    </w:p>
    <w:p w:rsidR="00D969A5" w:rsidRPr="00300163" w:rsidP="00EF7911" w14:paraId="64B5F641" w14:textId="40CE60E7">
      <w:pPr>
        <w:pStyle w:val="Heading2"/>
        <w:numPr>
          <w:ilvl w:val="0"/>
          <w:numId w:val="22"/>
        </w:numPr>
      </w:pPr>
      <w:r w:rsidRPr="00300163">
        <w:t xml:space="preserve">Facts </w:t>
      </w:r>
      <w:r w:rsidRPr="00300163" w:rsidR="00711261">
        <w:t>Relevant to the Sixth Amendment Challenge</w:t>
      </w:r>
    </w:p>
    <w:p w:rsidR="00DE4E38" w:rsidP="00820CB5" w14:paraId="2B4AB2EE" w14:textId="19AB255D">
      <w:r>
        <w:t>In 2015, d</w:t>
      </w:r>
      <w:r w:rsidR="000D6310">
        <w:t>efendant and his former wife Sheree</w:t>
      </w:r>
      <w:r>
        <w:rPr>
          <w:rStyle w:val="FootnoteReference"/>
        </w:rPr>
        <w:footnoteReference w:id="6"/>
      </w:r>
      <w:r w:rsidR="000D6310">
        <w:t xml:space="preserve"> </w:t>
      </w:r>
      <w:r w:rsidR="00682BC7">
        <w:t xml:space="preserve">took custody </w:t>
      </w:r>
      <w:r>
        <w:t xml:space="preserve">as foster </w:t>
      </w:r>
      <w:r w:rsidR="008D7015">
        <w:t>parent</w:t>
      </w:r>
      <w:r>
        <w:t xml:space="preserve">s </w:t>
      </w:r>
      <w:r w:rsidR="00682BC7">
        <w:t xml:space="preserve">of </w:t>
      </w:r>
      <w:r w:rsidR="00904E33">
        <w:t>Jane</w:t>
      </w:r>
      <w:r w:rsidR="00904C49">
        <w:t xml:space="preserve"> </w:t>
      </w:r>
      <w:r w:rsidR="003D32FC">
        <w:t xml:space="preserve">Doe </w:t>
      </w:r>
      <w:r w:rsidR="00904C49">
        <w:t xml:space="preserve">and </w:t>
      </w:r>
      <w:r w:rsidR="008D7015">
        <w:t>her</w:t>
      </w:r>
      <w:r w:rsidR="00904C49">
        <w:t xml:space="preserve"> younger brother, </w:t>
      </w:r>
      <w:r w:rsidR="002A08FE">
        <w:t xml:space="preserve">who are </w:t>
      </w:r>
      <w:r w:rsidR="003E6271">
        <w:t xml:space="preserve">the children of </w:t>
      </w:r>
      <w:r w:rsidR="002F5F61">
        <w:t>Sheree’s</w:t>
      </w:r>
      <w:r w:rsidR="00682BC7">
        <w:t xml:space="preserve"> sister</w:t>
      </w:r>
      <w:r w:rsidR="00904C49">
        <w:t>.</w:t>
      </w:r>
      <w:r w:rsidR="003E6271">
        <w:t xml:space="preserve"> </w:t>
      </w:r>
      <w:r w:rsidR="00682BC7">
        <w:t xml:space="preserve"> </w:t>
      </w:r>
      <w:r w:rsidR="00FB64E4">
        <w:t>I</w:t>
      </w:r>
      <w:r w:rsidR="00682BC7">
        <w:t xml:space="preserve">n </w:t>
      </w:r>
      <w:r>
        <w:t xml:space="preserve">September </w:t>
      </w:r>
      <w:r w:rsidR="00FB64E4">
        <w:t xml:space="preserve">2018, </w:t>
      </w:r>
      <w:r w:rsidR="0023576A">
        <w:t>just</w:t>
      </w:r>
      <w:r w:rsidR="006B698D">
        <w:t xml:space="preserve"> before </w:t>
      </w:r>
      <w:r w:rsidR="00904E33">
        <w:t>Jane</w:t>
      </w:r>
      <w:r w:rsidR="006B698D">
        <w:t xml:space="preserve"> turned eight, </w:t>
      </w:r>
      <w:r w:rsidR="000F29C8">
        <w:t xml:space="preserve">defendant and Sheree </w:t>
      </w:r>
      <w:r w:rsidR="00FB64E4">
        <w:t xml:space="preserve">adopted </w:t>
      </w:r>
      <w:r w:rsidR="000F29C8">
        <w:t>her</w:t>
      </w:r>
      <w:r w:rsidR="000533E7">
        <w:t>.</w:t>
      </w:r>
    </w:p>
    <w:p w:rsidR="003C3B6E" w:rsidP="008F17C6" w14:paraId="4F4BEB20" w14:textId="7566CD48">
      <w:r>
        <w:t>D</w:t>
      </w:r>
      <w:r w:rsidR="00F744C6">
        <w:t xml:space="preserve">efendant </w:t>
      </w:r>
      <w:r w:rsidR="00D97B5C">
        <w:t>started</w:t>
      </w:r>
      <w:r w:rsidR="00F96ED6">
        <w:t xml:space="preserve"> </w:t>
      </w:r>
      <w:r w:rsidR="00797DB1">
        <w:t>sexually abus</w:t>
      </w:r>
      <w:r w:rsidR="00F96ED6">
        <w:t>ing</w:t>
      </w:r>
      <w:r w:rsidR="00797DB1">
        <w:t xml:space="preserve"> </w:t>
      </w:r>
      <w:r w:rsidR="00904E33">
        <w:t>Jane</w:t>
      </w:r>
      <w:r w:rsidR="00797DB1">
        <w:t xml:space="preserve"> in </w:t>
      </w:r>
      <w:r w:rsidR="009C78A7">
        <w:t xml:space="preserve">late 2018 or </w:t>
      </w:r>
      <w:r w:rsidR="00797DB1">
        <w:t>early 2019.</w:t>
      </w:r>
      <w:r w:rsidR="00B018BF">
        <w:t xml:space="preserve"> </w:t>
      </w:r>
      <w:r w:rsidRPr="00140EA6" w:rsidR="00140EA6">
        <w:t xml:space="preserve"> </w:t>
      </w:r>
      <w:r w:rsidR="00140EA6">
        <w:t>He began with cuddling and playful touch</w:t>
      </w:r>
      <w:r w:rsidR="00083F99">
        <w:t>ing</w:t>
      </w:r>
      <w:r w:rsidR="00140EA6">
        <w:t xml:space="preserve">, </w:t>
      </w:r>
      <w:r w:rsidR="00757DBF">
        <w:t xml:space="preserve">such as </w:t>
      </w:r>
      <w:r w:rsidR="00140EA6">
        <w:t>tickling</w:t>
      </w:r>
      <w:r w:rsidR="00880D1D">
        <w:t xml:space="preserve"> on the sofa</w:t>
      </w:r>
      <w:r w:rsidR="003D4A2D">
        <w:t>,</w:t>
      </w:r>
      <w:r w:rsidR="00C80172">
        <w:t xml:space="preserve"> progressed to </w:t>
      </w:r>
      <w:r w:rsidR="00140EA6">
        <w:t xml:space="preserve">tickling </w:t>
      </w:r>
      <w:r w:rsidR="003D4A2D">
        <w:t>her</w:t>
      </w:r>
      <w:r w:rsidR="00140EA6">
        <w:t xml:space="preserve"> vagina</w:t>
      </w:r>
      <w:r w:rsidR="003D4A2D">
        <w:t>,</w:t>
      </w:r>
      <w:r w:rsidR="00C80172">
        <w:t xml:space="preserve"> and </w:t>
      </w:r>
      <w:r w:rsidR="00880D1D">
        <w:t xml:space="preserve">eventually </w:t>
      </w:r>
      <w:r w:rsidR="006E19E5">
        <w:t>engag</w:t>
      </w:r>
      <w:r w:rsidR="00E408D0">
        <w:t>ed</w:t>
      </w:r>
      <w:r w:rsidR="006E19E5">
        <w:t xml:space="preserve"> in </w:t>
      </w:r>
      <w:r w:rsidR="000626F1">
        <w:t>several forms of</w:t>
      </w:r>
      <w:r w:rsidR="00140EA6">
        <w:t xml:space="preserve"> copulation</w:t>
      </w:r>
      <w:r w:rsidR="00897736">
        <w:t>.</w:t>
      </w:r>
      <w:r w:rsidR="00140EA6">
        <w:t xml:space="preserve"> </w:t>
      </w:r>
      <w:r w:rsidR="009B0308">
        <w:t xml:space="preserve"> </w:t>
      </w:r>
      <w:r w:rsidR="001F229B">
        <w:t xml:space="preserve">(He later </w:t>
      </w:r>
      <w:r w:rsidR="002E54E4">
        <w:t xml:space="preserve">made a comment </w:t>
      </w:r>
      <w:r w:rsidR="001F229B">
        <w:t>suggest</w:t>
      </w:r>
      <w:r w:rsidR="002E54E4">
        <w:t>ing</w:t>
      </w:r>
      <w:r w:rsidR="001F229B">
        <w:t xml:space="preserve"> </w:t>
      </w:r>
      <w:r w:rsidR="00086BD5">
        <w:t xml:space="preserve">that </w:t>
      </w:r>
      <w:r w:rsidR="001F229B">
        <w:t xml:space="preserve">he waited to begin abusing Jane until the adoption was finalized, to avoid discovery in adoption-related inspections.)  </w:t>
      </w:r>
      <w:r w:rsidR="00897736">
        <w:t xml:space="preserve">In all, defendant admitted </w:t>
      </w:r>
      <w:r w:rsidR="001C75B0">
        <w:t>that he</w:t>
      </w:r>
      <w:r w:rsidR="007A04E8">
        <w:t xml:space="preserve"> </w:t>
      </w:r>
      <w:r w:rsidR="00AB01B6">
        <w:t xml:space="preserve">licked </w:t>
      </w:r>
      <w:r w:rsidR="00904E33">
        <w:t>Jane</w:t>
      </w:r>
      <w:r w:rsidR="00AB01B6">
        <w:t>’s vagina approximately two dozen times</w:t>
      </w:r>
      <w:r w:rsidR="00EA06DC">
        <w:t>;</w:t>
      </w:r>
      <w:r w:rsidR="00AB01B6">
        <w:t xml:space="preserve"> had </w:t>
      </w:r>
      <w:r w:rsidR="00FF54C8">
        <w:t xml:space="preserve">her </w:t>
      </w:r>
      <w:r w:rsidR="00676D83">
        <w:t xml:space="preserve">lick his penis </w:t>
      </w:r>
      <w:r w:rsidR="00FF54C8">
        <w:t xml:space="preserve">or put it in her mouth </w:t>
      </w:r>
      <w:r w:rsidR="00A04969">
        <w:t>as many as a dozen times</w:t>
      </w:r>
      <w:r w:rsidR="00EA06DC">
        <w:t xml:space="preserve">; </w:t>
      </w:r>
      <w:r w:rsidR="00F720E0">
        <w:t xml:space="preserve">engaged in </w:t>
      </w:r>
      <w:r w:rsidR="00EA06DC">
        <w:t>mutual oral copulat</w:t>
      </w:r>
      <w:r w:rsidR="00F720E0">
        <w:t>ion</w:t>
      </w:r>
      <w:r w:rsidR="00EA06DC">
        <w:t xml:space="preserve"> </w:t>
      </w:r>
      <w:r w:rsidR="001C558F">
        <w:t>a few times;</w:t>
      </w:r>
      <w:r w:rsidR="00A04969">
        <w:t xml:space="preserve"> </w:t>
      </w:r>
      <w:r w:rsidR="00F50E4A">
        <w:t xml:space="preserve">and </w:t>
      </w:r>
      <w:r w:rsidR="001C558F">
        <w:t xml:space="preserve">tried </w:t>
      </w:r>
      <w:r w:rsidR="00F50E4A">
        <w:t>to penetrate her vagina twice with his finger and twice with his penis, stopp</w:t>
      </w:r>
      <w:r w:rsidR="001C75B0">
        <w:t>ing</w:t>
      </w:r>
      <w:r w:rsidR="00F50E4A">
        <w:t xml:space="preserve"> because </w:t>
      </w:r>
      <w:r w:rsidR="00D602B5">
        <w:t>the penetration hurt her.</w:t>
      </w:r>
      <w:r w:rsidR="009B0308">
        <w:t xml:space="preserve"> </w:t>
      </w:r>
      <w:r w:rsidR="00D602B5">
        <w:t xml:space="preserve"> </w:t>
      </w:r>
      <w:r w:rsidR="00D83C14">
        <w:t xml:space="preserve">He </w:t>
      </w:r>
      <w:r w:rsidR="000626F1">
        <w:t>abuse</w:t>
      </w:r>
      <w:r w:rsidR="0029215C">
        <w:t>d</w:t>
      </w:r>
      <w:r w:rsidR="000626F1">
        <w:t xml:space="preserve"> </w:t>
      </w:r>
      <w:r w:rsidR="0029215C">
        <w:t xml:space="preserve">Jane </w:t>
      </w:r>
      <w:r w:rsidR="009A46A0">
        <w:t xml:space="preserve">in the </w:t>
      </w:r>
      <w:r w:rsidRPr="007C2880" w:rsidR="0043542C">
        <w:t xml:space="preserve">early </w:t>
      </w:r>
      <w:r w:rsidRPr="007C2880" w:rsidR="009A46A0">
        <w:t xml:space="preserve">morning </w:t>
      </w:r>
      <w:r w:rsidRPr="007C2880" w:rsidR="0043542C">
        <w:t>while</w:t>
      </w:r>
      <w:r w:rsidRPr="007C2880" w:rsidR="009A46A0">
        <w:t xml:space="preserve"> Sheree </w:t>
      </w:r>
      <w:r w:rsidRPr="007C2880" w:rsidR="0043542C">
        <w:t xml:space="preserve">was at </w:t>
      </w:r>
      <w:r w:rsidRPr="007C2880" w:rsidR="00977C30">
        <w:t xml:space="preserve">the </w:t>
      </w:r>
      <w:r w:rsidRPr="007C2880" w:rsidR="009A46A0">
        <w:t>gym.</w:t>
      </w:r>
    </w:p>
    <w:p w:rsidR="00E97162" w:rsidP="00C2466F" w14:paraId="1B1090B9" w14:textId="6FAABDEF">
      <w:r>
        <w:t xml:space="preserve">The abuse ended one morning </w:t>
      </w:r>
      <w:r w:rsidR="001016A9">
        <w:t xml:space="preserve">in October 2019 when Sheree came home </w:t>
      </w:r>
      <w:r w:rsidRPr="007C2880" w:rsidR="001016A9">
        <w:t xml:space="preserve">early </w:t>
      </w:r>
      <w:r w:rsidRPr="007C2880" w:rsidR="0078470B">
        <w:t xml:space="preserve">from the gym </w:t>
      </w:r>
      <w:r w:rsidRPr="007C2880" w:rsidR="001016A9">
        <w:t xml:space="preserve">and </w:t>
      </w:r>
      <w:r w:rsidRPr="007C2880" w:rsidR="0078470B">
        <w:t>found</w:t>
      </w:r>
      <w:r w:rsidRPr="007C2880" w:rsidR="001016A9">
        <w:t xml:space="preserve"> defendant and </w:t>
      </w:r>
      <w:r w:rsidRPr="007C2880" w:rsidR="00904E33">
        <w:t>Jane</w:t>
      </w:r>
      <w:r w:rsidRPr="007C2880" w:rsidR="001016A9">
        <w:t xml:space="preserve">, who was naked, </w:t>
      </w:r>
      <w:r w:rsidRPr="007C2880" w:rsidR="0078470B">
        <w:t xml:space="preserve">together </w:t>
      </w:r>
      <w:r w:rsidRPr="007C2880" w:rsidR="001016A9">
        <w:t>in</w:t>
      </w:r>
      <w:r w:rsidR="001016A9">
        <w:t xml:space="preserve"> bed.</w:t>
      </w:r>
      <w:r w:rsidR="00B93238">
        <w:t xml:space="preserve"> </w:t>
      </w:r>
      <w:r w:rsidR="006A259D">
        <w:t xml:space="preserve"> </w:t>
      </w:r>
      <w:r w:rsidR="005B0355">
        <w:t xml:space="preserve">Sheree </w:t>
      </w:r>
      <w:r w:rsidR="00303EF0">
        <w:t>ordere</w:t>
      </w:r>
      <w:r w:rsidR="004B63D5">
        <w:t xml:space="preserve">d </w:t>
      </w:r>
      <w:r w:rsidR="005B0355">
        <w:t xml:space="preserve">defendant </w:t>
      </w:r>
      <w:r w:rsidR="00840FAE">
        <w:t xml:space="preserve">to </w:t>
      </w:r>
      <w:r w:rsidR="004B63D5">
        <w:t>leave</w:t>
      </w:r>
      <w:r w:rsidRPr="007C2880" w:rsidR="001E7D9D">
        <w:t>.</w:t>
      </w:r>
      <w:r w:rsidRPr="007C2880" w:rsidR="006D55F4">
        <w:t xml:space="preserve"> </w:t>
      </w:r>
      <w:r w:rsidR="007E6873">
        <w:t xml:space="preserve"> </w:t>
      </w:r>
      <w:r w:rsidR="00FE2FCC">
        <w:t xml:space="preserve">She </w:t>
      </w:r>
      <w:r w:rsidR="001E7D9D">
        <w:t xml:space="preserve">then </w:t>
      </w:r>
      <w:r>
        <w:t xml:space="preserve">spoke with Jane, who was </w:t>
      </w:r>
      <w:r w:rsidR="0071612C">
        <w:t>scared</w:t>
      </w:r>
      <w:r>
        <w:t xml:space="preserve"> and embarrassed</w:t>
      </w:r>
      <w:r w:rsidR="00FE2FCC">
        <w:t xml:space="preserve"> but eventually </w:t>
      </w:r>
      <w:r w:rsidR="00227A4D">
        <w:t>told Sheree</w:t>
      </w:r>
      <w:r w:rsidR="00C05F53">
        <w:t xml:space="preserve"> </w:t>
      </w:r>
      <w:r w:rsidR="00953889">
        <w:t>that</w:t>
      </w:r>
      <w:r w:rsidR="00FE2FCC">
        <w:t xml:space="preserve"> </w:t>
      </w:r>
      <w:r w:rsidR="00953889">
        <w:t>“when you’re at the gym, he licks my vagina.”</w:t>
      </w:r>
    </w:p>
    <w:p w:rsidR="0069532D" w:rsidP="0EB9C4C2" w14:paraId="35D322B5" w14:textId="610EA013">
      <w:pPr>
        <w:rPr>
          <w:rFonts w:eastAsia="Century Schoolbook" w:cs="Century Schoolbook"/>
        </w:rPr>
      </w:pPr>
      <w:r>
        <w:t>Defendant was eventually charged with nine counts of aggravated sexual assault of a child via forcible oral copulation (§§ 269, subd. (a)(4), 287, subd. (c)(2)(B)), nine parallel counts of sexual acts on a child (§ 288.7, subd. (b)), and four counts of forcible lewd acts on a child (§ 288, subd. (b)) with special allegations that those four counts involved substantial sexual cond</w:t>
      </w:r>
      <w:r w:rsidRPr="008F1F4F">
        <w:rPr>
          <w:rFonts w:eastAsia="Century Schoolbook" w:cs="Century Schoolbook"/>
        </w:rPr>
        <w:t>uct (§ 1203.066, subd. (a)(8)).</w:t>
      </w:r>
    </w:p>
    <w:p w:rsidR="00F76131" w:rsidRPr="000D2313" w:rsidP="000D2313" w14:paraId="66177280" w14:textId="73F9A572">
      <w:pPr>
        <w:pStyle w:val="Heading2"/>
        <w:numPr>
          <w:ilvl w:val="0"/>
          <w:numId w:val="22"/>
        </w:numPr>
      </w:pPr>
      <w:r w:rsidRPr="000D2313">
        <w:t>Facts Relevant to Other Issues</w:t>
      </w:r>
    </w:p>
    <w:p w:rsidR="00C2466F" w:rsidP="00C2466F" w14:paraId="1774B2B3" w14:textId="76F4610B">
      <w:r>
        <w:t xml:space="preserve">On the day she discovered the abuse, </w:t>
      </w:r>
      <w:r w:rsidR="00C05F53">
        <w:t xml:space="preserve">Sheree </w:t>
      </w:r>
      <w:r w:rsidR="00E46224">
        <w:t>asked</w:t>
      </w:r>
      <w:r w:rsidR="00B84084">
        <w:t xml:space="preserve"> </w:t>
      </w:r>
      <w:r w:rsidR="00C05F53">
        <w:t xml:space="preserve">defendant </w:t>
      </w:r>
      <w:r w:rsidR="00B84084">
        <w:t xml:space="preserve">to </w:t>
      </w:r>
      <w:r w:rsidR="00227E47">
        <w:t xml:space="preserve">stay </w:t>
      </w:r>
      <w:r w:rsidR="00705BD5">
        <w:t xml:space="preserve">at </w:t>
      </w:r>
      <w:r w:rsidR="00667AC5">
        <w:t xml:space="preserve">his </w:t>
      </w:r>
      <w:r w:rsidRPr="00DF19EA" w:rsidR="00667AC5">
        <w:t>parents’</w:t>
      </w:r>
      <w:r w:rsidR="00667AC5">
        <w:t xml:space="preserve"> </w:t>
      </w:r>
      <w:r w:rsidRPr="00DF19EA" w:rsidR="000F6831">
        <w:t>home</w:t>
      </w:r>
      <w:r w:rsidRPr="00DF19EA" w:rsidR="00445CC2">
        <w:t>.</w:t>
      </w:r>
      <w:r w:rsidRPr="00DF19EA" w:rsidR="00B93238">
        <w:t xml:space="preserve"> </w:t>
      </w:r>
      <w:r w:rsidR="00705BD5">
        <w:t xml:space="preserve"> </w:t>
      </w:r>
      <w:r w:rsidR="00445CC2">
        <w:t xml:space="preserve">Later that day, </w:t>
      </w:r>
      <w:r w:rsidR="005C2EF9">
        <w:t>sh</w:t>
      </w:r>
      <w:r w:rsidR="00445CC2">
        <w:t xml:space="preserve">e </w:t>
      </w:r>
      <w:r w:rsidRPr="00DF19EA" w:rsidR="00445CC2">
        <w:t xml:space="preserve">told </w:t>
      </w:r>
      <w:r w:rsidRPr="00DF19EA" w:rsidR="00E207F0">
        <w:t xml:space="preserve">defendant’s parents </w:t>
      </w:r>
      <w:r w:rsidRPr="00DF19EA" w:rsidR="00445CC2">
        <w:t>what she had learned.</w:t>
      </w:r>
      <w:r w:rsidR="00445CC2">
        <w:t xml:space="preserve"> </w:t>
      </w:r>
      <w:r w:rsidR="00B93238">
        <w:t xml:space="preserve"> </w:t>
      </w:r>
      <w:r w:rsidR="0043746F">
        <w:t>At trial</w:t>
      </w:r>
      <w:r w:rsidR="00784102">
        <w:t xml:space="preserve">, </w:t>
      </w:r>
      <w:r>
        <w:t>Sheree</w:t>
      </w:r>
      <w:r w:rsidR="00784102">
        <w:t xml:space="preserve"> recounted </w:t>
      </w:r>
      <w:r>
        <w:t xml:space="preserve">part of </w:t>
      </w:r>
      <w:r w:rsidR="000F6831">
        <w:t>th</w:t>
      </w:r>
      <w:r w:rsidR="00C92081">
        <w:t>e</w:t>
      </w:r>
      <w:r w:rsidR="00122E81">
        <w:t xml:space="preserve"> </w:t>
      </w:r>
      <w:r>
        <w:t xml:space="preserve">conversation </w:t>
      </w:r>
      <w:r w:rsidR="000F6831">
        <w:t>as follows</w:t>
      </w:r>
      <w:r w:rsidR="002F2886">
        <w:t xml:space="preserve">: </w:t>
      </w:r>
      <w:r w:rsidR="00B93238">
        <w:t xml:space="preserve"> </w:t>
      </w:r>
      <w:r>
        <w:t>“</w:t>
      </w:r>
      <w:r w:rsidRPr="00C2466F">
        <w:t xml:space="preserve">They did ask, </w:t>
      </w:r>
      <w:r w:rsidR="00166E9E">
        <w:t>. . .</w:t>
      </w:r>
      <w:r w:rsidR="00F20D63">
        <w:t> </w:t>
      </w:r>
      <w:r w:rsidRPr="00C2466F">
        <w:t xml:space="preserve"> </w:t>
      </w:r>
      <w:r w:rsidR="00AA7B36">
        <w:t>‘</w:t>
      </w:r>
      <w:r w:rsidR="00904E33">
        <w:t>[Jane]</w:t>
      </w:r>
      <w:r w:rsidRPr="00C2466F">
        <w:t xml:space="preserve"> does have a tendency to lie, are you sure</w:t>
      </w:r>
      <w:r w:rsidR="00A3491A">
        <w:t>[?]</w:t>
      </w:r>
      <w:r w:rsidRPr="00C2466F">
        <w:t>,</w:t>
      </w:r>
      <w:r w:rsidR="00AA7B36">
        <w:t>’</w:t>
      </w:r>
      <w:r w:rsidRPr="00C2466F">
        <w:t xml:space="preserve"> and I told them</w:t>
      </w:r>
      <w:r w:rsidR="00EF2A88">
        <w:t>,</w:t>
      </w:r>
      <w:r w:rsidRPr="00C2466F">
        <w:t xml:space="preserve"> </w:t>
      </w:r>
      <w:r w:rsidRPr="00DF19EA" w:rsidR="00AA7B36">
        <w:t>‘</w:t>
      </w:r>
      <w:r w:rsidRPr="00DF19EA">
        <w:t>I believe her because a child would not talk about something that graphically.</w:t>
      </w:r>
      <w:r w:rsidRPr="00DF19EA" w:rsidR="00AA7B36">
        <w:t>’</w:t>
      </w:r>
      <w:r w:rsidRPr="00C2466F">
        <w:t xml:space="preserve"> </w:t>
      </w:r>
      <w:r w:rsidRPr="00DF19EA" w:rsidR="0080788A">
        <w:t xml:space="preserve"> </w:t>
      </w:r>
      <w:r w:rsidRPr="00C2466F">
        <w:t xml:space="preserve">And they were like, </w:t>
      </w:r>
      <w:r w:rsidR="00675345">
        <w:t>‘</w:t>
      </w:r>
      <w:r w:rsidRPr="00C2466F">
        <w:t>well, this has happened to her before</w:t>
      </w:r>
      <w:r w:rsidR="00AA7B36">
        <w:t>,’</w:t>
      </w:r>
      <w:r w:rsidRPr="00C2466F">
        <w:t xml:space="preserve"> and I said, </w:t>
      </w:r>
      <w:r w:rsidR="00AA7B36">
        <w:t>‘</w:t>
      </w:r>
      <w:r w:rsidRPr="00C2466F">
        <w:t>yeah, but she</w:t>
      </w:r>
      <w:r w:rsidR="00675345">
        <w:t>’</w:t>
      </w:r>
      <w:r w:rsidRPr="00C2466F">
        <w:t xml:space="preserve">s never talked about it before. </w:t>
      </w:r>
      <w:r w:rsidRPr="00DF19EA">
        <w:t xml:space="preserve"> </w:t>
      </w:r>
      <w:r w:rsidRPr="00C2466F">
        <w:t>Um, this is different.</w:t>
      </w:r>
      <w:r w:rsidR="00AA7B36">
        <w:t>’ ”</w:t>
      </w:r>
    </w:p>
    <w:p w:rsidR="00616D1B" w:rsidP="008F17C6" w14:paraId="42BB1D08" w14:textId="22EEDC6C">
      <w:r>
        <w:t>Therea</w:t>
      </w:r>
      <w:r w:rsidR="00002C01">
        <w:t xml:space="preserve">fter, </w:t>
      </w:r>
      <w:r w:rsidR="008F21FD">
        <w:t xml:space="preserve">defendant </w:t>
      </w:r>
      <w:r w:rsidR="00CE6D1B">
        <w:t>stay</w:t>
      </w:r>
      <w:r w:rsidR="00002C01">
        <w:t>e</w:t>
      </w:r>
      <w:r w:rsidR="00FC4ED7">
        <w:t>d</w:t>
      </w:r>
      <w:r w:rsidR="00002C01">
        <w:t xml:space="preserve"> </w:t>
      </w:r>
      <w:r w:rsidR="008F21FD">
        <w:t xml:space="preserve">with his parents and </w:t>
      </w:r>
      <w:r w:rsidR="00FC4ED7">
        <w:t xml:space="preserve">had no </w:t>
      </w:r>
      <w:r w:rsidR="00335E52">
        <w:t xml:space="preserve">unsupervised </w:t>
      </w:r>
      <w:r w:rsidR="00EE74DA">
        <w:t xml:space="preserve">contact with </w:t>
      </w:r>
      <w:r w:rsidR="00904E33">
        <w:t>Jane</w:t>
      </w:r>
      <w:r w:rsidRPr="00DF19EA" w:rsidR="00EE74DA">
        <w:t>.</w:t>
      </w:r>
      <w:r w:rsidRPr="00DF19EA" w:rsidR="0080788A">
        <w:t xml:space="preserve"> </w:t>
      </w:r>
      <w:r w:rsidR="00E4654C">
        <w:t xml:space="preserve"> </w:t>
      </w:r>
      <w:r w:rsidR="003323D8">
        <w:t>Sheree did not report the abuse</w:t>
      </w:r>
      <w:r w:rsidR="006A6A9A">
        <w:t xml:space="preserve"> at once</w:t>
      </w:r>
      <w:r w:rsidR="00502449">
        <w:t xml:space="preserve">, as she </w:t>
      </w:r>
      <w:r w:rsidR="003323D8">
        <w:t>fear</w:t>
      </w:r>
      <w:r w:rsidR="00502449">
        <w:t>ed</w:t>
      </w:r>
      <w:r w:rsidR="003323D8">
        <w:t xml:space="preserve"> the consequences for her custody of her children</w:t>
      </w:r>
      <w:r w:rsidR="00D648EB">
        <w:t>.</w:t>
      </w:r>
      <w:r w:rsidR="00286978">
        <w:t xml:space="preserve"> </w:t>
      </w:r>
      <w:r w:rsidR="007F3D65">
        <w:t xml:space="preserve"> </w:t>
      </w:r>
      <w:r w:rsidR="00286978">
        <w:t>But t</w:t>
      </w:r>
      <w:r w:rsidR="00347933">
        <w:t>wo months later, i</w:t>
      </w:r>
      <w:r w:rsidR="007802C7">
        <w:t>n</w:t>
      </w:r>
      <w:r w:rsidR="003323D8">
        <w:t xml:space="preserve"> December 201</w:t>
      </w:r>
      <w:r w:rsidR="00973D45">
        <w:t>9</w:t>
      </w:r>
      <w:r w:rsidR="003323D8">
        <w:t xml:space="preserve">, </w:t>
      </w:r>
      <w:r w:rsidR="005D51B4">
        <w:t xml:space="preserve">a police officer and Child </w:t>
      </w:r>
      <w:r w:rsidR="00A11392">
        <w:t xml:space="preserve">Welfare workers </w:t>
      </w:r>
      <w:r w:rsidR="003F5B4E">
        <w:t>visi</w:t>
      </w:r>
      <w:r w:rsidR="005D51B4">
        <w:t xml:space="preserve">ted </w:t>
      </w:r>
      <w:r w:rsidR="00286978">
        <w:t>her</w:t>
      </w:r>
      <w:r w:rsidR="007802C7">
        <w:t xml:space="preserve"> </w:t>
      </w:r>
      <w:r w:rsidR="003C7C51">
        <w:t xml:space="preserve">to </w:t>
      </w:r>
      <w:r w:rsidR="00286978">
        <w:t xml:space="preserve">investigate </w:t>
      </w:r>
      <w:r w:rsidR="00AD2144">
        <w:t>an anonymous report</w:t>
      </w:r>
      <w:r w:rsidR="003C7C51">
        <w:t xml:space="preserve"> </w:t>
      </w:r>
      <w:r w:rsidR="00AD2144">
        <w:t xml:space="preserve">that Jane had </w:t>
      </w:r>
      <w:r w:rsidR="00CC62F4">
        <w:t xml:space="preserve">told </w:t>
      </w:r>
      <w:r w:rsidR="00AD2144">
        <w:t xml:space="preserve">a </w:t>
      </w:r>
      <w:r w:rsidRPr="00DF19EA" w:rsidR="00AD2144">
        <w:t>friend</w:t>
      </w:r>
      <w:r w:rsidRPr="00DF19EA" w:rsidR="00CC62F4">
        <w:t xml:space="preserve"> about “</w:t>
      </w:r>
      <w:r w:rsidRPr="00DF19EA" w:rsidR="00AD2144">
        <w:t>naked time with daddy.”</w:t>
      </w:r>
      <w:r>
        <w:rPr>
          <w:rStyle w:val="FootnoteReference"/>
        </w:rPr>
        <w:footnoteReference w:id="7"/>
      </w:r>
      <w:r w:rsidRPr="00DF19EA" w:rsidR="007F3D65">
        <w:t xml:space="preserve"> </w:t>
      </w:r>
      <w:r w:rsidRPr="00DF19EA" w:rsidR="005D51B4">
        <w:t xml:space="preserve"> </w:t>
      </w:r>
      <w:r w:rsidRPr="00DF19EA">
        <w:t xml:space="preserve">Sheree </w:t>
      </w:r>
      <w:r w:rsidRPr="00DF19EA" w:rsidR="00E875AB">
        <w:t>reported</w:t>
      </w:r>
      <w:r w:rsidR="00E875AB">
        <w:t xml:space="preserve"> </w:t>
      </w:r>
      <w:r w:rsidR="005D51B4">
        <w:t>what she had seen</w:t>
      </w:r>
      <w:r w:rsidR="00852571">
        <w:t>,</w:t>
      </w:r>
      <w:r w:rsidR="005D51B4">
        <w:t xml:space="preserve"> </w:t>
      </w:r>
      <w:r w:rsidR="00852571">
        <w:t>and</w:t>
      </w:r>
      <w:r w:rsidR="00107F65">
        <w:t xml:space="preserve"> been told by </w:t>
      </w:r>
      <w:r w:rsidR="00852571">
        <w:t xml:space="preserve">Jane, </w:t>
      </w:r>
      <w:r w:rsidR="00524F3A">
        <w:t>in October</w:t>
      </w:r>
      <w:r w:rsidR="005D51B4">
        <w:t>.</w:t>
      </w:r>
      <w:r w:rsidR="002F7463">
        <w:rPr>
          <w:rFonts w:ascii="Times New Roman" w:hAnsi="Times New Roman" w:cs="Times New Roman" w:hint="eastAsia"/>
          <w:rtl/>
        </w:rPr>
        <w:t>‌</w:t>
      </w:r>
    </w:p>
    <w:p w:rsidR="009009AF" w:rsidP="008F17C6" w14:paraId="6B20AC68" w14:textId="623D7E90">
      <w:r>
        <w:t xml:space="preserve">The next day, </w:t>
      </w:r>
      <w:r w:rsidR="00E92C2B">
        <w:t>police officers record</w:t>
      </w:r>
      <w:r w:rsidR="00C2199F">
        <w:t>ed</w:t>
      </w:r>
      <w:r w:rsidR="00E92C2B">
        <w:t xml:space="preserve"> a</w:t>
      </w:r>
      <w:r w:rsidR="007C0F88">
        <w:t xml:space="preserve"> forensic</w:t>
      </w:r>
      <w:r w:rsidR="00E92C2B">
        <w:t xml:space="preserve"> interview of </w:t>
      </w:r>
      <w:r w:rsidRPr="00DF19EA" w:rsidR="00E92C2B">
        <w:t>Ja</w:t>
      </w:r>
      <w:r w:rsidRPr="00DF19EA" w:rsidR="009115E4">
        <w:t>ne</w:t>
      </w:r>
      <w:r w:rsidR="00746505">
        <w:t xml:space="preserve">, </w:t>
      </w:r>
      <w:r w:rsidR="004E4E5B">
        <w:t>two</w:t>
      </w:r>
      <w:r w:rsidR="00C86C86">
        <w:t xml:space="preserve"> pretext call</w:t>
      </w:r>
      <w:r w:rsidR="004E4E5B">
        <w:t>s</w:t>
      </w:r>
      <w:r w:rsidR="00C86C86">
        <w:t xml:space="preserve"> </w:t>
      </w:r>
      <w:r w:rsidR="00411B95">
        <w:t xml:space="preserve">about the abuse that </w:t>
      </w:r>
      <w:r w:rsidR="00C86C86">
        <w:t xml:space="preserve">Sheree </w:t>
      </w:r>
      <w:r w:rsidR="00411B95">
        <w:t xml:space="preserve">made </w:t>
      </w:r>
      <w:r w:rsidR="00C86C86">
        <w:t xml:space="preserve">to defendant, and an interview of defendant </w:t>
      </w:r>
      <w:r w:rsidR="00AB05F8">
        <w:t>after</w:t>
      </w:r>
      <w:r w:rsidR="00C86C86">
        <w:t xml:space="preserve"> his arrest</w:t>
      </w:r>
      <w:r w:rsidR="002F7463">
        <w:rPr>
          <w:rFonts w:ascii="Times New Roman" w:hAnsi="Times New Roman" w:cs="Times New Roman" w:hint="eastAsia"/>
          <w:rtl/>
        </w:rPr>
        <w:t>‌</w:t>
      </w:r>
      <w:r w:rsidR="00C86C86">
        <w:t>.</w:t>
      </w:r>
    </w:p>
    <w:p w:rsidR="00CD24EB" w:rsidP="008F17C6" w14:paraId="461D2B75" w14:textId="73F219BE">
      <w:r>
        <w:t xml:space="preserve">At </w:t>
      </w:r>
      <w:r w:rsidR="001B1FBD">
        <w:t>trial</w:t>
      </w:r>
      <w:r>
        <w:t>, t</w:t>
      </w:r>
      <w:r w:rsidR="00822F01">
        <w:t xml:space="preserve">hree </w:t>
      </w:r>
      <w:r w:rsidR="00C35B63">
        <w:t xml:space="preserve">witnesses </w:t>
      </w:r>
      <w:r w:rsidR="009903F6">
        <w:t xml:space="preserve">gave </w:t>
      </w:r>
      <w:r w:rsidR="001A7549">
        <w:t xml:space="preserve">testimony </w:t>
      </w:r>
      <w:r w:rsidR="002F76AD">
        <w:t>relevant</w:t>
      </w:r>
      <w:r w:rsidR="00C35B63">
        <w:t xml:space="preserve"> to </w:t>
      </w:r>
      <w:r w:rsidRPr="00DF19EA" w:rsidR="00C35B63">
        <w:t>the issues on appeal:</w:t>
      </w:r>
      <w:r w:rsidRPr="00DF19EA" w:rsidR="008535B2">
        <w:t xml:space="preserve"> </w:t>
      </w:r>
      <w:r w:rsidRPr="00DF19EA" w:rsidR="00C35B63">
        <w:t xml:space="preserve"> </w:t>
      </w:r>
      <w:r w:rsidRPr="00DF19EA" w:rsidR="00A63C7F">
        <w:t xml:space="preserve">Jane, </w:t>
      </w:r>
      <w:r w:rsidRPr="00DF19EA" w:rsidR="00C35B63">
        <w:t>Sheree</w:t>
      </w:r>
      <w:r w:rsidRPr="00DF19EA" w:rsidR="00E06CCD">
        <w:rPr>
          <w:rFonts w:ascii="Times New Roman" w:hAnsi="Times New Roman" w:cs="Times New Roman" w:hint="eastAsia"/>
          <w:rtl/>
        </w:rPr>
        <w:t>‌</w:t>
      </w:r>
      <w:r w:rsidRPr="00DF19EA" w:rsidR="00C35B63">
        <w:t xml:space="preserve">, </w:t>
      </w:r>
      <w:r w:rsidRPr="00DF19EA" w:rsidR="00214F30">
        <w:t xml:space="preserve">and </w:t>
      </w:r>
      <w:r w:rsidRPr="00DF19EA" w:rsidR="0096426C">
        <w:t>Dr. Anna</w:t>
      </w:r>
      <w:r w:rsidR="0096426C">
        <w:t xml:space="preserve"> Washin</w:t>
      </w:r>
      <w:r w:rsidR="005F34A7">
        <w:t>gt</w:t>
      </w:r>
      <w:r w:rsidR="0096426C">
        <w:t>on</w:t>
      </w:r>
      <w:r w:rsidR="0081363F">
        <w:t>,</w:t>
      </w:r>
      <w:r w:rsidR="0096426C">
        <w:t xml:space="preserve"> an expert </w:t>
      </w:r>
      <w:r w:rsidR="00425867">
        <w:t>in “sexual abuse, suggestibility, false allegations, and the [e]ffects of abuse on children</w:t>
      </w:r>
      <w:r w:rsidR="00C92081">
        <w:t>.</w:t>
      </w:r>
      <w:r w:rsidR="00425867">
        <w:t>”</w:t>
      </w:r>
      <w:r w:rsidR="00C965F7">
        <w:t xml:space="preserve">  </w:t>
      </w:r>
      <w:r w:rsidR="00CD02AD">
        <w:t>T</w:t>
      </w:r>
      <w:r w:rsidR="004A2F00">
        <w:t xml:space="preserve">he jury heard </w:t>
      </w:r>
      <w:r w:rsidR="00CD02AD">
        <w:t xml:space="preserve">recordings </w:t>
      </w:r>
      <w:r w:rsidR="005A063C">
        <w:t xml:space="preserve">of the </w:t>
      </w:r>
      <w:r w:rsidR="00CD02AD">
        <w:t>December 2018</w:t>
      </w:r>
      <w:r w:rsidR="005A063C">
        <w:t xml:space="preserve"> police </w:t>
      </w:r>
      <w:r w:rsidR="004A2F00">
        <w:t>interviews of defendant and Jane</w:t>
      </w:r>
      <w:r w:rsidR="00107F65">
        <w:t>, as well as</w:t>
      </w:r>
      <w:r w:rsidR="004A2F00">
        <w:t xml:space="preserve"> </w:t>
      </w:r>
      <w:r w:rsidR="00A52629">
        <w:t xml:space="preserve">the </w:t>
      </w:r>
      <w:r w:rsidR="004A2F00">
        <w:t>pretext calls</w:t>
      </w:r>
      <w:r w:rsidR="009620E2">
        <w:t>.</w:t>
      </w:r>
      <w:r w:rsidR="009620E2">
        <w:rPr>
          <w:rFonts w:ascii="Times New Roman" w:hAnsi="Times New Roman" w:cs="Times New Roman" w:hint="eastAsia"/>
          <w:rtl/>
        </w:rPr>
        <w:t>‌</w:t>
      </w:r>
      <w:r w:rsidR="009F4022">
        <w:rPr>
          <w:rFonts w:ascii="Times New Roman" w:hAnsi="Times New Roman" w:cs="Times New Roman" w:hint="eastAsia"/>
        </w:rPr>
        <w:t xml:space="preserve"> </w:t>
      </w:r>
      <w:r w:rsidR="009620E2">
        <w:t xml:space="preserve"> </w:t>
      </w:r>
      <w:r w:rsidR="00DB6FE9">
        <w:t>In th</w:t>
      </w:r>
      <w:r w:rsidR="00A52629">
        <w:t>os</w:t>
      </w:r>
      <w:r w:rsidR="000D7980">
        <w:t>e recordings</w:t>
      </w:r>
      <w:r w:rsidR="00FD7F78">
        <w:t xml:space="preserve">, </w:t>
      </w:r>
      <w:r w:rsidR="00DB6FE9">
        <w:t xml:space="preserve">Jane described defendant licking her vagina, </w:t>
      </w:r>
      <w:r w:rsidR="00951440">
        <w:t>while</w:t>
      </w:r>
      <w:r w:rsidR="00DB6FE9">
        <w:t xml:space="preserve"> he admitted the full range of sexual conduct </w:t>
      </w:r>
      <w:r w:rsidR="00EE63D8">
        <w:t>set out</w:t>
      </w:r>
      <w:r w:rsidR="00DB6FE9">
        <w:t xml:space="preserve"> above.</w:t>
      </w:r>
      <w:r w:rsidR="009F4022">
        <w:t xml:space="preserve"> </w:t>
      </w:r>
      <w:r w:rsidR="00DB6FE9">
        <w:t xml:space="preserve"> </w:t>
      </w:r>
      <w:r w:rsidR="00E45E52">
        <w:t>In her</w:t>
      </w:r>
      <w:r w:rsidR="00EE63D8">
        <w:t xml:space="preserve"> </w:t>
      </w:r>
      <w:r w:rsidR="00E45E52">
        <w:t>testimony</w:t>
      </w:r>
      <w:r w:rsidR="000C5C73">
        <w:t xml:space="preserve"> at trial, Jane</w:t>
      </w:r>
      <w:r w:rsidR="00D4190E">
        <w:t xml:space="preserve">, </w:t>
      </w:r>
      <w:r w:rsidR="000C5C73">
        <w:t>t</w:t>
      </w:r>
      <w:r w:rsidR="00D4190E">
        <w:t xml:space="preserve">hen </w:t>
      </w:r>
      <w:r w:rsidR="007C1E4A">
        <w:t>10</w:t>
      </w:r>
      <w:r w:rsidR="006A339A">
        <w:t xml:space="preserve"> and a half</w:t>
      </w:r>
      <w:r w:rsidR="00D4190E">
        <w:t xml:space="preserve"> years old</w:t>
      </w:r>
      <w:r w:rsidR="00C62065">
        <w:t xml:space="preserve">, </w:t>
      </w:r>
      <w:r w:rsidR="007F5713">
        <w:t xml:space="preserve">described </w:t>
      </w:r>
      <w:r w:rsidR="00660A64">
        <w:t>the full range</w:t>
      </w:r>
      <w:r w:rsidR="00A97915">
        <w:t xml:space="preserve"> of sexual conduct defendant had admitted.</w:t>
      </w:r>
      <w:r w:rsidR="00193D19">
        <w:t xml:space="preserve"> </w:t>
      </w:r>
      <w:r w:rsidR="00A97915">
        <w:t xml:space="preserve"> She </w:t>
      </w:r>
      <w:r w:rsidR="00B649CE">
        <w:t xml:space="preserve">testified that </w:t>
      </w:r>
      <w:r w:rsidR="00957E02">
        <w:t>he</w:t>
      </w:r>
      <w:r w:rsidR="00B649CE">
        <w:t xml:space="preserve"> </w:t>
      </w:r>
      <w:r w:rsidR="006A3E68">
        <w:t xml:space="preserve">never hit or physically hurt her, </w:t>
      </w:r>
      <w:r w:rsidRPr="007A49A6" w:rsidR="006A3E68">
        <w:t xml:space="preserve">except </w:t>
      </w:r>
      <w:r w:rsidRPr="007A49A6" w:rsidR="00226481">
        <w:t xml:space="preserve">that </w:t>
      </w:r>
      <w:r w:rsidRPr="007A49A6" w:rsidR="006A3E68">
        <w:t xml:space="preserve">it </w:t>
      </w:r>
      <w:r w:rsidRPr="007A49A6" w:rsidR="003B77CE">
        <w:t>hurt when he put his penis in her vagina</w:t>
      </w:r>
      <w:r w:rsidRPr="007A49A6" w:rsidR="00BC1C53">
        <w:t>.</w:t>
      </w:r>
    </w:p>
    <w:p w:rsidR="002D19F0" w:rsidP="008F17C6" w14:paraId="074B9EF2" w14:textId="4E067ED6">
      <w:r w:rsidRPr="007A49A6">
        <w:t xml:space="preserve">The only </w:t>
      </w:r>
      <w:r w:rsidRPr="007A49A6" w:rsidR="00181680">
        <w:t xml:space="preserve">material discrepancy between </w:t>
      </w:r>
      <w:r w:rsidRPr="007A49A6" w:rsidR="002B04E6">
        <w:t xml:space="preserve">defendant’s recorded </w:t>
      </w:r>
      <w:r w:rsidRPr="007A49A6" w:rsidR="00692F41">
        <w:t>stateme</w:t>
      </w:r>
      <w:r w:rsidRPr="007A49A6" w:rsidR="002B04E6">
        <w:t>nts</w:t>
      </w:r>
      <w:r w:rsidR="002B04E6">
        <w:t xml:space="preserve"> </w:t>
      </w:r>
      <w:r w:rsidRPr="007A49A6" w:rsidR="002B04E6">
        <w:t xml:space="preserve">and </w:t>
      </w:r>
      <w:r w:rsidRPr="007A49A6" w:rsidR="00181680">
        <w:t xml:space="preserve">Jane’s account—in </w:t>
      </w:r>
      <w:r w:rsidRPr="007A49A6" w:rsidR="000315B9">
        <w:t xml:space="preserve">both </w:t>
      </w:r>
      <w:r w:rsidRPr="007A49A6" w:rsidR="00181680">
        <w:t xml:space="preserve">her </w:t>
      </w:r>
      <w:r w:rsidRPr="007A49A6" w:rsidR="00022271">
        <w:t xml:space="preserve">December </w:t>
      </w:r>
      <w:r w:rsidRPr="007A49A6" w:rsidR="008961F6">
        <w:t>2018</w:t>
      </w:r>
      <w:r w:rsidRPr="007A49A6" w:rsidR="00181680">
        <w:t xml:space="preserve"> interview and her</w:t>
      </w:r>
      <w:r w:rsidRPr="007A49A6" w:rsidR="00902F77">
        <w:t xml:space="preserve"> </w:t>
      </w:r>
      <w:r w:rsidRPr="007A49A6" w:rsidR="00022271">
        <w:t xml:space="preserve">March </w:t>
      </w:r>
      <w:r w:rsidRPr="007A49A6" w:rsidR="008961F6">
        <w:t>202</w:t>
      </w:r>
      <w:r w:rsidRPr="007A49A6" w:rsidR="00022271">
        <w:t>1</w:t>
      </w:r>
      <w:r w:rsidR="008961F6">
        <w:t xml:space="preserve"> </w:t>
      </w:r>
      <w:r w:rsidR="00181680">
        <w:t>testimony—</w:t>
      </w:r>
      <w:r w:rsidR="00506996">
        <w:t xml:space="preserve">concerned whether defendant </w:t>
      </w:r>
      <w:r w:rsidR="00A92845">
        <w:t xml:space="preserve">facilitated the abuse </w:t>
      </w:r>
      <w:r w:rsidR="0037685B">
        <w:t xml:space="preserve">via </w:t>
      </w:r>
      <w:r w:rsidR="00105505">
        <w:t>threats</w:t>
      </w:r>
      <w:r w:rsidR="002B04E6">
        <w:t>.</w:t>
      </w:r>
    </w:p>
    <w:p w:rsidR="000B7C08" w:rsidP="008F17C6" w14:paraId="7507B1F5" w14:textId="4C002210">
      <w:r>
        <w:t>In her interview</w:t>
      </w:r>
      <w:r w:rsidR="00022271">
        <w:t xml:space="preserve">, </w:t>
      </w:r>
      <w:r>
        <w:t>Jane repeatedly said that defendant “forced [her] to do it” or to “let him do it” by saying that he would take away her iPad or “electronics or other things” and by threatening that he would “give [her] a consequence</w:t>
      </w:r>
      <w:r w:rsidR="006069BF">
        <w:t>.</w:t>
      </w:r>
      <w:r>
        <w:t>”  At other points, she referred to “lots of consequences,” “bad, bad consequences,” or “weird mean consequences,” but taking away her iPad or “electronics” was the only specific threaten</w:t>
      </w:r>
      <w:r w:rsidR="002D4B5B">
        <w:t>ed consequence</w:t>
      </w:r>
      <w:r>
        <w:t xml:space="preserve"> she identified.</w:t>
      </w:r>
    </w:p>
    <w:p w:rsidR="009309DD" w:rsidP="008F17C6" w14:paraId="6471F5F5" w14:textId="3CEDAC60">
      <w:r w:rsidRPr="007A49A6">
        <w:t>D</w:t>
      </w:r>
      <w:r w:rsidRPr="007A49A6" w:rsidR="00154B6A">
        <w:t>efendant did not address th</w:t>
      </w:r>
      <w:r w:rsidRPr="007A49A6" w:rsidR="00C8678D">
        <w:t xml:space="preserve">e issue </w:t>
      </w:r>
      <w:r w:rsidRPr="007A49A6">
        <w:t>in the pretext calls,</w:t>
      </w:r>
      <w:r w:rsidRPr="007A49A6" w:rsidR="00154B6A">
        <w:t xml:space="preserve"> but i</w:t>
      </w:r>
      <w:r w:rsidRPr="007A49A6" w:rsidR="000D5928">
        <w:t xml:space="preserve">n </w:t>
      </w:r>
      <w:r w:rsidR="000D5928">
        <w:t xml:space="preserve">his police interview </w:t>
      </w:r>
      <w:r w:rsidR="00154B6A">
        <w:t xml:space="preserve">he </w:t>
      </w:r>
      <w:r w:rsidR="00160E91">
        <w:t xml:space="preserve">denied </w:t>
      </w:r>
      <w:r w:rsidR="00EC696E">
        <w:t>having</w:t>
      </w:r>
      <w:r w:rsidR="00160E91">
        <w:t xml:space="preserve"> ever threatened </w:t>
      </w:r>
      <w:r w:rsidR="00017BAE">
        <w:t>Jane</w:t>
      </w:r>
      <w:r w:rsidR="002D19F0">
        <w:t xml:space="preserve"> </w:t>
      </w:r>
      <w:r w:rsidR="000177C0">
        <w:t xml:space="preserve">and </w:t>
      </w:r>
      <w:r w:rsidR="002D19F0">
        <w:t xml:space="preserve">specifically </w:t>
      </w:r>
      <w:r w:rsidR="007138F5">
        <w:t xml:space="preserve">denied </w:t>
      </w:r>
      <w:r w:rsidR="000177C0">
        <w:t xml:space="preserve">having </w:t>
      </w:r>
      <w:r w:rsidR="002D19F0">
        <w:t>threaten</w:t>
      </w:r>
      <w:r w:rsidR="000177C0">
        <w:t>ed</w:t>
      </w:r>
      <w:r w:rsidR="002D19F0">
        <w:t xml:space="preserve"> to take away her iPad or electronics</w:t>
      </w:r>
      <w:r w:rsidR="0063231F">
        <w:t>.</w:t>
      </w:r>
    </w:p>
    <w:p w:rsidR="00FD76C6" w:rsidP="00FD76C6" w14:paraId="41A8B797" w14:textId="4FB525FC">
      <w:r>
        <w:t xml:space="preserve">At </w:t>
      </w:r>
      <w:r w:rsidR="00066793">
        <w:t>trial</w:t>
      </w:r>
      <w:r w:rsidR="00D6670D">
        <w:t>, Jane</w:t>
      </w:r>
      <w:r w:rsidR="009E29C2">
        <w:t xml:space="preserve"> </w:t>
      </w:r>
      <w:r w:rsidR="004834A5">
        <w:t xml:space="preserve">testified that </w:t>
      </w:r>
      <w:r w:rsidR="005A6D0A">
        <w:t>she w</w:t>
      </w:r>
      <w:r w:rsidR="004834A5">
        <w:t xml:space="preserve">as </w:t>
      </w:r>
      <w:r w:rsidR="005A6D0A">
        <w:t xml:space="preserve">naked when </w:t>
      </w:r>
      <w:r w:rsidR="006C2E2D">
        <w:t xml:space="preserve">defendant </w:t>
      </w:r>
      <w:r w:rsidR="00E547D6">
        <w:t>lick</w:t>
      </w:r>
      <w:r w:rsidR="003368E3">
        <w:t>ed</w:t>
      </w:r>
      <w:r w:rsidR="00E547D6">
        <w:t xml:space="preserve"> her vagina.</w:t>
      </w:r>
      <w:r w:rsidR="00CB712C">
        <w:t xml:space="preserve"> </w:t>
      </w:r>
      <w:r w:rsidR="00E547D6">
        <w:t xml:space="preserve"> </w:t>
      </w:r>
      <w:r w:rsidR="0054169C">
        <w:t>A</w:t>
      </w:r>
      <w:r w:rsidR="00D20B9A">
        <w:t xml:space="preserve">sked why she took off her clothes, she testified that </w:t>
      </w:r>
      <w:r w:rsidR="008F1ADD">
        <w:t>defendant would say “a threaten</w:t>
      </w:r>
      <w:r w:rsidR="00877EB5">
        <w:t>,</w:t>
      </w:r>
      <w:r w:rsidR="008F1ADD">
        <w:t xml:space="preserve">” and </w:t>
      </w:r>
      <w:r w:rsidR="00123B93">
        <w:t xml:space="preserve">tell </w:t>
      </w:r>
      <w:r w:rsidR="008F1ADD">
        <w:t>her she would get in trouble if she did not.</w:t>
      </w:r>
      <w:r>
        <w:rPr>
          <w:rStyle w:val="FootnoteReference"/>
        </w:rPr>
        <w:footnoteReference w:id="8"/>
      </w:r>
      <w:r w:rsidR="00CB712C">
        <w:t xml:space="preserve"> </w:t>
      </w:r>
      <w:r w:rsidR="00C256DE">
        <w:t xml:space="preserve"> When asked if defendant </w:t>
      </w:r>
      <w:r w:rsidR="004E3A69">
        <w:t xml:space="preserve">ever threatened </w:t>
      </w:r>
      <w:r w:rsidRPr="007A49A6" w:rsidR="004E3A69">
        <w:t xml:space="preserve">to take </w:t>
      </w:r>
      <w:r w:rsidRPr="007A49A6" w:rsidR="008A23E9">
        <w:t>any</w:t>
      </w:r>
      <w:r w:rsidRPr="007A49A6" w:rsidR="004E3A69">
        <w:t xml:space="preserve">thing away </w:t>
      </w:r>
      <w:r w:rsidRPr="007A49A6" w:rsidR="00877EB5">
        <w:t>from her</w:t>
      </w:r>
      <w:r w:rsidRPr="007A49A6" w:rsidR="004E3A69">
        <w:t xml:space="preserve">, she answered, “I don’t remember,” but </w:t>
      </w:r>
      <w:r w:rsidRPr="007A49A6" w:rsidR="00A44182">
        <w:t>when</w:t>
      </w:r>
      <w:r w:rsidR="00A44182">
        <w:t xml:space="preserve"> asked </w:t>
      </w:r>
      <w:r w:rsidR="001419B2">
        <w:t xml:space="preserve">specifically </w:t>
      </w:r>
      <w:r w:rsidR="00A44182">
        <w:t>if she re</w:t>
      </w:r>
      <w:r w:rsidR="001419B2">
        <w:t>call</w:t>
      </w:r>
      <w:r w:rsidR="00A44182">
        <w:t>ed anything about her “iPad, or games, or anything like that,” she replied, “My</w:t>
      </w:r>
      <w:r w:rsidR="00E66147">
        <w:t> </w:t>
      </w:r>
      <w:r w:rsidR="00A44182">
        <w:t>iPad.”</w:t>
      </w:r>
      <w:r w:rsidR="00CB712C">
        <w:t xml:space="preserve"> </w:t>
      </w:r>
      <w:r w:rsidR="00690A13">
        <w:t xml:space="preserve"> In questioning about </w:t>
      </w:r>
      <w:r w:rsidRPr="007A49A6" w:rsidR="007A1F73">
        <w:t xml:space="preserve">times </w:t>
      </w:r>
      <w:r w:rsidRPr="007A49A6" w:rsidR="00690A13">
        <w:t xml:space="preserve">defendant touched her vagina with his finger, Jane </w:t>
      </w:r>
      <w:r w:rsidRPr="007A49A6" w:rsidR="000E7F0B">
        <w:t xml:space="preserve">replied </w:t>
      </w:r>
      <w:r w:rsidRPr="007A49A6" w:rsidR="00C72A39">
        <w:t>affirmatively</w:t>
      </w:r>
      <w:r w:rsidR="00C72A39">
        <w:t xml:space="preserve"> when asked if </w:t>
      </w:r>
      <w:r w:rsidR="007A1F73">
        <w:t>he</w:t>
      </w:r>
      <w:r w:rsidR="00EA6675">
        <w:t xml:space="preserve"> </w:t>
      </w:r>
      <w:r w:rsidR="00755506">
        <w:t xml:space="preserve">would </w:t>
      </w:r>
      <w:r w:rsidR="00EA6675">
        <w:t xml:space="preserve">“threaten you to take off your clothes” </w:t>
      </w:r>
      <w:r w:rsidR="00755506">
        <w:t xml:space="preserve">or </w:t>
      </w:r>
      <w:r w:rsidR="00BB16BC">
        <w:t>sa</w:t>
      </w:r>
      <w:r w:rsidR="00755506">
        <w:t>y</w:t>
      </w:r>
      <w:r w:rsidR="00BB16BC">
        <w:t xml:space="preserve"> </w:t>
      </w:r>
      <w:r w:rsidR="00BF5521">
        <w:t xml:space="preserve">things </w:t>
      </w:r>
      <w:r w:rsidRPr="00975C93" w:rsidR="00BB16BC">
        <w:rPr>
          <w:spacing w:val="-2"/>
        </w:rPr>
        <w:t xml:space="preserve">that </w:t>
      </w:r>
      <w:r w:rsidRPr="00975C93" w:rsidR="007F306F">
        <w:rPr>
          <w:spacing w:val="-2"/>
        </w:rPr>
        <w:t>made her “</w:t>
      </w:r>
      <w:r w:rsidRPr="00975C93" w:rsidR="00BF5521">
        <w:rPr>
          <w:spacing w:val="-2"/>
        </w:rPr>
        <w:t xml:space="preserve">feel scared,” but </w:t>
      </w:r>
      <w:r w:rsidRPr="00975C93" w:rsidR="000E7F0B">
        <w:rPr>
          <w:spacing w:val="-2"/>
        </w:rPr>
        <w:t xml:space="preserve">shook her </w:t>
      </w:r>
      <w:r w:rsidRPr="00975C93" w:rsidR="00F80450">
        <w:rPr>
          <w:spacing w:val="-2"/>
        </w:rPr>
        <w:t xml:space="preserve">head when asked if </w:t>
      </w:r>
      <w:r w:rsidRPr="00975C93" w:rsidR="007A1F73">
        <w:rPr>
          <w:spacing w:val="-2"/>
        </w:rPr>
        <w:t>she could re</w:t>
      </w:r>
      <w:r w:rsidRPr="00975C93" w:rsidR="008A23E9">
        <w:rPr>
          <w:spacing w:val="-2"/>
        </w:rPr>
        <w:t>call</w:t>
      </w:r>
      <w:r w:rsidR="007A1F73">
        <w:t xml:space="preserve"> “examples of what he would say.”</w:t>
      </w:r>
      <w:r w:rsidR="00CB712C">
        <w:t xml:space="preserve"> </w:t>
      </w:r>
      <w:r w:rsidR="00075EB5">
        <w:t xml:space="preserve"> She responded similarly to questions about</w:t>
      </w:r>
      <w:r w:rsidR="008A23E9">
        <w:t xml:space="preserve"> </w:t>
      </w:r>
      <w:r w:rsidR="00812887">
        <w:t xml:space="preserve">times </w:t>
      </w:r>
      <w:r w:rsidR="00620935">
        <w:t xml:space="preserve">defendant </w:t>
      </w:r>
      <w:r w:rsidR="00075EB5">
        <w:t>put his penis in her mouth</w:t>
      </w:r>
      <w:r w:rsidRPr="007A49A6" w:rsidR="00075EB5">
        <w:t>.</w:t>
      </w:r>
    </w:p>
    <w:p w:rsidR="005714BE" w:rsidP="0095429A" w14:paraId="691D35D4" w14:textId="32739E3E">
      <w:r>
        <w:t>Jane said in her</w:t>
      </w:r>
      <w:r w:rsidR="00121D11">
        <w:t xml:space="preserve"> </w:t>
      </w:r>
      <w:r>
        <w:t xml:space="preserve">interview that defendant </w:t>
      </w:r>
      <w:r w:rsidR="00C8355B">
        <w:t xml:space="preserve">had </w:t>
      </w:r>
      <w:r w:rsidR="00902F77">
        <w:t xml:space="preserve">said </w:t>
      </w:r>
      <w:r>
        <w:t>that what they were doing “was against the law</w:t>
      </w:r>
      <w:r w:rsidR="008B1433">
        <w:t>,”</w:t>
      </w:r>
      <w:r>
        <w:t xml:space="preserve"> that </w:t>
      </w:r>
      <w:r w:rsidR="008B1433">
        <w:t>“</w:t>
      </w:r>
      <w:r>
        <w:t>mama . . . wouldn’t like it</w:t>
      </w:r>
      <w:r w:rsidR="008B1433">
        <w:t>,”</w:t>
      </w:r>
      <w:r>
        <w:t xml:space="preserve"> and </w:t>
      </w:r>
      <w:r w:rsidR="008B1433">
        <w:t xml:space="preserve">that </w:t>
      </w:r>
      <w:r w:rsidRPr="007A49A6">
        <w:t xml:space="preserve">he </w:t>
      </w:r>
      <w:r w:rsidRPr="007A49A6" w:rsidR="009225E9">
        <w:t>“</w:t>
      </w:r>
      <w:r w:rsidRPr="007A49A6">
        <w:t>would go to jail</w:t>
      </w:r>
      <w:r w:rsidRPr="007A49A6" w:rsidR="009225E9">
        <w:t>”</w:t>
      </w:r>
      <w:r w:rsidRPr="007A49A6">
        <w:t xml:space="preserve"> if </w:t>
      </w:r>
      <w:r w:rsidRPr="007A49A6" w:rsidR="009225E9">
        <w:t>“</w:t>
      </w:r>
      <w:r w:rsidRPr="007A49A6">
        <w:t>anybody finds . . . out.”</w:t>
      </w:r>
      <w:r w:rsidRPr="007A49A6" w:rsidR="00CB712C">
        <w:t xml:space="preserve"> </w:t>
      </w:r>
      <w:r w:rsidRPr="007A49A6">
        <w:t xml:space="preserve"> At trial she </w:t>
      </w:r>
      <w:r w:rsidRPr="007A49A6" w:rsidR="009D6247">
        <w:t>testified</w:t>
      </w:r>
      <w:r w:rsidR="009D6247">
        <w:t xml:space="preserve"> that she did not tell Sheree what was happening because she was “scared” </w:t>
      </w:r>
      <w:r w:rsidRPr="00975C93" w:rsidR="009D6247">
        <w:rPr>
          <w:spacing w:val="-2"/>
        </w:rPr>
        <w:t xml:space="preserve">she would “get in trouble”; asked if she was scared because of </w:t>
      </w:r>
      <w:r w:rsidRPr="00975C93" w:rsidR="00A2207C">
        <w:rPr>
          <w:spacing w:val="-2"/>
        </w:rPr>
        <w:t>things</w:t>
      </w:r>
      <w:r w:rsidRPr="00975C93" w:rsidR="00F97117">
        <w:rPr>
          <w:spacing w:val="-2"/>
        </w:rPr>
        <w:t xml:space="preserve"> </w:t>
      </w:r>
      <w:r w:rsidRPr="00975C93" w:rsidR="009D6247">
        <w:rPr>
          <w:spacing w:val="-2"/>
        </w:rPr>
        <w:t>defendant</w:t>
      </w:r>
      <w:r w:rsidR="009D6247">
        <w:t xml:space="preserve"> had </w:t>
      </w:r>
      <w:r w:rsidR="00D11CFC">
        <w:t>said</w:t>
      </w:r>
      <w:r w:rsidR="009D6247">
        <w:t>, she replied, “I don’t</w:t>
      </w:r>
      <w:r w:rsidR="006E41B1">
        <w:t xml:space="preserve"> really</w:t>
      </w:r>
      <w:r w:rsidR="009D6247">
        <w:t xml:space="preserve"> know why I was scared</w:t>
      </w:r>
      <w:r w:rsidRPr="007A49A6" w:rsidR="009D6247">
        <w:t>.”</w:t>
      </w:r>
    </w:p>
    <w:p w:rsidR="00CA7B92" w:rsidP="00070B4D" w14:paraId="5FC28DB9" w14:textId="3437E84C">
      <w:r>
        <w:t>Dr.</w:t>
      </w:r>
      <w:r w:rsidR="00675C47">
        <w:t> </w:t>
      </w:r>
      <w:r>
        <w:t>Washington</w:t>
      </w:r>
      <w:r w:rsidR="0096141E">
        <w:t xml:space="preserve"> </w:t>
      </w:r>
      <w:r w:rsidR="007B5532">
        <w:t>explained</w:t>
      </w:r>
      <w:r w:rsidR="0096141E">
        <w:t xml:space="preserve"> </w:t>
      </w:r>
      <w:r w:rsidR="00C92081">
        <w:t>Child Sexual Abuse Accommodation Syndrome</w:t>
      </w:r>
      <w:r w:rsidR="009F7B26">
        <w:t>,</w:t>
      </w:r>
      <w:r w:rsidR="007B5532">
        <w:t xml:space="preserve"> </w:t>
      </w:r>
      <w:r w:rsidR="0096141E">
        <w:t xml:space="preserve">a </w:t>
      </w:r>
      <w:r w:rsidR="007B5532">
        <w:t xml:space="preserve">model </w:t>
      </w:r>
      <w:r w:rsidR="0096141E">
        <w:t xml:space="preserve">for understanding </w:t>
      </w:r>
      <w:r w:rsidRPr="009C160C" w:rsidR="0096141E">
        <w:t xml:space="preserve">how children </w:t>
      </w:r>
      <w:r w:rsidR="005D20B6">
        <w:t xml:space="preserve">respond to </w:t>
      </w:r>
      <w:r w:rsidR="008E2C81">
        <w:t xml:space="preserve">and report </w:t>
      </w:r>
      <w:r w:rsidRPr="009C160C" w:rsidR="00B074D0">
        <w:t xml:space="preserve">sexual </w:t>
      </w:r>
      <w:r w:rsidR="005D20B6">
        <w:t>abuse</w:t>
      </w:r>
      <w:r w:rsidR="007B5532">
        <w:t>.</w:t>
      </w:r>
      <w:r w:rsidR="00675C47">
        <w:t xml:space="preserve"> </w:t>
      </w:r>
      <w:r w:rsidR="00B452D2">
        <w:t xml:space="preserve"> </w:t>
      </w:r>
      <w:r w:rsidR="007B5532">
        <w:t>Washington</w:t>
      </w:r>
      <w:r w:rsidR="00F077E9">
        <w:t xml:space="preserve"> testi</w:t>
      </w:r>
      <w:r w:rsidR="007147F6">
        <w:t xml:space="preserve">fied </w:t>
      </w:r>
      <w:r w:rsidR="007B5532">
        <w:t>that</w:t>
      </w:r>
      <w:r w:rsidR="002437E3">
        <w:t xml:space="preserve"> </w:t>
      </w:r>
      <w:r w:rsidR="00000DE4">
        <w:t>child</w:t>
      </w:r>
      <w:r w:rsidR="00AD4F19">
        <w:t>ren</w:t>
      </w:r>
      <w:r w:rsidR="006E515A">
        <w:t xml:space="preserve"> </w:t>
      </w:r>
      <w:r w:rsidR="005C1DD5">
        <w:t>past</w:t>
      </w:r>
      <w:r w:rsidR="006E515A">
        <w:t xml:space="preserve"> preschool age </w:t>
      </w:r>
      <w:r w:rsidR="00151152">
        <w:t xml:space="preserve">are rarely </w:t>
      </w:r>
      <w:r w:rsidR="00000DE4">
        <w:t xml:space="preserve">suggestible, </w:t>
      </w:r>
      <w:r w:rsidR="004F6792">
        <w:t xml:space="preserve">or </w:t>
      </w:r>
      <w:r w:rsidR="00811888">
        <w:t>eas</w:t>
      </w:r>
      <w:r w:rsidR="00106226">
        <w:t>ily “</w:t>
      </w:r>
      <w:r w:rsidRPr="00106226" w:rsidR="00106226">
        <w:t xml:space="preserve">influenced by another person to </w:t>
      </w:r>
      <w:r w:rsidR="008D5BE1">
        <w:t>[b]</w:t>
      </w:r>
      <w:r w:rsidRPr="00106226" w:rsidR="00106226">
        <w:t>el</w:t>
      </w:r>
      <w:r w:rsidR="00106226">
        <w:t>i</w:t>
      </w:r>
      <w:r w:rsidR="00406EDF">
        <w:t>e</w:t>
      </w:r>
      <w:r w:rsidRPr="00106226" w:rsidR="00106226">
        <w:t xml:space="preserve">ve </w:t>
      </w:r>
      <w:r w:rsidR="00106226">
        <w:t xml:space="preserve">[events] </w:t>
      </w:r>
      <w:r w:rsidRPr="00106226" w:rsidR="00106226">
        <w:t>or respond in</w:t>
      </w:r>
      <w:r w:rsidR="00106226">
        <w:t xml:space="preserve"> </w:t>
      </w:r>
      <w:r w:rsidRPr="00106226" w:rsidR="00106226">
        <w:t>a certain way</w:t>
      </w:r>
      <w:r w:rsidR="00106226">
        <w:t xml:space="preserve"> . . . </w:t>
      </w:r>
      <w:r w:rsidRPr="00106226" w:rsidR="00106226">
        <w:t>that they wouldn</w:t>
      </w:r>
      <w:r w:rsidR="00406EDF">
        <w:t>’</w:t>
      </w:r>
      <w:r w:rsidRPr="00106226" w:rsidR="00106226">
        <w:t>t have</w:t>
      </w:r>
      <w:r w:rsidR="00106226">
        <w:t xml:space="preserve"> </w:t>
      </w:r>
      <w:r w:rsidRPr="00106226" w:rsidR="00106226">
        <w:t>otherwise responded</w:t>
      </w:r>
      <w:r w:rsidR="00106226">
        <w:t>”</w:t>
      </w:r>
      <w:r w:rsidR="00DC62EC">
        <w:t xml:space="preserve">; that studies have shown children </w:t>
      </w:r>
      <w:r w:rsidR="00610775">
        <w:t>with</w:t>
      </w:r>
      <w:r w:rsidR="00DC62EC">
        <w:t xml:space="preserve"> a history of trauma, including sexual abuse, </w:t>
      </w:r>
      <w:r w:rsidR="00B6640E">
        <w:t>to b</w:t>
      </w:r>
      <w:r w:rsidR="00DC62EC">
        <w:t>e</w:t>
      </w:r>
      <w:r w:rsidR="00610775">
        <w:t xml:space="preserve"> </w:t>
      </w:r>
      <w:r w:rsidR="00DC62EC">
        <w:t xml:space="preserve">less </w:t>
      </w:r>
      <w:r w:rsidR="00E23C8E">
        <w:t>suggestible</w:t>
      </w:r>
      <w:r w:rsidR="002560CB">
        <w:t xml:space="preserve"> </w:t>
      </w:r>
      <w:r w:rsidR="00065953">
        <w:t>in general than other children</w:t>
      </w:r>
      <w:r w:rsidR="00E23C8E">
        <w:t xml:space="preserve">; that for ethical reasons no studies exist of </w:t>
      </w:r>
      <w:r w:rsidR="00610775">
        <w:t xml:space="preserve">how </w:t>
      </w:r>
      <w:r w:rsidR="009061C1">
        <w:t xml:space="preserve">suggestible children </w:t>
      </w:r>
      <w:r w:rsidR="00672AAB">
        <w:t>a</w:t>
      </w:r>
      <w:r w:rsidR="009061C1">
        <w:t xml:space="preserve">re to </w:t>
      </w:r>
      <w:r w:rsidR="00610775">
        <w:t xml:space="preserve">false memories of sexual abuse; and </w:t>
      </w:r>
      <w:r w:rsidR="009061C1">
        <w:t xml:space="preserve">that </w:t>
      </w:r>
      <w:r w:rsidR="005F5E46">
        <w:t xml:space="preserve">while it is normal for children to lie about little things </w:t>
      </w:r>
      <w:r w:rsidR="0085055C">
        <w:t>or</w:t>
      </w:r>
      <w:r w:rsidR="00B6640E">
        <w:t xml:space="preserve"> </w:t>
      </w:r>
      <w:r w:rsidRPr="00070B4D" w:rsidR="005F5E46">
        <w:t>to get out of trouble</w:t>
      </w:r>
      <w:r w:rsidR="005F5E46">
        <w:t xml:space="preserve">, it is rare </w:t>
      </w:r>
      <w:r w:rsidR="00280D64">
        <w:t xml:space="preserve">for them </w:t>
      </w:r>
      <w:r w:rsidR="005F5E46">
        <w:t xml:space="preserve">to lie </w:t>
      </w:r>
      <w:r w:rsidRPr="00070B4D" w:rsidR="005F5E46">
        <w:t>to get caregivers in trouble</w:t>
      </w:r>
      <w:r w:rsidR="005F5E46">
        <w:t xml:space="preserve">, </w:t>
      </w:r>
      <w:r w:rsidR="00000DE4">
        <w:t>or to falsely report negative event</w:t>
      </w:r>
      <w:r>
        <w:t>s</w:t>
      </w:r>
      <w:r w:rsidR="00000DE4">
        <w:t xml:space="preserve"> or one</w:t>
      </w:r>
      <w:r>
        <w:t>s</w:t>
      </w:r>
      <w:r w:rsidR="00000DE4">
        <w:t xml:space="preserve"> outside </w:t>
      </w:r>
      <w:r w:rsidR="00AD4F19">
        <w:t>t</w:t>
      </w:r>
      <w:r w:rsidR="00000DE4">
        <w:t>he</w:t>
      </w:r>
      <w:r w:rsidR="00AD4F19">
        <w:t>i</w:t>
      </w:r>
      <w:r w:rsidR="00000DE4">
        <w:t>r experience</w:t>
      </w:r>
      <w:r w:rsidR="00417B18">
        <w:t>.</w:t>
      </w:r>
    </w:p>
    <w:p w:rsidR="00CA7B92" w:rsidP="00CA7B92" w14:paraId="6853ABB6" w14:textId="6CF234CB">
      <w:r>
        <w:t xml:space="preserve">On recross, </w:t>
      </w:r>
      <w:r w:rsidR="001E4870">
        <w:t>Dr.</w:t>
      </w:r>
      <w:r w:rsidR="008436DC">
        <w:t> </w:t>
      </w:r>
      <w:r>
        <w:t xml:space="preserve">Washington tied together </w:t>
      </w:r>
      <w:r w:rsidR="003660A0">
        <w:t xml:space="preserve">some </w:t>
      </w:r>
      <w:r>
        <w:t xml:space="preserve">of those points </w:t>
      </w:r>
      <w:r w:rsidR="003660A0">
        <w:t xml:space="preserve">as follows: </w:t>
      </w:r>
      <w:r w:rsidR="00AA1CD7">
        <w:t xml:space="preserve"> </w:t>
      </w:r>
      <w:r>
        <w:t>“</w:t>
      </w:r>
      <w:r w:rsidRPr="00051E03">
        <w:t>it</w:t>
      </w:r>
      <w:r w:rsidR="00051E03">
        <w:t>’</w:t>
      </w:r>
      <w:r w:rsidRPr="00051E03">
        <w:t>s hard to create a false memory if it</w:t>
      </w:r>
      <w:r w:rsidR="00051E03">
        <w:t>’</w:t>
      </w:r>
      <w:r w:rsidRPr="00051E03">
        <w:t>s an implausible memory for a child.</w:t>
      </w:r>
      <w:r w:rsidRPr="00A7268E">
        <w:t xml:space="preserve"> </w:t>
      </w:r>
      <w:r w:rsidR="00051E03">
        <w:t xml:space="preserve">. . . </w:t>
      </w:r>
      <w:r w:rsidRPr="00051E03">
        <w:t xml:space="preserve">Sexual abuse is </w:t>
      </w:r>
      <w:r w:rsidR="00051E03">
        <w:t xml:space="preserve">. . . </w:t>
      </w:r>
      <w:r w:rsidRPr="00051E03">
        <w:t xml:space="preserve">difficult to understand and imagine for most children who </w:t>
      </w:r>
      <w:r w:rsidRPr="009C160C">
        <w:t>haven</w:t>
      </w:r>
      <w:r w:rsidRPr="009C160C" w:rsidR="00ED38D2">
        <w:t>’</w:t>
      </w:r>
      <w:r w:rsidRPr="009C160C">
        <w:t>t</w:t>
      </w:r>
      <w:r w:rsidRPr="00051E03">
        <w:t xml:space="preserve"> had that experience</w:t>
      </w:r>
      <w:r w:rsidRPr="00A7268E">
        <w:t>, and so that would be an</w:t>
      </w:r>
      <w:r>
        <w:t xml:space="preserve"> </w:t>
      </w:r>
      <w:r w:rsidRPr="00A7268E">
        <w:t xml:space="preserve">implausible event to </w:t>
      </w:r>
      <w:r w:rsidR="005E76C1">
        <w:t xml:space="preserve">. . . </w:t>
      </w:r>
      <w:r w:rsidRPr="00A7268E">
        <w:t>come up with for a child on</w:t>
      </w:r>
      <w:r>
        <w:t xml:space="preserve"> </w:t>
      </w:r>
      <w:r w:rsidRPr="00A7268E">
        <w:t>their own.</w:t>
      </w:r>
      <w:r w:rsidRPr="009C160C" w:rsidR="00D97BB4">
        <w:t xml:space="preserve"> </w:t>
      </w:r>
      <w:r w:rsidRPr="00A7268E">
        <w:t xml:space="preserve"> </w:t>
      </w:r>
      <w:r w:rsidRPr="00051E03">
        <w:t>It would be potentially easier to have the understanding of sexual abuse if the child has been previously sexually abused, and so in that way it would be more of a plausible event</w:t>
      </w:r>
      <w:r w:rsidRPr="00A7268E">
        <w:t xml:space="preserve">. </w:t>
      </w:r>
      <w:r w:rsidR="00AA1CD7">
        <w:t xml:space="preserve"> </w:t>
      </w:r>
      <w:r w:rsidR="005E76C1">
        <w:t xml:space="preserve">[However] </w:t>
      </w:r>
      <w:r w:rsidRPr="00051E03">
        <w:t xml:space="preserve">the research studies that looked at suggestibility showed that children with </w:t>
      </w:r>
      <w:r w:rsidR="005E76C1">
        <w:t>[a</w:t>
      </w:r>
      <w:r w:rsidR="004526DF">
        <w:t>] . . .</w:t>
      </w:r>
      <w:r w:rsidR="00AA1CD7">
        <w:t xml:space="preserve"> </w:t>
      </w:r>
      <w:r w:rsidRPr="00051E03">
        <w:t xml:space="preserve">history </w:t>
      </w:r>
      <w:r w:rsidR="004526DF">
        <w:t>[o</w:t>
      </w:r>
      <w:r w:rsidRPr="0091735F" w:rsidR="004526DF">
        <w:rPr>
          <w:spacing w:val="20"/>
        </w:rPr>
        <w:t>f</w:t>
      </w:r>
      <w:r w:rsidR="004526DF">
        <w:t xml:space="preserve">] </w:t>
      </w:r>
      <w:r w:rsidRPr="00051E03">
        <w:t xml:space="preserve">sexual abuse or physical abuse were even </w:t>
      </w:r>
      <w:r w:rsidRPr="009C160C">
        <w:t>more resistant to suggestibility probably for other reasons</w:t>
      </w:r>
      <w:r w:rsidRPr="009C160C" w:rsidR="004526DF">
        <w:t xml:space="preserve"> . . .</w:t>
      </w:r>
      <w:r w:rsidRPr="009C160C" w:rsidR="00AA1CD7">
        <w:t> </w:t>
      </w:r>
      <w:r w:rsidRPr="009C160C">
        <w:t xml:space="preserve">. </w:t>
      </w:r>
      <w:r w:rsidRPr="009C160C" w:rsidR="00AA1CD7">
        <w:t xml:space="preserve"> </w:t>
      </w:r>
      <w:r w:rsidRPr="009C160C">
        <w:t>So</w:t>
      </w:r>
      <w:r w:rsidR="00CD3921">
        <w:t> </w:t>
      </w:r>
      <w:r w:rsidRPr="009C160C">
        <w:t>even though</w:t>
      </w:r>
      <w:r w:rsidRPr="00051E03">
        <w:t xml:space="preserve"> </w:t>
      </w:r>
      <w:r w:rsidRPr="009C160C" w:rsidR="00C01ABA">
        <w:t xml:space="preserve">[sexual abuse is] </w:t>
      </w:r>
      <w:r w:rsidRPr="009C160C">
        <w:t>more plausible maybe for them they have other reasons to be</w:t>
      </w:r>
      <w:r w:rsidRPr="00051E03">
        <w:t xml:space="preserve"> more resistant to suggestibility in forensic interview settings</w:t>
      </w:r>
      <w:r w:rsidRPr="009C160C">
        <w:t>.</w:t>
      </w:r>
      <w:r w:rsidRPr="009C160C" w:rsidR="00C01ABA">
        <w:t>”</w:t>
      </w:r>
    </w:p>
    <w:p w:rsidR="002663FE" w:rsidP="009A3CDC" w14:paraId="4963A6AC" w14:textId="5BC689FF">
      <w:pPr>
        <w:pStyle w:val="Heading2"/>
        <w:numPr>
          <w:ilvl w:val="0"/>
          <w:numId w:val="22"/>
        </w:numPr>
      </w:pPr>
      <w:r>
        <w:t>Verdict and Sentence</w:t>
      </w:r>
    </w:p>
    <w:p w:rsidR="006D0EB5" w:rsidRPr="00781DFB" w:rsidP="0095429A" w14:paraId="243EA40A" w14:textId="0486E675">
      <w:r>
        <w:t xml:space="preserve">The jury found defendant guilty on all </w:t>
      </w:r>
      <w:r w:rsidR="00C514BC">
        <w:t>twenty-two</w:t>
      </w:r>
      <w:r>
        <w:t xml:space="preserve"> counts</w:t>
      </w:r>
      <w:r w:rsidR="00CF64BE">
        <w:t xml:space="preserve"> and found true the allegations that the </w:t>
      </w:r>
      <w:r w:rsidR="008C494F">
        <w:t>four</w:t>
      </w:r>
      <w:r w:rsidR="00C40AE5">
        <w:t xml:space="preserve"> forcible</w:t>
      </w:r>
      <w:r w:rsidR="00C02F36">
        <w:t xml:space="preserve"> </w:t>
      </w:r>
      <w:r w:rsidR="00C40AE5">
        <w:t>lewd</w:t>
      </w:r>
      <w:r w:rsidR="00C02F36">
        <w:t xml:space="preserve"> </w:t>
      </w:r>
      <w:r w:rsidR="00C40AE5">
        <w:t>act counts involved substantial sexual conduct</w:t>
      </w:r>
      <w:r>
        <w:t>.</w:t>
      </w:r>
      <w:r w:rsidR="00C02F36">
        <w:t xml:space="preserve"> </w:t>
      </w:r>
      <w:r w:rsidR="00062755">
        <w:t xml:space="preserve"> The court sentenced </w:t>
      </w:r>
      <w:r w:rsidRPr="00781DFB" w:rsidR="00062755">
        <w:t>him to prison for 32 years</w:t>
      </w:r>
      <w:r w:rsidRPr="00781DFB" w:rsidR="00B33CD8">
        <w:t xml:space="preserve"> </w:t>
      </w:r>
      <w:r w:rsidRPr="00CC057A" w:rsidR="00B33CD8">
        <w:t>(</w:t>
      </w:r>
      <w:r w:rsidRPr="00CC057A" w:rsidR="009119D3">
        <w:t xml:space="preserve">comprising </w:t>
      </w:r>
      <w:r w:rsidRPr="00CC057A" w:rsidR="00203831">
        <w:t xml:space="preserve">the </w:t>
      </w:r>
      <w:r w:rsidR="008C494F">
        <w:t>eight</w:t>
      </w:r>
      <w:r w:rsidRPr="00CC057A" w:rsidR="00101236">
        <w:noBreakHyphen/>
        <w:t xml:space="preserve">year </w:t>
      </w:r>
      <w:r w:rsidRPr="00CC057A" w:rsidR="00203831">
        <w:t xml:space="preserve">middle term on each of the </w:t>
      </w:r>
      <w:r w:rsidR="008C494F">
        <w:t>four</w:t>
      </w:r>
      <w:r w:rsidRPr="00CC057A" w:rsidR="00203831">
        <w:t xml:space="preserve"> </w:t>
      </w:r>
      <w:r w:rsidRPr="00CC057A" w:rsidR="00101236">
        <w:t>forcible</w:t>
      </w:r>
      <w:r w:rsidRPr="00CC057A" w:rsidR="00C02F36">
        <w:t xml:space="preserve"> </w:t>
      </w:r>
      <w:r w:rsidRPr="00CC057A" w:rsidR="00101236">
        <w:t>lewd</w:t>
      </w:r>
      <w:r w:rsidRPr="00CC057A" w:rsidR="00C02F36">
        <w:t xml:space="preserve"> </w:t>
      </w:r>
      <w:r w:rsidRPr="00CC057A" w:rsidR="00101236">
        <w:t>act</w:t>
      </w:r>
      <w:r w:rsidRPr="00CC057A" w:rsidR="00D13231">
        <w:t xml:space="preserve"> counts</w:t>
      </w:r>
      <w:r w:rsidRPr="00CC057A" w:rsidR="00CC057A">
        <w:t>)</w:t>
      </w:r>
      <w:r w:rsidRPr="00CC057A" w:rsidR="00101236">
        <w:t xml:space="preserve"> (§ </w:t>
      </w:r>
      <w:r w:rsidRPr="00CC057A" w:rsidR="00BD5F05">
        <w:t>288, subd.</w:t>
      </w:r>
      <w:r w:rsidRPr="00CC057A" w:rsidR="00C02F36">
        <w:t> </w:t>
      </w:r>
      <w:r w:rsidRPr="00CC057A" w:rsidR="00BD5F05">
        <w:t>(b)(1)</w:t>
      </w:r>
      <w:r w:rsidRPr="00CC057A" w:rsidR="00B33CD8">
        <w:t>)</w:t>
      </w:r>
      <w:r w:rsidR="00101236">
        <w:t xml:space="preserve"> </w:t>
      </w:r>
      <w:r w:rsidR="00062755">
        <w:t>plus 135 years to life</w:t>
      </w:r>
      <w:r w:rsidR="001C684D">
        <w:t xml:space="preserve"> (</w:t>
      </w:r>
      <w:r w:rsidR="00062755">
        <w:t>compris</w:t>
      </w:r>
      <w:r w:rsidR="00101236">
        <w:t>ing</w:t>
      </w:r>
      <w:r w:rsidR="00062755">
        <w:t xml:space="preserve"> </w:t>
      </w:r>
      <w:r w:rsidR="006B3D6B">
        <w:t>nine</w:t>
      </w:r>
      <w:r w:rsidR="00203831">
        <w:t xml:space="preserve"> term</w:t>
      </w:r>
      <w:r w:rsidR="00DB0E2B">
        <w:t>s</w:t>
      </w:r>
      <w:r w:rsidR="00203831">
        <w:t xml:space="preserve"> of 15</w:t>
      </w:r>
      <w:r w:rsidR="003D4325">
        <w:t> </w:t>
      </w:r>
      <w:r w:rsidR="00203831">
        <w:t>years to life</w:t>
      </w:r>
      <w:r w:rsidR="00DB0E2B">
        <w:t xml:space="preserve">, </w:t>
      </w:r>
      <w:r w:rsidRPr="00781DFB" w:rsidR="00DB0E2B">
        <w:t>as</w:t>
      </w:r>
      <w:r w:rsidRPr="00781DFB" w:rsidR="00203831">
        <w:t xml:space="preserve"> </w:t>
      </w:r>
      <w:r w:rsidRPr="00781DFB" w:rsidR="00E879A8">
        <w:t>requir</w:t>
      </w:r>
      <w:r w:rsidRPr="00781DFB" w:rsidR="00203831">
        <w:t xml:space="preserve">ed by section </w:t>
      </w:r>
      <w:r w:rsidRPr="00781DFB" w:rsidR="0000093F">
        <w:t>269</w:t>
      </w:r>
      <w:r w:rsidRPr="00781DFB" w:rsidR="0033164F">
        <w:t>, subdivision</w:t>
      </w:r>
      <w:r w:rsidRPr="00781DFB" w:rsidR="00C02F36">
        <w:t> </w:t>
      </w:r>
      <w:r w:rsidRPr="00781DFB" w:rsidR="0033164F">
        <w:t>(b),</w:t>
      </w:r>
      <w:r w:rsidRPr="00781DFB" w:rsidR="00203831">
        <w:t xml:space="preserve"> for each count of aggravated sexual</w:t>
      </w:r>
      <w:r w:rsidR="00203831">
        <w:t xml:space="preserve"> abuse of a child</w:t>
      </w:r>
      <w:r w:rsidR="001C684D">
        <w:t>)</w:t>
      </w:r>
      <w:r w:rsidR="00DB0E2B">
        <w:t>.</w:t>
      </w:r>
      <w:r w:rsidR="001046C3">
        <w:t xml:space="preserve"> </w:t>
      </w:r>
      <w:r w:rsidRPr="00781DFB" w:rsidR="00387D3B">
        <w:t xml:space="preserve"> </w:t>
      </w:r>
      <w:r w:rsidR="001046C3">
        <w:t>(The court also imposed sentences of 15</w:t>
      </w:r>
      <w:r w:rsidR="00FF3C4B">
        <w:t> </w:t>
      </w:r>
      <w:r w:rsidR="001046C3">
        <w:t xml:space="preserve">years to life on each of the </w:t>
      </w:r>
      <w:r w:rsidR="006B3D6B">
        <w:t xml:space="preserve">nine </w:t>
      </w:r>
      <w:r w:rsidR="001046C3">
        <w:t xml:space="preserve">counts of </w:t>
      </w:r>
      <w:r w:rsidRPr="00781DFB" w:rsidR="001046C3">
        <w:t>sexual acts with a child (§ 288.7, subd.</w:t>
      </w:r>
      <w:r w:rsidRPr="00781DFB" w:rsidR="00FE36F7">
        <w:t> </w:t>
      </w:r>
      <w:r w:rsidRPr="00781DFB" w:rsidR="001046C3">
        <w:t>(b)) but stayed those sentences pursuant to section 654.</w:t>
      </w:r>
      <w:r w:rsidRPr="00781DFB" w:rsidR="009463D3">
        <w:t>)</w:t>
      </w:r>
      <w:r w:rsidRPr="00781DFB" w:rsidR="00FE36F7">
        <w:t xml:space="preserve"> </w:t>
      </w:r>
      <w:r w:rsidRPr="00781DFB" w:rsidR="00DB0E2B">
        <w:t xml:space="preserve"> Defendant timely appealed.</w:t>
      </w:r>
    </w:p>
    <w:p w:rsidR="00CB0FE2" w:rsidRPr="00FC6809" w:rsidP="00394626" w14:paraId="3FB6CA55" w14:textId="5004AB6E">
      <w:pPr>
        <w:pStyle w:val="Heading1"/>
      </w:pPr>
      <w:r w:rsidRPr="00FC6809">
        <w:t>DISCUSSION</w:t>
      </w:r>
    </w:p>
    <w:p w:rsidR="00D752D9" w:rsidP="00DD4AF2" w14:paraId="072B2780" w14:textId="7947BDAC">
      <w:pPr>
        <w:pStyle w:val="Heading2"/>
        <w:numPr>
          <w:ilvl w:val="0"/>
          <w:numId w:val="24"/>
        </w:numPr>
      </w:pPr>
      <w:r>
        <w:t>Defendant’s Challenges to His Convictions</w:t>
      </w:r>
    </w:p>
    <w:p w:rsidR="005D2BA2" w:rsidRPr="007432F5" w:rsidP="00FE36F7" w14:paraId="23EE274C" w14:textId="49EC5154">
      <w:r>
        <w:t>Defendant</w:t>
      </w:r>
      <w:r w:rsidR="00B52ECE">
        <w:t xml:space="preserve"> </w:t>
      </w:r>
      <w:r>
        <w:t>conten</w:t>
      </w:r>
      <w:r w:rsidR="00B52ECE">
        <w:t>d</w:t>
      </w:r>
      <w:r>
        <w:t xml:space="preserve">s that </w:t>
      </w:r>
      <w:r w:rsidR="001E01FB">
        <w:t xml:space="preserve">we must reverse </w:t>
      </w:r>
      <w:r w:rsidR="00486261">
        <w:t xml:space="preserve">his convictions </w:t>
      </w:r>
      <w:r w:rsidR="009D15EC">
        <w:t xml:space="preserve">of aggravated sexual abuse </w:t>
      </w:r>
      <w:r w:rsidR="00EC16CA">
        <w:t xml:space="preserve">and </w:t>
      </w:r>
      <w:r w:rsidR="009D15EC">
        <w:t>forcible lewd acts</w:t>
      </w:r>
      <w:r w:rsidR="00EC16CA">
        <w:t xml:space="preserve">, </w:t>
      </w:r>
      <w:r w:rsidR="00623A0E">
        <w:t xml:space="preserve">each of which </w:t>
      </w:r>
      <w:r w:rsidR="001C776B">
        <w:t>include</w:t>
      </w:r>
      <w:r w:rsidR="00623A0E">
        <w:t>s</w:t>
      </w:r>
      <w:r w:rsidR="001C776B">
        <w:t xml:space="preserve"> </w:t>
      </w:r>
      <w:r w:rsidR="009D15EC">
        <w:t xml:space="preserve">the </w:t>
      </w:r>
      <w:r w:rsidR="001C776B">
        <w:t xml:space="preserve">element of </w:t>
      </w:r>
      <w:r w:rsidRPr="00D11BBF" w:rsidR="00D11BBF">
        <w:t>“force,</w:t>
      </w:r>
      <w:r w:rsidR="00D11BBF">
        <w:t xml:space="preserve"> </w:t>
      </w:r>
      <w:r w:rsidRPr="00D11BBF" w:rsidR="00D11BBF">
        <w:t>violence, duress, menace, or fear of immediate and unlawful bodily</w:t>
      </w:r>
      <w:r w:rsidR="00D11BBF">
        <w:t xml:space="preserve"> </w:t>
      </w:r>
      <w:r w:rsidRPr="00D11BBF" w:rsidR="00D11BBF">
        <w:t>injury”</w:t>
      </w:r>
      <w:r w:rsidR="00D11BBF">
        <w:t xml:space="preserve"> </w:t>
      </w:r>
      <w:r w:rsidRPr="00096A3D" w:rsidR="00D11BBF">
        <w:t>(§</w:t>
      </w:r>
      <w:r w:rsidR="00096A3D">
        <w:t>§</w:t>
      </w:r>
      <w:r w:rsidR="00D11BBF">
        <w:t xml:space="preserve"> 269, </w:t>
      </w:r>
      <w:r w:rsidR="009D15EC">
        <w:t>subd.</w:t>
      </w:r>
      <w:r w:rsidR="00FE36F7">
        <w:t> </w:t>
      </w:r>
      <w:r w:rsidR="009D15EC">
        <w:t>(a)(4)</w:t>
      </w:r>
      <w:r w:rsidR="00F610F6">
        <w:t>,</w:t>
      </w:r>
      <w:r w:rsidR="009D15EC">
        <w:t xml:space="preserve"> 287, subd.</w:t>
      </w:r>
      <w:r w:rsidR="00794BD1">
        <w:t> </w:t>
      </w:r>
      <w:r w:rsidR="009D15EC">
        <w:t>(c)(2)(B), 288, subd. (b)</w:t>
      </w:r>
      <w:r w:rsidR="00D11BBF">
        <w:t>)</w:t>
      </w:r>
      <w:r w:rsidR="00BD18CA">
        <w:t>,</w:t>
      </w:r>
      <w:r w:rsidR="00D11BBF">
        <w:t xml:space="preserve"> </w:t>
      </w:r>
      <w:r w:rsidR="001C776B">
        <w:t xml:space="preserve">because no substantial evidence </w:t>
      </w:r>
      <w:r w:rsidR="00581905">
        <w:t xml:space="preserve">showed </w:t>
      </w:r>
      <w:r w:rsidR="001C776B">
        <w:t xml:space="preserve">that he used </w:t>
      </w:r>
      <w:r w:rsidR="00145831">
        <w:t>such means</w:t>
      </w:r>
      <w:r w:rsidR="001C776B">
        <w:t xml:space="preserve"> to abuse</w:t>
      </w:r>
      <w:r w:rsidR="00716C45">
        <w:t xml:space="preserve"> Jane</w:t>
      </w:r>
      <w:r w:rsidRPr="00781DFB" w:rsidR="001C776B">
        <w:t>.</w:t>
      </w:r>
      <w:r w:rsidRPr="00781DFB" w:rsidR="005B469F">
        <w:t xml:space="preserve"> </w:t>
      </w:r>
      <w:r w:rsidR="001C776B">
        <w:t xml:space="preserve"> </w:t>
      </w:r>
      <w:r w:rsidR="00F610F6">
        <w:t>A</w:t>
      </w:r>
      <w:r w:rsidR="007404F8">
        <w:t> </w:t>
      </w:r>
      <w:r w:rsidR="00F610F6">
        <w:t>substantial-evidence</w:t>
      </w:r>
      <w:r w:rsidR="00C10F82">
        <w:t xml:space="preserve"> claim </w:t>
      </w:r>
      <w:r w:rsidR="000E78C0">
        <w:t xml:space="preserve">can succeed </w:t>
      </w:r>
      <w:r w:rsidR="00F91D39">
        <w:t xml:space="preserve">on appeal </w:t>
      </w:r>
      <w:r w:rsidR="000E78C0">
        <w:t xml:space="preserve">only if, </w:t>
      </w:r>
      <w:r w:rsidR="004F62D8">
        <w:t xml:space="preserve">after reviewing </w:t>
      </w:r>
      <w:r w:rsidRPr="00B22FB6" w:rsidR="00B22FB6">
        <w:t xml:space="preserve">the record in </w:t>
      </w:r>
      <w:r w:rsidR="004F62D8">
        <w:t xml:space="preserve">a </w:t>
      </w:r>
      <w:r w:rsidRPr="00B22FB6" w:rsidR="00B22FB6">
        <w:t>light most favorable to the judgment</w:t>
      </w:r>
      <w:r w:rsidR="004F62D8">
        <w:t xml:space="preserve">, we find </w:t>
      </w:r>
      <w:r w:rsidR="00B1198F">
        <w:t xml:space="preserve">no </w:t>
      </w:r>
      <w:r w:rsidRPr="00781DFB" w:rsidR="00B22FB6">
        <w:t xml:space="preserve">evidence that is </w:t>
      </w:r>
      <w:r w:rsidRPr="00781DFB" w:rsidR="00C10F82">
        <w:t>“</w:t>
      </w:r>
      <w:r w:rsidR="00585946">
        <w:t> </w:t>
      </w:r>
      <w:r w:rsidR="00317728">
        <w:t>‘ “ ‘</w:t>
      </w:r>
      <w:r w:rsidRPr="00781DFB" w:rsidR="00B22FB6">
        <w:t>reasonable, credible, and of solid value, from which a rational</w:t>
      </w:r>
      <w:r w:rsidRPr="00B22FB6" w:rsidR="00B22FB6">
        <w:t xml:space="preserve"> trier of fact could find [the </w:t>
      </w:r>
      <w:r w:rsidR="004F62D8">
        <w:t xml:space="preserve">disputed </w:t>
      </w:r>
      <w:r w:rsidRPr="00B22FB6" w:rsidR="00B22FB6">
        <w:t>element] beyond a reasonable doubt.</w:t>
      </w:r>
      <w:r w:rsidR="00EB444E">
        <w:t>’ ” ’ </w:t>
      </w:r>
      <w:r w:rsidRPr="00B22FB6" w:rsidR="00B22FB6">
        <w:t xml:space="preserve">” </w:t>
      </w:r>
      <w:r w:rsidR="00FE36F7">
        <w:t xml:space="preserve"> </w:t>
      </w:r>
      <w:r w:rsidRPr="00B22FB6" w:rsidR="00B22FB6">
        <w:t>(</w:t>
      </w:r>
      <w:r w:rsidRPr="00B22FB6" w:rsidR="00B22FB6">
        <w:rPr>
          <w:i/>
          <w:iCs/>
        </w:rPr>
        <w:t>In</w:t>
      </w:r>
      <w:r w:rsidR="00B1198F">
        <w:rPr>
          <w:i/>
          <w:iCs/>
        </w:rPr>
        <w:t> </w:t>
      </w:r>
      <w:r w:rsidRPr="00B22FB6" w:rsidR="00B22FB6">
        <w:rPr>
          <w:i/>
          <w:iCs/>
        </w:rPr>
        <w:t>re O.D.</w:t>
      </w:r>
      <w:r w:rsidR="00FE36F7">
        <w:t xml:space="preserve"> </w:t>
      </w:r>
      <w:r w:rsidRPr="00B22FB6" w:rsidR="00B22FB6">
        <w:t>(2013) 221</w:t>
      </w:r>
      <w:r w:rsidR="00B4155D">
        <w:t> </w:t>
      </w:r>
      <w:r w:rsidRPr="00B22FB6" w:rsidR="00B22FB6">
        <w:t>Cal.App.4th 1001, 1009.)</w:t>
      </w:r>
      <w:r w:rsidR="007432F5">
        <w:t xml:space="preserve"> </w:t>
      </w:r>
      <w:r w:rsidR="00FE36F7">
        <w:t xml:space="preserve"> </w:t>
      </w:r>
      <w:r w:rsidRPr="0081679D" w:rsidR="0081679D">
        <w:t xml:space="preserve">We do not reweigh, resolve conflicts in, or reevaluate the credibility of </w:t>
      </w:r>
      <w:r w:rsidR="0081679D">
        <w:t>the evidence</w:t>
      </w:r>
      <w:r w:rsidR="00B25C64">
        <w:t xml:space="preserve">; nor do we </w:t>
      </w:r>
      <w:r w:rsidR="001848F2">
        <w:t>de</w:t>
      </w:r>
      <w:r w:rsidR="00786D54">
        <w:t>cid</w:t>
      </w:r>
      <w:r w:rsidR="001848F2">
        <w:t xml:space="preserve">e </w:t>
      </w:r>
      <w:r w:rsidR="00786D54">
        <w:t xml:space="preserve">if </w:t>
      </w:r>
      <w:r w:rsidRPr="009E7BED" w:rsidR="001848F2">
        <w:rPr>
          <w:i/>
          <w:iCs/>
        </w:rPr>
        <w:t>we</w:t>
      </w:r>
      <w:r w:rsidR="001848F2">
        <w:t xml:space="preserve"> </w:t>
      </w:r>
      <w:r w:rsidR="009E7BED">
        <w:t xml:space="preserve">find that </w:t>
      </w:r>
      <w:r w:rsidR="001848F2">
        <w:t xml:space="preserve">it </w:t>
      </w:r>
      <w:r w:rsidR="009E7BED">
        <w:t xml:space="preserve">proves </w:t>
      </w:r>
      <w:r w:rsidR="001848F2">
        <w:t xml:space="preserve">guilt beyond a reasonable doubt, but only </w:t>
      </w:r>
      <w:r w:rsidR="00D6344F">
        <w:t>if</w:t>
      </w:r>
      <w:r w:rsidR="001848F2">
        <w:t xml:space="preserve"> </w:t>
      </w:r>
      <w:r w:rsidRPr="009E7BED" w:rsidR="001848F2">
        <w:rPr>
          <w:i/>
          <w:iCs/>
        </w:rPr>
        <w:t>any</w:t>
      </w:r>
      <w:r w:rsidR="001848F2">
        <w:t xml:space="preserve"> rational trier of fact could have so found.</w:t>
      </w:r>
      <w:r w:rsidR="00FE36F7">
        <w:t xml:space="preserve"> </w:t>
      </w:r>
      <w:r w:rsidR="00BC0394">
        <w:t xml:space="preserve"> (</w:t>
      </w:r>
      <w:r w:rsidR="005A7D13">
        <w:rPr>
          <w:i/>
          <w:iCs/>
        </w:rPr>
        <w:t>People v. Cochran</w:t>
      </w:r>
      <w:r w:rsidR="005A7D13">
        <w:t xml:space="preserve"> (2002) 103</w:t>
      </w:r>
      <w:r w:rsidR="00786D54">
        <w:t> </w:t>
      </w:r>
      <w:r w:rsidR="005A7D13">
        <w:t>Cal.App.4th</w:t>
      </w:r>
      <w:r w:rsidR="007E1F8B">
        <w:t xml:space="preserve"> </w:t>
      </w:r>
      <w:r w:rsidR="005A7D13">
        <w:t>8, 1</w:t>
      </w:r>
      <w:r w:rsidR="001F389E">
        <w:t>3</w:t>
      </w:r>
      <w:r w:rsidR="005A7D13">
        <w:t xml:space="preserve">, overruled on another point in </w:t>
      </w:r>
      <w:r w:rsidRPr="001B5C91" w:rsidR="00937D96">
        <w:rPr>
          <w:i/>
          <w:iCs/>
        </w:rPr>
        <w:t>People v. Soto</w:t>
      </w:r>
      <w:r w:rsidRPr="001B5C91" w:rsidR="00937D96">
        <w:t xml:space="preserve"> (2011) </w:t>
      </w:r>
      <w:bookmarkStart w:id="0" w:name="_Hlk126605356"/>
      <w:r w:rsidRPr="00723096" w:rsidR="00937D96">
        <w:rPr>
          <w:spacing w:val="-2"/>
        </w:rPr>
        <w:t>51</w:t>
      </w:r>
      <w:r w:rsidRPr="00723096" w:rsidR="000B1A8F">
        <w:rPr>
          <w:spacing w:val="-2"/>
        </w:rPr>
        <w:t> </w:t>
      </w:r>
      <w:r w:rsidRPr="00723096" w:rsidR="00937D96">
        <w:rPr>
          <w:spacing w:val="-2"/>
        </w:rPr>
        <w:t>Cal.4th 229</w:t>
      </w:r>
      <w:bookmarkEnd w:id="0"/>
      <w:r w:rsidRPr="00723096" w:rsidR="00937D96">
        <w:rPr>
          <w:spacing w:val="-2"/>
        </w:rPr>
        <w:t xml:space="preserve">, </w:t>
      </w:r>
      <w:r w:rsidRPr="00723096" w:rsidR="005A7D13">
        <w:rPr>
          <w:spacing w:val="-2"/>
        </w:rPr>
        <w:t>248, fn.</w:t>
      </w:r>
      <w:r w:rsidRPr="00723096" w:rsidR="00FE36F7">
        <w:rPr>
          <w:spacing w:val="-2"/>
        </w:rPr>
        <w:t> </w:t>
      </w:r>
      <w:r w:rsidRPr="00723096" w:rsidR="005A7D13">
        <w:rPr>
          <w:spacing w:val="-2"/>
        </w:rPr>
        <w:t>12</w:t>
      </w:r>
      <w:r w:rsidRPr="00723096" w:rsidR="00854D2F">
        <w:rPr>
          <w:spacing w:val="-2"/>
        </w:rPr>
        <w:t xml:space="preserve"> (</w:t>
      </w:r>
      <w:r w:rsidRPr="00723096" w:rsidR="00854D2F">
        <w:rPr>
          <w:i/>
          <w:iCs/>
          <w:spacing w:val="-2"/>
        </w:rPr>
        <w:t>Soto</w:t>
      </w:r>
      <w:r w:rsidRPr="00723096" w:rsidR="00854D2F">
        <w:rPr>
          <w:spacing w:val="-2"/>
        </w:rPr>
        <w:t>)</w:t>
      </w:r>
      <w:r w:rsidRPr="00723096" w:rsidR="005A7D13">
        <w:rPr>
          <w:spacing w:val="-2"/>
        </w:rPr>
        <w:t>.</w:t>
      </w:r>
      <w:r w:rsidRPr="00723096" w:rsidR="00BC0394">
        <w:rPr>
          <w:spacing w:val="-2"/>
        </w:rPr>
        <w:t>)</w:t>
      </w:r>
      <w:r w:rsidRPr="00723096" w:rsidR="00546952">
        <w:rPr>
          <w:spacing w:val="-2"/>
        </w:rPr>
        <w:t xml:space="preserve">  </w:t>
      </w:r>
      <w:r w:rsidRPr="00723096" w:rsidR="0008778F">
        <w:rPr>
          <w:spacing w:val="-2"/>
        </w:rPr>
        <w:t xml:space="preserve">The </w:t>
      </w:r>
      <w:r w:rsidRPr="00723096" w:rsidR="00581905">
        <w:rPr>
          <w:spacing w:val="-2"/>
        </w:rPr>
        <w:t>Attorney General</w:t>
      </w:r>
      <w:r w:rsidRPr="00723096" w:rsidR="00783DC6">
        <w:rPr>
          <w:spacing w:val="-2"/>
        </w:rPr>
        <w:t>,</w:t>
      </w:r>
      <w:r w:rsidRPr="00723096" w:rsidR="00581905">
        <w:rPr>
          <w:spacing w:val="-2"/>
        </w:rPr>
        <w:t xml:space="preserve"> </w:t>
      </w:r>
      <w:r w:rsidRPr="00723096" w:rsidR="00C10F82">
        <w:rPr>
          <w:spacing w:val="-2"/>
        </w:rPr>
        <w:t>implicit</w:t>
      </w:r>
      <w:r w:rsidRPr="00723096" w:rsidR="00921212">
        <w:rPr>
          <w:spacing w:val="-2"/>
        </w:rPr>
        <w:t>ly conced</w:t>
      </w:r>
      <w:r w:rsidRPr="00723096" w:rsidR="00783DC6">
        <w:rPr>
          <w:spacing w:val="-2"/>
        </w:rPr>
        <w:t>ing</w:t>
      </w:r>
      <w:r w:rsidR="00921212">
        <w:t xml:space="preserve"> </w:t>
      </w:r>
      <w:r w:rsidRPr="00406208" w:rsidR="00757995">
        <w:rPr>
          <w:spacing w:val="-2"/>
        </w:rPr>
        <w:t xml:space="preserve">a lack of </w:t>
      </w:r>
      <w:r w:rsidRPr="00406208" w:rsidR="001A0464">
        <w:rPr>
          <w:spacing w:val="-2"/>
        </w:rPr>
        <w:t>proof</w:t>
      </w:r>
      <w:r w:rsidRPr="00406208" w:rsidR="00757995">
        <w:rPr>
          <w:spacing w:val="-2"/>
        </w:rPr>
        <w:t xml:space="preserve"> that defendant used </w:t>
      </w:r>
      <w:r w:rsidRPr="00406208" w:rsidR="00783DC6">
        <w:rPr>
          <w:spacing w:val="-2"/>
        </w:rPr>
        <w:t>force or fear of injury</w:t>
      </w:r>
      <w:r w:rsidRPr="00406208" w:rsidR="00D87818">
        <w:rPr>
          <w:spacing w:val="-2"/>
        </w:rPr>
        <w:t>, argues</w:t>
      </w:r>
      <w:r w:rsidR="00D87818">
        <w:t xml:space="preserve"> that the </w:t>
      </w:r>
      <w:r w:rsidR="00145831">
        <w:t xml:space="preserve">record </w:t>
      </w:r>
      <w:r w:rsidRPr="00781DFB" w:rsidR="00757995">
        <w:t>include</w:t>
      </w:r>
      <w:r w:rsidRPr="00781DFB" w:rsidR="00145831">
        <w:t xml:space="preserve">s </w:t>
      </w:r>
      <w:r w:rsidRPr="00781DFB" w:rsidR="00D87818">
        <w:t xml:space="preserve">evidence </w:t>
      </w:r>
      <w:r w:rsidRPr="00781DFB" w:rsidR="00B4155D">
        <w:t xml:space="preserve">he </w:t>
      </w:r>
      <w:r w:rsidRPr="00781DFB" w:rsidR="001A0464">
        <w:t xml:space="preserve">used </w:t>
      </w:r>
      <w:r w:rsidRPr="00781DFB" w:rsidR="000C1F91">
        <w:t>duress</w:t>
      </w:r>
      <w:r w:rsidRPr="00781DFB" w:rsidR="001C3240">
        <w:t>.</w:t>
      </w:r>
      <w:r w:rsidRPr="00781DFB" w:rsidR="00FE36F7">
        <w:t xml:space="preserve"> </w:t>
      </w:r>
      <w:r w:rsidRPr="00781DFB">
        <w:t xml:space="preserve"> </w:t>
      </w:r>
      <w:r w:rsidRPr="00781DFB" w:rsidR="00F91D39">
        <w:t>W</w:t>
      </w:r>
      <w:r w:rsidRPr="00781DFB">
        <w:t>e agree.</w:t>
      </w:r>
    </w:p>
    <w:p w:rsidR="001E1E8B" w:rsidP="00FE36F7" w14:paraId="6C2EB50E" w14:textId="7B97E583">
      <w:r w:rsidRPr="00781DFB">
        <w:t>D</w:t>
      </w:r>
      <w:r w:rsidRPr="00781DFB" w:rsidR="005D2BA2">
        <w:t xml:space="preserve">uress </w:t>
      </w:r>
      <w:r w:rsidRPr="00781DFB">
        <w:t>is</w:t>
      </w:r>
      <w:r w:rsidRPr="00781DFB" w:rsidR="00480DF4">
        <w:t xml:space="preserve"> </w:t>
      </w:r>
      <w:r w:rsidRPr="00781DFB" w:rsidR="001B5C91">
        <w:t>“</w:t>
      </w:r>
      <w:r w:rsidRPr="00781DFB" w:rsidR="00FE36F7">
        <w:t> </w:t>
      </w:r>
      <w:r w:rsidRPr="00781DFB" w:rsidR="001B5C91">
        <w:t>‘</w:t>
      </w:r>
      <w:r w:rsidR="00D022EC">
        <w:t> </w:t>
      </w:r>
      <w:r w:rsidR="0078128E">
        <w:t>“</w:t>
      </w:r>
      <w:r w:rsidRPr="00781DFB" w:rsidR="001B5C91">
        <w:t>a direct or implied threat of force, violence, danger,</w:t>
      </w:r>
      <w:r w:rsidRPr="00781DFB" w:rsidR="0024733F">
        <w:t xml:space="preserve"> </w:t>
      </w:r>
      <w:r w:rsidRPr="0086774A" w:rsidR="001B5C91">
        <w:t>hardship</w:t>
      </w:r>
      <w:r w:rsidRPr="00781DFB" w:rsidR="0024733F">
        <w:t>,</w:t>
      </w:r>
      <w:r w:rsidR="0024733F">
        <w:t xml:space="preserve"> </w:t>
      </w:r>
      <w:r w:rsidRPr="001B5C91" w:rsidR="001B5C91">
        <w:t>or retribution sufficient to coerce</w:t>
      </w:r>
      <w:r w:rsidR="00FE36F7">
        <w:t xml:space="preserve"> </w:t>
      </w:r>
      <w:r w:rsidRPr="0086774A" w:rsidR="001B5C91">
        <w:t>a reasonable person of ordinary susceptibilities</w:t>
      </w:r>
      <w:r w:rsidR="00FE36F7">
        <w:t xml:space="preserve"> </w:t>
      </w:r>
      <w:r w:rsidRPr="001B5C91" w:rsidR="001B5C91">
        <w:t>to (1)</w:t>
      </w:r>
      <w:r w:rsidR="00FE36F7">
        <w:t> </w:t>
      </w:r>
      <w:r w:rsidRPr="001B5C91" w:rsidR="001B5C91">
        <w:t>perform an act which otherwise would not have been performed or, (2)</w:t>
      </w:r>
      <w:r w:rsidR="001B5C91">
        <w:t> </w:t>
      </w:r>
      <w:r w:rsidRPr="001B5C91" w:rsidR="001B5C91">
        <w:t>acquiesce in an act to which one otherwise would not have submitted.</w:t>
      </w:r>
      <w:r w:rsidR="0078128E">
        <w:t>” </w:t>
      </w:r>
      <w:r w:rsidRPr="001B5C91" w:rsidR="001B5C91">
        <w:t>’</w:t>
      </w:r>
      <w:r w:rsidR="00FE36F7">
        <w:t> </w:t>
      </w:r>
      <w:r w:rsidRPr="001B5C91" w:rsidR="001B5C91">
        <w:t>”</w:t>
      </w:r>
      <w:r w:rsidR="00FE36F7">
        <w:t xml:space="preserve"> </w:t>
      </w:r>
      <w:r w:rsidR="0024733F">
        <w:t xml:space="preserve"> (</w:t>
      </w:r>
      <w:r w:rsidRPr="001B5C91" w:rsidR="001B5C91">
        <w:rPr>
          <w:i/>
          <w:iCs/>
        </w:rPr>
        <w:t>Soto</w:t>
      </w:r>
      <w:r w:rsidR="000B1A8F">
        <w:t xml:space="preserve">, </w:t>
      </w:r>
      <w:r w:rsidR="000B1A8F">
        <w:rPr>
          <w:i/>
          <w:iCs/>
        </w:rPr>
        <w:t>supra</w:t>
      </w:r>
      <w:r w:rsidR="000B1A8F">
        <w:t>,</w:t>
      </w:r>
      <w:r w:rsidRPr="001B5C91" w:rsidR="001B5C91">
        <w:t xml:space="preserve"> 51</w:t>
      </w:r>
      <w:r w:rsidR="00FE36F7">
        <w:t> </w:t>
      </w:r>
      <w:r w:rsidRPr="001B5C91" w:rsidR="001B5C91">
        <w:t xml:space="preserve">Cal.4th </w:t>
      </w:r>
      <w:r w:rsidR="000B1A8F">
        <w:t>at p.</w:t>
      </w:r>
      <w:r w:rsidR="00FE36F7">
        <w:t> </w:t>
      </w:r>
      <w:r w:rsidRPr="001B5C91" w:rsidR="001B5C91">
        <w:t>246</w:t>
      </w:r>
      <w:r w:rsidR="0024733F">
        <w:t xml:space="preserve">, quoting </w:t>
      </w:r>
      <w:r w:rsidR="0024733F">
        <w:rPr>
          <w:i/>
          <w:iCs/>
        </w:rPr>
        <w:t xml:space="preserve">People v. </w:t>
      </w:r>
      <w:r w:rsidR="001A7375">
        <w:rPr>
          <w:i/>
          <w:iCs/>
        </w:rPr>
        <w:t xml:space="preserve">Leal </w:t>
      </w:r>
      <w:r w:rsidR="001A7375">
        <w:t>(2004) 33</w:t>
      </w:r>
      <w:r w:rsidR="00FE36F7">
        <w:t> </w:t>
      </w:r>
      <w:r w:rsidR="001A7375">
        <w:t>Cal.4th 999, 1004</w:t>
      </w:r>
      <w:r w:rsidR="007A2C65">
        <w:t>, italics omitted</w:t>
      </w:r>
      <w:r w:rsidR="001A7375">
        <w:t>.)</w:t>
      </w:r>
      <w:r w:rsidR="00FE36F7">
        <w:t xml:space="preserve"> </w:t>
      </w:r>
      <w:r w:rsidR="009A48C6">
        <w:t xml:space="preserve"> </w:t>
      </w:r>
      <w:r w:rsidR="00AF3096">
        <w:t xml:space="preserve">Duress “involves psychological coercion” and “can arise from various circumstances,” including a defendant and victim’s relationship and relative ages and sizes. </w:t>
      </w:r>
      <w:r w:rsidR="00FE36F7">
        <w:t xml:space="preserve"> </w:t>
      </w:r>
      <w:r w:rsidR="00AF3096">
        <w:t>(</w:t>
      </w:r>
      <w:r w:rsidR="00AF3096">
        <w:rPr>
          <w:i/>
          <w:iCs/>
        </w:rPr>
        <w:t>People v. Espinoz</w:t>
      </w:r>
      <w:r w:rsidR="00AF3096">
        <w:t>a (2002) 95 Cal.App.4th 1287, 1319–</w:t>
      </w:r>
      <w:r w:rsidR="001259AE">
        <w:t>13</w:t>
      </w:r>
      <w:r w:rsidR="00AF3096">
        <w:t xml:space="preserve">20.) </w:t>
      </w:r>
      <w:r w:rsidRPr="00781DFB" w:rsidR="00A2759F">
        <w:t xml:space="preserve"> </w:t>
      </w:r>
      <w:r w:rsidR="00C04222">
        <w:t xml:space="preserve">If the victim is young and </w:t>
      </w:r>
      <w:r w:rsidR="00AF3096">
        <w:t>the defendant is a family member</w:t>
      </w:r>
      <w:r w:rsidR="00C04222">
        <w:t>,</w:t>
      </w:r>
      <w:r w:rsidR="00AF3096">
        <w:t xml:space="preserve"> </w:t>
      </w:r>
      <w:r w:rsidR="00C04222">
        <w:t>“ ‘</w:t>
      </w:r>
      <w:r w:rsidR="007429D3">
        <w:t> </w:t>
      </w:r>
      <w:r w:rsidR="002C08B6">
        <w:t>“</w:t>
      </w:r>
      <w:r w:rsidR="00AF3096">
        <w:t xml:space="preserve">the position of dominance and authority of the defendant and his </w:t>
      </w:r>
      <w:r w:rsidRPr="00781DFB" w:rsidR="00AF3096">
        <w:t>continuous exploitation of the victim</w:t>
      </w:r>
      <w:r w:rsidR="002C08B6">
        <w:t>” </w:t>
      </w:r>
      <w:r w:rsidRPr="00781DFB" w:rsidR="00AF3096">
        <w:t>’</w:t>
      </w:r>
      <w:r w:rsidRPr="00781DFB" w:rsidR="00C04222">
        <w:t> ”</w:t>
      </w:r>
      <w:r w:rsidRPr="00781DFB" w:rsidR="00AF3096">
        <w:t xml:space="preserve"> </w:t>
      </w:r>
      <w:r w:rsidRPr="00781DFB" w:rsidR="00C04222">
        <w:t xml:space="preserve">are </w:t>
      </w:r>
      <w:r w:rsidRPr="00781DFB" w:rsidR="00AF3096">
        <w:t xml:space="preserve">relevant to the </w:t>
      </w:r>
      <w:r w:rsidRPr="00781DFB" w:rsidR="00C04222">
        <w:t xml:space="preserve">issue </w:t>
      </w:r>
      <w:r w:rsidRPr="00781DFB" w:rsidR="00AF3096">
        <w:t>of duress.</w:t>
      </w:r>
      <w:r w:rsidRPr="00781DFB" w:rsidR="00FE36F7">
        <w:t xml:space="preserve"> </w:t>
      </w:r>
      <w:r w:rsidR="00AF3096">
        <w:t xml:space="preserve"> (</w:t>
      </w:r>
      <w:r w:rsidR="00AF3096">
        <w:rPr>
          <w:i/>
          <w:iCs/>
        </w:rPr>
        <w:t>Id</w:t>
      </w:r>
      <w:r w:rsidRPr="00852E72" w:rsidR="00AF3096">
        <w:t>.</w:t>
      </w:r>
      <w:r w:rsidRPr="00852E72" w:rsidR="00852E72">
        <w:t xml:space="preserve"> at p.</w:t>
      </w:r>
      <w:r w:rsidR="00852E72">
        <w:t> </w:t>
      </w:r>
      <w:r w:rsidRPr="00852E72" w:rsidR="00852E72">
        <w:t>1320.</w:t>
      </w:r>
      <w:r w:rsidR="00AF3096">
        <w:t>)</w:t>
      </w:r>
      <w:r w:rsidR="00FE36F7">
        <w:t xml:space="preserve"> </w:t>
      </w:r>
      <w:r w:rsidR="00AF3096">
        <w:t xml:space="preserve"> </w:t>
      </w:r>
      <w:r w:rsidR="00A42EF1">
        <w:t>T</w:t>
      </w:r>
      <w:r w:rsidR="009A48C6">
        <w:t xml:space="preserve">he “reasonable person of </w:t>
      </w:r>
      <w:r w:rsidRPr="00781DFB" w:rsidR="001E2299">
        <w:t>ordinary susceptibilities</w:t>
      </w:r>
      <w:r w:rsidRPr="00781DFB" w:rsidR="0017168C">
        <w:t xml:space="preserve">” </w:t>
      </w:r>
      <w:r w:rsidRPr="00781DFB" w:rsidR="00582C32">
        <w:t xml:space="preserve">whose reactions we must </w:t>
      </w:r>
      <w:r w:rsidRPr="00781DFB" w:rsidR="008B7E7F">
        <w:t xml:space="preserve">assess </w:t>
      </w:r>
      <w:r w:rsidRPr="00781DFB" w:rsidR="001E2299">
        <w:t xml:space="preserve">is </w:t>
      </w:r>
      <w:r w:rsidRPr="00781DFB" w:rsidR="00A42EF1">
        <w:t xml:space="preserve">thus </w:t>
      </w:r>
      <w:r w:rsidRPr="00781DFB" w:rsidR="001E2299">
        <w:t>a reasonable</w:t>
      </w:r>
      <w:r w:rsidR="001E2299">
        <w:t xml:space="preserve"> person of the victim’s age and relationship to the defendant</w:t>
      </w:r>
      <w:r w:rsidR="00A178F0">
        <w:t xml:space="preserve"> (</w:t>
      </w:r>
      <w:r w:rsidR="00A178F0">
        <w:rPr>
          <w:i/>
          <w:iCs/>
        </w:rPr>
        <w:t>Soto</w:t>
      </w:r>
      <w:r w:rsidR="00A178F0">
        <w:t xml:space="preserve">, </w:t>
      </w:r>
      <w:r w:rsidR="00A178F0">
        <w:rPr>
          <w:i/>
          <w:iCs/>
        </w:rPr>
        <w:t>supra</w:t>
      </w:r>
      <w:r w:rsidR="00A178F0">
        <w:t>, at p.</w:t>
      </w:r>
      <w:r w:rsidR="00AD2CCC">
        <w:t> </w:t>
      </w:r>
      <w:r w:rsidR="00A178F0">
        <w:t>246, fn.</w:t>
      </w:r>
      <w:r w:rsidR="0067030D">
        <w:t> </w:t>
      </w:r>
      <w:r w:rsidR="00A178F0">
        <w:t>9)</w:t>
      </w:r>
      <w:r w:rsidR="00AF39CB">
        <w:t>—</w:t>
      </w:r>
      <w:r w:rsidR="00520EA4">
        <w:t>her</w:t>
      </w:r>
      <w:r w:rsidR="00AF39CB">
        <w:t xml:space="preserve">e, </w:t>
      </w:r>
      <w:r w:rsidR="00222187">
        <w:t>the</w:t>
      </w:r>
      <w:r w:rsidR="00AF39CB">
        <w:t xml:space="preserve"> eight- or nine-year-old daughter</w:t>
      </w:r>
      <w:r w:rsidR="0067030D">
        <w:t xml:space="preserve"> of an adult man</w:t>
      </w:r>
      <w:r w:rsidR="00AF39CB">
        <w:t>.</w:t>
      </w:r>
    </w:p>
    <w:p w:rsidR="007432F5" w:rsidP="00A7373C" w14:paraId="611F2D43" w14:textId="6BB7D9C5">
      <w:r w:rsidRPr="00781DFB">
        <w:t>Seen from that perspective</w:t>
      </w:r>
      <w:r w:rsidRPr="00781DFB" w:rsidR="00937689">
        <w:t xml:space="preserve">, the evidence </w:t>
      </w:r>
      <w:r w:rsidRPr="00781DFB" w:rsidR="009528DF">
        <w:t xml:space="preserve">amply </w:t>
      </w:r>
      <w:r w:rsidRPr="00781DFB" w:rsidR="00937689">
        <w:t>suffic</w:t>
      </w:r>
      <w:r w:rsidRPr="00781DFB" w:rsidR="00E80F19">
        <w:t>ed</w:t>
      </w:r>
      <w:r w:rsidRPr="00781DFB" w:rsidR="00937689">
        <w:t xml:space="preserve"> to permit a </w:t>
      </w:r>
      <w:r w:rsidRPr="00781DFB" w:rsidR="00E80F19">
        <w:t xml:space="preserve">rational </w:t>
      </w:r>
      <w:r w:rsidRPr="00781DFB" w:rsidR="00937689">
        <w:t>jury</w:t>
      </w:r>
      <w:r w:rsidR="00937689">
        <w:t xml:space="preserve"> to find that defendant </w:t>
      </w:r>
      <w:r w:rsidR="00506E28">
        <w:t>subjected</w:t>
      </w:r>
      <w:r w:rsidR="000B6370">
        <w:t xml:space="preserve"> Jane </w:t>
      </w:r>
      <w:r w:rsidR="00506E28">
        <w:t xml:space="preserve">to </w:t>
      </w:r>
      <w:r w:rsidR="00E80F19">
        <w:t xml:space="preserve">threats of </w:t>
      </w:r>
      <w:r w:rsidRPr="001B5C91" w:rsidR="000B6370">
        <w:t>hardship</w:t>
      </w:r>
      <w:r w:rsidR="00E80F19">
        <w:t xml:space="preserve"> </w:t>
      </w:r>
      <w:r w:rsidRPr="001B5C91" w:rsidR="000B6370">
        <w:t xml:space="preserve">or retribution sufficient to </w:t>
      </w:r>
      <w:r w:rsidR="00CF7698">
        <w:t xml:space="preserve">psychologically </w:t>
      </w:r>
      <w:r w:rsidRPr="001B5C91" w:rsidR="000B6370">
        <w:t>coerce</w:t>
      </w:r>
      <w:r w:rsidR="00A7373C">
        <w:t xml:space="preserve"> </w:t>
      </w:r>
      <w:r w:rsidRPr="001B5C91" w:rsidR="000B6370">
        <w:t xml:space="preserve">a reasonable </w:t>
      </w:r>
      <w:r w:rsidR="00E80F19">
        <w:t xml:space="preserve">eight- to nine-year-old daughter </w:t>
      </w:r>
      <w:r w:rsidRPr="001B5C91" w:rsidR="000B6370">
        <w:t>of ordinary susceptibilities</w:t>
      </w:r>
      <w:r w:rsidR="00A7373C">
        <w:t xml:space="preserve"> </w:t>
      </w:r>
      <w:r w:rsidRPr="001B5C91" w:rsidR="000B6370">
        <w:t xml:space="preserve">to perform </w:t>
      </w:r>
      <w:r w:rsidR="00E80F19">
        <w:t xml:space="preserve">or acquiesce in </w:t>
      </w:r>
      <w:r w:rsidR="00506E28">
        <w:t xml:space="preserve">sexual </w:t>
      </w:r>
      <w:r w:rsidRPr="001B5C91" w:rsidR="000B6370">
        <w:t>act</w:t>
      </w:r>
      <w:r w:rsidR="00E80F19">
        <w:t>s</w:t>
      </w:r>
      <w:r w:rsidRPr="001B5C91" w:rsidR="000B6370">
        <w:t xml:space="preserve"> </w:t>
      </w:r>
      <w:r w:rsidR="00E80F19">
        <w:t xml:space="preserve">she </w:t>
      </w:r>
      <w:r w:rsidRPr="001B5C91" w:rsidR="000B6370">
        <w:t xml:space="preserve">would </w:t>
      </w:r>
      <w:r w:rsidRPr="001B5C91" w:rsidR="00475874">
        <w:t xml:space="preserve">not </w:t>
      </w:r>
      <w:r w:rsidRPr="001B5C91" w:rsidR="00A97521">
        <w:t xml:space="preserve">otherwise </w:t>
      </w:r>
      <w:r w:rsidRPr="001B5C91" w:rsidR="000B6370">
        <w:t>have performed or</w:t>
      </w:r>
      <w:r w:rsidR="00E80F19">
        <w:t xml:space="preserve"> ac</w:t>
      </w:r>
      <w:r w:rsidR="00E65E0E">
        <w:t>quiesc</w:t>
      </w:r>
      <w:r w:rsidR="00E80F19">
        <w:t>ed</w:t>
      </w:r>
      <w:r w:rsidR="00E65E0E">
        <w:t xml:space="preserve"> in</w:t>
      </w:r>
      <w:r w:rsidR="00E80F19">
        <w:t>.</w:t>
      </w:r>
      <w:r w:rsidR="009378D4">
        <w:t xml:space="preserve"> </w:t>
      </w:r>
      <w:r w:rsidR="00A7373C">
        <w:t xml:space="preserve"> </w:t>
      </w:r>
      <w:r w:rsidR="009378D4">
        <w:t xml:space="preserve">Jane clearly and repeatedly </w:t>
      </w:r>
      <w:r w:rsidR="00E65E0E">
        <w:t xml:space="preserve">said, </w:t>
      </w:r>
      <w:r w:rsidR="009378D4">
        <w:t xml:space="preserve">in the recorded interview played </w:t>
      </w:r>
      <w:r w:rsidR="00716203">
        <w:t>for the jury</w:t>
      </w:r>
      <w:r w:rsidR="00E65E0E">
        <w:t>,</w:t>
      </w:r>
      <w:r w:rsidR="00716203">
        <w:t xml:space="preserve"> that defendant </w:t>
      </w:r>
      <w:r w:rsidR="00391F88">
        <w:t xml:space="preserve">“forced” her to submit to </w:t>
      </w:r>
      <w:r w:rsidR="001B01EE">
        <w:t xml:space="preserve">or perform sexual </w:t>
      </w:r>
      <w:r w:rsidR="00391F88">
        <w:t xml:space="preserve">acts </w:t>
      </w:r>
      <w:r w:rsidR="001B01EE">
        <w:t xml:space="preserve">by </w:t>
      </w:r>
      <w:r w:rsidR="00391F88">
        <w:t>threaten</w:t>
      </w:r>
      <w:r w:rsidR="001B01EE">
        <w:t>ing</w:t>
      </w:r>
      <w:r w:rsidR="00391F88">
        <w:t xml:space="preserve"> to take away her iPad</w:t>
      </w:r>
      <w:r w:rsidR="001B01EE">
        <w:t xml:space="preserve"> or impose other </w:t>
      </w:r>
      <w:r w:rsidR="00391F88">
        <w:t>“mean</w:t>
      </w:r>
      <w:r w:rsidR="001B01EE">
        <w:t>,</w:t>
      </w:r>
      <w:r w:rsidR="00391F88">
        <w:t>” “weird</w:t>
      </w:r>
      <w:r w:rsidR="001B01EE">
        <w:t>,</w:t>
      </w:r>
      <w:r w:rsidR="00391F88">
        <w:t>”</w:t>
      </w:r>
      <w:r w:rsidR="001B01EE">
        <w:t xml:space="preserve"> or “bad” “consequences”</w:t>
      </w:r>
      <w:r w:rsidR="00391F88">
        <w:t xml:space="preserve"> if she did not.</w:t>
      </w:r>
      <w:r w:rsidR="00F448A1">
        <w:t xml:space="preserve"> </w:t>
      </w:r>
      <w:r w:rsidR="00391F88">
        <w:t xml:space="preserve"> </w:t>
      </w:r>
      <w:r w:rsidR="006C7FF7">
        <w:t>At trial, Jane testified consistently</w:t>
      </w:r>
      <w:r w:rsidR="001475FE">
        <w:t>.</w:t>
      </w:r>
      <w:r w:rsidR="00A7373C">
        <w:t xml:space="preserve"> </w:t>
      </w:r>
      <w:r w:rsidR="001475FE">
        <w:t xml:space="preserve"> A</w:t>
      </w:r>
      <w:r w:rsidR="001B6AE0">
        <w:t>lthough, as defendant emphasizes, the only specific threat</w:t>
      </w:r>
      <w:r w:rsidR="00975B38">
        <w:t>s</w:t>
      </w:r>
      <w:r w:rsidR="001B6AE0">
        <w:t xml:space="preserve"> she </w:t>
      </w:r>
      <w:r w:rsidR="006106AF">
        <w:t>could</w:t>
      </w:r>
      <w:r w:rsidR="001B6AE0">
        <w:t xml:space="preserve"> recall </w:t>
      </w:r>
      <w:r w:rsidR="002C08C6">
        <w:t xml:space="preserve">at trial </w:t>
      </w:r>
      <w:r w:rsidR="00975B38">
        <w:t xml:space="preserve">were that she would </w:t>
      </w:r>
      <w:r w:rsidR="003610AE">
        <w:t xml:space="preserve">get in trouble and </w:t>
      </w:r>
      <w:r w:rsidR="006106AF">
        <w:t xml:space="preserve">have </w:t>
      </w:r>
      <w:r w:rsidR="001B6AE0">
        <w:t>her iPad</w:t>
      </w:r>
      <w:r w:rsidR="006106AF">
        <w:t xml:space="preserve"> taken away</w:t>
      </w:r>
      <w:r w:rsidR="003610AE">
        <w:t>—</w:t>
      </w:r>
      <w:r w:rsidR="001B6AE0">
        <w:t xml:space="preserve">and </w:t>
      </w:r>
      <w:r w:rsidR="003610AE">
        <w:t xml:space="preserve">those </w:t>
      </w:r>
      <w:r w:rsidR="002C08C6">
        <w:t xml:space="preserve">only after </w:t>
      </w:r>
      <w:r w:rsidR="00221B0E">
        <w:t xml:space="preserve">being </w:t>
      </w:r>
      <w:r w:rsidR="002C08C6">
        <w:t>prompt</w:t>
      </w:r>
      <w:r w:rsidR="00221B0E">
        <w:t>ed</w:t>
      </w:r>
      <w:r w:rsidR="003610AE">
        <w:t>—</w:t>
      </w:r>
      <w:r w:rsidR="004663C0">
        <w:t>the</w:t>
      </w:r>
      <w:r w:rsidR="00F448A1">
        <w:t xml:space="preserve"> </w:t>
      </w:r>
      <w:r w:rsidR="00C32038">
        <w:t>l</w:t>
      </w:r>
      <w:r w:rsidR="004663C0">
        <w:t>imited</w:t>
      </w:r>
      <w:r w:rsidR="00C32038">
        <w:t xml:space="preserve"> specificity in her accounts was simply a factor for jur</w:t>
      </w:r>
      <w:r w:rsidR="00371390">
        <w:t>ors</w:t>
      </w:r>
      <w:r w:rsidR="00C32038">
        <w:t xml:space="preserve"> to consider in deciding whether </w:t>
      </w:r>
      <w:r w:rsidR="00371390">
        <w:t xml:space="preserve">to </w:t>
      </w:r>
      <w:r w:rsidR="00C32038">
        <w:t>believe her</w:t>
      </w:r>
      <w:r w:rsidR="004663C0">
        <w:t>.</w:t>
      </w:r>
      <w:r w:rsidR="00A7373C">
        <w:t xml:space="preserve"> </w:t>
      </w:r>
      <w:r w:rsidR="004663C0">
        <w:t xml:space="preserve"> Jane’s </w:t>
      </w:r>
      <w:r w:rsidR="006F7E1A">
        <w:t xml:space="preserve">inability to consistently and without prompting recall more detail </w:t>
      </w:r>
      <w:r w:rsidR="00C32038">
        <w:t xml:space="preserve">did not </w:t>
      </w:r>
      <w:r w:rsidR="00E403EA">
        <w:t xml:space="preserve">make it impossible for </w:t>
      </w:r>
      <w:r w:rsidR="00371390">
        <w:t xml:space="preserve">a rational juror </w:t>
      </w:r>
      <w:r w:rsidR="00E403EA">
        <w:t xml:space="preserve">to </w:t>
      </w:r>
      <w:r w:rsidR="004663C0">
        <w:t>believe</w:t>
      </w:r>
      <w:r w:rsidR="00E403EA">
        <w:t xml:space="preserve"> her testimony</w:t>
      </w:r>
      <w:r w:rsidR="006F7E1A">
        <w:t xml:space="preserve">. </w:t>
      </w:r>
      <w:r w:rsidR="00A7373C">
        <w:t xml:space="preserve"> </w:t>
      </w:r>
      <w:r w:rsidR="006F7E1A">
        <w:t>T</w:t>
      </w:r>
      <w:r w:rsidR="00EA0619">
        <w:t xml:space="preserve">hat </w:t>
      </w:r>
      <w:r>
        <w:t xml:space="preserve">testimony </w:t>
      </w:r>
      <w:r w:rsidR="00E03603">
        <w:t xml:space="preserve">thus </w:t>
      </w:r>
      <w:r w:rsidR="00E403EA">
        <w:t xml:space="preserve">constitutes </w:t>
      </w:r>
      <w:r>
        <w:t>substantial evidence</w:t>
      </w:r>
      <w:r w:rsidR="00C87FAA">
        <w:t xml:space="preserve"> of duress</w:t>
      </w:r>
      <w:r>
        <w:t>.</w:t>
      </w:r>
    </w:p>
    <w:p w:rsidR="00391F88" w:rsidP="00A7373C" w14:paraId="4A8789AB" w14:textId="072A3E60">
      <w:r>
        <w:t>Jane also reported that defendant told her that he would go to jail and Sheree would be upset if she disclosed the sexual abuse.</w:t>
      </w:r>
      <w:r w:rsidR="00A7373C">
        <w:t xml:space="preserve"> </w:t>
      </w:r>
      <w:r w:rsidR="00702951">
        <w:t xml:space="preserve"> The Attorney General relies on these threats as a further form of duress, while defendant contends that </w:t>
      </w:r>
      <w:r w:rsidR="0099541E">
        <w:t xml:space="preserve">such statements </w:t>
      </w:r>
      <w:r w:rsidRPr="00CB283A" w:rsidR="0099541E">
        <w:t>do not</w:t>
      </w:r>
      <w:r w:rsidR="00CB283A">
        <w:t xml:space="preserve"> </w:t>
      </w:r>
      <w:r w:rsidR="00614A8C">
        <w:t xml:space="preserve">count because they </w:t>
      </w:r>
      <w:r w:rsidR="00FE22E2">
        <w:t>we</w:t>
      </w:r>
      <w:r w:rsidRPr="00CB283A" w:rsidR="0099541E">
        <w:t xml:space="preserve">re directed at </w:t>
      </w:r>
      <w:r w:rsidR="00614A8C">
        <w:t xml:space="preserve">inhibiting </w:t>
      </w:r>
      <w:r w:rsidRPr="00CB283A" w:rsidR="0099541E">
        <w:t>“</w:t>
      </w:r>
      <w:r w:rsidR="00C1177C">
        <w:t> ‘</w:t>
      </w:r>
      <w:r w:rsidRPr="00CB283A" w:rsidR="0099541E">
        <w:t xml:space="preserve">later </w:t>
      </w:r>
      <w:r w:rsidRPr="000D5CFC" w:rsidR="0099541E">
        <w:rPr>
          <w:i/>
        </w:rPr>
        <w:t>disclosure</w:t>
      </w:r>
      <w:r w:rsidRPr="00CB283A" w:rsidR="0099541E">
        <w:t xml:space="preserve"> of the sex</w:t>
      </w:r>
      <w:r w:rsidR="00CB283A">
        <w:t xml:space="preserve"> </w:t>
      </w:r>
      <w:r w:rsidRPr="00CB283A" w:rsidR="0099541E">
        <w:t xml:space="preserve">acts and not </w:t>
      </w:r>
      <w:r w:rsidR="00614A8C">
        <w:t>[</w:t>
      </w:r>
      <w:r w:rsidRPr="00435980" w:rsidR="00614A8C">
        <w:t>facilitating</w:t>
      </w:r>
      <w:r w:rsidR="00614A8C">
        <w:t xml:space="preserve">] </w:t>
      </w:r>
      <w:r w:rsidRPr="00CB283A" w:rsidR="0099541E">
        <w:t>the sex acts themselves.</w:t>
      </w:r>
      <w:r w:rsidR="00C1177C">
        <w:t>’ </w:t>
      </w:r>
      <w:r w:rsidRPr="00CB283A" w:rsidR="0099541E">
        <w:t>”</w:t>
      </w:r>
      <w:r>
        <w:t xml:space="preserve"> </w:t>
      </w:r>
      <w:r w:rsidR="00A7373C">
        <w:t xml:space="preserve"> </w:t>
      </w:r>
      <w:r w:rsidR="00CB283A">
        <w:t>(</w:t>
      </w:r>
      <w:r w:rsidR="00C1177C">
        <w:rPr>
          <w:i/>
          <w:iCs/>
        </w:rPr>
        <w:t xml:space="preserve">People v. Hecker </w:t>
      </w:r>
      <w:r w:rsidR="00C1177C">
        <w:t>(1990) 219</w:t>
      </w:r>
      <w:r w:rsidR="00FE22E2">
        <w:t> </w:t>
      </w:r>
      <w:r w:rsidR="00C1177C">
        <w:t>Cal.App.3d 1238, 1251, fn.</w:t>
      </w:r>
      <w:r w:rsidR="00A7373C">
        <w:t> </w:t>
      </w:r>
      <w:r w:rsidR="00C1177C">
        <w:t xml:space="preserve">7, </w:t>
      </w:r>
      <w:r w:rsidR="002E365F">
        <w:t xml:space="preserve">overruled on another point in </w:t>
      </w:r>
      <w:r w:rsidR="002E365F">
        <w:rPr>
          <w:i/>
          <w:iCs/>
        </w:rPr>
        <w:t>Soto</w:t>
      </w:r>
      <w:r w:rsidR="002E365F">
        <w:t xml:space="preserve">, </w:t>
      </w:r>
      <w:r w:rsidR="002E365F">
        <w:rPr>
          <w:i/>
          <w:iCs/>
        </w:rPr>
        <w:t>supra</w:t>
      </w:r>
      <w:r w:rsidR="002E365F">
        <w:t>, 51</w:t>
      </w:r>
      <w:r w:rsidR="00A7373C">
        <w:t> </w:t>
      </w:r>
      <w:r w:rsidR="002E365F">
        <w:t>Cal.4th at p.</w:t>
      </w:r>
      <w:r w:rsidR="00A7373C">
        <w:t> </w:t>
      </w:r>
      <w:r w:rsidR="002E365F">
        <w:t>248, fn.</w:t>
      </w:r>
      <w:r w:rsidR="00A7373C">
        <w:t> </w:t>
      </w:r>
      <w:r w:rsidR="002E365F">
        <w:t>12</w:t>
      </w:r>
      <w:r w:rsidR="009201FD">
        <w:t>, quoting</w:t>
      </w:r>
      <w:r w:rsidR="00C1177C">
        <w:rPr>
          <w:i/>
          <w:iCs/>
        </w:rPr>
        <w:t xml:space="preserve"> </w:t>
      </w:r>
      <w:r w:rsidR="00CB283A">
        <w:rPr>
          <w:i/>
          <w:iCs/>
        </w:rPr>
        <w:t>People v. Bergschneider</w:t>
      </w:r>
      <w:r w:rsidR="00CB283A">
        <w:t xml:space="preserve"> (1989) </w:t>
      </w:r>
      <w:r w:rsidR="00A97B7A">
        <w:t>211</w:t>
      </w:r>
      <w:r w:rsidR="009973F9">
        <w:t> </w:t>
      </w:r>
      <w:r w:rsidR="00A97B7A">
        <w:t>Cal.App.3d 144, 154, fn.</w:t>
      </w:r>
      <w:r w:rsidR="00A7373C">
        <w:t> </w:t>
      </w:r>
      <w:r w:rsidR="00A97B7A">
        <w:t xml:space="preserve">8, </w:t>
      </w:r>
      <w:r w:rsidR="00BC64A1">
        <w:t xml:space="preserve">overruled on another point in </w:t>
      </w:r>
      <w:r w:rsidR="00BC64A1">
        <w:rPr>
          <w:i/>
          <w:iCs/>
        </w:rPr>
        <w:t>People v. Griffin</w:t>
      </w:r>
      <w:r w:rsidR="00BC64A1">
        <w:t xml:space="preserve"> (</w:t>
      </w:r>
      <w:r w:rsidR="00BE24B7">
        <w:t>2004) 33</w:t>
      </w:r>
      <w:r w:rsidR="00A7373C">
        <w:t> </w:t>
      </w:r>
      <w:r w:rsidR="00BE24B7">
        <w:t xml:space="preserve">Cal.4th 1015, </w:t>
      </w:r>
      <w:r w:rsidR="009E7A2A">
        <w:t>1028</w:t>
      </w:r>
      <w:r w:rsidR="00AE557C">
        <w:t>.</w:t>
      </w:r>
      <w:r w:rsidR="009E7A2A">
        <w:t>)</w:t>
      </w:r>
      <w:r w:rsidR="00AE557C">
        <w:t xml:space="preserve"> </w:t>
      </w:r>
      <w:r w:rsidR="00A7373C">
        <w:t xml:space="preserve"> </w:t>
      </w:r>
      <w:r w:rsidR="00AE557C">
        <w:t xml:space="preserve">But the </w:t>
      </w:r>
      <w:r w:rsidR="00845B5D">
        <w:t xml:space="preserve">same </w:t>
      </w:r>
      <w:r w:rsidR="00AE557C">
        <w:t xml:space="preserve">court that issued </w:t>
      </w:r>
      <w:r w:rsidR="00AE557C">
        <w:rPr>
          <w:i/>
          <w:iCs/>
        </w:rPr>
        <w:t>Hecker</w:t>
      </w:r>
      <w:r w:rsidR="00AE557C">
        <w:t xml:space="preserve"> later </w:t>
      </w:r>
      <w:r w:rsidR="002E4610">
        <w:t xml:space="preserve">disavowed its language as “overly broad” and held that </w:t>
      </w:r>
      <w:r w:rsidR="00AE557C">
        <w:t>threats</w:t>
      </w:r>
      <w:r w:rsidR="00A65A17">
        <w:t xml:space="preserve"> </w:t>
      </w:r>
      <w:r w:rsidR="00452920">
        <w:t>about</w:t>
      </w:r>
      <w:r w:rsidR="00A65A17">
        <w:t xml:space="preserve"> the consequences of </w:t>
      </w:r>
      <w:r w:rsidRPr="00797F7C" w:rsidR="00A65A17">
        <w:rPr>
          <w:spacing w:val="-2"/>
        </w:rPr>
        <w:t xml:space="preserve">reporting abuse </w:t>
      </w:r>
      <w:r w:rsidRPr="00797F7C" w:rsidR="00B90ABB">
        <w:rPr>
          <w:spacing w:val="-2"/>
        </w:rPr>
        <w:t xml:space="preserve">can </w:t>
      </w:r>
      <w:r w:rsidRPr="00797F7C" w:rsidR="00452920">
        <w:rPr>
          <w:spacing w:val="-2"/>
        </w:rPr>
        <w:t>create</w:t>
      </w:r>
      <w:r w:rsidRPr="00797F7C" w:rsidR="00B90ABB">
        <w:rPr>
          <w:spacing w:val="-2"/>
        </w:rPr>
        <w:t xml:space="preserve"> duress because they represent an abuser’s “attempt</w:t>
      </w:r>
      <w:r w:rsidR="00B90ABB">
        <w:t xml:space="preserve"> to isolate the victim and increase or maintain her vulnerability to his assaults.”</w:t>
      </w:r>
      <w:r w:rsidR="003E0568">
        <w:t xml:space="preserve"> </w:t>
      </w:r>
      <w:r w:rsidR="00B90ABB">
        <w:t xml:space="preserve"> (</w:t>
      </w:r>
      <w:r w:rsidR="00B90ABB">
        <w:rPr>
          <w:i/>
          <w:iCs/>
        </w:rPr>
        <w:t>People v. Cochran</w:t>
      </w:r>
      <w:r w:rsidR="00452920">
        <w:t xml:space="preserve">, </w:t>
      </w:r>
      <w:r w:rsidR="00452920">
        <w:rPr>
          <w:i/>
          <w:iCs/>
        </w:rPr>
        <w:t>supra</w:t>
      </w:r>
      <w:r w:rsidR="00452920">
        <w:t>,</w:t>
      </w:r>
      <w:r w:rsidR="00B90ABB">
        <w:t xml:space="preserve"> </w:t>
      </w:r>
      <w:r w:rsidR="002E365F">
        <w:t>103</w:t>
      </w:r>
      <w:r w:rsidR="00FE22E2">
        <w:t> </w:t>
      </w:r>
      <w:r w:rsidR="002E365F">
        <w:t xml:space="preserve">Cal.App.4th </w:t>
      </w:r>
      <w:r w:rsidR="00452920">
        <w:t>at p.</w:t>
      </w:r>
      <w:r w:rsidR="003E0568">
        <w:t> </w:t>
      </w:r>
      <w:r w:rsidR="002E365F">
        <w:t xml:space="preserve">15, overruled on another point in </w:t>
      </w:r>
      <w:r w:rsidR="002E365F">
        <w:rPr>
          <w:i/>
          <w:iCs/>
        </w:rPr>
        <w:t>Soto</w:t>
      </w:r>
      <w:r w:rsidR="002E365F">
        <w:t xml:space="preserve">, </w:t>
      </w:r>
      <w:r w:rsidR="002E365F">
        <w:rPr>
          <w:i/>
          <w:iCs/>
        </w:rPr>
        <w:t>supra</w:t>
      </w:r>
      <w:r w:rsidR="002E365F">
        <w:t>, 51</w:t>
      </w:r>
      <w:r w:rsidR="003D5002">
        <w:t> </w:t>
      </w:r>
      <w:r w:rsidR="002E365F">
        <w:t>Cal.4th at p.</w:t>
      </w:r>
      <w:r w:rsidR="00FE22E2">
        <w:t> </w:t>
      </w:r>
      <w:r w:rsidR="002E365F">
        <w:t>248, fn.</w:t>
      </w:r>
      <w:r w:rsidR="003E0568">
        <w:t> </w:t>
      </w:r>
      <w:r w:rsidR="002E365F">
        <w:t>12</w:t>
      </w:r>
      <w:r w:rsidR="00293436">
        <w:t xml:space="preserve">; accord, </w:t>
      </w:r>
      <w:r w:rsidR="00293436">
        <w:rPr>
          <w:i/>
          <w:iCs/>
        </w:rPr>
        <w:t>People v. Senior</w:t>
      </w:r>
      <w:r w:rsidR="00293436">
        <w:t xml:space="preserve"> (1992) </w:t>
      </w:r>
      <w:r w:rsidR="00DE126F">
        <w:t>3</w:t>
      </w:r>
      <w:r w:rsidR="00C2248C">
        <w:t> </w:t>
      </w:r>
      <w:r w:rsidR="00DE126F">
        <w:t>Cal.App.4th 765, 775 [rejecting</w:t>
      </w:r>
      <w:r w:rsidR="00BC190E">
        <w:rPr>
          <w:i/>
          <w:iCs/>
        </w:rPr>
        <w:t xml:space="preserve"> </w:t>
      </w:r>
      <w:r w:rsidR="00BC190E">
        <w:t>distinction</w:t>
      </w:r>
      <w:r w:rsidR="00A310A2">
        <w:t xml:space="preserve"> drawn in </w:t>
      </w:r>
      <w:r w:rsidR="00A310A2">
        <w:rPr>
          <w:i/>
          <w:iCs/>
        </w:rPr>
        <w:t>Hecker</w:t>
      </w:r>
      <w:r w:rsidRPr="0052325D" w:rsidR="00BC190E">
        <w:t>]</w:t>
      </w:r>
      <w:r w:rsidR="002E365F">
        <w:t xml:space="preserve">.) </w:t>
      </w:r>
      <w:r w:rsidR="003E0568">
        <w:t xml:space="preserve"> </w:t>
      </w:r>
      <w:r w:rsidR="004916BD">
        <w:t>We agree with t</w:t>
      </w:r>
      <w:r w:rsidR="00B23EF6">
        <w:t xml:space="preserve">hat court’s later insight: </w:t>
      </w:r>
      <w:r w:rsidR="003E0568">
        <w:t xml:space="preserve"> </w:t>
      </w:r>
      <w:r w:rsidR="00334D9D">
        <w:t xml:space="preserve">by making threats </w:t>
      </w:r>
      <w:r w:rsidR="00452920">
        <w:t>of</w:t>
      </w:r>
      <w:r w:rsidR="007A61BC">
        <w:t xml:space="preserve"> how disclosure would result in </w:t>
      </w:r>
      <w:r w:rsidR="00B23EF6">
        <w:t xml:space="preserve">hardship, </w:t>
      </w:r>
      <w:r w:rsidR="00B52F4E">
        <w:t>defendant</w:t>
      </w:r>
      <w:r w:rsidR="007F4315">
        <w:t xml:space="preserve"> psychologically coerced </w:t>
      </w:r>
      <w:r w:rsidR="00334D9D">
        <w:t xml:space="preserve">Jane </w:t>
      </w:r>
      <w:r w:rsidR="007F4315">
        <w:t xml:space="preserve">not to </w:t>
      </w:r>
      <w:r w:rsidR="00334D9D">
        <w:t xml:space="preserve">report past acts </w:t>
      </w:r>
      <w:r w:rsidR="00273838">
        <w:t xml:space="preserve">of </w:t>
      </w:r>
      <w:r w:rsidRPr="00781DFB" w:rsidR="00273838">
        <w:t>abuse</w:t>
      </w:r>
      <w:r w:rsidRPr="00781DFB" w:rsidR="00B52F4E">
        <w:t xml:space="preserve"> and thereby </w:t>
      </w:r>
      <w:r w:rsidRPr="00781DFB" w:rsidR="00273838">
        <w:t>ensur</w:t>
      </w:r>
      <w:r w:rsidRPr="00781DFB" w:rsidR="00093ECC">
        <w:t>e</w:t>
      </w:r>
      <w:r w:rsidRPr="00781DFB" w:rsidR="003E5074">
        <w:t>d</w:t>
      </w:r>
      <w:r w:rsidRPr="00781DFB" w:rsidR="00273838">
        <w:t xml:space="preserve"> his </w:t>
      </w:r>
      <w:r w:rsidRPr="00781DFB" w:rsidR="003E5074">
        <w:t>ongoing</w:t>
      </w:r>
      <w:r w:rsidRPr="00781DFB" w:rsidR="00755071">
        <w:t xml:space="preserve"> </w:t>
      </w:r>
      <w:r w:rsidRPr="00781DFB" w:rsidR="00273838">
        <w:t>ability to perform further acts of</w:t>
      </w:r>
      <w:r w:rsidR="00D322B1">
        <w:t xml:space="preserve"> </w:t>
      </w:r>
      <w:r w:rsidRPr="00781DFB" w:rsidR="00273838">
        <w:t>abuse.</w:t>
      </w:r>
    </w:p>
    <w:p w:rsidR="00520EA4" w:rsidP="003E0568" w14:paraId="58349379" w14:textId="7E486F9F">
      <w:r>
        <w:t>Defendant</w:t>
      </w:r>
      <w:r w:rsidR="00A14E4F">
        <w:t>’s second</w:t>
      </w:r>
      <w:r>
        <w:t xml:space="preserve"> </w:t>
      </w:r>
      <w:r w:rsidR="00A14E4F">
        <w:t xml:space="preserve">contention is that the court abused its discretion and infringed his rights under the </w:t>
      </w:r>
      <w:r w:rsidR="00B467CF">
        <w:t>c</w:t>
      </w:r>
      <w:r w:rsidR="00A14E4F">
        <w:t xml:space="preserve">onfrontation </w:t>
      </w:r>
      <w:r w:rsidR="002F304B">
        <w:t xml:space="preserve">and </w:t>
      </w:r>
      <w:r w:rsidR="00B467CF">
        <w:t>d</w:t>
      </w:r>
      <w:r w:rsidR="002F304B">
        <w:t xml:space="preserve">ue </w:t>
      </w:r>
      <w:r w:rsidR="00B467CF">
        <w:t>p</w:t>
      </w:r>
      <w:r w:rsidR="002F304B">
        <w:t xml:space="preserve">rocess </w:t>
      </w:r>
      <w:r w:rsidR="00B467CF">
        <w:t>c</w:t>
      </w:r>
      <w:r w:rsidR="00A14E4F">
        <w:t>lause</w:t>
      </w:r>
      <w:r w:rsidR="002F304B">
        <w:t>s</w:t>
      </w:r>
      <w:r w:rsidR="00A14E4F">
        <w:t xml:space="preserve"> (</w:t>
      </w:r>
      <w:r w:rsidR="002F304B">
        <w:t xml:space="preserve">U.S. Const., </w:t>
      </w:r>
      <w:r w:rsidR="00567EE5">
        <w:t>6th &amp; 14th A</w:t>
      </w:r>
      <w:r w:rsidR="002F304B">
        <w:t>mends</w:t>
      </w:r>
      <w:r w:rsidR="003E0568">
        <w:t>.</w:t>
      </w:r>
      <w:r w:rsidR="002F304B">
        <w:t>; Cal. Const., art.</w:t>
      </w:r>
      <w:r w:rsidR="00D807DF">
        <w:t> </w:t>
      </w:r>
      <w:r w:rsidR="002F304B">
        <w:t>I, §§ 15, 28)</w:t>
      </w:r>
      <w:r w:rsidR="00D92C2A">
        <w:t xml:space="preserve"> by </w:t>
      </w:r>
      <w:r w:rsidR="00DA08A0">
        <w:t xml:space="preserve">preventing his attorney from </w:t>
      </w:r>
      <w:r w:rsidR="00B1337F">
        <w:t>cross-examining Jane</w:t>
      </w:r>
      <w:r w:rsidR="00486592">
        <w:t xml:space="preserve"> about </w:t>
      </w:r>
      <w:r w:rsidR="008B24C1">
        <w:t xml:space="preserve">the </w:t>
      </w:r>
      <w:r w:rsidR="00CC7C79">
        <w:t>past sexual abuse</w:t>
      </w:r>
      <w:r w:rsidR="008B24C1">
        <w:t xml:space="preserve"> </w:t>
      </w:r>
      <w:r w:rsidR="002266EB">
        <w:t>to which</w:t>
      </w:r>
      <w:r w:rsidR="00FB11C8">
        <w:t xml:space="preserve"> </w:t>
      </w:r>
      <w:r w:rsidR="00CC7C79">
        <w:t>Sheree</w:t>
      </w:r>
      <w:r w:rsidR="002266EB">
        <w:t xml:space="preserve"> </w:t>
      </w:r>
      <w:r w:rsidR="00082459">
        <w:t xml:space="preserve">briefly </w:t>
      </w:r>
      <w:r w:rsidR="005C540A">
        <w:t>alluded</w:t>
      </w:r>
      <w:r w:rsidR="00706439">
        <w:t xml:space="preserve"> </w:t>
      </w:r>
      <w:r w:rsidR="00762A41">
        <w:t xml:space="preserve">when she </w:t>
      </w:r>
      <w:r w:rsidR="00706439">
        <w:t>testif</w:t>
      </w:r>
      <w:r w:rsidR="00762A41">
        <w:t>ied</w:t>
      </w:r>
      <w:r w:rsidR="00706439">
        <w:t xml:space="preserve"> that </w:t>
      </w:r>
      <w:r w:rsidRPr="008F1A58" w:rsidR="00706439">
        <w:t xml:space="preserve">defendant’s parents </w:t>
      </w:r>
      <w:r w:rsidR="00706439">
        <w:t xml:space="preserve">had said, </w:t>
      </w:r>
      <w:r w:rsidRPr="008F1A58" w:rsidR="00706439">
        <w:t xml:space="preserve">“this has happened to [Jane] before,” </w:t>
      </w:r>
      <w:r w:rsidR="00706439">
        <w:t xml:space="preserve">and she </w:t>
      </w:r>
      <w:r w:rsidRPr="00ED59B1" w:rsidR="00706439">
        <w:t>had replied, “yeah, but . . .</w:t>
      </w:r>
      <w:r w:rsidRPr="00ED59B1" w:rsidR="00D807DF">
        <w:t> </w:t>
      </w:r>
      <w:r w:rsidRPr="00ED59B1" w:rsidR="00FF0126">
        <w:t>.</w:t>
      </w:r>
      <w:r w:rsidRPr="00ED59B1" w:rsidR="00706439">
        <w:t xml:space="preserve">” </w:t>
      </w:r>
      <w:r w:rsidR="006A4945">
        <w:t xml:space="preserve"> When d</w:t>
      </w:r>
      <w:r w:rsidRPr="008F1A58" w:rsidR="005C41F3">
        <w:t>efense counsel asked</w:t>
      </w:r>
      <w:r w:rsidRPr="006A4945" w:rsidR="006A4945">
        <w:t xml:space="preserve"> </w:t>
      </w:r>
      <w:r w:rsidRPr="008F1A58" w:rsidR="006A4945">
        <w:t>Jane</w:t>
      </w:r>
      <w:r w:rsidRPr="008F1A58" w:rsidR="005C41F3">
        <w:t xml:space="preserve">, “Has anyone other than </w:t>
      </w:r>
      <w:r w:rsidRPr="008F1A58" w:rsidR="00FE3A11">
        <w:t xml:space="preserve">[defendant] </w:t>
      </w:r>
      <w:r w:rsidRPr="008F1A58" w:rsidR="005C41F3">
        <w:t>ever touched your</w:t>
      </w:r>
      <w:r w:rsidRPr="008F1A58" w:rsidR="003A7C0E">
        <w:t xml:space="preserve"> </w:t>
      </w:r>
      <w:r w:rsidRPr="008F1A58" w:rsidR="005C41F3">
        <w:t>vagina before that you didn’t want to?”</w:t>
      </w:r>
      <w:r w:rsidR="00195898">
        <w:rPr>
          <w:rFonts w:ascii="Times New Roman" w:hAnsi="Times New Roman" w:cs="Times New Roman" w:hint="eastAsia"/>
          <w:rtl/>
        </w:rPr>
        <w:t>‌</w:t>
      </w:r>
      <w:r w:rsidRPr="008F1A58" w:rsidR="00FE3A11">
        <w:t xml:space="preserve"> </w:t>
      </w:r>
      <w:r w:rsidR="006A4945">
        <w:t>t</w:t>
      </w:r>
      <w:r w:rsidRPr="008F1A58" w:rsidR="005C41F3">
        <w:t>he prosecutor</w:t>
      </w:r>
      <w:r w:rsidRPr="008F1A58" w:rsidR="003A7C0E">
        <w:t xml:space="preserve"> </w:t>
      </w:r>
      <w:r w:rsidRPr="008F1A58" w:rsidR="008F2AF0">
        <w:t>objected</w:t>
      </w:r>
      <w:r w:rsidRPr="008F1A58" w:rsidR="005C41F3">
        <w:t>.</w:t>
      </w:r>
      <w:r w:rsidR="00732709">
        <w:t xml:space="preserve"> </w:t>
      </w:r>
      <w:r w:rsidRPr="008F1A58" w:rsidR="008F2AF0">
        <w:t xml:space="preserve"> </w:t>
      </w:r>
      <w:r w:rsidR="00333209">
        <w:t xml:space="preserve">After </w:t>
      </w:r>
      <w:r w:rsidR="00FF4644">
        <w:t xml:space="preserve">a </w:t>
      </w:r>
      <w:r w:rsidR="0069404F">
        <w:t xml:space="preserve">sidebar </w:t>
      </w:r>
      <w:r w:rsidR="00333209">
        <w:t>discussion not relevant on appeal</w:t>
      </w:r>
      <w:r w:rsidR="00C43488">
        <w:t>,</w:t>
      </w:r>
      <w:r>
        <w:rPr>
          <w:rStyle w:val="FootnoteReference"/>
        </w:rPr>
        <w:footnoteReference w:id="9"/>
      </w:r>
      <w:r w:rsidR="00333209">
        <w:t xml:space="preserve"> defense counsel </w:t>
      </w:r>
      <w:r w:rsidR="00D04F83">
        <w:t>argu</w:t>
      </w:r>
      <w:r w:rsidR="00FF4644">
        <w:t xml:space="preserve">ed </w:t>
      </w:r>
      <w:r w:rsidR="00333209">
        <w:t xml:space="preserve">that </w:t>
      </w:r>
      <w:r w:rsidRPr="00ED59B1" w:rsidR="005C41F3">
        <w:rPr>
          <w:szCs w:val="28"/>
        </w:rPr>
        <w:t xml:space="preserve">the prior abuse might be relevant </w:t>
      </w:r>
      <w:r w:rsidRPr="00ED59B1" w:rsidR="00333209">
        <w:rPr>
          <w:szCs w:val="28"/>
        </w:rPr>
        <w:t xml:space="preserve">based on </w:t>
      </w:r>
      <w:r w:rsidRPr="008F1A58" w:rsidR="005C41F3">
        <w:rPr>
          <w:szCs w:val="28"/>
        </w:rPr>
        <w:t>Dr.</w:t>
      </w:r>
      <w:r w:rsidR="00530C39">
        <w:rPr>
          <w:szCs w:val="28"/>
        </w:rPr>
        <w:t> </w:t>
      </w:r>
      <w:r w:rsidRPr="008F1A58" w:rsidR="005C41F3">
        <w:rPr>
          <w:szCs w:val="28"/>
        </w:rPr>
        <w:t>Washington</w:t>
      </w:r>
      <w:r w:rsidR="00333209">
        <w:rPr>
          <w:szCs w:val="28"/>
        </w:rPr>
        <w:t>’s</w:t>
      </w:r>
      <w:r w:rsidRPr="008F1A58" w:rsidR="005C41F3">
        <w:rPr>
          <w:szCs w:val="28"/>
        </w:rPr>
        <w:t xml:space="preserve"> </w:t>
      </w:r>
      <w:r w:rsidR="00261DB7">
        <w:rPr>
          <w:szCs w:val="28"/>
        </w:rPr>
        <w:t>testi</w:t>
      </w:r>
      <w:r w:rsidR="00333209">
        <w:rPr>
          <w:szCs w:val="28"/>
        </w:rPr>
        <w:t>mony</w:t>
      </w:r>
      <w:r w:rsidR="00261DB7">
        <w:rPr>
          <w:szCs w:val="28"/>
        </w:rPr>
        <w:t xml:space="preserve"> </w:t>
      </w:r>
      <w:r w:rsidR="004031FE">
        <w:rPr>
          <w:szCs w:val="28"/>
        </w:rPr>
        <w:t xml:space="preserve">that </w:t>
      </w:r>
      <w:r w:rsidR="00261DB7">
        <w:rPr>
          <w:szCs w:val="28"/>
        </w:rPr>
        <w:t xml:space="preserve">“having had an experience would increase the suggestibility” of a child to </w:t>
      </w:r>
      <w:r w:rsidR="00907270">
        <w:rPr>
          <w:szCs w:val="28"/>
        </w:rPr>
        <w:t xml:space="preserve">false memories of </w:t>
      </w:r>
      <w:r w:rsidR="00154DA3">
        <w:rPr>
          <w:szCs w:val="28"/>
        </w:rPr>
        <w:t>th</w:t>
      </w:r>
      <w:r w:rsidR="00D04F83">
        <w:rPr>
          <w:szCs w:val="28"/>
        </w:rPr>
        <w:t>e</w:t>
      </w:r>
      <w:r w:rsidR="00907270">
        <w:rPr>
          <w:szCs w:val="28"/>
        </w:rPr>
        <w:t xml:space="preserve"> </w:t>
      </w:r>
      <w:r w:rsidR="00D04F83">
        <w:rPr>
          <w:szCs w:val="28"/>
        </w:rPr>
        <w:t xml:space="preserve">same </w:t>
      </w:r>
      <w:r w:rsidR="00907270">
        <w:rPr>
          <w:szCs w:val="28"/>
        </w:rPr>
        <w:t>experience.</w:t>
      </w:r>
      <w:r w:rsidR="00C43488">
        <w:rPr>
          <w:szCs w:val="28"/>
        </w:rPr>
        <w:t xml:space="preserve"> </w:t>
      </w:r>
      <w:r w:rsidR="00907270">
        <w:rPr>
          <w:szCs w:val="28"/>
        </w:rPr>
        <w:t xml:space="preserve"> </w:t>
      </w:r>
      <w:r w:rsidR="00236CA5">
        <w:rPr>
          <w:szCs w:val="28"/>
        </w:rPr>
        <w:t>Defense c</w:t>
      </w:r>
      <w:r w:rsidR="00677C93">
        <w:rPr>
          <w:szCs w:val="28"/>
        </w:rPr>
        <w:t xml:space="preserve">ounsel </w:t>
      </w:r>
      <w:r w:rsidR="00EA26D4">
        <w:rPr>
          <w:szCs w:val="28"/>
        </w:rPr>
        <w:t>conced</w:t>
      </w:r>
      <w:r w:rsidR="00006390">
        <w:rPr>
          <w:szCs w:val="28"/>
        </w:rPr>
        <w:t>e</w:t>
      </w:r>
      <w:r w:rsidR="00F810E4">
        <w:rPr>
          <w:szCs w:val="28"/>
        </w:rPr>
        <w:t xml:space="preserve">d that he did not know </w:t>
      </w:r>
      <w:r w:rsidR="00677C93">
        <w:rPr>
          <w:szCs w:val="28"/>
        </w:rPr>
        <w:t xml:space="preserve">if </w:t>
      </w:r>
      <w:r w:rsidR="00B60487">
        <w:rPr>
          <w:szCs w:val="28"/>
        </w:rPr>
        <w:t xml:space="preserve">Jane </w:t>
      </w:r>
      <w:r w:rsidR="00D04F83">
        <w:rPr>
          <w:szCs w:val="28"/>
        </w:rPr>
        <w:t xml:space="preserve">knew </w:t>
      </w:r>
      <w:r w:rsidR="00B60487">
        <w:rPr>
          <w:szCs w:val="28"/>
        </w:rPr>
        <w:t>of the past abuse</w:t>
      </w:r>
      <w:r w:rsidR="005D3A46">
        <w:rPr>
          <w:szCs w:val="28"/>
        </w:rPr>
        <w:t xml:space="preserve"> (</w:t>
      </w:r>
      <w:r w:rsidR="00B60487">
        <w:rPr>
          <w:szCs w:val="28"/>
        </w:rPr>
        <w:t xml:space="preserve">assuming it </w:t>
      </w:r>
      <w:r w:rsidR="00236CA5">
        <w:rPr>
          <w:szCs w:val="28"/>
        </w:rPr>
        <w:t xml:space="preserve">had in fact </w:t>
      </w:r>
      <w:r w:rsidR="00B60487">
        <w:rPr>
          <w:szCs w:val="28"/>
        </w:rPr>
        <w:t>occurred</w:t>
      </w:r>
      <w:r w:rsidR="005D3A46">
        <w:rPr>
          <w:szCs w:val="28"/>
        </w:rPr>
        <w:t>)</w:t>
      </w:r>
      <w:r w:rsidR="00B60487">
        <w:rPr>
          <w:szCs w:val="28"/>
        </w:rPr>
        <w:t>.</w:t>
      </w:r>
      <w:r w:rsidR="00C43488">
        <w:rPr>
          <w:szCs w:val="28"/>
        </w:rPr>
        <w:t xml:space="preserve"> </w:t>
      </w:r>
      <w:r w:rsidR="003B412E">
        <w:rPr>
          <w:szCs w:val="28"/>
        </w:rPr>
        <w:t xml:space="preserve"> </w:t>
      </w:r>
      <w:r w:rsidR="00006390">
        <w:rPr>
          <w:szCs w:val="28"/>
        </w:rPr>
        <w:t xml:space="preserve">The court </w:t>
      </w:r>
      <w:r w:rsidRPr="008F1A58" w:rsidR="005C41F3">
        <w:rPr>
          <w:szCs w:val="28"/>
        </w:rPr>
        <w:t xml:space="preserve">sustained the objection </w:t>
      </w:r>
      <w:r w:rsidR="003B412E">
        <w:rPr>
          <w:szCs w:val="28"/>
        </w:rPr>
        <w:t>based</w:t>
      </w:r>
      <w:r w:rsidR="00EA26D4">
        <w:rPr>
          <w:szCs w:val="28"/>
        </w:rPr>
        <w:t xml:space="preserve"> in </w:t>
      </w:r>
      <w:r w:rsidR="00FF4644">
        <w:rPr>
          <w:szCs w:val="28"/>
        </w:rPr>
        <w:t xml:space="preserve">relevant </w:t>
      </w:r>
      <w:r w:rsidR="00EA26D4">
        <w:rPr>
          <w:szCs w:val="28"/>
        </w:rPr>
        <w:t xml:space="preserve">part </w:t>
      </w:r>
      <w:r w:rsidR="00FF4644">
        <w:rPr>
          <w:szCs w:val="28"/>
        </w:rPr>
        <w:t>(see fn. </w:t>
      </w:r>
      <w:r w:rsidR="0069398B">
        <w:rPr>
          <w:szCs w:val="28"/>
        </w:rPr>
        <w:t>6</w:t>
      </w:r>
      <w:r w:rsidR="00FF4644">
        <w:rPr>
          <w:szCs w:val="28"/>
        </w:rPr>
        <w:t xml:space="preserve">, </w:t>
      </w:r>
      <w:r w:rsidR="00FF4644">
        <w:rPr>
          <w:i/>
          <w:iCs/>
          <w:szCs w:val="28"/>
        </w:rPr>
        <w:t>ante</w:t>
      </w:r>
      <w:r w:rsidR="00FF4644">
        <w:rPr>
          <w:szCs w:val="28"/>
        </w:rPr>
        <w:t>)</w:t>
      </w:r>
      <w:r w:rsidR="003B412E">
        <w:rPr>
          <w:szCs w:val="28"/>
        </w:rPr>
        <w:t xml:space="preserve"> on </w:t>
      </w:r>
      <w:r w:rsidRPr="008F1A58" w:rsidR="003A7C0E">
        <w:rPr>
          <w:szCs w:val="28"/>
        </w:rPr>
        <w:t>section</w:t>
      </w:r>
      <w:r w:rsidR="001A44D1">
        <w:rPr>
          <w:szCs w:val="28"/>
        </w:rPr>
        <w:t> </w:t>
      </w:r>
      <w:r w:rsidRPr="008F1A58" w:rsidR="003A7C0E">
        <w:rPr>
          <w:szCs w:val="28"/>
        </w:rPr>
        <w:t>352</w:t>
      </w:r>
      <w:r w:rsidR="00763C8D">
        <w:rPr>
          <w:szCs w:val="28"/>
        </w:rPr>
        <w:t xml:space="preserve">, </w:t>
      </w:r>
      <w:r w:rsidR="006706EF">
        <w:rPr>
          <w:szCs w:val="28"/>
        </w:rPr>
        <w:t>because</w:t>
      </w:r>
      <w:r w:rsidR="003B412E">
        <w:rPr>
          <w:szCs w:val="28"/>
        </w:rPr>
        <w:t xml:space="preserve"> </w:t>
      </w:r>
      <w:r w:rsidRPr="008F1A58" w:rsidR="003A7C0E">
        <w:rPr>
          <w:szCs w:val="28"/>
        </w:rPr>
        <w:t xml:space="preserve">“the probative value is far outweighed by </w:t>
      </w:r>
      <w:r w:rsidRPr="00ED59B1" w:rsidR="003A7C0E">
        <w:rPr>
          <w:szCs w:val="28"/>
        </w:rPr>
        <w:t>the prejudice in the consumption of time and confusing the issues.”</w:t>
      </w:r>
    </w:p>
    <w:p w:rsidR="008E338B" w:rsidP="005D218C" w14:paraId="48E624B7" w14:textId="0FE34F1D">
      <w:r>
        <w:t>T</w:t>
      </w:r>
      <w:r w:rsidR="00723341">
        <w:t xml:space="preserve">he court did not abuse its discretion. </w:t>
      </w:r>
      <w:r w:rsidR="005D218C">
        <w:t xml:space="preserve"> </w:t>
      </w:r>
      <w:r w:rsidR="00723341">
        <w:t xml:space="preserve">A court may exclude evidence </w:t>
      </w:r>
      <w:r w:rsidR="006245EF">
        <w:t xml:space="preserve">under </w:t>
      </w:r>
      <w:r w:rsidR="00723341">
        <w:t xml:space="preserve">section 352 </w:t>
      </w:r>
      <w:r w:rsidR="00A91474">
        <w:t xml:space="preserve">if </w:t>
      </w:r>
      <w:r w:rsidR="00756C83">
        <w:t>“i</w:t>
      </w:r>
      <w:r w:rsidRPr="00756C83" w:rsidR="00756C83">
        <w:t>ts probative value is substantially outweighed by the probability that its admission will (a)</w:t>
      </w:r>
      <w:r w:rsidR="00AC0D38">
        <w:t> </w:t>
      </w:r>
      <w:r w:rsidRPr="00756C83" w:rsidR="00756C83">
        <w:t>necessitate undue consumption of time or (b)</w:t>
      </w:r>
      <w:r w:rsidR="005D218C">
        <w:t> </w:t>
      </w:r>
      <w:r w:rsidRPr="00756C83" w:rsidR="00756C83">
        <w:t>create substantial danger of undue prejudice, of confusing the issues, or of misleading the jury.”</w:t>
      </w:r>
      <w:r w:rsidR="00756C83">
        <w:t xml:space="preserve"> </w:t>
      </w:r>
      <w:r w:rsidR="005D218C">
        <w:t xml:space="preserve"> </w:t>
      </w:r>
      <w:r w:rsidR="00756C83">
        <w:t>(</w:t>
      </w:r>
      <w:r w:rsidR="00CE169C">
        <w:t xml:space="preserve">Evid. Code, </w:t>
      </w:r>
      <w:r w:rsidR="00756C83">
        <w:t>§ 352.)</w:t>
      </w:r>
      <w:r w:rsidR="005D218C">
        <w:t xml:space="preserve"> </w:t>
      </w:r>
      <w:r w:rsidR="00756C83">
        <w:t xml:space="preserve"> </w:t>
      </w:r>
      <w:r w:rsidR="001424C1">
        <w:t xml:space="preserve">In assessing </w:t>
      </w:r>
      <w:r w:rsidR="00480A32">
        <w:t xml:space="preserve">such </w:t>
      </w:r>
      <w:r w:rsidR="001424C1">
        <w:t xml:space="preserve">a ruling, we must identify the probative </w:t>
      </w:r>
      <w:r w:rsidR="00A42B5D">
        <w:t xml:space="preserve">value of the excluded evidence (or, as </w:t>
      </w:r>
      <w:r w:rsidR="002E299C">
        <w:t>her</w:t>
      </w:r>
      <w:r w:rsidR="00A42B5D">
        <w:t xml:space="preserve">e, potential evidence). </w:t>
      </w:r>
      <w:r w:rsidR="00FF6401">
        <w:t xml:space="preserve"> </w:t>
      </w:r>
      <w:r w:rsidRPr="00ED59B1" w:rsidR="00A42B5D">
        <w:t>At trial, defen</w:t>
      </w:r>
      <w:r w:rsidRPr="00ED59B1" w:rsidR="00313C82">
        <w:t xml:space="preserve">dant </w:t>
      </w:r>
      <w:r w:rsidRPr="00ED59B1" w:rsidR="00B56EB7">
        <w:t xml:space="preserve">contended only that past abuse, if Jane </w:t>
      </w:r>
      <w:r w:rsidRPr="00ED59B1" w:rsidR="00E156D8">
        <w:t>knew</w:t>
      </w:r>
      <w:r w:rsidRPr="00ED59B1" w:rsidR="00B56EB7">
        <w:t xml:space="preserve"> of it, </w:t>
      </w:r>
      <w:r w:rsidRPr="00ED59B1" w:rsidR="00313C82">
        <w:t xml:space="preserve">might </w:t>
      </w:r>
      <w:r w:rsidRPr="00ED59B1" w:rsidR="00B56EB7">
        <w:t>be</w:t>
      </w:r>
      <w:r w:rsidR="00B56EB7">
        <w:t xml:space="preserve"> </w:t>
      </w:r>
      <w:r w:rsidR="00F47E5E">
        <w:t xml:space="preserve">relevant to her suggestibility as to the existence of </w:t>
      </w:r>
      <w:r w:rsidR="008E063F">
        <w:t xml:space="preserve">abuse by </w:t>
      </w:r>
      <w:r w:rsidR="00AB1069">
        <w:t>defendant</w:t>
      </w:r>
      <w:r w:rsidR="00F47E5E">
        <w:t xml:space="preserve">, </w:t>
      </w:r>
      <w:r w:rsidRPr="00CF27CF" w:rsidR="00D22F1B">
        <w:rPr>
          <w:spacing w:val="-2"/>
        </w:rPr>
        <w:t xml:space="preserve">based on </w:t>
      </w:r>
      <w:r w:rsidRPr="00CF27CF" w:rsidR="00464AE8">
        <w:rPr>
          <w:spacing w:val="-2"/>
        </w:rPr>
        <w:t xml:space="preserve">the expert </w:t>
      </w:r>
      <w:r w:rsidRPr="00CF27CF" w:rsidR="00D22F1B">
        <w:rPr>
          <w:spacing w:val="-2"/>
        </w:rPr>
        <w:t xml:space="preserve">testimony that children are less suggestible </w:t>
      </w:r>
      <w:r w:rsidRPr="00CF27CF" w:rsidR="002E299C">
        <w:rPr>
          <w:spacing w:val="-2"/>
        </w:rPr>
        <w:t>about</w:t>
      </w:r>
      <w:r w:rsidRPr="00CF27CF" w:rsidR="00A8170A">
        <w:rPr>
          <w:spacing w:val="-2"/>
        </w:rPr>
        <w:t xml:space="preserve"> matters</w:t>
      </w:r>
      <w:r w:rsidR="00A8170A">
        <w:t xml:space="preserve"> </w:t>
      </w:r>
      <w:r w:rsidR="002E299C">
        <w:t>outside</w:t>
      </w:r>
      <w:r w:rsidR="00A8170A">
        <w:t xml:space="preserve"> their experience.</w:t>
      </w:r>
      <w:r w:rsidR="00B5479F">
        <w:t xml:space="preserve"> </w:t>
      </w:r>
      <w:r w:rsidR="00A8170A">
        <w:t xml:space="preserve"> But as defendant </w:t>
      </w:r>
      <w:r w:rsidR="002E299C">
        <w:t xml:space="preserve">now </w:t>
      </w:r>
      <w:r w:rsidR="001E6EC3">
        <w:t>conced</w:t>
      </w:r>
      <w:r w:rsidR="00A8170A">
        <w:t xml:space="preserve">es, </w:t>
      </w:r>
      <w:r w:rsidR="0030587F">
        <w:t xml:space="preserve">the fact that he </w:t>
      </w:r>
      <w:r w:rsidR="001E6EC3">
        <w:t>admi</w:t>
      </w:r>
      <w:r w:rsidR="0030587F">
        <w:t xml:space="preserve">tted </w:t>
      </w:r>
      <w:r w:rsidR="001C5A72">
        <w:t>the sex</w:t>
      </w:r>
      <w:r w:rsidR="00FD26FB">
        <w:t>ual</w:t>
      </w:r>
      <w:r w:rsidR="001C5A72">
        <w:t xml:space="preserve"> </w:t>
      </w:r>
      <w:r w:rsidR="00090205">
        <w:t xml:space="preserve">abuse </w:t>
      </w:r>
      <w:r w:rsidR="001C5A72">
        <w:t xml:space="preserve">means that </w:t>
      </w:r>
      <w:r w:rsidR="00FE20D9">
        <w:t xml:space="preserve">the issue </w:t>
      </w:r>
      <w:r w:rsidR="00F35BFF">
        <w:t>on</w:t>
      </w:r>
      <w:r w:rsidR="00FE20D9">
        <w:t xml:space="preserve"> which his counsel </w:t>
      </w:r>
      <w:r w:rsidR="00F35BFF">
        <w:t>argu</w:t>
      </w:r>
      <w:r w:rsidR="00FE20D9">
        <w:t xml:space="preserve">ed that </w:t>
      </w:r>
      <w:r w:rsidR="00624E90">
        <w:t xml:space="preserve">the </w:t>
      </w:r>
      <w:r w:rsidRPr="00BB617D" w:rsidR="00BB617D">
        <w:t xml:space="preserve">evidence </w:t>
      </w:r>
      <w:r w:rsidR="00EF6C5B">
        <w:t xml:space="preserve">had </w:t>
      </w:r>
      <w:r w:rsidR="00FE20D9">
        <w:t>probative value</w:t>
      </w:r>
      <w:r w:rsidR="00956EE3">
        <w:t>—</w:t>
      </w:r>
      <w:r w:rsidR="001C5A72">
        <w:t>Jane</w:t>
      </w:r>
      <w:r w:rsidR="002C52E5">
        <w:t>’</w:t>
      </w:r>
      <w:r w:rsidR="001C5A72">
        <w:t>s suggestib</w:t>
      </w:r>
      <w:r w:rsidR="002C52E5">
        <w:t>ility</w:t>
      </w:r>
      <w:r w:rsidR="001C5A72">
        <w:t xml:space="preserve"> as </w:t>
      </w:r>
      <w:r w:rsidR="001E6EC3">
        <w:t xml:space="preserve">to </w:t>
      </w:r>
      <w:r w:rsidR="00490FBE">
        <w:t xml:space="preserve">whether </w:t>
      </w:r>
      <w:r w:rsidR="0055296F">
        <w:t>such</w:t>
      </w:r>
      <w:r w:rsidR="00490FBE">
        <w:t xml:space="preserve"> </w:t>
      </w:r>
      <w:r w:rsidR="001C5A72">
        <w:t xml:space="preserve">abuse </w:t>
      </w:r>
      <w:r w:rsidR="0055296F">
        <w:t xml:space="preserve">did in fact </w:t>
      </w:r>
      <w:r w:rsidR="00490FBE">
        <w:t>occur</w:t>
      </w:r>
      <w:r w:rsidR="00956EE3">
        <w:t>—</w:t>
      </w:r>
      <w:r w:rsidR="001C5A72">
        <w:t>w</w:t>
      </w:r>
      <w:r w:rsidR="004A5B24">
        <w:t>as</w:t>
      </w:r>
      <w:r w:rsidR="001C5A72">
        <w:t xml:space="preserve"> </w:t>
      </w:r>
      <w:r w:rsidR="00DF6DCE">
        <w:t>in</w:t>
      </w:r>
      <w:r w:rsidR="001C5A72">
        <w:t>consequential</w:t>
      </w:r>
      <w:r w:rsidRPr="00ED59B1" w:rsidR="00132101">
        <w:t>.</w:t>
      </w:r>
    </w:p>
    <w:p w:rsidR="007C31A5" w:rsidP="00B5479F" w14:paraId="5F6310B0" w14:textId="150562C2">
      <w:r>
        <w:t xml:space="preserve">Defendant thus </w:t>
      </w:r>
      <w:r w:rsidR="009B1152">
        <w:t>rais</w:t>
      </w:r>
      <w:r>
        <w:t xml:space="preserve">es a new </w:t>
      </w:r>
      <w:r w:rsidR="009B1152">
        <w:t>theory</w:t>
      </w:r>
      <w:r>
        <w:t xml:space="preserve"> on appeal</w:t>
      </w:r>
      <w:r w:rsidR="006265A6">
        <w:t xml:space="preserve">: </w:t>
      </w:r>
      <w:r w:rsidR="00B5479F">
        <w:t xml:space="preserve"> </w:t>
      </w:r>
      <w:r w:rsidR="007224A7">
        <w:t>E</w:t>
      </w:r>
      <w:r w:rsidRPr="00A1595E" w:rsidR="00A1595E">
        <w:t xml:space="preserve">vidence of </w:t>
      </w:r>
      <w:r w:rsidR="009B1152">
        <w:t xml:space="preserve">past </w:t>
      </w:r>
      <w:r w:rsidRPr="00A1595E" w:rsidR="00A1595E">
        <w:t xml:space="preserve">abuse was relevant to </w:t>
      </w:r>
      <w:r w:rsidR="009B1152">
        <w:t xml:space="preserve">impeach Jane’s credibility </w:t>
      </w:r>
      <w:r w:rsidR="0045745F">
        <w:t xml:space="preserve">not just </w:t>
      </w:r>
      <w:r w:rsidR="00E976DD">
        <w:t xml:space="preserve">on </w:t>
      </w:r>
      <w:r w:rsidR="003920BA">
        <w:t xml:space="preserve">the issue of whether the abuse occurred, but </w:t>
      </w:r>
      <w:r w:rsidR="00E976DD">
        <w:t xml:space="preserve">on </w:t>
      </w:r>
      <w:r w:rsidR="00D0648D">
        <w:t xml:space="preserve">the issue of </w:t>
      </w:r>
      <w:r w:rsidR="005E59A6">
        <w:t xml:space="preserve">whether it was facilitated by </w:t>
      </w:r>
      <w:r w:rsidR="00A1595E">
        <w:t>duress</w:t>
      </w:r>
      <w:r w:rsidR="003920BA">
        <w:t>,</w:t>
      </w:r>
      <w:r w:rsidR="00FE130C">
        <w:t xml:space="preserve"> “</w:t>
      </w:r>
      <w:r w:rsidRPr="00A1595E" w:rsidR="00A1595E">
        <w:t>because the prior abuse</w:t>
      </w:r>
      <w:r w:rsidR="00A1595E">
        <w:t xml:space="preserve"> </w:t>
      </w:r>
      <w:r w:rsidRPr="00A1595E" w:rsidR="00A1595E">
        <w:t>made her more suggestible on that issue</w:t>
      </w:r>
      <w:r w:rsidR="00A1595E">
        <w:t>.”</w:t>
      </w:r>
      <w:r w:rsidR="00C76823">
        <w:t xml:space="preserve"> </w:t>
      </w:r>
      <w:r w:rsidR="00822ABF">
        <w:t xml:space="preserve"> </w:t>
      </w:r>
      <w:r w:rsidR="00E55C57">
        <w:t xml:space="preserve">Defendant forfeited this claim by not </w:t>
      </w:r>
      <w:r w:rsidR="00FF3FA4">
        <w:t>rais</w:t>
      </w:r>
      <w:r w:rsidR="00E55C57">
        <w:t xml:space="preserve">ing that theory below as a basis for </w:t>
      </w:r>
      <w:r w:rsidR="00847EC3">
        <w:t xml:space="preserve">finding </w:t>
      </w:r>
      <w:r w:rsidR="00E55C57">
        <w:t xml:space="preserve">the evidence </w:t>
      </w:r>
      <w:r w:rsidR="00A6589F">
        <w:t>more probative than prejudicial.</w:t>
      </w:r>
      <w:r w:rsidR="00C76823">
        <w:t xml:space="preserve"> </w:t>
      </w:r>
      <w:r w:rsidR="00A6589F">
        <w:t xml:space="preserve"> (</w:t>
      </w:r>
      <w:r w:rsidR="003F7799">
        <w:t>See</w:t>
      </w:r>
      <w:r w:rsidR="00847EC3">
        <w:t xml:space="preserve"> </w:t>
      </w:r>
      <w:r w:rsidR="00DA46A7">
        <w:rPr>
          <w:i/>
          <w:iCs/>
        </w:rPr>
        <w:t>People v. Cornejo</w:t>
      </w:r>
      <w:r w:rsidR="00DA46A7">
        <w:t xml:space="preserve"> (2016) 3</w:t>
      </w:r>
      <w:r w:rsidR="006C2966">
        <w:t> </w:t>
      </w:r>
      <w:r w:rsidR="00DA46A7">
        <w:t xml:space="preserve">Cal.App.5th </w:t>
      </w:r>
      <w:r w:rsidR="00ED6BAC">
        <w:t xml:space="preserve">36, 55 [defendant </w:t>
      </w:r>
      <w:r>
        <w:t>forfeited theory that evidence was admissible for one purpose by advocating admission only for another].</w:t>
      </w:r>
      <w:r w:rsidR="00A6589F">
        <w:t>)</w:t>
      </w:r>
      <w:r>
        <w:rPr>
          <w:rStyle w:val="FootnoteReference"/>
        </w:rPr>
        <w:footnoteReference w:id="10"/>
      </w:r>
    </w:p>
    <w:p w:rsidR="00053AD7" w:rsidP="002A7483" w14:paraId="190870D5" w14:textId="2996E597">
      <w:r>
        <w:t xml:space="preserve">But even if defendant had </w:t>
      </w:r>
      <w:r w:rsidR="008E37ED">
        <w:t>rais</w:t>
      </w:r>
      <w:r>
        <w:t xml:space="preserve">ed his new theory below, the court would have been well within its discretion to reject it. </w:t>
      </w:r>
      <w:r w:rsidR="002A7483">
        <w:t xml:space="preserve"> </w:t>
      </w:r>
      <w:r>
        <w:t>Defendant</w:t>
      </w:r>
      <w:r w:rsidR="00822ABF">
        <w:t xml:space="preserve"> notes </w:t>
      </w:r>
      <w:r w:rsidR="00CA787E">
        <w:t xml:space="preserve">testimony by </w:t>
      </w:r>
      <w:r w:rsidR="00822ABF">
        <w:t>Dr.</w:t>
      </w:r>
      <w:r>
        <w:t> </w:t>
      </w:r>
      <w:r w:rsidR="00822ABF">
        <w:t>Washington</w:t>
      </w:r>
      <w:r w:rsidR="00CA787E">
        <w:t xml:space="preserve"> </w:t>
      </w:r>
      <w:r w:rsidR="00822ABF">
        <w:t>that, while children who have been abused are</w:t>
      </w:r>
      <w:r w:rsidR="00CA787E">
        <w:t xml:space="preserve"> generally</w:t>
      </w:r>
      <w:r w:rsidR="00822ABF">
        <w:t xml:space="preserve"> less suggestible, </w:t>
      </w:r>
      <w:r w:rsidR="00564A91">
        <w:t xml:space="preserve">they may be more suggestible on the topic of sexual abuse </w:t>
      </w:r>
      <w:r w:rsidR="00FE130C">
        <w:t>insofar as</w:t>
      </w:r>
      <w:r w:rsidR="00794D60">
        <w:t xml:space="preserve"> </w:t>
      </w:r>
      <w:r w:rsidR="00564A91">
        <w:t xml:space="preserve">it </w:t>
      </w:r>
      <w:r w:rsidR="00FE130C">
        <w:t xml:space="preserve">is </w:t>
      </w:r>
      <w:r w:rsidR="00564A91">
        <w:t xml:space="preserve">not </w:t>
      </w:r>
      <w:r w:rsidR="00794D60">
        <w:t xml:space="preserve">an event </w:t>
      </w:r>
      <w:r w:rsidR="00222C73">
        <w:t>outside their experience</w:t>
      </w:r>
      <w:r w:rsidR="00FA4451">
        <w:t>.</w:t>
      </w:r>
      <w:r w:rsidR="002A7483">
        <w:t xml:space="preserve"> </w:t>
      </w:r>
      <w:r w:rsidR="00FA4451">
        <w:t xml:space="preserve"> </w:t>
      </w:r>
      <w:r w:rsidR="00FE130C">
        <w:t>H</w:t>
      </w:r>
      <w:r w:rsidR="00FA4451">
        <w:t xml:space="preserve">e </w:t>
      </w:r>
      <w:r w:rsidR="00FE4897">
        <w:t>speculate</w:t>
      </w:r>
      <w:r w:rsidR="00FA4451">
        <w:t xml:space="preserve">s </w:t>
      </w:r>
      <w:r w:rsidR="00222C73">
        <w:t>that “</w:t>
      </w:r>
      <w:r w:rsidR="008133A9">
        <w:t>[t]</w:t>
      </w:r>
      <w:r w:rsidRPr="008133A9" w:rsidR="008133A9">
        <w:t xml:space="preserve">he same principle would </w:t>
      </w:r>
      <w:r w:rsidRPr="009D3C11" w:rsidR="008133A9">
        <w:t>seem to apply to a child who had previously been sexually abused by [duress].</w:t>
      </w:r>
      <w:r w:rsidRPr="009D3C11" w:rsidR="00222C73">
        <w:t>”</w:t>
      </w:r>
      <w:r w:rsidR="007C6546">
        <w:t xml:space="preserve"> </w:t>
      </w:r>
      <w:r w:rsidR="004B3277">
        <w:t xml:space="preserve"> </w:t>
      </w:r>
      <w:r w:rsidR="00FA4451">
        <w:t xml:space="preserve">He also notes </w:t>
      </w:r>
      <w:r w:rsidR="00016ECC">
        <w:t xml:space="preserve">Washington’s testimony that children </w:t>
      </w:r>
      <w:r w:rsidRPr="009D3C11" w:rsidR="00016ECC">
        <w:t xml:space="preserve">who </w:t>
      </w:r>
      <w:r w:rsidRPr="009D3C11" w:rsidR="007F23BF">
        <w:t>suffer</w:t>
      </w:r>
      <w:r w:rsidRPr="009D3C11" w:rsidR="00FE130C">
        <w:t xml:space="preserve"> </w:t>
      </w:r>
      <w:r w:rsidRPr="009D3C11" w:rsidR="00016ECC">
        <w:t>sexual abuse often feel shame and guilt</w:t>
      </w:r>
      <w:r w:rsidRPr="009D3C11" w:rsidR="0001504C">
        <w:t xml:space="preserve"> and </w:t>
      </w:r>
      <w:r w:rsidRPr="009D3C11" w:rsidR="00FA4451">
        <w:t>belie</w:t>
      </w:r>
      <w:r w:rsidRPr="009D3C11" w:rsidR="0001504C">
        <w:t xml:space="preserve">ve </w:t>
      </w:r>
      <w:r w:rsidRPr="009D3C11" w:rsidR="00D133E9">
        <w:t>the</w:t>
      </w:r>
      <w:r w:rsidR="00D133E9">
        <w:t xml:space="preserve"> abuse </w:t>
      </w:r>
      <w:r w:rsidR="00FA4451">
        <w:t>was their fault.</w:t>
      </w:r>
      <w:r w:rsidR="007C6546">
        <w:t xml:space="preserve"> </w:t>
      </w:r>
      <w:r w:rsidR="00FA4451">
        <w:t xml:space="preserve"> </w:t>
      </w:r>
      <w:r w:rsidR="00E0340A">
        <w:t xml:space="preserve">On </w:t>
      </w:r>
      <w:r w:rsidR="00420A67">
        <w:t xml:space="preserve">that </w:t>
      </w:r>
      <w:r w:rsidR="00E0340A">
        <w:t>basis</w:t>
      </w:r>
      <w:r w:rsidR="00420A67">
        <w:t xml:space="preserve">, he </w:t>
      </w:r>
      <w:r w:rsidR="0026227B">
        <w:t>sug</w:t>
      </w:r>
      <w:r w:rsidR="007C74B7">
        <w:t>g</w:t>
      </w:r>
      <w:r w:rsidR="0026227B">
        <w:t>est</w:t>
      </w:r>
      <w:r w:rsidR="00BA09FB">
        <w:t>s</w:t>
      </w:r>
      <w:r w:rsidR="004B3277">
        <w:t xml:space="preserve"> </w:t>
      </w:r>
      <w:r w:rsidR="000906CC">
        <w:t xml:space="preserve">that evidence </w:t>
      </w:r>
      <w:r w:rsidR="007F23BF">
        <w:t xml:space="preserve">of </w:t>
      </w:r>
      <w:r w:rsidR="00952F34">
        <w:t xml:space="preserve">the </w:t>
      </w:r>
      <w:r w:rsidR="000906CC">
        <w:t xml:space="preserve">circumstances </w:t>
      </w:r>
      <w:r w:rsidR="00952F34">
        <w:t xml:space="preserve">of </w:t>
      </w:r>
      <w:r w:rsidR="000906CC">
        <w:t>Jane’s past abuse might have show</w:t>
      </w:r>
      <w:r w:rsidR="00E0340A">
        <w:t>n</w:t>
      </w:r>
      <w:r w:rsidR="000906CC">
        <w:t xml:space="preserve"> that she had a motive to </w:t>
      </w:r>
      <w:r w:rsidR="00016ECC">
        <w:t xml:space="preserve">fabricate claims of duress </w:t>
      </w:r>
      <w:r w:rsidR="009D2319">
        <w:t xml:space="preserve">because </w:t>
      </w:r>
      <w:r w:rsidR="007F23BF">
        <w:t>s</w:t>
      </w:r>
      <w:r w:rsidRPr="009D2319" w:rsidR="009D2319">
        <w:t xml:space="preserve">he </w:t>
      </w:r>
      <w:r w:rsidR="007F23BF">
        <w:t>“</w:t>
      </w:r>
      <w:r w:rsidRPr="009D2319" w:rsidR="009D2319">
        <w:t>may have</w:t>
      </w:r>
      <w:r w:rsidR="00FE130C">
        <w:t xml:space="preserve"> </w:t>
      </w:r>
      <w:r w:rsidRPr="009D2319" w:rsidR="009D2319">
        <w:t>been even more fearful than a child who had not previously been</w:t>
      </w:r>
      <w:r w:rsidR="009D2319">
        <w:t xml:space="preserve"> </w:t>
      </w:r>
      <w:r w:rsidRPr="009D2319" w:rsidR="009D2319">
        <w:t>sexually abused that she would be blamed for it</w:t>
      </w:r>
      <w:r w:rsidR="00D84F61">
        <w:t>,</w:t>
      </w:r>
      <w:r w:rsidR="009D2319">
        <w:t>”</w:t>
      </w:r>
      <w:r w:rsidR="00D84F61">
        <w:t xml:space="preserve"> and because </w:t>
      </w:r>
      <w:r w:rsidR="000910C3">
        <w:t xml:space="preserve">she </w:t>
      </w:r>
      <w:r w:rsidR="009A3485">
        <w:t xml:space="preserve">may have </w:t>
      </w:r>
      <w:r w:rsidR="000910C3">
        <w:t xml:space="preserve">been blamed for the prior abuse or alternatively </w:t>
      </w:r>
      <w:r w:rsidR="009A3485">
        <w:t>may have “</w:t>
      </w:r>
      <w:r w:rsidRPr="00053AD7">
        <w:t>escaped blame because the prior abuse was accomplished</w:t>
      </w:r>
      <w:r>
        <w:t xml:space="preserve"> </w:t>
      </w:r>
      <w:r w:rsidRPr="00053AD7">
        <w:t>by force or threats</w:t>
      </w:r>
      <w:r w:rsidR="0052002C">
        <w:t>.</w:t>
      </w:r>
      <w:r>
        <w:t>”</w:t>
      </w:r>
    </w:p>
    <w:p w:rsidR="00C40B05" w:rsidRPr="00450476" w:rsidP="007C6546" w14:paraId="7B6728D1" w14:textId="29E9903E">
      <w:r w:rsidRPr="00450476">
        <w:t xml:space="preserve">That </w:t>
      </w:r>
      <w:r w:rsidRPr="00450476" w:rsidR="007D7957">
        <w:t xml:space="preserve">array of </w:t>
      </w:r>
      <w:r w:rsidR="004D14D4">
        <w:t>contingent</w:t>
      </w:r>
      <w:r w:rsidRPr="00450476" w:rsidR="00981EE7">
        <w:t xml:space="preserve"> </w:t>
      </w:r>
      <w:r w:rsidRPr="00450476">
        <w:t>theor</w:t>
      </w:r>
      <w:r w:rsidRPr="00450476" w:rsidR="00981EE7">
        <w:t>ies</w:t>
      </w:r>
      <w:r w:rsidRPr="00450476">
        <w:t xml:space="preserve"> </w:t>
      </w:r>
      <w:r w:rsidR="009966E8">
        <w:t xml:space="preserve">does </w:t>
      </w:r>
      <w:r w:rsidR="006A24AA">
        <w:t xml:space="preserve">not </w:t>
      </w:r>
      <w:r w:rsidR="004B1091">
        <w:t>show</w:t>
      </w:r>
      <w:r w:rsidRPr="00450476" w:rsidR="00D03158">
        <w:t xml:space="preserve"> the evidence </w:t>
      </w:r>
      <w:r w:rsidRPr="00450476" w:rsidR="00B72C36">
        <w:t xml:space="preserve">defendant sought to </w:t>
      </w:r>
      <w:r w:rsidRPr="00450476" w:rsidR="00603FA1">
        <w:t xml:space="preserve">develop </w:t>
      </w:r>
      <w:r w:rsidRPr="00450476" w:rsidR="00B72C36">
        <w:t>was likely to have significant</w:t>
      </w:r>
      <w:r w:rsidRPr="00450476" w:rsidR="002B7303">
        <w:t>,</w:t>
      </w:r>
      <w:r w:rsidR="006A24AA">
        <w:t xml:space="preserve"> </w:t>
      </w:r>
      <w:r w:rsidRPr="00450476" w:rsidR="00B72C36">
        <w:t>or any</w:t>
      </w:r>
      <w:r w:rsidRPr="00450476" w:rsidR="002B7303">
        <w:t xml:space="preserve">, </w:t>
      </w:r>
      <w:r w:rsidRPr="00450476" w:rsidR="00B72C36">
        <w:t xml:space="preserve">probative value on </w:t>
      </w:r>
      <w:r w:rsidRPr="007C272E" w:rsidR="00B72C36">
        <w:rPr>
          <w:spacing w:val="-2"/>
        </w:rPr>
        <w:t xml:space="preserve">the issue of duress. </w:t>
      </w:r>
      <w:r w:rsidRPr="007C272E" w:rsidR="007C6546">
        <w:rPr>
          <w:spacing w:val="-2"/>
        </w:rPr>
        <w:t xml:space="preserve"> </w:t>
      </w:r>
      <w:r w:rsidRPr="007C272E" w:rsidR="002E7B2B">
        <w:rPr>
          <w:spacing w:val="-2"/>
        </w:rPr>
        <w:t>It rests on layers of speculation about whether past abuse</w:t>
      </w:r>
      <w:r w:rsidRPr="009D3C11" w:rsidR="002E7B2B">
        <w:t xml:space="preserve"> occurred, whether </w:t>
      </w:r>
      <w:r w:rsidRPr="009D3C11" w:rsidR="00A64127">
        <w:t xml:space="preserve">Jane </w:t>
      </w:r>
      <w:r w:rsidRPr="009D3C11" w:rsidR="004B636B">
        <w:t>was aware</w:t>
      </w:r>
      <w:r w:rsidRPr="009D3C11" w:rsidR="004D14D4">
        <w:t xml:space="preserve"> </w:t>
      </w:r>
      <w:r w:rsidRPr="009D3C11" w:rsidR="00A64127">
        <w:t xml:space="preserve">of </w:t>
      </w:r>
      <w:r w:rsidRPr="009D3C11" w:rsidR="00700B28">
        <w:t>it at the time</w:t>
      </w:r>
      <w:r w:rsidRPr="009D3C11" w:rsidR="001F3C56">
        <w:t xml:space="preserve">, </w:t>
      </w:r>
      <w:r w:rsidRPr="00450476" w:rsidR="00A64127">
        <w:t xml:space="preserve">how adults around her reacted to </w:t>
      </w:r>
      <w:r w:rsidRPr="00450476" w:rsidR="007D7957">
        <w:t xml:space="preserve">the </w:t>
      </w:r>
      <w:r w:rsidRPr="00450476" w:rsidR="000B16E3">
        <w:t xml:space="preserve">past </w:t>
      </w:r>
      <w:r w:rsidRPr="00450476" w:rsidR="007D7957">
        <w:t>abuse</w:t>
      </w:r>
      <w:r w:rsidRPr="00450476" w:rsidR="002A1CDF">
        <w:t>,</w:t>
      </w:r>
      <w:r w:rsidRPr="00450476" w:rsidR="007D7957">
        <w:t xml:space="preserve"> whether and how she perceived </w:t>
      </w:r>
      <w:r w:rsidRPr="00450476" w:rsidR="00E20CD7">
        <w:t xml:space="preserve">those </w:t>
      </w:r>
      <w:r w:rsidRPr="00450476" w:rsidR="007D7957">
        <w:t>reactions</w:t>
      </w:r>
      <w:r w:rsidRPr="00450476" w:rsidR="002A1CDF">
        <w:t>,</w:t>
      </w:r>
      <w:r w:rsidRPr="00450476" w:rsidR="002B3D28">
        <w:t xml:space="preserve"> and how </w:t>
      </w:r>
      <w:r w:rsidRPr="00450476" w:rsidR="000B16E3">
        <w:t xml:space="preserve">if at all </w:t>
      </w:r>
      <w:r w:rsidRPr="00450476" w:rsidR="002B3D28">
        <w:t>th</w:t>
      </w:r>
      <w:r w:rsidRPr="00450476" w:rsidR="00E20CD7">
        <w:t xml:space="preserve">ose events </w:t>
      </w:r>
      <w:r w:rsidRPr="00450476" w:rsidR="000B16E3">
        <w:t xml:space="preserve">affected her </w:t>
      </w:r>
      <w:r w:rsidRPr="00450476" w:rsidR="00DB4681">
        <w:t xml:space="preserve">in </w:t>
      </w:r>
      <w:r w:rsidR="00017264">
        <w:t>2019</w:t>
      </w:r>
      <w:r w:rsidRPr="00450476" w:rsidR="00A64127">
        <w:t>.</w:t>
      </w:r>
      <w:r w:rsidRPr="00450476" w:rsidR="000270C2">
        <w:t xml:space="preserve"> </w:t>
      </w:r>
      <w:r w:rsidR="007C6546">
        <w:t xml:space="preserve"> </w:t>
      </w:r>
      <w:r w:rsidRPr="00450476" w:rsidR="000270C2">
        <w:t xml:space="preserve">Weighing against admissibility is the time </w:t>
      </w:r>
      <w:r w:rsidRPr="00450476" w:rsidR="002B3D28">
        <w:t xml:space="preserve">that a mini-trial </w:t>
      </w:r>
      <w:r w:rsidR="004B636B">
        <w:t>as to</w:t>
      </w:r>
      <w:r w:rsidR="00930D16">
        <w:t xml:space="preserve"> </w:t>
      </w:r>
      <w:r w:rsidR="008711BF">
        <w:t xml:space="preserve">what a </w:t>
      </w:r>
      <w:r w:rsidR="007C6546">
        <w:t>ten</w:t>
      </w:r>
      <w:r w:rsidR="00B908B8">
        <w:t>-</w:t>
      </w:r>
      <w:r w:rsidR="007C6546">
        <w:t>and</w:t>
      </w:r>
      <w:r w:rsidR="00B908B8">
        <w:t>-</w:t>
      </w:r>
      <w:r w:rsidR="007C6546">
        <w:t>a</w:t>
      </w:r>
      <w:r w:rsidR="00B908B8">
        <w:t>-</w:t>
      </w:r>
      <w:r w:rsidR="007C6546">
        <w:t>half</w:t>
      </w:r>
      <w:r w:rsidR="00B908B8">
        <w:t>-</w:t>
      </w:r>
      <w:r w:rsidR="008711BF">
        <w:t>year</w:t>
      </w:r>
      <w:r w:rsidR="00B908B8">
        <w:t>-</w:t>
      </w:r>
      <w:r w:rsidR="008711BF">
        <w:t xml:space="preserve">old </w:t>
      </w:r>
      <w:r w:rsidR="00B908B8">
        <w:t xml:space="preserve">child </w:t>
      </w:r>
      <w:r w:rsidR="00483063">
        <w:t xml:space="preserve">recalled about abuse that may have occurred </w:t>
      </w:r>
      <w:r w:rsidR="006231C2">
        <w:t>five</w:t>
      </w:r>
      <w:r w:rsidR="004772EC">
        <w:t xml:space="preserve"> or more years </w:t>
      </w:r>
      <w:r w:rsidR="006731AB">
        <w:t>earlier</w:t>
      </w:r>
      <w:r w:rsidRPr="00E829CD" w:rsidR="00E829CD">
        <w:t xml:space="preserve"> </w:t>
      </w:r>
      <w:r w:rsidR="00E829CD">
        <w:t>would have consumed</w:t>
      </w:r>
      <w:r w:rsidR="00930D16">
        <w:t>,</w:t>
      </w:r>
      <w:r w:rsidR="00483063">
        <w:t xml:space="preserve"> </w:t>
      </w:r>
      <w:r w:rsidRPr="00450476" w:rsidR="000270C2">
        <w:t xml:space="preserve">and </w:t>
      </w:r>
      <w:r w:rsidRPr="00450476" w:rsidR="002B3D28">
        <w:t xml:space="preserve">the </w:t>
      </w:r>
      <w:r w:rsidRPr="00450476" w:rsidR="006C0B12">
        <w:t xml:space="preserve">confusion of the issues </w:t>
      </w:r>
      <w:r w:rsidR="00E829CD">
        <w:t>it</w:t>
      </w:r>
      <w:r w:rsidR="00930D16">
        <w:t xml:space="preserve"> </w:t>
      </w:r>
      <w:r w:rsidRPr="00450476" w:rsidR="00DB4681">
        <w:t xml:space="preserve">could have </w:t>
      </w:r>
      <w:r w:rsidR="006731AB">
        <w:t>caus</w:t>
      </w:r>
      <w:r w:rsidR="00E829CD">
        <w:t>ed</w:t>
      </w:r>
      <w:r w:rsidRPr="00450476" w:rsidR="00DB4681">
        <w:t xml:space="preserve">. </w:t>
      </w:r>
      <w:r w:rsidR="00B908B8">
        <w:t xml:space="preserve"> </w:t>
      </w:r>
      <w:r w:rsidRPr="00450476" w:rsidR="003242AA">
        <w:t>The court did not abuse its discretion in excluding such potential evidence.</w:t>
      </w:r>
      <w:r>
        <w:rPr>
          <w:rStyle w:val="FootnoteReference"/>
        </w:rPr>
        <w:footnoteReference w:id="11"/>
      </w:r>
    </w:p>
    <w:p w:rsidR="00D40F70" w:rsidRPr="00D40F70" w:rsidP="00D40F70" w14:paraId="1C1EE6E1" w14:textId="3A372495">
      <w:pPr>
        <w:pStyle w:val="Heading2"/>
        <w:numPr>
          <w:ilvl w:val="0"/>
          <w:numId w:val="24"/>
        </w:numPr>
      </w:pPr>
      <w:r>
        <w:t>Defendant’s Challenges to His Sentence</w:t>
      </w:r>
    </w:p>
    <w:p w:rsidR="00585B66" w:rsidP="000335C9" w14:paraId="7DFB3DBA" w14:textId="2E83AFCA">
      <w:r w:rsidRPr="009D3C11">
        <w:t>As noted, d</w:t>
      </w:r>
      <w:r w:rsidRPr="009D3C11" w:rsidR="00AA1CD2">
        <w:t xml:space="preserve">efendant </w:t>
      </w:r>
      <w:r w:rsidRPr="009D3C11">
        <w:t xml:space="preserve">was </w:t>
      </w:r>
      <w:r w:rsidRPr="009D3C11" w:rsidR="00407805">
        <w:t>sentence</w:t>
      </w:r>
      <w:r w:rsidRPr="009D3C11">
        <w:t>d</w:t>
      </w:r>
      <w:r w:rsidRPr="009D3C11" w:rsidR="00CC71B5">
        <w:t xml:space="preserve"> </w:t>
      </w:r>
      <w:r w:rsidRPr="009D3C11">
        <w:t xml:space="preserve">to </w:t>
      </w:r>
      <w:r w:rsidRPr="009D3C11" w:rsidR="00CC71B5">
        <w:t>3</w:t>
      </w:r>
      <w:r w:rsidRPr="00A771F1" w:rsidR="00CC71B5">
        <w:t>2</w:t>
      </w:r>
      <w:r w:rsidRPr="009D3C11" w:rsidR="00B2367F">
        <w:t> </w:t>
      </w:r>
      <w:r w:rsidRPr="009D3C11" w:rsidR="00CC71B5">
        <w:t>year</w:t>
      </w:r>
      <w:r w:rsidRPr="009D3C11" w:rsidR="0015287B">
        <w:t>s</w:t>
      </w:r>
      <w:r w:rsidRPr="009D3C11" w:rsidR="00CC71B5">
        <w:t xml:space="preserve"> (comprising</w:t>
      </w:r>
      <w:r w:rsidRPr="00450476" w:rsidR="00CC71B5">
        <w:t xml:space="preserve"> </w:t>
      </w:r>
      <w:r w:rsidR="0023325D">
        <w:t xml:space="preserve">four </w:t>
      </w:r>
      <w:r w:rsidR="00A031DC">
        <w:t xml:space="preserve">consecutive </w:t>
      </w:r>
      <w:r w:rsidR="0023325D">
        <w:t>eight</w:t>
      </w:r>
      <w:r w:rsidRPr="009D3C11" w:rsidR="00045521">
        <w:noBreakHyphen/>
      </w:r>
      <w:r w:rsidRPr="009D3C11" w:rsidR="0049726B">
        <w:t xml:space="preserve">year </w:t>
      </w:r>
      <w:r w:rsidRPr="009D3C11" w:rsidR="00CC71B5">
        <w:t xml:space="preserve">middle terms on the </w:t>
      </w:r>
      <w:r w:rsidR="0023325D">
        <w:t>four</w:t>
      </w:r>
      <w:r w:rsidRPr="009D3C11" w:rsidR="00CC71B5">
        <w:t xml:space="preserve"> </w:t>
      </w:r>
      <w:r w:rsidRPr="009D3C11" w:rsidR="00E00FE9">
        <w:t>convictions of forcible lewd acts</w:t>
      </w:r>
      <w:r w:rsidR="00D47097">
        <w:t>)</w:t>
      </w:r>
      <w:r w:rsidRPr="009D3C11" w:rsidR="001123C0">
        <w:t xml:space="preserve"> </w:t>
      </w:r>
      <w:r w:rsidRPr="009D3C11" w:rsidR="00E00FE9">
        <w:t>(§ 288</w:t>
      </w:r>
      <w:r w:rsidRPr="009D3C11" w:rsidR="007F0F09">
        <w:t>, subd.</w:t>
      </w:r>
      <w:r w:rsidRPr="009D3C11" w:rsidR="009C10C8">
        <w:t> </w:t>
      </w:r>
      <w:r w:rsidRPr="00D47097" w:rsidR="007F0F09">
        <w:t>(b)</w:t>
      </w:r>
      <w:r w:rsidRPr="00D47097" w:rsidR="00E00FE9">
        <w:t>) plus 13</w:t>
      </w:r>
      <w:r w:rsidRPr="00D47097" w:rsidR="00357C23">
        <w:t>5</w:t>
      </w:r>
      <w:r w:rsidRPr="00D47097" w:rsidR="00B2367F">
        <w:t> </w:t>
      </w:r>
      <w:r w:rsidRPr="00D47097" w:rsidR="00E00FE9">
        <w:t xml:space="preserve">years to life (comprising </w:t>
      </w:r>
      <w:r w:rsidR="0023325D">
        <w:t xml:space="preserve">nine </w:t>
      </w:r>
      <w:r w:rsidRPr="00D47097" w:rsidR="00A031DC">
        <w:t xml:space="preserve">consecutive </w:t>
      </w:r>
      <w:r w:rsidRPr="00D47097" w:rsidR="00E00FE9">
        <w:t>terms of 15</w:t>
      </w:r>
      <w:r w:rsidRPr="00D47097" w:rsidR="00B2367F">
        <w:t> </w:t>
      </w:r>
      <w:r w:rsidRPr="00D47097" w:rsidR="00E00FE9">
        <w:t xml:space="preserve">years to life on the </w:t>
      </w:r>
      <w:r w:rsidR="0023325D">
        <w:t xml:space="preserve">nine </w:t>
      </w:r>
      <w:r w:rsidRPr="00D47097" w:rsidR="00E00FE9">
        <w:t>convictions</w:t>
      </w:r>
      <w:r w:rsidRPr="00D47097" w:rsidR="007F0F09">
        <w:t xml:space="preserve"> of aggravated sexual assault</w:t>
      </w:r>
      <w:r w:rsidRPr="00D47097" w:rsidR="00D47097">
        <w:t>)</w:t>
      </w:r>
      <w:r w:rsidRPr="00D47097" w:rsidR="007F0F09">
        <w:t xml:space="preserve"> (§ 269, subd.</w:t>
      </w:r>
      <w:r w:rsidRPr="00D47097" w:rsidR="001123C0">
        <w:t> </w:t>
      </w:r>
      <w:r w:rsidRPr="00D47097" w:rsidR="007F0F09">
        <w:t>(a)(4)</w:t>
      </w:r>
      <w:r w:rsidRPr="00D47097" w:rsidR="00162DBE">
        <w:t>)</w:t>
      </w:r>
      <w:r w:rsidRPr="00D47097" w:rsidR="00B2367F">
        <w:t>.</w:t>
      </w:r>
    </w:p>
    <w:p w:rsidR="003C42A3" w:rsidRPr="00450476" w:rsidP="003C42A3" w14:paraId="5F8BF787" w14:textId="18A6A87E">
      <w:pPr>
        <w:pStyle w:val="Heading3"/>
      </w:pPr>
      <w:r>
        <w:t>The Sixth Amendment Challenge</w:t>
      </w:r>
    </w:p>
    <w:p w:rsidR="00CD239C" w:rsidP="00674DF0" w14:paraId="5DAE8D5F" w14:textId="08F0BB3C">
      <w:r w:rsidRPr="000231D4">
        <w:t>Defendant</w:t>
      </w:r>
      <w:r w:rsidRPr="000231D4" w:rsidR="00450476">
        <w:t xml:space="preserve"> argues </w:t>
      </w:r>
      <w:r w:rsidRPr="000231D4">
        <w:t xml:space="preserve">that the court </w:t>
      </w:r>
      <w:r w:rsidRPr="000231D4" w:rsidR="00534731">
        <w:t>infring</w:t>
      </w:r>
      <w:r w:rsidRPr="000231D4" w:rsidR="00D10FA5">
        <w:t>ed</w:t>
      </w:r>
      <w:r w:rsidRPr="000231D4">
        <w:t xml:space="preserve"> his right to </w:t>
      </w:r>
      <w:r w:rsidRPr="000231D4" w:rsidR="000D7389">
        <w:t xml:space="preserve">a jury </w:t>
      </w:r>
      <w:r w:rsidRPr="000231D4">
        <w:t xml:space="preserve">trial </w:t>
      </w:r>
      <w:r w:rsidRPr="000231D4" w:rsidR="0017403C">
        <w:t>by</w:t>
      </w:r>
      <w:r w:rsidRPr="00C6385B" w:rsidR="0017403C">
        <w:t xml:space="preserve"> </w:t>
      </w:r>
      <w:r w:rsidRPr="00C6385B" w:rsidR="00AC6714">
        <w:t>rel</w:t>
      </w:r>
      <w:r w:rsidRPr="00C6385B" w:rsidR="0017403C">
        <w:t>ying</w:t>
      </w:r>
      <w:r w:rsidRPr="00C6385B" w:rsidR="00AC6714">
        <w:t xml:space="preserve"> on a fact found by the judge—</w:t>
      </w:r>
      <w:r w:rsidRPr="00C6385B" w:rsidR="00984521">
        <w:t>t</w:t>
      </w:r>
      <w:r w:rsidRPr="00C6385B" w:rsidR="00AC6714">
        <w:t xml:space="preserve">hat </w:t>
      </w:r>
      <w:r w:rsidRPr="00C6385B" w:rsidR="00795FA0">
        <w:t>his</w:t>
      </w:r>
      <w:r w:rsidRPr="00C6385B" w:rsidR="00674DF0">
        <w:t xml:space="preserve"> </w:t>
      </w:r>
      <w:r w:rsidRPr="000231D4" w:rsidR="00AC6714">
        <w:t>offenses occurred on “separate occasions”—</w:t>
      </w:r>
      <w:r w:rsidRPr="000231D4" w:rsidR="00D10FA5">
        <w:t xml:space="preserve">to </w:t>
      </w:r>
      <w:r w:rsidR="007A433E">
        <w:t xml:space="preserve">find </w:t>
      </w:r>
      <w:r w:rsidRPr="000231D4" w:rsidR="002023F7">
        <w:t xml:space="preserve">all </w:t>
      </w:r>
      <w:r w:rsidR="00AC45C6">
        <w:t xml:space="preserve">the </w:t>
      </w:r>
      <w:r w:rsidR="007A433E">
        <w:t>count</w:t>
      </w:r>
      <w:r w:rsidRPr="000231D4" w:rsidR="002023F7">
        <w:t xml:space="preserve">s </w:t>
      </w:r>
      <w:r w:rsidR="00AC45C6">
        <w:t xml:space="preserve">of conviction </w:t>
      </w:r>
      <w:r w:rsidRPr="00C6385B" w:rsidR="00D10FA5">
        <w:t>subject to section 66</w:t>
      </w:r>
      <w:r w:rsidRPr="00C6385B" w:rsidR="008123CA">
        <w:t>7</w:t>
      </w:r>
      <w:r w:rsidRPr="00C6385B" w:rsidR="00D10FA5">
        <w:t>.</w:t>
      </w:r>
      <w:r w:rsidRPr="00C6385B" w:rsidR="002023F7">
        <w:t>6(d)</w:t>
      </w:r>
      <w:r w:rsidRPr="00C6385B" w:rsidR="00EE3B79">
        <w:t xml:space="preserve">. </w:t>
      </w:r>
      <w:r w:rsidRPr="00C6385B" w:rsidR="00674DF0">
        <w:t xml:space="preserve"> </w:t>
      </w:r>
      <w:r w:rsidRPr="00C6385B" w:rsidR="00EE3B79">
        <w:t xml:space="preserve">That </w:t>
      </w:r>
      <w:r w:rsidRPr="00C6385B" w:rsidR="00DB4A6D">
        <w:t>statute</w:t>
      </w:r>
      <w:r w:rsidRPr="00C6385B" w:rsidR="00EE3B79">
        <w:t xml:space="preserve"> </w:t>
      </w:r>
      <w:r w:rsidRPr="00C6385B" w:rsidR="002023F7">
        <w:t xml:space="preserve">requires a </w:t>
      </w:r>
      <w:r w:rsidRPr="00C6385B" w:rsidR="00984521">
        <w:t>court</w:t>
      </w:r>
      <w:r w:rsidRPr="00C6385B" w:rsidR="002023F7">
        <w:t xml:space="preserve"> to impose </w:t>
      </w:r>
      <w:r w:rsidRPr="00C6385B" w:rsidR="00FD4D26">
        <w:t xml:space="preserve">a </w:t>
      </w:r>
      <w:r w:rsidRPr="00C6385B" w:rsidR="002023F7">
        <w:t>“full, separate</w:t>
      </w:r>
      <w:r w:rsidRPr="00C6385B" w:rsidR="00A93821">
        <w:t>,</w:t>
      </w:r>
      <w:r w:rsidRPr="00C6385B" w:rsidR="002023F7">
        <w:t xml:space="preserve"> and consecutive </w:t>
      </w:r>
      <w:r w:rsidRPr="00C6385B" w:rsidR="00FD4D26">
        <w:t>term</w:t>
      </w:r>
      <w:r w:rsidRPr="00C6385B" w:rsidR="002023F7">
        <w:t xml:space="preserve">” </w:t>
      </w:r>
      <w:r w:rsidRPr="00C6385B" w:rsidR="000D2D35">
        <w:t>for</w:t>
      </w:r>
      <w:r w:rsidRPr="00C6385B" w:rsidR="002023F7">
        <w:t xml:space="preserve"> each conviction</w:t>
      </w:r>
      <w:r w:rsidRPr="00C6385B" w:rsidR="007C2DEB">
        <w:t xml:space="preserve"> to which it applies</w:t>
      </w:r>
      <w:r w:rsidRPr="00C6385B" w:rsidR="003659E9">
        <w:t xml:space="preserve">. </w:t>
      </w:r>
      <w:r w:rsidRPr="00C6385B" w:rsidR="00674DF0">
        <w:t xml:space="preserve"> </w:t>
      </w:r>
      <w:r w:rsidRPr="00C6385B" w:rsidR="00B52F6B">
        <w:t>S</w:t>
      </w:r>
      <w:r w:rsidRPr="00C6385B" w:rsidR="000B23FA">
        <w:t xml:space="preserve">ection 667.6(d) and </w:t>
      </w:r>
      <w:r w:rsidRPr="00C6385B" w:rsidR="002C7698">
        <w:t>California Rule</w:t>
      </w:r>
      <w:r w:rsidRPr="00C6385B" w:rsidR="002E2ADB">
        <w:t>s</w:t>
      </w:r>
      <w:r w:rsidRPr="00C6385B" w:rsidR="002C7698">
        <w:t xml:space="preserve"> of Cour</w:t>
      </w:r>
      <w:r w:rsidRPr="00C6385B" w:rsidR="0020055C">
        <w:t>t</w:t>
      </w:r>
      <w:r w:rsidRPr="00C6385B" w:rsidR="00CA15FB">
        <w:t>,</w:t>
      </w:r>
      <w:r>
        <w:rPr>
          <w:rStyle w:val="FootnoteReference"/>
        </w:rPr>
        <w:footnoteReference w:id="12"/>
      </w:r>
      <w:r w:rsidRPr="00C6385B" w:rsidR="0020055C">
        <w:t xml:space="preserve"> rule</w:t>
      </w:r>
      <w:r w:rsidRPr="00C6385B" w:rsidR="002C7698">
        <w:t xml:space="preserve"> 4.4</w:t>
      </w:r>
      <w:r w:rsidRPr="00C6385B" w:rsidR="00A01DDF">
        <w:t>26(a)</w:t>
      </w:r>
      <w:r w:rsidRPr="00C6385B" w:rsidR="009B3B39">
        <w:t xml:space="preserve">, </w:t>
      </w:r>
      <w:r w:rsidRPr="00C6385B" w:rsidR="00B52F6B">
        <w:t xml:space="preserve">require </w:t>
      </w:r>
      <w:r w:rsidRPr="00C6385B" w:rsidR="00DB4A6D">
        <w:t xml:space="preserve">that </w:t>
      </w:r>
      <w:r w:rsidRPr="00C6385B" w:rsidR="009B3B39">
        <w:t>the sentencing</w:t>
      </w:r>
      <w:r w:rsidRPr="00C6385B" w:rsidR="0094267B">
        <w:t xml:space="preserve"> </w:t>
      </w:r>
      <w:r w:rsidRPr="00C6385B" w:rsidR="00A01DDF">
        <w:t>judge</w:t>
      </w:r>
      <w:r w:rsidRPr="00C6385B" w:rsidR="009B3B39">
        <w:t>, not the jury,</w:t>
      </w:r>
      <w:r w:rsidRPr="00C6385B" w:rsidR="00A01DDF">
        <w:t xml:space="preserve"> </w:t>
      </w:r>
      <w:r w:rsidRPr="00C6385B" w:rsidR="0094267B">
        <w:t xml:space="preserve">make the </w:t>
      </w:r>
      <w:r w:rsidRPr="00C6385B" w:rsidR="00A01DDF">
        <w:t>fin</w:t>
      </w:r>
      <w:r w:rsidRPr="00C6385B" w:rsidR="0094267B">
        <w:t>ding</w:t>
      </w:r>
      <w:r w:rsidRPr="00C6385B" w:rsidR="009B3B39">
        <w:t xml:space="preserve"> that </w:t>
      </w:r>
      <w:r w:rsidRPr="00C6385B" w:rsidR="000775FA">
        <w:t>trigger</w:t>
      </w:r>
      <w:r w:rsidRPr="00C6385B" w:rsidR="00C21568">
        <w:t>s</w:t>
      </w:r>
      <w:r w:rsidRPr="00C6385B" w:rsidR="009B3B39">
        <w:t xml:space="preserve"> the statute</w:t>
      </w:r>
      <w:r w:rsidRPr="00C6385B" w:rsidR="00BA1348">
        <w:t>’s application.</w:t>
      </w:r>
      <w:r>
        <w:rPr>
          <w:rStyle w:val="FootnoteReference"/>
        </w:rPr>
        <w:footnoteReference w:id="13"/>
      </w:r>
    </w:p>
    <w:p w:rsidR="00F97096" w:rsidP="003C42A3" w14:paraId="1D6086FB" w14:textId="56DC76A3">
      <w:pPr>
        <w:pStyle w:val="Heading4"/>
      </w:pPr>
      <w:r>
        <w:t>The Statutory Framework</w:t>
      </w:r>
    </w:p>
    <w:p w:rsidR="000D1D85" w:rsidP="00925804" w14:paraId="7A056594" w14:textId="606AB1B9">
      <w:r>
        <w:t xml:space="preserve">Our </w:t>
      </w:r>
      <w:r w:rsidR="00687321">
        <w:t xml:space="preserve">constitutional </w:t>
      </w:r>
      <w:r>
        <w:t xml:space="preserve">analysis applies only to the </w:t>
      </w:r>
      <w:r w:rsidR="007D4D2E">
        <w:t xml:space="preserve">four </w:t>
      </w:r>
      <w:r>
        <w:t>convictions for forcible lewd acts (</w:t>
      </w:r>
      <w:r w:rsidRPr="00450476">
        <w:t>§ 288, subd.</w:t>
      </w:r>
      <w:r>
        <w:t> </w:t>
      </w:r>
      <w:r w:rsidRPr="00450476">
        <w:t>(b))</w:t>
      </w:r>
      <w:r w:rsidR="00631CA0">
        <w:t>,</w:t>
      </w:r>
      <w:r>
        <w:t xml:space="preserve"> not th</w:t>
      </w:r>
      <w:r w:rsidR="004B7893">
        <w:t>os</w:t>
      </w:r>
      <w:r>
        <w:t xml:space="preserve">e for </w:t>
      </w:r>
      <w:r w:rsidRPr="00450476">
        <w:t>aggravated sexual assault</w:t>
      </w:r>
      <w:r w:rsidR="00AC25D2">
        <w:t xml:space="preserve"> </w:t>
      </w:r>
      <w:r w:rsidRPr="00450476">
        <w:t>(§</w:t>
      </w:r>
      <w:r w:rsidR="00DE018A">
        <w:t>§</w:t>
      </w:r>
      <w:r w:rsidRPr="00450476">
        <w:t> 269, subd.</w:t>
      </w:r>
      <w:r>
        <w:t> </w:t>
      </w:r>
      <w:r w:rsidRPr="00450476">
        <w:t>(a)(4), 287, subd.</w:t>
      </w:r>
      <w:r w:rsidR="00925804">
        <w:t> </w:t>
      </w:r>
      <w:r w:rsidRPr="00450476">
        <w:t>(c)(2)(B))</w:t>
      </w:r>
      <w:r w:rsidR="00631CA0">
        <w:t>,</w:t>
      </w:r>
      <w:r w:rsidR="008A411C">
        <w:t xml:space="preserve"> </w:t>
      </w:r>
      <w:r w:rsidR="004B7893">
        <w:t xml:space="preserve">because </w:t>
      </w:r>
      <w:r w:rsidR="008A411C">
        <w:t xml:space="preserve">only the former </w:t>
      </w:r>
      <w:r w:rsidR="00D828A3">
        <w:t>are subject to</w:t>
      </w:r>
      <w:r w:rsidR="00BE3A20">
        <w:t xml:space="preserve"> </w:t>
      </w:r>
      <w:r w:rsidR="008A411C">
        <w:t xml:space="preserve">the </w:t>
      </w:r>
      <w:r w:rsidR="00454625">
        <w:t>d</w:t>
      </w:r>
      <w:r w:rsidR="008A411C">
        <w:t xml:space="preserve">eterminate </w:t>
      </w:r>
      <w:r w:rsidR="00454625">
        <w:t>s</w:t>
      </w:r>
      <w:r w:rsidR="008A411C">
        <w:t xml:space="preserve">entencing </w:t>
      </w:r>
      <w:r w:rsidR="00454625">
        <w:t>l</w:t>
      </w:r>
      <w:r w:rsidR="008A411C">
        <w:t>aw (DSL)</w:t>
      </w:r>
      <w:r w:rsidR="0003422B">
        <w:t xml:space="preserve"> (§ </w:t>
      </w:r>
      <w:r w:rsidRPr="00BE6B45" w:rsidR="0003422B">
        <w:t>1</w:t>
      </w:r>
      <w:r w:rsidRPr="00BE6B45" w:rsidR="00A3250C">
        <w:t>1</w:t>
      </w:r>
      <w:r w:rsidRPr="00BE6B45" w:rsidR="0003422B">
        <w:t>70</w:t>
      </w:r>
      <w:r w:rsidR="0003422B">
        <w:t xml:space="preserve"> </w:t>
      </w:r>
      <w:r w:rsidR="00516433">
        <w:t>et seq.)</w:t>
      </w:r>
      <w:r w:rsidR="00C13527">
        <w:t xml:space="preserve">. </w:t>
      </w:r>
      <w:r w:rsidR="00454625">
        <w:t xml:space="preserve"> </w:t>
      </w:r>
      <w:r w:rsidR="00EE6E93">
        <w:t>In</w:t>
      </w:r>
      <w:r w:rsidR="00C13527">
        <w:t xml:space="preserve"> 1977</w:t>
      </w:r>
      <w:r w:rsidR="00913F6C">
        <w:t>,</w:t>
      </w:r>
      <w:r w:rsidR="00C13527">
        <w:t xml:space="preserve"> </w:t>
      </w:r>
      <w:r w:rsidR="00913F6C">
        <w:t xml:space="preserve">the </w:t>
      </w:r>
      <w:r w:rsidR="00C13527">
        <w:t xml:space="preserve">DSL </w:t>
      </w:r>
      <w:r w:rsidR="005E7050">
        <w:t xml:space="preserve">replaced the </w:t>
      </w:r>
      <w:r w:rsidR="00324DED">
        <w:t>i</w:t>
      </w:r>
      <w:r w:rsidRPr="00C13527" w:rsidR="00C13527">
        <w:t xml:space="preserve">ndeterminate </w:t>
      </w:r>
      <w:r w:rsidR="00324DED">
        <w:t>s</w:t>
      </w:r>
      <w:r w:rsidRPr="00C13527" w:rsidR="00C13527">
        <w:t xml:space="preserve">entence </w:t>
      </w:r>
      <w:r w:rsidR="00324DED">
        <w:t>l</w:t>
      </w:r>
      <w:r w:rsidRPr="00C13527" w:rsidR="00C13527">
        <w:t>aw</w:t>
      </w:r>
      <w:r w:rsidR="00504AF8">
        <w:t xml:space="preserve">, which </w:t>
      </w:r>
      <w:r w:rsidR="00EE6E93">
        <w:t xml:space="preserve">did not </w:t>
      </w:r>
      <w:r w:rsidR="004B3D11">
        <w:t>e</w:t>
      </w:r>
      <w:r w:rsidR="00CD1A24">
        <w:t>nable</w:t>
      </w:r>
      <w:r w:rsidR="00EE6E93">
        <w:t xml:space="preserve"> </w:t>
      </w:r>
      <w:r w:rsidR="00504AF8">
        <w:t xml:space="preserve">judges </w:t>
      </w:r>
      <w:r w:rsidR="00EE6E93">
        <w:t xml:space="preserve">to </w:t>
      </w:r>
      <w:r w:rsidR="00504AF8">
        <w:t>s</w:t>
      </w:r>
      <w:r w:rsidR="00AC25D2">
        <w:t>et</w:t>
      </w:r>
      <w:r w:rsidR="00504AF8">
        <w:t xml:space="preserve"> the length of </w:t>
      </w:r>
      <w:r w:rsidR="00EE6E93">
        <w:t xml:space="preserve">prison </w:t>
      </w:r>
      <w:r w:rsidR="00504AF8">
        <w:t>terms</w:t>
      </w:r>
      <w:r w:rsidR="00BE3A20">
        <w:t>.</w:t>
      </w:r>
      <w:r w:rsidRPr="00BE3A20" w:rsidR="00BE3A20">
        <w:t xml:space="preserve"> </w:t>
      </w:r>
      <w:r w:rsidR="00324DED">
        <w:t xml:space="preserve"> </w:t>
      </w:r>
      <w:r w:rsidR="00BE3A20">
        <w:t>(</w:t>
      </w:r>
      <w:r w:rsidRPr="00626ACC" w:rsidR="00BE3A20">
        <w:t>3 Witkin &amp; Epstein, Cal. Criminal Law</w:t>
      </w:r>
      <w:r w:rsidRPr="00626ACC" w:rsidR="00424B8E">
        <w:t xml:space="preserve"> </w:t>
      </w:r>
      <w:r w:rsidRPr="00626ACC" w:rsidR="00BE3A20">
        <w:t>(4th</w:t>
      </w:r>
      <w:r w:rsidRPr="00626ACC" w:rsidR="00424B8E">
        <w:t> </w:t>
      </w:r>
      <w:r w:rsidRPr="00626ACC" w:rsidR="00BE3A20">
        <w:t>ed. 20</w:t>
      </w:r>
      <w:r w:rsidRPr="00626ACC" w:rsidR="000B711E">
        <w:t>12</w:t>
      </w:r>
      <w:r w:rsidRPr="00626ACC" w:rsidR="00BE3A20">
        <w:t>)</w:t>
      </w:r>
      <w:r w:rsidRPr="00626ACC" w:rsidR="00AD16EA">
        <w:t xml:space="preserve"> </w:t>
      </w:r>
      <w:r w:rsidRPr="00626ACC" w:rsidR="00193B07">
        <w:t>Punishment</w:t>
      </w:r>
      <w:r w:rsidRPr="00626ACC" w:rsidR="00AD16EA">
        <w:t>,</w:t>
      </w:r>
      <w:r w:rsidRPr="00626ACC" w:rsidR="006762CC">
        <w:t xml:space="preserve"> </w:t>
      </w:r>
      <w:r w:rsidRPr="00626ACC" w:rsidR="00086AC8">
        <w:t>§</w:t>
      </w:r>
      <w:r w:rsidRPr="00626ACC" w:rsidR="00BE3A20">
        <w:t>§ 161, 309</w:t>
      </w:r>
      <w:r w:rsidRPr="00626ACC" w:rsidR="008709FD">
        <w:t xml:space="preserve">, </w:t>
      </w:r>
      <w:r w:rsidRPr="00626ACC" w:rsidR="006762CC">
        <w:t>313</w:t>
      </w:r>
      <w:r w:rsidRPr="00626ACC" w:rsidR="008709FD">
        <w:t>–316</w:t>
      </w:r>
      <w:r w:rsidRPr="00C6385B" w:rsidR="00BE3A20">
        <w:t xml:space="preserve">.) </w:t>
      </w:r>
      <w:r w:rsidRPr="00C6385B" w:rsidR="002A6E04">
        <w:t xml:space="preserve"> </w:t>
      </w:r>
      <w:r w:rsidRPr="00C6385B" w:rsidR="00BE3A20">
        <w:t>T</w:t>
      </w:r>
      <w:r w:rsidRPr="00C6385B" w:rsidR="00913F6C">
        <w:t xml:space="preserve">he DSL now </w:t>
      </w:r>
      <w:r w:rsidRPr="00C6385B" w:rsidR="00631CA0">
        <w:t xml:space="preserve">governs most </w:t>
      </w:r>
      <w:r w:rsidRPr="00C6385B" w:rsidR="00EE6E93">
        <w:t>felony</w:t>
      </w:r>
      <w:r w:rsidRPr="00C6385B" w:rsidR="00631CA0">
        <w:t xml:space="preserve"> sentences</w:t>
      </w:r>
      <w:r w:rsidRPr="00C6385B" w:rsidR="00626009">
        <w:t xml:space="preserve">, </w:t>
      </w:r>
      <w:r w:rsidRPr="00C6385B" w:rsidR="00C80566">
        <w:t>al</w:t>
      </w:r>
      <w:r w:rsidRPr="00C6385B" w:rsidR="00626009">
        <w:t xml:space="preserve">though </w:t>
      </w:r>
      <w:r w:rsidRPr="00C6385B" w:rsidR="00492B49">
        <w:t xml:space="preserve">some </w:t>
      </w:r>
      <w:r w:rsidRPr="00C6385B" w:rsidR="00BE3A20">
        <w:t>crim</w:t>
      </w:r>
      <w:r w:rsidRPr="00C6385B" w:rsidR="00492B49">
        <w:t>es</w:t>
      </w:r>
      <w:r w:rsidRPr="00C6385B" w:rsidR="00ED1DC3">
        <w:t xml:space="preserve"> </w:t>
      </w:r>
      <w:r w:rsidR="00564C37">
        <w:t xml:space="preserve">still </w:t>
      </w:r>
      <w:r w:rsidR="006E3F85">
        <w:t xml:space="preserve">carry </w:t>
      </w:r>
      <w:r w:rsidR="00B77475">
        <w:t xml:space="preserve">indeterminate </w:t>
      </w:r>
      <w:r w:rsidR="00BE3A20">
        <w:t xml:space="preserve">sentences in </w:t>
      </w:r>
      <w:r w:rsidR="00492B49">
        <w:t xml:space="preserve">the form of </w:t>
      </w:r>
      <w:r w:rsidRPr="006E6D84" w:rsidR="006E06E5">
        <w:t>X</w:t>
      </w:r>
      <w:r w:rsidR="00220942">
        <w:t> </w:t>
      </w:r>
      <w:r w:rsidRPr="006E6D84" w:rsidR="00492B49">
        <w:t>years</w:t>
      </w:r>
      <w:r w:rsidR="00492B49">
        <w:t xml:space="preserve"> to life</w:t>
      </w:r>
      <w:r w:rsidR="009823B0">
        <w:t>—</w:t>
      </w:r>
      <w:r w:rsidR="00BE3A20">
        <w:t>such as the sentences of 15</w:t>
      </w:r>
      <w:r w:rsidR="00654460">
        <w:t> </w:t>
      </w:r>
      <w:r w:rsidR="00BE3A20">
        <w:t xml:space="preserve">years to life </w:t>
      </w:r>
      <w:r w:rsidR="00ED1DC3">
        <w:t xml:space="preserve">that </w:t>
      </w:r>
      <w:r w:rsidRPr="00E020B7" w:rsidR="00ED1DC3">
        <w:t>section 269</w:t>
      </w:r>
      <w:r w:rsidR="00ED1DC3">
        <w:t xml:space="preserve"> require</w:t>
      </w:r>
      <w:r w:rsidR="003E4570">
        <w:t>d the</w:t>
      </w:r>
      <w:r w:rsidR="00BC5408">
        <w:t xml:space="preserve"> </w:t>
      </w:r>
      <w:r w:rsidR="001E7F85">
        <w:t xml:space="preserve">trial </w:t>
      </w:r>
      <w:r w:rsidR="00BE3A20">
        <w:t xml:space="preserve">court </w:t>
      </w:r>
      <w:r w:rsidR="001E7F85">
        <w:t xml:space="preserve">here </w:t>
      </w:r>
      <w:r w:rsidR="00BE3A20">
        <w:t xml:space="preserve">to impose on </w:t>
      </w:r>
      <w:r w:rsidR="003E4570">
        <w:t xml:space="preserve">each of </w:t>
      </w:r>
      <w:r w:rsidR="00FC6356">
        <w:t xml:space="preserve">defendant’s </w:t>
      </w:r>
      <w:r w:rsidR="00C06354">
        <w:t>nine</w:t>
      </w:r>
      <w:r w:rsidR="003E4570">
        <w:t xml:space="preserve"> convictions</w:t>
      </w:r>
      <w:r w:rsidRPr="00FC6356" w:rsidR="00FC6356">
        <w:t xml:space="preserve"> </w:t>
      </w:r>
      <w:r w:rsidR="00FC6356">
        <w:t>of aggravated sexual assault</w:t>
      </w:r>
      <w:r w:rsidR="00BE3A20">
        <w:t>.</w:t>
      </w:r>
      <w:r w:rsidR="000424E7">
        <w:t xml:space="preserve"> </w:t>
      </w:r>
      <w:r w:rsidR="00C06354">
        <w:t xml:space="preserve"> </w:t>
      </w:r>
      <w:r w:rsidR="000424E7">
        <w:t xml:space="preserve">The judge’s factfinding under section 667.6(d) </w:t>
      </w:r>
      <w:r w:rsidR="008C7CE2">
        <w:t>di</w:t>
      </w:r>
      <w:r w:rsidR="000424E7">
        <w:t>d no</w:t>
      </w:r>
      <w:r w:rsidR="008C7CE2">
        <w:t>t</w:t>
      </w:r>
      <w:r w:rsidR="000424E7">
        <w:t xml:space="preserve"> </w:t>
      </w:r>
      <w:r w:rsidR="008C7CE2">
        <w:t>a</w:t>
      </w:r>
      <w:r w:rsidR="000424E7">
        <w:t xml:space="preserve">ffect </w:t>
      </w:r>
      <w:r w:rsidR="008C7CE2">
        <w:t xml:space="preserve">the length of </w:t>
      </w:r>
      <w:r w:rsidR="000424E7">
        <w:t xml:space="preserve">those </w:t>
      </w:r>
      <w:r w:rsidR="008C7CE2">
        <w:t>terms</w:t>
      </w:r>
      <w:r w:rsidR="000424E7">
        <w:t>.</w:t>
      </w:r>
    </w:p>
    <w:p w:rsidR="004F0BA7" w:rsidP="00C674C6" w14:paraId="728551E0" w14:textId="602C7531">
      <w:r>
        <w:t>S</w:t>
      </w:r>
      <w:r w:rsidR="00B54D82">
        <w:t>uch</w:t>
      </w:r>
      <w:r w:rsidR="00AD266F">
        <w:t xml:space="preserve"> exceptions</w:t>
      </w:r>
      <w:r>
        <w:t xml:space="preserve"> aside</w:t>
      </w:r>
      <w:r w:rsidR="00AD266F">
        <w:t>, t</w:t>
      </w:r>
      <w:r w:rsidRPr="009823B0" w:rsidR="009823B0">
        <w:t xml:space="preserve">he </w:t>
      </w:r>
      <w:r w:rsidR="006E06E5">
        <w:t>DSL</w:t>
      </w:r>
      <w:r w:rsidRPr="009823B0" w:rsidR="009823B0">
        <w:t xml:space="preserve"> designates</w:t>
      </w:r>
      <w:r w:rsidR="00FB3658">
        <w:t xml:space="preserve"> a triad of</w:t>
      </w:r>
      <w:r w:rsidRPr="009823B0" w:rsidR="009823B0">
        <w:t xml:space="preserve"> “three fixed-year, or</w:t>
      </w:r>
      <w:r w:rsidR="006E06E5">
        <w:t xml:space="preserve"> </w:t>
      </w:r>
      <w:r w:rsidRPr="009823B0" w:rsidR="009823B0">
        <w:t xml:space="preserve">determinate, sentencing options for nearly all felony offenses.” </w:t>
      </w:r>
      <w:r w:rsidR="00C674C6">
        <w:t xml:space="preserve"> </w:t>
      </w:r>
      <w:r w:rsidRPr="009823B0" w:rsidR="009823B0">
        <w:t>(</w:t>
      </w:r>
      <w:r w:rsidRPr="00B54D82" w:rsidR="009823B0">
        <w:rPr>
          <w:i/>
          <w:iCs/>
        </w:rPr>
        <w:t>People</w:t>
      </w:r>
      <w:r w:rsidR="00FB3658">
        <w:rPr>
          <w:i/>
          <w:iCs/>
        </w:rPr>
        <w:t xml:space="preserve"> </w:t>
      </w:r>
      <w:r w:rsidRPr="00B54D82" w:rsidR="009823B0">
        <w:rPr>
          <w:i/>
          <w:iCs/>
        </w:rPr>
        <w:t>v. Sasser</w:t>
      </w:r>
      <w:r w:rsidRPr="009823B0" w:rsidR="009823B0">
        <w:t xml:space="preserve"> (2015) </w:t>
      </w:r>
      <w:r w:rsidR="00DE6DB1">
        <w:t>61</w:t>
      </w:r>
      <w:r w:rsidR="00C674C6">
        <w:t> </w:t>
      </w:r>
      <w:r w:rsidRPr="009823B0" w:rsidR="009823B0">
        <w:t>Cal.4th 1, 8.)</w:t>
      </w:r>
      <w:r w:rsidR="00C674C6">
        <w:t xml:space="preserve"> </w:t>
      </w:r>
      <w:r w:rsidRPr="009823B0" w:rsidR="009823B0">
        <w:t xml:space="preserve"> </w:t>
      </w:r>
      <w:r>
        <w:t>If</w:t>
      </w:r>
      <w:r w:rsidR="00FB3658">
        <w:t xml:space="preserve"> </w:t>
      </w:r>
      <w:r w:rsidR="00AD266F">
        <w:t xml:space="preserve">a </w:t>
      </w:r>
      <w:r w:rsidRPr="009823B0" w:rsidR="009823B0">
        <w:t xml:space="preserve">defendant </w:t>
      </w:r>
      <w:r w:rsidR="00FB3658">
        <w:t xml:space="preserve">is convicted </w:t>
      </w:r>
      <w:r w:rsidRPr="009823B0" w:rsidR="009823B0">
        <w:t xml:space="preserve">of multiple </w:t>
      </w:r>
      <w:r w:rsidR="00C16A99">
        <w:t>crim</w:t>
      </w:r>
      <w:r w:rsidRPr="009823B0" w:rsidR="009823B0">
        <w:t xml:space="preserve">es, </w:t>
      </w:r>
      <w:r w:rsidR="00B54D82">
        <w:t xml:space="preserve">“[s]ection 669 authorizes the court to decide whether sentences should </w:t>
      </w:r>
      <w:r w:rsidRPr="00C6385B" w:rsidR="00B54D82">
        <w:t>run concurrently or consecutively” (</w:t>
      </w:r>
      <w:r w:rsidRPr="00C6385B" w:rsidR="00B54D82">
        <w:rPr>
          <w:i/>
        </w:rPr>
        <w:t>People v. Jones</w:t>
      </w:r>
      <w:r w:rsidRPr="00C6385B" w:rsidR="00B54D82">
        <w:t xml:space="preserve"> (1988) 46</w:t>
      </w:r>
      <w:r w:rsidRPr="00C6385B" w:rsidR="00FB3658">
        <w:t> </w:t>
      </w:r>
      <w:r w:rsidRPr="00C6385B" w:rsidR="00B54D82">
        <w:t>Cal.3d 585,</w:t>
      </w:r>
      <w:r w:rsidRPr="00C6385B" w:rsidR="00E4583E">
        <w:t xml:space="preserve"> </w:t>
      </w:r>
      <w:r w:rsidRPr="00C6385B" w:rsidR="00B54D82">
        <w:t>592)</w:t>
      </w:r>
      <w:r w:rsidR="00B54D82">
        <w:t xml:space="preserve"> unless another</w:t>
      </w:r>
      <w:r w:rsidR="009F74C4">
        <w:t xml:space="preserve"> </w:t>
      </w:r>
      <w:r w:rsidR="00B54D82">
        <w:t>statute mandates consecutive terms.</w:t>
      </w:r>
      <w:r w:rsidR="009F74C4">
        <w:t xml:space="preserve"> </w:t>
      </w:r>
      <w:r w:rsidR="00C674C6">
        <w:t xml:space="preserve"> </w:t>
      </w:r>
      <w:r w:rsidR="005504C9">
        <w:t>Th</w:t>
      </w:r>
      <w:r w:rsidR="006B40B7">
        <w:t>e</w:t>
      </w:r>
      <w:r w:rsidR="005504C9">
        <w:t xml:space="preserve"> decision </w:t>
      </w:r>
      <w:r w:rsidR="006B40B7">
        <w:t xml:space="preserve">under section 669 to make sentences concurrent or consecutive </w:t>
      </w:r>
      <w:r w:rsidR="005504C9">
        <w:t>does not depend on factual findings.</w:t>
      </w:r>
      <w:r w:rsidR="00C674C6">
        <w:t xml:space="preserve"> </w:t>
      </w:r>
      <w:r w:rsidRPr="006B40B7" w:rsidR="006B40B7">
        <w:rPr>
          <w:i/>
          <w:iCs/>
        </w:rPr>
        <w:t xml:space="preserve"> </w:t>
      </w:r>
      <w:r w:rsidR="006B40B7">
        <w:t>(</w:t>
      </w:r>
      <w:r w:rsidRPr="00902B4F" w:rsidR="006B40B7">
        <w:rPr>
          <w:i/>
          <w:iCs/>
        </w:rPr>
        <w:t>People v. Black</w:t>
      </w:r>
      <w:r w:rsidRPr="00193F67" w:rsidR="006B40B7">
        <w:t xml:space="preserve"> (2007) 41</w:t>
      </w:r>
      <w:r w:rsidR="00C674C6">
        <w:t> </w:t>
      </w:r>
      <w:r w:rsidRPr="00193F67" w:rsidR="006B40B7">
        <w:t>Cal.4th 799</w:t>
      </w:r>
      <w:r w:rsidR="006B40B7">
        <w:t>, 822 (</w:t>
      </w:r>
      <w:r w:rsidR="006B40B7">
        <w:rPr>
          <w:i/>
          <w:iCs/>
        </w:rPr>
        <w:t>Black</w:t>
      </w:r>
      <w:r w:rsidR="006B40B7">
        <w:t>)</w:t>
      </w:r>
      <w:r w:rsidR="00053FF0">
        <w:t>,</w:t>
      </w:r>
      <w:r w:rsidRPr="00053FF0" w:rsidR="00053FF0">
        <w:t xml:space="preserve"> </w:t>
      </w:r>
      <w:r w:rsidRPr="0031041C" w:rsidR="00053FF0">
        <w:t>overruled on other ground</w:t>
      </w:r>
      <w:r w:rsidRPr="007C0FF0" w:rsidR="000E2F70">
        <w:t>s</w:t>
      </w:r>
      <w:r w:rsidRPr="0031041C" w:rsidR="00053FF0">
        <w:t xml:space="preserve"> by</w:t>
      </w:r>
      <w:r w:rsidR="000E2F70">
        <w:t xml:space="preserve"> </w:t>
      </w:r>
      <w:r w:rsidRPr="0031041C" w:rsidR="00053FF0">
        <w:rPr>
          <w:i/>
          <w:iCs/>
        </w:rPr>
        <w:t>Cunningham v. California</w:t>
      </w:r>
      <w:r w:rsidR="000E2F70">
        <w:t xml:space="preserve"> </w:t>
      </w:r>
      <w:r w:rsidRPr="0031041C" w:rsidR="00053FF0">
        <w:t>(2007) 549</w:t>
      </w:r>
      <w:r w:rsidR="000E2F70">
        <w:t> </w:t>
      </w:r>
      <w:r w:rsidRPr="0031041C" w:rsidR="00053FF0">
        <w:t>U.S. 270</w:t>
      </w:r>
      <w:r w:rsidR="00883AA0">
        <w:t>, 292</w:t>
      </w:r>
      <w:r w:rsidR="006B40B7">
        <w:t>.)</w:t>
      </w:r>
    </w:p>
    <w:p w:rsidR="00894E0E" w:rsidP="00C674C6" w14:paraId="497803ED" w14:textId="6D625DB8">
      <w:r>
        <w:t xml:space="preserve">If </w:t>
      </w:r>
      <w:r w:rsidR="00456518">
        <w:t>a</w:t>
      </w:r>
      <w:r w:rsidR="00535859">
        <w:t xml:space="preserve"> </w:t>
      </w:r>
      <w:r>
        <w:t xml:space="preserve">court </w:t>
      </w:r>
      <w:r w:rsidR="00BC606D">
        <w:t>make</w:t>
      </w:r>
      <w:r>
        <w:t>s</w:t>
      </w:r>
      <w:r w:rsidR="00662F69">
        <w:t xml:space="preserve"> </w:t>
      </w:r>
      <w:r w:rsidR="007312C0">
        <w:t xml:space="preserve">multiple </w:t>
      </w:r>
      <w:r w:rsidR="000C70E9">
        <w:t>term</w:t>
      </w:r>
      <w:r>
        <w:t>s</w:t>
      </w:r>
      <w:r w:rsidRPr="007312C0" w:rsidR="007312C0">
        <w:t xml:space="preserve"> </w:t>
      </w:r>
      <w:r w:rsidR="007312C0">
        <w:t>concurrent</w:t>
      </w:r>
      <w:r>
        <w:t xml:space="preserve">, </w:t>
      </w:r>
      <w:r w:rsidR="007312C0">
        <w:t>they</w:t>
      </w:r>
      <w:r w:rsidR="002E2840">
        <w:t xml:space="preserve"> </w:t>
      </w:r>
      <w:r>
        <w:t xml:space="preserve">must </w:t>
      </w:r>
      <w:r w:rsidR="007312C0">
        <w:t xml:space="preserve">all </w:t>
      </w:r>
      <w:r>
        <w:t>be full</w:t>
      </w:r>
      <w:r w:rsidR="002E2840">
        <w:t xml:space="preserve"> </w:t>
      </w:r>
      <w:r>
        <w:t>term</w:t>
      </w:r>
      <w:r w:rsidR="007312C0">
        <w:t>s</w:t>
      </w:r>
      <w:r>
        <w:t>.</w:t>
      </w:r>
      <w:r w:rsidRPr="008C2905" w:rsidR="00535859">
        <w:t xml:space="preserve"> </w:t>
      </w:r>
      <w:r w:rsidR="00535859">
        <w:t xml:space="preserve"> (</w:t>
      </w:r>
      <w:r w:rsidR="00535859">
        <w:rPr>
          <w:i/>
          <w:iCs/>
        </w:rPr>
        <w:t>People v. Quintero</w:t>
      </w:r>
      <w:r w:rsidR="00535859">
        <w:t xml:space="preserve"> (2006) 135</w:t>
      </w:r>
      <w:r w:rsidR="00662F69">
        <w:t> </w:t>
      </w:r>
      <w:r w:rsidR="00535859">
        <w:t>Cal.App.4th 1152, 1156, fn.</w:t>
      </w:r>
      <w:r w:rsidR="00C674C6">
        <w:t> </w:t>
      </w:r>
      <w:r w:rsidR="00535859">
        <w:t>3.)</w:t>
      </w:r>
      <w:r>
        <w:t xml:space="preserve"> </w:t>
      </w:r>
      <w:r w:rsidR="00C674C6">
        <w:t xml:space="preserve"> </w:t>
      </w:r>
      <w:r w:rsidR="00535859">
        <w:t xml:space="preserve">If </w:t>
      </w:r>
      <w:r w:rsidR="007312C0">
        <w:t>i</w:t>
      </w:r>
      <w:r w:rsidR="009F74C4">
        <w:t xml:space="preserve">t </w:t>
      </w:r>
      <w:r w:rsidR="00760D0C">
        <w:t>mak</w:t>
      </w:r>
      <w:r w:rsidR="009F74C4">
        <w:t xml:space="preserve">es </w:t>
      </w:r>
      <w:r w:rsidR="002E2840">
        <w:t xml:space="preserve">multiple </w:t>
      </w:r>
      <w:r w:rsidR="000C70E9">
        <w:t>term</w:t>
      </w:r>
      <w:r w:rsidRPr="009823B0" w:rsidR="009823B0">
        <w:t xml:space="preserve">s </w:t>
      </w:r>
      <w:r w:rsidRPr="009823B0" w:rsidR="009F74C4">
        <w:t xml:space="preserve">consecutive, </w:t>
      </w:r>
      <w:r w:rsidR="009F74C4">
        <w:t>section 1170.1 governs calculation of the</w:t>
      </w:r>
      <w:r w:rsidR="000C70E9">
        <w:t>ir</w:t>
      </w:r>
      <w:r w:rsidR="009F74C4">
        <w:t xml:space="preserve"> </w:t>
      </w:r>
      <w:r w:rsidR="000C70E9">
        <w:t>l</w:t>
      </w:r>
      <w:r w:rsidR="00456518">
        <w:t>ength</w:t>
      </w:r>
      <w:r w:rsidR="004F0BA7">
        <w:t xml:space="preserve"> </w:t>
      </w:r>
      <w:r w:rsidRPr="009823B0" w:rsidR="009823B0">
        <w:t xml:space="preserve">unless </w:t>
      </w:r>
      <w:r w:rsidR="00F66FDB">
        <w:t>a</w:t>
      </w:r>
      <w:r w:rsidRPr="009823B0" w:rsidR="009823B0">
        <w:t xml:space="preserve"> more specifi</w:t>
      </w:r>
      <w:r w:rsidR="002F705C">
        <w:t xml:space="preserve">c </w:t>
      </w:r>
      <w:r w:rsidRPr="009823B0" w:rsidR="009823B0">
        <w:t xml:space="preserve">statute applies. </w:t>
      </w:r>
      <w:r w:rsidR="007104AB">
        <w:t xml:space="preserve"> </w:t>
      </w:r>
      <w:r w:rsidRPr="009823B0" w:rsidR="009823B0">
        <w:t>(</w:t>
      </w:r>
      <w:r w:rsidRPr="009F74C4" w:rsidR="009823B0">
        <w:rPr>
          <w:i/>
          <w:iCs/>
        </w:rPr>
        <w:t>People v. Sasser</w:t>
      </w:r>
      <w:r w:rsidRPr="009823B0" w:rsidR="009823B0">
        <w:t xml:space="preserve">, </w:t>
      </w:r>
      <w:r w:rsidRPr="009F74C4" w:rsidR="009823B0">
        <w:rPr>
          <w:i/>
          <w:iCs/>
        </w:rPr>
        <w:t>supra</w:t>
      </w:r>
      <w:r w:rsidRPr="009823B0" w:rsidR="009823B0">
        <w:t>, 61</w:t>
      </w:r>
      <w:r w:rsidR="000C70E9">
        <w:t> </w:t>
      </w:r>
      <w:r w:rsidRPr="009823B0" w:rsidR="009823B0">
        <w:t xml:space="preserve">Cal.4th </w:t>
      </w:r>
      <w:r w:rsidR="00A51839">
        <w:t>at pp.</w:t>
      </w:r>
      <w:r w:rsidR="007104AB">
        <w:t> </w:t>
      </w:r>
      <w:r w:rsidRPr="009823B0" w:rsidR="009823B0">
        <w:t>8</w:t>
      </w:r>
      <w:r w:rsidR="009F74C4">
        <w:t>–</w:t>
      </w:r>
      <w:r w:rsidRPr="009823B0" w:rsidR="009823B0">
        <w:t>9</w:t>
      </w:r>
      <w:r w:rsidR="009F74C4">
        <w:t>.</w:t>
      </w:r>
      <w:r w:rsidRPr="009823B0" w:rsidR="009823B0">
        <w:t>)</w:t>
      </w:r>
      <w:r w:rsidR="007104AB">
        <w:t xml:space="preserve"> </w:t>
      </w:r>
      <w:r w:rsidRPr="009823B0" w:rsidR="009823B0">
        <w:t xml:space="preserve"> </w:t>
      </w:r>
      <w:r w:rsidR="00845D03">
        <w:t xml:space="preserve">Under </w:t>
      </w:r>
      <w:r w:rsidR="005B31E8">
        <w:t>section 1170.1</w:t>
      </w:r>
      <w:r w:rsidR="00E57ABC">
        <w:t>,</w:t>
      </w:r>
      <w:r w:rsidR="002E2840">
        <w:t xml:space="preserve"> </w:t>
      </w:r>
      <w:r w:rsidRPr="009823B0" w:rsidR="009823B0">
        <w:t>“the</w:t>
      </w:r>
      <w:r w:rsidR="007104AB">
        <w:t xml:space="preserve"> </w:t>
      </w:r>
      <w:r w:rsidRPr="009823B0" w:rsidR="009823B0">
        <w:t xml:space="preserve">aggregate </w:t>
      </w:r>
      <w:r w:rsidRPr="008C2905" w:rsidR="009823B0">
        <w:t>term of imprisonment for all these conviction</w:t>
      </w:r>
      <w:r w:rsidRPr="008C2905" w:rsidR="00E57ABC">
        <w:t>s</w:t>
      </w:r>
      <w:r w:rsidRPr="008C2905" w:rsidR="00A51839">
        <w:t xml:space="preserve"> </w:t>
      </w:r>
      <w:r w:rsidRPr="008C2905" w:rsidR="009823B0">
        <w:t>shall be the sum of the principal</w:t>
      </w:r>
      <w:r w:rsidRPr="009823B0" w:rsidR="009823B0">
        <w:t xml:space="preserve"> term, the subordinate</w:t>
      </w:r>
      <w:r w:rsidR="00A51839">
        <w:t xml:space="preserve"> </w:t>
      </w:r>
      <w:r w:rsidRPr="009823B0" w:rsidR="009823B0">
        <w:t xml:space="preserve">term, and any additional term imposed for </w:t>
      </w:r>
      <w:r w:rsidR="00A51839">
        <w:t xml:space="preserve">[certain] </w:t>
      </w:r>
      <w:r w:rsidRPr="009823B0" w:rsidR="009823B0">
        <w:t xml:space="preserve">enhancements </w:t>
      </w:r>
      <w:r w:rsidR="00A51839">
        <w:t>. . . </w:t>
      </w:r>
      <w:r w:rsidRPr="009823B0" w:rsidR="009823B0">
        <w:t xml:space="preserve">.” </w:t>
      </w:r>
      <w:r w:rsidR="007104AB">
        <w:t xml:space="preserve"> </w:t>
      </w:r>
      <w:r w:rsidRPr="009823B0" w:rsidR="009823B0">
        <w:t>(§</w:t>
      </w:r>
      <w:r w:rsidR="00A51839">
        <w:t> </w:t>
      </w:r>
      <w:r w:rsidRPr="009823B0" w:rsidR="009823B0">
        <w:t>1170.1</w:t>
      </w:r>
      <w:r w:rsidR="00A51839">
        <w:t>, subd.</w:t>
      </w:r>
      <w:r w:rsidR="007104AB">
        <w:t> </w:t>
      </w:r>
      <w:r w:rsidRPr="009823B0" w:rsidR="009823B0">
        <w:t xml:space="preserve">(a).) </w:t>
      </w:r>
      <w:r w:rsidR="007104AB">
        <w:t xml:space="preserve"> </w:t>
      </w:r>
      <w:r w:rsidRPr="009823B0" w:rsidR="009823B0">
        <w:t xml:space="preserve">The principal term </w:t>
      </w:r>
      <w:r w:rsidR="00A51839">
        <w:t xml:space="preserve">is </w:t>
      </w:r>
      <w:r w:rsidRPr="009823B0" w:rsidR="009823B0">
        <w:t xml:space="preserve">the </w:t>
      </w:r>
      <w:r w:rsidRPr="008C2905" w:rsidR="00D63245">
        <w:t>long</w:t>
      </w:r>
      <w:r w:rsidRPr="008C2905" w:rsidR="009823B0">
        <w:t xml:space="preserve">est term imposed for any of the </w:t>
      </w:r>
      <w:r w:rsidRPr="008C2905" w:rsidR="00456518">
        <w:t>offens</w:t>
      </w:r>
      <w:r w:rsidRPr="008C2905" w:rsidR="009823B0">
        <w:t>es</w:t>
      </w:r>
      <w:r w:rsidRPr="008C2905" w:rsidR="00917CEF">
        <w:t xml:space="preserve"> (</w:t>
      </w:r>
      <w:r w:rsidRPr="008C2905" w:rsidR="009823B0">
        <w:t xml:space="preserve">including </w:t>
      </w:r>
      <w:r w:rsidRPr="008C2905" w:rsidR="0006715F">
        <w:t xml:space="preserve">certain </w:t>
      </w:r>
      <w:r w:rsidRPr="008C2905" w:rsidR="009823B0">
        <w:t>enhancements</w:t>
      </w:r>
      <w:r w:rsidRPr="008C2905" w:rsidR="00917CEF">
        <w:t>)</w:t>
      </w:r>
      <w:r w:rsidRPr="008C2905" w:rsidR="00A51839">
        <w:t>,</w:t>
      </w:r>
      <w:r w:rsidR="00A51839">
        <w:t xml:space="preserve"> while t</w:t>
      </w:r>
      <w:r w:rsidRPr="009823B0" w:rsidR="009823B0">
        <w:t>he subordinate</w:t>
      </w:r>
      <w:r w:rsidR="00A51839">
        <w:t xml:space="preserve"> </w:t>
      </w:r>
      <w:r w:rsidRPr="009823B0" w:rsidR="009823B0">
        <w:t>term co</w:t>
      </w:r>
      <w:r w:rsidR="00D63245">
        <w:t>mprises</w:t>
      </w:r>
      <w:r w:rsidRPr="009823B0" w:rsidR="009823B0">
        <w:t xml:space="preserve"> one-third of the middle term for each other </w:t>
      </w:r>
      <w:r w:rsidRPr="008C2905" w:rsidR="009823B0">
        <w:t>conviction</w:t>
      </w:r>
      <w:r w:rsidRPr="008C2905" w:rsidR="00A51839">
        <w:t xml:space="preserve"> </w:t>
      </w:r>
      <w:r w:rsidRPr="008C2905" w:rsidR="00D936B5">
        <w:t xml:space="preserve">at issue </w:t>
      </w:r>
      <w:r w:rsidRPr="008C2905" w:rsidR="00917CEF">
        <w:t>(</w:t>
      </w:r>
      <w:r w:rsidRPr="008C2905" w:rsidR="009823B0">
        <w:t>plus one-third of the term</w:t>
      </w:r>
      <w:r w:rsidRPr="008C2905" w:rsidR="00647B2C">
        <w:t>s</w:t>
      </w:r>
      <w:r w:rsidRPr="009823B0" w:rsidR="009823B0">
        <w:t xml:space="preserve"> for </w:t>
      </w:r>
      <w:r w:rsidR="0006715F">
        <w:t>certain</w:t>
      </w:r>
      <w:r w:rsidR="004166E9">
        <w:t xml:space="preserve"> </w:t>
      </w:r>
      <w:r w:rsidRPr="009823B0" w:rsidR="009823B0">
        <w:t>enhancements</w:t>
      </w:r>
      <w:r w:rsidR="00917CEF">
        <w:t>)</w:t>
      </w:r>
      <w:r w:rsidR="004166E9">
        <w:t>.</w:t>
      </w:r>
      <w:r w:rsidR="007104AB">
        <w:t xml:space="preserve"> </w:t>
      </w:r>
      <w:r w:rsidRPr="009823B0" w:rsidR="009823B0">
        <w:t xml:space="preserve"> (</w:t>
      </w:r>
      <w:r w:rsidRPr="00A51839" w:rsidR="009823B0">
        <w:rPr>
          <w:i/>
          <w:iCs/>
        </w:rPr>
        <w:t>Ibid.</w:t>
      </w:r>
      <w:r w:rsidRPr="008C2905" w:rsidR="009823B0">
        <w:t>)</w:t>
      </w:r>
      <w:r w:rsidRPr="008C2905" w:rsidR="007104AB">
        <w:t xml:space="preserve"> </w:t>
      </w:r>
      <w:r w:rsidRPr="008C2905" w:rsidR="009823B0">
        <w:t xml:space="preserve"> </w:t>
      </w:r>
      <w:r w:rsidRPr="008C2905" w:rsidR="006179E1">
        <w:t xml:space="preserve">Under this </w:t>
      </w:r>
      <w:r w:rsidRPr="008C2905" w:rsidR="00F55DE9">
        <w:t>framework</w:t>
      </w:r>
      <w:r w:rsidRPr="008C2905" w:rsidR="009823B0">
        <w:t xml:space="preserve">, the minimum term on a </w:t>
      </w:r>
      <w:r w:rsidRPr="008C2905" w:rsidR="0099365D">
        <w:t>second or subsequent felony conviction</w:t>
      </w:r>
      <w:r w:rsidRPr="009823B0" w:rsidR="009823B0">
        <w:t xml:space="preserve"> </w:t>
      </w:r>
      <w:r w:rsidR="005B31E8">
        <w:t xml:space="preserve">subject </w:t>
      </w:r>
      <w:r w:rsidRPr="008C2905" w:rsidR="005B31E8">
        <w:t xml:space="preserve">to the DSL </w:t>
      </w:r>
      <w:r w:rsidRPr="008C2905" w:rsidR="009823B0">
        <w:t>is one</w:t>
      </w:r>
      <w:r w:rsidRPr="008C2905" w:rsidR="00D73FDB">
        <w:noBreakHyphen/>
      </w:r>
      <w:r w:rsidRPr="008C2905" w:rsidR="009823B0">
        <w:t>third the middle term</w:t>
      </w:r>
      <w:r w:rsidRPr="008C2905" w:rsidR="005B31E8">
        <w:t>, unless a more specific</w:t>
      </w:r>
      <w:r w:rsidRPr="008C2905" w:rsidR="005B31E8">
        <w:rPr>
          <w:i/>
        </w:rPr>
        <w:t xml:space="preserve"> </w:t>
      </w:r>
      <w:r w:rsidRPr="008C2905" w:rsidR="005B31E8">
        <w:t>statute applies</w:t>
      </w:r>
      <w:r w:rsidRPr="008C2905">
        <w:t>.</w:t>
      </w:r>
    </w:p>
    <w:p w:rsidR="004F441A" w:rsidP="007104AB" w14:paraId="5BAD5F2F" w14:textId="4024D2D6">
      <w:r>
        <w:t>Section 667.6</w:t>
      </w:r>
      <w:r w:rsidR="0035496A">
        <w:t xml:space="preserve"> </w:t>
      </w:r>
      <w:r>
        <w:t>is such a statute.</w:t>
      </w:r>
      <w:r w:rsidR="007104AB">
        <w:t xml:space="preserve"> </w:t>
      </w:r>
      <w:r>
        <w:t xml:space="preserve"> </w:t>
      </w:r>
      <w:r w:rsidR="00AE679C">
        <w:t>It</w:t>
      </w:r>
      <w:r w:rsidR="00B630E6">
        <w:t xml:space="preserve"> </w:t>
      </w:r>
      <w:r w:rsidR="009376A9">
        <w:t xml:space="preserve">creates a “special sentencing scheme” for defendants convicted of </w:t>
      </w:r>
      <w:r w:rsidR="0041245A">
        <w:t>specifi</w:t>
      </w:r>
      <w:r w:rsidR="009376A9">
        <w:t>ed sex offenses</w:t>
      </w:r>
      <w:r w:rsidR="00A6572D">
        <w:t>.</w:t>
      </w:r>
      <w:r w:rsidR="007104AB">
        <w:t xml:space="preserve"> </w:t>
      </w:r>
      <w:r w:rsidR="00A6572D">
        <w:t xml:space="preserve"> </w:t>
      </w:r>
      <w:r w:rsidR="009376A9">
        <w:t>(</w:t>
      </w:r>
      <w:r w:rsidRPr="009376A9" w:rsidR="009376A9">
        <w:rPr>
          <w:i/>
          <w:iCs/>
        </w:rPr>
        <w:t>People v. Craft</w:t>
      </w:r>
      <w:r w:rsidRPr="009376A9" w:rsidR="009376A9">
        <w:t xml:space="preserve"> </w:t>
      </w:r>
      <w:r w:rsidR="009376A9">
        <w:t>(1986) 41 Cal.3d 554, 558</w:t>
      </w:r>
      <w:r w:rsidR="000E58B5">
        <w:t xml:space="preserve">, superseded </w:t>
      </w:r>
      <w:r w:rsidR="00AE679C">
        <w:t xml:space="preserve">in part </w:t>
      </w:r>
      <w:r w:rsidR="000E58B5">
        <w:t xml:space="preserve">by statute as stated in </w:t>
      </w:r>
      <w:r w:rsidR="000E58B5">
        <w:rPr>
          <w:i/>
          <w:iCs/>
        </w:rPr>
        <w:t>People v. Jones</w:t>
      </w:r>
      <w:r w:rsidR="000E58B5">
        <w:t xml:space="preserve"> (2001) </w:t>
      </w:r>
      <w:r w:rsidR="00D608D5">
        <w:t>25</w:t>
      </w:r>
      <w:r w:rsidR="007104AB">
        <w:t> </w:t>
      </w:r>
      <w:r w:rsidR="00D608D5">
        <w:t xml:space="preserve">Cal.4th </w:t>
      </w:r>
      <w:r w:rsidR="00AE679C">
        <w:t xml:space="preserve">98, </w:t>
      </w:r>
      <w:r w:rsidR="00D608D5">
        <w:t>112</w:t>
      </w:r>
      <w:r w:rsidR="00AE679C">
        <w:t xml:space="preserve"> </w:t>
      </w:r>
      <w:r w:rsidR="006F519B">
        <w:t>(</w:t>
      </w:r>
      <w:r w:rsidR="00AE679C">
        <w:t>dis. opn. of Chin,</w:t>
      </w:r>
      <w:r w:rsidR="00947B7E">
        <w:t> </w:t>
      </w:r>
      <w:r w:rsidR="00AE679C">
        <w:t>J.</w:t>
      </w:r>
      <w:r w:rsidR="006F519B">
        <w:t>)</w:t>
      </w:r>
      <w:r w:rsidR="0041245A">
        <w:t>.</w:t>
      </w:r>
      <w:r w:rsidR="009376A9">
        <w:t>)</w:t>
      </w:r>
      <w:r w:rsidR="00947B7E">
        <w:t xml:space="preserve"> </w:t>
      </w:r>
      <w:r w:rsidR="00A6572D">
        <w:t xml:space="preserve"> </w:t>
      </w:r>
      <w:r w:rsidR="00DD7EE4">
        <w:t>I</w:t>
      </w:r>
      <w:r w:rsidR="00A6270A">
        <w:t xml:space="preserve">f a </w:t>
      </w:r>
      <w:r w:rsidR="00A6572D">
        <w:t>defendant</w:t>
      </w:r>
      <w:r w:rsidR="00A6270A">
        <w:t xml:space="preserve"> is</w:t>
      </w:r>
      <w:r w:rsidR="00A6572D">
        <w:t xml:space="preserve"> convicted of one or more offenses listed in </w:t>
      </w:r>
      <w:r w:rsidR="00DD7EE4">
        <w:t xml:space="preserve">section 667.6, </w:t>
      </w:r>
      <w:r w:rsidR="00A6572D">
        <w:t>subdivision</w:t>
      </w:r>
      <w:r w:rsidR="00947B7E">
        <w:t> </w:t>
      </w:r>
      <w:r w:rsidR="00A6572D">
        <w:t xml:space="preserve">(e), </w:t>
      </w:r>
      <w:r w:rsidR="0041245A">
        <w:t>such as</w:t>
      </w:r>
      <w:r w:rsidR="00A6572D">
        <w:t xml:space="preserve"> forcible lewd acts </w:t>
      </w:r>
      <w:r w:rsidR="00DD7EE4">
        <w:t>(§ </w:t>
      </w:r>
      <w:r w:rsidR="00A6572D">
        <w:t>288, subd</w:t>
      </w:r>
      <w:r w:rsidR="00DD7EE4">
        <w:t>.</w:t>
      </w:r>
      <w:r w:rsidR="0041245A">
        <w:t> </w:t>
      </w:r>
      <w:r w:rsidR="00A6572D">
        <w:t>(b)</w:t>
      </w:r>
      <w:r w:rsidR="00DD7EE4">
        <w:t>)</w:t>
      </w:r>
      <w:r w:rsidR="00A6270A">
        <w:t xml:space="preserve"> (see § 667.6, subd.</w:t>
      </w:r>
      <w:r w:rsidR="00947B7E">
        <w:t> </w:t>
      </w:r>
      <w:r w:rsidR="00A6270A">
        <w:t>(e)(5))</w:t>
      </w:r>
      <w:r w:rsidR="00DD7EE4">
        <w:t xml:space="preserve">, </w:t>
      </w:r>
      <w:r w:rsidR="005670E9">
        <w:t>t</w:t>
      </w:r>
      <w:r w:rsidR="00E91572">
        <w:t xml:space="preserve">he sentencing court in some circumstances may exercise discretion to impose, and in some circumstances </w:t>
      </w:r>
      <w:r w:rsidR="00E91572">
        <w:rPr>
          <w:i/>
          <w:iCs/>
        </w:rPr>
        <w:t>must</w:t>
      </w:r>
      <w:r w:rsidR="00E91572">
        <w:t xml:space="preserve"> impose, </w:t>
      </w:r>
      <w:r w:rsidR="008316EB">
        <w:t>a “full, separate, and consecutive term</w:t>
      </w:r>
      <w:r w:rsidR="00C92EE9">
        <w:t xml:space="preserve">” for each such </w:t>
      </w:r>
      <w:r w:rsidRPr="00C30CFA" w:rsidR="00C92EE9">
        <w:t>offense</w:t>
      </w:r>
      <w:r w:rsidRPr="001B0CB8" w:rsidR="00C92EE9">
        <w:t>.</w:t>
      </w:r>
      <w:r w:rsidRPr="001B0CB8" w:rsidR="00947B7E">
        <w:t xml:space="preserve"> </w:t>
      </w:r>
      <w:r w:rsidRPr="001B0CB8" w:rsidR="00C92EE9">
        <w:t xml:space="preserve"> (§ 667.6</w:t>
      </w:r>
      <w:r w:rsidRPr="001B0CB8" w:rsidR="00C30CFA">
        <w:t>, subds. </w:t>
      </w:r>
      <w:r w:rsidRPr="001B0CB8" w:rsidR="00C92EE9">
        <w:t>(c)–(d).)</w:t>
      </w:r>
    </w:p>
    <w:p w:rsidR="00767636" w:rsidP="001B0CB8" w14:paraId="5246981B" w14:textId="2C5311B5">
      <w:r>
        <w:t xml:space="preserve">Specifically, </w:t>
      </w:r>
      <w:r w:rsidR="00301991">
        <w:t>“</w:t>
      </w:r>
      <w:r w:rsidRPr="00301991" w:rsidR="00301991">
        <w:t>if the crimes involve separate victims or involve the same victim on separate occasions</w:t>
      </w:r>
      <w:r w:rsidR="00301991">
        <w:t>,” the</w:t>
      </w:r>
      <w:r w:rsidR="0059079E">
        <w:t xml:space="preserve">n “a full, separate, and consecutive term </w:t>
      </w:r>
      <w:r w:rsidR="0059079E">
        <w:rPr>
          <w:i/>
          <w:iCs/>
        </w:rPr>
        <w:t>shall</w:t>
      </w:r>
      <w:r w:rsidR="0059079E">
        <w:t xml:space="preserve"> be imposed” for each crime (§ 667.6(d)</w:t>
      </w:r>
      <w:r w:rsidR="00E9319E">
        <w:t>, italics added</w:t>
      </w:r>
      <w:r w:rsidR="0059079E">
        <w:t xml:space="preserve">); if </w:t>
      </w:r>
      <w:r w:rsidR="009D606D">
        <w:t>“</w:t>
      </w:r>
      <w:r w:rsidR="00221767">
        <w:t>t</w:t>
      </w:r>
      <w:r w:rsidRPr="009D606D" w:rsidR="00221767">
        <w:t>he crimes involve the same victim on the same occasion</w:t>
      </w:r>
      <w:r w:rsidR="009D606D">
        <w:t xml:space="preserve">,” </w:t>
      </w:r>
      <w:r w:rsidR="00E9319E">
        <w:t xml:space="preserve">then “a full, separate, and consecutive term </w:t>
      </w:r>
      <w:r w:rsidR="00E9319E">
        <w:rPr>
          <w:i/>
          <w:iCs/>
        </w:rPr>
        <w:t>may</w:t>
      </w:r>
      <w:r w:rsidR="00E9319E">
        <w:t xml:space="preserve"> be imposed” for each </w:t>
      </w:r>
      <w:r w:rsidR="00B26740">
        <w:t>“</w:t>
      </w:r>
      <w:r w:rsidR="00E9319E">
        <w:t xml:space="preserve">in lieu of the </w:t>
      </w:r>
      <w:r w:rsidR="00B26740">
        <w:t>term provided in Section 1170.1” (§ 667.6</w:t>
      </w:r>
      <w:r w:rsidR="009D58E8">
        <w:t>, subd. </w:t>
      </w:r>
      <w:r w:rsidR="00B26740">
        <w:t>(c), italics added).</w:t>
      </w:r>
      <w:r w:rsidR="00DC49AC">
        <w:t xml:space="preserve"> </w:t>
      </w:r>
      <w:r w:rsidR="00403EFA">
        <w:t xml:space="preserve"> </w:t>
      </w:r>
      <w:r w:rsidR="008A3297">
        <w:t>A</w:t>
      </w:r>
      <w:r w:rsidR="00403EFA">
        <w:t xml:space="preserve">s the term “may” indicates, </w:t>
      </w:r>
      <w:r w:rsidR="008A3297">
        <w:t>if</w:t>
      </w:r>
      <w:r w:rsidR="00403EFA">
        <w:t xml:space="preserve"> the crimes involve the same victim </w:t>
      </w:r>
      <w:r w:rsidR="00D107EF">
        <w:t xml:space="preserve">and </w:t>
      </w:r>
      <w:r w:rsidR="00403EFA">
        <w:t xml:space="preserve">same occasion, the court </w:t>
      </w:r>
      <w:r w:rsidR="006A2D4E">
        <w:t xml:space="preserve">may </w:t>
      </w:r>
      <w:r w:rsidR="00D107EF">
        <w:t xml:space="preserve">decline to </w:t>
      </w:r>
      <w:r w:rsidR="006A2D4E">
        <w:t xml:space="preserve">impose </w:t>
      </w:r>
      <w:r w:rsidR="00D107EF">
        <w:t>full</w:t>
      </w:r>
      <w:r w:rsidR="007F7AB7">
        <w:t xml:space="preserve"> </w:t>
      </w:r>
      <w:r w:rsidR="00D107EF">
        <w:t xml:space="preserve">consecutive terms </w:t>
      </w:r>
      <w:r w:rsidRPr="00EF4C62" w:rsidR="00D107EF">
        <w:t>under section 667.6</w:t>
      </w:r>
      <w:r w:rsidRPr="00EF4C62" w:rsidR="00983BA5">
        <w:t>, subdivision </w:t>
      </w:r>
      <w:r w:rsidRPr="00EF4C62" w:rsidR="00D107EF">
        <w:t>(c</w:t>
      </w:r>
      <w:r w:rsidRPr="00862302" w:rsidR="00D107EF">
        <w:t xml:space="preserve">) </w:t>
      </w:r>
      <w:r w:rsidRPr="00862302" w:rsidR="0083115A">
        <w:t>(</w:t>
      </w:r>
      <w:r w:rsidRPr="000B5C94" w:rsidR="00EF7206">
        <w:t>section 667.6(c))</w:t>
      </w:r>
      <w:r w:rsidRPr="00EF4C62" w:rsidR="00EF7206">
        <w:t xml:space="preserve"> </w:t>
      </w:r>
      <w:r w:rsidRPr="00EF4C62" w:rsidR="00D107EF">
        <w:t>and instead impo</w:t>
      </w:r>
      <w:r w:rsidR="00D107EF">
        <w:t xml:space="preserve">se </w:t>
      </w:r>
      <w:r w:rsidR="006A2D4E">
        <w:t>term</w:t>
      </w:r>
      <w:r w:rsidR="00EF090B">
        <w:t>s</w:t>
      </w:r>
      <w:r w:rsidR="006A2D4E">
        <w:t xml:space="preserve"> </w:t>
      </w:r>
      <w:r w:rsidR="0037149E">
        <w:t xml:space="preserve">dictated by the default rules of </w:t>
      </w:r>
      <w:r w:rsidR="006A2D4E">
        <w:t>section</w:t>
      </w:r>
      <w:r w:rsidR="007F7AB7">
        <w:t>s 669 and</w:t>
      </w:r>
      <w:r w:rsidR="006A2D4E">
        <w:t xml:space="preserve"> 1170.1</w:t>
      </w:r>
      <w:r w:rsidR="003E11EF">
        <w:t xml:space="preserve">—i.e., </w:t>
      </w:r>
      <w:r w:rsidR="007F7AB7">
        <w:t>either full, concurrent terms or consecutive terms consisting of one</w:t>
      </w:r>
      <w:r w:rsidR="003E11EF">
        <w:t xml:space="preserve"> </w:t>
      </w:r>
      <w:r w:rsidR="007F7AB7">
        <w:t xml:space="preserve">full </w:t>
      </w:r>
      <w:r w:rsidR="003E11EF">
        <w:t>upper, middle, or lower term</w:t>
      </w:r>
      <w:r w:rsidR="00E63440">
        <w:t xml:space="preserve"> </w:t>
      </w:r>
      <w:r w:rsidRPr="008C2905" w:rsidR="00527945">
        <w:t>and</w:t>
      </w:r>
      <w:r w:rsidRPr="008C2905">
        <w:t xml:space="preserve"> one</w:t>
      </w:r>
      <w:r w:rsidR="00744865">
        <w:noBreakHyphen/>
      </w:r>
      <w:r w:rsidRPr="008C2905">
        <w:t>third the middle term</w:t>
      </w:r>
      <w:r w:rsidRPr="008C2905" w:rsidR="00E63440">
        <w:t xml:space="preserve"> </w:t>
      </w:r>
      <w:r w:rsidRPr="008C2905" w:rsidR="007F7AB7">
        <w:t xml:space="preserve">on </w:t>
      </w:r>
      <w:r w:rsidRPr="008C2905" w:rsidR="00527945">
        <w:t xml:space="preserve">each </w:t>
      </w:r>
      <w:r w:rsidRPr="008C2905" w:rsidR="007F7AB7">
        <w:t xml:space="preserve">other </w:t>
      </w:r>
      <w:r w:rsidRPr="008C2905" w:rsidR="002B0448">
        <w:t>count</w:t>
      </w:r>
      <w:r w:rsidRPr="008C2905">
        <w:t>.</w:t>
      </w:r>
      <w:r w:rsidRPr="008C2905" w:rsidR="00536CC0">
        <w:t xml:space="preserve"> </w:t>
      </w:r>
      <w:r w:rsidRPr="008C2905" w:rsidR="002E2F67">
        <w:t xml:space="preserve"> </w:t>
      </w:r>
      <w:r w:rsidRPr="008C2905" w:rsidR="007F7AB7">
        <w:t>As noted, the</w:t>
      </w:r>
      <w:r w:rsidRPr="008C2905" w:rsidR="00B119FB">
        <w:t xml:space="preserve"> </w:t>
      </w:r>
      <w:r w:rsidRPr="008C2905" w:rsidR="00DB692B">
        <w:t>sentencing</w:t>
      </w:r>
      <w:r w:rsidR="0089027D">
        <w:t xml:space="preserve"> </w:t>
      </w:r>
      <w:r w:rsidR="00B97F7C">
        <w:t>judge</w:t>
      </w:r>
      <w:r w:rsidR="007F7AB7">
        <w:t xml:space="preserve"> </w:t>
      </w:r>
      <w:r w:rsidRPr="008C2905" w:rsidR="00EA2FF4">
        <w:t>make</w:t>
      </w:r>
      <w:r w:rsidRPr="008C2905" w:rsidR="00D06148">
        <w:t>s</w:t>
      </w:r>
      <w:r w:rsidRPr="008C2905" w:rsidR="00EA2FF4">
        <w:t xml:space="preserve"> the</w:t>
      </w:r>
      <w:r w:rsidRPr="008C2905" w:rsidR="00133DA5">
        <w:t xml:space="preserve"> </w:t>
      </w:r>
      <w:r w:rsidRPr="008C2905" w:rsidR="007F7AB7">
        <w:t xml:space="preserve">key </w:t>
      </w:r>
      <w:r w:rsidRPr="008C2905" w:rsidR="00EA2FF4">
        <w:t xml:space="preserve">finding whether crimes </w:t>
      </w:r>
      <w:r w:rsidRPr="008C2905" w:rsidR="00421912">
        <w:t>i</w:t>
      </w:r>
      <w:r w:rsidRPr="008C2905" w:rsidR="00EA2FF4">
        <w:t>nvolv</w:t>
      </w:r>
      <w:r w:rsidRPr="008C2905" w:rsidR="0041245A">
        <w:t>ing</w:t>
      </w:r>
      <w:r w:rsidRPr="008C2905" w:rsidR="00EA2FF4">
        <w:t xml:space="preserve"> the same </w:t>
      </w:r>
      <w:r w:rsidRPr="008C2905" w:rsidR="007676F6">
        <w:t xml:space="preserve">victim </w:t>
      </w:r>
      <w:r w:rsidRPr="008C2905" w:rsidR="0041245A">
        <w:t xml:space="preserve">occurred </w:t>
      </w:r>
      <w:r w:rsidRPr="008C2905" w:rsidR="007676F6">
        <w:t>on separate occasions</w:t>
      </w:r>
      <w:r w:rsidRPr="008C2905" w:rsidR="00D06148">
        <w:t xml:space="preserve">—triggering section 667.6(d) and </w:t>
      </w:r>
      <w:r w:rsidRPr="008C2905" w:rsidR="007F7AB7">
        <w:t>mandating</w:t>
      </w:r>
      <w:r w:rsidRPr="008C2905" w:rsidR="00D06148">
        <w:t xml:space="preserve"> full terms—</w:t>
      </w:r>
      <w:r w:rsidRPr="008C2905" w:rsidR="007676F6">
        <w:t>or the same occasion</w:t>
      </w:r>
      <w:r w:rsidRPr="008C2905" w:rsidR="000535B0">
        <w:t>.</w:t>
      </w:r>
      <w:r w:rsidRPr="008C2905" w:rsidR="00133DA5">
        <w:t xml:space="preserve"> </w:t>
      </w:r>
      <w:r w:rsidRPr="008C2905" w:rsidR="00686825">
        <w:t xml:space="preserve"> </w:t>
      </w:r>
      <w:r w:rsidRPr="008C2905" w:rsidR="00DB692B">
        <w:t>(§ 667.6(d); rule 4.426(a).)</w:t>
      </w:r>
    </w:p>
    <w:p w:rsidR="00532FE0" w:rsidRPr="008C2905" w:rsidP="002E2F67" w14:paraId="6D2EDA47" w14:textId="102D3D75">
      <w:r>
        <w:t xml:space="preserve">Accordingly, </w:t>
      </w:r>
      <w:r w:rsidR="00566487">
        <w:t xml:space="preserve">when the </w:t>
      </w:r>
      <w:r>
        <w:t>jury</w:t>
      </w:r>
      <w:r w:rsidR="000B65FB">
        <w:t xml:space="preserve"> </w:t>
      </w:r>
      <w:r w:rsidR="00566487">
        <w:t xml:space="preserve">found </w:t>
      </w:r>
      <w:r>
        <w:t xml:space="preserve">defendant guilty on four counts of forcible lewd acts </w:t>
      </w:r>
      <w:r w:rsidR="00C742AD">
        <w:t xml:space="preserve">against the same </w:t>
      </w:r>
      <w:r w:rsidRPr="00C77983" w:rsidR="00C742AD">
        <w:t xml:space="preserve">victim </w:t>
      </w:r>
      <w:r w:rsidRPr="00C77983">
        <w:t>(§ 288, subd.</w:t>
      </w:r>
      <w:r w:rsidRPr="00C77983" w:rsidR="00686825">
        <w:t> </w:t>
      </w:r>
      <w:r w:rsidRPr="00C77983">
        <w:t>(b)</w:t>
      </w:r>
      <w:r w:rsidRPr="00C77983" w:rsidR="00A2533F">
        <w:t>(1)</w:t>
      </w:r>
      <w:r w:rsidRPr="00C77983">
        <w:t>)</w:t>
      </w:r>
      <w:r w:rsidR="00566487">
        <w:t>,</w:t>
      </w:r>
      <w:r w:rsidRPr="00C77983" w:rsidR="00566487">
        <w:t xml:space="preserve"> its verdict</w:t>
      </w:r>
      <w:r w:rsidR="00C742AD">
        <w:t xml:space="preserve"> </w:t>
      </w:r>
      <w:r w:rsidR="00516004">
        <w:t>gave rise to</w:t>
      </w:r>
      <w:r w:rsidR="000B65FB">
        <w:t xml:space="preserve"> three possibilities: </w:t>
      </w:r>
      <w:r w:rsidR="008D3E49">
        <w:t xml:space="preserve"> </w:t>
      </w:r>
      <w:r w:rsidR="000B65FB">
        <w:t>(1)</w:t>
      </w:r>
      <w:r w:rsidR="008D3E49">
        <w:t> </w:t>
      </w:r>
      <w:r w:rsidR="000B65FB">
        <w:t xml:space="preserve">the </w:t>
      </w:r>
      <w:r w:rsidR="00C742AD">
        <w:t xml:space="preserve">sentencing </w:t>
      </w:r>
      <w:r w:rsidR="000B65FB">
        <w:t xml:space="preserve">court </w:t>
      </w:r>
      <w:r w:rsidR="00C742AD">
        <w:t>could have found, as it did, that the offenses occurred on “separate occasions,” trigger</w:t>
      </w:r>
      <w:r w:rsidR="00516004">
        <w:t>ing</w:t>
      </w:r>
      <w:r w:rsidR="00C742AD">
        <w:t xml:space="preserve"> section 667.6(d) and mandat</w:t>
      </w:r>
      <w:r w:rsidR="00516004">
        <w:t>ing</w:t>
      </w:r>
      <w:r w:rsidR="00C742AD">
        <w:t xml:space="preserve"> the imposition of “full, separate, and consecutive</w:t>
      </w:r>
      <w:r w:rsidR="005C0D49">
        <w:t>”</w:t>
      </w:r>
      <w:r w:rsidR="00C742AD">
        <w:t xml:space="preserve"> term</w:t>
      </w:r>
      <w:r w:rsidR="00552961">
        <w:t>s</w:t>
      </w:r>
      <w:r w:rsidR="00C742AD">
        <w:t xml:space="preserve"> on all four convictions, or (2)</w:t>
      </w:r>
      <w:r w:rsidR="008D3E49">
        <w:t> </w:t>
      </w:r>
      <w:r w:rsidR="00C742AD">
        <w:t xml:space="preserve">the court could have found that the offenses occurred on the “same occasion,” </w:t>
      </w:r>
      <w:r w:rsidR="00E66A12">
        <w:t xml:space="preserve">in which case it could </w:t>
      </w:r>
      <w:r w:rsidR="0067469E">
        <w:t xml:space="preserve">then </w:t>
      </w:r>
      <w:r w:rsidR="00E66A12">
        <w:t>have (a)</w:t>
      </w:r>
      <w:r w:rsidR="00516004">
        <w:t> </w:t>
      </w:r>
      <w:r w:rsidR="00E66A12">
        <w:t>exercised its discretion under section 667.6(c) to impose “full, separate, and consecutive</w:t>
      </w:r>
      <w:r w:rsidR="005C0D49">
        <w:t>”</w:t>
      </w:r>
      <w:r w:rsidR="00E66A12">
        <w:t xml:space="preserve"> terms on all four convictions, or (b)</w:t>
      </w:r>
      <w:r w:rsidR="008D3E49">
        <w:t> </w:t>
      </w:r>
      <w:r w:rsidR="00B76092">
        <w:t xml:space="preserve">chosen not to invoke section 667.6(c) and instead imposed the terms </w:t>
      </w:r>
      <w:r w:rsidR="00516004">
        <w:t xml:space="preserve">dictated by </w:t>
      </w:r>
      <w:r w:rsidR="007F7AB7">
        <w:t xml:space="preserve">sections 669 and </w:t>
      </w:r>
      <w:r w:rsidR="00516004">
        <w:t>1170.1</w:t>
      </w:r>
      <w:r w:rsidR="00566487">
        <w:t>—</w:t>
      </w:r>
      <w:r w:rsidR="00516004">
        <w:t xml:space="preserve">i.e., </w:t>
      </w:r>
      <w:r w:rsidR="007F7AB7">
        <w:t>(i)</w:t>
      </w:r>
      <w:r w:rsidR="008D3E49">
        <w:t> </w:t>
      </w:r>
      <w:r w:rsidR="007F7AB7">
        <w:t>full, concurrent terms or (ii)</w:t>
      </w:r>
      <w:r w:rsidR="008D3E49">
        <w:t> </w:t>
      </w:r>
      <w:r w:rsidR="007F7AB7">
        <w:t>consecutive terms consisting of one</w:t>
      </w:r>
      <w:r w:rsidR="00516004">
        <w:t xml:space="preserve"> full lower, middle, or upper term of 5, 8, or 10 years </w:t>
      </w:r>
      <w:r w:rsidR="0013614E">
        <w:t xml:space="preserve">as </w:t>
      </w:r>
      <w:r w:rsidRPr="008C2905" w:rsidR="00516004">
        <w:t xml:space="preserve">the principal </w:t>
      </w:r>
      <w:r w:rsidRPr="008C2905" w:rsidR="0013614E">
        <w:t>term</w:t>
      </w:r>
      <w:r w:rsidRPr="008C2905" w:rsidR="00516004">
        <w:t xml:space="preserve">, and </w:t>
      </w:r>
      <w:r w:rsidRPr="008C2905" w:rsidR="0013614E">
        <w:t xml:space="preserve">three subordinate </w:t>
      </w:r>
      <w:r w:rsidRPr="008C2905" w:rsidR="00516004">
        <w:t>term</w:t>
      </w:r>
      <w:r w:rsidRPr="008C2905" w:rsidR="007F13FC">
        <w:t>s</w:t>
      </w:r>
      <w:r w:rsidRPr="008C2905" w:rsidR="00516004">
        <w:t xml:space="preserve"> equal to one-third the middle term, or 2 years 8 months.</w:t>
      </w:r>
    </w:p>
    <w:p w:rsidR="0007318F" w:rsidP="003C42A3" w14:paraId="405B62C5" w14:textId="75FDA560">
      <w:pPr>
        <w:pStyle w:val="Heading4"/>
      </w:pPr>
      <w:r>
        <w:t>The Constitutional Framework</w:t>
      </w:r>
    </w:p>
    <w:p w:rsidR="00E700D1" w:rsidP="00A23D57" w14:paraId="00CBFB33" w14:textId="4FA5467C">
      <w:r w:rsidRPr="008C2905">
        <w:t xml:space="preserve">The law in this area </w:t>
      </w:r>
      <w:r w:rsidRPr="008C2905" w:rsidR="00353A63">
        <w:t xml:space="preserve">has </w:t>
      </w:r>
      <w:r w:rsidRPr="008C2905" w:rsidR="00727E13">
        <w:t xml:space="preserve">undergone </w:t>
      </w:r>
      <w:r w:rsidRPr="008C2905" w:rsidR="00EE4FDE">
        <w:t>much</w:t>
      </w:r>
      <w:r w:rsidRPr="008C2905" w:rsidR="00727E13">
        <w:t xml:space="preserve"> development</w:t>
      </w:r>
      <w:r w:rsidR="00727E13">
        <w:t xml:space="preserve"> </w:t>
      </w:r>
      <w:r w:rsidR="00F15879">
        <w:t xml:space="preserve">and </w:t>
      </w:r>
      <w:r w:rsidR="00AD19FD">
        <w:t xml:space="preserve">one </w:t>
      </w:r>
      <w:r w:rsidR="008B45CF">
        <w:t>major</w:t>
      </w:r>
      <w:r w:rsidR="00AD19FD">
        <w:t xml:space="preserve"> </w:t>
      </w:r>
      <w:r w:rsidRPr="008C2905" w:rsidR="00AD19FD">
        <w:t xml:space="preserve">reversal </w:t>
      </w:r>
      <w:r w:rsidRPr="008C2905" w:rsidR="00727E13">
        <w:t>in</w:t>
      </w:r>
      <w:r w:rsidRPr="008C2905" w:rsidR="006E6767">
        <w:t xml:space="preserve"> the last two decades</w:t>
      </w:r>
      <w:r w:rsidRPr="008C2905" w:rsidR="00AD19FD">
        <w:t xml:space="preserve">, so </w:t>
      </w:r>
      <w:r w:rsidRPr="008C2905" w:rsidR="006E6767">
        <w:t xml:space="preserve">we must </w:t>
      </w:r>
      <w:r w:rsidRPr="008C2905" w:rsidR="00AD19FD">
        <w:t xml:space="preserve">review </w:t>
      </w:r>
      <w:r w:rsidRPr="008C2905" w:rsidR="008B45CF">
        <w:t xml:space="preserve">several </w:t>
      </w:r>
      <w:r w:rsidRPr="008C2905" w:rsidR="00981EE6">
        <w:t xml:space="preserve">pertinent </w:t>
      </w:r>
      <w:r w:rsidRPr="008C2905" w:rsidR="00AD19FD">
        <w:t>decisions.</w:t>
      </w:r>
      <w:r w:rsidR="00AD19FD">
        <w:t xml:space="preserve"> </w:t>
      </w:r>
      <w:r w:rsidR="00A23D57">
        <w:t xml:space="preserve"> </w:t>
      </w:r>
      <w:r w:rsidR="00981EE6">
        <w:t>The f</w:t>
      </w:r>
      <w:r w:rsidR="00BA09CF">
        <w:t xml:space="preserve">irst </w:t>
      </w:r>
      <w:r w:rsidR="00AB0660">
        <w:t xml:space="preserve">is </w:t>
      </w:r>
      <w:r w:rsidRPr="008C2905" w:rsidR="00B90484">
        <w:rPr>
          <w:i/>
        </w:rPr>
        <w:t>Apprendi v. New Jersey</w:t>
      </w:r>
      <w:r w:rsidRPr="008C2905" w:rsidR="00B90484">
        <w:t xml:space="preserve"> (2000) 530</w:t>
      </w:r>
      <w:r w:rsidRPr="008C2905" w:rsidR="00A23D57">
        <w:t> </w:t>
      </w:r>
      <w:r w:rsidRPr="008C2905" w:rsidR="00B90484">
        <w:t>U.S. 466</w:t>
      </w:r>
      <w:r w:rsidR="00184D74">
        <w:t>,</w:t>
      </w:r>
      <w:r w:rsidRPr="008C2905" w:rsidR="00B90484">
        <w:t xml:space="preserve"> </w:t>
      </w:r>
      <w:r w:rsidR="00981EE6">
        <w:t xml:space="preserve">which </w:t>
      </w:r>
      <w:r w:rsidR="005A61BD">
        <w:t>hel</w:t>
      </w:r>
      <w:r w:rsidR="00981EE6">
        <w:t xml:space="preserve">d </w:t>
      </w:r>
      <w:r w:rsidRPr="008C2905">
        <w:t>that the Sixth Amendment requires that a jury find any fact that increases the</w:t>
      </w:r>
      <w:r w:rsidRPr="00193F67">
        <w:t xml:space="preserve"> statutory maximum penalty for a crime</w:t>
      </w:r>
      <w:r w:rsidR="00827635">
        <w:t>.</w:t>
      </w:r>
      <w:r w:rsidR="00A23D57">
        <w:t xml:space="preserve"> </w:t>
      </w:r>
      <w:r w:rsidR="00827635">
        <w:t xml:space="preserve"> (</w:t>
      </w:r>
      <w:r w:rsidR="00A23D57">
        <w:rPr>
          <w:i/>
          <w:iCs/>
        </w:rPr>
        <w:t>Apprendi</w:t>
      </w:r>
      <w:r w:rsidR="00A23D57">
        <w:t>,</w:t>
      </w:r>
      <w:r w:rsidR="00827635">
        <w:t xml:space="preserve"> at p.</w:t>
      </w:r>
      <w:r w:rsidR="00A23D57">
        <w:t> </w:t>
      </w:r>
      <w:r w:rsidR="00827635">
        <w:t>476</w:t>
      </w:r>
      <w:r w:rsidR="00261F05">
        <w:t>.)</w:t>
      </w:r>
      <w:r w:rsidR="00A23D57">
        <w:t xml:space="preserve"> </w:t>
      </w:r>
      <w:r w:rsidRPr="00193F67">
        <w:t xml:space="preserve"> Two years </w:t>
      </w:r>
      <w:r w:rsidR="00393602">
        <w:t>later</w:t>
      </w:r>
      <w:r w:rsidRPr="00193F67">
        <w:t xml:space="preserve">, in </w:t>
      </w:r>
      <w:r w:rsidRPr="001F3CAA">
        <w:rPr>
          <w:i/>
          <w:iCs/>
        </w:rPr>
        <w:t>Harris v. United States</w:t>
      </w:r>
      <w:r w:rsidRPr="00193F67">
        <w:t xml:space="preserve"> (2002) 536</w:t>
      </w:r>
      <w:r w:rsidR="00A23D57">
        <w:t> </w:t>
      </w:r>
      <w:r w:rsidRPr="00193F67">
        <w:t>U.S. 545</w:t>
      </w:r>
      <w:r w:rsidR="001F3CAA">
        <w:t xml:space="preserve"> (</w:t>
      </w:r>
      <w:r w:rsidR="001F3CAA">
        <w:rPr>
          <w:i/>
          <w:iCs/>
        </w:rPr>
        <w:t>Harris</w:t>
      </w:r>
      <w:r w:rsidR="001F3CAA">
        <w:t>)</w:t>
      </w:r>
      <w:r w:rsidRPr="00193F67">
        <w:t xml:space="preserve">, the court declined to </w:t>
      </w:r>
      <w:r w:rsidR="001F3CAA">
        <w:t>exten</w:t>
      </w:r>
      <w:r w:rsidR="004146A0">
        <w:t>d</w:t>
      </w:r>
      <w:r w:rsidR="001F3CAA">
        <w:t xml:space="preserve"> </w:t>
      </w:r>
      <w:r w:rsidRPr="001F3CAA">
        <w:rPr>
          <w:i/>
          <w:iCs/>
        </w:rPr>
        <w:t>Apprendi</w:t>
      </w:r>
      <w:r w:rsidRPr="006873FD" w:rsidR="004146A0">
        <w:t>,</w:t>
      </w:r>
      <w:r w:rsidR="004146A0">
        <w:rPr>
          <w:i/>
          <w:iCs/>
        </w:rPr>
        <w:t xml:space="preserve"> </w:t>
      </w:r>
      <w:r w:rsidRPr="004146A0" w:rsidR="004146A0">
        <w:t>holding</w:t>
      </w:r>
      <w:r w:rsidR="004146A0">
        <w:rPr>
          <w:i/>
          <w:iCs/>
        </w:rPr>
        <w:t xml:space="preserve"> </w:t>
      </w:r>
      <w:r w:rsidRPr="00193F67">
        <w:t>that its rule d</w:t>
      </w:r>
      <w:r w:rsidR="00D13195">
        <w:t>id</w:t>
      </w:r>
      <w:r w:rsidRPr="00193F67">
        <w:t xml:space="preserve"> not apply </w:t>
      </w:r>
      <w:r w:rsidR="00F1033E">
        <w:t xml:space="preserve">to </w:t>
      </w:r>
      <w:r w:rsidRPr="00193F67">
        <w:t xml:space="preserve">factual findings that increase the mandatory </w:t>
      </w:r>
      <w:r w:rsidRPr="004146A0">
        <w:rPr>
          <w:i/>
          <w:iCs/>
        </w:rPr>
        <w:t>minimum</w:t>
      </w:r>
      <w:r w:rsidRPr="00193F67">
        <w:t xml:space="preserve"> sentence</w:t>
      </w:r>
      <w:r w:rsidR="00CE7E09">
        <w:t xml:space="preserve"> </w:t>
      </w:r>
      <w:r w:rsidRPr="00193F67">
        <w:t>for a</w:t>
      </w:r>
      <w:r w:rsidR="004146A0">
        <w:t xml:space="preserve"> crime</w:t>
      </w:r>
      <w:r w:rsidRPr="00193F67">
        <w:t>.</w:t>
      </w:r>
      <w:r w:rsidR="004146A0">
        <w:t xml:space="preserve"> </w:t>
      </w:r>
      <w:r w:rsidR="00A23D57">
        <w:t xml:space="preserve"> </w:t>
      </w:r>
      <w:r w:rsidR="004146A0">
        <w:t>(</w:t>
      </w:r>
      <w:r w:rsidR="007F7AB7">
        <w:rPr>
          <w:i/>
          <w:iCs/>
        </w:rPr>
        <w:t xml:space="preserve">Id. </w:t>
      </w:r>
      <w:r w:rsidR="004146A0">
        <w:t>at p.</w:t>
      </w:r>
      <w:r w:rsidR="00940494">
        <w:t> </w:t>
      </w:r>
      <w:r w:rsidR="001740A7">
        <w:t>550</w:t>
      </w:r>
      <w:r w:rsidR="00940494">
        <w:t>.</w:t>
      </w:r>
      <w:r w:rsidR="004146A0">
        <w:t>)</w:t>
      </w:r>
    </w:p>
    <w:p w:rsidR="00FA2D42" w:rsidP="00A23D57" w14:paraId="5ED90E2B" w14:textId="26B56E13">
      <w:r w:rsidRPr="00193F67">
        <w:t xml:space="preserve">In California, </w:t>
      </w:r>
      <w:r w:rsidR="0031706A">
        <w:t xml:space="preserve">the line of </w:t>
      </w:r>
      <w:r w:rsidR="007E63AC">
        <w:t xml:space="preserve">relevant </w:t>
      </w:r>
      <w:r w:rsidR="00C46FD6">
        <w:t>case</w:t>
      </w:r>
      <w:r w:rsidR="0031706A">
        <w:t xml:space="preserve">s </w:t>
      </w:r>
      <w:r w:rsidRPr="00193F67">
        <w:t xml:space="preserve">began </w:t>
      </w:r>
      <w:r w:rsidR="00B13262">
        <w:t xml:space="preserve">a year </w:t>
      </w:r>
      <w:r w:rsidR="00AE59ED">
        <w:t>l</w:t>
      </w:r>
      <w:r w:rsidR="00B13262">
        <w:t xml:space="preserve">ater in </w:t>
      </w:r>
      <w:r w:rsidRPr="00B13262">
        <w:rPr>
          <w:i/>
          <w:iCs/>
        </w:rPr>
        <w:t>People v. Groves</w:t>
      </w:r>
      <w:r w:rsidRPr="00193F67">
        <w:t xml:space="preserve"> (2003) 107</w:t>
      </w:r>
      <w:r w:rsidR="00A23D57">
        <w:t> </w:t>
      </w:r>
      <w:r w:rsidRPr="00193F67">
        <w:t xml:space="preserve">Cal.App.4th </w:t>
      </w:r>
      <w:r w:rsidRPr="00FC054B">
        <w:t>1227, in which</w:t>
      </w:r>
      <w:r w:rsidRPr="00193F67">
        <w:t xml:space="preserve"> </w:t>
      </w:r>
      <w:r w:rsidR="00B13262">
        <w:t xml:space="preserve">this court </w:t>
      </w:r>
      <w:r w:rsidRPr="00193F67">
        <w:t xml:space="preserve">held that </w:t>
      </w:r>
      <w:r w:rsidRPr="00B13262">
        <w:rPr>
          <w:i/>
          <w:iCs/>
        </w:rPr>
        <w:t>Apprendi</w:t>
      </w:r>
      <w:r w:rsidRPr="00193F67">
        <w:t xml:space="preserve"> did not require that a jury make the “separate occasions” finding </w:t>
      </w:r>
      <w:r w:rsidRPr="008C2905">
        <w:t xml:space="preserve">under section 667.6(d) that mandates </w:t>
      </w:r>
      <w:r w:rsidRPr="008C2905" w:rsidR="00F4711F">
        <w:t xml:space="preserve">the </w:t>
      </w:r>
      <w:r w:rsidRPr="008C2905">
        <w:t xml:space="preserve">imposition of full, consecutive </w:t>
      </w:r>
      <w:r w:rsidRPr="008C2905" w:rsidR="0097448F">
        <w:t>term</w:t>
      </w:r>
      <w:r w:rsidRPr="008C2905">
        <w:t>s</w:t>
      </w:r>
      <w:r w:rsidRPr="00193F67">
        <w:t xml:space="preserve">. </w:t>
      </w:r>
      <w:r w:rsidR="007E1B19">
        <w:t xml:space="preserve"> </w:t>
      </w:r>
      <w:r w:rsidR="00510D24">
        <w:t xml:space="preserve">Given the scope of the Sixth Amendment as defined by </w:t>
      </w:r>
      <w:r w:rsidRPr="00510D24">
        <w:rPr>
          <w:i/>
          <w:iCs/>
        </w:rPr>
        <w:t>Apprendi</w:t>
      </w:r>
      <w:r w:rsidRPr="00193F67">
        <w:t xml:space="preserve"> and </w:t>
      </w:r>
      <w:r w:rsidRPr="00510D24">
        <w:rPr>
          <w:i/>
          <w:iCs/>
        </w:rPr>
        <w:t>Harris</w:t>
      </w:r>
      <w:r w:rsidRPr="00193F67">
        <w:t xml:space="preserve">, </w:t>
      </w:r>
      <w:r w:rsidRPr="00EA7026" w:rsidR="00EA7026">
        <w:rPr>
          <w:i/>
          <w:iCs/>
        </w:rPr>
        <w:t>Groves</w:t>
      </w:r>
      <w:r w:rsidR="00EA7026">
        <w:t xml:space="preserve">’s </w:t>
      </w:r>
      <w:r w:rsidRPr="00E67263" w:rsidR="00EC3F32">
        <w:t>analysis</w:t>
      </w:r>
      <w:r w:rsidR="00510D24">
        <w:t xml:space="preserve"> </w:t>
      </w:r>
      <w:r w:rsidRPr="00193F67">
        <w:t xml:space="preserve">was </w:t>
      </w:r>
      <w:r w:rsidR="00510D24">
        <w:t>sound</w:t>
      </w:r>
      <w:r w:rsidRPr="00193F67">
        <w:t xml:space="preserve">. </w:t>
      </w:r>
      <w:r w:rsidR="007E1B19">
        <w:t xml:space="preserve"> </w:t>
      </w:r>
      <w:r w:rsidR="00DF7CBA">
        <w:t>W</w:t>
      </w:r>
      <w:r w:rsidRPr="008C2905" w:rsidR="00FD75E4">
        <w:t>e</w:t>
      </w:r>
      <w:r w:rsidRPr="008C2905" w:rsidR="00E77D75">
        <w:t xml:space="preserve"> reasoned as follows:</w:t>
      </w:r>
      <w:r w:rsidRPr="008C2905" w:rsidR="007E1B19">
        <w:t xml:space="preserve"> </w:t>
      </w:r>
      <w:r w:rsidRPr="008C2905" w:rsidR="00E77D75">
        <w:t xml:space="preserve"> “</w:t>
      </w:r>
      <w:r w:rsidRPr="008C2905">
        <w:t>The [DSL] provides that consecutive terms are typically calculated</w:t>
      </w:r>
      <w:r w:rsidRPr="00193F67">
        <w:t xml:space="preserve"> at one-third the middle base term. </w:t>
      </w:r>
      <w:r w:rsidR="007E1B19">
        <w:t xml:space="preserve"> </w:t>
      </w:r>
      <w:r w:rsidRPr="00193F67">
        <w:t>[Citation</w:t>
      </w:r>
      <w:r w:rsidRPr="008C2905" w:rsidR="00C34A9E">
        <w:t>.</w:t>
      </w:r>
      <w:r w:rsidRPr="008C2905">
        <w:t>]</w:t>
      </w:r>
      <w:r w:rsidRPr="00193F67">
        <w:t xml:space="preserve"> </w:t>
      </w:r>
      <w:r w:rsidR="007E1B19">
        <w:t xml:space="preserve"> </w:t>
      </w:r>
      <w:r w:rsidRPr="00193F67">
        <w:t xml:space="preserve">A trial court </w:t>
      </w:r>
      <w:r w:rsidRPr="00C151DA">
        <w:rPr>
          <w:i/>
          <w:iCs/>
        </w:rPr>
        <w:t>may</w:t>
      </w:r>
      <w:r w:rsidRPr="00193F67">
        <w:t xml:space="preserve"> impose a full consecutive term for a second sexual assault offense, even if both offenses were committed during a single transaction</w:t>
      </w:r>
      <w:r w:rsidR="00D01458">
        <w:t xml:space="preserve"> . . . [as a] </w:t>
      </w:r>
      <w:r w:rsidRPr="008C2905">
        <w:t>discretionary</w:t>
      </w:r>
      <w:r w:rsidRPr="00193F67">
        <w:t xml:space="preserve"> sentencing choice</w:t>
      </w:r>
      <w:r w:rsidRPr="00D838E2">
        <w:t>.</w:t>
      </w:r>
      <w:r w:rsidRPr="00D838E2" w:rsidR="003404E7">
        <w:t xml:space="preserve"> </w:t>
      </w:r>
      <w:r w:rsidRPr="00D838E2">
        <w:t xml:space="preserve"> (</w:t>
      </w:r>
      <w:r w:rsidRPr="00D838E2" w:rsidR="009F7A64">
        <w:t>[</w:t>
      </w:r>
      <w:r w:rsidRPr="00D838E2" w:rsidR="00F40AAE">
        <w:t>§ </w:t>
      </w:r>
      <w:r w:rsidRPr="00D838E2">
        <w:t>667.6(c)</w:t>
      </w:r>
      <w:r w:rsidRPr="00D838E2" w:rsidR="009F7A64">
        <w:t>]</w:t>
      </w:r>
      <w:r w:rsidRPr="00D838E2" w:rsidR="003404E7">
        <w:t>.</w:t>
      </w:r>
      <w:r w:rsidRPr="00D838E2">
        <w:t xml:space="preserve">) </w:t>
      </w:r>
      <w:r w:rsidRPr="00D838E2" w:rsidR="003404E7">
        <w:t xml:space="preserve"> </w:t>
      </w:r>
      <w:r w:rsidRPr="00D838E2">
        <w:t>If</w:t>
      </w:r>
      <w:r w:rsidRPr="00193F67">
        <w:t xml:space="preserve"> the trial court finds that both offenses were committed on separate occasions </w:t>
      </w:r>
      <w:r w:rsidR="00A91836">
        <w:t>. . .</w:t>
      </w:r>
      <w:r w:rsidR="00EC4CA0">
        <w:t> </w:t>
      </w:r>
      <w:r w:rsidRPr="00193F67">
        <w:t xml:space="preserve">, </w:t>
      </w:r>
      <w:r w:rsidRPr="008C2905" w:rsidR="00D54230">
        <w:t xml:space="preserve">[it] </w:t>
      </w:r>
      <w:r w:rsidRPr="008C2905">
        <w:rPr>
          <w:i/>
        </w:rPr>
        <w:t>must</w:t>
      </w:r>
      <w:r w:rsidRPr="008C2905">
        <w:t xml:space="preserve"> impose the full consecutive term for the second offense. </w:t>
      </w:r>
      <w:r w:rsidRPr="008C2905" w:rsidR="00C34A9E">
        <w:t xml:space="preserve"> </w:t>
      </w:r>
      <w:r w:rsidRPr="008C2905">
        <w:t>(</w:t>
      </w:r>
      <w:r w:rsidRPr="008C2905" w:rsidR="009F7A64">
        <w:t>[</w:t>
      </w:r>
      <w:r w:rsidRPr="008C2905" w:rsidR="00F40AAE">
        <w:t>§ </w:t>
      </w:r>
      <w:r w:rsidRPr="008C2905">
        <w:t>667.6(d)</w:t>
      </w:r>
      <w:r w:rsidRPr="008C2905" w:rsidR="009F7A64">
        <w:t>]</w:t>
      </w:r>
      <w:r w:rsidRPr="008C2905">
        <w:t>.)</w:t>
      </w:r>
      <w:r w:rsidRPr="00193F67">
        <w:t xml:space="preserve"> </w:t>
      </w:r>
      <w:r w:rsidR="00FC054B">
        <w:t xml:space="preserve"> </w:t>
      </w:r>
      <w:r w:rsidRPr="00193F67">
        <w:t>The mandatory imposition of this maximum possible sentence does not constitute an increase in the maximum possible sentence.”</w:t>
      </w:r>
      <w:r w:rsidR="00FC054B">
        <w:t xml:space="preserve"> </w:t>
      </w:r>
      <w:r w:rsidRPr="00193F67">
        <w:t xml:space="preserve"> (</w:t>
      </w:r>
      <w:r w:rsidR="0067101E">
        <w:rPr>
          <w:i/>
          <w:iCs/>
        </w:rPr>
        <w:t>Groves</w:t>
      </w:r>
      <w:r w:rsidR="0067101E">
        <w:t>,</w:t>
      </w:r>
      <w:r w:rsidRPr="00193F67">
        <w:t xml:space="preserve"> at p.</w:t>
      </w:r>
      <w:r w:rsidR="0067101E">
        <w:t> </w:t>
      </w:r>
      <w:r w:rsidRPr="00193F67">
        <w:t>1231.)</w:t>
      </w:r>
    </w:p>
    <w:p w:rsidR="00E700D1" w:rsidP="00FC054B" w14:paraId="2C708F06" w14:textId="71A4DEAD">
      <w:r>
        <w:t xml:space="preserve">In </w:t>
      </w:r>
      <w:r w:rsidR="00FA2D42">
        <w:t>other words</w:t>
      </w:r>
      <w:r>
        <w:t>, b</w:t>
      </w:r>
      <w:r w:rsidR="00071730">
        <w:t xml:space="preserve">ecause </w:t>
      </w:r>
      <w:r w:rsidRPr="00193F67">
        <w:t>a judge</w:t>
      </w:r>
      <w:r w:rsidR="008853C1">
        <w:t xml:space="preserve"> always</w:t>
      </w:r>
      <w:r w:rsidRPr="00193F67">
        <w:t xml:space="preserve"> ha</w:t>
      </w:r>
      <w:r w:rsidR="00306805">
        <w:t>s</w:t>
      </w:r>
      <w:r w:rsidRPr="00193F67">
        <w:t xml:space="preserve"> discretion </w:t>
      </w:r>
      <w:r w:rsidR="00071730">
        <w:t xml:space="preserve">under section 667.6(c) </w:t>
      </w:r>
      <w:r w:rsidRPr="00193F67">
        <w:t xml:space="preserve">to impose full sentences on </w:t>
      </w:r>
      <w:r w:rsidR="00663797">
        <w:t>each</w:t>
      </w:r>
      <w:r w:rsidRPr="00193F67">
        <w:t xml:space="preserve"> count without </w:t>
      </w:r>
      <w:r w:rsidR="00071730">
        <w:t xml:space="preserve">a </w:t>
      </w:r>
      <w:r w:rsidRPr="00193F67">
        <w:t xml:space="preserve">“separate occasions” </w:t>
      </w:r>
      <w:r w:rsidRPr="008C2905">
        <w:t>finding</w:t>
      </w:r>
      <w:r w:rsidRPr="008C2905" w:rsidR="00306805">
        <w:t xml:space="preserve">, </w:t>
      </w:r>
      <w:r w:rsidRPr="008C2905" w:rsidR="00163F13">
        <w:t xml:space="preserve">the fact </w:t>
      </w:r>
      <w:r w:rsidRPr="008C2905" w:rsidR="00071730">
        <w:t xml:space="preserve">that </w:t>
      </w:r>
      <w:r w:rsidRPr="008C2905" w:rsidR="00163F13">
        <w:t xml:space="preserve">such a </w:t>
      </w:r>
      <w:r w:rsidRPr="008C2905">
        <w:t xml:space="preserve">finding </w:t>
      </w:r>
      <w:r w:rsidRPr="008C2905" w:rsidR="00163F13">
        <w:t>trigger</w:t>
      </w:r>
      <w:r w:rsidRPr="008C2905" w:rsidR="00F577BD">
        <w:t>s</w:t>
      </w:r>
      <w:r w:rsidRPr="008C2905" w:rsidR="00163F13">
        <w:t xml:space="preserve"> section 667.6(d) </w:t>
      </w:r>
      <w:r w:rsidRPr="008C2905" w:rsidR="00ED2577">
        <w:t xml:space="preserve">and makes such sentences mandatory </w:t>
      </w:r>
      <w:r w:rsidRPr="008C2905" w:rsidR="00071730">
        <w:t>d</w:t>
      </w:r>
      <w:r w:rsidRPr="008C2905" w:rsidR="00F577BD">
        <w:t>oes</w:t>
      </w:r>
      <w:r w:rsidRPr="008C2905" w:rsidR="00071730">
        <w:t xml:space="preserve"> not </w:t>
      </w:r>
      <w:r w:rsidRPr="008C2905">
        <w:t>increase</w:t>
      </w:r>
      <w:r w:rsidRPr="00193F67">
        <w:t xml:space="preserve"> the </w:t>
      </w:r>
      <w:r w:rsidRPr="00F577BD">
        <w:rPr>
          <w:i/>
          <w:iCs/>
        </w:rPr>
        <w:t>maximum</w:t>
      </w:r>
      <w:r w:rsidRPr="00193F67">
        <w:t xml:space="preserve"> </w:t>
      </w:r>
      <w:r w:rsidRPr="00D468B0">
        <w:rPr>
          <w:i/>
          <w:iCs/>
        </w:rPr>
        <w:t>possible</w:t>
      </w:r>
      <w:r w:rsidRPr="00193F67">
        <w:t xml:space="preserve"> sentence</w:t>
      </w:r>
      <w:r w:rsidR="00071730">
        <w:t xml:space="preserve"> for </w:t>
      </w:r>
      <w:r w:rsidR="00E60F2E">
        <w:t>any</w:t>
      </w:r>
      <w:r w:rsidR="00071730">
        <w:t xml:space="preserve"> offense</w:t>
      </w:r>
      <w:r w:rsidR="00BA04DA">
        <w:t>.</w:t>
      </w:r>
      <w:r w:rsidRPr="00193F67">
        <w:t xml:space="preserve"> </w:t>
      </w:r>
      <w:r w:rsidR="00FC054B">
        <w:t xml:space="preserve"> </w:t>
      </w:r>
      <w:r w:rsidRPr="00071730">
        <w:rPr>
          <w:i/>
          <w:iCs/>
        </w:rPr>
        <w:t>Apprendi</w:t>
      </w:r>
      <w:r w:rsidRPr="00193F67">
        <w:t xml:space="preserve"> </w:t>
      </w:r>
      <w:r w:rsidR="00BA04DA">
        <w:t xml:space="preserve">thus </w:t>
      </w:r>
      <w:r w:rsidR="00071730">
        <w:t>d</w:t>
      </w:r>
      <w:r w:rsidR="00BA04DA">
        <w:t>id</w:t>
      </w:r>
      <w:r w:rsidR="00071730">
        <w:t xml:space="preserve"> not </w:t>
      </w:r>
      <w:r w:rsidRPr="00193F67">
        <w:t xml:space="preserve">require that </w:t>
      </w:r>
      <w:r w:rsidR="005E4A02">
        <w:t>the finding</w:t>
      </w:r>
      <w:r>
        <w:t xml:space="preserve"> </w:t>
      </w:r>
      <w:r w:rsidRPr="00193F67">
        <w:t xml:space="preserve">be made by a jury. </w:t>
      </w:r>
      <w:r w:rsidR="00FC054B">
        <w:t xml:space="preserve"> </w:t>
      </w:r>
      <w:r w:rsidR="00D468B0">
        <w:t xml:space="preserve">Because </w:t>
      </w:r>
      <w:r w:rsidR="00071730">
        <w:t xml:space="preserve">the </w:t>
      </w:r>
      <w:r w:rsidR="00071730">
        <w:rPr>
          <w:i/>
          <w:iCs/>
        </w:rPr>
        <w:t xml:space="preserve">Apprendi </w:t>
      </w:r>
      <w:r w:rsidR="003B7D64">
        <w:t xml:space="preserve">rule </w:t>
      </w:r>
      <w:r w:rsidR="00071730">
        <w:t xml:space="preserve">did not </w:t>
      </w:r>
      <w:r w:rsidR="00D468B0">
        <w:t xml:space="preserve">then </w:t>
      </w:r>
      <w:r w:rsidR="00071730">
        <w:t>apply to findings that</w:t>
      </w:r>
      <w:r w:rsidR="00013E90">
        <w:t xml:space="preserve"> </w:t>
      </w:r>
      <w:r w:rsidR="00071730">
        <w:t>increas</w:t>
      </w:r>
      <w:r w:rsidR="00663797">
        <w:t>e</w:t>
      </w:r>
      <w:r w:rsidR="00D468B0">
        <w:t>d</w:t>
      </w:r>
      <w:r w:rsidR="00071730">
        <w:t xml:space="preserve"> </w:t>
      </w:r>
      <w:r w:rsidR="00F577BD">
        <w:t>a</w:t>
      </w:r>
      <w:r w:rsidR="00071730">
        <w:t xml:space="preserve"> mandatory </w:t>
      </w:r>
      <w:r w:rsidRPr="00013E90" w:rsidR="00071730">
        <w:rPr>
          <w:i/>
          <w:iCs/>
        </w:rPr>
        <w:t>minimum</w:t>
      </w:r>
      <w:r w:rsidR="00071730">
        <w:t xml:space="preserve"> sentence </w:t>
      </w:r>
      <w:r w:rsidR="008B4F31">
        <w:t>(</w:t>
      </w:r>
      <w:r w:rsidR="008B4F31">
        <w:rPr>
          <w:i/>
          <w:iCs/>
        </w:rPr>
        <w:t>Harris</w:t>
      </w:r>
      <w:r w:rsidR="008B4F31">
        <w:t xml:space="preserve">, </w:t>
      </w:r>
      <w:r w:rsidR="008B4F31">
        <w:rPr>
          <w:i/>
          <w:iCs/>
        </w:rPr>
        <w:t>supra</w:t>
      </w:r>
      <w:r w:rsidR="008B4F31">
        <w:t xml:space="preserve">, </w:t>
      </w:r>
      <w:r w:rsidRPr="00193F67" w:rsidR="008B4F31">
        <w:t>536</w:t>
      </w:r>
      <w:r w:rsidR="00411F47">
        <w:t> </w:t>
      </w:r>
      <w:r w:rsidRPr="00193F67" w:rsidR="008B4F31">
        <w:t>U.S.</w:t>
      </w:r>
      <w:r w:rsidR="008B4F31">
        <w:t xml:space="preserve"> </w:t>
      </w:r>
      <w:r w:rsidR="00902B4F">
        <w:t>at p</w:t>
      </w:r>
      <w:r w:rsidR="00411F47">
        <w:t>p</w:t>
      </w:r>
      <w:r w:rsidR="00902B4F">
        <w:t>.</w:t>
      </w:r>
      <w:r w:rsidR="002F10D2">
        <w:t> </w:t>
      </w:r>
      <w:r w:rsidR="00411F47">
        <w:t>5</w:t>
      </w:r>
      <w:r w:rsidR="00D20CDF">
        <w:t>5</w:t>
      </w:r>
      <w:r w:rsidR="00411F47">
        <w:t>8–560</w:t>
      </w:r>
      <w:r w:rsidR="00902B4F">
        <w:t>)</w:t>
      </w:r>
      <w:r w:rsidR="00071730">
        <w:t xml:space="preserve">, we </w:t>
      </w:r>
      <w:r w:rsidRPr="00193F67">
        <w:t xml:space="preserve">had no </w:t>
      </w:r>
      <w:r w:rsidR="001D39DB">
        <w:t xml:space="preserve">occasion </w:t>
      </w:r>
      <w:r w:rsidR="005E4A02">
        <w:t xml:space="preserve">in </w:t>
      </w:r>
      <w:r w:rsidR="005E4A02">
        <w:rPr>
          <w:i/>
          <w:iCs/>
        </w:rPr>
        <w:t xml:space="preserve">Groves </w:t>
      </w:r>
      <w:r w:rsidRPr="00193F67">
        <w:t>to consider</w:t>
      </w:r>
      <w:r w:rsidR="001D39DB">
        <w:t xml:space="preserve"> </w:t>
      </w:r>
      <w:r w:rsidRPr="00193F67">
        <w:t xml:space="preserve">whether </w:t>
      </w:r>
      <w:r w:rsidR="00C52554">
        <w:t>a</w:t>
      </w:r>
      <w:r w:rsidRPr="00193F67">
        <w:t xml:space="preserve"> finding </w:t>
      </w:r>
      <w:r w:rsidR="00EC3F32">
        <w:t>that triggers</w:t>
      </w:r>
      <w:r w:rsidR="00C52554">
        <w:t xml:space="preserve"> section 667.6(d) </w:t>
      </w:r>
      <w:r w:rsidR="00AF5E35">
        <w:t xml:space="preserve">has the effect of </w:t>
      </w:r>
      <w:r w:rsidR="00F577BD">
        <w:t>increas</w:t>
      </w:r>
      <w:r w:rsidR="00AF5E35">
        <w:t>ing</w:t>
      </w:r>
      <w:r w:rsidR="00F577BD">
        <w:t xml:space="preserve"> </w:t>
      </w:r>
      <w:r w:rsidR="00B6555D">
        <w:t>a</w:t>
      </w:r>
      <w:r w:rsidR="00F577BD">
        <w:t xml:space="preserve"> mandatory </w:t>
      </w:r>
      <w:r w:rsidRPr="00AF5E35" w:rsidR="00F577BD">
        <w:rPr>
          <w:i/>
          <w:iCs/>
        </w:rPr>
        <w:t>minimum</w:t>
      </w:r>
      <w:r w:rsidR="00F577BD">
        <w:t xml:space="preserve"> sentence</w:t>
      </w:r>
      <w:r w:rsidR="00B6555D">
        <w:t xml:space="preserve">; </w:t>
      </w:r>
      <w:r w:rsidR="001D39DB">
        <w:t xml:space="preserve">such an </w:t>
      </w:r>
      <w:r w:rsidR="00013E90">
        <w:t xml:space="preserve">effect </w:t>
      </w:r>
      <w:r w:rsidR="00E60F2E">
        <w:t xml:space="preserve">would have </w:t>
      </w:r>
      <w:r w:rsidR="001D39DB">
        <w:t xml:space="preserve">had, at that time, </w:t>
      </w:r>
      <w:r w:rsidR="00411F47">
        <w:t xml:space="preserve">no </w:t>
      </w:r>
      <w:r w:rsidRPr="00193F67">
        <w:t>constitutional significan</w:t>
      </w:r>
      <w:r w:rsidR="008B4F31">
        <w:t>ce</w:t>
      </w:r>
      <w:r w:rsidRPr="00193F67">
        <w:t>.</w:t>
      </w:r>
    </w:p>
    <w:p w:rsidR="00FA2D42" w:rsidP="00BE03B5" w14:paraId="0EDAFD3A" w14:textId="49FEA5EB">
      <w:r>
        <w:t xml:space="preserve">In </w:t>
      </w:r>
      <w:r w:rsidR="006B40B7">
        <w:t xml:space="preserve">2007, </w:t>
      </w:r>
      <w:r w:rsidRPr="00193F67" w:rsidR="00E700D1">
        <w:t xml:space="preserve">the </w:t>
      </w:r>
      <w:r>
        <w:t xml:space="preserve">California Supreme </w:t>
      </w:r>
      <w:r w:rsidRPr="00193F67" w:rsidR="00E700D1">
        <w:t>Court held that “imposition of consecutive sentences does not violate a defendant</w:t>
      </w:r>
      <w:r w:rsidR="001D39DB">
        <w:t>’</w:t>
      </w:r>
      <w:r w:rsidRPr="00193F67" w:rsidR="00E700D1">
        <w:t>s Sixth Amendment right to jury trial.”</w:t>
      </w:r>
      <w:r w:rsidR="001A364D">
        <w:t xml:space="preserve"> </w:t>
      </w:r>
      <w:r w:rsidR="00BE03B5">
        <w:t xml:space="preserve"> </w:t>
      </w:r>
      <w:r w:rsidR="001A364D">
        <w:t>(</w:t>
      </w:r>
      <w:r w:rsidRPr="00902B4F" w:rsidR="001609AA">
        <w:rPr>
          <w:i/>
          <w:iCs/>
        </w:rPr>
        <w:t>Black</w:t>
      </w:r>
      <w:r w:rsidR="001609AA">
        <w:t xml:space="preserve">, </w:t>
      </w:r>
      <w:r w:rsidR="001609AA">
        <w:rPr>
          <w:i/>
          <w:iCs/>
        </w:rPr>
        <w:t>supra</w:t>
      </w:r>
      <w:r w:rsidR="001609AA">
        <w:t>,</w:t>
      </w:r>
      <w:r w:rsidRPr="00193F67" w:rsidR="001609AA">
        <w:t xml:space="preserve"> 41</w:t>
      </w:r>
      <w:r w:rsidR="00BE03B5">
        <w:t> </w:t>
      </w:r>
      <w:r w:rsidRPr="00193F67" w:rsidR="001609AA">
        <w:t>Cal.4th</w:t>
      </w:r>
      <w:r w:rsidR="001A364D">
        <w:t xml:space="preserve"> at p.</w:t>
      </w:r>
      <w:r w:rsidR="009B4297">
        <w:t> </w:t>
      </w:r>
      <w:r w:rsidR="001A364D">
        <w:t>82</w:t>
      </w:r>
      <w:r w:rsidR="009B4C92">
        <w:t>1</w:t>
      </w:r>
      <w:r w:rsidR="001A364D">
        <w:t>.)</w:t>
      </w:r>
      <w:r w:rsidRPr="00193F67" w:rsidR="00E700D1">
        <w:t xml:space="preserve"> </w:t>
      </w:r>
      <w:r w:rsidR="00BE03B5">
        <w:t xml:space="preserve"> </w:t>
      </w:r>
      <w:r w:rsidR="00781B6B">
        <w:rPr>
          <w:i/>
          <w:iCs/>
        </w:rPr>
        <w:t xml:space="preserve">Black </w:t>
      </w:r>
      <w:r w:rsidR="00781B6B">
        <w:t xml:space="preserve">did </w:t>
      </w:r>
      <w:r w:rsidRPr="008C2905" w:rsidR="00781B6B">
        <w:t xml:space="preserve">not involve </w:t>
      </w:r>
      <w:r w:rsidRPr="008C2905" w:rsidR="00155BE7">
        <w:t>section 667.6</w:t>
      </w:r>
      <w:r w:rsidRPr="008C2905" w:rsidR="00D17C95">
        <w:t>.</w:t>
      </w:r>
      <w:r w:rsidRPr="008C2905" w:rsidR="00BE03B5">
        <w:t xml:space="preserve"> </w:t>
      </w:r>
      <w:r w:rsidRPr="008C2905" w:rsidR="00074FD5">
        <w:t xml:space="preserve"> </w:t>
      </w:r>
      <w:r w:rsidR="00D17C95">
        <w:t>O</w:t>
      </w:r>
      <w:r w:rsidRPr="00193F67" w:rsidR="00D17C95">
        <w:t xml:space="preserve">f </w:t>
      </w:r>
      <w:r w:rsidR="00D17C95">
        <w:t>the</w:t>
      </w:r>
      <w:r w:rsidRPr="00193F67" w:rsidR="00D17C95">
        <w:t xml:space="preserve"> two </w:t>
      </w:r>
      <w:r w:rsidR="00D17C95">
        <w:t xml:space="preserve">aspects of sentencing affected by section 667.6(d)—the imposition of </w:t>
      </w:r>
      <w:r w:rsidRPr="00EB5D5A" w:rsidR="00D17C95">
        <w:rPr>
          <w:i/>
          <w:iCs/>
        </w:rPr>
        <w:t>consecutive</w:t>
      </w:r>
      <w:r w:rsidRPr="00193F67" w:rsidR="00D17C95">
        <w:t xml:space="preserve"> terms</w:t>
      </w:r>
      <w:r w:rsidR="00D17C95">
        <w:t xml:space="preserve"> and of </w:t>
      </w:r>
      <w:r w:rsidRPr="00EB5D5A" w:rsidR="00D17C95">
        <w:rPr>
          <w:i/>
          <w:iCs/>
        </w:rPr>
        <w:t>full</w:t>
      </w:r>
      <w:r w:rsidRPr="00193F67" w:rsidR="00D17C95">
        <w:t xml:space="preserve"> terms</w:t>
      </w:r>
      <w:r w:rsidR="00D17C95">
        <w:t>—</w:t>
      </w:r>
      <w:r w:rsidRPr="00817D99" w:rsidR="00D17C95">
        <w:rPr>
          <w:i/>
          <w:iCs/>
        </w:rPr>
        <w:t>Black</w:t>
      </w:r>
      <w:r w:rsidRPr="00193F67" w:rsidR="00D17C95">
        <w:t xml:space="preserve"> addressed only </w:t>
      </w:r>
      <w:r w:rsidR="00D17C95">
        <w:t xml:space="preserve">the constitutional significance of a </w:t>
      </w:r>
      <w:r w:rsidR="00975B21">
        <w:t xml:space="preserve">judge’s </w:t>
      </w:r>
      <w:r w:rsidR="00C41A27">
        <w:t xml:space="preserve">discretionary </w:t>
      </w:r>
      <w:r w:rsidR="00D17C95">
        <w:t xml:space="preserve">decision </w:t>
      </w:r>
      <w:r w:rsidR="0093606F">
        <w:t xml:space="preserve">under </w:t>
      </w:r>
      <w:r w:rsidR="00D17C95">
        <w:t>section 669</w:t>
      </w:r>
      <w:r w:rsidR="00E3209B">
        <w:t xml:space="preserve"> </w:t>
      </w:r>
      <w:r w:rsidR="00214D67">
        <w:t xml:space="preserve">to make multiple sentences consecutive </w:t>
      </w:r>
      <w:r w:rsidR="00975B21">
        <w:t xml:space="preserve">rather than </w:t>
      </w:r>
      <w:r w:rsidR="00214D67">
        <w:t>concurrent</w:t>
      </w:r>
      <w:r w:rsidRPr="008C2905" w:rsidR="00214D67">
        <w:t xml:space="preserve">. </w:t>
      </w:r>
      <w:r w:rsidRPr="008C2905" w:rsidR="00BE03B5">
        <w:t xml:space="preserve"> </w:t>
      </w:r>
      <w:r w:rsidRPr="008C2905" w:rsidR="00214D67">
        <w:t>(</w:t>
      </w:r>
      <w:r w:rsidRPr="008C2905" w:rsidR="002012A0">
        <w:rPr>
          <w:i/>
        </w:rPr>
        <w:t>Black</w:t>
      </w:r>
      <w:r w:rsidRPr="008C2905" w:rsidR="002012A0">
        <w:t>,</w:t>
      </w:r>
      <w:r w:rsidRPr="008C2905" w:rsidR="00214D67">
        <w:t xml:space="preserve"> at pp. 820–823</w:t>
      </w:r>
      <w:r w:rsidRPr="008C2905" w:rsidR="002B3DE7">
        <w:t xml:space="preserve">; see </w:t>
      </w:r>
      <w:r w:rsidR="002B3DE7">
        <w:t xml:space="preserve">rule 4.425 [listing </w:t>
      </w:r>
      <w:r w:rsidRPr="008C2905" w:rsidR="002B3DE7">
        <w:t>factors to consider in exercising discretion]</w:t>
      </w:r>
      <w:r w:rsidRPr="008C2905" w:rsidR="00214D67">
        <w:t>.)</w:t>
      </w:r>
      <w:r w:rsidR="00214D67">
        <w:t xml:space="preserve"> </w:t>
      </w:r>
      <w:r w:rsidR="002012A0">
        <w:t xml:space="preserve"> </w:t>
      </w:r>
      <w:r w:rsidR="00214D67">
        <w:rPr>
          <w:i/>
          <w:iCs/>
        </w:rPr>
        <w:t>Black</w:t>
      </w:r>
      <w:r w:rsidR="006E68C1">
        <w:t xml:space="preserve"> did not involve </w:t>
      </w:r>
      <w:r w:rsidRPr="008C2905" w:rsidR="00074FD5">
        <w:t>jud</w:t>
      </w:r>
      <w:r w:rsidRPr="008C2905" w:rsidR="006E68C1">
        <w:t>icial</w:t>
      </w:r>
      <w:r w:rsidRPr="008C2905" w:rsidR="00074FD5">
        <w:t xml:space="preserve"> </w:t>
      </w:r>
      <w:r w:rsidR="00074FD5">
        <w:t xml:space="preserve">factfinding </w:t>
      </w:r>
      <w:r w:rsidR="00C41A27">
        <w:t xml:space="preserve">that </w:t>
      </w:r>
      <w:r w:rsidR="00074FD5">
        <w:t>mandat</w:t>
      </w:r>
      <w:r w:rsidR="00C41A27">
        <w:t>ed</w:t>
      </w:r>
      <w:r w:rsidR="002B3DE7">
        <w:t xml:space="preserve"> </w:t>
      </w:r>
      <w:r w:rsidR="00690774">
        <w:t xml:space="preserve">full </w:t>
      </w:r>
      <w:r w:rsidR="006E68C1">
        <w:t>term</w:t>
      </w:r>
      <w:r w:rsidR="00690774">
        <w:t>s</w:t>
      </w:r>
      <w:r w:rsidR="0002429D">
        <w:t>—or factfinding of any kind</w:t>
      </w:r>
      <w:r w:rsidR="00690774">
        <w:t>.</w:t>
      </w:r>
      <w:r w:rsidR="002012A0">
        <w:t xml:space="preserve"> </w:t>
      </w:r>
      <w:r w:rsidR="00690774">
        <w:t xml:space="preserve"> (</w:t>
      </w:r>
      <w:r w:rsidR="002012A0">
        <w:rPr>
          <w:i/>
          <w:iCs/>
        </w:rPr>
        <w:t>Black</w:t>
      </w:r>
      <w:r w:rsidR="002012A0">
        <w:t>,</w:t>
      </w:r>
      <w:r w:rsidR="00690774">
        <w:t xml:space="preserve"> at p.</w:t>
      </w:r>
      <w:r w:rsidR="00214D67">
        <w:t> </w:t>
      </w:r>
      <w:r w:rsidR="0002429D">
        <w:t>822 [</w:t>
      </w:r>
      <w:r w:rsidRPr="008C2905" w:rsidR="0002429D">
        <w:t xml:space="preserve">“Factual findings are not required” to </w:t>
      </w:r>
      <w:r w:rsidRPr="008C2905" w:rsidR="00D05669">
        <w:t xml:space="preserve">confer </w:t>
      </w:r>
      <w:r w:rsidRPr="008C2905" w:rsidR="0002429D">
        <w:t>discretion to make sentences consecutive]</w:t>
      </w:r>
      <w:r w:rsidRPr="008C2905" w:rsidR="003A6604">
        <w:t>.)</w:t>
      </w:r>
      <w:r>
        <w:rPr>
          <w:rStyle w:val="FootnoteReference"/>
        </w:rPr>
        <w:footnoteReference w:id="14"/>
      </w:r>
    </w:p>
    <w:p w:rsidR="00013964" w:rsidRPr="0019197C" w:rsidP="00C330B4" w14:paraId="7A1E2C14" w14:textId="388D19D4">
      <w:r w:rsidRPr="00193F67">
        <w:t xml:space="preserve">Two years later, </w:t>
      </w:r>
      <w:r w:rsidR="00FA2D42">
        <w:t>in</w:t>
      </w:r>
      <w:r w:rsidRPr="00193F67">
        <w:t xml:space="preserve"> </w:t>
      </w:r>
      <w:r w:rsidRPr="00FA2D42">
        <w:rPr>
          <w:i/>
          <w:iCs/>
        </w:rPr>
        <w:t>Ice</w:t>
      </w:r>
      <w:r w:rsidRPr="00C330B4" w:rsidR="00B953E4">
        <w:t>,</w:t>
      </w:r>
      <w:r w:rsidR="00B953E4">
        <w:rPr>
          <w:i/>
          <w:iCs/>
        </w:rPr>
        <w:t xml:space="preserve"> </w:t>
      </w:r>
      <w:r w:rsidRPr="00B953E4" w:rsidR="00B953E4">
        <w:rPr>
          <w:i/>
          <w:iCs/>
        </w:rPr>
        <w:t>supra</w:t>
      </w:r>
      <w:r w:rsidR="00B953E4">
        <w:t>,</w:t>
      </w:r>
      <w:r w:rsidRPr="00193F67">
        <w:t xml:space="preserve"> 555</w:t>
      </w:r>
      <w:r w:rsidR="00FA2D42">
        <w:t> </w:t>
      </w:r>
      <w:r w:rsidRPr="00193F67">
        <w:t xml:space="preserve">U.S. 160, </w:t>
      </w:r>
      <w:r w:rsidR="00FA2D42">
        <w:t xml:space="preserve">the </w:t>
      </w:r>
      <w:r w:rsidR="00B84646">
        <w:t>h</w:t>
      </w:r>
      <w:r w:rsidR="00FA2D42">
        <w:t xml:space="preserve">igh </w:t>
      </w:r>
      <w:r w:rsidR="00B84646">
        <w:t>c</w:t>
      </w:r>
      <w:r w:rsidR="00FA2D42">
        <w:t xml:space="preserve">ourt </w:t>
      </w:r>
      <w:r w:rsidR="00755923">
        <w:t xml:space="preserve">addressed </w:t>
      </w:r>
      <w:r w:rsidR="00A44965">
        <w:t xml:space="preserve">the constitutional significance of decisions to make </w:t>
      </w:r>
      <w:r w:rsidRPr="008C2905" w:rsidR="00A44965">
        <w:t xml:space="preserve">sentences </w:t>
      </w:r>
      <w:r w:rsidRPr="008C2905">
        <w:t xml:space="preserve">consecutive. </w:t>
      </w:r>
      <w:r w:rsidRPr="008C2905" w:rsidR="00B84646">
        <w:t xml:space="preserve"> </w:t>
      </w:r>
      <w:r w:rsidRPr="008C2905" w:rsidR="00174B52">
        <w:t>An</w:t>
      </w:r>
      <w:r w:rsidR="002764E3">
        <w:t> </w:t>
      </w:r>
      <w:r w:rsidRPr="008C2905" w:rsidR="008A45B8">
        <w:t>Oregon</w:t>
      </w:r>
      <w:r w:rsidRPr="008C2905" w:rsidR="001372F9">
        <w:t xml:space="preserve"> </w:t>
      </w:r>
      <w:r w:rsidRPr="008C2905" w:rsidR="00BC58BA">
        <w:t xml:space="preserve">statute </w:t>
      </w:r>
      <w:r w:rsidR="00EE20DA">
        <w:t xml:space="preserve">mandated that </w:t>
      </w:r>
      <w:r w:rsidRPr="00950151" w:rsidR="00BC58BA">
        <w:t xml:space="preserve">sentences run concurrently </w:t>
      </w:r>
      <w:r w:rsidR="00EE20DA">
        <w:t>“</w:t>
      </w:r>
      <w:r w:rsidRPr="00950151" w:rsidR="00BC58BA">
        <w:t>unless the judge finds statutorily described facts</w:t>
      </w:r>
      <w:r w:rsidR="00BC58BA">
        <w:t>”; in most cases, “</w:t>
      </w:r>
      <w:r w:rsidRPr="00950151" w:rsidR="00BC58BA">
        <w:t>finding such facts permit</w:t>
      </w:r>
      <w:r w:rsidR="00174B52">
        <w:t>s</w:t>
      </w:r>
      <w:r w:rsidRPr="00950151" w:rsidR="00BC58BA">
        <w:t xml:space="preserve">—but </w:t>
      </w:r>
      <w:r w:rsidR="00174B52">
        <w:t>does</w:t>
      </w:r>
      <w:r w:rsidR="00BC58BA">
        <w:t xml:space="preserve"> </w:t>
      </w:r>
      <w:r w:rsidRPr="00950151" w:rsidR="00BC58BA">
        <w:t>not require—the judge to order consecutive sentences.</w:t>
      </w:r>
      <w:r w:rsidR="00BC58BA">
        <w:t xml:space="preserve">” </w:t>
      </w:r>
      <w:r w:rsidR="00B84646">
        <w:t xml:space="preserve"> </w:t>
      </w:r>
      <w:r w:rsidR="00BC58BA">
        <w:t>(</w:t>
      </w:r>
      <w:r w:rsidR="00BC58BA">
        <w:rPr>
          <w:i/>
          <w:iCs/>
        </w:rPr>
        <w:t>Id</w:t>
      </w:r>
      <w:r w:rsidR="00BC58BA">
        <w:t>.</w:t>
      </w:r>
      <w:r w:rsidR="00BC58BA">
        <w:rPr>
          <w:i/>
          <w:iCs/>
        </w:rPr>
        <w:t xml:space="preserve"> </w:t>
      </w:r>
      <w:r w:rsidR="00BC58BA">
        <w:t>at p.</w:t>
      </w:r>
      <w:r w:rsidR="001372F9">
        <w:t> </w:t>
      </w:r>
      <w:r w:rsidR="00BC58BA">
        <w:t>165.)</w:t>
      </w:r>
      <w:r w:rsidR="00B84646">
        <w:t xml:space="preserve"> </w:t>
      </w:r>
      <w:r w:rsidR="00BC58BA">
        <w:t xml:space="preserve"> </w:t>
      </w:r>
      <w:r w:rsidR="00FF4AE2">
        <w:t>T</w:t>
      </w:r>
      <w:r w:rsidR="00B03F2B">
        <w:t xml:space="preserve">he </w:t>
      </w:r>
      <w:r w:rsidR="00E65CED">
        <w:t>c</w:t>
      </w:r>
      <w:r w:rsidR="00B03F2B">
        <w:t xml:space="preserve">ourt </w:t>
      </w:r>
      <w:r w:rsidR="00611B6E">
        <w:t>emphasized</w:t>
      </w:r>
      <w:r w:rsidR="00B03F2B">
        <w:t xml:space="preserve"> that </w:t>
      </w:r>
      <w:r w:rsidR="00B03F2B">
        <w:rPr>
          <w:i/>
        </w:rPr>
        <w:t xml:space="preserve">Apprendi </w:t>
      </w:r>
      <w:r w:rsidR="00B03F2B">
        <w:t xml:space="preserve">and decisions extending </w:t>
      </w:r>
      <w:r w:rsidR="00264894">
        <w:t xml:space="preserve">its </w:t>
      </w:r>
      <w:r w:rsidR="002025B7">
        <w:t xml:space="preserve">rule </w:t>
      </w:r>
      <w:r w:rsidR="00B03F2B">
        <w:t xml:space="preserve">all </w:t>
      </w:r>
      <w:r w:rsidRPr="00876A2C" w:rsidR="00B03F2B">
        <w:t>involve</w:t>
      </w:r>
      <w:r w:rsidR="00611B6E">
        <w:t>d</w:t>
      </w:r>
      <w:r w:rsidRPr="00876A2C" w:rsidR="00B03F2B">
        <w:t xml:space="preserve"> </w:t>
      </w:r>
      <w:r w:rsidR="00B03F2B">
        <w:t>“</w:t>
      </w:r>
      <w:r w:rsidRPr="00876A2C" w:rsidR="00B03F2B">
        <w:t>sentencing for a discrete crime, not</w:t>
      </w:r>
      <w:r w:rsidR="00B03F2B">
        <w:t xml:space="preserve"> . . . </w:t>
      </w:r>
      <w:r w:rsidRPr="00876A2C" w:rsidR="00B03F2B">
        <w:t>for multiple offenses different in character or committed at different times.</w:t>
      </w:r>
      <w:r w:rsidR="00B03F2B">
        <w:t>”</w:t>
      </w:r>
      <w:r w:rsidR="00E65CED">
        <w:t xml:space="preserve"> </w:t>
      </w:r>
      <w:r w:rsidR="00B03F2B">
        <w:t xml:space="preserve"> (</w:t>
      </w:r>
      <w:r w:rsidR="00B03F2B">
        <w:rPr>
          <w:i/>
          <w:iCs/>
        </w:rPr>
        <w:t>Id.</w:t>
      </w:r>
      <w:r w:rsidR="00B03F2B">
        <w:t xml:space="preserve"> at p.</w:t>
      </w:r>
      <w:r w:rsidR="00E65CED">
        <w:t> </w:t>
      </w:r>
      <w:r w:rsidR="00DE6EDF">
        <w:t>16</w:t>
      </w:r>
      <w:r w:rsidR="00231120">
        <w:t>7</w:t>
      </w:r>
      <w:r w:rsidR="00BF0103">
        <w:t xml:space="preserve">; see </w:t>
      </w:r>
      <w:r w:rsidR="00BF0103">
        <w:rPr>
          <w:i/>
          <w:iCs/>
        </w:rPr>
        <w:t>id.</w:t>
      </w:r>
      <w:r w:rsidR="00BF0103">
        <w:t xml:space="preserve"> at p.</w:t>
      </w:r>
      <w:r w:rsidR="00E65CED">
        <w:t> </w:t>
      </w:r>
      <w:r w:rsidR="00BF0103">
        <w:t>163 [noting “</w:t>
      </w:r>
      <w:r w:rsidRPr="00393C19" w:rsidR="00BF0103">
        <w:t>the offense-specific context that supplied the historic grounding</w:t>
      </w:r>
      <w:r w:rsidR="00BF0103">
        <w:t>”</w:t>
      </w:r>
      <w:r w:rsidRPr="00393C19" w:rsidR="00BF0103">
        <w:t xml:space="preserve"> for </w:t>
      </w:r>
      <w:r w:rsidRPr="00497455" w:rsidR="00BF0103">
        <w:rPr>
          <w:i/>
          <w:iCs/>
        </w:rPr>
        <w:t>Apprendi</w:t>
      </w:r>
      <w:r w:rsidR="00BF0103">
        <w:t>]</w:t>
      </w:r>
      <w:r w:rsidR="00DE6EDF">
        <w:t xml:space="preserve">.) </w:t>
      </w:r>
      <w:r w:rsidR="004301B8">
        <w:t xml:space="preserve"> </w:t>
      </w:r>
      <w:r w:rsidR="00FD0DC4">
        <w:t xml:space="preserve">Because </w:t>
      </w:r>
      <w:r w:rsidR="00497455">
        <w:t>t</w:t>
      </w:r>
      <w:r w:rsidR="008F4036">
        <w:t>h</w:t>
      </w:r>
      <w:r w:rsidR="00692DE3">
        <w:t>e</w:t>
      </w:r>
      <w:r w:rsidR="008F4036">
        <w:t xml:space="preserve"> </w:t>
      </w:r>
      <w:r w:rsidR="00497455">
        <w:t>“</w:t>
      </w:r>
      <w:r w:rsidRPr="00692DE3" w:rsidR="00692DE3">
        <w:t>historical record demonstrates that the jury played no role in the decision to impose sentences consecutively or concurrently</w:t>
      </w:r>
      <w:r w:rsidR="008F4036">
        <w:t>”</w:t>
      </w:r>
      <w:r w:rsidR="00960350">
        <w:t xml:space="preserve"> </w:t>
      </w:r>
      <w:r w:rsidRPr="008C2905" w:rsidR="008F4036">
        <w:t>(</w:t>
      </w:r>
      <w:r w:rsidRPr="008C2905" w:rsidR="008F4036">
        <w:rPr>
          <w:i/>
        </w:rPr>
        <w:t>id</w:t>
      </w:r>
      <w:r w:rsidRPr="008C2905" w:rsidR="008F4036">
        <w:t>. at p</w:t>
      </w:r>
      <w:r w:rsidRPr="008C2905" w:rsidR="00960350">
        <w:t>p</w:t>
      </w:r>
      <w:r w:rsidRPr="008C2905" w:rsidR="008F4036">
        <w:t>.</w:t>
      </w:r>
      <w:r w:rsidRPr="008C2905" w:rsidR="004301B8">
        <w:t> </w:t>
      </w:r>
      <w:r w:rsidRPr="008C2905" w:rsidR="008F4036">
        <w:t>168</w:t>
      </w:r>
      <w:r w:rsidRPr="008C2905" w:rsidR="00960350">
        <w:t>, 169</w:t>
      </w:r>
      <w:r w:rsidRPr="008C2905" w:rsidR="008F4036">
        <w:t>)</w:t>
      </w:r>
      <w:r w:rsidRPr="008C2905" w:rsidR="0045398A">
        <w:t xml:space="preserve">, </w:t>
      </w:r>
      <w:r w:rsidRPr="008C2905" w:rsidR="0045398A">
        <w:rPr>
          <w:i/>
        </w:rPr>
        <w:t>Ice</w:t>
      </w:r>
      <w:r w:rsidRPr="008C2905" w:rsidR="00346210">
        <w:t xml:space="preserve"> h</w:t>
      </w:r>
      <w:r w:rsidRPr="008C2905" w:rsidR="004822F7">
        <w:t>eld</w:t>
      </w:r>
      <w:r w:rsidRPr="008C2905" w:rsidR="0081087A">
        <w:t xml:space="preserve">, </w:t>
      </w:r>
      <w:r w:rsidRPr="008C2905" w:rsidR="00F44E5E">
        <w:t>“</w:t>
      </w:r>
      <w:r w:rsidRPr="008C2905" w:rsidR="00BA74B7">
        <w:t>legislative</w:t>
      </w:r>
      <w:r w:rsidRPr="0045398A" w:rsidR="00BA74B7">
        <w:t xml:space="preserve"> reforms regarding the imposition of multiple sentences do not implicate the core concerns that prompted our decision in</w:t>
      </w:r>
      <w:r w:rsidR="004301B8">
        <w:t xml:space="preserve"> </w:t>
      </w:r>
      <w:r w:rsidRPr="0045398A" w:rsidR="00BA74B7">
        <w:rPr>
          <w:i/>
          <w:iCs/>
        </w:rPr>
        <w:t>Apprendi</w:t>
      </w:r>
      <w:r w:rsidRPr="008C2905" w:rsidR="0045398A">
        <w:t>”</w:t>
      </w:r>
      <w:r w:rsidRPr="008C2905" w:rsidR="004301B8">
        <w:t xml:space="preserve"> </w:t>
      </w:r>
      <w:r w:rsidRPr="00400DD0" w:rsidR="00C66FDA">
        <w:t>(</w:t>
      </w:r>
      <w:r w:rsidR="00C66FDA">
        <w:rPr>
          <w:i/>
          <w:iCs/>
        </w:rPr>
        <w:t>i</w:t>
      </w:r>
      <w:r w:rsidRPr="008C2905" w:rsidR="0045398A">
        <w:rPr>
          <w:i/>
          <w:iCs/>
        </w:rPr>
        <w:t>d.</w:t>
      </w:r>
      <w:r w:rsidR="0045398A">
        <w:t xml:space="preserve"> </w:t>
      </w:r>
      <w:r w:rsidR="007559D0">
        <w:t>at p.</w:t>
      </w:r>
      <w:r w:rsidR="004301B8">
        <w:t> </w:t>
      </w:r>
      <w:r w:rsidR="007559D0">
        <w:t>169</w:t>
      </w:r>
      <w:r w:rsidRPr="008C2905" w:rsidR="007559D0">
        <w:t>)</w:t>
      </w:r>
      <w:r w:rsidR="00C66FDA">
        <w:t>.</w:t>
      </w:r>
    </w:p>
    <w:p w:rsidR="00FE7952" w:rsidP="004301B8" w14:paraId="5DECF17B" w14:textId="7E5C6356">
      <w:r w:rsidRPr="008C2905">
        <w:t xml:space="preserve">The </w:t>
      </w:r>
      <w:r w:rsidR="00B02F6E">
        <w:t>c</w:t>
      </w:r>
      <w:r w:rsidRPr="008C2905">
        <w:t xml:space="preserve">ourt rejected </w:t>
      </w:r>
      <w:r w:rsidRPr="008C2905" w:rsidR="00523D53">
        <w:t>Ice</w:t>
      </w:r>
      <w:r w:rsidRPr="008C2905">
        <w:t xml:space="preserve">’s </w:t>
      </w:r>
      <w:r w:rsidRPr="008C2905" w:rsidR="00030F5C">
        <w:t>argument</w:t>
      </w:r>
      <w:r w:rsidRPr="008C2905">
        <w:t xml:space="preserve"> </w:t>
      </w:r>
      <w:r w:rsidRPr="008C2905" w:rsidR="00523D53">
        <w:t>that</w:t>
      </w:r>
      <w:r w:rsidRPr="008C2905" w:rsidR="00B978B9">
        <w:t>, because</w:t>
      </w:r>
      <w:r w:rsidRPr="008C2905" w:rsidR="00523D53">
        <w:t xml:space="preserve"> “</w:t>
      </w:r>
      <w:r w:rsidRPr="008C2905" w:rsidR="007F6918">
        <w:t> ‘</w:t>
      </w:r>
      <w:r w:rsidRPr="008C2905" w:rsidR="00523D53">
        <w:t xml:space="preserve">he was </w:t>
      </w:r>
      <w:r w:rsidRPr="008C2905" w:rsidR="007F6918">
        <w:t>“</w:t>
      </w:r>
      <w:r w:rsidRPr="008C2905" w:rsidR="00523D53">
        <w:rPr>
          <w:i/>
        </w:rPr>
        <w:t>entitle</w:t>
      </w:r>
      <w:r w:rsidRPr="00AE6CED" w:rsidR="00523D53">
        <w:rPr>
          <w:i/>
          <w:spacing w:val="20"/>
        </w:rPr>
        <w:t>d</w:t>
      </w:r>
      <w:r w:rsidRPr="008C2905" w:rsidR="007F6918">
        <w:t>”</w:t>
      </w:r>
      <w:r w:rsidRPr="008C2905" w:rsidR="00523D53">
        <w:t xml:space="preserve"> to</w:t>
      </w:r>
      <w:r w:rsidRPr="008C2905" w:rsidR="007F6918">
        <w:t>’</w:t>
      </w:r>
      <w:r w:rsidRPr="008C2905" w:rsidR="00523D53">
        <w:t xml:space="preserve"> concurrent</w:t>
      </w:r>
      <w:r w:rsidRPr="00523D53" w:rsidR="00523D53">
        <w:t xml:space="preserve"> sentences absent the fact</w:t>
      </w:r>
      <w:r w:rsidR="00F97893">
        <w:t xml:space="preserve"> </w:t>
      </w:r>
      <w:r w:rsidRPr="00523D53" w:rsidR="00523D53">
        <w:t>findings Oregon law requires</w:t>
      </w:r>
      <w:r w:rsidR="008678DA">
        <w:t>,</w:t>
      </w:r>
      <w:r w:rsidR="007F6918">
        <w:t xml:space="preserve">” </w:t>
      </w:r>
      <w:r w:rsidR="005D7140">
        <w:t xml:space="preserve">the rule of </w:t>
      </w:r>
      <w:r w:rsidR="005D7140">
        <w:rPr>
          <w:i/>
          <w:iCs/>
        </w:rPr>
        <w:t xml:space="preserve">Apprendi </w:t>
      </w:r>
      <w:r w:rsidR="005D7140">
        <w:t xml:space="preserve">must apply to those factfindings. </w:t>
      </w:r>
      <w:r w:rsidR="007F6679">
        <w:t xml:space="preserve"> </w:t>
      </w:r>
      <w:r w:rsidR="00BC70BB">
        <w:t>(</w:t>
      </w:r>
      <w:r w:rsidR="00BC70BB">
        <w:rPr>
          <w:i/>
          <w:iCs/>
        </w:rPr>
        <w:t>I</w:t>
      </w:r>
      <w:r>
        <w:rPr>
          <w:i/>
          <w:iCs/>
        </w:rPr>
        <w:t>ce</w:t>
      </w:r>
      <w:r>
        <w:t xml:space="preserve">, </w:t>
      </w:r>
      <w:r>
        <w:rPr>
          <w:i/>
          <w:iCs/>
        </w:rPr>
        <w:t>supra</w:t>
      </w:r>
      <w:r>
        <w:t>, 555</w:t>
      </w:r>
      <w:r w:rsidR="007F6679">
        <w:t> </w:t>
      </w:r>
      <w:r>
        <w:t>U.S</w:t>
      </w:r>
      <w:r w:rsidR="00BC70BB">
        <w:rPr>
          <w:i/>
          <w:iCs/>
        </w:rPr>
        <w:t>.</w:t>
      </w:r>
      <w:r w:rsidR="00BC70BB">
        <w:t xml:space="preserve"> at p.</w:t>
      </w:r>
      <w:r w:rsidR="007F6679">
        <w:t> 1</w:t>
      </w:r>
      <w:r w:rsidR="00BC70BB">
        <w:t xml:space="preserve">70.) </w:t>
      </w:r>
      <w:r w:rsidR="007F6679">
        <w:t xml:space="preserve"> </w:t>
      </w:r>
      <w:r w:rsidRPr="0070642D">
        <w:t>T</w:t>
      </w:r>
      <w:r w:rsidRPr="0070642D" w:rsidR="00BC70BB">
        <w:t xml:space="preserve">he </w:t>
      </w:r>
      <w:r w:rsidRPr="0070642D" w:rsidR="00604C76">
        <w:t>c</w:t>
      </w:r>
      <w:r w:rsidRPr="0070642D" w:rsidR="00BC70BB">
        <w:t xml:space="preserve">ourt </w:t>
      </w:r>
      <w:r w:rsidRPr="0070642D">
        <w:t xml:space="preserve">observed </w:t>
      </w:r>
      <w:r w:rsidRPr="0070642D" w:rsidR="00BC70BB">
        <w:t>that “</w:t>
      </w:r>
      <w:r w:rsidRPr="00523D53" w:rsidR="00523D53">
        <w:t>the scope of the constitutional jury right must be informed by the historical role of the jury at common law</w:t>
      </w:r>
      <w:r w:rsidR="002D114A">
        <w:t>,</w:t>
      </w:r>
      <w:r w:rsidR="00BC70BB">
        <w:t xml:space="preserve">” </w:t>
      </w:r>
      <w:r w:rsidR="00F9701C">
        <w:t xml:space="preserve">which means that </w:t>
      </w:r>
      <w:r w:rsidRPr="00523D53" w:rsidR="00523D53">
        <w:t xml:space="preserve">the constitutional right </w:t>
      </w:r>
      <w:r w:rsidR="00806693">
        <w:t>does not “</w:t>
      </w:r>
      <w:r w:rsidRPr="00523D53" w:rsidR="00523D53">
        <w:t>attach</w:t>
      </w:r>
      <w:r w:rsidRPr="00FE6D5F" w:rsidR="00806693">
        <w:rPr>
          <w:spacing w:val="20"/>
        </w:rPr>
        <w:t>[</w:t>
      </w:r>
      <w:r w:rsidR="00806693">
        <w:t>]</w:t>
      </w:r>
      <w:r w:rsidRPr="00523D53" w:rsidR="00523D53">
        <w:t xml:space="preserve"> to every contemporary state-law </w:t>
      </w:r>
      <w:r w:rsidR="00806693">
        <w:t>‘</w:t>
      </w:r>
      <w:r w:rsidRPr="00523D53" w:rsidR="00523D53">
        <w:t>entitlement</w:t>
      </w:r>
      <w:r w:rsidR="00806693">
        <w:t>’</w:t>
      </w:r>
      <w:r w:rsidRPr="00523D53" w:rsidR="00523D53">
        <w:t xml:space="preserve"> to predicate findings.</w:t>
      </w:r>
      <w:r w:rsidR="00806693">
        <w:t xml:space="preserve">” </w:t>
      </w:r>
      <w:r w:rsidR="00604C76">
        <w:t xml:space="preserve"> </w:t>
      </w:r>
      <w:r w:rsidR="00806693">
        <w:t>(</w:t>
      </w:r>
      <w:r w:rsidR="00806693">
        <w:rPr>
          <w:i/>
          <w:iCs/>
        </w:rPr>
        <w:t>Ibid.</w:t>
      </w:r>
      <w:r w:rsidR="00806693">
        <w:t>)</w:t>
      </w:r>
      <w:r w:rsidR="002D114A">
        <w:t xml:space="preserve"> </w:t>
      </w:r>
      <w:r w:rsidR="00604C76">
        <w:t xml:space="preserve"> </w:t>
      </w:r>
      <w:r w:rsidR="00E441F3">
        <w:t xml:space="preserve">Thus, while </w:t>
      </w:r>
      <w:r w:rsidR="00CD2B9B">
        <w:t>Oregon law</w:t>
      </w:r>
      <w:r w:rsidR="00E441F3">
        <w:t xml:space="preserve"> </w:t>
      </w:r>
      <w:r w:rsidR="00CD2B9B">
        <w:t>entitled Ice to concurrent sentence</w:t>
      </w:r>
      <w:r>
        <w:t>s</w:t>
      </w:r>
      <w:r w:rsidR="00CD2B9B">
        <w:t xml:space="preserve"> absent certain factual findings, the federal </w:t>
      </w:r>
      <w:r w:rsidR="00A8189B">
        <w:t>C</w:t>
      </w:r>
      <w:r w:rsidR="00CD2B9B">
        <w:t xml:space="preserve">onstitution </w:t>
      </w:r>
      <w:r w:rsidR="000E7C73">
        <w:t xml:space="preserve">did not </w:t>
      </w:r>
      <w:r w:rsidR="00CD2B9B">
        <w:t xml:space="preserve">entitle him to </w:t>
      </w:r>
      <w:r>
        <w:t>have those findings made by a jury.</w:t>
      </w:r>
    </w:p>
    <w:p w:rsidR="00E700D1" w:rsidP="00604C76" w14:paraId="752B9532" w14:textId="680D622B">
      <w:r>
        <w:rPr>
          <w:i/>
          <w:iCs/>
        </w:rPr>
        <w:t>Ice</w:t>
      </w:r>
      <w:r w:rsidR="003C2033">
        <w:t>,</w:t>
      </w:r>
      <w:r>
        <w:rPr>
          <w:i/>
          <w:iCs/>
        </w:rPr>
        <w:t xml:space="preserve"> </w:t>
      </w:r>
      <w:r w:rsidR="003C2033">
        <w:t xml:space="preserve">in sum, </w:t>
      </w:r>
      <w:r w:rsidRPr="00193F67">
        <w:t>limit</w:t>
      </w:r>
      <w:r w:rsidR="00080F2A">
        <w:t>s</w:t>
      </w:r>
      <w:r w:rsidRPr="00193F67">
        <w:t xml:space="preserve"> </w:t>
      </w:r>
      <w:r>
        <w:t xml:space="preserve">the </w:t>
      </w:r>
      <w:r w:rsidRPr="00FA2D42">
        <w:rPr>
          <w:i/>
          <w:iCs/>
        </w:rPr>
        <w:t>Apprendi</w:t>
      </w:r>
      <w:r w:rsidRPr="00193F67">
        <w:t xml:space="preserve"> </w:t>
      </w:r>
      <w:r>
        <w:t xml:space="preserve">rule </w:t>
      </w:r>
      <w:r w:rsidRPr="00193F67">
        <w:t xml:space="preserve">to findings that </w:t>
      </w:r>
      <w:r w:rsidR="006A7A10">
        <w:t>increase</w:t>
      </w:r>
      <w:r w:rsidR="008D1EBC">
        <w:t xml:space="preserve"> </w:t>
      </w:r>
      <w:r w:rsidR="004934DD">
        <w:t xml:space="preserve">the </w:t>
      </w:r>
      <w:r w:rsidR="008D1EBC">
        <w:t>“</w:t>
      </w:r>
      <w:r w:rsidRPr="004934DD" w:rsidR="004934DD">
        <w:t>punishment authorized for a particular offense</w:t>
      </w:r>
      <w:r w:rsidR="004934DD">
        <w:t>”</w:t>
      </w:r>
      <w:r w:rsidR="00393C19">
        <w:t xml:space="preserve"> (</w:t>
      </w:r>
      <w:r w:rsidRPr="00237EE0" w:rsidR="00635009">
        <w:rPr>
          <w:i/>
          <w:iCs/>
        </w:rPr>
        <w:t>Ice</w:t>
      </w:r>
      <w:r w:rsidR="00635009">
        <w:t xml:space="preserve">, </w:t>
      </w:r>
      <w:r w:rsidRPr="00237EE0" w:rsidR="00635009">
        <w:rPr>
          <w:i/>
          <w:iCs/>
        </w:rPr>
        <w:t>supra</w:t>
      </w:r>
      <w:r w:rsidR="00635009">
        <w:t xml:space="preserve">, </w:t>
      </w:r>
      <w:r w:rsidR="00FE7952">
        <w:t>555</w:t>
      </w:r>
      <w:r w:rsidR="00604C76">
        <w:t> </w:t>
      </w:r>
      <w:r w:rsidR="00FE7952">
        <w:t>U.S.</w:t>
      </w:r>
      <w:r w:rsidR="00635009">
        <w:t xml:space="preserve"> </w:t>
      </w:r>
      <w:r w:rsidR="00393C19">
        <w:t>at p.</w:t>
      </w:r>
      <w:r w:rsidR="00FE7952">
        <w:t> </w:t>
      </w:r>
      <w:r w:rsidR="00393C19">
        <w:t>163)</w:t>
      </w:r>
      <w:r w:rsidR="002C7D8F">
        <w:t xml:space="preserve">, </w:t>
      </w:r>
      <w:r w:rsidRPr="00193F67">
        <w:t xml:space="preserve">not </w:t>
      </w:r>
      <w:r w:rsidR="00273096">
        <w:t xml:space="preserve">findings that </w:t>
      </w:r>
      <w:r w:rsidRPr="00193F67">
        <w:t xml:space="preserve">affect whether the sentences for </w:t>
      </w:r>
      <w:r w:rsidR="004934DD">
        <w:t xml:space="preserve">multiple </w:t>
      </w:r>
      <w:r w:rsidR="008D1EBC">
        <w:t>offens</w:t>
      </w:r>
      <w:r w:rsidRPr="00193F67">
        <w:t xml:space="preserve">es </w:t>
      </w:r>
      <w:r w:rsidR="00FF4BF1">
        <w:t>run</w:t>
      </w:r>
      <w:r w:rsidR="00823950">
        <w:t xml:space="preserve"> </w:t>
      </w:r>
      <w:r w:rsidRPr="00193F67">
        <w:t>consecutive</w:t>
      </w:r>
      <w:r w:rsidR="00FF4BF1">
        <w:t>ly</w:t>
      </w:r>
      <w:r w:rsidR="00823950">
        <w:t xml:space="preserve"> </w:t>
      </w:r>
      <w:r w:rsidR="00C85C18">
        <w:t xml:space="preserve">or </w:t>
      </w:r>
      <w:r w:rsidR="006A7A10">
        <w:t>concurrent</w:t>
      </w:r>
      <w:r w:rsidR="00FF4BF1">
        <w:t>ly</w:t>
      </w:r>
      <w:r w:rsidRPr="00193F67">
        <w:t>.</w:t>
      </w:r>
    </w:p>
    <w:p w:rsidR="000B75D5" w:rsidRPr="00FB36E2" w:rsidP="00E26A4C" w14:paraId="35696222" w14:textId="2A41F08E">
      <w:r>
        <w:t xml:space="preserve">In 2013 </w:t>
      </w:r>
      <w:r w:rsidRPr="00193F67" w:rsidR="00E700D1">
        <w:t xml:space="preserve">the </w:t>
      </w:r>
      <w:r w:rsidR="00604C76">
        <w:t>h</w:t>
      </w:r>
      <w:r w:rsidR="004C7B45">
        <w:t xml:space="preserve">igh </w:t>
      </w:r>
      <w:r w:rsidR="00604C76">
        <w:t>c</w:t>
      </w:r>
      <w:r w:rsidRPr="00193F67" w:rsidR="00E700D1">
        <w:t xml:space="preserve">ourt overruled </w:t>
      </w:r>
      <w:r w:rsidRPr="00F01AE5" w:rsidR="00E700D1">
        <w:rPr>
          <w:i/>
          <w:iCs/>
        </w:rPr>
        <w:t>Harris</w:t>
      </w:r>
      <w:r>
        <w:t xml:space="preserve">, </w:t>
      </w:r>
      <w:r>
        <w:rPr>
          <w:i/>
          <w:iCs/>
        </w:rPr>
        <w:t>supra</w:t>
      </w:r>
      <w:r>
        <w:t>,</w:t>
      </w:r>
      <w:r w:rsidRPr="00193F67" w:rsidR="00E700D1">
        <w:t xml:space="preserve"> </w:t>
      </w:r>
      <w:r>
        <w:t>536</w:t>
      </w:r>
      <w:r w:rsidR="00604C76">
        <w:t> </w:t>
      </w:r>
      <w:r>
        <w:t xml:space="preserve">U.S. 545, </w:t>
      </w:r>
      <w:r w:rsidRPr="00193F67" w:rsidR="00E700D1">
        <w:t xml:space="preserve">and held that a jury </w:t>
      </w:r>
      <w:r w:rsidR="00B159C2">
        <w:t xml:space="preserve">must </w:t>
      </w:r>
      <w:r w:rsidRPr="00193F67" w:rsidR="00E700D1">
        <w:t>find any facts that increase the mandatory minimum</w:t>
      </w:r>
      <w:r w:rsidR="001E32AD">
        <w:t xml:space="preserve"> sentence</w:t>
      </w:r>
      <w:r w:rsidR="00B57EE9">
        <w:t xml:space="preserve"> for a crime</w:t>
      </w:r>
      <w:r w:rsidRPr="00193F67" w:rsidR="00E700D1">
        <w:t xml:space="preserve">. </w:t>
      </w:r>
      <w:r w:rsidR="00604C76">
        <w:t xml:space="preserve"> </w:t>
      </w:r>
      <w:r w:rsidR="00FF0ADA">
        <w:t>(</w:t>
      </w:r>
      <w:r w:rsidRPr="0007318F" w:rsidR="001D0612">
        <w:rPr>
          <w:i/>
          <w:iCs/>
        </w:rPr>
        <w:t>Alleyne</w:t>
      </w:r>
      <w:r w:rsidR="001D0612">
        <w:t xml:space="preserve">, </w:t>
      </w:r>
      <w:r w:rsidR="001D0612">
        <w:rPr>
          <w:i/>
          <w:iCs/>
        </w:rPr>
        <w:t>supra</w:t>
      </w:r>
      <w:r w:rsidR="001D0612">
        <w:t>,</w:t>
      </w:r>
      <w:r w:rsidR="004F5FDC">
        <w:t xml:space="preserve"> </w:t>
      </w:r>
      <w:r w:rsidR="008651D9">
        <w:t xml:space="preserve">570 U.S. </w:t>
      </w:r>
      <w:r w:rsidR="00FF0ADA">
        <w:t>at p.</w:t>
      </w:r>
      <w:r w:rsidR="008651D9">
        <w:t> </w:t>
      </w:r>
      <w:r w:rsidR="004F5FDC">
        <w:t>10</w:t>
      </w:r>
      <w:r w:rsidR="00685BF0">
        <w:t>3</w:t>
      </w:r>
      <w:r w:rsidR="00FF0ADA">
        <w:t xml:space="preserve">.) </w:t>
      </w:r>
      <w:r w:rsidR="00604C76">
        <w:t xml:space="preserve"> </w:t>
      </w:r>
      <w:r w:rsidR="00573527">
        <w:t xml:space="preserve">A jury found </w:t>
      </w:r>
      <w:r w:rsidRPr="00193F67" w:rsidR="00E700D1">
        <w:t xml:space="preserve">Alleyne guilty of using a gun during a crime, which </w:t>
      </w:r>
      <w:r w:rsidR="004F5FDC">
        <w:t xml:space="preserve">bore </w:t>
      </w:r>
      <w:r w:rsidRPr="00193F67" w:rsidR="00E700D1">
        <w:t xml:space="preserve">a minimum sentence of </w:t>
      </w:r>
      <w:r w:rsidR="003479C9">
        <w:t>five</w:t>
      </w:r>
      <w:r w:rsidRPr="00193F67" w:rsidR="00E700D1">
        <w:t xml:space="preserve"> </w:t>
      </w:r>
      <w:r w:rsidR="003479C9">
        <w:t xml:space="preserve">years </w:t>
      </w:r>
      <w:r w:rsidRPr="00193F67" w:rsidR="00E700D1">
        <w:t xml:space="preserve">to life; a judge found that he </w:t>
      </w:r>
      <w:r w:rsidR="00FB3044">
        <w:t xml:space="preserve">had </w:t>
      </w:r>
      <w:r w:rsidRPr="00193F67" w:rsidR="00E700D1">
        <w:t>brandished the gun, rais</w:t>
      </w:r>
      <w:r w:rsidR="000D00D3">
        <w:t>ing</w:t>
      </w:r>
      <w:r w:rsidRPr="00193F67" w:rsidR="00E700D1">
        <w:t xml:space="preserve"> the </w:t>
      </w:r>
      <w:r w:rsidR="00FB3044">
        <w:t xml:space="preserve">mandatory </w:t>
      </w:r>
      <w:r w:rsidRPr="00193F67" w:rsidR="00E700D1">
        <w:t xml:space="preserve">minimum to </w:t>
      </w:r>
      <w:r w:rsidR="003479C9">
        <w:t xml:space="preserve">seven </w:t>
      </w:r>
      <w:r w:rsidRPr="00193F67" w:rsidR="00E700D1">
        <w:t>years to life.</w:t>
      </w:r>
      <w:r w:rsidR="001D7481">
        <w:t xml:space="preserve"> </w:t>
      </w:r>
      <w:r w:rsidRPr="00193F67" w:rsidR="00E700D1">
        <w:t xml:space="preserve"> </w:t>
      </w:r>
      <w:r w:rsidR="00FB3044">
        <w:t>(</w:t>
      </w:r>
      <w:r w:rsidR="00FB3044">
        <w:rPr>
          <w:i/>
          <w:iCs/>
        </w:rPr>
        <w:t>Id.</w:t>
      </w:r>
      <w:r w:rsidR="00FB3044">
        <w:t xml:space="preserve"> at p</w:t>
      </w:r>
      <w:r w:rsidR="005D387E">
        <w:t>p.</w:t>
      </w:r>
      <w:r w:rsidR="001D7481">
        <w:t> </w:t>
      </w:r>
      <w:r w:rsidR="005D387E">
        <w:t>103–104</w:t>
      </w:r>
      <w:r w:rsidR="00FB3044">
        <w:t xml:space="preserve">.) </w:t>
      </w:r>
      <w:r w:rsidR="001D7481">
        <w:t xml:space="preserve"> </w:t>
      </w:r>
      <w:r w:rsidR="00A85CAF">
        <w:t xml:space="preserve">The </w:t>
      </w:r>
      <w:r w:rsidR="000D00D3">
        <w:t>U.S. Supreme C</w:t>
      </w:r>
      <w:r w:rsidR="00A85CAF">
        <w:t>ourt held that “[a]</w:t>
      </w:r>
      <w:r w:rsidRPr="00193F67" w:rsidR="00E700D1">
        <w:t>ny fact that, by law, increases the penalty for a crime is an ‘element’ that must be submitted to the jury.</w:t>
      </w:r>
      <w:r w:rsidR="00A85CAF">
        <w:t>”</w:t>
      </w:r>
      <w:r w:rsidR="001D7481">
        <w:t xml:space="preserve"> </w:t>
      </w:r>
      <w:r w:rsidR="00AE25F5">
        <w:t xml:space="preserve"> </w:t>
      </w:r>
      <w:r w:rsidR="00A85CAF">
        <w:t>(</w:t>
      </w:r>
      <w:r w:rsidR="00A85CAF">
        <w:rPr>
          <w:i/>
          <w:iCs/>
        </w:rPr>
        <w:t>Id.</w:t>
      </w:r>
      <w:r w:rsidR="00A85CAF">
        <w:t xml:space="preserve"> at p.</w:t>
      </w:r>
      <w:r w:rsidR="001D7481">
        <w:t> </w:t>
      </w:r>
      <w:r w:rsidR="00A85CAF">
        <w:t>10</w:t>
      </w:r>
      <w:r w:rsidR="005D387E">
        <w:t>3</w:t>
      </w:r>
      <w:r w:rsidR="00A85CAF">
        <w:t xml:space="preserve">.) </w:t>
      </w:r>
      <w:r w:rsidR="001D7481">
        <w:t xml:space="preserve"> </w:t>
      </w:r>
      <w:r w:rsidR="00FB36E2">
        <w:t>“</w:t>
      </w:r>
      <w:r w:rsidR="005D387E">
        <w:t>[B]</w:t>
      </w:r>
      <w:r w:rsidR="00FB36E2">
        <w:t xml:space="preserve">ecause the legally prescribed range [of sentences] </w:t>
      </w:r>
      <w:r w:rsidR="00FB36E2">
        <w:rPr>
          <w:i/>
          <w:iCs/>
        </w:rPr>
        <w:t xml:space="preserve">is </w:t>
      </w:r>
      <w:r w:rsidR="00FB36E2">
        <w:t>the penalty affixed to the crime,</w:t>
      </w:r>
      <w:r w:rsidR="005D387E">
        <w:t>” the court explained, “</w:t>
      </w:r>
      <w:r w:rsidR="00FB36E2">
        <w:t>a fact increasing either end of the range produces a new penalty and constitutes an ingredient of the offense</w:t>
      </w:r>
      <w:r w:rsidR="00AE25F5">
        <w:t>.</w:t>
      </w:r>
      <w:r w:rsidR="00FB36E2">
        <w:t xml:space="preserve">” </w:t>
      </w:r>
      <w:r w:rsidR="001D7481">
        <w:t xml:space="preserve"> </w:t>
      </w:r>
      <w:r>
        <w:t>(</w:t>
      </w:r>
      <w:r>
        <w:rPr>
          <w:i/>
          <w:iCs/>
        </w:rPr>
        <w:t xml:space="preserve">Id. </w:t>
      </w:r>
      <w:r>
        <w:t>at p.</w:t>
      </w:r>
      <w:r w:rsidR="00AE25F5">
        <w:t> </w:t>
      </w:r>
      <w:r>
        <w:t>112.)</w:t>
      </w:r>
      <w:r w:rsidR="00FB36E2">
        <w:t xml:space="preserve"> </w:t>
      </w:r>
      <w:r w:rsidR="001D7481">
        <w:t xml:space="preserve"> </w:t>
      </w:r>
      <w:r w:rsidR="00AE25F5">
        <w:t>Accordingly</w:t>
      </w:r>
      <w:r w:rsidR="00584155">
        <w:t xml:space="preserve">, </w:t>
      </w:r>
      <w:r w:rsidR="00FB36E2">
        <w:t>“</w:t>
      </w:r>
      <w:r w:rsidRPr="00193F67" w:rsidR="00FB36E2">
        <w:t xml:space="preserve">any fact that increases the mandatory minimum is an </w:t>
      </w:r>
      <w:r w:rsidR="00FE6D5F">
        <w:t>‘</w:t>
      </w:r>
      <w:r w:rsidRPr="00193F67" w:rsidR="00FB36E2">
        <w:t>element’ that must be submitted to the jury.”</w:t>
      </w:r>
      <w:r w:rsidR="00FB36E2">
        <w:t xml:space="preserve"> </w:t>
      </w:r>
      <w:r w:rsidR="001D7481">
        <w:t xml:space="preserve"> </w:t>
      </w:r>
      <w:r w:rsidR="00FB36E2">
        <w:t>(</w:t>
      </w:r>
      <w:r w:rsidR="00FB36E2">
        <w:rPr>
          <w:i/>
          <w:iCs/>
        </w:rPr>
        <w:t>Id.</w:t>
      </w:r>
      <w:r w:rsidR="001D7481">
        <w:t xml:space="preserve"> </w:t>
      </w:r>
      <w:r w:rsidR="00FB36E2">
        <w:t>at p.</w:t>
      </w:r>
      <w:r w:rsidR="001D7481">
        <w:t> </w:t>
      </w:r>
      <w:r w:rsidR="00FB36E2">
        <w:t>10</w:t>
      </w:r>
      <w:r w:rsidR="00E26A4C">
        <w:t>3</w:t>
      </w:r>
      <w:r w:rsidR="00FB36E2">
        <w:t>.)</w:t>
      </w:r>
    </w:p>
    <w:p w:rsidR="000A6436" w:rsidP="001D7481" w14:paraId="25740725" w14:textId="4B75723C">
      <w:r w:rsidRPr="00193F67">
        <w:t xml:space="preserve">Two years later, in </w:t>
      </w:r>
      <w:r w:rsidRPr="004A4F20">
        <w:rPr>
          <w:i/>
          <w:iCs/>
        </w:rPr>
        <w:t>People v. Scott</w:t>
      </w:r>
      <w:r w:rsidRPr="00193F67">
        <w:t xml:space="preserve"> (2015) 61</w:t>
      </w:r>
      <w:r w:rsidR="001D7481">
        <w:t> </w:t>
      </w:r>
      <w:r w:rsidRPr="00193F67">
        <w:t>Cal.4th 363</w:t>
      </w:r>
      <w:r w:rsidR="00AB686C">
        <w:t xml:space="preserve"> (</w:t>
      </w:r>
      <w:r w:rsidR="00AB686C">
        <w:rPr>
          <w:i/>
          <w:iCs/>
        </w:rPr>
        <w:t>Scott</w:t>
      </w:r>
      <w:r w:rsidR="00AB686C">
        <w:t>)</w:t>
      </w:r>
      <w:r w:rsidRPr="00193F67">
        <w:t xml:space="preserve">, </w:t>
      </w:r>
      <w:r w:rsidR="00376C3B">
        <w:t xml:space="preserve">our </w:t>
      </w:r>
      <w:r w:rsidRPr="00193F67">
        <w:t>Supreme</w:t>
      </w:r>
      <w:r w:rsidR="00422488">
        <w:t xml:space="preserve"> Court</w:t>
      </w:r>
      <w:r w:rsidRPr="00193F67">
        <w:t xml:space="preserve"> noted </w:t>
      </w:r>
      <w:r w:rsidR="00422488">
        <w:t xml:space="preserve">the </w:t>
      </w:r>
      <w:r w:rsidR="00F35AE6">
        <w:t>holding in</w:t>
      </w:r>
      <w:r w:rsidRPr="00F35AE6" w:rsidR="00F35AE6">
        <w:rPr>
          <w:i/>
          <w:iCs/>
        </w:rPr>
        <w:t xml:space="preserve"> </w:t>
      </w:r>
      <w:r w:rsidR="00F35AE6">
        <w:rPr>
          <w:i/>
          <w:iCs/>
        </w:rPr>
        <w:t>Ice</w:t>
      </w:r>
      <w:r w:rsidR="00F35AE6">
        <w:t xml:space="preserve">, </w:t>
      </w:r>
      <w:r w:rsidR="00F35AE6">
        <w:rPr>
          <w:i/>
          <w:iCs/>
        </w:rPr>
        <w:t>supra</w:t>
      </w:r>
      <w:r w:rsidR="00F35AE6">
        <w:t>, 555</w:t>
      </w:r>
      <w:r w:rsidR="001D7481">
        <w:t> </w:t>
      </w:r>
      <w:r w:rsidR="00F35AE6">
        <w:t>U.S. at page</w:t>
      </w:r>
      <w:r w:rsidR="001D7481">
        <w:t> </w:t>
      </w:r>
      <w:r w:rsidR="00F35AE6">
        <w:t xml:space="preserve">170, </w:t>
      </w:r>
      <w:r w:rsidRPr="00193F67">
        <w:t xml:space="preserve">that </w:t>
      </w:r>
      <w:r w:rsidR="004E53BD">
        <w:t>“ </w:t>
      </w:r>
      <w:r w:rsidRPr="00193F67">
        <w:t xml:space="preserve">‘the Sixth Amendment’s restriction on judge-found facts’ is ‘inapplicable’ when a trial judge makes factual findings necessary to the imposition of consecutive terms,” and reiterated </w:t>
      </w:r>
      <w:r w:rsidR="00376C3B">
        <w:t xml:space="preserve">that </w:t>
      </w:r>
      <w:r w:rsidR="00E52F3F">
        <w:t xml:space="preserve">a </w:t>
      </w:r>
      <w:r w:rsidR="00376C3B">
        <w:t>court</w:t>
      </w:r>
      <w:r w:rsidR="00E52F3F">
        <w:t xml:space="preserve">’s decision to </w:t>
      </w:r>
      <w:r w:rsidR="00FD736C">
        <w:t xml:space="preserve">make terms </w:t>
      </w:r>
      <w:r w:rsidR="00E52F3F">
        <w:t xml:space="preserve">consecutive </w:t>
      </w:r>
      <w:r w:rsidR="00FD736C">
        <w:t xml:space="preserve">does not implicate </w:t>
      </w:r>
      <w:r w:rsidR="00376C3B">
        <w:t>th</w:t>
      </w:r>
      <w:r w:rsidR="00632E14">
        <w:t>at</w:t>
      </w:r>
      <w:r w:rsidR="00E52F3F">
        <w:t xml:space="preserve"> Amendment</w:t>
      </w:r>
      <w:r w:rsidRPr="00193F67">
        <w:t>.</w:t>
      </w:r>
      <w:r w:rsidR="000F337C">
        <w:t xml:space="preserve"> </w:t>
      </w:r>
      <w:r w:rsidR="00AB686C">
        <w:t xml:space="preserve"> (</w:t>
      </w:r>
      <w:r w:rsidR="00AB686C">
        <w:rPr>
          <w:i/>
          <w:iCs/>
        </w:rPr>
        <w:t>Scott</w:t>
      </w:r>
      <w:r w:rsidR="00AB686C">
        <w:t xml:space="preserve">, </w:t>
      </w:r>
      <w:r w:rsidR="00AB686C">
        <w:rPr>
          <w:i/>
          <w:iCs/>
        </w:rPr>
        <w:t>supra</w:t>
      </w:r>
      <w:r w:rsidR="00AB686C">
        <w:t xml:space="preserve">, </w:t>
      </w:r>
      <w:r w:rsidR="00F35AE6">
        <w:t>61</w:t>
      </w:r>
      <w:r w:rsidR="00285B0F">
        <w:t> </w:t>
      </w:r>
      <w:r w:rsidR="00F35AE6">
        <w:t xml:space="preserve">Cal.4th </w:t>
      </w:r>
      <w:r w:rsidR="00AB686C">
        <w:t>at p.</w:t>
      </w:r>
      <w:r w:rsidR="000F337C">
        <w:t> </w:t>
      </w:r>
      <w:r w:rsidR="0093735F">
        <w:t>405</w:t>
      </w:r>
      <w:r w:rsidR="00AB686C">
        <w:t xml:space="preserve">.) </w:t>
      </w:r>
      <w:r w:rsidR="000F337C">
        <w:t xml:space="preserve"> </w:t>
      </w:r>
      <w:r w:rsidR="00123ADC">
        <w:t xml:space="preserve">A jury found Scott </w:t>
      </w:r>
      <w:r w:rsidR="00744E3D">
        <w:t xml:space="preserve">guilty of </w:t>
      </w:r>
      <w:r w:rsidR="001474B0">
        <w:t xml:space="preserve">two </w:t>
      </w:r>
      <w:r w:rsidR="00AF1E0B">
        <w:t xml:space="preserve">sexual offenses </w:t>
      </w:r>
      <w:r w:rsidR="00396C10">
        <w:t xml:space="preserve">among those subject to section 667.6 </w:t>
      </w:r>
      <w:r w:rsidR="00AF1E0B">
        <w:t>(</w:t>
      </w:r>
      <w:r w:rsidR="00535E5B">
        <w:rPr>
          <w:i/>
          <w:iCs/>
        </w:rPr>
        <w:t>Scott</w:t>
      </w:r>
      <w:r w:rsidR="00535E5B">
        <w:t>,</w:t>
      </w:r>
      <w:r w:rsidR="00AF1E0B">
        <w:t xml:space="preserve"> at pp.</w:t>
      </w:r>
      <w:r w:rsidR="00123589">
        <w:t> </w:t>
      </w:r>
      <w:r w:rsidR="001474B0">
        <w:t xml:space="preserve">371, 403), </w:t>
      </w:r>
      <w:r w:rsidR="00396C10">
        <w:t xml:space="preserve">and </w:t>
      </w:r>
      <w:r w:rsidR="001474B0">
        <w:t xml:space="preserve">the </w:t>
      </w:r>
      <w:r w:rsidR="00123ADC">
        <w:t xml:space="preserve">judge </w:t>
      </w:r>
      <w:r w:rsidR="00396C10">
        <w:t xml:space="preserve">exercised discretion pursuant to section 667.6(c) to </w:t>
      </w:r>
      <w:r w:rsidR="00BF0EA1">
        <w:t xml:space="preserve">impose full consecutive terms </w:t>
      </w:r>
      <w:r w:rsidR="00396C10">
        <w:t>on</w:t>
      </w:r>
      <w:r w:rsidR="00920F33">
        <w:t xml:space="preserve"> the</w:t>
      </w:r>
      <w:r w:rsidR="00396C10">
        <w:t xml:space="preserve"> offenses</w:t>
      </w:r>
      <w:r w:rsidR="004447A2">
        <w:t xml:space="preserve">. </w:t>
      </w:r>
      <w:r w:rsidR="00594126">
        <w:t xml:space="preserve"> </w:t>
      </w:r>
      <w:r w:rsidR="004447A2">
        <w:t>(</w:t>
      </w:r>
      <w:r w:rsidR="000016A9">
        <w:rPr>
          <w:i/>
          <w:iCs/>
        </w:rPr>
        <w:t>Scott</w:t>
      </w:r>
      <w:r w:rsidR="000016A9">
        <w:t>,</w:t>
      </w:r>
      <w:r w:rsidR="004447A2">
        <w:t xml:space="preserve"> at p.</w:t>
      </w:r>
      <w:r w:rsidR="00123589">
        <w:t> </w:t>
      </w:r>
      <w:r w:rsidR="004447A2">
        <w:t>403.)</w:t>
      </w:r>
      <w:r w:rsidR="000016A9">
        <w:t xml:space="preserve"> </w:t>
      </w:r>
      <w:r w:rsidR="004447A2">
        <w:t xml:space="preserve"> </w:t>
      </w:r>
      <w:r w:rsidR="00554412">
        <w:rPr>
          <w:i/>
          <w:iCs/>
        </w:rPr>
        <w:t xml:space="preserve">Scott </w:t>
      </w:r>
      <w:r w:rsidR="00554412">
        <w:t xml:space="preserve">did not </w:t>
      </w:r>
      <w:r w:rsidR="00B10314">
        <w:t>involve section 667.6(d)</w:t>
      </w:r>
      <w:r w:rsidR="008E4A98">
        <w:t xml:space="preserve">. </w:t>
      </w:r>
      <w:r w:rsidR="000016A9">
        <w:t xml:space="preserve"> </w:t>
      </w:r>
      <w:r w:rsidR="00396C10">
        <w:t>Nor did i</w:t>
      </w:r>
      <w:r w:rsidR="008E4A98">
        <w:t>t</w:t>
      </w:r>
      <w:r w:rsidR="00B10314">
        <w:t xml:space="preserve"> </w:t>
      </w:r>
      <w:r w:rsidR="006D24FB">
        <w:t>discu</w:t>
      </w:r>
      <w:r w:rsidR="00554412">
        <w:t xml:space="preserve">ss </w:t>
      </w:r>
      <w:r w:rsidRPr="0007318F" w:rsidR="00707AA0">
        <w:rPr>
          <w:i/>
          <w:iCs/>
        </w:rPr>
        <w:t>Alleyne</w:t>
      </w:r>
      <w:r w:rsidR="00707AA0">
        <w:t xml:space="preserve">, </w:t>
      </w:r>
      <w:r w:rsidR="00707AA0">
        <w:rPr>
          <w:i/>
          <w:iCs/>
        </w:rPr>
        <w:t>supra</w:t>
      </w:r>
      <w:r w:rsidR="00707AA0">
        <w:t>,</w:t>
      </w:r>
      <w:r w:rsidRPr="0007318F" w:rsidR="00707AA0">
        <w:rPr>
          <w:i/>
          <w:iCs/>
        </w:rPr>
        <w:t xml:space="preserve"> </w:t>
      </w:r>
      <w:r w:rsidRPr="00193F67" w:rsidR="00707AA0">
        <w:t>570</w:t>
      </w:r>
      <w:r w:rsidR="00707AA0">
        <w:t> </w:t>
      </w:r>
      <w:r w:rsidRPr="00193F67" w:rsidR="00707AA0">
        <w:t>U.S. 99</w:t>
      </w:r>
      <w:r w:rsidR="0059641E">
        <w:t xml:space="preserve">, </w:t>
      </w:r>
      <w:r w:rsidR="00116B70">
        <w:t>the</w:t>
      </w:r>
      <w:r w:rsidR="0059641E">
        <w:t xml:space="preserve"> </w:t>
      </w:r>
      <w:r w:rsidR="00273096">
        <w:t xml:space="preserve">new </w:t>
      </w:r>
      <w:r w:rsidR="001B1984">
        <w:t xml:space="preserve">applicability of </w:t>
      </w:r>
      <w:r w:rsidR="008F4A30">
        <w:t xml:space="preserve">the </w:t>
      </w:r>
      <w:r w:rsidR="001B1984">
        <w:rPr>
          <w:i/>
          <w:iCs/>
        </w:rPr>
        <w:t xml:space="preserve">Apprendi </w:t>
      </w:r>
      <w:r w:rsidRPr="008F4A30" w:rsidR="008F4A30">
        <w:t>rule</w:t>
      </w:r>
      <w:r w:rsidR="008F4A30">
        <w:rPr>
          <w:i/>
          <w:iCs/>
        </w:rPr>
        <w:t xml:space="preserve"> </w:t>
      </w:r>
      <w:r w:rsidR="001B1984">
        <w:t xml:space="preserve">to </w:t>
      </w:r>
      <w:r w:rsidR="00B10314">
        <w:t>mandatory minimum sentences</w:t>
      </w:r>
      <w:r w:rsidR="0059641E">
        <w:t>,</w:t>
      </w:r>
      <w:r w:rsidR="00B10314">
        <w:t xml:space="preserve"> </w:t>
      </w:r>
      <w:r w:rsidR="00554412">
        <w:t xml:space="preserve">or the constitutional significance of </w:t>
      </w:r>
      <w:r w:rsidR="004178C4">
        <w:t xml:space="preserve">the fact that </w:t>
      </w:r>
      <w:r w:rsidR="00554412">
        <w:t>section 667.6</w:t>
      </w:r>
      <w:r w:rsidR="00DF4F6D">
        <w:t>(d)</w:t>
      </w:r>
      <w:r w:rsidR="004178C4">
        <w:t xml:space="preserve"> </w:t>
      </w:r>
      <w:r w:rsidR="00DF4F6D">
        <w:t>mandat</w:t>
      </w:r>
      <w:r w:rsidR="004178C4">
        <w:t xml:space="preserve">es </w:t>
      </w:r>
      <w:r w:rsidR="00DF4F6D">
        <w:t xml:space="preserve">not only “consecutive” </w:t>
      </w:r>
      <w:r w:rsidR="00C14D9E">
        <w:t xml:space="preserve">terms </w:t>
      </w:r>
      <w:r w:rsidR="00DF4F6D">
        <w:t xml:space="preserve">but </w:t>
      </w:r>
      <w:r w:rsidR="00554412">
        <w:t>“full”</w:t>
      </w:r>
      <w:r w:rsidR="00C14D9E">
        <w:t xml:space="preserve"> one</w:t>
      </w:r>
      <w:r w:rsidR="00554412">
        <w:t>s.</w:t>
      </w:r>
    </w:p>
    <w:p w:rsidR="001C67BD" w:rsidRPr="00635503" w:rsidP="000016A9" w14:paraId="3EA91854" w14:textId="5D442A54">
      <w:r>
        <w:t xml:space="preserve">Most recently, the California Supreme Court </w:t>
      </w:r>
      <w:r w:rsidR="00E97888">
        <w:t xml:space="preserve">mentioned </w:t>
      </w:r>
      <w:r w:rsidR="00F41C24">
        <w:t xml:space="preserve">the </w:t>
      </w:r>
      <w:r w:rsidR="00D166C4">
        <w:t xml:space="preserve">rule of </w:t>
      </w:r>
      <w:r w:rsidR="00D166C4">
        <w:rPr>
          <w:i/>
          <w:iCs/>
        </w:rPr>
        <w:t xml:space="preserve">Ice </w:t>
      </w:r>
      <w:r w:rsidR="00D166C4">
        <w:t xml:space="preserve">and </w:t>
      </w:r>
      <w:r w:rsidR="00D166C4">
        <w:rPr>
          <w:i/>
          <w:iCs/>
        </w:rPr>
        <w:t xml:space="preserve">Black </w:t>
      </w:r>
      <w:r w:rsidR="009E0F4B">
        <w:t xml:space="preserve">while </w:t>
      </w:r>
      <w:r w:rsidR="00F41C24">
        <w:t>holding</w:t>
      </w:r>
      <w:r w:rsidR="003D7019">
        <w:t xml:space="preserve"> that a</w:t>
      </w:r>
      <w:r w:rsidR="00892E44">
        <w:t xml:space="preserve"> </w:t>
      </w:r>
      <w:r w:rsidR="003D7019">
        <w:t xml:space="preserve">court </w:t>
      </w:r>
      <w:r w:rsidR="005F14B4">
        <w:t xml:space="preserve">cannot </w:t>
      </w:r>
      <w:r w:rsidR="003D7019">
        <w:t>mak</w:t>
      </w:r>
      <w:r w:rsidR="005F14B4">
        <w:t>e</w:t>
      </w:r>
      <w:r w:rsidR="003D7019">
        <w:t xml:space="preserve"> factual findings </w:t>
      </w:r>
      <w:r w:rsidR="00892E44">
        <w:t xml:space="preserve">on appeal </w:t>
      </w:r>
      <w:r w:rsidRPr="008C2905" w:rsidR="0046390C">
        <w:t xml:space="preserve">that were not made by </w:t>
      </w:r>
      <w:r w:rsidRPr="008C2905" w:rsidR="005F4435">
        <w:t>a</w:t>
      </w:r>
      <w:r w:rsidRPr="008C2905" w:rsidR="0046390C">
        <w:t xml:space="preserve"> jury </w:t>
      </w:r>
      <w:r w:rsidRPr="008C2905" w:rsidR="005F4435">
        <w:t xml:space="preserve">but </w:t>
      </w:r>
      <w:r w:rsidRPr="008C2905" w:rsidR="00753383">
        <w:t xml:space="preserve">are </w:t>
      </w:r>
      <w:r w:rsidRPr="008C2905" w:rsidR="009F7105">
        <w:t xml:space="preserve">necessary </w:t>
      </w:r>
      <w:r w:rsidRPr="008C2905" w:rsidR="003D7019">
        <w:t xml:space="preserve">to </w:t>
      </w:r>
      <w:r w:rsidRPr="008C2905" w:rsidR="007E19C8">
        <w:t>uphold</w:t>
      </w:r>
      <w:r w:rsidRPr="008C2905" w:rsidR="003D7019">
        <w:t xml:space="preserve"> </w:t>
      </w:r>
      <w:r w:rsidRPr="008C2905" w:rsidR="00753383">
        <w:t xml:space="preserve">a </w:t>
      </w:r>
      <w:r w:rsidRPr="008C2905" w:rsidR="003D7019">
        <w:t>conviction</w:t>
      </w:r>
      <w:r w:rsidRPr="008C2905" w:rsidR="00C53388">
        <w:t xml:space="preserve">. </w:t>
      </w:r>
      <w:r w:rsidRPr="008C2905" w:rsidR="00025626">
        <w:t xml:space="preserve"> </w:t>
      </w:r>
      <w:r w:rsidR="00635503">
        <w:t>(</w:t>
      </w:r>
      <w:r w:rsidRPr="008C2905" w:rsidR="009E6B69">
        <w:rPr>
          <w:i/>
        </w:rPr>
        <w:t>People</w:t>
      </w:r>
      <w:r w:rsidR="009E6B69">
        <w:rPr>
          <w:i/>
          <w:iCs/>
        </w:rPr>
        <w:t xml:space="preserve"> v. Aguayo</w:t>
      </w:r>
      <w:r w:rsidR="009E6B69">
        <w:t xml:space="preserve"> (2022) </w:t>
      </w:r>
      <w:r w:rsidRPr="008C2905" w:rsidR="009E6B69">
        <w:t>13 Cal.5th 974, 994</w:t>
      </w:r>
      <w:r w:rsidRPr="008C2905" w:rsidR="00635503">
        <w:t>.)</w:t>
      </w:r>
      <w:r w:rsidRPr="008C2905" w:rsidR="00220A09">
        <w:t xml:space="preserve"> </w:t>
      </w:r>
      <w:r w:rsidRPr="008C2905" w:rsidR="00025626">
        <w:t xml:space="preserve"> </w:t>
      </w:r>
      <w:r w:rsidRPr="008C2905" w:rsidR="003A12DE">
        <w:t>T</w:t>
      </w:r>
      <w:r w:rsidRPr="008C2905" w:rsidR="00B95514">
        <w:t>he Attorney General</w:t>
      </w:r>
      <w:r w:rsidR="00FD1247">
        <w:t xml:space="preserve"> </w:t>
      </w:r>
      <w:r w:rsidR="00814026">
        <w:t>suggested</w:t>
      </w:r>
      <w:r w:rsidR="004B1410">
        <w:t xml:space="preserve"> </w:t>
      </w:r>
      <w:r w:rsidR="00B12CFC">
        <w:t>that “</w:t>
      </w:r>
      <w:r w:rsidRPr="00B12CFC" w:rsidR="00B12CFC">
        <w:t>a reviewing court</w:t>
      </w:r>
      <w:r w:rsidR="00B12CFC">
        <w:t>’</w:t>
      </w:r>
      <w:r w:rsidRPr="00B12CFC" w:rsidR="00B12CFC">
        <w:t>s authority to make such a finding to support the convictions is akin to a sentencing court</w:t>
      </w:r>
      <w:r w:rsidR="005F4435">
        <w:t>’</w:t>
      </w:r>
      <w:r w:rsidRPr="00B12CFC" w:rsidR="00B12CFC">
        <w:t>s determination whether to impose concurrent or consecutive sentences under</w:t>
      </w:r>
      <w:r w:rsidR="008803AB">
        <w:t xml:space="preserve"> </w:t>
      </w:r>
      <w:r w:rsidRPr="00B12CFC" w:rsidR="00B12CFC">
        <w:t>section 654</w:t>
      </w:r>
      <w:r w:rsidR="00DC61AD">
        <w:t xml:space="preserve">.” </w:t>
      </w:r>
      <w:r w:rsidR="00025626">
        <w:t xml:space="preserve"> </w:t>
      </w:r>
      <w:r w:rsidR="00F92744">
        <w:t>(</w:t>
      </w:r>
      <w:r w:rsidR="00F92744">
        <w:rPr>
          <w:i/>
          <w:iCs/>
        </w:rPr>
        <w:t>Id</w:t>
      </w:r>
      <w:r w:rsidR="009C3A51">
        <w:rPr>
          <w:i/>
          <w:iCs/>
        </w:rPr>
        <w:t xml:space="preserve">. </w:t>
      </w:r>
      <w:r w:rsidRPr="003A5B5D" w:rsidR="009C3A51">
        <w:t>at p.</w:t>
      </w:r>
      <w:r w:rsidR="00645868">
        <w:t> </w:t>
      </w:r>
      <w:r w:rsidRPr="003A5B5D" w:rsidR="008B2A46">
        <w:t>995</w:t>
      </w:r>
      <w:r w:rsidRPr="003A5B5D" w:rsidR="00F92744">
        <w:t>.</w:t>
      </w:r>
      <w:r w:rsidR="00F92744">
        <w:t xml:space="preserve">) </w:t>
      </w:r>
      <w:r w:rsidR="00025626">
        <w:t xml:space="preserve"> </w:t>
      </w:r>
      <w:r w:rsidR="00E40FF2">
        <w:t>T</w:t>
      </w:r>
      <w:r w:rsidR="007F3524">
        <w:t xml:space="preserve">he </w:t>
      </w:r>
      <w:r w:rsidR="00595B64">
        <w:t>c</w:t>
      </w:r>
      <w:r w:rsidR="007F3524">
        <w:t xml:space="preserve">ourt </w:t>
      </w:r>
      <w:r w:rsidR="00E40FF2">
        <w:t xml:space="preserve">disagreed, </w:t>
      </w:r>
      <w:r w:rsidR="005A63E8">
        <w:t>not</w:t>
      </w:r>
      <w:r w:rsidR="00E40FF2">
        <w:t>ing</w:t>
      </w:r>
      <w:r w:rsidR="005A63E8">
        <w:t xml:space="preserve"> that </w:t>
      </w:r>
      <w:r w:rsidR="00B12B6D">
        <w:t>“</w:t>
      </w:r>
      <w:r w:rsidR="00186840">
        <w:t> </w:t>
      </w:r>
      <w:r w:rsidR="00B12B6D">
        <w:t>‘</w:t>
      </w:r>
      <w:r w:rsidRPr="00B12B6D" w:rsidR="00B12B6D">
        <w:t xml:space="preserve">imposition of consecutive terms </w:t>
      </w:r>
      <w:r w:rsidR="00025626">
        <w:t>. .</w:t>
      </w:r>
      <w:r w:rsidR="00025626">
        <w:rPr>
          <w:sz w:val="28"/>
          <w:szCs w:val="28"/>
        </w:rPr>
        <w:t xml:space="preserve"> . </w:t>
      </w:r>
      <w:r w:rsidRPr="00B12B6D" w:rsidR="00B12B6D">
        <w:t>does not implicate a defendant</w:t>
      </w:r>
      <w:r w:rsidR="008074A0">
        <w:t>’</w:t>
      </w:r>
      <w:r w:rsidRPr="00B12B6D" w:rsidR="00B12B6D">
        <w:t>s Sixth Amendment rights</w:t>
      </w:r>
      <w:r w:rsidR="00B12B6D">
        <w:t>’</w:t>
      </w:r>
      <w:r w:rsidR="00186840">
        <w:t> ”</w:t>
      </w:r>
      <w:r w:rsidRPr="00B12B6D" w:rsidR="00B12B6D">
        <w:t xml:space="preserve"> </w:t>
      </w:r>
      <w:r w:rsidRPr="008C2905" w:rsidR="00D03993">
        <w:t>(</w:t>
      </w:r>
      <w:r w:rsidRPr="008C2905" w:rsidR="00D03993">
        <w:rPr>
          <w:i/>
        </w:rPr>
        <w:t>ibid.</w:t>
      </w:r>
      <w:r w:rsidRPr="008C2905" w:rsidR="00D03993">
        <w:t xml:space="preserve">, quoting </w:t>
      </w:r>
      <w:r w:rsidRPr="008C2905" w:rsidR="00D03993">
        <w:rPr>
          <w:i/>
        </w:rPr>
        <w:t>Black</w:t>
      </w:r>
      <w:r w:rsidRPr="008C2905" w:rsidR="00D03993">
        <w:t>,</w:t>
      </w:r>
      <w:r w:rsidR="00D03993">
        <w:t xml:space="preserve"> </w:t>
      </w:r>
      <w:r w:rsidR="00D03993">
        <w:rPr>
          <w:i/>
          <w:iCs/>
        </w:rPr>
        <w:t>supra</w:t>
      </w:r>
      <w:r w:rsidR="00D03993">
        <w:t xml:space="preserve">, </w:t>
      </w:r>
      <w:r w:rsidRPr="00B12B6D" w:rsidR="00D03993">
        <w:t>41</w:t>
      </w:r>
      <w:r w:rsidR="00D03993">
        <w:t> </w:t>
      </w:r>
      <w:r w:rsidRPr="00B12B6D" w:rsidR="00D03993">
        <w:t xml:space="preserve">Cal.4th </w:t>
      </w:r>
      <w:r w:rsidR="00D03993">
        <w:t>at p.</w:t>
      </w:r>
      <w:r w:rsidR="00AB37E6">
        <w:t> </w:t>
      </w:r>
      <w:r w:rsidRPr="00B12B6D" w:rsidR="00D03993">
        <w:t>821</w:t>
      </w:r>
      <w:r w:rsidR="00AB37E6">
        <w:t xml:space="preserve">) </w:t>
      </w:r>
      <w:r w:rsidR="00186840">
        <w:t>and that “[s]</w:t>
      </w:r>
      <w:r w:rsidRPr="00B12B6D" w:rsidR="00B12B6D">
        <w:t xml:space="preserve">ection 654 is largely a sentencing </w:t>
      </w:r>
      <w:r w:rsidRPr="008C2905" w:rsidR="00B12B6D">
        <w:t>issue, which lies outside the historical province of a jury</w:t>
      </w:r>
      <w:r w:rsidRPr="008C2905" w:rsidR="007E7B03">
        <w:t>”</w:t>
      </w:r>
      <w:r w:rsidR="00AB37E6">
        <w:t xml:space="preserve"> (</w:t>
      </w:r>
      <w:r w:rsidR="00642E29">
        <w:rPr>
          <w:i/>
          <w:iCs/>
        </w:rPr>
        <w:t>Aguayo</w:t>
      </w:r>
      <w:r w:rsidR="00E634B6">
        <w:t xml:space="preserve">, </w:t>
      </w:r>
      <w:r w:rsidR="00E634B6">
        <w:rPr>
          <w:i/>
          <w:iCs/>
        </w:rPr>
        <w:t>supra</w:t>
      </w:r>
      <w:r w:rsidR="00E634B6">
        <w:t>, at p.</w:t>
      </w:r>
      <w:r w:rsidR="00B45093">
        <w:t> </w:t>
      </w:r>
      <w:r w:rsidR="00E634B6">
        <w:t>995,</w:t>
      </w:r>
      <w:r w:rsidR="00AB37E6">
        <w:t xml:space="preserve"> </w:t>
      </w:r>
      <w:r w:rsidR="007E7B03">
        <w:t xml:space="preserve">citing </w:t>
      </w:r>
      <w:r w:rsidR="007E7B03">
        <w:rPr>
          <w:i/>
          <w:iCs/>
        </w:rPr>
        <w:t>Ice</w:t>
      </w:r>
      <w:r w:rsidR="007E7B03">
        <w:t xml:space="preserve">, </w:t>
      </w:r>
      <w:r w:rsidR="007E7B03">
        <w:rPr>
          <w:i/>
          <w:iCs/>
        </w:rPr>
        <w:t>supra</w:t>
      </w:r>
      <w:r w:rsidR="007E7B03">
        <w:t>, 555</w:t>
      </w:r>
      <w:r w:rsidR="006F2E9C">
        <w:t> </w:t>
      </w:r>
      <w:r w:rsidR="007E7B03">
        <w:t>U.S. at p</w:t>
      </w:r>
      <w:r w:rsidR="006F2E9C">
        <w:t>. </w:t>
      </w:r>
      <w:r w:rsidR="007E7B03">
        <w:t>168</w:t>
      </w:r>
      <w:r w:rsidR="009F2FBA">
        <w:t>)</w:t>
      </w:r>
      <w:r w:rsidR="00AB37E6">
        <w:t>.</w:t>
      </w:r>
      <w:r>
        <w:rPr>
          <w:rStyle w:val="FootnoteReference"/>
        </w:rPr>
        <w:footnoteReference w:id="15"/>
      </w:r>
      <w:r w:rsidR="00911D15">
        <w:t xml:space="preserve"> </w:t>
      </w:r>
      <w:r w:rsidR="006F2E9C">
        <w:t xml:space="preserve"> </w:t>
      </w:r>
      <w:r w:rsidR="00911D15">
        <w:t xml:space="preserve">The decision </w:t>
      </w:r>
      <w:r w:rsidRPr="00FD0CDC" w:rsidR="00911D15">
        <w:t>did not</w:t>
      </w:r>
      <w:r w:rsidR="00911D15">
        <w:rPr>
          <w:i/>
          <w:iCs/>
        </w:rPr>
        <w:t xml:space="preserve"> </w:t>
      </w:r>
      <w:r w:rsidR="00911D15">
        <w:t xml:space="preserve">cite </w:t>
      </w:r>
      <w:r w:rsidR="00911D15">
        <w:rPr>
          <w:i/>
          <w:iCs/>
        </w:rPr>
        <w:t>Alleyne</w:t>
      </w:r>
      <w:r w:rsidR="00911D15">
        <w:t>,</w:t>
      </w:r>
      <w:r w:rsidR="00911D15">
        <w:rPr>
          <w:i/>
          <w:iCs/>
        </w:rPr>
        <w:t xml:space="preserve"> </w:t>
      </w:r>
      <w:r w:rsidR="00911D15">
        <w:t>section 667.6, or any statute under which judicial factfinding alters the length of the sentence for a</w:t>
      </w:r>
      <w:r w:rsidR="00DB6750">
        <w:t xml:space="preserve"> discrete</w:t>
      </w:r>
      <w:r w:rsidR="00911D15">
        <w:t xml:space="preserve"> crime</w:t>
      </w:r>
      <w:r w:rsidR="00EB5ED8">
        <w:t>.</w:t>
      </w:r>
    </w:p>
    <w:p w:rsidR="003368B8" w:rsidP="006F2E9C" w14:paraId="06588EA2" w14:textId="1CDD4EE9">
      <w:r>
        <w:t>S</w:t>
      </w:r>
      <w:r w:rsidR="00B76451">
        <w:t xml:space="preserve">ince the </w:t>
      </w:r>
      <w:r w:rsidR="006F2E9C">
        <w:t>h</w:t>
      </w:r>
      <w:r w:rsidR="000A2444">
        <w:t xml:space="preserve">igh </w:t>
      </w:r>
      <w:r w:rsidR="006F2E9C">
        <w:t>c</w:t>
      </w:r>
      <w:r w:rsidR="000A2444">
        <w:t>ourt</w:t>
      </w:r>
      <w:r>
        <w:t xml:space="preserve">’s 2013 decision in </w:t>
      </w:r>
      <w:r>
        <w:rPr>
          <w:i/>
          <w:iCs/>
        </w:rPr>
        <w:t>Alleyne</w:t>
      </w:r>
      <w:r>
        <w:t xml:space="preserve"> </w:t>
      </w:r>
      <w:r w:rsidR="000A2444">
        <w:t>overrul</w:t>
      </w:r>
      <w:r>
        <w:t>ing</w:t>
      </w:r>
      <w:r w:rsidR="00B76451">
        <w:t xml:space="preserve"> </w:t>
      </w:r>
      <w:r w:rsidR="000A2444">
        <w:rPr>
          <w:i/>
          <w:iCs/>
        </w:rPr>
        <w:t>Harris</w:t>
      </w:r>
      <w:r>
        <w:t xml:space="preserve"> </w:t>
      </w:r>
      <w:r w:rsidRPr="009E1740">
        <w:t>and</w:t>
      </w:r>
      <w:r>
        <w:rPr>
          <w:i/>
          <w:iCs/>
        </w:rPr>
        <w:t xml:space="preserve"> </w:t>
      </w:r>
      <w:r w:rsidR="00E4434B">
        <w:t xml:space="preserve">extending </w:t>
      </w:r>
      <w:r>
        <w:rPr>
          <w:i/>
          <w:iCs/>
        </w:rPr>
        <w:t>Apprendi</w:t>
      </w:r>
      <w:r>
        <w:t xml:space="preserve"> to judicial factfinding that increases the mandatory minimum sentence for an offense, no published </w:t>
      </w:r>
      <w:r w:rsidR="00A6455F">
        <w:t xml:space="preserve">decision </w:t>
      </w:r>
      <w:r>
        <w:t xml:space="preserve">has </w:t>
      </w:r>
      <w:r w:rsidRPr="008C2905" w:rsidR="00A76FF5">
        <w:t>analyzed</w:t>
      </w:r>
      <w:r w:rsidRPr="008C2905">
        <w:t xml:space="preserve"> whether </w:t>
      </w:r>
      <w:r w:rsidRPr="008C2905" w:rsidR="00A76FF5">
        <w:t>section 667.6(d) violates</w:t>
      </w:r>
      <w:r w:rsidRPr="008C2905">
        <w:t xml:space="preserve"> </w:t>
      </w:r>
      <w:r w:rsidRPr="008C2905" w:rsidR="00A76FF5">
        <w:t xml:space="preserve">the Sixth Amendment </w:t>
      </w:r>
      <w:r w:rsidRPr="008C2905" w:rsidR="005D2CF3">
        <w:t>b</w:t>
      </w:r>
      <w:r w:rsidRPr="008C2905" w:rsidR="003F65E0">
        <w:t>y requiring</w:t>
      </w:r>
      <w:r w:rsidR="003F65E0">
        <w:t xml:space="preserve"> courts, based on judicially found facts, </w:t>
      </w:r>
      <w:r w:rsidR="005D2CF3">
        <w:t xml:space="preserve">to impose </w:t>
      </w:r>
      <w:r w:rsidR="00C504E9">
        <w:t>“</w:t>
      </w:r>
      <w:r w:rsidR="005D2CF3">
        <w:t>full</w:t>
      </w:r>
      <w:r w:rsidR="00C504E9">
        <w:t>”</w:t>
      </w:r>
      <w:r w:rsidR="005D2CF3">
        <w:t xml:space="preserve"> </w:t>
      </w:r>
      <w:r w:rsidR="00C504E9">
        <w:t>term</w:t>
      </w:r>
      <w:r w:rsidR="005D2CF3">
        <w:t xml:space="preserve">s on convictions </w:t>
      </w:r>
      <w:r w:rsidR="001C574F">
        <w:t xml:space="preserve">that </w:t>
      </w:r>
      <w:r w:rsidR="005D2CF3">
        <w:t xml:space="preserve">otherwise </w:t>
      </w:r>
      <w:r w:rsidR="00DB0575">
        <w:t xml:space="preserve">would </w:t>
      </w:r>
      <w:r w:rsidR="001C574F">
        <w:t xml:space="preserve">be </w:t>
      </w:r>
      <w:r w:rsidR="00545A50">
        <w:t xml:space="preserve">potentially </w:t>
      </w:r>
      <w:r w:rsidR="005D2CF3">
        <w:t>subject to sentencing under the DSL</w:t>
      </w:r>
      <w:r w:rsidR="003F65E0">
        <w:t xml:space="preserve">, </w:t>
      </w:r>
      <w:r w:rsidR="00A6455F">
        <w:t xml:space="preserve">thereby </w:t>
      </w:r>
      <w:r w:rsidR="00A76FF5">
        <w:t>increas</w:t>
      </w:r>
      <w:r w:rsidR="00A6455F">
        <w:t>ing</w:t>
      </w:r>
      <w:r w:rsidR="00A76FF5">
        <w:t xml:space="preserve"> the mandatory minimum sentence for </w:t>
      </w:r>
      <w:r w:rsidR="00A6455F">
        <w:t xml:space="preserve">those </w:t>
      </w:r>
      <w:r w:rsidR="005D2CF3">
        <w:t>offenses</w:t>
      </w:r>
      <w:r w:rsidR="00D9055E">
        <w:t>.</w:t>
      </w:r>
      <w:r>
        <w:rPr>
          <w:rStyle w:val="FootnoteReference"/>
        </w:rPr>
        <w:footnoteReference w:id="16"/>
      </w:r>
    </w:p>
    <w:p w:rsidR="007629B5" w:rsidP="003C42A3" w14:paraId="0A62767E" w14:textId="098DA44C">
      <w:pPr>
        <w:pStyle w:val="Heading4"/>
      </w:pPr>
      <w:r>
        <w:t>Analysis</w:t>
      </w:r>
    </w:p>
    <w:p w:rsidR="00FB408F" w:rsidP="008C2905" w14:paraId="7D5838C4" w14:textId="2D022071">
      <w:r w:rsidRPr="00B77F7D">
        <w:t xml:space="preserve">Defendant contends that, </w:t>
      </w:r>
      <w:r w:rsidRPr="00B77F7D" w:rsidR="003366FF">
        <w:t>b</w:t>
      </w:r>
      <w:r w:rsidRPr="00B77F7D" w:rsidR="00AE4B4B">
        <w:t>ecause a jud</w:t>
      </w:r>
      <w:r w:rsidRPr="00B77F7D" w:rsidR="00FC53DF">
        <w:t xml:space="preserve">ge made the finding that </w:t>
      </w:r>
      <w:r w:rsidRPr="00B77F7D" w:rsidR="00AE4B4B">
        <w:t>triggered section 667.6(d), mandat</w:t>
      </w:r>
      <w:r w:rsidRPr="00B77F7D" w:rsidR="00F77DF5">
        <w:t>ing</w:t>
      </w:r>
      <w:r w:rsidRPr="00B77F7D" w:rsidR="00AE4B4B">
        <w:t xml:space="preserve"> </w:t>
      </w:r>
      <w:r w:rsidRPr="00B77F7D" w:rsidR="00DA76EA">
        <w:t>the imposition of consecutive sentences</w:t>
      </w:r>
      <w:r w:rsidRPr="00B77F7D" w:rsidR="004A4D08">
        <w:t xml:space="preserve"> and increas</w:t>
      </w:r>
      <w:r w:rsidRPr="00B77F7D" w:rsidR="00F77DF5">
        <w:t>ing hi</w:t>
      </w:r>
      <w:r w:rsidRPr="00B77F7D" w:rsidR="00FF69D7">
        <w:t xml:space="preserve">s </w:t>
      </w:r>
      <w:r w:rsidRPr="00B77F7D" w:rsidR="004A4D08">
        <w:t xml:space="preserve">minimum aggregate sentence from </w:t>
      </w:r>
      <w:r w:rsidRPr="00B77F7D" w:rsidR="00F249AB">
        <w:t>5</w:t>
      </w:r>
      <w:r w:rsidRPr="00B77F7D" w:rsidR="004A4D08">
        <w:t xml:space="preserve"> years plus 1</w:t>
      </w:r>
      <w:r w:rsidRPr="00B77F7D" w:rsidR="005968F5">
        <w:t>3</w:t>
      </w:r>
      <w:r w:rsidRPr="00B77F7D" w:rsidR="004A4D08">
        <w:t xml:space="preserve">5 years to life to </w:t>
      </w:r>
      <w:r w:rsidRPr="00B77F7D" w:rsidR="00121624">
        <w:t xml:space="preserve">20 </w:t>
      </w:r>
      <w:r w:rsidRPr="00B77F7D" w:rsidR="004A4D08">
        <w:t>years plus 135 years to life</w:t>
      </w:r>
      <w:r w:rsidR="00C52124">
        <w:t>,</w:t>
      </w:r>
      <w:r>
        <w:rPr>
          <w:rStyle w:val="FootnoteReference"/>
        </w:rPr>
        <w:footnoteReference w:id="17"/>
      </w:r>
      <w:r w:rsidRPr="00B77F7D" w:rsidR="00002795">
        <w:t xml:space="preserve"> </w:t>
      </w:r>
      <w:r w:rsidRPr="00B77F7D" w:rsidR="002B444F">
        <w:t>the court</w:t>
      </w:r>
      <w:r w:rsidR="00FF69D7">
        <w:t xml:space="preserve"> </w:t>
      </w:r>
      <w:r w:rsidR="00856EE2">
        <w:t>infringed</w:t>
      </w:r>
      <w:r w:rsidR="00A01D21">
        <w:t xml:space="preserve"> </w:t>
      </w:r>
      <w:r w:rsidR="00CD554F">
        <w:t>his right</w:t>
      </w:r>
      <w:r w:rsidR="00242974">
        <w:t xml:space="preserve"> </w:t>
      </w:r>
      <w:r w:rsidR="00C02043">
        <w:t xml:space="preserve">to </w:t>
      </w:r>
      <w:r w:rsidR="00AE4894">
        <w:t xml:space="preserve">a </w:t>
      </w:r>
      <w:r w:rsidR="00F50CFD">
        <w:t xml:space="preserve">trial </w:t>
      </w:r>
      <w:r w:rsidRPr="008C2905" w:rsidR="00F50CFD">
        <w:t xml:space="preserve">by </w:t>
      </w:r>
      <w:r w:rsidRPr="008C2905" w:rsidR="00C02043">
        <w:t xml:space="preserve">jury </w:t>
      </w:r>
      <w:r w:rsidRPr="008C2905" w:rsidR="00CD554F">
        <w:t xml:space="preserve">as defined by </w:t>
      </w:r>
      <w:r w:rsidRPr="008C2905" w:rsidR="00CD554F">
        <w:rPr>
          <w:i/>
        </w:rPr>
        <w:t>Alleyne</w:t>
      </w:r>
      <w:r w:rsidRPr="008C2905" w:rsidR="00CD554F">
        <w:t xml:space="preserve">, </w:t>
      </w:r>
      <w:r w:rsidRPr="008C2905" w:rsidR="00CD554F">
        <w:rPr>
          <w:i/>
        </w:rPr>
        <w:t>supra</w:t>
      </w:r>
      <w:r w:rsidRPr="008C2905" w:rsidR="00CD554F">
        <w:t>, 570</w:t>
      </w:r>
      <w:r w:rsidRPr="008C2905" w:rsidR="002D3E1D">
        <w:t> </w:t>
      </w:r>
      <w:r w:rsidRPr="008C2905" w:rsidR="00CD554F">
        <w:t>U.S. 99</w:t>
      </w:r>
      <w:r w:rsidRPr="008C2905" w:rsidR="0033125C">
        <w:t>.</w:t>
      </w:r>
      <w:r w:rsidRPr="008C2905" w:rsidR="002D3E1D">
        <w:t xml:space="preserve"> </w:t>
      </w:r>
      <w:r w:rsidRPr="008C2905" w:rsidR="0033125C">
        <w:t xml:space="preserve"> </w:t>
      </w:r>
      <w:r w:rsidRPr="008C2905" w:rsidR="00482FBB">
        <w:t>He acknowledges</w:t>
      </w:r>
      <w:r w:rsidR="00482FBB">
        <w:t xml:space="preserve"> the holding in </w:t>
      </w:r>
      <w:r w:rsidR="00482FBB">
        <w:rPr>
          <w:i/>
          <w:iCs/>
        </w:rPr>
        <w:t>Scott</w:t>
      </w:r>
      <w:r w:rsidR="00482FBB">
        <w:t>,</w:t>
      </w:r>
      <w:r w:rsidR="00482FBB">
        <w:rPr>
          <w:i/>
          <w:iCs/>
        </w:rPr>
        <w:t xml:space="preserve"> supra</w:t>
      </w:r>
      <w:r w:rsidR="00482FBB">
        <w:t xml:space="preserve">, </w:t>
      </w:r>
      <w:r w:rsidRPr="00193F67" w:rsidR="00AC2325">
        <w:t>61</w:t>
      </w:r>
      <w:r w:rsidR="00AC2325">
        <w:t> </w:t>
      </w:r>
      <w:r w:rsidRPr="00193F67" w:rsidR="00AC2325">
        <w:t xml:space="preserve">Cal.4th </w:t>
      </w:r>
      <w:r w:rsidR="00AC2325">
        <w:t>at page</w:t>
      </w:r>
      <w:r w:rsidR="002C6727">
        <w:t> </w:t>
      </w:r>
      <w:r w:rsidR="00AC2325">
        <w:t>405</w:t>
      </w:r>
      <w:r w:rsidR="00367D7D">
        <w:t>,</w:t>
      </w:r>
      <w:r w:rsidR="00AC2325">
        <w:t xml:space="preserve"> </w:t>
      </w:r>
      <w:r w:rsidR="00482FBB">
        <w:t>that section 667.6(d) does not violate the Sixth Amendment</w:t>
      </w:r>
      <w:r w:rsidR="006A1E58">
        <w:t>,</w:t>
      </w:r>
      <w:r w:rsidR="00482FBB">
        <w:t xml:space="preserve"> but </w:t>
      </w:r>
      <w:r w:rsidR="006A1E58">
        <w:t xml:space="preserve">he </w:t>
      </w:r>
      <w:r w:rsidR="00482FBB">
        <w:t xml:space="preserve">contends that </w:t>
      </w:r>
      <w:r w:rsidR="00475F5E">
        <w:t xml:space="preserve">subsequent </w:t>
      </w:r>
      <w:r w:rsidR="00E61848">
        <w:t>h</w:t>
      </w:r>
      <w:r w:rsidR="00475F5E">
        <w:t xml:space="preserve">igh </w:t>
      </w:r>
      <w:r w:rsidR="00E61848">
        <w:t>c</w:t>
      </w:r>
      <w:r w:rsidR="00475F5E">
        <w:t xml:space="preserve">ourt authority </w:t>
      </w:r>
      <w:r w:rsidR="00953292">
        <w:t xml:space="preserve">has undermined </w:t>
      </w:r>
      <w:r w:rsidR="00475F5E">
        <w:t>it</w:t>
      </w:r>
      <w:r w:rsidR="006D4CE5">
        <w:t>.</w:t>
      </w:r>
      <w:r w:rsidR="00E61848">
        <w:t xml:space="preserve"> </w:t>
      </w:r>
      <w:r w:rsidR="006D4CE5">
        <w:t xml:space="preserve"> </w:t>
      </w:r>
      <w:r w:rsidR="00A01D21">
        <w:t xml:space="preserve">He notes </w:t>
      </w:r>
      <w:r w:rsidR="007C245E">
        <w:t xml:space="preserve">that </w:t>
      </w:r>
      <w:r w:rsidR="00CC5DFB">
        <w:t>“</w:t>
      </w:r>
      <w:r w:rsidRPr="003D34A5" w:rsidR="00CC5DFB">
        <w:rPr>
          <w:i/>
          <w:iCs/>
        </w:rPr>
        <w:t>Scott</w:t>
      </w:r>
      <w:r w:rsidRPr="00CC5DFB" w:rsidR="00CC5DFB">
        <w:t xml:space="preserve"> relied on </w:t>
      </w:r>
      <w:r w:rsidRPr="003D34A5" w:rsidR="00CC5DFB">
        <w:rPr>
          <w:i/>
          <w:iCs/>
        </w:rPr>
        <w:t>Ice</w:t>
      </w:r>
      <w:r w:rsidRPr="00CC5DFB" w:rsidR="00CC5DFB">
        <w:t xml:space="preserve"> and </w:t>
      </w:r>
      <w:r w:rsidRPr="003D34A5" w:rsidR="00CC5DFB">
        <w:rPr>
          <w:i/>
          <w:iCs/>
        </w:rPr>
        <w:t>Black</w:t>
      </w:r>
      <w:r w:rsidRPr="00CC5DFB" w:rsidR="00CC5DFB">
        <w:t xml:space="preserve">, both of which relied on </w:t>
      </w:r>
      <w:r w:rsidRPr="003D34A5" w:rsidR="00CC5DFB">
        <w:rPr>
          <w:i/>
          <w:iCs/>
        </w:rPr>
        <w:t>Harris</w:t>
      </w:r>
      <w:r w:rsidRPr="00CC5DFB" w:rsidR="00CC5DFB">
        <w:t>, which</w:t>
      </w:r>
      <w:r w:rsidR="003D34A5">
        <w:t xml:space="preserve"> </w:t>
      </w:r>
      <w:r w:rsidRPr="00CC5DFB" w:rsidR="00CC5DFB">
        <w:t xml:space="preserve">was </w:t>
      </w:r>
      <w:r w:rsidRPr="00765643" w:rsidR="00CC5DFB">
        <w:rPr>
          <w:spacing w:val="-2"/>
        </w:rPr>
        <w:t xml:space="preserve">overruled in </w:t>
      </w:r>
      <w:r w:rsidRPr="00765643" w:rsidR="00CC5DFB">
        <w:rPr>
          <w:i/>
          <w:iCs/>
          <w:spacing w:val="-2"/>
        </w:rPr>
        <w:t>Alleyne</w:t>
      </w:r>
      <w:r w:rsidRPr="00765643" w:rsidR="00CC5DFB">
        <w:rPr>
          <w:spacing w:val="-2"/>
        </w:rPr>
        <w:t xml:space="preserve">. </w:t>
      </w:r>
      <w:r w:rsidRPr="00765643" w:rsidR="00E61848">
        <w:rPr>
          <w:spacing w:val="-2"/>
        </w:rPr>
        <w:t xml:space="preserve"> </w:t>
      </w:r>
      <w:r w:rsidRPr="00765643" w:rsidR="00CC5DFB">
        <w:rPr>
          <w:i/>
          <w:iCs/>
          <w:spacing w:val="-2"/>
        </w:rPr>
        <w:t>Black</w:t>
      </w:r>
      <w:r w:rsidRPr="00765643" w:rsidR="00CC5DFB">
        <w:rPr>
          <w:spacing w:val="-2"/>
        </w:rPr>
        <w:t xml:space="preserve"> predated both </w:t>
      </w:r>
      <w:r w:rsidRPr="00765643" w:rsidR="00C80A3E">
        <w:rPr>
          <w:spacing w:val="-2"/>
        </w:rPr>
        <w:t>[</w:t>
      </w:r>
      <w:r w:rsidRPr="00765643" w:rsidR="00C80A3E">
        <w:rPr>
          <w:i/>
          <w:iCs/>
          <w:spacing w:val="-2"/>
        </w:rPr>
        <w:t>United States v.</w:t>
      </w:r>
      <w:r w:rsidRPr="00765643" w:rsidR="00C80A3E">
        <w:rPr>
          <w:spacing w:val="-2"/>
        </w:rPr>
        <w:t>]</w:t>
      </w:r>
      <w:r w:rsidRPr="00765643" w:rsidR="00C80A3E">
        <w:rPr>
          <w:i/>
          <w:iCs/>
          <w:spacing w:val="-2"/>
        </w:rPr>
        <w:t xml:space="preserve"> Haymond</w:t>
      </w:r>
      <w:r w:rsidRPr="00765643" w:rsidR="00C80A3E">
        <w:rPr>
          <w:spacing w:val="-2"/>
        </w:rPr>
        <w:t xml:space="preserve"> [(2019)</w:t>
      </w:r>
      <w:r w:rsidRPr="005D0394" w:rsidR="00C80A3E">
        <w:t xml:space="preserve"> </w:t>
      </w:r>
      <w:r w:rsidR="00062357">
        <w:t>588</w:t>
      </w:r>
      <w:r w:rsidR="00005D6A">
        <w:t> </w:t>
      </w:r>
      <w:r w:rsidRPr="005D0394" w:rsidR="00C80A3E">
        <w:t xml:space="preserve">U.S. </w:t>
      </w:r>
      <w:r w:rsidRPr="008C2905" w:rsidR="00C80A3E">
        <w:t>___</w:t>
      </w:r>
      <w:r w:rsidRPr="008C2905" w:rsidR="00C27315">
        <w:t xml:space="preserve"> [</w:t>
      </w:r>
      <w:r w:rsidRPr="005D0394" w:rsidR="00C80A3E">
        <w:t>139 S.Ct. 2369</w:t>
      </w:r>
      <w:r w:rsidRPr="008C2905" w:rsidR="0085390E">
        <w:t>]</w:t>
      </w:r>
      <w:r w:rsidRPr="005D0394" w:rsidR="00C80A3E">
        <w:t xml:space="preserve"> (</w:t>
      </w:r>
      <w:r w:rsidRPr="005D0394" w:rsidR="00C80A3E">
        <w:rPr>
          <w:i/>
          <w:iCs/>
        </w:rPr>
        <w:t>Haymon</w:t>
      </w:r>
      <w:r w:rsidRPr="008A24DF" w:rsidR="00C80A3E">
        <w:rPr>
          <w:i/>
          <w:spacing w:val="20"/>
        </w:rPr>
        <w:t>d</w:t>
      </w:r>
      <w:r w:rsidRPr="005D0394" w:rsidR="00C80A3E">
        <w:t>)</w:t>
      </w:r>
      <w:r>
        <w:rPr>
          <w:rStyle w:val="FootnoteReference"/>
        </w:rPr>
        <w:footnoteReference w:id="18"/>
      </w:r>
      <w:r w:rsidRPr="005D0394" w:rsidR="00EF182C">
        <w:t>]</w:t>
      </w:r>
      <w:r w:rsidRPr="005D0394" w:rsidR="00C80A3E">
        <w:t xml:space="preserve"> </w:t>
      </w:r>
      <w:r w:rsidRPr="005D0394" w:rsidR="00CC5DFB">
        <w:t>and</w:t>
      </w:r>
      <w:r w:rsidRPr="00CC5DFB" w:rsidR="00CC5DFB">
        <w:t xml:space="preserve"> </w:t>
      </w:r>
      <w:r w:rsidRPr="003D34A5" w:rsidR="00CC5DFB">
        <w:rPr>
          <w:i/>
          <w:iCs/>
        </w:rPr>
        <w:t>Alleyne</w:t>
      </w:r>
      <w:r w:rsidRPr="00CC5DFB" w:rsidR="00CC5DFB">
        <w:t>,</w:t>
      </w:r>
      <w:r w:rsidR="003D34A5">
        <w:t xml:space="preserve"> </w:t>
      </w:r>
      <w:r w:rsidRPr="00CC5DFB" w:rsidR="00CC5DFB">
        <w:t xml:space="preserve">while </w:t>
      </w:r>
      <w:r w:rsidRPr="003D34A5" w:rsidR="00CC5DFB">
        <w:rPr>
          <w:i/>
          <w:iCs/>
        </w:rPr>
        <w:t>Scott</w:t>
      </w:r>
      <w:r w:rsidRPr="00CC5DFB" w:rsidR="00CC5DFB">
        <w:t xml:space="preserve"> predated </w:t>
      </w:r>
      <w:r w:rsidRPr="003D34A5" w:rsidR="00CC5DFB">
        <w:rPr>
          <w:i/>
          <w:iCs/>
        </w:rPr>
        <w:t>Haymond</w:t>
      </w:r>
      <w:r w:rsidRPr="00CC5DFB" w:rsidR="00CC5DFB">
        <w:t xml:space="preserve"> and </w:t>
      </w:r>
      <w:r w:rsidR="008D1217">
        <w:t xml:space="preserve">. . . </w:t>
      </w:r>
      <w:r w:rsidRPr="00CC5DFB" w:rsidR="00CC5DFB">
        <w:t>rel</w:t>
      </w:r>
      <w:r w:rsidR="008D1217">
        <w:t>[ied]</w:t>
      </w:r>
      <w:r w:rsidRPr="00CC5DFB" w:rsidR="00CC5DFB">
        <w:t xml:space="preserve"> almost entirely on </w:t>
      </w:r>
      <w:r w:rsidRPr="003D34A5" w:rsidR="00CC5DFB">
        <w:rPr>
          <w:i/>
          <w:iCs/>
        </w:rPr>
        <w:t>Ice</w:t>
      </w:r>
      <w:r w:rsidRPr="00CC5DFB" w:rsidR="00CC5DFB">
        <w:t xml:space="preserve"> and </w:t>
      </w:r>
      <w:r w:rsidRPr="003D34A5" w:rsidR="00CC5DFB">
        <w:rPr>
          <w:i/>
          <w:iCs/>
        </w:rPr>
        <w:t>Black</w:t>
      </w:r>
      <w:r w:rsidRPr="008C2905" w:rsidR="00CC5DFB">
        <w:t>.</w:t>
      </w:r>
      <w:r w:rsidRPr="008C2905" w:rsidR="003D34A5">
        <w:t>”</w:t>
      </w:r>
    </w:p>
    <w:p w:rsidR="007629B5" w:rsidRPr="00A222C3" w:rsidP="005D0394" w14:paraId="77009A9F" w14:textId="60CA819F">
      <w:r>
        <w:t xml:space="preserve">While </w:t>
      </w:r>
      <w:r w:rsidR="00FF69D7">
        <w:t xml:space="preserve">none </w:t>
      </w:r>
      <w:r w:rsidR="00FB408F">
        <w:t xml:space="preserve">of </w:t>
      </w:r>
      <w:r>
        <w:t xml:space="preserve">those statements </w:t>
      </w:r>
      <w:r w:rsidR="00FB408F">
        <w:t xml:space="preserve">is </w:t>
      </w:r>
      <w:r w:rsidR="00FF69D7">
        <w:t>in</w:t>
      </w:r>
      <w:r w:rsidR="002D441D">
        <w:t>correct</w:t>
      </w:r>
      <w:r>
        <w:t>, no</w:t>
      </w:r>
      <w:r w:rsidR="002D441D">
        <w:t>r</w:t>
      </w:r>
      <w:r>
        <w:t xml:space="preserve"> is </w:t>
      </w:r>
      <w:r w:rsidR="002D441D">
        <w:t xml:space="preserve">any of them </w:t>
      </w:r>
      <w:r>
        <w:t>relevant to the constitutionality of section 667.6(d)</w:t>
      </w:r>
      <w:r w:rsidR="00377BAF">
        <w:t xml:space="preserve"> insofar as it</w:t>
      </w:r>
      <w:r>
        <w:t xml:space="preserve"> </w:t>
      </w:r>
      <w:r w:rsidR="007B7F96">
        <w:t xml:space="preserve">required the court to </w:t>
      </w:r>
      <w:r w:rsidRPr="008C2905" w:rsidR="007B7F96">
        <w:t xml:space="preserve">make defendant’s </w:t>
      </w:r>
      <w:r w:rsidRPr="008C2905">
        <w:t>sentences con</w:t>
      </w:r>
      <w:r w:rsidRPr="008C2905" w:rsidR="00457C58">
        <w:t>secutive</w:t>
      </w:r>
      <w:r w:rsidRPr="008C2905">
        <w:t>.</w:t>
      </w:r>
      <w:r w:rsidRPr="008C2905" w:rsidR="005D0394">
        <w:t xml:space="preserve"> </w:t>
      </w:r>
      <w:r w:rsidRPr="008C2905">
        <w:t xml:space="preserve"> </w:t>
      </w:r>
      <w:r w:rsidRPr="008C2905" w:rsidR="00457C58">
        <w:t>That aspect of the statute’s operation</w:t>
      </w:r>
      <w:r w:rsidR="00457C58">
        <w:t xml:space="preserve"> </w:t>
      </w:r>
      <w:r w:rsidR="00DA5B78">
        <w:t xml:space="preserve">simply </w:t>
      </w:r>
      <w:r w:rsidR="00457C58">
        <w:t>does not implicate the Sixth Amendment, as t</w:t>
      </w:r>
      <w:r>
        <w:t>he California Supreme Court</w:t>
      </w:r>
      <w:r w:rsidR="00DE26B2">
        <w:t>,</w:t>
      </w:r>
      <w:r w:rsidRPr="00DE26B2" w:rsidR="00DE26B2">
        <w:t xml:space="preserve"> </w:t>
      </w:r>
      <w:r w:rsidR="00DE26B2">
        <w:t xml:space="preserve">applying the rule of </w:t>
      </w:r>
      <w:r w:rsidR="00DE26B2">
        <w:rPr>
          <w:i/>
          <w:iCs/>
        </w:rPr>
        <w:t>Ice</w:t>
      </w:r>
      <w:r w:rsidR="00DE26B2">
        <w:t xml:space="preserve">, </w:t>
      </w:r>
      <w:r w:rsidR="00DE26B2">
        <w:rPr>
          <w:i/>
          <w:iCs/>
        </w:rPr>
        <w:t>supra</w:t>
      </w:r>
      <w:r w:rsidR="00DE26B2">
        <w:t>, 555 U.S. 160,</w:t>
      </w:r>
      <w:r>
        <w:t xml:space="preserve"> </w:t>
      </w:r>
      <w:r w:rsidR="00457C58">
        <w:t xml:space="preserve">held </w:t>
      </w:r>
      <w:r>
        <w:t xml:space="preserve">in </w:t>
      </w:r>
      <w:r>
        <w:rPr>
          <w:i/>
          <w:iCs/>
        </w:rPr>
        <w:t>Scott</w:t>
      </w:r>
      <w:r w:rsidR="00457C58">
        <w:t xml:space="preserve">, </w:t>
      </w:r>
      <w:r w:rsidR="00457C58">
        <w:rPr>
          <w:i/>
          <w:iCs/>
        </w:rPr>
        <w:t>supra</w:t>
      </w:r>
      <w:r w:rsidR="00457C58">
        <w:t xml:space="preserve">, </w:t>
      </w:r>
      <w:r w:rsidRPr="00193F67" w:rsidR="0028567D">
        <w:t>61</w:t>
      </w:r>
      <w:r w:rsidR="00E45B8D">
        <w:t> </w:t>
      </w:r>
      <w:r w:rsidRPr="00193F67" w:rsidR="0028567D">
        <w:t xml:space="preserve">Cal.4th </w:t>
      </w:r>
      <w:r w:rsidR="0028567D">
        <w:t>at page</w:t>
      </w:r>
      <w:r w:rsidR="00B970B4">
        <w:t> </w:t>
      </w:r>
      <w:r w:rsidR="0028567D">
        <w:t>405</w:t>
      </w:r>
      <w:r>
        <w:t>.</w:t>
      </w:r>
      <w:r w:rsidR="00454961">
        <w:t xml:space="preserve"> </w:t>
      </w:r>
      <w:r>
        <w:t xml:space="preserve"> </w:t>
      </w:r>
      <w:r w:rsidR="009F0462">
        <w:t xml:space="preserve">The </w:t>
      </w:r>
      <w:r>
        <w:t>overrul</w:t>
      </w:r>
      <w:r w:rsidR="009E67AD">
        <w:t>ing of</w:t>
      </w:r>
      <w:r>
        <w:t xml:space="preserve"> </w:t>
      </w:r>
      <w:r>
        <w:rPr>
          <w:i/>
          <w:iCs/>
        </w:rPr>
        <w:t>Harris</w:t>
      </w:r>
      <w:r>
        <w:t xml:space="preserve">, </w:t>
      </w:r>
      <w:r>
        <w:rPr>
          <w:i/>
          <w:iCs/>
        </w:rPr>
        <w:t>supra</w:t>
      </w:r>
      <w:r>
        <w:t xml:space="preserve">, </w:t>
      </w:r>
      <w:r w:rsidRPr="00193F67" w:rsidR="00FB408F">
        <w:t>536</w:t>
      </w:r>
      <w:r w:rsidR="00DE26B2">
        <w:t> </w:t>
      </w:r>
      <w:r w:rsidRPr="00193F67" w:rsidR="00FB408F">
        <w:t>U.S. 545</w:t>
      </w:r>
      <w:r w:rsidR="00FB408F">
        <w:t>,</w:t>
      </w:r>
      <w:r w:rsidR="00A20C98">
        <w:t xml:space="preserve"> </w:t>
      </w:r>
      <w:r w:rsidR="004E2AFC">
        <w:t>by</w:t>
      </w:r>
      <w:r w:rsidR="00A7508C">
        <w:t xml:space="preserve"> </w:t>
      </w:r>
      <w:r w:rsidRPr="008C2905" w:rsidR="00FB408F">
        <w:rPr>
          <w:i/>
        </w:rPr>
        <w:t>Alleyne</w:t>
      </w:r>
      <w:r w:rsidRPr="008C2905" w:rsidR="00FB408F">
        <w:t xml:space="preserve">, </w:t>
      </w:r>
      <w:r w:rsidRPr="008C2905" w:rsidR="00FB408F">
        <w:rPr>
          <w:i/>
        </w:rPr>
        <w:t>supra</w:t>
      </w:r>
      <w:r w:rsidRPr="008C2905" w:rsidR="00FB408F">
        <w:t>, 570</w:t>
      </w:r>
      <w:r w:rsidRPr="008C2905" w:rsidR="00447EF1">
        <w:t> </w:t>
      </w:r>
      <w:r w:rsidRPr="008C2905" w:rsidR="00FB408F">
        <w:t>U.S. 99</w:t>
      </w:r>
      <w:r w:rsidRPr="008C2905" w:rsidR="00A20180">
        <w:t xml:space="preserve">, </w:t>
      </w:r>
      <w:r w:rsidRPr="008C2905" w:rsidR="009F0462">
        <w:t>is irrelevant:</w:t>
      </w:r>
      <w:r w:rsidRPr="008C2905" w:rsidR="00454961">
        <w:t xml:space="preserve"> </w:t>
      </w:r>
      <w:r w:rsidRPr="008C2905" w:rsidR="009F0462">
        <w:t xml:space="preserve"> </w:t>
      </w:r>
      <w:r w:rsidRPr="008C2905" w:rsidR="002E22A5">
        <w:t xml:space="preserve">neither </w:t>
      </w:r>
      <w:r w:rsidRPr="008C2905" w:rsidR="002E22A5">
        <w:rPr>
          <w:i/>
        </w:rPr>
        <w:t xml:space="preserve">Harris </w:t>
      </w:r>
      <w:r w:rsidRPr="008C2905" w:rsidR="002E22A5">
        <w:t xml:space="preserve">nor </w:t>
      </w:r>
      <w:r w:rsidRPr="008C2905" w:rsidR="00A7508C">
        <w:rPr>
          <w:i/>
        </w:rPr>
        <w:t>Alleyne</w:t>
      </w:r>
      <w:r w:rsidRPr="008C2905" w:rsidR="00A7508C">
        <w:t xml:space="preserve"> address</w:t>
      </w:r>
      <w:r w:rsidRPr="008C2905" w:rsidR="002E22A5">
        <w:t>ed</w:t>
      </w:r>
      <w:r w:rsidR="00A7508C">
        <w:t xml:space="preserve"> consecutive sentences</w:t>
      </w:r>
      <w:r w:rsidR="00270E50">
        <w:t>.</w:t>
      </w:r>
      <w:r w:rsidR="00454961">
        <w:t xml:space="preserve"> </w:t>
      </w:r>
      <w:r w:rsidR="00270E50">
        <w:t xml:space="preserve"> W</w:t>
      </w:r>
      <w:r w:rsidR="00A20175">
        <w:t xml:space="preserve">hile </w:t>
      </w:r>
      <w:r w:rsidR="00A20175">
        <w:rPr>
          <w:i/>
          <w:iCs/>
        </w:rPr>
        <w:t xml:space="preserve">Ice </w:t>
      </w:r>
      <w:r w:rsidR="00EC5FCA">
        <w:rPr>
          <w:i/>
          <w:iCs/>
        </w:rPr>
        <w:t xml:space="preserve">did </w:t>
      </w:r>
      <w:r w:rsidR="00A20175">
        <w:t xml:space="preserve">cite </w:t>
      </w:r>
      <w:r w:rsidRPr="00E4363A" w:rsidR="00E4363A">
        <w:rPr>
          <w:i/>
          <w:iCs/>
        </w:rPr>
        <w:t>Harris</w:t>
      </w:r>
      <w:r w:rsidR="00447EF1">
        <w:rPr>
          <w:i/>
          <w:iCs/>
        </w:rPr>
        <w:t xml:space="preserve"> </w:t>
      </w:r>
      <w:r w:rsidR="003002DD">
        <w:t xml:space="preserve">once </w:t>
      </w:r>
      <w:r w:rsidR="00270E50">
        <w:t>(</w:t>
      </w:r>
      <w:r w:rsidRPr="00296AB0" w:rsidR="0083141A">
        <w:rPr>
          <w:i/>
          <w:iCs/>
        </w:rPr>
        <w:t>Ice</w:t>
      </w:r>
      <w:r w:rsidRPr="008C2905" w:rsidR="0083141A">
        <w:t>,</w:t>
      </w:r>
      <w:r w:rsidR="00270E50">
        <w:t xml:space="preserve"> at p.</w:t>
      </w:r>
      <w:r w:rsidR="00454961">
        <w:t> </w:t>
      </w:r>
      <w:r w:rsidR="003002DD">
        <w:t>168)</w:t>
      </w:r>
      <w:r w:rsidR="00A20175">
        <w:t xml:space="preserve">, </w:t>
      </w:r>
      <w:r w:rsidR="00447EF1">
        <w:rPr>
          <w:i/>
          <w:iCs/>
        </w:rPr>
        <w:t xml:space="preserve">Harris </w:t>
      </w:r>
      <w:r w:rsidR="00756E2B">
        <w:t>was</w:t>
      </w:r>
      <w:r w:rsidR="004E2AFC">
        <w:t xml:space="preserve"> </w:t>
      </w:r>
      <w:r w:rsidR="00767882">
        <w:t xml:space="preserve">not </w:t>
      </w:r>
      <w:r w:rsidR="008A09E7">
        <w:t>necessary</w:t>
      </w:r>
      <w:r w:rsidR="00E4363A">
        <w:t xml:space="preserve"> </w:t>
      </w:r>
      <w:r w:rsidR="00756E2B">
        <w:t xml:space="preserve">to </w:t>
      </w:r>
      <w:r w:rsidR="004544BF">
        <w:t xml:space="preserve">its </w:t>
      </w:r>
      <w:r w:rsidR="00C81FC5">
        <w:t xml:space="preserve">holding </w:t>
      </w:r>
      <w:r w:rsidR="008A1171">
        <w:t xml:space="preserve">about </w:t>
      </w:r>
      <w:r w:rsidR="003C0167">
        <w:t>consecutive</w:t>
      </w:r>
      <w:r w:rsidR="00447EF1">
        <w:t xml:space="preserve"> </w:t>
      </w:r>
      <w:r w:rsidR="003C0167">
        <w:t>sentencing</w:t>
      </w:r>
      <w:r w:rsidR="00C81FC5">
        <w:t xml:space="preserve">. </w:t>
      </w:r>
      <w:r w:rsidR="00454961">
        <w:t xml:space="preserve"> </w:t>
      </w:r>
      <w:r w:rsidR="002A4E66">
        <w:t xml:space="preserve">Nor does </w:t>
      </w:r>
      <w:r w:rsidRPr="008C2905" w:rsidR="00A7508C">
        <w:rPr>
          <w:i/>
        </w:rPr>
        <w:t>Haymond</w:t>
      </w:r>
      <w:r w:rsidRPr="008C2905" w:rsidR="00A7508C">
        <w:t>,</w:t>
      </w:r>
      <w:r w:rsidRPr="008C2905" w:rsidR="009C20C3">
        <w:t xml:space="preserve"> </w:t>
      </w:r>
      <w:r w:rsidRPr="008C2905" w:rsidR="00A7508C">
        <w:rPr>
          <w:i/>
        </w:rPr>
        <w:t>supra</w:t>
      </w:r>
      <w:r w:rsidRPr="008C2905" w:rsidR="00A7508C">
        <w:t>,</w:t>
      </w:r>
      <w:r w:rsidRPr="008C2905" w:rsidR="00E95A24">
        <w:t xml:space="preserve"> 139 S.Ct. 2369 </w:t>
      </w:r>
      <w:r w:rsidRPr="008C2905" w:rsidR="00A60CB9">
        <w:t>address consecutive sentenc</w:t>
      </w:r>
      <w:r w:rsidRPr="008C2905" w:rsidR="008A09E7">
        <w:t xml:space="preserve">ing </w:t>
      </w:r>
      <w:r w:rsidRPr="008C2905" w:rsidR="008022E5">
        <w:t xml:space="preserve">or </w:t>
      </w:r>
      <w:r w:rsidRPr="008C2905" w:rsidR="00E95A24">
        <w:t>undermine</w:t>
      </w:r>
      <w:r w:rsidR="00E95A24">
        <w:t xml:space="preserve"> </w:t>
      </w:r>
      <w:r w:rsidR="00A60CB9">
        <w:rPr>
          <w:i/>
          <w:iCs/>
        </w:rPr>
        <w:t>Ice</w:t>
      </w:r>
      <w:r w:rsidR="00E95A24">
        <w:t xml:space="preserve">. </w:t>
      </w:r>
      <w:r w:rsidR="00EC1DB3">
        <w:t xml:space="preserve"> </w:t>
      </w:r>
      <w:r w:rsidR="00447EF1">
        <w:t>T</w:t>
      </w:r>
      <w:r w:rsidR="00D942B5">
        <w:t>h</w:t>
      </w:r>
      <w:r w:rsidR="00CF35EC">
        <w:t>e</w:t>
      </w:r>
      <w:r w:rsidR="00311AAD">
        <w:t xml:space="preserve"> </w:t>
      </w:r>
      <w:r w:rsidR="00CF35EC">
        <w:t xml:space="preserve">core </w:t>
      </w:r>
      <w:r w:rsidR="00311AAD">
        <w:t>holding</w:t>
      </w:r>
      <w:r w:rsidR="00CF35EC">
        <w:t xml:space="preserve"> of </w:t>
      </w:r>
      <w:r w:rsidR="00912706">
        <w:t>that decision</w:t>
      </w:r>
      <w:r w:rsidR="000F6139">
        <w:t>—</w:t>
      </w:r>
      <w:r w:rsidRPr="008C2905" w:rsidR="004C37CD">
        <w:t xml:space="preserve">that judicial factfinding </w:t>
      </w:r>
      <w:r w:rsidRPr="008C2905" w:rsidR="00B208AB">
        <w:t>which</w:t>
      </w:r>
      <w:r w:rsidRPr="008C2905" w:rsidR="004C37CD">
        <w:t xml:space="preserve"> does not alter the sentence for a discrete </w:t>
      </w:r>
      <w:r w:rsidRPr="008C2905" w:rsidR="00B208AB">
        <w:t>crim</w:t>
      </w:r>
      <w:r w:rsidRPr="008C2905" w:rsidR="004C37CD">
        <w:t>e,</w:t>
      </w:r>
      <w:r w:rsidR="004C37CD">
        <w:t xml:space="preserve"> but </w:t>
      </w:r>
      <w:r w:rsidR="00B208AB">
        <w:t xml:space="preserve">affects </w:t>
      </w:r>
      <w:r w:rsidR="00D942B5">
        <w:t xml:space="preserve">only </w:t>
      </w:r>
      <w:r w:rsidR="00B208AB">
        <w:t xml:space="preserve">whether </w:t>
      </w:r>
      <w:r w:rsidR="004E2AFC">
        <w:t xml:space="preserve">the </w:t>
      </w:r>
      <w:r w:rsidR="00B208AB">
        <w:t xml:space="preserve">sentences for </w:t>
      </w:r>
      <w:r w:rsidR="000F6139">
        <w:t>multiple</w:t>
      </w:r>
      <w:r w:rsidR="00B208AB">
        <w:t xml:space="preserve"> crimes </w:t>
      </w:r>
      <w:r w:rsidR="00311AAD">
        <w:t>are imposed</w:t>
      </w:r>
      <w:r w:rsidR="00A35351">
        <w:t xml:space="preserve"> </w:t>
      </w:r>
      <w:r w:rsidR="00B208AB">
        <w:t>consecutively or concurrently</w:t>
      </w:r>
      <w:r w:rsidR="009923C7">
        <w:t xml:space="preserve">, does not </w:t>
      </w:r>
      <w:r w:rsidR="00006D92">
        <w:t>violate the Sixth Amendment</w:t>
      </w:r>
      <w:r w:rsidR="00D43D9B">
        <w:t xml:space="preserve"> (</w:t>
      </w:r>
      <w:r w:rsidRPr="00311AAD" w:rsidR="00311AAD">
        <w:rPr>
          <w:i/>
          <w:iCs/>
        </w:rPr>
        <w:t>Ice</w:t>
      </w:r>
      <w:r w:rsidR="00311AAD">
        <w:t xml:space="preserve">, </w:t>
      </w:r>
      <w:r w:rsidR="00A35351">
        <w:t>at p</w:t>
      </w:r>
      <w:r w:rsidR="00B64647">
        <w:t>p</w:t>
      </w:r>
      <w:r w:rsidR="00A35351">
        <w:t>.</w:t>
      </w:r>
      <w:r w:rsidR="00EC1DB3">
        <w:t> </w:t>
      </w:r>
      <w:r w:rsidR="00A35351">
        <w:t>168–169)</w:t>
      </w:r>
      <w:r w:rsidR="000F6139">
        <w:t>—</w:t>
      </w:r>
      <w:r w:rsidR="008022E5">
        <w:t>remains</w:t>
      </w:r>
      <w:r w:rsidR="00280800">
        <w:t xml:space="preserve"> </w:t>
      </w:r>
      <w:r w:rsidR="006833B7">
        <w:t xml:space="preserve">clearly </w:t>
      </w:r>
      <w:r w:rsidR="00280800">
        <w:t xml:space="preserve">controlling </w:t>
      </w:r>
      <w:r w:rsidR="00B208AB">
        <w:t>law</w:t>
      </w:r>
      <w:r w:rsidR="0090355E">
        <w:t>.</w:t>
      </w:r>
      <w:r>
        <w:rPr>
          <w:rStyle w:val="FootnoteReference"/>
        </w:rPr>
        <w:footnoteReference w:id="19"/>
      </w:r>
    </w:p>
    <w:p w:rsidR="007C34FD" w:rsidP="00EC1DB3" w14:paraId="645C66C8" w14:textId="3DEE4C48">
      <w:r w:rsidRPr="007D7DD6">
        <w:t>We come, then, to the nub of the issue here</w:t>
      </w:r>
      <w:r>
        <w:t xml:space="preserve">.  </w:t>
      </w:r>
      <w:r w:rsidR="0090355E">
        <w:t xml:space="preserve">The </w:t>
      </w:r>
      <w:r w:rsidR="00BE17CB">
        <w:t xml:space="preserve">constitutional analysis </w:t>
      </w:r>
      <w:r w:rsidR="0090355E">
        <w:t>differs</w:t>
      </w:r>
      <w:r>
        <w:t xml:space="preserve"> </w:t>
      </w:r>
      <w:r w:rsidR="0090355E">
        <w:t xml:space="preserve">with regard to the other </w:t>
      </w:r>
      <w:r w:rsidRPr="004F6D2B" w:rsidR="0090355E">
        <w:t>aspect of section 667.6(d</w:t>
      </w:r>
      <w:r w:rsidRPr="004F6D2B" w:rsidR="0058717F">
        <w:t>).</w:t>
      </w:r>
      <w:r w:rsidRPr="004F6D2B" w:rsidR="00EC1DB3">
        <w:t xml:space="preserve"> </w:t>
      </w:r>
      <w:r w:rsidRPr="004F6D2B" w:rsidR="0058717F">
        <w:t xml:space="preserve"> </w:t>
      </w:r>
      <w:r w:rsidRPr="004F6D2B" w:rsidR="00770794">
        <w:t xml:space="preserve">Under the “full . . . </w:t>
      </w:r>
      <w:r w:rsidRPr="004F6D2B" w:rsidR="00B0589B">
        <w:t>term</w:t>
      </w:r>
      <w:r w:rsidRPr="004F6D2B" w:rsidR="00770794">
        <w:t xml:space="preserve">” </w:t>
      </w:r>
      <w:r w:rsidRPr="004F6D2B" w:rsidR="006625C1">
        <w:t>provision</w:t>
      </w:r>
      <w:r w:rsidRPr="004F6D2B" w:rsidR="00770794">
        <w:t>,</w:t>
      </w:r>
      <w:r w:rsidR="00770794">
        <w:t xml:space="preserve"> </w:t>
      </w:r>
      <w:r w:rsidR="00CA3BE2">
        <w:t xml:space="preserve">a </w:t>
      </w:r>
      <w:r w:rsidR="0090355E">
        <w:t>jud</w:t>
      </w:r>
      <w:r w:rsidR="00CA3BE2">
        <w:t>ge’s factual</w:t>
      </w:r>
      <w:r w:rsidR="0090355E">
        <w:t xml:space="preserve"> </w:t>
      </w:r>
      <w:r w:rsidR="009F6607">
        <w:t>finding</w:t>
      </w:r>
      <w:r w:rsidR="00CA3BE2">
        <w:t>s</w:t>
      </w:r>
      <w:r w:rsidR="009F6607">
        <w:t xml:space="preserve"> </w:t>
      </w:r>
      <w:r w:rsidR="00770794">
        <w:t>increased</w:t>
      </w:r>
      <w:r w:rsidR="0087638B">
        <w:t xml:space="preserve"> </w:t>
      </w:r>
      <w:r w:rsidR="001A616C">
        <w:t xml:space="preserve">not </w:t>
      </w:r>
      <w:r w:rsidR="00AD28EF">
        <w:t>just</w:t>
      </w:r>
      <w:r w:rsidR="001A616C">
        <w:t xml:space="preserve"> </w:t>
      </w:r>
      <w:r w:rsidR="00E37779">
        <w:t xml:space="preserve">defendant’s </w:t>
      </w:r>
      <w:r w:rsidR="001A616C">
        <w:t>aggregate sentence</w:t>
      </w:r>
      <w:r w:rsidR="00B468CD">
        <w:t xml:space="preserve"> </w:t>
      </w:r>
      <w:r w:rsidR="001A616C">
        <w:t xml:space="preserve">but </w:t>
      </w:r>
      <w:r w:rsidR="00663341">
        <w:t>his</w:t>
      </w:r>
      <w:r w:rsidR="0087638B">
        <w:t xml:space="preserve"> </w:t>
      </w:r>
      <w:r w:rsidR="00D9428F">
        <w:t xml:space="preserve">mandatory minimum </w:t>
      </w:r>
      <w:r w:rsidR="0087638B">
        <w:t xml:space="preserve">sentence for </w:t>
      </w:r>
      <w:r w:rsidR="00084C63">
        <w:t xml:space="preserve">each of </w:t>
      </w:r>
      <w:r w:rsidR="0087638B">
        <w:t>several discrete offenses</w:t>
      </w:r>
      <w:r w:rsidR="001A616C">
        <w:t>.</w:t>
      </w:r>
      <w:r w:rsidR="0087638B">
        <w:t xml:space="preserve"> </w:t>
      </w:r>
      <w:r w:rsidR="00EC1DB3">
        <w:t xml:space="preserve"> </w:t>
      </w:r>
      <w:r w:rsidR="003F3228">
        <w:t>Were it not</w:t>
      </w:r>
      <w:r w:rsidR="00084C63">
        <w:t xml:space="preserve"> </w:t>
      </w:r>
      <w:r w:rsidRPr="004F6D2B" w:rsidR="00084C63">
        <w:t xml:space="preserve">for </w:t>
      </w:r>
      <w:r w:rsidR="00571BD6">
        <w:t xml:space="preserve">section 667.6(d), </w:t>
      </w:r>
      <w:r w:rsidR="00DE0DC9">
        <w:t>t</w:t>
      </w:r>
      <w:r w:rsidR="00C0553E">
        <w:t>he</w:t>
      </w:r>
      <w:r w:rsidR="00571BD6">
        <w:t xml:space="preserve"> sentencing</w:t>
      </w:r>
      <w:r w:rsidR="00C0553E">
        <w:t xml:space="preserve"> </w:t>
      </w:r>
      <w:r w:rsidRPr="004F6D2B" w:rsidR="00DE0DC9">
        <w:t xml:space="preserve">judge </w:t>
      </w:r>
      <w:r w:rsidRPr="004F6D2B" w:rsidR="000C451F">
        <w:t>would have had discretion</w:t>
      </w:r>
      <w:r w:rsidRPr="004F6D2B" w:rsidR="00120D2C">
        <w:t>,</w:t>
      </w:r>
      <w:r w:rsidRPr="004F6D2B" w:rsidR="000C451F">
        <w:t xml:space="preserve"> </w:t>
      </w:r>
      <w:r w:rsidRPr="004F6D2B" w:rsidR="00A81D25">
        <w:t xml:space="preserve">on </w:t>
      </w:r>
      <w:r w:rsidR="00992E78">
        <w:t>the second through fourth forcible</w:t>
      </w:r>
      <w:r w:rsidR="00EC1DB3">
        <w:t xml:space="preserve"> </w:t>
      </w:r>
      <w:r w:rsidR="00992E78">
        <w:t>lewd</w:t>
      </w:r>
      <w:r w:rsidR="00EC1DB3">
        <w:t xml:space="preserve"> </w:t>
      </w:r>
      <w:r w:rsidR="00992E78">
        <w:t>act</w:t>
      </w:r>
      <w:r w:rsidRPr="001A616C" w:rsidR="00992E78">
        <w:t xml:space="preserve"> </w:t>
      </w:r>
      <w:r w:rsidR="00992E78">
        <w:t>counts</w:t>
      </w:r>
      <w:r w:rsidR="00120D2C">
        <w:t>,</w:t>
      </w:r>
      <w:r w:rsidRPr="004F6D2B" w:rsidR="00992E78">
        <w:t xml:space="preserve"> </w:t>
      </w:r>
      <w:r w:rsidRPr="004F6D2B" w:rsidR="000C451F">
        <w:t xml:space="preserve">to impose either </w:t>
      </w:r>
      <w:r w:rsidRPr="004F6D2B" w:rsidR="00A81D25">
        <w:t xml:space="preserve">a </w:t>
      </w:r>
      <w:r w:rsidRPr="004F6D2B" w:rsidR="000C451F">
        <w:t xml:space="preserve">full </w:t>
      </w:r>
      <w:r w:rsidRPr="004F6D2B" w:rsidR="00732393">
        <w:t>lower, middle, or upper</w:t>
      </w:r>
      <w:r w:rsidRPr="004F6D2B" w:rsidR="00B0589B">
        <w:t xml:space="preserve"> </w:t>
      </w:r>
      <w:r w:rsidRPr="004F6D2B" w:rsidR="00732393">
        <w:t xml:space="preserve">term </w:t>
      </w:r>
      <w:r w:rsidRPr="004F6D2B" w:rsidR="000C451F">
        <w:t>pursuant to section</w:t>
      </w:r>
      <w:r w:rsidR="000C451F">
        <w:t xml:space="preserve"> 667.6(c) or one</w:t>
      </w:r>
      <w:r w:rsidR="005F0EDC">
        <w:noBreakHyphen/>
      </w:r>
      <w:r w:rsidR="000C451F">
        <w:t>third the middle term</w:t>
      </w:r>
      <w:r w:rsidR="004E35EA">
        <w:t xml:space="preserve"> pursuant to </w:t>
      </w:r>
      <w:r w:rsidR="00D37ABF">
        <w:t>section 1170.1</w:t>
      </w:r>
      <w:r w:rsidR="000C451F">
        <w:t>.</w:t>
      </w:r>
      <w:r w:rsidR="00EC1DB3">
        <w:t xml:space="preserve"> </w:t>
      </w:r>
      <w:r w:rsidR="000C451F">
        <w:t xml:space="preserve"> </w:t>
      </w:r>
      <w:r w:rsidRPr="004F6D2B" w:rsidR="00571BD6">
        <w:t xml:space="preserve">The </w:t>
      </w:r>
      <w:r w:rsidRPr="004F6D2B" w:rsidR="00863E70">
        <w:t xml:space="preserve">judicial </w:t>
      </w:r>
      <w:r w:rsidRPr="004F6D2B" w:rsidR="00571BD6">
        <w:t>finding that the crimes occurred on “separate occasions”</w:t>
      </w:r>
      <w:r w:rsidR="00571BD6">
        <w:t xml:space="preserve"> triggered section 667.6(d) and </w:t>
      </w:r>
      <w:r w:rsidR="00627867">
        <w:t>eliminat</w:t>
      </w:r>
      <w:r w:rsidR="00571BD6">
        <w:t>ed</w:t>
      </w:r>
      <w:r w:rsidR="00627867">
        <w:t xml:space="preserve"> that discretion </w:t>
      </w:r>
      <w:r w:rsidR="00571BD6">
        <w:t xml:space="preserve">by mandating the imposition of </w:t>
      </w:r>
      <w:r w:rsidR="00021317">
        <w:t xml:space="preserve">a </w:t>
      </w:r>
      <w:r w:rsidR="00571BD6">
        <w:t xml:space="preserve">full </w:t>
      </w:r>
      <w:r w:rsidR="00021317">
        <w:t>term</w:t>
      </w:r>
      <w:r w:rsidR="00571BD6">
        <w:t xml:space="preserve"> on each count</w:t>
      </w:r>
      <w:r w:rsidR="00526895">
        <w:t xml:space="preserve">. </w:t>
      </w:r>
      <w:r w:rsidR="00EC1DB3">
        <w:t xml:space="preserve"> </w:t>
      </w:r>
      <w:r w:rsidR="00526895">
        <w:t xml:space="preserve">That finding thus </w:t>
      </w:r>
      <w:r w:rsidR="000C451F">
        <w:t>ra</w:t>
      </w:r>
      <w:r w:rsidR="008155D3">
        <w:t>i</w:t>
      </w:r>
      <w:r w:rsidR="000C451F">
        <w:t>s</w:t>
      </w:r>
      <w:r w:rsidR="00526895">
        <w:t>ed</w:t>
      </w:r>
      <w:r w:rsidR="000C451F">
        <w:t xml:space="preserve"> the mandatory minimum sentence on each count from </w:t>
      </w:r>
      <w:r w:rsidR="00BE17CB">
        <w:t>one</w:t>
      </w:r>
      <w:r w:rsidR="00054E35">
        <w:noBreakHyphen/>
      </w:r>
      <w:r w:rsidR="00BE17CB">
        <w:t xml:space="preserve">third the middle term </w:t>
      </w:r>
      <w:r w:rsidRPr="000D0205" w:rsidR="00BE17CB">
        <w:t>(</w:t>
      </w:r>
      <w:r w:rsidRPr="000D0205" w:rsidR="000C451F">
        <w:t>2 years 8</w:t>
      </w:r>
      <w:r w:rsidRPr="000D0205" w:rsidR="00526895">
        <w:t> </w:t>
      </w:r>
      <w:r w:rsidRPr="000D0205" w:rsidR="000C451F">
        <w:t>months</w:t>
      </w:r>
      <w:r w:rsidRPr="000D0205" w:rsidR="00BE17CB">
        <w:t>)</w:t>
      </w:r>
      <w:r w:rsidRPr="000D0205" w:rsidR="000C451F">
        <w:t xml:space="preserve"> to </w:t>
      </w:r>
      <w:r w:rsidRPr="000D0205" w:rsidR="00746266">
        <w:t>a</w:t>
      </w:r>
      <w:r w:rsidRPr="000D0205" w:rsidR="00BE17CB">
        <w:t xml:space="preserve"> full lower term (</w:t>
      </w:r>
      <w:r w:rsidR="000C451F">
        <w:t>5</w:t>
      </w:r>
      <w:r w:rsidR="00054E35">
        <w:t> </w:t>
      </w:r>
      <w:r w:rsidR="000C451F">
        <w:t>years</w:t>
      </w:r>
      <w:r w:rsidR="00BE17CB">
        <w:t>).</w:t>
      </w:r>
      <w:r>
        <w:rPr>
          <w:rStyle w:val="FootnoteReference"/>
        </w:rPr>
        <w:footnoteReference w:id="20"/>
      </w:r>
    </w:p>
    <w:p w:rsidR="00610556" w:rsidRPr="009E6AEF" w:rsidP="00BC1C1D" w14:paraId="5B31EB05" w14:textId="0E1A213F">
      <w:r w:rsidRPr="005B0061">
        <w:t>B</w:t>
      </w:r>
      <w:r w:rsidRPr="005B0061" w:rsidR="006074C8">
        <w:t xml:space="preserve">y specifying that a defendant who commits forcible lewd acts against the same victim on separate occasions </w:t>
      </w:r>
      <w:r w:rsidRPr="005B0061" w:rsidR="00C42712">
        <w:t xml:space="preserve">must receive </w:t>
      </w:r>
      <w:r w:rsidR="00E97510">
        <w:t xml:space="preserve">a </w:t>
      </w:r>
      <w:r w:rsidRPr="005B0061" w:rsidR="00C42712">
        <w:t>“full</w:t>
      </w:r>
      <w:r w:rsidR="00E97510">
        <w:t xml:space="preserve">” </w:t>
      </w:r>
      <w:r w:rsidRPr="005B0061" w:rsidR="00C42712">
        <w:t xml:space="preserve">sentence for each </w:t>
      </w:r>
      <w:r w:rsidR="00E97510">
        <w:t xml:space="preserve">discrete </w:t>
      </w:r>
      <w:r w:rsidR="00DB0ACB">
        <w:t>offens</w:t>
      </w:r>
      <w:r w:rsidR="005B0061">
        <w:t>e</w:t>
      </w:r>
      <w:r w:rsidRPr="005B0061" w:rsidR="00C42712">
        <w:t xml:space="preserve">, the Legislature </w:t>
      </w:r>
      <w:r w:rsidR="00302B34">
        <w:t xml:space="preserve">clearly </w:t>
      </w:r>
      <w:r w:rsidRPr="005B0061" w:rsidR="004E3715">
        <w:t xml:space="preserve">meant to increase the punishment for </w:t>
      </w:r>
      <w:r w:rsidRPr="005B0061" w:rsidR="009046A5">
        <w:t xml:space="preserve">the </w:t>
      </w:r>
      <w:r w:rsidRPr="005B0061" w:rsidR="00EE25F2">
        <w:t xml:space="preserve">conduct </w:t>
      </w:r>
      <w:r w:rsidRPr="005B0061" w:rsidR="007F00EF">
        <w:t>at issue</w:t>
      </w:r>
      <w:r w:rsidR="00F920AD">
        <w:t xml:space="preserve"> in the second and su</w:t>
      </w:r>
      <w:r w:rsidR="004D4848">
        <w:t>b</w:t>
      </w:r>
      <w:r w:rsidR="00F920AD">
        <w:t>sequent crimes</w:t>
      </w:r>
      <w:r w:rsidRPr="005B0061" w:rsidR="007F00EF">
        <w:t xml:space="preserve">—i.e., </w:t>
      </w:r>
      <w:r w:rsidR="009A6D2C">
        <w:t xml:space="preserve">a </w:t>
      </w:r>
      <w:r w:rsidR="00F920AD">
        <w:t xml:space="preserve">forcible lewd act committed, </w:t>
      </w:r>
      <w:r w:rsidRPr="005B0061" w:rsidR="007F00EF">
        <w:t xml:space="preserve">after reasonable time to reflect, </w:t>
      </w:r>
      <w:r w:rsidR="00F920AD">
        <w:t>against</w:t>
      </w:r>
      <w:r w:rsidRPr="005B0061" w:rsidR="007F00EF">
        <w:t xml:space="preserve"> the same victim</w:t>
      </w:r>
      <w:r w:rsidR="007C610E">
        <w:t xml:space="preserve"> as a prior </w:t>
      </w:r>
      <w:r w:rsidRPr="004F6D2B" w:rsidR="007C610E">
        <w:t>such act</w:t>
      </w:r>
      <w:r w:rsidRPr="004F6D2B" w:rsidR="007F00EF">
        <w:t>.</w:t>
      </w:r>
      <w:r w:rsidRPr="004F6D2B" w:rsidR="00CA71F5">
        <w:t xml:space="preserve"> </w:t>
      </w:r>
      <w:r w:rsidRPr="004F6D2B" w:rsidR="007F00EF">
        <w:t xml:space="preserve"> (§ 667.6(d)(2)</w:t>
      </w:r>
      <w:r w:rsidRPr="004F6D2B" w:rsidR="00AF61EB">
        <w:t xml:space="preserve"> [“In determining whether crimes against a single victim</w:t>
      </w:r>
      <w:r w:rsidRPr="007C1629" w:rsidR="00AF61EB">
        <w:t xml:space="preserve"> were committed on separate occasions </w:t>
      </w:r>
      <w:r w:rsidRPr="005B0061" w:rsidR="005B0061">
        <w:t>. . .</w:t>
      </w:r>
      <w:r w:rsidR="00CA71F5">
        <w:t> </w:t>
      </w:r>
      <w:r w:rsidRPr="007C1629" w:rsidR="00AF61EB">
        <w:t xml:space="preserve">, the court shall consider whether, between the </w:t>
      </w:r>
      <w:r w:rsidRPr="005B0061" w:rsidR="00AF61EB">
        <w:t xml:space="preserve">commission of one sex crime and another, the </w:t>
      </w:r>
      <w:r w:rsidRPr="00A22B64" w:rsidR="00AF61EB">
        <w:rPr>
          <w:spacing w:val="-2"/>
        </w:rPr>
        <w:t>defendant had a reasonable opportunity to reflect upon the defendant’s actions</w:t>
      </w:r>
      <w:r w:rsidRPr="005B0061" w:rsidR="00AF61EB">
        <w:t xml:space="preserve"> and nevertheless resumed sexually assaultive behavior”].) </w:t>
      </w:r>
      <w:r w:rsidR="00930E06">
        <w:t xml:space="preserve"> </w:t>
      </w:r>
      <w:r w:rsidR="003728F6">
        <w:t xml:space="preserve">That </w:t>
      </w:r>
      <w:r w:rsidR="00CB382D">
        <w:t>aspect of the statute</w:t>
      </w:r>
      <w:r w:rsidR="003728F6">
        <w:t xml:space="preserve">, and the </w:t>
      </w:r>
      <w:r w:rsidR="00A87FCD">
        <w:t xml:space="preserve">legislative </w:t>
      </w:r>
      <w:r w:rsidR="003728F6">
        <w:t>intent it</w:t>
      </w:r>
      <w:r w:rsidR="008B151B">
        <w:t xml:space="preserve"> </w:t>
      </w:r>
      <w:r w:rsidR="006E6A9D">
        <w:t>implie</w:t>
      </w:r>
      <w:r w:rsidR="008B151B">
        <w:t>s</w:t>
      </w:r>
      <w:r w:rsidR="003728F6">
        <w:t xml:space="preserve">, </w:t>
      </w:r>
      <w:r w:rsidR="005326D4">
        <w:t xml:space="preserve">are subject to </w:t>
      </w:r>
      <w:r w:rsidR="003728F6">
        <w:t xml:space="preserve">the </w:t>
      </w:r>
      <w:r w:rsidR="005326D4">
        <w:t xml:space="preserve">same </w:t>
      </w:r>
      <w:r w:rsidR="003728F6">
        <w:t>rationale articulat</w:t>
      </w:r>
      <w:r w:rsidR="00CB382D">
        <w:t>ed</w:t>
      </w:r>
      <w:r w:rsidR="003728F6">
        <w:t xml:space="preserve"> in </w:t>
      </w:r>
      <w:r w:rsidRPr="005B0061" w:rsidR="003728F6">
        <w:rPr>
          <w:i/>
          <w:iCs/>
        </w:rPr>
        <w:t>Alleyne</w:t>
      </w:r>
      <w:r w:rsidR="00767E3A">
        <w:rPr>
          <w:i/>
          <w:iCs/>
        </w:rPr>
        <w:t xml:space="preserve"> </w:t>
      </w:r>
      <w:r w:rsidR="003728F6">
        <w:t xml:space="preserve">to </w:t>
      </w:r>
      <w:r w:rsidR="00767E3A">
        <w:t xml:space="preserve">hold </w:t>
      </w:r>
      <w:r w:rsidRPr="005B0061" w:rsidR="009E6AEF">
        <w:t xml:space="preserve">that </w:t>
      </w:r>
      <w:r w:rsidR="008B151B">
        <w:t>a</w:t>
      </w:r>
      <w:r w:rsidRPr="005B0061" w:rsidR="009E6AEF">
        <w:t xml:space="preserve"> statute increased </w:t>
      </w:r>
      <w:r w:rsidRPr="005B0061" w:rsidR="00B33B3E">
        <w:t xml:space="preserve">the punishment for a </w:t>
      </w:r>
      <w:r w:rsidR="008B151B">
        <w:t>crim</w:t>
      </w:r>
      <w:r w:rsidRPr="005B0061" w:rsidR="00B33B3E">
        <w:t>e</w:t>
      </w:r>
      <w:r w:rsidR="004F4967">
        <w:t xml:space="preserve"> in a way triggering the</w:t>
      </w:r>
      <w:r w:rsidR="00A13C06">
        <w:t xml:space="preserve"> </w:t>
      </w:r>
      <w:r w:rsidR="004F4967">
        <w:t>Sixth Amendment</w:t>
      </w:r>
      <w:r w:rsidRPr="005B0061" w:rsidR="00B33B3E">
        <w:t xml:space="preserve">: </w:t>
      </w:r>
      <w:r w:rsidR="00930E06">
        <w:t xml:space="preserve"> </w:t>
      </w:r>
      <w:r w:rsidRPr="005B0061" w:rsidR="00D52C71">
        <w:t>“[I]</w:t>
      </w:r>
      <w:r w:rsidRPr="00610556">
        <w:t>t</w:t>
      </w:r>
      <w:r w:rsidR="00121009">
        <w:t xml:space="preserve"> </w:t>
      </w:r>
      <w:r w:rsidRPr="00610556">
        <w:t>is impossible to dispute that facts increasing the legally prescribed floor</w:t>
      </w:r>
      <w:r w:rsidR="00EC6ABF">
        <w:t xml:space="preserve"> </w:t>
      </w:r>
      <w:r w:rsidRPr="00192971">
        <w:rPr>
          <w:i/>
        </w:rPr>
        <w:t>aggravate</w:t>
      </w:r>
      <w:r w:rsidR="00EC6ABF">
        <w:t xml:space="preserve"> </w:t>
      </w:r>
      <w:r w:rsidRPr="00610556">
        <w:t>the punishment.</w:t>
      </w:r>
      <w:r w:rsidRPr="005B0061" w:rsidR="009046A5">
        <w:t xml:space="preserve"> </w:t>
      </w:r>
      <w:r w:rsidR="00930E06">
        <w:t xml:space="preserve"> </w:t>
      </w:r>
      <w:r w:rsidRPr="005B0061" w:rsidR="00D52C71">
        <w:t>[Citations</w:t>
      </w:r>
      <w:r w:rsidR="00930E06">
        <w:t>.</w:t>
      </w:r>
      <w:r w:rsidRPr="005B0061" w:rsidR="00D52C71">
        <w:t>]</w:t>
      </w:r>
      <w:r w:rsidR="00930E06">
        <w:t xml:space="preserve"> </w:t>
      </w:r>
      <w:r w:rsidRPr="005B0061" w:rsidR="00D52C71">
        <w:t xml:space="preserve"> </w:t>
      </w:r>
      <w:r w:rsidRPr="00610556">
        <w:t>Elevating the low</w:t>
      </w:r>
      <w:r w:rsidR="009F2E5F">
        <w:t xml:space="preserve"> </w:t>
      </w:r>
      <w:r w:rsidRPr="00610556">
        <w:t xml:space="preserve">end of a sentencing range heightens the loss of liberty associated with the crime: </w:t>
      </w:r>
      <w:r w:rsidR="00980CAC">
        <w:t xml:space="preserve"> </w:t>
      </w:r>
      <w:r w:rsidR="008A7E60">
        <w:t>T</w:t>
      </w:r>
      <w:r w:rsidRPr="00610556">
        <w:t>he defendant</w:t>
      </w:r>
      <w:r w:rsidR="00C92CDA">
        <w:t>’</w:t>
      </w:r>
      <w:r w:rsidRPr="00610556">
        <w:t xml:space="preserve">s </w:t>
      </w:r>
      <w:r w:rsidRPr="005B0061" w:rsidR="00D52C71">
        <w:t>‘</w:t>
      </w:r>
      <w:r w:rsidRPr="00610556">
        <w:t>expected punishment has increased as a result of the narrowed range</w:t>
      </w:r>
      <w:r w:rsidRPr="005B0061" w:rsidR="00D52C71">
        <w:t>’</w:t>
      </w:r>
      <w:r w:rsidRPr="00610556">
        <w:t xml:space="preserve"> </w:t>
      </w:r>
      <w:r w:rsidR="00413EDA">
        <w:t>. . . .</w:t>
      </w:r>
      <w:r w:rsidR="00980CAC">
        <w:t xml:space="preserve"> </w:t>
      </w:r>
      <w:r w:rsidR="00591B83">
        <w:t xml:space="preserve"> </w:t>
      </w:r>
      <w:r w:rsidRPr="005B0061" w:rsidR="004009A8">
        <w:t>[Citation</w:t>
      </w:r>
      <w:r w:rsidR="00980CAC">
        <w:t>.</w:t>
      </w:r>
      <w:r w:rsidRPr="005B0061" w:rsidR="004009A8">
        <w:t>]</w:t>
      </w:r>
      <w:r w:rsidR="00591B83">
        <w:t xml:space="preserve"> </w:t>
      </w:r>
      <w:r w:rsidR="00980CAC">
        <w:t xml:space="preserve"> </w:t>
      </w:r>
      <w:r w:rsidRPr="00610556">
        <w:t>Why else would Congress link an increased mandatory minimum to a particular aggravating fact other than to heighten the consequences for that behavior?</w:t>
      </w:r>
      <w:r w:rsidR="00980CAC">
        <w:t xml:space="preserve"> </w:t>
      </w:r>
      <w:r w:rsidRPr="00610556">
        <w:t xml:space="preserve"> </w:t>
      </w:r>
      <w:r w:rsidRPr="005B0061" w:rsidR="004009A8">
        <w:t>[Citations</w:t>
      </w:r>
      <w:r w:rsidR="00980CAC">
        <w:t>.</w:t>
      </w:r>
      <w:r w:rsidRPr="005B0061" w:rsidR="004009A8">
        <w:t xml:space="preserve">] </w:t>
      </w:r>
      <w:r w:rsidR="00980CAC">
        <w:t xml:space="preserve"> </w:t>
      </w:r>
      <w:r w:rsidRPr="00610556">
        <w:t xml:space="preserve">This reality demonstrates that the core crime and the fact triggering the mandatory minimum sentence together constitute a </w:t>
      </w:r>
      <w:r w:rsidRPr="004F6D2B">
        <w:t>new, aggravated crime, each element of which must be submitted to the jury.</w:t>
      </w:r>
      <w:r w:rsidRPr="004F6D2B" w:rsidR="00F14E06">
        <w:t>”</w:t>
      </w:r>
      <w:r w:rsidRPr="004F6D2B" w:rsidR="007C1C90">
        <w:t xml:space="preserve"> </w:t>
      </w:r>
      <w:r w:rsidRPr="005B0061" w:rsidR="00F14E06">
        <w:t xml:space="preserve"> (</w:t>
      </w:r>
      <w:r w:rsidRPr="005B0061" w:rsidR="00F14E06">
        <w:rPr>
          <w:i/>
          <w:iCs/>
        </w:rPr>
        <w:t>Alleyne</w:t>
      </w:r>
      <w:r w:rsidRPr="005B0061" w:rsidR="00F14E06">
        <w:t xml:space="preserve">, </w:t>
      </w:r>
      <w:r w:rsidRPr="005B0061" w:rsidR="00F14E06">
        <w:rPr>
          <w:i/>
          <w:iCs/>
        </w:rPr>
        <w:t>supra</w:t>
      </w:r>
      <w:r w:rsidRPr="005B0061" w:rsidR="00F14E06">
        <w:t xml:space="preserve">, </w:t>
      </w:r>
      <w:r w:rsidRPr="005B0061" w:rsidR="00767E3A">
        <w:t>570</w:t>
      </w:r>
      <w:r w:rsidR="00B66D92">
        <w:t> </w:t>
      </w:r>
      <w:r w:rsidRPr="005B0061" w:rsidR="00767E3A">
        <w:t xml:space="preserve">U.S. </w:t>
      </w:r>
      <w:r w:rsidRPr="005B0061" w:rsidR="00F14E06">
        <w:t>at p.</w:t>
      </w:r>
      <w:r w:rsidR="00790EF0">
        <w:t> </w:t>
      </w:r>
      <w:r w:rsidRPr="005B0061" w:rsidR="00F14E06">
        <w:t>113.)</w:t>
      </w:r>
      <w:r w:rsidR="007C1C90">
        <w:t xml:space="preserve"> </w:t>
      </w:r>
      <w:r w:rsidRPr="005B0061" w:rsidR="00323937">
        <w:t xml:space="preserve"> </w:t>
      </w:r>
      <w:r w:rsidR="00503FA7">
        <w:t>Her</w:t>
      </w:r>
      <w:r w:rsidR="00323937">
        <w:t xml:space="preserve">e, the </w:t>
      </w:r>
      <w:r w:rsidR="00FF2276">
        <w:t xml:space="preserve">“core crime” </w:t>
      </w:r>
      <w:r w:rsidR="00323937">
        <w:t xml:space="preserve">is a </w:t>
      </w:r>
      <w:r w:rsidR="00B13684">
        <w:t>forcible lewd act on a child</w:t>
      </w:r>
      <w:r w:rsidR="007E7F4A">
        <w:t>,</w:t>
      </w:r>
      <w:r w:rsidR="00B13684">
        <w:t xml:space="preserve"> </w:t>
      </w:r>
      <w:r w:rsidR="00FF2276">
        <w:t xml:space="preserve">and the </w:t>
      </w:r>
      <w:r w:rsidR="00D463D4">
        <w:t>“</w:t>
      </w:r>
      <w:r w:rsidR="00FF2276">
        <w:t>fact</w:t>
      </w:r>
      <w:r w:rsidR="00413EDA">
        <w:t>[s]</w:t>
      </w:r>
      <w:r w:rsidR="00FF2276">
        <w:t xml:space="preserve"> triggering the mandatory minimum sentence</w:t>
      </w:r>
      <w:r w:rsidR="00D463D4">
        <w:t>”</w:t>
      </w:r>
      <w:r w:rsidR="00FF2276">
        <w:t xml:space="preserve"> </w:t>
      </w:r>
      <w:r w:rsidR="00413EDA">
        <w:t xml:space="preserve">are </w:t>
      </w:r>
      <w:r w:rsidR="00775C0D">
        <w:t xml:space="preserve">that the </w:t>
      </w:r>
      <w:r w:rsidR="00D463D4">
        <w:t xml:space="preserve">defendant committed </w:t>
      </w:r>
      <w:r w:rsidR="00D13907">
        <w:t xml:space="preserve">a similar crime against the same victim and committed the crime </w:t>
      </w:r>
      <w:r w:rsidR="00503FA7">
        <w:t xml:space="preserve">at issue </w:t>
      </w:r>
      <w:r w:rsidR="00D13907">
        <w:t>despite</w:t>
      </w:r>
      <w:r w:rsidR="00F03F20">
        <w:t xml:space="preserve"> </w:t>
      </w:r>
      <w:r w:rsidRPr="004F6D2B" w:rsidR="00D13907">
        <w:t xml:space="preserve">having had </w:t>
      </w:r>
      <w:r w:rsidRPr="004F6D2B" w:rsidR="00E97510">
        <w:t>a reasonable opportunity to reflect on his or her actions</w:t>
      </w:r>
      <w:r w:rsidRPr="004F6D2B" w:rsidR="00197518">
        <w:t xml:space="preserve"> and </w:t>
      </w:r>
      <w:r w:rsidRPr="004F6D2B" w:rsidR="004E7C01">
        <w:t xml:space="preserve">choose to </w:t>
      </w:r>
      <w:r w:rsidRPr="004F6D2B" w:rsidR="00197518">
        <w:t>desist</w:t>
      </w:r>
      <w:r w:rsidRPr="004F6D2B" w:rsidR="00E97510">
        <w:t>.</w:t>
      </w:r>
    </w:p>
    <w:p w:rsidR="008407AD" w:rsidRPr="00E5701B" w:rsidP="007C1C90" w14:paraId="56D91673" w14:textId="3E175DE0">
      <w:r w:rsidRPr="00BF1DED">
        <w:t>The Attorney General</w:t>
      </w:r>
      <w:r>
        <w:t xml:space="preserve"> </w:t>
      </w:r>
      <w:r w:rsidR="00DB79D2">
        <w:t>argue</w:t>
      </w:r>
      <w:r>
        <w:t xml:space="preserve">s that </w:t>
      </w:r>
      <w:r>
        <w:rPr>
          <w:i/>
          <w:iCs/>
        </w:rPr>
        <w:t>Ice</w:t>
      </w:r>
      <w:r>
        <w:t xml:space="preserve">, </w:t>
      </w:r>
      <w:r>
        <w:rPr>
          <w:i/>
          <w:iCs/>
        </w:rPr>
        <w:t>supra</w:t>
      </w:r>
      <w:r>
        <w:t>, 555</w:t>
      </w:r>
      <w:r w:rsidR="007C1C90">
        <w:t> </w:t>
      </w:r>
      <w:r>
        <w:t xml:space="preserve">U.S. </w:t>
      </w:r>
      <w:r w:rsidR="005D28E7">
        <w:t xml:space="preserve">160 </w:t>
      </w:r>
      <w:r w:rsidRPr="004F6D2B" w:rsidR="005D28E7">
        <w:t>controls the analysis</w:t>
      </w:r>
      <w:r w:rsidRPr="004F6D2B">
        <w:rPr>
          <w:i/>
        </w:rPr>
        <w:t xml:space="preserve"> </w:t>
      </w:r>
      <w:r w:rsidRPr="004F6D2B" w:rsidR="00B00918">
        <w:t>of</w:t>
      </w:r>
      <w:r w:rsidRPr="004F6D2B" w:rsidR="00B00918">
        <w:rPr>
          <w:i/>
        </w:rPr>
        <w:t xml:space="preserve"> </w:t>
      </w:r>
      <w:r w:rsidRPr="004F6D2B" w:rsidR="00ED3082">
        <w:t xml:space="preserve">section 667.6(d) </w:t>
      </w:r>
      <w:r w:rsidRPr="004F6D2B" w:rsidR="00B11782">
        <w:t xml:space="preserve">in toto </w:t>
      </w:r>
      <w:r w:rsidRPr="004F6D2B" w:rsidR="005D28E7">
        <w:t xml:space="preserve">because the </w:t>
      </w:r>
      <w:r w:rsidRPr="004F6D2B" w:rsidR="00415691">
        <w:t>finding</w:t>
      </w:r>
      <w:r w:rsidR="00415691">
        <w:t xml:space="preserve"> </w:t>
      </w:r>
      <w:r w:rsidR="005D28E7">
        <w:t xml:space="preserve">that triggers </w:t>
      </w:r>
      <w:r w:rsidR="00ED3082">
        <w:t>the statute</w:t>
      </w:r>
      <w:r w:rsidR="005D28E7">
        <w:t xml:space="preserve">—i.e., that </w:t>
      </w:r>
      <w:r w:rsidR="00415691">
        <w:t xml:space="preserve">a </w:t>
      </w:r>
      <w:r w:rsidR="005D28E7">
        <w:t>defendant committed offenses on “separate occasions”—</w:t>
      </w:r>
      <w:r w:rsidR="00F615C9">
        <w:t>is “used to decide whether to impose a consecutive sentence” and is part of a “</w:t>
      </w:r>
      <w:r w:rsidR="00F319AB">
        <w:t> ‘</w:t>
      </w:r>
      <w:r w:rsidR="00F615C9">
        <w:t>regime for administering multiple sentences</w:t>
      </w:r>
      <w:r w:rsidR="00F319AB">
        <w:t>’ </w:t>
      </w:r>
      <w:r w:rsidR="00B63475">
        <w:t>”</w:t>
      </w:r>
      <w:r w:rsidR="00F319AB">
        <w:t>(</w:t>
      </w:r>
      <w:r w:rsidR="0082322D">
        <w:t xml:space="preserve">quoting </w:t>
      </w:r>
      <w:r w:rsidR="00F319AB">
        <w:rPr>
          <w:i/>
          <w:iCs/>
        </w:rPr>
        <w:t>Ice</w:t>
      </w:r>
      <w:r w:rsidR="0082322D">
        <w:t xml:space="preserve">, </w:t>
      </w:r>
      <w:r w:rsidR="0082322D">
        <w:rPr>
          <w:i/>
          <w:iCs/>
        </w:rPr>
        <w:t>supra</w:t>
      </w:r>
      <w:r w:rsidR="00D34A51">
        <w:t>,</w:t>
      </w:r>
      <w:r w:rsidR="00053CD0">
        <w:t xml:space="preserve"> </w:t>
      </w:r>
      <w:r w:rsidR="0082322D">
        <w:t>at p.</w:t>
      </w:r>
      <w:r w:rsidR="00053CD0">
        <w:t> </w:t>
      </w:r>
      <w:r w:rsidR="00D84F86">
        <w:t>168</w:t>
      </w:r>
      <w:r w:rsidR="00F86F13">
        <w:t>)</w:t>
      </w:r>
      <w:r w:rsidR="00F615C9">
        <w:t>.</w:t>
      </w:r>
      <w:r w:rsidR="00B30B83">
        <w:t xml:space="preserve"> </w:t>
      </w:r>
      <w:r w:rsidR="000247E3">
        <w:t xml:space="preserve"> </w:t>
      </w:r>
      <w:r w:rsidR="00DB79D2">
        <w:t>T</w:t>
      </w:r>
      <w:r w:rsidR="00447E02">
        <w:t xml:space="preserve">hose </w:t>
      </w:r>
      <w:r w:rsidR="00EF7D69">
        <w:t>statement</w:t>
      </w:r>
      <w:r w:rsidR="00214808">
        <w:t>s</w:t>
      </w:r>
      <w:r w:rsidR="00447E02">
        <w:t>, w</w:t>
      </w:r>
      <w:r w:rsidR="00F615C9">
        <w:t xml:space="preserve">hile </w:t>
      </w:r>
      <w:r w:rsidRPr="00165407" w:rsidR="00033C9A">
        <w:t>correct</w:t>
      </w:r>
      <w:r w:rsidRPr="00165407" w:rsidR="00F615C9">
        <w:t xml:space="preserve">, gloss over the fact that the </w:t>
      </w:r>
      <w:r w:rsidRPr="00165407" w:rsidR="007B5742">
        <w:t xml:space="preserve">same </w:t>
      </w:r>
      <w:r w:rsidRPr="00165407" w:rsidR="00F615C9">
        <w:t xml:space="preserve">finding </w:t>
      </w:r>
      <w:r w:rsidRPr="00165407" w:rsidR="00F615C9">
        <w:rPr>
          <w:i/>
          <w:iCs/>
        </w:rPr>
        <w:t>also</w:t>
      </w:r>
      <w:r w:rsidRPr="00165407" w:rsidR="00F615C9">
        <w:t xml:space="preserve"> determine</w:t>
      </w:r>
      <w:r w:rsidRPr="00165407" w:rsidR="00771D1D">
        <w:t>s</w:t>
      </w:r>
      <w:r w:rsidRPr="00165407" w:rsidR="00F615C9">
        <w:t xml:space="preserve"> the </w:t>
      </w:r>
      <w:r w:rsidRPr="00165407" w:rsidR="000F2283">
        <w:t>mandatory</w:t>
      </w:r>
      <w:r w:rsidRPr="004F6D2B" w:rsidR="000F2283">
        <w:t xml:space="preserve"> minimum </w:t>
      </w:r>
      <w:r w:rsidRPr="004F6D2B" w:rsidR="00F615C9">
        <w:t xml:space="preserve">sentence for </w:t>
      </w:r>
      <w:r w:rsidRPr="004F6D2B" w:rsidR="00415691">
        <w:t xml:space="preserve">each </w:t>
      </w:r>
      <w:r w:rsidRPr="004F6D2B" w:rsidR="00E62A4B">
        <w:t>“</w:t>
      </w:r>
      <w:r w:rsidRPr="004F6D2B" w:rsidR="00F615C9">
        <w:t>particular</w:t>
      </w:r>
      <w:r w:rsidR="00E62A4B">
        <w:t xml:space="preserve"> </w:t>
      </w:r>
      <w:r w:rsidR="00F615C9">
        <w:t>offense</w:t>
      </w:r>
      <w:r w:rsidR="00E62A4B">
        <w:t>”</w:t>
      </w:r>
      <w:r w:rsidR="0013356D">
        <w:t xml:space="preserve"> </w:t>
      </w:r>
      <w:r w:rsidR="00C74D3B">
        <w:t xml:space="preserve">subject </w:t>
      </w:r>
      <w:r w:rsidR="0013356D">
        <w:t>to the statute</w:t>
      </w:r>
      <w:r w:rsidR="003F2477">
        <w:t xml:space="preserve">—a determination </w:t>
      </w:r>
      <w:r w:rsidR="00E62A4B">
        <w:rPr>
          <w:i/>
          <w:iCs/>
        </w:rPr>
        <w:t xml:space="preserve">Ice </w:t>
      </w:r>
      <w:r w:rsidR="00E62A4B">
        <w:t>identifie</w:t>
      </w:r>
      <w:r w:rsidR="003F2477">
        <w:t>s</w:t>
      </w:r>
      <w:r w:rsidR="00E62A4B">
        <w:t xml:space="preserve"> as the </w:t>
      </w:r>
      <w:r w:rsidRPr="004F6D2B" w:rsidR="0068566E">
        <w:t xml:space="preserve">province </w:t>
      </w:r>
      <w:r w:rsidRPr="004F6D2B" w:rsidR="00332126">
        <w:t xml:space="preserve">of </w:t>
      </w:r>
      <w:r w:rsidRPr="004F6D2B" w:rsidR="00E62A4B">
        <w:rPr>
          <w:i/>
        </w:rPr>
        <w:t>Apprendi</w:t>
      </w:r>
      <w:r w:rsidRPr="004F6D2B" w:rsidR="00FD032A">
        <w:t xml:space="preserve">. </w:t>
      </w:r>
      <w:r w:rsidRPr="004F6D2B" w:rsidR="00B30B83">
        <w:t xml:space="preserve"> </w:t>
      </w:r>
      <w:r w:rsidRPr="004F6D2B" w:rsidR="00771D1D">
        <w:t>(</w:t>
      </w:r>
      <w:r w:rsidRPr="004F6D2B" w:rsidR="00771D1D">
        <w:rPr>
          <w:i/>
        </w:rPr>
        <w:t>Ice</w:t>
      </w:r>
      <w:r w:rsidRPr="004F6D2B" w:rsidR="00771D1D">
        <w:t xml:space="preserve">, </w:t>
      </w:r>
      <w:r w:rsidRPr="004F6D2B" w:rsidR="00771D1D">
        <w:rPr>
          <w:i/>
        </w:rPr>
        <w:t>supra</w:t>
      </w:r>
      <w:r w:rsidRPr="004F6D2B" w:rsidR="00771D1D">
        <w:t>,</w:t>
      </w:r>
      <w:r w:rsidRPr="004F6D2B" w:rsidR="00771D1D">
        <w:rPr>
          <w:i/>
        </w:rPr>
        <w:t xml:space="preserve"> </w:t>
      </w:r>
      <w:r w:rsidR="00771D1D">
        <w:t>555</w:t>
      </w:r>
      <w:r w:rsidR="00B30B83">
        <w:t> </w:t>
      </w:r>
      <w:r w:rsidR="00771D1D">
        <w:t>U.S. at p. 163.)</w:t>
      </w:r>
      <w:r w:rsidR="0060272E">
        <w:t xml:space="preserve"> </w:t>
      </w:r>
      <w:r w:rsidR="00765792">
        <w:t xml:space="preserve"> </w:t>
      </w:r>
      <w:r w:rsidR="000C09F2">
        <w:t xml:space="preserve">Section 667.6(d) </w:t>
      </w:r>
      <w:r w:rsidR="0060272E">
        <w:t xml:space="preserve">thus differs </w:t>
      </w:r>
      <w:r w:rsidR="00DB1B11">
        <w:t xml:space="preserve">fundamentally </w:t>
      </w:r>
      <w:r w:rsidR="000C09F2">
        <w:t xml:space="preserve">from the Oregon sentencing statute at issue in </w:t>
      </w:r>
      <w:r w:rsidR="000C09F2">
        <w:rPr>
          <w:i/>
          <w:iCs/>
        </w:rPr>
        <w:t>Ice</w:t>
      </w:r>
      <w:r w:rsidR="00A25BF2">
        <w:rPr>
          <w:i/>
          <w:iCs/>
        </w:rPr>
        <w:t>.</w:t>
      </w:r>
      <w:r w:rsidR="00765792">
        <w:rPr>
          <w:i/>
          <w:iCs/>
        </w:rPr>
        <w:t xml:space="preserve"> </w:t>
      </w:r>
      <w:r w:rsidR="000C09F2">
        <w:t xml:space="preserve"> </w:t>
      </w:r>
      <w:r w:rsidR="00057B00">
        <w:t>T</w:t>
      </w:r>
      <w:r w:rsidR="000C09F2">
        <w:t>h</w:t>
      </w:r>
      <w:r w:rsidR="00A25BF2">
        <w:t xml:space="preserve">at </w:t>
      </w:r>
      <w:r w:rsidR="000C09F2">
        <w:t xml:space="preserve">statute </w:t>
      </w:r>
      <w:r w:rsidR="00C826B0">
        <w:t>authorize</w:t>
      </w:r>
      <w:r w:rsidR="000C09F2">
        <w:t>d</w:t>
      </w:r>
      <w:r w:rsidR="00C826B0">
        <w:t xml:space="preserve"> judge</w:t>
      </w:r>
      <w:r w:rsidR="003719FA">
        <w:t>s</w:t>
      </w:r>
      <w:r w:rsidR="00C826B0">
        <w:t xml:space="preserve"> to make findings that </w:t>
      </w:r>
      <w:r w:rsidR="000C09F2">
        <w:t xml:space="preserve">had </w:t>
      </w:r>
      <w:r w:rsidR="00075292">
        <w:t xml:space="preserve">only one </w:t>
      </w:r>
      <w:r w:rsidR="000C09F2">
        <w:t>effect:</w:t>
      </w:r>
      <w:r w:rsidR="00765792">
        <w:t xml:space="preserve"> </w:t>
      </w:r>
      <w:r w:rsidR="000C09F2">
        <w:t xml:space="preserve"> </w:t>
      </w:r>
      <w:r w:rsidR="003719FA">
        <w:t>to</w:t>
      </w:r>
      <w:r w:rsidR="00803183">
        <w:t> </w:t>
      </w:r>
      <w:r w:rsidR="000C09F2">
        <w:t>authoriz</w:t>
      </w:r>
      <w:r w:rsidR="003719FA">
        <w:t>e</w:t>
      </w:r>
      <w:r w:rsidR="000C09F2">
        <w:t xml:space="preserve"> the court to </w:t>
      </w:r>
      <w:r w:rsidR="00C826B0">
        <w:t>impos</w:t>
      </w:r>
      <w:r w:rsidR="000C09F2">
        <w:t>e</w:t>
      </w:r>
      <w:r w:rsidR="00C826B0">
        <w:t xml:space="preserve"> multiple sentences </w:t>
      </w:r>
      <w:r w:rsidR="00674AD6">
        <w:t>consecutively</w:t>
      </w:r>
      <w:r w:rsidR="000C09F2">
        <w:t xml:space="preserve"> rather than concurrently.</w:t>
      </w:r>
      <w:r w:rsidR="00E32129">
        <w:t xml:space="preserve"> </w:t>
      </w:r>
      <w:r w:rsidR="00765792">
        <w:t xml:space="preserve"> </w:t>
      </w:r>
      <w:r w:rsidR="00E32129">
        <w:t xml:space="preserve">(See </w:t>
      </w:r>
      <w:r w:rsidRPr="00E32129" w:rsidR="00E32129">
        <w:rPr>
          <w:i/>
          <w:iCs/>
        </w:rPr>
        <w:t>Ice</w:t>
      </w:r>
      <w:r w:rsidRPr="00E32129" w:rsidR="00E32129">
        <w:t>,</w:t>
      </w:r>
      <w:r w:rsidRPr="00E32129" w:rsidR="00E32129">
        <w:rPr>
          <w:i/>
          <w:iCs/>
        </w:rPr>
        <w:t xml:space="preserve"> supra</w:t>
      </w:r>
      <w:r w:rsidR="00E32129">
        <w:t xml:space="preserve">, </w:t>
      </w:r>
      <w:r w:rsidRPr="00075292" w:rsidR="00E32129">
        <w:t>at</w:t>
      </w:r>
      <w:r w:rsidR="00075292">
        <w:t xml:space="preserve"> </w:t>
      </w:r>
      <w:r w:rsidRPr="00075292" w:rsidR="00057B00">
        <w:t>p</w:t>
      </w:r>
      <w:r w:rsidR="00057B00">
        <w:t>.</w:t>
      </w:r>
      <w:r w:rsidR="00075292">
        <w:t> </w:t>
      </w:r>
      <w:r w:rsidR="00057B00">
        <w:t>165</w:t>
      </w:r>
      <w:r w:rsidR="005B0F9E">
        <w:t xml:space="preserve">.) </w:t>
      </w:r>
      <w:r w:rsidR="00765792">
        <w:t xml:space="preserve"> </w:t>
      </w:r>
      <w:r w:rsidR="00A25BF2">
        <w:t xml:space="preserve">It </w:t>
      </w:r>
      <w:r w:rsidR="00075292">
        <w:t>did not authorize a judge to make</w:t>
      </w:r>
      <w:r w:rsidR="00EC69B5">
        <w:t xml:space="preserve"> a</w:t>
      </w:r>
      <w:r w:rsidR="00075292">
        <w:t xml:space="preserve"> </w:t>
      </w:r>
      <w:r w:rsidR="00E32129">
        <w:t xml:space="preserve">finding </w:t>
      </w:r>
      <w:r w:rsidR="00075292">
        <w:t xml:space="preserve">that </w:t>
      </w:r>
      <w:r w:rsidR="00E32129">
        <w:t>alter</w:t>
      </w:r>
      <w:r w:rsidR="00EC69B5">
        <w:t>ed</w:t>
      </w:r>
      <w:r w:rsidR="00E32129">
        <w:t xml:space="preserve"> the sentenc</w:t>
      </w:r>
      <w:r w:rsidR="00EC69B5">
        <w:t>ing range</w:t>
      </w:r>
      <w:r w:rsidR="00E32129">
        <w:t xml:space="preserve"> for a</w:t>
      </w:r>
      <w:r w:rsidR="00D40988">
        <w:t>ny</w:t>
      </w:r>
      <w:r w:rsidR="00E32129">
        <w:t xml:space="preserve"> </w:t>
      </w:r>
      <w:r w:rsidR="003719FA">
        <w:t xml:space="preserve">discrete </w:t>
      </w:r>
      <w:r w:rsidR="00E32129">
        <w:t>crime.</w:t>
      </w:r>
    </w:p>
    <w:p w:rsidR="0036687D" w:rsidRPr="00075292" w:rsidP="00765792" w14:paraId="7994DC4E" w14:textId="006FAD9C">
      <w:r w:rsidRPr="004C2D4A">
        <w:rPr>
          <w:spacing w:val="-2"/>
        </w:rPr>
        <w:t>S</w:t>
      </w:r>
      <w:r w:rsidRPr="004C2D4A" w:rsidR="00FD032A">
        <w:rPr>
          <w:spacing w:val="-2"/>
        </w:rPr>
        <w:t>ection 667.6(d),</w:t>
      </w:r>
      <w:r w:rsidRPr="004C2D4A">
        <w:rPr>
          <w:spacing w:val="-2"/>
        </w:rPr>
        <w:t xml:space="preserve"> by contrast,</w:t>
      </w:r>
      <w:r w:rsidRPr="004C2D4A" w:rsidR="00FD032A">
        <w:rPr>
          <w:spacing w:val="-2"/>
        </w:rPr>
        <w:t xml:space="preserve"> </w:t>
      </w:r>
      <w:r w:rsidRPr="004C2D4A">
        <w:rPr>
          <w:spacing w:val="-2"/>
        </w:rPr>
        <w:t xml:space="preserve">authorizes a judge to make </w:t>
      </w:r>
      <w:r w:rsidRPr="004C2D4A" w:rsidR="00993F75">
        <w:rPr>
          <w:spacing w:val="-2"/>
        </w:rPr>
        <w:t xml:space="preserve">a single </w:t>
      </w:r>
      <w:r w:rsidRPr="004C2D4A" w:rsidR="0084085D">
        <w:rPr>
          <w:spacing w:val="-2"/>
        </w:rPr>
        <w:t>factual</w:t>
      </w:r>
      <w:r w:rsidRPr="001224C3" w:rsidR="0084085D">
        <w:t xml:space="preserve"> </w:t>
      </w:r>
      <w:r w:rsidRPr="001224C3" w:rsidR="000D3C75">
        <w:t>finding</w:t>
      </w:r>
      <w:r w:rsidRPr="001224C3" w:rsidR="0004131D">
        <w:t xml:space="preserve"> </w:t>
      </w:r>
      <w:r w:rsidRPr="001224C3">
        <w:t xml:space="preserve">that </w:t>
      </w:r>
      <w:r w:rsidRPr="001224C3" w:rsidR="00EF3BCA">
        <w:t>compel</w:t>
      </w:r>
      <w:r w:rsidRPr="001224C3" w:rsidR="0004131D">
        <w:t xml:space="preserve">s </w:t>
      </w:r>
      <w:r w:rsidRPr="001224C3">
        <w:t>the</w:t>
      </w:r>
      <w:r w:rsidRPr="001224C3" w:rsidR="0004131D">
        <w:t xml:space="preserve"> court </w:t>
      </w:r>
      <w:r w:rsidRPr="001224C3" w:rsidR="00033C9A">
        <w:t>to</w:t>
      </w:r>
      <w:r w:rsidR="00033C9A">
        <w:t xml:space="preserve"> do two </w:t>
      </w:r>
      <w:r w:rsidR="008B3FD6">
        <w:t xml:space="preserve">distinct </w:t>
      </w:r>
      <w:r w:rsidR="00033C9A">
        <w:t>things:</w:t>
      </w:r>
      <w:r w:rsidR="00765792">
        <w:t xml:space="preserve"> </w:t>
      </w:r>
      <w:r w:rsidR="00033C9A">
        <w:t xml:space="preserve"> </w:t>
      </w:r>
      <w:r w:rsidR="00DB3B9B">
        <w:t>make</w:t>
      </w:r>
      <w:r w:rsidR="0004131D">
        <w:t xml:space="preserve"> multiple sentences </w:t>
      </w:r>
      <w:r w:rsidR="00DB3B9B">
        <w:t xml:space="preserve">run </w:t>
      </w:r>
      <w:r w:rsidR="00FD032A">
        <w:t>consecutive</w:t>
      </w:r>
      <w:r w:rsidR="00A07E73">
        <w:t>ly</w:t>
      </w:r>
      <w:r w:rsidR="00FD032A">
        <w:t>—</w:t>
      </w:r>
      <w:r w:rsidR="00A07E73">
        <w:t xml:space="preserve">a decision </w:t>
      </w:r>
      <w:r w:rsidR="00771D1D">
        <w:rPr>
          <w:i/>
          <w:iCs/>
        </w:rPr>
        <w:t>I</w:t>
      </w:r>
      <w:r w:rsidR="00FD032A">
        <w:rPr>
          <w:i/>
          <w:iCs/>
        </w:rPr>
        <w:t>ce</w:t>
      </w:r>
      <w:r w:rsidR="00FD032A">
        <w:t xml:space="preserve"> </w:t>
      </w:r>
      <w:r w:rsidR="00A07E73">
        <w:t>set</w:t>
      </w:r>
      <w:r w:rsidR="00E36A3B">
        <w:t xml:space="preserve">s </w:t>
      </w:r>
      <w:r w:rsidR="00AE121F">
        <w:t xml:space="preserve">beyond the pale of </w:t>
      </w:r>
      <w:r w:rsidR="00644F5C">
        <w:t xml:space="preserve">the </w:t>
      </w:r>
      <w:r w:rsidR="009970BF">
        <w:t>Sixth Amendment</w:t>
      </w:r>
      <w:r w:rsidR="0004131D">
        <w:t xml:space="preserve">—and make </w:t>
      </w:r>
      <w:r w:rsidR="00392C1D">
        <w:t xml:space="preserve">the </w:t>
      </w:r>
      <w:r w:rsidR="0004131D">
        <w:t xml:space="preserve">sentence </w:t>
      </w:r>
      <w:r w:rsidR="00536398">
        <w:t xml:space="preserve">for </w:t>
      </w:r>
      <w:r w:rsidR="00BD1A25">
        <w:t xml:space="preserve">each of </w:t>
      </w:r>
      <w:r w:rsidR="00C752E3">
        <w:t xml:space="preserve">one or more </w:t>
      </w:r>
      <w:r w:rsidR="0006012B">
        <w:t xml:space="preserve">discrete </w:t>
      </w:r>
      <w:r w:rsidR="00A47010">
        <w:t>crim</w:t>
      </w:r>
      <w:r w:rsidR="00536398">
        <w:t>e</w:t>
      </w:r>
      <w:r w:rsidR="00C752E3">
        <w:t>s</w:t>
      </w:r>
      <w:r w:rsidR="00536398">
        <w:t xml:space="preserve"> </w:t>
      </w:r>
      <w:r w:rsidR="0004131D">
        <w:t xml:space="preserve">“full” </w:t>
      </w:r>
      <w:r w:rsidR="0013356D">
        <w:t xml:space="preserve">in length, </w:t>
      </w:r>
      <w:r w:rsidR="005A61B0">
        <w:t xml:space="preserve">which </w:t>
      </w:r>
      <w:r w:rsidR="0004131D">
        <w:rPr>
          <w:i/>
          <w:iCs/>
        </w:rPr>
        <w:t>Ice</w:t>
      </w:r>
      <w:r w:rsidR="0004131D">
        <w:t xml:space="preserve"> </w:t>
      </w:r>
      <w:r w:rsidR="005A61B0">
        <w:t>identifi</w:t>
      </w:r>
      <w:r w:rsidR="00644F5C">
        <w:t xml:space="preserve">es </w:t>
      </w:r>
      <w:r w:rsidR="005A61B0">
        <w:t xml:space="preserve">as </w:t>
      </w:r>
      <w:r w:rsidR="003A66D4">
        <w:t xml:space="preserve">the </w:t>
      </w:r>
      <w:r w:rsidR="00635109">
        <w:t>“</w:t>
      </w:r>
      <w:r w:rsidR="0056589F">
        <w:t> ‘</w:t>
      </w:r>
      <w:r w:rsidR="00635109">
        <w:t>central sphere of [</w:t>
      </w:r>
      <w:r w:rsidR="007F0695">
        <w:t>th</w:t>
      </w:r>
      <w:r w:rsidR="0027609A">
        <w:t>e</w:t>
      </w:r>
      <w:r w:rsidR="007F0695">
        <w:t xml:space="preserve"> </w:t>
      </w:r>
      <w:r w:rsidR="00D740CF">
        <w:rPr>
          <w:i/>
          <w:iCs/>
        </w:rPr>
        <w:t xml:space="preserve">Apprendi </w:t>
      </w:r>
      <w:r w:rsidR="0006012B">
        <w:t>case</w:t>
      </w:r>
      <w:r w:rsidR="00D740CF">
        <w:t>s’]</w:t>
      </w:r>
      <w:r w:rsidR="00AE121F">
        <w:t xml:space="preserve"> concern</w:t>
      </w:r>
      <w:r w:rsidR="00D740CF">
        <w:t>.’ ”</w:t>
      </w:r>
      <w:r w:rsidR="003A7B04">
        <w:t xml:space="preserve"> </w:t>
      </w:r>
      <w:r w:rsidR="00AE121F">
        <w:t xml:space="preserve"> (</w:t>
      </w:r>
      <w:r w:rsidRPr="00DA76DF" w:rsidR="00C343C7">
        <w:rPr>
          <w:i/>
          <w:iCs/>
        </w:rPr>
        <w:t>Ice</w:t>
      </w:r>
      <w:r w:rsidR="00DA76DF">
        <w:t xml:space="preserve">, </w:t>
      </w:r>
      <w:r w:rsidRPr="00DA76DF" w:rsidR="00DA76DF">
        <w:rPr>
          <w:i/>
          <w:iCs/>
        </w:rPr>
        <w:t>supra</w:t>
      </w:r>
      <w:r w:rsidR="00DA76DF">
        <w:t xml:space="preserve">, </w:t>
      </w:r>
      <w:r w:rsidR="00C343C7">
        <w:t>555 U.S.</w:t>
      </w:r>
      <w:r w:rsidR="00392C1D">
        <w:rPr>
          <w:i/>
          <w:iCs/>
        </w:rPr>
        <w:t xml:space="preserve"> </w:t>
      </w:r>
      <w:r w:rsidR="0056589F">
        <w:t>at p.</w:t>
      </w:r>
      <w:r w:rsidR="00DA76DF">
        <w:t> </w:t>
      </w:r>
      <w:r w:rsidR="0056589F">
        <w:t xml:space="preserve">172; see </w:t>
      </w:r>
      <w:r w:rsidR="0056589F">
        <w:rPr>
          <w:i/>
          <w:iCs/>
        </w:rPr>
        <w:t>id.</w:t>
      </w:r>
      <w:r w:rsidR="0056589F">
        <w:t xml:space="preserve"> at p.</w:t>
      </w:r>
      <w:r w:rsidR="00405EFE">
        <w:t> </w:t>
      </w:r>
      <w:r w:rsidR="0056589F">
        <w:t xml:space="preserve">163 </w:t>
      </w:r>
      <w:r w:rsidR="00392C1D">
        <w:t>[</w:t>
      </w:r>
      <w:r w:rsidR="00BD1A25">
        <w:t>noting</w:t>
      </w:r>
      <w:r w:rsidR="00392C1D">
        <w:t xml:space="preserve"> “offense-specific context</w:t>
      </w:r>
      <w:r w:rsidR="00536398">
        <w:t xml:space="preserve"> that supplied the historic grounding</w:t>
      </w:r>
      <w:r w:rsidR="00517C96">
        <w:t>”</w:t>
      </w:r>
      <w:r w:rsidR="00536398">
        <w:t xml:space="preserve"> for </w:t>
      </w:r>
      <w:r w:rsidR="00536398">
        <w:rPr>
          <w:i/>
          <w:iCs/>
        </w:rPr>
        <w:t>Apprend</w:t>
      </w:r>
      <w:r w:rsidRPr="004126D3" w:rsidR="00536398">
        <w:rPr>
          <w:i/>
          <w:spacing w:val="20"/>
        </w:rPr>
        <w:t>i</w:t>
      </w:r>
      <w:r w:rsidR="00536398">
        <w:t>]</w:t>
      </w:r>
      <w:r w:rsidR="0056589F">
        <w:t xml:space="preserve">; </w:t>
      </w:r>
      <w:r w:rsidR="0056589F">
        <w:rPr>
          <w:i/>
          <w:iCs/>
        </w:rPr>
        <w:t>id.</w:t>
      </w:r>
      <w:r w:rsidR="0056589F">
        <w:t xml:space="preserve"> at p.</w:t>
      </w:r>
      <w:r w:rsidR="00C752E3">
        <w:t> </w:t>
      </w:r>
      <w:r w:rsidR="00A6659C">
        <w:t>170 [identifying “</w:t>
      </w:r>
      <w:r w:rsidRPr="001224C3" w:rsidR="00A6659C">
        <w:rPr>
          <w:i/>
          <w:iCs/>
        </w:rPr>
        <w:t>Apprendi</w:t>
      </w:r>
      <w:r w:rsidRPr="001224C3" w:rsidR="00ED38D2">
        <w:t>’</w:t>
      </w:r>
      <w:r w:rsidRPr="001224C3" w:rsidR="00A6659C">
        <w:t>s</w:t>
      </w:r>
      <w:r w:rsidRPr="00A6659C" w:rsidR="00A6659C">
        <w:t xml:space="preserve"> core concern</w:t>
      </w:r>
      <w:r w:rsidR="00A6659C">
        <w:t>” as “</w:t>
      </w:r>
      <w:r w:rsidRPr="00A6659C" w:rsidR="00A6659C">
        <w:t xml:space="preserve">a legislative attempt to </w:t>
      </w:r>
      <w:r w:rsidR="00A6659C">
        <w:t>‘</w:t>
      </w:r>
      <w:r w:rsidRPr="00A6659C" w:rsidR="00A6659C">
        <w:t>remove from the [province of the] jury</w:t>
      </w:r>
      <w:r w:rsidR="00A6659C">
        <w:t>’</w:t>
      </w:r>
      <w:r w:rsidRPr="00A6659C" w:rsidR="00A6659C">
        <w:t xml:space="preserve"> the determination of facts that warrant punishment for a specific statutory offense</w:t>
      </w:r>
      <w:r w:rsidR="00A6659C">
        <w:t>”]</w:t>
      </w:r>
      <w:r w:rsidR="004C786F">
        <w:t>.)</w:t>
      </w:r>
      <w:r w:rsidR="00C01E44">
        <w:t xml:space="preserve"> </w:t>
      </w:r>
      <w:r w:rsidR="004C786F">
        <w:t xml:space="preserve"> </w:t>
      </w:r>
      <w:r w:rsidR="002B6594">
        <w:t xml:space="preserve">Although </w:t>
      </w:r>
      <w:r w:rsidR="00E64BE6">
        <w:t xml:space="preserve">section 667.6(d) </w:t>
      </w:r>
      <w:r w:rsidR="00A47010">
        <w:t xml:space="preserve">sets forth </w:t>
      </w:r>
      <w:r w:rsidR="00C74D3B">
        <w:t>b</w:t>
      </w:r>
      <w:r w:rsidR="003C6DF8">
        <w:t xml:space="preserve">oth </w:t>
      </w:r>
      <w:r w:rsidR="003F00DC">
        <w:t xml:space="preserve">consequences </w:t>
      </w:r>
      <w:r w:rsidR="00A47010">
        <w:t xml:space="preserve">in a single </w:t>
      </w:r>
      <w:r w:rsidRPr="001224C3" w:rsidR="000610C2">
        <w:t>phrase—“</w:t>
      </w:r>
      <w:r w:rsidRPr="001224C3" w:rsidR="008E7C2F">
        <w:t xml:space="preserve">a </w:t>
      </w:r>
      <w:r w:rsidRPr="001224C3" w:rsidR="000610C2">
        <w:rPr>
          <w:i/>
        </w:rPr>
        <w:t>full</w:t>
      </w:r>
      <w:r w:rsidRPr="001224C3" w:rsidR="000610C2">
        <w:t xml:space="preserve">, separate, and </w:t>
      </w:r>
      <w:r w:rsidRPr="001224C3" w:rsidR="000610C2">
        <w:rPr>
          <w:i/>
        </w:rPr>
        <w:t>consecutive</w:t>
      </w:r>
      <w:r w:rsidRPr="001224C3" w:rsidR="000610C2">
        <w:t xml:space="preserve"> </w:t>
      </w:r>
      <w:r w:rsidRPr="001224C3" w:rsidR="008E7C2F">
        <w:t>term</w:t>
      </w:r>
      <w:r w:rsidRPr="001224C3" w:rsidR="000610C2">
        <w:t>”</w:t>
      </w:r>
      <w:r w:rsidRPr="001224C3" w:rsidR="00DB3B9B">
        <w:t xml:space="preserve"> (italics add</w:t>
      </w:r>
      <w:r w:rsidRPr="001224C3" w:rsidR="00BD7EE1">
        <w:t>e</w:t>
      </w:r>
      <w:r w:rsidRPr="001224C3" w:rsidR="00DB3B9B">
        <w:t>d)</w:t>
      </w:r>
      <w:r w:rsidRPr="001224C3" w:rsidR="000610C2">
        <w:t>—</w:t>
      </w:r>
      <w:r w:rsidRPr="001224C3" w:rsidR="0013356D">
        <w:t xml:space="preserve">they are </w:t>
      </w:r>
      <w:r w:rsidRPr="001224C3" w:rsidR="0027609A">
        <w:t>distinct</w:t>
      </w:r>
      <w:r w:rsidRPr="001224C3" w:rsidR="00536F15">
        <w:t xml:space="preserve"> in </w:t>
      </w:r>
      <w:r w:rsidRPr="001224C3" w:rsidR="003F00DC">
        <w:t>effect</w:t>
      </w:r>
      <w:r w:rsidRPr="001224C3" w:rsidR="00A47010">
        <w:t xml:space="preserve"> </w:t>
      </w:r>
      <w:r w:rsidRPr="001224C3" w:rsidR="00536F15">
        <w:t>and constitutional significance</w:t>
      </w:r>
      <w:r w:rsidRPr="001224C3" w:rsidR="005956AA">
        <w:t>.</w:t>
      </w:r>
    </w:p>
    <w:p w:rsidR="0037104E" w:rsidRPr="00BF480F" w:rsidP="00BD7EE1" w14:paraId="7D8F5E50" w14:textId="264B6D0F">
      <w:r w:rsidRPr="00BF480F">
        <w:t xml:space="preserve">In his brief to the California Supreme Court in </w:t>
      </w:r>
      <w:r w:rsidRPr="00BF480F">
        <w:rPr>
          <w:i/>
        </w:rPr>
        <w:t>Catarino</w:t>
      </w:r>
      <w:r w:rsidRPr="00BF480F">
        <w:t xml:space="preserve"> </w:t>
      </w:r>
      <w:r w:rsidRPr="00BF480F" w:rsidR="00DD6B96">
        <w:t>(of which we take judicial notice</w:t>
      </w:r>
      <w:r w:rsidR="00E33B77">
        <w:t xml:space="preserve"> </w:t>
      </w:r>
      <w:r w:rsidR="00CD315F">
        <w:t>[</w:t>
      </w:r>
      <w:r w:rsidR="00E33B77">
        <w:t>Evid. Code, §</w:t>
      </w:r>
      <w:r w:rsidR="008275EB">
        <w:t> </w:t>
      </w:r>
      <w:r w:rsidR="00E33B77">
        <w:t>452, subd.</w:t>
      </w:r>
      <w:r w:rsidR="008275EB">
        <w:t> </w:t>
      </w:r>
      <w:r w:rsidR="00E33B77">
        <w:t>(d)</w:t>
      </w:r>
      <w:r w:rsidR="00C806C4">
        <w:t>(1</w:t>
      </w:r>
      <w:r w:rsidRPr="008D27D1" w:rsidR="00C806C4">
        <w:t>)</w:t>
      </w:r>
      <w:r w:rsidR="00CD315F">
        <w:t>]</w:t>
      </w:r>
      <w:r w:rsidR="00297DEC">
        <w:t>)</w:t>
      </w:r>
      <w:r w:rsidRPr="00BF480F" w:rsidR="00DD6B96">
        <w:t xml:space="preserve"> </w:t>
      </w:r>
      <w:r w:rsidRPr="00BF480F">
        <w:t xml:space="preserve">the Attorney General </w:t>
      </w:r>
      <w:r w:rsidRPr="00BF480F" w:rsidR="009C215C">
        <w:t>assert</w:t>
      </w:r>
      <w:r w:rsidRPr="00BF480F" w:rsidR="007D5572">
        <w:t xml:space="preserve">s </w:t>
      </w:r>
      <w:r w:rsidRPr="00BF480F">
        <w:t xml:space="preserve">that </w:t>
      </w:r>
      <w:r w:rsidRPr="00BF480F" w:rsidR="00235797">
        <w:t>a jury verdict, by itself, never entitles a defendant to a sentence of one-third the middle term on any specific offense</w:t>
      </w:r>
      <w:r w:rsidRPr="00BF480F" w:rsidR="005F4027">
        <w:t xml:space="preserve">, </w:t>
      </w:r>
      <w:r w:rsidRPr="00BF480F" w:rsidR="008A581C">
        <w:t>as</w:t>
      </w:r>
      <w:r w:rsidRPr="00BF480F" w:rsidR="006837FC">
        <w:t xml:space="preserve"> </w:t>
      </w:r>
      <w:r w:rsidRPr="00BF480F" w:rsidR="005F4027">
        <w:t>section 1170.1</w:t>
      </w:r>
      <w:r w:rsidRPr="00BF480F" w:rsidR="0081328F">
        <w:t xml:space="preserve"> </w:t>
      </w:r>
      <w:r w:rsidRPr="00BF480F" w:rsidR="000C5AFD">
        <w:t xml:space="preserve">is part of a scheme for </w:t>
      </w:r>
      <w:r w:rsidRPr="00BF480F" w:rsidR="005F4027">
        <w:t>aggr</w:t>
      </w:r>
      <w:r w:rsidRPr="00BF480F" w:rsidR="0081328F">
        <w:t>eg</w:t>
      </w:r>
      <w:r w:rsidRPr="00BF480F" w:rsidR="005F4027">
        <w:t>ating multiple sentences</w:t>
      </w:r>
      <w:r w:rsidRPr="00BF480F" w:rsidR="006837FC">
        <w:t xml:space="preserve">, and </w:t>
      </w:r>
      <w:r w:rsidRPr="00BF480F" w:rsidR="00CD7A71">
        <w:t xml:space="preserve">it is </w:t>
      </w:r>
      <w:r w:rsidRPr="00BF480F" w:rsidR="006837FC">
        <w:t xml:space="preserve">a </w:t>
      </w:r>
      <w:r w:rsidRPr="00BF480F" w:rsidR="00CD7A71">
        <w:t>judge’s</w:t>
      </w:r>
      <w:r w:rsidRPr="00BF480F" w:rsidR="00C51A7C">
        <w:t xml:space="preserve"> </w:t>
      </w:r>
      <w:r w:rsidRPr="00BF480F" w:rsidR="00BA7397">
        <w:t xml:space="preserve">discretionary choice </w:t>
      </w:r>
      <w:r w:rsidRPr="00BF480F" w:rsidR="00C51A7C">
        <w:t xml:space="preserve">to make sentences consecutive </w:t>
      </w:r>
      <w:r w:rsidRPr="00BF480F" w:rsidR="00CD7A71">
        <w:t xml:space="preserve">instead of </w:t>
      </w:r>
      <w:r w:rsidRPr="00BF480F" w:rsidR="00C51A7C">
        <w:t xml:space="preserve">concurrent </w:t>
      </w:r>
      <w:r w:rsidRPr="00BF480F" w:rsidR="00CD7A71">
        <w:t xml:space="preserve">that </w:t>
      </w:r>
      <w:r w:rsidRPr="00BF480F" w:rsidR="00C51A7C">
        <w:t>trigger</w:t>
      </w:r>
      <w:r w:rsidRPr="00BF480F" w:rsidR="00CD7A71">
        <w:t>s</w:t>
      </w:r>
      <w:r w:rsidRPr="00BF480F" w:rsidR="00C51A7C">
        <w:t xml:space="preserve"> the one-third-the-middle-term provision</w:t>
      </w:r>
      <w:r w:rsidRPr="00BF480F" w:rsidR="00235797">
        <w:t>.</w:t>
      </w:r>
      <w:r w:rsidRPr="00BF480F" w:rsidR="00A175BA">
        <w:t xml:space="preserve"> </w:t>
      </w:r>
      <w:r w:rsidRPr="00BF480F" w:rsidR="00823F70">
        <w:t xml:space="preserve"> While that is true, it is </w:t>
      </w:r>
      <w:r w:rsidRPr="00BF480F" w:rsidR="007B2FE6">
        <w:t>beside the point</w:t>
      </w:r>
      <w:r w:rsidRPr="00BF480F" w:rsidR="00AB6B71">
        <w:t xml:space="preserve">. </w:t>
      </w:r>
      <w:r w:rsidRPr="00BF480F" w:rsidR="008D0FF2">
        <w:t xml:space="preserve"> </w:t>
      </w:r>
      <w:r w:rsidRPr="00BF480F" w:rsidR="006C7C10">
        <w:t xml:space="preserve">When </w:t>
      </w:r>
      <w:r w:rsidRPr="00BF480F" w:rsidR="00814B97">
        <w:t xml:space="preserve">a </w:t>
      </w:r>
      <w:r w:rsidRPr="00BF480F" w:rsidR="006C7C10">
        <w:t xml:space="preserve">jury finds a defendant guilty of </w:t>
      </w:r>
      <w:r w:rsidRPr="00BF480F" w:rsidR="00814B97">
        <w:t xml:space="preserve">multiple </w:t>
      </w:r>
      <w:r w:rsidRPr="00BF480F" w:rsidR="007B2FE6">
        <w:t>felon</w:t>
      </w:r>
      <w:r w:rsidRPr="00BF480F" w:rsidR="006C7C10">
        <w:t>ie</w:t>
      </w:r>
      <w:r w:rsidRPr="00BF480F" w:rsidR="00814B97">
        <w:t xml:space="preserve">s subject to the DSL, </w:t>
      </w:r>
      <w:r w:rsidRPr="00BF480F" w:rsidR="006C7C10">
        <w:t xml:space="preserve">its </w:t>
      </w:r>
      <w:r w:rsidRPr="00BF480F" w:rsidR="009218C4">
        <w:t>verdict expose</w:t>
      </w:r>
      <w:r w:rsidRPr="00BF480F" w:rsidR="005B3407">
        <w:t>s</w:t>
      </w:r>
      <w:r w:rsidRPr="00BF480F" w:rsidR="009218C4">
        <w:t xml:space="preserve"> </w:t>
      </w:r>
      <w:r w:rsidRPr="00BF480F" w:rsidR="006C7C10">
        <w:t>the</w:t>
      </w:r>
      <w:r w:rsidRPr="00BF480F" w:rsidR="009218C4">
        <w:t xml:space="preserve"> defendant to a </w:t>
      </w:r>
      <w:r w:rsidRPr="00BF480F" w:rsidR="009218C4">
        <w:rPr>
          <w:i/>
        </w:rPr>
        <w:t xml:space="preserve">minimum </w:t>
      </w:r>
      <w:r w:rsidRPr="00BF480F" w:rsidR="00337EC3">
        <w:rPr>
          <w:i/>
        </w:rPr>
        <w:t xml:space="preserve">potential </w:t>
      </w:r>
      <w:r w:rsidRPr="00BF480F" w:rsidR="009218C4">
        <w:t>sentence, on the second and subsequent counts, of one</w:t>
      </w:r>
      <w:r w:rsidR="008B5CDA">
        <w:noBreakHyphen/>
      </w:r>
      <w:r w:rsidRPr="00BF480F" w:rsidR="009218C4">
        <w:t>third the middle term.</w:t>
      </w:r>
      <w:r w:rsidRPr="00BF480F">
        <w:t xml:space="preserve">  </w:t>
      </w:r>
      <w:r w:rsidRPr="00BF480F" w:rsidR="00823F70">
        <w:rPr>
          <w:i/>
        </w:rPr>
        <w:t xml:space="preserve">Alleyne </w:t>
      </w:r>
      <w:r w:rsidRPr="00BF480F" w:rsidR="00823F70">
        <w:t>forbids the use of judicially found fact</w:t>
      </w:r>
      <w:r w:rsidRPr="00BF480F" w:rsidR="007B2FE6">
        <w:t>s</w:t>
      </w:r>
      <w:r w:rsidRPr="00BF480F" w:rsidR="00823F70">
        <w:t xml:space="preserve"> to </w:t>
      </w:r>
      <w:r w:rsidRPr="00BF480F" w:rsidR="00B87CB5">
        <w:t>increase</w:t>
      </w:r>
      <w:r w:rsidRPr="00BF480F" w:rsidR="00823F70">
        <w:t xml:space="preserve"> the mandatory minimum sentence for a discrete offense</w:t>
      </w:r>
      <w:r w:rsidRPr="00BF480F" w:rsidR="009B53C7">
        <w:t xml:space="preserve">, </w:t>
      </w:r>
      <w:r w:rsidRPr="00BF480F" w:rsidR="00B87CB5">
        <w:t>an effect that</w:t>
      </w:r>
      <w:r w:rsidRPr="00BF480F" w:rsidR="0014478C">
        <w:t xml:space="preserve"> </w:t>
      </w:r>
      <w:r w:rsidRPr="00BF480F" w:rsidR="009B53C7">
        <w:t>“</w:t>
      </w:r>
      <w:r w:rsidRPr="00BF480F" w:rsidR="00FA7E73">
        <w:t>alters the prescribed range of sentences to which a criminal defendant is exposed”</w:t>
      </w:r>
      <w:r w:rsidRPr="00BF480F" w:rsidR="00880F7A">
        <w:t xml:space="preserve"> by raising its “floor.”</w:t>
      </w:r>
      <w:r w:rsidRPr="00BF480F" w:rsidR="00FA7E73">
        <w:t xml:space="preserve"> </w:t>
      </w:r>
      <w:r w:rsidRPr="00BF480F" w:rsidR="008D2519">
        <w:t xml:space="preserve"> </w:t>
      </w:r>
      <w:r w:rsidRPr="00BF480F" w:rsidR="00FA7E73">
        <w:t>(</w:t>
      </w:r>
      <w:r w:rsidRPr="007B7106" w:rsidR="007B7106">
        <w:rPr>
          <w:i/>
          <w:iCs/>
        </w:rPr>
        <w:t>Alleyne</w:t>
      </w:r>
      <w:r w:rsidR="007B7106">
        <w:t xml:space="preserve">, </w:t>
      </w:r>
      <w:r w:rsidRPr="007B7106" w:rsidR="007B7106">
        <w:rPr>
          <w:i/>
          <w:iCs/>
        </w:rPr>
        <w:t>supra</w:t>
      </w:r>
      <w:r w:rsidR="007B7106">
        <w:t xml:space="preserve">, </w:t>
      </w:r>
      <w:r w:rsidRPr="00BF480F" w:rsidR="00FA7E73">
        <w:t>570</w:t>
      </w:r>
      <w:r w:rsidRPr="00BF480F" w:rsidR="00880F7A">
        <w:t> </w:t>
      </w:r>
      <w:r w:rsidRPr="00BF480F" w:rsidR="00FA7E73">
        <w:t>U.S. at p.</w:t>
      </w:r>
      <w:r w:rsidRPr="00BF480F" w:rsidR="00D80F20">
        <w:t> </w:t>
      </w:r>
      <w:r w:rsidRPr="00BF480F" w:rsidR="00FA7E73">
        <w:t>112.)</w:t>
      </w:r>
    </w:p>
    <w:p w:rsidR="00D51ADB" w:rsidRPr="00BF480F" w:rsidP="008D2519" w14:paraId="54A8521A" w14:textId="6BD46C68">
      <w:r w:rsidRPr="00BF480F">
        <w:t xml:space="preserve">That is what section 667.6(d) does. </w:t>
      </w:r>
      <w:r w:rsidRPr="00BF480F" w:rsidR="008D2519">
        <w:t xml:space="preserve"> </w:t>
      </w:r>
      <w:r w:rsidRPr="00BF480F" w:rsidR="00D80F20">
        <w:t>Absen</w:t>
      </w:r>
      <w:r w:rsidRPr="00BF480F" w:rsidR="0098173C">
        <w:t>t a judicial finding of “separate occasions</w:t>
      </w:r>
      <w:r w:rsidRPr="00BF480F" w:rsidR="001C5C31">
        <w:t>,</w:t>
      </w:r>
      <w:r w:rsidRPr="00BF480F" w:rsidR="0098173C">
        <w:t xml:space="preserve">” the </w:t>
      </w:r>
      <w:r w:rsidRPr="00BF480F" w:rsidR="00CF366B">
        <w:t xml:space="preserve">prescribed range of sentences to which a defendant is exposed for a second </w:t>
      </w:r>
      <w:r w:rsidRPr="00BF480F" w:rsidR="005F0018">
        <w:t>or</w:t>
      </w:r>
      <w:r w:rsidRPr="00BF480F" w:rsidR="00CF366B">
        <w:t xml:space="preserve"> subsequent conviction of forcible lewd acts is 2</w:t>
      </w:r>
      <w:r w:rsidRPr="00BF480F" w:rsidR="007B2FE6">
        <w:t> </w:t>
      </w:r>
      <w:r w:rsidRPr="00BF480F" w:rsidR="00CF366B">
        <w:t>years 8</w:t>
      </w:r>
      <w:r w:rsidRPr="00BF480F">
        <w:t> </w:t>
      </w:r>
      <w:r w:rsidRPr="00BF480F" w:rsidR="00CF366B">
        <w:t>months to 10</w:t>
      </w:r>
      <w:r w:rsidRPr="00BF480F" w:rsidR="0047015B">
        <w:t> </w:t>
      </w:r>
      <w:r w:rsidRPr="00BF480F" w:rsidR="00CF366B">
        <w:t>years; with such a finding, the range is 5</w:t>
      </w:r>
      <w:r w:rsidRPr="00BF480F" w:rsidR="002858ED">
        <w:t> </w:t>
      </w:r>
      <w:r w:rsidRPr="00BF480F" w:rsidR="00CF366B">
        <w:t>years to 10</w:t>
      </w:r>
      <w:r w:rsidRPr="00BF480F" w:rsidR="002858ED">
        <w:t> </w:t>
      </w:r>
      <w:r w:rsidRPr="00BF480F" w:rsidR="00CF366B">
        <w:t xml:space="preserve">years. </w:t>
      </w:r>
      <w:r w:rsidRPr="00BF480F" w:rsidR="002858ED">
        <w:t xml:space="preserve"> </w:t>
      </w:r>
      <w:r w:rsidRPr="00BF480F" w:rsidR="00067A55">
        <w:t xml:space="preserve">The </w:t>
      </w:r>
      <w:r w:rsidRPr="00BF480F" w:rsidR="005B4FE6">
        <w:t xml:space="preserve">finding thus increases the </w:t>
      </w:r>
      <w:r w:rsidRPr="00BF480F" w:rsidR="00067A55">
        <w:t xml:space="preserve">“floor” of the range </w:t>
      </w:r>
      <w:r w:rsidRPr="00BF480F" w:rsidR="005B4FE6">
        <w:t xml:space="preserve">from </w:t>
      </w:r>
      <w:r w:rsidRPr="00BF480F" w:rsidR="00067A55">
        <w:t>2 years 8</w:t>
      </w:r>
      <w:r w:rsidR="0036227F">
        <w:t> </w:t>
      </w:r>
      <w:r w:rsidRPr="00BF480F" w:rsidR="00067A55">
        <w:t>months</w:t>
      </w:r>
      <w:r w:rsidRPr="00BF480F" w:rsidR="005B4FE6">
        <w:t xml:space="preserve"> to 5 years</w:t>
      </w:r>
      <w:r w:rsidRPr="00BF480F" w:rsidR="00067A55">
        <w:t xml:space="preserve">. </w:t>
      </w:r>
      <w:r w:rsidRPr="00BF480F" w:rsidR="008D0FF2">
        <w:t xml:space="preserve"> </w:t>
      </w:r>
      <w:r w:rsidRPr="00BF480F" w:rsidR="007925F6">
        <w:t>W</w:t>
      </w:r>
      <w:r w:rsidRPr="00BF480F" w:rsidR="00B57A9D">
        <w:t>hile</w:t>
      </w:r>
      <w:r w:rsidRPr="00BF480F" w:rsidR="001C5C31">
        <w:t xml:space="preserve"> a defendant is </w:t>
      </w:r>
      <w:r w:rsidRPr="00BF480F" w:rsidR="00067A55">
        <w:t xml:space="preserve">not </w:t>
      </w:r>
      <w:r w:rsidRPr="00BF480F" w:rsidR="007925F6">
        <w:t>“</w:t>
      </w:r>
      <w:r w:rsidRPr="00BF480F" w:rsidR="0040050E">
        <w:t>entitled</w:t>
      </w:r>
      <w:r w:rsidRPr="00BF480F" w:rsidR="007925F6">
        <w:t>”</w:t>
      </w:r>
      <w:r w:rsidRPr="00BF480F" w:rsidR="0040050E">
        <w:t xml:space="preserve"> to a sentence of one-third the middle term, he or she is </w:t>
      </w:r>
      <w:r w:rsidRPr="00BF480F" w:rsidR="001C5C31">
        <w:t>entitled</w:t>
      </w:r>
      <w:r w:rsidRPr="00BF480F" w:rsidR="007925F6">
        <w:t>, absent</w:t>
      </w:r>
      <w:r w:rsidRPr="00BF480F" w:rsidR="00962E2E">
        <w:t xml:space="preserve"> a judicial </w:t>
      </w:r>
      <w:r w:rsidRPr="00BF480F" w:rsidR="007925F6">
        <w:t>finding</w:t>
      </w:r>
      <w:r w:rsidRPr="00BF480F" w:rsidR="00962E2E">
        <w:t xml:space="preserve"> of “separate occasions,”</w:t>
      </w:r>
      <w:r w:rsidRPr="00BF480F" w:rsidR="001C5C31">
        <w:t xml:space="preserve"> to be sentenced by a judge who has discretion </w:t>
      </w:r>
      <w:r w:rsidRPr="00BF480F" w:rsidR="008A5157">
        <w:t xml:space="preserve">either </w:t>
      </w:r>
      <w:r w:rsidRPr="00BF480F" w:rsidR="001C5C31">
        <w:t xml:space="preserve">to impose </w:t>
      </w:r>
      <w:r w:rsidRPr="00BF480F" w:rsidR="00645460">
        <w:t xml:space="preserve">a </w:t>
      </w:r>
      <w:r w:rsidRPr="00BF480F" w:rsidR="00713D4D">
        <w:t>“</w:t>
      </w:r>
      <w:r w:rsidRPr="00BF480F" w:rsidR="00645460">
        <w:t>full</w:t>
      </w:r>
      <w:r w:rsidRPr="00BF480F" w:rsidR="00713D4D">
        <w:t>”</w:t>
      </w:r>
      <w:r w:rsidRPr="00BF480F" w:rsidR="00645460">
        <w:t xml:space="preserve"> lower, middle, or upper</w:t>
      </w:r>
      <w:r w:rsidRPr="00BF480F" w:rsidR="008A5157">
        <w:t xml:space="preserve"> term,</w:t>
      </w:r>
      <w:r w:rsidRPr="00BF480F" w:rsidR="00713D4D">
        <w:t xml:space="preserve"> </w:t>
      </w:r>
      <w:r w:rsidRPr="00BF480F" w:rsidR="000478CE">
        <w:t>pursuant to section </w:t>
      </w:r>
      <w:r w:rsidRPr="00BF480F" w:rsidR="00645460">
        <w:t>667.6(c)</w:t>
      </w:r>
      <w:r w:rsidRPr="00BF480F" w:rsidR="008A5157">
        <w:t>,</w:t>
      </w:r>
      <w:r w:rsidRPr="00BF480F" w:rsidR="00645460">
        <w:t xml:space="preserve"> or </w:t>
      </w:r>
      <w:r w:rsidRPr="00BF480F" w:rsidR="008A5157">
        <w:t xml:space="preserve">to impose </w:t>
      </w:r>
      <w:r w:rsidRPr="00BF480F" w:rsidR="00645460">
        <w:t>one-third the middle term</w:t>
      </w:r>
      <w:r w:rsidRPr="00BF480F" w:rsidR="008A5157">
        <w:t>,</w:t>
      </w:r>
      <w:r w:rsidRPr="00BF480F" w:rsidR="00645460">
        <w:t xml:space="preserve"> pursuant to section </w:t>
      </w:r>
      <w:r w:rsidRPr="00773E0B" w:rsidR="00645460">
        <w:t>1</w:t>
      </w:r>
      <w:r w:rsidRPr="00773E0B" w:rsidR="00BB7714">
        <w:t>1</w:t>
      </w:r>
      <w:r w:rsidRPr="00773E0B" w:rsidR="00645460">
        <w:t>70.1</w:t>
      </w:r>
      <w:r w:rsidRPr="00BF480F" w:rsidR="00645460">
        <w:t>, su</w:t>
      </w:r>
      <w:r w:rsidRPr="00BF480F" w:rsidR="00CE46F6">
        <w:t>bdivision</w:t>
      </w:r>
      <w:r w:rsidRPr="00BF480F" w:rsidR="002858ED">
        <w:t> </w:t>
      </w:r>
      <w:r w:rsidRPr="00BF480F" w:rsidR="00645460">
        <w:t>(a)</w:t>
      </w:r>
      <w:r w:rsidRPr="00BF480F" w:rsidR="00027CA9">
        <w:t>.</w:t>
      </w:r>
      <w:r w:rsidRPr="00BF480F" w:rsidR="00645460">
        <w:t xml:space="preserve"> </w:t>
      </w:r>
      <w:r w:rsidRPr="00BF480F" w:rsidR="002858ED">
        <w:t xml:space="preserve"> </w:t>
      </w:r>
      <w:r w:rsidRPr="00BF480F" w:rsidR="00027CA9">
        <w:t xml:space="preserve">A </w:t>
      </w:r>
      <w:r w:rsidRPr="00BF480F" w:rsidR="00B719C7">
        <w:t xml:space="preserve">judicial finding of “separate occasions” </w:t>
      </w:r>
      <w:r w:rsidRPr="00BF480F" w:rsidR="00DD145E">
        <w:t xml:space="preserve">eliminates that </w:t>
      </w:r>
      <w:r w:rsidRPr="00BF480F" w:rsidR="00027CA9">
        <w:t>discretion</w:t>
      </w:r>
      <w:r w:rsidRPr="00BF480F" w:rsidR="00DD145E">
        <w:t xml:space="preserve"> and subjects a defendant to sentencing by a judge who has no option but to impose a</w:t>
      </w:r>
      <w:r w:rsidRPr="00BF480F" w:rsidR="00E33CAD">
        <w:t>t least</w:t>
      </w:r>
      <w:r w:rsidRPr="00BF480F" w:rsidR="00DD145E">
        <w:t xml:space="preserve"> </w:t>
      </w:r>
      <w:r w:rsidRPr="00BF480F" w:rsidR="00E33CAD">
        <w:t xml:space="preserve">a </w:t>
      </w:r>
      <w:r w:rsidRPr="00BF480F" w:rsidR="00DD145E">
        <w:t>full</w:t>
      </w:r>
      <w:r w:rsidRPr="00BF480F" w:rsidR="00E33CAD">
        <w:t xml:space="preserve"> lower </w:t>
      </w:r>
      <w:r w:rsidRPr="00BF480F" w:rsidR="00DD145E">
        <w:t>term.</w:t>
      </w:r>
    </w:p>
    <w:p w:rsidR="0039767D" w:rsidRPr="00BF480F" w:rsidP="002858ED" w14:paraId="2651A027" w14:textId="2280AF9C">
      <w:r w:rsidRPr="00BF480F">
        <w:t>The Attorney General</w:t>
      </w:r>
      <w:r w:rsidRPr="00BF480F" w:rsidR="00E33CAD">
        <w:t xml:space="preserve">’s brief in </w:t>
      </w:r>
      <w:r w:rsidRPr="00BF480F" w:rsidR="00E33CAD">
        <w:rPr>
          <w:i/>
        </w:rPr>
        <w:t>Catarino</w:t>
      </w:r>
      <w:r w:rsidRPr="00BF480F">
        <w:t xml:space="preserve"> also </w:t>
      </w:r>
      <w:r w:rsidRPr="00BF480F" w:rsidR="00982B2B">
        <w:t xml:space="preserve">likens </w:t>
      </w:r>
      <w:r w:rsidRPr="00BF480F">
        <w:t>section 1170.1 to section 654</w:t>
      </w:r>
      <w:r w:rsidRPr="00BF480F" w:rsidR="001F301D">
        <w:t xml:space="preserve">, </w:t>
      </w:r>
      <w:r w:rsidRPr="00BF480F" w:rsidR="00907E3B">
        <w:t>deem</w:t>
      </w:r>
      <w:r w:rsidRPr="00BF480F" w:rsidR="001F301D">
        <w:t>ing it</w:t>
      </w:r>
      <w:r w:rsidRPr="00BF480F" w:rsidR="000E08C3">
        <w:t xml:space="preserve"> </w:t>
      </w:r>
      <w:r w:rsidRPr="00BF480F" w:rsidR="003A2364">
        <w:t xml:space="preserve">a provision that </w:t>
      </w:r>
      <w:r w:rsidRPr="00BF480F" w:rsidR="004321FE">
        <w:t>“</w:t>
      </w:r>
      <w:r w:rsidRPr="00BF480F" w:rsidR="003A2364">
        <w:t>reduces</w:t>
      </w:r>
      <w:r w:rsidRPr="00BF480F" w:rsidR="004321FE">
        <w:t>”</w:t>
      </w:r>
      <w:r w:rsidRPr="00BF480F" w:rsidR="003A2364">
        <w:t xml:space="preserve"> </w:t>
      </w:r>
      <w:r w:rsidRPr="00BF480F" w:rsidR="00907E3B">
        <w:t>sentences</w:t>
      </w:r>
      <w:r w:rsidRPr="00BF480F" w:rsidR="003A2364">
        <w:t xml:space="preserve">. </w:t>
      </w:r>
      <w:r w:rsidRPr="00BF480F" w:rsidR="00FA4BE2">
        <w:t xml:space="preserve"> He </w:t>
      </w:r>
      <w:r w:rsidRPr="00BF480F" w:rsidR="001D032C">
        <w:t>ci</w:t>
      </w:r>
      <w:r w:rsidRPr="00BF480F" w:rsidR="00FA4BE2">
        <w:t xml:space="preserve">tes </w:t>
      </w:r>
      <w:r w:rsidR="00C4029D">
        <w:t xml:space="preserve">Sixth Amendment </w:t>
      </w:r>
      <w:r w:rsidRPr="00BF480F" w:rsidR="00FA4BE2">
        <w:t xml:space="preserve">decisions </w:t>
      </w:r>
      <w:r w:rsidR="00F83184">
        <w:t xml:space="preserve">finding </w:t>
      </w:r>
      <w:r w:rsidR="006C2237">
        <w:t>it permissible for a judge to</w:t>
      </w:r>
      <w:r w:rsidRPr="00BF480F" w:rsidR="00FA4BE2">
        <w:t xml:space="preserve"> make factual findings </w:t>
      </w:r>
      <w:r w:rsidRPr="00E337D2" w:rsidR="00FA4BE2">
        <w:t>that</w:t>
      </w:r>
      <w:r w:rsidRPr="00BF480F" w:rsidR="00FA4BE2">
        <w:t xml:space="preserve"> determine </w:t>
      </w:r>
      <w:r w:rsidRPr="00BF480F" w:rsidR="006F5BA2">
        <w:t xml:space="preserve">whether </w:t>
      </w:r>
      <w:r w:rsidRPr="00BF480F" w:rsidR="001E2A24">
        <w:t xml:space="preserve">execution of </w:t>
      </w:r>
      <w:r w:rsidRPr="00BF480F" w:rsidR="006F5BA2">
        <w:t>the sentence</w:t>
      </w:r>
      <w:r w:rsidRPr="00BF480F" w:rsidR="001E2A24">
        <w:t>(s)</w:t>
      </w:r>
      <w:r w:rsidRPr="00BF480F" w:rsidR="006F5BA2">
        <w:t xml:space="preserve"> on one o</w:t>
      </w:r>
      <w:r w:rsidRPr="00BF480F" w:rsidR="001E2A24">
        <w:t xml:space="preserve">r more </w:t>
      </w:r>
      <w:r w:rsidRPr="00BF480F" w:rsidR="005659DC">
        <w:t xml:space="preserve">convictions </w:t>
      </w:r>
      <w:r w:rsidRPr="00BF480F" w:rsidR="002E1781">
        <w:t xml:space="preserve">must </w:t>
      </w:r>
      <w:r w:rsidRPr="00BF480F" w:rsidR="005659DC">
        <w:t xml:space="preserve">be stayed </w:t>
      </w:r>
      <w:r w:rsidRPr="00BF480F" w:rsidR="002E1781">
        <w:t xml:space="preserve">under </w:t>
      </w:r>
      <w:r w:rsidRPr="00BF480F" w:rsidR="005659DC">
        <w:t>section 654</w:t>
      </w:r>
      <w:r w:rsidRPr="00BF480F" w:rsidR="00EC63A9">
        <w:t>,</w:t>
      </w:r>
      <w:r w:rsidRPr="00BF480F" w:rsidR="005659DC">
        <w:t xml:space="preserve"> </w:t>
      </w:r>
      <w:r w:rsidRPr="00BF480F" w:rsidR="002E1781">
        <w:t xml:space="preserve">because </w:t>
      </w:r>
      <w:r w:rsidRPr="00E337D2" w:rsidR="002E1781">
        <w:t>that</w:t>
      </w:r>
      <w:r w:rsidRPr="00BF480F" w:rsidR="002E1781">
        <w:t xml:space="preserve"> statute</w:t>
      </w:r>
      <w:r w:rsidRPr="00BF480F" w:rsidR="00833293">
        <w:t xml:space="preserve">, very loosely speaking, </w:t>
      </w:r>
      <w:r w:rsidRPr="00BF480F" w:rsidR="00FF63EE">
        <w:t>entails</w:t>
      </w:r>
      <w:r w:rsidRPr="00BF480F" w:rsidR="007D607A">
        <w:t xml:space="preserve"> </w:t>
      </w:r>
      <w:r w:rsidRPr="00BF480F" w:rsidR="00FF63EE">
        <w:t>“</w:t>
      </w:r>
      <w:r w:rsidRPr="00DC2CA7" w:rsidR="00FF63EE">
        <w:t>sentenc</w:t>
      </w:r>
      <w:r w:rsidRPr="00DC2CA7" w:rsidR="000C4E03">
        <w:t>ing</w:t>
      </w:r>
      <w:r w:rsidRPr="00DC2CA7" w:rsidR="00FF63EE">
        <w:t xml:space="preserve"> </w:t>
      </w:r>
      <w:r w:rsidRPr="00BF480F" w:rsidR="00FF63EE">
        <w:t xml:space="preserve">reduction rather than a sentencing enhancement.” </w:t>
      </w:r>
      <w:r w:rsidRPr="00BF480F" w:rsidR="00686EA5">
        <w:t xml:space="preserve"> </w:t>
      </w:r>
      <w:r w:rsidRPr="00BF480F" w:rsidR="00FF63EE">
        <w:t>(</w:t>
      </w:r>
      <w:r w:rsidRPr="00BF480F" w:rsidR="003972E7">
        <w:rPr>
          <w:i/>
        </w:rPr>
        <w:t xml:space="preserve">People v. Deegan </w:t>
      </w:r>
      <w:r w:rsidRPr="00BF480F" w:rsidR="003972E7">
        <w:t>(2016) 247</w:t>
      </w:r>
      <w:r w:rsidRPr="00BF480F" w:rsidR="00686EA5">
        <w:t> </w:t>
      </w:r>
      <w:r w:rsidRPr="00BF480F" w:rsidR="003972E7">
        <w:t xml:space="preserve">Cal.App.4th </w:t>
      </w:r>
      <w:r w:rsidRPr="00BF480F" w:rsidR="00F563BE">
        <w:t xml:space="preserve">532, 547, citing </w:t>
      </w:r>
      <w:r w:rsidRPr="00BF480F" w:rsidR="000716CD">
        <w:rPr>
          <w:i/>
        </w:rPr>
        <w:t>People v. Cleveland</w:t>
      </w:r>
      <w:r w:rsidRPr="00BF480F" w:rsidR="000716CD">
        <w:t xml:space="preserve"> (2001) </w:t>
      </w:r>
      <w:r w:rsidRPr="00BF480F" w:rsidR="000B0584">
        <w:t>87</w:t>
      </w:r>
      <w:r w:rsidRPr="00BF480F" w:rsidR="00686EA5">
        <w:t> </w:t>
      </w:r>
      <w:r w:rsidRPr="00BF480F" w:rsidR="000B0584">
        <w:t xml:space="preserve">Cal.App.4th 263, </w:t>
      </w:r>
      <w:r w:rsidRPr="00BF480F" w:rsidR="00B854E2">
        <w:t>2</w:t>
      </w:r>
      <w:r w:rsidRPr="00BF480F" w:rsidR="00003D27">
        <w:t>70.)</w:t>
      </w:r>
      <w:r w:rsidRPr="00BF480F" w:rsidR="006E2A31">
        <w:t xml:space="preserve"> </w:t>
      </w:r>
      <w:r w:rsidRPr="00BF480F" w:rsidR="006E2A31">
        <w:rPr>
          <w:iCs/>
        </w:rPr>
        <w:t xml:space="preserve"> </w:t>
      </w:r>
      <w:r w:rsidRPr="00BF480F" w:rsidR="00EE271B">
        <w:t>Even if that characterization of section 654 were accurate,</w:t>
      </w:r>
      <w:r>
        <w:rPr>
          <w:rStyle w:val="FootnoteReference"/>
        </w:rPr>
        <w:footnoteReference w:id="21"/>
      </w:r>
      <w:r w:rsidRPr="00BF480F" w:rsidR="00E05433">
        <w:t xml:space="preserve"> </w:t>
      </w:r>
      <w:r w:rsidRPr="00BF480F" w:rsidR="006E2A31">
        <w:t>it</w:t>
      </w:r>
      <w:r w:rsidRPr="00BF480F" w:rsidR="00E07A8C">
        <w:t xml:space="preserve"> focuses on the wrong statute. </w:t>
      </w:r>
      <w:r w:rsidRPr="00BF480F" w:rsidR="008D0FF2">
        <w:rPr>
          <w:iCs/>
        </w:rPr>
        <w:t xml:space="preserve"> </w:t>
      </w:r>
      <w:r w:rsidRPr="00BF480F" w:rsidR="00E03F75">
        <w:t xml:space="preserve">When </w:t>
      </w:r>
      <w:r w:rsidRPr="00BF480F" w:rsidR="00E07A8C">
        <w:t>section 1170.1 require</w:t>
      </w:r>
      <w:r w:rsidRPr="00BF480F" w:rsidR="00E03F75">
        <w:t>s</w:t>
      </w:r>
      <w:r w:rsidRPr="00BF480F" w:rsidR="00E07A8C">
        <w:t xml:space="preserve"> a court to impose sentences of one</w:t>
      </w:r>
      <w:r w:rsidR="00A448A6">
        <w:noBreakHyphen/>
      </w:r>
      <w:r w:rsidRPr="00BF480F" w:rsidR="00E07A8C">
        <w:t xml:space="preserve">third the middle term on </w:t>
      </w:r>
      <w:r w:rsidRPr="00BF480F" w:rsidR="00C64369">
        <w:t xml:space="preserve">a defendant’s </w:t>
      </w:r>
      <w:r w:rsidRPr="00BF480F" w:rsidR="00E07A8C">
        <w:t>second and subsequent convictions</w:t>
      </w:r>
      <w:r w:rsidRPr="00BF480F" w:rsidR="00E03F75">
        <w:t>, it</w:t>
      </w:r>
      <w:r w:rsidRPr="00BF480F" w:rsidR="00E07A8C">
        <w:t xml:space="preserve"> </w:t>
      </w:r>
      <w:r w:rsidRPr="00BF480F" w:rsidR="00645274">
        <w:t>does</w:t>
      </w:r>
      <w:r w:rsidRPr="00BF480F" w:rsidR="00AF0650">
        <w:t xml:space="preserve"> </w:t>
      </w:r>
      <w:r w:rsidRPr="00BF480F" w:rsidR="00966587">
        <w:t>reduc</w:t>
      </w:r>
      <w:r w:rsidRPr="00BF480F" w:rsidR="00584C63">
        <w:t>e</w:t>
      </w:r>
      <w:r w:rsidRPr="00BF480F" w:rsidR="00966587">
        <w:t xml:space="preserve"> </w:t>
      </w:r>
      <w:r w:rsidRPr="00BF480F" w:rsidR="00FA1122">
        <w:t xml:space="preserve">the sentence on </w:t>
      </w:r>
      <w:r w:rsidRPr="00BF480F" w:rsidR="00C64369">
        <w:t xml:space="preserve">each </w:t>
      </w:r>
      <w:r w:rsidRPr="00BF480F" w:rsidR="00BA7518">
        <w:t>discrete offense</w:t>
      </w:r>
      <w:r w:rsidRPr="00BF480F" w:rsidR="00966587">
        <w:t xml:space="preserve">. </w:t>
      </w:r>
      <w:r w:rsidRPr="00BF480F" w:rsidR="008D0FF2">
        <w:rPr>
          <w:iCs/>
        </w:rPr>
        <w:t xml:space="preserve"> </w:t>
      </w:r>
      <w:r w:rsidRPr="00BF480F" w:rsidR="00966587">
        <w:t xml:space="preserve">But the </w:t>
      </w:r>
      <w:r w:rsidRPr="00BF480F" w:rsidR="00EF3741">
        <w:t xml:space="preserve">statute triggered by </w:t>
      </w:r>
      <w:r w:rsidRPr="00BF480F" w:rsidR="00A07F5B">
        <w:t xml:space="preserve">the </w:t>
      </w:r>
      <w:r w:rsidRPr="00BF480F" w:rsidR="00966587">
        <w:t>judicial factfinding at issue</w:t>
      </w:r>
      <w:r w:rsidRPr="00BF480F" w:rsidR="00EF3741">
        <w:t xml:space="preserve"> </w:t>
      </w:r>
      <w:r w:rsidRPr="00BF480F" w:rsidR="00DC3BE0">
        <w:t xml:space="preserve">here </w:t>
      </w:r>
      <w:r w:rsidRPr="00BF480F" w:rsidR="00EF3741">
        <w:t xml:space="preserve">is </w:t>
      </w:r>
      <w:r w:rsidRPr="00BF480F" w:rsidR="00966587">
        <w:t>section 667.6(d)</w:t>
      </w:r>
      <w:r w:rsidRPr="00BF480F" w:rsidR="00BA7518">
        <w:t>.</w:t>
      </w:r>
    </w:p>
    <w:p w:rsidR="00A13DA0" w:rsidRPr="00BF480F" w:rsidP="00822861" w14:paraId="12A46F2C" w14:textId="6E928F66">
      <w:r w:rsidRPr="001D72E2">
        <w:rPr>
          <w:iCs/>
        </w:rPr>
        <w:t>The relationship between those</w:t>
      </w:r>
      <w:r w:rsidRPr="00AF2989">
        <w:rPr>
          <w:iCs/>
        </w:rPr>
        <w:t xml:space="preserve"> </w:t>
      </w:r>
      <w:r w:rsidRPr="00AF2989" w:rsidR="00634650">
        <w:rPr>
          <w:iCs/>
        </w:rPr>
        <w:t>two</w:t>
      </w:r>
      <w:r w:rsidR="00634650">
        <w:rPr>
          <w:iCs/>
        </w:rPr>
        <w:t xml:space="preserve"> </w:t>
      </w:r>
      <w:r w:rsidRPr="0072458F">
        <w:rPr>
          <w:iCs/>
        </w:rPr>
        <w:t xml:space="preserve">statutes is </w:t>
      </w:r>
      <w:r w:rsidRPr="0072458F" w:rsidR="00F27425">
        <w:rPr>
          <w:iCs/>
        </w:rPr>
        <w:t>straightforward</w:t>
      </w:r>
      <w:r w:rsidRPr="0072458F">
        <w:rPr>
          <w:iCs/>
        </w:rPr>
        <w:t xml:space="preserve">. </w:t>
      </w:r>
      <w:r w:rsidRPr="00BF480F" w:rsidR="008D0FF2">
        <w:rPr>
          <w:iCs/>
        </w:rPr>
        <w:t xml:space="preserve"> </w:t>
      </w:r>
      <w:r w:rsidRPr="0072458F" w:rsidR="00486F6E">
        <w:rPr>
          <w:iCs/>
        </w:rPr>
        <w:t>Section</w:t>
      </w:r>
      <w:r w:rsidRPr="00BF480F" w:rsidR="00681A0F">
        <w:t xml:space="preserve"> </w:t>
      </w:r>
      <w:r w:rsidRPr="0057371A" w:rsidR="00486F6E">
        <w:t>1170.1</w:t>
      </w:r>
      <w:r w:rsidRPr="00BF480F" w:rsidR="00681A0F">
        <w:t xml:space="preserve">, enacted </w:t>
      </w:r>
      <w:r w:rsidRPr="00BF480F" w:rsidR="00377DD4">
        <w:t xml:space="preserve">in 1976 </w:t>
      </w:r>
      <w:r w:rsidRPr="00BF480F" w:rsidR="00681A0F">
        <w:t xml:space="preserve">as part of the DSL </w:t>
      </w:r>
      <w:r w:rsidRPr="00BF480F" w:rsidR="00152EE7">
        <w:t>(Stats.</w:t>
      </w:r>
      <w:r w:rsidR="002707A0">
        <w:t xml:space="preserve"> </w:t>
      </w:r>
      <w:r w:rsidRPr="00BF480F" w:rsidR="00152EE7">
        <w:t xml:space="preserve">1976, </w:t>
      </w:r>
      <w:r w:rsidRPr="00BF480F" w:rsidR="00F06018">
        <w:t>c</w:t>
      </w:r>
      <w:r w:rsidRPr="00BF480F" w:rsidR="00287F42">
        <w:t>h</w:t>
      </w:r>
      <w:r w:rsidRPr="00BF480F" w:rsidR="00F06018">
        <w:t>.</w:t>
      </w:r>
      <w:r w:rsidRPr="00BF480F" w:rsidR="008D0FF2">
        <w:rPr>
          <w:iCs/>
        </w:rPr>
        <w:t> </w:t>
      </w:r>
      <w:r w:rsidRPr="00BF480F" w:rsidR="00F06018">
        <w:t xml:space="preserve">1139, </w:t>
      </w:r>
      <w:r w:rsidRPr="00BF480F" w:rsidR="0082760A">
        <w:t>§ 273</w:t>
      </w:r>
      <w:r w:rsidR="0028761B">
        <w:t>,</w:t>
      </w:r>
      <w:r w:rsidRPr="0028761B" w:rsidR="0028761B">
        <w:t xml:space="preserve"> </w:t>
      </w:r>
      <w:r w:rsidRPr="00BF480F" w:rsidR="0028761B">
        <w:t>p. </w:t>
      </w:r>
      <w:r w:rsidRPr="0057371A" w:rsidR="0028761B">
        <w:t>514</w:t>
      </w:r>
      <w:r w:rsidRPr="0057371A" w:rsidR="00D9725E">
        <w:t>1</w:t>
      </w:r>
      <w:r w:rsidRPr="00BF480F" w:rsidR="0028761B">
        <w:t>,</w:t>
      </w:r>
      <w:r w:rsidRPr="00BF480F" w:rsidR="0082760A">
        <w:t xml:space="preserve"> [</w:t>
      </w:r>
      <w:r w:rsidR="00D96908">
        <w:t xml:space="preserve">originally </w:t>
      </w:r>
      <w:r w:rsidRPr="0057371A" w:rsidR="0082760A">
        <w:t>codified as §</w:t>
      </w:r>
      <w:r w:rsidRPr="00BF480F" w:rsidR="0082760A">
        <w:t> </w:t>
      </w:r>
      <w:r w:rsidRPr="0057371A" w:rsidR="0082760A">
        <w:t>1170.1a</w:t>
      </w:r>
      <w:r w:rsidRPr="00BF480F" w:rsidR="00562402">
        <w:t>]</w:t>
      </w:r>
      <w:r w:rsidRPr="00BF480F" w:rsidR="008F1D0A">
        <w:t xml:space="preserve">, renumbered by </w:t>
      </w:r>
      <w:r w:rsidRPr="00BF480F" w:rsidR="00562402">
        <w:t>Stats.</w:t>
      </w:r>
      <w:r w:rsidR="002C18DA">
        <w:t xml:space="preserve"> </w:t>
      </w:r>
      <w:r w:rsidRPr="00BF480F" w:rsidR="00562402">
        <w:t>1977,</w:t>
      </w:r>
      <w:r w:rsidRPr="00BF480F" w:rsidR="00287F42">
        <w:t xml:space="preserve"> ch. </w:t>
      </w:r>
      <w:r w:rsidRPr="00BF480F" w:rsidR="009E5155">
        <w:t>165, §</w:t>
      </w:r>
      <w:r w:rsidRPr="00BF480F" w:rsidR="00AE35B3">
        <w:rPr>
          <w:iCs/>
        </w:rPr>
        <w:t> </w:t>
      </w:r>
      <w:r w:rsidRPr="0028761B" w:rsidR="009E5155">
        <w:t>17</w:t>
      </w:r>
      <w:r w:rsidRPr="0028761B" w:rsidR="0028761B">
        <w:t>, p. 649</w:t>
      </w:r>
      <w:r w:rsidRPr="0028761B" w:rsidR="00152EE7">
        <w:t>)</w:t>
      </w:r>
      <w:r w:rsidRPr="0028761B" w:rsidR="00194C26">
        <w:t xml:space="preserve">, </w:t>
      </w:r>
      <w:r w:rsidRPr="0028761B" w:rsidR="00E751DA">
        <w:t>establish</w:t>
      </w:r>
      <w:r w:rsidRPr="0028761B" w:rsidR="00152EE7">
        <w:t>ed</w:t>
      </w:r>
      <w:r w:rsidRPr="0028761B" w:rsidR="00E751DA">
        <w:t xml:space="preserve"> a</w:t>
      </w:r>
      <w:r w:rsidRPr="00BF480F" w:rsidR="007A2B1A">
        <w:t xml:space="preserve"> </w:t>
      </w:r>
      <w:r w:rsidRPr="00BF480F" w:rsidR="00E751DA">
        <w:t xml:space="preserve">default rule </w:t>
      </w:r>
      <w:r w:rsidRPr="00236EE2" w:rsidR="00E751DA">
        <w:t xml:space="preserve">that second and </w:t>
      </w:r>
      <w:r w:rsidRPr="00236EE2" w:rsidR="00006FB8">
        <w:t>further</w:t>
      </w:r>
      <w:r w:rsidRPr="00236EE2" w:rsidR="00E751DA">
        <w:t xml:space="preserve"> </w:t>
      </w:r>
      <w:r w:rsidRPr="00236EE2" w:rsidR="00F146BC">
        <w:t>felony</w:t>
      </w:r>
      <w:r w:rsidRPr="00BF480F" w:rsidR="00F146BC">
        <w:t xml:space="preserve"> </w:t>
      </w:r>
      <w:r w:rsidRPr="00BF480F" w:rsidR="00E751DA">
        <w:t xml:space="preserve">convictions </w:t>
      </w:r>
      <w:r w:rsidRPr="00BF480F" w:rsidR="007A2B1A">
        <w:t>governed by the DSL</w:t>
      </w:r>
      <w:r w:rsidRPr="00BF480F" w:rsidR="00CA5898">
        <w:t>, if imposed consecutively rather than concurrently,</w:t>
      </w:r>
      <w:r w:rsidRPr="00BF480F" w:rsidR="007A2B1A">
        <w:t xml:space="preserve"> </w:t>
      </w:r>
      <w:r w:rsidRPr="00BF480F" w:rsidR="002C763C">
        <w:t xml:space="preserve">must be subject to </w:t>
      </w:r>
      <w:r w:rsidRPr="00BF480F" w:rsidR="006A09A5">
        <w:t xml:space="preserve">sentences of one-third the middle term. </w:t>
      </w:r>
      <w:r w:rsidRPr="00BF480F" w:rsidR="00AE35B3">
        <w:rPr>
          <w:iCs/>
        </w:rPr>
        <w:t xml:space="preserve"> </w:t>
      </w:r>
      <w:r w:rsidRPr="00AF62FA" w:rsidR="006A09A5">
        <w:t>Section 667.6</w:t>
      </w:r>
      <w:r w:rsidRPr="00AF62FA" w:rsidR="007D341C">
        <w:t>(d)</w:t>
      </w:r>
      <w:r w:rsidRPr="00AF62FA" w:rsidR="00152EE7">
        <w:t xml:space="preserve">, </w:t>
      </w:r>
      <w:r w:rsidRPr="00BF480F" w:rsidR="00152EE7">
        <w:t>enacted in 197</w:t>
      </w:r>
      <w:r w:rsidRPr="00BF480F" w:rsidR="000663BF">
        <w:t>9 (Stats.</w:t>
      </w:r>
      <w:r w:rsidR="00374907">
        <w:t xml:space="preserve"> </w:t>
      </w:r>
      <w:r w:rsidRPr="00BF480F" w:rsidR="000663BF">
        <w:t>1979, c</w:t>
      </w:r>
      <w:r w:rsidRPr="00BF480F" w:rsidR="00D728C8">
        <w:t>h. </w:t>
      </w:r>
      <w:r w:rsidRPr="00BF480F" w:rsidR="000663BF">
        <w:t xml:space="preserve">944, </w:t>
      </w:r>
      <w:r w:rsidR="00CE7D6D">
        <w:t>§ 10,</w:t>
      </w:r>
      <w:r w:rsidR="00E8277E">
        <w:t xml:space="preserve"> </w:t>
      </w:r>
      <w:r w:rsidRPr="00BF480F" w:rsidR="000663BF">
        <w:t>p.</w:t>
      </w:r>
      <w:r w:rsidRPr="00BF480F" w:rsidR="00D728C8">
        <w:t> </w:t>
      </w:r>
      <w:r w:rsidRPr="00BF480F" w:rsidR="000663BF">
        <w:t>3258)</w:t>
      </w:r>
      <w:r w:rsidRPr="00BF480F" w:rsidR="00152EE7">
        <w:t>,</w:t>
      </w:r>
      <w:r w:rsidRPr="00BF480F" w:rsidR="007D341C">
        <w:t xml:space="preserve"> </w:t>
      </w:r>
      <w:r w:rsidRPr="00BF480F" w:rsidR="00152EE7">
        <w:t>created</w:t>
      </w:r>
      <w:r w:rsidRPr="00BF480F" w:rsidR="007D341C">
        <w:t xml:space="preserve"> an exception </w:t>
      </w:r>
      <w:r w:rsidRPr="00BF480F" w:rsidR="001B13D0">
        <w:t>to th</w:t>
      </w:r>
      <w:r w:rsidRPr="00BF480F" w:rsidR="00634650">
        <w:t>at</w:t>
      </w:r>
      <w:r w:rsidRPr="00BF480F" w:rsidR="001B13D0">
        <w:t xml:space="preserve"> default rule</w:t>
      </w:r>
      <w:r w:rsidRPr="00BF480F" w:rsidR="00C53351">
        <w:t xml:space="preserve">. </w:t>
      </w:r>
      <w:r w:rsidRPr="00BF480F" w:rsidR="00C53351">
        <w:rPr>
          <w:iCs/>
        </w:rPr>
        <w:t xml:space="preserve"> </w:t>
      </w:r>
      <w:r w:rsidRPr="00BF480F" w:rsidR="00C53351">
        <w:t>Under that exception,</w:t>
      </w:r>
      <w:r w:rsidRPr="00BF480F" w:rsidR="001B13D0">
        <w:t xml:space="preserve"> </w:t>
      </w:r>
      <w:r w:rsidRPr="00BF480F" w:rsidR="007D341C">
        <w:t xml:space="preserve">certain factual findings </w:t>
      </w:r>
      <w:r w:rsidRPr="00BF480F" w:rsidR="00190DD7">
        <w:t xml:space="preserve">about </w:t>
      </w:r>
      <w:r w:rsidRPr="00BF480F" w:rsidR="009A30EC">
        <w:t xml:space="preserve">the conduct underlying convictions </w:t>
      </w:r>
      <w:r w:rsidRPr="00BF480F" w:rsidR="00D1147F">
        <w:t xml:space="preserve">of certain crimes </w:t>
      </w:r>
      <w:r w:rsidRPr="00BF480F" w:rsidR="00190DD7">
        <w:t xml:space="preserve">mandate the </w:t>
      </w:r>
      <w:r w:rsidRPr="00BF480F" w:rsidR="005A3171">
        <w:t>imposi</w:t>
      </w:r>
      <w:r w:rsidRPr="00BF480F" w:rsidR="00190DD7">
        <w:t xml:space="preserve">tion of a full term </w:t>
      </w:r>
      <w:r w:rsidRPr="00BF480F" w:rsidR="00264C9A">
        <w:t>on each</w:t>
      </w:r>
      <w:r w:rsidRPr="00BF480F" w:rsidR="00E96D94">
        <w:t xml:space="preserve">. </w:t>
      </w:r>
      <w:r w:rsidRPr="00BF480F" w:rsidR="00E96D94">
        <w:rPr>
          <w:iCs/>
        </w:rPr>
        <w:t xml:space="preserve"> </w:t>
      </w:r>
      <w:r w:rsidRPr="00BF480F" w:rsidR="00E96D94">
        <w:t xml:space="preserve">That </w:t>
      </w:r>
      <w:r w:rsidRPr="00BF480F" w:rsidR="0035623C">
        <w:t xml:space="preserve">mandate </w:t>
      </w:r>
      <w:r w:rsidRPr="00BF480F" w:rsidR="0010771E">
        <w:t>ra</w:t>
      </w:r>
      <w:r w:rsidRPr="00BF480F" w:rsidR="009A30EC">
        <w:t>i</w:t>
      </w:r>
      <w:r w:rsidRPr="00BF480F" w:rsidR="0010771E">
        <w:t>s</w:t>
      </w:r>
      <w:r w:rsidRPr="00BF480F" w:rsidR="00E96D94">
        <w:t>es</w:t>
      </w:r>
      <w:r w:rsidRPr="00BF480F" w:rsidR="0010771E">
        <w:t xml:space="preserve"> the minimum sentence on those </w:t>
      </w:r>
      <w:r w:rsidRPr="00BF480F" w:rsidR="00E96D94">
        <w:t xml:space="preserve">crimes </w:t>
      </w:r>
      <w:r w:rsidRPr="00BF480F" w:rsidR="00525F7F">
        <w:t>from one</w:t>
      </w:r>
      <w:r w:rsidRPr="00BF480F" w:rsidR="00525F7F">
        <w:noBreakHyphen/>
        <w:t>third the mid</w:t>
      </w:r>
      <w:r w:rsidRPr="00BF480F" w:rsidR="00B70035">
        <w:t xml:space="preserve">dle </w:t>
      </w:r>
      <w:r w:rsidRPr="00BF480F" w:rsidR="00525F7F">
        <w:t>term to a full lower term</w:t>
      </w:r>
      <w:r w:rsidRPr="00BF480F" w:rsidR="00CB66B5">
        <w:t>.</w:t>
      </w:r>
      <w:r w:rsidRPr="00BF480F" w:rsidR="00601D24">
        <w:t xml:space="preserve"> </w:t>
      </w:r>
      <w:r w:rsidRPr="00BF480F" w:rsidR="00AE35B3">
        <w:rPr>
          <w:iCs/>
        </w:rPr>
        <w:t xml:space="preserve"> </w:t>
      </w:r>
      <w:r w:rsidRPr="00BF480F" w:rsidR="00CA1361">
        <w:t>Such r</w:t>
      </w:r>
      <w:r w:rsidRPr="00BF480F" w:rsidR="00601D24">
        <w:t>el</w:t>
      </w:r>
      <w:r w:rsidRPr="00BF480F" w:rsidR="00CA1361">
        <w:t>ia</w:t>
      </w:r>
      <w:r w:rsidRPr="00BF480F" w:rsidR="00601D24">
        <w:t>n</w:t>
      </w:r>
      <w:r w:rsidRPr="00BF480F" w:rsidR="00CA1361">
        <w:t>ce</w:t>
      </w:r>
      <w:r w:rsidRPr="00BF480F" w:rsidR="00601D24">
        <w:t xml:space="preserve"> on judicial factfinding to </w:t>
      </w:r>
      <w:r w:rsidRPr="00BF480F" w:rsidR="0010771E">
        <w:t>increase</w:t>
      </w:r>
      <w:r w:rsidRPr="00BF480F" w:rsidR="00C418C4">
        <w:t xml:space="preserve"> the </w:t>
      </w:r>
      <w:r w:rsidRPr="00BF480F" w:rsidR="005E057A">
        <w:t xml:space="preserve">mandatory minimum </w:t>
      </w:r>
      <w:r w:rsidRPr="00BF480F" w:rsidR="00C418C4">
        <w:t xml:space="preserve">sentence for </w:t>
      </w:r>
      <w:r w:rsidRPr="00BF480F" w:rsidR="005E057A">
        <w:t xml:space="preserve">a </w:t>
      </w:r>
      <w:r w:rsidRPr="00BF480F" w:rsidR="00C418C4">
        <w:t xml:space="preserve">discrete crime violates the Sixth Amendment. </w:t>
      </w:r>
      <w:r w:rsidRPr="00BF480F" w:rsidR="00AE35B3">
        <w:rPr>
          <w:iCs/>
        </w:rPr>
        <w:t xml:space="preserve"> </w:t>
      </w:r>
      <w:r w:rsidRPr="00BF480F" w:rsidR="00C418C4">
        <w:t>(</w:t>
      </w:r>
      <w:r w:rsidRPr="00BF480F" w:rsidR="00C418C4">
        <w:rPr>
          <w:i/>
        </w:rPr>
        <w:t>Alleyne</w:t>
      </w:r>
      <w:r w:rsidRPr="00BF480F" w:rsidR="00C418C4">
        <w:t xml:space="preserve">, </w:t>
      </w:r>
      <w:r w:rsidRPr="00BF480F" w:rsidR="00C418C4">
        <w:rPr>
          <w:i/>
        </w:rPr>
        <w:t>supra</w:t>
      </w:r>
      <w:r w:rsidRPr="00BF480F" w:rsidR="00C418C4">
        <w:t xml:space="preserve">, </w:t>
      </w:r>
      <w:r w:rsidR="00F42BD5">
        <w:t>570 U.S. at p. 103.)</w:t>
      </w:r>
    </w:p>
    <w:p w:rsidR="002862F2" w:rsidP="003C42A3" w14:paraId="737107BF" w14:textId="73BC4A76">
      <w:pPr>
        <w:pStyle w:val="Heading4"/>
      </w:pPr>
      <w:r>
        <w:t>Prejudice</w:t>
      </w:r>
    </w:p>
    <w:p w:rsidR="00B745E4" w:rsidRPr="00F83F9A" w:rsidP="00334B5E" w14:paraId="7BB0ABA5" w14:textId="44E61BD4">
      <w:r w:rsidRPr="00BF568C">
        <w:t>The Attorney General</w:t>
      </w:r>
      <w:r w:rsidRPr="00F83F9A">
        <w:t xml:space="preserve"> </w:t>
      </w:r>
      <w:r w:rsidR="00141D65">
        <w:t>assert</w:t>
      </w:r>
      <w:r>
        <w:t xml:space="preserve">s that any </w:t>
      </w:r>
      <w:r w:rsidRPr="00F83F9A" w:rsidR="000C2D51">
        <w:t>err</w:t>
      </w:r>
      <w:r>
        <w:t>or</w:t>
      </w:r>
      <w:r w:rsidRPr="00F83F9A" w:rsidR="000C2D51">
        <w:t xml:space="preserve"> in </w:t>
      </w:r>
      <w:r w:rsidR="00EC16DB">
        <w:t>ba</w:t>
      </w:r>
      <w:r w:rsidRPr="00F83F9A" w:rsidR="00F54898">
        <w:t>si</w:t>
      </w:r>
      <w:r w:rsidRPr="00F83F9A" w:rsidR="009702E9">
        <w:t>ng</w:t>
      </w:r>
      <w:r w:rsidRPr="00F83F9A" w:rsidR="00F54898">
        <w:t xml:space="preserve"> full sentences </w:t>
      </w:r>
      <w:r w:rsidRPr="00F83F9A" w:rsidR="009702E9">
        <w:t xml:space="preserve">on </w:t>
      </w:r>
      <w:r w:rsidRPr="00BF568C" w:rsidR="00972C05">
        <w:t>a</w:t>
      </w:r>
      <w:r w:rsidRPr="00BF568C" w:rsidR="009702E9">
        <w:t xml:space="preserve"> jud</w:t>
      </w:r>
      <w:r w:rsidRPr="00BF568C" w:rsidR="00972C05">
        <w:t>icial</w:t>
      </w:r>
      <w:r w:rsidRPr="00BF568C" w:rsidR="009702E9">
        <w:t xml:space="preserve"> finding that </w:t>
      </w:r>
      <w:r w:rsidRPr="00BF568C" w:rsidR="003F0CE6">
        <w:t>the</w:t>
      </w:r>
      <w:r w:rsidRPr="00BF568C" w:rsidR="00515CAA">
        <w:t xml:space="preserve"> </w:t>
      </w:r>
      <w:r w:rsidRPr="00BF568C" w:rsidR="00EC16DB">
        <w:t>crim</w:t>
      </w:r>
      <w:r w:rsidRPr="00BF568C" w:rsidR="009702E9">
        <w:t xml:space="preserve">es </w:t>
      </w:r>
      <w:r w:rsidRPr="00BF568C" w:rsidR="00F54898">
        <w:t xml:space="preserve">occurred on </w:t>
      </w:r>
      <w:r w:rsidRPr="00BF568C" w:rsidR="008A4B89">
        <w:t>separate occasions</w:t>
      </w:r>
      <w:r w:rsidRPr="00BF568C" w:rsidR="00515CAA">
        <w:t xml:space="preserve"> was </w:t>
      </w:r>
      <w:r w:rsidRPr="00BF568C" w:rsidR="00E81716">
        <w:t xml:space="preserve">harmless. </w:t>
      </w:r>
      <w:r w:rsidRPr="00BF568C" w:rsidR="00AE35B3">
        <w:t xml:space="preserve"> </w:t>
      </w:r>
      <w:r w:rsidRPr="00BF568C" w:rsidR="00726675">
        <w:t xml:space="preserve">We can </w:t>
      </w:r>
      <w:r w:rsidRPr="00BF568C">
        <w:t>find</w:t>
      </w:r>
      <w:r w:rsidRPr="00BF568C" w:rsidR="00B577EF">
        <w:t xml:space="preserve"> </w:t>
      </w:r>
      <w:r w:rsidRPr="00BF568C" w:rsidR="00972C05">
        <w:t xml:space="preserve">such </w:t>
      </w:r>
      <w:r w:rsidRPr="00BF568C" w:rsidR="00726675">
        <w:t>error harmless</w:t>
      </w:r>
      <w:r w:rsidRPr="00F83F9A" w:rsidR="00726675">
        <w:t xml:space="preserve"> only if we conclude </w:t>
      </w:r>
      <w:r w:rsidRPr="00F83F9A">
        <w:t>“beyond a reasonable doubt, that the jury, applying the beyond-a-reasonable-doubt standard, unquestionably would have found true” the fact</w:t>
      </w:r>
      <w:r w:rsidR="00E6568C">
        <w:t>s</w:t>
      </w:r>
      <w:r w:rsidRPr="00F83F9A">
        <w:t xml:space="preserve"> </w:t>
      </w:r>
      <w:r w:rsidR="00972C05">
        <w:t>needed</w:t>
      </w:r>
      <w:r w:rsidRPr="00F83F9A">
        <w:t xml:space="preserve"> to support the judgment.</w:t>
      </w:r>
      <w:r w:rsidRPr="00BF568C">
        <w:t xml:space="preserve"> </w:t>
      </w:r>
      <w:r w:rsidRPr="00BF568C">
        <w:rPr>
          <w:i/>
          <w:iCs/>
        </w:rPr>
        <w:t xml:space="preserve"> </w:t>
      </w:r>
      <w:r w:rsidRPr="00F83F9A">
        <w:t>(</w:t>
      </w:r>
      <w:r w:rsidRPr="00F83F9A" w:rsidR="00726675">
        <w:rPr>
          <w:i/>
          <w:iCs/>
        </w:rPr>
        <w:t>People v. Sandoval</w:t>
      </w:r>
      <w:r w:rsidRPr="00F83F9A" w:rsidR="00726675">
        <w:t xml:space="preserve"> (2007) 41</w:t>
      </w:r>
      <w:r w:rsidR="00E6568C">
        <w:t> </w:t>
      </w:r>
      <w:r w:rsidRPr="00F83F9A" w:rsidR="00726675">
        <w:t>Cal.4th 825, 839</w:t>
      </w:r>
      <w:r w:rsidRPr="00F83F9A">
        <w:t xml:space="preserve">.) </w:t>
      </w:r>
      <w:r w:rsidRPr="00EA6EBA">
        <w:t xml:space="preserve"> </w:t>
      </w:r>
      <w:r w:rsidRPr="00F83F9A" w:rsidR="004448EA">
        <w:t xml:space="preserve">Because the error affects only </w:t>
      </w:r>
      <w:r w:rsidR="00972C05">
        <w:t xml:space="preserve">the </w:t>
      </w:r>
      <w:r w:rsidRPr="00F83F9A" w:rsidR="00A747EA">
        <w:t>forcible</w:t>
      </w:r>
      <w:r w:rsidR="00F54818">
        <w:t xml:space="preserve"> </w:t>
      </w:r>
      <w:r w:rsidRPr="00F83F9A" w:rsidR="00A747EA">
        <w:t>lewd</w:t>
      </w:r>
      <w:r w:rsidR="00F54818">
        <w:t xml:space="preserve"> </w:t>
      </w:r>
      <w:r w:rsidRPr="00F83F9A" w:rsidR="00A747EA">
        <w:t xml:space="preserve">act </w:t>
      </w:r>
      <w:r w:rsidRPr="00F83F9A" w:rsidR="004448EA">
        <w:t xml:space="preserve">counts, the question is whether </w:t>
      </w:r>
      <w:r w:rsidRPr="00F83F9A" w:rsidR="00A747EA">
        <w:t xml:space="preserve">the jury would have found that those </w:t>
      </w:r>
      <w:r w:rsidR="00EC16DB">
        <w:t xml:space="preserve">four </w:t>
      </w:r>
      <w:r w:rsidRPr="00F83F9A" w:rsidR="00A747EA">
        <w:t xml:space="preserve">offenses </w:t>
      </w:r>
      <w:r w:rsidR="00EC16DB">
        <w:t xml:space="preserve">all </w:t>
      </w:r>
      <w:r w:rsidRPr="00F83F9A" w:rsidR="00A747EA">
        <w:t>occurred on separate occasions</w:t>
      </w:r>
      <w:r w:rsidRPr="00F83F9A" w:rsidR="00C24E81">
        <w:t>.</w:t>
      </w:r>
    </w:p>
    <w:p w:rsidR="00C867EF" w:rsidRPr="00932FB5" w:rsidP="007D6B0C" w14:paraId="6DA724F1" w14:textId="6F7DABA8">
      <w:r>
        <w:t>D</w:t>
      </w:r>
      <w:r w:rsidRPr="00F83F9A" w:rsidR="001911F8">
        <w:t xml:space="preserve">efendant’s </w:t>
      </w:r>
      <w:r w:rsidRPr="00147774" w:rsidR="00B72328">
        <w:t>forcible</w:t>
      </w:r>
      <w:r w:rsidRPr="00147774" w:rsidR="0081110B">
        <w:t xml:space="preserve"> </w:t>
      </w:r>
      <w:r w:rsidRPr="00147774" w:rsidR="00B72328">
        <w:t>lewd</w:t>
      </w:r>
      <w:r w:rsidRPr="00147774" w:rsidR="0081110B">
        <w:t xml:space="preserve"> </w:t>
      </w:r>
      <w:r w:rsidRPr="00147774" w:rsidR="00B72328">
        <w:t>act</w:t>
      </w:r>
      <w:r w:rsidRPr="00F83F9A" w:rsidR="00B72328">
        <w:t xml:space="preserve"> convictions </w:t>
      </w:r>
      <w:r>
        <w:t xml:space="preserve">rest on </w:t>
      </w:r>
      <w:r w:rsidRPr="00F83F9A" w:rsidR="001911F8">
        <w:t xml:space="preserve">two acts of touching Jane’s vagina with his finger and two acts of touching </w:t>
      </w:r>
      <w:r w:rsidRPr="00F83F9A" w:rsidR="0078617D">
        <w:t>it</w:t>
      </w:r>
      <w:r w:rsidRPr="00F83F9A" w:rsidR="001911F8">
        <w:t xml:space="preserve"> with his penis</w:t>
      </w:r>
      <w:r w:rsidRPr="00EA6EBA" w:rsidR="001911F8">
        <w:t>.</w:t>
      </w:r>
      <w:r w:rsidRPr="00EA6EBA" w:rsidR="00AE35B3">
        <w:t xml:space="preserve"> </w:t>
      </w:r>
      <w:r w:rsidRPr="00F83F9A" w:rsidR="008C439C">
        <w:t xml:space="preserve"> </w:t>
      </w:r>
      <w:r w:rsidRPr="00EA6EBA" w:rsidR="00EC69F9">
        <w:t>But t</w:t>
      </w:r>
      <w:r w:rsidRPr="00EA6EBA" w:rsidR="00DB4DD1">
        <w:t xml:space="preserve">he Attorney General’s </w:t>
      </w:r>
      <w:r w:rsidRPr="00EA6EBA" w:rsidR="009C622C">
        <w:t xml:space="preserve">claim of </w:t>
      </w:r>
      <w:r w:rsidRPr="00EA6EBA" w:rsidR="00DB4DD1">
        <w:t xml:space="preserve">harmlessness focuses on </w:t>
      </w:r>
      <w:r w:rsidRPr="00EA6EBA" w:rsidR="00913DC5">
        <w:t>showing</w:t>
      </w:r>
      <w:r w:rsidRPr="00EA6EBA" w:rsidR="00DB4DD1">
        <w:t xml:space="preserve"> that the </w:t>
      </w:r>
      <w:r w:rsidRPr="00EA6EBA" w:rsidR="00B42C2A">
        <w:t xml:space="preserve">jury must have found nine </w:t>
      </w:r>
      <w:r w:rsidRPr="00EA6EBA" w:rsidR="00C96CA4">
        <w:t>distinct</w:t>
      </w:r>
      <w:r w:rsidRPr="00EA6EBA" w:rsidR="00B42C2A">
        <w:t xml:space="preserve"> </w:t>
      </w:r>
      <w:r w:rsidRPr="00EA6EBA" w:rsidR="00482E54">
        <w:t>act</w:t>
      </w:r>
      <w:r w:rsidRPr="00EA6EBA" w:rsidR="00B42C2A">
        <w:t>s of oral copulation</w:t>
      </w:r>
      <w:r w:rsidRPr="00EA6EBA" w:rsidR="00211561">
        <w:t xml:space="preserve"> underlying the nine </w:t>
      </w:r>
      <w:r w:rsidRPr="00147774" w:rsidR="00932FB5">
        <w:t>aggravated</w:t>
      </w:r>
      <w:r w:rsidRPr="00147774" w:rsidR="00147774">
        <w:t xml:space="preserve"> </w:t>
      </w:r>
      <w:r w:rsidRPr="00147774" w:rsidR="00932FB5">
        <w:t>sexual</w:t>
      </w:r>
      <w:r w:rsidRPr="00147774" w:rsidR="00147774">
        <w:t xml:space="preserve"> </w:t>
      </w:r>
      <w:r w:rsidRPr="00147774" w:rsidR="00932FB5">
        <w:t>assault</w:t>
      </w:r>
      <w:r w:rsidRPr="00EA6EBA" w:rsidR="00932FB5">
        <w:t xml:space="preserve"> </w:t>
      </w:r>
      <w:r w:rsidRPr="00EA6EBA" w:rsidR="00C96CA4">
        <w:t>counts</w:t>
      </w:r>
      <w:r w:rsidRPr="00EA6EBA" w:rsidR="00B42C2A">
        <w:t xml:space="preserve">—a </w:t>
      </w:r>
      <w:r w:rsidRPr="00EA6EBA" w:rsidR="00AA7BAE">
        <w:t>point</w:t>
      </w:r>
      <w:r w:rsidRPr="00EA6EBA" w:rsidR="00B42C2A">
        <w:t xml:space="preserve"> </w:t>
      </w:r>
      <w:r w:rsidRPr="00EA6EBA" w:rsidR="007317D4">
        <w:t>ir</w:t>
      </w:r>
      <w:r w:rsidRPr="00EA6EBA" w:rsidR="00B42C2A">
        <w:t xml:space="preserve">relevant to whether </w:t>
      </w:r>
      <w:r w:rsidRPr="00EA6EBA" w:rsidR="00482E54">
        <w:t>the jury</w:t>
      </w:r>
      <w:r w:rsidRPr="00EA6EBA" w:rsidR="00B42C2A">
        <w:t xml:space="preserve"> </w:t>
      </w:r>
      <w:r w:rsidRPr="00EA6EBA" w:rsidR="007317D4">
        <w:t xml:space="preserve">would </w:t>
      </w:r>
      <w:r w:rsidRPr="00EA6EBA" w:rsidR="00AA7BAE">
        <w:t xml:space="preserve">beyond a reasonable doubt </w:t>
      </w:r>
      <w:r w:rsidRPr="00EA6EBA" w:rsidR="007317D4">
        <w:t xml:space="preserve">have </w:t>
      </w:r>
      <w:r w:rsidRPr="00EA6EBA" w:rsidR="00B42C2A">
        <w:t xml:space="preserve">found </w:t>
      </w:r>
      <w:r w:rsidRPr="00EA6EBA" w:rsidR="00112227">
        <w:t xml:space="preserve">that </w:t>
      </w:r>
      <w:r w:rsidRPr="00EA6EBA" w:rsidR="00B42C2A">
        <w:t xml:space="preserve">the </w:t>
      </w:r>
      <w:r w:rsidRPr="00EA6EBA" w:rsidR="005530D2">
        <w:t>four vaginal touching</w:t>
      </w:r>
      <w:r w:rsidRPr="00EA6EBA" w:rsidR="00C96CA4">
        <w:t>s</w:t>
      </w:r>
      <w:r w:rsidRPr="00EA6EBA" w:rsidR="005530D2">
        <w:t xml:space="preserve"> occurred on separate occasions. </w:t>
      </w:r>
      <w:r w:rsidRPr="00EA6EBA" w:rsidR="00AE35B3">
        <w:t xml:space="preserve"> </w:t>
      </w:r>
      <w:r w:rsidRPr="00EA6EBA" w:rsidR="008C090C">
        <w:t>T</w:t>
      </w:r>
      <w:r w:rsidRPr="00EA6EBA">
        <w:t>he Attorney General concedes</w:t>
      </w:r>
      <w:r w:rsidRPr="00EA6EBA" w:rsidR="00AA7BAE">
        <w:t xml:space="preserve"> that</w:t>
      </w:r>
      <w:r w:rsidRPr="00EA6EBA">
        <w:t xml:space="preserve"> “</w:t>
      </w:r>
      <w:r w:rsidRPr="00EA6EBA" w:rsidR="001463D9">
        <w:t>i</w:t>
      </w:r>
      <w:r w:rsidRPr="00EA6EBA">
        <w:t xml:space="preserve">t is theoretically possible that some (or even all four) </w:t>
      </w:r>
      <w:r w:rsidRPr="00EA6EBA" w:rsidR="000D434F">
        <w:t xml:space="preserve">. . . </w:t>
      </w:r>
      <w:r w:rsidRPr="00EA6EBA">
        <w:t xml:space="preserve">vaginal touchings had occurred on the same day that </w:t>
      </w:r>
      <w:r w:rsidRPr="00EA6EBA" w:rsidR="000D434F">
        <w:t xml:space="preserve">[defendant] </w:t>
      </w:r>
      <w:r w:rsidRPr="00EA6EBA">
        <w:t xml:space="preserve">had licked </w:t>
      </w:r>
      <w:r w:rsidRPr="00EA6EBA" w:rsidR="001463D9">
        <w:t>[Jane]</w:t>
      </w:r>
      <w:r w:rsidRPr="00EA6EBA">
        <w:t>’s vagina</w:t>
      </w:r>
      <w:r w:rsidRPr="00EA6EBA" w:rsidR="001463D9">
        <w:t>”</w:t>
      </w:r>
      <w:r w:rsidRPr="00EA6EBA" w:rsidR="00500D2D">
        <w:t xml:space="preserve">—and </w:t>
      </w:r>
      <w:r w:rsidRPr="00EA6EBA" w:rsidR="00332C79">
        <w:t>so possibly on the same occasion</w:t>
      </w:r>
      <w:r w:rsidRPr="00EA6EBA" w:rsidR="00500D2D">
        <w:t xml:space="preserve"> </w:t>
      </w:r>
      <w:r w:rsidRPr="00EA6EBA" w:rsidR="001E0ED9">
        <w:t>as one another.</w:t>
      </w:r>
      <w:r w:rsidRPr="00EA6EBA" w:rsidR="00AE35B3">
        <w:t xml:space="preserve"> </w:t>
      </w:r>
      <w:r w:rsidRPr="00EA6EBA" w:rsidR="001463D9">
        <w:t xml:space="preserve"> </w:t>
      </w:r>
      <w:r w:rsidRPr="00EA6EBA" w:rsidR="00211561">
        <w:t>The Attorney General</w:t>
      </w:r>
      <w:r w:rsidRPr="00EA6EBA" w:rsidR="00491315">
        <w:t xml:space="preserve"> has not </w:t>
      </w:r>
      <w:r w:rsidRPr="00EA6EBA" w:rsidR="00332C79">
        <w:t>established</w:t>
      </w:r>
      <w:r w:rsidRPr="00EA6EBA" w:rsidR="00491315">
        <w:t xml:space="preserve"> harmless</w:t>
      </w:r>
      <w:r w:rsidRPr="00EA6EBA" w:rsidR="00D96122">
        <w:t>ness</w:t>
      </w:r>
      <w:r w:rsidRPr="00EA6EBA" w:rsidR="00491315">
        <w:t>.</w:t>
      </w:r>
    </w:p>
    <w:p w:rsidR="00AE2860" w:rsidP="003C42A3" w14:paraId="181305A2" w14:textId="27FFD043">
      <w:pPr>
        <w:pStyle w:val="Heading4"/>
      </w:pPr>
      <w:r>
        <w:t>Remedy</w:t>
      </w:r>
    </w:p>
    <w:p w:rsidR="00145831" w:rsidP="00B6292B" w14:paraId="4538AAA7" w14:textId="533C564E">
      <w:r w:rsidRPr="00367E01">
        <w:t>The Attorney General</w:t>
      </w:r>
      <w:r w:rsidRPr="00367E01" w:rsidR="00E52AC8">
        <w:t xml:space="preserve"> requests that, if we find </w:t>
      </w:r>
      <w:r w:rsidRPr="00367E01" w:rsidR="00404ECE">
        <w:t>prejudice</w:t>
      </w:r>
      <w:r w:rsidRPr="00367E01" w:rsidR="00E52AC8">
        <w:t xml:space="preserve">, we remand the case </w:t>
      </w:r>
      <w:r w:rsidR="00367E01">
        <w:t>for</w:t>
      </w:r>
      <w:r w:rsidRPr="00367E01" w:rsidR="00DE0143">
        <w:t xml:space="preserve"> </w:t>
      </w:r>
      <w:r w:rsidRPr="00367E01" w:rsidR="00404ECE">
        <w:t xml:space="preserve">the trial court </w:t>
      </w:r>
      <w:r w:rsidRPr="00367E01" w:rsidR="00DE0143">
        <w:t xml:space="preserve">to </w:t>
      </w:r>
      <w:r w:rsidR="00201886">
        <w:t xml:space="preserve">resentence defendant on </w:t>
      </w:r>
      <w:r w:rsidRPr="00367E01" w:rsidR="00DE5125">
        <w:t xml:space="preserve">the </w:t>
      </w:r>
      <w:r w:rsidR="00A768A3">
        <w:t xml:space="preserve">affected </w:t>
      </w:r>
      <w:r w:rsidR="00590A9F">
        <w:t>count</w:t>
      </w:r>
      <w:r w:rsidRPr="00367E01" w:rsidR="00DE5125">
        <w:t>s</w:t>
      </w:r>
      <w:r w:rsidR="00E70FD5">
        <w:t xml:space="preserve"> by </w:t>
      </w:r>
      <w:r w:rsidRPr="000F74F2" w:rsidR="00250674">
        <w:t xml:space="preserve">exercising </w:t>
      </w:r>
      <w:r w:rsidRPr="000F74F2" w:rsidR="004159A2">
        <w:t xml:space="preserve">its </w:t>
      </w:r>
      <w:r w:rsidRPr="000F74F2" w:rsidR="00250674">
        <w:t>discretion</w:t>
      </w:r>
      <w:r w:rsidR="00250674">
        <w:t xml:space="preserve"> </w:t>
      </w:r>
      <w:r w:rsidR="004159A2">
        <w:t xml:space="preserve">under section 667.6(c) </w:t>
      </w:r>
      <w:r w:rsidR="008B724F">
        <w:t xml:space="preserve">to decide </w:t>
      </w:r>
      <w:r w:rsidR="00250674">
        <w:t xml:space="preserve">whether to </w:t>
      </w:r>
      <w:r w:rsidR="00E70FD5">
        <w:t>impos</w:t>
      </w:r>
      <w:r w:rsidR="00250674">
        <w:t>e</w:t>
      </w:r>
      <w:r w:rsidR="00E70FD5">
        <w:t xml:space="preserve"> </w:t>
      </w:r>
      <w:r w:rsidR="00D53612">
        <w:t>“</w:t>
      </w:r>
      <w:r w:rsidRPr="00367E01" w:rsidR="00664E85">
        <w:t>full, separate, and consecutive</w:t>
      </w:r>
      <w:r w:rsidR="00D53612">
        <w:t>”</w:t>
      </w:r>
      <w:r w:rsidRPr="00367E01" w:rsidR="00664E85">
        <w:t xml:space="preserve"> terms.</w:t>
      </w:r>
      <w:r w:rsidR="00AE35B3">
        <w:t xml:space="preserve"> </w:t>
      </w:r>
      <w:r w:rsidR="004D5AB2">
        <w:t xml:space="preserve"> </w:t>
      </w:r>
      <w:r w:rsidR="00052784">
        <w:t>Defendant does not oppose the request</w:t>
      </w:r>
      <w:r w:rsidR="009F6865">
        <w:t>,</w:t>
      </w:r>
      <w:r w:rsidR="00537A3B">
        <w:t xml:space="preserve"> </w:t>
      </w:r>
      <w:r w:rsidR="009F6865">
        <w:t>and w</w:t>
      </w:r>
      <w:r w:rsidR="00537A3B">
        <w:t>e</w:t>
      </w:r>
      <w:r w:rsidR="00A45EAF">
        <w:t xml:space="preserve"> </w:t>
      </w:r>
      <w:r w:rsidR="007A1C8A">
        <w:t>conclude that it serve</w:t>
      </w:r>
      <w:r w:rsidR="00576A92">
        <w:t>s</w:t>
      </w:r>
      <w:r w:rsidR="007A1C8A">
        <w:t xml:space="preserve"> the interest</w:t>
      </w:r>
      <w:r w:rsidR="00531269">
        <w:t>s</w:t>
      </w:r>
      <w:r w:rsidR="007A1C8A">
        <w:t xml:space="preserve"> of justice to </w:t>
      </w:r>
      <w:r w:rsidR="00927750">
        <w:t xml:space="preserve">grant </w:t>
      </w:r>
      <w:r w:rsidR="009F6865">
        <w:t>it</w:t>
      </w:r>
      <w:r w:rsidR="00073389">
        <w:t>.</w:t>
      </w:r>
      <w:r w:rsidR="00F713EA">
        <w:t xml:space="preserve">  </w:t>
      </w:r>
      <w:r w:rsidRPr="00276D54" w:rsidR="00F713EA">
        <w:t>The Attorney General also requests that we instruct the trial court to allow the prosecutor, if the court declines to impose full sentences under se</w:t>
      </w:r>
      <w:r w:rsidR="00F713EA">
        <w:t>cti</w:t>
      </w:r>
      <w:r w:rsidRPr="00276D54" w:rsidR="00F713EA">
        <w:t>on 667.6(c), to elect to try the “separate occasions” issue to a new jury</w:t>
      </w:r>
      <w:r w:rsidR="00F713EA">
        <w:t>.</w:t>
      </w:r>
      <w:r w:rsidR="0028302B">
        <w:t xml:space="preserve"> </w:t>
      </w:r>
      <w:r w:rsidR="00F713EA">
        <w:t xml:space="preserve"> We will leave it to the trial court to address in the first instance, if it proves necessary, any request to pursue such a retrial.</w:t>
      </w:r>
    </w:p>
    <w:p w:rsidR="003C42A3" w:rsidP="003C42A3" w14:paraId="0B3BF6EA" w14:textId="3A24335E">
      <w:pPr>
        <w:pStyle w:val="Heading3"/>
      </w:pPr>
      <w:r>
        <w:t xml:space="preserve">The </w:t>
      </w:r>
      <w:r w:rsidR="00DC3A93">
        <w:t xml:space="preserve">Claim of </w:t>
      </w:r>
      <w:r w:rsidR="00771CAE">
        <w:t xml:space="preserve">Excessive </w:t>
      </w:r>
      <w:r>
        <w:t>Punishment</w:t>
      </w:r>
    </w:p>
    <w:p w:rsidR="00E21434" w:rsidP="00880AAF" w14:paraId="4EC5E0EB" w14:textId="63C5DBB3">
      <w:r>
        <w:t>Defendant</w:t>
      </w:r>
      <w:r w:rsidR="000E0952">
        <w:t xml:space="preserve"> </w:t>
      </w:r>
      <w:r>
        <w:t>conten</w:t>
      </w:r>
      <w:r w:rsidR="000E0952">
        <w:t>d</w:t>
      </w:r>
      <w:r>
        <w:t xml:space="preserve">s that his aggregate sentence of </w:t>
      </w:r>
      <w:r w:rsidR="00447EEF">
        <w:t xml:space="preserve">32 years plus </w:t>
      </w:r>
      <w:r w:rsidRPr="00E33CC7" w:rsidR="00447EEF">
        <w:t>135</w:t>
      </w:r>
      <w:r w:rsidRPr="00E33CC7" w:rsidR="000E0952">
        <w:t> </w:t>
      </w:r>
      <w:r w:rsidRPr="00E33CC7" w:rsidR="00447EEF">
        <w:t xml:space="preserve">years to life is </w:t>
      </w:r>
      <w:r w:rsidR="0035702E">
        <w:t xml:space="preserve">excessive under </w:t>
      </w:r>
      <w:r w:rsidRPr="00E33CC7" w:rsidR="00447EEF">
        <w:t>the Eighth Amendment</w:t>
      </w:r>
      <w:r w:rsidR="00447EEF">
        <w:t xml:space="preserve"> of the federal Constitution</w:t>
      </w:r>
      <w:r w:rsidR="001D7319">
        <w:t xml:space="preserve"> and </w:t>
      </w:r>
      <w:r w:rsidRPr="00E33CC7" w:rsidR="00911315">
        <w:t>a</w:t>
      </w:r>
      <w:r w:rsidRPr="00E33CC7" w:rsidR="001D7319">
        <w:t>rticle</w:t>
      </w:r>
      <w:r w:rsidR="00D3772D">
        <w:t> </w:t>
      </w:r>
      <w:r w:rsidR="001D7319">
        <w:t>I, section</w:t>
      </w:r>
      <w:r w:rsidR="00AC0B8A">
        <w:t>s 6 and</w:t>
      </w:r>
      <w:r w:rsidR="001D7319">
        <w:t xml:space="preserve"> 17 of the California Constitution.</w:t>
      </w:r>
      <w:r>
        <w:rPr>
          <w:rStyle w:val="FootnoteReference"/>
        </w:rPr>
        <w:footnoteReference w:id="22"/>
      </w:r>
      <w:r w:rsidR="001D7319">
        <w:t xml:space="preserve"> </w:t>
      </w:r>
      <w:r w:rsidRPr="00E33CC7" w:rsidR="001D7319">
        <w:t xml:space="preserve"> </w:t>
      </w:r>
      <w:r w:rsidR="00AC0B8A">
        <w:t xml:space="preserve">A sentence violates the federal and state </w:t>
      </w:r>
      <w:r w:rsidR="00016F85">
        <w:t>C</w:t>
      </w:r>
      <w:r w:rsidRPr="00E33CC7" w:rsidR="00AC0B8A">
        <w:t>onstitutions</w:t>
      </w:r>
      <w:r w:rsidR="00AC0B8A">
        <w:t xml:space="preserve">, respectively, if </w:t>
      </w:r>
      <w:r w:rsidR="00950378">
        <w:t>the defendant show</w:t>
      </w:r>
      <w:r w:rsidR="0000248D">
        <w:t>s</w:t>
      </w:r>
      <w:r w:rsidR="00950378">
        <w:t xml:space="preserve"> that it</w:t>
      </w:r>
      <w:r w:rsidR="00AC0B8A">
        <w:t xml:space="preserve"> is </w:t>
      </w:r>
      <w:r w:rsidRPr="00AC0B8A" w:rsidR="00E71D93">
        <w:t>“</w:t>
      </w:r>
      <w:r w:rsidR="00CE587D">
        <w:t> ‘</w:t>
      </w:r>
      <w:r w:rsidRPr="00AC0B8A" w:rsidR="00E71D93">
        <w:t>grossly disproportionate</w:t>
      </w:r>
      <w:r w:rsidR="00602D07">
        <w:t>’ </w:t>
      </w:r>
      <w:r w:rsidRPr="00AC0B8A" w:rsidR="00E71D93">
        <w:t>” to the severity of the crime (</w:t>
      </w:r>
      <w:r w:rsidRPr="00AC0B8A" w:rsidR="00E71D93">
        <w:rPr>
          <w:i/>
          <w:iCs/>
        </w:rPr>
        <w:t xml:space="preserve">People v. </w:t>
      </w:r>
      <w:r w:rsidR="00D66D47">
        <w:rPr>
          <w:i/>
          <w:iCs/>
        </w:rPr>
        <w:t xml:space="preserve">Russell </w:t>
      </w:r>
      <w:r w:rsidR="00D66D47">
        <w:t>(2010) 187</w:t>
      </w:r>
      <w:r w:rsidR="0098221C">
        <w:t> </w:t>
      </w:r>
      <w:r w:rsidR="00D66D47">
        <w:t>Cal.App.4th 981, 993</w:t>
      </w:r>
      <w:r w:rsidR="00094C3E">
        <w:t>,</w:t>
      </w:r>
      <w:r w:rsidR="00D66D47">
        <w:rPr>
          <w:i/>
          <w:spacing w:val="20"/>
        </w:rPr>
        <w:t xml:space="preserve"> </w:t>
      </w:r>
      <w:r w:rsidR="00602D07">
        <w:t xml:space="preserve">quoting </w:t>
      </w:r>
      <w:r w:rsidR="00CD4651">
        <w:rPr>
          <w:i/>
          <w:iCs/>
        </w:rPr>
        <w:t xml:space="preserve">People v. </w:t>
      </w:r>
      <w:r w:rsidRPr="00AC0B8A" w:rsidR="00E71D93">
        <w:rPr>
          <w:i/>
          <w:iCs/>
        </w:rPr>
        <w:t>Carmony</w:t>
      </w:r>
      <w:r w:rsidR="00FE661A">
        <w:t xml:space="preserve"> </w:t>
      </w:r>
      <w:r w:rsidRPr="00AC0B8A" w:rsidR="00E71D93">
        <w:t>(2005) 127</w:t>
      </w:r>
      <w:r w:rsidR="0098221C">
        <w:t> </w:t>
      </w:r>
      <w:r w:rsidRPr="00AC0B8A" w:rsidR="00E71D93">
        <w:t>Cal.App.4th 1066, 1076</w:t>
      </w:r>
      <w:r w:rsidR="0098221C">
        <w:t xml:space="preserve"> [U.S. Const.]</w:t>
      </w:r>
      <w:r w:rsidR="000A119A">
        <w:t xml:space="preserve">) or </w:t>
      </w:r>
      <w:r w:rsidR="00730484">
        <w:t>“</w:t>
      </w:r>
      <w:r w:rsidR="001E34A4">
        <w:t> </w:t>
      </w:r>
      <w:r w:rsidR="00C30753">
        <w:t>‘</w:t>
      </w:r>
      <w:r w:rsidR="00730484">
        <w:t>so disproportionate . . . that it shocks the conscience and offends fundamental notions of human dignity</w:t>
      </w:r>
      <w:r w:rsidR="00C30753">
        <w:t>’ </w:t>
      </w:r>
      <w:r w:rsidR="00730484">
        <w:t xml:space="preserve">” </w:t>
      </w:r>
      <w:r w:rsidRPr="00E33CC7" w:rsidR="00730484">
        <w:t>(</w:t>
      </w:r>
      <w:r w:rsidRPr="00730484" w:rsidR="00730484">
        <w:rPr>
          <w:i/>
          <w:iCs/>
        </w:rPr>
        <w:t>People v. Dillon</w:t>
      </w:r>
      <w:r w:rsidRPr="00730484" w:rsidR="00730484">
        <w:t xml:space="preserve"> </w:t>
      </w:r>
      <w:r w:rsidR="00730484">
        <w:t>(1983) 34</w:t>
      </w:r>
      <w:r w:rsidR="00F2588A">
        <w:t> </w:t>
      </w:r>
      <w:r w:rsidR="00730484">
        <w:t>Cal.3d 441, 478</w:t>
      </w:r>
      <w:r w:rsidR="0098221C">
        <w:t xml:space="preserve"> [</w:t>
      </w:r>
      <w:r w:rsidRPr="00E33CC7" w:rsidR="0098221C">
        <w:t>Cal.</w:t>
      </w:r>
      <w:r w:rsidR="0098221C">
        <w:t xml:space="preserve"> Const.]</w:t>
      </w:r>
      <w:r w:rsidR="00730484">
        <w:t>).</w:t>
      </w:r>
      <w:r w:rsidR="009F34E9">
        <w:t xml:space="preserve"> </w:t>
      </w:r>
      <w:r w:rsidRPr="00E33CC7" w:rsidR="00AD56BB">
        <w:t xml:space="preserve"> </w:t>
      </w:r>
      <w:r w:rsidR="00950378">
        <w:t xml:space="preserve">(See </w:t>
      </w:r>
      <w:r w:rsidR="00950378">
        <w:rPr>
          <w:i/>
          <w:iCs/>
        </w:rPr>
        <w:t xml:space="preserve">People v. Crooks </w:t>
      </w:r>
      <w:r w:rsidR="00950378">
        <w:t xml:space="preserve">(1997) </w:t>
      </w:r>
      <w:r w:rsidR="00384968">
        <w:t>55</w:t>
      </w:r>
      <w:r w:rsidR="00B760B8">
        <w:t> </w:t>
      </w:r>
      <w:r w:rsidR="00384968">
        <w:t>Cal.App.4th 797, 808 [defendant</w:t>
      </w:r>
      <w:r w:rsidR="00F8151D">
        <w:t xml:space="preserve"> bears</w:t>
      </w:r>
      <w:r w:rsidR="00384968">
        <w:t xml:space="preserve"> burden</w:t>
      </w:r>
      <w:r w:rsidR="0000248D">
        <w:t xml:space="preserve"> of persuasion</w:t>
      </w:r>
      <w:r w:rsidR="00384968">
        <w:t xml:space="preserve">].) </w:t>
      </w:r>
      <w:r w:rsidRPr="00E33CC7" w:rsidR="00AD56BB">
        <w:t xml:space="preserve"> </w:t>
      </w:r>
      <w:r w:rsidR="007C3812">
        <w:t>C</w:t>
      </w:r>
      <w:r w:rsidR="009F34E9">
        <w:t xml:space="preserve">ourts </w:t>
      </w:r>
      <w:r w:rsidR="003F764A">
        <w:t xml:space="preserve">consider </w:t>
      </w:r>
      <w:r w:rsidR="009F34E9">
        <w:t>several</w:t>
      </w:r>
      <w:r w:rsidR="00F8151D">
        <w:t xml:space="preserve"> </w:t>
      </w:r>
      <w:r w:rsidR="009F34E9">
        <w:t>factors in assessing the proportionality of a sentence</w:t>
      </w:r>
      <w:r w:rsidR="00384968">
        <w:t xml:space="preserve"> under the federal and California </w:t>
      </w:r>
      <w:r w:rsidRPr="00E33CC7" w:rsidR="00FE2733">
        <w:t>C</w:t>
      </w:r>
      <w:r w:rsidRPr="00E33CC7" w:rsidR="00384968">
        <w:t>onstitution</w:t>
      </w:r>
      <w:r w:rsidRPr="00E33CC7" w:rsidR="00166285">
        <w:t>s</w:t>
      </w:r>
      <w:r w:rsidR="00C049F2">
        <w:t xml:space="preserve">, </w:t>
      </w:r>
      <w:r w:rsidR="007C3812">
        <w:t xml:space="preserve">but </w:t>
      </w:r>
      <w:r w:rsidR="00C049F2">
        <w:t xml:space="preserve">the only </w:t>
      </w:r>
      <w:r w:rsidR="008233E6">
        <w:t>factor</w:t>
      </w:r>
      <w:r w:rsidR="00C049F2">
        <w:t xml:space="preserve"> defendant </w:t>
      </w:r>
      <w:r w:rsidR="00A95715">
        <w:t xml:space="preserve">addresses </w:t>
      </w:r>
      <w:r w:rsidR="00C049F2">
        <w:t xml:space="preserve">is </w:t>
      </w:r>
      <w:r w:rsidR="00E24BB2">
        <w:t xml:space="preserve">what </w:t>
      </w:r>
      <w:r w:rsidR="008233E6">
        <w:t xml:space="preserve">California </w:t>
      </w:r>
      <w:r w:rsidR="00E24BB2">
        <w:t xml:space="preserve">authority </w:t>
      </w:r>
      <w:r w:rsidR="007C3812">
        <w:t>deem</w:t>
      </w:r>
      <w:r w:rsidR="00E24BB2">
        <w:t xml:space="preserve">s </w:t>
      </w:r>
      <w:r w:rsidR="00551021">
        <w:t>“the nature of the offense and the offender with regard to the degree of danger present to society” (</w:t>
      </w:r>
      <w:r w:rsidR="006F345A">
        <w:rPr>
          <w:i/>
          <w:iCs/>
        </w:rPr>
        <w:t>Russell</w:t>
      </w:r>
      <w:r w:rsidR="006F345A">
        <w:t xml:space="preserve">, </w:t>
      </w:r>
      <w:r w:rsidR="006F345A">
        <w:rPr>
          <w:i/>
          <w:iCs/>
        </w:rPr>
        <w:t>supra</w:t>
      </w:r>
      <w:r w:rsidR="006F345A">
        <w:t>, 187</w:t>
      </w:r>
      <w:r w:rsidR="008233E6">
        <w:t> </w:t>
      </w:r>
      <w:r w:rsidR="006F345A">
        <w:t>Cal.App.4th at p.</w:t>
      </w:r>
      <w:r w:rsidR="00166285">
        <w:t> </w:t>
      </w:r>
      <w:r w:rsidR="006F345A">
        <w:t xml:space="preserve">993) </w:t>
      </w:r>
      <w:r w:rsidR="00E24BB2">
        <w:t xml:space="preserve">and federal authority </w:t>
      </w:r>
      <w:r w:rsidR="007C3812">
        <w:t xml:space="preserve">calls </w:t>
      </w:r>
      <w:r w:rsidR="006F345A">
        <w:t>“</w:t>
      </w:r>
      <w:r w:rsidR="00E24BB2">
        <w:t>the gravity of the offense and the harshness of the penalty” (</w:t>
      </w:r>
      <w:r w:rsidR="00E24BB2">
        <w:rPr>
          <w:i/>
          <w:iCs/>
        </w:rPr>
        <w:t>Solem v. Helm</w:t>
      </w:r>
      <w:r w:rsidR="00E24BB2">
        <w:t xml:space="preserve"> (1983) 46</w:t>
      </w:r>
      <w:r w:rsidR="00993481">
        <w:t>3</w:t>
      </w:r>
      <w:r w:rsidR="00B16026">
        <w:t> </w:t>
      </w:r>
      <w:r w:rsidR="00E24BB2">
        <w:t>U.S. 277, 292)</w:t>
      </w:r>
      <w:r w:rsidR="008233E6">
        <w:t>.</w:t>
      </w:r>
      <w:r>
        <w:rPr>
          <w:rStyle w:val="FootnoteReference"/>
        </w:rPr>
        <w:footnoteReference w:id="23"/>
      </w:r>
    </w:p>
    <w:p w:rsidR="00066D6B" w:rsidRPr="00E24BB2" w:rsidP="00E85CF4" w14:paraId="79CBF292" w14:textId="673727D4">
      <w:r>
        <w:t>Defendant</w:t>
      </w:r>
      <w:r w:rsidR="002C2DC5">
        <w:t xml:space="preserve"> contends </w:t>
      </w:r>
      <w:r>
        <w:t xml:space="preserve">that his “de facto </w:t>
      </w:r>
      <w:r w:rsidR="00631E4C">
        <w:t xml:space="preserve">[life without possibility of parole] </w:t>
      </w:r>
      <w:r w:rsidRPr="00E33CC7" w:rsidR="00631E4C">
        <w:t xml:space="preserve">sentence” is grossly disproportionate to his </w:t>
      </w:r>
      <w:r w:rsidRPr="00E33CC7" w:rsidR="0068025A">
        <w:t>crim</w:t>
      </w:r>
      <w:r w:rsidRPr="00E33CC7" w:rsidR="00631E4C">
        <w:t>e</w:t>
      </w:r>
      <w:r w:rsidRPr="00E33CC7" w:rsidR="0068025A">
        <w:t>s</w:t>
      </w:r>
      <w:r w:rsidRPr="00E33CC7" w:rsidR="00631E4C">
        <w:t xml:space="preserve"> </w:t>
      </w:r>
      <w:r w:rsidRPr="00E33CC7" w:rsidR="006876EE">
        <w:t xml:space="preserve">because </w:t>
      </w:r>
      <w:r w:rsidRPr="00E33CC7" w:rsidR="00631E4C">
        <w:t xml:space="preserve">he did not use </w:t>
      </w:r>
      <w:r w:rsidRPr="00E33CC7" w:rsidR="00590B2A">
        <w:t>force</w:t>
      </w:r>
      <w:r w:rsidR="00590B2A">
        <w:t xml:space="preserve"> </w:t>
      </w:r>
      <w:r w:rsidR="00631E4C">
        <w:t>or threats</w:t>
      </w:r>
      <w:r w:rsidR="006876EE">
        <w:t xml:space="preserve">; </w:t>
      </w:r>
      <w:r w:rsidR="00B859CF">
        <w:t xml:space="preserve">his </w:t>
      </w:r>
      <w:r w:rsidR="006876EE">
        <w:t xml:space="preserve">abuse did not </w:t>
      </w:r>
      <w:r w:rsidR="003B5404">
        <w:t xml:space="preserve">prevent </w:t>
      </w:r>
      <w:r w:rsidR="00B859CF">
        <w:t xml:space="preserve">Jane </w:t>
      </w:r>
      <w:r w:rsidR="003B5404">
        <w:t xml:space="preserve">from </w:t>
      </w:r>
      <w:r w:rsidR="00C5264B">
        <w:t xml:space="preserve">wishing to see him </w:t>
      </w:r>
      <w:r w:rsidR="00B116C4">
        <w:t>(</w:t>
      </w:r>
      <w:r w:rsidR="00F373A9">
        <w:t xml:space="preserve">based on </w:t>
      </w:r>
      <w:r w:rsidR="00B116C4">
        <w:t>evidence she left</w:t>
      </w:r>
      <w:r w:rsidR="00F373A9">
        <w:t xml:space="preserve"> </w:t>
      </w:r>
      <w:r w:rsidR="00B116C4">
        <w:t xml:space="preserve">drawings </w:t>
      </w:r>
      <w:r w:rsidR="00F373A9">
        <w:t xml:space="preserve">at his parents’ house </w:t>
      </w:r>
      <w:r w:rsidR="005150B3">
        <w:t xml:space="preserve">saying, “I miss you,” and </w:t>
      </w:r>
      <w:r w:rsidR="00453BD9">
        <w:t xml:space="preserve">said </w:t>
      </w:r>
      <w:r w:rsidR="005150B3">
        <w:t xml:space="preserve">she </w:t>
      </w:r>
      <w:r w:rsidR="00EF5573">
        <w:t>want</w:t>
      </w:r>
      <w:r w:rsidR="000421E0">
        <w:t>ed</w:t>
      </w:r>
      <w:r w:rsidR="00EF5573">
        <w:t xml:space="preserve"> him to go </w:t>
      </w:r>
      <w:r w:rsidR="000421E0">
        <w:t xml:space="preserve">not </w:t>
      </w:r>
      <w:r w:rsidR="00EF5573">
        <w:t xml:space="preserve">to jail </w:t>
      </w:r>
      <w:r w:rsidR="000421E0">
        <w:t xml:space="preserve">but “somewhere nice” </w:t>
      </w:r>
      <w:r w:rsidR="008A6D0F">
        <w:t xml:space="preserve">where </w:t>
      </w:r>
      <w:r w:rsidR="000421E0">
        <w:t xml:space="preserve">she could </w:t>
      </w:r>
      <w:r w:rsidR="00EF5573">
        <w:t>visit)</w:t>
      </w:r>
      <w:r w:rsidR="007F1274">
        <w:t xml:space="preserve">; he had no criminal record; </w:t>
      </w:r>
      <w:r w:rsidR="00452B29">
        <w:t xml:space="preserve">and </w:t>
      </w:r>
      <w:r w:rsidR="0097522F">
        <w:t xml:space="preserve">a recidivism test </w:t>
      </w:r>
      <w:r w:rsidR="00343AF9">
        <w:t>show</w:t>
      </w:r>
      <w:r w:rsidR="0097522F">
        <w:t>ed a below-average risk of reoffense</w:t>
      </w:r>
      <w:r w:rsidR="00B67FE7">
        <w:t xml:space="preserve">, which would be </w:t>
      </w:r>
      <w:r w:rsidR="009A15D5">
        <w:t>yet</w:t>
      </w:r>
      <w:r w:rsidR="00304E7F">
        <w:t xml:space="preserve"> lower </w:t>
      </w:r>
      <w:r w:rsidR="00B67FE7">
        <w:t xml:space="preserve">by the time of any </w:t>
      </w:r>
      <w:r w:rsidR="000E0952">
        <w:t>possi</w:t>
      </w:r>
      <w:r w:rsidR="00B67FE7">
        <w:t xml:space="preserve">ble parole, given his </w:t>
      </w:r>
      <w:r w:rsidR="009B1024">
        <w:t xml:space="preserve">current </w:t>
      </w:r>
      <w:r w:rsidR="00B67FE7">
        <w:t>age of 48</w:t>
      </w:r>
      <w:r w:rsidR="0041262A">
        <w:t>.</w:t>
      </w:r>
      <w:r w:rsidR="004A365A">
        <w:t xml:space="preserve"> </w:t>
      </w:r>
      <w:r w:rsidR="00E85CF4">
        <w:t xml:space="preserve"> </w:t>
      </w:r>
      <w:r w:rsidR="00173F8B">
        <w:t xml:space="preserve">The Attorney General cites </w:t>
      </w:r>
      <w:r w:rsidR="007E3208">
        <w:t xml:space="preserve">a </w:t>
      </w:r>
      <w:r w:rsidR="00173F8B">
        <w:t xml:space="preserve">decision in </w:t>
      </w:r>
      <w:r w:rsidR="00D26A10">
        <w:t>a</w:t>
      </w:r>
      <w:r w:rsidR="007E3208">
        <w:t xml:space="preserve"> </w:t>
      </w:r>
      <w:r w:rsidR="00E05915">
        <w:t xml:space="preserve">similar </w:t>
      </w:r>
      <w:r w:rsidR="00173F8B">
        <w:t>ca</w:t>
      </w:r>
      <w:r w:rsidR="00F17920">
        <w:t>s</w:t>
      </w:r>
      <w:r w:rsidR="00173F8B">
        <w:t xml:space="preserve">e </w:t>
      </w:r>
      <w:r w:rsidR="00F17920">
        <w:t>upholding a</w:t>
      </w:r>
      <w:r w:rsidR="00D26A10">
        <w:t xml:space="preserve"> total </w:t>
      </w:r>
      <w:r w:rsidR="00F17920">
        <w:t>sentence of 129 years for a defendant who repeatedly sexually abused his 11-year-old stepdaughter</w:t>
      </w:r>
      <w:r w:rsidR="00903527">
        <w:t xml:space="preserve">, </w:t>
      </w:r>
      <w:r w:rsidR="002B091A">
        <w:t xml:space="preserve">and whose </w:t>
      </w:r>
      <w:r w:rsidR="00854771">
        <w:t xml:space="preserve">lack of criminal </w:t>
      </w:r>
      <w:r w:rsidR="00A771D0">
        <w:t xml:space="preserve">record </w:t>
      </w:r>
      <w:r w:rsidR="00D75D24">
        <w:t xml:space="preserve">and </w:t>
      </w:r>
      <w:r w:rsidR="00F67C36">
        <w:t>“</w:t>
      </w:r>
      <w:r w:rsidR="00D75D24">
        <w:t>mental impairment</w:t>
      </w:r>
      <w:r w:rsidR="00F67C36">
        <w:t>”</w:t>
      </w:r>
      <w:r w:rsidR="00D75D24">
        <w:t xml:space="preserve"> </w:t>
      </w:r>
      <w:r w:rsidR="00903527">
        <w:t xml:space="preserve">did not outweigh the severity of his crimes and </w:t>
      </w:r>
      <w:r w:rsidR="0026406E">
        <w:t xml:space="preserve">the </w:t>
      </w:r>
      <w:r w:rsidR="00087049">
        <w:t xml:space="preserve">threat he </w:t>
      </w:r>
      <w:r w:rsidR="00903527">
        <w:t xml:space="preserve">posed to the community. </w:t>
      </w:r>
      <w:r w:rsidRPr="00E33CC7" w:rsidR="00B307B2">
        <w:t xml:space="preserve"> </w:t>
      </w:r>
      <w:r w:rsidR="00A771D0">
        <w:t>(</w:t>
      </w:r>
      <w:r w:rsidR="00A771D0">
        <w:rPr>
          <w:i/>
          <w:iCs/>
        </w:rPr>
        <w:t xml:space="preserve">People v. Bestelmeyer </w:t>
      </w:r>
      <w:r w:rsidR="00A771D0">
        <w:t>(1985) 166</w:t>
      </w:r>
      <w:r w:rsidR="002B003A">
        <w:t> </w:t>
      </w:r>
      <w:r w:rsidR="00A771D0">
        <w:t>Cal.App.3d 520,</w:t>
      </w:r>
      <w:r w:rsidR="00F72081">
        <w:t xml:space="preserve"> </w:t>
      </w:r>
      <w:r w:rsidR="002B003A">
        <w:t>523, 528–530</w:t>
      </w:r>
      <w:r w:rsidR="00A06CAD">
        <w:t xml:space="preserve">; see </w:t>
      </w:r>
      <w:r w:rsidR="00A06CAD">
        <w:rPr>
          <w:i/>
          <w:iCs/>
        </w:rPr>
        <w:t>People v. Retanan</w:t>
      </w:r>
      <w:r w:rsidR="00F72081">
        <w:t xml:space="preserve"> </w:t>
      </w:r>
      <w:r w:rsidR="00A06CAD">
        <w:t xml:space="preserve">(2007) </w:t>
      </w:r>
      <w:r w:rsidR="00E700C7">
        <w:t>15</w:t>
      </w:r>
      <w:r w:rsidR="00D92EE2">
        <w:t>4</w:t>
      </w:r>
      <w:r w:rsidR="00F815A3">
        <w:t> </w:t>
      </w:r>
      <w:r w:rsidR="00E700C7">
        <w:t>Cal.App.4th</w:t>
      </w:r>
      <w:r w:rsidR="00F72081">
        <w:t xml:space="preserve"> </w:t>
      </w:r>
      <w:r w:rsidR="00E700C7">
        <w:t>1219,</w:t>
      </w:r>
      <w:r w:rsidR="00F72081">
        <w:t xml:space="preserve"> </w:t>
      </w:r>
      <w:r w:rsidR="00284362">
        <w:t>1230–1231 [upholding sentence of 135</w:t>
      </w:r>
      <w:r w:rsidR="000972AF">
        <w:t xml:space="preserve"> </w:t>
      </w:r>
      <w:r w:rsidR="00284362">
        <w:t xml:space="preserve">years to life </w:t>
      </w:r>
      <w:r w:rsidR="003669F5">
        <w:t xml:space="preserve">on </w:t>
      </w:r>
      <w:r w:rsidR="00284362">
        <w:t>16</w:t>
      </w:r>
      <w:r w:rsidR="000972AF">
        <w:t xml:space="preserve"> </w:t>
      </w:r>
      <w:r w:rsidR="00284362">
        <w:t xml:space="preserve">counts of sexually abusing </w:t>
      </w:r>
      <w:r w:rsidR="00B44DD9">
        <w:t>four</w:t>
      </w:r>
      <w:r w:rsidR="00284362">
        <w:t xml:space="preserve"> young girls</w:t>
      </w:r>
      <w:r w:rsidR="001260F8">
        <w:t>, in some c</w:t>
      </w:r>
      <w:r w:rsidR="005C2D8D">
        <w:t>as</w:t>
      </w:r>
      <w:r w:rsidR="001260F8">
        <w:t xml:space="preserve">es </w:t>
      </w:r>
      <w:r w:rsidR="0094258E">
        <w:t>by</w:t>
      </w:r>
      <w:r w:rsidR="001260F8">
        <w:t xml:space="preserve"> force or threats </w:t>
      </w:r>
      <w:r w:rsidRPr="00E33CC7" w:rsidR="001260F8">
        <w:t xml:space="preserve">to </w:t>
      </w:r>
      <w:r w:rsidRPr="00E33CC7" w:rsidR="005C2D8D">
        <w:t xml:space="preserve">harm </w:t>
      </w:r>
      <w:r w:rsidRPr="00E33CC7" w:rsidR="001260F8">
        <w:t>r</w:t>
      </w:r>
      <w:r w:rsidRPr="00E33CC7" w:rsidR="00A972F0">
        <w:t>elative</w:t>
      </w:r>
      <w:r w:rsidRPr="00E33CC7" w:rsidR="001260F8">
        <w:t>s</w:t>
      </w:r>
      <w:r w:rsidRPr="00E33CC7" w:rsidR="00064F46">
        <w:t>]</w:t>
      </w:r>
      <w:r w:rsidRPr="00E33CC7" w:rsidR="00F67C36">
        <w:t>.</w:t>
      </w:r>
      <w:r w:rsidRPr="00E33CC7" w:rsidR="002B003A">
        <w:t>)</w:t>
      </w:r>
      <w:r w:rsidRPr="00E33CC7" w:rsidR="00AB41F4">
        <w:t xml:space="preserve">  </w:t>
      </w:r>
      <w:r w:rsidR="002546DF">
        <w:t xml:space="preserve">Similarly, here, </w:t>
      </w:r>
      <w:r w:rsidR="00BB7EBF">
        <w:t xml:space="preserve">precedent </w:t>
      </w:r>
      <w:r w:rsidR="001A65D3">
        <w:t>does not enable</w:t>
      </w:r>
      <w:r w:rsidR="00895F82">
        <w:t xml:space="preserve"> us to say</w:t>
      </w:r>
      <w:r w:rsidR="00D67B61">
        <w:t xml:space="preserve"> that </w:t>
      </w:r>
      <w:r w:rsidR="002546DF">
        <w:t>d</w:t>
      </w:r>
      <w:r w:rsidR="00966ED4">
        <w:t xml:space="preserve">efendant’s </w:t>
      </w:r>
      <w:r w:rsidR="00E86810">
        <w:t xml:space="preserve">cumulative </w:t>
      </w:r>
      <w:r w:rsidR="00966ED4">
        <w:t xml:space="preserve">sentence of </w:t>
      </w:r>
      <w:r w:rsidR="009C55EE">
        <w:t>32 years plus 135 years to life shock</w:t>
      </w:r>
      <w:r w:rsidR="009728FB">
        <w:t>s</w:t>
      </w:r>
      <w:r w:rsidR="009C55EE">
        <w:t xml:space="preserve"> the conscience and is grossly disproportionate to the </w:t>
      </w:r>
      <w:r w:rsidR="003C0799">
        <w:t xml:space="preserve">13 crimes of which he was convicted </w:t>
      </w:r>
      <w:r w:rsidR="003B697B">
        <w:t xml:space="preserve">and </w:t>
      </w:r>
      <w:r w:rsidR="007F6132">
        <w:t>sentence was imposed</w:t>
      </w:r>
      <w:r w:rsidR="00375ABC">
        <w:t>.</w:t>
      </w:r>
    </w:p>
    <w:p w:rsidR="00D92215" w:rsidRPr="00FC6809" w:rsidP="00394626" w14:paraId="25661089" w14:textId="2CA3B2EC">
      <w:pPr>
        <w:pStyle w:val="Heading1"/>
      </w:pPr>
      <w:r w:rsidRPr="00FC6809">
        <w:t>DISPOSITION</w:t>
      </w:r>
    </w:p>
    <w:p w:rsidR="00F63E0E" w:rsidRPr="00FC6809" w:rsidP="00D64877" w14:paraId="65FC5051" w14:textId="22EB97E3">
      <w:pPr>
        <w:keepNext/>
      </w:pPr>
      <w:r>
        <w:t>D</w:t>
      </w:r>
      <w:r w:rsidR="00B04E0A">
        <w:t xml:space="preserve">efendant’s convictions are </w:t>
      </w:r>
      <w:r w:rsidR="00E23071">
        <w:t xml:space="preserve">all </w:t>
      </w:r>
      <w:r w:rsidR="00B04E0A">
        <w:t>affirmed, as are his sentences o</w:t>
      </w:r>
      <w:r w:rsidR="000C0B6B">
        <w:t>n</w:t>
      </w:r>
      <w:r w:rsidR="00B04E0A">
        <w:t xml:space="preserve"> counts 1</w:t>
      </w:r>
      <w:r w:rsidR="00CB08FD">
        <w:t xml:space="preserve"> through</w:t>
      </w:r>
      <w:r w:rsidR="00585702">
        <w:t xml:space="preserve"> </w:t>
      </w:r>
      <w:r w:rsidR="00B04E0A">
        <w:t>18</w:t>
      </w:r>
      <w:r w:rsidR="0073526E">
        <w:t xml:space="preserve">. </w:t>
      </w:r>
      <w:r w:rsidR="00C87B35">
        <w:t xml:space="preserve"> </w:t>
      </w:r>
      <w:r w:rsidR="00E23071">
        <w:t>The</w:t>
      </w:r>
      <w:r w:rsidR="004A14BB">
        <w:t xml:space="preserve"> sentences on counts 19</w:t>
      </w:r>
      <w:r w:rsidR="00CB08FD">
        <w:t xml:space="preserve"> through </w:t>
      </w:r>
      <w:r w:rsidR="004A14BB">
        <w:t xml:space="preserve">22 are vacated, and the </w:t>
      </w:r>
      <w:r w:rsidR="00E23071">
        <w:t>case</w:t>
      </w:r>
      <w:r w:rsidR="004A14BB">
        <w:t xml:space="preserve"> is remanded for the court to conduct proceedings </w:t>
      </w:r>
      <w:r w:rsidR="0036154A">
        <w:t xml:space="preserve">consistent with this opinion </w:t>
      </w:r>
      <w:r w:rsidR="004A14BB">
        <w:t xml:space="preserve">to resentence defendant </w:t>
      </w:r>
      <w:r w:rsidR="00130F31">
        <w:t xml:space="preserve">on those four counts </w:t>
      </w:r>
      <w:r w:rsidR="0036154A">
        <w:t xml:space="preserve">pursuant </w:t>
      </w:r>
      <w:r w:rsidR="00130F31">
        <w:t xml:space="preserve">either </w:t>
      </w:r>
      <w:r w:rsidR="0036154A">
        <w:t>to Penal Code section 667.6</w:t>
      </w:r>
      <w:r w:rsidR="003329FF">
        <w:t>, subdivision</w:t>
      </w:r>
      <w:r w:rsidR="00BD7B23">
        <w:t> </w:t>
      </w:r>
      <w:r w:rsidR="0036154A">
        <w:t>(c)</w:t>
      </w:r>
      <w:r w:rsidR="003329FF">
        <w:t>,</w:t>
      </w:r>
      <w:r w:rsidR="00130F31">
        <w:t xml:space="preserve"> or Penal Code sections </w:t>
      </w:r>
      <w:r w:rsidRPr="00367E01" w:rsidR="004B30CF">
        <w:t>669 and 1170.1</w:t>
      </w:r>
      <w:r w:rsidR="004B30CF">
        <w:t>.</w:t>
      </w:r>
      <w:r w:rsidR="003329FF">
        <w:t xml:space="preserve"> </w:t>
      </w:r>
      <w:r w:rsidR="00C87B35">
        <w:t xml:space="preserve"> </w:t>
      </w:r>
      <w:r w:rsidR="003329FF">
        <w:t>If the court declines to impose sentence pursuant to section 667.6, subdivision</w:t>
      </w:r>
      <w:r>
        <w:t> </w:t>
      </w:r>
      <w:r w:rsidR="003329FF">
        <w:t>(c), the prosecution may make, and the court may</w:t>
      </w:r>
      <w:r w:rsidR="009A102F">
        <w:t xml:space="preserve"> exercise its discretion to</w:t>
      </w:r>
      <w:r w:rsidR="003329FF">
        <w:t xml:space="preserve"> </w:t>
      </w:r>
      <w:r w:rsidR="00270413">
        <w:t>resolve, a request to conduct a limited retrial in which a jury will make a factual finding whether the offenses occurred on “separate occasions” within the meaning of section 667.6, subdivision</w:t>
      </w:r>
      <w:r w:rsidR="00D41A9F">
        <w:t> </w:t>
      </w:r>
      <w:r w:rsidR="00270413">
        <w:t>(d)(2).</w:t>
      </w:r>
    </w:p>
    <w:p w:rsidR="00975D69" w:rsidRPr="009860F5" w:rsidP="00077AAD" w14:paraId="6838578E" w14:textId="4EADBB0D">
      <w:pPr>
        <w:keepNext/>
        <w:tabs>
          <w:tab w:val="left" w:pos="6120"/>
        </w:tabs>
        <w:spacing w:before="120" w:line="240" w:lineRule="auto"/>
      </w:pPr>
      <w:r>
        <w:tab/>
      </w:r>
      <w:r w:rsidRPr="009860F5">
        <w:t xml:space="preserve">STREETER, </w:t>
      </w:r>
      <w:r w:rsidRPr="009860F5" w:rsidR="00EF6BA1">
        <w:t>Acting</w:t>
      </w:r>
      <w:r w:rsidRPr="009860F5" w:rsidR="009654BD">
        <w:t xml:space="preserve"> P. </w:t>
      </w:r>
      <w:r w:rsidRPr="009860F5">
        <w:t>J.</w:t>
      </w:r>
    </w:p>
    <w:p w:rsidR="00AD2A03" w:rsidRPr="009860F5" w:rsidP="00D64877" w14:paraId="054A25C7" w14:textId="77777777">
      <w:pPr>
        <w:keepNext/>
        <w:tabs>
          <w:tab w:val="left" w:pos="1620"/>
        </w:tabs>
        <w:spacing w:before="240" w:after="240" w:line="240" w:lineRule="auto"/>
        <w:ind w:firstLine="0"/>
      </w:pPr>
      <w:r w:rsidRPr="009860F5">
        <w:t>WE CONCUR:</w:t>
      </w:r>
    </w:p>
    <w:p w:rsidR="009860F5" w:rsidP="00D64877" w14:paraId="52D3712C" w14:textId="626381FF">
      <w:pPr>
        <w:keepNext/>
        <w:spacing w:line="240" w:lineRule="auto"/>
        <w:ind w:firstLine="0"/>
      </w:pPr>
      <w:r w:rsidRPr="009860F5">
        <w:t>POLLAK, J.</w:t>
      </w:r>
      <w:r>
        <w:rPr>
          <w:rStyle w:val="FootnoteReference"/>
          <w:rFonts w:ascii="Symbol" w:hAnsi="Symbol"/>
        </w:rPr>
        <w:footnoteReference w:customMarkFollows="1" w:id="24"/>
        <w:sym w:font="Symbol" w:char="F02A"/>
      </w:r>
    </w:p>
    <w:p w:rsidR="00F31E72" w:rsidRPr="009860F5" w:rsidP="00D64877" w14:paraId="05DDD2CA" w14:textId="61785DBF">
      <w:pPr>
        <w:keepNext/>
        <w:spacing w:line="240" w:lineRule="auto"/>
        <w:ind w:firstLine="0"/>
      </w:pPr>
      <w:r>
        <w:t>BROWN, J.</w:t>
      </w:r>
    </w:p>
    <w:p w:rsidR="00F31E72" w14:paraId="47E89C3B" w14:textId="33DECFFC">
      <w:pPr>
        <w:tabs>
          <w:tab w:val="left" w:pos="1620"/>
        </w:tabs>
        <w:spacing w:before="240" w:after="240" w:line="240" w:lineRule="auto"/>
        <w:ind w:left="1987" w:hanging="1987"/>
        <w:rPr>
          <w:highlight w:val="yellow"/>
        </w:rPr>
        <w:sectPr w:rsidSect="00BE27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docGrid w:linePitch="360"/>
        </w:sectPr>
      </w:pPr>
    </w:p>
    <w:p w:rsidR="00FF06E4" w:rsidP="00FF06E4" w14:paraId="2193C068" w14:textId="77777777">
      <w:pPr>
        <w:ind w:firstLine="0"/>
        <w:textAlignment w:val="baseline"/>
      </w:pPr>
      <w:r>
        <w:t>STREETER</w:t>
      </w:r>
      <w:r w:rsidRPr="00D51831">
        <w:t xml:space="preserve">, </w:t>
      </w:r>
      <w:r>
        <w:t>Acting P. </w:t>
      </w:r>
      <w:r w:rsidRPr="00D51831">
        <w:t>J</w:t>
      </w:r>
      <w:r>
        <w:t>.</w:t>
      </w:r>
      <w:r w:rsidRPr="00D51831">
        <w:t xml:space="preserve">, </w:t>
      </w:r>
      <w:r>
        <w:t>C</w:t>
      </w:r>
      <w:r w:rsidRPr="00D51831">
        <w:t>oncurring</w:t>
      </w:r>
      <w:r>
        <w:t>.</w:t>
      </w:r>
    </w:p>
    <w:p w:rsidR="00FF06E4" w:rsidRPr="00D51831" w:rsidP="00FF06E4" w14:paraId="3C4916AB" w14:textId="05B52356">
      <w:pPr>
        <w:textAlignment w:val="baseline"/>
        <w:rPr>
          <w:rFonts w:eastAsia="Times New Roman" w:cs="Arial"/>
          <w:color w:val="000000"/>
        </w:rPr>
      </w:pPr>
      <w:r>
        <w:t>On the issue of excessive punishment, d</w:t>
      </w:r>
      <w:r w:rsidRPr="00D51831">
        <w:rPr>
          <w:rFonts w:eastAsia="Times New Roman" w:cs="Arial"/>
          <w:color w:val="000000"/>
        </w:rPr>
        <w:t xml:space="preserve">efendant’s primary argument is that he cannot complete </w:t>
      </w:r>
      <w:r>
        <w:rPr>
          <w:rFonts w:eastAsia="Times New Roman" w:cs="Arial"/>
          <w:color w:val="000000"/>
        </w:rPr>
        <w:t xml:space="preserve">his sentence </w:t>
      </w:r>
      <w:r w:rsidRPr="00D51831">
        <w:rPr>
          <w:rFonts w:eastAsia="Times New Roman" w:cs="Arial"/>
          <w:color w:val="000000"/>
        </w:rPr>
        <w:t xml:space="preserve">in his lifetime. </w:t>
      </w:r>
      <w:r>
        <w:rPr>
          <w:rFonts w:eastAsia="Times New Roman" w:cs="Arial"/>
          <w:color w:val="000000"/>
        </w:rPr>
        <w:t xml:space="preserve"> </w:t>
      </w:r>
      <w:r w:rsidRPr="00D51831">
        <w:rPr>
          <w:rFonts w:eastAsia="Times New Roman" w:cs="Arial"/>
          <w:color w:val="000000"/>
        </w:rPr>
        <w:t xml:space="preserve">Quoting </w:t>
      </w:r>
      <w:r>
        <w:rPr>
          <w:rFonts w:eastAsia="Times New Roman" w:cs="Arial"/>
          <w:color w:val="000000"/>
        </w:rPr>
        <w:t>J</w:t>
      </w:r>
      <w:r w:rsidRPr="00D51831">
        <w:rPr>
          <w:rFonts w:eastAsia="Times New Roman" w:cs="Arial"/>
          <w:color w:val="000000"/>
        </w:rPr>
        <w:t>ustice</w:t>
      </w:r>
      <w:r>
        <w:rPr>
          <w:rFonts w:eastAsia="Times New Roman" w:cs="Arial"/>
          <w:color w:val="000000"/>
        </w:rPr>
        <w:t xml:space="preserve"> </w:t>
      </w:r>
      <w:r w:rsidRPr="002E5C51">
        <w:rPr>
          <w:rFonts w:eastAsia="Times New Roman" w:cs="Arial"/>
          <w:color w:val="000000"/>
          <w:bdr w:val="none" w:sz="0" w:space="0" w:color="auto" w:frame="1"/>
        </w:rPr>
        <w:t>Mosk’s</w:t>
      </w:r>
      <w:r>
        <w:rPr>
          <w:rFonts w:eastAsia="Times New Roman" w:cs="Arial"/>
          <w:color w:val="000000"/>
        </w:rPr>
        <w:t xml:space="preserve"> </w:t>
      </w:r>
      <w:r w:rsidRPr="00D51831">
        <w:rPr>
          <w:rFonts w:eastAsia="Times New Roman" w:cs="Arial"/>
          <w:color w:val="000000"/>
        </w:rPr>
        <w:t xml:space="preserve">assertion that “[a] sentence </w:t>
      </w:r>
      <w:r>
        <w:rPr>
          <w:rFonts w:eastAsia="Times New Roman" w:cs="Arial"/>
          <w:color w:val="000000"/>
        </w:rPr>
        <w:t xml:space="preserve">. . . </w:t>
      </w:r>
      <w:r w:rsidRPr="00D51831">
        <w:rPr>
          <w:rFonts w:eastAsia="Times New Roman" w:cs="Arial"/>
          <w:color w:val="000000"/>
        </w:rPr>
        <w:t>that cannot possibly be completed in the defendant</w:t>
      </w:r>
      <w:r>
        <w:rPr>
          <w:rFonts w:eastAsia="Times New Roman" w:cs="Arial"/>
          <w:color w:val="000000"/>
        </w:rPr>
        <w:t>’</w:t>
      </w:r>
      <w:r w:rsidRPr="00D51831">
        <w:rPr>
          <w:rFonts w:eastAsia="Times New Roman" w:cs="Arial"/>
          <w:color w:val="000000"/>
        </w:rPr>
        <w:t>s lifetime, makes a mockery of the law and amounts to cruel or unusual punishment” (</w:t>
      </w:r>
      <w:r w:rsidRPr="00D51831">
        <w:rPr>
          <w:rFonts w:eastAsia="Times New Roman" w:cs="Arial"/>
          <w:i/>
          <w:color w:val="000000"/>
          <w:bdr w:val="none" w:sz="0" w:space="0" w:color="auto" w:frame="1"/>
        </w:rPr>
        <w:t>People v. Hicks</w:t>
      </w:r>
      <w:r>
        <w:rPr>
          <w:rFonts w:eastAsia="Times New Roman" w:cs="Arial"/>
          <w:color w:val="000000"/>
        </w:rPr>
        <w:t xml:space="preserve"> </w:t>
      </w:r>
      <w:r w:rsidRPr="00D51831">
        <w:rPr>
          <w:rFonts w:eastAsia="Times New Roman" w:cs="Arial"/>
          <w:color w:val="000000"/>
        </w:rPr>
        <w:t>(1993) 6</w:t>
      </w:r>
      <w:r>
        <w:rPr>
          <w:rFonts w:eastAsia="Times New Roman" w:cs="Arial"/>
          <w:color w:val="000000"/>
        </w:rPr>
        <w:t> </w:t>
      </w:r>
      <w:r w:rsidRPr="00D51831">
        <w:rPr>
          <w:rFonts w:eastAsia="Times New Roman" w:cs="Arial"/>
          <w:color w:val="000000"/>
        </w:rPr>
        <w:t xml:space="preserve">Cal.4th 784, 797 (dis. opn. of </w:t>
      </w:r>
      <w:r w:rsidRPr="002E5C51">
        <w:rPr>
          <w:rFonts w:eastAsia="Times New Roman" w:cs="Arial"/>
          <w:color w:val="000000"/>
          <w:bdr w:val="none" w:sz="0" w:space="0" w:color="auto" w:frame="1"/>
        </w:rPr>
        <w:t>Mosk</w:t>
      </w:r>
      <w:r w:rsidRPr="00D51831">
        <w:rPr>
          <w:rFonts w:eastAsia="Times New Roman" w:cs="Arial"/>
          <w:color w:val="000000"/>
        </w:rPr>
        <w:t>,</w:t>
      </w:r>
      <w:r w:rsidR="00095146">
        <w:rPr>
          <w:rFonts w:eastAsia="Times New Roman" w:cs="Arial"/>
          <w:color w:val="000000"/>
        </w:rPr>
        <w:t> </w:t>
      </w:r>
      <w:r w:rsidRPr="00D51831">
        <w:rPr>
          <w:rFonts w:eastAsia="Times New Roman" w:cs="Arial"/>
          <w:color w:val="000000"/>
        </w:rPr>
        <w:t>J.); see</w:t>
      </w:r>
      <w:r>
        <w:rPr>
          <w:rFonts w:eastAsia="Times New Roman" w:cs="Arial"/>
          <w:color w:val="000000"/>
        </w:rPr>
        <w:t xml:space="preserve"> </w:t>
      </w:r>
      <w:r w:rsidRPr="00D51831">
        <w:rPr>
          <w:rFonts w:eastAsia="Times New Roman" w:cs="Arial"/>
          <w:i/>
          <w:color w:val="000000"/>
          <w:bdr w:val="none" w:sz="0" w:space="0" w:color="auto" w:frame="1"/>
        </w:rPr>
        <w:t>People v.</w:t>
      </w:r>
      <w:r w:rsidRPr="00D51831">
        <w:rPr>
          <w:rFonts w:eastAsia="Times New Roman" w:cs="Arial"/>
          <w:i/>
          <w:iCs/>
          <w:color w:val="000000"/>
          <w:bdr w:val="none" w:sz="0" w:space="0" w:color="auto" w:frame="1"/>
        </w:rPr>
        <w:t xml:space="preserve"> </w:t>
      </w:r>
      <w:r w:rsidRPr="002E5C51">
        <w:rPr>
          <w:rFonts w:eastAsia="Times New Roman" w:cs="Arial"/>
          <w:i/>
          <w:color w:val="000000"/>
          <w:bdr w:val="none" w:sz="0" w:space="0" w:color="auto" w:frame="1"/>
        </w:rPr>
        <w:t>Deloza</w:t>
      </w:r>
      <w:r w:rsidRPr="002E5C51">
        <w:rPr>
          <w:rFonts w:eastAsia="Times New Roman" w:cs="Arial"/>
          <w:i/>
          <w:iCs/>
          <w:color w:val="000000"/>
          <w:bdr w:val="none" w:sz="0" w:space="0" w:color="auto" w:frame="1"/>
        </w:rPr>
        <w:t xml:space="preserve"> </w:t>
      </w:r>
      <w:r w:rsidRPr="002E5C51">
        <w:rPr>
          <w:rFonts w:eastAsia="Times New Roman" w:cs="Arial"/>
          <w:color w:val="000000"/>
        </w:rPr>
        <w:t>(</w:t>
      </w:r>
      <w:r w:rsidRPr="00D51831">
        <w:rPr>
          <w:rFonts w:eastAsia="Times New Roman" w:cs="Arial"/>
          <w:color w:val="000000"/>
        </w:rPr>
        <w:t xml:space="preserve">1998) </w:t>
      </w:r>
      <w:r w:rsidRPr="002E5C51">
        <w:rPr>
          <w:rFonts w:eastAsia="Times New Roman" w:cs="Arial"/>
          <w:color w:val="000000"/>
          <w:bdr w:val="none" w:sz="0" w:space="0" w:color="auto" w:frame="1"/>
        </w:rPr>
        <w:t>18</w:t>
      </w:r>
      <w:r w:rsidRPr="002E5C51">
        <w:rPr>
          <w:rFonts w:eastAsia="Times New Roman" w:cs="Arial"/>
          <w:color w:val="000000"/>
        </w:rPr>
        <w:t> </w:t>
      </w:r>
      <w:r w:rsidRPr="00D51831">
        <w:rPr>
          <w:rFonts w:eastAsia="Times New Roman" w:cs="Arial"/>
          <w:color w:val="000000"/>
        </w:rPr>
        <w:t>Cal.4th </w:t>
      </w:r>
      <w:r w:rsidRPr="002E5C51">
        <w:rPr>
          <w:rFonts w:eastAsia="Times New Roman" w:cs="Arial"/>
          <w:color w:val="000000"/>
          <w:bdr w:val="none" w:sz="0" w:space="0" w:color="auto" w:frame="1"/>
        </w:rPr>
        <w:t>585</w:t>
      </w:r>
      <w:r w:rsidRPr="002E5C51">
        <w:rPr>
          <w:rFonts w:eastAsia="Times New Roman" w:cs="Arial"/>
          <w:color w:val="000000"/>
        </w:rPr>
        <w:t>,</w:t>
      </w:r>
      <w:r w:rsidRPr="00D51831">
        <w:rPr>
          <w:rFonts w:eastAsia="Times New Roman" w:cs="Arial"/>
          <w:color w:val="000000"/>
        </w:rPr>
        <w:t xml:space="preserve"> 600–60</w:t>
      </w:r>
      <w:r>
        <w:rPr>
          <w:rFonts w:eastAsia="Times New Roman" w:cs="Arial"/>
          <w:color w:val="000000"/>
        </w:rPr>
        <w:t>2</w:t>
      </w:r>
      <w:r w:rsidRPr="00D51831">
        <w:rPr>
          <w:rFonts w:eastAsia="Times New Roman" w:cs="Arial"/>
          <w:color w:val="000000"/>
        </w:rPr>
        <w:t xml:space="preserve"> (conc. opn. of </w:t>
      </w:r>
      <w:r w:rsidRPr="002E5C51">
        <w:rPr>
          <w:rFonts w:eastAsia="Times New Roman" w:cs="Arial"/>
          <w:color w:val="000000"/>
          <w:bdr w:val="none" w:sz="0" w:space="0" w:color="auto" w:frame="1"/>
        </w:rPr>
        <w:t>Mosk</w:t>
      </w:r>
      <w:r w:rsidRPr="002E5C51">
        <w:rPr>
          <w:rFonts w:eastAsia="Times New Roman" w:cs="Arial"/>
          <w:color w:val="000000"/>
        </w:rPr>
        <w:t>,</w:t>
      </w:r>
      <w:r w:rsidR="00095146">
        <w:rPr>
          <w:rFonts w:eastAsia="Times New Roman" w:cs="Arial"/>
          <w:color w:val="000000"/>
        </w:rPr>
        <w:t> </w:t>
      </w:r>
      <w:r w:rsidRPr="00D51831">
        <w:rPr>
          <w:rFonts w:eastAsia="Times New Roman" w:cs="Arial"/>
          <w:color w:val="000000"/>
        </w:rPr>
        <w:t>J.)), defendant contends that</w:t>
      </w:r>
      <w:r>
        <w:rPr>
          <w:rFonts w:eastAsia="Times New Roman" w:cs="Arial"/>
          <w:color w:val="000000"/>
        </w:rPr>
        <w:t xml:space="preserve">, in this case, a </w:t>
      </w:r>
      <w:r w:rsidRPr="00D51831">
        <w:rPr>
          <w:rFonts w:eastAsia="Times New Roman" w:cs="Arial"/>
          <w:color w:val="000000"/>
        </w:rPr>
        <w:t xml:space="preserve">sentence </w:t>
      </w:r>
      <w:r>
        <w:rPr>
          <w:rFonts w:eastAsia="Times New Roman" w:cs="Arial"/>
          <w:color w:val="000000"/>
        </w:rPr>
        <w:t xml:space="preserve">that </w:t>
      </w:r>
      <w:r w:rsidRPr="00D51831">
        <w:rPr>
          <w:rFonts w:eastAsia="Times New Roman" w:cs="Arial"/>
          <w:color w:val="000000"/>
        </w:rPr>
        <w:t xml:space="preserve">amounts de facto </w:t>
      </w:r>
      <w:r>
        <w:rPr>
          <w:rFonts w:eastAsia="Times New Roman" w:cs="Arial"/>
          <w:color w:val="000000"/>
        </w:rPr>
        <w:t xml:space="preserve">to </w:t>
      </w:r>
      <w:r w:rsidRPr="00D51831">
        <w:rPr>
          <w:rFonts w:eastAsia="Times New Roman" w:cs="Arial"/>
          <w:color w:val="000000"/>
        </w:rPr>
        <w:t>life in prison without the possibility of parole</w:t>
      </w:r>
      <w:r>
        <w:rPr>
          <w:rFonts w:eastAsia="Times New Roman" w:cs="Arial"/>
          <w:color w:val="000000"/>
        </w:rPr>
        <w:t xml:space="preserve"> (LWOP) offends the federal and state Constitutions</w:t>
      </w:r>
      <w:r w:rsidRPr="00D51831">
        <w:rPr>
          <w:rFonts w:eastAsia="Times New Roman" w:cs="Arial"/>
          <w:color w:val="000000"/>
        </w:rPr>
        <w:t xml:space="preserve">. </w:t>
      </w:r>
      <w:r>
        <w:rPr>
          <w:rFonts w:eastAsia="Times New Roman" w:cs="Arial"/>
          <w:color w:val="000000"/>
        </w:rPr>
        <w:t xml:space="preserve"> I write to say there may be something to his complaint.</w:t>
      </w:r>
    </w:p>
    <w:p w:rsidR="00FF06E4" w:rsidRPr="00D51831" w:rsidP="00FF06E4" w14:paraId="5AF7837F" w14:textId="1B066469">
      <w:pPr>
        <w:textAlignment w:val="baseline"/>
        <w:rPr>
          <w:rFonts w:eastAsia="Times New Roman" w:cs="Arial"/>
          <w:color w:val="000000"/>
        </w:rPr>
      </w:pPr>
      <w:r w:rsidRPr="00D51831">
        <w:rPr>
          <w:rFonts w:eastAsia="Times New Roman" w:cs="Arial"/>
          <w:color w:val="000000"/>
        </w:rPr>
        <w:t>The position Justice</w:t>
      </w:r>
      <w:r>
        <w:rPr>
          <w:rFonts w:eastAsia="Times New Roman" w:cs="Arial"/>
          <w:color w:val="000000"/>
        </w:rPr>
        <w:t xml:space="preserve"> </w:t>
      </w:r>
      <w:r w:rsidRPr="002E5C51">
        <w:rPr>
          <w:rFonts w:eastAsia="Times New Roman" w:cs="Arial"/>
          <w:color w:val="000000"/>
          <w:bdr w:val="none" w:sz="0" w:space="0" w:color="auto" w:frame="1"/>
        </w:rPr>
        <w:t xml:space="preserve">Mosk took in </w:t>
      </w:r>
      <w:r w:rsidRPr="002E5C51">
        <w:rPr>
          <w:rFonts w:eastAsia="Times New Roman" w:cs="Arial"/>
          <w:i/>
          <w:iCs/>
          <w:color w:val="000000"/>
          <w:bdr w:val="none" w:sz="0" w:space="0" w:color="auto" w:frame="1"/>
        </w:rPr>
        <w:t>Hicks</w:t>
      </w:r>
      <w:r w:rsidRPr="002E5C51">
        <w:rPr>
          <w:rFonts w:eastAsia="Times New Roman" w:cs="Arial"/>
          <w:color w:val="000000"/>
          <w:bdr w:val="none" w:sz="0" w:space="0" w:color="auto" w:frame="1"/>
        </w:rPr>
        <w:t xml:space="preserve"> and </w:t>
      </w:r>
      <w:r w:rsidRPr="002E5C51">
        <w:rPr>
          <w:rFonts w:eastAsia="Times New Roman" w:cs="Arial"/>
          <w:i/>
          <w:color w:val="000000"/>
          <w:bdr w:val="none" w:sz="0" w:space="0" w:color="auto" w:frame="1"/>
        </w:rPr>
        <w:t>Deloza</w:t>
      </w:r>
      <w:r w:rsidRPr="002E5C51">
        <w:rPr>
          <w:rFonts w:eastAsia="Times New Roman" w:cs="Arial"/>
          <w:color w:val="000000"/>
          <w:bdr w:val="none" w:sz="0" w:space="0" w:color="auto" w:frame="1"/>
        </w:rPr>
        <w:t>, of course, is not the law (</w:t>
      </w:r>
      <w:r w:rsidRPr="002E5C51">
        <w:rPr>
          <w:rFonts w:eastAsia="Times New Roman" w:cs="Arial"/>
          <w:i/>
          <w:color w:val="000000"/>
          <w:bdr w:val="none" w:sz="0" w:space="0" w:color="auto" w:frame="1"/>
        </w:rPr>
        <w:t>People</w:t>
      </w:r>
      <w:r w:rsidRPr="00D51831">
        <w:rPr>
          <w:rFonts w:eastAsia="Times New Roman" w:cs="Arial"/>
          <w:i/>
          <w:color w:val="000000"/>
          <w:bdr w:val="none" w:sz="0" w:space="0" w:color="auto" w:frame="1"/>
        </w:rPr>
        <w:t xml:space="preserve"> v. Byrd</w:t>
      </w:r>
      <w:r>
        <w:rPr>
          <w:rFonts w:eastAsia="Times New Roman" w:cs="Arial"/>
          <w:color w:val="000000"/>
        </w:rPr>
        <w:t xml:space="preserve"> </w:t>
      </w:r>
      <w:r w:rsidRPr="00D51831">
        <w:rPr>
          <w:rFonts w:eastAsia="Times New Roman" w:cs="Arial"/>
          <w:color w:val="000000"/>
        </w:rPr>
        <w:t>(2001) 89</w:t>
      </w:r>
      <w:r>
        <w:rPr>
          <w:rFonts w:eastAsia="Times New Roman" w:cs="Arial"/>
          <w:color w:val="000000"/>
        </w:rPr>
        <w:t> </w:t>
      </w:r>
      <w:r w:rsidRPr="00D51831">
        <w:rPr>
          <w:rFonts w:eastAsia="Times New Roman" w:cs="Arial"/>
          <w:color w:val="000000"/>
        </w:rPr>
        <w:t xml:space="preserve">Cal.App.4th 1373, 1382–1383) </w:t>
      </w:r>
      <w:r w:rsidRPr="002E5C51">
        <w:rPr>
          <w:rFonts w:eastAsia="Times New Roman" w:cs="Arial"/>
          <w:color w:val="000000"/>
          <w:bdr w:val="none" w:sz="0" w:space="0" w:color="auto" w:frame="1"/>
        </w:rPr>
        <w:t>and</w:t>
      </w:r>
      <w:r w:rsidRPr="00D51831">
        <w:rPr>
          <w:rFonts w:eastAsia="Times New Roman" w:cs="Arial"/>
          <w:color w:val="000000"/>
          <w:bdr w:val="none" w:sz="0" w:space="0" w:color="auto" w:frame="1"/>
          <w:shd w:val="clear" w:color="auto" w:fill="FFFFFF"/>
        </w:rPr>
        <w:t xml:space="preserve"> </w:t>
      </w:r>
      <w:r w:rsidRPr="002E5C51">
        <w:rPr>
          <w:rFonts w:eastAsia="Times New Roman" w:cs="Arial"/>
          <w:color w:val="000000"/>
          <w:bdr w:val="none" w:sz="0" w:space="0" w:color="auto" w:frame="1"/>
        </w:rPr>
        <w:t xml:space="preserve">has not gained any traction within our Supreme Court in the decades since </w:t>
      </w:r>
      <w:r w:rsidRPr="002E5C51">
        <w:rPr>
          <w:rFonts w:eastAsia="Times New Roman" w:cs="Arial"/>
          <w:i/>
          <w:color w:val="000000"/>
          <w:bdr w:val="none" w:sz="0" w:space="0" w:color="auto" w:frame="1"/>
        </w:rPr>
        <w:t>Deloza</w:t>
      </w:r>
      <w:r w:rsidRPr="002E5C51">
        <w:rPr>
          <w:rFonts w:eastAsia="Times New Roman" w:cs="Arial"/>
          <w:color w:val="000000"/>
          <w:bdr w:val="none" w:sz="0" w:space="0" w:color="auto" w:frame="1"/>
        </w:rPr>
        <w:t xml:space="preserve"> was decided.  Meanwhile, some </w:t>
      </w:r>
      <w:r w:rsidRPr="00D51831">
        <w:rPr>
          <w:rFonts w:eastAsia="Times New Roman" w:cs="Arial"/>
          <w:color w:val="000000"/>
        </w:rPr>
        <w:t xml:space="preserve">Court of Appeal </w:t>
      </w:r>
      <w:r>
        <w:rPr>
          <w:rFonts w:eastAsia="Times New Roman" w:cs="Arial"/>
          <w:color w:val="000000"/>
        </w:rPr>
        <w:t xml:space="preserve">colleagues </w:t>
      </w:r>
      <w:r w:rsidRPr="00D51831">
        <w:rPr>
          <w:rFonts w:eastAsia="Times New Roman" w:cs="Arial"/>
          <w:color w:val="000000"/>
        </w:rPr>
        <w:t>have rejected his analysis (see</w:t>
      </w:r>
      <w:r>
        <w:rPr>
          <w:rFonts w:eastAsia="Times New Roman" w:cs="Arial"/>
          <w:color w:val="000000"/>
        </w:rPr>
        <w:t xml:space="preserve"> </w:t>
      </w:r>
      <w:r w:rsidRPr="00D51831">
        <w:rPr>
          <w:rFonts w:eastAsia="Times New Roman" w:cs="Arial"/>
          <w:i/>
          <w:color w:val="000000"/>
          <w:bdr w:val="none" w:sz="0" w:space="0" w:color="auto" w:frame="1"/>
        </w:rPr>
        <w:t>People v. Haller</w:t>
      </w:r>
      <w:r>
        <w:rPr>
          <w:rFonts w:eastAsia="Times New Roman" w:cs="Arial"/>
          <w:color w:val="000000"/>
        </w:rPr>
        <w:t xml:space="preserve"> </w:t>
      </w:r>
      <w:r w:rsidRPr="00D51831">
        <w:rPr>
          <w:rFonts w:eastAsia="Times New Roman" w:cs="Arial"/>
          <w:color w:val="000000"/>
        </w:rPr>
        <w:t>(2009) 174 Cal.App.4th 1080, 1089–1090;</w:t>
      </w:r>
      <w:r>
        <w:rPr>
          <w:rFonts w:eastAsia="Times New Roman" w:cs="Arial"/>
          <w:color w:val="000000"/>
        </w:rPr>
        <w:t xml:space="preserve"> </w:t>
      </w:r>
      <w:r w:rsidRPr="00D51831">
        <w:rPr>
          <w:rFonts w:eastAsia="Times New Roman" w:cs="Arial"/>
          <w:i/>
          <w:color w:val="000000"/>
          <w:bdr w:val="none" w:sz="0" w:space="0" w:color="auto" w:frame="1"/>
        </w:rPr>
        <w:t>Byrd</w:t>
      </w:r>
      <w:r w:rsidRPr="00D51831">
        <w:rPr>
          <w:rFonts w:eastAsia="Times New Roman" w:cs="Arial"/>
          <w:color w:val="000000"/>
        </w:rPr>
        <w:t>,</w:t>
      </w:r>
      <w:r w:rsidR="00E222EA">
        <w:rPr>
          <w:rFonts w:eastAsia="Times New Roman" w:cs="Arial"/>
          <w:color w:val="000000"/>
        </w:rPr>
        <w:t> </w:t>
      </w:r>
      <w:r w:rsidRPr="00D51831">
        <w:rPr>
          <w:rFonts w:eastAsia="Times New Roman" w:cs="Arial"/>
          <w:i/>
          <w:color w:val="000000"/>
          <w:bdr w:val="none" w:sz="0" w:space="0" w:color="auto" w:frame="1"/>
        </w:rPr>
        <w:t>supra</w:t>
      </w:r>
      <w:r w:rsidRPr="00D51831">
        <w:rPr>
          <w:rFonts w:eastAsia="Times New Roman" w:cs="Arial"/>
          <w:color w:val="000000"/>
        </w:rPr>
        <w:t>, 89</w:t>
      </w:r>
      <w:r>
        <w:rPr>
          <w:rFonts w:eastAsia="Times New Roman" w:cs="Arial"/>
          <w:color w:val="000000"/>
        </w:rPr>
        <w:t> </w:t>
      </w:r>
      <w:r w:rsidRPr="00D51831">
        <w:rPr>
          <w:rFonts w:eastAsia="Times New Roman" w:cs="Arial"/>
          <w:color w:val="000000"/>
        </w:rPr>
        <w:t>Cal.App.4th at pp.</w:t>
      </w:r>
      <w:r>
        <w:rPr>
          <w:rFonts w:eastAsia="Times New Roman" w:cs="Arial"/>
          <w:color w:val="000000"/>
        </w:rPr>
        <w:t> </w:t>
      </w:r>
      <w:r w:rsidRPr="00D51831">
        <w:rPr>
          <w:rFonts w:eastAsia="Times New Roman" w:cs="Arial"/>
          <w:color w:val="000000"/>
        </w:rPr>
        <w:t>1382–1383), while upholding lengthy, impossible-to-complete prison sentences</w:t>
      </w:r>
      <w:r>
        <w:rPr>
          <w:rFonts w:eastAsia="Times New Roman" w:cs="Arial"/>
          <w:color w:val="000000"/>
        </w:rPr>
        <w:t>.  We follow these cases here</w:t>
      </w:r>
      <w:r w:rsidRPr="00D51831">
        <w:rPr>
          <w:rFonts w:eastAsia="Times New Roman" w:cs="Arial"/>
          <w:color w:val="000000"/>
        </w:rPr>
        <w:t>, accepting the Attorney General’s cited authority</w:t>
      </w:r>
      <w:r>
        <w:rPr>
          <w:rFonts w:eastAsia="Times New Roman" w:cs="Arial"/>
          <w:color w:val="000000"/>
        </w:rPr>
        <w:t xml:space="preserve"> for the sentence.  </w:t>
      </w:r>
      <w:r w:rsidRPr="00D51831">
        <w:rPr>
          <w:rFonts w:eastAsia="Times New Roman" w:cs="Arial"/>
          <w:color w:val="000000"/>
        </w:rPr>
        <w:t>(</w:t>
      </w:r>
      <w:r w:rsidRPr="00D51831">
        <w:rPr>
          <w:i/>
          <w:iCs/>
        </w:rPr>
        <w:t xml:space="preserve">People v. Bestelmeyer </w:t>
      </w:r>
      <w:r w:rsidRPr="00D51831">
        <w:t xml:space="preserve">(1985) 166 Cal.App.3d 520, 528–530; </w:t>
      </w:r>
      <w:r w:rsidRPr="00D51831">
        <w:rPr>
          <w:rFonts w:eastAsia="Times New Roman" w:cs="Arial"/>
          <w:i/>
          <w:color w:val="000000"/>
          <w:bdr w:val="none" w:sz="0" w:space="0" w:color="auto" w:frame="1"/>
        </w:rPr>
        <w:t>People v. Retanan</w:t>
      </w:r>
      <w:r>
        <w:rPr>
          <w:rFonts w:eastAsia="Times New Roman" w:cs="Arial"/>
          <w:color w:val="000000"/>
        </w:rPr>
        <w:t xml:space="preserve"> </w:t>
      </w:r>
      <w:r w:rsidRPr="00D51831">
        <w:rPr>
          <w:rFonts w:eastAsia="Times New Roman" w:cs="Arial"/>
          <w:color w:val="000000"/>
        </w:rPr>
        <w:t>(2007) 154</w:t>
      </w:r>
      <w:r>
        <w:rPr>
          <w:rFonts w:eastAsia="Times New Roman" w:cs="Arial"/>
          <w:color w:val="000000"/>
        </w:rPr>
        <w:t> </w:t>
      </w:r>
      <w:r w:rsidRPr="00D51831">
        <w:rPr>
          <w:rFonts w:eastAsia="Times New Roman" w:cs="Arial"/>
          <w:color w:val="000000"/>
        </w:rPr>
        <w:t xml:space="preserve">Cal.App.4th 1219, </w:t>
      </w:r>
      <w:r>
        <w:rPr>
          <w:rFonts w:eastAsia="Times New Roman" w:cs="Arial"/>
          <w:color w:val="000000"/>
        </w:rPr>
        <w:t>1230–</w:t>
      </w:r>
      <w:r w:rsidRPr="00D51831">
        <w:rPr>
          <w:rFonts w:eastAsia="Times New Roman" w:cs="Arial"/>
          <w:color w:val="000000"/>
        </w:rPr>
        <w:t>1231)</w:t>
      </w:r>
      <w:r>
        <w:rPr>
          <w:rFonts w:eastAsia="Times New Roman" w:cs="Arial"/>
          <w:color w:val="000000"/>
        </w:rPr>
        <w:t>.</w:t>
      </w:r>
    </w:p>
    <w:p w:rsidR="00FF06E4" w:rsidRPr="00D51831" w:rsidP="00FF06E4" w14:paraId="647C961F" w14:textId="6F0F5928">
      <w:pPr>
        <w:rPr>
          <w:rFonts w:eastAsia="Times New Roman" w:cs="Times New Roman"/>
          <w:color w:val="000000"/>
          <w:sz w:val="24"/>
          <w:szCs w:val="24"/>
        </w:rPr>
      </w:pPr>
      <w:r w:rsidRPr="00D51831">
        <w:rPr>
          <w:rFonts w:eastAsia="Times New Roman" w:cs="Arial"/>
          <w:color w:val="000000"/>
        </w:rPr>
        <w:t xml:space="preserve">The opinions disagreeing with Justice Mosk’s perspective on this issue are in line with </w:t>
      </w:r>
      <w:bookmarkStart w:id="2" w:name="_Hlk121349894"/>
      <w:r w:rsidRPr="00D51831">
        <w:rPr>
          <w:rFonts w:eastAsia="Times New Roman" w:cs="Arial"/>
          <w:color w:val="000000"/>
        </w:rPr>
        <w:t xml:space="preserve">the prevailing view under the federal </w:t>
      </w:r>
      <w:r>
        <w:rPr>
          <w:rFonts w:eastAsia="Times New Roman" w:cs="Arial"/>
          <w:color w:val="000000"/>
        </w:rPr>
        <w:t>C</w:t>
      </w:r>
      <w:r w:rsidRPr="00D51831">
        <w:rPr>
          <w:rFonts w:eastAsia="Times New Roman" w:cs="Arial"/>
          <w:color w:val="000000"/>
        </w:rPr>
        <w:t>onstitution since the 1980</w:t>
      </w:r>
      <w:r w:rsidR="002B52EE">
        <w:rPr>
          <w:rFonts w:eastAsia="Times New Roman" w:cs="Arial"/>
          <w:color w:val="000000"/>
        </w:rPr>
        <w:t>’</w:t>
      </w:r>
      <w:r w:rsidRPr="00D51831">
        <w:rPr>
          <w:rFonts w:eastAsia="Times New Roman" w:cs="Arial"/>
          <w:color w:val="000000"/>
        </w:rPr>
        <w:t xml:space="preserve">s that courts have </w:t>
      </w:r>
      <w:r w:rsidRPr="00430F23">
        <w:rPr>
          <w:rFonts w:eastAsia="Times New Roman" w:cs="Arial"/>
        </w:rPr>
        <w:t>virtually no role in setting constitutional boundaries on criminal punishment</w:t>
      </w:r>
      <w:bookmarkEnd w:id="2"/>
      <w:r w:rsidRPr="00430F23">
        <w:rPr>
          <w:rFonts w:eastAsia="Times New Roman" w:cs="Arial"/>
        </w:rPr>
        <w:t xml:space="preserve">. </w:t>
      </w:r>
      <w:r w:rsidR="002B52EE">
        <w:rPr>
          <w:rFonts w:eastAsia="Times New Roman" w:cs="Arial"/>
        </w:rPr>
        <w:t xml:space="preserve"> </w:t>
      </w:r>
      <w:r w:rsidRPr="00430F23">
        <w:rPr>
          <w:rFonts w:eastAsia="Times New Roman" w:cs="Arial"/>
        </w:rPr>
        <w:t xml:space="preserve">(See, e.g., </w:t>
      </w:r>
      <w:r w:rsidRPr="00430F23">
        <w:rPr>
          <w:i/>
          <w:iCs/>
        </w:rPr>
        <w:t>Harmelin v. Michigan</w:t>
      </w:r>
      <w:r w:rsidRPr="00430F23">
        <w:t xml:space="preserve"> (1991) 501 U.S. 957, 996, 1004–1005 (</w:t>
      </w:r>
      <w:r w:rsidRPr="008B030F" w:rsidR="00F339F6">
        <w:t>conc</w:t>
      </w:r>
      <w:r w:rsidRPr="008B030F">
        <w:t>. opn.</w:t>
      </w:r>
      <w:r w:rsidRPr="00430F23">
        <w:t xml:space="preserve"> of Kennedy, J.); </w:t>
      </w:r>
      <w:r w:rsidRPr="00430F23">
        <w:rPr>
          <w:rFonts w:eastAsia="Times New Roman" w:cs="Times New Roman"/>
          <w:i/>
          <w:bdr w:val="none" w:sz="0" w:space="0" w:color="auto" w:frame="1"/>
        </w:rPr>
        <w:t>Rummel v. Estelle</w:t>
      </w:r>
      <w:r w:rsidRPr="00430F23">
        <w:rPr>
          <w:rFonts w:eastAsia="Times New Roman" w:cs="Times New Roman"/>
        </w:rPr>
        <w:t xml:space="preserve"> (1980) 445 U.S. 263, 272; see also</w:t>
      </w:r>
      <w:r w:rsidRPr="00430F23">
        <w:t xml:space="preserve"> </w:t>
      </w:r>
      <w:r w:rsidRPr="00430F23">
        <w:rPr>
          <w:i/>
          <w:iCs/>
        </w:rPr>
        <w:t>Ewing v. California</w:t>
      </w:r>
      <w:r w:rsidRPr="00430F23">
        <w:t xml:space="preserve"> (2003) 538 U.S. 11, 20–24</w:t>
      </w:r>
      <w:r w:rsidRPr="00430F23">
        <w:rPr>
          <w:rFonts w:eastAsia="Times New Roman" w:cs="Times New Roman"/>
        </w:rPr>
        <w:t xml:space="preserve">.) </w:t>
      </w:r>
      <w:r w:rsidRPr="00430F23">
        <w:rPr>
          <w:rFonts w:eastAsia="Times New Roman" w:cs="Arial"/>
        </w:rPr>
        <w:t xml:space="preserve"> </w:t>
      </w:r>
      <w:r w:rsidRPr="00D51831">
        <w:rPr>
          <w:rFonts w:eastAsia="Times New Roman" w:cs="Arial"/>
          <w:color w:val="000000"/>
        </w:rPr>
        <w:t xml:space="preserve">Justice Mosk’s view, on the other hand, recognizes that California courts carrying out their paramount duty to apply the “evolving standards of decency” standard enunciated in </w:t>
      </w:r>
      <w:r w:rsidRPr="00576C4A">
        <w:rPr>
          <w:rFonts w:eastAsia="Times New Roman" w:cs="Times New Roman"/>
          <w:i/>
          <w:iCs/>
          <w:color w:val="000000"/>
        </w:rPr>
        <w:t>Furman v. Georgia</w:t>
      </w:r>
      <w:r w:rsidRPr="00576C4A">
        <w:rPr>
          <w:rFonts w:eastAsia="Times New Roman" w:cs="Times New Roman"/>
          <w:color w:val="000000"/>
        </w:rPr>
        <w:t xml:space="preserve"> (</w:t>
      </w:r>
      <w:r w:rsidRPr="00576C4A">
        <w:rPr>
          <w:rFonts w:eastAsia="Times New Roman" w:cs="Times New Roman"/>
          <w:color w:val="000000"/>
          <w:bdr w:val="none" w:sz="0" w:space="0" w:color="auto" w:frame="1"/>
        </w:rPr>
        <w:t>1972</w:t>
      </w:r>
      <w:r w:rsidRPr="00576C4A">
        <w:rPr>
          <w:rFonts w:eastAsia="Times New Roman" w:cs="Times New Roman"/>
          <w:color w:val="000000"/>
        </w:rPr>
        <w:t>) 408 U.S. 238, 269 (conc. opn. of Brennan</w:t>
      </w:r>
      <w:r>
        <w:rPr>
          <w:rFonts w:eastAsia="Times New Roman" w:cs="Times New Roman"/>
          <w:color w:val="000000"/>
        </w:rPr>
        <w:t>, </w:t>
      </w:r>
      <w:r w:rsidRPr="00576C4A">
        <w:rPr>
          <w:rFonts w:eastAsia="Times New Roman" w:cs="Times New Roman"/>
          <w:color w:val="000000"/>
        </w:rPr>
        <w:t>J.)</w:t>
      </w:r>
      <w:r>
        <w:rPr>
          <w:rFonts w:eastAsia="Times New Roman" w:cs="Times New Roman"/>
          <w:color w:val="000000"/>
        </w:rPr>
        <w:t xml:space="preserve"> and</w:t>
      </w:r>
      <w:r w:rsidRPr="00D51831">
        <w:rPr>
          <w:rFonts w:eastAsia="Times New Roman" w:cs="Arial"/>
          <w:color w:val="000000"/>
        </w:rPr>
        <w:t xml:space="preserve"> </w:t>
      </w:r>
      <w:r w:rsidRPr="00576C4A">
        <w:rPr>
          <w:i/>
          <w:color w:val="000000"/>
        </w:rPr>
        <w:t>Trop v.</w:t>
      </w:r>
      <w:r>
        <w:rPr>
          <w:i/>
          <w:color w:val="000000"/>
        </w:rPr>
        <w:t xml:space="preserve"> </w:t>
      </w:r>
      <w:r w:rsidRPr="00576C4A">
        <w:rPr>
          <w:i/>
          <w:color w:val="000000"/>
          <w:bdr w:val="none" w:sz="0" w:space="0" w:color="auto" w:frame="1"/>
        </w:rPr>
        <w:t>Dulles</w:t>
      </w:r>
      <w:r>
        <w:rPr>
          <w:color w:val="000000"/>
        </w:rPr>
        <w:t xml:space="preserve"> </w:t>
      </w:r>
      <w:r w:rsidRPr="00576C4A">
        <w:rPr>
          <w:color w:val="000000"/>
        </w:rPr>
        <w:t>(1958) 356</w:t>
      </w:r>
      <w:r>
        <w:rPr>
          <w:color w:val="000000"/>
        </w:rPr>
        <w:t> </w:t>
      </w:r>
      <w:r w:rsidRPr="00576C4A">
        <w:rPr>
          <w:color w:val="000000"/>
        </w:rPr>
        <w:t>U.S. 86, 100–101 (</w:t>
      </w:r>
      <w:r w:rsidRPr="00A26321">
        <w:rPr>
          <w:color w:val="000000"/>
        </w:rPr>
        <w:t>plur. opn. of Warren</w:t>
      </w:r>
      <w:r w:rsidRPr="00576C4A">
        <w:rPr>
          <w:color w:val="000000"/>
        </w:rPr>
        <w:t>,</w:t>
      </w:r>
      <w:r>
        <w:rPr>
          <w:color w:val="000000"/>
        </w:rPr>
        <w:t> </w:t>
      </w:r>
      <w:r w:rsidRPr="00576C4A">
        <w:rPr>
          <w:color w:val="000000"/>
        </w:rPr>
        <w:t>C.</w:t>
      </w:r>
      <w:r>
        <w:rPr>
          <w:color w:val="000000"/>
        </w:rPr>
        <w:t> </w:t>
      </w:r>
      <w:r w:rsidRPr="00576C4A">
        <w:rPr>
          <w:color w:val="000000"/>
        </w:rPr>
        <w:t xml:space="preserve">J.) may properly intervene when a legislatively prescribed sentence has gone too far under </w:t>
      </w:r>
      <w:r w:rsidRPr="00D51831">
        <w:rPr>
          <w:rFonts w:eastAsia="Times New Roman" w:cs="Arial"/>
          <w:color w:val="000000"/>
        </w:rPr>
        <w:t xml:space="preserve">the “cruel </w:t>
      </w:r>
      <w:r w:rsidRPr="00D51831">
        <w:rPr>
          <w:rFonts w:eastAsia="Times New Roman" w:cs="Arial"/>
          <w:i/>
          <w:iCs/>
          <w:color w:val="000000"/>
        </w:rPr>
        <w:t>or</w:t>
      </w:r>
      <w:r w:rsidRPr="00D51831">
        <w:rPr>
          <w:rFonts w:eastAsia="Times New Roman" w:cs="Arial"/>
          <w:color w:val="000000"/>
        </w:rPr>
        <w:t xml:space="preserve"> unusual” clause of the California Constitution (Cal. Const.</w:t>
      </w:r>
      <w:r>
        <w:rPr>
          <w:rFonts w:eastAsia="Times New Roman" w:cs="Arial"/>
          <w:color w:val="000000"/>
        </w:rPr>
        <w:t>,</w:t>
      </w:r>
      <w:r w:rsidRPr="00D51831">
        <w:rPr>
          <w:rFonts w:eastAsia="Times New Roman" w:cs="Arial"/>
          <w:color w:val="000000"/>
        </w:rPr>
        <w:t xml:space="preserve"> </w:t>
      </w:r>
      <w:r>
        <w:rPr>
          <w:rFonts w:eastAsia="Times New Roman" w:cs="Arial"/>
          <w:color w:val="000000"/>
        </w:rPr>
        <w:t>a</w:t>
      </w:r>
      <w:r w:rsidRPr="00D51831">
        <w:rPr>
          <w:rFonts w:eastAsia="Times New Roman" w:cs="Arial"/>
          <w:color w:val="000000"/>
        </w:rPr>
        <w:t>rt.</w:t>
      </w:r>
      <w:r>
        <w:rPr>
          <w:rFonts w:eastAsia="Times New Roman" w:cs="Arial"/>
          <w:color w:val="000000"/>
        </w:rPr>
        <w:t> </w:t>
      </w:r>
      <w:r w:rsidRPr="00D51831">
        <w:rPr>
          <w:rFonts w:eastAsia="Times New Roman" w:cs="Arial"/>
          <w:color w:val="000000"/>
        </w:rPr>
        <w:t>I, §</w:t>
      </w:r>
      <w:r>
        <w:rPr>
          <w:rFonts w:eastAsia="Times New Roman" w:cs="Arial"/>
          <w:color w:val="000000"/>
        </w:rPr>
        <w:t> </w:t>
      </w:r>
      <w:r w:rsidRPr="00D51831">
        <w:rPr>
          <w:rFonts w:eastAsia="Times New Roman" w:cs="Arial"/>
          <w:color w:val="000000"/>
        </w:rPr>
        <w:t>17, italics added)</w:t>
      </w:r>
      <w:r w:rsidRPr="00576C4A">
        <w:rPr>
          <w:color w:val="000000"/>
        </w:rPr>
        <w:t>.</w:t>
      </w:r>
    </w:p>
    <w:p w:rsidR="00FF06E4" w:rsidRPr="00D51831" w:rsidP="00FF06E4" w14:paraId="1A980E30" w14:textId="504121A5">
      <w:pPr>
        <w:rPr>
          <w:rFonts w:eastAsia="Times New Roman" w:cs="Arial"/>
          <w:color w:val="000000"/>
        </w:rPr>
      </w:pPr>
      <w:r w:rsidRPr="00D51831">
        <w:rPr>
          <w:rFonts w:eastAsia="Times New Roman" w:cs="Arial"/>
          <w:color w:val="000000"/>
        </w:rPr>
        <w:t>Justice Mosk recognized</w:t>
      </w:r>
      <w:r>
        <w:rPr>
          <w:rFonts w:eastAsia="Times New Roman" w:cs="Arial"/>
          <w:color w:val="000000"/>
        </w:rPr>
        <w:t>—</w:t>
      </w:r>
      <w:r w:rsidRPr="00D51831">
        <w:rPr>
          <w:rFonts w:eastAsia="Times New Roman" w:cs="Arial"/>
          <w:color w:val="000000"/>
        </w:rPr>
        <w:t>rightly, I believe</w:t>
      </w:r>
      <w:r>
        <w:rPr>
          <w:rFonts w:eastAsia="Times New Roman" w:cs="Arial"/>
          <w:color w:val="000000"/>
        </w:rPr>
        <w:t>—</w:t>
      </w:r>
      <w:r w:rsidRPr="00D51831">
        <w:rPr>
          <w:rFonts w:eastAsia="Times New Roman" w:cs="Arial"/>
          <w:color w:val="000000"/>
        </w:rPr>
        <w:t xml:space="preserve">that at some point </w:t>
      </w:r>
      <w:r>
        <w:rPr>
          <w:rFonts w:eastAsia="Times New Roman" w:cs="Arial"/>
          <w:color w:val="000000"/>
        </w:rPr>
        <w:t xml:space="preserve">sentencing may </w:t>
      </w:r>
      <w:r w:rsidRPr="00D51831">
        <w:rPr>
          <w:rFonts w:eastAsia="Times New Roman" w:cs="Arial"/>
          <w:color w:val="000000"/>
        </w:rPr>
        <w:t xml:space="preserve">cross a line </w:t>
      </w:r>
      <w:r>
        <w:rPr>
          <w:rFonts w:eastAsia="Times New Roman" w:cs="Arial"/>
          <w:color w:val="000000"/>
        </w:rPr>
        <w:t>distinguishing p</w:t>
      </w:r>
      <w:r w:rsidRPr="00D51831">
        <w:rPr>
          <w:rFonts w:eastAsia="Times New Roman" w:cs="Arial"/>
          <w:color w:val="000000"/>
        </w:rPr>
        <w:t xml:space="preserve">unishment in service of legitimate societal ends </w:t>
      </w:r>
      <w:r>
        <w:rPr>
          <w:rFonts w:eastAsia="Times New Roman" w:cs="Arial"/>
          <w:color w:val="000000"/>
        </w:rPr>
        <w:t>from</w:t>
      </w:r>
      <w:r w:rsidRPr="00D51831">
        <w:rPr>
          <w:rFonts w:eastAsia="Times New Roman" w:cs="Arial"/>
          <w:color w:val="000000"/>
        </w:rPr>
        <w:t xml:space="preserve"> performa</w:t>
      </w:r>
      <w:r>
        <w:rPr>
          <w:rFonts w:eastAsia="Times New Roman" w:cs="Arial"/>
          <w:color w:val="000000"/>
        </w:rPr>
        <w:t xml:space="preserve">tive cruelty, </w:t>
      </w:r>
      <w:r w:rsidRPr="00D51831">
        <w:rPr>
          <w:rFonts w:eastAsia="Times New Roman" w:cs="Arial"/>
          <w:color w:val="000000"/>
        </w:rPr>
        <w:t xml:space="preserve">which is what tyrannical government does.  As guardians of the rule of law, courts must stand ready to point out where that boundary is.  </w:t>
      </w:r>
      <w:r>
        <w:rPr>
          <w:rFonts w:eastAsia="Times New Roman" w:cs="Arial"/>
          <w:color w:val="000000"/>
        </w:rPr>
        <w:t>It is one of the most important things we do.  So r</w:t>
      </w:r>
      <w:r w:rsidRPr="00D51831">
        <w:rPr>
          <w:rFonts w:eastAsia="Times New Roman" w:cs="Arial"/>
          <w:color w:val="000000"/>
        </w:rPr>
        <w:t>ather than dismiss Justice Mosk’s view as an outlier that remains little more than an artifact of California judicial history, I believe there remains the possibility his view was simply ahead of its time.  The California Constitution is a charter of “</w:t>
      </w:r>
      <w:r>
        <w:rPr>
          <w:rFonts w:eastAsia="Times New Roman" w:cs="Arial"/>
          <w:color w:val="000000"/>
        </w:rPr>
        <w:t> ‘</w:t>
      </w:r>
      <w:r w:rsidRPr="00D51831">
        <w:rPr>
          <w:rFonts w:eastAsia="Times New Roman" w:cs="Arial"/>
          <w:color w:val="000000"/>
        </w:rPr>
        <w:t>independent force.</w:t>
      </w:r>
      <w:r>
        <w:rPr>
          <w:rFonts w:eastAsia="Times New Roman" w:cs="Arial"/>
          <w:color w:val="000000"/>
        </w:rPr>
        <w:t>’ </w:t>
      </w:r>
      <w:r w:rsidRPr="00D51831">
        <w:rPr>
          <w:rFonts w:eastAsia="Times New Roman" w:cs="Arial"/>
          <w:color w:val="000000"/>
        </w:rPr>
        <w:t xml:space="preserve">” </w:t>
      </w:r>
      <w:r>
        <w:rPr>
          <w:rFonts w:eastAsia="Times New Roman" w:cs="Arial"/>
          <w:color w:val="000000"/>
        </w:rPr>
        <w:t xml:space="preserve"> </w:t>
      </w:r>
      <w:r w:rsidRPr="00D51831">
        <w:rPr>
          <w:rFonts w:eastAsia="Times New Roman" w:cs="Arial"/>
          <w:color w:val="000000"/>
        </w:rPr>
        <w:t>(</w:t>
      </w:r>
      <w:r w:rsidRPr="00D51831">
        <w:rPr>
          <w:rFonts w:eastAsia="Times New Roman" w:cs="Times New Roman"/>
          <w:i/>
          <w:iCs/>
          <w:color w:val="000000"/>
          <w:bdr w:val="none" w:sz="0" w:space="0" w:color="auto" w:frame="1"/>
        </w:rPr>
        <w:t>People v. Buza</w:t>
      </w:r>
      <w:r>
        <w:rPr>
          <w:rFonts w:eastAsia="Times New Roman" w:cs="Times New Roman"/>
          <w:color w:val="000000"/>
        </w:rPr>
        <w:t xml:space="preserve"> </w:t>
      </w:r>
      <w:r w:rsidRPr="00D51831">
        <w:rPr>
          <w:rFonts w:eastAsia="Times New Roman" w:cs="Times New Roman"/>
          <w:color w:val="000000"/>
        </w:rPr>
        <w:t>(2018) 4</w:t>
      </w:r>
      <w:r>
        <w:rPr>
          <w:rFonts w:eastAsia="Times New Roman" w:cs="Times New Roman"/>
          <w:color w:val="000000"/>
        </w:rPr>
        <w:t> </w:t>
      </w:r>
      <w:r w:rsidRPr="00D51831">
        <w:rPr>
          <w:rFonts w:eastAsia="Times New Roman" w:cs="Times New Roman"/>
          <w:color w:val="000000"/>
        </w:rPr>
        <w:t>Cal.5th 658, 68</w:t>
      </w:r>
      <w:r>
        <w:rPr>
          <w:rFonts w:eastAsia="Times New Roman" w:cs="Times New Roman"/>
          <w:color w:val="000000"/>
        </w:rPr>
        <w:t>4</w:t>
      </w:r>
      <w:r w:rsidRPr="00D51831">
        <w:rPr>
          <w:rFonts w:eastAsia="Times New Roman" w:cs="Times New Roman"/>
          <w:color w:val="000000"/>
        </w:rPr>
        <w:t xml:space="preserve">.)  Although </w:t>
      </w:r>
      <w:r w:rsidRPr="00D51831">
        <w:rPr>
          <w:rFonts w:eastAsia="Times New Roman" w:cs="Arial"/>
          <w:color w:val="000000"/>
        </w:rPr>
        <w:t>the “federal Constitution affords no greater protection than the state Constitution” in this area (</w:t>
      </w:r>
      <w:r w:rsidRPr="00D51831">
        <w:rPr>
          <w:rFonts w:eastAsia="Times New Roman" w:cs="Arial"/>
          <w:i/>
          <w:iCs/>
          <w:color w:val="000000"/>
          <w:bdr w:val="none" w:sz="0" w:space="0" w:color="auto" w:frame="1"/>
        </w:rPr>
        <w:t>People v. Martinez</w:t>
      </w:r>
      <w:r>
        <w:rPr>
          <w:rFonts w:eastAsia="Times New Roman" w:cs="Arial"/>
          <w:color w:val="000000"/>
        </w:rPr>
        <w:t xml:space="preserve"> </w:t>
      </w:r>
      <w:r w:rsidRPr="00D51831">
        <w:rPr>
          <w:rFonts w:eastAsia="Times New Roman" w:cs="Arial"/>
          <w:color w:val="000000"/>
        </w:rPr>
        <w:t>(1999) 71</w:t>
      </w:r>
      <w:r>
        <w:rPr>
          <w:rFonts w:eastAsia="Times New Roman" w:cs="Arial"/>
          <w:color w:val="000000"/>
        </w:rPr>
        <w:t> </w:t>
      </w:r>
      <w:r w:rsidRPr="00D51831">
        <w:rPr>
          <w:rFonts w:eastAsia="Times New Roman" w:cs="Arial"/>
          <w:color w:val="000000"/>
        </w:rPr>
        <w:t xml:space="preserve">Cal.App.4th 1502, 1510), it may well be that Justice Mosk anticipated the need to begin giving </w:t>
      </w:r>
      <w:r>
        <w:rPr>
          <w:rFonts w:eastAsia="Times New Roman" w:cs="Arial"/>
          <w:color w:val="000000"/>
        </w:rPr>
        <w:t>a</w:t>
      </w:r>
      <w:r w:rsidRPr="00D51831">
        <w:rPr>
          <w:rFonts w:eastAsia="Times New Roman" w:cs="Arial"/>
          <w:color w:val="000000"/>
        </w:rPr>
        <w:t>rticle</w:t>
      </w:r>
      <w:r>
        <w:rPr>
          <w:rFonts w:eastAsia="Times New Roman" w:cs="Arial"/>
          <w:color w:val="000000"/>
        </w:rPr>
        <w:t> </w:t>
      </w:r>
      <w:r w:rsidRPr="00D51831">
        <w:rPr>
          <w:rFonts w:eastAsia="Times New Roman" w:cs="Arial"/>
          <w:color w:val="000000"/>
        </w:rPr>
        <w:t>I, section</w:t>
      </w:r>
      <w:r>
        <w:rPr>
          <w:rFonts w:eastAsia="Times New Roman" w:cs="Arial"/>
          <w:color w:val="000000"/>
        </w:rPr>
        <w:t> </w:t>
      </w:r>
      <w:r w:rsidRPr="00D51831">
        <w:rPr>
          <w:rFonts w:eastAsia="Times New Roman" w:cs="Arial"/>
          <w:color w:val="000000"/>
        </w:rPr>
        <w:t xml:space="preserve">17 of the California Constitution </w:t>
      </w:r>
      <w:r w:rsidRPr="00D51831">
        <w:rPr>
          <w:rFonts w:eastAsia="Times New Roman" w:cs="Times New Roman"/>
          <w:color w:val="000000"/>
        </w:rPr>
        <w:t xml:space="preserve">a more expansive reading than its federal counterpart.  </w:t>
      </w:r>
      <w:r w:rsidRPr="00D51831">
        <w:rPr>
          <w:rFonts w:eastAsia="Times New Roman" w:cs="Arial"/>
          <w:color w:val="000000"/>
        </w:rPr>
        <w:t xml:space="preserve">Indeed, in an era when prison overcrowding itself has presented serious constitutional issues (see </w:t>
      </w:r>
      <w:r w:rsidRPr="00D51831">
        <w:rPr>
          <w:rFonts w:eastAsia="Times New Roman" w:cs="Times New Roman"/>
          <w:i/>
          <w:iCs/>
          <w:color w:val="000000"/>
          <w:bdr w:val="none" w:sz="0" w:space="0" w:color="auto" w:frame="1"/>
        </w:rPr>
        <w:t>Brown v. Plata</w:t>
      </w:r>
      <w:r>
        <w:rPr>
          <w:rFonts w:eastAsia="Times New Roman" w:cs="Times New Roman"/>
          <w:color w:val="000000"/>
        </w:rPr>
        <w:t xml:space="preserve"> </w:t>
      </w:r>
      <w:r w:rsidRPr="00D51831">
        <w:rPr>
          <w:rFonts w:eastAsia="Times New Roman" w:cs="Times New Roman"/>
          <w:color w:val="000000"/>
        </w:rPr>
        <w:t>(2011) 563</w:t>
      </w:r>
      <w:r>
        <w:rPr>
          <w:rFonts w:eastAsia="Times New Roman" w:cs="Times New Roman"/>
          <w:color w:val="000000"/>
        </w:rPr>
        <w:t> </w:t>
      </w:r>
      <w:r w:rsidRPr="00D51831">
        <w:rPr>
          <w:rFonts w:eastAsia="Times New Roman" w:cs="Times New Roman"/>
          <w:color w:val="000000"/>
        </w:rPr>
        <w:t>U.S. 493</w:t>
      </w:r>
      <w:r>
        <w:rPr>
          <w:rFonts w:eastAsia="Times New Roman" w:cs="Times New Roman"/>
          <w:color w:val="000000"/>
        </w:rPr>
        <w:t>, 517–522</w:t>
      </w:r>
      <w:r w:rsidRPr="00D51831">
        <w:rPr>
          <w:rFonts w:eastAsia="Times New Roman" w:cs="Times New Roman"/>
          <w:color w:val="000000"/>
        </w:rPr>
        <w:t xml:space="preserve">), his </w:t>
      </w:r>
      <w:r w:rsidRPr="00D51831">
        <w:rPr>
          <w:rFonts w:eastAsia="Times New Roman" w:cs="Arial"/>
          <w:color w:val="000000"/>
        </w:rPr>
        <w:t>perspective on the issue of excessive sentencing may have greater resonance today.</w:t>
      </w:r>
    </w:p>
    <w:p w:rsidR="00FF06E4" w:rsidP="00331C24" w14:paraId="7C22C75B" w14:textId="505CDB9C">
      <w:pPr>
        <w:rPr>
          <w:rFonts w:eastAsia="Times New Roman" w:cs="Arial"/>
          <w:color w:val="000000" w:themeColor="text1"/>
        </w:rPr>
      </w:pPr>
      <w:r>
        <w:rPr>
          <w:rFonts w:eastAsia="Times New Roman" w:cs="Arial"/>
          <w:color w:val="000000" w:themeColor="text1"/>
        </w:rPr>
        <w:t>Until and unless the People, by initiative constitutional amendment, authorize a new type of special circumstances finding for LWOP sentences in specified non-homicide offenses, I believe Justice Mosk’s view may have merit where a concatenation of consecutive non-homicide sentences results in an aggregate sentence so long that no human being could ever serve it.  Whatever penological objectives may be claimed, it is perfectly clear that the sheer length of such a sentence, as imposed, is intended to transform punishment into spectacle.  On</w:t>
      </w:r>
      <w:r w:rsidRPr="00D51831">
        <w:rPr>
          <w:rFonts w:eastAsia="Times New Roman" w:cs="Arial"/>
          <w:color w:val="000000" w:themeColor="text1"/>
        </w:rPr>
        <w:t xml:space="preserve"> the right </w:t>
      </w:r>
      <w:r>
        <w:rPr>
          <w:rFonts w:eastAsia="Times New Roman" w:cs="Arial"/>
          <w:color w:val="000000" w:themeColor="text1"/>
        </w:rPr>
        <w:t xml:space="preserve">record in such a case, in light of </w:t>
      </w:r>
      <w:r w:rsidRPr="00D51831">
        <w:rPr>
          <w:rFonts w:eastAsia="Times New Roman" w:cs="Arial"/>
          <w:color w:val="000000" w:themeColor="text1"/>
        </w:rPr>
        <w:t>various recent developments in criminal sentencing</w:t>
      </w:r>
      <w:r>
        <w:rPr>
          <w:rStyle w:val="FootnoteReference"/>
          <w:rFonts w:eastAsia="Times New Roman" w:cs="Arial"/>
          <w:color w:val="000000"/>
        </w:rPr>
        <w:footnoteReference w:id="25"/>
      </w:r>
      <w:r w:rsidRPr="00D51831">
        <w:rPr>
          <w:rFonts w:eastAsia="Times New Roman" w:cs="Arial"/>
          <w:color w:val="000000" w:themeColor="text1"/>
        </w:rPr>
        <w:t xml:space="preserve"> and other aspects of criminal law</w:t>
      </w:r>
      <w:r>
        <w:rPr>
          <w:rFonts w:eastAsia="Times New Roman" w:cs="Arial"/>
          <w:color w:val="000000" w:themeColor="text1"/>
        </w:rPr>
        <w:t>,</w:t>
      </w:r>
      <w:r>
        <w:rPr>
          <w:rStyle w:val="FootnoteReference"/>
          <w:rFonts w:eastAsia="Times New Roman" w:cs="Arial"/>
          <w:color w:val="000000"/>
        </w:rPr>
        <w:footnoteReference w:id="26"/>
      </w:r>
      <w:r w:rsidRPr="00D51831">
        <w:rPr>
          <w:rFonts w:eastAsia="Times New Roman" w:cs="Arial"/>
          <w:color w:val="000000" w:themeColor="text1"/>
        </w:rPr>
        <w:t xml:space="preserve"> </w:t>
      </w:r>
      <w:r>
        <w:rPr>
          <w:rFonts w:eastAsia="Times New Roman" w:cs="Arial"/>
          <w:color w:val="000000" w:themeColor="text1"/>
        </w:rPr>
        <w:t xml:space="preserve">and in light of the </w:t>
      </w:r>
      <w:r w:rsidRPr="00D51831">
        <w:rPr>
          <w:rFonts w:eastAsia="Times New Roman" w:cs="Arial"/>
          <w:color w:val="000000" w:themeColor="text1"/>
        </w:rPr>
        <w:t>greater judicial willingness today to recognize constitutional limits on the harshest forms of criminal punishment than was once the case,</w:t>
      </w:r>
      <w:r>
        <w:rPr>
          <w:rStyle w:val="FootnoteReference"/>
          <w:rFonts w:eastAsia="Times New Roman" w:cs="Arial"/>
          <w:color w:val="000000"/>
        </w:rPr>
        <w:footnoteReference w:id="27"/>
      </w:r>
      <w:r w:rsidRPr="00D51831">
        <w:rPr>
          <w:rFonts w:eastAsia="Times New Roman" w:cs="Arial"/>
          <w:color w:val="000000" w:themeColor="text1"/>
        </w:rPr>
        <w:t xml:space="preserve"> </w:t>
      </w:r>
      <w:r>
        <w:rPr>
          <w:rFonts w:eastAsia="Times New Roman" w:cs="Arial"/>
          <w:color w:val="000000" w:themeColor="text1"/>
        </w:rPr>
        <w:t xml:space="preserve">I can envision </w:t>
      </w:r>
      <w:r w:rsidRPr="00D51831">
        <w:rPr>
          <w:rFonts w:eastAsia="Times New Roman" w:cs="Arial"/>
          <w:color w:val="000000" w:themeColor="text1"/>
        </w:rPr>
        <w:t xml:space="preserve">the California Supreme Court </w:t>
      </w:r>
      <w:r>
        <w:rPr>
          <w:rFonts w:eastAsia="Times New Roman" w:cs="Arial"/>
          <w:color w:val="000000" w:themeColor="text1"/>
        </w:rPr>
        <w:br w:type="page"/>
      </w:r>
    </w:p>
    <w:p w:rsidR="00FF06E4" w:rsidP="00FF06E4" w14:paraId="5D46EB56" w14:textId="77777777">
      <w:pPr>
        <w:ind w:firstLine="0"/>
        <w:rPr>
          <w:rFonts w:eastAsia="Times New Roman" w:cs="Arial"/>
          <w:color w:val="000000" w:themeColor="text1"/>
        </w:rPr>
      </w:pPr>
      <w:r w:rsidRPr="00D51831">
        <w:rPr>
          <w:rFonts w:eastAsia="Times New Roman" w:cs="Arial"/>
          <w:color w:val="000000" w:themeColor="text1"/>
        </w:rPr>
        <w:t xml:space="preserve">adopting some form of </w:t>
      </w:r>
      <w:r>
        <w:rPr>
          <w:rFonts w:eastAsia="Times New Roman" w:cs="Arial"/>
          <w:color w:val="000000" w:themeColor="text1"/>
        </w:rPr>
        <w:t xml:space="preserve">this </w:t>
      </w:r>
      <w:r w:rsidRPr="00D51831">
        <w:rPr>
          <w:rFonts w:eastAsia="Times New Roman" w:cs="Arial"/>
          <w:color w:val="000000" w:themeColor="text1"/>
        </w:rPr>
        <w:t xml:space="preserve">view as a matter of California Constitutional law.  </w:t>
      </w:r>
      <w:r>
        <w:rPr>
          <w:rFonts w:eastAsia="Times New Roman" w:cs="Arial"/>
          <w:color w:val="000000" w:themeColor="text1"/>
        </w:rPr>
        <w:t>And I would urge it to consider doing so.</w:t>
      </w:r>
    </w:p>
    <w:p w:rsidR="00FF06E4" w:rsidRPr="007B1118" w:rsidP="00FF06E4" w14:paraId="04BF370F" w14:textId="77777777">
      <w:pPr>
        <w:tabs>
          <w:tab w:val="left" w:pos="6120"/>
        </w:tabs>
        <w:rPr>
          <w:rFonts w:eastAsia="Times New Roman" w:cs="Arial"/>
          <w:color w:val="000000" w:themeColor="text1"/>
        </w:rPr>
      </w:pPr>
      <w:r>
        <w:rPr>
          <w:rFonts w:eastAsia="Times New Roman" w:cs="Arial"/>
          <w:color w:val="000000" w:themeColor="text1"/>
        </w:rPr>
        <w:tab/>
      </w:r>
      <w:r w:rsidRPr="007B1118">
        <w:rPr>
          <w:rFonts w:eastAsia="Times New Roman" w:cs="Arial"/>
          <w:color w:val="000000" w:themeColor="text1"/>
        </w:rPr>
        <w:t>STREETER, Acting P. J.</w:t>
      </w:r>
    </w:p>
    <w:p w:rsidR="00FF06E4" w:rsidRPr="007B1118" w:rsidP="00FF06E4" w14:paraId="36AFF4BF" w14:textId="77777777">
      <w:pPr>
        <w:tabs>
          <w:tab w:val="left" w:pos="6120"/>
        </w:tabs>
        <w:ind w:firstLine="0"/>
        <w:rPr>
          <w:rFonts w:eastAsia="Times New Roman" w:cs="Arial"/>
          <w:color w:val="000000" w:themeColor="text1"/>
        </w:rPr>
      </w:pPr>
      <w:r w:rsidRPr="007B1118">
        <w:rPr>
          <w:rFonts w:eastAsia="Times New Roman" w:cs="Arial"/>
          <w:color w:val="000000" w:themeColor="text1"/>
        </w:rPr>
        <w:t>I CONCUR:</w:t>
      </w:r>
    </w:p>
    <w:p w:rsidR="00572F2C" w:rsidP="007B1118" w14:paraId="3199DB8F" w14:textId="44ECDC1C">
      <w:pPr>
        <w:tabs>
          <w:tab w:val="left" w:pos="6120"/>
        </w:tabs>
        <w:ind w:firstLine="0"/>
      </w:pPr>
      <w:r w:rsidRPr="007B1118">
        <w:rPr>
          <w:rFonts w:eastAsia="Times New Roman" w:cs="Arial"/>
          <w:color w:val="000000" w:themeColor="text1"/>
        </w:rPr>
        <w:t>POLLAK, J.</w:t>
      </w:r>
      <w:r>
        <w:rPr>
          <w:rStyle w:val="FootnoteReference"/>
        </w:rPr>
        <w:footnoteReference w:customMarkFollows="1" w:id="28"/>
        <w:t xml:space="preserve">*</w:t>
      </w:r>
    </w:p>
    <w:p w:rsidR="00572F2C" w:rsidP="00B50837" w14:paraId="6A717BE3" w14:textId="0C68F55E">
      <w:pPr>
        <w:sectPr w:rsidSect="00BE27C3">
          <w:footnotePr>
            <w:numRestart w:val="eachSect"/>
          </w:footnotePr>
          <w:pgSz w:w="12240" w:h="15840"/>
          <w:pgMar w:top="1440" w:right="1440" w:bottom="1440" w:left="1440" w:header="720" w:footer="720" w:gutter="0"/>
          <w:pgNumType w:start="1"/>
          <w:cols w:space="720"/>
          <w:docGrid w:linePitch="360"/>
        </w:sectPr>
      </w:pPr>
    </w:p>
    <w:p w:rsidR="0018246A" w:rsidP="00B50837" w14:paraId="001CBA55" w14:textId="63AAD7B2">
      <w:r w:rsidRPr="00B67CE9">
        <w:t>P</w:t>
      </w:r>
      <w:r>
        <w:t>OLLAK</w:t>
      </w:r>
      <w:r w:rsidRPr="00B67CE9">
        <w:t>, J</w:t>
      </w:r>
      <w:r w:rsidR="005C63EA">
        <w:t>.</w:t>
      </w:r>
      <w:r w:rsidRPr="00A01104" w:rsidR="005C63EA">
        <w:rPr>
          <w:vertAlign w:val="superscript"/>
        </w:rPr>
        <w:t>*</w:t>
      </w:r>
      <w:r w:rsidRPr="00B67CE9">
        <w:t xml:space="preserve"> </w:t>
      </w:r>
      <w:r>
        <w:t xml:space="preserve">— </w:t>
      </w:r>
      <w:r w:rsidRPr="00B67CE9">
        <w:t xml:space="preserve">I concur in full with the conclusions and analysis in the lead opinion. </w:t>
      </w:r>
      <w:r>
        <w:t xml:space="preserve"> </w:t>
      </w:r>
      <w:r w:rsidRPr="00B67CE9">
        <w:t xml:space="preserve">I write separately only to emphasize the need for reconsidering the limits of acceptable punishment. </w:t>
      </w:r>
      <w:r>
        <w:t xml:space="preserve"> </w:t>
      </w:r>
      <w:r w:rsidRPr="00B67CE9">
        <w:t xml:space="preserve">The Legislature has prescribed a term of five, eight, or ten years in prison for forcible lewd acts on a child, hardly an insignificant punishment. </w:t>
      </w:r>
      <w:r>
        <w:t xml:space="preserve"> </w:t>
      </w:r>
      <w:r w:rsidRPr="00B67CE9">
        <w:t xml:space="preserve">Defendant’s sentence reflects less the legislative determination of the appropriate term for his misconduct than the prosecutor’s choice of the number of offenses to charge. </w:t>
      </w:r>
      <w:r>
        <w:t xml:space="preserve"> </w:t>
      </w:r>
      <w:r w:rsidRPr="00B67CE9">
        <w:t>The de facto life-without-possibility-of-parole sentence illustrates the observation that “</w:t>
      </w:r>
      <w:r w:rsidR="00794B00">
        <w:t>[p]</w:t>
      </w:r>
      <w:r w:rsidRPr="00B67CE9">
        <w:t>enalties, like currency, can become inflated; and in this country, inflation has reached runaway proportions.”</w:t>
      </w:r>
      <w:r>
        <w:t xml:space="preserve">  </w:t>
      </w:r>
      <w:r w:rsidRPr="00B67CE9">
        <w:t>(</w:t>
      </w:r>
      <w:r>
        <w:t>v</w:t>
      </w:r>
      <w:r w:rsidRPr="00B67CE9">
        <w:t>on Hirsch, Doing Justice</w:t>
      </w:r>
      <w:r>
        <w:t xml:space="preserve"> – </w:t>
      </w:r>
      <w:r w:rsidRPr="00B67CE9">
        <w:t>The Choice of Punishments</w:t>
      </w:r>
      <w:r>
        <w:t xml:space="preserve">:  </w:t>
      </w:r>
      <w:r w:rsidRPr="00B67CE9">
        <w:t>Report of the Committee for the Study of Incarceration (1976) p.</w:t>
      </w:r>
      <w:r>
        <w:t> </w:t>
      </w:r>
      <w:r w:rsidRPr="00B67CE9">
        <w:t xml:space="preserve">132.) </w:t>
      </w:r>
      <w:r>
        <w:t xml:space="preserve"> </w:t>
      </w:r>
      <w:r w:rsidRPr="00B67CE9">
        <w:t xml:space="preserve">Defendant’s offenses are deserving of harsh punishment, but defendant does not pose a continuing threat to society.  Imprisonment for the rest of his life is not necessary to ensure that he does not reoffend or to deter others from engaging in similar misconduct.  “[T]he excess in punishment can, by hypothesis, serve no purpose other than to satisfy a desire for vengeance.” </w:t>
      </w:r>
      <w:r>
        <w:t xml:space="preserve"> </w:t>
      </w:r>
      <w:r w:rsidRPr="00B67CE9">
        <w:t>(</w:t>
      </w:r>
      <w:r w:rsidRPr="00B67CE9">
        <w:rPr>
          <w:i/>
          <w:iCs/>
        </w:rPr>
        <w:t>In</w:t>
      </w:r>
      <w:r>
        <w:rPr>
          <w:i/>
          <w:iCs/>
        </w:rPr>
        <w:t> </w:t>
      </w:r>
      <w:r w:rsidRPr="00B67CE9">
        <w:rPr>
          <w:i/>
          <w:iCs/>
        </w:rPr>
        <w:t xml:space="preserve">re Estrada </w:t>
      </w:r>
      <w:r w:rsidRPr="00B67CE9">
        <w:t xml:space="preserve">(1965) </w:t>
      </w:r>
      <w:r>
        <w:t>6</w:t>
      </w:r>
      <w:r w:rsidRPr="00B67CE9">
        <w:t>3</w:t>
      </w:r>
      <w:r w:rsidR="00297C22">
        <w:t> </w:t>
      </w:r>
      <w:r w:rsidRPr="00B67CE9">
        <w:t>C</w:t>
      </w:r>
      <w:r>
        <w:t>al</w:t>
      </w:r>
      <w:r w:rsidRPr="00B67CE9">
        <w:t>.2d 740, 74</w:t>
      </w:r>
      <w:r>
        <w:t>5</w:t>
      </w:r>
      <w:r w:rsidRPr="00B67CE9">
        <w:t xml:space="preserve">.)  Defendant did not argue that the comparison of his sentence to the sentence for even more serious crimes, and to the sentence </w:t>
      </w:r>
      <w:r>
        <w:t xml:space="preserve">imposed </w:t>
      </w:r>
      <w:r w:rsidRPr="00B67CE9">
        <w:t xml:space="preserve">for his crimes in other jurisdictions, tends to show that his sentence is disproportionate to the severity of his offenses, but that comparison cannot be overlooked. </w:t>
      </w:r>
      <w:r>
        <w:t xml:space="preserve"> </w:t>
      </w:r>
      <w:r w:rsidRPr="00B67CE9">
        <w:t xml:space="preserve">(See </w:t>
      </w:r>
      <w:r w:rsidRPr="00B67CE9">
        <w:rPr>
          <w:i/>
          <w:iCs/>
        </w:rPr>
        <w:t>In</w:t>
      </w:r>
      <w:r w:rsidR="00FA4514">
        <w:rPr>
          <w:i/>
          <w:iCs/>
        </w:rPr>
        <w:t> </w:t>
      </w:r>
      <w:r w:rsidRPr="00B67CE9">
        <w:rPr>
          <w:i/>
          <w:iCs/>
        </w:rPr>
        <w:t xml:space="preserve">re Lynch </w:t>
      </w:r>
      <w:r w:rsidRPr="00B67CE9">
        <w:t>(1972) 8</w:t>
      </w:r>
      <w:r w:rsidR="009D3EBA">
        <w:t> </w:t>
      </w:r>
      <w:r w:rsidRPr="00B67CE9">
        <w:t>C</w:t>
      </w:r>
      <w:r>
        <w:t>al</w:t>
      </w:r>
      <w:r w:rsidRPr="00B67CE9">
        <w:t>.3d 410, 42</w:t>
      </w:r>
      <w:r>
        <w:t>6–</w:t>
      </w:r>
      <w:r w:rsidRPr="00B67CE9">
        <w:t xml:space="preserve">429.) </w:t>
      </w:r>
      <w:r>
        <w:t xml:space="preserve"> </w:t>
      </w:r>
      <w:r w:rsidRPr="00B67CE9">
        <w:t>As unacceptable as defendant’s conduct was, it does not justify punishment more severe than for rape or first degree</w:t>
      </w:r>
    </w:p>
    <w:p w:rsidR="0018246A" w14:paraId="4ACFBAA1" w14:textId="77777777">
      <w:pPr>
        <w:ind w:firstLine="0"/>
      </w:pPr>
      <w:r>
        <w:br w:type="page"/>
      </w:r>
    </w:p>
    <w:p w:rsidR="008A497B" w:rsidP="0018246A" w14:paraId="22C1CBA2" w14:textId="717F3C7E">
      <w:pPr>
        <w:ind w:firstLine="0"/>
      </w:pPr>
      <w:r w:rsidRPr="00B67CE9">
        <w:t>murder.  Unfortunately, however, this court is bound by existing precedents to affirm the judgment.</w:t>
      </w:r>
    </w:p>
    <w:p w:rsidR="00B46780" w:rsidP="000330F3" w14:paraId="256C4E08" w14:textId="068100F9">
      <w:pPr>
        <w:tabs>
          <w:tab w:val="left" w:pos="6120"/>
        </w:tabs>
      </w:pPr>
      <w:r w:rsidRPr="00BA172A">
        <w:tab/>
      </w:r>
      <w:r w:rsidRPr="00A01104">
        <w:t>POLLAK, J.</w:t>
      </w:r>
      <w:r>
        <w:rPr>
          <w:rStyle w:val="FootnoteReference"/>
        </w:rPr>
        <w:footnoteReference w:customMarkFollows="1" w:id="29"/>
        <w:t xml:space="preserve">*</w:t>
      </w:r>
    </w:p>
    <w:p w:rsidR="009A7FDA" w:rsidRPr="004D1269" w:rsidP="004D1269" w14:paraId="0CDC3F5B" w14:textId="1728C919">
      <w:pPr>
        <w:tabs>
          <w:tab w:val="left" w:pos="6120"/>
        </w:tabs>
        <w:sectPr w:rsidSect="00BE27C3">
          <w:pgSz w:w="12240" w:h="15840"/>
          <w:pgMar w:top="1440" w:right="1440" w:bottom="1440" w:left="1440" w:header="720" w:footer="720" w:gutter="0"/>
          <w:pgNumType w:start="1"/>
          <w:cols w:space="720"/>
          <w:docGrid w:linePitch="360"/>
        </w:sectPr>
      </w:pPr>
    </w:p>
    <w:p w:rsidR="007A5068" w:rsidP="00D30BF7" w14:paraId="4421B4E1" w14:textId="3AAAE145">
      <w:pPr>
        <w:tabs>
          <w:tab w:val="left" w:pos="1620"/>
        </w:tabs>
        <w:spacing w:line="480" w:lineRule="auto"/>
        <w:ind w:firstLine="0"/>
        <w:rPr>
          <w:rFonts w:cs="Times New Roman"/>
        </w:rPr>
      </w:pPr>
      <w:r>
        <w:rPr>
          <w:rFonts w:cs="Times New Roman"/>
        </w:rPr>
        <w:t>Trial Court:</w:t>
      </w:r>
      <w:r>
        <w:rPr>
          <w:rFonts w:cs="Times New Roman"/>
        </w:rPr>
        <w:tab/>
      </w:r>
      <w:r w:rsidR="00D237A1">
        <w:rPr>
          <w:rFonts w:cs="Times New Roman"/>
        </w:rPr>
        <w:t>Superior Court of California, County of Napa</w:t>
      </w:r>
    </w:p>
    <w:p w:rsidR="00D30BF7" w:rsidP="00D30BF7" w14:paraId="3DD25B62" w14:textId="40B5770B">
      <w:pPr>
        <w:tabs>
          <w:tab w:val="left" w:pos="1620"/>
        </w:tabs>
        <w:spacing w:line="480" w:lineRule="auto"/>
        <w:ind w:firstLine="0"/>
      </w:pPr>
      <w:r>
        <w:rPr>
          <w:rFonts w:cs="Times New Roman"/>
        </w:rPr>
        <w:t>Tr</w:t>
      </w:r>
      <w:r w:rsidR="00124077">
        <w:rPr>
          <w:rFonts w:cs="Times New Roman"/>
        </w:rPr>
        <w:t>ial Judge:</w:t>
      </w:r>
      <w:r w:rsidR="00124077">
        <w:rPr>
          <w:rFonts w:cs="Times New Roman"/>
        </w:rPr>
        <w:tab/>
      </w:r>
      <w:r w:rsidRPr="00FC6809" w:rsidR="009E379F">
        <w:t>Hon. Mark S. Boessenecker</w:t>
      </w:r>
    </w:p>
    <w:p w:rsidR="00D30BF7" w:rsidP="001A230B" w14:paraId="54577574" w14:textId="615F2598">
      <w:pPr>
        <w:tabs>
          <w:tab w:val="left" w:pos="1620"/>
        </w:tabs>
        <w:spacing w:line="240" w:lineRule="auto"/>
        <w:ind w:left="1980" w:hanging="1980"/>
      </w:pPr>
      <w:r>
        <w:t>Counsel:</w:t>
      </w:r>
      <w:r>
        <w:tab/>
      </w:r>
      <w:r w:rsidR="00E96AB5">
        <w:t>Randi Covin</w:t>
      </w:r>
      <w:r w:rsidR="006D0573">
        <w:t>, under appointment by the Court of Appeal, for De</w:t>
      </w:r>
      <w:r w:rsidR="006E3D30">
        <w:t>fendant and Appellant.</w:t>
      </w:r>
    </w:p>
    <w:p w:rsidR="00FE6DCE" w:rsidP="001A230B" w14:paraId="61859356" w14:textId="77777777">
      <w:pPr>
        <w:tabs>
          <w:tab w:val="left" w:pos="1620"/>
        </w:tabs>
        <w:spacing w:line="240" w:lineRule="auto"/>
        <w:ind w:left="1980" w:hanging="1980"/>
      </w:pPr>
    </w:p>
    <w:p w:rsidR="00F63E0E" w:rsidRPr="00D30BF7" w:rsidP="001A230B" w14:paraId="55513236" w14:textId="349A8F8F">
      <w:pPr>
        <w:tabs>
          <w:tab w:val="left" w:pos="1620"/>
        </w:tabs>
        <w:spacing w:line="240" w:lineRule="auto"/>
        <w:ind w:left="1980" w:hanging="1980"/>
      </w:pPr>
      <w:r>
        <w:tab/>
      </w:r>
      <w:r w:rsidR="00376C59">
        <w:t xml:space="preserve">Rob Bonta, Attorney General, Lance E. Winters, Chief Assistant Attorney General, </w:t>
      </w:r>
      <w:r w:rsidR="00853FB2">
        <w:t>Jefferey</w:t>
      </w:r>
      <w:r w:rsidR="002424ED">
        <w:t> M. Laurence</w:t>
      </w:r>
      <w:r w:rsidR="00376C59">
        <w:t xml:space="preserve">, Senior Assistant Attorney General, </w:t>
      </w:r>
      <w:r w:rsidR="00112994">
        <w:t xml:space="preserve">Eric D. </w:t>
      </w:r>
      <w:r w:rsidR="006C42EB">
        <w:t>Share</w:t>
      </w:r>
      <w:r w:rsidR="00376C59">
        <w:t xml:space="preserve">, Supervising Deputy Attorney General, </w:t>
      </w:r>
      <w:r w:rsidR="00415A1A">
        <w:t>John H. Deist</w:t>
      </w:r>
      <w:r w:rsidR="00376C59">
        <w:t xml:space="preserve">, Deputy Attorney General for </w:t>
      </w:r>
      <w:r w:rsidRPr="00C230DA" w:rsidR="00376C59">
        <w:t>Plaintiff</w:t>
      </w:r>
      <w:r w:rsidR="00376C59">
        <w:t xml:space="preserve"> and Respondent.</w:t>
      </w:r>
    </w:p>
    <w:sectPr>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sto MT">
    <w:panose1 w:val="0204060305050503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22BF" w14:paraId="7586E7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6580179"/>
      <w:docPartObj>
        <w:docPartGallery w:val="Page Numbers (Bottom of Page)"/>
        <w:docPartUnique/>
      </w:docPartObj>
    </w:sdtPr>
    <w:sdtEndPr>
      <w:rPr>
        <w:noProof/>
      </w:rPr>
    </w:sdtEndPr>
    <w:sdtContent>
      <w:p w:rsidR="00BE27C3" w:rsidP="00E2772A" w14:paraId="67D64662" w14:textId="77777777">
        <w:pPr>
          <w:pStyle w:val="Footer"/>
          <w:tabs>
            <w:tab w:val="clear" w:pos="720"/>
          </w:tabs>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22BF" w14:paraId="454393B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3BDF" w:rsidRPr="000F39E8" w:rsidP="004D1269" w14:paraId="32DE8081" w14:textId="62C47553">
    <w:pPr>
      <w:pStyle w:val="Footer"/>
      <w:tabs>
        <w:tab w:val="clear" w:pos="720"/>
      </w:tabs>
      <w:ind w:firstLine="0"/>
      <w:rPr>
        <w:sz w:val="20"/>
        <w:szCs w:val="20"/>
      </w:rPr>
    </w:pPr>
    <w:r w:rsidRPr="000F39E8">
      <w:rPr>
        <w:i/>
        <w:iCs/>
        <w:sz w:val="20"/>
        <w:szCs w:val="20"/>
      </w:rPr>
      <w:t>People v</w:t>
    </w:r>
    <w:r w:rsidR="00942007">
      <w:rPr>
        <w:i/>
        <w:iCs/>
        <w:sz w:val="20"/>
        <w:szCs w:val="20"/>
      </w:rPr>
      <w:t>.</w:t>
    </w:r>
    <w:r w:rsidRPr="000F39E8">
      <w:rPr>
        <w:i/>
        <w:iCs/>
        <w:sz w:val="20"/>
        <w:szCs w:val="20"/>
      </w:rPr>
      <w:t xml:space="preserve"> Johnson</w:t>
    </w:r>
    <w:r w:rsidR="004702A0">
      <w:rPr>
        <w:i/>
        <w:iCs/>
        <w:sz w:val="20"/>
        <w:szCs w:val="20"/>
      </w:rPr>
      <w:t xml:space="preserve"> </w:t>
    </w:r>
    <w:r w:rsidR="005314D3">
      <w:rPr>
        <w:sz w:val="20"/>
        <w:szCs w:val="20"/>
      </w:rPr>
      <w:t xml:space="preserve">– </w:t>
    </w:r>
    <w:r w:rsidRPr="000F39E8" w:rsidR="000F39E8">
      <w:rPr>
        <w:sz w:val="20"/>
        <w:szCs w:val="20"/>
      </w:rPr>
      <w:t>A162599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F337D" w:rsidP="003B2BC2" w14:paraId="0B613EFE" w14:textId="77777777">
      <w:pPr>
        <w:spacing w:line="240" w:lineRule="auto"/>
        <w:ind w:firstLine="0"/>
      </w:pPr>
      <w:r>
        <w:separator/>
      </w:r>
    </w:p>
  </w:footnote>
  <w:footnote w:type="continuationSeparator" w:id="1">
    <w:p w:rsidR="00CF337D" w:rsidP="003B2BC2" w14:paraId="7FC37267" w14:textId="77777777">
      <w:pPr>
        <w:spacing w:line="240" w:lineRule="auto"/>
        <w:ind w:firstLine="0"/>
      </w:pPr>
      <w:r>
        <w:continuationSeparator/>
      </w:r>
    </w:p>
  </w:footnote>
  <w:footnote w:type="continuationNotice" w:id="2">
    <w:p w:rsidR="00CF337D" w14:paraId="580169F4" w14:textId="77777777">
      <w:pPr>
        <w:spacing w:line="240" w:lineRule="auto"/>
      </w:pPr>
    </w:p>
  </w:footnote>
  <w:footnote w:id="3">
    <w:p w:rsidR="00FA2F4F" w:rsidP="00FA2F4F" w14:paraId="3775EF48" w14:textId="5A61D7C1">
      <w:pPr>
        <w:pStyle w:val="FootnoteText"/>
      </w:pPr>
      <w:r>
        <w:rPr>
          <w:rStyle w:val="FootnoteReference"/>
        </w:rPr>
        <w:t>*</w:t>
      </w:r>
      <w:r>
        <w:t xml:space="preserve"> Pursuant to California Rules of Court, rules 8.1105(b) and 8.1110, this opinion is certified for </w:t>
      </w:r>
      <w:r w:rsidRPr="00A12030">
        <w:t>publication except</w:t>
      </w:r>
      <w:r w:rsidRPr="00A12030" w:rsidR="00A547B2">
        <w:t xml:space="preserve"> for</w:t>
      </w:r>
      <w:r w:rsidRPr="00A12030">
        <w:t xml:space="preserve"> parts I.B</w:t>
      </w:r>
      <w:r w:rsidRPr="00A12030" w:rsidR="001F78E1">
        <w:t>.</w:t>
      </w:r>
      <w:r w:rsidRPr="00A12030" w:rsidR="00484230">
        <w:t xml:space="preserve"> and</w:t>
      </w:r>
      <w:r w:rsidRPr="00A12030" w:rsidR="00164B4F">
        <w:t xml:space="preserve"> II.A</w:t>
      </w:r>
      <w:r w:rsidRPr="00A12030">
        <w:t>.</w:t>
      </w:r>
    </w:p>
  </w:footnote>
  <w:footnote w:id="4">
    <w:p w:rsidR="00220287" w14:paraId="73DBA2BF" w14:textId="758E052D">
      <w:pPr>
        <w:pStyle w:val="FootnoteText"/>
      </w:pPr>
      <w:r>
        <w:rPr>
          <w:rStyle w:val="FootnoteReference"/>
        </w:rPr>
        <w:footnoteRef/>
      </w:r>
      <w:r>
        <w:t xml:space="preserve"> </w:t>
      </w:r>
      <w:r w:rsidRPr="00D851E3">
        <w:rPr>
          <w:rFonts w:eastAsia="Times New Roman" w:cs="Times New Roman"/>
        </w:rPr>
        <w:t>All</w:t>
      </w:r>
      <w:r>
        <w:rPr>
          <w:rFonts w:eastAsia="Times New Roman" w:cs="Times New Roman"/>
        </w:rPr>
        <w:t xml:space="preserve"> </w:t>
      </w:r>
      <w:r w:rsidRPr="00D851E3">
        <w:rPr>
          <w:rFonts w:eastAsia="Times New Roman" w:cs="Times New Roman"/>
        </w:rPr>
        <w:t>statutory references are to the Penal Code unless otherwise noted.</w:t>
      </w:r>
    </w:p>
  </w:footnote>
  <w:footnote w:id="5">
    <w:p w:rsidR="009410FE" w14:paraId="62AF71F0" w14:textId="05A0B548">
      <w:pPr>
        <w:pStyle w:val="FootnoteText"/>
      </w:pPr>
      <w:r>
        <w:rPr>
          <w:rStyle w:val="FootnoteReference"/>
        </w:rPr>
        <w:footnoteRef/>
      </w:r>
      <w:r>
        <w:t xml:space="preserve"> </w:t>
      </w:r>
      <w:r w:rsidRPr="0082600E">
        <w:t>T</w:t>
      </w:r>
      <w:r>
        <w:t>he California Supreme Court is currently reviewing whether the operation of section 667.6(d) “compl[ies] with the Sixth Amendment to the U.S. Constitution.”</w:t>
      </w:r>
      <w:r w:rsidR="001E0AF0">
        <w:t xml:space="preserve">  </w:t>
      </w:r>
      <w:r w:rsidRPr="00A24AA4" w:rsidR="00C708A1">
        <w:t>(</w:t>
      </w:r>
      <w:r w:rsidRPr="00C708A1" w:rsidR="00C708A1">
        <w:rPr>
          <w:i/>
          <w:iCs/>
        </w:rPr>
        <w:t>People v. Catarino</w:t>
      </w:r>
      <w:r w:rsidR="00C708A1">
        <w:t xml:space="preserve"> (Oct. 14, </w:t>
      </w:r>
      <w:r w:rsidRPr="0066705F" w:rsidR="00C708A1">
        <w:t xml:space="preserve">2021, </w:t>
      </w:r>
      <w:r w:rsidRPr="00CC36FD" w:rsidR="00C708A1">
        <w:t>D078832)</w:t>
      </w:r>
      <w:r w:rsidR="00C708A1">
        <w:t xml:space="preserve"> [nonpub. opn.]</w:t>
      </w:r>
      <w:r w:rsidR="00D56898">
        <w:t>,</w:t>
      </w:r>
      <w:r w:rsidR="00C708A1">
        <w:t xml:space="preserve"> review granted Jan. 19, 2022, S271828 </w:t>
      </w:r>
      <w:r w:rsidRPr="00247F85">
        <w:t>(</w:t>
      </w:r>
      <w:r w:rsidRPr="00247F85">
        <w:rPr>
          <w:i/>
        </w:rPr>
        <w:t>Catarino</w:t>
      </w:r>
      <w:r w:rsidRPr="00247F85">
        <w:t>).)</w:t>
      </w:r>
    </w:p>
  </w:footnote>
  <w:footnote w:id="6">
    <w:p w:rsidR="000D6310" w:rsidP="00FB1B4A" w14:paraId="7CFEA2C4" w14:textId="5FA3C7CC">
      <w:pPr>
        <w:pStyle w:val="FootnoteText"/>
        <w:spacing w:after="0"/>
      </w:pPr>
      <w:r>
        <w:rPr>
          <w:rStyle w:val="FootnoteReference"/>
        </w:rPr>
        <w:footnoteRef/>
      </w:r>
      <w:r>
        <w:t xml:space="preserve"> Because </w:t>
      </w:r>
      <w:r w:rsidR="00723E55">
        <w:t xml:space="preserve">Sheree </w:t>
      </w:r>
      <w:r>
        <w:t>shared a</w:t>
      </w:r>
      <w:r w:rsidR="00347243">
        <w:t xml:space="preserve"> last</w:t>
      </w:r>
      <w:r>
        <w:t xml:space="preserve"> name</w:t>
      </w:r>
      <w:r w:rsidR="00723E55">
        <w:t xml:space="preserve"> with defendant at the relevant times</w:t>
      </w:r>
      <w:r>
        <w:t xml:space="preserve">, we refer to </w:t>
      </w:r>
      <w:r w:rsidR="00723E55">
        <w:t xml:space="preserve">her </w:t>
      </w:r>
      <w:r>
        <w:t>by first name</w:t>
      </w:r>
      <w:r w:rsidR="002E54E4">
        <w:t xml:space="preserve"> only</w:t>
      </w:r>
      <w:r>
        <w:t>, without intending any disrespect.</w:t>
      </w:r>
    </w:p>
  </w:footnote>
  <w:footnote w:id="7">
    <w:p w:rsidR="00616D1B" w14:paraId="2407F1FE" w14:textId="0EB19030">
      <w:pPr>
        <w:pStyle w:val="FootnoteText"/>
      </w:pPr>
      <w:r>
        <w:rPr>
          <w:rStyle w:val="FootnoteReference"/>
        </w:rPr>
        <w:footnoteRef/>
      </w:r>
      <w:r>
        <w:t xml:space="preserve"> </w:t>
      </w:r>
      <w:r w:rsidR="0026565C">
        <w:t xml:space="preserve">As </w:t>
      </w:r>
      <w:r w:rsidR="00CC62F4">
        <w:t xml:space="preserve">Sheree </w:t>
      </w:r>
      <w:r w:rsidR="0026565C">
        <w:t>recount</w:t>
      </w:r>
      <w:r w:rsidR="00815776">
        <w:t xml:space="preserve">ed </w:t>
      </w:r>
      <w:r w:rsidR="00310B6F">
        <w:t xml:space="preserve">it </w:t>
      </w:r>
      <w:r w:rsidR="0026565C">
        <w:t xml:space="preserve">at trial, </w:t>
      </w:r>
      <w:r w:rsidR="00310B6F">
        <w:t xml:space="preserve">the report was that </w:t>
      </w:r>
      <w:r w:rsidR="00852571">
        <w:t xml:space="preserve">Jane </w:t>
      </w:r>
      <w:r w:rsidR="0026565C">
        <w:t xml:space="preserve">had said </w:t>
      </w:r>
      <w:r w:rsidR="00A27696">
        <w:t xml:space="preserve">that </w:t>
      </w:r>
      <w:r w:rsidR="00CC62F4">
        <w:t xml:space="preserve">she </w:t>
      </w:r>
      <w:r w:rsidR="00A27696">
        <w:t>“</w:t>
      </w:r>
      <w:r w:rsidR="00CC62F4">
        <w:t>used to have naked time with daddy and now she gets to have naked time with daddy at grandma and grandpa’s house.”</w:t>
      </w:r>
      <w:r w:rsidR="0032261D">
        <w:t xml:space="preserve"> </w:t>
      </w:r>
      <w:r w:rsidR="00815776">
        <w:t xml:space="preserve"> </w:t>
      </w:r>
      <w:r w:rsidR="00E90328">
        <w:t>A</w:t>
      </w:r>
      <w:r w:rsidR="001967BC">
        <w:t>fter the officers’ visit,</w:t>
      </w:r>
      <w:r w:rsidR="007E7D66">
        <w:t xml:space="preserve"> </w:t>
      </w:r>
      <w:r w:rsidR="004E1254">
        <w:t xml:space="preserve">Sheree </w:t>
      </w:r>
      <w:r w:rsidR="007E7D66">
        <w:t xml:space="preserve">confirmed </w:t>
      </w:r>
      <w:r w:rsidR="00852571">
        <w:t xml:space="preserve">with </w:t>
      </w:r>
      <w:r w:rsidR="001B7C12">
        <w:t xml:space="preserve">defendant’s parents </w:t>
      </w:r>
      <w:r w:rsidR="00852571">
        <w:t xml:space="preserve">that they </w:t>
      </w:r>
      <w:r w:rsidR="007E7D66">
        <w:t>had not</w:t>
      </w:r>
      <w:r w:rsidR="00E90328">
        <w:t xml:space="preserve"> in fact</w:t>
      </w:r>
      <w:r w:rsidR="00160863">
        <w:t xml:space="preserve"> </w:t>
      </w:r>
      <w:r w:rsidR="00FD2A90">
        <w:t xml:space="preserve">allowed </w:t>
      </w:r>
      <w:r w:rsidR="00852571">
        <w:t>him</w:t>
      </w:r>
      <w:r w:rsidR="0015563C">
        <w:t xml:space="preserve"> </w:t>
      </w:r>
      <w:r w:rsidR="00567D36">
        <w:t>to have</w:t>
      </w:r>
      <w:r w:rsidR="008F31D3">
        <w:t xml:space="preserve"> more than fleeting </w:t>
      </w:r>
      <w:r w:rsidR="007E7D66">
        <w:t>contact with Jane</w:t>
      </w:r>
      <w:r w:rsidR="001E1D64">
        <w:t xml:space="preserve"> </w:t>
      </w:r>
      <w:r w:rsidR="00852571">
        <w:t xml:space="preserve">during </w:t>
      </w:r>
      <w:r w:rsidR="00A84395">
        <w:t>Jane’s</w:t>
      </w:r>
      <w:r w:rsidR="00852571">
        <w:t xml:space="preserve"> </w:t>
      </w:r>
      <w:r w:rsidR="00555196">
        <w:t>period</w:t>
      </w:r>
      <w:r w:rsidR="00852571">
        <w:t>ic</w:t>
      </w:r>
      <w:r w:rsidR="00555196">
        <w:t xml:space="preserve"> </w:t>
      </w:r>
      <w:r w:rsidR="001B7C12">
        <w:t>visit</w:t>
      </w:r>
      <w:r w:rsidR="00852571">
        <w:t>s to</w:t>
      </w:r>
      <w:r w:rsidR="001B7C12">
        <w:t xml:space="preserve"> their home</w:t>
      </w:r>
      <w:r w:rsidR="00923F6B">
        <w:t>.</w:t>
      </w:r>
      <w:r w:rsidR="0032261D">
        <w:t xml:space="preserve"> </w:t>
      </w:r>
      <w:r w:rsidR="00C3348F">
        <w:t xml:space="preserve"> T</w:t>
      </w:r>
      <w:r w:rsidR="007E7D66">
        <w:t>he</w:t>
      </w:r>
      <w:r w:rsidR="00C3348F">
        <w:t xml:space="preserve"> </w:t>
      </w:r>
      <w:r w:rsidR="00E90328">
        <w:t>People have</w:t>
      </w:r>
      <w:r w:rsidR="00C3348F">
        <w:t xml:space="preserve"> </w:t>
      </w:r>
      <w:r w:rsidR="00E90328">
        <w:t xml:space="preserve">not </w:t>
      </w:r>
      <w:r w:rsidR="00C3348F">
        <w:t>allege</w:t>
      </w:r>
      <w:r w:rsidR="00E90328">
        <w:t>d</w:t>
      </w:r>
      <w:r w:rsidR="00C3348F">
        <w:t xml:space="preserve"> </w:t>
      </w:r>
      <w:r w:rsidR="00E90328">
        <w:t xml:space="preserve">any </w:t>
      </w:r>
      <w:r w:rsidR="00555196">
        <w:t xml:space="preserve">further </w:t>
      </w:r>
      <w:r w:rsidR="00FD2A90">
        <w:t xml:space="preserve">abuse after </w:t>
      </w:r>
      <w:r w:rsidR="00C3348F">
        <w:t xml:space="preserve">the </w:t>
      </w:r>
      <w:r w:rsidR="00BD50B9">
        <w:t xml:space="preserve">day </w:t>
      </w:r>
      <w:r w:rsidR="00FD2A90">
        <w:t>Sheree discovered</w:t>
      </w:r>
      <w:r w:rsidR="00536EFF">
        <w:t xml:space="preserve"> defendant and Jane in bed.</w:t>
      </w:r>
    </w:p>
  </w:footnote>
  <w:footnote w:id="8">
    <w:p w:rsidR="008E0972" w14:paraId="4AB20EE1" w14:textId="4CF53D9B">
      <w:pPr>
        <w:pStyle w:val="FootnoteText"/>
      </w:pPr>
      <w:r>
        <w:rPr>
          <w:rStyle w:val="FootnoteReference"/>
        </w:rPr>
        <w:footnoteRef/>
      </w:r>
      <w:r>
        <w:t xml:space="preserve"> “Q:</w:t>
      </w:r>
      <w:r w:rsidR="004A6D37">
        <w:t> </w:t>
      </w:r>
      <w:r w:rsidR="002B16F3">
        <w:t xml:space="preserve">. . . </w:t>
      </w:r>
      <w:r w:rsidRPr="0046134F">
        <w:rPr>
          <w:szCs w:val="26"/>
        </w:rPr>
        <w:t>Did he say something to you that would then</w:t>
      </w:r>
      <w:r>
        <w:t xml:space="preserve"> </w:t>
      </w:r>
      <w:r w:rsidRPr="0046134F">
        <w:rPr>
          <w:szCs w:val="26"/>
        </w:rPr>
        <w:t>have you take your own clothes off or how did that</w:t>
      </w:r>
      <w:r>
        <w:t xml:space="preserve"> </w:t>
      </w:r>
      <w:r w:rsidRPr="0046134F">
        <w:rPr>
          <w:szCs w:val="26"/>
        </w:rPr>
        <w:t>happen</w:t>
      </w:r>
      <w:r>
        <w:t xml:space="preserve">[?] </w:t>
      </w:r>
      <w:r w:rsidR="0080099A">
        <w:t>[¶]</w:t>
      </w:r>
      <w:r w:rsidR="00667251">
        <w:t xml:space="preserve"> </w:t>
      </w:r>
      <w:r w:rsidRPr="0046134F">
        <w:rPr>
          <w:szCs w:val="26"/>
        </w:rPr>
        <w:t>A</w:t>
      </w:r>
      <w:r>
        <w:t>:</w:t>
      </w:r>
      <w:r w:rsidR="00667251">
        <w:t> </w:t>
      </w:r>
      <w:r w:rsidRPr="0046134F">
        <w:rPr>
          <w:szCs w:val="26"/>
        </w:rPr>
        <w:t>He</w:t>
      </w:r>
      <w:r>
        <w:t>’</w:t>
      </w:r>
      <w:r w:rsidRPr="0046134F">
        <w:rPr>
          <w:szCs w:val="26"/>
        </w:rPr>
        <w:t>d say something.</w:t>
      </w:r>
      <w:r w:rsidR="004A6D37">
        <w:rPr>
          <w:szCs w:val="26"/>
        </w:rPr>
        <w:t xml:space="preserve"> </w:t>
      </w:r>
      <w:r w:rsidR="00964169">
        <w:t>[¶]</w:t>
      </w:r>
      <w:r>
        <w:t xml:space="preserve"> </w:t>
      </w:r>
      <w:r w:rsidRPr="0046134F">
        <w:rPr>
          <w:szCs w:val="26"/>
        </w:rPr>
        <w:t>Q</w:t>
      </w:r>
      <w:r>
        <w:t>: </w:t>
      </w:r>
      <w:r w:rsidRPr="0046134F">
        <w:rPr>
          <w:szCs w:val="26"/>
        </w:rPr>
        <w:t>What kind of thing would he say?</w:t>
      </w:r>
      <w:r>
        <w:t xml:space="preserve"> </w:t>
      </w:r>
      <w:r w:rsidR="009A2564">
        <w:t>[¶]</w:t>
      </w:r>
      <w:r w:rsidR="004A6D37">
        <w:t xml:space="preserve"> </w:t>
      </w:r>
      <w:r w:rsidRPr="0046134F">
        <w:rPr>
          <w:szCs w:val="26"/>
        </w:rPr>
        <w:t>A</w:t>
      </w:r>
      <w:r>
        <w:t>: </w:t>
      </w:r>
      <w:r w:rsidRPr="0046134F">
        <w:rPr>
          <w:szCs w:val="26"/>
        </w:rPr>
        <w:t>A threaten.</w:t>
      </w:r>
      <w:r w:rsidR="004A6D37">
        <w:rPr>
          <w:szCs w:val="26"/>
        </w:rPr>
        <w:t xml:space="preserve"> </w:t>
      </w:r>
      <w:r w:rsidR="009A2564">
        <w:t>[¶]</w:t>
      </w:r>
      <w:r>
        <w:t xml:space="preserve"> </w:t>
      </w:r>
      <w:r w:rsidRPr="0046134F">
        <w:rPr>
          <w:szCs w:val="26"/>
        </w:rPr>
        <w:t>Q</w:t>
      </w:r>
      <w:r>
        <w:t>: </w:t>
      </w:r>
      <w:r w:rsidRPr="0046134F">
        <w:rPr>
          <w:szCs w:val="26"/>
        </w:rPr>
        <w:t>He would threaten you?</w:t>
      </w:r>
      <w:r>
        <w:t xml:space="preserve"> </w:t>
      </w:r>
      <w:r w:rsidR="009A2564">
        <w:t>[¶]</w:t>
      </w:r>
      <w:r w:rsidR="004A6D37">
        <w:t xml:space="preserve"> </w:t>
      </w:r>
      <w:r w:rsidRPr="0046134F">
        <w:rPr>
          <w:szCs w:val="26"/>
        </w:rPr>
        <w:t>A</w:t>
      </w:r>
      <w:r>
        <w:t>: </w:t>
      </w:r>
      <w:r w:rsidRPr="0046134F">
        <w:rPr>
          <w:szCs w:val="26"/>
        </w:rPr>
        <w:t>(The witness nods her head.)</w:t>
      </w:r>
      <w:r w:rsidR="004A6D37">
        <w:rPr>
          <w:szCs w:val="26"/>
        </w:rPr>
        <w:t xml:space="preserve"> </w:t>
      </w:r>
      <w:r w:rsidR="00990718">
        <w:t>[¶]</w:t>
      </w:r>
      <w:r>
        <w:t xml:space="preserve"> </w:t>
      </w:r>
      <w:r w:rsidRPr="0046134F">
        <w:rPr>
          <w:szCs w:val="26"/>
        </w:rPr>
        <w:t>Q</w:t>
      </w:r>
      <w:r>
        <w:t>: . . .</w:t>
      </w:r>
      <w:r w:rsidR="00AA1CD7">
        <w:t xml:space="preserve"> </w:t>
      </w:r>
      <w:r w:rsidR="00B5214A">
        <w:rPr>
          <w:szCs w:val="26"/>
        </w:rPr>
        <w:t>[W]</w:t>
      </w:r>
      <w:r w:rsidRPr="0046134F">
        <w:rPr>
          <w:szCs w:val="26"/>
        </w:rPr>
        <w:t>hat do you mean by that?</w:t>
      </w:r>
      <w:r w:rsidR="00AA1CD7">
        <w:rPr>
          <w:szCs w:val="26"/>
        </w:rPr>
        <w:t xml:space="preserve"> </w:t>
      </w:r>
      <w:r>
        <w:t xml:space="preserve"> </w:t>
      </w:r>
      <w:r w:rsidRPr="0046134F">
        <w:rPr>
          <w:szCs w:val="26"/>
        </w:rPr>
        <w:t>Like do you remember any of the things he would say to</w:t>
      </w:r>
      <w:r>
        <w:t xml:space="preserve"> </w:t>
      </w:r>
      <w:r w:rsidRPr="0046134F">
        <w:rPr>
          <w:szCs w:val="26"/>
        </w:rPr>
        <w:t>you that would happen if you didn</w:t>
      </w:r>
      <w:r>
        <w:t>’</w:t>
      </w:r>
      <w:r w:rsidRPr="0046134F">
        <w:rPr>
          <w:szCs w:val="26"/>
        </w:rPr>
        <w:t>t do it?</w:t>
      </w:r>
      <w:r>
        <w:t xml:space="preserve"> </w:t>
      </w:r>
      <w:r w:rsidR="00B659B1">
        <w:t>[¶]</w:t>
      </w:r>
      <w:r w:rsidR="00AA1CD7">
        <w:t xml:space="preserve"> </w:t>
      </w:r>
      <w:r w:rsidRPr="0046134F">
        <w:rPr>
          <w:szCs w:val="26"/>
        </w:rPr>
        <w:t>A</w:t>
      </w:r>
      <w:r>
        <w:t>:</w:t>
      </w:r>
      <w:r w:rsidR="00AA1CD7">
        <w:rPr>
          <w:szCs w:val="26"/>
        </w:rPr>
        <w:t> </w:t>
      </w:r>
      <w:r w:rsidRPr="0046134F">
        <w:rPr>
          <w:szCs w:val="26"/>
        </w:rPr>
        <w:t>Um</w:t>
      </w:r>
      <w:r>
        <w:t>—</w:t>
      </w:r>
      <w:r w:rsidRPr="0046134F">
        <w:rPr>
          <w:szCs w:val="26"/>
        </w:rPr>
        <w:t>(The witness shakes her head.)</w:t>
      </w:r>
      <w:r w:rsidR="00AA1CD7">
        <w:rPr>
          <w:szCs w:val="26"/>
        </w:rPr>
        <w:t xml:space="preserve"> </w:t>
      </w:r>
      <w:r w:rsidR="00B659B1">
        <w:t>[¶]</w:t>
      </w:r>
      <w:r>
        <w:t xml:space="preserve"> </w:t>
      </w:r>
      <w:r w:rsidRPr="0046134F">
        <w:rPr>
          <w:szCs w:val="26"/>
        </w:rPr>
        <w:t>Q</w:t>
      </w:r>
      <w:r>
        <w:t>: </w:t>
      </w:r>
      <w:r w:rsidRPr="0046134F">
        <w:rPr>
          <w:szCs w:val="26"/>
        </w:rPr>
        <w:t>Did he ever say that somebody could get in</w:t>
      </w:r>
      <w:r>
        <w:t xml:space="preserve"> </w:t>
      </w:r>
      <w:r w:rsidRPr="0046134F">
        <w:rPr>
          <w:szCs w:val="26"/>
        </w:rPr>
        <w:t>trouble?</w:t>
      </w:r>
      <w:r>
        <w:t xml:space="preserve"> </w:t>
      </w:r>
      <w:r w:rsidR="00B659B1">
        <w:t>[¶]</w:t>
      </w:r>
      <w:r w:rsidR="00AA1CD7">
        <w:t xml:space="preserve"> </w:t>
      </w:r>
      <w:r w:rsidRPr="0046134F">
        <w:rPr>
          <w:szCs w:val="26"/>
        </w:rPr>
        <w:t>A</w:t>
      </w:r>
      <w:r>
        <w:t>: </w:t>
      </w:r>
      <w:r w:rsidRPr="0046134F">
        <w:rPr>
          <w:szCs w:val="26"/>
        </w:rPr>
        <w:t>Yeah.</w:t>
      </w:r>
      <w:r w:rsidR="00AA1CD7">
        <w:rPr>
          <w:szCs w:val="26"/>
        </w:rPr>
        <w:t xml:space="preserve"> </w:t>
      </w:r>
      <w:r w:rsidR="00B659B1">
        <w:t>[¶]</w:t>
      </w:r>
      <w:r>
        <w:t xml:space="preserve"> </w:t>
      </w:r>
      <w:r w:rsidRPr="0046134F">
        <w:rPr>
          <w:szCs w:val="26"/>
        </w:rPr>
        <w:t>Q</w:t>
      </w:r>
      <w:r>
        <w:t>: </w:t>
      </w:r>
      <w:r w:rsidRPr="0046134F">
        <w:rPr>
          <w:szCs w:val="26"/>
        </w:rPr>
        <w:t>Did he say that you would get in trouble or</w:t>
      </w:r>
      <w:r>
        <w:t xml:space="preserve"> </w:t>
      </w:r>
      <w:r w:rsidRPr="0046134F">
        <w:rPr>
          <w:szCs w:val="26"/>
        </w:rPr>
        <w:t>somebody else?</w:t>
      </w:r>
      <w:r>
        <w:t xml:space="preserve"> </w:t>
      </w:r>
      <w:r w:rsidR="00B659B1">
        <w:t>[¶]</w:t>
      </w:r>
      <w:r w:rsidR="00AA1CD7">
        <w:t xml:space="preserve"> </w:t>
      </w:r>
      <w:r w:rsidRPr="0046134F">
        <w:rPr>
          <w:szCs w:val="26"/>
        </w:rPr>
        <w:t>A</w:t>
      </w:r>
      <w:r>
        <w:t>: I</w:t>
      </w:r>
      <w:r w:rsidR="005A17CD">
        <w:rPr>
          <w:szCs w:val="26"/>
        </w:rPr>
        <w:t> </w:t>
      </w:r>
      <w:r w:rsidRPr="0046134F">
        <w:rPr>
          <w:szCs w:val="26"/>
        </w:rPr>
        <w:t>would get in trouble.</w:t>
      </w:r>
      <w:r>
        <w:t xml:space="preserve"> </w:t>
      </w:r>
      <w:r w:rsidR="00B659B1">
        <w:t>[¶]</w:t>
      </w:r>
      <w:r w:rsidR="00AA1CD7">
        <w:t xml:space="preserve"> </w:t>
      </w:r>
      <w:r w:rsidRPr="0046134F">
        <w:rPr>
          <w:szCs w:val="26"/>
        </w:rPr>
        <w:t>Q That you would get in trouble if you didn</w:t>
      </w:r>
      <w:r>
        <w:t>’</w:t>
      </w:r>
      <w:r w:rsidRPr="0046134F">
        <w:rPr>
          <w:szCs w:val="26"/>
        </w:rPr>
        <w:t>t</w:t>
      </w:r>
      <w:r>
        <w:t xml:space="preserve"> </w:t>
      </w:r>
      <w:r w:rsidRPr="0046134F">
        <w:rPr>
          <w:szCs w:val="26"/>
        </w:rPr>
        <w:t>take off your clothes and do that?</w:t>
      </w:r>
      <w:r w:rsidR="00AA1CD7">
        <w:rPr>
          <w:szCs w:val="26"/>
        </w:rPr>
        <w:t xml:space="preserve"> </w:t>
      </w:r>
      <w:r w:rsidR="009B643D">
        <w:t>[¶]</w:t>
      </w:r>
      <w:r>
        <w:t xml:space="preserve"> </w:t>
      </w:r>
      <w:r w:rsidRPr="0046134F">
        <w:rPr>
          <w:szCs w:val="26"/>
        </w:rPr>
        <w:t>A</w:t>
      </w:r>
      <w:r>
        <w:t>:</w:t>
      </w:r>
      <w:r w:rsidR="00AA1CD7">
        <w:rPr>
          <w:szCs w:val="26"/>
        </w:rPr>
        <w:t> </w:t>
      </w:r>
      <w:r w:rsidRPr="0046134F">
        <w:rPr>
          <w:szCs w:val="26"/>
        </w:rPr>
        <w:t>(The witness nods her head.)</w:t>
      </w:r>
      <w:r w:rsidR="00AA1CD7">
        <w:rPr>
          <w:szCs w:val="26"/>
        </w:rPr>
        <w:t xml:space="preserve"> </w:t>
      </w:r>
      <w:r w:rsidR="009B643D">
        <w:t>[¶]</w:t>
      </w:r>
      <w:r>
        <w:t xml:space="preserve"> </w:t>
      </w:r>
      <w:r w:rsidRPr="0046134F">
        <w:rPr>
          <w:szCs w:val="26"/>
        </w:rPr>
        <w:t>Q</w:t>
      </w:r>
      <w:r>
        <w:t>:</w:t>
      </w:r>
      <w:r w:rsidR="00AA1CD7">
        <w:rPr>
          <w:szCs w:val="26"/>
        </w:rPr>
        <w:t> </w:t>
      </w:r>
      <w:r w:rsidRPr="0046134F">
        <w:rPr>
          <w:szCs w:val="26"/>
        </w:rPr>
        <w:t>Is</w:t>
      </w:r>
      <w:r w:rsidR="005A17CD">
        <w:rPr>
          <w:szCs w:val="26"/>
        </w:rPr>
        <w:t> </w:t>
      </w:r>
      <w:r w:rsidRPr="0046134F">
        <w:rPr>
          <w:szCs w:val="26"/>
        </w:rPr>
        <w:t>that a yes?</w:t>
      </w:r>
      <w:r w:rsidR="00AA1CD7">
        <w:rPr>
          <w:szCs w:val="26"/>
        </w:rPr>
        <w:t xml:space="preserve"> </w:t>
      </w:r>
      <w:r w:rsidR="005A17CD">
        <w:t>[¶]</w:t>
      </w:r>
      <w:r>
        <w:t xml:space="preserve"> </w:t>
      </w:r>
      <w:r w:rsidRPr="0046134F">
        <w:rPr>
          <w:szCs w:val="26"/>
        </w:rPr>
        <w:t>A</w:t>
      </w:r>
      <w:r>
        <w:t>:</w:t>
      </w:r>
      <w:r w:rsidR="00AA1CD7">
        <w:rPr>
          <w:szCs w:val="26"/>
        </w:rPr>
        <w:t> </w:t>
      </w:r>
      <w:r w:rsidRPr="0046134F">
        <w:rPr>
          <w:szCs w:val="26"/>
        </w:rPr>
        <w:t>Yes.</w:t>
      </w:r>
      <w:r>
        <w:t>”</w:t>
      </w:r>
    </w:p>
  </w:footnote>
  <w:footnote w:id="9">
    <w:p w:rsidR="00333209" w:rsidP="000C612C" w14:paraId="6ACD15C9" w14:textId="07834368">
      <w:pPr>
        <w:spacing w:line="240" w:lineRule="auto"/>
      </w:pPr>
      <w:r>
        <w:rPr>
          <w:rStyle w:val="FootnoteReference"/>
        </w:rPr>
        <w:footnoteRef/>
      </w:r>
      <w:r>
        <w:t xml:space="preserve"> </w:t>
      </w:r>
      <w:r w:rsidRPr="00CF27CF" w:rsidR="00203E97">
        <w:rPr>
          <w:spacing w:val="-2"/>
        </w:rPr>
        <w:t>After</w:t>
      </w:r>
      <w:r w:rsidRPr="00CF27CF" w:rsidR="0075025B">
        <w:rPr>
          <w:spacing w:val="-2"/>
        </w:rPr>
        <w:t xml:space="preserve"> </w:t>
      </w:r>
      <w:r w:rsidRPr="00CF27CF">
        <w:rPr>
          <w:spacing w:val="-2"/>
        </w:rPr>
        <w:t xml:space="preserve">the </w:t>
      </w:r>
      <w:r w:rsidRPr="00CF27CF" w:rsidR="003B412E">
        <w:rPr>
          <w:spacing w:val="-2"/>
        </w:rPr>
        <w:t xml:space="preserve">prosecutor </w:t>
      </w:r>
      <w:r w:rsidRPr="00CF27CF">
        <w:rPr>
          <w:spacing w:val="-2"/>
        </w:rPr>
        <w:t>object</w:t>
      </w:r>
      <w:r w:rsidRPr="00CF27CF" w:rsidR="003B412E">
        <w:rPr>
          <w:spacing w:val="-2"/>
        </w:rPr>
        <w:t>ed</w:t>
      </w:r>
      <w:r w:rsidRPr="00CF27CF">
        <w:rPr>
          <w:spacing w:val="-2"/>
        </w:rPr>
        <w:t xml:space="preserve"> </w:t>
      </w:r>
      <w:r w:rsidRPr="00CF27CF" w:rsidR="003B412E">
        <w:rPr>
          <w:spacing w:val="-2"/>
        </w:rPr>
        <w:t xml:space="preserve">under </w:t>
      </w:r>
      <w:r w:rsidRPr="00CF27CF">
        <w:rPr>
          <w:spacing w:val="-2"/>
        </w:rPr>
        <w:t>Evidence Code section 782</w:t>
      </w:r>
      <w:r w:rsidRPr="00CF27CF" w:rsidR="004C6A0C">
        <w:rPr>
          <w:spacing w:val="-2"/>
        </w:rPr>
        <w:t xml:space="preserve"> (section</w:t>
      </w:r>
      <w:r w:rsidR="004C6A0C">
        <w:t xml:space="preserve"> 782)</w:t>
      </w:r>
      <w:r>
        <w:t xml:space="preserve">, </w:t>
      </w:r>
      <w:r w:rsidRPr="008F1A58">
        <w:t xml:space="preserve">which requires </w:t>
      </w:r>
      <w:r>
        <w:t xml:space="preserve">a </w:t>
      </w:r>
      <w:r w:rsidRPr="008F1A58">
        <w:t>defen</w:t>
      </w:r>
      <w:r>
        <w:t xml:space="preserve">dant </w:t>
      </w:r>
      <w:r w:rsidRPr="008F1A58">
        <w:t>seek</w:t>
      </w:r>
      <w:r>
        <w:t xml:space="preserve">ing </w:t>
      </w:r>
      <w:r w:rsidRPr="008F1A58">
        <w:t>to offer “evidence of sexual conduct of the complaining witness . . . to attack the credibility of [that] witness” to file a written</w:t>
      </w:r>
      <w:r w:rsidRPr="008F1A58">
        <w:rPr>
          <w:szCs w:val="28"/>
        </w:rPr>
        <w:t xml:space="preserve"> motion with a sealed offer of proof </w:t>
      </w:r>
      <w:r w:rsidR="00BC5602">
        <w:rPr>
          <w:szCs w:val="28"/>
        </w:rPr>
        <w:t>as to</w:t>
      </w:r>
      <w:r>
        <w:rPr>
          <w:szCs w:val="28"/>
        </w:rPr>
        <w:t xml:space="preserve"> the </w:t>
      </w:r>
      <w:r w:rsidRPr="008F1A58">
        <w:rPr>
          <w:szCs w:val="28"/>
        </w:rPr>
        <w:t xml:space="preserve">relevance </w:t>
      </w:r>
      <w:r>
        <w:rPr>
          <w:szCs w:val="28"/>
        </w:rPr>
        <w:t>of</w:t>
      </w:r>
      <w:r w:rsidRPr="008F1A58">
        <w:rPr>
          <w:szCs w:val="28"/>
        </w:rPr>
        <w:t xml:space="preserve"> the evidence (</w:t>
      </w:r>
      <w:r w:rsidRPr="00AC1975" w:rsidR="000E0F28">
        <w:rPr>
          <w:i/>
          <w:iCs/>
          <w:szCs w:val="28"/>
        </w:rPr>
        <w:t>id</w:t>
      </w:r>
      <w:r w:rsidR="000E0F28">
        <w:rPr>
          <w:szCs w:val="28"/>
        </w:rPr>
        <w:t xml:space="preserve">., </w:t>
      </w:r>
      <w:r w:rsidRPr="008F1A58">
        <w:rPr>
          <w:szCs w:val="28"/>
        </w:rPr>
        <w:t>§ 782, sub</w:t>
      </w:r>
      <w:r w:rsidR="00FF6401">
        <w:rPr>
          <w:szCs w:val="28"/>
        </w:rPr>
        <w:t>d</w:t>
      </w:r>
      <w:r w:rsidRPr="008F1A58">
        <w:rPr>
          <w:szCs w:val="28"/>
        </w:rPr>
        <w:t>.</w:t>
      </w:r>
      <w:r w:rsidR="00FF6401">
        <w:rPr>
          <w:szCs w:val="28"/>
        </w:rPr>
        <w:t> </w:t>
      </w:r>
      <w:r w:rsidRPr="008F1A58">
        <w:rPr>
          <w:szCs w:val="28"/>
        </w:rPr>
        <w:t>(a)</w:t>
      </w:r>
      <w:r>
        <w:rPr>
          <w:szCs w:val="28"/>
        </w:rPr>
        <w:t xml:space="preserve">), </w:t>
      </w:r>
      <w:r w:rsidRPr="008F1A58">
        <w:rPr>
          <w:szCs w:val="28"/>
        </w:rPr>
        <w:t>defense counsel</w:t>
      </w:r>
      <w:r w:rsidR="00BC5602">
        <w:rPr>
          <w:szCs w:val="28"/>
        </w:rPr>
        <w:t xml:space="preserve"> asked</w:t>
      </w:r>
      <w:r w:rsidR="0075025B">
        <w:rPr>
          <w:szCs w:val="28"/>
        </w:rPr>
        <w:t xml:space="preserve"> </w:t>
      </w:r>
      <w:r w:rsidRPr="008F1A58">
        <w:rPr>
          <w:szCs w:val="28"/>
        </w:rPr>
        <w:t xml:space="preserve">to research </w:t>
      </w:r>
      <w:r w:rsidR="00822636">
        <w:rPr>
          <w:szCs w:val="28"/>
        </w:rPr>
        <w:t xml:space="preserve">section 782 </w:t>
      </w:r>
      <w:r w:rsidR="0075025B">
        <w:rPr>
          <w:szCs w:val="28"/>
        </w:rPr>
        <w:t>over a recess</w:t>
      </w:r>
      <w:r w:rsidRPr="008F1A58">
        <w:rPr>
          <w:szCs w:val="28"/>
        </w:rPr>
        <w:t>.</w:t>
      </w:r>
      <w:r w:rsidR="0098631D">
        <w:rPr>
          <w:szCs w:val="28"/>
        </w:rPr>
        <w:t xml:space="preserve"> </w:t>
      </w:r>
      <w:r w:rsidRPr="0082600E">
        <w:rPr>
          <w:szCs w:val="28"/>
        </w:rPr>
        <w:t xml:space="preserve"> After </w:t>
      </w:r>
      <w:r w:rsidRPr="0082600E" w:rsidR="001445C0">
        <w:rPr>
          <w:szCs w:val="28"/>
        </w:rPr>
        <w:t xml:space="preserve">doing </w:t>
      </w:r>
      <w:r w:rsidRPr="0082600E">
        <w:rPr>
          <w:szCs w:val="28"/>
        </w:rPr>
        <w:t>so, counsel apologized for not having known of the need</w:t>
      </w:r>
      <w:r>
        <w:rPr>
          <w:szCs w:val="28"/>
        </w:rPr>
        <w:t xml:space="preserve"> </w:t>
      </w:r>
      <w:r w:rsidR="0074007E">
        <w:rPr>
          <w:szCs w:val="28"/>
        </w:rPr>
        <w:t xml:space="preserve">for </w:t>
      </w:r>
      <w:r>
        <w:rPr>
          <w:szCs w:val="28"/>
        </w:rPr>
        <w:t xml:space="preserve">a </w:t>
      </w:r>
      <w:r w:rsidRPr="0082600E">
        <w:rPr>
          <w:szCs w:val="28"/>
        </w:rPr>
        <w:t>motion</w:t>
      </w:r>
      <w:r w:rsidRPr="0082600E" w:rsidR="003B412E">
        <w:rPr>
          <w:szCs w:val="28"/>
        </w:rPr>
        <w:t xml:space="preserve"> </w:t>
      </w:r>
      <w:r w:rsidRPr="0082600E" w:rsidR="001445C0">
        <w:rPr>
          <w:szCs w:val="28"/>
        </w:rPr>
        <w:t xml:space="preserve">and </w:t>
      </w:r>
      <w:r w:rsidRPr="0082600E">
        <w:rPr>
          <w:szCs w:val="28"/>
        </w:rPr>
        <w:t xml:space="preserve">explained that he </w:t>
      </w:r>
      <w:r w:rsidRPr="0082600E" w:rsidR="002A1C8C">
        <w:rPr>
          <w:szCs w:val="28"/>
        </w:rPr>
        <w:t xml:space="preserve">had </w:t>
      </w:r>
      <w:r w:rsidRPr="0082600E">
        <w:rPr>
          <w:szCs w:val="28"/>
        </w:rPr>
        <w:t xml:space="preserve">not decided </w:t>
      </w:r>
      <w:r w:rsidRPr="0082600E" w:rsidR="00D41A5A">
        <w:rPr>
          <w:szCs w:val="28"/>
        </w:rPr>
        <w:t xml:space="preserve">that </w:t>
      </w:r>
      <w:r w:rsidRPr="0082600E">
        <w:rPr>
          <w:szCs w:val="28"/>
        </w:rPr>
        <w:t>p</w:t>
      </w:r>
      <w:r w:rsidRPr="0082600E" w:rsidR="00264DAA">
        <w:rPr>
          <w:szCs w:val="28"/>
        </w:rPr>
        <w:t>ast</w:t>
      </w:r>
      <w:r w:rsidRPr="0082600E">
        <w:rPr>
          <w:szCs w:val="28"/>
        </w:rPr>
        <w:t xml:space="preserve"> abuse might be relevant until </w:t>
      </w:r>
      <w:r w:rsidRPr="0082600E" w:rsidR="003B412E">
        <w:rPr>
          <w:szCs w:val="28"/>
        </w:rPr>
        <w:t xml:space="preserve">he heard </w:t>
      </w:r>
      <w:r w:rsidRPr="0082600E" w:rsidR="002E53AE">
        <w:rPr>
          <w:szCs w:val="28"/>
        </w:rPr>
        <w:t>certain</w:t>
      </w:r>
      <w:r w:rsidRPr="0082600E" w:rsidR="003B412E">
        <w:rPr>
          <w:szCs w:val="28"/>
        </w:rPr>
        <w:t xml:space="preserve"> testimony.</w:t>
      </w:r>
      <w:r w:rsidRPr="0082600E" w:rsidR="002A1C8C">
        <w:rPr>
          <w:szCs w:val="28"/>
        </w:rPr>
        <w:t xml:space="preserve"> </w:t>
      </w:r>
      <w:r>
        <w:rPr>
          <w:szCs w:val="28"/>
        </w:rPr>
        <w:t xml:space="preserve"> The court </w:t>
      </w:r>
      <w:r w:rsidRPr="008F1A58">
        <w:rPr>
          <w:szCs w:val="28"/>
        </w:rPr>
        <w:t xml:space="preserve">sustained the objection </w:t>
      </w:r>
      <w:r>
        <w:rPr>
          <w:szCs w:val="28"/>
        </w:rPr>
        <w:t>to questions about past abuse</w:t>
      </w:r>
      <w:r w:rsidR="00D20C67">
        <w:rPr>
          <w:szCs w:val="28"/>
        </w:rPr>
        <w:t xml:space="preserve"> </w:t>
      </w:r>
      <w:r w:rsidR="008075CF">
        <w:rPr>
          <w:szCs w:val="28"/>
        </w:rPr>
        <w:t>on</w:t>
      </w:r>
      <w:r>
        <w:rPr>
          <w:szCs w:val="28"/>
        </w:rPr>
        <w:t xml:space="preserve"> two </w:t>
      </w:r>
      <w:r w:rsidR="008075CF">
        <w:rPr>
          <w:szCs w:val="28"/>
        </w:rPr>
        <w:t>grounds</w:t>
      </w:r>
      <w:r>
        <w:rPr>
          <w:szCs w:val="28"/>
        </w:rPr>
        <w:t xml:space="preserve">: </w:t>
      </w:r>
      <w:r w:rsidR="00461184">
        <w:rPr>
          <w:szCs w:val="28"/>
        </w:rPr>
        <w:t xml:space="preserve"> </w:t>
      </w:r>
      <w:r w:rsidR="006E493E">
        <w:rPr>
          <w:szCs w:val="28"/>
        </w:rPr>
        <w:t xml:space="preserve">the lack of a </w:t>
      </w:r>
      <w:r w:rsidRPr="008F1A58" w:rsidR="005045B7">
        <w:rPr>
          <w:szCs w:val="28"/>
        </w:rPr>
        <w:t xml:space="preserve">section 782 </w:t>
      </w:r>
      <w:r w:rsidR="00D20C67">
        <w:rPr>
          <w:szCs w:val="28"/>
        </w:rPr>
        <w:t>motion</w:t>
      </w:r>
      <w:r w:rsidR="005045B7">
        <w:rPr>
          <w:szCs w:val="28"/>
        </w:rPr>
        <w:t>,</w:t>
      </w:r>
      <w:r w:rsidR="00D20C67">
        <w:rPr>
          <w:szCs w:val="28"/>
        </w:rPr>
        <w:t xml:space="preserve"> </w:t>
      </w:r>
      <w:r w:rsidRPr="008F1A58">
        <w:rPr>
          <w:szCs w:val="28"/>
        </w:rPr>
        <w:t xml:space="preserve">and </w:t>
      </w:r>
      <w:r w:rsidR="00F27095">
        <w:rPr>
          <w:szCs w:val="28"/>
        </w:rPr>
        <w:t xml:space="preserve">the fact </w:t>
      </w:r>
      <w:r w:rsidR="006E493E">
        <w:rPr>
          <w:szCs w:val="28"/>
        </w:rPr>
        <w:t xml:space="preserve">that </w:t>
      </w:r>
      <w:r w:rsidR="00D20C67">
        <w:rPr>
          <w:szCs w:val="28"/>
        </w:rPr>
        <w:t xml:space="preserve">the </w:t>
      </w:r>
      <w:r w:rsidR="00FC1D3C">
        <w:rPr>
          <w:szCs w:val="28"/>
        </w:rPr>
        <w:t>evidence</w:t>
      </w:r>
      <w:r w:rsidR="005045B7">
        <w:rPr>
          <w:szCs w:val="28"/>
        </w:rPr>
        <w:t xml:space="preserve"> was </w:t>
      </w:r>
      <w:r>
        <w:rPr>
          <w:szCs w:val="28"/>
        </w:rPr>
        <w:t>inadmissib</w:t>
      </w:r>
      <w:r w:rsidR="006E493E">
        <w:rPr>
          <w:szCs w:val="28"/>
        </w:rPr>
        <w:t xml:space="preserve">le </w:t>
      </w:r>
      <w:r>
        <w:rPr>
          <w:szCs w:val="28"/>
        </w:rPr>
        <w:t xml:space="preserve">under </w:t>
      </w:r>
      <w:r w:rsidRPr="008F1A58">
        <w:rPr>
          <w:szCs w:val="28"/>
        </w:rPr>
        <w:t>Evidence Code section 352</w:t>
      </w:r>
      <w:r>
        <w:rPr>
          <w:szCs w:val="28"/>
        </w:rPr>
        <w:t xml:space="preserve"> (section 352)</w:t>
      </w:r>
      <w:r w:rsidR="006E493E">
        <w:rPr>
          <w:szCs w:val="28"/>
        </w:rPr>
        <w:t xml:space="preserve"> because </w:t>
      </w:r>
      <w:r w:rsidR="004A5374">
        <w:rPr>
          <w:szCs w:val="28"/>
        </w:rPr>
        <w:t xml:space="preserve">its </w:t>
      </w:r>
      <w:r w:rsidR="00413476">
        <w:rPr>
          <w:szCs w:val="28"/>
        </w:rPr>
        <w:t xml:space="preserve">likely </w:t>
      </w:r>
      <w:r w:rsidR="004A5374">
        <w:rPr>
          <w:szCs w:val="28"/>
        </w:rPr>
        <w:t xml:space="preserve">prejudice outweighed its </w:t>
      </w:r>
      <w:r w:rsidRPr="008F1A58">
        <w:rPr>
          <w:szCs w:val="28"/>
        </w:rPr>
        <w:t>probative value</w:t>
      </w:r>
      <w:r w:rsidR="004A5374">
        <w:rPr>
          <w:szCs w:val="28"/>
        </w:rPr>
        <w:t>.</w:t>
      </w:r>
      <w:r w:rsidR="00D72026">
        <w:rPr>
          <w:szCs w:val="28"/>
        </w:rPr>
        <w:t xml:space="preserve"> </w:t>
      </w:r>
      <w:r>
        <w:rPr>
          <w:szCs w:val="28"/>
        </w:rPr>
        <w:t xml:space="preserve"> </w:t>
      </w:r>
      <w:r w:rsidR="004A5374">
        <w:rPr>
          <w:szCs w:val="28"/>
        </w:rPr>
        <w:t>On</w:t>
      </w:r>
      <w:r w:rsidR="006E493E">
        <w:rPr>
          <w:szCs w:val="28"/>
        </w:rPr>
        <w:t xml:space="preserve"> defense counsel</w:t>
      </w:r>
      <w:r w:rsidR="004A5374">
        <w:rPr>
          <w:szCs w:val="28"/>
        </w:rPr>
        <w:t>’s</w:t>
      </w:r>
      <w:r w:rsidR="006E493E">
        <w:rPr>
          <w:szCs w:val="28"/>
        </w:rPr>
        <w:t xml:space="preserve"> </w:t>
      </w:r>
      <w:r w:rsidRPr="0082600E" w:rsidR="00F97239">
        <w:rPr>
          <w:szCs w:val="28"/>
        </w:rPr>
        <w:t>inquir</w:t>
      </w:r>
      <w:r w:rsidRPr="0082600E" w:rsidR="004A5374">
        <w:rPr>
          <w:szCs w:val="28"/>
        </w:rPr>
        <w:t>y</w:t>
      </w:r>
      <w:r w:rsidRPr="0082600E" w:rsidR="00F97239">
        <w:rPr>
          <w:szCs w:val="28"/>
        </w:rPr>
        <w:t>, t</w:t>
      </w:r>
      <w:r w:rsidRPr="0082600E">
        <w:rPr>
          <w:szCs w:val="28"/>
        </w:rPr>
        <w:t xml:space="preserve">he court </w:t>
      </w:r>
      <w:r w:rsidRPr="0082600E" w:rsidR="00F97239">
        <w:rPr>
          <w:szCs w:val="28"/>
        </w:rPr>
        <w:t xml:space="preserve">clarified </w:t>
      </w:r>
      <w:r w:rsidRPr="0082600E">
        <w:rPr>
          <w:szCs w:val="28"/>
        </w:rPr>
        <w:t>that request</w:t>
      </w:r>
      <w:r w:rsidRPr="0082600E" w:rsidR="00A73482">
        <w:rPr>
          <w:szCs w:val="28"/>
        </w:rPr>
        <w:t>ing</w:t>
      </w:r>
      <w:r w:rsidRPr="0082600E">
        <w:rPr>
          <w:szCs w:val="28"/>
        </w:rPr>
        <w:t xml:space="preserve"> a continuance to file a section 782</w:t>
      </w:r>
      <w:r w:rsidRPr="008F1A58">
        <w:rPr>
          <w:szCs w:val="28"/>
        </w:rPr>
        <w:t xml:space="preserve"> motion would be </w:t>
      </w:r>
      <w:r>
        <w:rPr>
          <w:szCs w:val="28"/>
        </w:rPr>
        <w:t xml:space="preserve">futile because </w:t>
      </w:r>
      <w:r w:rsidR="0010242A">
        <w:rPr>
          <w:szCs w:val="28"/>
        </w:rPr>
        <w:t>the court</w:t>
      </w:r>
      <w:r>
        <w:rPr>
          <w:szCs w:val="28"/>
        </w:rPr>
        <w:t xml:space="preserve"> still would </w:t>
      </w:r>
      <w:r w:rsidR="00F97239">
        <w:rPr>
          <w:szCs w:val="28"/>
        </w:rPr>
        <w:t xml:space="preserve">sustain </w:t>
      </w:r>
      <w:r>
        <w:rPr>
          <w:szCs w:val="28"/>
        </w:rPr>
        <w:t>the objection based on</w:t>
      </w:r>
      <w:r w:rsidRPr="008F1A58">
        <w:rPr>
          <w:szCs w:val="28"/>
        </w:rPr>
        <w:t xml:space="preserve"> section 352</w:t>
      </w:r>
      <w:r>
        <w:rPr>
          <w:szCs w:val="28"/>
        </w:rPr>
        <w:t xml:space="preserve"> alone</w:t>
      </w:r>
      <w:r w:rsidRPr="008F1A58">
        <w:t>.</w:t>
      </w:r>
      <w:r w:rsidR="00D72026">
        <w:t xml:space="preserve"> </w:t>
      </w:r>
      <w:r w:rsidR="00F97239">
        <w:t xml:space="preserve"> </w:t>
      </w:r>
      <w:r w:rsidR="005045B7">
        <w:t>D</w:t>
      </w:r>
      <w:r w:rsidR="00F97239">
        <w:t>efen</w:t>
      </w:r>
      <w:r w:rsidR="001B716B">
        <w:t xml:space="preserve">dant </w:t>
      </w:r>
      <w:r w:rsidR="00F97239">
        <w:t xml:space="preserve">was not </w:t>
      </w:r>
      <w:r w:rsidR="00413476">
        <w:t>oblig</w:t>
      </w:r>
      <w:r w:rsidR="00F97239">
        <w:t xml:space="preserve">ed to </w:t>
      </w:r>
      <w:r w:rsidR="0010242A">
        <w:t xml:space="preserve">then </w:t>
      </w:r>
      <w:r w:rsidR="00413476">
        <w:t>perform</w:t>
      </w:r>
      <w:r w:rsidR="00F97239">
        <w:t xml:space="preserve"> the idle act of requesting a </w:t>
      </w:r>
      <w:r w:rsidR="004C6A0C">
        <w:t xml:space="preserve">continuance and filing a </w:t>
      </w:r>
      <w:r w:rsidR="001B716B">
        <w:t xml:space="preserve">motion </w:t>
      </w:r>
      <w:r w:rsidR="006A5899">
        <w:t xml:space="preserve">under section 782 </w:t>
      </w:r>
      <w:r w:rsidR="001B716B">
        <w:t>that</w:t>
      </w:r>
      <w:r w:rsidR="0022717C">
        <w:t>, even if granted,</w:t>
      </w:r>
      <w:r w:rsidR="001B716B">
        <w:t xml:space="preserve"> </w:t>
      </w:r>
      <w:r w:rsidR="001B0FC3">
        <w:t>c</w:t>
      </w:r>
      <w:r w:rsidR="001B716B">
        <w:t xml:space="preserve">ould not </w:t>
      </w:r>
      <w:r w:rsidR="00F714E1">
        <w:t xml:space="preserve">lead to </w:t>
      </w:r>
      <w:r w:rsidR="001B716B">
        <w:t>admission of the evidence</w:t>
      </w:r>
      <w:r w:rsidR="005045B7">
        <w:t>.</w:t>
      </w:r>
      <w:r w:rsidR="00D72026">
        <w:t xml:space="preserve"> </w:t>
      </w:r>
      <w:r w:rsidR="001B716B">
        <w:t xml:space="preserve"> (</w:t>
      </w:r>
      <w:r w:rsidR="0022717C">
        <w:t>Civ. Code, § </w:t>
      </w:r>
      <w:r w:rsidR="00E46461">
        <w:t xml:space="preserve">3532 </w:t>
      </w:r>
      <w:r w:rsidR="00FB0508">
        <w:t>[</w:t>
      </w:r>
      <w:r w:rsidRPr="00E46461" w:rsidR="00E46461">
        <w:t>“The</w:t>
      </w:r>
      <w:r w:rsidR="00D72026">
        <w:t xml:space="preserve"> </w:t>
      </w:r>
      <w:r w:rsidRPr="00E46461" w:rsidR="00E46461">
        <w:t>law</w:t>
      </w:r>
      <w:r w:rsidR="00D72026">
        <w:t xml:space="preserve"> </w:t>
      </w:r>
      <w:r w:rsidRPr="00E46461" w:rsidR="00E46461">
        <w:t>neither does nor requires</w:t>
      </w:r>
      <w:r w:rsidR="00D72026">
        <w:t xml:space="preserve"> </w:t>
      </w:r>
      <w:r w:rsidRPr="00E46461" w:rsidR="00E46461">
        <w:t>idle</w:t>
      </w:r>
      <w:r w:rsidR="00D72026">
        <w:t xml:space="preserve"> </w:t>
      </w:r>
      <w:r w:rsidRPr="00E46461" w:rsidR="00E46461">
        <w:t>acts”</w:t>
      </w:r>
      <w:r w:rsidR="00FB0508">
        <w:t>]</w:t>
      </w:r>
      <w:r w:rsidR="00B11213">
        <w:t xml:space="preserve">; </w:t>
      </w:r>
      <w:r w:rsidRPr="0082600E" w:rsidR="00B11213">
        <w:t>see</w:t>
      </w:r>
      <w:r w:rsidRPr="0082600E" w:rsidR="00F714E1">
        <w:t xml:space="preserve"> </w:t>
      </w:r>
      <w:r w:rsidRPr="0082600E" w:rsidR="00B11213">
        <w:rPr>
          <w:i/>
        </w:rPr>
        <w:t>People v. Ayala</w:t>
      </w:r>
      <w:r w:rsidRPr="0082600E" w:rsidR="00B11213">
        <w:t xml:space="preserve"> (2000) </w:t>
      </w:r>
      <w:r w:rsidRPr="0082600E" w:rsidR="00D21409">
        <w:t>23</w:t>
      </w:r>
      <w:r w:rsidRPr="0082600E" w:rsidR="00F714E1">
        <w:t> </w:t>
      </w:r>
      <w:r w:rsidRPr="0082600E" w:rsidR="00D21409">
        <w:t xml:space="preserve">Cal.4th 225, </w:t>
      </w:r>
      <w:r w:rsidR="00BB23EA">
        <w:br/>
      </w:r>
      <w:r w:rsidRPr="0082600E" w:rsidR="00D21409">
        <w:t>263–264</w:t>
      </w:r>
      <w:r w:rsidRPr="0082600E" w:rsidR="00D21409">
        <w:rPr>
          <w:i/>
        </w:rPr>
        <w:t>.</w:t>
      </w:r>
      <w:r w:rsidRPr="0082600E" w:rsidR="001B716B">
        <w:t xml:space="preserve">) </w:t>
      </w:r>
      <w:r w:rsidRPr="0082600E" w:rsidR="00B5479F">
        <w:t xml:space="preserve"> </w:t>
      </w:r>
      <w:r w:rsidRPr="0082600E" w:rsidR="00F61565">
        <w:t>T</w:t>
      </w:r>
      <w:r w:rsidRPr="0082600E" w:rsidR="001B716B">
        <w:t xml:space="preserve">he exclusion of </w:t>
      </w:r>
      <w:r w:rsidRPr="0082600E" w:rsidR="00C863CC">
        <w:t>potential</w:t>
      </w:r>
      <w:r w:rsidR="004325B0">
        <w:t xml:space="preserve"> </w:t>
      </w:r>
      <w:r w:rsidR="00FF4644">
        <w:t>past-abuse</w:t>
      </w:r>
      <w:r w:rsidR="001B716B">
        <w:t xml:space="preserve"> evidence can </w:t>
      </w:r>
      <w:r w:rsidR="00F61565">
        <w:t xml:space="preserve">thus </w:t>
      </w:r>
      <w:r w:rsidR="001B716B">
        <w:t xml:space="preserve">be </w:t>
      </w:r>
      <w:r w:rsidR="00EA26D4">
        <w:t>uphel</w:t>
      </w:r>
      <w:r w:rsidR="001B716B">
        <w:t>d</w:t>
      </w:r>
      <w:r w:rsidR="00F714E1">
        <w:t xml:space="preserve"> on appeal</w:t>
      </w:r>
      <w:r w:rsidR="001B716B">
        <w:t xml:space="preserve"> only under section</w:t>
      </w:r>
      <w:r w:rsidR="007B2A19">
        <w:t> </w:t>
      </w:r>
      <w:r w:rsidR="001B716B">
        <w:t>352.</w:t>
      </w:r>
    </w:p>
  </w:footnote>
  <w:footnote w:id="10">
    <w:p w:rsidR="00D70F27" w:rsidP="00D70F27" w14:paraId="0BC8023E" w14:textId="4CE284AD">
      <w:pPr>
        <w:pStyle w:val="FootnoteText"/>
      </w:pPr>
      <w:r>
        <w:rPr>
          <w:rStyle w:val="FootnoteReference"/>
        </w:rPr>
        <w:footnoteRef/>
      </w:r>
      <w:r>
        <w:t xml:space="preserve"> Defendant’s brief </w:t>
      </w:r>
      <w:r w:rsidR="003F5E9D">
        <w:t>concludes with a blanket c</w:t>
      </w:r>
      <w:r w:rsidR="00DF11B0">
        <w:t>laim</w:t>
      </w:r>
      <w:r w:rsidR="003F5E9D">
        <w:t xml:space="preserve"> that, insofar as </w:t>
      </w:r>
      <w:r w:rsidR="00DF11B0">
        <w:t xml:space="preserve">he has </w:t>
      </w:r>
      <w:r w:rsidR="00005176">
        <w:t>forfeit</w:t>
      </w:r>
      <w:r w:rsidR="00DF11B0">
        <w:t xml:space="preserve">ed </w:t>
      </w:r>
      <w:r w:rsidR="003F5E9D">
        <w:t xml:space="preserve">any arguments, he was denied </w:t>
      </w:r>
      <w:r w:rsidR="00FB1C69">
        <w:t xml:space="preserve">his right to </w:t>
      </w:r>
      <w:r w:rsidR="00005176">
        <w:t>effective assistance of counsel.</w:t>
      </w:r>
      <w:r w:rsidR="005E39B6">
        <w:t xml:space="preserve"> </w:t>
      </w:r>
      <w:r w:rsidR="00005176">
        <w:t xml:space="preserve"> (U.S. Const., </w:t>
      </w:r>
      <w:r w:rsidR="007C6546">
        <w:t>6th &amp; 14th A</w:t>
      </w:r>
      <w:r w:rsidR="00005176">
        <w:t>mends</w:t>
      </w:r>
      <w:r w:rsidR="005650BD">
        <w:t>.</w:t>
      </w:r>
      <w:r w:rsidR="00005176">
        <w:t>; Cal. Const., art.</w:t>
      </w:r>
      <w:r w:rsidR="007C6546">
        <w:t> </w:t>
      </w:r>
      <w:r w:rsidR="00005176">
        <w:t>I, § 15.)</w:t>
      </w:r>
      <w:r w:rsidR="007C6546">
        <w:t xml:space="preserve"> </w:t>
      </w:r>
      <w:r w:rsidR="00005176">
        <w:t xml:space="preserve"> </w:t>
      </w:r>
      <w:r>
        <w:t xml:space="preserve">Such a </w:t>
      </w:r>
      <w:r w:rsidRPr="00CC36FD">
        <w:t>c</w:t>
      </w:r>
      <w:r w:rsidRPr="00CC36FD" w:rsidR="00FB1C69">
        <w:t>laim</w:t>
      </w:r>
      <w:r w:rsidRPr="00CC36FD" w:rsidR="00557171">
        <w:t xml:space="preserve"> </w:t>
      </w:r>
      <w:r w:rsidRPr="00CC36FD">
        <w:t>requires</w:t>
      </w:r>
      <w:r w:rsidRPr="00CC36FD" w:rsidR="00557171">
        <w:t xml:space="preserve"> </w:t>
      </w:r>
      <w:r w:rsidRPr="00CC36FD" w:rsidR="00B665C6">
        <w:t xml:space="preserve">a </w:t>
      </w:r>
      <w:r w:rsidRPr="00CC36FD" w:rsidR="00557171">
        <w:t xml:space="preserve">showing </w:t>
      </w:r>
      <w:r w:rsidRPr="00CC36FD">
        <w:t xml:space="preserve">that </w:t>
      </w:r>
      <w:r w:rsidRPr="00CC36FD" w:rsidR="00B132BD">
        <w:t xml:space="preserve">an </w:t>
      </w:r>
      <w:r w:rsidRPr="00CC36FD">
        <w:t>attorney</w:t>
      </w:r>
      <w:r w:rsidRPr="00CC36FD" w:rsidR="00557171">
        <w:t xml:space="preserve">’s </w:t>
      </w:r>
      <w:r w:rsidRPr="00CC36FD">
        <w:t xml:space="preserve">performance </w:t>
      </w:r>
      <w:r w:rsidRPr="00CC36FD" w:rsidR="00243057">
        <w:t xml:space="preserve">both fell short of </w:t>
      </w:r>
      <w:r w:rsidRPr="00D70F27">
        <w:t>reasonabl</w:t>
      </w:r>
      <w:r w:rsidR="00243057">
        <w:t>e</w:t>
      </w:r>
      <w:r w:rsidR="00557171">
        <w:t xml:space="preserve"> </w:t>
      </w:r>
      <w:r w:rsidRPr="00D70F27">
        <w:t>competen</w:t>
      </w:r>
      <w:r w:rsidR="00243057">
        <w:t>ce</w:t>
      </w:r>
      <w:r w:rsidR="009A7297">
        <w:t xml:space="preserve"> </w:t>
      </w:r>
      <w:r w:rsidRPr="00D70F27">
        <w:t>and prejudice</w:t>
      </w:r>
      <w:r w:rsidR="00B801C5">
        <w:t xml:space="preserve">d </w:t>
      </w:r>
      <w:r w:rsidRPr="00D70F27">
        <w:t>the defendant</w:t>
      </w:r>
      <w:r w:rsidR="00557171">
        <w:t>’</w:t>
      </w:r>
      <w:r w:rsidRPr="00D70F27">
        <w:t xml:space="preserve">s case. </w:t>
      </w:r>
      <w:r w:rsidR="007C6546">
        <w:t xml:space="preserve"> </w:t>
      </w:r>
      <w:r w:rsidRPr="00D70F27">
        <w:t>(</w:t>
      </w:r>
      <w:r w:rsidR="000C7D75">
        <w:rPr>
          <w:i/>
          <w:iCs/>
        </w:rPr>
        <w:t xml:space="preserve">Strickland v. Washington </w:t>
      </w:r>
      <w:r w:rsidR="000C7D75">
        <w:t xml:space="preserve">(1984) 466 U.S. 668, </w:t>
      </w:r>
      <w:r w:rsidRPr="00D70F27">
        <w:t>686.)</w:t>
      </w:r>
      <w:r w:rsidR="00857932">
        <w:t xml:space="preserve"> </w:t>
      </w:r>
      <w:r w:rsidR="007C6546">
        <w:t xml:space="preserve"> </w:t>
      </w:r>
      <w:r w:rsidR="00E23E81">
        <w:t>Given t</w:t>
      </w:r>
      <w:r w:rsidR="00857932">
        <w:t xml:space="preserve">he layers of speculation in defendant’s theories about </w:t>
      </w:r>
      <w:r w:rsidR="00350E10">
        <w:t xml:space="preserve">the </w:t>
      </w:r>
      <w:r w:rsidR="00BF2C7C">
        <w:t xml:space="preserve">possible probative value of the </w:t>
      </w:r>
      <w:r w:rsidR="0008636E">
        <w:t xml:space="preserve">potential </w:t>
      </w:r>
      <w:r w:rsidR="00350E10">
        <w:t>evidence</w:t>
      </w:r>
      <w:r w:rsidR="00192755">
        <w:t xml:space="preserve">, as detailed </w:t>
      </w:r>
      <w:r w:rsidR="0008636E">
        <w:t>in text</w:t>
      </w:r>
      <w:r w:rsidR="00192755">
        <w:t>,</w:t>
      </w:r>
      <w:r w:rsidR="0002000A">
        <w:t xml:space="preserve"> </w:t>
      </w:r>
      <w:r w:rsidR="00E23E81">
        <w:t xml:space="preserve">he </w:t>
      </w:r>
      <w:r w:rsidR="0008636E">
        <w:t>is unable to</w:t>
      </w:r>
      <w:r w:rsidR="00E23E81">
        <w:t xml:space="preserve"> </w:t>
      </w:r>
      <w:r w:rsidR="0002000A">
        <w:t>show the requisite prejudice.</w:t>
      </w:r>
    </w:p>
  </w:footnote>
  <w:footnote w:id="11">
    <w:p w:rsidR="00B6061D" w14:paraId="524BB2F4" w14:textId="0441069A">
      <w:pPr>
        <w:pStyle w:val="FootnoteText"/>
      </w:pPr>
      <w:r>
        <w:rPr>
          <w:rStyle w:val="FootnoteReference"/>
        </w:rPr>
        <w:footnoteRef/>
      </w:r>
      <w:r>
        <w:t xml:space="preserve"> Defendant’s </w:t>
      </w:r>
      <w:r w:rsidR="00B9439F">
        <w:t>claim</w:t>
      </w:r>
      <w:r>
        <w:t xml:space="preserve"> fares no better under the </w:t>
      </w:r>
      <w:r w:rsidR="008B01F3">
        <w:t>c</w:t>
      </w:r>
      <w:r>
        <w:t xml:space="preserve">onfrontation or </w:t>
      </w:r>
      <w:r w:rsidR="008B01F3">
        <w:t>d</w:t>
      </w:r>
      <w:r>
        <w:t xml:space="preserve">ue </w:t>
      </w:r>
      <w:r w:rsidR="008B01F3">
        <w:t>p</w:t>
      </w:r>
      <w:r>
        <w:t xml:space="preserve">rocess </w:t>
      </w:r>
      <w:r w:rsidR="008B01F3">
        <w:t>c</w:t>
      </w:r>
      <w:r>
        <w:t xml:space="preserve">lauses. </w:t>
      </w:r>
      <w:r w:rsidR="000335C9">
        <w:t xml:space="preserve"> </w:t>
      </w:r>
      <w:r>
        <w:t xml:space="preserve">To show a violation of the </w:t>
      </w:r>
      <w:r w:rsidRPr="00CC36FD">
        <w:t xml:space="preserve">former, he must establish that, absent a </w:t>
      </w:r>
      <w:r w:rsidRPr="00CC36FD" w:rsidR="005D427C">
        <w:t>limit</w:t>
      </w:r>
      <w:r w:rsidRPr="00CC36FD">
        <w:t xml:space="preserve"> on impeachment</w:t>
      </w:r>
      <w:r>
        <w:t xml:space="preserve">, </w:t>
      </w:r>
      <w:r w:rsidRPr="00451D18">
        <w:t>“</w:t>
      </w:r>
      <w:r w:rsidRPr="00451D18" w:rsidR="00BE4C8C">
        <w:t>[</w:t>
      </w:r>
      <w:r w:rsidRPr="00451D18">
        <w:t>a</w:t>
      </w:r>
      <w:r w:rsidRPr="00451D18" w:rsidR="00BE4C8C">
        <w:t>]</w:t>
      </w:r>
      <w:r w:rsidRPr="00451D18">
        <w:t xml:space="preserve"> reasonable jur</w:t>
      </w:r>
      <w:r w:rsidRPr="00451D18" w:rsidR="00BE4C8C">
        <w:t>y</w:t>
      </w:r>
      <w:r w:rsidRPr="00451D18">
        <w:t xml:space="preserve"> might have received a significantly different impression of </w:t>
      </w:r>
      <w:r w:rsidRPr="00451D18" w:rsidR="00BE4C8C">
        <w:t>[</w:t>
      </w:r>
      <w:r w:rsidRPr="00451D18">
        <w:t>the witness’s</w:t>
      </w:r>
      <w:r w:rsidRPr="00451D18" w:rsidR="00BE4C8C">
        <w:t>]</w:t>
      </w:r>
      <w:r w:rsidRPr="00451D18">
        <w:t xml:space="preserve"> credibility</w:t>
      </w:r>
      <w:r w:rsidR="003732BE">
        <w:t xml:space="preserve"> . . </w:t>
      </w:r>
      <w:r w:rsidR="00163A14">
        <w:t>. </w:t>
      </w:r>
      <w:r w:rsidRPr="00451D18">
        <w:t>.”</w:t>
      </w:r>
      <w:r>
        <w:t xml:space="preserve"> </w:t>
      </w:r>
      <w:r w:rsidR="003C349F">
        <w:t xml:space="preserve"> </w:t>
      </w:r>
      <w:r>
        <w:t>(</w:t>
      </w:r>
      <w:r>
        <w:rPr>
          <w:i/>
          <w:iCs/>
        </w:rPr>
        <w:t xml:space="preserve">Delaware v. Van Arsdall </w:t>
      </w:r>
      <w:r>
        <w:t>(1986) 47</w:t>
      </w:r>
      <w:r w:rsidR="007812D1">
        <w:t>5</w:t>
      </w:r>
      <w:r w:rsidR="0007405E">
        <w:t> </w:t>
      </w:r>
      <w:r>
        <w:t>U.S. 673, 680</w:t>
      </w:r>
      <w:r w:rsidR="002D3173">
        <w:t xml:space="preserve">; see </w:t>
      </w:r>
      <w:r w:rsidR="002D3173">
        <w:rPr>
          <w:i/>
          <w:iCs/>
        </w:rPr>
        <w:t xml:space="preserve">People v. Dyer </w:t>
      </w:r>
      <w:r w:rsidR="002D3173">
        <w:t>(1988) 45</w:t>
      </w:r>
      <w:r w:rsidR="00E36121">
        <w:t> </w:t>
      </w:r>
      <w:r w:rsidR="002D3173">
        <w:t>Cal.3d 26, 48 [</w:t>
      </w:r>
      <w:r w:rsidR="00E36121">
        <w:t>c</w:t>
      </w:r>
      <w:r w:rsidR="00117600">
        <w:t xml:space="preserve">onfrontation </w:t>
      </w:r>
      <w:r w:rsidR="00E36121">
        <w:t>c</w:t>
      </w:r>
      <w:r w:rsidR="00117600">
        <w:t xml:space="preserve">lause </w:t>
      </w:r>
      <w:r w:rsidR="00DE6BAB">
        <w:t>afford</w:t>
      </w:r>
      <w:r w:rsidR="00117600">
        <w:t xml:space="preserve">s </w:t>
      </w:r>
      <w:r w:rsidRPr="002D3173" w:rsidR="002D3173">
        <w:t xml:space="preserve">judges </w:t>
      </w:r>
      <w:r w:rsidR="00117600">
        <w:t>“</w:t>
      </w:r>
      <w:r w:rsidRPr="002D3173" w:rsidR="002D3173">
        <w:t>wide latitude</w:t>
      </w:r>
      <w:r w:rsidR="00BA7FB4">
        <w:t xml:space="preserve">” </w:t>
      </w:r>
      <w:r w:rsidRPr="002D3173" w:rsidR="002D3173">
        <w:t xml:space="preserve">to impose reasonable </w:t>
      </w:r>
      <w:r w:rsidRPr="00CC36FD" w:rsidR="002D3173">
        <w:t xml:space="preserve">limits on cross-examination into potential bias of </w:t>
      </w:r>
      <w:r w:rsidRPr="00CC36FD" w:rsidR="00BA7FB4">
        <w:t xml:space="preserve">prosecution </w:t>
      </w:r>
      <w:r w:rsidRPr="00CC36FD" w:rsidR="002D3173">
        <w:t>witness</w:t>
      </w:r>
      <w:r w:rsidRPr="00CC36FD" w:rsidR="00FD24F2">
        <w:t xml:space="preserve"> </w:t>
      </w:r>
      <w:r w:rsidRPr="00CC36FD" w:rsidR="004C76A9">
        <w:t>to avoid</w:t>
      </w:r>
      <w:r w:rsidRPr="002D3173" w:rsidR="00DE6BAB">
        <w:t xml:space="preserve"> </w:t>
      </w:r>
      <w:r w:rsidRPr="002D3173" w:rsidR="002D3173">
        <w:t xml:space="preserve">prejudice, confusion of issues, or </w:t>
      </w:r>
      <w:r w:rsidR="00A70C00">
        <w:t>questioning</w:t>
      </w:r>
      <w:r w:rsidRPr="002D3173" w:rsidR="002D3173">
        <w:t xml:space="preserve"> that is repetitive</w:t>
      </w:r>
      <w:r w:rsidR="00906C91">
        <w:t xml:space="preserve"> </w:t>
      </w:r>
      <w:r w:rsidRPr="002D3173" w:rsidR="002D3173">
        <w:t>or marginally relevant</w:t>
      </w:r>
      <w:r w:rsidR="00FD6800">
        <w:t>]</w:t>
      </w:r>
      <w:r>
        <w:t xml:space="preserve">.) </w:t>
      </w:r>
      <w:r w:rsidR="00906C91">
        <w:t xml:space="preserve"> </w:t>
      </w:r>
      <w:r w:rsidR="006115C6">
        <w:t xml:space="preserve">A court denies </w:t>
      </w:r>
      <w:r>
        <w:t>due process</w:t>
      </w:r>
      <w:r w:rsidR="006115C6">
        <w:t xml:space="preserve"> if it bars </w:t>
      </w:r>
      <w:r w:rsidR="00F62DAE">
        <w:t xml:space="preserve">a defendant </w:t>
      </w:r>
      <w:r>
        <w:t>from presenting “</w:t>
      </w:r>
      <w:r w:rsidRPr="005935C0">
        <w:t xml:space="preserve">relevant evidence of </w:t>
      </w:r>
      <w:r w:rsidRPr="00072C70">
        <w:rPr>
          <w:i/>
        </w:rPr>
        <w:t>significant</w:t>
      </w:r>
      <w:r>
        <w:t xml:space="preserve"> </w:t>
      </w:r>
      <w:r w:rsidRPr="005935C0">
        <w:t>probative value.”</w:t>
      </w:r>
      <w:r w:rsidR="00906C91">
        <w:t xml:space="preserve"> </w:t>
      </w:r>
      <w:r w:rsidRPr="005935C0">
        <w:t xml:space="preserve"> (</w:t>
      </w:r>
      <w:r w:rsidRPr="005935C0">
        <w:rPr>
          <w:i/>
          <w:iCs/>
        </w:rPr>
        <w:t>People v. Jennings</w:t>
      </w:r>
      <w:r w:rsidRPr="005935C0">
        <w:t xml:space="preserve"> (1991) </w:t>
      </w:r>
      <w:r w:rsidRPr="00CC36FD">
        <w:t>53</w:t>
      </w:r>
      <w:r w:rsidRPr="00CC36FD" w:rsidR="00906C91">
        <w:t> </w:t>
      </w:r>
      <w:r w:rsidRPr="00CC36FD">
        <w:t xml:space="preserve">Cal.3d 334, 372.) </w:t>
      </w:r>
      <w:r w:rsidRPr="00CC36FD" w:rsidR="00906C91">
        <w:t xml:space="preserve"> </w:t>
      </w:r>
      <w:r w:rsidRPr="00CC36FD">
        <w:t xml:space="preserve">For </w:t>
      </w:r>
      <w:r w:rsidRPr="00CC36FD" w:rsidR="00F62DAE">
        <w:t xml:space="preserve">all </w:t>
      </w:r>
      <w:r w:rsidRPr="00CC36FD">
        <w:t xml:space="preserve">the reasons the </w:t>
      </w:r>
      <w:r w:rsidRPr="00CC36FD" w:rsidR="00C7660C">
        <w:t xml:space="preserve">potential </w:t>
      </w:r>
      <w:r w:rsidRPr="00CC36FD">
        <w:t>evidence lacked probative</w:t>
      </w:r>
      <w:r>
        <w:t xml:space="preserve"> value</w:t>
      </w:r>
      <w:r w:rsidRPr="00B449A7">
        <w:t xml:space="preserve"> </w:t>
      </w:r>
      <w:r>
        <w:t>for purposes of section 352</w:t>
      </w:r>
      <w:r w:rsidR="00B44B94">
        <w:t xml:space="preserve">, </w:t>
      </w:r>
      <w:r>
        <w:t xml:space="preserve">it </w:t>
      </w:r>
      <w:r w:rsidR="00C7660C">
        <w:t xml:space="preserve">also </w:t>
      </w:r>
      <w:r>
        <w:t>fell short under those standards.</w:t>
      </w:r>
    </w:p>
  </w:footnote>
  <w:footnote w:id="12">
    <w:p w:rsidR="0020055C" w14:paraId="381FDBFC" w14:textId="454F5554">
      <w:pPr>
        <w:pStyle w:val="FootnoteText"/>
      </w:pPr>
      <w:r>
        <w:rPr>
          <w:rStyle w:val="FootnoteReference"/>
        </w:rPr>
        <w:footnoteRef/>
      </w:r>
      <w:r>
        <w:t xml:space="preserve"> All subsequent citations to rules are to the California Rules of Court.</w:t>
      </w:r>
    </w:p>
  </w:footnote>
  <w:footnote w:id="13">
    <w:p w:rsidR="00B97114" w:rsidP="00326D48" w14:paraId="093C0CFC" w14:textId="1E1FE01B">
      <w:pPr>
        <w:pStyle w:val="FootnoteText"/>
      </w:pPr>
      <w:r>
        <w:rPr>
          <w:rStyle w:val="FootnoteReference"/>
        </w:rPr>
        <w:footnoteRef/>
      </w:r>
      <w:r>
        <w:t xml:space="preserve"> </w:t>
      </w:r>
      <w:r w:rsidRPr="00CC36FD" w:rsidR="009B3B39">
        <w:t>The text of section 667.6(d) strongly implies that the judge, not the jury, must determine if a defendant convicted of multiple crimes committed them on separate occasions:</w:t>
      </w:r>
      <w:r w:rsidRPr="00CC36FD" w:rsidR="00906C91">
        <w:t xml:space="preserve"> </w:t>
      </w:r>
      <w:r w:rsidRPr="00CC36FD" w:rsidR="009B3B39">
        <w:t xml:space="preserve"> “In determining whether crimes against a single victim were committed on separate occasions under this subdivision, </w:t>
      </w:r>
      <w:r w:rsidRPr="00CC36FD" w:rsidR="009B3B39">
        <w:rPr>
          <w:i/>
        </w:rPr>
        <w:t>the court</w:t>
      </w:r>
      <w:r w:rsidRPr="00CC36FD" w:rsidR="009B3B39">
        <w:t xml:space="preserve"> </w:t>
      </w:r>
      <w:r w:rsidRPr="00CC36FD" w:rsidR="009B3B39">
        <w:rPr>
          <w:i/>
        </w:rPr>
        <w:t>shall consider</w:t>
      </w:r>
      <w:r w:rsidRPr="00CC36FD" w:rsidR="009B3B39">
        <w:t xml:space="preserve"> whether, between the commission of one sex crime and another, the defendant had a reasonable opportunity to reflect upon the defendant’s actions and nevertheless resumed sexually assaultive behavior.” </w:t>
      </w:r>
      <w:r w:rsidRPr="00CC36FD" w:rsidR="00906C91">
        <w:t xml:space="preserve"> </w:t>
      </w:r>
      <w:r w:rsidRPr="00CC36FD" w:rsidR="009B3B39">
        <w:t xml:space="preserve">(§ 667.6(d)(2), italics added.) </w:t>
      </w:r>
      <w:r w:rsidRPr="00CC36FD" w:rsidR="00906C91">
        <w:t xml:space="preserve"> </w:t>
      </w:r>
      <w:r w:rsidR="008E274F">
        <w:t>R</w:t>
      </w:r>
      <w:r>
        <w:t>ule</w:t>
      </w:r>
      <w:r w:rsidR="00C07FF1">
        <w:t> </w:t>
      </w:r>
      <w:r>
        <w:t>4.426(a)</w:t>
      </w:r>
      <w:r w:rsidR="009B3B39">
        <w:t xml:space="preserve"> unambiguously confirms that the judge must make those findings: </w:t>
      </w:r>
      <w:r w:rsidR="00C07FF1">
        <w:t xml:space="preserve"> </w:t>
      </w:r>
      <w:r>
        <w:t>“</w:t>
      </w:r>
      <w:r w:rsidRPr="00764294">
        <w:rPr>
          <w:szCs w:val="26"/>
        </w:rPr>
        <w:t>When a defendant has been convicted of multiple violent sex offenses as defined in section 667.6, the sentencing judge must determine whether the crimes involved separate victims or the same victim on separate occasions.</w:t>
      </w:r>
      <w:r w:rsidR="00C07FF1">
        <w:rPr>
          <w:szCs w:val="26"/>
        </w:rPr>
        <w:t xml:space="preserve"> </w:t>
      </w:r>
      <w:r>
        <w:t>[¶] . . . [¶] (2)</w:t>
      </w:r>
      <w:r w:rsidR="00C07FF1">
        <w:t> </w:t>
      </w:r>
      <w:r w:rsidRPr="00107D05">
        <w:rPr>
          <w:i/>
          <w:iCs/>
        </w:rPr>
        <w:t>Same victim, separate occasions</w:t>
      </w:r>
      <w:r>
        <w:t xml:space="preserve">. [¶] </w:t>
      </w:r>
      <w:r w:rsidRPr="001F582D">
        <w:rPr>
          <w:szCs w:val="26"/>
        </w:rPr>
        <w:t>If the crimes were committed against a single victim, the sentencing judge must determine whether the crimes were committed on separate occasions</w:t>
      </w:r>
      <w:r w:rsidR="009B3B39">
        <w:rPr>
          <w:szCs w:val="26"/>
        </w:rPr>
        <w:t>.</w:t>
      </w:r>
      <w:r>
        <w:t>”</w:t>
      </w:r>
    </w:p>
  </w:footnote>
  <w:footnote w:id="14">
    <w:p w:rsidR="00D05669" w:rsidRPr="001E3C85" w:rsidP="00D05669" w14:paraId="42FA2EF5" w14:textId="7BDB7436">
      <w:pPr>
        <w:pStyle w:val="FootnoteText"/>
      </w:pPr>
      <w:r>
        <w:rPr>
          <w:rStyle w:val="FootnoteReference"/>
        </w:rPr>
        <w:footnoteRef/>
      </w:r>
      <w:r>
        <w:t xml:space="preserve"> A year after </w:t>
      </w:r>
      <w:r>
        <w:rPr>
          <w:i/>
          <w:iCs/>
        </w:rPr>
        <w:t>Black</w:t>
      </w:r>
      <w:r>
        <w:t xml:space="preserve">, the </w:t>
      </w:r>
      <w:r w:rsidR="00B02F6E">
        <w:t>c</w:t>
      </w:r>
      <w:r>
        <w:t xml:space="preserve">ourt summarily applied its rule </w:t>
      </w:r>
      <w:r w:rsidRPr="00CC36FD">
        <w:t xml:space="preserve">to reject a claim that a court violated the Sixth Amendment by imposing </w:t>
      </w:r>
      <w:r w:rsidRPr="00DB11C5">
        <w:t>sentences</w:t>
      </w:r>
      <w:r>
        <w:t xml:space="preserve"> </w:t>
      </w:r>
      <w:r w:rsidRPr="00DB11C5">
        <w:t>consecutively</w:t>
      </w:r>
      <w:r>
        <w:t xml:space="preserve"> based </w:t>
      </w:r>
      <w:r w:rsidRPr="00DB11C5">
        <w:t>on factors no</w:t>
      </w:r>
      <w:r>
        <w:t>t</w:t>
      </w:r>
      <w:r w:rsidRPr="00DB11C5">
        <w:t xml:space="preserve"> found by </w:t>
      </w:r>
      <w:r>
        <w:t xml:space="preserve">a </w:t>
      </w:r>
      <w:r w:rsidRPr="00DB11C5">
        <w:t>jury</w:t>
      </w:r>
      <w:r>
        <w:t xml:space="preserve">. </w:t>
      </w:r>
      <w:r w:rsidR="00E65CED">
        <w:t xml:space="preserve"> </w:t>
      </w:r>
      <w:r>
        <w:t>(</w:t>
      </w:r>
      <w:r>
        <w:rPr>
          <w:i/>
          <w:iCs/>
        </w:rPr>
        <w:t>People v. Wilson</w:t>
      </w:r>
      <w:r>
        <w:t xml:space="preserve"> (2008) 44 Cal.4th 758, 813.) </w:t>
      </w:r>
      <w:r w:rsidR="00E65CED">
        <w:t xml:space="preserve"> </w:t>
      </w:r>
      <w:r>
        <w:t xml:space="preserve">And in 2010, the Second District summarily applied </w:t>
      </w:r>
      <w:r>
        <w:rPr>
          <w:i/>
          <w:iCs/>
        </w:rPr>
        <w:t xml:space="preserve">Black </w:t>
      </w:r>
      <w:r>
        <w:t>to reject a Sixth Amendment challenge to the imposition of consecutive terms</w:t>
      </w:r>
      <w:r w:rsidRPr="002E49D9">
        <w:t xml:space="preserve"> </w:t>
      </w:r>
      <w:r>
        <w:t>under section 667.6(d)—but not to the imposition of full terms—based on judicially found facts.</w:t>
      </w:r>
      <w:r w:rsidR="00E65CED">
        <w:t xml:space="preserve"> </w:t>
      </w:r>
      <w:r>
        <w:t xml:space="preserve"> (</w:t>
      </w:r>
      <w:r w:rsidRPr="0046779F">
        <w:rPr>
          <w:i/>
          <w:iCs/>
        </w:rPr>
        <w:t>People v. King</w:t>
      </w:r>
      <w:r w:rsidRPr="0046779F">
        <w:t xml:space="preserve"> (2010) 183</w:t>
      </w:r>
      <w:r w:rsidR="004301B8">
        <w:t> </w:t>
      </w:r>
      <w:r w:rsidRPr="0046779F">
        <w:t>Cal.App.4th 1281, 1324</w:t>
      </w:r>
      <w:r>
        <w:t xml:space="preserve">.) </w:t>
      </w:r>
      <w:r w:rsidR="004301B8">
        <w:t xml:space="preserve"> </w:t>
      </w:r>
      <w:r>
        <w:t>Those opinions add nothing to the analyses in the opinions surveyed in text.</w:t>
      </w:r>
    </w:p>
  </w:footnote>
  <w:footnote w:id="15">
    <w:p w:rsidR="009676A9" w:rsidRPr="00FE26F7" w:rsidP="009676A9" w14:paraId="7CDA9A0D" w14:textId="64B37B1E">
      <w:pPr>
        <w:pStyle w:val="FootnoteText"/>
      </w:pPr>
      <w:r>
        <w:rPr>
          <w:rStyle w:val="FootnoteReference"/>
        </w:rPr>
        <w:footnoteRef/>
      </w:r>
      <w:r>
        <w:t xml:space="preserve"> The references to section 654 are puzzling, as courts decide whether to impose sentences concurrently or consecutively under section 669, not section 654.</w:t>
      </w:r>
      <w:r w:rsidR="005C610E">
        <w:t xml:space="preserve"> </w:t>
      </w:r>
      <w:r>
        <w:t xml:space="preserve"> For our purposes, the salient point is that the </w:t>
      </w:r>
      <w:r w:rsidR="005C610E">
        <w:t>c</w:t>
      </w:r>
      <w:r>
        <w:t xml:space="preserve">ourt </w:t>
      </w:r>
      <w:r w:rsidR="00CF55BA">
        <w:t xml:space="preserve">did no more than </w:t>
      </w:r>
      <w:r>
        <w:t xml:space="preserve">reiterate the </w:t>
      </w:r>
      <w:r w:rsidR="00CF55BA">
        <w:t xml:space="preserve">basic </w:t>
      </w:r>
      <w:r>
        <w:t xml:space="preserve">rule of </w:t>
      </w:r>
      <w:r>
        <w:rPr>
          <w:i/>
          <w:iCs/>
        </w:rPr>
        <w:t xml:space="preserve">Ice </w:t>
      </w:r>
      <w:r>
        <w:t xml:space="preserve">and </w:t>
      </w:r>
      <w:r>
        <w:rPr>
          <w:i/>
          <w:iCs/>
        </w:rPr>
        <w:t xml:space="preserve">Black </w:t>
      </w:r>
      <w:r>
        <w:t>as to consecutive sentences.</w:t>
      </w:r>
    </w:p>
  </w:footnote>
  <w:footnote w:id="16">
    <w:p w:rsidR="009C30D3" w14:paraId="014A345E" w14:textId="69994EAB">
      <w:pPr>
        <w:pStyle w:val="FootnoteText"/>
      </w:pPr>
      <w:r>
        <w:rPr>
          <w:rStyle w:val="FootnoteReference"/>
        </w:rPr>
        <w:footnoteRef/>
      </w:r>
      <w:r w:rsidR="00D903FA">
        <w:t xml:space="preserve"> </w:t>
      </w:r>
      <w:r w:rsidR="00F93980">
        <w:t>T</w:t>
      </w:r>
      <w:r w:rsidR="002A0E0B">
        <w:t xml:space="preserve">he </w:t>
      </w:r>
      <w:r w:rsidR="005C610E">
        <w:t>c</w:t>
      </w:r>
      <w:r w:rsidR="002A0E0B">
        <w:t xml:space="preserve">ourt’s two </w:t>
      </w:r>
      <w:r w:rsidR="00F93980">
        <w:t xml:space="preserve">significant </w:t>
      </w:r>
      <w:r w:rsidR="002A0E0B">
        <w:t>Sixth Amendment decisions</w:t>
      </w:r>
      <w:r w:rsidR="00F93980">
        <w:t xml:space="preserve"> since </w:t>
      </w:r>
      <w:r w:rsidR="00ED6C23">
        <w:t xml:space="preserve">2013 </w:t>
      </w:r>
      <w:r w:rsidR="00F93980">
        <w:t>do not address</w:t>
      </w:r>
      <w:r w:rsidR="00F93980">
        <w:rPr>
          <w:i/>
          <w:iCs/>
        </w:rPr>
        <w:t xml:space="preserve"> </w:t>
      </w:r>
      <w:r w:rsidR="00ED6C23">
        <w:rPr>
          <w:i/>
          <w:iCs/>
        </w:rPr>
        <w:t>Alleyne</w:t>
      </w:r>
      <w:r w:rsidR="00F93980">
        <w:t>, section 667.6, or the aggregation of multiple sentences</w:t>
      </w:r>
      <w:r w:rsidR="002A0E0B">
        <w:t xml:space="preserve">. </w:t>
      </w:r>
      <w:r w:rsidR="005C610E">
        <w:t xml:space="preserve"> </w:t>
      </w:r>
      <w:r w:rsidR="002A0E0B">
        <w:t>(</w:t>
      </w:r>
      <w:r w:rsidR="002A0E0B">
        <w:rPr>
          <w:i/>
          <w:iCs/>
        </w:rPr>
        <w:t xml:space="preserve">People v. Gallardo </w:t>
      </w:r>
      <w:r w:rsidR="002A0E0B">
        <w:t>(2017) 4 Cal.5th 120, 124</w:t>
      </w:r>
      <w:r w:rsidRPr="00CC36FD" w:rsidR="002A0E0B">
        <w:t>–</w:t>
      </w:r>
      <w:r w:rsidR="002A0E0B">
        <w:t xml:space="preserve">125 [judge </w:t>
      </w:r>
      <w:r w:rsidR="00572D78">
        <w:t>can</w:t>
      </w:r>
      <w:r w:rsidR="002A0E0B">
        <w:t xml:space="preserve">not find disputed facts about the conduct underlying </w:t>
      </w:r>
      <w:r w:rsidR="00F435CB">
        <w:t xml:space="preserve">a </w:t>
      </w:r>
      <w:r w:rsidR="002A0E0B">
        <w:t xml:space="preserve">defendant’s prior convictions to </w:t>
      </w:r>
      <w:r w:rsidR="000F5B16">
        <w:t xml:space="preserve">trigger </w:t>
      </w:r>
      <w:r w:rsidR="002A0E0B">
        <w:t xml:space="preserve">sentencing enhancement based on </w:t>
      </w:r>
      <w:r w:rsidR="00EB5ED8">
        <w:t xml:space="preserve">the </w:t>
      </w:r>
      <w:r w:rsidR="002A0E0B">
        <w:t xml:space="preserve">convictions]; </w:t>
      </w:r>
      <w:r w:rsidR="002A0E0B">
        <w:rPr>
          <w:i/>
          <w:iCs/>
        </w:rPr>
        <w:t xml:space="preserve">People v. Mosley </w:t>
      </w:r>
      <w:r w:rsidR="002A0E0B">
        <w:t>(2015) 60</w:t>
      </w:r>
      <w:r w:rsidR="006D60AC">
        <w:t> </w:t>
      </w:r>
      <w:r w:rsidR="002A0E0B">
        <w:t>Cal.4th 1044, 104</w:t>
      </w:r>
      <w:r w:rsidRPr="00CC36FD" w:rsidR="002A0E0B">
        <w:t>9–</w:t>
      </w:r>
      <w:r w:rsidR="002A0E0B">
        <w:t>1050 [judge does not violate Sixth Amendment by finding facts that subject defendant to sex-offender residency restriction]</w:t>
      </w:r>
      <w:r w:rsidR="00807DD8">
        <w:t>.)</w:t>
      </w:r>
      <w:r w:rsidR="002834B1">
        <w:t xml:space="preserve"> </w:t>
      </w:r>
      <w:r w:rsidR="005C610E">
        <w:t xml:space="preserve"> </w:t>
      </w:r>
      <w:r w:rsidRPr="00B24B65" w:rsidR="00B04841">
        <w:t>I</w:t>
      </w:r>
      <w:r w:rsidRPr="00B24B65">
        <w:t>n</w:t>
      </w:r>
      <w:r w:rsidR="00813F0A">
        <w:t> </w:t>
      </w:r>
      <w:r w:rsidRPr="00B24B65">
        <w:t xml:space="preserve">the case in which our Supreme Court </w:t>
      </w:r>
      <w:r w:rsidR="00F435CB">
        <w:t xml:space="preserve">has </w:t>
      </w:r>
      <w:r w:rsidRPr="00B24B65">
        <w:t>granted review</w:t>
      </w:r>
      <w:r w:rsidRPr="00B24B65" w:rsidR="000135D2">
        <w:t xml:space="preserve"> to address </w:t>
      </w:r>
      <w:r w:rsidR="00D903FA">
        <w:t>whether section 667.6(d)’s “full . . .</w:t>
      </w:r>
      <w:r w:rsidR="005C610E">
        <w:t xml:space="preserve"> </w:t>
      </w:r>
      <w:r w:rsidR="00D903FA">
        <w:t>term” provision violates the Sixth Amendment</w:t>
      </w:r>
      <w:r w:rsidR="00B04841">
        <w:t xml:space="preserve">, the </w:t>
      </w:r>
      <w:r w:rsidR="00235F9D">
        <w:t>C</w:t>
      </w:r>
      <w:r w:rsidR="00B04841">
        <w:t xml:space="preserve">ourt of </w:t>
      </w:r>
      <w:r w:rsidR="00235F9D">
        <w:t>A</w:t>
      </w:r>
      <w:r w:rsidR="00B04841">
        <w:t>ppeal opinion was</w:t>
      </w:r>
      <w:r w:rsidR="007B12EE">
        <w:t xml:space="preserve"> </w:t>
      </w:r>
      <w:r w:rsidR="00A3195A">
        <w:t>un</w:t>
      </w:r>
      <w:r w:rsidR="00B04841">
        <w:t>publi</w:t>
      </w:r>
      <w:r w:rsidR="00A3195A">
        <w:t>shed</w:t>
      </w:r>
      <w:r w:rsidR="00090EE4">
        <w:t xml:space="preserve"> (and did not </w:t>
      </w:r>
      <w:r w:rsidR="00277F89">
        <w:t>reach</w:t>
      </w:r>
      <w:r w:rsidR="00090EE4">
        <w:t xml:space="preserve"> </w:t>
      </w:r>
      <w:r w:rsidR="00D903FA">
        <w:t>th</w:t>
      </w:r>
      <w:r w:rsidR="00277F89">
        <w:t>e</w:t>
      </w:r>
      <w:r w:rsidR="00D903FA">
        <w:t xml:space="preserve"> </w:t>
      </w:r>
      <w:r w:rsidR="00090EE4">
        <w:t>issue)</w:t>
      </w:r>
      <w:r>
        <w:t>.</w:t>
      </w:r>
      <w:r w:rsidR="005C610E">
        <w:t xml:space="preserve"> </w:t>
      </w:r>
      <w:r>
        <w:t xml:space="preserve"> </w:t>
      </w:r>
      <w:r w:rsidRPr="00005D6A">
        <w:t>(</w:t>
      </w:r>
      <w:r w:rsidRPr="00005D6A">
        <w:rPr>
          <w:i/>
        </w:rPr>
        <w:t>Catarino</w:t>
      </w:r>
      <w:r w:rsidRPr="00005D6A" w:rsidR="00EE5748">
        <w:t>,</w:t>
      </w:r>
      <w:r w:rsidRPr="00005D6A" w:rsidR="00EE5748">
        <w:rPr>
          <w:i/>
          <w:iCs/>
        </w:rPr>
        <w:t xml:space="preserve"> supra</w:t>
      </w:r>
      <w:r w:rsidRPr="00005D6A" w:rsidR="00EE5748">
        <w:t>,</w:t>
      </w:r>
      <w:r w:rsidRPr="00005D6A" w:rsidR="00EE5748">
        <w:rPr>
          <w:i/>
          <w:iCs/>
        </w:rPr>
        <w:t xml:space="preserve"> </w:t>
      </w:r>
      <w:r w:rsidRPr="00005D6A" w:rsidR="00C87887">
        <w:t>review grante</w:t>
      </w:r>
      <w:bookmarkStart w:id="1" w:name="2021_Cal._App._Unpub._LEXIS_6472"/>
      <w:r w:rsidR="00936657">
        <w:t>d</w:t>
      </w:r>
      <w:r w:rsidRPr="00005D6A" w:rsidR="005C610E">
        <w:t xml:space="preserve"> [</w:t>
      </w:r>
      <w:r w:rsidRPr="00005D6A">
        <w:rPr>
          <w:szCs w:val="26"/>
        </w:rPr>
        <w:t>2021 Cal.App.Unpub.LEXIS 6472</w:t>
      </w:r>
      <w:bookmarkEnd w:id="1"/>
      <w:r w:rsidRPr="00005D6A" w:rsidR="0066705F">
        <w:t>;</w:t>
      </w:r>
      <w:r w:rsidRPr="00005D6A">
        <w:t xml:space="preserve"> </w:t>
      </w:r>
      <w:r w:rsidRPr="00005D6A">
        <w:rPr>
          <w:szCs w:val="26"/>
        </w:rPr>
        <w:t>2021 WL 4785745</w:t>
      </w:r>
      <w:r w:rsidRPr="00005D6A" w:rsidR="00CE2FE0">
        <w:rPr>
          <w:szCs w:val="26"/>
        </w:rPr>
        <w:t>]</w:t>
      </w:r>
      <w:r w:rsidRPr="00CC36FD">
        <w:t>.)</w:t>
      </w:r>
      <w:r>
        <w:t xml:space="preserve"> </w:t>
      </w:r>
      <w:r w:rsidR="00CE2FE0">
        <w:t xml:space="preserve"> </w:t>
      </w:r>
      <w:r w:rsidR="007B12EE">
        <w:t>O</w:t>
      </w:r>
      <w:r>
        <w:t xml:space="preserve">ur colleagues in Division Two </w:t>
      </w:r>
      <w:r w:rsidR="007B12EE">
        <w:t xml:space="preserve">recently </w:t>
      </w:r>
      <w:r w:rsidRPr="00CC36FD" w:rsidR="00FD291D">
        <w:t>published</w:t>
      </w:r>
      <w:r w:rsidRPr="00CC36FD">
        <w:t xml:space="preserve"> </w:t>
      </w:r>
      <w:r w:rsidRPr="00CC36FD" w:rsidR="00EF3716">
        <w:t xml:space="preserve">an </w:t>
      </w:r>
      <w:r w:rsidRPr="00CC36FD">
        <w:t xml:space="preserve">opinion involving a challenge to sentences </w:t>
      </w:r>
      <w:r w:rsidRPr="00CC36FD" w:rsidR="00575C90">
        <w:t xml:space="preserve">imposed pursuant to </w:t>
      </w:r>
      <w:r>
        <w:t xml:space="preserve">section 667.6(d) </w:t>
      </w:r>
      <w:r w:rsidRPr="00F7748F">
        <w:t>(</w:t>
      </w:r>
      <w:r>
        <w:rPr>
          <w:i/>
          <w:iCs/>
        </w:rPr>
        <w:t>People v. Wandrey</w:t>
      </w:r>
      <w:r>
        <w:t xml:space="preserve"> (2022) 80</w:t>
      </w:r>
      <w:r w:rsidR="00750A88">
        <w:t> </w:t>
      </w:r>
      <w:r>
        <w:t>Cal.App.5th 962, 97</w:t>
      </w:r>
      <w:r w:rsidRPr="00CC36FD">
        <w:t>8</w:t>
      </w:r>
      <w:r>
        <w:t xml:space="preserve">–980, </w:t>
      </w:r>
      <w:r w:rsidRPr="00CC36FD">
        <w:t>rev</w:t>
      </w:r>
      <w:r w:rsidRPr="00CC36FD" w:rsidR="00C221A0">
        <w:t>iew</w:t>
      </w:r>
      <w:r>
        <w:t xml:space="preserve"> granted Sept.</w:t>
      </w:r>
      <w:r w:rsidR="000C6212">
        <w:t> </w:t>
      </w:r>
      <w:r>
        <w:t>28, 2022, S275942</w:t>
      </w:r>
      <w:r w:rsidR="00F27FEB">
        <w:t xml:space="preserve"> [holding case pending</w:t>
      </w:r>
      <w:r w:rsidR="007D138A">
        <w:t xml:space="preserve"> decision in </w:t>
      </w:r>
      <w:r w:rsidRPr="00F27FEB" w:rsidR="00F27FEB">
        <w:rPr>
          <w:i/>
          <w:iCs/>
        </w:rPr>
        <w:t>Catarino</w:t>
      </w:r>
      <w:r w:rsidR="00B24B65">
        <w:t>]</w:t>
      </w:r>
      <w:r w:rsidRPr="00290DEB">
        <w:t>)</w:t>
      </w:r>
      <w:r>
        <w:t xml:space="preserve">, but </w:t>
      </w:r>
      <w:r w:rsidR="00575C90">
        <w:t>th</w:t>
      </w:r>
      <w:r w:rsidR="00CF55BA">
        <w:t>e</w:t>
      </w:r>
      <w:r w:rsidR="00575C90">
        <w:t xml:space="preserve"> opinion</w:t>
      </w:r>
      <w:r>
        <w:t xml:space="preserve"> addresse</w:t>
      </w:r>
      <w:r w:rsidR="00CF24DC">
        <w:t>s</w:t>
      </w:r>
      <w:r>
        <w:t xml:space="preserve"> only </w:t>
      </w:r>
      <w:r w:rsidRPr="00CC36FD">
        <w:t>the constitutionality</w:t>
      </w:r>
      <w:r w:rsidRPr="00CC36FD" w:rsidR="008B709A">
        <w:t xml:space="preserve"> </w:t>
      </w:r>
      <w:r w:rsidRPr="00CC36FD">
        <w:t xml:space="preserve">of </w:t>
      </w:r>
      <w:r w:rsidRPr="00CC36FD" w:rsidR="007B12EE">
        <w:t xml:space="preserve">relying on </w:t>
      </w:r>
      <w:r w:rsidRPr="00CC36FD">
        <w:t>judicial fact</w:t>
      </w:r>
      <w:r w:rsidRPr="00CC36FD" w:rsidR="00F27FEB">
        <w:t>finding</w:t>
      </w:r>
      <w:r w:rsidRPr="00CC36FD">
        <w:t xml:space="preserve"> </w:t>
      </w:r>
      <w:r w:rsidRPr="00CC36FD" w:rsidR="00EB30F7">
        <w:t xml:space="preserve">to </w:t>
      </w:r>
      <w:r w:rsidRPr="00CC36FD">
        <w:t xml:space="preserve">mandate </w:t>
      </w:r>
      <w:r w:rsidRPr="00CC36FD">
        <w:rPr>
          <w:i/>
        </w:rPr>
        <w:t>consecutive</w:t>
      </w:r>
      <w:r>
        <w:t xml:space="preserve"> </w:t>
      </w:r>
      <w:r w:rsidR="00575C90">
        <w:t>terms</w:t>
      </w:r>
      <w:r>
        <w:t>, not</w:t>
      </w:r>
      <w:r w:rsidR="00AE03AA">
        <w:t xml:space="preserve"> </w:t>
      </w:r>
      <w:r w:rsidRPr="000C569B">
        <w:rPr>
          <w:i/>
          <w:iCs/>
        </w:rPr>
        <w:t>full</w:t>
      </w:r>
      <w:r>
        <w:t xml:space="preserve"> </w:t>
      </w:r>
      <w:r w:rsidR="00575C90">
        <w:t>term</w:t>
      </w:r>
      <w:r>
        <w:t>s.</w:t>
      </w:r>
    </w:p>
  </w:footnote>
  <w:footnote w:id="17">
    <w:p w:rsidR="004B0783" w14:paraId="688D4BCD" w14:textId="74A16287">
      <w:pPr>
        <w:pStyle w:val="FootnoteText"/>
      </w:pPr>
      <w:r>
        <w:rPr>
          <w:rStyle w:val="FootnoteReference"/>
        </w:rPr>
        <w:footnoteRef/>
      </w:r>
      <w:r>
        <w:t xml:space="preserve"> While Johnson’s brief </w:t>
      </w:r>
      <w:r w:rsidR="00DD343F">
        <w:t>describes</w:t>
      </w:r>
      <w:r>
        <w:t xml:space="preserve"> the</w:t>
      </w:r>
      <w:r w:rsidR="00776D54">
        <w:t xml:space="preserve"> “separate acts”</w:t>
      </w:r>
      <w:r>
        <w:t xml:space="preserve"> </w:t>
      </w:r>
      <w:r w:rsidR="00776D54">
        <w:t xml:space="preserve">finding </w:t>
      </w:r>
      <w:r w:rsidR="00DD343F">
        <w:t xml:space="preserve">as </w:t>
      </w:r>
      <w:r w:rsidR="00776D54">
        <w:t>having ra</w:t>
      </w:r>
      <w:r w:rsidR="0039546F">
        <w:t>i</w:t>
      </w:r>
      <w:r w:rsidR="00776D54">
        <w:t xml:space="preserve">sed the </w:t>
      </w:r>
      <w:r>
        <w:t>minim</w:t>
      </w:r>
      <w:r w:rsidR="00B549FD">
        <w:t xml:space="preserve">um </w:t>
      </w:r>
      <w:r w:rsidR="00D32400">
        <w:t xml:space="preserve">aggregate </w:t>
      </w:r>
      <w:r w:rsidR="00B549FD">
        <w:t xml:space="preserve">sentence on the </w:t>
      </w:r>
      <w:r w:rsidR="00776D54">
        <w:t>forcible lewd act counts</w:t>
      </w:r>
      <w:r>
        <w:t xml:space="preserve"> </w:t>
      </w:r>
      <w:r w:rsidR="00776D54">
        <w:t xml:space="preserve">from </w:t>
      </w:r>
      <w:r>
        <w:t>“8</w:t>
      </w:r>
      <w:r w:rsidR="00776D54">
        <w:t> </w:t>
      </w:r>
      <w:r>
        <w:t>years</w:t>
      </w:r>
      <w:r w:rsidR="00776D54">
        <w:t>” to “32 years,” the minima were in fact 5</w:t>
      </w:r>
      <w:r w:rsidR="00A9593E">
        <w:t> </w:t>
      </w:r>
      <w:r w:rsidR="00776D54">
        <w:t>years and 20</w:t>
      </w:r>
      <w:r w:rsidR="00F8751E">
        <w:t> </w:t>
      </w:r>
      <w:r w:rsidR="00776D54">
        <w:t>years, because the judge could still have exercised discretion to impose the full lower term of 5 years</w:t>
      </w:r>
      <w:r w:rsidR="004653D7">
        <w:t xml:space="preserve"> on each count, instead of the full mid</w:t>
      </w:r>
      <w:r w:rsidR="00196F83">
        <w:t xml:space="preserve">dle </w:t>
      </w:r>
      <w:r w:rsidR="004653D7">
        <w:t>term of 8 years on each.</w:t>
      </w:r>
    </w:p>
  </w:footnote>
  <w:footnote w:id="18">
    <w:p w:rsidR="00D500B0" w14:paraId="2AC19A85" w14:textId="0E5801AD">
      <w:pPr>
        <w:pStyle w:val="FootnoteText"/>
      </w:pPr>
      <w:r>
        <w:rPr>
          <w:rStyle w:val="FootnoteReference"/>
        </w:rPr>
        <w:footnoteRef/>
      </w:r>
      <w:r>
        <w:t xml:space="preserve"> I</w:t>
      </w:r>
      <w:r w:rsidRPr="00193F67">
        <w:t xml:space="preserve">n </w:t>
      </w:r>
      <w:r w:rsidRPr="00F35AE6">
        <w:rPr>
          <w:i/>
          <w:iCs/>
        </w:rPr>
        <w:t>Haymond</w:t>
      </w:r>
      <w:r>
        <w:t xml:space="preserve">, </w:t>
      </w:r>
      <w:r>
        <w:rPr>
          <w:i/>
          <w:iCs/>
        </w:rPr>
        <w:t>supra</w:t>
      </w:r>
      <w:r>
        <w:t>,</w:t>
      </w:r>
      <w:r w:rsidRPr="00193F67">
        <w:t xml:space="preserve"> </w:t>
      </w:r>
      <w:r w:rsidRPr="00015269">
        <w:t>139 S.Ct. 2369</w:t>
      </w:r>
      <w:r w:rsidRPr="00193F67">
        <w:t xml:space="preserve">, the </w:t>
      </w:r>
      <w:r w:rsidR="00641F58">
        <w:t>h</w:t>
      </w:r>
      <w:r w:rsidRPr="00193F67">
        <w:t xml:space="preserve">igh </w:t>
      </w:r>
      <w:r w:rsidR="00641F58">
        <w:t>c</w:t>
      </w:r>
      <w:r w:rsidRPr="00193F67">
        <w:t xml:space="preserve">ourt expanded </w:t>
      </w:r>
      <w:r w:rsidR="004D23C4">
        <w:t xml:space="preserve">the </w:t>
      </w:r>
      <w:r w:rsidRPr="00A563C8">
        <w:rPr>
          <w:i/>
          <w:iCs/>
        </w:rPr>
        <w:t>Apprendi</w:t>
      </w:r>
      <w:r w:rsidR="004D23C4">
        <w:t xml:space="preserve"> rule </w:t>
      </w:r>
      <w:r>
        <w:t xml:space="preserve">in </w:t>
      </w:r>
      <w:r w:rsidRPr="00193F67">
        <w:t xml:space="preserve">a way </w:t>
      </w:r>
      <w:r w:rsidR="004D23C4">
        <w:t>ir</w:t>
      </w:r>
      <w:r w:rsidRPr="00193F67">
        <w:t xml:space="preserve">relevant here. </w:t>
      </w:r>
      <w:r w:rsidRPr="00CC36FD" w:rsidR="00672A68">
        <w:t xml:space="preserve"> </w:t>
      </w:r>
      <w:r>
        <w:t xml:space="preserve">A federal statute authorized a judge, on hearing a petition to revoke supervised release, to find facts amounting to a new crime and, based on that factfinding, impose a new prison term with a mandatory minimum greater than the term based on the jury’s factfinding. </w:t>
      </w:r>
      <w:r w:rsidR="00641F58">
        <w:t xml:space="preserve"> </w:t>
      </w:r>
      <w:r>
        <w:t>(</w:t>
      </w:r>
      <w:r>
        <w:rPr>
          <w:i/>
          <w:iCs/>
        </w:rPr>
        <w:t>Id.</w:t>
      </w:r>
      <w:r w:rsidRPr="004D7773">
        <w:t xml:space="preserve"> </w:t>
      </w:r>
      <w:r>
        <w:t xml:space="preserve">at pp. 2373–2374.) </w:t>
      </w:r>
      <w:r w:rsidR="004D7773">
        <w:t xml:space="preserve"> </w:t>
      </w:r>
      <w:r>
        <w:t xml:space="preserve">This violated the rule of </w:t>
      </w:r>
      <w:r>
        <w:rPr>
          <w:i/>
          <w:iCs/>
        </w:rPr>
        <w:t>Alleyne</w:t>
      </w:r>
      <w:r>
        <w:t>.</w:t>
      </w:r>
      <w:r w:rsidR="004D7773">
        <w:t xml:space="preserve"> </w:t>
      </w:r>
      <w:r>
        <w:t xml:space="preserve"> (</w:t>
      </w:r>
      <w:r>
        <w:rPr>
          <w:i/>
          <w:iCs/>
        </w:rPr>
        <w:t>Id.</w:t>
      </w:r>
      <w:r>
        <w:t xml:space="preserve"> at pp.</w:t>
      </w:r>
      <w:r w:rsidR="00AE5386">
        <w:t> </w:t>
      </w:r>
      <w:r>
        <w:t>237</w:t>
      </w:r>
      <w:r w:rsidRPr="00CC36FD">
        <w:t>8</w:t>
      </w:r>
      <w:r>
        <w:t xml:space="preserve">–2379 </w:t>
      </w:r>
      <w:r w:rsidRPr="00B85F91" w:rsidR="006F519B">
        <w:t>(</w:t>
      </w:r>
      <w:r w:rsidRPr="00B85F91">
        <w:t>plur</w:t>
      </w:r>
      <w:r w:rsidRPr="00B85F91" w:rsidR="00E93D75">
        <w:t>.</w:t>
      </w:r>
      <w:r w:rsidRPr="00B85F91">
        <w:t xml:space="preserve"> opn. of</w:t>
      </w:r>
      <w:r>
        <w:t xml:space="preserve"> Gorsuch,</w:t>
      </w:r>
      <w:r w:rsidR="00E93D75">
        <w:t> </w:t>
      </w:r>
      <w:r>
        <w:t>J</w:t>
      </w:r>
      <w:r w:rsidRPr="00CC36FD">
        <w:t>.</w:t>
      </w:r>
      <w:r w:rsidR="006F519B">
        <w:t>)</w:t>
      </w:r>
      <w:r w:rsidRPr="00CC36FD">
        <w:t>;</w:t>
      </w:r>
      <w:r>
        <w:t xml:space="preserve"> </w:t>
      </w:r>
      <w:r>
        <w:rPr>
          <w:i/>
          <w:iCs/>
        </w:rPr>
        <w:t>id.</w:t>
      </w:r>
      <w:r>
        <w:t xml:space="preserve"> at p.</w:t>
      </w:r>
      <w:r w:rsidR="00D11286">
        <w:t> </w:t>
      </w:r>
      <w:r>
        <w:t xml:space="preserve">2386 </w:t>
      </w:r>
      <w:r w:rsidR="006F519B">
        <w:t>(</w:t>
      </w:r>
      <w:r>
        <w:t>conc. opn. of Breyer,</w:t>
      </w:r>
      <w:r w:rsidR="00D11286">
        <w:t> </w:t>
      </w:r>
      <w:r>
        <w:t>J</w:t>
      </w:r>
      <w:r w:rsidRPr="00CC36FD">
        <w:t>.</w:t>
      </w:r>
      <w:r w:rsidR="006F519B">
        <w:t>)</w:t>
      </w:r>
      <w:r w:rsidRPr="00CC36FD">
        <w:t>.)</w:t>
      </w:r>
    </w:p>
  </w:footnote>
  <w:footnote w:id="19">
    <w:p w:rsidR="002522C3" w:rsidP="00031FD6" w14:paraId="4EE44BC6" w14:textId="263622F5">
      <w:pPr>
        <w:spacing w:line="240" w:lineRule="auto"/>
      </w:pPr>
      <w:r>
        <w:rPr>
          <w:rStyle w:val="FootnoteReference"/>
        </w:rPr>
        <w:footnoteRef/>
      </w:r>
      <w:r>
        <w:t xml:space="preserve"> </w:t>
      </w:r>
      <w:r w:rsidRPr="00A41560" w:rsidR="00570B96">
        <w:rPr>
          <w:szCs w:val="20"/>
        </w:rPr>
        <w:t>T</w:t>
      </w:r>
      <w:r w:rsidRPr="00A41560" w:rsidR="007E7356">
        <w:rPr>
          <w:szCs w:val="20"/>
        </w:rPr>
        <w:t>he</w:t>
      </w:r>
      <w:r w:rsidRPr="00A41560" w:rsidR="00F32B30">
        <w:rPr>
          <w:szCs w:val="20"/>
        </w:rPr>
        <w:t xml:space="preserve"> order</w:t>
      </w:r>
      <w:r w:rsidRPr="00A41560" w:rsidR="007E7356">
        <w:rPr>
          <w:szCs w:val="20"/>
        </w:rPr>
        <w:t xml:space="preserve"> grant</w:t>
      </w:r>
      <w:r w:rsidRPr="00A41560" w:rsidR="00F32B30">
        <w:rPr>
          <w:szCs w:val="20"/>
        </w:rPr>
        <w:t xml:space="preserve">ing </w:t>
      </w:r>
      <w:r w:rsidRPr="00A41560" w:rsidR="007E7356">
        <w:rPr>
          <w:szCs w:val="20"/>
        </w:rPr>
        <w:t xml:space="preserve">review </w:t>
      </w:r>
      <w:r w:rsidRPr="00A41560" w:rsidR="00F32B30">
        <w:rPr>
          <w:szCs w:val="20"/>
        </w:rPr>
        <w:t xml:space="preserve">in </w:t>
      </w:r>
      <w:r w:rsidRPr="007523FB" w:rsidR="00F32B30">
        <w:rPr>
          <w:i/>
          <w:iCs/>
          <w:szCs w:val="20"/>
        </w:rPr>
        <w:t>Catarino</w:t>
      </w:r>
      <w:r w:rsidRPr="007523FB" w:rsidR="00F32B30">
        <w:rPr>
          <w:szCs w:val="20"/>
        </w:rPr>
        <w:t xml:space="preserve"> </w:t>
      </w:r>
      <w:r w:rsidRPr="00A41560" w:rsidR="00F32B30">
        <w:rPr>
          <w:szCs w:val="20"/>
        </w:rPr>
        <w:t>limit</w:t>
      </w:r>
      <w:r w:rsidRPr="00A41560" w:rsidR="00B64647">
        <w:rPr>
          <w:szCs w:val="20"/>
        </w:rPr>
        <w:t>s</w:t>
      </w:r>
      <w:r w:rsidRPr="00A41560" w:rsidR="00F32B30">
        <w:rPr>
          <w:szCs w:val="20"/>
        </w:rPr>
        <w:t xml:space="preserve"> the issue </w:t>
      </w:r>
      <w:r w:rsidRPr="00A41560" w:rsidR="00D1080C">
        <w:rPr>
          <w:szCs w:val="20"/>
        </w:rPr>
        <w:t xml:space="preserve">as follows: </w:t>
      </w:r>
      <w:r w:rsidRPr="00A41560" w:rsidR="00F77373">
        <w:rPr>
          <w:szCs w:val="20"/>
        </w:rPr>
        <w:t xml:space="preserve"> </w:t>
      </w:r>
      <w:r w:rsidRPr="00A41560" w:rsidR="00D1080C">
        <w:rPr>
          <w:szCs w:val="20"/>
        </w:rPr>
        <w:t>“Does . . </w:t>
      </w:r>
      <w:r w:rsidRPr="007523FB" w:rsidR="00D1080C">
        <w:rPr>
          <w:szCs w:val="20"/>
        </w:rPr>
        <w:t>.</w:t>
      </w:r>
      <w:r w:rsidRPr="00A41560" w:rsidR="00D1080C">
        <w:rPr>
          <w:szCs w:val="20"/>
        </w:rPr>
        <w:t xml:space="preserve"> section 667.6, </w:t>
      </w:r>
      <w:r w:rsidRPr="00A41560" w:rsidR="0002039B">
        <w:rPr>
          <w:szCs w:val="20"/>
        </w:rPr>
        <w:t xml:space="preserve">subdivision (d), </w:t>
      </w:r>
      <w:r w:rsidRPr="00A41560" w:rsidR="00D1080C">
        <w:rPr>
          <w:szCs w:val="20"/>
        </w:rPr>
        <w:t xml:space="preserve">which requires </w:t>
      </w:r>
      <w:r w:rsidRPr="00A41560" w:rsidR="00245637">
        <w:rPr>
          <w:szCs w:val="20"/>
        </w:rPr>
        <w:t xml:space="preserve">that </w:t>
      </w:r>
      <w:r w:rsidRPr="00A41560" w:rsidR="00D1080C">
        <w:rPr>
          <w:szCs w:val="20"/>
        </w:rPr>
        <w:t xml:space="preserve">a ‘full, separate, and consecutive term’ must be imposed for certain offenses if the sentencing court finds </w:t>
      </w:r>
      <w:r w:rsidRPr="00A41560" w:rsidR="00245637">
        <w:rPr>
          <w:szCs w:val="20"/>
        </w:rPr>
        <w:t xml:space="preserve">that </w:t>
      </w:r>
      <w:r w:rsidRPr="00A41560" w:rsidR="00D1080C">
        <w:rPr>
          <w:szCs w:val="20"/>
        </w:rPr>
        <w:t>the crimes ‘involve[d] the same victim on separate occasions,’ comply with the Sixth Amendment to the U.S. Constitution</w:t>
      </w:r>
      <w:r w:rsidRPr="007523FB" w:rsidR="00D1080C">
        <w:rPr>
          <w:szCs w:val="20"/>
        </w:rPr>
        <w:t>?</w:t>
      </w:r>
      <w:r w:rsidRPr="00A41560" w:rsidR="00D1080C">
        <w:rPr>
          <w:szCs w:val="20"/>
        </w:rPr>
        <w:t xml:space="preserve">” </w:t>
      </w:r>
      <w:r w:rsidRPr="00A41560" w:rsidR="0092339A">
        <w:rPr>
          <w:szCs w:val="20"/>
        </w:rPr>
        <w:t xml:space="preserve"> </w:t>
      </w:r>
      <w:r w:rsidRPr="007523FB" w:rsidR="001C095D">
        <w:rPr>
          <w:szCs w:val="20"/>
        </w:rPr>
        <w:t>(</w:t>
      </w:r>
      <w:r w:rsidRPr="00527469" w:rsidR="001C095D">
        <w:rPr>
          <w:i/>
          <w:iCs/>
          <w:szCs w:val="20"/>
        </w:rPr>
        <w:t>People v. Catarino</w:t>
      </w:r>
      <w:r w:rsidRPr="007523FB" w:rsidR="001C095D">
        <w:rPr>
          <w:szCs w:val="20"/>
        </w:rPr>
        <w:t>, S271828, Supreme Ct. Mins., Jan. 19, 2022</w:t>
      </w:r>
      <w:r w:rsidRPr="007523FB" w:rsidR="00A41560">
        <w:rPr>
          <w:szCs w:val="20"/>
        </w:rPr>
        <w:t xml:space="preserve"> [2022 Cal.LEXIS 221]</w:t>
      </w:r>
      <w:r w:rsidRPr="007523FB" w:rsidR="001C095D">
        <w:rPr>
          <w:szCs w:val="20"/>
        </w:rPr>
        <w:t>.)</w:t>
      </w:r>
      <w:r w:rsidR="00031FD6">
        <w:rPr>
          <w:szCs w:val="20"/>
        </w:rPr>
        <w:t xml:space="preserve">  </w:t>
      </w:r>
      <w:r w:rsidR="00023148">
        <w:t>While the text of th</w:t>
      </w:r>
      <w:r w:rsidR="007C663C">
        <w:t>at</w:t>
      </w:r>
      <w:r w:rsidR="00023148">
        <w:t xml:space="preserve"> order </w:t>
      </w:r>
      <w:r w:rsidR="0081565E">
        <w:t>can</w:t>
      </w:r>
      <w:r w:rsidR="00023148">
        <w:t xml:space="preserve"> be read</w:t>
      </w:r>
      <w:r w:rsidR="00D9521B">
        <w:t xml:space="preserve"> </w:t>
      </w:r>
      <w:r w:rsidR="00023148">
        <w:t xml:space="preserve">to include </w:t>
      </w:r>
      <w:r w:rsidR="00AF1E02">
        <w:t xml:space="preserve">a question </w:t>
      </w:r>
      <w:r w:rsidR="00EC5FCA">
        <w:t xml:space="preserve">as to </w:t>
      </w:r>
      <w:r w:rsidR="00023148">
        <w:t xml:space="preserve">the constitutionality of requiring consecutive sentences, </w:t>
      </w:r>
      <w:r w:rsidR="00DE25C2">
        <w:t>t</w:t>
      </w:r>
      <w:r w:rsidR="007E7356">
        <w:t xml:space="preserve">he </w:t>
      </w:r>
      <w:r w:rsidRPr="009A092F" w:rsidR="007E7356">
        <w:t>petition for review</w:t>
      </w:r>
      <w:r w:rsidRPr="00CC36FD" w:rsidR="007E7356">
        <w:t xml:space="preserve">, of </w:t>
      </w:r>
      <w:r w:rsidRPr="009941C7" w:rsidR="007E7356">
        <w:t>which we take judicial notice</w:t>
      </w:r>
      <w:r w:rsidR="009F1C86">
        <w:t xml:space="preserve"> (Evid. Code, §</w:t>
      </w:r>
      <w:r w:rsidR="00887FE8">
        <w:t> </w:t>
      </w:r>
      <w:r w:rsidR="009F1C86">
        <w:t>452, subd.</w:t>
      </w:r>
      <w:r w:rsidR="00887FE8">
        <w:t> </w:t>
      </w:r>
      <w:r w:rsidR="009F1C86">
        <w:t>(b)(1))</w:t>
      </w:r>
      <w:r w:rsidRPr="00CC36FD" w:rsidR="007E7356">
        <w:t>, expressly limits petitioner’s challenge</w:t>
      </w:r>
      <w:r w:rsidR="007E7356">
        <w:t xml:space="preserve"> to </w:t>
      </w:r>
      <w:r w:rsidRPr="00CC36FD" w:rsidR="007E7356">
        <w:t>th</w:t>
      </w:r>
      <w:r w:rsidRPr="00CC36FD" w:rsidR="00930C16">
        <w:t>e</w:t>
      </w:r>
      <w:r w:rsidRPr="00CC36FD" w:rsidR="007E7356">
        <w:t xml:space="preserve"> </w:t>
      </w:r>
      <w:r w:rsidRPr="00CC36FD" w:rsidR="009B2826">
        <w:t>par</w:t>
      </w:r>
      <w:r w:rsidRPr="00CC36FD" w:rsidR="00AD7AED">
        <w:t xml:space="preserve">t of </w:t>
      </w:r>
      <w:r w:rsidRPr="00CC36FD" w:rsidR="00372C0A">
        <w:t xml:space="preserve">section 667.6(d) </w:t>
      </w:r>
      <w:r w:rsidRPr="00CC36FD" w:rsidR="00AD7AED">
        <w:t>requir</w:t>
      </w:r>
      <w:r w:rsidRPr="00CC36FD" w:rsidR="000E69F3">
        <w:t>ing</w:t>
      </w:r>
      <w:r w:rsidRPr="00CC36FD" w:rsidR="00AD7AED">
        <w:t xml:space="preserve"> </w:t>
      </w:r>
      <w:r w:rsidRPr="00CC36FD" w:rsidR="009C2A00">
        <w:t>“</w:t>
      </w:r>
      <w:r w:rsidRPr="00CC36FD" w:rsidR="007E7356">
        <w:t>full</w:t>
      </w:r>
      <w:r w:rsidRPr="00CC36FD" w:rsidR="009C2A00">
        <w:t xml:space="preserve">” </w:t>
      </w:r>
      <w:r w:rsidRPr="00CC36FD" w:rsidR="007E7356">
        <w:t>terms, while expressly conceding the constitutionality</w:t>
      </w:r>
      <w:r w:rsidR="007E7356">
        <w:t xml:space="preserve"> of</w:t>
      </w:r>
      <w:r w:rsidR="007C663C">
        <w:t>,</w:t>
      </w:r>
      <w:r w:rsidR="007E7356">
        <w:t xml:space="preserve"> and eschewing any challenge to</w:t>
      </w:r>
      <w:r w:rsidR="007C663C">
        <w:t>,</w:t>
      </w:r>
      <w:r w:rsidR="007E7356">
        <w:t xml:space="preserve"> </w:t>
      </w:r>
      <w:r w:rsidR="00AC1D75">
        <w:t>the</w:t>
      </w:r>
      <w:r w:rsidR="007E7356">
        <w:t xml:space="preserve"> “consecutive</w:t>
      </w:r>
      <w:r w:rsidR="00AC1D75">
        <w:t xml:space="preserve"> </w:t>
      </w:r>
      <w:r w:rsidR="007E7356">
        <w:t>term</w:t>
      </w:r>
      <w:r w:rsidR="00AC1D75">
        <w:t xml:space="preserve">” </w:t>
      </w:r>
      <w:r w:rsidRPr="00463AE9" w:rsidR="00AC1D75">
        <w:t>mandate</w:t>
      </w:r>
      <w:r w:rsidRPr="00AF1C2E" w:rsidR="007E7356">
        <w:t>.</w:t>
      </w:r>
    </w:p>
  </w:footnote>
  <w:footnote w:id="20">
    <w:p w:rsidR="00CD7685" w14:paraId="7F8EB455" w14:textId="6CB8546C">
      <w:pPr>
        <w:pStyle w:val="FootnoteText"/>
      </w:pPr>
      <w:r>
        <w:rPr>
          <w:rStyle w:val="FootnoteReference"/>
        </w:rPr>
        <w:footnoteRef/>
      </w:r>
      <w:r>
        <w:t xml:space="preserve"> </w:t>
      </w:r>
      <w:r w:rsidRPr="00CC36FD" w:rsidR="00D60E7C">
        <w:t>While t</w:t>
      </w:r>
      <w:r w:rsidRPr="00CC36FD">
        <w:t xml:space="preserve">he court </w:t>
      </w:r>
      <w:r w:rsidRPr="00CC36FD" w:rsidR="00D60E7C">
        <w:t>in fact</w:t>
      </w:r>
      <w:r w:rsidRPr="00CC36FD">
        <w:t xml:space="preserve"> chose to impose full middle-term sentences of </w:t>
      </w:r>
      <w:r w:rsidRPr="00CC36FD" w:rsidR="00D60E7C">
        <w:t>eight</w:t>
      </w:r>
      <w:r w:rsidRPr="00CC36FD" w:rsidR="007C1C90">
        <w:t xml:space="preserve"> </w:t>
      </w:r>
      <w:r w:rsidRPr="00CC36FD">
        <w:t xml:space="preserve">years </w:t>
      </w:r>
      <w:r>
        <w:t>each on the three counts, the constitutionally significant po</w:t>
      </w:r>
      <w:r w:rsidRPr="00CC36FD">
        <w:t xml:space="preserve">int is that section 667.6(d) </w:t>
      </w:r>
      <w:r w:rsidRPr="00CC36FD" w:rsidR="00935755">
        <w:t>mandated</w:t>
      </w:r>
      <w:r w:rsidRPr="00CC36FD">
        <w:t xml:space="preserve"> </w:t>
      </w:r>
      <w:r w:rsidRPr="00CC36FD" w:rsidR="00935755">
        <w:t xml:space="preserve">minimum </w:t>
      </w:r>
      <w:r w:rsidRPr="00CC36FD">
        <w:t>sentence</w:t>
      </w:r>
      <w:r w:rsidRPr="00CC36FD" w:rsidR="00935755">
        <w:t>s</w:t>
      </w:r>
      <w:r w:rsidRPr="00CC36FD">
        <w:t xml:space="preserve"> of at least </w:t>
      </w:r>
      <w:r w:rsidRPr="00CC36FD" w:rsidR="00D60E7C">
        <w:t>five</w:t>
      </w:r>
      <w:r w:rsidRPr="00CC36FD">
        <w:t xml:space="preserve"> years.</w:t>
      </w:r>
    </w:p>
  </w:footnote>
  <w:footnote w:id="21">
    <w:p w:rsidR="00833715" w:rsidRPr="002F351B" w14:paraId="5525A8B2" w14:textId="5381E022">
      <w:pPr>
        <w:pStyle w:val="FootnoteText"/>
        <w:rPr>
          <w:iCs/>
        </w:rPr>
      </w:pPr>
      <w:r>
        <w:rPr>
          <w:rStyle w:val="FootnoteReference"/>
        </w:rPr>
        <w:footnoteRef/>
      </w:r>
      <w:r>
        <w:t xml:space="preserve"> </w:t>
      </w:r>
      <w:r w:rsidRPr="00CC36FD" w:rsidR="00840973">
        <w:t>Th</w:t>
      </w:r>
      <w:r w:rsidRPr="00CC36FD" w:rsidR="00080319">
        <w:t>e</w:t>
      </w:r>
      <w:r w:rsidRPr="00CC36FD" w:rsidR="00840973">
        <w:t xml:space="preserve"> argument </w:t>
      </w:r>
      <w:r w:rsidRPr="00CC36FD" w:rsidR="00080319">
        <w:t xml:space="preserve">in fact </w:t>
      </w:r>
      <w:r w:rsidRPr="00CC36FD" w:rsidR="00840973">
        <w:t>rests on a false premise</w:t>
      </w:r>
      <w:r w:rsidRPr="00CC36FD" w:rsidR="00A9770B">
        <w:t>, for</w:t>
      </w:r>
      <w:r w:rsidRPr="00CC36FD" w:rsidR="00840973">
        <w:t xml:space="preserve"> </w:t>
      </w:r>
      <w:r w:rsidRPr="00CC36FD" w:rsidR="00A9770B">
        <w:t>s</w:t>
      </w:r>
      <w:r w:rsidRPr="00CC36FD" w:rsidR="00840973">
        <w:t xml:space="preserve">ection 654 does </w:t>
      </w:r>
      <w:r w:rsidRPr="00CC36FD" w:rsidR="00840973">
        <w:rPr>
          <w:i/>
        </w:rPr>
        <w:t>not</w:t>
      </w:r>
      <w:r w:rsidRPr="00CC36FD" w:rsidR="00840973">
        <w:t xml:space="preserve"> reduce the sentence for any crime. </w:t>
      </w:r>
      <w:r w:rsidRPr="00CC36FD" w:rsidR="00B83A4B">
        <w:rPr>
          <w:iCs/>
        </w:rPr>
        <w:t xml:space="preserve"> </w:t>
      </w:r>
      <w:r w:rsidRPr="00CC36FD" w:rsidR="00840973">
        <w:t>Rather, it compels a court to impose but stay execution of the sentence for a crime</w:t>
      </w:r>
      <w:r w:rsidRPr="00CC36FD" w:rsidR="009C3409">
        <w:t>, without changing its length</w:t>
      </w:r>
      <w:r w:rsidRPr="00CC36FD" w:rsidR="00840973">
        <w:t xml:space="preserve">. </w:t>
      </w:r>
      <w:r w:rsidRPr="00CC36FD" w:rsidR="00B83A4B">
        <w:rPr>
          <w:iCs/>
        </w:rPr>
        <w:t xml:space="preserve"> </w:t>
      </w:r>
      <w:r w:rsidRPr="00CC36FD" w:rsidR="00840973">
        <w:t>(</w:t>
      </w:r>
      <w:r w:rsidRPr="00CC36FD" w:rsidR="00840973">
        <w:rPr>
          <w:i/>
          <w:szCs w:val="26"/>
        </w:rPr>
        <w:t>People v. Duff</w:t>
      </w:r>
      <w:r w:rsidRPr="00CC36FD" w:rsidR="00840973">
        <w:rPr>
          <w:szCs w:val="26"/>
        </w:rPr>
        <w:t xml:space="preserve"> (2010) 50</w:t>
      </w:r>
      <w:r w:rsidRPr="00CC36FD" w:rsidR="00A9770B">
        <w:rPr>
          <w:szCs w:val="26"/>
        </w:rPr>
        <w:t> </w:t>
      </w:r>
      <w:r w:rsidRPr="00CC36FD" w:rsidR="00840973">
        <w:rPr>
          <w:szCs w:val="26"/>
        </w:rPr>
        <w:t>Cal.4th 787, 796</w:t>
      </w:r>
      <w:r w:rsidRPr="00CC36FD" w:rsidR="00840973">
        <w:t xml:space="preserve"> [“</w:t>
      </w:r>
      <w:r w:rsidRPr="00CC36FD" w:rsidR="00840973">
        <w:rPr>
          <w:szCs w:val="26"/>
        </w:rPr>
        <w:t>when a court determines that a conviction falls within the meaning of section 654, it is necessary to</w:t>
      </w:r>
      <w:r w:rsidRPr="00CC36FD" w:rsidR="00392C19">
        <w:rPr>
          <w:szCs w:val="26"/>
        </w:rPr>
        <w:t xml:space="preserve"> </w:t>
      </w:r>
      <w:r w:rsidRPr="00CC36FD" w:rsidR="00840973">
        <w:rPr>
          <w:i/>
          <w:szCs w:val="26"/>
        </w:rPr>
        <w:t>impose</w:t>
      </w:r>
      <w:r w:rsidRPr="00CC36FD" w:rsidR="00392C19">
        <w:rPr>
          <w:szCs w:val="26"/>
        </w:rPr>
        <w:t xml:space="preserve"> </w:t>
      </w:r>
      <w:r w:rsidRPr="00CC36FD" w:rsidR="00840973">
        <w:rPr>
          <w:szCs w:val="26"/>
        </w:rPr>
        <w:t>sentence but to stay the</w:t>
      </w:r>
      <w:r w:rsidRPr="00CC36FD" w:rsidR="00A9770B">
        <w:rPr>
          <w:szCs w:val="26"/>
        </w:rPr>
        <w:t xml:space="preserve"> </w:t>
      </w:r>
      <w:r w:rsidRPr="00CC36FD" w:rsidR="00840973">
        <w:rPr>
          <w:i/>
          <w:szCs w:val="26"/>
        </w:rPr>
        <w:t>execution</w:t>
      </w:r>
      <w:r w:rsidRPr="00CC36FD" w:rsidR="00392C19">
        <w:rPr>
          <w:szCs w:val="26"/>
        </w:rPr>
        <w:t xml:space="preserve"> </w:t>
      </w:r>
      <w:r w:rsidRPr="00CC36FD" w:rsidR="00840973">
        <w:rPr>
          <w:szCs w:val="26"/>
        </w:rPr>
        <w:t>of the duplicative sentence</w:t>
      </w:r>
      <w:r w:rsidRPr="00CC36FD" w:rsidR="00840973">
        <w:t>”].)</w:t>
      </w:r>
      <w:r w:rsidRPr="00CC36FD" w:rsidR="00392C19">
        <w:t xml:space="preserve"> </w:t>
      </w:r>
      <w:r w:rsidRPr="00CC36FD" w:rsidR="000E403F">
        <w:t xml:space="preserve"> </w:t>
      </w:r>
      <w:r w:rsidRPr="00CC36FD" w:rsidR="00D47747">
        <w:t>W</w:t>
      </w:r>
      <w:r>
        <w:t xml:space="preserve">e </w:t>
      </w:r>
      <w:r w:rsidR="007141DE">
        <w:t xml:space="preserve">do not question the </w:t>
      </w:r>
      <w:r w:rsidR="0013004E">
        <w:t xml:space="preserve">rule of </w:t>
      </w:r>
      <w:r w:rsidR="00995D17">
        <w:t xml:space="preserve">the cases the Attorney General </w:t>
      </w:r>
      <w:r w:rsidRPr="00CC36FD" w:rsidR="00995D17">
        <w:t xml:space="preserve">cites, i.e., </w:t>
      </w:r>
      <w:r w:rsidRPr="00CC36FD" w:rsidR="007141DE">
        <w:t xml:space="preserve">that judicial factfinding </w:t>
      </w:r>
      <w:r w:rsidRPr="00CC36FD" w:rsidR="007E0780">
        <w:t xml:space="preserve">under </w:t>
      </w:r>
      <w:r w:rsidRPr="00CC36FD" w:rsidR="007141DE">
        <w:t>section 654</w:t>
      </w:r>
      <w:r w:rsidR="007141DE">
        <w:t xml:space="preserve"> </w:t>
      </w:r>
      <w:r w:rsidR="00434E98">
        <w:t xml:space="preserve">does not </w:t>
      </w:r>
      <w:r w:rsidR="00381CBF">
        <w:t>viol</w:t>
      </w:r>
      <w:r w:rsidR="00434E98">
        <w:t xml:space="preserve">ate the Sixth Amendment. </w:t>
      </w:r>
      <w:r w:rsidR="00392C19">
        <w:t xml:space="preserve"> </w:t>
      </w:r>
      <w:r w:rsidR="00FF2E8F">
        <w:t xml:space="preserve">But </w:t>
      </w:r>
      <w:r w:rsidR="00882516">
        <w:t xml:space="preserve">the true basis for that rule cannot be that section 654 reduces rather than enhances </w:t>
      </w:r>
      <w:r w:rsidRPr="00CC36FD" w:rsidR="00882516">
        <w:t xml:space="preserve">sentences, </w:t>
      </w:r>
      <w:r w:rsidRPr="00CC36FD" w:rsidR="00B77C76">
        <w:t>for</w:t>
      </w:r>
      <w:r w:rsidRPr="00CC36FD" w:rsidR="00882516">
        <w:t xml:space="preserve"> section 654 </w:t>
      </w:r>
      <w:r w:rsidRPr="00CC36FD" w:rsidR="00E50773">
        <w:t xml:space="preserve">can </w:t>
      </w:r>
      <w:r w:rsidR="00882516">
        <w:t xml:space="preserve">reduce only a defendant’s </w:t>
      </w:r>
      <w:r w:rsidRPr="00E50773" w:rsidR="00882516">
        <w:rPr>
          <w:i/>
          <w:iCs/>
        </w:rPr>
        <w:t>cumulative</w:t>
      </w:r>
      <w:r w:rsidR="00882516">
        <w:t xml:space="preserve"> sentence</w:t>
      </w:r>
      <w:r w:rsidR="008C1A94">
        <w:t xml:space="preserve">. </w:t>
      </w:r>
      <w:r w:rsidR="006C76E4">
        <w:t xml:space="preserve"> </w:t>
      </w:r>
      <w:r w:rsidR="008C1A94">
        <w:rPr>
          <w:i/>
          <w:iCs/>
        </w:rPr>
        <w:t>Ice</w:t>
      </w:r>
      <w:r w:rsidR="00DB5AB7">
        <w:t xml:space="preserve"> h</w:t>
      </w:r>
      <w:r w:rsidR="00D47747">
        <w:t>o</w:t>
      </w:r>
      <w:r w:rsidR="00DB5AB7">
        <w:t>ld</w:t>
      </w:r>
      <w:r w:rsidR="00D47747">
        <w:t>s</w:t>
      </w:r>
      <w:r w:rsidR="00DB5AB7">
        <w:t xml:space="preserve"> </w:t>
      </w:r>
      <w:r w:rsidR="00342CEE">
        <w:t xml:space="preserve">that </w:t>
      </w:r>
      <w:r w:rsidR="008D4BB1">
        <w:t xml:space="preserve">the </w:t>
      </w:r>
      <w:r w:rsidR="008D4BB1">
        <w:rPr>
          <w:i/>
          <w:iCs/>
        </w:rPr>
        <w:t>Apprendi</w:t>
      </w:r>
      <w:r w:rsidR="008D4BB1">
        <w:t xml:space="preserve"> rule is limited </w:t>
      </w:r>
      <w:r w:rsidRPr="00CC36FD" w:rsidR="00976028">
        <w:t xml:space="preserve">to “the offense-specific context that supplied [its] </w:t>
      </w:r>
      <w:r w:rsidRPr="00C9628A" w:rsidR="00976028">
        <w:t>historic</w:t>
      </w:r>
      <w:r w:rsidRPr="00CC36FD" w:rsidR="00976028">
        <w:t xml:space="preserve"> grounding” (</w:t>
      </w:r>
      <w:r w:rsidRPr="00F7231A" w:rsidR="006D7FFA">
        <w:rPr>
          <w:i/>
        </w:rPr>
        <w:t>Ice</w:t>
      </w:r>
      <w:r w:rsidRPr="00F7231A" w:rsidR="006D7FFA">
        <w:t xml:space="preserve">, </w:t>
      </w:r>
      <w:r w:rsidRPr="00F7231A" w:rsidR="006D7FFA">
        <w:rPr>
          <w:i/>
        </w:rPr>
        <w:t>supra</w:t>
      </w:r>
      <w:r w:rsidRPr="00F7231A" w:rsidR="006D7FFA">
        <w:t xml:space="preserve">, </w:t>
      </w:r>
      <w:r w:rsidRPr="00E01E86" w:rsidR="00DB5AB7">
        <w:t>555</w:t>
      </w:r>
      <w:r w:rsidRPr="00E01E86" w:rsidR="006C76E4">
        <w:t> </w:t>
      </w:r>
      <w:r w:rsidRPr="00E01E86" w:rsidR="00DB5AB7">
        <w:t>U.S</w:t>
      </w:r>
      <w:r w:rsidRPr="006D7FFA" w:rsidR="00DB5AB7">
        <w:t>.</w:t>
      </w:r>
      <w:r w:rsidRPr="006D7FFA" w:rsidR="000345E6">
        <w:t xml:space="preserve"> </w:t>
      </w:r>
      <w:r w:rsidRPr="00CC36FD" w:rsidR="00976028">
        <w:t>at p.</w:t>
      </w:r>
      <w:r w:rsidRPr="00CC36FD" w:rsidR="006C76E4">
        <w:t> </w:t>
      </w:r>
      <w:r w:rsidRPr="00CC36FD" w:rsidR="00976028">
        <w:t>163)</w:t>
      </w:r>
      <w:r w:rsidRPr="00CC36FD" w:rsidR="009B56BC">
        <w:t>;</w:t>
      </w:r>
      <w:r w:rsidRPr="00CC36FD" w:rsidR="00A8446E">
        <w:t xml:space="preserve"> as the dissent </w:t>
      </w:r>
      <w:r w:rsidRPr="00CC36FD" w:rsidR="009B56BC">
        <w:t xml:space="preserve">aptly </w:t>
      </w:r>
      <w:r w:rsidRPr="00CC36FD" w:rsidR="003F09D5">
        <w:t>put it</w:t>
      </w:r>
      <w:r w:rsidRPr="00CC36FD" w:rsidR="00A8446E">
        <w:t>, “</w:t>
      </w:r>
      <w:r w:rsidRPr="00CC36FD" w:rsidR="003565BD">
        <w:rPr>
          <w:szCs w:val="26"/>
        </w:rPr>
        <w:t>the rule of</w:t>
      </w:r>
      <w:r w:rsidRPr="00CC36FD" w:rsidR="0064309E">
        <w:rPr>
          <w:szCs w:val="26"/>
        </w:rPr>
        <w:t xml:space="preserve"> </w:t>
      </w:r>
      <w:r w:rsidRPr="00CC36FD" w:rsidR="003565BD">
        <w:rPr>
          <w:i/>
          <w:szCs w:val="26"/>
        </w:rPr>
        <w:t>Apprendi</w:t>
      </w:r>
      <w:r w:rsidRPr="00CC36FD" w:rsidR="0064309E">
        <w:rPr>
          <w:szCs w:val="26"/>
        </w:rPr>
        <w:t xml:space="preserve"> </w:t>
      </w:r>
      <w:r w:rsidRPr="00CC36FD" w:rsidR="003565BD">
        <w:rPr>
          <w:szCs w:val="26"/>
        </w:rPr>
        <w:t>applies only to the length of a sentence for an individual crime and not to the total sentence for a defendant</w:t>
      </w:r>
      <w:r w:rsidRPr="00CC36FD" w:rsidR="00A8446E">
        <w:t>”</w:t>
      </w:r>
      <w:r w:rsidRPr="00CC36FD" w:rsidR="003744CC">
        <w:t xml:space="preserve"> </w:t>
      </w:r>
      <w:r w:rsidRPr="00CC36FD" w:rsidR="00F96B3D">
        <w:t>(</w:t>
      </w:r>
      <w:r w:rsidRPr="00BF1F44" w:rsidR="00BF1F44">
        <w:rPr>
          <w:i/>
        </w:rPr>
        <w:t>i</w:t>
      </w:r>
      <w:r w:rsidRPr="00CC36FD" w:rsidR="001A5C8A">
        <w:rPr>
          <w:i/>
        </w:rPr>
        <w:t>d</w:t>
      </w:r>
      <w:r w:rsidRPr="00CC36FD" w:rsidR="001A5C8A">
        <w:t xml:space="preserve">. </w:t>
      </w:r>
      <w:r w:rsidRPr="00CC36FD" w:rsidR="00F96B3D">
        <w:t>at p.</w:t>
      </w:r>
      <w:r w:rsidRPr="00CC36FD" w:rsidR="001A5C8A">
        <w:t> </w:t>
      </w:r>
      <w:r w:rsidRPr="00CC36FD" w:rsidR="00F96B3D">
        <w:t xml:space="preserve">173 </w:t>
      </w:r>
      <w:r w:rsidR="00670250">
        <w:rPr>
          <w:iCs/>
        </w:rPr>
        <w:t>(</w:t>
      </w:r>
      <w:r w:rsidRPr="00CC36FD" w:rsidR="00F96B3D">
        <w:t>dis. opn. of Scalia,</w:t>
      </w:r>
      <w:r w:rsidRPr="00CC36FD" w:rsidR="00532F67">
        <w:t> </w:t>
      </w:r>
      <w:r w:rsidRPr="00CC36FD" w:rsidR="00F96B3D">
        <w:t>J</w:t>
      </w:r>
      <w:r w:rsidRPr="00CC36FD" w:rsidR="00F96B3D">
        <w:rPr>
          <w:iCs/>
        </w:rPr>
        <w:t>.</w:t>
      </w:r>
      <w:r w:rsidR="00670250">
        <w:rPr>
          <w:iCs/>
        </w:rPr>
        <w:t>)</w:t>
      </w:r>
      <w:r w:rsidRPr="00CC36FD" w:rsidR="00F96B3D">
        <w:rPr>
          <w:iCs/>
        </w:rPr>
        <w:t>).</w:t>
      </w:r>
      <w:r w:rsidRPr="00CC36FD" w:rsidR="00F96B3D">
        <w:t xml:space="preserve"> </w:t>
      </w:r>
      <w:r w:rsidRPr="00CC36FD" w:rsidR="00C221A0">
        <w:rPr>
          <w:iCs/>
        </w:rPr>
        <w:t xml:space="preserve"> </w:t>
      </w:r>
      <w:r w:rsidRPr="00CC36FD" w:rsidR="00E038A4">
        <w:t xml:space="preserve">Insofar as </w:t>
      </w:r>
      <w:r w:rsidRPr="00CC36FD" w:rsidR="002348DA">
        <w:t>pr</w:t>
      </w:r>
      <w:r w:rsidRPr="00CC36FD" w:rsidR="008E0480">
        <w:t>e</w:t>
      </w:r>
      <w:r w:rsidR="00F7231A">
        <w:rPr>
          <w:iCs/>
        </w:rPr>
        <w:noBreakHyphen/>
      </w:r>
      <w:r w:rsidRPr="00CC36FD" w:rsidR="008E0480">
        <w:rPr>
          <w:i/>
        </w:rPr>
        <w:t>Ice</w:t>
      </w:r>
      <w:r w:rsidRPr="00CC36FD" w:rsidR="004C51F5">
        <w:t xml:space="preserve"> </w:t>
      </w:r>
      <w:r w:rsidRPr="00CC36FD" w:rsidR="0058504E">
        <w:t>decision</w:t>
      </w:r>
      <w:r w:rsidRPr="00CC36FD" w:rsidR="00A56505">
        <w:t>s</w:t>
      </w:r>
      <w:r w:rsidRPr="00CC36FD" w:rsidR="0058504E">
        <w:t xml:space="preserve"> suggest that </w:t>
      </w:r>
      <w:r w:rsidRPr="00CC36FD" w:rsidR="00B40668">
        <w:t xml:space="preserve">the constitutionality of </w:t>
      </w:r>
      <w:r w:rsidRPr="00CC36FD" w:rsidR="00E124D4">
        <w:t xml:space="preserve">judicial factfinding </w:t>
      </w:r>
      <w:r w:rsidRPr="00CC36FD" w:rsidR="00876C1E">
        <w:t xml:space="preserve">can </w:t>
      </w:r>
      <w:r w:rsidRPr="00CC36FD" w:rsidR="00B40668">
        <w:t xml:space="preserve">turn </w:t>
      </w:r>
      <w:r w:rsidRPr="00CC36FD" w:rsidR="00F241CA">
        <w:t xml:space="preserve">solely </w:t>
      </w:r>
      <w:r w:rsidRPr="00CC36FD" w:rsidR="00B40668">
        <w:t xml:space="preserve">on how </w:t>
      </w:r>
      <w:r w:rsidRPr="00CC36FD" w:rsidR="004C51F5">
        <w:t>that factfinding</w:t>
      </w:r>
      <w:r w:rsidRPr="00CC36FD" w:rsidR="00B40668">
        <w:t xml:space="preserve"> </w:t>
      </w:r>
      <w:r w:rsidRPr="00CC36FD" w:rsidR="00E124D4">
        <w:t>a</w:t>
      </w:r>
      <w:r w:rsidRPr="00CC36FD" w:rsidR="004C51F5">
        <w:t>ffect</w:t>
      </w:r>
      <w:r w:rsidRPr="00CC36FD" w:rsidR="00E124D4">
        <w:t xml:space="preserve">s the length of a </w:t>
      </w:r>
      <w:r w:rsidRPr="00CC36FD" w:rsidR="004C51F5">
        <w:t xml:space="preserve">defendant’s </w:t>
      </w:r>
      <w:r w:rsidRPr="00CC36FD" w:rsidR="00E124D4">
        <w:rPr>
          <w:i/>
        </w:rPr>
        <w:t>cumulative</w:t>
      </w:r>
      <w:r w:rsidRPr="00CC36FD" w:rsidR="00E124D4">
        <w:t xml:space="preserve"> sentence, </w:t>
      </w:r>
      <w:r w:rsidRPr="00CC36FD" w:rsidR="00E124D4">
        <w:rPr>
          <w:i/>
        </w:rPr>
        <w:t>Ice</w:t>
      </w:r>
      <w:r w:rsidRPr="00CC36FD" w:rsidR="00E124D4">
        <w:t xml:space="preserve"> has </w:t>
      </w:r>
      <w:r w:rsidRPr="00CC36FD" w:rsidR="00550646">
        <w:t>shown</w:t>
      </w:r>
      <w:r w:rsidRPr="00CC36FD" w:rsidR="00E124D4">
        <w:t xml:space="preserve"> that </w:t>
      </w:r>
      <w:r w:rsidRPr="00CC36FD" w:rsidR="00550646">
        <w:t xml:space="preserve">rationale </w:t>
      </w:r>
      <w:r w:rsidRPr="00CC36FD" w:rsidR="00E124D4">
        <w:t>to be unsound.</w:t>
      </w:r>
    </w:p>
  </w:footnote>
  <w:footnote w:id="22">
    <w:p w:rsidR="0059656F" w14:paraId="2DE0C86C" w14:textId="0E03F7B0">
      <w:pPr>
        <w:pStyle w:val="FootnoteText"/>
      </w:pPr>
      <w:r>
        <w:rPr>
          <w:rStyle w:val="FootnoteReference"/>
        </w:rPr>
        <w:footnoteRef/>
      </w:r>
      <w:r>
        <w:t xml:space="preserve"> Because </w:t>
      </w:r>
      <w:r w:rsidR="00584A80">
        <w:t>the four 8</w:t>
      </w:r>
      <w:r w:rsidR="00F553FF">
        <w:noBreakHyphen/>
      </w:r>
      <w:r w:rsidR="00584A80">
        <w:t xml:space="preserve">year sentences on the </w:t>
      </w:r>
      <w:r w:rsidRPr="003651D1" w:rsidR="00584A80">
        <w:t>forcible</w:t>
      </w:r>
      <w:r w:rsidRPr="003651D1" w:rsidR="00B753F4">
        <w:t xml:space="preserve"> </w:t>
      </w:r>
      <w:r w:rsidRPr="003651D1" w:rsidR="00584A80">
        <w:t>lewd</w:t>
      </w:r>
      <w:r w:rsidRPr="003651D1" w:rsidR="00B753F4">
        <w:t xml:space="preserve"> </w:t>
      </w:r>
      <w:r w:rsidRPr="003651D1" w:rsidR="00584A80">
        <w:t>act</w:t>
      </w:r>
      <w:r w:rsidR="00584A80">
        <w:t xml:space="preserve"> convictions must be </w:t>
      </w:r>
      <w:r w:rsidR="00F70A34">
        <w:t>vacated</w:t>
      </w:r>
      <w:r w:rsidR="00584A80">
        <w:t xml:space="preserve"> and </w:t>
      </w:r>
      <w:r w:rsidR="00F70A34">
        <w:t xml:space="preserve">the case </w:t>
      </w:r>
      <w:r w:rsidR="00584A80">
        <w:t>remanded for resentencing, which could result in a new aggregate sentence on th</w:t>
      </w:r>
      <w:r w:rsidR="00A656B1">
        <w:t>ose</w:t>
      </w:r>
      <w:r w:rsidR="00584A80">
        <w:t xml:space="preserve"> </w:t>
      </w:r>
      <w:r w:rsidR="00A656B1">
        <w:t xml:space="preserve">offenses </w:t>
      </w:r>
      <w:r w:rsidR="00584A80">
        <w:t xml:space="preserve">ranging from </w:t>
      </w:r>
      <w:r w:rsidR="00F076EB">
        <w:t xml:space="preserve">5 </w:t>
      </w:r>
      <w:r w:rsidR="00584A80">
        <w:t xml:space="preserve">to </w:t>
      </w:r>
      <w:r w:rsidR="004374BF">
        <w:t>32</w:t>
      </w:r>
      <w:r w:rsidR="00873199">
        <w:t xml:space="preserve"> </w:t>
      </w:r>
      <w:r w:rsidR="00584A80">
        <w:t>years</w:t>
      </w:r>
      <w:r w:rsidR="00C00BE3">
        <w:t xml:space="preserve">, we could hold that defendant’s challenge </w:t>
      </w:r>
      <w:r w:rsidR="00F70A34">
        <w:t xml:space="preserve">is </w:t>
      </w:r>
      <w:r w:rsidR="00520E4F">
        <w:t xml:space="preserve">no longer </w:t>
      </w:r>
      <w:r w:rsidR="00C00BE3">
        <w:t xml:space="preserve">ripe. </w:t>
      </w:r>
      <w:r w:rsidRPr="00586D4C" w:rsidR="00C221A0">
        <w:t xml:space="preserve"> </w:t>
      </w:r>
      <w:r w:rsidR="00520E4F">
        <w:t>But w</w:t>
      </w:r>
      <w:r w:rsidR="00F70A34">
        <w:t>e conclude</w:t>
      </w:r>
      <w:r w:rsidR="00520E4F">
        <w:t xml:space="preserve"> </w:t>
      </w:r>
      <w:r w:rsidR="00F70A34">
        <w:t xml:space="preserve">that </w:t>
      </w:r>
      <w:r w:rsidRPr="00586D4C" w:rsidR="00F70A34">
        <w:t>j</w:t>
      </w:r>
      <w:r w:rsidRPr="00586D4C" w:rsidR="00C00BE3">
        <w:t>udicial economy</w:t>
      </w:r>
      <w:r w:rsidRPr="00586D4C" w:rsidR="00F70A34">
        <w:t xml:space="preserve"> warrants </w:t>
      </w:r>
      <w:r w:rsidRPr="00586D4C" w:rsidR="003C0B53">
        <w:t>resolving the issue now</w:t>
      </w:r>
      <w:r w:rsidRPr="00586D4C" w:rsidR="00F70A34">
        <w:t>.  T</w:t>
      </w:r>
      <w:r w:rsidRPr="00586D4C" w:rsidR="00C00BE3">
        <w:t>he constitutional analysis</w:t>
      </w:r>
      <w:r w:rsidR="00C00BE3">
        <w:t xml:space="preserve"> will not differ </w:t>
      </w:r>
      <w:r w:rsidR="00852A9A">
        <w:t xml:space="preserve">if </w:t>
      </w:r>
      <w:r w:rsidR="00C00BE3">
        <w:t xml:space="preserve">defendant’s </w:t>
      </w:r>
      <w:r w:rsidR="00A656B1">
        <w:t xml:space="preserve">ultimate </w:t>
      </w:r>
      <w:r w:rsidR="00C00BE3">
        <w:t xml:space="preserve">aggregate </w:t>
      </w:r>
      <w:r w:rsidR="00F70A34">
        <w:t xml:space="preserve">sentence </w:t>
      </w:r>
      <w:r w:rsidR="00C00BE3">
        <w:t xml:space="preserve">is </w:t>
      </w:r>
      <w:r w:rsidR="00F076EB">
        <w:t xml:space="preserve">5 </w:t>
      </w:r>
      <w:r w:rsidR="00C00BE3">
        <w:t>years plus 135</w:t>
      </w:r>
      <w:r w:rsidR="00852A9A">
        <w:t> </w:t>
      </w:r>
      <w:r w:rsidR="00C00BE3">
        <w:t>years to life</w:t>
      </w:r>
      <w:r w:rsidR="00884366">
        <w:t>,</w:t>
      </w:r>
      <w:r w:rsidR="00C00BE3">
        <w:t xml:space="preserve"> 32</w:t>
      </w:r>
      <w:r w:rsidR="00884366">
        <w:t> </w:t>
      </w:r>
      <w:r w:rsidR="00C00BE3">
        <w:t>years plus 135 years to life</w:t>
      </w:r>
      <w:r w:rsidR="00884366">
        <w:t>, or any</w:t>
      </w:r>
      <w:r w:rsidR="00852A9A">
        <w:t xml:space="preserve"> intermediate</w:t>
      </w:r>
      <w:r w:rsidR="00884366">
        <w:t xml:space="preserve"> figure</w:t>
      </w:r>
      <w:r w:rsidR="00C00BE3">
        <w:t>.</w:t>
      </w:r>
    </w:p>
  </w:footnote>
  <w:footnote w:id="23">
    <w:p w:rsidR="00937ED0" w:rsidRPr="0085236C" w:rsidP="00937ED0" w14:paraId="2375A95C" w14:textId="469A6CE8">
      <w:pPr>
        <w:pStyle w:val="FootnoteText"/>
      </w:pPr>
      <w:r>
        <w:rPr>
          <w:rStyle w:val="FootnoteReference"/>
        </w:rPr>
        <w:footnoteRef/>
      </w:r>
      <w:r>
        <w:t xml:space="preserve"> </w:t>
      </w:r>
      <w:r w:rsidR="009110C4">
        <w:t xml:space="preserve">California law </w:t>
      </w:r>
      <w:r w:rsidR="00F44C53">
        <w:t>also permit</w:t>
      </w:r>
      <w:r w:rsidR="009110C4">
        <w:t>s</w:t>
      </w:r>
      <w:r w:rsidR="00F44C53">
        <w:t xml:space="preserve"> intra- and inter-jurisdictional proportionality review, </w:t>
      </w:r>
      <w:r w:rsidR="00166285">
        <w:t>i.e.</w:t>
      </w:r>
      <w:r w:rsidR="00F44C53">
        <w:t xml:space="preserve">, </w:t>
      </w:r>
      <w:r w:rsidRPr="00937ED0">
        <w:t>comparison of the punishment with th</w:t>
      </w:r>
      <w:r w:rsidR="009676B8">
        <w:t>ose</w:t>
      </w:r>
      <w:r w:rsidRPr="00937ED0">
        <w:t xml:space="preserve"> prescribed for more serious crimes in the </w:t>
      </w:r>
      <w:r w:rsidR="00040013">
        <w:t xml:space="preserve">same </w:t>
      </w:r>
      <w:r w:rsidRPr="00937ED0">
        <w:t xml:space="preserve">jurisdiction, and for the same </w:t>
      </w:r>
      <w:r w:rsidR="00040013">
        <w:t>crim</w:t>
      </w:r>
      <w:r w:rsidRPr="00937ED0">
        <w:t>e in other jurisdictions</w:t>
      </w:r>
      <w:r w:rsidR="00C90961">
        <w:t>.</w:t>
      </w:r>
      <w:r>
        <w:t xml:space="preserve"> </w:t>
      </w:r>
      <w:r w:rsidR="00C221A0">
        <w:t xml:space="preserve"> </w:t>
      </w:r>
      <w:r>
        <w:t>(</w:t>
      </w:r>
      <w:r w:rsidRPr="00FF027C" w:rsidR="00FF027C">
        <w:rPr>
          <w:i/>
          <w:iCs/>
        </w:rPr>
        <w:t>People v.</w:t>
      </w:r>
      <w:r w:rsidR="00FF027C">
        <w:t xml:space="preserve"> </w:t>
      </w:r>
      <w:r>
        <w:rPr>
          <w:i/>
          <w:iCs/>
        </w:rPr>
        <w:t>Russell</w:t>
      </w:r>
      <w:r>
        <w:t xml:space="preserve">, </w:t>
      </w:r>
      <w:r>
        <w:rPr>
          <w:i/>
          <w:iCs/>
        </w:rPr>
        <w:t>supra</w:t>
      </w:r>
      <w:r>
        <w:t>, 187</w:t>
      </w:r>
      <w:r w:rsidR="00106A02">
        <w:t> </w:t>
      </w:r>
      <w:r>
        <w:t>Cal.App.4th at p.</w:t>
      </w:r>
      <w:r w:rsidR="00974C5D">
        <w:t> </w:t>
      </w:r>
      <w:r>
        <w:t>993</w:t>
      </w:r>
      <w:r w:rsidR="00106A02">
        <w:t xml:space="preserve">.) </w:t>
      </w:r>
      <w:r w:rsidR="00C221A0">
        <w:t xml:space="preserve"> </w:t>
      </w:r>
      <w:r w:rsidR="00106A02">
        <w:t>Defendant</w:t>
      </w:r>
      <w:r w:rsidR="0093186D">
        <w:t>’s brief</w:t>
      </w:r>
      <w:r w:rsidR="008A1CBF">
        <w:t xml:space="preserve"> </w:t>
      </w:r>
      <w:r w:rsidR="00DC5AAD">
        <w:t xml:space="preserve">does not </w:t>
      </w:r>
      <w:r w:rsidR="0093186D">
        <w:t xml:space="preserve">set forth </w:t>
      </w:r>
      <w:r w:rsidR="00DC5AAD">
        <w:t xml:space="preserve">either </w:t>
      </w:r>
      <w:r w:rsidR="0093186D">
        <w:t xml:space="preserve">sort </w:t>
      </w:r>
      <w:r w:rsidR="00DC5AAD">
        <w:t xml:space="preserve">of </w:t>
      </w:r>
      <w:r w:rsidR="00106A02">
        <w:t>comparison</w:t>
      </w:r>
      <w:r w:rsidR="00EB0F73">
        <w:t>.</w:t>
      </w:r>
    </w:p>
  </w:footnote>
  <w:footnote w:id="24">
    <w:p w:rsidR="009860F5" w:rsidP="009860F5" w14:paraId="1E7F0EE5" w14:textId="02818077">
      <w:pPr>
        <w:spacing w:line="240" w:lineRule="auto"/>
      </w:pPr>
      <w:r w:rsidRPr="009860F5">
        <w:rPr>
          <w:rStyle w:val="FootnoteReference"/>
          <w:rFonts w:ascii="Symbol" w:eastAsia="Symbol" w:hAnsi="Symbol" w:cs="Symbol"/>
        </w:rPr>
        <w:t>*</w:t>
      </w:r>
      <w:r>
        <w:t xml:space="preserve"> </w:t>
      </w:r>
      <w:r w:rsidRPr="00ED1272">
        <w:t>Retired Presiding Justice of the Court of Appeal, First Appellate District, Division Four, assigned by the Chief Justice pursuant to article VI, section 6 of the California Constitution.</w:t>
      </w:r>
    </w:p>
  </w:footnote>
  <w:footnote w:id="25">
    <w:p w:rsidR="00FF06E4" w:rsidRPr="007905A6" w:rsidP="00FF06E4" w14:paraId="22F29620" w14:textId="0FB60F91">
      <w:pPr>
        <w:pStyle w:val="FootnoteText"/>
        <w:rPr>
          <w:szCs w:val="26"/>
        </w:rPr>
      </w:pPr>
      <w:r w:rsidRPr="004F070E">
        <w:rPr>
          <w:rStyle w:val="FootnoteReference"/>
          <w:szCs w:val="26"/>
        </w:rPr>
        <w:footnoteRef/>
      </w:r>
      <w:r w:rsidRPr="004F070E">
        <w:rPr>
          <w:szCs w:val="26"/>
        </w:rPr>
        <w:t xml:space="preserve"> See, e.g., Senate Bill No. 567 </w:t>
      </w:r>
      <w:r w:rsidRPr="004F070E">
        <w:t>(Stats</w:t>
      </w:r>
      <w:r w:rsidRPr="00B03D1A">
        <w:t xml:space="preserve">. 2021, ch. 731, §§ 1.3, 3(c)) (adding § 1170, subd. (b)(1)–(3) [revising the statutory sentencing triad in determinate sentencing cases to require that the chosen term shall not exceed the middle term absent specified findings]), </w:t>
      </w:r>
      <w:r w:rsidRPr="00B03D1A">
        <w:rPr>
          <w:rFonts w:cs="Arial"/>
          <w:szCs w:val="26"/>
        </w:rPr>
        <w:t xml:space="preserve">Proposition 36 </w:t>
      </w:r>
      <w:r w:rsidRPr="00C82AF1">
        <w:rPr>
          <w:rFonts w:cs="Arial"/>
          <w:szCs w:val="26"/>
        </w:rPr>
        <w:t>(</w:t>
      </w:r>
      <w:r w:rsidRPr="00B03D1A">
        <w:rPr>
          <w:rFonts w:cs="Arial"/>
          <w:szCs w:val="26"/>
        </w:rPr>
        <w:t>ballot initiative reducing the punishment imposed when a defendant’s third felony conviction is not serious or violent [</w:t>
      </w:r>
      <w:r w:rsidRPr="00AC1223">
        <w:rPr>
          <w:rFonts w:cs="Arial"/>
          <w:szCs w:val="26"/>
          <w:bdr w:val="none" w:sz="0" w:space="0" w:color="auto" w:frame="1"/>
        </w:rPr>
        <w:t>§§ 667, subd. (e)(2)(c)</w:t>
      </w:r>
      <w:r w:rsidRPr="00B03D1A">
        <w:rPr>
          <w:rFonts w:cs="Arial"/>
          <w:szCs w:val="26"/>
        </w:rPr>
        <w:t>, </w:t>
      </w:r>
      <w:r w:rsidRPr="00AC1223">
        <w:rPr>
          <w:rFonts w:cs="Arial"/>
          <w:szCs w:val="26"/>
          <w:bdr w:val="none" w:sz="0" w:space="0" w:color="auto" w:frame="1"/>
        </w:rPr>
        <w:t>1170.12, subd. (c)(2)(C)</w:t>
      </w:r>
      <w:r w:rsidRPr="00B03D1A">
        <w:rPr>
          <w:rFonts w:cs="Arial"/>
          <w:szCs w:val="26"/>
        </w:rPr>
        <w:t xml:space="preserve">, as amended by </w:t>
      </w:r>
      <w:r w:rsidRPr="00792D2B">
        <w:rPr>
          <w:rFonts w:cs="Arial"/>
          <w:szCs w:val="26"/>
        </w:rPr>
        <w:t>Prop. 36</w:t>
      </w:r>
      <w:r w:rsidRPr="00B03D1A">
        <w:rPr>
          <w:rFonts w:cs="Arial"/>
          <w:szCs w:val="26"/>
        </w:rPr>
        <w:t xml:space="preserve">, §§ 2, </w:t>
      </w:r>
      <w:r w:rsidRPr="00792D2B">
        <w:rPr>
          <w:rFonts w:cs="Arial"/>
          <w:szCs w:val="26"/>
        </w:rPr>
        <w:t>4</w:t>
      </w:r>
      <w:r w:rsidRPr="00B03D1A">
        <w:rPr>
          <w:rFonts w:cs="Arial"/>
          <w:szCs w:val="26"/>
        </w:rPr>
        <w:t>, approved by the voters at Gen</w:t>
      </w:r>
      <w:r w:rsidR="00792D2B">
        <w:rPr>
          <w:rFonts w:cs="Arial"/>
          <w:szCs w:val="26"/>
        </w:rPr>
        <w:t>.</w:t>
      </w:r>
      <w:r w:rsidRPr="00B03D1A">
        <w:rPr>
          <w:rFonts w:cs="Arial"/>
          <w:szCs w:val="26"/>
        </w:rPr>
        <w:t xml:space="preserve"> Elec. (Nov. 6, 2012)]).</w:t>
      </w:r>
    </w:p>
  </w:footnote>
  <w:footnote w:id="26">
    <w:p w:rsidR="00FF06E4" w:rsidRPr="003B4781" w:rsidP="00FF06E4" w14:paraId="4F75FD1A" w14:textId="57540971">
      <w:pPr>
        <w:pStyle w:val="FootnoteText"/>
        <w:rPr>
          <w:rFonts w:cs="Arial"/>
          <w:szCs w:val="26"/>
          <w:shd w:val="clear" w:color="auto" w:fill="FFFFFF"/>
        </w:rPr>
      </w:pPr>
      <w:r w:rsidRPr="003B4781">
        <w:rPr>
          <w:rStyle w:val="FootnoteReference"/>
          <w:szCs w:val="26"/>
        </w:rPr>
        <w:footnoteRef/>
      </w:r>
      <w:r w:rsidRPr="003B4781">
        <w:rPr>
          <w:szCs w:val="26"/>
        </w:rPr>
        <w:t xml:space="preserve"> </w:t>
      </w:r>
      <w:r>
        <w:rPr>
          <w:szCs w:val="26"/>
        </w:rPr>
        <w:t>See, e</w:t>
      </w:r>
      <w:r w:rsidRPr="003B4781">
        <w:rPr>
          <w:szCs w:val="26"/>
        </w:rPr>
        <w:t>.g.</w:t>
      </w:r>
      <w:r>
        <w:rPr>
          <w:szCs w:val="26"/>
        </w:rPr>
        <w:t>,</w:t>
      </w:r>
      <w:r w:rsidRPr="003B4781">
        <w:rPr>
          <w:szCs w:val="26"/>
        </w:rPr>
        <w:t xml:space="preserve"> </w:t>
      </w:r>
      <w:r w:rsidRPr="0092417C">
        <w:rPr>
          <w:rFonts w:cs="Arial"/>
          <w:szCs w:val="26"/>
        </w:rPr>
        <w:t>Sen</w:t>
      </w:r>
      <w:r>
        <w:rPr>
          <w:rFonts w:cs="Arial"/>
          <w:szCs w:val="26"/>
        </w:rPr>
        <w:t>ate</w:t>
      </w:r>
      <w:r w:rsidRPr="0092417C">
        <w:rPr>
          <w:rFonts w:cs="Arial"/>
          <w:szCs w:val="26"/>
        </w:rPr>
        <w:t xml:space="preserve"> Bill No.</w:t>
      </w:r>
      <w:r>
        <w:rPr>
          <w:rFonts w:cs="Arial"/>
          <w:szCs w:val="26"/>
        </w:rPr>
        <w:t> </w:t>
      </w:r>
      <w:r w:rsidRPr="00BB7578">
        <w:rPr>
          <w:rFonts w:cs="Arial"/>
          <w:szCs w:val="26"/>
        </w:rPr>
        <w:t>1437</w:t>
      </w:r>
      <w:r w:rsidR="0051285C">
        <w:rPr>
          <w:rFonts w:cs="Arial"/>
          <w:szCs w:val="26"/>
        </w:rPr>
        <w:t xml:space="preserve"> </w:t>
      </w:r>
      <w:r w:rsidRPr="00BB7578" w:rsidR="0051285C">
        <w:rPr>
          <w:rFonts w:cs="Arial"/>
          <w:szCs w:val="26"/>
        </w:rPr>
        <w:t>(Stats. 2018, ch. 1015, §§ 1, 4</w:t>
      </w:r>
      <w:r w:rsidRPr="00BB7578" w:rsidR="0051285C">
        <w:t>)</w:t>
      </w:r>
      <w:r w:rsidRPr="00BB7578">
        <w:rPr>
          <w:rFonts w:cs="Arial"/>
          <w:szCs w:val="26"/>
        </w:rPr>
        <w:t xml:space="preserve"> (ameliorative revision of homicide law adding statutory procedure that permits defendants previously convicted of murder under a felony murder or natural and probable consequences theory to petition for resentencing</w:t>
      </w:r>
      <w:r w:rsidRPr="00FE704C">
        <w:rPr>
          <w:rFonts w:cs="Arial"/>
          <w:szCs w:val="26"/>
        </w:rPr>
        <w:t>),</w:t>
      </w:r>
      <w:r w:rsidRPr="00BB7578">
        <w:rPr>
          <w:rFonts w:cs="Arial"/>
          <w:szCs w:val="26"/>
        </w:rPr>
        <w:t xml:space="preserve"> Proposition 47 </w:t>
      </w:r>
      <w:r w:rsidRPr="00FE704C" w:rsidR="00E7467A">
        <w:t>(</w:t>
      </w:r>
      <w:r w:rsidRPr="0092417C" w:rsidR="00E7467A">
        <w:rPr>
          <w:rFonts w:cs="Arial"/>
          <w:szCs w:val="26"/>
        </w:rPr>
        <w:t xml:space="preserve">approved by the voters at Gen. Elec. </w:t>
      </w:r>
      <w:r w:rsidR="00E7467A">
        <w:rPr>
          <w:rFonts w:cs="Arial"/>
          <w:szCs w:val="26"/>
        </w:rPr>
        <w:t>(</w:t>
      </w:r>
      <w:r w:rsidRPr="0092417C" w:rsidR="00E7467A">
        <w:rPr>
          <w:rFonts w:cs="Arial"/>
          <w:szCs w:val="26"/>
        </w:rPr>
        <w:t>Nov.</w:t>
      </w:r>
      <w:r w:rsidR="00E7467A">
        <w:rPr>
          <w:rFonts w:cs="Arial"/>
          <w:szCs w:val="26"/>
        </w:rPr>
        <w:t> </w:t>
      </w:r>
      <w:r w:rsidRPr="0092417C" w:rsidR="00E7467A">
        <w:rPr>
          <w:rFonts w:cs="Arial"/>
          <w:szCs w:val="26"/>
        </w:rPr>
        <w:t xml:space="preserve">4, </w:t>
      </w:r>
      <w:r w:rsidRPr="00BB7578" w:rsidR="00E7467A">
        <w:rPr>
          <w:rFonts w:cs="Arial"/>
          <w:szCs w:val="26"/>
        </w:rPr>
        <w:t>2014)</w:t>
      </w:r>
      <w:r w:rsidR="00E7467A">
        <w:rPr>
          <w:rFonts w:cs="Arial"/>
          <w:szCs w:val="26"/>
        </w:rPr>
        <w:t xml:space="preserve"> and codified as </w:t>
      </w:r>
      <w:r w:rsidRPr="0092417C" w:rsidR="00E7467A">
        <w:rPr>
          <w:rFonts w:cs="Arial"/>
          <w:szCs w:val="26"/>
        </w:rPr>
        <w:t>§</w:t>
      </w:r>
      <w:r w:rsidR="00E7467A">
        <w:rPr>
          <w:rFonts w:cs="Arial"/>
          <w:szCs w:val="26"/>
        </w:rPr>
        <w:t> </w:t>
      </w:r>
      <w:r w:rsidRPr="0092417C" w:rsidR="00E7467A">
        <w:rPr>
          <w:rFonts w:cs="Arial"/>
          <w:szCs w:val="26"/>
        </w:rPr>
        <w:t>1170.18</w:t>
      </w:r>
      <w:r w:rsidRPr="00FE704C" w:rsidR="00E7467A">
        <w:rPr>
          <w:rFonts w:cs="Arial"/>
          <w:szCs w:val="26"/>
        </w:rPr>
        <w:t xml:space="preserve"> </w:t>
      </w:r>
      <w:r w:rsidRPr="00FE704C" w:rsidR="00007992">
        <w:rPr>
          <w:rFonts w:cs="Arial"/>
          <w:szCs w:val="26"/>
        </w:rPr>
        <w:t>[</w:t>
      </w:r>
      <w:r w:rsidRPr="00BB7578">
        <w:rPr>
          <w:rFonts w:cs="Arial"/>
          <w:szCs w:val="26"/>
        </w:rPr>
        <w:t>amelior</w:t>
      </w:r>
      <w:r w:rsidRPr="0092417C">
        <w:rPr>
          <w:rFonts w:cs="Arial"/>
          <w:szCs w:val="26"/>
        </w:rPr>
        <w:t xml:space="preserve">ative revision of various penal laws that reclassifies </w:t>
      </w:r>
      <w:r w:rsidRPr="0092417C">
        <w:t>as misdemeanors certain narcotics and theft offenses previously cast as felonies and allows felons convicted under reclassified laws to petition for resentencing</w:t>
      </w:r>
      <w:r w:rsidRPr="00FE704C" w:rsidR="00007992">
        <w:t>]</w:t>
      </w:r>
      <w:r w:rsidRPr="00FE704C" w:rsidR="005D0DC8">
        <w:t>)</w:t>
      </w:r>
      <w:r w:rsidRPr="00FE704C">
        <w:t>.</w:t>
      </w:r>
    </w:p>
  </w:footnote>
  <w:footnote w:id="27">
    <w:p w:rsidR="00FF06E4" w:rsidP="00FF06E4" w14:paraId="7C7BA01D" w14:textId="77777777">
      <w:pPr>
        <w:pStyle w:val="FootnoteText"/>
      </w:pPr>
      <w:r w:rsidRPr="00A3542B">
        <w:rPr>
          <w:rStyle w:val="FootnoteReference"/>
          <w:szCs w:val="26"/>
        </w:rPr>
        <w:footnoteRef/>
      </w:r>
      <w:r w:rsidRPr="00A3542B">
        <w:rPr>
          <w:szCs w:val="26"/>
        </w:rPr>
        <w:t xml:space="preserve"> </w:t>
      </w:r>
      <w:r>
        <w:rPr>
          <w:szCs w:val="26"/>
        </w:rPr>
        <w:t>See, e</w:t>
      </w:r>
      <w:r w:rsidRPr="00767A28">
        <w:rPr>
          <w:szCs w:val="26"/>
        </w:rPr>
        <w:t>.g.</w:t>
      </w:r>
      <w:r>
        <w:rPr>
          <w:szCs w:val="26"/>
        </w:rPr>
        <w:t>,</w:t>
      </w:r>
      <w:r w:rsidRPr="00767A28">
        <w:rPr>
          <w:szCs w:val="26"/>
        </w:rPr>
        <w:t xml:space="preserve"> </w:t>
      </w:r>
      <w:r w:rsidRPr="00D42915">
        <w:rPr>
          <w:rStyle w:val="Emphasis"/>
          <w:rFonts w:cs="Arial"/>
          <w:color w:val="000000"/>
          <w:szCs w:val="26"/>
          <w:bdr w:val="none" w:sz="0" w:space="0" w:color="auto" w:frame="1"/>
        </w:rPr>
        <w:t>Roper v. Simmons</w:t>
      </w:r>
      <w:r>
        <w:rPr>
          <w:rFonts w:cs="Arial"/>
          <w:color w:val="000000"/>
          <w:szCs w:val="26"/>
        </w:rPr>
        <w:t xml:space="preserve"> </w:t>
      </w:r>
      <w:r w:rsidRPr="0092417C">
        <w:rPr>
          <w:rFonts w:cs="Arial"/>
          <w:color w:val="000000"/>
          <w:szCs w:val="26"/>
        </w:rPr>
        <w:t>(2005) 543</w:t>
      </w:r>
      <w:r>
        <w:rPr>
          <w:rFonts w:cs="Arial"/>
          <w:color w:val="000000"/>
          <w:szCs w:val="26"/>
        </w:rPr>
        <w:t> </w:t>
      </w:r>
      <w:r w:rsidRPr="0092417C">
        <w:rPr>
          <w:rFonts w:cs="Arial"/>
          <w:color w:val="000000"/>
          <w:szCs w:val="26"/>
        </w:rPr>
        <w:t>U.S. 551,</w:t>
      </w:r>
      <w:r>
        <w:rPr>
          <w:rFonts w:cs="Arial"/>
          <w:color w:val="000000"/>
          <w:szCs w:val="26"/>
        </w:rPr>
        <w:t xml:space="preserve"> </w:t>
      </w:r>
      <w:r w:rsidRPr="0092417C">
        <w:rPr>
          <w:rFonts w:cs="Arial"/>
          <w:color w:val="000000"/>
          <w:szCs w:val="26"/>
        </w:rPr>
        <w:t xml:space="preserve">568, </w:t>
      </w:r>
      <w:r w:rsidRPr="0092417C">
        <w:rPr>
          <w:rStyle w:val="Emphasis"/>
          <w:rFonts w:cs="Arial"/>
          <w:color w:val="000000"/>
          <w:szCs w:val="26"/>
          <w:bdr w:val="none" w:sz="0" w:space="0" w:color="auto" w:frame="1"/>
        </w:rPr>
        <w:t>Graham v. Florida</w:t>
      </w:r>
      <w:r>
        <w:rPr>
          <w:rFonts w:cs="Arial"/>
          <w:color w:val="000000"/>
          <w:szCs w:val="26"/>
        </w:rPr>
        <w:t xml:space="preserve"> </w:t>
      </w:r>
      <w:r w:rsidRPr="0092417C">
        <w:rPr>
          <w:rFonts w:cs="Arial"/>
          <w:color w:val="000000"/>
          <w:szCs w:val="26"/>
        </w:rPr>
        <w:t>(2010) 560</w:t>
      </w:r>
      <w:r>
        <w:rPr>
          <w:rFonts w:cs="Arial"/>
          <w:color w:val="000000"/>
          <w:szCs w:val="26"/>
        </w:rPr>
        <w:t> </w:t>
      </w:r>
      <w:r w:rsidRPr="0092417C">
        <w:rPr>
          <w:rFonts w:cs="Arial"/>
          <w:color w:val="000000"/>
          <w:szCs w:val="26"/>
        </w:rPr>
        <w:t>U.S. 48, 75, and</w:t>
      </w:r>
      <w:r>
        <w:rPr>
          <w:rFonts w:cs="Arial"/>
          <w:color w:val="000000"/>
          <w:szCs w:val="26"/>
        </w:rPr>
        <w:t xml:space="preserve"> </w:t>
      </w:r>
      <w:r w:rsidRPr="0092417C">
        <w:rPr>
          <w:rStyle w:val="Emphasis"/>
          <w:rFonts w:cs="Arial"/>
          <w:color w:val="000000"/>
          <w:szCs w:val="26"/>
          <w:bdr w:val="none" w:sz="0" w:space="0" w:color="auto" w:frame="1"/>
        </w:rPr>
        <w:t>Miller v. Alabama</w:t>
      </w:r>
      <w:r>
        <w:rPr>
          <w:rFonts w:cs="Arial"/>
          <w:color w:val="000000"/>
          <w:szCs w:val="26"/>
        </w:rPr>
        <w:t xml:space="preserve"> </w:t>
      </w:r>
      <w:r w:rsidRPr="0092417C">
        <w:rPr>
          <w:rFonts w:cs="Arial"/>
          <w:color w:val="000000"/>
          <w:szCs w:val="26"/>
        </w:rPr>
        <w:t>(2012) 567</w:t>
      </w:r>
      <w:r>
        <w:rPr>
          <w:rFonts w:cs="Arial"/>
          <w:color w:val="000000"/>
          <w:szCs w:val="26"/>
        </w:rPr>
        <w:t> </w:t>
      </w:r>
      <w:r w:rsidRPr="0092417C">
        <w:rPr>
          <w:rFonts w:cs="Arial"/>
          <w:color w:val="000000"/>
          <w:szCs w:val="26"/>
        </w:rPr>
        <w:t xml:space="preserve">U.S. 460, 465 </w:t>
      </w:r>
      <w:r>
        <w:rPr>
          <w:rFonts w:cs="Arial"/>
          <w:color w:val="000000"/>
          <w:szCs w:val="26"/>
        </w:rPr>
        <w:t>(</w:t>
      </w:r>
      <w:r w:rsidRPr="0092417C">
        <w:rPr>
          <w:rFonts w:cs="Arial"/>
          <w:color w:val="000000"/>
          <w:szCs w:val="26"/>
        </w:rPr>
        <w:t>curtailing on Eighth Amendment grounds the imposition of sentences of death or life without the possibility of parole for juvenile offender</w:t>
      </w:r>
      <w:r>
        <w:rPr>
          <w:rFonts w:cs="Arial"/>
          <w:color w:val="000000"/>
          <w:szCs w:val="26"/>
        </w:rPr>
        <w:t>s)</w:t>
      </w:r>
      <w:r w:rsidRPr="0092417C">
        <w:rPr>
          <w:rFonts w:cs="Arial"/>
          <w:color w:val="000000"/>
          <w:szCs w:val="26"/>
        </w:rPr>
        <w:t>.</w:t>
      </w:r>
    </w:p>
  </w:footnote>
  <w:footnote w:id="28">
    <w:p w:rsidR="00FF06E4" w:rsidP="00FF06E4" w14:paraId="2DBA784A" w14:textId="77777777">
      <w:pPr>
        <w:spacing w:line="240" w:lineRule="auto"/>
      </w:pPr>
      <w:r>
        <w:rPr>
          <w:rStyle w:val="FootnoteReference"/>
        </w:rPr>
        <w:t>*</w:t>
      </w:r>
      <w:r>
        <w:t xml:space="preserve"> </w:t>
      </w:r>
      <w:r w:rsidRPr="00ED1272">
        <w:t>Retired Presiding Justice of the Court of Appeal, First Appellate District, Division Four, assigned by the Chief Justice pursuant to article VI, section 6 of the California Constitution.</w:t>
      </w:r>
    </w:p>
  </w:footnote>
  <w:footnote w:id="29">
    <w:p w:rsidR="00627E4B" w:rsidP="004147FE" w14:paraId="6A112D86" w14:textId="368469AA">
      <w:pPr>
        <w:spacing w:line="240" w:lineRule="auto"/>
      </w:pPr>
      <w:r>
        <w:rPr>
          <w:rStyle w:val="FootnoteReference"/>
        </w:rPr>
        <w:t>*</w:t>
      </w:r>
      <w:r>
        <w:t xml:space="preserve"> </w:t>
      </w:r>
      <w:r w:rsidRPr="00ED1272" w:rsidR="004147FE">
        <w:t>Retired Presiding Justice of the Court of Appeal, First Appellate District, Division Four, assigned by the Chief Justice pursuant to article VI, section 6 of the California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22BF" w14:paraId="019444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22BF" w14:paraId="7319A30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22BF" w14:paraId="7825A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60940"/>
    <w:multiLevelType w:val="hybridMultilevel"/>
    <w:tmpl w:val="17D6DD34"/>
    <w:lvl w:ilvl="0">
      <w:start w:val="1"/>
      <w:numFmt w:val="upperLetter"/>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3D2875"/>
    <w:multiLevelType w:val="hybridMultilevel"/>
    <w:tmpl w:val="4DAE9A1C"/>
    <w:lvl w:ilvl="0">
      <w:start w:val="1"/>
      <w:numFmt w:val="lowerRoman"/>
      <w:pStyle w:val="Heading5"/>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
    <w:nsid w:val="0D7A2713"/>
    <w:multiLevelType w:val="hybridMultilevel"/>
    <w:tmpl w:val="8CDC773C"/>
    <w:lvl w:ilvl="0">
      <w:start w:val="1"/>
      <w:numFmt w:val="upperLetter"/>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1E7D42"/>
    <w:multiLevelType w:val="hybridMultilevel"/>
    <w:tmpl w:val="A8CC11C4"/>
    <w:lvl w:ilvl="0">
      <w:start w:val="1"/>
      <w:numFmt w:val="upperRoman"/>
      <w:pStyle w:val="Heading1"/>
      <w:lvlText w:val="%1."/>
      <w:lvlJc w:val="right"/>
      <w:pPr>
        <w:ind w:left="72" w:hanging="72"/>
      </w:pPr>
      <w:rPr>
        <w:rFonts w:hint="default"/>
        <w:b/>
        <w:i w:val="0"/>
        <w:sz w:val="26"/>
      </w:rPr>
    </w:lvl>
    <w:lvl w:ilvl="1" w:tentative="1">
      <w:start w:val="1"/>
      <w:numFmt w:val="lowerLetter"/>
      <w:lvlText w:val="%2."/>
      <w:lvlJc w:val="left"/>
      <w:pPr>
        <w:ind w:left="8010" w:hanging="360"/>
      </w:pPr>
    </w:lvl>
    <w:lvl w:ilvl="2" w:tentative="1">
      <w:start w:val="1"/>
      <w:numFmt w:val="lowerRoman"/>
      <w:lvlText w:val="%3."/>
      <w:lvlJc w:val="right"/>
      <w:pPr>
        <w:ind w:left="8730" w:hanging="180"/>
      </w:pPr>
    </w:lvl>
    <w:lvl w:ilvl="3" w:tentative="1">
      <w:start w:val="1"/>
      <w:numFmt w:val="decimal"/>
      <w:lvlText w:val="%4."/>
      <w:lvlJc w:val="left"/>
      <w:pPr>
        <w:ind w:left="9450" w:hanging="360"/>
      </w:pPr>
    </w:lvl>
    <w:lvl w:ilvl="4" w:tentative="1">
      <w:start w:val="1"/>
      <w:numFmt w:val="lowerLetter"/>
      <w:lvlText w:val="%5."/>
      <w:lvlJc w:val="left"/>
      <w:pPr>
        <w:ind w:left="10170" w:hanging="360"/>
      </w:pPr>
    </w:lvl>
    <w:lvl w:ilvl="5" w:tentative="1">
      <w:start w:val="1"/>
      <w:numFmt w:val="lowerRoman"/>
      <w:lvlText w:val="%6."/>
      <w:lvlJc w:val="right"/>
      <w:pPr>
        <w:ind w:left="10890" w:hanging="180"/>
      </w:pPr>
    </w:lvl>
    <w:lvl w:ilvl="6" w:tentative="1">
      <w:start w:val="1"/>
      <w:numFmt w:val="decimal"/>
      <w:lvlText w:val="%7."/>
      <w:lvlJc w:val="left"/>
      <w:pPr>
        <w:ind w:left="11610" w:hanging="360"/>
      </w:pPr>
    </w:lvl>
    <w:lvl w:ilvl="7" w:tentative="1">
      <w:start w:val="1"/>
      <w:numFmt w:val="lowerLetter"/>
      <w:lvlText w:val="%8."/>
      <w:lvlJc w:val="left"/>
      <w:pPr>
        <w:ind w:left="12330" w:hanging="360"/>
      </w:pPr>
    </w:lvl>
    <w:lvl w:ilvl="8" w:tentative="1">
      <w:start w:val="1"/>
      <w:numFmt w:val="lowerRoman"/>
      <w:lvlText w:val="%9."/>
      <w:lvlJc w:val="right"/>
      <w:pPr>
        <w:ind w:left="13050" w:hanging="180"/>
      </w:pPr>
    </w:lvl>
  </w:abstractNum>
  <w:abstractNum w:abstractNumId="4">
    <w:nsid w:val="235237E1"/>
    <w:multiLevelType w:val="hybridMultilevel"/>
    <w:tmpl w:val="060072D4"/>
    <w:lvl w:ilvl="0">
      <w:start w:val="1"/>
      <w:numFmt w:val="upperLetter"/>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8555485"/>
    <w:multiLevelType w:val="hybridMultilevel"/>
    <w:tmpl w:val="95B0E46E"/>
    <w:lvl w:ilvl="0">
      <w:start w:val="1"/>
      <w:numFmt w:val="decimal"/>
      <w:pStyle w:val="Heading3"/>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BC53C32"/>
    <w:multiLevelType w:val="hybridMultilevel"/>
    <w:tmpl w:val="0D9A1476"/>
    <w:lvl w:ilvl="0">
      <w:start w:val="1"/>
      <w:numFmt w:val="upperLetter"/>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7C30E2"/>
    <w:multiLevelType w:val="hybridMultilevel"/>
    <w:tmpl w:val="1FC2E096"/>
    <w:lvl w:ilvl="0">
      <w:start w:val="1"/>
      <w:numFmt w:val="lowerLetter"/>
      <w:pStyle w:val="Heading4"/>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68E97FF9"/>
    <w:multiLevelType w:val="hybridMultilevel"/>
    <w:tmpl w:val="87BCD13A"/>
    <w:lvl w:ilvl="0">
      <w:start w:val="1"/>
      <w:numFmt w:val="upperLetter"/>
      <w:pStyle w:val="Heading2"/>
      <w:lvlText w:val="%1."/>
      <w:lvlJc w:val="left"/>
      <w:pPr>
        <w:ind w:left="1080" w:hanging="360"/>
      </w:pPr>
      <w:rPr>
        <w:rFonts w:ascii="Century Schoolbook" w:hAnsi="Century Schoolbook" w:hint="default"/>
        <w:b/>
        <w:i w:val="0"/>
        <w:caps w:val="0"/>
        <w:strike w:val="0"/>
        <w:dstrike w:val="0"/>
        <w:vanish w:val="0"/>
        <w:sz w:val="26"/>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CFC3FEC"/>
    <w:multiLevelType w:val="hybridMultilevel"/>
    <w:tmpl w:val="F0B87132"/>
    <w:lvl w:ilvl="0">
      <w:start w:val="1"/>
      <w:numFmt w:val="upperLetter"/>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1"/>
  </w:num>
  <w:num w:numId="19">
    <w:abstractNumId w:val="4"/>
  </w:num>
  <w:num w:numId="20">
    <w:abstractNumId w:val="2"/>
  </w:num>
  <w:num w:numId="21">
    <w:abstractNumId w:val="0"/>
  </w:num>
  <w:num w:numId="22">
    <w:abstractNumId w:val="0"/>
    <w:lvlOverride w:ilvl="0">
      <w:startOverride w:val="1"/>
    </w:lvlOverride>
  </w:num>
  <w:num w:numId="23">
    <w:abstractNumId w:val="0"/>
    <w:lvlOverride w:ilvl="0">
      <w:lvl w:ilvl="0">
        <w:start w:val="1"/>
        <w:numFmt w:val="upperLetter"/>
        <w:lvlText w:val="%1."/>
        <w:lvlJc w:val="left"/>
        <w:pPr>
          <w:ind w:left="720" w:hanging="360"/>
        </w:pPr>
        <w:rPr>
          <w:rFonts w:hint="default"/>
          <w:i w:val="0"/>
          <w:iCs/>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4">
    <w:abstractNumId w:val="9"/>
  </w:num>
  <w:num w:numId="25">
    <w:abstractNumId w:val="0"/>
    <w:lvlOverride w:ilvl="0">
      <w:lvl w:ilvl="0">
        <w:start w:val="1"/>
        <w:numFmt w:val="upperLetter"/>
        <w:lvlText w:val="%1."/>
        <w:lvlJc w:val="left"/>
        <w:pPr>
          <w:ind w:left="720" w:hanging="360"/>
        </w:pPr>
        <w:rPr>
          <w:rFonts w:hint="default"/>
          <w:i w:val="0"/>
          <w:iCs/>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6">
    <w:abstractNumId w:val="8"/>
  </w:num>
  <w:num w:numId="27">
    <w:abstractNumId w:val="0"/>
    <w:lvlOverride w:ilvl="0">
      <w:lvl w:ilvl="0">
        <w:start w:val="1"/>
        <w:numFmt w:val="upperLetter"/>
        <w:lvlText w:val="%1."/>
        <w:lvlJc w:val="left"/>
        <w:pPr>
          <w:ind w:left="720" w:hanging="360"/>
        </w:pPr>
        <w:rPr>
          <w:rFonts w:hint="default"/>
          <w:i w:val="0"/>
          <w:iCs/>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8">
    <w:abstractNumId w:val="0"/>
    <w:lvlOverride w:ilvl="0">
      <w:lvl w:ilvl="0">
        <w:start w:val="1"/>
        <w:numFmt w:val="upperLetter"/>
        <w:lvlText w:val="%1."/>
        <w:lvlJc w:val="left"/>
        <w:pPr>
          <w:ind w:left="720" w:hanging="360"/>
        </w:pPr>
        <w:rPr>
          <w:rFonts w:hint="default"/>
          <w:i w:val="0"/>
          <w:iCs/>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68"/>
    <w:rsid w:val="0000093F"/>
    <w:rsid w:val="00000DE4"/>
    <w:rsid w:val="0000169D"/>
    <w:rsid w:val="000016A9"/>
    <w:rsid w:val="00001D32"/>
    <w:rsid w:val="000023B0"/>
    <w:rsid w:val="0000248D"/>
    <w:rsid w:val="00002653"/>
    <w:rsid w:val="00002795"/>
    <w:rsid w:val="00002C01"/>
    <w:rsid w:val="00002D22"/>
    <w:rsid w:val="0000300A"/>
    <w:rsid w:val="000035F4"/>
    <w:rsid w:val="000036B4"/>
    <w:rsid w:val="00003859"/>
    <w:rsid w:val="00003CFB"/>
    <w:rsid w:val="00003D27"/>
    <w:rsid w:val="00004C74"/>
    <w:rsid w:val="00005176"/>
    <w:rsid w:val="00005D6A"/>
    <w:rsid w:val="00005FAD"/>
    <w:rsid w:val="00006390"/>
    <w:rsid w:val="000067A9"/>
    <w:rsid w:val="0000694A"/>
    <w:rsid w:val="00006A18"/>
    <w:rsid w:val="00006D92"/>
    <w:rsid w:val="00006DC1"/>
    <w:rsid w:val="00006FB8"/>
    <w:rsid w:val="00007233"/>
    <w:rsid w:val="000072F4"/>
    <w:rsid w:val="000075B8"/>
    <w:rsid w:val="00007873"/>
    <w:rsid w:val="0000796C"/>
    <w:rsid w:val="00007992"/>
    <w:rsid w:val="00011148"/>
    <w:rsid w:val="00011905"/>
    <w:rsid w:val="00011967"/>
    <w:rsid w:val="00012357"/>
    <w:rsid w:val="00012E85"/>
    <w:rsid w:val="000130E0"/>
    <w:rsid w:val="000130E9"/>
    <w:rsid w:val="000135D2"/>
    <w:rsid w:val="00013964"/>
    <w:rsid w:val="0001399A"/>
    <w:rsid w:val="00013D3D"/>
    <w:rsid w:val="00013E90"/>
    <w:rsid w:val="0001408A"/>
    <w:rsid w:val="0001504C"/>
    <w:rsid w:val="00015269"/>
    <w:rsid w:val="000152C6"/>
    <w:rsid w:val="00015735"/>
    <w:rsid w:val="0001603F"/>
    <w:rsid w:val="00016B33"/>
    <w:rsid w:val="00016ECC"/>
    <w:rsid w:val="00016F85"/>
    <w:rsid w:val="00017264"/>
    <w:rsid w:val="000177C0"/>
    <w:rsid w:val="00017BAE"/>
    <w:rsid w:val="0002000A"/>
    <w:rsid w:val="000201DD"/>
    <w:rsid w:val="0002039B"/>
    <w:rsid w:val="00021317"/>
    <w:rsid w:val="000219D8"/>
    <w:rsid w:val="00022271"/>
    <w:rsid w:val="00022BBB"/>
    <w:rsid w:val="000230D2"/>
    <w:rsid w:val="00023148"/>
    <w:rsid w:val="000231D4"/>
    <w:rsid w:val="000232C3"/>
    <w:rsid w:val="000238A0"/>
    <w:rsid w:val="00023D77"/>
    <w:rsid w:val="0002429D"/>
    <w:rsid w:val="000247E3"/>
    <w:rsid w:val="00025109"/>
    <w:rsid w:val="000252F5"/>
    <w:rsid w:val="0002533A"/>
    <w:rsid w:val="00025626"/>
    <w:rsid w:val="000258C8"/>
    <w:rsid w:val="00026651"/>
    <w:rsid w:val="000270C2"/>
    <w:rsid w:val="00027965"/>
    <w:rsid w:val="00027CA9"/>
    <w:rsid w:val="000306C5"/>
    <w:rsid w:val="000308A2"/>
    <w:rsid w:val="00030F39"/>
    <w:rsid w:val="00030F5C"/>
    <w:rsid w:val="000315B9"/>
    <w:rsid w:val="00031E49"/>
    <w:rsid w:val="00031F9D"/>
    <w:rsid w:val="00031FD6"/>
    <w:rsid w:val="000330F3"/>
    <w:rsid w:val="000335C9"/>
    <w:rsid w:val="00033C9A"/>
    <w:rsid w:val="0003422B"/>
    <w:rsid w:val="000345E6"/>
    <w:rsid w:val="00035EA5"/>
    <w:rsid w:val="000367F4"/>
    <w:rsid w:val="0003707D"/>
    <w:rsid w:val="00040013"/>
    <w:rsid w:val="00040052"/>
    <w:rsid w:val="0004131D"/>
    <w:rsid w:val="00041879"/>
    <w:rsid w:val="000421E0"/>
    <w:rsid w:val="000424C6"/>
    <w:rsid w:val="000424E7"/>
    <w:rsid w:val="000430F0"/>
    <w:rsid w:val="00043C30"/>
    <w:rsid w:val="00043F26"/>
    <w:rsid w:val="00044FAE"/>
    <w:rsid w:val="00045085"/>
    <w:rsid w:val="000451DC"/>
    <w:rsid w:val="00045223"/>
    <w:rsid w:val="00045521"/>
    <w:rsid w:val="00045A84"/>
    <w:rsid w:val="00045B33"/>
    <w:rsid w:val="00045BF7"/>
    <w:rsid w:val="00045DB6"/>
    <w:rsid w:val="00045DB7"/>
    <w:rsid w:val="000465AA"/>
    <w:rsid w:val="00047849"/>
    <w:rsid w:val="000478CE"/>
    <w:rsid w:val="000478E1"/>
    <w:rsid w:val="00047953"/>
    <w:rsid w:val="00047EED"/>
    <w:rsid w:val="000504D8"/>
    <w:rsid w:val="0005064E"/>
    <w:rsid w:val="00050A1B"/>
    <w:rsid w:val="00051009"/>
    <w:rsid w:val="00051A08"/>
    <w:rsid w:val="00051E03"/>
    <w:rsid w:val="00052272"/>
    <w:rsid w:val="00052784"/>
    <w:rsid w:val="00052907"/>
    <w:rsid w:val="000533E7"/>
    <w:rsid w:val="000535B0"/>
    <w:rsid w:val="0005364C"/>
    <w:rsid w:val="00053A57"/>
    <w:rsid w:val="00053AD7"/>
    <w:rsid w:val="00053CD0"/>
    <w:rsid w:val="00053FF0"/>
    <w:rsid w:val="00054145"/>
    <w:rsid w:val="00054218"/>
    <w:rsid w:val="0005479F"/>
    <w:rsid w:val="000547E6"/>
    <w:rsid w:val="0005493C"/>
    <w:rsid w:val="00054E35"/>
    <w:rsid w:val="00055581"/>
    <w:rsid w:val="00055C59"/>
    <w:rsid w:val="00056331"/>
    <w:rsid w:val="000568C1"/>
    <w:rsid w:val="00056E9F"/>
    <w:rsid w:val="00057B00"/>
    <w:rsid w:val="00057CD9"/>
    <w:rsid w:val="0006012B"/>
    <w:rsid w:val="000610C2"/>
    <w:rsid w:val="00061507"/>
    <w:rsid w:val="00061847"/>
    <w:rsid w:val="00061866"/>
    <w:rsid w:val="000622CC"/>
    <w:rsid w:val="00062357"/>
    <w:rsid w:val="00062443"/>
    <w:rsid w:val="000626F1"/>
    <w:rsid w:val="00062755"/>
    <w:rsid w:val="00062DA1"/>
    <w:rsid w:val="0006355C"/>
    <w:rsid w:val="00064631"/>
    <w:rsid w:val="0006470B"/>
    <w:rsid w:val="00064F46"/>
    <w:rsid w:val="00065953"/>
    <w:rsid w:val="00065A6E"/>
    <w:rsid w:val="00065D50"/>
    <w:rsid w:val="000663BF"/>
    <w:rsid w:val="00066793"/>
    <w:rsid w:val="00066D6B"/>
    <w:rsid w:val="00066FEE"/>
    <w:rsid w:val="00066FF2"/>
    <w:rsid w:val="0006709B"/>
    <w:rsid w:val="0006715F"/>
    <w:rsid w:val="00067A55"/>
    <w:rsid w:val="00070AB0"/>
    <w:rsid w:val="00070B4D"/>
    <w:rsid w:val="00070C5A"/>
    <w:rsid w:val="0007166B"/>
    <w:rsid w:val="000716CD"/>
    <w:rsid w:val="00071730"/>
    <w:rsid w:val="000725C9"/>
    <w:rsid w:val="000728B5"/>
    <w:rsid w:val="000729AB"/>
    <w:rsid w:val="00072C70"/>
    <w:rsid w:val="00072EE3"/>
    <w:rsid w:val="0007318F"/>
    <w:rsid w:val="00073389"/>
    <w:rsid w:val="0007383D"/>
    <w:rsid w:val="00073AE5"/>
    <w:rsid w:val="0007405E"/>
    <w:rsid w:val="00074848"/>
    <w:rsid w:val="00074FCA"/>
    <w:rsid w:val="00074FD5"/>
    <w:rsid w:val="00075292"/>
    <w:rsid w:val="0007540E"/>
    <w:rsid w:val="00075EB5"/>
    <w:rsid w:val="00076624"/>
    <w:rsid w:val="000775C3"/>
    <w:rsid w:val="000775FA"/>
    <w:rsid w:val="00077AAD"/>
    <w:rsid w:val="00080319"/>
    <w:rsid w:val="0008040F"/>
    <w:rsid w:val="00080A06"/>
    <w:rsid w:val="00080EC5"/>
    <w:rsid w:val="00080ECD"/>
    <w:rsid w:val="00080F2A"/>
    <w:rsid w:val="00081D27"/>
    <w:rsid w:val="0008220F"/>
    <w:rsid w:val="00082459"/>
    <w:rsid w:val="000826D9"/>
    <w:rsid w:val="000829CE"/>
    <w:rsid w:val="00082C48"/>
    <w:rsid w:val="00082FFC"/>
    <w:rsid w:val="0008323B"/>
    <w:rsid w:val="00083653"/>
    <w:rsid w:val="00083F99"/>
    <w:rsid w:val="00084B7E"/>
    <w:rsid w:val="00084C63"/>
    <w:rsid w:val="00085307"/>
    <w:rsid w:val="00085855"/>
    <w:rsid w:val="000859B2"/>
    <w:rsid w:val="00085EDC"/>
    <w:rsid w:val="000861D4"/>
    <w:rsid w:val="0008636E"/>
    <w:rsid w:val="00086AC8"/>
    <w:rsid w:val="00086BD5"/>
    <w:rsid w:val="00086D8A"/>
    <w:rsid w:val="00086FA1"/>
    <w:rsid w:val="00087049"/>
    <w:rsid w:val="0008778F"/>
    <w:rsid w:val="00087F64"/>
    <w:rsid w:val="00090205"/>
    <w:rsid w:val="0009022C"/>
    <w:rsid w:val="000906CC"/>
    <w:rsid w:val="00090CE2"/>
    <w:rsid w:val="00090CFE"/>
    <w:rsid w:val="00090EE4"/>
    <w:rsid w:val="000910C3"/>
    <w:rsid w:val="0009272B"/>
    <w:rsid w:val="00092B5B"/>
    <w:rsid w:val="00093773"/>
    <w:rsid w:val="00093BDF"/>
    <w:rsid w:val="00093C3A"/>
    <w:rsid w:val="00093ECC"/>
    <w:rsid w:val="00094C3E"/>
    <w:rsid w:val="00094DD5"/>
    <w:rsid w:val="00095146"/>
    <w:rsid w:val="000958AF"/>
    <w:rsid w:val="000969AB"/>
    <w:rsid w:val="00096A3D"/>
    <w:rsid w:val="000972AF"/>
    <w:rsid w:val="000976B2"/>
    <w:rsid w:val="000977CF"/>
    <w:rsid w:val="00097EB6"/>
    <w:rsid w:val="000A0433"/>
    <w:rsid w:val="000A103D"/>
    <w:rsid w:val="000A119A"/>
    <w:rsid w:val="000A1370"/>
    <w:rsid w:val="000A1410"/>
    <w:rsid w:val="000A19A6"/>
    <w:rsid w:val="000A1DAA"/>
    <w:rsid w:val="000A237E"/>
    <w:rsid w:val="000A2444"/>
    <w:rsid w:val="000A3418"/>
    <w:rsid w:val="000A359F"/>
    <w:rsid w:val="000A3879"/>
    <w:rsid w:val="000A4231"/>
    <w:rsid w:val="000A4CBB"/>
    <w:rsid w:val="000A4D75"/>
    <w:rsid w:val="000A52E9"/>
    <w:rsid w:val="000A549A"/>
    <w:rsid w:val="000A557E"/>
    <w:rsid w:val="000A5A02"/>
    <w:rsid w:val="000A5B05"/>
    <w:rsid w:val="000A5EE9"/>
    <w:rsid w:val="000A6436"/>
    <w:rsid w:val="000A668A"/>
    <w:rsid w:val="000A7AAF"/>
    <w:rsid w:val="000B0381"/>
    <w:rsid w:val="000B0584"/>
    <w:rsid w:val="000B0C00"/>
    <w:rsid w:val="000B0FFA"/>
    <w:rsid w:val="000B1272"/>
    <w:rsid w:val="000B1649"/>
    <w:rsid w:val="000B16E3"/>
    <w:rsid w:val="000B175B"/>
    <w:rsid w:val="000B1A8F"/>
    <w:rsid w:val="000B1F0F"/>
    <w:rsid w:val="000B23AD"/>
    <w:rsid w:val="000B23FA"/>
    <w:rsid w:val="000B2AF6"/>
    <w:rsid w:val="000B34C7"/>
    <w:rsid w:val="000B4532"/>
    <w:rsid w:val="000B46CC"/>
    <w:rsid w:val="000B475B"/>
    <w:rsid w:val="000B540D"/>
    <w:rsid w:val="000B540E"/>
    <w:rsid w:val="000B5C94"/>
    <w:rsid w:val="000B6104"/>
    <w:rsid w:val="000B6370"/>
    <w:rsid w:val="000B65FB"/>
    <w:rsid w:val="000B711E"/>
    <w:rsid w:val="000B742D"/>
    <w:rsid w:val="000B75D5"/>
    <w:rsid w:val="000B7C08"/>
    <w:rsid w:val="000C00E1"/>
    <w:rsid w:val="000C09F2"/>
    <w:rsid w:val="000C0B6B"/>
    <w:rsid w:val="000C1474"/>
    <w:rsid w:val="000C1F91"/>
    <w:rsid w:val="000C2B5E"/>
    <w:rsid w:val="000C2D51"/>
    <w:rsid w:val="000C2F3C"/>
    <w:rsid w:val="000C3068"/>
    <w:rsid w:val="000C3767"/>
    <w:rsid w:val="000C4268"/>
    <w:rsid w:val="000C44C8"/>
    <w:rsid w:val="000C451F"/>
    <w:rsid w:val="000C4ADA"/>
    <w:rsid w:val="000C4BAA"/>
    <w:rsid w:val="000C4C35"/>
    <w:rsid w:val="000C4E03"/>
    <w:rsid w:val="000C569B"/>
    <w:rsid w:val="000C5A81"/>
    <w:rsid w:val="000C5AFD"/>
    <w:rsid w:val="000C5C71"/>
    <w:rsid w:val="000C5C73"/>
    <w:rsid w:val="000C5E1E"/>
    <w:rsid w:val="000C5EAA"/>
    <w:rsid w:val="000C612C"/>
    <w:rsid w:val="000C6212"/>
    <w:rsid w:val="000C62F0"/>
    <w:rsid w:val="000C63EE"/>
    <w:rsid w:val="000C6A45"/>
    <w:rsid w:val="000C6F42"/>
    <w:rsid w:val="000C70E9"/>
    <w:rsid w:val="000C7D75"/>
    <w:rsid w:val="000D00D3"/>
    <w:rsid w:val="000D0205"/>
    <w:rsid w:val="000D0F75"/>
    <w:rsid w:val="000D1B34"/>
    <w:rsid w:val="000D1D85"/>
    <w:rsid w:val="000D2313"/>
    <w:rsid w:val="000D2C5A"/>
    <w:rsid w:val="000D2D35"/>
    <w:rsid w:val="000D3C75"/>
    <w:rsid w:val="000D41A1"/>
    <w:rsid w:val="000D434F"/>
    <w:rsid w:val="000D4A5C"/>
    <w:rsid w:val="000D54D8"/>
    <w:rsid w:val="000D5928"/>
    <w:rsid w:val="000D5CFC"/>
    <w:rsid w:val="000D5FE3"/>
    <w:rsid w:val="000D6008"/>
    <w:rsid w:val="000D6279"/>
    <w:rsid w:val="000D6310"/>
    <w:rsid w:val="000D63B9"/>
    <w:rsid w:val="000D6FEE"/>
    <w:rsid w:val="000D7389"/>
    <w:rsid w:val="000D7711"/>
    <w:rsid w:val="000D772D"/>
    <w:rsid w:val="000D7980"/>
    <w:rsid w:val="000E0464"/>
    <w:rsid w:val="000E08C3"/>
    <w:rsid w:val="000E0952"/>
    <w:rsid w:val="000E0C82"/>
    <w:rsid w:val="000E0D40"/>
    <w:rsid w:val="000E0F28"/>
    <w:rsid w:val="000E1025"/>
    <w:rsid w:val="000E1272"/>
    <w:rsid w:val="000E130C"/>
    <w:rsid w:val="000E18C2"/>
    <w:rsid w:val="000E1C38"/>
    <w:rsid w:val="000E1DF2"/>
    <w:rsid w:val="000E1E16"/>
    <w:rsid w:val="000E1E51"/>
    <w:rsid w:val="000E2CDB"/>
    <w:rsid w:val="000E2F70"/>
    <w:rsid w:val="000E324C"/>
    <w:rsid w:val="000E403F"/>
    <w:rsid w:val="000E52F9"/>
    <w:rsid w:val="000E58B5"/>
    <w:rsid w:val="000E5C7B"/>
    <w:rsid w:val="000E5F22"/>
    <w:rsid w:val="000E6024"/>
    <w:rsid w:val="000E63CE"/>
    <w:rsid w:val="000E6880"/>
    <w:rsid w:val="000E69F3"/>
    <w:rsid w:val="000E72AD"/>
    <w:rsid w:val="000E7835"/>
    <w:rsid w:val="000E78C0"/>
    <w:rsid w:val="000E7B77"/>
    <w:rsid w:val="000E7BC8"/>
    <w:rsid w:val="000E7C73"/>
    <w:rsid w:val="000E7F0B"/>
    <w:rsid w:val="000E7F14"/>
    <w:rsid w:val="000E7F4B"/>
    <w:rsid w:val="000F09E7"/>
    <w:rsid w:val="000F1974"/>
    <w:rsid w:val="000F2101"/>
    <w:rsid w:val="000F2283"/>
    <w:rsid w:val="000F29C8"/>
    <w:rsid w:val="000F2E03"/>
    <w:rsid w:val="000F2E12"/>
    <w:rsid w:val="000F2F48"/>
    <w:rsid w:val="000F310A"/>
    <w:rsid w:val="000F337C"/>
    <w:rsid w:val="000F39E8"/>
    <w:rsid w:val="000F3FD3"/>
    <w:rsid w:val="000F5B16"/>
    <w:rsid w:val="000F6139"/>
    <w:rsid w:val="000F6831"/>
    <w:rsid w:val="000F729F"/>
    <w:rsid w:val="000F73F5"/>
    <w:rsid w:val="000F74F2"/>
    <w:rsid w:val="000F7681"/>
    <w:rsid w:val="000F79D9"/>
    <w:rsid w:val="00100A51"/>
    <w:rsid w:val="00100BF6"/>
    <w:rsid w:val="00100D3A"/>
    <w:rsid w:val="00101236"/>
    <w:rsid w:val="0010154E"/>
    <w:rsid w:val="001016A9"/>
    <w:rsid w:val="00102298"/>
    <w:rsid w:val="0010242A"/>
    <w:rsid w:val="00102498"/>
    <w:rsid w:val="0010325B"/>
    <w:rsid w:val="00104070"/>
    <w:rsid w:val="001046C3"/>
    <w:rsid w:val="00105216"/>
    <w:rsid w:val="00105505"/>
    <w:rsid w:val="0010553E"/>
    <w:rsid w:val="00105AC6"/>
    <w:rsid w:val="00105AD5"/>
    <w:rsid w:val="00105F22"/>
    <w:rsid w:val="00106226"/>
    <w:rsid w:val="001063D7"/>
    <w:rsid w:val="00106595"/>
    <w:rsid w:val="00106675"/>
    <w:rsid w:val="00106A02"/>
    <w:rsid w:val="00106D41"/>
    <w:rsid w:val="0010770F"/>
    <w:rsid w:val="0010771E"/>
    <w:rsid w:val="00107D05"/>
    <w:rsid w:val="00107F12"/>
    <w:rsid w:val="00107F65"/>
    <w:rsid w:val="001101CD"/>
    <w:rsid w:val="00110EDE"/>
    <w:rsid w:val="00111130"/>
    <w:rsid w:val="00111748"/>
    <w:rsid w:val="00112227"/>
    <w:rsid w:val="001123C0"/>
    <w:rsid w:val="0011278C"/>
    <w:rsid w:val="00112994"/>
    <w:rsid w:val="00112E18"/>
    <w:rsid w:val="0011390A"/>
    <w:rsid w:val="0011397C"/>
    <w:rsid w:val="001143C5"/>
    <w:rsid w:val="00115A38"/>
    <w:rsid w:val="001161C3"/>
    <w:rsid w:val="00116B70"/>
    <w:rsid w:val="00116FFB"/>
    <w:rsid w:val="001171E0"/>
    <w:rsid w:val="00117600"/>
    <w:rsid w:val="00117DE7"/>
    <w:rsid w:val="00117E80"/>
    <w:rsid w:val="001205AB"/>
    <w:rsid w:val="0012091F"/>
    <w:rsid w:val="00120ACF"/>
    <w:rsid w:val="00120CE6"/>
    <w:rsid w:val="00120D2C"/>
    <w:rsid w:val="00120DCA"/>
    <w:rsid w:val="00121009"/>
    <w:rsid w:val="00121099"/>
    <w:rsid w:val="00121624"/>
    <w:rsid w:val="00121787"/>
    <w:rsid w:val="00121D11"/>
    <w:rsid w:val="001224C3"/>
    <w:rsid w:val="00122E15"/>
    <w:rsid w:val="00122E81"/>
    <w:rsid w:val="00122F56"/>
    <w:rsid w:val="00123100"/>
    <w:rsid w:val="0012333C"/>
    <w:rsid w:val="00123589"/>
    <w:rsid w:val="001236F7"/>
    <w:rsid w:val="00123ADC"/>
    <w:rsid w:val="00123B93"/>
    <w:rsid w:val="00124077"/>
    <w:rsid w:val="00124480"/>
    <w:rsid w:val="0012485E"/>
    <w:rsid w:val="00124E16"/>
    <w:rsid w:val="001255B2"/>
    <w:rsid w:val="001256D6"/>
    <w:rsid w:val="001259AE"/>
    <w:rsid w:val="001260F8"/>
    <w:rsid w:val="00126301"/>
    <w:rsid w:val="00126951"/>
    <w:rsid w:val="00126A34"/>
    <w:rsid w:val="00127CED"/>
    <w:rsid w:val="00127EFE"/>
    <w:rsid w:val="0013004E"/>
    <w:rsid w:val="001309E0"/>
    <w:rsid w:val="00130F31"/>
    <w:rsid w:val="001319BD"/>
    <w:rsid w:val="00132101"/>
    <w:rsid w:val="001324D2"/>
    <w:rsid w:val="00132517"/>
    <w:rsid w:val="0013356D"/>
    <w:rsid w:val="00133A98"/>
    <w:rsid w:val="00133CDA"/>
    <w:rsid w:val="00133DA5"/>
    <w:rsid w:val="00133E1F"/>
    <w:rsid w:val="0013614E"/>
    <w:rsid w:val="001362D3"/>
    <w:rsid w:val="001368B8"/>
    <w:rsid w:val="0013698A"/>
    <w:rsid w:val="00136DED"/>
    <w:rsid w:val="00136F6F"/>
    <w:rsid w:val="001372F9"/>
    <w:rsid w:val="001373DB"/>
    <w:rsid w:val="001374B8"/>
    <w:rsid w:val="00137B00"/>
    <w:rsid w:val="0014031F"/>
    <w:rsid w:val="001404BA"/>
    <w:rsid w:val="00140A77"/>
    <w:rsid w:val="00140E01"/>
    <w:rsid w:val="00140EA6"/>
    <w:rsid w:val="00140FE2"/>
    <w:rsid w:val="0014115F"/>
    <w:rsid w:val="001419B2"/>
    <w:rsid w:val="00141D65"/>
    <w:rsid w:val="0014216A"/>
    <w:rsid w:val="001424C1"/>
    <w:rsid w:val="00142548"/>
    <w:rsid w:val="00142EDE"/>
    <w:rsid w:val="00142EE1"/>
    <w:rsid w:val="00143938"/>
    <w:rsid w:val="00144339"/>
    <w:rsid w:val="001445C0"/>
    <w:rsid w:val="0014478C"/>
    <w:rsid w:val="001449A0"/>
    <w:rsid w:val="00144D0E"/>
    <w:rsid w:val="00145717"/>
    <w:rsid w:val="00145831"/>
    <w:rsid w:val="00146030"/>
    <w:rsid w:val="00146202"/>
    <w:rsid w:val="001463D9"/>
    <w:rsid w:val="00146650"/>
    <w:rsid w:val="0014675A"/>
    <w:rsid w:val="00146769"/>
    <w:rsid w:val="00146D53"/>
    <w:rsid w:val="001474B0"/>
    <w:rsid w:val="001475FE"/>
    <w:rsid w:val="00147774"/>
    <w:rsid w:val="00147A80"/>
    <w:rsid w:val="00151152"/>
    <w:rsid w:val="0015188F"/>
    <w:rsid w:val="00151D3B"/>
    <w:rsid w:val="00152697"/>
    <w:rsid w:val="0015287B"/>
    <w:rsid w:val="001528F9"/>
    <w:rsid w:val="00152C67"/>
    <w:rsid w:val="00152EE7"/>
    <w:rsid w:val="0015314A"/>
    <w:rsid w:val="00153258"/>
    <w:rsid w:val="0015329E"/>
    <w:rsid w:val="0015385C"/>
    <w:rsid w:val="00153FD5"/>
    <w:rsid w:val="0015419D"/>
    <w:rsid w:val="00154B6A"/>
    <w:rsid w:val="00154DA3"/>
    <w:rsid w:val="0015563C"/>
    <w:rsid w:val="00155BE7"/>
    <w:rsid w:val="001569F8"/>
    <w:rsid w:val="00156ADD"/>
    <w:rsid w:val="00156F21"/>
    <w:rsid w:val="001572BF"/>
    <w:rsid w:val="00160610"/>
    <w:rsid w:val="00160863"/>
    <w:rsid w:val="001609AA"/>
    <w:rsid w:val="00160C4F"/>
    <w:rsid w:val="00160C74"/>
    <w:rsid w:val="00160E91"/>
    <w:rsid w:val="0016162A"/>
    <w:rsid w:val="00161A3D"/>
    <w:rsid w:val="00162DBE"/>
    <w:rsid w:val="001631A6"/>
    <w:rsid w:val="00163884"/>
    <w:rsid w:val="00163A14"/>
    <w:rsid w:val="00163F13"/>
    <w:rsid w:val="00164925"/>
    <w:rsid w:val="00164B4F"/>
    <w:rsid w:val="00164C6C"/>
    <w:rsid w:val="00165407"/>
    <w:rsid w:val="00165A27"/>
    <w:rsid w:val="00165BAF"/>
    <w:rsid w:val="00166285"/>
    <w:rsid w:val="0016665C"/>
    <w:rsid w:val="00166665"/>
    <w:rsid w:val="00166835"/>
    <w:rsid w:val="00166ACD"/>
    <w:rsid w:val="00166CCF"/>
    <w:rsid w:val="00166E9E"/>
    <w:rsid w:val="00166EDF"/>
    <w:rsid w:val="0016718B"/>
    <w:rsid w:val="001677B2"/>
    <w:rsid w:val="00171589"/>
    <w:rsid w:val="0017168C"/>
    <w:rsid w:val="0017241F"/>
    <w:rsid w:val="00172A35"/>
    <w:rsid w:val="00173F8B"/>
    <w:rsid w:val="0017403C"/>
    <w:rsid w:val="001740A7"/>
    <w:rsid w:val="00174B52"/>
    <w:rsid w:val="00174FEB"/>
    <w:rsid w:val="001751C3"/>
    <w:rsid w:val="001756EB"/>
    <w:rsid w:val="00175788"/>
    <w:rsid w:val="00175ABA"/>
    <w:rsid w:val="00175D91"/>
    <w:rsid w:val="00176039"/>
    <w:rsid w:val="001762AB"/>
    <w:rsid w:val="001763F8"/>
    <w:rsid w:val="001764D0"/>
    <w:rsid w:val="00176793"/>
    <w:rsid w:val="00176EDA"/>
    <w:rsid w:val="00181680"/>
    <w:rsid w:val="00181BA8"/>
    <w:rsid w:val="0018246A"/>
    <w:rsid w:val="001826B1"/>
    <w:rsid w:val="00182D58"/>
    <w:rsid w:val="001848F2"/>
    <w:rsid w:val="00184D74"/>
    <w:rsid w:val="001850B7"/>
    <w:rsid w:val="001851DE"/>
    <w:rsid w:val="001856FC"/>
    <w:rsid w:val="00185BB6"/>
    <w:rsid w:val="00186293"/>
    <w:rsid w:val="001862CE"/>
    <w:rsid w:val="00186840"/>
    <w:rsid w:val="00186D26"/>
    <w:rsid w:val="001877B7"/>
    <w:rsid w:val="0019029E"/>
    <w:rsid w:val="00190CB9"/>
    <w:rsid w:val="00190DD7"/>
    <w:rsid w:val="00190E2B"/>
    <w:rsid w:val="001911F8"/>
    <w:rsid w:val="0019191D"/>
    <w:rsid w:val="0019197C"/>
    <w:rsid w:val="0019206E"/>
    <w:rsid w:val="001921FE"/>
    <w:rsid w:val="00192755"/>
    <w:rsid w:val="00192971"/>
    <w:rsid w:val="00192D05"/>
    <w:rsid w:val="00193A92"/>
    <w:rsid w:val="00193ACC"/>
    <w:rsid w:val="00193B07"/>
    <w:rsid w:val="00193D19"/>
    <w:rsid w:val="00193F67"/>
    <w:rsid w:val="00194C26"/>
    <w:rsid w:val="00195898"/>
    <w:rsid w:val="00195E10"/>
    <w:rsid w:val="001967BC"/>
    <w:rsid w:val="001969F4"/>
    <w:rsid w:val="00196A25"/>
    <w:rsid w:val="00196BB1"/>
    <w:rsid w:val="00196CF4"/>
    <w:rsid w:val="00196F83"/>
    <w:rsid w:val="0019733A"/>
    <w:rsid w:val="00197518"/>
    <w:rsid w:val="001975EF"/>
    <w:rsid w:val="001A0464"/>
    <w:rsid w:val="001A05CC"/>
    <w:rsid w:val="001A0993"/>
    <w:rsid w:val="001A10D5"/>
    <w:rsid w:val="001A1176"/>
    <w:rsid w:val="001A126C"/>
    <w:rsid w:val="001A1E1F"/>
    <w:rsid w:val="001A1E55"/>
    <w:rsid w:val="001A230B"/>
    <w:rsid w:val="001A242B"/>
    <w:rsid w:val="001A25C3"/>
    <w:rsid w:val="001A281B"/>
    <w:rsid w:val="001A29A0"/>
    <w:rsid w:val="001A2D36"/>
    <w:rsid w:val="001A30BC"/>
    <w:rsid w:val="001A364D"/>
    <w:rsid w:val="001A39E5"/>
    <w:rsid w:val="001A44D1"/>
    <w:rsid w:val="001A4DCD"/>
    <w:rsid w:val="001A548D"/>
    <w:rsid w:val="001A5C8A"/>
    <w:rsid w:val="001A616C"/>
    <w:rsid w:val="001A65D3"/>
    <w:rsid w:val="001A7375"/>
    <w:rsid w:val="001A7549"/>
    <w:rsid w:val="001A7B24"/>
    <w:rsid w:val="001B01EE"/>
    <w:rsid w:val="001B0CB8"/>
    <w:rsid w:val="001B0E8F"/>
    <w:rsid w:val="001B0FC3"/>
    <w:rsid w:val="001B1273"/>
    <w:rsid w:val="001B13D0"/>
    <w:rsid w:val="001B1984"/>
    <w:rsid w:val="001B1FBD"/>
    <w:rsid w:val="001B3B06"/>
    <w:rsid w:val="001B40B6"/>
    <w:rsid w:val="001B4442"/>
    <w:rsid w:val="001B50B4"/>
    <w:rsid w:val="001B5C91"/>
    <w:rsid w:val="001B5E49"/>
    <w:rsid w:val="001B6AE0"/>
    <w:rsid w:val="001B6BE5"/>
    <w:rsid w:val="001B6F2E"/>
    <w:rsid w:val="001B716B"/>
    <w:rsid w:val="001B7C12"/>
    <w:rsid w:val="001C0554"/>
    <w:rsid w:val="001C095D"/>
    <w:rsid w:val="001C0A38"/>
    <w:rsid w:val="001C133C"/>
    <w:rsid w:val="001C1BBA"/>
    <w:rsid w:val="001C1C8E"/>
    <w:rsid w:val="001C3240"/>
    <w:rsid w:val="001C3C24"/>
    <w:rsid w:val="001C4B10"/>
    <w:rsid w:val="001C5054"/>
    <w:rsid w:val="001C558F"/>
    <w:rsid w:val="001C574F"/>
    <w:rsid w:val="001C589B"/>
    <w:rsid w:val="001C5A72"/>
    <w:rsid w:val="001C5B39"/>
    <w:rsid w:val="001C5C31"/>
    <w:rsid w:val="001C6416"/>
    <w:rsid w:val="001C67BD"/>
    <w:rsid w:val="001C684D"/>
    <w:rsid w:val="001C6DA7"/>
    <w:rsid w:val="001C7074"/>
    <w:rsid w:val="001C75B0"/>
    <w:rsid w:val="001C776B"/>
    <w:rsid w:val="001D032C"/>
    <w:rsid w:val="001D0612"/>
    <w:rsid w:val="001D10B5"/>
    <w:rsid w:val="001D143C"/>
    <w:rsid w:val="001D2095"/>
    <w:rsid w:val="001D2723"/>
    <w:rsid w:val="001D3504"/>
    <w:rsid w:val="001D3926"/>
    <w:rsid w:val="001D39DB"/>
    <w:rsid w:val="001D4126"/>
    <w:rsid w:val="001D42C1"/>
    <w:rsid w:val="001D4774"/>
    <w:rsid w:val="001D4BD0"/>
    <w:rsid w:val="001D5B5F"/>
    <w:rsid w:val="001D5B61"/>
    <w:rsid w:val="001D6B4E"/>
    <w:rsid w:val="001D6FBD"/>
    <w:rsid w:val="001D6FD2"/>
    <w:rsid w:val="001D72E2"/>
    <w:rsid w:val="001D7319"/>
    <w:rsid w:val="001D7481"/>
    <w:rsid w:val="001D7DF4"/>
    <w:rsid w:val="001E01FB"/>
    <w:rsid w:val="001E059B"/>
    <w:rsid w:val="001E0A3D"/>
    <w:rsid w:val="001E0AF0"/>
    <w:rsid w:val="001E0E5D"/>
    <w:rsid w:val="001E0E7D"/>
    <w:rsid w:val="001E0ED9"/>
    <w:rsid w:val="001E155E"/>
    <w:rsid w:val="001E1D64"/>
    <w:rsid w:val="001E1E8B"/>
    <w:rsid w:val="001E1FFF"/>
    <w:rsid w:val="001E2299"/>
    <w:rsid w:val="001E23A5"/>
    <w:rsid w:val="001E2A24"/>
    <w:rsid w:val="001E32AD"/>
    <w:rsid w:val="001E34A4"/>
    <w:rsid w:val="001E3C85"/>
    <w:rsid w:val="001E40DF"/>
    <w:rsid w:val="001E4100"/>
    <w:rsid w:val="001E46C6"/>
    <w:rsid w:val="001E4870"/>
    <w:rsid w:val="001E4C2E"/>
    <w:rsid w:val="001E4C8B"/>
    <w:rsid w:val="001E543F"/>
    <w:rsid w:val="001E60C9"/>
    <w:rsid w:val="001E6EC3"/>
    <w:rsid w:val="001E6F3C"/>
    <w:rsid w:val="001E76EB"/>
    <w:rsid w:val="001E7BA5"/>
    <w:rsid w:val="001E7CC6"/>
    <w:rsid w:val="001E7D9D"/>
    <w:rsid w:val="001E7DE0"/>
    <w:rsid w:val="001E7E3A"/>
    <w:rsid w:val="001E7F7B"/>
    <w:rsid w:val="001E7F85"/>
    <w:rsid w:val="001F00E5"/>
    <w:rsid w:val="001F0381"/>
    <w:rsid w:val="001F0B14"/>
    <w:rsid w:val="001F1B41"/>
    <w:rsid w:val="001F1F42"/>
    <w:rsid w:val="001F229B"/>
    <w:rsid w:val="001F301D"/>
    <w:rsid w:val="001F30AF"/>
    <w:rsid w:val="001F327A"/>
    <w:rsid w:val="001F389E"/>
    <w:rsid w:val="001F391F"/>
    <w:rsid w:val="001F3C56"/>
    <w:rsid w:val="001F3CAA"/>
    <w:rsid w:val="001F3E79"/>
    <w:rsid w:val="001F3FF6"/>
    <w:rsid w:val="001F4491"/>
    <w:rsid w:val="001F5265"/>
    <w:rsid w:val="001F52AE"/>
    <w:rsid w:val="001F582D"/>
    <w:rsid w:val="001F5847"/>
    <w:rsid w:val="001F66FE"/>
    <w:rsid w:val="001F78E1"/>
    <w:rsid w:val="001F7EF7"/>
    <w:rsid w:val="002001C6"/>
    <w:rsid w:val="0020055C"/>
    <w:rsid w:val="00200F1D"/>
    <w:rsid w:val="002012A0"/>
    <w:rsid w:val="00201802"/>
    <w:rsid w:val="00201886"/>
    <w:rsid w:val="00201ACE"/>
    <w:rsid w:val="00201D7A"/>
    <w:rsid w:val="0020206F"/>
    <w:rsid w:val="002023F7"/>
    <w:rsid w:val="002025B7"/>
    <w:rsid w:val="002029DA"/>
    <w:rsid w:val="00202FB4"/>
    <w:rsid w:val="00203831"/>
    <w:rsid w:val="00203E97"/>
    <w:rsid w:val="0020426F"/>
    <w:rsid w:val="00204384"/>
    <w:rsid w:val="0020499C"/>
    <w:rsid w:val="00204A86"/>
    <w:rsid w:val="00205166"/>
    <w:rsid w:val="002062DA"/>
    <w:rsid w:val="002067C9"/>
    <w:rsid w:val="00206C18"/>
    <w:rsid w:val="002075C3"/>
    <w:rsid w:val="00207A55"/>
    <w:rsid w:val="00210D85"/>
    <w:rsid w:val="00211014"/>
    <w:rsid w:val="00211561"/>
    <w:rsid w:val="0021184D"/>
    <w:rsid w:val="00211B13"/>
    <w:rsid w:val="00212752"/>
    <w:rsid w:val="00213700"/>
    <w:rsid w:val="00213A7D"/>
    <w:rsid w:val="00214808"/>
    <w:rsid w:val="00214D4B"/>
    <w:rsid w:val="00214D67"/>
    <w:rsid w:val="00214F30"/>
    <w:rsid w:val="0021563E"/>
    <w:rsid w:val="0021698C"/>
    <w:rsid w:val="00217559"/>
    <w:rsid w:val="00217A49"/>
    <w:rsid w:val="00217ECE"/>
    <w:rsid w:val="002200F5"/>
    <w:rsid w:val="0022021B"/>
    <w:rsid w:val="00220287"/>
    <w:rsid w:val="00220678"/>
    <w:rsid w:val="0022075F"/>
    <w:rsid w:val="00220942"/>
    <w:rsid w:val="00220A09"/>
    <w:rsid w:val="00220B34"/>
    <w:rsid w:val="00221767"/>
    <w:rsid w:val="00221893"/>
    <w:rsid w:val="00221B0E"/>
    <w:rsid w:val="00222187"/>
    <w:rsid w:val="00222C73"/>
    <w:rsid w:val="00222FC8"/>
    <w:rsid w:val="0022303E"/>
    <w:rsid w:val="00223535"/>
    <w:rsid w:val="00223D0B"/>
    <w:rsid w:val="00223FAF"/>
    <w:rsid w:val="002246E8"/>
    <w:rsid w:val="00224B81"/>
    <w:rsid w:val="00224D3D"/>
    <w:rsid w:val="00225622"/>
    <w:rsid w:val="00225D29"/>
    <w:rsid w:val="00226481"/>
    <w:rsid w:val="002266C1"/>
    <w:rsid w:val="002266EB"/>
    <w:rsid w:val="00227095"/>
    <w:rsid w:val="0022717C"/>
    <w:rsid w:val="00227A4D"/>
    <w:rsid w:val="00227B21"/>
    <w:rsid w:val="00227B84"/>
    <w:rsid w:val="00227E47"/>
    <w:rsid w:val="002304B3"/>
    <w:rsid w:val="00230FA1"/>
    <w:rsid w:val="0023103C"/>
    <w:rsid w:val="00231120"/>
    <w:rsid w:val="00231212"/>
    <w:rsid w:val="0023325D"/>
    <w:rsid w:val="0023331A"/>
    <w:rsid w:val="00233E8A"/>
    <w:rsid w:val="002348DA"/>
    <w:rsid w:val="00234AC9"/>
    <w:rsid w:val="002350E0"/>
    <w:rsid w:val="002352A5"/>
    <w:rsid w:val="002353B4"/>
    <w:rsid w:val="00235550"/>
    <w:rsid w:val="0023576A"/>
    <w:rsid w:val="00235797"/>
    <w:rsid w:val="00235AB0"/>
    <w:rsid w:val="00235F7F"/>
    <w:rsid w:val="00235F9D"/>
    <w:rsid w:val="00236CA5"/>
    <w:rsid w:val="00236D1D"/>
    <w:rsid w:val="00236EE2"/>
    <w:rsid w:val="002379D2"/>
    <w:rsid w:val="00237B66"/>
    <w:rsid w:val="00237EE0"/>
    <w:rsid w:val="00237EE2"/>
    <w:rsid w:val="00237F35"/>
    <w:rsid w:val="002401BB"/>
    <w:rsid w:val="00240652"/>
    <w:rsid w:val="00240C48"/>
    <w:rsid w:val="00241061"/>
    <w:rsid w:val="00241549"/>
    <w:rsid w:val="002422BB"/>
    <w:rsid w:val="002423F4"/>
    <w:rsid w:val="002424ED"/>
    <w:rsid w:val="002426EE"/>
    <w:rsid w:val="0024276F"/>
    <w:rsid w:val="002428FE"/>
    <w:rsid w:val="00242974"/>
    <w:rsid w:val="00242BBB"/>
    <w:rsid w:val="00242EA4"/>
    <w:rsid w:val="00243057"/>
    <w:rsid w:val="002437E3"/>
    <w:rsid w:val="00244541"/>
    <w:rsid w:val="00244A2E"/>
    <w:rsid w:val="00245637"/>
    <w:rsid w:val="00245999"/>
    <w:rsid w:val="00245B7D"/>
    <w:rsid w:val="0024639A"/>
    <w:rsid w:val="002468E6"/>
    <w:rsid w:val="0024733F"/>
    <w:rsid w:val="00247F85"/>
    <w:rsid w:val="00250674"/>
    <w:rsid w:val="002522C3"/>
    <w:rsid w:val="0025393B"/>
    <w:rsid w:val="0025403D"/>
    <w:rsid w:val="002542E4"/>
    <w:rsid w:val="002546DF"/>
    <w:rsid w:val="00254CF1"/>
    <w:rsid w:val="002556C4"/>
    <w:rsid w:val="0025583E"/>
    <w:rsid w:val="002560CB"/>
    <w:rsid w:val="00256224"/>
    <w:rsid w:val="00257D5D"/>
    <w:rsid w:val="0026038C"/>
    <w:rsid w:val="00261712"/>
    <w:rsid w:val="002618EE"/>
    <w:rsid w:val="00261DB7"/>
    <w:rsid w:val="00261F05"/>
    <w:rsid w:val="0026220E"/>
    <w:rsid w:val="0026227B"/>
    <w:rsid w:val="00262678"/>
    <w:rsid w:val="0026278B"/>
    <w:rsid w:val="00262C49"/>
    <w:rsid w:val="00262CC7"/>
    <w:rsid w:val="00262FF1"/>
    <w:rsid w:val="00263069"/>
    <w:rsid w:val="0026406E"/>
    <w:rsid w:val="00264383"/>
    <w:rsid w:val="00264424"/>
    <w:rsid w:val="0026457E"/>
    <w:rsid w:val="002645B0"/>
    <w:rsid w:val="00264894"/>
    <w:rsid w:val="00264C9A"/>
    <w:rsid w:val="00264DAA"/>
    <w:rsid w:val="00264F2D"/>
    <w:rsid w:val="0026565C"/>
    <w:rsid w:val="002657DD"/>
    <w:rsid w:val="002663FE"/>
    <w:rsid w:val="00267F92"/>
    <w:rsid w:val="00270413"/>
    <w:rsid w:val="00270569"/>
    <w:rsid w:val="002707A0"/>
    <w:rsid w:val="002707FB"/>
    <w:rsid w:val="00270E50"/>
    <w:rsid w:val="002711CE"/>
    <w:rsid w:val="00271FDA"/>
    <w:rsid w:val="002720E8"/>
    <w:rsid w:val="00273096"/>
    <w:rsid w:val="0027341C"/>
    <w:rsid w:val="002736F6"/>
    <w:rsid w:val="00273838"/>
    <w:rsid w:val="0027385E"/>
    <w:rsid w:val="00273862"/>
    <w:rsid w:val="00273974"/>
    <w:rsid w:val="00273CC7"/>
    <w:rsid w:val="00275570"/>
    <w:rsid w:val="00275DB9"/>
    <w:rsid w:val="00275FC2"/>
    <w:rsid w:val="0027609A"/>
    <w:rsid w:val="002764E3"/>
    <w:rsid w:val="00276A32"/>
    <w:rsid w:val="00276D54"/>
    <w:rsid w:val="00277512"/>
    <w:rsid w:val="002775F7"/>
    <w:rsid w:val="00277AE7"/>
    <w:rsid w:val="00277F89"/>
    <w:rsid w:val="00280800"/>
    <w:rsid w:val="00280D64"/>
    <w:rsid w:val="00281AF7"/>
    <w:rsid w:val="00281BC7"/>
    <w:rsid w:val="0028302B"/>
    <w:rsid w:val="002834B1"/>
    <w:rsid w:val="00284362"/>
    <w:rsid w:val="0028567D"/>
    <w:rsid w:val="002858ED"/>
    <w:rsid w:val="0028592B"/>
    <w:rsid w:val="00285982"/>
    <w:rsid w:val="00285AE1"/>
    <w:rsid w:val="00285B0F"/>
    <w:rsid w:val="002862F2"/>
    <w:rsid w:val="0028659F"/>
    <w:rsid w:val="00286978"/>
    <w:rsid w:val="00286E2D"/>
    <w:rsid w:val="00286E73"/>
    <w:rsid w:val="0028709B"/>
    <w:rsid w:val="00287323"/>
    <w:rsid w:val="00287371"/>
    <w:rsid w:val="0028761B"/>
    <w:rsid w:val="00287702"/>
    <w:rsid w:val="00287F42"/>
    <w:rsid w:val="002901C0"/>
    <w:rsid w:val="002907D5"/>
    <w:rsid w:val="00290865"/>
    <w:rsid w:val="00290D51"/>
    <w:rsid w:val="00290DEB"/>
    <w:rsid w:val="0029176D"/>
    <w:rsid w:val="0029215C"/>
    <w:rsid w:val="0029244B"/>
    <w:rsid w:val="00292DA7"/>
    <w:rsid w:val="00293436"/>
    <w:rsid w:val="0029396B"/>
    <w:rsid w:val="00293A85"/>
    <w:rsid w:val="00293B29"/>
    <w:rsid w:val="00293D3A"/>
    <w:rsid w:val="00294117"/>
    <w:rsid w:val="00294330"/>
    <w:rsid w:val="002943FA"/>
    <w:rsid w:val="00294756"/>
    <w:rsid w:val="00294983"/>
    <w:rsid w:val="00294E53"/>
    <w:rsid w:val="00294FB9"/>
    <w:rsid w:val="00295098"/>
    <w:rsid w:val="00295F12"/>
    <w:rsid w:val="00295F44"/>
    <w:rsid w:val="002964F0"/>
    <w:rsid w:val="00296AB0"/>
    <w:rsid w:val="00296DED"/>
    <w:rsid w:val="00296E2E"/>
    <w:rsid w:val="00297346"/>
    <w:rsid w:val="00297C22"/>
    <w:rsid w:val="00297DEC"/>
    <w:rsid w:val="00297E9F"/>
    <w:rsid w:val="002A07A7"/>
    <w:rsid w:val="002A08FE"/>
    <w:rsid w:val="002A0BDC"/>
    <w:rsid w:val="002A0CAB"/>
    <w:rsid w:val="002A0E0B"/>
    <w:rsid w:val="002A1A73"/>
    <w:rsid w:val="002A1AAA"/>
    <w:rsid w:val="002A1C8C"/>
    <w:rsid w:val="002A1CDF"/>
    <w:rsid w:val="002A2B57"/>
    <w:rsid w:val="002A33A7"/>
    <w:rsid w:val="002A3A3C"/>
    <w:rsid w:val="002A434C"/>
    <w:rsid w:val="002A44B0"/>
    <w:rsid w:val="002A4E66"/>
    <w:rsid w:val="002A4ED9"/>
    <w:rsid w:val="002A542E"/>
    <w:rsid w:val="002A56A2"/>
    <w:rsid w:val="002A56E2"/>
    <w:rsid w:val="002A691C"/>
    <w:rsid w:val="002A69F9"/>
    <w:rsid w:val="002A6D6E"/>
    <w:rsid w:val="002A6E04"/>
    <w:rsid w:val="002A71CD"/>
    <w:rsid w:val="002A7443"/>
    <w:rsid w:val="002A7483"/>
    <w:rsid w:val="002A7530"/>
    <w:rsid w:val="002A7E6E"/>
    <w:rsid w:val="002B0016"/>
    <w:rsid w:val="002B003A"/>
    <w:rsid w:val="002B0448"/>
    <w:rsid w:val="002B04E6"/>
    <w:rsid w:val="002B091A"/>
    <w:rsid w:val="002B16F3"/>
    <w:rsid w:val="002B174B"/>
    <w:rsid w:val="002B1F87"/>
    <w:rsid w:val="002B2BE1"/>
    <w:rsid w:val="002B3380"/>
    <w:rsid w:val="002B3C9F"/>
    <w:rsid w:val="002B3D28"/>
    <w:rsid w:val="002B3DE7"/>
    <w:rsid w:val="002B41DF"/>
    <w:rsid w:val="002B444F"/>
    <w:rsid w:val="002B52EE"/>
    <w:rsid w:val="002B5EA2"/>
    <w:rsid w:val="002B6435"/>
    <w:rsid w:val="002B6594"/>
    <w:rsid w:val="002B7303"/>
    <w:rsid w:val="002B7A96"/>
    <w:rsid w:val="002C08B6"/>
    <w:rsid w:val="002C08C6"/>
    <w:rsid w:val="002C0928"/>
    <w:rsid w:val="002C0B0A"/>
    <w:rsid w:val="002C0FD4"/>
    <w:rsid w:val="002C18DA"/>
    <w:rsid w:val="002C1A66"/>
    <w:rsid w:val="002C2528"/>
    <w:rsid w:val="002C2773"/>
    <w:rsid w:val="002C2BC7"/>
    <w:rsid w:val="002C2C38"/>
    <w:rsid w:val="002C2DC5"/>
    <w:rsid w:val="002C30C0"/>
    <w:rsid w:val="002C3947"/>
    <w:rsid w:val="002C3B60"/>
    <w:rsid w:val="002C45BC"/>
    <w:rsid w:val="002C4F4A"/>
    <w:rsid w:val="002C52E5"/>
    <w:rsid w:val="002C5860"/>
    <w:rsid w:val="002C5D57"/>
    <w:rsid w:val="002C6727"/>
    <w:rsid w:val="002C69D9"/>
    <w:rsid w:val="002C6E17"/>
    <w:rsid w:val="002C763C"/>
    <w:rsid w:val="002C7698"/>
    <w:rsid w:val="002C7B50"/>
    <w:rsid w:val="002C7D8F"/>
    <w:rsid w:val="002D04F9"/>
    <w:rsid w:val="002D07D3"/>
    <w:rsid w:val="002D0A25"/>
    <w:rsid w:val="002D0A51"/>
    <w:rsid w:val="002D0C3B"/>
    <w:rsid w:val="002D114A"/>
    <w:rsid w:val="002D18D6"/>
    <w:rsid w:val="002D19F0"/>
    <w:rsid w:val="002D1CED"/>
    <w:rsid w:val="002D2421"/>
    <w:rsid w:val="002D2892"/>
    <w:rsid w:val="002D2ED9"/>
    <w:rsid w:val="002D2FE1"/>
    <w:rsid w:val="002D30EE"/>
    <w:rsid w:val="002D3173"/>
    <w:rsid w:val="002D31B6"/>
    <w:rsid w:val="002D3648"/>
    <w:rsid w:val="002D3A58"/>
    <w:rsid w:val="002D3E1D"/>
    <w:rsid w:val="002D441D"/>
    <w:rsid w:val="002D45E8"/>
    <w:rsid w:val="002D4799"/>
    <w:rsid w:val="002D494F"/>
    <w:rsid w:val="002D4B5B"/>
    <w:rsid w:val="002D50AB"/>
    <w:rsid w:val="002D5701"/>
    <w:rsid w:val="002D5D34"/>
    <w:rsid w:val="002D6AFA"/>
    <w:rsid w:val="002D6CA7"/>
    <w:rsid w:val="002D6CC2"/>
    <w:rsid w:val="002E007B"/>
    <w:rsid w:val="002E0500"/>
    <w:rsid w:val="002E0FA4"/>
    <w:rsid w:val="002E1232"/>
    <w:rsid w:val="002E15B4"/>
    <w:rsid w:val="002E1781"/>
    <w:rsid w:val="002E214F"/>
    <w:rsid w:val="002E22A5"/>
    <w:rsid w:val="002E22AF"/>
    <w:rsid w:val="002E2840"/>
    <w:rsid w:val="002E299C"/>
    <w:rsid w:val="002E2ADB"/>
    <w:rsid w:val="002E2B65"/>
    <w:rsid w:val="002E2F67"/>
    <w:rsid w:val="002E3037"/>
    <w:rsid w:val="002E30F1"/>
    <w:rsid w:val="002E365F"/>
    <w:rsid w:val="002E416C"/>
    <w:rsid w:val="002E44BC"/>
    <w:rsid w:val="002E4610"/>
    <w:rsid w:val="002E466D"/>
    <w:rsid w:val="002E47FC"/>
    <w:rsid w:val="002E49D9"/>
    <w:rsid w:val="002E4E42"/>
    <w:rsid w:val="002E53AE"/>
    <w:rsid w:val="002E54E4"/>
    <w:rsid w:val="002E5A85"/>
    <w:rsid w:val="002E5C51"/>
    <w:rsid w:val="002E6B12"/>
    <w:rsid w:val="002E6C6E"/>
    <w:rsid w:val="002E7392"/>
    <w:rsid w:val="002E76B3"/>
    <w:rsid w:val="002E7B2B"/>
    <w:rsid w:val="002F10D2"/>
    <w:rsid w:val="002F1121"/>
    <w:rsid w:val="002F1F28"/>
    <w:rsid w:val="002F2886"/>
    <w:rsid w:val="002F2ED1"/>
    <w:rsid w:val="002F304B"/>
    <w:rsid w:val="002F351B"/>
    <w:rsid w:val="002F35D8"/>
    <w:rsid w:val="002F3931"/>
    <w:rsid w:val="002F395C"/>
    <w:rsid w:val="002F3FFC"/>
    <w:rsid w:val="002F42D9"/>
    <w:rsid w:val="002F4605"/>
    <w:rsid w:val="002F46D9"/>
    <w:rsid w:val="002F54F0"/>
    <w:rsid w:val="002F55AD"/>
    <w:rsid w:val="002F5868"/>
    <w:rsid w:val="002F5AC1"/>
    <w:rsid w:val="002F5B1A"/>
    <w:rsid w:val="002F5F61"/>
    <w:rsid w:val="002F6028"/>
    <w:rsid w:val="002F705C"/>
    <w:rsid w:val="002F736B"/>
    <w:rsid w:val="002F7393"/>
    <w:rsid w:val="002F7463"/>
    <w:rsid w:val="002F7694"/>
    <w:rsid w:val="002F76AD"/>
    <w:rsid w:val="002F78FB"/>
    <w:rsid w:val="002F79E0"/>
    <w:rsid w:val="00300028"/>
    <w:rsid w:val="00300163"/>
    <w:rsid w:val="003002DD"/>
    <w:rsid w:val="00300981"/>
    <w:rsid w:val="00300F8D"/>
    <w:rsid w:val="00301264"/>
    <w:rsid w:val="00301991"/>
    <w:rsid w:val="00301B09"/>
    <w:rsid w:val="003021B6"/>
    <w:rsid w:val="00302B34"/>
    <w:rsid w:val="00302E11"/>
    <w:rsid w:val="00303EF0"/>
    <w:rsid w:val="003046D9"/>
    <w:rsid w:val="00304C6F"/>
    <w:rsid w:val="00304E7F"/>
    <w:rsid w:val="003052DB"/>
    <w:rsid w:val="0030587F"/>
    <w:rsid w:val="00306324"/>
    <w:rsid w:val="0030632A"/>
    <w:rsid w:val="00306805"/>
    <w:rsid w:val="003071FF"/>
    <w:rsid w:val="00307281"/>
    <w:rsid w:val="00307D6D"/>
    <w:rsid w:val="003103AD"/>
    <w:rsid w:val="0031041C"/>
    <w:rsid w:val="00310A14"/>
    <w:rsid w:val="00310B6F"/>
    <w:rsid w:val="003111DF"/>
    <w:rsid w:val="00311AAD"/>
    <w:rsid w:val="00311F15"/>
    <w:rsid w:val="00312CC5"/>
    <w:rsid w:val="003137AD"/>
    <w:rsid w:val="00313B7B"/>
    <w:rsid w:val="00313C82"/>
    <w:rsid w:val="00314927"/>
    <w:rsid w:val="00314D4C"/>
    <w:rsid w:val="00316965"/>
    <w:rsid w:val="0031706A"/>
    <w:rsid w:val="0031706E"/>
    <w:rsid w:val="00317728"/>
    <w:rsid w:val="00317761"/>
    <w:rsid w:val="003178A6"/>
    <w:rsid w:val="00317BFD"/>
    <w:rsid w:val="00317E72"/>
    <w:rsid w:val="003208BC"/>
    <w:rsid w:val="00322408"/>
    <w:rsid w:val="0032261D"/>
    <w:rsid w:val="00323937"/>
    <w:rsid w:val="00323B82"/>
    <w:rsid w:val="003242AA"/>
    <w:rsid w:val="00324DED"/>
    <w:rsid w:val="00324F5F"/>
    <w:rsid w:val="003252EC"/>
    <w:rsid w:val="00325A65"/>
    <w:rsid w:val="00325AD5"/>
    <w:rsid w:val="00325B49"/>
    <w:rsid w:val="00326095"/>
    <w:rsid w:val="003266DE"/>
    <w:rsid w:val="00326AC3"/>
    <w:rsid w:val="00326BBA"/>
    <w:rsid w:val="00326D48"/>
    <w:rsid w:val="0032704B"/>
    <w:rsid w:val="00327514"/>
    <w:rsid w:val="00327559"/>
    <w:rsid w:val="0032789A"/>
    <w:rsid w:val="0033053B"/>
    <w:rsid w:val="00331177"/>
    <w:rsid w:val="0033125C"/>
    <w:rsid w:val="0033164F"/>
    <w:rsid w:val="00331C24"/>
    <w:rsid w:val="00332126"/>
    <w:rsid w:val="0033214E"/>
    <w:rsid w:val="003323D8"/>
    <w:rsid w:val="003329FF"/>
    <w:rsid w:val="00332C79"/>
    <w:rsid w:val="00333209"/>
    <w:rsid w:val="00333219"/>
    <w:rsid w:val="00333567"/>
    <w:rsid w:val="00334B5E"/>
    <w:rsid w:val="00334D9D"/>
    <w:rsid w:val="00335A75"/>
    <w:rsid w:val="00335E52"/>
    <w:rsid w:val="003366FF"/>
    <w:rsid w:val="00336746"/>
    <w:rsid w:val="003368B8"/>
    <w:rsid w:val="003368E3"/>
    <w:rsid w:val="003377D5"/>
    <w:rsid w:val="00337EC3"/>
    <w:rsid w:val="00337F80"/>
    <w:rsid w:val="003404E7"/>
    <w:rsid w:val="00341F16"/>
    <w:rsid w:val="00341FF8"/>
    <w:rsid w:val="00342407"/>
    <w:rsid w:val="00342CEE"/>
    <w:rsid w:val="00342F88"/>
    <w:rsid w:val="0034361C"/>
    <w:rsid w:val="0034375F"/>
    <w:rsid w:val="00343AF9"/>
    <w:rsid w:val="00344708"/>
    <w:rsid w:val="00346210"/>
    <w:rsid w:val="0034643A"/>
    <w:rsid w:val="00347243"/>
    <w:rsid w:val="00347789"/>
    <w:rsid w:val="0034787F"/>
    <w:rsid w:val="003478DA"/>
    <w:rsid w:val="00347933"/>
    <w:rsid w:val="00347979"/>
    <w:rsid w:val="003479C9"/>
    <w:rsid w:val="00347DF8"/>
    <w:rsid w:val="003505EF"/>
    <w:rsid w:val="003509A3"/>
    <w:rsid w:val="00350E10"/>
    <w:rsid w:val="00350F90"/>
    <w:rsid w:val="00351474"/>
    <w:rsid w:val="00351547"/>
    <w:rsid w:val="0035187E"/>
    <w:rsid w:val="00351BA3"/>
    <w:rsid w:val="00351C81"/>
    <w:rsid w:val="00353534"/>
    <w:rsid w:val="00353A63"/>
    <w:rsid w:val="00353C10"/>
    <w:rsid w:val="0035496A"/>
    <w:rsid w:val="0035623C"/>
    <w:rsid w:val="003565BD"/>
    <w:rsid w:val="00356BC0"/>
    <w:rsid w:val="0035702E"/>
    <w:rsid w:val="00357064"/>
    <w:rsid w:val="00357164"/>
    <w:rsid w:val="00357C23"/>
    <w:rsid w:val="003610AE"/>
    <w:rsid w:val="0036154A"/>
    <w:rsid w:val="00361729"/>
    <w:rsid w:val="0036227F"/>
    <w:rsid w:val="00362417"/>
    <w:rsid w:val="0036265B"/>
    <w:rsid w:val="00362704"/>
    <w:rsid w:val="003635CC"/>
    <w:rsid w:val="003637E3"/>
    <w:rsid w:val="00363C12"/>
    <w:rsid w:val="003647BD"/>
    <w:rsid w:val="00364C12"/>
    <w:rsid w:val="003651D1"/>
    <w:rsid w:val="003652CA"/>
    <w:rsid w:val="003659E9"/>
    <w:rsid w:val="00365EDA"/>
    <w:rsid w:val="003660A0"/>
    <w:rsid w:val="0036687D"/>
    <w:rsid w:val="003669F5"/>
    <w:rsid w:val="00366E2A"/>
    <w:rsid w:val="00366E58"/>
    <w:rsid w:val="003673A4"/>
    <w:rsid w:val="00367CE7"/>
    <w:rsid w:val="00367D7D"/>
    <w:rsid w:val="00367DF8"/>
    <w:rsid w:val="00367E01"/>
    <w:rsid w:val="0037093D"/>
    <w:rsid w:val="00370AA2"/>
    <w:rsid w:val="0037104E"/>
    <w:rsid w:val="00371390"/>
    <w:rsid w:val="0037149E"/>
    <w:rsid w:val="003715B3"/>
    <w:rsid w:val="003719FA"/>
    <w:rsid w:val="003723F6"/>
    <w:rsid w:val="0037244B"/>
    <w:rsid w:val="003725DC"/>
    <w:rsid w:val="003728F6"/>
    <w:rsid w:val="00372C0A"/>
    <w:rsid w:val="00372F46"/>
    <w:rsid w:val="003732BE"/>
    <w:rsid w:val="00373AE5"/>
    <w:rsid w:val="003742B4"/>
    <w:rsid w:val="003744CC"/>
    <w:rsid w:val="00374907"/>
    <w:rsid w:val="00374A3F"/>
    <w:rsid w:val="003758B9"/>
    <w:rsid w:val="00375ABC"/>
    <w:rsid w:val="00375F7C"/>
    <w:rsid w:val="0037664B"/>
    <w:rsid w:val="0037685B"/>
    <w:rsid w:val="00376AA7"/>
    <w:rsid w:val="00376C3B"/>
    <w:rsid w:val="00376C4E"/>
    <w:rsid w:val="00376C59"/>
    <w:rsid w:val="003772F8"/>
    <w:rsid w:val="00377620"/>
    <w:rsid w:val="003778B1"/>
    <w:rsid w:val="00377BAF"/>
    <w:rsid w:val="00377D2A"/>
    <w:rsid w:val="00377DD4"/>
    <w:rsid w:val="00377EC7"/>
    <w:rsid w:val="003807E8"/>
    <w:rsid w:val="00381CBF"/>
    <w:rsid w:val="00382297"/>
    <w:rsid w:val="00382535"/>
    <w:rsid w:val="00383963"/>
    <w:rsid w:val="0038411C"/>
    <w:rsid w:val="00384968"/>
    <w:rsid w:val="00384F01"/>
    <w:rsid w:val="003859D2"/>
    <w:rsid w:val="00386017"/>
    <w:rsid w:val="00387082"/>
    <w:rsid w:val="003873C3"/>
    <w:rsid w:val="00387CAA"/>
    <w:rsid w:val="00387D3B"/>
    <w:rsid w:val="0039159A"/>
    <w:rsid w:val="003915EF"/>
    <w:rsid w:val="0039172D"/>
    <w:rsid w:val="0039175E"/>
    <w:rsid w:val="003919C3"/>
    <w:rsid w:val="00391AA7"/>
    <w:rsid w:val="00391F88"/>
    <w:rsid w:val="00391F9C"/>
    <w:rsid w:val="003920BA"/>
    <w:rsid w:val="00392C19"/>
    <w:rsid w:val="00392C1D"/>
    <w:rsid w:val="00392CC8"/>
    <w:rsid w:val="00393602"/>
    <w:rsid w:val="003939B9"/>
    <w:rsid w:val="00393C19"/>
    <w:rsid w:val="00394626"/>
    <w:rsid w:val="0039546F"/>
    <w:rsid w:val="00396488"/>
    <w:rsid w:val="00396B87"/>
    <w:rsid w:val="00396C10"/>
    <w:rsid w:val="0039713B"/>
    <w:rsid w:val="003972E7"/>
    <w:rsid w:val="0039767D"/>
    <w:rsid w:val="003A0805"/>
    <w:rsid w:val="003A0B39"/>
    <w:rsid w:val="003A0F1B"/>
    <w:rsid w:val="003A1130"/>
    <w:rsid w:val="003A12DE"/>
    <w:rsid w:val="003A2364"/>
    <w:rsid w:val="003A404C"/>
    <w:rsid w:val="003A4624"/>
    <w:rsid w:val="003A4A48"/>
    <w:rsid w:val="003A4BE8"/>
    <w:rsid w:val="003A4FD8"/>
    <w:rsid w:val="003A5B5D"/>
    <w:rsid w:val="003A6452"/>
    <w:rsid w:val="003A6604"/>
    <w:rsid w:val="003A66D4"/>
    <w:rsid w:val="003A6915"/>
    <w:rsid w:val="003A6B7B"/>
    <w:rsid w:val="003A7750"/>
    <w:rsid w:val="003A7B04"/>
    <w:rsid w:val="003A7C0E"/>
    <w:rsid w:val="003B0276"/>
    <w:rsid w:val="003B08E5"/>
    <w:rsid w:val="003B0EE6"/>
    <w:rsid w:val="003B0F43"/>
    <w:rsid w:val="003B1391"/>
    <w:rsid w:val="003B178B"/>
    <w:rsid w:val="003B19EC"/>
    <w:rsid w:val="003B1F82"/>
    <w:rsid w:val="003B2350"/>
    <w:rsid w:val="003B2502"/>
    <w:rsid w:val="003B2706"/>
    <w:rsid w:val="003B2BC2"/>
    <w:rsid w:val="003B3148"/>
    <w:rsid w:val="003B3D84"/>
    <w:rsid w:val="003B412E"/>
    <w:rsid w:val="003B4781"/>
    <w:rsid w:val="003B4C97"/>
    <w:rsid w:val="003B5354"/>
    <w:rsid w:val="003B5404"/>
    <w:rsid w:val="003B5E55"/>
    <w:rsid w:val="003B697B"/>
    <w:rsid w:val="003B69E8"/>
    <w:rsid w:val="003B74D2"/>
    <w:rsid w:val="003B77CE"/>
    <w:rsid w:val="003B7D64"/>
    <w:rsid w:val="003C0167"/>
    <w:rsid w:val="003C0531"/>
    <w:rsid w:val="003C05D0"/>
    <w:rsid w:val="003C0799"/>
    <w:rsid w:val="003C0B53"/>
    <w:rsid w:val="003C0E9D"/>
    <w:rsid w:val="003C1CED"/>
    <w:rsid w:val="003C2033"/>
    <w:rsid w:val="003C20FC"/>
    <w:rsid w:val="003C23F3"/>
    <w:rsid w:val="003C246A"/>
    <w:rsid w:val="003C2E08"/>
    <w:rsid w:val="003C309C"/>
    <w:rsid w:val="003C33C2"/>
    <w:rsid w:val="003C349F"/>
    <w:rsid w:val="003C3884"/>
    <w:rsid w:val="003C3B6E"/>
    <w:rsid w:val="003C3C01"/>
    <w:rsid w:val="003C42A3"/>
    <w:rsid w:val="003C44C0"/>
    <w:rsid w:val="003C5A6E"/>
    <w:rsid w:val="003C696D"/>
    <w:rsid w:val="003C6BE2"/>
    <w:rsid w:val="003C6DF8"/>
    <w:rsid w:val="003C7AF3"/>
    <w:rsid w:val="003C7C51"/>
    <w:rsid w:val="003C7D8B"/>
    <w:rsid w:val="003D07FD"/>
    <w:rsid w:val="003D1694"/>
    <w:rsid w:val="003D228D"/>
    <w:rsid w:val="003D32FC"/>
    <w:rsid w:val="003D3488"/>
    <w:rsid w:val="003D34A5"/>
    <w:rsid w:val="003D3876"/>
    <w:rsid w:val="003D3DA2"/>
    <w:rsid w:val="003D4325"/>
    <w:rsid w:val="003D4A2D"/>
    <w:rsid w:val="003D4AB5"/>
    <w:rsid w:val="003D4E14"/>
    <w:rsid w:val="003D5002"/>
    <w:rsid w:val="003D5571"/>
    <w:rsid w:val="003D5C7A"/>
    <w:rsid w:val="003D6339"/>
    <w:rsid w:val="003D7019"/>
    <w:rsid w:val="003D7CB5"/>
    <w:rsid w:val="003E019A"/>
    <w:rsid w:val="003E03B0"/>
    <w:rsid w:val="003E0568"/>
    <w:rsid w:val="003E0C94"/>
    <w:rsid w:val="003E11EF"/>
    <w:rsid w:val="003E1EB7"/>
    <w:rsid w:val="003E2AB6"/>
    <w:rsid w:val="003E3477"/>
    <w:rsid w:val="003E3686"/>
    <w:rsid w:val="003E4185"/>
    <w:rsid w:val="003E4570"/>
    <w:rsid w:val="003E475F"/>
    <w:rsid w:val="003E5074"/>
    <w:rsid w:val="003E586B"/>
    <w:rsid w:val="003E5953"/>
    <w:rsid w:val="003E5C16"/>
    <w:rsid w:val="003E5DA3"/>
    <w:rsid w:val="003E6271"/>
    <w:rsid w:val="003E704D"/>
    <w:rsid w:val="003E7092"/>
    <w:rsid w:val="003E72BC"/>
    <w:rsid w:val="003E77EA"/>
    <w:rsid w:val="003E7BB3"/>
    <w:rsid w:val="003F00DC"/>
    <w:rsid w:val="003F07CA"/>
    <w:rsid w:val="003F09D5"/>
    <w:rsid w:val="003F0CE6"/>
    <w:rsid w:val="003F1254"/>
    <w:rsid w:val="003F126B"/>
    <w:rsid w:val="003F15B2"/>
    <w:rsid w:val="003F161F"/>
    <w:rsid w:val="003F2477"/>
    <w:rsid w:val="003F2DA5"/>
    <w:rsid w:val="003F30B1"/>
    <w:rsid w:val="003F3228"/>
    <w:rsid w:val="003F3CD3"/>
    <w:rsid w:val="003F4247"/>
    <w:rsid w:val="003F505A"/>
    <w:rsid w:val="003F5440"/>
    <w:rsid w:val="003F5B4E"/>
    <w:rsid w:val="003F5E9D"/>
    <w:rsid w:val="003F635C"/>
    <w:rsid w:val="003F65E0"/>
    <w:rsid w:val="003F66FC"/>
    <w:rsid w:val="003F6C49"/>
    <w:rsid w:val="003F7158"/>
    <w:rsid w:val="003F764A"/>
    <w:rsid w:val="003F7799"/>
    <w:rsid w:val="003F79E9"/>
    <w:rsid w:val="0040050E"/>
    <w:rsid w:val="004009A8"/>
    <w:rsid w:val="00400DD0"/>
    <w:rsid w:val="00402853"/>
    <w:rsid w:val="00402B73"/>
    <w:rsid w:val="00402D66"/>
    <w:rsid w:val="00402F56"/>
    <w:rsid w:val="004031FE"/>
    <w:rsid w:val="0040376B"/>
    <w:rsid w:val="00403EFA"/>
    <w:rsid w:val="0040402D"/>
    <w:rsid w:val="00404D02"/>
    <w:rsid w:val="00404ECE"/>
    <w:rsid w:val="004054EA"/>
    <w:rsid w:val="0040553E"/>
    <w:rsid w:val="00405EFE"/>
    <w:rsid w:val="00406208"/>
    <w:rsid w:val="004063F3"/>
    <w:rsid w:val="00406EDF"/>
    <w:rsid w:val="0040759D"/>
    <w:rsid w:val="00407805"/>
    <w:rsid w:val="00411401"/>
    <w:rsid w:val="00411B95"/>
    <w:rsid w:val="00411F47"/>
    <w:rsid w:val="0041245A"/>
    <w:rsid w:val="0041262A"/>
    <w:rsid w:val="004126D3"/>
    <w:rsid w:val="00413476"/>
    <w:rsid w:val="004136FF"/>
    <w:rsid w:val="004137F3"/>
    <w:rsid w:val="00413A0B"/>
    <w:rsid w:val="00413EDA"/>
    <w:rsid w:val="0041432C"/>
    <w:rsid w:val="004146A0"/>
    <w:rsid w:val="004147FE"/>
    <w:rsid w:val="0041486E"/>
    <w:rsid w:val="00414900"/>
    <w:rsid w:val="004152B8"/>
    <w:rsid w:val="00415485"/>
    <w:rsid w:val="00415490"/>
    <w:rsid w:val="00415691"/>
    <w:rsid w:val="004159A2"/>
    <w:rsid w:val="00415A1A"/>
    <w:rsid w:val="00415CE1"/>
    <w:rsid w:val="00415EE5"/>
    <w:rsid w:val="004166E9"/>
    <w:rsid w:val="00416733"/>
    <w:rsid w:val="00416CF2"/>
    <w:rsid w:val="00416F66"/>
    <w:rsid w:val="00417405"/>
    <w:rsid w:val="004178C4"/>
    <w:rsid w:val="00417A25"/>
    <w:rsid w:val="00417B18"/>
    <w:rsid w:val="00420725"/>
    <w:rsid w:val="0042075B"/>
    <w:rsid w:val="00420A67"/>
    <w:rsid w:val="00420DB7"/>
    <w:rsid w:val="004212BE"/>
    <w:rsid w:val="00421912"/>
    <w:rsid w:val="00421E94"/>
    <w:rsid w:val="00421F67"/>
    <w:rsid w:val="00422449"/>
    <w:rsid w:val="00422488"/>
    <w:rsid w:val="0042417C"/>
    <w:rsid w:val="00424B8E"/>
    <w:rsid w:val="00424FA7"/>
    <w:rsid w:val="004254F6"/>
    <w:rsid w:val="00425867"/>
    <w:rsid w:val="0042646F"/>
    <w:rsid w:val="00426C4C"/>
    <w:rsid w:val="0042752F"/>
    <w:rsid w:val="00427ACA"/>
    <w:rsid w:val="004301B8"/>
    <w:rsid w:val="00430F23"/>
    <w:rsid w:val="0043126F"/>
    <w:rsid w:val="00431A9F"/>
    <w:rsid w:val="004321FE"/>
    <w:rsid w:val="004325B0"/>
    <w:rsid w:val="00432CCB"/>
    <w:rsid w:val="0043319C"/>
    <w:rsid w:val="004335D3"/>
    <w:rsid w:val="004339D5"/>
    <w:rsid w:val="00433DB9"/>
    <w:rsid w:val="0043435C"/>
    <w:rsid w:val="004349E4"/>
    <w:rsid w:val="00434E98"/>
    <w:rsid w:val="0043542C"/>
    <w:rsid w:val="00435980"/>
    <w:rsid w:val="004360C9"/>
    <w:rsid w:val="00436933"/>
    <w:rsid w:val="00436C9B"/>
    <w:rsid w:val="0043746F"/>
    <w:rsid w:val="004374BF"/>
    <w:rsid w:val="00440039"/>
    <w:rsid w:val="004405B6"/>
    <w:rsid w:val="004412CA"/>
    <w:rsid w:val="00441A08"/>
    <w:rsid w:val="00441E81"/>
    <w:rsid w:val="00442766"/>
    <w:rsid w:val="00442884"/>
    <w:rsid w:val="00442B0E"/>
    <w:rsid w:val="00443480"/>
    <w:rsid w:val="004447A2"/>
    <w:rsid w:val="00444883"/>
    <w:rsid w:val="004448EA"/>
    <w:rsid w:val="00444E7C"/>
    <w:rsid w:val="00445993"/>
    <w:rsid w:val="00445CC2"/>
    <w:rsid w:val="00446082"/>
    <w:rsid w:val="0044637E"/>
    <w:rsid w:val="004467F7"/>
    <w:rsid w:val="004468DB"/>
    <w:rsid w:val="00447E02"/>
    <w:rsid w:val="00447EEF"/>
    <w:rsid w:val="00447EF1"/>
    <w:rsid w:val="004500EA"/>
    <w:rsid w:val="004502C7"/>
    <w:rsid w:val="00450476"/>
    <w:rsid w:val="00451D18"/>
    <w:rsid w:val="00451F4C"/>
    <w:rsid w:val="004526DF"/>
    <w:rsid w:val="00452716"/>
    <w:rsid w:val="00452775"/>
    <w:rsid w:val="00452920"/>
    <w:rsid w:val="00452B29"/>
    <w:rsid w:val="004536C8"/>
    <w:rsid w:val="0045398A"/>
    <w:rsid w:val="00453BD9"/>
    <w:rsid w:val="00453F96"/>
    <w:rsid w:val="004544BF"/>
    <w:rsid w:val="00454625"/>
    <w:rsid w:val="00454961"/>
    <w:rsid w:val="00454B09"/>
    <w:rsid w:val="004551C2"/>
    <w:rsid w:val="0045557C"/>
    <w:rsid w:val="004556DD"/>
    <w:rsid w:val="00455918"/>
    <w:rsid w:val="004559A0"/>
    <w:rsid w:val="00455CB2"/>
    <w:rsid w:val="00455EF9"/>
    <w:rsid w:val="00455F11"/>
    <w:rsid w:val="004560F0"/>
    <w:rsid w:val="004561E6"/>
    <w:rsid w:val="004563D5"/>
    <w:rsid w:val="00456518"/>
    <w:rsid w:val="00456F54"/>
    <w:rsid w:val="0045745F"/>
    <w:rsid w:val="00457C58"/>
    <w:rsid w:val="00457CFC"/>
    <w:rsid w:val="00460552"/>
    <w:rsid w:val="00461184"/>
    <w:rsid w:val="0046134F"/>
    <w:rsid w:val="004623F4"/>
    <w:rsid w:val="00462690"/>
    <w:rsid w:val="00462869"/>
    <w:rsid w:val="00463247"/>
    <w:rsid w:val="00463502"/>
    <w:rsid w:val="0046390C"/>
    <w:rsid w:val="00463AE9"/>
    <w:rsid w:val="00463B22"/>
    <w:rsid w:val="00463C54"/>
    <w:rsid w:val="00464AE8"/>
    <w:rsid w:val="00464D4C"/>
    <w:rsid w:val="004653D7"/>
    <w:rsid w:val="004661D4"/>
    <w:rsid w:val="004663C0"/>
    <w:rsid w:val="00467727"/>
    <w:rsid w:val="0046779F"/>
    <w:rsid w:val="0047015B"/>
    <w:rsid w:val="004702A0"/>
    <w:rsid w:val="00470963"/>
    <w:rsid w:val="0047105E"/>
    <w:rsid w:val="0047166F"/>
    <w:rsid w:val="004729E2"/>
    <w:rsid w:val="004734BC"/>
    <w:rsid w:val="00474DD0"/>
    <w:rsid w:val="00475230"/>
    <w:rsid w:val="00475431"/>
    <w:rsid w:val="00475874"/>
    <w:rsid w:val="00475BDA"/>
    <w:rsid w:val="00475D85"/>
    <w:rsid w:val="00475F5E"/>
    <w:rsid w:val="00476C5C"/>
    <w:rsid w:val="004772EC"/>
    <w:rsid w:val="004778CC"/>
    <w:rsid w:val="00480930"/>
    <w:rsid w:val="00480A32"/>
    <w:rsid w:val="00480DF4"/>
    <w:rsid w:val="00480F5E"/>
    <w:rsid w:val="0048111F"/>
    <w:rsid w:val="004811C2"/>
    <w:rsid w:val="004812A1"/>
    <w:rsid w:val="00481868"/>
    <w:rsid w:val="00481997"/>
    <w:rsid w:val="004822F7"/>
    <w:rsid w:val="004828F0"/>
    <w:rsid w:val="00482E54"/>
    <w:rsid w:val="00482FBB"/>
    <w:rsid w:val="00483063"/>
    <w:rsid w:val="004834A5"/>
    <w:rsid w:val="0048380A"/>
    <w:rsid w:val="0048381C"/>
    <w:rsid w:val="004838A8"/>
    <w:rsid w:val="00483F57"/>
    <w:rsid w:val="00484186"/>
    <w:rsid w:val="00484230"/>
    <w:rsid w:val="0048512A"/>
    <w:rsid w:val="00485474"/>
    <w:rsid w:val="00485B04"/>
    <w:rsid w:val="00485DDC"/>
    <w:rsid w:val="00486020"/>
    <w:rsid w:val="0048621A"/>
    <w:rsid w:val="00486261"/>
    <w:rsid w:val="00486592"/>
    <w:rsid w:val="00486908"/>
    <w:rsid w:val="00486F6E"/>
    <w:rsid w:val="004875C0"/>
    <w:rsid w:val="004876A7"/>
    <w:rsid w:val="004906B0"/>
    <w:rsid w:val="00490A32"/>
    <w:rsid w:val="00490D13"/>
    <w:rsid w:val="00490FBE"/>
    <w:rsid w:val="00491315"/>
    <w:rsid w:val="0049161E"/>
    <w:rsid w:val="004916BD"/>
    <w:rsid w:val="0049212A"/>
    <w:rsid w:val="0049230D"/>
    <w:rsid w:val="00492B49"/>
    <w:rsid w:val="00492DA3"/>
    <w:rsid w:val="0049310F"/>
    <w:rsid w:val="004934DD"/>
    <w:rsid w:val="00493D6A"/>
    <w:rsid w:val="00494032"/>
    <w:rsid w:val="00494195"/>
    <w:rsid w:val="004946A1"/>
    <w:rsid w:val="00494A20"/>
    <w:rsid w:val="00495B36"/>
    <w:rsid w:val="00496357"/>
    <w:rsid w:val="00496FBB"/>
    <w:rsid w:val="004971BE"/>
    <w:rsid w:val="0049726B"/>
    <w:rsid w:val="0049734B"/>
    <w:rsid w:val="00497353"/>
    <w:rsid w:val="00497455"/>
    <w:rsid w:val="00497F76"/>
    <w:rsid w:val="004A0199"/>
    <w:rsid w:val="004A11E3"/>
    <w:rsid w:val="004A14BB"/>
    <w:rsid w:val="004A16A8"/>
    <w:rsid w:val="004A2863"/>
    <w:rsid w:val="004A2936"/>
    <w:rsid w:val="004A2F00"/>
    <w:rsid w:val="004A365A"/>
    <w:rsid w:val="004A378A"/>
    <w:rsid w:val="004A3C5E"/>
    <w:rsid w:val="004A3E13"/>
    <w:rsid w:val="004A4015"/>
    <w:rsid w:val="004A4034"/>
    <w:rsid w:val="004A4710"/>
    <w:rsid w:val="004A4D08"/>
    <w:rsid w:val="004A4F20"/>
    <w:rsid w:val="004A5374"/>
    <w:rsid w:val="004A5B24"/>
    <w:rsid w:val="004A5CCD"/>
    <w:rsid w:val="004A61DB"/>
    <w:rsid w:val="004A6511"/>
    <w:rsid w:val="004A6CA6"/>
    <w:rsid w:val="004A6D37"/>
    <w:rsid w:val="004A75DF"/>
    <w:rsid w:val="004A78A7"/>
    <w:rsid w:val="004A7A57"/>
    <w:rsid w:val="004B0032"/>
    <w:rsid w:val="004B059E"/>
    <w:rsid w:val="004B05F7"/>
    <w:rsid w:val="004B0783"/>
    <w:rsid w:val="004B1091"/>
    <w:rsid w:val="004B1410"/>
    <w:rsid w:val="004B20A7"/>
    <w:rsid w:val="004B22C3"/>
    <w:rsid w:val="004B30CF"/>
    <w:rsid w:val="004B3277"/>
    <w:rsid w:val="004B3D11"/>
    <w:rsid w:val="004B3D4D"/>
    <w:rsid w:val="004B44E2"/>
    <w:rsid w:val="004B470D"/>
    <w:rsid w:val="004B4AEF"/>
    <w:rsid w:val="004B5404"/>
    <w:rsid w:val="004B5894"/>
    <w:rsid w:val="004B5AC1"/>
    <w:rsid w:val="004B5C8D"/>
    <w:rsid w:val="004B636B"/>
    <w:rsid w:val="004B63D5"/>
    <w:rsid w:val="004B697F"/>
    <w:rsid w:val="004B6ACA"/>
    <w:rsid w:val="004B7528"/>
    <w:rsid w:val="004B7893"/>
    <w:rsid w:val="004C08C2"/>
    <w:rsid w:val="004C0F31"/>
    <w:rsid w:val="004C1E69"/>
    <w:rsid w:val="004C20D8"/>
    <w:rsid w:val="004C296A"/>
    <w:rsid w:val="004C2D4A"/>
    <w:rsid w:val="004C37CD"/>
    <w:rsid w:val="004C3DFC"/>
    <w:rsid w:val="004C4CDA"/>
    <w:rsid w:val="004C4E66"/>
    <w:rsid w:val="004C51F5"/>
    <w:rsid w:val="004C590B"/>
    <w:rsid w:val="004C6A07"/>
    <w:rsid w:val="004C6A0C"/>
    <w:rsid w:val="004C6D77"/>
    <w:rsid w:val="004C73D1"/>
    <w:rsid w:val="004C7494"/>
    <w:rsid w:val="004C75E9"/>
    <w:rsid w:val="004C76A9"/>
    <w:rsid w:val="004C786F"/>
    <w:rsid w:val="004C7B45"/>
    <w:rsid w:val="004D0056"/>
    <w:rsid w:val="004D1269"/>
    <w:rsid w:val="004D14D4"/>
    <w:rsid w:val="004D15DF"/>
    <w:rsid w:val="004D1CA7"/>
    <w:rsid w:val="004D23C4"/>
    <w:rsid w:val="004D2413"/>
    <w:rsid w:val="004D2872"/>
    <w:rsid w:val="004D2A25"/>
    <w:rsid w:val="004D2EDA"/>
    <w:rsid w:val="004D38EE"/>
    <w:rsid w:val="004D3AA2"/>
    <w:rsid w:val="004D3BA6"/>
    <w:rsid w:val="004D3C24"/>
    <w:rsid w:val="004D3CCC"/>
    <w:rsid w:val="004D42A4"/>
    <w:rsid w:val="004D4848"/>
    <w:rsid w:val="004D51C4"/>
    <w:rsid w:val="004D5657"/>
    <w:rsid w:val="004D5AB2"/>
    <w:rsid w:val="004D6067"/>
    <w:rsid w:val="004D7773"/>
    <w:rsid w:val="004D7872"/>
    <w:rsid w:val="004E0019"/>
    <w:rsid w:val="004E0267"/>
    <w:rsid w:val="004E02B9"/>
    <w:rsid w:val="004E044E"/>
    <w:rsid w:val="004E071E"/>
    <w:rsid w:val="004E0A68"/>
    <w:rsid w:val="004E10E5"/>
    <w:rsid w:val="004E117D"/>
    <w:rsid w:val="004E1254"/>
    <w:rsid w:val="004E174F"/>
    <w:rsid w:val="004E18EE"/>
    <w:rsid w:val="004E2329"/>
    <w:rsid w:val="004E233F"/>
    <w:rsid w:val="004E24AF"/>
    <w:rsid w:val="004E2AFC"/>
    <w:rsid w:val="004E2F45"/>
    <w:rsid w:val="004E322D"/>
    <w:rsid w:val="004E35EA"/>
    <w:rsid w:val="004E3715"/>
    <w:rsid w:val="004E3A69"/>
    <w:rsid w:val="004E4261"/>
    <w:rsid w:val="004E4566"/>
    <w:rsid w:val="004E48EC"/>
    <w:rsid w:val="004E493A"/>
    <w:rsid w:val="004E4B38"/>
    <w:rsid w:val="004E4E5B"/>
    <w:rsid w:val="004E53BD"/>
    <w:rsid w:val="004E5718"/>
    <w:rsid w:val="004E591D"/>
    <w:rsid w:val="004E5ACB"/>
    <w:rsid w:val="004E5D67"/>
    <w:rsid w:val="004E67BD"/>
    <w:rsid w:val="004E6C49"/>
    <w:rsid w:val="004E735C"/>
    <w:rsid w:val="004E75B7"/>
    <w:rsid w:val="004E76F8"/>
    <w:rsid w:val="004E7C01"/>
    <w:rsid w:val="004F00CA"/>
    <w:rsid w:val="004F070E"/>
    <w:rsid w:val="004F0780"/>
    <w:rsid w:val="004F0BA7"/>
    <w:rsid w:val="004F0F14"/>
    <w:rsid w:val="004F2A3F"/>
    <w:rsid w:val="004F36A2"/>
    <w:rsid w:val="004F3923"/>
    <w:rsid w:val="004F3A13"/>
    <w:rsid w:val="004F3BCC"/>
    <w:rsid w:val="004F41E3"/>
    <w:rsid w:val="004F441A"/>
    <w:rsid w:val="004F4967"/>
    <w:rsid w:val="004F49EB"/>
    <w:rsid w:val="004F5FDC"/>
    <w:rsid w:val="004F6095"/>
    <w:rsid w:val="004F62D8"/>
    <w:rsid w:val="004F6305"/>
    <w:rsid w:val="004F6792"/>
    <w:rsid w:val="004F6BF1"/>
    <w:rsid w:val="004F6D2B"/>
    <w:rsid w:val="004F72C0"/>
    <w:rsid w:val="00500456"/>
    <w:rsid w:val="00500D2D"/>
    <w:rsid w:val="005011D8"/>
    <w:rsid w:val="0050157D"/>
    <w:rsid w:val="00502449"/>
    <w:rsid w:val="00502A6F"/>
    <w:rsid w:val="00502A9A"/>
    <w:rsid w:val="00502BCA"/>
    <w:rsid w:val="005036D0"/>
    <w:rsid w:val="00503FA7"/>
    <w:rsid w:val="005045B7"/>
    <w:rsid w:val="0050490B"/>
    <w:rsid w:val="00504AF8"/>
    <w:rsid w:val="00506925"/>
    <w:rsid w:val="00506996"/>
    <w:rsid w:val="00506E28"/>
    <w:rsid w:val="00506F49"/>
    <w:rsid w:val="0050745F"/>
    <w:rsid w:val="00507B6E"/>
    <w:rsid w:val="00510C3E"/>
    <w:rsid w:val="00510D24"/>
    <w:rsid w:val="00510DC2"/>
    <w:rsid w:val="005117A2"/>
    <w:rsid w:val="00511A5C"/>
    <w:rsid w:val="00511E91"/>
    <w:rsid w:val="0051285C"/>
    <w:rsid w:val="0051299B"/>
    <w:rsid w:val="00512D6F"/>
    <w:rsid w:val="00513141"/>
    <w:rsid w:val="005132B5"/>
    <w:rsid w:val="005134AC"/>
    <w:rsid w:val="005150B3"/>
    <w:rsid w:val="00515CAA"/>
    <w:rsid w:val="00516004"/>
    <w:rsid w:val="00516320"/>
    <w:rsid w:val="00516433"/>
    <w:rsid w:val="00516E7B"/>
    <w:rsid w:val="00516EC4"/>
    <w:rsid w:val="005172FC"/>
    <w:rsid w:val="00517C96"/>
    <w:rsid w:val="00517D8D"/>
    <w:rsid w:val="00517FA3"/>
    <w:rsid w:val="0052002C"/>
    <w:rsid w:val="00520877"/>
    <w:rsid w:val="00520E4F"/>
    <w:rsid w:val="00520EA4"/>
    <w:rsid w:val="00521178"/>
    <w:rsid w:val="00521385"/>
    <w:rsid w:val="00521610"/>
    <w:rsid w:val="00521745"/>
    <w:rsid w:val="005218CA"/>
    <w:rsid w:val="005219D0"/>
    <w:rsid w:val="00522124"/>
    <w:rsid w:val="005224F1"/>
    <w:rsid w:val="0052325D"/>
    <w:rsid w:val="005232D3"/>
    <w:rsid w:val="00523D53"/>
    <w:rsid w:val="0052437C"/>
    <w:rsid w:val="00524CEF"/>
    <w:rsid w:val="00524F3A"/>
    <w:rsid w:val="00525B50"/>
    <w:rsid w:val="00525DB6"/>
    <w:rsid w:val="00525F7F"/>
    <w:rsid w:val="0052634C"/>
    <w:rsid w:val="00526895"/>
    <w:rsid w:val="00526959"/>
    <w:rsid w:val="00527469"/>
    <w:rsid w:val="00527830"/>
    <w:rsid w:val="00527945"/>
    <w:rsid w:val="00530287"/>
    <w:rsid w:val="00530B77"/>
    <w:rsid w:val="00530C39"/>
    <w:rsid w:val="00530F7F"/>
    <w:rsid w:val="00531269"/>
    <w:rsid w:val="005314D3"/>
    <w:rsid w:val="00531B97"/>
    <w:rsid w:val="00531E6B"/>
    <w:rsid w:val="00532244"/>
    <w:rsid w:val="00532427"/>
    <w:rsid w:val="005326D4"/>
    <w:rsid w:val="005328F3"/>
    <w:rsid w:val="00532F67"/>
    <w:rsid w:val="00532FE0"/>
    <w:rsid w:val="005335D4"/>
    <w:rsid w:val="0053367E"/>
    <w:rsid w:val="00534731"/>
    <w:rsid w:val="00534A2C"/>
    <w:rsid w:val="00535859"/>
    <w:rsid w:val="00535E5B"/>
    <w:rsid w:val="00536194"/>
    <w:rsid w:val="00536398"/>
    <w:rsid w:val="00536CC0"/>
    <w:rsid w:val="00536D0B"/>
    <w:rsid w:val="00536E9E"/>
    <w:rsid w:val="00536EFF"/>
    <w:rsid w:val="00536F15"/>
    <w:rsid w:val="00537396"/>
    <w:rsid w:val="00537A3B"/>
    <w:rsid w:val="00537A7C"/>
    <w:rsid w:val="00537FE0"/>
    <w:rsid w:val="0054033F"/>
    <w:rsid w:val="00541127"/>
    <w:rsid w:val="0054169C"/>
    <w:rsid w:val="00542636"/>
    <w:rsid w:val="00542B39"/>
    <w:rsid w:val="0054343B"/>
    <w:rsid w:val="00543562"/>
    <w:rsid w:val="005440A1"/>
    <w:rsid w:val="0054478B"/>
    <w:rsid w:val="00545556"/>
    <w:rsid w:val="00545A50"/>
    <w:rsid w:val="00546952"/>
    <w:rsid w:val="00546A62"/>
    <w:rsid w:val="00547A8E"/>
    <w:rsid w:val="00547FF5"/>
    <w:rsid w:val="005504C9"/>
    <w:rsid w:val="00550646"/>
    <w:rsid w:val="0055080D"/>
    <w:rsid w:val="00551021"/>
    <w:rsid w:val="005515A6"/>
    <w:rsid w:val="005516B5"/>
    <w:rsid w:val="00551FDC"/>
    <w:rsid w:val="00552961"/>
    <w:rsid w:val="0055296F"/>
    <w:rsid w:val="00552A0E"/>
    <w:rsid w:val="00552F30"/>
    <w:rsid w:val="005530D2"/>
    <w:rsid w:val="005530E1"/>
    <w:rsid w:val="0055323D"/>
    <w:rsid w:val="00553AE3"/>
    <w:rsid w:val="00554412"/>
    <w:rsid w:val="00555196"/>
    <w:rsid w:val="00555F77"/>
    <w:rsid w:val="00556DCE"/>
    <w:rsid w:val="00556E50"/>
    <w:rsid w:val="00557171"/>
    <w:rsid w:val="0055767E"/>
    <w:rsid w:val="00557991"/>
    <w:rsid w:val="00557DC3"/>
    <w:rsid w:val="0056005B"/>
    <w:rsid w:val="00560E1B"/>
    <w:rsid w:val="00562402"/>
    <w:rsid w:val="005637BB"/>
    <w:rsid w:val="00563A3D"/>
    <w:rsid w:val="00563FD8"/>
    <w:rsid w:val="0056422E"/>
    <w:rsid w:val="005642A3"/>
    <w:rsid w:val="005646FF"/>
    <w:rsid w:val="00564A91"/>
    <w:rsid w:val="00564C37"/>
    <w:rsid w:val="00564EBC"/>
    <w:rsid w:val="005650BD"/>
    <w:rsid w:val="00565358"/>
    <w:rsid w:val="0056589F"/>
    <w:rsid w:val="005659DC"/>
    <w:rsid w:val="00565C54"/>
    <w:rsid w:val="00565EB0"/>
    <w:rsid w:val="0056611F"/>
    <w:rsid w:val="00566487"/>
    <w:rsid w:val="00566D33"/>
    <w:rsid w:val="005670E9"/>
    <w:rsid w:val="005673A2"/>
    <w:rsid w:val="005673F8"/>
    <w:rsid w:val="00567778"/>
    <w:rsid w:val="00567AB9"/>
    <w:rsid w:val="00567D36"/>
    <w:rsid w:val="00567E11"/>
    <w:rsid w:val="00567EE5"/>
    <w:rsid w:val="00570B96"/>
    <w:rsid w:val="005714BE"/>
    <w:rsid w:val="005718AB"/>
    <w:rsid w:val="00571BD6"/>
    <w:rsid w:val="0057203E"/>
    <w:rsid w:val="0057234C"/>
    <w:rsid w:val="005726AC"/>
    <w:rsid w:val="00572D78"/>
    <w:rsid w:val="00572F2C"/>
    <w:rsid w:val="00573527"/>
    <w:rsid w:val="005735C2"/>
    <w:rsid w:val="005736E7"/>
    <w:rsid w:val="0057371A"/>
    <w:rsid w:val="00573B63"/>
    <w:rsid w:val="00573C92"/>
    <w:rsid w:val="005749F5"/>
    <w:rsid w:val="0057554C"/>
    <w:rsid w:val="00575C90"/>
    <w:rsid w:val="0057642B"/>
    <w:rsid w:val="00576A71"/>
    <w:rsid w:val="00576A92"/>
    <w:rsid w:val="00576C4A"/>
    <w:rsid w:val="00576CE7"/>
    <w:rsid w:val="0057726A"/>
    <w:rsid w:val="005774F0"/>
    <w:rsid w:val="00577520"/>
    <w:rsid w:val="005775D5"/>
    <w:rsid w:val="005779B9"/>
    <w:rsid w:val="00577A8B"/>
    <w:rsid w:val="00577B14"/>
    <w:rsid w:val="00581037"/>
    <w:rsid w:val="00581190"/>
    <w:rsid w:val="00581374"/>
    <w:rsid w:val="00581905"/>
    <w:rsid w:val="005821D1"/>
    <w:rsid w:val="005821FE"/>
    <w:rsid w:val="00582ADB"/>
    <w:rsid w:val="00582B5A"/>
    <w:rsid w:val="00582C32"/>
    <w:rsid w:val="005832DD"/>
    <w:rsid w:val="0058397A"/>
    <w:rsid w:val="00583DAB"/>
    <w:rsid w:val="00583F7D"/>
    <w:rsid w:val="00584155"/>
    <w:rsid w:val="00584A67"/>
    <w:rsid w:val="00584A80"/>
    <w:rsid w:val="00584C63"/>
    <w:rsid w:val="00584DAB"/>
    <w:rsid w:val="0058504E"/>
    <w:rsid w:val="005855E9"/>
    <w:rsid w:val="00585702"/>
    <w:rsid w:val="00585946"/>
    <w:rsid w:val="00585B66"/>
    <w:rsid w:val="005862F2"/>
    <w:rsid w:val="00586404"/>
    <w:rsid w:val="00586D4C"/>
    <w:rsid w:val="00586E7F"/>
    <w:rsid w:val="0058717F"/>
    <w:rsid w:val="005878B0"/>
    <w:rsid w:val="00587C6E"/>
    <w:rsid w:val="0059079E"/>
    <w:rsid w:val="00590A9F"/>
    <w:rsid w:val="00590B2A"/>
    <w:rsid w:val="00590CE5"/>
    <w:rsid w:val="00591B83"/>
    <w:rsid w:val="00591F69"/>
    <w:rsid w:val="00591FDA"/>
    <w:rsid w:val="005927C4"/>
    <w:rsid w:val="005927F0"/>
    <w:rsid w:val="00592920"/>
    <w:rsid w:val="005929EA"/>
    <w:rsid w:val="00593107"/>
    <w:rsid w:val="005935C0"/>
    <w:rsid w:val="00593A7A"/>
    <w:rsid w:val="00594126"/>
    <w:rsid w:val="005942BA"/>
    <w:rsid w:val="005956AA"/>
    <w:rsid w:val="0059570D"/>
    <w:rsid w:val="00595887"/>
    <w:rsid w:val="005958A5"/>
    <w:rsid w:val="00595B64"/>
    <w:rsid w:val="00595C90"/>
    <w:rsid w:val="0059624C"/>
    <w:rsid w:val="0059641E"/>
    <w:rsid w:val="0059656F"/>
    <w:rsid w:val="005966C8"/>
    <w:rsid w:val="005968F5"/>
    <w:rsid w:val="0059700E"/>
    <w:rsid w:val="00597655"/>
    <w:rsid w:val="005A03CF"/>
    <w:rsid w:val="005A0581"/>
    <w:rsid w:val="005A063C"/>
    <w:rsid w:val="005A0EC8"/>
    <w:rsid w:val="005A1200"/>
    <w:rsid w:val="005A17CD"/>
    <w:rsid w:val="005A1831"/>
    <w:rsid w:val="005A1EBA"/>
    <w:rsid w:val="005A2197"/>
    <w:rsid w:val="005A3171"/>
    <w:rsid w:val="005A320D"/>
    <w:rsid w:val="005A385A"/>
    <w:rsid w:val="005A48AC"/>
    <w:rsid w:val="005A4AA5"/>
    <w:rsid w:val="005A59E5"/>
    <w:rsid w:val="005A61B0"/>
    <w:rsid w:val="005A61BD"/>
    <w:rsid w:val="005A63E8"/>
    <w:rsid w:val="005A6550"/>
    <w:rsid w:val="005A671D"/>
    <w:rsid w:val="005A68CA"/>
    <w:rsid w:val="005A6D0A"/>
    <w:rsid w:val="005A7029"/>
    <w:rsid w:val="005A7505"/>
    <w:rsid w:val="005A75B3"/>
    <w:rsid w:val="005A7D13"/>
    <w:rsid w:val="005B0061"/>
    <w:rsid w:val="005B00B4"/>
    <w:rsid w:val="005B0355"/>
    <w:rsid w:val="005B0E85"/>
    <w:rsid w:val="005B0EBA"/>
    <w:rsid w:val="005B0F9E"/>
    <w:rsid w:val="005B10B3"/>
    <w:rsid w:val="005B1113"/>
    <w:rsid w:val="005B1C85"/>
    <w:rsid w:val="005B1D28"/>
    <w:rsid w:val="005B2448"/>
    <w:rsid w:val="005B2B54"/>
    <w:rsid w:val="005B3094"/>
    <w:rsid w:val="005B31E8"/>
    <w:rsid w:val="005B3407"/>
    <w:rsid w:val="005B34F8"/>
    <w:rsid w:val="005B469F"/>
    <w:rsid w:val="005B4C3A"/>
    <w:rsid w:val="005B4CEA"/>
    <w:rsid w:val="005B4FE6"/>
    <w:rsid w:val="005B5904"/>
    <w:rsid w:val="005B5E68"/>
    <w:rsid w:val="005B62EB"/>
    <w:rsid w:val="005B6708"/>
    <w:rsid w:val="005B6BD7"/>
    <w:rsid w:val="005B6CE3"/>
    <w:rsid w:val="005B799C"/>
    <w:rsid w:val="005C0868"/>
    <w:rsid w:val="005C0D49"/>
    <w:rsid w:val="005C0EC1"/>
    <w:rsid w:val="005C1483"/>
    <w:rsid w:val="005C1A25"/>
    <w:rsid w:val="005C1DD5"/>
    <w:rsid w:val="005C2A46"/>
    <w:rsid w:val="005C2D8D"/>
    <w:rsid w:val="005C2E31"/>
    <w:rsid w:val="005C2EF9"/>
    <w:rsid w:val="005C3A75"/>
    <w:rsid w:val="005C3B76"/>
    <w:rsid w:val="005C3F41"/>
    <w:rsid w:val="005C3F56"/>
    <w:rsid w:val="005C41B6"/>
    <w:rsid w:val="005C41F3"/>
    <w:rsid w:val="005C442F"/>
    <w:rsid w:val="005C4BD4"/>
    <w:rsid w:val="005C540A"/>
    <w:rsid w:val="005C5D34"/>
    <w:rsid w:val="005C610E"/>
    <w:rsid w:val="005C62B7"/>
    <w:rsid w:val="005C63EA"/>
    <w:rsid w:val="005C676B"/>
    <w:rsid w:val="005D0394"/>
    <w:rsid w:val="005D0BB3"/>
    <w:rsid w:val="005D0DC8"/>
    <w:rsid w:val="005D104D"/>
    <w:rsid w:val="005D20B6"/>
    <w:rsid w:val="005D218C"/>
    <w:rsid w:val="005D22D7"/>
    <w:rsid w:val="005D27F5"/>
    <w:rsid w:val="005D28E7"/>
    <w:rsid w:val="005D29B2"/>
    <w:rsid w:val="005D2AA5"/>
    <w:rsid w:val="005D2BA2"/>
    <w:rsid w:val="005D2CF3"/>
    <w:rsid w:val="005D387E"/>
    <w:rsid w:val="005D3A46"/>
    <w:rsid w:val="005D427C"/>
    <w:rsid w:val="005D448E"/>
    <w:rsid w:val="005D51B4"/>
    <w:rsid w:val="005D51C1"/>
    <w:rsid w:val="005D55DA"/>
    <w:rsid w:val="005D7140"/>
    <w:rsid w:val="005D75BB"/>
    <w:rsid w:val="005E027F"/>
    <w:rsid w:val="005E0502"/>
    <w:rsid w:val="005E057A"/>
    <w:rsid w:val="005E13D3"/>
    <w:rsid w:val="005E1FA7"/>
    <w:rsid w:val="005E3176"/>
    <w:rsid w:val="005E3246"/>
    <w:rsid w:val="005E34F5"/>
    <w:rsid w:val="005E39B6"/>
    <w:rsid w:val="005E3BFC"/>
    <w:rsid w:val="005E4247"/>
    <w:rsid w:val="005E44D0"/>
    <w:rsid w:val="005E46DF"/>
    <w:rsid w:val="005E4A02"/>
    <w:rsid w:val="005E4FDB"/>
    <w:rsid w:val="005E5578"/>
    <w:rsid w:val="005E55F7"/>
    <w:rsid w:val="005E59A6"/>
    <w:rsid w:val="005E5C68"/>
    <w:rsid w:val="005E6D9C"/>
    <w:rsid w:val="005E7050"/>
    <w:rsid w:val="005E70CC"/>
    <w:rsid w:val="005E76C1"/>
    <w:rsid w:val="005E774B"/>
    <w:rsid w:val="005E7792"/>
    <w:rsid w:val="005E7A63"/>
    <w:rsid w:val="005E7BDA"/>
    <w:rsid w:val="005F0018"/>
    <w:rsid w:val="005F0499"/>
    <w:rsid w:val="005F0BEC"/>
    <w:rsid w:val="005F0EDC"/>
    <w:rsid w:val="005F148D"/>
    <w:rsid w:val="005F14B4"/>
    <w:rsid w:val="005F157A"/>
    <w:rsid w:val="005F1F75"/>
    <w:rsid w:val="005F2450"/>
    <w:rsid w:val="005F34A7"/>
    <w:rsid w:val="005F3C24"/>
    <w:rsid w:val="005F4027"/>
    <w:rsid w:val="005F4059"/>
    <w:rsid w:val="005F40E4"/>
    <w:rsid w:val="005F4435"/>
    <w:rsid w:val="005F4D22"/>
    <w:rsid w:val="005F57C2"/>
    <w:rsid w:val="005F5E46"/>
    <w:rsid w:val="005F6115"/>
    <w:rsid w:val="005F690E"/>
    <w:rsid w:val="005F6E6A"/>
    <w:rsid w:val="005F73AE"/>
    <w:rsid w:val="00600459"/>
    <w:rsid w:val="0060045A"/>
    <w:rsid w:val="00600942"/>
    <w:rsid w:val="0060113E"/>
    <w:rsid w:val="00601BE1"/>
    <w:rsid w:val="00601D24"/>
    <w:rsid w:val="00601DAB"/>
    <w:rsid w:val="0060272E"/>
    <w:rsid w:val="00602D07"/>
    <w:rsid w:val="006030D4"/>
    <w:rsid w:val="006031F7"/>
    <w:rsid w:val="0060357A"/>
    <w:rsid w:val="00603D94"/>
    <w:rsid w:val="00603FA1"/>
    <w:rsid w:val="006047D8"/>
    <w:rsid w:val="00604C76"/>
    <w:rsid w:val="00605127"/>
    <w:rsid w:val="006051CD"/>
    <w:rsid w:val="00605A03"/>
    <w:rsid w:val="006060A6"/>
    <w:rsid w:val="006063A2"/>
    <w:rsid w:val="006066D7"/>
    <w:rsid w:val="006069A8"/>
    <w:rsid w:val="006069BF"/>
    <w:rsid w:val="006074C8"/>
    <w:rsid w:val="00607A2E"/>
    <w:rsid w:val="00607CBE"/>
    <w:rsid w:val="00610556"/>
    <w:rsid w:val="006106AF"/>
    <w:rsid w:val="00610775"/>
    <w:rsid w:val="00610A7A"/>
    <w:rsid w:val="0061130B"/>
    <w:rsid w:val="00611541"/>
    <w:rsid w:val="006115C6"/>
    <w:rsid w:val="00611B6E"/>
    <w:rsid w:val="0061272D"/>
    <w:rsid w:val="00613FF6"/>
    <w:rsid w:val="006149AA"/>
    <w:rsid w:val="00614A8C"/>
    <w:rsid w:val="006153F1"/>
    <w:rsid w:val="00615C06"/>
    <w:rsid w:val="00615C38"/>
    <w:rsid w:val="00616D1B"/>
    <w:rsid w:val="0061797B"/>
    <w:rsid w:val="006179E1"/>
    <w:rsid w:val="00620935"/>
    <w:rsid w:val="00621417"/>
    <w:rsid w:val="00622431"/>
    <w:rsid w:val="006227BC"/>
    <w:rsid w:val="006231C2"/>
    <w:rsid w:val="00623A0E"/>
    <w:rsid w:val="006245EF"/>
    <w:rsid w:val="00624A20"/>
    <w:rsid w:val="00624B9D"/>
    <w:rsid w:val="00624E90"/>
    <w:rsid w:val="00625705"/>
    <w:rsid w:val="006257E4"/>
    <w:rsid w:val="00625DA7"/>
    <w:rsid w:val="00626009"/>
    <w:rsid w:val="00626375"/>
    <w:rsid w:val="006265A6"/>
    <w:rsid w:val="00626ACC"/>
    <w:rsid w:val="00626C67"/>
    <w:rsid w:val="00626D31"/>
    <w:rsid w:val="00627133"/>
    <w:rsid w:val="00627867"/>
    <w:rsid w:val="00627B75"/>
    <w:rsid w:val="00627D95"/>
    <w:rsid w:val="00627E4B"/>
    <w:rsid w:val="00627FD0"/>
    <w:rsid w:val="006313C9"/>
    <w:rsid w:val="00631497"/>
    <w:rsid w:val="006316CA"/>
    <w:rsid w:val="00631863"/>
    <w:rsid w:val="00631CA0"/>
    <w:rsid w:val="00631E4C"/>
    <w:rsid w:val="00632101"/>
    <w:rsid w:val="00632116"/>
    <w:rsid w:val="0063231F"/>
    <w:rsid w:val="00632789"/>
    <w:rsid w:val="00632E14"/>
    <w:rsid w:val="00632EBB"/>
    <w:rsid w:val="00634650"/>
    <w:rsid w:val="00635009"/>
    <w:rsid w:val="0063507D"/>
    <w:rsid w:val="00635109"/>
    <w:rsid w:val="0063547E"/>
    <w:rsid w:val="00635503"/>
    <w:rsid w:val="00636E11"/>
    <w:rsid w:val="00637327"/>
    <w:rsid w:val="00640A4F"/>
    <w:rsid w:val="00641F58"/>
    <w:rsid w:val="006420EC"/>
    <w:rsid w:val="00642E29"/>
    <w:rsid w:val="00642EAB"/>
    <w:rsid w:val="0064309E"/>
    <w:rsid w:val="00643A2B"/>
    <w:rsid w:val="00643E46"/>
    <w:rsid w:val="006440E4"/>
    <w:rsid w:val="006448C7"/>
    <w:rsid w:val="00644EFE"/>
    <w:rsid w:val="00644F5C"/>
    <w:rsid w:val="00645274"/>
    <w:rsid w:val="00645460"/>
    <w:rsid w:val="00645868"/>
    <w:rsid w:val="00645C4A"/>
    <w:rsid w:val="00645CB2"/>
    <w:rsid w:val="00645F60"/>
    <w:rsid w:val="006462BB"/>
    <w:rsid w:val="0064638F"/>
    <w:rsid w:val="006473DC"/>
    <w:rsid w:val="00647B2C"/>
    <w:rsid w:val="00650C04"/>
    <w:rsid w:val="00651088"/>
    <w:rsid w:val="006510E5"/>
    <w:rsid w:val="00651A53"/>
    <w:rsid w:val="00652002"/>
    <w:rsid w:val="006538D2"/>
    <w:rsid w:val="0065390E"/>
    <w:rsid w:val="00653D4A"/>
    <w:rsid w:val="00653FAE"/>
    <w:rsid w:val="00654460"/>
    <w:rsid w:val="00654549"/>
    <w:rsid w:val="006545DF"/>
    <w:rsid w:val="00655D1C"/>
    <w:rsid w:val="00655E11"/>
    <w:rsid w:val="006567FB"/>
    <w:rsid w:val="00656E7B"/>
    <w:rsid w:val="0065797C"/>
    <w:rsid w:val="00657E07"/>
    <w:rsid w:val="00660479"/>
    <w:rsid w:val="006606EB"/>
    <w:rsid w:val="00660A64"/>
    <w:rsid w:val="00660E1D"/>
    <w:rsid w:val="006618BD"/>
    <w:rsid w:val="00661D08"/>
    <w:rsid w:val="006625C1"/>
    <w:rsid w:val="00662F69"/>
    <w:rsid w:val="006630A4"/>
    <w:rsid w:val="00663341"/>
    <w:rsid w:val="00663797"/>
    <w:rsid w:val="00663D95"/>
    <w:rsid w:val="00664B65"/>
    <w:rsid w:val="00664E85"/>
    <w:rsid w:val="00665D2D"/>
    <w:rsid w:val="006663DD"/>
    <w:rsid w:val="00666467"/>
    <w:rsid w:val="006668D2"/>
    <w:rsid w:val="00666A42"/>
    <w:rsid w:val="00666B63"/>
    <w:rsid w:val="00666FE9"/>
    <w:rsid w:val="0066705F"/>
    <w:rsid w:val="00667251"/>
    <w:rsid w:val="00667AC5"/>
    <w:rsid w:val="00667C70"/>
    <w:rsid w:val="00670250"/>
    <w:rsid w:val="0067030D"/>
    <w:rsid w:val="00670382"/>
    <w:rsid w:val="006706EF"/>
    <w:rsid w:val="00670C66"/>
    <w:rsid w:val="00670FBB"/>
    <w:rsid w:val="0067101E"/>
    <w:rsid w:val="00671156"/>
    <w:rsid w:val="006719BD"/>
    <w:rsid w:val="006724B4"/>
    <w:rsid w:val="00672A68"/>
    <w:rsid w:val="00672AAB"/>
    <w:rsid w:val="006731AB"/>
    <w:rsid w:val="006731FC"/>
    <w:rsid w:val="00673280"/>
    <w:rsid w:val="00673BA4"/>
    <w:rsid w:val="00673BFB"/>
    <w:rsid w:val="0067469E"/>
    <w:rsid w:val="00674AD6"/>
    <w:rsid w:val="00674DF0"/>
    <w:rsid w:val="00675160"/>
    <w:rsid w:val="00675345"/>
    <w:rsid w:val="006753D2"/>
    <w:rsid w:val="00675C47"/>
    <w:rsid w:val="006762CC"/>
    <w:rsid w:val="0067683F"/>
    <w:rsid w:val="00676D83"/>
    <w:rsid w:val="0067796F"/>
    <w:rsid w:val="006779A9"/>
    <w:rsid w:val="00677C93"/>
    <w:rsid w:val="00677F3A"/>
    <w:rsid w:val="00677FDF"/>
    <w:rsid w:val="0068025A"/>
    <w:rsid w:val="006809CD"/>
    <w:rsid w:val="00680FF7"/>
    <w:rsid w:val="0068102B"/>
    <w:rsid w:val="0068120C"/>
    <w:rsid w:val="00681294"/>
    <w:rsid w:val="00681473"/>
    <w:rsid w:val="00681A0F"/>
    <w:rsid w:val="00681FA6"/>
    <w:rsid w:val="0068219E"/>
    <w:rsid w:val="00682BC7"/>
    <w:rsid w:val="006831CF"/>
    <w:rsid w:val="006833B7"/>
    <w:rsid w:val="006837FC"/>
    <w:rsid w:val="00683A32"/>
    <w:rsid w:val="00683BB5"/>
    <w:rsid w:val="00683BC3"/>
    <w:rsid w:val="00683E46"/>
    <w:rsid w:val="00685178"/>
    <w:rsid w:val="006855D2"/>
    <w:rsid w:val="0068566E"/>
    <w:rsid w:val="0068590D"/>
    <w:rsid w:val="00685BF0"/>
    <w:rsid w:val="00686468"/>
    <w:rsid w:val="00686825"/>
    <w:rsid w:val="00686EA5"/>
    <w:rsid w:val="00687153"/>
    <w:rsid w:val="00687321"/>
    <w:rsid w:val="006873FD"/>
    <w:rsid w:val="006876EE"/>
    <w:rsid w:val="00687A31"/>
    <w:rsid w:val="00690774"/>
    <w:rsid w:val="00690A13"/>
    <w:rsid w:val="00691508"/>
    <w:rsid w:val="006915E2"/>
    <w:rsid w:val="00691EF3"/>
    <w:rsid w:val="00692DE3"/>
    <w:rsid w:val="00692F41"/>
    <w:rsid w:val="006937F3"/>
    <w:rsid w:val="0069398B"/>
    <w:rsid w:val="00693AC6"/>
    <w:rsid w:val="00693CDE"/>
    <w:rsid w:val="0069404F"/>
    <w:rsid w:val="006940EE"/>
    <w:rsid w:val="0069532D"/>
    <w:rsid w:val="00695A36"/>
    <w:rsid w:val="00695B40"/>
    <w:rsid w:val="00696174"/>
    <w:rsid w:val="0069629A"/>
    <w:rsid w:val="00696602"/>
    <w:rsid w:val="00697D48"/>
    <w:rsid w:val="006A09A5"/>
    <w:rsid w:val="006A142E"/>
    <w:rsid w:val="006A1E58"/>
    <w:rsid w:val="006A23E3"/>
    <w:rsid w:val="006A23FE"/>
    <w:rsid w:val="006A24AA"/>
    <w:rsid w:val="006A259D"/>
    <w:rsid w:val="006A28A1"/>
    <w:rsid w:val="006A2D4E"/>
    <w:rsid w:val="006A339A"/>
    <w:rsid w:val="006A3B52"/>
    <w:rsid w:val="006A3E68"/>
    <w:rsid w:val="006A3E98"/>
    <w:rsid w:val="006A438B"/>
    <w:rsid w:val="006A4945"/>
    <w:rsid w:val="006A5508"/>
    <w:rsid w:val="006A5624"/>
    <w:rsid w:val="006A5899"/>
    <w:rsid w:val="006A61B4"/>
    <w:rsid w:val="006A620D"/>
    <w:rsid w:val="006A6A9A"/>
    <w:rsid w:val="006A6B9C"/>
    <w:rsid w:val="006A7675"/>
    <w:rsid w:val="006A7A10"/>
    <w:rsid w:val="006A7E3D"/>
    <w:rsid w:val="006B0596"/>
    <w:rsid w:val="006B076E"/>
    <w:rsid w:val="006B0ADE"/>
    <w:rsid w:val="006B14E6"/>
    <w:rsid w:val="006B1BB2"/>
    <w:rsid w:val="006B2046"/>
    <w:rsid w:val="006B3824"/>
    <w:rsid w:val="006B3D6B"/>
    <w:rsid w:val="006B40B7"/>
    <w:rsid w:val="006B4318"/>
    <w:rsid w:val="006B4C1A"/>
    <w:rsid w:val="006B6023"/>
    <w:rsid w:val="006B6801"/>
    <w:rsid w:val="006B698D"/>
    <w:rsid w:val="006B74D9"/>
    <w:rsid w:val="006B7AE8"/>
    <w:rsid w:val="006B7E23"/>
    <w:rsid w:val="006C08E3"/>
    <w:rsid w:val="006C0B12"/>
    <w:rsid w:val="006C1120"/>
    <w:rsid w:val="006C1359"/>
    <w:rsid w:val="006C1EA6"/>
    <w:rsid w:val="006C1F7A"/>
    <w:rsid w:val="006C1FEE"/>
    <w:rsid w:val="006C2237"/>
    <w:rsid w:val="006C2966"/>
    <w:rsid w:val="006C2E2D"/>
    <w:rsid w:val="006C3303"/>
    <w:rsid w:val="006C37CC"/>
    <w:rsid w:val="006C3914"/>
    <w:rsid w:val="006C3D03"/>
    <w:rsid w:val="006C42A7"/>
    <w:rsid w:val="006C42EB"/>
    <w:rsid w:val="006C4C7F"/>
    <w:rsid w:val="006C573C"/>
    <w:rsid w:val="006C5A46"/>
    <w:rsid w:val="006C5A81"/>
    <w:rsid w:val="006C5C9E"/>
    <w:rsid w:val="006C5E22"/>
    <w:rsid w:val="006C6683"/>
    <w:rsid w:val="006C6BA7"/>
    <w:rsid w:val="006C7147"/>
    <w:rsid w:val="006C7666"/>
    <w:rsid w:val="006C76E4"/>
    <w:rsid w:val="006C7C10"/>
    <w:rsid w:val="006C7FF7"/>
    <w:rsid w:val="006D0288"/>
    <w:rsid w:val="006D03D7"/>
    <w:rsid w:val="006D0573"/>
    <w:rsid w:val="006D06F3"/>
    <w:rsid w:val="006D0EB5"/>
    <w:rsid w:val="006D11F4"/>
    <w:rsid w:val="006D1377"/>
    <w:rsid w:val="006D24FB"/>
    <w:rsid w:val="006D2DF9"/>
    <w:rsid w:val="006D44D0"/>
    <w:rsid w:val="006D4CE5"/>
    <w:rsid w:val="006D5164"/>
    <w:rsid w:val="006D51C5"/>
    <w:rsid w:val="006D52EE"/>
    <w:rsid w:val="006D55F4"/>
    <w:rsid w:val="006D576B"/>
    <w:rsid w:val="006D5AE0"/>
    <w:rsid w:val="006D5D8F"/>
    <w:rsid w:val="006D60AC"/>
    <w:rsid w:val="006D616E"/>
    <w:rsid w:val="006D7074"/>
    <w:rsid w:val="006D7152"/>
    <w:rsid w:val="006D75D4"/>
    <w:rsid w:val="006D7FFA"/>
    <w:rsid w:val="006E03B2"/>
    <w:rsid w:val="006E06E5"/>
    <w:rsid w:val="006E0960"/>
    <w:rsid w:val="006E0B2C"/>
    <w:rsid w:val="006E1567"/>
    <w:rsid w:val="006E19E5"/>
    <w:rsid w:val="006E28B2"/>
    <w:rsid w:val="006E291C"/>
    <w:rsid w:val="006E2A31"/>
    <w:rsid w:val="006E2B27"/>
    <w:rsid w:val="006E2EA4"/>
    <w:rsid w:val="006E37B4"/>
    <w:rsid w:val="006E38BE"/>
    <w:rsid w:val="006E38EC"/>
    <w:rsid w:val="006E3B21"/>
    <w:rsid w:val="006E3BE1"/>
    <w:rsid w:val="006E3D30"/>
    <w:rsid w:val="006E3F85"/>
    <w:rsid w:val="006E41B1"/>
    <w:rsid w:val="006E431D"/>
    <w:rsid w:val="006E4491"/>
    <w:rsid w:val="006E464D"/>
    <w:rsid w:val="006E493E"/>
    <w:rsid w:val="006E4AAC"/>
    <w:rsid w:val="006E515A"/>
    <w:rsid w:val="006E5A37"/>
    <w:rsid w:val="006E611A"/>
    <w:rsid w:val="006E63DB"/>
    <w:rsid w:val="006E64E6"/>
    <w:rsid w:val="006E6767"/>
    <w:rsid w:val="006E68C1"/>
    <w:rsid w:val="006E6A9D"/>
    <w:rsid w:val="006E6D84"/>
    <w:rsid w:val="006F0BAC"/>
    <w:rsid w:val="006F0CEF"/>
    <w:rsid w:val="006F0ECB"/>
    <w:rsid w:val="006F134D"/>
    <w:rsid w:val="006F19E0"/>
    <w:rsid w:val="006F1B65"/>
    <w:rsid w:val="006F1F15"/>
    <w:rsid w:val="006F21DF"/>
    <w:rsid w:val="006F2AED"/>
    <w:rsid w:val="006F2E9C"/>
    <w:rsid w:val="006F345A"/>
    <w:rsid w:val="006F3FAE"/>
    <w:rsid w:val="006F4881"/>
    <w:rsid w:val="006F4AFD"/>
    <w:rsid w:val="006F519B"/>
    <w:rsid w:val="006F5456"/>
    <w:rsid w:val="006F59F1"/>
    <w:rsid w:val="006F5BA2"/>
    <w:rsid w:val="006F61DE"/>
    <w:rsid w:val="006F6F4F"/>
    <w:rsid w:val="006F702D"/>
    <w:rsid w:val="006F744F"/>
    <w:rsid w:val="006F74B2"/>
    <w:rsid w:val="006F7E1A"/>
    <w:rsid w:val="006F7E61"/>
    <w:rsid w:val="006F7F3D"/>
    <w:rsid w:val="00700363"/>
    <w:rsid w:val="00700B28"/>
    <w:rsid w:val="00700CD8"/>
    <w:rsid w:val="00701307"/>
    <w:rsid w:val="00701737"/>
    <w:rsid w:val="00701AA1"/>
    <w:rsid w:val="00701C23"/>
    <w:rsid w:val="00702085"/>
    <w:rsid w:val="00702951"/>
    <w:rsid w:val="00703181"/>
    <w:rsid w:val="007031EE"/>
    <w:rsid w:val="007034F2"/>
    <w:rsid w:val="00703619"/>
    <w:rsid w:val="00703708"/>
    <w:rsid w:val="00703E60"/>
    <w:rsid w:val="007041B3"/>
    <w:rsid w:val="00704A91"/>
    <w:rsid w:val="007050CB"/>
    <w:rsid w:val="00705BD5"/>
    <w:rsid w:val="00705E06"/>
    <w:rsid w:val="0070642D"/>
    <w:rsid w:val="00706439"/>
    <w:rsid w:val="00706678"/>
    <w:rsid w:val="00706717"/>
    <w:rsid w:val="00706873"/>
    <w:rsid w:val="0070724D"/>
    <w:rsid w:val="0070733A"/>
    <w:rsid w:val="00707AA0"/>
    <w:rsid w:val="007101EB"/>
    <w:rsid w:val="007102D6"/>
    <w:rsid w:val="007104AB"/>
    <w:rsid w:val="0071115E"/>
    <w:rsid w:val="00711261"/>
    <w:rsid w:val="00711D44"/>
    <w:rsid w:val="0071243B"/>
    <w:rsid w:val="00712778"/>
    <w:rsid w:val="007129A0"/>
    <w:rsid w:val="00712A7F"/>
    <w:rsid w:val="00712EBF"/>
    <w:rsid w:val="00712FC3"/>
    <w:rsid w:val="007138F5"/>
    <w:rsid w:val="00713A27"/>
    <w:rsid w:val="00713AEF"/>
    <w:rsid w:val="00713D4D"/>
    <w:rsid w:val="007141DE"/>
    <w:rsid w:val="00714622"/>
    <w:rsid w:val="007147A3"/>
    <w:rsid w:val="007147F6"/>
    <w:rsid w:val="00714C2A"/>
    <w:rsid w:val="0071612C"/>
    <w:rsid w:val="00716203"/>
    <w:rsid w:val="0071635D"/>
    <w:rsid w:val="007169E0"/>
    <w:rsid w:val="00716C45"/>
    <w:rsid w:val="007201E7"/>
    <w:rsid w:val="00721150"/>
    <w:rsid w:val="00721179"/>
    <w:rsid w:val="00721AEC"/>
    <w:rsid w:val="007224A7"/>
    <w:rsid w:val="00723096"/>
    <w:rsid w:val="00723341"/>
    <w:rsid w:val="00723355"/>
    <w:rsid w:val="007233DC"/>
    <w:rsid w:val="0072349A"/>
    <w:rsid w:val="007236F8"/>
    <w:rsid w:val="00723824"/>
    <w:rsid w:val="0072389C"/>
    <w:rsid w:val="00723E55"/>
    <w:rsid w:val="0072443C"/>
    <w:rsid w:val="0072458F"/>
    <w:rsid w:val="007247A3"/>
    <w:rsid w:val="0072514F"/>
    <w:rsid w:val="007254EE"/>
    <w:rsid w:val="007257BE"/>
    <w:rsid w:val="00725C9C"/>
    <w:rsid w:val="00726675"/>
    <w:rsid w:val="00726A61"/>
    <w:rsid w:val="00726BB2"/>
    <w:rsid w:val="0072741C"/>
    <w:rsid w:val="00727E13"/>
    <w:rsid w:val="00730198"/>
    <w:rsid w:val="00730277"/>
    <w:rsid w:val="00730484"/>
    <w:rsid w:val="00730522"/>
    <w:rsid w:val="0073088C"/>
    <w:rsid w:val="00730AFF"/>
    <w:rsid w:val="00730D19"/>
    <w:rsid w:val="00730DEA"/>
    <w:rsid w:val="0073108A"/>
    <w:rsid w:val="007312C0"/>
    <w:rsid w:val="0073152B"/>
    <w:rsid w:val="007317D4"/>
    <w:rsid w:val="00731BF8"/>
    <w:rsid w:val="00731C8A"/>
    <w:rsid w:val="0073210D"/>
    <w:rsid w:val="00732393"/>
    <w:rsid w:val="007324DF"/>
    <w:rsid w:val="00732709"/>
    <w:rsid w:val="00733B39"/>
    <w:rsid w:val="007345FF"/>
    <w:rsid w:val="00734ABC"/>
    <w:rsid w:val="00734FE9"/>
    <w:rsid w:val="0073526E"/>
    <w:rsid w:val="0073595E"/>
    <w:rsid w:val="007359C5"/>
    <w:rsid w:val="00735B0F"/>
    <w:rsid w:val="00735BA6"/>
    <w:rsid w:val="00736709"/>
    <w:rsid w:val="00736A24"/>
    <w:rsid w:val="00736D72"/>
    <w:rsid w:val="00737B68"/>
    <w:rsid w:val="0074007E"/>
    <w:rsid w:val="00740394"/>
    <w:rsid w:val="007404F8"/>
    <w:rsid w:val="00741342"/>
    <w:rsid w:val="007413F7"/>
    <w:rsid w:val="00741D6D"/>
    <w:rsid w:val="00741DFA"/>
    <w:rsid w:val="00742048"/>
    <w:rsid w:val="00742064"/>
    <w:rsid w:val="007427E8"/>
    <w:rsid w:val="007429D3"/>
    <w:rsid w:val="00742A39"/>
    <w:rsid w:val="00742EE9"/>
    <w:rsid w:val="0074302D"/>
    <w:rsid w:val="0074316C"/>
    <w:rsid w:val="007432F5"/>
    <w:rsid w:val="00743966"/>
    <w:rsid w:val="00743F44"/>
    <w:rsid w:val="00744865"/>
    <w:rsid w:val="00744C97"/>
    <w:rsid w:val="00744DD0"/>
    <w:rsid w:val="00744E3D"/>
    <w:rsid w:val="00746266"/>
    <w:rsid w:val="00746505"/>
    <w:rsid w:val="00747716"/>
    <w:rsid w:val="00747F8E"/>
    <w:rsid w:val="0075025B"/>
    <w:rsid w:val="00750A88"/>
    <w:rsid w:val="00750DF6"/>
    <w:rsid w:val="00751C78"/>
    <w:rsid w:val="007523FB"/>
    <w:rsid w:val="00752B47"/>
    <w:rsid w:val="00752E8F"/>
    <w:rsid w:val="00753383"/>
    <w:rsid w:val="0075385B"/>
    <w:rsid w:val="00753865"/>
    <w:rsid w:val="007539E6"/>
    <w:rsid w:val="00754376"/>
    <w:rsid w:val="00754870"/>
    <w:rsid w:val="007548C8"/>
    <w:rsid w:val="00755000"/>
    <w:rsid w:val="00755071"/>
    <w:rsid w:val="007550BF"/>
    <w:rsid w:val="00755506"/>
    <w:rsid w:val="00755923"/>
    <w:rsid w:val="007559D0"/>
    <w:rsid w:val="007561E7"/>
    <w:rsid w:val="00756280"/>
    <w:rsid w:val="00756B4C"/>
    <w:rsid w:val="00756C83"/>
    <w:rsid w:val="00756E2B"/>
    <w:rsid w:val="00757494"/>
    <w:rsid w:val="00757547"/>
    <w:rsid w:val="00757995"/>
    <w:rsid w:val="00757DBF"/>
    <w:rsid w:val="00760D0C"/>
    <w:rsid w:val="007613F9"/>
    <w:rsid w:val="00761713"/>
    <w:rsid w:val="007619A2"/>
    <w:rsid w:val="007620F0"/>
    <w:rsid w:val="007623D6"/>
    <w:rsid w:val="007623D9"/>
    <w:rsid w:val="007627F7"/>
    <w:rsid w:val="007629B5"/>
    <w:rsid w:val="00762A41"/>
    <w:rsid w:val="00762CA2"/>
    <w:rsid w:val="00763034"/>
    <w:rsid w:val="00763187"/>
    <w:rsid w:val="00763BDF"/>
    <w:rsid w:val="00763C8D"/>
    <w:rsid w:val="00764221"/>
    <w:rsid w:val="00764294"/>
    <w:rsid w:val="00765643"/>
    <w:rsid w:val="007656A1"/>
    <w:rsid w:val="00765792"/>
    <w:rsid w:val="007658D7"/>
    <w:rsid w:val="00765BEC"/>
    <w:rsid w:val="00765D93"/>
    <w:rsid w:val="00765DB6"/>
    <w:rsid w:val="00765E68"/>
    <w:rsid w:val="00765F75"/>
    <w:rsid w:val="007661B3"/>
    <w:rsid w:val="00766B2E"/>
    <w:rsid w:val="00767636"/>
    <w:rsid w:val="007676F6"/>
    <w:rsid w:val="00767882"/>
    <w:rsid w:val="00767A28"/>
    <w:rsid w:val="00767ACA"/>
    <w:rsid w:val="00767BA5"/>
    <w:rsid w:val="00767E3A"/>
    <w:rsid w:val="0077051C"/>
    <w:rsid w:val="007706E4"/>
    <w:rsid w:val="00770794"/>
    <w:rsid w:val="007716E0"/>
    <w:rsid w:val="007717BD"/>
    <w:rsid w:val="0077183E"/>
    <w:rsid w:val="00771A8F"/>
    <w:rsid w:val="00771CAE"/>
    <w:rsid w:val="00771D1D"/>
    <w:rsid w:val="00771E40"/>
    <w:rsid w:val="007722BF"/>
    <w:rsid w:val="007734A4"/>
    <w:rsid w:val="00773E0B"/>
    <w:rsid w:val="00773E1A"/>
    <w:rsid w:val="00773E9D"/>
    <w:rsid w:val="0077419C"/>
    <w:rsid w:val="007745E4"/>
    <w:rsid w:val="007746EF"/>
    <w:rsid w:val="00774C23"/>
    <w:rsid w:val="00775347"/>
    <w:rsid w:val="00775357"/>
    <w:rsid w:val="0077582A"/>
    <w:rsid w:val="00775BAF"/>
    <w:rsid w:val="00775C0D"/>
    <w:rsid w:val="00776D54"/>
    <w:rsid w:val="00777038"/>
    <w:rsid w:val="0077792D"/>
    <w:rsid w:val="00777D3F"/>
    <w:rsid w:val="00777DDD"/>
    <w:rsid w:val="00777F78"/>
    <w:rsid w:val="00777F98"/>
    <w:rsid w:val="007802C7"/>
    <w:rsid w:val="00780403"/>
    <w:rsid w:val="00780AF0"/>
    <w:rsid w:val="0078128E"/>
    <w:rsid w:val="007812D1"/>
    <w:rsid w:val="0078161E"/>
    <w:rsid w:val="00781B6B"/>
    <w:rsid w:val="00781DFB"/>
    <w:rsid w:val="0078250E"/>
    <w:rsid w:val="00782665"/>
    <w:rsid w:val="00782867"/>
    <w:rsid w:val="00782BAE"/>
    <w:rsid w:val="00783AE3"/>
    <w:rsid w:val="00783DC6"/>
    <w:rsid w:val="007840D7"/>
    <w:rsid w:val="00784102"/>
    <w:rsid w:val="0078470B"/>
    <w:rsid w:val="0078545D"/>
    <w:rsid w:val="0078589D"/>
    <w:rsid w:val="00785D05"/>
    <w:rsid w:val="0078617D"/>
    <w:rsid w:val="00786998"/>
    <w:rsid w:val="00786D54"/>
    <w:rsid w:val="00786F47"/>
    <w:rsid w:val="0078702E"/>
    <w:rsid w:val="00787122"/>
    <w:rsid w:val="0078717B"/>
    <w:rsid w:val="007871D6"/>
    <w:rsid w:val="00787603"/>
    <w:rsid w:val="00787EEE"/>
    <w:rsid w:val="007905A6"/>
    <w:rsid w:val="00790921"/>
    <w:rsid w:val="00790EF0"/>
    <w:rsid w:val="007917ED"/>
    <w:rsid w:val="00791866"/>
    <w:rsid w:val="00791B52"/>
    <w:rsid w:val="00791DF4"/>
    <w:rsid w:val="007925F6"/>
    <w:rsid w:val="00792A02"/>
    <w:rsid w:val="00792BDB"/>
    <w:rsid w:val="00792D2B"/>
    <w:rsid w:val="00792F8B"/>
    <w:rsid w:val="00793594"/>
    <w:rsid w:val="00794706"/>
    <w:rsid w:val="0079475A"/>
    <w:rsid w:val="00794860"/>
    <w:rsid w:val="00794B00"/>
    <w:rsid w:val="00794BD1"/>
    <w:rsid w:val="00794D60"/>
    <w:rsid w:val="00795FA0"/>
    <w:rsid w:val="00795FB4"/>
    <w:rsid w:val="007961D0"/>
    <w:rsid w:val="00796657"/>
    <w:rsid w:val="007969AF"/>
    <w:rsid w:val="00797D75"/>
    <w:rsid w:val="00797DB1"/>
    <w:rsid w:val="00797F7C"/>
    <w:rsid w:val="007A01E7"/>
    <w:rsid w:val="007A01F7"/>
    <w:rsid w:val="007A032A"/>
    <w:rsid w:val="007A04E8"/>
    <w:rsid w:val="007A0994"/>
    <w:rsid w:val="007A0AD0"/>
    <w:rsid w:val="007A1C8A"/>
    <w:rsid w:val="007A1F73"/>
    <w:rsid w:val="007A2322"/>
    <w:rsid w:val="007A26DF"/>
    <w:rsid w:val="007A2B1A"/>
    <w:rsid w:val="007A2B30"/>
    <w:rsid w:val="007A2C65"/>
    <w:rsid w:val="007A2F98"/>
    <w:rsid w:val="007A35AC"/>
    <w:rsid w:val="007A36C5"/>
    <w:rsid w:val="007A3D0E"/>
    <w:rsid w:val="007A433E"/>
    <w:rsid w:val="007A49A6"/>
    <w:rsid w:val="007A4DC3"/>
    <w:rsid w:val="007A5068"/>
    <w:rsid w:val="007A5A2A"/>
    <w:rsid w:val="007A61BC"/>
    <w:rsid w:val="007A676C"/>
    <w:rsid w:val="007A719E"/>
    <w:rsid w:val="007A71D9"/>
    <w:rsid w:val="007A7254"/>
    <w:rsid w:val="007A7B20"/>
    <w:rsid w:val="007A7E80"/>
    <w:rsid w:val="007B0036"/>
    <w:rsid w:val="007B005C"/>
    <w:rsid w:val="007B1118"/>
    <w:rsid w:val="007B12EE"/>
    <w:rsid w:val="007B1688"/>
    <w:rsid w:val="007B2218"/>
    <w:rsid w:val="007B22ED"/>
    <w:rsid w:val="007B2A19"/>
    <w:rsid w:val="007B2FE6"/>
    <w:rsid w:val="007B310B"/>
    <w:rsid w:val="007B32BB"/>
    <w:rsid w:val="007B371A"/>
    <w:rsid w:val="007B3B20"/>
    <w:rsid w:val="007B3FE6"/>
    <w:rsid w:val="007B414C"/>
    <w:rsid w:val="007B4363"/>
    <w:rsid w:val="007B44F1"/>
    <w:rsid w:val="007B4A43"/>
    <w:rsid w:val="007B4E09"/>
    <w:rsid w:val="007B5532"/>
    <w:rsid w:val="007B5742"/>
    <w:rsid w:val="007B7106"/>
    <w:rsid w:val="007B7995"/>
    <w:rsid w:val="007B7F96"/>
    <w:rsid w:val="007C0262"/>
    <w:rsid w:val="007C067D"/>
    <w:rsid w:val="007C0B56"/>
    <w:rsid w:val="007C0F88"/>
    <w:rsid w:val="007C0FF0"/>
    <w:rsid w:val="007C12B2"/>
    <w:rsid w:val="007C130D"/>
    <w:rsid w:val="007C136A"/>
    <w:rsid w:val="007C1629"/>
    <w:rsid w:val="007C19C7"/>
    <w:rsid w:val="007C1C90"/>
    <w:rsid w:val="007C1E4A"/>
    <w:rsid w:val="007C1FE0"/>
    <w:rsid w:val="007C2113"/>
    <w:rsid w:val="007C245E"/>
    <w:rsid w:val="007C2661"/>
    <w:rsid w:val="007C2708"/>
    <w:rsid w:val="007C272E"/>
    <w:rsid w:val="007C278B"/>
    <w:rsid w:val="007C27C9"/>
    <w:rsid w:val="007C27DC"/>
    <w:rsid w:val="007C2880"/>
    <w:rsid w:val="007C2A75"/>
    <w:rsid w:val="007C2DEB"/>
    <w:rsid w:val="007C31A5"/>
    <w:rsid w:val="007C3250"/>
    <w:rsid w:val="007C34FD"/>
    <w:rsid w:val="007C3812"/>
    <w:rsid w:val="007C3F60"/>
    <w:rsid w:val="007C46D5"/>
    <w:rsid w:val="007C4ABB"/>
    <w:rsid w:val="007C5050"/>
    <w:rsid w:val="007C5253"/>
    <w:rsid w:val="007C537D"/>
    <w:rsid w:val="007C5525"/>
    <w:rsid w:val="007C5800"/>
    <w:rsid w:val="007C5BE2"/>
    <w:rsid w:val="007C610E"/>
    <w:rsid w:val="007C6546"/>
    <w:rsid w:val="007C663C"/>
    <w:rsid w:val="007C74B7"/>
    <w:rsid w:val="007D044F"/>
    <w:rsid w:val="007D0BFF"/>
    <w:rsid w:val="007D138A"/>
    <w:rsid w:val="007D1BC2"/>
    <w:rsid w:val="007D2A95"/>
    <w:rsid w:val="007D2AB8"/>
    <w:rsid w:val="007D2CD0"/>
    <w:rsid w:val="007D341C"/>
    <w:rsid w:val="007D4C5C"/>
    <w:rsid w:val="007D4D1E"/>
    <w:rsid w:val="007D4D2E"/>
    <w:rsid w:val="007D4D82"/>
    <w:rsid w:val="007D54B0"/>
    <w:rsid w:val="007D5572"/>
    <w:rsid w:val="007D5583"/>
    <w:rsid w:val="007D607A"/>
    <w:rsid w:val="007D6ADD"/>
    <w:rsid w:val="007D6B0C"/>
    <w:rsid w:val="007D734A"/>
    <w:rsid w:val="007D7957"/>
    <w:rsid w:val="007D7DD6"/>
    <w:rsid w:val="007D7E5D"/>
    <w:rsid w:val="007E0780"/>
    <w:rsid w:val="007E0F3C"/>
    <w:rsid w:val="007E1080"/>
    <w:rsid w:val="007E19C8"/>
    <w:rsid w:val="007E1B19"/>
    <w:rsid w:val="007E1F8B"/>
    <w:rsid w:val="007E2B76"/>
    <w:rsid w:val="007E2CCB"/>
    <w:rsid w:val="007E3208"/>
    <w:rsid w:val="007E38B1"/>
    <w:rsid w:val="007E456F"/>
    <w:rsid w:val="007E45F6"/>
    <w:rsid w:val="007E5819"/>
    <w:rsid w:val="007E5F6F"/>
    <w:rsid w:val="007E60D3"/>
    <w:rsid w:val="007E634C"/>
    <w:rsid w:val="007E63AC"/>
    <w:rsid w:val="007E6873"/>
    <w:rsid w:val="007E6918"/>
    <w:rsid w:val="007E71D5"/>
    <w:rsid w:val="007E7356"/>
    <w:rsid w:val="007E7526"/>
    <w:rsid w:val="007E7614"/>
    <w:rsid w:val="007E7919"/>
    <w:rsid w:val="007E7B03"/>
    <w:rsid w:val="007E7B59"/>
    <w:rsid w:val="007E7D66"/>
    <w:rsid w:val="007E7F4A"/>
    <w:rsid w:val="007F00EF"/>
    <w:rsid w:val="007F04F3"/>
    <w:rsid w:val="007F0695"/>
    <w:rsid w:val="007F0F09"/>
    <w:rsid w:val="007F0F93"/>
    <w:rsid w:val="007F1274"/>
    <w:rsid w:val="007F13FC"/>
    <w:rsid w:val="007F1551"/>
    <w:rsid w:val="007F1802"/>
    <w:rsid w:val="007F19DC"/>
    <w:rsid w:val="007F226D"/>
    <w:rsid w:val="007F2367"/>
    <w:rsid w:val="007F23BF"/>
    <w:rsid w:val="007F242F"/>
    <w:rsid w:val="007F2667"/>
    <w:rsid w:val="007F306F"/>
    <w:rsid w:val="007F3332"/>
    <w:rsid w:val="007F3524"/>
    <w:rsid w:val="007F3CC1"/>
    <w:rsid w:val="007F3D65"/>
    <w:rsid w:val="007F3EBF"/>
    <w:rsid w:val="007F4023"/>
    <w:rsid w:val="007F4315"/>
    <w:rsid w:val="007F4325"/>
    <w:rsid w:val="007F44DC"/>
    <w:rsid w:val="007F4E32"/>
    <w:rsid w:val="007F5713"/>
    <w:rsid w:val="007F5C72"/>
    <w:rsid w:val="007F6132"/>
    <w:rsid w:val="007F6679"/>
    <w:rsid w:val="007F6918"/>
    <w:rsid w:val="007F69BC"/>
    <w:rsid w:val="007F69EA"/>
    <w:rsid w:val="007F7AB7"/>
    <w:rsid w:val="007F7E53"/>
    <w:rsid w:val="007F7F71"/>
    <w:rsid w:val="0080099A"/>
    <w:rsid w:val="00800D29"/>
    <w:rsid w:val="008022E5"/>
    <w:rsid w:val="0080250D"/>
    <w:rsid w:val="00802994"/>
    <w:rsid w:val="00802C71"/>
    <w:rsid w:val="00803183"/>
    <w:rsid w:val="00803712"/>
    <w:rsid w:val="00803768"/>
    <w:rsid w:val="00803975"/>
    <w:rsid w:val="00804332"/>
    <w:rsid w:val="008048E8"/>
    <w:rsid w:val="00804FF4"/>
    <w:rsid w:val="008059D4"/>
    <w:rsid w:val="00805F7C"/>
    <w:rsid w:val="00806693"/>
    <w:rsid w:val="0080671B"/>
    <w:rsid w:val="008074A0"/>
    <w:rsid w:val="008075CF"/>
    <w:rsid w:val="0080788A"/>
    <w:rsid w:val="008079CC"/>
    <w:rsid w:val="00807A6D"/>
    <w:rsid w:val="00807AEE"/>
    <w:rsid w:val="00807DD8"/>
    <w:rsid w:val="00810663"/>
    <w:rsid w:val="0081087A"/>
    <w:rsid w:val="00810A86"/>
    <w:rsid w:val="00810D6E"/>
    <w:rsid w:val="00810E2F"/>
    <w:rsid w:val="0081110B"/>
    <w:rsid w:val="00811252"/>
    <w:rsid w:val="008113B6"/>
    <w:rsid w:val="00811802"/>
    <w:rsid w:val="00811888"/>
    <w:rsid w:val="008123CA"/>
    <w:rsid w:val="00812887"/>
    <w:rsid w:val="00812AB0"/>
    <w:rsid w:val="00812FBC"/>
    <w:rsid w:val="0081311D"/>
    <w:rsid w:val="0081328F"/>
    <w:rsid w:val="008133A9"/>
    <w:rsid w:val="0081363F"/>
    <w:rsid w:val="008137DB"/>
    <w:rsid w:val="00813893"/>
    <w:rsid w:val="00813ABA"/>
    <w:rsid w:val="00813D37"/>
    <w:rsid w:val="00813E1B"/>
    <w:rsid w:val="00813E99"/>
    <w:rsid w:val="00813F0A"/>
    <w:rsid w:val="00814026"/>
    <w:rsid w:val="008141CE"/>
    <w:rsid w:val="00814467"/>
    <w:rsid w:val="008146A5"/>
    <w:rsid w:val="00814B97"/>
    <w:rsid w:val="008155D3"/>
    <w:rsid w:val="0081565E"/>
    <w:rsid w:val="00815776"/>
    <w:rsid w:val="008164A1"/>
    <w:rsid w:val="0081679D"/>
    <w:rsid w:val="008169FF"/>
    <w:rsid w:val="00817209"/>
    <w:rsid w:val="00817405"/>
    <w:rsid w:val="00817D99"/>
    <w:rsid w:val="00817EA1"/>
    <w:rsid w:val="00820089"/>
    <w:rsid w:val="00820ABB"/>
    <w:rsid w:val="00820CB5"/>
    <w:rsid w:val="0082124A"/>
    <w:rsid w:val="008218AE"/>
    <w:rsid w:val="008219EF"/>
    <w:rsid w:val="00821EA0"/>
    <w:rsid w:val="0082234E"/>
    <w:rsid w:val="00822463"/>
    <w:rsid w:val="00822636"/>
    <w:rsid w:val="00822856"/>
    <w:rsid w:val="00822861"/>
    <w:rsid w:val="0082297F"/>
    <w:rsid w:val="008229BA"/>
    <w:rsid w:val="00822ABF"/>
    <w:rsid w:val="00822F01"/>
    <w:rsid w:val="00822F2B"/>
    <w:rsid w:val="0082322D"/>
    <w:rsid w:val="008233AE"/>
    <w:rsid w:val="008233E6"/>
    <w:rsid w:val="00823950"/>
    <w:rsid w:val="00823C47"/>
    <w:rsid w:val="00823DE6"/>
    <w:rsid w:val="00823F70"/>
    <w:rsid w:val="008255BC"/>
    <w:rsid w:val="0082600E"/>
    <w:rsid w:val="008262FF"/>
    <w:rsid w:val="0082630B"/>
    <w:rsid w:val="00826649"/>
    <w:rsid w:val="00826F78"/>
    <w:rsid w:val="00826FEA"/>
    <w:rsid w:val="0082710C"/>
    <w:rsid w:val="008275EB"/>
    <w:rsid w:val="0082760A"/>
    <w:rsid w:val="00827635"/>
    <w:rsid w:val="00827BFD"/>
    <w:rsid w:val="0083033C"/>
    <w:rsid w:val="00830AC4"/>
    <w:rsid w:val="00830E8F"/>
    <w:rsid w:val="00830FEE"/>
    <w:rsid w:val="0083115A"/>
    <w:rsid w:val="0083141A"/>
    <w:rsid w:val="008316EB"/>
    <w:rsid w:val="008321B8"/>
    <w:rsid w:val="00832CCF"/>
    <w:rsid w:val="00833293"/>
    <w:rsid w:val="0083337B"/>
    <w:rsid w:val="00833619"/>
    <w:rsid w:val="00833715"/>
    <w:rsid w:val="008337B6"/>
    <w:rsid w:val="008339F5"/>
    <w:rsid w:val="008344AA"/>
    <w:rsid w:val="00834C33"/>
    <w:rsid w:val="0083504F"/>
    <w:rsid w:val="00840199"/>
    <w:rsid w:val="008404CD"/>
    <w:rsid w:val="008407AD"/>
    <w:rsid w:val="00840855"/>
    <w:rsid w:val="0084085D"/>
    <w:rsid w:val="00840973"/>
    <w:rsid w:val="00840FAE"/>
    <w:rsid w:val="008414B7"/>
    <w:rsid w:val="008418AF"/>
    <w:rsid w:val="00841E38"/>
    <w:rsid w:val="00842779"/>
    <w:rsid w:val="00842E28"/>
    <w:rsid w:val="00843262"/>
    <w:rsid w:val="008434BB"/>
    <w:rsid w:val="008436DC"/>
    <w:rsid w:val="00844311"/>
    <w:rsid w:val="00844399"/>
    <w:rsid w:val="008446F8"/>
    <w:rsid w:val="00844BE0"/>
    <w:rsid w:val="00845B5D"/>
    <w:rsid w:val="00845D03"/>
    <w:rsid w:val="008461DE"/>
    <w:rsid w:val="00846FCD"/>
    <w:rsid w:val="00847597"/>
    <w:rsid w:val="00847EC3"/>
    <w:rsid w:val="0085055C"/>
    <w:rsid w:val="008511A2"/>
    <w:rsid w:val="008512C3"/>
    <w:rsid w:val="008517B0"/>
    <w:rsid w:val="0085199D"/>
    <w:rsid w:val="00851DC6"/>
    <w:rsid w:val="008521D8"/>
    <w:rsid w:val="0085236C"/>
    <w:rsid w:val="00852571"/>
    <w:rsid w:val="008526AD"/>
    <w:rsid w:val="00852A9A"/>
    <w:rsid w:val="00852B97"/>
    <w:rsid w:val="00852E72"/>
    <w:rsid w:val="00852EC8"/>
    <w:rsid w:val="00853261"/>
    <w:rsid w:val="008535B2"/>
    <w:rsid w:val="0085390E"/>
    <w:rsid w:val="00853FB2"/>
    <w:rsid w:val="00854586"/>
    <w:rsid w:val="00854771"/>
    <w:rsid w:val="00854D2F"/>
    <w:rsid w:val="008552AF"/>
    <w:rsid w:val="0085550A"/>
    <w:rsid w:val="00855CE9"/>
    <w:rsid w:val="00855E49"/>
    <w:rsid w:val="00855EFF"/>
    <w:rsid w:val="0085672C"/>
    <w:rsid w:val="00856D72"/>
    <w:rsid w:val="00856EE2"/>
    <w:rsid w:val="00857773"/>
    <w:rsid w:val="00857932"/>
    <w:rsid w:val="00857F1D"/>
    <w:rsid w:val="00860BD7"/>
    <w:rsid w:val="00861662"/>
    <w:rsid w:val="00861A46"/>
    <w:rsid w:val="00861F83"/>
    <w:rsid w:val="00862236"/>
    <w:rsid w:val="00862302"/>
    <w:rsid w:val="008628B8"/>
    <w:rsid w:val="00863E70"/>
    <w:rsid w:val="00863F53"/>
    <w:rsid w:val="008641E7"/>
    <w:rsid w:val="008651D9"/>
    <w:rsid w:val="008657A3"/>
    <w:rsid w:val="00865B6E"/>
    <w:rsid w:val="00866256"/>
    <w:rsid w:val="0086774A"/>
    <w:rsid w:val="008677B8"/>
    <w:rsid w:val="008678DA"/>
    <w:rsid w:val="00867C3A"/>
    <w:rsid w:val="008701FE"/>
    <w:rsid w:val="008707F8"/>
    <w:rsid w:val="008709FD"/>
    <w:rsid w:val="008710D9"/>
    <w:rsid w:val="008711BF"/>
    <w:rsid w:val="0087132F"/>
    <w:rsid w:val="008713C7"/>
    <w:rsid w:val="00871640"/>
    <w:rsid w:val="00872382"/>
    <w:rsid w:val="0087315E"/>
    <w:rsid w:val="00873199"/>
    <w:rsid w:val="008732B8"/>
    <w:rsid w:val="008733D2"/>
    <w:rsid w:val="008734EA"/>
    <w:rsid w:val="008735F8"/>
    <w:rsid w:val="0087393B"/>
    <w:rsid w:val="00873ECD"/>
    <w:rsid w:val="0087482F"/>
    <w:rsid w:val="00874A54"/>
    <w:rsid w:val="0087578F"/>
    <w:rsid w:val="0087638B"/>
    <w:rsid w:val="0087696B"/>
    <w:rsid w:val="00876A2C"/>
    <w:rsid w:val="00876C1E"/>
    <w:rsid w:val="00876EFE"/>
    <w:rsid w:val="0087768C"/>
    <w:rsid w:val="00877C8D"/>
    <w:rsid w:val="00877D05"/>
    <w:rsid w:val="00877EB5"/>
    <w:rsid w:val="008803AB"/>
    <w:rsid w:val="008806D9"/>
    <w:rsid w:val="008808CE"/>
    <w:rsid w:val="00880966"/>
    <w:rsid w:val="00880AAF"/>
    <w:rsid w:val="00880D1D"/>
    <w:rsid w:val="00880F7A"/>
    <w:rsid w:val="00881A31"/>
    <w:rsid w:val="008821A6"/>
    <w:rsid w:val="008822AF"/>
    <w:rsid w:val="00882516"/>
    <w:rsid w:val="008825CF"/>
    <w:rsid w:val="00882B97"/>
    <w:rsid w:val="00883AA0"/>
    <w:rsid w:val="00884366"/>
    <w:rsid w:val="008851D5"/>
    <w:rsid w:val="008853C1"/>
    <w:rsid w:val="00885463"/>
    <w:rsid w:val="00885831"/>
    <w:rsid w:val="008872BC"/>
    <w:rsid w:val="00887A85"/>
    <w:rsid w:val="00887E4F"/>
    <w:rsid w:val="00887FE8"/>
    <w:rsid w:val="00890182"/>
    <w:rsid w:val="0089027D"/>
    <w:rsid w:val="008907B5"/>
    <w:rsid w:val="0089122E"/>
    <w:rsid w:val="00892076"/>
    <w:rsid w:val="008920EA"/>
    <w:rsid w:val="00892546"/>
    <w:rsid w:val="0089282D"/>
    <w:rsid w:val="00892CF7"/>
    <w:rsid w:val="00892E44"/>
    <w:rsid w:val="008931BE"/>
    <w:rsid w:val="008942B1"/>
    <w:rsid w:val="008943E0"/>
    <w:rsid w:val="00894432"/>
    <w:rsid w:val="00894814"/>
    <w:rsid w:val="00894CE5"/>
    <w:rsid w:val="00894E0E"/>
    <w:rsid w:val="008955C0"/>
    <w:rsid w:val="00895CDD"/>
    <w:rsid w:val="00895DB7"/>
    <w:rsid w:val="00895F82"/>
    <w:rsid w:val="008961F6"/>
    <w:rsid w:val="0089634B"/>
    <w:rsid w:val="00896943"/>
    <w:rsid w:val="0089772F"/>
    <w:rsid w:val="00897736"/>
    <w:rsid w:val="00897814"/>
    <w:rsid w:val="00897FD8"/>
    <w:rsid w:val="008A0077"/>
    <w:rsid w:val="008A09E7"/>
    <w:rsid w:val="008A0B02"/>
    <w:rsid w:val="008A1171"/>
    <w:rsid w:val="008A1190"/>
    <w:rsid w:val="008A1CBF"/>
    <w:rsid w:val="008A2224"/>
    <w:rsid w:val="008A23E9"/>
    <w:rsid w:val="008A24DF"/>
    <w:rsid w:val="008A2D03"/>
    <w:rsid w:val="008A2D62"/>
    <w:rsid w:val="008A3297"/>
    <w:rsid w:val="008A411C"/>
    <w:rsid w:val="008A45B8"/>
    <w:rsid w:val="008A497B"/>
    <w:rsid w:val="008A4B89"/>
    <w:rsid w:val="008A5157"/>
    <w:rsid w:val="008A581C"/>
    <w:rsid w:val="008A5B44"/>
    <w:rsid w:val="008A5CBC"/>
    <w:rsid w:val="008A646B"/>
    <w:rsid w:val="008A6C53"/>
    <w:rsid w:val="008A6D0F"/>
    <w:rsid w:val="008A6D69"/>
    <w:rsid w:val="008A7C9E"/>
    <w:rsid w:val="008A7E60"/>
    <w:rsid w:val="008B01F3"/>
    <w:rsid w:val="008B030F"/>
    <w:rsid w:val="008B08D1"/>
    <w:rsid w:val="008B0D9E"/>
    <w:rsid w:val="008B1433"/>
    <w:rsid w:val="008B151B"/>
    <w:rsid w:val="008B16D0"/>
    <w:rsid w:val="008B1CA7"/>
    <w:rsid w:val="008B24C1"/>
    <w:rsid w:val="008B2599"/>
    <w:rsid w:val="008B25F2"/>
    <w:rsid w:val="008B2637"/>
    <w:rsid w:val="008B2A46"/>
    <w:rsid w:val="008B2F1E"/>
    <w:rsid w:val="008B3FD6"/>
    <w:rsid w:val="008B45CF"/>
    <w:rsid w:val="008B49D4"/>
    <w:rsid w:val="008B4F31"/>
    <w:rsid w:val="008B5229"/>
    <w:rsid w:val="008B538B"/>
    <w:rsid w:val="008B56E6"/>
    <w:rsid w:val="008B5B3C"/>
    <w:rsid w:val="008B5CDA"/>
    <w:rsid w:val="008B5F70"/>
    <w:rsid w:val="008B6345"/>
    <w:rsid w:val="008B6455"/>
    <w:rsid w:val="008B709A"/>
    <w:rsid w:val="008B724F"/>
    <w:rsid w:val="008B7862"/>
    <w:rsid w:val="008B798D"/>
    <w:rsid w:val="008B7D5B"/>
    <w:rsid w:val="008B7E7F"/>
    <w:rsid w:val="008C0174"/>
    <w:rsid w:val="008C04FF"/>
    <w:rsid w:val="008C0654"/>
    <w:rsid w:val="008C090C"/>
    <w:rsid w:val="008C0B9D"/>
    <w:rsid w:val="008C0DEE"/>
    <w:rsid w:val="008C0EF6"/>
    <w:rsid w:val="008C162D"/>
    <w:rsid w:val="008C1A94"/>
    <w:rsid w:val="008C1FCE"/>
    <w:rsid w:val="008C2127"/>
    <w:rsid w:val="008C2625"/>
    <w:rsid w:val="008C2905"/>
    <w:rsid w:val="008C2A46"/>
    <w:rsid w:val="008C2E2E"/>
    <w:rsid w:val="008C310F"/>
    <w:rsid w:val="008C3697"/>
    <w:rsid w:val="008C36E8"/>
    <w:rsid w:val="008C439C"/>
    <w:rsid w:val="008C4543"/>
    <w:rsid w:val="008C494F"/>
    <w:rsid w:val="008C4F21"/>
    <w:rsid w:val="008C51FA"/>
    <w:rsid w:val="008C533C"/>
    <w:rsid w:val="008C5C30"/>
    <w:rsid w:val="008C5CE3"/>
    <w:rsid w:val="008C6488"/>
    <w:rsid w:val="008C6DFA"/>
    <w:rsid w:val="008C771E"/>
    <w:rsid w:val="008C7CE2"/>
    <w:rsid w:val="008D00E3"/>
    <w:rsid w:val="008D045F"/>
    <w:rsid w:val="008D085F"/>
    <w:rsid w:val="008D0FF2"/>
    <w:rsid w:val="008D10C6"/>
    <w:rsid w:val="008D1217"/>
    <w:rsid w:val="008D154E"/>
    <w:rsid w:val="008D1593"/>
    <w:rsid w:val="008D1EBC"/>
    <w:rsid w:val="008D2396"/>
    <w:rsid w:val="008D2433"/>
    <w:rsid w:val="008D2519"/>
    <w:rsid w:val="008D27D1"/>
    <w:rsid w:val="008D27FA"/>
    <w:rsid w:val="008D342D"/>
    <w:rsid w:val="008D379F"/>
    <w:rsid w:val="008D37E4"/>
    <w:rsid w:val="008D3A2C"/>
    <w:rsid w:val="008D3DB2"/>
    <w:rsid w:val="008D3E49"/>
    <w:rsid w:val="008D42D0"/>
    <w:rsid w:val="008D4BB1"/>
    <w:rsid w:val="008D5B9A"/>
    <w:rsid w:val="008D5BE1"/>
    <w:rsid w:val="008D61B1"/>
    <w:rsid w:val="008D64BC"/>
    <w:rsid w:val="008D6E83"/>
    <w:rsid w:val="008D7015"/>
    <w:rsid w:val="008E03C3"/>
    <w:rsid w:val="008E0480"/>
    <w:rsid w:val="008E063F"/>
    <w:rsid w:val="008E0972"/>
    <w:rsid w:val="008E0B9F"/>
    <w:rsid w:val="008E155C"/>
    <w:rsid w:val="008E274F"/>
    <w:rsid w:val="008E2C81"/>
    <w:rsid w:val="008E2DF8"/>
    <w:rsid w:val="008E338B"/>
    <w:rsid w:val="008E37ED"/>
    <w:rsid w:val="008E4199"/>
    <w:rsid w:val="008E4A98"/>
    <w:rsid w:val="008E4C1C"/>
    <w:rsid w:val="008E5C2F"/>
    <w:rsid w:val="008E6DE4"/>
    <w:rsid w:val="008E6EF7"/>
    <w:rsid w:val="008E7C2F"/>
    <w:rsid w:val="008F0AF8"/>
    <w:rsid w:val="008F17C6"/>
    <w:rsid w:val="008F1A58"/>
    <w:rsid w:val="008F1ADD"/>
    <w:rsid w:val="008F1D0A"/>
    <w:rsid w:val="008F1F4F"/>
    <w:rsid w:val="008F21FD"/>
    <w:rsid w:val="008F221F"/>
    <w:rsid w:val="008F22BB"/>
    <w:rsid w:val="008F2AF0"/>
    <w:rsid w:val="008F31D3"/>
    <w:rsid w:val="008F4036"/>
    <w:rsid w:val="008F415A"/>
    <w:rsid w:val="008F457A"/>
    <w:rsid w:val="008F4A30"/>
    <w:rsid w:val="008F4AFD"/>
    <w:rsid w:val="008F5014"/>
    <w:rsid w:val="008F66E0"/>
    <w:rsid w:val="009009AF"/>
    <w:rsid w:val="00900B59"/>
    <w:rsid w:val="00900FE0"/>
    <w:rsid w:val="009012B6"/>
    <w:rsid w:val="00902A67"/>
    <w:rsid w:val="00902B4F"/>
    <w:rsid w:val="00902F77"/>
    <w:rsid w:val="00902F91"/>
    <w:rsid w:val="009031F1"/>
    <w:rsid w:val="00903527"/>
    <w:rsid w:val="0090355E"/>
    <w:rsid w:val="0090357D"/>
    <w:rsid w:val="00904292"/>
    <w:rsid w:val="00904686"/>
    <w:rsid w:val="009046A5"/>
    <w:rsid w:val="009047CC"/>
    <w:rsid w:val="00904C49"/>
    <w:rsid w:val="00904E33"/>
    <w:rsid w:val="00905870"/>
    <w:rsid w:val="00905C3B"/>
    <w:rsid w:val="009061B9"/>
    <w:rsid w:val="009061C1"/>
    <w:rsid w:val="00906BC8"/>
    <w:rsid w:val="00906C91"/>
    <w:rsid w:val="00907270"/>
    <w:rsid w:val="0090747C"/>
    <w:rsid w:val="009076E0"/>
    <w:rsid w:val="0090780C"/>
    <w:rsid w:val="00907D55"/>
    <w:rsid w:val="00907E3B"/>
    <w:rsid w:val="0091026B"/>
    <w:rsid w:val="0091069C"/>
    <w:rsid w:val="00910BEB"/>
    <w:rsid w:val="00910D5E"/>
    <w:rsid w:val="009110C4"/>
    <w:rsid w:val="00911315"/>
    <w:rsid w:val="009115E4"/>
    <w:rsid w:val="009119D3"/>
    <w:rsid w:val="00911CCE"/>
    <w:rsid w:val="00911D15"/>
    <w:rsid w:val="009124FF"/>
    <w:rsid w:val="00912706"/>
    <w:rsid w:val="009129A1"/>
    <w:rsid w:val="00913DC5"/>
    <w:rsid w:val="00913F6C"/>
    <w:rsid w:val="00914702"/>
    <w:rsid w:val="009166D0"/>
    <w:rsid w:val="00916D0F"/>
    <w:rsid w:val="0091701A"/>
    <w:rsid w:val="0091735F"/>
    <w:rsid w:val="009176E6"/>
    <w:rsid w:val="009176E8"/>
    <w:rsid w:val="00917A4A"/>
    <w:rsid w:val="00917C9E"/>
    <w:rsid w:val="00917CEF"/>
    <w:rsid w:val="00920138"/>
    <w:rsid w:val="009201FD"/>
    <w:rsid w:val="00920351"/>
    <w:rsid w:val="00920F33"/>
    <w:rsid w:val="00921212"/>
    <w:rsid w:val="00921761"/>
    <w:rsid w:val="009218C4"/>
    <w:rsid w:val="009225E9"/>
    <w:rsid w:val="009229D4"/>
    <w:rsid w:val="00922E26"/>
    <w:rsid w:val="009232A4"/>
    <w:rsid w:val="0092338E"/>
    <w:rsid w:val="0092339A"/>
    <w:rsid w:val="00923E19"/>
    <w:rsid w:val="00923F6B"/>
    <w:rsid w:val="0092417C"/>
    <w:rsid w:val="009241E4"/>
    <w:rsid w:val="0092482B"/>
    <w:rsid w:val="00924985"/>
    <w:rsid w:val="00924F3B"/>
    <w:rsid w:val="00924F71"/>
    <w:rsid w:val="00925804"/>
    <w:rsid w:val="0092586F"/>
    <w:rsid w:val="00925F0D"/>
    <w:rsid w:val="0092727F"/>
    <w:rsid w:val="00927508"/>
    <w:rsid w:val="00927750"/>
    <w:rsid w:val="00930029"/>
    <w:rsid w:val="009300C0"/>
    <w:rsid w:val="0093054D"/>
    <w:rsid w:val="00930577"/>
    <w:rsid w:val="00930854"/>
    <w:rsid w:val="009309DD"/>
    <w:rsid w:val="00930C16"/>
    <w:rsid w:val="00930D16"/>
    <w:rsid w:val="00930E06"/>
    <w:rsid w:val="00930E4C"/>
    <w:rsid w:val="0093186D"/>
    <w:rsid w:val="009326A2"/>
    <w:rsid w:val="009326DE"/>
    <w:rsid w:val="00932959"/>
    <w:rsid w:val="00932C4F"/>
    <w:rsid w:val="00932FB5"/>
    <w:rsid w:val="009331ED"/>
    <w:rsid w:val="009344B3"/>
    <w:rsid w:val="0093475E"/>
    <w:rsid w:val="009348D1"/>
    <w:rsid w:val="009349E6"/>
    <w:rsid w:val="00934C51"/>
    <w:rsid w:val="00935365"/>
    <w:rsid w:val="009353B8"/>
    <w:rsid w:val="00935755"/>
    <w:rsid w:val="009357E7"/>
    <w:rsid w:val="00935BAF"/>
    <w:rsid w:val="0093606F"/>
    <w:rsid w:val="00936646"/>
    <w:rsid w:val="00936657"/>
    <w:rsid w:val="00936992"/>
    <w:rsid w:val="009369D0"/>
    <w:rsid w:val="00936AF4"/>
    <w:rsid w:val="0093735F"/>
    <w:rsid w:val="00937689"/>
    <w:rsid w:val="009376A9"/>
    <w:rsid w:val="009378D4"/>
    <w:rsid w:val="00937942"/>
    <w:rsid w:val="00937D96"/>
    <w:rsid w:val="00937ED0"/>
    <w:rsid w:val="00940494"/>
    <w:rsid w:val="00940FAA"/>
    <w:rsid w:val="009410FE"/>
    <w:rsid w:val="00942007"/>
    <w:rsid w:val="0094258E"/>
    <w:rsid w:val="0094267B"/>
    <w:rsid w:val="009435AF"/>
    <w:rsid w:val="00944408"/>
    <w:rsid w:val="00944A35"/>
    <w:rsid w:val="00944B18"/>
    <w:rsid w:val="00944C2C"/>
    <w:rsid w:val="00944C92"/>
    <w:rsid w:val="00944F36"/>
    <w:rsid w:val="00945A94"/>
    <w:rsid w:val="0094602A"/>
    <w:rsid w:val="009463D3"/>
    <w:rsid w:val="009463D5"/>
    <w:rsid w:val="0094645A"/>
    <w:rsid w:val="009469E5"/>
    <w:rsid w:val="009473C6"/>
    <w:rsid w:val="00947B7E"/>
    <w:rsid w:val="00950151"/>
    <w:rsid w:val="00950378"/>
    <w:rsid w:val="00950738"/>
    <w:rsid w:val="00950856"/>
    <w:rsid w:val="00951389"/>
    <w:rsid w:val="00951440"/>
    <w:rsid w:val="00951612"/>
    <w:rsid w:val="009524D0"/>
    <w:rsid w:val="009528DF"/>
    <w:rsid w:val="00952AA5"/>
    <w:rsid w:val="00952F34"/>
    <w:rsid w:val="00953292"/>
    <w:rsid w:val="00953889"/>
    <w:rsid w:val="0095397E"/>
    <w:rsid w:val="00953EB8"/>
    <w:rsid w:val="0095429A"/>
    <w:rsid w:val="0095457C"/>
    <w:rsid w:val="00955532"/>
    <w:rsid w:val="00956471"/>
    <w:rsid w:val="00956CC4"/>
    <w:rsid w:val="00956EE3"/>
    <w:rsid w:val="0095757B"/>
    <w:rsid w:val="0095767C"/>
    <w:rsid w:val="009577F2"/>
    <w:rsid w:val="00957973"/>
    <w:rsid w:val="00957E02"/>
    <w:rsid w:val="00957E0B"/>
    <w:rsid w:val="00957ED5"/>
    <w:rsid w:val="00960350"/>
    <w:rsid w:val="00960FA5"/>
    <w:rsid w:val="0096110A"/>
    <w:rsid w:val="0096122B"/>
    <w:rsid w:val="0096141E"/>
    <w:rsid w:val="0096163E"/>
    <w:rsid w:val="009618BB"/>
    <w:rsid w:val="009618C0"/>
    <w:rsid w:val="009620E2"/>
    <w:rsid w:val="00962808"/>
    <w:rsid w:val="00962E2E"/>
    <w:rsid w:val="00963A9F"/>
    <w:rsid w:val="00964169"/>
    <w:rsid w:val="0096426C"/>
    <w:rsid w:val="00964313"/>
    <w:rsid w:val="009654BD"/>
    <w:rsid w:val="00966274"/>
    <w:rsid w:val="00966587"/>
    <w:rsid w:val="00966780"/>
    <w:rsid w:val="00966ED4"/>
    <w:rsid w:val="009676A9"/>
    <w:rsid w:val="009676B8"/>
    <w:rsid w:val="00967F62"/>
    <w:rsid w:val="009702E9"/>
    <w:rsid w:val="009728FB"/>
    <w:rsid w:val="00972935"/>
    <w:rsid w:val="00972AAB"/>
    <w:rsid w:val="00972C05"/>
    <w:rsid w:val="00972FF2"/>
    <w:rsid w:val="00973A27"/>
    <w:rsid w:val="00973BD3"/>
    <w:rsid w:val="00973D45"/>
    <w:rsid w:val="0097440C"/>
    <w:rsid w:val="0097442B"/>
    <w:rsid w:val="0097448F"/>
    <w:rsid w:val="00974C5D"/>
    <w:rsid w:val="0097522F"/>
    <w:rsid w:val="0097555A"/>
    <w:rsid w:val="00975643"/>
    <w:rsid w:val="00975A44"/>
    <w:rsid w:val="00975B21"/>
    <w:rsid w:val="00975B38"/>
    <w:rsid w:val="00975BA8"/>
    <w:rsid w:val="00975BF4"/>
    <w:rsid w:val="00975C93"/>
    <w:rsid w:val="00975D69"/>
    <w:rsid w:val="00975D92"/>
    <w:rsid w:val="00975FA9"/>
    <w:rsid w:val="00976028"/>
    <w:rsid w:val="0097634A"/>
    <w:rsid w:val="00976351"/>
    <w:rsid w:val="00977C30"/>
    <w:rsid w:val="00977F5B"/>
    <w:rsid w:val="0098070A"/>
    <w:rsid w:val="009809CB"/>
    <w:rsid w:val="00980CAC"/>
    <w:rsid w:val="0098152B"/>
    <w:rsid w:val="00981634"/>
    <w:rsid w:val="0098173C"/>
    <w:rsid w:val="009819E5"/>
    <w:rsid w:val="00981EE6"/>
    <w:rsid w:val="00981EE7"/>
    <w:rsid w:val="0098221C"/>
    <w:rsid w:val="009823B0"/>
    <w:rsid w:val="009826AA"/>
    <w:rsid w:val="00982B2B"/>
    <w:rsid w:val="00982F9B"/>
    <w:rsid w:val="00983B3B"/>
    <w:rsid w:val="00983BA5"/>
    <w:rsid w:val="00983D9C"/>
    <w:rsid w:val="00984521"/>
    <w:rsid w:val="00985CBD"/>
    <w:rsid w:val="009860F5"/>
    <w:rsid w:val="0098631D"/>
    <w:rsid w:val="00986406"/>
    <w:rsid w:val="00986CFC"/>
    <w:rsid w:val="00987F3E"/>
    <w:rsid w:val="0099004A"/>
    <w:rsid w:val="009903F6"/>
    <w:rsid w:val="00990718"/>
    <w:rsid w:val="0099191F"/>
    <w:rsid w:val="00991BD9"/>
    <w:rsid w:val="00991C2A"/>
    <w:rsid w:val="00991D53"/>
    <w:rsid w:val="009923C7"/>
    <w:rsid w:val="009929BD"/>
    <w:rsid w:val="00992E78"/>
    <w:rsid w:val="00993210"/>
    <w:rsid w:val="00993481"/>
    <w:rsid w:val="0099365D"/>
    <w:rsid w:val="00993A65"/>
    <w:rsid w:val="00993F75"/>
    <w:rsid w:val="009941C7"/>
    <w:rsid w:val="00994535"/>
    <w:rsid w:val="00994A38"/>
    <w:rsid w:val="00994F67"/>
    <w:rsid w:val="0099541E"/>
    <w:rsid w:val="009957E0"/>
    <w:rsid w:val="00995AEB"/>
    <w:rsid w:val="00995B1C"/>
    <w:rsid w:val="00995D17"/>
    <w:rsid w:val="00995EBA"/>
    <w:rsid w:val="00995F58"/>
    <w:rsid w:val="0099633F"/>
    <w:rsid w:val="009966E8"/>
    <w:rsid w:val="009966F3"/>
    <w:rsid w:val="00996D74"/>
    <w:rsid w:val="00997093"/>
    <w:rsid w:val="009970BF"/>
    <w:rsid w:val="009971C4"/>
    <w:rsid w:val="009971D5"/>
    <w:rsid w:val="0099724D"/>
    <w:rsid w:val="009973F9"/>
    <w:rsid w:val="0099741D"/>
    <w:rsid w:val="00997ECB"/>
    <w:rsid w:val="009A0107"/>
    <w:rsid w:val="009A0279"/>
    <w:rsid w:val="009A07FB"/>
    <w:rsid w:val="009A0839"/>
    <w:rsid w:val="009A092F"/>
    <w:rsid w:val="009A0D6C"/>
    <w:rsid w:val="009A102F"/>
    <w:rsid w:val="009A10CD"/>
    <w:rsid w:val="009A13CB"/>
    <w:rsid w:val="009A15D5"/>
    <w:rsid w:val="009A1728"/>
    <w:rsid w:val="009A2564"/>
    <w:rsid w:val="009A276B"/>
    <w:rsid w:val="009A2A93"/>
    <w:rsid w:val="009A2BD8"/>
    <w:rsid w:val="009A30EC"/>
    <w:rsid w:val="009A3485"/>
    <w:rsid w:val="009A34EE"/>
    <w:rsid w:val="009A3CDC"/>
    <w:rsid w:val="009A3E4F"/>
    <w:rsid w:val="009A3F15"/>
    <w:rsid w:val="009A4103"/>
    <w:rsid w:val="009A46A0"/>
    <w:rsid w:val="009A48C6"/>
    <w:rsid w:val="009A49E2"/>
    <w:rsid w:val="009A516D"/>
    <w:rsid w:val="009A5F05"/>
    <w:rsid w:val="009A6281"/>
    <w:rsid w:val="009A63CD"/>
    <w:rsid w:val="009A6D2C"/>
    <w:rsid w:val="009A7297"/>
    <w:rsid w:val="009A7945"/>
    <w:rsid w:val="009A7F11"/>
    <w:rsid w:val="009A7FDA"/>
    <w:rsid w:val="009B0308"/>
    <w:rsid w:val="009B0451"/>
    <w:rsid w:val="009B1024"/>
    <w:rsid w:val="009B1152"/>
    <w:rsid w:val="009B16C2"/>
    <w:rsid w:val="009B2826"/>
    <w:rsid w:val="009B28D8"/>
    <w:rsid w:val="009B3268"/>
    <w:rsid w:val="009B35E0"/>
    <w:rsid w:val="009B3B39"/>
    <w:rsid w:val="009B4297"/>
    <w:rsid w:val="009B4C92"/>
    <w:rsid w:val="009B53A5"/>
    <w:rsid w:val="009B53C7"/>
    <w:rsid w:val="009B55A7"/>
    <w:rsid w:val="009B55F0"/>
    <w:rsid w:val="009B56BC"/>
    <w:rsid w:val="009B56C4"/>
    <w:rsid w:val="009B584B"/>
    <w:rsid w:val="009B59B0"/>
    <w:rsid w:val="009B643D"/>
    <w:rsid w:val="009B6BED"/>
    <w:rsid w:val="009B6F07"/>
    <w:rsid w:val="009B747C"/>
    <w:rsid w:val="009B791A"/>
    <w:rsid w:val="009C0240"/>
    <w:rsid w:val="009C05F9"/>
    <w:rsid w:val="009C0992"/>
    <w:rsid w:val="009C09AD"/>
    <w:rsid w:val="009C10C8"/>
    <w:rsid w:val="009C114F"/>
    <w:rsid w:val="009C160C"/>
    <w:rsid w:val="009C1691"/>
    <w:rsid w:val="009C1E0B"/>
    <w:rsid w:val="009C20C3"/>
    <w:rsid w:val="009C215C"/>
    <w:rsid w:val="009C2817"/>
    <w:rsid w:val="009C2A00"/>
    <w:rsid w:val="009C30D3"/>
    <w:rsid w:val="009C3409"/>
    <w:rsid w:val="009C3A51"/>
    <w:rsid w:val="009C40DE"/>
    <w:rsid w:val="009C48D4"/>
    <w:rsid w:val="009C51D8"/>
    <w:rsid w:val="009C5567"/>
    <w:rsid w:val="009C55EE"/>
    <w:rsid w:val="009C5E36"/>
    <w:rsid w:val="009C622C"/>
    <w:rsid w:val="009C6D08"/>
    <w:rsid w:val="009C6E06"/>
    <w:rsid w:val="009C7016"/>
    <w:rsid w:val="009C744F"/>
    <w:rsid w:val="009C78A7"/>
    <w:rsid w:val="009D15EC"/>
    <w:rsid w:val="009D1FED"/>
    <w:rsid w:val="009D218F"/>
    <w:rsid w:val="009D2319"/>
    <w:rsid w:val="009D240D"/>
    <w:rsid w:val="009D27BA"/>
    <w:rsid w:val="009D3C11"/>
    <w:rsid w:val="009D3CC6"/>
    <w:rsid w:val="009D3EBA"/>
    <w:rsid w:val="009D4053"/>
    <w:rsid w:val="009D4144"/>
    <w:rsid w:val="009D48CF"/>
    <w:rsid w:val="009D4DFE"/>
    <w:rsid w:val="009D4FC7"/>
    <w:rsid w:val="009D5826"/>
    <w:rsid w:val="009D58E8"/>
    <w:rsid w:val="009D5BFC"/>
    <w:rsid w:val="009D606D"/>
    <w:rsid w:val="009D6247"/>
    <w:rsid w:val="009D6E1D"/>
    <w:rsid w:val="009D751B"/>
    <w:rsid w:val="009D7C55"/>
    <w:rsid w:val="009E06F9"/>
    <w:rsid w:val="009E0ACD"/>
    <w:rsid w:val="009E0C92"/>
    <w:rsid w:val="009E0F4B"/>
    <w:rsid w:val="009E0F8A"/>
    <w:rsid w:val="009E1740"/>
    <w:rsid w:val="009E17D2"/>
    <w:rsid w:val="009E1C84"/>
    <w:rsid w:val="009E2062"/>
    <w:rsid w:val="009E2184"/>
    <w:rsid w:val="009E23EF"/>
    <w:rsid w:val="009E24E8"/>
    <w:rsid w:val="009E2554"/>
    <w:rsid w:val="009E29C2"/>
    <w:rsid w:val="009E379F"/>
    <w:rsid w:val="009E4828"/>
    <w:rsid w:val="009E4D63"/>
    <w:rsid w:val="009E5155"/>
    <w:rsid w:val="009E5201"/>
    <w:rsid w:val="009E582B"/>
    <w:rsid w:val="009E5B47"/>
    <w:rsid w:val="009E67AD"/>
    <w:rsid w:val="009E6AEF"/>
    <w:rsid w:val="009E6B69"/>
    <w:rsid w:val="009E6FC4"/>
    <w:rsid w:val="009E78D0"/>
    <w:rsid w:val="009E79A8"/>
    <w:rsid w:val="009E7A2A"/>
    <w:rsid w:val="009E7BED"/>
    <w:rsid w:val="009F0462"/>
    <w:rsid w:val="009F064A"/>
    <w:rsid w:val="009F07F5"/>
    <w:rsid w:val="009F0820"/>
    <w:rsid w:val="009F12C1"/>
    <w:rsid w:val="009F1C86"/>
    <w:rsid w:val="009F2461"/>
    <w:rsid w:val="009F2E51"/>
    <w:rsid w:val="009F2E5F"/>
    <w:rsid w:val="009F2E88"/>
    <w:rsid w:val="009F2FBA"/>
    <w:rsid w:val="009F34E9"/>
    <w:rsid w:val="009F37C2"/>
    <w:rsid w:val="009F3B13"/>
    <w:rsid w:val="009F4022"/>
    <w:rsid w:val="009F4B74"/>
    <w:rsid w:val="009F5AA7"/>
    <w:rsid w:val="009F627C"/>
    <w:rsid w:val="009F6607"/>
    <w:rsid w:val="009F6865"/>
    <w:rsid w:val="009F7105"/>
    <w:rsid w:val="009F726F"/>
    <w:rsid w:val="009F74C4"/>
    <w:rsid w:val="009F7A64"/>
    <w:rsid w:val="009F7B26"/>
    <w:rsid w:val="00A005F7"/>
    <w:rsid w:val="00A00E1A"/>
    <w:rsid w:val="00A01104"/>
    <w:rsid w:val="00A012CA"/>
    <w:rsid w:val="00A01CDC"/>
    <w:rsid w:val="00A01D21"/>
    <w:rsid w:val="00A01DDF"/>
    <w:rsid w:val="00A025B9"/>
    <w:rsid w:val="00A02D9E"/>
    <w:rsid w:val="00A02FC0"/>
    <w:rsid w:val="00A030AE"/>
    <w:rsid w:val="00A03131"/>
    <w:rsid w:val="00A031DC"/>
    <w:rsid w:val="00A03310"/>
    <w:rsid w:val="00A045A9"/>
    <w:rsid w:val="00A04858"/>
    <w:rsid w:val="00A04969"/>
    <w:rsid w:val="00A04A74"/>
    <w:rsid w:val="00A04D88"/>
    <w:rsid w:val="00A05624"/>
    <w:rsid w:val="00A05A5C"/>
    <w:rsid w:val="00A05F5C"/>
    <w:rsid w:val="00A0698D"/>
    <w:rsid w:val="00A06AB5"/>
    <w:rsid w:val="00A06C32"/>
    <w:rsid w:val="00A06CAD"/>
    <w:rsid w:val="00A06ED7"/>
    <w:rsid w:val="00A076B0"/>
    <w:rsid w:val="00A07783"/>
    <w:rsid w:val="00A07C84"/>
    <w:rsid w:val="00A07E73"/>
    <w:rsid w:val="00A07F5B"/>
    <w:rsid w:val="00A1045B"/>
    <w:rsid w:val="00A11181"/>
    <w:rsid w:val="00A111F7"/>
    <w:rsid w:val="00A11392"/>
    <w:rsid w:val="00A11558"/>
    <w:rsid w:val="00A12030"/>
    <w:rsid w:val="00A12C58"/>
    <w:rsid w:val="00A12FAE"/>
    <w:rsid w:val="00A13C06"/>
    <w:rsid w:val="00A13DA0"/>
    <w:rsid w:val="00A13E2E"/>
    <w:rsid w:val="00A14582"/>
    <w:rsid w:val="00A14E4F"/>
    <w:rsid w:val="00A1595E"/>
    <w:rsid w:val="00A16FE7"/>
    <w:rsid w:val="00A16FF3"/>
    <w:rsid w:val="00A17241"/>
    <w:rsid w:val="00A175BA"/>
    <w:rsid w:val="00A178F0"/>
    <w:rsid w:val="00A17ED1"/>
    <w:rsid w:val="00A20175"/>
    <w:rsid w:val="00A20180"/>
    <w:rsid w:val="00A20C98"/>
    <w:rsid w:val="00A216AE"/>
    <w:rsid w:val="00A21E99"/>
    <w:rsid w:val="00A2207C"/>
    <w:rsid w:val="00A222C3"/>
    <w:rsid w:val="00A22B64"/>
    <w:rsid w:val="00A231A2"/>
    <w:rsid w:val="00A233E4"/>
    <w:rsid w:val="00A23D57"/>
    <w:rsid w:val="00A2415F"/>
    <w:rsid w:val="00A24268"/>
    <w:rsid w:val="00A24AA4"/>
    <w:rsid w:val="00A25008"/>
    <w:rsid w:val="00A2533F"/>
    <w:rsid w:val="00A25BF2"/>
    <w:rsid w:val="00A26321"/>
    <w:rsid w:val="00A266BA"/>
    <w:rsid w:val="00A26D04"/>
    <w:rsid w:val="00A2759F"/>
    <w:rsid w:val="00A27696"/>
    <w:rsid w:val="00A27C11"/>
    <w:rsid w:val="00A27F6E"/>
    <w:rsid w:val="00A30469"/>
    <w:rsid w:val="00A30610"/>
    <w:rsid w:val="00A310A2"/>
    <w:rsid w:val="00A314A2"/>
    <w:rsid w:val="00A318AD"/>
    <w:rsid w:val="00A318D0"/>
    <w:rsid w:val="00A3195A"/>
    <w:rsid w:val="00A31AAF"/>
    <w:rsid w:val="00A31D7B"/>
    <w:rsid w:val="00A3250C"/>
    <w:rsid w:val="00A325F3"/>
    <w:rsid w:val="00A32A61"/>
    <w:rsid w:val="00A32C6C"/>
    <w:rsid w:val="00A330FE"/>
    <w:rsid w:val="00A33B30"/>
    <w:rsid w:val="00A34093"/>
    <w:rsid w:val="00A34347"/>
    <w:rsid w:val="00A3491A"/>
    <w:rsid w:val="00A35351"/>
    <w:rsid w:val="00A3542B"/>
    <w:rsid w:val="00A35621"/>
    <w:rsid w:val="00A35905"/>
    <w:rsid w:val="00A35F51"/>
    <w:rsid w:val="00A36094"/>
    <w:rsid w:val="00A369CB"/>
    <w:rsid w:val="00A36FA4"/>
    <w:rsid w:val="00A37037"/>
    <w:rsid w:val="00A372F7"/>
    <w:rsid w:val="00A374A1"/>
    <w:rsid w:val="00A3782B"/>
    <w:rsid w:val="00A40402"/>
    <w:rsid w:val="00A40653"/>
    <w:rsid w:val="00A40B92"/>
    <w:rsid w:val="00A412B0"/>
    <w:rsid w:val="00A41560"/>
    <w:rsid w:val="00A41572"/>
    <w:rsid w:val="00A415FF"/>
    <w:rsid w:val="00A42043"/>
    <w:rsid w:val="00A42275"/>
    <w:rsid w:val="00A423F6"/>
    <w:rsid w:val="00A42AC4"/>
    <w:rsid w:val="00A42B5D"/>
    <w:rsid w:val="00A42C3D"/>
    <w:rsid w:val="00A42EF1"/>
    <w:rsid w:val="00A430D3"/>
    <w:rsid w:val="00A436EC"/>
    <w:rsid w:val="00A4387F"/>
    <w:rsid w:val="00A43CE1"/>
    <w:rsid w:val="00A44182"/>
    <w:rsid w:val="00A448A6"/>
    <w:rsid w:val="00A44965"/>
    <w:rsid w:val="00A44CDF"/>
    <w:rsid w:val="00A45305"/>
    <w:rsid w:val="00A4595E"/>
    <w:rsid w:val="00A45EAF"/>
    <w:rsid w:val="00A4627A"/>
    <w:rsid w:val="00A46842"/>
    <w:rsid w:val="00A469FA"/>
    <w:rsid w:val="00A47010"/>
    <w:rsid w:val="00A47395"/>
    <w:rsid w:val="00A47EF8"/>
    <w:rsid w:val="00A5067D"/>
    <w:rsid w:val="00A51839"/>
    <w:rsid w:val="00A52629"/>
    <w:rsid w:val="00A5322D"/>
    <w:rsid w:val="00A53326"/>
    <w:rsid w:val="00A53A9A"/>
    <w:rsid w:val="00A540C6"/>
    <w:rsid w:val="00A54125"/>
    <w:rsid w:val="00A546CF"/>
    <w:rsid w:val="00A547B2"/>
    <w:rsid w:val="00A5544B"/>
    <w:rsid w:val="00A556FB"/>
    <w:rsid w:val="00A563C8"/>
    <w:rsid w:val="00A56505"/>
    <w:rsid w:val="00A56A9F"/>
    <w:rsid w:val="00A56D8E"/>
    <w:rsid w:val="00A57276"/>
    <w:rsid w:val="00A577DB"/>
    <w:rsid w:val="00A60CB9"/>
    <w:rsid w:val="00A61D2E"/>
    <w:rsid w:val="00A621E0"/>
    <w:rsid w:val="00A625C7"/>
    <w:rsid w:val="00A626A2"/>
    <w:rsid w:val="00A6270A"/>
    <w:rsid w:val="00A62F2E"/>
    <w:rsid w:val="00A63C7F"/>
    <w:rsid w:val="00A63CEF"/>
    <w:rsid w:val="00A64127"/>
    <w:rsid w:val="00A6455F"/>
    <w:rsid w:val="00A64647"/>
    <w:rsid w:val="00A6503F"/>
    <w:rsid w:val="00A651EE"/>
    <w:rsid w:val="00A656B1"/>
    <w:rsid w:val="00A6572D"/>
    <w:rsid w:val="00A6589F"/>
    <w:rsid w:val="00A65A17"/>
    <w:rsid w:val="00A6659C"/>
    <w:rsid w:val="00A66BF7"/>
    <w:rsid w:val="00A66C38"/>
    <w:rsid w:val="00A67859"/>
    <w:rsid w:val="00A67DB2"/>
    <w:rsid w:val="00A709C8"/>
    <w:rsid w:val="00A70C00"/>
    <w:rsid w:val="00A7146A"/>
    <w:rsid w:val="00A71AAD"/>
    <w:rsid w:val="00A71ABC"/>
    <w:rsid w:val="00A72165"/>
    <w:rsid w:val="00A7268E"/>
    <w:rsid w:val="00A72B9E"/>
    <w:rsid w:val="00A73482"/>
    <w:rsid w:val="00A7373C"/>
    <w:rsid w:val="00A73F7A"/>
    <w:rsid w:val="00A747EA"/>
    <w:rsid w:val="00A7490C"/>
    <w:rsid w:val="00A7508C"/>
    <w:rsid w:val="00A75CC8"/>
    <w:rsid w:val="00A760FF"/>
    <w:rsid w:val="00A768A3"/>
    <w:rsid w:val="00A76FF5"/>
    <w:rsid w:val="00A771D0"/>
    <w:rsid w:val="00A771F1"/>
    <w:rsid w:val="00A809FA"/>
    <w:rsid w:val="00A80ED4"/>
    <w:rsid w:val="00A8170A"/>
    <w:rsid w:val="00A8189B"/>
    <w:rsid w:val="00A8189F"/>
    <w:rsid w:val="00A81A2A"/>
    <w:rsid w:val="00A81C61"/>
    <w:rsid w:val="00A81D25"/>
    <w:rsid w:val="00A81D27"/>
    <w:rsid w:val="00A82F0F"/>
    <w:rsid w:val="00A831FA"/>
    <w:rsid w:val="00A84395"/>
    <w:rsid w:val="00A8446E"/>
    <w:rsid w:val="00A8449E"/>
    <w:rsid w:val="00A8460B"/>
    <w:rsid w:val="00A846B3"/>
    <w:rsid w:val="00A8470E"/>
    <w:rsid w:val="00A85768"/>
    <w:rsid w:val="00A85825"/>
    <w:rsid w:val="00A85CAF"/>
    <w:rsid w:val="00A86B56"/>
    <w:rsid w:val="00A86E02"/>
    <w:rsid w:val="00A876E7"/>
    <w:rsid w:val="00A87755"/>
    <w:rsid w:val="00A8783F"/>
    <w:rsid w:val="00A87FCD"/>
    <w:rsid w:val="00A90071"/>
    <w:rsid w:val="00A906FE"/>
    <w:rsid w:val="00A90788"/>
    <w:rsid w:val="00A91474"/>
    <w:rsid w:val="00A91836"/>
    <w:rsid w:val="00A92845"/>
    <w:rsid w:val="00A93821"/>
    <w:rsid w:val="00A938BE"/>
    <w:rsid w:val="00A93B14"/>
    <w:rsid w:val="00A93D90"/>
    <w:rsid w:val="00A94F11"/>
    <w:rsid w:val="00A9508F"/>
    <w:rsid w:val="00A95468"/>
    <w:rsid w:val="00A95715"/>
    <w:rsid w:val="00A9593E"/>
    <w:rsid w:val="00A964AB"/>
    <w:rsid w:val="00A971BF"/>
    <w:rsid w:val="00A972F0"/>
    <w:rsid w:val="00A97521"/>
    <w:rsid w:val="00A9770B"/>
    <w:rsid w:val="00A97915"/>
    <w:rsid w:val="00A97B7A"/>
    <w:rsid w:val="00AA12F2"/>
    <w:rsid w:val="00AA197A"/>
    <w:rsid w:val="00AA1CD2"/>
    <w:rsid w:val="00AA1CD7"/>
    <w:rsid w:val="00AA27E1"/>
    <w:rsid w:val="00AA2AA8"/>
    <w:rsid w:val="00AA2B0F"/>
    <w:rsid w:val="00AA2CA7"/>
    <w:rsid w:val="00AA31FD"/>
    <w:rsid w:val="00AA35AF"/>
    <w:rsid w:val="00AA376E"/>
    <w:rsid w:val="00AA3D22"/>
    <w:rsid w:val="00AA3DFA"/>
    <w:rsid w:val="00AA4240"/>
    <w:rsid w:val="00AA500D"/>
    <w:rsid w:val="00AA6DD1"/>
    <w:rsid w:val="00AA70B8"/>
    <w:rsid w:val="00AA7AD6"/>
    <w:rsid w:val="00AA7B36"/>
    <w:rsid w:val="00AA7BAE"/>
    <w:rsid w:val="00AB01B6"/>
    <w:rsid w:val="00AB05B9"/>
    <w:rsid w:val="00AB05F8"/>
    <w:rsid w:val="00AB0660"/>
    <w:rsid w:val="00AB0B92"/>
    <w:rsid w:val="00AB0DFD"/>
    <w:rsid w:val="00AB1069"/>
    <w:rsid w:val="00AB10D9"/>
    <w:rsid w:val="00AB10EB"/>
    <w:rsid w:val="00AB163D"/>
    <w:rsid w:val="00AB229C"/>
    <w:rsid w:val="00AB2C3F"/>
    <w:rsid w:val="00AB2D3F"/>
    <w:rsid w:val="00AB3728"/>
    <w:rsid w:val="00AB37E6"/>
    <w:rsid w:val="00AB3B4B"/>
    <w:rsid w:val="00AB3B8B"/>
    <w:rsid w:val="00AB409B"/>
    <w:rsid w:val="00AB41F4"/>
    <w:rsid w:val="00AB43B5"/>
    <w:rsid w:val="00AB45AB"/>
    <w:rsid w:val="00AB4EA9"/>
    <w:rsid w:val="00AB51F6"/>
    <w:rsid w:val="00AB686C"/>
    <w:rsid w:val="00AB68D4"/>
    <w:rsid w:val="00AB6929"/>
    <w:rsid w:val="00AB6938"/>
    <w:rsid w:val="00AB696F"/>
    <w:rsid w:val="00AB6B71"/>
    <w:rsid w:val="00AB6DF5"/>
    <w:rsid w:val="00AB72D1"/>
    <w:rsid w:val="00AB760B"/>
    <w:rsid w:val="00AB78A8"/>
    <w:rsid w:val="00AB7CDD"/>
    <w:rsid w:val="00AB7D30"/>
    <w:rsid w:val="00AC0487"/>
    <w:rsid w:val="00AC0B8A"/>
    <w:rsid w:val="00AC0D38"/>
    <w:rsid w:val="00AC1223"/>
    <w:rsid w:val="00AC1975"/>
    <w:rsid w:val="00AC1D75"/>
    <w:rsid w:val="00AC228B"/>
    <w:rsid w:val="00AC2325"/>
    <w:rsid w:val="00AC25D2"/>
    <w:rsid w:val="00AC3155"/>
    <w:rsid w:val="00AC3883"/>
    <w:rsid w:val="00AC3DC1"/>
    <w:rsid w:val="00AC44A5"/>
    <w:rsid w:val="00AC45C6"/>
    <w:rsid w:val="00AC4A8F"/>
    <w:rsid w:val="00AC535E"/>
    <w:rsid w:val="00AC53BC"/>
    <w:rsid w:val="00AC57A8"/>
    <w:rsid w:val="00AC5AEB"/>
    <w:rsid w:val="00AC5C69"/>
    <w:rsid w:val="00AC5F66"/>
    <w:rsid w:val="00AC60C2"/>
    <w:rsid w:val="00AC6304"/>
    <w:rsid w:val="00AC6714"/>
    <w:rsid w:val="00AC6A57"/>
    <w:rsid w:val="00AC6D71"/>
    <w:rsid w:val="00AC717E"/>
    <w:rsid w:val="00AC7E75"/>
    <w:rsid w:val="00AD103F"/>
    <w:rsid w:val="00AD11CE"/>
    <w:rsid w:val="00AD156C"/>
    <w:rsid w:val="00AD16EA"/>
    <w:rsid w:val="00AD19FD"/>
    <w:rsid w:val="00AD1BA3"/>
    <w:rsid w:val="00AD2144"/>
    <w:rsid w:val="00AD266F"/>
    <w:rsid w:val="00AD28EF"/>
    <w:rsid w:val="00AD2A03"/>
    <w:rsid w:val="00AD2B2C"/>
    <w:rsid w:val="00AD2CCC"/>
    <w:rsid w:val="00AD33A4"/>
    <w:rsid w:val="00AD3AF2"/>
    <w:rsid w:val="00AD4267"/>
    <w:rsid w:val="00AD45D6"/>
    <w:rsid w:val="00AD4E0F"/>
    <w:rsid w:val="00AD4E36"/>
    <w:rsid w:val="00AD4F19"/>
    <w:rsid w:val="00AD5163"/>
    <w:rsid w:val="00AD56BB"/>
    <w:rsid w:val="00AD5AEE"/>
    <w:rsid w:val="00AD5CA4"/>
    <w:rsid w:val="00AD6197"/>
    <w:rsid w:val="00AD7026"/>
    <w:rsid w:val="00AD7AED"/>
    <w:rsid w:val="00AD7B32"/>
    <w:rsid w:val="00AE01D2"/>
    <w:rsid w:val="00AE03AA"/>
    <w:rsid w:val="00AE07CE"/>
    <w:rsid w:val="00AE0CCE"/>
    <w:rsid w:val="00AE110C"/>
    <w:rsid w:val="00AE121F"/>
    <w:rsid w:val="00AE170A"/>
    <w:rsid w:val="00AE1879"/>
    <w:rsid w:val="00AE1D20"/>
    <w:rsid w:val="00AE25F5"/>
    <w:rsid w:val="00AE2860"/>
    <w:rsid w:val="00AE3081"/>
    <w:rsid w:val="00AE31E1"/>
    <w:rsid w:val="00AE35B3"/>
    <w:rsid w:val="00AE38A3"/>
    <w:rsid w:val="00AE4894"/>
    <w:rsid w:val="00AE4B4B"/>
    <w:rsid w:val="00AE4CBD"/>
    <w:rsid w:val="00AE50CF"/>
    <w:rsid w:val="00AE50F0"/>
    <w:rsid w:val="00AE52C7"/>
    <w:rsid w:val="00AE52F5"/>
    <w:rsid w:val="00AE5386"/>
    <w:rsid w:val="00AE557C"/>
    <w:rsid w:val="00AE59ED"/>
    <w:rsid w:val="00AE679C"/>
    <w:rsid w:val="00AE6CED"/>
    <w:rsid w:val="00AE7112"/>
    <w:rsid w:val="00AF0294"/>
    <w:rsid w:val="00AF0650"/>
    <w:rsid w:val="00AF106D"/>
    <w:rsid w:val="00AF11B0"/>
    <w:rsid w:val="00AF1971"/>
    <w:rsid w:val="00AF1A31"/>
    <w:rsid w:val="00AF1B09"/>
    <w:rsid w:val="00AF1C2E"/>
    <w:rsid w:val="00AF1E02"/>
    <w:rsid w:val="00AF1E0B"/>
    <w:rsid w:val="00AF1F0E"/>
    <w:rsid w:val="00AF290D"/>
    <w:rsid w:val="00AF2989"/>
    <w:rsid w:val="00AF2E61"/>
    <w:rsid w:val="00AF2E73"/>
    <w:rsid w:val="00AF3096"/>
    <w:rsid w:val="00AF39CB"/>
    <w:rsid w:val="00AF4D56"/>
    <w:rsid w:val="00AF5074"/>
    <w:rsid w:val="00AF54F3"/>
    <w:rsid w:val="00AF5858"/>
    <w:rsid w:val="00AF5ABA"/>
    <w:rsid w:val="00AF5E35"/>
    <w:rsid w:val="00AF5E4C"/>
    <w:rsid w:val="00AF61EB"/>
    <w:rsid w:val="00AF62F8"/>
    <w:rsid w:val="00AF62FA"/>
    <w:rsid w:val="00AF6444"/>
    <w:rsid w:val="00AF65F4"/>
    <w:rsid w:val="00AF68E7"/>
    <w:rsid w:val="00B00524"/>
    <w:rsid w:val="00B00918"/>
    <w:rsid w:val="00B00F79"/>
    <w:rsid w:val="00B018BF"/>
    <w:rsid w:val="00B0262D"/>
    <w:rsid w:val="00B0265C"/>
    <w:rsid w:val="00B02F6E"/>
    <w:rsid w:val="00B03D1A"/>
    <w:rsid w:val="00B03F2B"/>
    <w:rsid w:val="00B03F7B"/>
    <w:rsid w:val="00B044AB"/>
    <w:rsid w:val="00B04841"/>
    <w:rsid w:val="00B04E0A"/>
    <w:rsid w:val="00B055A9"/>
    <w:rsid w:val="00B056BB"/>
    <w:rsid w:val="00B057C1"/>
    <w:rsid w:val="00B0589B"/>
    <w:rsid w:val="00B05D50"/>
    <w:rsid w:val="00B0615C"/>
    <w:rsid w:val="00B06436"/>
    <w:rsid w:val="00B068F5"/>
    <w:rsid w:val="00B06F28"/>
    <w:rsid w:val="00B072C7"/>
    <w:rsid w:val="00B074D0"/>
    <w:rsid w:val="00B10314"/>
    <w:rsid w:val="00B11213"/>
    <w:rsid w:val="00B116C4"/>
    <w:rsid w:val="00B11782"/>
    <w:rsid w:val="00B1198F"/>
    <w:rsid w:val="00B119FB"/>
    <w:rsid w:val="00B12597"/>
    <w:rsid w:val="00B1265D"/>
    <w:rsid w:val="00B127BB"/>
    <w:rsid w:val="00B12B6D"/>
    <w:rsid w:val="00B12CFC"/>
    <w:rsid w:val="00B13262"/>
    <w:rsid w:val="00B13269"/>
    <w:rsid w:val="00B132BD"/>
    <w:rsid w:val="00B1331E"/>
    <w:rsid w:val="00B1337F"/>
    <w:rsid w:val="00B13684"/>
    <w:rsid w:val="00B13B39"/>
    <w:rsid w:val="00B13B78"/>
    <w:rsid w:val="00B1523C"/>
    <w:rsid w:val="00B152D5"/>
    <w:rsid w:val="00B159C2"/>
    <w:rsid w:val="00B16026"/>
    <w:rsid w:val="00B16425"/>
    <w:rsid w:val="00B1648A"/>
    <w:rsid w:val="00B164F9"/>
    <w:rsid w:val="00B16A73"/>
    <w:rsid w:val="00B16B0D"/>
    <w:rsid w:val="00B1718F"/>
    <w:rsid w:val="00B17755"/>
    <w:rsid w:val="00B20037"/>
    <w:rsid w:val="00B2003A"/>
    <w:rsid w:val="00B208A3"/>
    <w:rsid w:val="00B208AB"/>
    <w:rsid w:val="00B20D70"/>
    <w:rsid w:val="00B211CA"/>
    <w:rsid w:val="00B214AA"/>
    <w:rsid w:val="00B21D7B"/>
    <w:rsid w:val="00B22326"/>
    <w:rsid w:val="00B22FB6"/>
    <w:rsid w:val="00B2367F"/>
    <w:rsid w:val="00B23B32"/>
    <w:rsid w:val="00B23EF6"/>
    <w:rsid w:val="00B24161"/>
    <w:rsid w:val="00B24670"/>
    <w:rsid w:val="00B24B1B"/>
    <w:rsid w:val="00B24B65"/>
    <w:rsid w:val="00B24D1F"/>
    <w:rsid w:val="00B25061"/>
    <w:rsid w:val="00B254D8"/>
    <w:rsid w:val="00B25A84"/>
    <w:rsid w:val="00B25C64"/>
    <w:rsid w:val="00B26740"/>
    <w:rsid w:val="00B267F8"/>
    <w:rsid w:val="00B27868"/>
    <w:rsid w:val="00B3026F"/>
    <w:rsid w:val="00B30770"/>
    <w:rsid w:val="00B307B2"/>
    <w:rsid w:val="00B30B3A"/>
    <w:rsid w:val="00B30B83"/>
    <w:rsid w:val="00B32D71"/>
    <w:rsid w:val="00B32FE9"/>
    <w:rsid w:val="00B33692"/>
    <w:rsid w:val="00B33B3E"/>
    <w:rsid w:val="00B33CD8"/>
    <w:rsid w:val="00B34EB6"/>
    <w:rsid w:val="00B35316"/>
    <w:rsid w:val="00B3624D"/>
    <w:rsid w:val="00B368DC"/>
    <w:rsid w:val="00B3696B"/>
    <w:rsid w:val="00B37AA9"/>
    <w:rsid w:val="00B37F0C"/>
    <w:rsid w:val="00B40668"/>
    <w:rsid w:val="00B4083A"/>
    <w:rsid w:val="00B40DCE"/>
    <w:rsid w:val="00B412BA"/>
    <w:rsid w:val="00B4155D"/>
    <w:rsid w:val="00B4167E"/>
    <w:rsid w:val="00B418C5"/>
    <w:rsid w:val="00B42A96"/>
    <w:rsid w:val="00B42C2A"/>
    <w:rsid w:val="00B43013"/>
    <w:rsid w:val="00B431B2"/>
    <w:rsid w:val="00B4401D"/>
    <w:rsid w:val="00B449A7"/>
    <w:rsid w:val="00B44B94"/>
    <w:rsid w:val="00B44DD9"/>
    <w:rsid w:val="00B45093"/>
    <w:rsid w:val="00B452D2"/>
    <w:rsid w:val="00B454F8"/>
    <w:rsid w:val="00B45E49"/>
    <w:rsid w:val="00B465DE"/>
    <w:rsid w:val="00B46780"/>
    <w:rsid w:val="00B467CF"/>
    <w:rsid w:val="00B468CD"/>
    <w:rsid w:val="00B47040"/>
    <w:rsid w:val="00B473E7"/>
    <w:rsid w:val="00B47484"/>
    <w:rsid w:val="00B47E0E"/>
    <w:rsid w:val="00B50172"/>
    <w:rsid w:val="00B5045E"/>
    <w:rsid w:val="00B5076B"/>
    <w:rsid w:val="00B507DD"/>
    <w:rsid w:val="00B50837"/>
    <w:rsid w:val="00B50A3E"/>
    <w:rsid w:val="00B5127B"/>
    <w:rsid w:val="00B51398"/>
    <w:rsid w:val="00B5214A"/>
    <w:rsid w:val="00B526EB"/>
    <w:rsid w:val="00B52ECE"/>
    <w:rsid w:val="00B52F4E"/>
    <w:rsid w:val="00B52F6B"/>
    <w:rsid w:val="00B532A6"/>
    <w:rsid w:val="00B53661"/>
    <w:rsid w:val="00B53B7C"/>
    <w:rsid w:val="00B5479F"/>
    <w:rsid w:val="00B549FD"/>
    <w:rsid w:val="00B54D82"/>
    <w:rsid w:val="00B5512C"/>
    <w:rsid w:val="00B5551E"/>
    <w:rsid w:val="00B5560F"/>
    <w:rsid w:val="00B55B04"/>
    <w:rsid w:val="00B55C5B"/>
    <w:rsid w:val="00B56476"/>
    <w:rsid w:val="00B56E6D"/>
    <w:rsid w:val="00B56EB7"/>
    <w:rsid w:val="00B570B2"/>
    <w:rsid w:val="00B577EF"/>
    <w:rsid w:val="00B57A6F"/>
    <w:rsid w:val="00B57A9D"/>
    <w:rsid w:val="00B57B39"/>
    <w:rsid w:val="00B57EE9"/>
    <w:rsid w:val="00B60487"/>
    <w:rsid w:val="00B6061D"/>
    <w:rsid w:val="00B60BB9"/>
    <w:rsid w:val="00B623C2"/>
    <w:rsid w:val="00B623CB"/>
    <w:rsid w:val="00B62765"/>
    <w:rsid w:val="00B628B9"/>
    <w:rsid w:val="00B6292B"/>
    <w:rsid w:val="00B62DDE"/>
    <w:rsid w:val="00B63076"/>
    <w:rsid w:val="00B630E6"/>
    <w:rsid w:val="00B63475"/>
    <w:rsid w:val="00B6349A"/>
    <w:rsid w:val="00B63AF1"/>
    <w:rsid w:val="00B63BD2"/>
    <w:rsid w:val="00B64647"/>
    <w:rsid w:val="00B649CE"/>
    <w:rsid w:val="00B64B7E"/>
    <w:rsid w:val="00B64F10"/>
    <w:rsid w:val="00B6555D"/>
    <w:rsid w:val="00B659B1"/>
    <w:rsid w:val="00B661AC"/>
    <w:rsid w:val="00B6640E"/>
    <w:rsid w:val="00B665C6"/>
    <w:rsid w:val="00B66D59"/>
    <w:rsid w:val="00B66D92"/>
    <w:rsid w:val="00B66FF8"/>
    <w:rsid w:val="00B67CE9"/>
    <w:rsid w:val="00B67E35"/>
    <w:rsid w:val="00B67E8B"/>
    <w:rsid w:val="00B67FE7"/>
    <w:rsid w:val="00B70035"/>
    <w:rsid w:val="00B700B0"/>
    <w:rsid w:val="00B70281"/>
    <w:rsid w:val="00B709E4"/>
    <w:rsid w:val="00B7171B"/>
    <w:rsid w:val="00B719C7"/>
    <w:rsid w:val="00B72065"/>
    <w:rsid w:val="00B72328"/>
    <w:rsid w:val="00B728E0"/>
    <w:rsid w:val="00B72C36"/>
    <w:rsid w:val="00B73BD7"/>
    <w:rsid w:val="00B745E4"/>
    <w:rsid w:val="00B7470E"/>
    <w:rsid w:val="00B753F4"/>
    <w:rsid w:val="00B75A66"/>
    <w:rsid w:val="00B76092"/>
    <w:rsid w:val="00B760A5"/>
    <w:rsid w:val="00B760B8"/>
    <w:rsid w:val="00B76451"/>
    <w:rsid w:val="00B76585"/>
    <w:rsid w:val="00B76BDF"/>
    <w:rsid w:val="00B773FE"/>
    <w:rsid w:val="00B77475"/>
    <w:rsid w:val="00B7752E"/>
    <w:rsid w:val="00B77C76"/>
    <w:rsid w:val="00B77F7D"/>
    <w:rsid w:val="00B801C5"/>
    <w:rsid w:val="00B813A4"/>
    <w:rsid w:val="00B8146A"/>
    <w:rsid w:val="00B8151F"/>
    <w:rsid w:val="00B8250D"/>
    <w:rsid w:val="00B82927"/>
    <w:rsid w:val="00B82FDB"/>
    <w:rsid w:val="00B83A4B"/>
    <w:rsid w:val="00B84084"/>
    <w:rsid w:val="00B84646"/>
    <w:rsid w:val="00B84648"/>
    <w:rsid w:val="00B84C5B"/>
    <w:rsid w:val="00B84DC3"/>
    <w:rsid w:val="00B854E2"/>
    <w:rsid w:val="00B859CF"/>
    <w:rsid w:val="00B85F91"/>
    <w:rsid w:val="00B86239"/>
    <w:rsid w:val="00B8660E"/>
    <w:rsid w:val="00B876C6"/>
    <w:rsid w:val="00B877E7"/>
    <w:rsid w:val="00B87CB5"/>
    <w:rsid w:val="00B900BF"/>
    <w:rsid w:val="00B90484"/>
    <w:rsid w:val="00B90743"/>
    <w:rsid w:val="00B908B8"/>
    <w:rsid w:val="00B90ABB"/>
    <w:rsid w:val="00B90EF4"/>
    <w:rsid w:val="00B91401"/>
    <w:rsid w:val="00B91919"/>
    <w:rsid w:val="00B92638"/>
    <w:rsid w:val="00B93238"/>
    <w:rsid w:val="00B93255"/>
    <w:rsid w:val="00B93ED2"/>
    <w:rsid w:val="00B9439F"/>
    <w:rsid w:val="00B94407"/>
    <w:rsid w:val="00B94D36"/>
    <w:rsid w:val="00B94FDB"/>
    <w:rsid w:val="00B950F7"/>
    <w:rsid w:val="00B951C7"/>
    <w:rsid w:val="00B953E4"/>
    <w:rsid w:val="00B95514"/>
    <w:rsid w:val="00B9608D"/>
    <w:rsid w:val="00B970B4"/>
    <w:rsid w:val="00B97114"/>
    <w:rsid w:val="00B972CF"/>
    <w:rsid w:val="00B978B9"/>
    <w:rsid w:val="00B97F7C"/>
    <w:rsid w:val="00BA0078"/>
    <w:rsid w:val="00BA02B7"/>
    <w:rsid w:val="00BA04DA"/>
    <w:rsid w:val="00BA09CF"/>
    <w:rsid w:val="00BA09FB"/>
    <w:rsid w:val="00BA0E12"/>
    <w:rsid w:val="00BA0E4E"/>
    <w:rsid w:val="00BA1348"/>
    <w:rsid w:val="00BA13DF"/>
    <w:rsid w:val="00BA172A"/>
    <w:rsid w:val="00BA1D69"/>
    <w:rsid w:val="00BA1E51"/>
    <w:rsid w:val="00BA2837"/>
    <w:rsid w:val="00BA2AAD"/>
    <w:rsid w:val="00BA3247"/>
    <w:rsid w:val="00BA326E"/>
    <w:rsid w:val="00BA3E12"/>
    <w:rsid w:val="00BA40E2"/>
    <w:rsid w:val="00BA4165"/>
    <w:rsid w:val="00BA4197"/>
    <w:rsid w:val="00BA44D3"/>
    <w:rsid w:val="00BA47A4"/>
    <w:rsid w:val="00BA4A5A"/>
    <w:rsid w:val="00BA4D49"/>
    <w:rsid w:val="00BA5317"/>
    <w:rsid w:val="00BA559F"/>
    <w:rsid w:val="00BA6469"/>
    <w:rsid w:val="00BA6D17"/>
    <w:rsid w:val="00BA7397"/>
    <w:rsid w:val="00BA74B7"/>
    <w:rsid w:val="00BA7518"/>
    <w:rsid w:val="00BA756D"/>
    <w:rsid w:val="00BA7937"/>
    <w:rsid w:val="00BA7FB4"/>
    <w:rsid w:val="00BB0075"/>
    <w:rsid w:val="00BB0BD1"/>
    <w:rsid w:val="00BB0D8D"/>
    <w:rsid w:val="00BB16BC"/>
    <w:rsid w:val="00BB192E"/>
    <w:rsid w:val="00BB221D"/>
    <w:rsid w:val="00BB2326"/>
    <w:rsid w:val="00BB2395"/>
    <w:rsid w:val="00BB23EA"/>
    <w:rsid w:val="00BB28A8"/>
    <w:rsid w:val="00BB2A7A"/>
    <w:rsid w:val="00BB2C9A"/>
    <w:rsid w:val="00BB4414"/>
    <w:rsid w:val="00BB4DB8"/>
    <w:rsid w:val="00BB617D"/>
    <w:rsid w:val="00BB6365"/>
    <w:rsid w:val="00BB7179"/>
    <w:rsid w:val="00BB71EB"/>
    <w:rsid w:val="00BB7578"/>
    <w:rsid w:val="00BB7714"/>
    <w:rsid w:val="00BB77A9"/>
    <w:rsid w:val="00BB7EB9"/>
    <w:rsid w:val="00BB7EBF"/>
    <w:rsid w:val="00BC0394"/>
    <w:rsid w:val="00BC0B7D"/>
    <w:rsid w:val="00BC1311"/>
    <w:rsid w:val="00BC190E"/>
    <w:rsid w:val="00BC19E3"/>
    <w:rsid w:val="00BC1C1D"/>
    <w:rsid w:val="00BC1C53"/>
    <w:rsid w:val="00BC3235"/>
    <w:rsid w:val="00BC3501"/>
    <w:rsid w:val="00BC530D"/>
    <w:rsid w:val="00BC5408"/>
    <w:rsid w:val="00BC5602"/>
    <w:rsid w:val="00BC58BA"/>
    <w:rsid w:val="00BC5B03"/>
    <w:rsid w:val="00BC5FC8"/>
    <w:rsid w:val="00BC6029"/>
    <w:rsid w:val="00BC606D"/>
    <w:rsid w:val="00BC62ED"/>
    <w:rsid w:val="00BC630A"/>
    <w:rsid w:val="00BC64A1"/>
    <w:rsid w:val="00BC6C6D"/>
    <w:rsid w:val="00BC6F0B"/>
    <w:rsid w:val="00BC70BB"/>
    <w:rsid w:val="00BC7327"/>
    <w:rsid w:val="00BC7BD3"/>
    <w:rsid w:val="00BD0535"/>
    <w:rsid w:val="00BD08FB"/>
    <w:rsid w:val="00BD16D3"/>
    <w:rsid w:val="00BD1819"/>
    <w:rsid w:val="00BD18CA"/>
    <w:rsid w:val="00BD1A25"/>
    <w:rsid w:val="00BD20BE"/>
    <w:rsid w:val="00BD2A6B"/>
    <w:rsid w:val="00BD306D"/>
    <w:rsid w:val="00BD3085"/>
    <w:rsid w:val="00BD3597"/>
    <w:rsid w:val="00BD3D8B"/>
    <w:rsid w:val="00BD415B"/>
    <w:rsid w:val="00BD48BA"/>
    <w:rsid w:val="00BD4BE8"/>
    <w:rsid w:val="00BD4EDA"/>
    <w:rsid w:val="00BD50B9"/>
    <w:rsid w:val="00BD58F9"/>
    <w:rsid w:val="00BD5F05"/>
    <w:rsid w:val="00BD6A98"/>
    <w:rsid w:val="00BD7B23"/>
    <w:rsid w:val="00BD7E2B"/>
    <w:rsid w:val="00BD7EE1"/>
    <w:rsid w:val="00BE03B5"/>
    <w:rsid w:val="00BE0510"/>
    <w:rsid w:val="00BE0523"/>
    <w:rsid w:val="00BE073C"/>
    <w:rsid w:val="00BE0817"/>
    <w:rsid w:val="00BE0A89"/>
    <w:rsid w:val="00BE1456"/>
    <w:rsid w:val="00BE14BB"/>
    <w:rsid w:val="00BE17CB"/>
    <w:rsid w:val="00BE24B7"/>
    <w:rsid w:val="00BE27C3"/>
    <w:rsid w:val="00BE2AF6"/>
    <w:rsid w:val="00BE3361"/>
    <w:rsid w:val="00BE35A7"/>
    <w:rsid w:val="00BE37E2"/>
    <w:rsid w:val="00BE3A20"/>
    <w:rsid w:val="00BE3CA1"/>
    <w:rsid w:val="00BE48DA"/>
    <w:rsid w:val="00BE4C8C"/>
    <w:rsid w:val="00BE54D8"/>
    <w:rsid w:val="00BE5CE6"/>
    <w:rsid w:val="00BE6B45"/>
    <w:rsid w:val="00BE7036"/>
    <w:rsid w:val="00BE727B"/>
    <w:rsid w:val="00BE74C7"/>
    <w:rsid w:val="00BE7B70"/>
    <w:rsid w:val="00BF0103"/>
    <w:rsid w:val="00BF089A"/>
    <w:rsid w:val="00BF0EA1"/>
    <w:rsid w:val="00BF1031"/>
    <w:rsid w:val="00BF13B4"/>
    <w:rsid w:val="00BF181A"/>
    <w:rsid w:val="00BF1DED"/>
    <w:rsid w:val="00BF1F44"/>
    <w:rsid w:val="00BF25A4"/>
    <w:rsid w:val="00BF2BAE"/>
    <w:rsid w:val="00BF2BD5"/>
    <w:rsid w:val="00BF2C3D"/>
    <w:rsid w:val="00BF2C7C"/>
    <w:rsid w:val="00BF2F65"/>
    <w:rsid w:val="00BF34B1"/>
    <w:rsid w:val="00BF3F7F"/>
    <w:rsid w:val="00BF480F"/>
    <w:rsid w:val="00BF4AFD"/>
    <w:rsid w:val="00BF5521"/>
    <w:rsid w:val="00BF568C"/>
    <w:rsid w:val="00BF5D32"/>
    <w:rsid w:val="00BF5DF9"/>
    <w:rsid w:val="00BF63EF"/>
    <w:rsid w:val="00BF6530"/>
    <w:rsid w:val="00BF6776"/>
    <w:rsid w:val="00BF6BD8"/>
    <w:rsid w:val="00BF7021"/>
    <w:rsid w:val="00BF721F"/>
    <w:rsid w:val="00C00BE3"/>
    <w:rsid w:val="00C013BB"/>
    <w:rsid w:val="00C0153C"/>
    <w:rsid w:val="00C0160E"/>
    <w:rsid w:val="00C01829"/>
    <w:rsid w:val="00C01ABA"/>
    <w:rsid w:val="00C01DB5"/>
    <w:rsid w:val="00C01E44"/>
    <w:rsid w:val="00C02043"/>
    <w:rsid w:val="00C02BFC"/>
    <w:rsid w:val="00C02F36"/>
    <w:rsid w:val="00C031B4"/>
    <w:rsid w:val="00C03A7F"/>
    <w:rsid w:val="00C03A98"/>
    <w:rsid w:val="00C04222"/>
    <w:rsid w:val="00C0485B"/>
    <w:rsid w:val="00C049F2"/>
    <w:rsid w:val="00C04F50"/>
    <w:rsid w:val="00C04F71"/>
    <w:rsid w:val="00C0553E"/>
    <w:rsid w:val="00C05617"/>
    <w:rsid w:val="00C05668"/>
    <w:rsid w:val="00C056EA"/>
    <w:rsid w:val="00C05F53"/>
    <w:rsid w:val="00C05F6B"/>
    <w:rsid w:val="00C06073"/>
    <w:rsid w:val="00C06354"/>
    <w:rsid w:val="00C0669F"/>
    <w:rsid w:val="00C067DF"/>
    <w:rsid w:val="00C06942"/>
    <w:rsid w:val="00C06C52"/>
    <w:rsid w:val="00C06CE6"/>
    <w:rsid w:val="00C06EB7"/>
    <w:rsid w:val="00C06F04"/>
    <w:rsid w:val="00C06FB6"/>
    <w:rsid w:val="00C075DD"/>
    <w:rsid w:val="00C079DD"/>
    <w:rsid w:val="00C07FF1"/>
    <w:rsid w:val="00C10083"/>
    <w:rsid w:val="00C10290"/>
    <w:rsid w:val="00C10B80"/>
    <w:rsid w:val="00C10F82"/>
    <w:rsid w:val="00C1150D"/>
    <w:rsid w:val="00C1177C"/>
    <w:rsid w:val="00C124DD"/>
    <w:rsid w:val="00C1292E"/>
    <w:rsid w:val="00C12A13"/>
    <w:rsid w:val="00C133A1"/>
    <w:rsid w:val="00C13527"/>
    <w:rsid w:val="00C1406B"/>
    <w:rsid w:val="00C14D9E"/>
    <w:rsid w:val="00C151DA"/>
    <w:rsid w:val="00C15476"/>
    <w:rsid w:val="00C15742"/>
    <w:rsid w:val="00C15B00"/>
    <w:rsid w:val="00C169A5"/>
    <w:rsid w:val="00C16A99"/>
    <w:rsid w:val="00C16DDE"/>
    <w:rsid w:val="00C16EF0"/>
    <w:rsid w:val="00C17789"/>
    <w:rsid w:val="00C1780C"/>
    <w:rsid w:val="00C1782C"/>
    <w:rsid w:val="00C20860"/>
    <w:rsid w:val="00C20F24"/>
    <w:rsid w:val="00C21568"/>
    <w:rsid w:val="00C2199F"/>
    <w:rsid w:val="00C2204E"/>
    <w:rsid w:val="00C221A0"/>
    <w:rsid w:val="00C221EC"/>
    <w:rsid w:val="00C2248C"/>
    <w:rsid w:val="00C22C6D"/>
    <w:rsid w:val="00C22CF4"/>
    <w:rsid w:val="00C230DA"/>
    <w:rsid w:val="00C23CA6"/>
    <w:rsid w:val="00C24475"/>
    <w:rsid w:val="00C2466F"/>
    <w:rsid w:val="00C24E81"/>
    <w:rsid w:val="00C2513A"/>
    <w:rsid w:val="00C256DE"/>
    <w:rsid w:val="00C2694E"/>
    <w:rsid w:val="00C26F16"/>
    <w:rsid w:val="00C27315"/>
    <w:rsid w:val="00C27A01"/>
    <w:rsid w:val="00C27DB5"/>
    <w:rsid w:val="00C300EF"/>
    <w:rsid w:val="00C30753"/>
    <w:rsid w:val="00C30C1D"/>
    <w:rsid w:val="00C30CFA"/>
    <w:rsid w:val="00C31472"/>
    <w:rsid w:val="00C31BAA"/>
    <w:rsid w:val="00C31CBE"/>
    <w:rsid w:val="00C32038"/>
    <w:rsid w:val="00C322EE"/>
    <w:rsid w:val="00C32D60"/>
    <w:rsid w:val="00C330B4"/>
    <w:rsid w:val="00C3348F"/>
    <w:rsid w:val="00C343C7"/>
    <w:rsid w:val="00C34A9E"/>
    <w:rsid w:val="00C35351"/>
    <w:rsid w:val="00C355E1"/>
    <w:rsid w:val="00C35B63"/>
    <w:rsid w:val="00C36207"/>
    <w:rsid w:val="00C36920"/>
    <w:rsid w:val="00C36D3B"/>
    <w:rsid w:val="00C37553"/>
    <w:rsid w:val="00C3764A"/>
    <w:rsid w:val="00C37EB1"/>
    <w:rsid w:val="00C4029D"/>
    <w:rsid w:val="00C405A3"/>
    <w:rsid w:val="00C40826"/>
    <w:rsid w:val="00C40AE5"/>
    <w:rsid w:val="00C40AEC"/>
    <w:rsid w:val="00C40B05"/>
    <w:rsid w:val="00C411A2"/>
    <w:rsid w:val="00C41456"/>
    <w:rsid w:val="00C418C4"/>
    <w:rsid w:val="00C41A27"/>
    <w:rsid w:val="00C42038"/>
    <w:rsid w:val="00C42712"/>
    <w:rsid w:val="00C43488"/>
    <w:rsid w:val="00C4393B"/>
    <w:rsid w:val="00C439CB"/>
    <w:rsid w:val="00C43A08"/>
    <w:rsid w:val="00C4433D"/>
    <w:rsid w:val="00C44362"/>
    <w:rsid w:val="00C44455"/>
    <w:rsid w:val="00C45E76"/>
    <w:rsid w:val="00C4652B"/>
    <w:rsid w:val="00C46FD6"/>
    <w:rsid w:val="00C4711D"/>
    <w:rsid w:val="00C47940"/>
    <w:rsid w:val="00C47A6F"/>
    <w:rsid w:val="00C47C44"/>
    <w:rsid w:val="00C47DA9"/>
    <w:rsid w:val="00C504E9"/>
    <w:rsid w:val="00C5083C"/>
    <w:rsid w:val="00C50AB8"/>
    <w:rsid w:val="00C50D82"/>
    <w:rsid w:val="00C50EDE"/>
    <w:rsid w:val="00C51487"/>
    <w:rsid w:val="00C514BC"/>
    <w:rsid w:val="00C5178B"/>
    <w:rsid w:val="00C51A7C"/>
    <w:rsid w:val="00C51DAC"/>
    <w:rsid w:val="00C51FC8"/>
    <w:rsid w:val="00C52081"/>
    <w:rsid w:val="00C52124"/>
    <w:rsid w:val="00C52554"/>
    <w:rsid w:val="00C5264B"/>
    <w:rsid w:val="00C526C3"/>
    <w:rsid w:val="00C5271E"/>
    <w:rsid w:val="00C5295D"/>
    <w:rsid w:val="00C529FC"/>
    <w:rsid w:val="00C53351"/>
    <w:rsid w:val="00C53388"/>
    <w:rsid w:val="00C53828"/>
    <w:rsid w:val="00C53E93"/>
    <w:rsid w:val="00C54146"/>
    <w:rsid w:val="00C54827"/>
    <w:rsid w:val="00C54B04"/>
    <w:rsid w:val="00C54D7F"/>
    <w:rsid w:val="00C55261"/>
    <w:rsid w:val="00C5559F"/>
    <w:rsid w:val="00C558B2"/>
    <w:rsid w:val="00C56F2B"/>
    <w:rsid w:val="00C57100"/>
    <w:rsid w:val="00C5772E"/>
    <w:rsid w:val="00C60337"/>
    <w:rsid w:val="00C60E86"/>
    <w:rsid w:val="00C6102E"/>
    <w:rsid w:val="00C61694"/>
    <w:rsid w:val="00C62065"/>
    <w:rsid w:val="00C62CDF"/>
    <w:rsid w:val="00C632A7"/>
    <w:rsid w:val="00C6385B"/>
    <w:rsid w:val="00C63E72"/>
    <w:rsid w:val="00C64369"/>
    <w:rsid w:val="00C648FB"/>
    <w:rsid w:val="00C6543E"/>
    <w:rsid w:val="00C66213"/>
    <w:rsid w:val="00C66FDA"/>
    <w:rsid w:val="00C674C6"/>
    <w:rsid w:val="00C67C7D"/>
    <w:rsid w:val="00C67E7D"/>
    <w:rsid w:val="00C708A1"/>
    <w:rsid w:val="00C70C04"/>
    <w:rsid w:val="00C71388"/>
    <w:rsid w:val="00C713AF"/>
    <w:rsid w:val="00C7178B"/>
    <w:rsid w:val="00C72638"/>
    <w:rsid w:val="00C72A39"/>
    <w:rsid w:val="00C7376C"/>
    <w:rsid w:val="00C73A37"/>
    <w:rsid w:val="00C742AD"/>
    <w:rsid w:val="00C74553"/>
    <w:rsid w:val="00C74759"/>
    <w:rsid w:val="00C74D3B"/>
    <w:rsid w:val="00C7508D"/>
    <w:rsid w:val="00C752E3"/>
    <w:rsid w:val="00C75965"/>
    <w:rsid w:val="00C75C3C"/>
    <w:rsid w:val="00C7660C"/>
    <w:rsid w:val="00C76792"/>
    <w:rsid w:val="00C76823"/>
    <w:rsid w:val="00C77211"/>
    <w:rsid w:val="00C77983"/>
    <w:rsid w:val="00C80172"/>
    <w:rsid w:val="00C80432"/>
    <w:rsid w:val="00C80566"/>
    <w:rsid w:val="00C806C4"/>
    <w:rsid w:val="00C80A3E"/>
    <w:rsid w:val="00C80F53"/>
    <w:rsid w:val="00C812EB"/>
    <w:rsid w:val="00C813BB"/>
    <w:rsid w:val="00C8170C"/>
    <w:rsid w:val="00C8198D"/>
    <w:rsid w:val="00C81FC5"/>
    <w:rsid w:val="00C826B0"/>
    <w:rsid w:val="00C82808"/>
    <w:rsid w:val="00C8280F"/>
    <w:rsid w:val="00C82AA1"/>
    <w:rsid w:val="00C82AF1"/>
    <w:rsid w:val="00C82E03"/>
    <w:rsid w:val="00C82F16"/>
    <w:rsid w:val="00C8355B"/>
    <w:rsid w:val="00C83969"/>
    <w:rsid w:val="00C83A50"/>
    <w:rsid w:val="00C83BE6"/>
    <w:rsid w:val="00C84252"/>
    <w:rsid w:val="00C84BEA"/>
    <w:rsid w:val="00C85203"/>
    <w:rsid w:val="00C8538F"/>
    <w:rsid w:val="00C85636"/>
    <w:rsid w:val="00C85C18"/>
    <w:rsid w:val="00C863CC"/>
    <w:rsid w:val="00C864B0"/>
    <w:rsid w:val="00C8678D"/>
    <w:rsid w:val="00C867EF"/>
    <w:rsid w:val="00C86B58"/>
    <w:rsid w:val="00C86C86"/>
    <w:rsid w:val="00C87887"/>
    <w:rsid w:val="00C87B35"/>
    <w:rsid w:val="00C87FAA"/>
    <w:rsid w:val="00C87FC0"/>
    <w:rsid w:val="00C90961"/>
    <w:rsid w:val="00C90C09"/>
    <w:rsid w:val="00C90E43"/>
    <w:rsid w:val="00C911EB"/>
    <w:rsid w:val="00C912E0"/>
    <w:rsid w:val="00C91B36"/>
    <w:rsid w:val="00C92081"/>
    <w:rsid w:val="00C92370"/>
    <w:rsid w:val="00C92810"/>
    <w:rsid w:val="00C928E9"/>
    <w:rsid w:val="00C9297B"/>
    <w:rsid w:val="00C92C88"/>
    <w:rsid w:val="00C92CDA"/>
    <w:rsid w:val="00C92EE9"/>
    <w:rsid w:val="00C933B0"/>
    <w:rsid w:val="00C93474"/>
    <w:rsid w:val="00C934B5"/>
    <w:rsid w:val="00C9382E"/>
    <w:rsid w:val="00C9383E"/>
    <w:rsid w:val="00C93B65"/>
    <w:rsid w:val="00C93EEB"/>
    <w:rsid w:val="00C9417E"/>
    <w:rsid w:val="00C94BFB"/>
    <w:rsid w:val="00C95830"/>
    <w:rsid w:val="00C95C68"/>
    <w:rsid w:val="00C95F4C"/>
    <w:rsid w:val="00C96033"/>
    <w:rsid w:val="00C9628A"/>
    <w:rsid w:val="00C965F7"/>
    <w:rsid w:val="00C969AE"/>
    <w:rsid w:val="00C96CA4"/>
    <w:rsid w:val="00C972EA"/>
    <w:rsid w:val="00C97940"/>
    <w:rsid w:val="00C97A90"/>
    <w:rsid w:val="00C97EEA"/>
    <w:rsid w:val="00CA0216"/>
    <w:rsid w:val="00CA03D7"/>
    <w:rsid w:val="00CA0F1D"/>
    <w:rsid w:val="00CA1361"/>
    <w:rsid w:val="00CA15FB"/>
    <w:rsid w:val="00CA174F"/>
    <w:rsid w:val="00CA1C57"/>
    <w:rsid w:val="00CA2CB1"/>
    <w:rsid w:val="00CA2D1D"/>
    <w:rsid w:val="00CA3696"/>
    <w:rsid w:val="00CA391E"/>
    <w:rsid w:val="00CA3BE2"/>
    <w:rsid w:val="00CA405B"/>
    <w:rsid w:val="00CA4541"/>
    <w:rsid w:val="00CA4BBF"/>
    <w:rsid w:val="00CA4BE8"/>
    <w:rsid w:val="00CA57C1"/>
    <w:rsid w:val="00CA5898"/>
    <w:rsid w:val="00CA6A62"/>
    <w:rsid w:val="00CA7071"/>
    <w:rsid w:val="00CA71F5"/>
    <w:rsid w:val="00CA787E"/>
    <w:rsid w:val="00CA78D7"/>
    <w:rsid w:val="00CA7B92"/>
    <w:rsid w:val="00CB0451"/>
    <w:rsid w:val="00CB08FD"/>
    <w:rsid w:val="00CB0FE2"/>
    <w:rsid w:val="00CB13C8"/>
    <w:rsid w:val="00CB1751"/>
    <w:rsid w:val="00CB1CF7"/>
    <w:rsid w:val="00CB283A"/>
    <w:rsid w:val="00CB28EE"/>
    <w:rsid w:val="00CB290E"/>
    <w:rsid w:val="00CB37FB"/>
    <w:rsid w:val="00CB382D"/>
    <w:rsid w:val="00CB39DC"/>
    <w:rsid w:val="00CB3B88"/>
    <w:rsid w:val="00CB4041"/>
    <w:rsid w:val="00CB4403"/>
    <w:rsid w:val="00CB4486"/>
    <w:rsid w:val="00CB4B1B"/>
    <w:rsid w:val="00CB4F7F"/>
    <w:rsid w:val="00CB55A4"/>
    <w:rsid w:val="00CB5C16"/>
    <w:rsid w:val="00CB601D"/>
    <w:rsid w:val="00CB66B5"/>
    <w:rsid w:val="00CB712C"/>
    <w:rsid w:val="00CB741E"/>
    <w:rsid w:val="00CB7BD1"/>
    <w:rsid w:val="00CC0122"/>
    <w:rsid w:val="00CC057A"/>
    <w:rsid w:val="00CC0596"/>
    <w:rsid w:val="00CC0D67"/>
    <w:rsid w:val="00CC0DFF"/>
    <w:rsid w:val="00CC105B"/>
    <w:rsid w:val="00CC2140"/>
    <w:rsid w:val="00CC24D7"/>
    <w:rsid w:val="00CC343B"/>
    <w:rsid w:val="00CC36B7"/>
    <w:rsid w:val="00CC36FD"/>
    <w:rsid w:val="00CC49AB"/>
    <w:rsid w:val="00CC5484"/>
    <w:rsid w:val="00CC54C0"/>
    <w:rsid w:val="00CC5DFB"/>
    <w:rsid w:val="00CC60A6"/>
    <w:rsid w:val="00CC62F4"/>
    <w:rsid w:val="00CC6596"/>
    <w:rsid w:val="00CC71B5"/>
    <w:rsid w:val="00CC7C79"/>
    <w:rsid w:val="00CD006F"/>
    <w:rsid w:val="00CD02AD"/>
    <w:rsid w:val="00CD0B88"/>
    <w:rsid w:val="00CD14F3"/>
    <w:rsid w:val="00CD1779"/>
    <w:rsid w:val="00CD1A24"/>
    <w:rsid w:val="00CD1BF1"/>
    <w:rsid w:val="00CD1CB4"/>
    <w:rsid w:val="00CD239C"/>
    <w:rsid w:val="00CD24EB"/>
    <w:rsid w:val="00CD2792"/>
    <w:rsid w:val="00CD2B9B"/>
    <w:rsid w:val="00CD2DE1"/>
    <w:rsid w:val="00CD315F"/>
    <w:rsid w:val="00CD35D5"/>
    <w:rsid w:val="00CD3921"/>
    <w:rsid w:val="00CD3F54"/>
    <w:rsid w:val="00CD4651"/>
    <w:rsid w:val="00CD489A"/>
    <w:rsid w:val="00CD4BA3"/>
    <w:rsid w:val="00CD4DD5"/>
    <w:rsid w:val="00CD5290"/>
    <w:rsid w:val="00CD554F"/>
    <w:rsid w:val="00CD559C"/>
    <w:rsid w:val="00CD7333"/>
    <w:rsid w:val="00CD7685"/>
    <w:rsid w:val="00CD775B"/>
    <w:rsid w:val="00CD7A71"/>
    <w:rsid w:val="00CD7B1F"/>
    <w:rsid w:val="00CE0D51"/>
    <w:rsid w:val="00CE0F21"/>
    <w:rsid w:val="00CE169C"/>
    <w:rsid w:val="00CE1CE2"/>
    <w:rsid w:val="00CE28CA"/>
    <w:rsid w:val="00CE2FE0"/>
    <w:rsid w:val="00CE46F6"/>
    <w:rsid w:val="00CE4702"/>
    <w:rsid w:val="00CE4D28"/>
    <w:rsid w:val="00CE536A"/>
    <w:rsid w:val="00CE587D"/>
    <w:rsid w:val="00CE62AC"/>
    <w:rsid w:val="00CE66BD"/>
    <w:rsid w:val="00CE68C2"/>
    <w:rsid w:val="00CE6A70"/>
    <w:rsid w:val="00CE6D1B"/>
    <w:rsid w:val="00CE757F"/>
    <w:rsid w:val="00CE7659"/>
    <w:rsid w:val="00CE776A"/>
    <w:rsid w:val="00CE777C"/>
    <w:rsid w:val="00CE7D6D"/>
    <w:rsid w:val="00CE7E09"/>
    <w:rsid w:val="00CF0035"/>
    <w:rsid w:val="00CF0519"/>
    <w:rsid w:val="00CF1899"/>
    <w:rsid w:val="00CF24DC"/>
    <w:rsid w:val="00CF2554"/>
    <w:rsid w:val="00CF26CA"/>
    <w:rsid w:val="00CF27CF"/>
    <w:rsid w:val="00CF2C71"/>
    <w:rsid w:val="00CF2F56"/>
    <w:rsid w:val="00CF337D"/>
    <w:rsid w:val="00CF35EC"/>
    <w:rsid w:val="00CF366B"/>
    <w:rsid w:val="00CF4781"/>
    <w:rsid w:val="00CF48D0"/>
    <w:rsid w:val="00CF52C4"/>
    <w:rsid w:val="00CF55BA"/>
    <w:rsid w:val="00CF64BE"/>
    <w:rsid w:val="00CF656E"/>
    <w:rsid w:val="00CF6EFF"/>
    <w:rsid w:val="00CF7698"/>
    <w:rsid w:val="00CF7792"/>
    <w:rsid w:val="00CF7ADC"/>
    <w:rsid w:val="00D00250"/>
    <w:rsid w:val="00D008E0"/>
    <w:rsid w:val="00D00B2F"/>
    <w:rsid w:val="00D01458"/>
    <w:rsid w:val="00D01A6F"/>
    <w:rsid w:val="00D022EC"/>
    <w:rsid w:val="00D02949"/>
    <w:rsid w:val="00D03158"/>
    <w:rsid w:val="00D038E6"/>
    <w:rsid w:val="00D03993"/>
    <w:rsid w:val="00D04F83"/>
    <w:rsid w:val="00D05232"/>
    <w:rsid w:val="00D0542D"/>
    <w:rsid w:val="00D05669"/>
    <w:rsid w:val="00D056E5"/>
    <w:rsid w:val="00D06148"/>
    <w:rsid w:val="00D0648D"/>
    <w:rsid w:val="00D06538"/>
    <w:rsid w:val="00D06650"/>
    <w:rsid w:val="00D06DA4"/>
    <w:rsid w:val="00D06DE9"/>
    <w:rsid w:val="00D07916"/>
    <w:rsid w:val="00D105CA"/>
    <w:rsid w:val="00D10678"/>
    <w:rsid w:val="00D107EF"/>
    <w:rsid w:val="00D1080C"/>
    <w:rsid w:val="00D108EA"/>
    <w:rsid w:val="00D10FA5"/>
    <w:rsid w:val="00D11286"/>
    <w:rsid w:val="00D1147F"/>
    <w:rsid w:val="00D115CE"/>
    <w:rsid w:val="00D11615"/>
    <w:rsid w:val="00D11BBF"/>
    <w:rsid w:val="00D11CFC"/>
    <w:rsid w:val="00D12431"/>
    <w:rsid w:val="00D13195"/>
    <w:rsid w:val="00D131EF"/>
    <w:rsid w:val="00D13231"/>
    <w:rsid w:val="00D133E9"/>
    <w:rsid w:val="00D13907"/>
    <w:rsid w:val="00D13A6F"/>
    <w:rsid w:val="00D14978"/>
    <w:rsid w:val="00D14C8A"/>
    <w:rsid w:val="00D15318"/>
    <w:rsid w:val="00D156E7"/>
    <w:rsid w:val="00D162C7"/>
    <w:rsid w:val="00D164FF"/>
    <w:rsid w:val="00D166C4"/>
    <w:rsid w:val="00D170C5"/>
    <w:rsid w:val="00D17BE3"/>
    <w:rsid w:val="00D17C95"/>
    <w:rsid w:val="00D20AF6"/>
    <w:rsid w:val="00D20B9A"/>
    <w:rsid w:val="00D20C67"/>
    <w:rsid w:val="00D20CDF"/>
    <w:rsid w:val="00D20FA7"/>
    <w:rsid w:val="00D2115C"/>
    <w:rsid w:val="00D21409"/>
    <w:rsid w:val="00D214B0"/>
    <w:rsid w:val="00D214DC"/>
    <w:rsid w:val="00D2169C"/>
    <w:rsid w:val="00D217F9"/>
    <w:rsid w:val="00D219AC"/>
    <w:rsid w:val="00D219E2"/>
    <w:rsid w:val="00D21BCE"/>
    <w:rsid w:val="00D21FAB"/>
    <w:rsid w:val="00D220B1"/>
    <w:rsid w:val="00D222DA"/>
    <w:rsid w:val="00D22469"/>
    <w:rsid w:val="00D22C30"/>
    <w:rsid w:val="00D22F1B"/>
    <w:rsid w:val="00D237A1"/>
    <w:rsid w:val="00D2381F"/>
    <w:rsid w:val="00D26599"/>
    <w:rsid w:val="00D26A10"/>
    <w:rsid w:val="00D277C1"/>
    <w:rsid w:val="00D27846"/>
    <w:rsid w:val="00D30097"/>
    <w:rsid w:val="00D30BE9"/>
    <w:rsid w:val="00D30BF7"/>
    <w:rsid w:val="00D31308"/>
    <w:rsid w:val="00D31958"/>
    <w:rsid w:val="00D31EDD"/>
    <w:rsid w:val="00D322B1"/>
    <w:rsid w:val="00D32400"/>
    <w:rsid w:val="00D3249B"/>
    <w:rsid w:val="00D337D5"/>
    <w:rsid w:val="00D3414C"/>
    <w:rsid w:val="00D34A51"/>
    <w:rsid w:val="00D34B38"/>
    <w:rsid w:val="00D3590A"/>
    <w:rsid w:val="00D36012"/>
    <w:rsid w:val="00D365A9"/>
    <w:rsid w:val="00D36706"/>
    <w:rsid w:val="00D36A5F"/>
    <w:rsid w:val="00D3772D"/>
    <w:rsid w:val="00D37ABF"/>
    <w:rsid w:val="00D37F36"/>
    <w:rsid w:val="00D402FD"/>
    <w:rsid w:val="00D40988"/>
    <w:rsid w:val="00D40DE4"/>
    <w:rsid w:val="00D40F70"/>
    <w:rsid w:val="00D411E3"/>
    <w:rsid w:val="00D4190E"/>
    <w:rsid w:val="00D41A5A"/>
    <w:rsid w:val="00D41A9F"/>
    <w:rsid w:val="00D41AE5"/>
    <w:rsid w:val="00D41D11"/>
    <w:rsid w:val="00D42915"/>
    <w:rsid w:val="00D43942"/>
    <w:rsid w:val="00D43D9B"/>
    <w:rsid w:val="00D443AF"/>
    <w:rsid w:val="00D443E3"/>
    <w:rsid w:val="00D44666"/>
    <w:rsid w:val="00D44C9E"/>
    <w:rsid w:val="00D44CF3"/>
    <w:rsid w:val="00D44FF2"/>
    <w:rsid w:val="00D451BE"/>
    <w:rsid w:val="00D45EC9"/>
    <w:rsid w:val="00D462C8"/>
    <w:rsid w:val="00D463D4"/>
    <w:rsid w:val="00D468B0"/>
    <w:rsid w:val="00D47097"/>
    <w:rsid w:val="00D47747"/>
    <w:rsid w:val="00D47D05"/>
    <w:rsid w:val="00D47D84"/>
    <w:rsid w:val="00D500B0"/>
    <w:rsid w:val="00D50103"/>
    <w:rsid w:val="00D503A7"/>
    <w:rsid w:val="00D5073A"/>
    <w:rsid w:val="00D50981"/>
    <w:rsid w:val="00D50BE7"/>
    <w:rsid w:val="00D50C8A"/>
    <w:rsid w:val="00D51770"/>
    <w:rsid w:val="00D51831"/>
    <w:rsid w:val="00D51ADB"/>
    <w:rsid w:val="00D52328"/>
    <w:rsid w:val="00D52C71"/>
    <w:rsid w:val="00D5318B"/>
    <w:rsid w:val="00D53612"/>
    <w:rsid w:val="00D538E9"/>
    <w:rsid w:val="00D53CF0"/>
    <w:rsid w:val="00D53E64"/>
    <w:rsid w:val="00D54230"/>
    <w:rsid w:val="00D54320"/>
    <w:rsid w:val="00D54A7F"/>
    <w:rsid w:val="00D55493"/>
    <w:rsid w:val="00D56183"/>
    <w:rsid w:val="00D56276"/>
    <w:rsid w:val="00D56898"/>
    <w:rsid w:val="00D56D8D"/>
    <w:rsid w:val="00D570A5"/>
    <w:rsid w:val="00D57A25"/>
    <w:rsid w:val="00D602B3"/>
    <w:rsid w:val="00D602B5"/>
    <w:rsid w:val="00D608D5"/>
    <w:rsid w:val="00D609B6"/>
    <w:rsid w:val="00D60E7C"/>
    <w:rsid w:val="00D61A7E"/>
    <w:rsid w:val="00D62214"/>
    <w:rsid w:val="00D62490"/>
    <w:rsid w:val="00D63245"/>
    <w:rsid w:val="00D6326C"/>
    <w:rsid w:val="00D6344F"/>
    <w:rsid w:val="00D6355A"/>
    <w:rsid w:val="00D6392A"/>
    <w:rsid w:val="00D63B19"/>
    <w:rsid w:val="00D63BF7"/>
    <w:rsid w:val="00D64711"/>
    <w:rsid w:val="00D64877"/>
    <w:rsid w:val="00D648EB"/>
    <w:rsid w:val="00D6582E"/>
    <w:rsid w:val="00D66008"/>
    <w:rsid w:val="00D6670D"/>
    <w:rsid w:val="00D66D47"/>
    <w:rsid w:val="00D66F2F"/>
    <w:rsid w:val="00D67A26"/>
    <w:rsid w:val="00D67B61"/>
    <w:rsid w:val="00D70F27"/>
    <w:rsid w:val="00D71222"/>
    <w:rsid w:val="00D7194D"/>
    <w:rsid w:val="00D71AF1"/>
    <w:rsid w:val="00D72026"/>
    <w:rsid w:val="00D728AE"/>
    <w:rsid w:val="00D728C8"/>
    <w:rsid w:val="00D72CAE"/>
    <w:rsid w:val="00D73BA0"/>
    <w:rsid w:val="00D73FA3"/>
    <w:rsid w:val="00D73FDB"/>
    <w:rsid w:val="00D74046"/>
    <w:rsid w:val="00D74070"/>
    <w:rsid w:val="00D740CF"/>
    <w:rsid w:val="00D746C6"/>
    <w:rsid w:val="00D74B3F"/>
    <w:rsid w:val="00D74C59"/>
    <w:rsid w:val="00D74CDC"/>
    <w:rsid w:val="00D751AD"/>
    <w:rsid w:val="00D752D9"/>
    <w:rsid w:val="00D7594A"/>
    <w:rsid w:val="00D75D24"/>
    <w:rsid w:val="00D75D78"/>
    <w:rsid w:val="00D771F8"/>
    <w:rsid w:val="00D775B3"/>
    <w:rsid w:val="00D775C9"/>
    <w:rsid w:val="00D77915"/>
    <w:rsid w:val="00D77FBF"/>
    <w:rsid w:val="00D8022B"/>
    <w:rsid w:val="00D80237"/>
    <w:rsid w:val="00D805CF"/>
    <w:rsid w:val="00D807DF"/>
    <w:rsid w:val="00D80F20"/>
    <w:rsid w:val="00D8175B"/>
    <w:rsid w:val="00D828A3"/>
    <w:rsid w:val="00D82B03"/>
    <w:rsid w:val="00D82E9C"/>
    <w:rsid w:val="00D83339"/>
    <w:rsid w:val="00D838E2"/>
    <w:rsid w:val="00D83A8B"/>
    <w:rsid w:val="00D83C14"/>
    <w:rsid w:val="00D841D3"/>
    <w:rsid w:val="00D849C2"/>
    <w:rsid w:val="00D84AFD"/>
    <w:rsid w:val="00D84B0A"/>
    <w:rsid w:val="00D84BF1"/>
    <w:rsid w:val="00D84F61"/>
    <w:rsid w:val="00D84F86"/>
    <w:rsid w:val="00D851E3"/>
    <w:rsid w:val="00D876D3"/>
    <w:rsid w:val="00D87818"/>
    <w:rsid w:val="00D87AFE"/>
    <w:rsid w:val="00D903FA"/>
    <w:rsid w:val="00D9055E"/>
    <w:rsid w:val="00D91829"/>
    <w:rsid w:val="00D92215"/>
    <w:rsid w:val="00D926BC"/>
    <w:rsid w:val="00D92C2A"/>
    <w:rsid w:val="00D92EE2"/>
    <w:rsid w:val="00D9331D"/>
    <w:rsid w:val="00D936B5"/>
    <w:rsid w:val="00D9392A"/>
    <w:rsid w:val="00D9428F"/>
    <w:rsid w:val="00D942B5"/>
    <w:rsid w:val="00D9521B"/>
    <w:rsid w:val="00D952C0"/>
    <w:rsid w:val="00D96122"/>
    <w:rsid w:val="00D96902"/>
    <w:rsid w:val="00D96908"/>
    <w:rsid w:val="00D969A5"/>
    <w:rsid w:val="00D969CE"/>
    <w:rsid w:val="00D96F3A"/>
    <w:rsid w:val="00D97025"/>
    <w:rsid w:val="00D9725E"/>
    <w:rsid w:val="00D97B5C"/>
    <w:rsid w:val="00D97BB4"/>
    <w:rsid w:val="00D97D1D"/>
    <w:rsid w:val="00DA08A0"/>
    <w:rsid w:val="00DA0BE9"/>
    <w:rsid w:val="00DA0D56"/>
    <w:rsid w:val="00DA1A73"/>
    <w:rsid w:val="00DA273D"/>
    <w:rsid w:val="00DA2AA0"/>
    <w:rsid w:val="00DA349F"/>
    <w:rsid w:val="00DA3F67"/>
    <w:rsid w:val="00DA46A7"/>
    <w:rsid w:val="00DA4C91"/>
    <w:rsid w:val="00DA4E0C"/>
    <w:rsid w:val="00DA586E"/>
    <w:rsid w:val="00DA5B78"/>
    <w:rsid w:val="00DA612D"/>
    <w:rsid w:val="00DA625F"/>
    <w:rsid w:val="00DA66A2"/>
    <w:rsid w:val="00DA67E9"/>
    <w:rsid w:val="00DA686A"/>
    <w:rsid w:val="00DA7374"/>
    <w:rsid w:val="00DA76DF"/>
    <w:rsid w:val="00DA76EA"/>
    <w:rsid w:val="00DA79C7"/>
    <w:rsid w:val="00DB045C"/>
    <w:rsid w:val="00DB0575"/>
    <w:rsid w:val="00DB0606"/>
    <w:rsid w:val="00DB0853"/>
    <w:rsid w:val="00DB0ACB"/>
    <w:rsid w:val="00DB0CBB"/>
    <w:rsid w:val="00DB0E2B"/>
    <w:rsid w:val="00DB0E83"/>
    <w:rsid w:val="00DB1151"/>
    <w:rsid w:val="00DB11C5"/>
    <w:rsid w:val="00DB1B11"/>
    <w:rsid w:val="00DB1FED"/>
    <w:rsid w:val="00DB232D"/>
    <w:rsid w:val="00DB2869"/>
    <w:rsid w:val="00DB2B37"/>
    <w:rsid w:val="00DB2C79"/>
    <w:rsid w:val="00DB35B5"/>
    <w:rsid w:val="00DB3B9B"/>
    <w:rsid w:val="00DB3DE6"/>
    <w:rsid w:val="00DB4681"/>
    <w:rsid w:val="00DB4789"/>
    <w:rsid w:val="00DB4A6D"/>
    <w:rsid w:val="00DB4C2D"/>
    <w:rsid w:val="00DB4DD1"/>
    <w:rsid w:val="00DB5725"/>
    <w:rsid w:val="00DB5AB7"/>
    <w:rsid w:val="00DB6077"/>
    <w:rsid w:val="00DB6750"/>
    <w:rsid w:val="00DB692B"/>
    <w:rsid w:val="00DB6CE2"/>
    <w:rsid w:val="00DB6FE9"/>
    <w:rsid w:val="00DB70A9"/>
    <w:rsid w:val="00DB754C"/>
    <w:rsid w:val="00DB79D2"/>
    <w:rsid w:val="00DB7EF1"/>
    <w:rsid w:val="00DC086B"/>
    <w:rsid w:val="00DC0A66"/>
    <w:rsid w:val="00DC0DD4"/>
    <w:rsid w:val="00DC167F"/>
    <w:rsid w:val="00DC2CA7"/>
    <w:rsid w:val="00DC3150"/>
    <w:rsid w:val="00DC3A93"/>
    <w:rsid w:val="00DC3BE0"/>
    <w:rsid w:val="00DC3E36"/>
    <w:rsid w:val="00DC449E"/>
    <w:rsid w:val="00DC49AC"/>
    <w:rsid w:val="00DC5454"/>
    <w:rsid w:val="00DC55D5"/>
    <w:rsid w:val="00DC5AAD"/>
    <w:rsid w:val="00DC61AD"/>
    <w:rsid w:val="00DC62EC"/>
    <w:rsid w:val="00DC674E"/>
    <w:rsid w:val="00DD0062"/>
    <w:rsid w:val="00DD0FA7"/>
    <w:rsid w:val="00DD145E"/>
    <w:rsid w:val="00DD1611"/>
    <w:rsid w:val="00DD176B"/>
    <w:rsid w:val="00DD1775"/>
    <w:rsid w:val="00DD3053"/>
    <w:rsid w:val="00DD343F"/>
    <w:rsid w:val="00DD4531"/>
    <w:rsid w:val="00DD479A"/>
    <w:rsid w:val="00DD4AF2"/>
    <w:rsid w:val="00DD4FA4"/>
    <w:rsid w:val="00DD5153"/>
    <w:rsid w:val="00DD545F"/>
    <w:rsid w:val="00DD59C4"/>
    <w:rsid w:val="00DD606B"/>
    <w:rsid w:val="00DD6B96"/>
    <w:rsid w:val="00DD6F90"/>
    <w:rsid w:val="00DD71F7"/>
    <w:rsid w:val="00DD74BF"/>
    <w:rsid w:val="00DD7685"/>
    <w:rsid w:val="00DD76DB"/>
    <w:rsid w:val="00DD7EE4"/>
    <w:rsid w:val="00DE0143"/>
    <w:rsid w:val="00DE018A"/>
    <w:rsid w:val="00DE0C60"/>
    <w:rsid w:val="00DE0C93"/>
    <w:rsid w:val="00DE0DC9"/>
    <w:rsid w:val="00DE126F"/>
    <w:rsid w:val="00DE1769"/>
    <w:rsid w:val="00DE1BC9"/>
    <w:rsid w:val="00DE1CB4"/>
    <w:rsid w:val="00DE1D7E"/>
    <w:rsid w:val="00DE2104"/>
    <w:rsid w:val="00DE25C2"/>
    <w:rsid w:val="00DE26B2"/>
    <w:rsid w:val="00DE3D00"/>
    <w:rsid w:val="00DE44AD"/>
    <w:rsid w:val="00DE4C79"/>
    <w:rsid w:val="00DE4E38"/>
    <w:rsid w:val="00DE5125"/>
    <w:rsid w:val="00DE5297"/>
    <w:rsid w:val="00DE684A"/>
    <w:rsid w:val="00DE6BAB"/>
    <w:rsid w:val="00DE6DB1"/>
    <w:rsid w:val="00DE6EDF"/>
    <w:rsid w:val="00DE7FCE"/>
    <w:rsid w:val="00DF07D6"/>
    <w:rsid w:val="00DF10AD"/>
    <w:rsid w:val="00DF11B0"/>
    <w:rsid w:val="00DF19EA"/>
    <w:rsid w:val="00DF2914"/>
    <w:rsid w:val="00DF39AA"/>
    <w:rsid w:val="00DF4969"/>
    <w:rsid w:val="00DF4AB4"/>
    <w:rsid w:val="00DF4F4F"/>
    <w:rsid w:val="00DF4F6D"/>
    <w:rsid w:val="00DF5DE1"/>
    <w:rsid w:val="00DF5FA6"/>
    <w:rsid w:val="00DF63FE"/>
    <w:rsid w:val="00DF6A99"/>
    <w:rsid w:val="00DF6DCE"/>
    <w:rsid w:val="00DF7CBA"/>
    <w:rsid w:val="00E00FE9"/>
    <w:rsid w:val="00E01BD1"/>
    <w:rsid w:val="00E01E86"/>
    <w:rsid w:val="00E020B7"/>
    <w:rsid w:val="00E021C2"/>
    <w:rsid w:val="00E0313D"/>
    <w:rsid w:val="00E031FD"/>
    <w:rsid w:val="00E0340A"/>
    <w:rsid w:val="00E03603"/>
    <w:rsid w:val="00E036E9"/>
    <w:rsid w:val="00E038A4"/>
    <w:rsid w:val="00E03F75"/>
    <w:rsid w:val="00E04014"/>
    <w:rsid w:val="00E04668"/>
    <w:rsid w:val="00E04D4D"/>
    <w:rsid w:val="00E05433"/>
    <w:rsid w:val="00E058BE"/>
    <w:rsid w:val="00E05915"/>
    <w:rsid w:val="00E05E92"/>
    <w:rsid w:val="00E05F58"/>
    <w:rsid w:val="00E06141"/>
    <w:rsid w:val="00E061ED"/>
    <w:rsid w:val="00E06CCD"/>
    <w:rsid w:val="00E06FC7"/>
    <w:rsid w:val="00E070D3"/>
    <w:rsid w:val="00E07145"/>
    <w:rsid w:val="00E074A9"/>
    <w:rsid w:val="00E07576"/>
    <w:rsid w:val="00E0795A"/>
    <w:rsid w:val="00E07A8C"/>
    <w:rsid w:val="00E10164"/>
    <w:rsid w:val="00E10FFE"/>
    <w:rsid w:val="00E116E0"/>
    <w:rsid w:val="00E11EA3"/>
    <w:rsid w:val="00E122B0"/>
    <w:rsid w:val="00E12370"/>
    <w:rsid w:val="00E124D4"/>
    <w:rsid w:val="00E12CA9"/>
    <w:rsid w:val="00E12D1B"/>
    <w:rsid w:val="00E13346"/>
    <w:rsid w:val="00E139BB"/>
    <w:rsid w:val="00E13FE9"/>
    <w:rsid w:val="00E1418B"/>
    <w:rsid w:val="00E14D7D"/>
    <w:rsid w:val="00E14E33"/>
    <w:rsid w:val="00E15304"/>
    <w:rsid w:val="00E15446"/>
    <w:rsid w:val="00E156D8"/>
    <w:rsid w:val="00E15B00"/>
    <w:rsid w:val="00E15C87"/>
    <w:rsid w:val="00E16E15"/>
    <w:rsid w:val="00E16FA2"/>
    <w:rsid w:val="00E17921"/>
    <w:rsid w:val="00E20087"/>
    <w:rsid w:val="00E20295"/>
    <w:rsid w:val="00E206AB"/>
    <w:rsid w:val="00E207F0"/>
    <w:rsid w:val="00E20A89"/>
    <w:rsid w:val="00E20CA8"/>
    <w:rsid w:val="00E20CD7"/>
    <w:rsid w:val="00E2136C"/>
    <w:rsid w:val="00E21434"/>
    <w:rsid w:val="00E21BFF"/>
    <w:rsid w:val="00E222EA"/>
    <w:rsid w:val="00E22336"/>
    <w:rsid w:val="00E23071"/>
    <w:rsid w:val="00E230D1"/>
    <w:rsid w:val="00E23625"/>
    <w:rsid w:val="00E23C8E"/>
    <w:rsid w:val="00E23E81"/>
    <w:rsid w:val="00E24104"/>
    <w:rsid w:val="00E245CA"/>
    <w:rsid w:val="00E24BB2"/>
    <w:rsid w:val="00E24BEE"/>
    <w:rsid w:val="00E24C16"/>
    <w:rsid w:val="00E2682B"/>
    <w:rsid w:val="00E26A4C"/>
    <w:rsid w:val="00E272BD"/>
    <w:rsid w:val="00E27505"/>
    <w:rsid w:val="00E2772A"/>
    <w:rsid w:val="00E279AE"/>
    <w:rsid w:val="00E30B03"/>
    <w:rsid w:val="00E30CB3"/>
    <w:rsid w:val="00E30D2F"/>
    <w:rsid w:val="00E31732"/>
    <w:rsid w:val="00E3209B"/>
    <w:rsid w:val="00E320D5"/>
    <w:rsid w:val="00E32129"/>
    <w:rsid w:val="00E337D2"/>
    <w:rsid w:val="00E3390A"/>
    <w:rsid w:val="00E33B77"/>
    <w:rsid w:val="00E33CAD"/>
    <w:rsid w:val="00E33CC7"/>
    <w:rsid w:val="00E35433"/>
    <w:rsid w:val="00E35450"/>
    <w:rsid w:val="00E35A95"/>
    <w:rsid w:val="00E36121"/>
    <w:rsid w:val="00E36A3B"/>
    <w:rsid w:val="00E37578"/>
    <w:rsid w:val="00E37779"/>
    <w:rsid w:val="00E37953"/>
    <w:rsid w:val="00E37AC9"/>
    <w:rsid w:val="00E37EE9"/>
    <w:rsid w:val="00E40165"/>
    <w:rsid w:val="00E403EA"/>
    <w:rsid w:val="00E408D0"/>
    <w:rsid w:val="00E40FF2"/>
    <w:rsid w:val="00E41502"/>
    <w:rsid w:val="00E41E2D"/>
    <w:rsid w:val="00E41FB9"/>
    <w:rsid w:val="00E42528"/>
    <w:rsid w:val="00E43566"/>
    <w:rsid w:val="00E4363A"/>
    <w:rsid w:val="00E437E3"/>
    <w:rsid w:val="00E441F3"/>
    <w:rsid w:val="00E4434B"/>
    <w:rsid w:val="00E44385"/>
    <w:rsid w:val="00E44D52"/>
    <w:rsid w:val="00E4583E"/>
    <w:rsid w:val="00E45AC2"/>
    <w:rsid w:val="00E45B8D"/>
    <w:rsid w:val="00E45E52"/>
    <w:rsid w:val="00E45F53"/>
    <w:rsid w:val="00E46224"/>
    <w:rsid w:val="00E46461"/>
    <w:rsid w:val="00E4654C"/>
    <w:rsid w:val="00E46D04"/>
    <w:rsid w:val="00E47291"/>
    <w:rsid w:val="00E50773"/>
    <w:rsid w:val="00E50DE9"/>
    <w:rsid w:val="00E5129F"/>
    <w:rsid w:val="00E513CF"/>
    <w:rsid w:val="00E52AC8"/>
    <w:rsid w:val="00E52F3F"/>
    <w:rsid w:val="00E536A5"/>
    <w:rsid w:val="00E5373A"/>
    <w:rsid w:val="00E539E7"/>
    <w:rsid w:val="00E53ECF"/>
    <w:rsid w:val="00E53FB8"/>
    <w:rsid w:val="00E547D6"/>
    <w:rsid w:val="00E55046"/>
    <w:rsid w:val="00E557E5"/>
    <w:rsid w:val="00E55AA5"/>
    <w:rsid w:val="00E55C57"/>
    <w:rsid w:val="00E55FE0"/>
    <w:rsid w:val="00E565B5"/>
    <w:rsid w:val="00E56D68"/>
    <w:rsid w:val="00E56DE1"/>
    <w:rsid w:val="00E5701B"/>
    <w:rsid w:val="00E57873"/>
    <w:rsid w:val="00E57ABC"/>
    <w:rsid w:val="00E57DA8"/>
    <w:rsid w:val="00E57F31"/>
    <w:rsid w:val="00E60C6B"/>
    <w:rsid w:val="00E60EFC"/>
    <w:rsid w:val="00E60F2E"/>
    <w:rsid w:val="00E61848"/>
    <w:rsid w:val="00E61B9A"/>
    <w:rsid w:val="00E621B4"/>
    <w:rsid w:val="00E625F6"/>
    <w:rsid w:val="00E62A4B"/>
    <w:rsid w:val="00E63440"/>
    <w:rsid w:val="00E6344D"/>
    <w:rsid w:val="00E634B6"/>
    <w:rsid w:val="00E643D6"/>
    <w:rsid w:val="00E64BE6"/>
    <w:rsid w:val="00E64FD7"/>
    <w:rsid w:val="00E64FF0"/>
    <w:rsid w:val="00E6568C"/>
    <w:rsid w:val="00E6572B"/>
    <w:rsid w:val="00E65CED"/>
    <w:rsid w:val="00E65E0E"/>
    <w:rsid w:val="00E660C5"/>
    <w:rsid w:val="00E66147"/>
    <w:rsid w:val="00E66944"/>
    <w:rsid w:val="00E66A12"/>
    <w:rsid w:val="00E66A9B"/>
    <w:rsid w:val="00E66F95"/>
    <w:rsid w:val="00E67263"/>
    <w:rsid w:val="00E700C7"/>
    <w:rsid w:val="00E700D1"/>
    <w:rsid w:val="00E70FD5"/>
    <w:rsid w:val="00E7127E"/>
    <w:rsid w:val="00E71C4E"/>
    <w:rsid w:val="00E71D93"/>
    <w:rsid w:val="00E72A11"/>
    <w:rsid w:val="00E72B72"/>
    <w:rsid w:val="00E73C3D"/>
    <w:rsid w:val="00E74364"/>
    <w:rsid w:val="00E744AE"/>
    <w:rsid w:val="00E7467A"/>
    <w:rsid w:val="00E751DA"/>
    <w:rsid w:val="00E757FE"/>
    <w:rsid w:val="00E75E43"/>
    <w:rsid w:val="00E764B7"/>
    <w:rsid w:val="00E773C7"/>
    <w:rsid w:val="00E77D75"/>
    <w:rsid w:val="00E80616"/>
    <w:rsid w:val="00E80B2B"/>
    <w:rsid w:val="00E80F19"/>
    <w:rsid w:val="00E81716"/>
    <w:rsid w:val="00E81D95"/>
    <w:rsid w:val="00E823CF"/>
    <w:rsid w:val="00E82466"/>
    <w:rsid w:val="00E8277E"/>
    <w:rsid w:val="00E829CD"/>
    <w:rsid w:val="00E82C07"/>
    <w:rsid w:val="00E831DA"/>
    <w:rsid w:val="00E834F7"/>
    <w:rsid w:val="00E835A6"/>
    <w:rsid w:val="00E83731"/>
    <w:rsid w:val="00E838CE"/>
    <w:rsid w:val="00E83DBF"/>
    <w:rsid w:val="00E84EEC"/>
    <w:rsid w:val="00E85242"/>
    <w:rsid w:val="00E8534D"/>
    <w:rsid w:val="00E85A71"/>
    <w:rsid w:val="00E85B89"/>
    <w:rsid w:val="00E85CF4"/>
    <w:rsid w:val="00E86810"/>
    <w:rsid w:val="00E875AB"/>
    <w:rsid w:val="00E879A8"/>
    <w:rsid w:val="00E87C08"/>
    <w:rsid w:val="00E90328"/>
    <w:rsid w:val="00E9081C"/>
    <w:rsid w:val="00E90E20"/>
    <w:rsid w:val="00E90FF2"/>
    <w:rsid w:val="00E91572"/>
    <w:rsid w:val="00E91CDB"/>
    <w:rsid w:val="00E91FF6"/>
    <w:rsid w:val="00E92A10"/>
    <w:rsid w:val="00E92C2B"/>
    <w:rsid w:val="00E9319E"/>
    <w:rsid w:val="00E93D75"/>
    <w:rsid w:val="00E93DBA"/>
    <w:rsid w:val="00E94EA5"/>
    <w:rsid w:val="00E956BA"/>
    <w:rsid w:val="00E95A24"/>
    <w:rsid w:val="00E95A7C"/>
    <w:rsid w:val="00E95E76"/>
    <w:rsid w:val="00E96103"/>
    <w:rsid w:val="00E96AB5"/>
    <w:rsid w:val="00E96CA9"/>
    <w:rsid w:val="00E96D94"/>
    <w:rsid w:val="00E96D97"/>
    <w:rsid w:val="00E97162"/>
    <w:rsid w:val="00E97510"/>
    <w:rsid w:val="00E976DD"/>
    <w:rsid w:val="00E97853"/>
    <w:rsid w:val="00E97888"/>
    <w:rsid w:val="00EA025F"/>
    <w:rsid w:val="00EA02AC"/>
    <w:rsid w:val="00EA02FE"/>
    <w:rsid w:val="00EA0501"/>
    <w:rsid w:val="00EA0619"/>
    <w:rsid w:val="00EA06DC"/>
    <w:rsid w:val="00EA26D4"/>
    <w:rsid w:val="00EA2F96"/>
    <w:rsid w:val="00EA2FF4"/>
    <w:rsid w:val="00EA3628"/>
    <w:rsid w:val="00EA3ED9"/>
    <w:rsid w:val="00EA49FB"/>
    <w:rsid w:val="00EA54CC"/>
    <w:rsid w:val="00EA5D0F"/>
    <w:rsid w:val="00EA5F62"/>
    <w:rsid w:val="00EA631B"/>
    <w:rsid w:val="00EA65E2"/>
    <w:rsid w:val="00EA6675"/>
    <w:rsid w:val="00EA6EBA"/>
    <w:rsid w:val="00EA7018"/>
    <w:rsid w:val="00EA7026"/>
    <w:rsid w:val="00EA77BB"/>
    <w:rsid w:val="00EA7864"/>
    <w:rsid w:val="00EB03ED"/>
    <w:rsid w:val="00EB0536"/>
    <w:rsid w:val="00EB0F73"/>
    <w:rsid w:val="00EB1C2A"/>
    <w:rsid w:val="00EB24EF"/>
    <w:rsid w:val="00EB2756"/>
    <w:rsid w:val="00EB2C98"/>
    <w:rsid w:val="00EB2E43"/>
    <w:rsid w:val="00EB30F7"/>
    <w:rsid w:val="00EB36AB"/>
    <w:rsid w:val="00EB444E"/>
    <w:rsid w:val="00EB4DFB"/>
    <w:rsid w:val="00EB50DB"/>
    <w:rsid w:val="00EB5B55"/>
    <w:rsid w:val="00EB5D5A"/>
    <w:rsid w:val="00EB5E1F"/>
    <w:rsid w:val="00EB5ED8"/>
    <w:rsid w:val="00EB5F73"/>
    <w:rsid w:val="00EB6772"/>
    <w:rsid w:val="00EB7CF7"/>
    <w:rsid w:val="00EC092A"/>
    <w:rsid w:val="00EC0CC5"/>
    <w:rsid w:val="00EC16CA"/>
    <w:rsid w:val="00EC16DB"/>
    <w:rsid w:val="00EC1DB3"/>
    <w:rsid w:val="00EC1DFC"/>
    <w:rsid w:val="00EC2471"/>
    <w:rsid w:val="00EC2B82"/>
    <w:rsid w:val="00EC2DE3"/>
    <w:rsid w:val="00EC3BFE"/>
    <w:rsid w:val="00EC3F32"/>
    <w:rsid w:val="00EC40EC"/>
    <w:rsid w:val="00EC45AC"/>
    <w:rsid w:val="00EC4709"/>
    <w:rsid w:val="00EC4BA1"/>
    <w:rsid w:val="00EC4CA0"/>
    <w:rsid w:val="00EC51EE"/>
    <w:rsid w:val="00EC5FCA"/>
    <w:rsid w:val="00EC63A9"/>
    <w:rsid w:val="00EC63AD"/>
    <w:rsid w:val="00EC696E"/>
    <w:rsid w:val="00EC69B5"/>
    <w:rsid w:val="00EC69F9"/>
    <w:rsid w:val="00EC6ABF"/>
    <w:rsid w:val="00EC6E71"/>
    <w:rsid w:val="00EC740A"/>
    <w:rsid w:val="00EC78A3"/>
    <w:rsid w:val="00EC78E6"/>
    <w:rsid w:val="00ED07E8"/>
    <w:rsid w:val="00ED0C92"/>
    <w:rsid w:val="00ED10E8"/>
    <w:rsid w:val="00ED1272"/>
    <w:rsid w:val="00ED1DC3"/>
    <w:rsid w:val="00ED2577"/>
    <w:rsid w:val="00ED3082"/>
    <w:rsid w:val="00ED3238"/>
    <w:rsid w:val="00ED38D2"/>
    <w:rsid w:val="00ED3A08"/>
    <w:rsid w:val="00ED3D7E"/>
    <w:rsid w:val="00ED44D7"/>
    <w:rsid w:val="00ED46D7"/>
    <w:rsid w:val="00ED48ED"/>
    <w:rsid w:val="00ED4D3F"/>
    <w:rsid w:val="00ED4F6A"/>
    <w:rsid w:val="00ED599F"/>
    <w:rsid w:val="00ED59B1"/>
    <w:rsid w:val="00ED686F"/>
    <w:rsid w:val="00ED6BAC"/>
    <w:rsid w:val="00ED6C23"/>
    <w:rsid w:val="00ED6E0C"/>
    <w:rsid w:val="00ED7EC6"/>
    <w:rsid w:val="00ED7F6E"/>
    <w:rsid w:val="00EE0804"/>
    <w:rsid w:val="00EE0EDA"/>
    <w:rsid w:val="00EE15DC"/>
    <w:rsid w:val="00EE1800"/>
    <w:rsid w:val="00EE1A4F"/>
    <w:rsid w:val="00EE1ABA"/>
    <w:rsid w:val="00EE20DA"/>
    <w:rsid w:val="00EE25F2"/>
    <w:rsid w:val="00EE271B"/>
    <w:rsid w:val="00EE359A"/>
    <w:rsid w:val="00EE3B33"/>
    <w:rsid w:val="00EE3B56"/>
    <w:rsid w:val="00EE3B79"/>
    <w:rsid w:val="00EE3D3C"/>
    <w:rsid w:val="00EE42B1"/>
    <w:rsid w:val="00EE4453"/>
    <w:rsid w:val="00EE4ADC"/>
    <w:rsid w:val="00EE4FDE"/>
    <w:rsid w:val="00EE525B"/>
    <w:rsid w:val="00EE52E9"/>
    <w:rsid w:val="00EE5748"/>
    <w:rsid w:val="00EE5BA2"/>
    <w:rsid w:val="00EE63AD"/>
    <w:rsid w:val="00EE63D8"/>
    <w:rsid w:val="00EE6E93"/>
    <w:rsid w:val="00EE729D"/>
    <w:rsid w:val="00EE74DA"/>
    <w:rsid w:val="00EF090B"/>
    <w:rsid w:val="00EF150D"/>
    <w:rsid w:val="00EF182C"/>
    <w:rsid w:val="00EF1FDB"/>
    <w:rsid w:val="00EF2388"/>
    <w:rsid w:val="00EF2803"/>
    <w:rsid w:val="00EF2A88"/>
    <w:rsid w:val="00EF2B26"/>
    <w:rsid w:val="00EF2FED"/>
    <w:rsid w:val="00EF31F5"/>
    <w:rsid w:val="00EF3716"/>
    <w:rsid w:val="00EF3741"/>
    <w:rsid w:val="00EF3BCA"/>
    <w:rsid w:val="00EF3FCC"/>
    <w:rsid w:val="00EF4C62"/>
    <w:rsid w:val="00EF4D4D"/>
    <w:rsid w:val="00EF5573"/>
    <w:rsid w:val="00EF55D5"/>
    <w:rsid w:val="00EF5856"/>
    <w:rsid w:val="00EF5A94"/>
    <w:rsid w:val="00EF67C9"/>
    <w:rsid w:val="00EF6939"/>
    <w:rsid w:val="00EF6BA1"/>
    <w:rsid w:val="00EF6C5B"/>
    <w:rsid w:val="00EF6C8A"/>
    <w:rsid w:val="00EF7206"/>
    <w:rsid w:val="00EF7911"/>
    <w:rsid w:val="00EF7AA2"/>
    <w:rsid w:val="00EF7D69"/>
    <w:rsid w:val="00F0078F"/>
    <w:rsid w:val="00F01302"/>
    <w:rsid w:val="00F016D7"/>
    <w:rsid w:val="00F01828"/>
    <w:rsid w:val="00F01AE5"/>
    <w:rsid w:val="00F02D20"/>
    <w:rsid w:val="00F036FB"/>
    <w:rsid w:val="00F03D81"/>
    <w:rsid w:val="00F03D9D"/>
    <w:rsid w:val="00F03F20"/>
    <w:rsid w:val="00F0444E"/>
    <w:rsid w:val="00F044B6"/>
    <w:rsid w:val="00F04D6E"/>
    <w:rsid w:val="00F04E5F"/>
    <w:rsid w:val="00F04F0B"/>
    <w:rsid w:val="00F0506F"/>
    <w:rsid w:val="00F06018"/>
    <w:rsid w:val="00F0608F"/>
    <w:rsid w:val="00F0664C"/>
    <w:rsid w:val="00F06ED0"/>
    <w:rsid w:val="00F07525"/>
    <w:rsid w:val="00F076EB"/>
    <w:rsid w:val="00F07701"/>
    <w:rsid w:val="00F077E9"/>
    <w:rsid w:val="00F079AD"/>
    <w:rsid w:val="00F07AEA"/>
    <w:rsid w:val="00F1033E"/>
    <w:rsid w:val="00F109F7"/>
    <w:rsid w:val="00F10CDF"/>
    <w:rsid w:val="00F11208"/>
    <w:rsid w:val="00F11212"/>
    <w:rsid w:val="00F113B0"/>
    <w:rsid w:val="00F12491"/>
    <w:rsid w:val="00F1260D"/>
    <w:rsid w:val="00F12774"/>
    <w:rsid w:val="00F13199"/>
    <w:rsid w:val="00F13433"/>
    <w:rsid w:val="00F13506"/>
    <w:rsid w:val="00F135B4"/>
    <w:rsid w:val="00F1468C"/>
    <w:rsid w:val="00F146BC"/>
    <w:rsid w:val="00F14E06"/>
    <w:rsid w:val="00F14F22"/>
    <w:rsid w:val="00F15879"/>
    <w:rsid w:val="00F15E9F"/>
    <w:rsid w:val="00F16AC0"/>
    <w:rsid w:val="00F16BA3"/>
    <w:rsid w:val="00F16BB2"/>
    <w:rsid w:val="00F171DD"/>
    <w:rsid w:val="00F17366"/>
    <w:rsid w:val="00F17920"/>
    <w:rsid w:val="00F2004B"/>
    <w:rsid w:val="00F202F4"/>
    <w:rsid w:val="00F20789"/>
    <w:rsid w:val="00F20D63"/>
    <w:rsid w:val="00F215D4"/>
    <w:rsid w:val="00F21BD6"/>
    <w:rsid w:val="00F21C25"/>
    <w:rsid w:val="00F2278E"/>
    <w:rsid w:val="00F23752"/>
    <w:rsid w:val="00F239EC"/>
    <w:rsid w:val="00F24105"/>
    <w:rsid w:val="00F241CA"/>
    <w:rsid w:val="00F2438C"/>
    <w:rsid w:val="00F243BD"/>
    <w:rsid w:val="00F249AB"/>
    <w:rsid w:val="00F2588A"/>
    <w:rsid w:val="00F26ACC"/>
    <w:rsid w:val="00F27095"/>
    <w:rsid w:val="00F27425"/>
    <w:rsid w:val="00F274B3"/>
    <w:rsid w:val="00F278A9"/>
    <w:rsid w:val="00F27FEB"/>
    <w:rsid w:val="00F30178"/>
    <w:rsid w:val="00F316DA"/>
    <w:rsid w:val="00F319AB"/>
    <w:rsid w:val="00F31E72"/>
    <w:rsid w:val="00F32165"/>
    <w:rsid w:val="00F32478"/>
    <w:rsid w:val="00F32B30"/>
    <w:rsid w:val="00F339BB"/>
    <w:rsid w:val="00F339F6"/>
    <w:rsid w:val="00F33C74"/>
    <w:rsid w:val="00F34705"/>
    <w:rsid w:val="00F347CD"/>
    <w:rsid w:val="00F35193"/>
    <w:rsid w:val="00F35AE6"/>
    <w:rsid w:val="00F35BFF"/>
    <w:rsid w:val="00F3691E"/>
    <w:rsid w:val="00F36D7F"/>
    <w:rsid w:val="00F373A9"/>
    <w:rsid w:val="00F379EB"/>
    <w:rsid w:val="00F37BE7"/>
    <w:rsid w:val="00F37C04"/>
    <w:rsid w:val="00F37E25"/>
    <w:rsid w:val="00F4056C"/>
    <w:rsid w:val="00F406BC"/>
    <w:rsid w:val="00F4079C"/>
    <w:rsid w:val="00F40AAE"/>
    <w:rsid w:val="00F41113"/>
    <w:rsid w:val="00F41285"/>
    <w:rsid w:val="00F41941"/>
    <w:rsid w:val="00F41A4C"/>
    <w:rsid w:val="00F41B0C"/>
    <w:rsid w:val="00F41C24"/>
    <w:rsid w:val="00F41F0D"/>
    <w:rsid w:val="00F42BD5"/>
    <w:rsid w:val="00F435CB"/>
    <w:rsid w:val="00F438F1"/>
    <w:rsid w:val="00F441E9"/>
    <w:rsid w:val="00F44279"/>
    <w:rsid w:val="00F4462A"/>
    <w:rsid w:val="00F446BA"/>
    <w:rsid w:val="00F447F3"/>
    <w:rsid w:val="00F448A1"/>
    <w:rsid w:val="00F44C53"/>
    <w:rsid w:val="00F44E56"/>
    <w:rsid w:val="00F44E5E"/>
    <w:rsid w:val="00F45531"/>
    <w:rsid w:val="00F457E2"/>
    <w:rsid w:val="00F4601D"/>
    <w:rsid w:val="00F46055"/>
    <w:rsid w:val="00F463BE"/>
    <w:rsid w:val="00F46696"/>
    <w:rsid w:val="00F4711F"/>
    <w:rsid w:val="00F4738A"/>
    <w:rsid w:val="00F47657"/>
    <w:rsid w:val="00F47B8D"/>
    <w:rsid w:val="00F47E5E"/>
    <w:rsid w:val="00F503AA"/>
    <w:rsid w:val="00F50CFD"/>
    <w:rsid w:val="00F50DF0"/>
    <w:rsid w:val="00F50E4A"/>
    <w:rsid w:val="00F51B8D"/>
    <w:rsid w:val="00F52268"/>
    <w:rsid w:val="00F52E7B"/>
    <w:rsid w:val="00F5355D"/>
    <w:rsid w:val="00F53688"/>
    <w:rsid w:val="00F5475C"/>
    <w:rsid w:val="00F54818"/>
    <w:rsid w:val="00F54898"/>
    <w:rsid w:val="00F54FC5"/>
    <w:rsid w:val="00F5520B"/>
    <w:rsid w:val="00F552D8"/>
    <w:rsid w:val="00F55324"/>
    <w:rsid w:val="00F553FF"/>
    <w:rsid w:val="00F558B8"/>
    <w:rsid w:val="00F5597A"/>
    <w:rsid w:val="00F55DE9"/>
    <w:rsid w:val="00F55EC1"/>
    <w:rsid w:val="00F563B7"/>
    <w:rsid w:val="00F563BE"/>
    <w:rsid w:val="00F56B89"/>
    <w:rsid w:val="00F56C4F"/>
    <w:rsid w:val="00F57121"/>
    <w:rsid w:val="00F57330"/>
    <w:rsid w:val="00F577BD"/>
    <w:rsid w:val="00F57830"/>
    <w:rsid w:val="00F579A0"/>
    <w:rsid w:val="00F6049A"/>
    <w:rsid w:val="00F60611"/>
    <w:rsid w:val="00F606B5"/>
    <w:rsid w:val="00F606EF"/>
    <w:rsid w:val="00F60836"/>
    <w:rsid w:val="00F60853"/>
    <w:rsid w:val="00F60A1F"/>
    <w:rsid w:val="00F610F6"/>
    <w:rsid w:val="00F6151E"/>
    <w:rsid w:val="00F61565"/>
    <w:rsid w:val="00F615C9"/>
    <w:rsid w:val="00F61B77"/>
    <w:rsid w:val="00F61B87"/>
    <w:rsid w:val="00F62443"/>
    <w:rsid w:val="00F62DAE"/>
    <w:rsid w:val="00F634C2"/>
    <w:rsid w:val="00F639CE"/>
    <w:rsid w:val="00F63E0E"/>
    <w:rsid w:val="00F63F76"/>
    <w:rsid w:val="00F64AB2"/>
    <w:rsid w:val="00F66FDB"/>
    <w:rsid w:val="00F67602"/>
    <w:rsid w:val="00F67768"/>
    <w:rsid w:val="00F67C36"/>
    <w:rsid w:val="00F702A5"/>
    <w:rsid w:val="00F70A34"/>
    <w:rsid w:val="00F70BA8"/>
    <w:rsid w:val="00F711C8"/>
    <w:rsid w:val="00F711FE"/>
    <w:rsid w:val="00F713EA"/>
    <w:rsid w:val="00F714E1"/>
    <w:rsid w:val="00F71F12"/>
    <w:rsid w:val="00F72081"/>
    <w:rsid w:val="00F720E0"/>
    <w:rsid w:val="00F7226F"/>
    <w:rsid w:val="00F7231A"/>
    <w:rsid w:val="00F7246A"/>
    <w:rsid w:val="00F7346D"/>
    <w:rsid w:val="00F73601"/>
    <w:rsid w:val="00F73732"/>
    <w:rsid w:val="00F73C17"/>
    <w:rsid w:val="00F74086"/>
    <w:rsid w:val="00F744C6"/>
    <w:rsid w:val="00F753D4"/>
    <w:rsid w:val="00F76131"/>
    <w:rsid w:val="00F76C71"/>
    <w:rsid w:val="00F77373"/>
    <w:rsid w:val="00F7748F"/>
    <w:rsid w:val="00F7797A"/>
    <w:rsid w:val="00F77BFA"/>
    <w:rsid w:val="00F77DF5"/>
    <w:rsid w:val="00F80450"/>
    <w:rsid w:val="00F80750"/>
    <w:rsid w:val="00F80CD6"/>
    <w:rsid w:val="00F810E4"/>
    <w:rsid w:val="00F8151D"/>
    <w:rsid w:val="00F815A3"/>
    <w:rsid w:val="00F826FF"/>
    <w:rsid w:val="00F82CEE"/>
    <w:rsid w:val="00F83184"/>
    <w:rsid w:val="00F83CD1"/>
    <w:rsid w:val="00F83F9A"/>
    <w:rsid w:val="00F83FF2"/>
    <w:rsid w:val="00F8450D"/>
    <w:rsid w:val="00F84A72"/>
    <w:rsid w:val="00F85853"/>
    <w:rsid w:val="00F85CE6"/>
    <w:rsid w:val="00F862A1"/>
    <w:rsid w:val="00F86F13"/>
    <w:rsid w:val="00F8751E"/>
    <w:rsid w:val="00F87DF0"/>
    <w:rsid w:val="00F9010F"/>
    <w:rsid w:val="00F9039B"/>
    <w:rsid w:val="00F91D39"/>
    <w:rsid w:val="00F91E14"/>
    <w:rsid w:val="00F9209E"/>
    <w:rsid w:val="00F920AD"/>
    <w:rsid w:val="00F92739"/>
    <w:rsid w:val="00F92744"/>
    <w:rsid w:val="00F92BD3"/>
    <w:rsid w:val="00F93980"/>
    <w:rsid w:val="00F93D82"/>
    <w:rsid w:val="00F948C5"/>
    <w:rsid w:val="00F949DB"/>
    <w:rsid w:val="00F94B6C"/>
    <w:rsid w:val="00F95722"/>
    <w:rsid w:val="00F95771"/>
    <w:rsid w:val="00F96B3D"/>
    <w:rsid w:val="00F96BF1"/>
    <w:rsid w:val="00F96EB2"/>
    <w:rsid w:val="00F96ED6"/>
    <w:rsid w:val="00F96EE8"/>
    <w:rsid w:val="00F9701C"/>
    <w:rsid w:val="00F97096"/>
    <w:rsid w:val="00F97117"/>
    <w:rsid w:val="00F97239"/>
    <w:rsid w:val="00F9743C"/>
    <w:rsid w:val="00F97893"/>
    <w:rsid w:val="00F97E79"/>
    <w:rsid w:val="00FA038D"/>
    <w:rsid w:val="00FA0F48"/>
    <w:rsid w:val="00FA1122"/>
    <w:rsid w:val="00FA2D42"/>
    <w:rsid w:val="00FA2F4F"/>
    <w:rsid w:val="00FA3991"/>
    <w:rsid w:val="00FA3D31"/>
    <w:rsid w:val="00FA4451"/>
    <w:rsid w:val="00FA447A"/>
    <w:rsid w:val="00FA4514"/>
    <w:rsid w:val="00FA46F9"/>
    <w:rsid w:val="00FA4BAA"/>
    <w:rsid w:val="00FA4BE2"/>
    <w:rsid w:val="00FA4BF3"/>
    <w:rsid w:val="00FA4D81"/>
    <w:rsid w:val="00FA5310"/>
    <w:rsid w:val="00FA5630"/>
    <w:rsid w:val="00FA59C6"/>
    <w:rsid w:val="00FA6F0D"/>
    <w:rsid w:val="00FA7336"/>
    <w:rsid w:val="00FA740A"/>
    <w:rsid w:val="00FA7E73"/>
    <w:rsid w:val="00FA7F21"/>
    <w:rsid w:val="00FB0165"/>
    <w:rsid w:val="00FB02AD"/>
    <w:rsid w:val="00FB03C2"/>
    <w:rsid w:val="00FB0508"/>
    <w:rsid w:val="00FB103A"/>
    <w:rsid w:val="00FB11C8"/>
    <w:rsid w:val="00FB183F"/>
    <w:rsid w:val="00FB1B4A"/>
    <w:rsid w:val="00FB1C69"/>
    <w:rsid w:val="00FB1CAE"/>
    <w:rsid w:val="00FB1CE1"/>
    <w:rsid w:val="00FB3044"/>
    <w:rsid w:val="00FB3377"/>
    <w:rsid w:val="00FB3658"/>
    <w:rsid w:val="00FB36E2"/>
    <w:rsid w:val="00FB3745"/>
    <w:rsid w:val="00FB37C7"/>
    <w:rsid w:val="00FB3924"/>
    <w:rsid w:val="00FB408F"/>
    <w:rsid w:val="00FB542A"/>
    <w:rsid w:val="00FB5594"/>
    <w:rsid w:val="00FB5AE4"/>
    <w:rsid w:val="00FB5C96"/>
    <w:rsid w:val="00FB5CFB"/>
    <w:rsid w:val="00FB64E4"/>
    <w:rsid w:val="00FB6880"/>
    <w:rsid w:val="00FB6B9A"/>
    <w:rsid w:val="00FB6C6D"/>
    <w:rsid w:val="00FB6D91"/>
    <w:rsid w:val="00FB7641"/>
    <w:rsid w:val="00FB7E81"/>
    <w:rsid w:val="00FC0052"/>
    <w:rsid w:val="00FC0060"/>
    <w:rsid w:val="00FC04B0"/>
    <w:rsid w:val="00FC054B"/>
    <w:rsid w:val="00FC09B1"/>
    <w:rsid w:val="00FC165D"/>
    <w:rsid w:val="00FC1D3C"/>
    <w:rsid w:val="00FC1FA6"/>
    <w:rsid w:val="00FC21A9"/>
    <w:rsid w:val="00FC250E"/>
    <w:rsid w:val="00FC32E9"/>
    <w:rsid w:val="00FC3489"/>
    <w:rsid w:val="00FC3C27"/>
    <w:rsid w:val="00FC3FD6"/>
    <w:rsid w:val="00FC40C0"/>
    <w:rsid w:val="00FC45B7"/>
    <w:rsid w:val="00FC4CAD"/>
    <w:rsid w:val="00FC4D5C"/>
    <w:rsid w:val="00FC4ED7"/>
    <w:rsid w:val="00FC53DF"/>
    <w:rsid w:val="00FC6356"/>
    <w:rsid w:val="00FC6809"/>
    <w:rsid w:val="00FC7167"/>
    <w:rsid w:val="00FC7347"/>
    <w:rsid w:val="00FD01A7"/>
    <w:rsid w:val="00FD032A"/>
    <w:rsid w:val="00FD04EF"/>
    <w:rsid w:val="00FD0CDC"/>
    <w:rsid w:val="00FD0DC4"/>
    <w:rsid w:val="00FD1247"/>
    <w:rsid w:val="00FD1AB0"/>
    <w:rsid w:val="00FD1E17"/>
    <w:rsid w:val="00FD24F2"/>
    <w:rsid w:val="00FD26FB"/>
    <w:rsid w:val="00FD291D"/>
    <w:rsid w:val="00FD2A90"/>
    <w:rsid w:val="00FD4C11"/>
    <w:rsid w:val="00FD4D26"/>
    <w:rsid w:val="00FD6800"/>
    <w:rsid w:val="00FD6B87"/>
    <w:rsid w:val="00FD723A"/>
    <w:rsid w:val="00FD736C"/>
    <w:rsid w:val="00FD75E4"/>
    <w:rsid w:val="00FD76C6"/>
    <w:rsid w:val="00FD774C"/>
    <w:rsid w:val="00FD7F78"/>
    <w:rsid w:val="00FE094F"/>
    <w:rsid w:val="00FE130C"/>
    <w:rsid w:val="00FE1928"/>
    <w:rsid w:val="00FE1D02"/>
    <w:rsid w:val="00FE1F69"/>
    <w:rsid w:val="00FE20D9"/>
    <w:rsid w:val="00FE21BA"/>
    <w:rsid w:val="00FE22E2"/>
    <w:rsid w:val="00FE26F7"/>
    <w:rsid w:val="00FE2733"/>
    <w:rsid w:val="00FE2B6C"/>
    <w:rsid w:val="00FE2FCC"/>
    <w:rsid w:val="00FE36F7"/>
    <w:rsid w:val="00FE3A11"/>
    <w:rsid w:val="00FE3D53"/>
    <w:rsid w:val="00FE4766"/>
    <w:rsid w:val="00FE4897"/>
    <w:rsid w:val="00FE5372"/>
    <w:rsid w:val="00FE576F"/>
    <w:rsid w:val="00FE5AC0"/>
    <w:rsid w:val="00FE5EAA"/>
    <w:rsid w:val="00FE60EC"/>
    <w:rsid w:val="00FE661A"/>
    <w:rsid w:val="00FE66AF"/>
    <w:rsid w:val="00FE66E1"/>
    <w:rsid w:val="00FE6D5F"/>
    <w:rsid w:val="00FE6DCE"/>
    <w:rsid w:val="00FE704C"/>
    <w:rsid w:val="00FE7952"/>
    <w:rsid w:val="00FE7D88"/>
    <w:rsid w:val="00FF0126"/>
    <w:rsid w:val="00FF027C"/>
    <w:rsid w:val="00FF06E4"/>
    <w:rsid w:val="00FF0ADA"/>
    <w:rsid w:val="00FF0C79"/>
    <w:rsid w:val="00FF0EF4"/>
    <w:rsid w:val="00FF1237"/>
    <w:rsid w:val="00FF13AD"/>
    <w:rsid w:val="00FF1885"/>
    <w:rsid w:val="00FF1A9C"/>
    <w:rsid w:val="00FF2276"/>
    <w:rsid w:val="00FF274E"/>
    <w:rsid w:val="00FF2E8F"/>
    <w:rsid w:val="00FF2EDE"/>
    <w:rsid w:val="00FF39D2"/>
    <w:rsid w:val="00FF3B50"/>
    <w:rsid w:val="00FF3C4B"/>
    <w:rsid w:val="00FF3C98"/>
    <w:rsid w:val="00FF3EDB"/>
    <w:rsid w:val="00FF3FA4"/>
    <w:rsid w:val="00FF4221"/>
    <w:rsid w:val="00FF4483"/>
    <w:rsid w:val="00FF4498"/>
    <w:rsid w:val="00FF4644"/>
    <w:rsid w:val="00FF4A34"/>
    <w:rsid w:val="00FF4AE2"/>
    <w:rsid w:val="00FF4BF1"/>
    <w:rsid w:val="00FF54C8"/>
    <w:rsid w:val="00FF5C5B"/>
    <w:rsid w:val="00FF5E14"/>
    <w:rsid w:val="00FF616E"/>
    <w:rsid w:val="00FF63EE"/>
    <w:rsid w:val="00FF6401"/>
    <w:rsid w:val="00FF69D7"/>
    <w:rsid w:val="00FF77FE"/>
    <w:rsid w:val="00FF7BAC"/>
    <w:rsid w:val="040F1025"/>
    <w:rsid w:val="092D94C9"/>
    <w:rsid w:val="0A300555"/>
    <w:rsid w:val="0A784440"/>
    <w:rsid w:val="0EB9C4C2"/>
    <w:rsid w:val="0EE6FAF2"/>
    <w:rsid w:val="0F4B92F4"/>
    <w:rsid w:val="135F3466"/>
    <w:rsid w:val="142094FA"/>
    <w:rsid w:val="1619EC39"/>
    <w:rsid w:val="1997AD37"/>
    <w:rsid w:val="1AB1CB4C"/>
    <w:rsid w:val="1E75BF39"/>
    <w:rsid w:val="1EDD6700"/>
    <w:rsid w:val="1F9F4CB6"/>
    <w:rsid w:val="209D7979"/>
    <w:rsid w:val="22941CB9"/>
    <w:rsid w:val="22C0BF13"/>
    <w:rsid w:val="2593E7AD"/>
    <w:rsid w:val="25C9F7BC"/>
    <w:rsid w:val="277A6F6A"/>
    <w:rsid w:val="28E0AE87"/>
    <w:rsid w:val="29CADEEF"/>
    <w:rsid w:val="2BBAC92E"/>
    <w:rsid w:val="2CAA0D11"/>
    <w:rsid w:val="32CADCA3"/>
    <w:rsid w:val="34E85DF7"/>
    <w:rsid w:val="360E607B"/>
    <w:rsid w:val="380D6C70"/>
    <w:rsid w:val="387CA130"/>
    <w:rsid w:val="3B6244E9"/>
    <w:rsid w:val="3DEBEFE4"/>
    <w:rsid w:val="3E28BC7B"/>
    <w:rsid w:val="3F4D5330"/>
    <w:rsid w:val="3F6702B5"/>
    <w:rsid w:val="3FAD1F45"/>
    <w:rsid w:val="4025D1CA"/>
    <w:rsid w:val="4237CCA0"/>
    <w:rsid w:val="42B00ECE"/>
    <w:rsid w:val="43A13771"/>
    <w:rsid w:val="44E75EAF"/>
    <w:rsid w:val="4BBAB952"/>
    <w:rsid w:val="4C41F6BD"/>
    <w:rsid w:val="4C6BD50D"/>
    <w:rsid w:val="4DD13CC6"/>
    <w:rsid w:val="4E2F2FAD"/>
    <w:rsid w:val="505D1BCC"/>
    <w:rsid w:val="51BB63DB"/>
    <w:rsid w:val="53232E3B"/>
    <w:rsid w:val="5432F1A3"/>
    <w:rsid w:val="575A0830"/>
    <w:rsid w:val="5795E259"/>
    <w:rsid w:val="5EE32B9E"/>
    <w:rsid w:val="60ED95E4"/>
    <w:rsid w:val="61DD99F2"/>
    <w:rsid w:val="63ABB15F"/>
    <w:rsid w:val="670E77CE"/>
    <w:rsid w:val="67A0C7BD"/>
    <w:rsid w:val="68011407"/>
    <w:rsid w:val="6B90BD55"/>
    <w:rsid w:val="6C5195BA"/>
    <w:rsid w:val="6F09E6E8"/>
    <w:rsid w:val="6FBBF421"/>
    <w:rsid w:val="70545C84"/>
    <w:rsid w:val="716C0EEE"/>
    <w:rsid w:val="72E0AF44"/>
    <w:rsid w:val="735A78B3"/>
    <w:rsid w:val="7436FC86"/>
    <w:rsid w:val="744CCA4A"/>
    <w:rsid w:val="75B74AF4"/>
    <w:rsid w:val="775283AC"/>
    <w:rsid w:val="7974B28F"/>
    <w:rsid w:val="7D765504"/>
    <w:rsid w:val="7E06A8C0"/>
    <w:rsid w:val="7F3B577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3BB"/>
    <w:pPr>
      <w:ind w:firstLine="720"/>
    </w:pPr>
  </w:style>
  <w:style w:type="paragraph" w:styleId="Heading1">
    <w:name w:val="heading 1"/>
    <w:basedOn w:val="Normal"/>
    <w:next w:val="Normal"/>
    <w:link w:val="Heading1Char"/>
    <w:uiPriority w:val="1"/>
    <w:qFormat/>
    <w:rsid w:val="00D92215"/>
    <w:pPr>
      <w:keepNext/>
      <w:numPr>
        <w:numId w:val="1"/>
      </w:numPr>
      <w:jc w:val="center"/>
      <w:outlineLvl w:val="0"/>
    </w:pPr>
    <w:rPr>
      <w:rFonts w:cs="Times New Roman"/>
      <w:b/>
      <w:bCs/>
      <w:caps/>
    </w:rPr>
  </w:style>
  <w:style w:type="paragraph" w:styleId="Heading2">
    <w:name w:val="heading 2"/>
    <w:basedOn w:val="ListParagraph"/>
    <w:next w:val="Normal"/>
    <w:link w:val="Heading2Char"/>
    <w:uiPriority w:val="2"/>
    <w:qFormat/>
    <w:rsid w:val="007B005C"/>
    <w:pPr>
      <w:keepNext/>
      <w:numPr>
        <w:numId w:val="26"/>
      </w:numPr>
      <w:tabs>
        <w:tab w:val="left" w:pos="360"/>
      </w:tabs>
      <w:spacing w:after="120" w:line="240" w:lineRule="auto"/>
      <w:outlineLvl w:val="1"/>
    </w:pPr>
    <w:rPr>
      <w:rFonts w:cs="Times New Roman"/>
      <w:b/>
      <w:i/>
    </w:rPr>
  </w:style>
  <w:style w:type="paragraph" w:styleId="Heading3">
    <w:name w:val="heading 3"/>
    <w:basedOn w:val="ListParagraph"/>
    <w:next w:val="Normal"/>
    <w:link w:val="Heading3Char"/>
    <w:uiPriority w:val="3"/>
    <w:qFormat/>
    <w:rsid w:val="000775C3"/>
    <w:pPr>
      <w:keepNext/>
      <w:numPr>
        <w:numId w:val="3"/>
      </w:numPr>
      <w:spacing w:after="120" w:line="240" w:lineRule="auto"/>
      <w:outlineLvl w:val="2"/>
    </w:pPr>
    <w:rPr>
      <w:rFonts w:cs="Times New Roman"/>
      <w:b/>
    </w:rPr>
  </w:style>
  <w:style w:type="paragraph" w:styleId="Heading4">
    <w:name w:val="heading 4"/>
    <w:basedOn w:val="ListParagraph"/>
    <w:next w:val="Normal"/>
    <w:link w:val="Heading4Char"/>
    <w:uiPriority w:val="4"/>
    <w:qFormat/>
    <w:rsid w:val="000775C3"/>
    <w:pPr>
      <w:keepNext/>
      <w:numPr>
        <w:numId w:val="4"/>
      </w:numPr>
      <w:spacing w:after="120" w:line="240" w:lineRule="auto"/>
      <w:outlineLvl w:val="3"/>
    </w:pPr>
    <w:rPr>
      <w:rFonts w:cs="Times New Roman"/>
      <w:i/>
      <w:iCs/>
    </w:rPr>
  </w:style>
  <w:style w:type="paragraph" w:styleId="Heading5">
    <w:name w:val="heading 5"/>
    <w:basedOn w:val="Normal"/>
    <w:next w:val="Normal"/>
    <w:link w:val="Heading5Char"/>
    <w:uiPriority w:val="9"/>
    <w:unhideWhenUsed/>
    <w:rsid w:val="00663D95"/>
    <w:pPr>
      <w:numPr>
        <w:numId w:val="18"/>
      </w:numPr>
      <w:spacing w:after="120" w:line="240" w:lineRule="auto"/>
      <w:ind w:left="1800" w:hanging="180"/>
      <w:outlineLvl w:val="4"/>
    </w:pPr>
    <w:rPr>
      <w:i/>
      <w:iCs/>
    </w:rPr>
  </w:style>
  <w:style w:type="paragraph" w:styleId="Heading6">
    <w:name w:val="heading 6"/>
    <w:basedOn w:val="Normal"/>
    <w:next w:val="Normal"/>
    <w:link w:val="Heading6Char"/>
    <w:uiPriority w:val="9"/>
    <w:unhideWhenUsed/>
    <w:qFormat/>
    <w:rsid w:val="005C4BD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2215"/>
    <w:rPr>
      <w:rFonts w:cs="Times New Roman"/>
      <w:b/>
      <w:bCs/>
      <w:caps/>
    </w:rPr>
  </w:style>
  <w:style w:type="paragraph" w:styleId="Header">
    <w:name w:val="header"/>
    <w:basedOn w:val="Normal"/>
    <w:link w:val="HeaderChar"/>
    <w:uiPriority w:val="99"/>
    <w:unhideWhenUsed/>
    <w:rsid w:val="00737B68"/>
    <w:pPr>
      <w:tabs>
        <w:tab w:val="left" w:pos="720"/>
        <w:tab w:val="center" w:pos="4680"/>
        <w:tab w:val="right" w:pos="9360"/>
      </w:tabs>
      <w:spacing w:line="240" w:lineRule="auto"/>
    </w:pPr>
    <w:rPr>
      <w:rFonts w:cs="Times New Roman"/>
    </w:rPr>
  </w:style>
  <w:style w:type="character" w:customStyle="1" w:styleId="HeaderChar">
    <w:name w:val="Header Char"/>
    <w:basedOn w:val="DefaultParagraphFont"/>
    <w:link w:val="Header"/>
    <w:uiPriority w:val="99"/>
    <w:rsid w:val="00737B68"/>
    <w:rPr>
      <w:rFonts w:cs="Times New Roman"/>
    </w:rPr>
  </w:style>
  <w:style w:type="paragraph" w:styleId="Footer">
    <w:name w:val="footer"/>
    <w:basedOn w:val="Normal"/>
    <w:link w:val="FooterChar"/>
    <w:uiPriority w:val="99"/>
    <w:unhideWhenUsed/>
    <w:rsid w:val="00737B68"/>
    <w:pPr>
      <w:tabs>
        <w:tab w:val="left" w:pos="720"/>
        <w:tab w:val="center" w:pos="4680"/>
        <w:tab w:val="right" w:pos="9360"/>
      </w:tabs>
      <w:spacing w:line="240" w:lineRule="auto"/>
    </w:pPr>
    <w:rPr>
      <w:rFonts w:cs="Times New Roman"/>
    </w:rPr>
  </w:style>
  <w:style w:type="character" w:customStyle="1" w:styleId="FooterChar">
    <w:name w:val="Footer Char"/>
    <w:basedOn w:val="DefaultParagraphFont"/>
    <w:link w:val="Footer"/>
    <w:uiPriority w:val="99"/>
    <w:rsid w:val="00737B68"/>
    <w:rPr>
      <w:rFonts w:cs="Times New Roman"/>
    </w:rPr>
  </w:style>
  <w:style w:type="character" w:customStyle="1" w:styleId="Heading2Char">
    <w:name w:val="Heading 2 Char"/>
    <w:basedOn w:val="DefaultParagraphFont"/>
    <w:link w:val="Heading2"/>
    <w:uiPriority w:val="2"/>
    <w:rsid w:val="007B005C"/>
    <w:rPr>
      <w:rFonts w:cs="Times New Roman"/>
      <w:b/>
      <w:i/>
    </w:rPr>
  </w:style>
  <w:style w:type="character" w:customStyle="1" w:styleId="Heading3Char">
    <w:name w:val="Heading 3 Char"/>
    <w:basedOn w:val="DefaultParagraphFont"/>
    <w:link w:val="Heading3"/>
    <w:uiPriority w:val="3"/>
    <w:rsid w:val="00944C2C"/>
    <w:rPr>
      <w:rFonts w:cs="Times New Roman"/>
      <w:b/>
    </w:rPr>
  </w:style>
  <w:style w:type="character" w:customStyle="1" w:styleId="Heading4Char">
    <w:name w:val="Heading 4 Char"/>
    <w:basedOn w:val="DefaultParagraphFont"/>
    <w:link w:val="Heading4"/>
    <w:uiPriority w:val="4"/>
    <w:rsid w:val="00944C2C"/>
    <w:rPr>
      <w:rFonts w:cs="Times New Roman"/>
      <w:i/>
      <w:iCs/>
    </w:rPr>
  </w:style>
  <w:style w:type="paragraph" w:styleId="FootnoteText">
    <w:name w:val="footnote text"/>
    <w:basedOn w:val="Normal"/>
    <w:link w:val="FootnoteTextChar"/>
    <w:uiPriority w:val="99"/>
    <w:unhideWhenUsed/>
    <w:rsid w:val="00DB0E83"/>
    <w:pPr>
      <w:spacing w:after="120" w:line="240" w:lineRule="auto"/>
    </w:pPr>
    <w:rPr>
      <w:szCs w:val="20"/>
    </w:rPr>
  </w:style>
  <w:style w:type="character" w:customStyle="1" w:styleId="FootnoteTextChar">
    <w:name w:val="Footnote Text Char"/>
    <w:basedOn w:val="DefaultParagraphFont"/>
    <w:link w:val="FootnoteText"/>
    <w:uiPriority w:val="99"/>
    <w:rsid w:val="00DB0E83"/>
    <w:rPr>
      <w:szCs w:val="20"/>
    </w:rPr>
  </w:style>
  <w:style w:type="character" w:styleId="FootnoteReference">
    <w:name w:val="footnote reference"/>
    <w:basedOn w:val="DefaultParagraphFont"/>
    <w:unhideWhenUsed/>
    <w:rsid w:val="00737B68"/>
    <w:rPr>
      <w:vertAlign w:val="superscript"/>
    </w:rPr>
  </w:style>
  <w:style w:type="paragraph" w:styleId="ListParagraph">
    <w:name w:val="List Paragraph"/>
    <w:basedOn w:val="Normal"/>
    <w:uiPriority w:val="34"/>
    <w:rsid w:val="000775C3"/>
    <w:pPr>
      <w:ind w:left="720"/>
      <w:contextualSpacing/>
    </w:pPr>
  </w:style>
  <w:style w:type="paragraph" w:customStyle="1" w:styleId="Footnote">
    <w:name w:val="Footnote"/>
    <w:basedOn w:val="FootnoteText"/>
    <w:link w:val="FootnoteChar"/>
    <w:uiPriority w:val="9"/>
    <w:qFormat/>
    <w:rsid w:val="00750DF6"/>
    <w:rPr>
      <w:szCs w:val="26"/>
    </w:rPr>
  </w:style>
  <w:style w:type="character" w:customStyle="1" w:styleId="Heading5Char">
    <w:name w:val="Heading 5 Char"/>
    <w:basedOn w:val="DefaultParagraphFont"/>
    <w:link w:val="Heading5"/>
    <w:uiPriority w:val="9"/>
    <w:rsid w:val="00663D95"/>
    <w:rPr>
      <w:i/>
      <w:iCs/>
    </w:rPr>
  </w:style>
  <w:style w:type="character" w:customStyle="1" w:styleId="FootnoteChar">
    <w:name w:val="Footnote Char"/>
    <w:basedOn w:val="FootnoteTextChar"/>
    <w:link w:val="Footnote"/>
    <w:uiPriority w:val="9"/>
    <w:rsid w:val="00750DF6"/>
    <w:rPr>
      <w:szCs w:val="20"/>
    </w:rPr>
  </w:style>
  <w:style w:type="paragraph" w:customStyle="1" w:styleId="FootnoteText0">
    <w:name w:val="FootnoteText"/>
    <w:basedOn w:val="ListParagraph"/>
    <w:uiPriority w:val="99"/>
    <w:semiHidden/>
    <w:rsid w:val="00146202"/>
  </w:style>
  <w:style w:type="paragraph" w:customStyle="1" w:styleId="Default">
    <w:name w:val="Default"/>
    <w:rsid w:val="005714BE"/>
    <w:pPr>
      <w:autoSpaceDE w:val="0"/>
      <w:autoSpaceDN w:val="0"/>
      <w:adjustRightInd w:val="0"/>
      <w:spacing w:line="240" w:lineRule="auto"/>
    </w:pPr>
    <w:rPr>
      <w:rFonts w:ascii="Calisto MT" w:hAnsi="Calisto MT" w:cs="Calisto MT"/>
      <w:color w:val="000000"/>
      <w:sz w:val="24"/>
      <w:szCs w:val="24"/>
    </w:rPr>
  </w:style>
  <w:style w:type="character" w:styleId="Emphasis">
    <w:name w:val="Emphasis"/>
    <w:basedOn w:val="DefaultParagraphFont"/>
    <w:uiPriority w:val="20"/>
    <w:qFormat/>
    <w:rsid w:val="00B22FB6"/>
    <w:rPr>
      <w:i/>
      <w:iCs/>
    </w:rPr>
  </w:style>
  <w:style w:type="character" w:styleId="Hyperlink">
    <w:name w:val="Hyperlink"/>
    <w:basedOn w:val="DefaultParagraphFont"/>
    <w:uiPriority w:val="99"/>
    <w:unhideWhenUsed/>
    <w:rsid w:val="0081679D"/>
    <w:rPr>
      <w:color w:val="0000FF"/>
      <w:u w:val="single"/>
    </w:rPr>
  </w:style>
  <w:style w:type="character" w:customStyle="1" w:styleId="cosearchterm">
    <w:name w:val="co_searchterm"/>
    <w:basedOn w:val="DefaultParagraphFont"/>
    <w:rsid w:val="0022717C"/>
  </w:style>
  <w:style w:type="paragraph" w:customStyle="1" w:styleId="xmsonormal">
    <w:name w:val="x_msonormal"/>
    <w:basedOn w:val="Normal"/>
    <w:rsid w:val="00E700D1"/>
    <w:pPr>
      <w:spacing w:line="240" w:lineRule="auto"/>
      <w:ind w:firstLine="0"/>
    </w:pPr>
    <w:rPr>
      <w:rFonts w:ascii="Calibri" w:hAnsi="Calibri" w:cs="Calibri"/>
      <w:sz w:val="22"/>
      <w:szCs w:val="22"/>
    </w:rPr>
  </w:style>
  <w:style w:type="character" w:customStyle="1" w:styleId="coinlinekeyciteflag">
    <w:name w:val="co_inlinekeyciteflag"/>
    <w:basedOn w:val="DefaultParagraphFont"/>
    <w:rsid w:val="00950151"/>
  </w:style>
  <w:style w:type="character" w:customStyle="1" w:styleId="costarpage">
    <w:name w:val="co_starpage"/>
    <w:basedOn w:val="DefaultParagraphFont"/>
    <w:rsid w:val="00DB11C5"/>
  </w:style>
  <w:style w:type="character" w:customStyle="1" w:styleId="ssnonpaginatedrptr">
    <w:name w:val="ss_nonpaginatedrptr"/>
    <w:basedOn w:val="DefaultParagraphFont"/>
    <w:rsid w:val="002C30C0"/>
  </w:style>
  <w:style w:type="character" w:styleId="CommentReference">
    <w:name w:val="annotation reference"/>
    <w:basedOn w:val="DefaultParagraphFont"/>
    <w:uiPriority w:val="99"/>
    <w:semiHidden/>
    <w:unhideWhenUsed/>
    <w:rsid w:val="00E91CDB"/>
    <w:rPr>
      <w:sz w:val="16"/>
      <w:szCs w:val="16"/>
    </w:rPr>
  </w:style>
  <w:style w:type="paragraph" w:styleId="CommentText">
    <w:name w:val="annotation text"/>
    <w:basedOn w:val="Normal"/>
    <w:link w:val="CommentTextChar"/>
    <w:uiPriority w:val="99"/>
    <w:unhideWhenUsed/>
    <w:rsid w:val="00E91CDB"/>
    <w:pPr>
      <w:spacing w:line="240" w:lineRule="auto"/>
    </w:pPr>
    <w:rPr>
      <w:sz w:val="20"/>
      <w:szCs w:val="20"/>
    </w:rPr>
  </w:style>
  <w:style w:type="character" w:customStyle="1" w:styleId="CommentTextChar">
    <w:name w:val="Comment Text Char"/>
    <w:basedOn w:val="DefaultParagraphFont"/>
    <w:link w:val="CommentText"/>
    <w:uiPriority w:val="99"/>
    <w:rsid w:val="00E91CDB"/>
    <w:rPr>
      <w:sz w:val="20"/>
      <w:szCs w:val="20"/>
    </w:rPr>
  </w:style>
  <w:style w:type="paragraph" w:styleId="CommentSubject">
    <w:name w:val="annotation subject"/>
    <w:basedOn w:val="CommentText"/>
    <w:next w:val="CommentText"/>
    <w:link w:val="CommentSubjectChar"/>
    <w:uiPriority w:val="99"/>
    <w:semiHidden/>
    <w:unhideWhenUsed/>
    <w:rsid w:val="00E91CDB"/>
    <w:rPr>
      <w:b/>
      <w:bCs/>
    </w:rPr>
  </w:style>
  <w:style w:type="character" w:customStyle="1" w:styleId="CommentSubjectChar">
    <w:name w:val="Comment Subject Char"/>
    <w:basedOn w:val="CommentTextChar"/>
    <w:link w:val="CommentSubject"/>
    <w:uiPriority w:val="99"/>
    <w:semiHidden/>
    <w:rsid w:val="00E91CDB"/>
    <w:rPr>
      <w:b/>
      <w:bCs/>
      <w:sz w:val="20"/>
      <w:szCs w:val="20"/>
    </w:rPr>
  </w:style>
  <w:style w:type="paragraph" w:styleId="Revision">
    <w:name w:val="Revision"/>
    <w:hidden/>
    <w:uiPriority w:val="99"/>
    <w:semiHidden/>
    <w:rsid w:val="00DA76DF"/>
    <w:pPr>
      <w:spacing w:line="240" w:lineRule="auto"/>
    </w:pPr>
  </w:style>
  <w:style w:type="character" w:customStyle="1" w:styleId="coconcept2831">
    <w:name w:val="co_concept_28_31"/>
    <w:basedOn w:val="DefaultParagraphFont"/>
    <w:rsid w:val="004B4AEF"/>
  </w:style>
  <w:style w:type="character" w:customStyle="1" w:styleId="coconcept16">
    <w:name w:val="co_concept_1_6"/>
    <w:basedOn w:val="DefaultParagraphFont"/>
    <w:rsid w:val="004B4AEF"/>
  </w:style>
  <w:style w:type="character" w:customStyle="1" w:styleId="coconcept1213">
    <w:name w:val="co_concept_12_13"/>
    <w:basedOn w:val="DefaultParagraphFont"/>
    <w:rsid w:val="004B4AEF"/>
  </w:style>
  <w:style w:type="character" w:customStyle="1" w:styleId="coconcept1921">
    <w:name w:val="co_concept_19_21"/>
    <w:basedOn w:val="DefaultParagraphFont"/>
    <w:rsid w:val="004B4AEF"/>
  </w:style>
  <w:style w:type="character" w:customStyle="1" w:styleId="coconcept1417">
    <w:name w:val="co_concept_14_17"/>
    <w:basedOn w:val="DefaultParagraphFont"/>
    <w:rsid w:val="003E586B"/>
  </w:style>
  <w:style w:type="character" w:customStyle="1" w:styleId="SmartLink1">
    <w:name w:val="SmartLink1"/>
    <w:basedOn w:val="DefaultParagraphFont"/>
    <w:uiPriority w:val="99"/>
    <w:semiHidden/>
    <w:unhideWhenUsed/>
    <w:rsid w:val="008628B8"/>
    <w:rPr>
      <w:color w:val="0000FF"/>
      <w:u w:val="single"/>
      <w:shd w:val="clear" w:color="auto" w:fill="F3F2F1"/>
    </w:rPr>
  </w:style>
  <w:style w:type="character" w:styleId="FollowedHyperlink">
    <w:name w:val="FollowedHyperlink"/>
    <w:basedOn w:val="DefaultParagraphFont"/>
    <w:uiPriority w:val="99"/>
    <w:semiHidden/>
    <w:unhideWhenUsed/>
    <w:rsid w:val="008628B8"/>
    <w:rPr>
      <w:color w:val="954F72" w:themeColor="followedHyperlink"/>
      <w:u w:val="single"/>
    </w:rPr>
  </w:style>
  <w:style w:type="character" w:customStyle="1" w:styleId="Heading6Char">
    <w:name w:val="Heading 6 Char"/>
    <w:basedOn w:val="DefaultParagraphFont"/>
    <w:link w:val="Heading6"/>
    <w:uiPriority w:val="9"/>
    <w:rsid w:val="005C4BD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D51770"/>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37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B91E-9B44-4130-AE4A-E9654B8B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8874</Words>
  <Characters>50587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2023-02-22T23:11:38Z</dcterms:created>
  <dcterms:modified xsi:type="dcterms:W3CDTF">2023-02-22T23:11:38Z</dcterms:modified>
</cp:coreProperties>
</file>