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3EAF" w14:textId="77777777" w:rsidR="00D22D9A" w:rsidRDefault="00925C4E" w:rsidP="00D22D9A">
      <w:pPr>
        <w:spacing w:line="240" w:lineRule="auto"/>
        <w:rPr>
          <w:sz w:val="20"/>
        </w:rPr>
      </w:pPr>
      <w:r>
        <w:rPr>
          <w:sz w:val="20"/>
        </w:rPr>
        <w:t xml:space="preserve">Filed </w:t>
      </w:r>
      <w:proofErr w:type="gramStart"/>
      <w:r w:rsidR="000966F6">
        <w:rPr>
          <w:sz w:val="20"/>
        </w:rPr>
        <w:t>11/30/23</w:t>
      </w:r>
      <w:proofErr w:type="gramEnd"/>
    </w:p>
    <w:p w14:paraId="40D73EB0" w14:textId="77777777" w:rsidR="00D22D9A" w:rsidRPr="00D22D9A" w:rsidRDefault="00925C4E" w:rsidP="00D22D9A">
      <w:pPr>
        <w:spacing w:line="240" w:lineRule="auto"/>
        <w:jc w:val="center"/>
      </w:pPr>
      <w:r>
        <w:rPr>
          <w:b/>
        </w:rPr>
        <w:t>CERTIFIED FOR PARTIAL PUBLICATION</w:t>
      </w:r>
      <w:r>
        <w:rPr>
          <w:rStyle w:val="FootnoteReference"/>
          <w:b/>
        </w:rPr>
        <w:footnoteReference w:customMarkFollows="1" w:id="2"/>
        <w:t>*</w:t>
      </w:r>
    </w:p>
    <w:p w14:paraId="40D73EB1" w14:textId="77777777" w:rsidR="00D22D9A" w:rsidRPr="00D22D9A" w:rsidRDefault="00D22D9A" w:rsidP="00D22D9A">
      <w:pPr>
        <w:spacing w:line="240" w:lineRule="auto"/>
        <w:rPr>
          <w:sz w:val="20"/>
        </w:rPr>
      </w:pPr>
    </w:p>
    <w:p w14:paraId="40D73EB2" w14:textId="77777777" w:rsidR="00BB2D80" w:rsidRDefault="00925C4E" w:rsidP="002A463C">
      <w:pPr>
        <w:spacing w:line="240" w:lineRule="auto"/>
        <w:jc w:val="center"/>
      </w:pPr>
      <w:r>
        <w:t>IN THE COURT OF APPEAL OF THE STATE OF CALIFORNIA</w:t>
      </w:r>
    </w:p>
    <w:p w14:paraId="40D73EB3" w14:textId="77777777" w:rsidR="002A463C" w:rsidRDefault="002A463C" w:rsidP="002A463C">
      <w:pPr>
        <w:spacing w:line="240" w:lineRule="auto"/>
        <w:jc w:val="center"/>
      </w:pPr>
    </w:p>
    <w:p w14:paraId="40D73EB4" w14:textId="77777777" w:rsidR="002A463C" w:rsidRDefault="00925C4E" w:rsidP="002A463C">
      <w:pPr>
        <w:spacing w:line="240" w:lineRule="auto"/>
        <w:jc w:val="center"/>
      </w:pPr>
      <w:r>
        <w:t>FIRST APPELLATE DISTRICT</w:t>
      </w:r>
    </w:p>
    <w:p w14:paraId="40D73EB5" w14:textId="77777777" w:rsidR="002A463C" w:rsidRDefault="002A463C" w:rsidP="002A463C">
      <w:pPr>
        <w:spacing w:line="240" w:lineRule="auto"/>
        <w:jc w:val="center"/>
      </w:pPr>
    </w:p>
    <w:p w14:paraId="40D73EB6" w14:textId="77777777" w:rsidR="002A463C" w:rsidRDefault="00925C4E" w:rsidP="002A463C">
      <w:pPr>
        <w:spacing w:line="240" w:lineRule="auto"/>
        <w:jc w:val="center"/>
      </w:pPr>
      <w:r>
        <w:t>DIVISION FOUR</w:t>
      </w:r>
    </w:p>
    <w:p w14:paraId="40D73EB7" w14:textId="77777777" w:rsidR="002A463C" w:rsidRDefault="002A463C" w:rsidP="002A463C">
      <w:pPr>
        <w:spacing w:line="240" w:lineRule="auto"/>
        <w:jc w:val="center"/>
      </w:pPr>
    </w:p>
    <w:p w14:paraId="40D73EB8" w14:textId="77777777" w:rsidR="002A463C" w:rsidRDefault="002A463C" w:rsidP="002A463C">
      <w:pPr>
        <w:spacing w:line="240" w:lineRule="auto"/>
        <w:jc w:val="center"/>
      </w:pPr>
    </w:p>
    <w:tbl>
      <w:tblPr>
        <w:tblW w:w="0" w:type="auto"/>
        <w:tblLayout w:type="fixed"/>
        <w:tblLook w:val="0000" w:firstRow="0" w:lastRow="0" w:firstColumn="0" w:lastColumn="0" w:noHBand="0" w:noVBand="0"/>
      </w:tblPr>
      <w:tblGrid>
        <w:gridCol w:w="4680"/>
        <w:gridCol w:w="4680"/>
      </w:tblGrid>
      <w:tr w:rsidR="00960A66" w14:paraId="40D73EC5" w14:textId="77777777" w:rsidTr="002A463C">
        <w:tc>
          <w:tcPr>
            <w:tcW w:w="4680" w:type="dxa"/>
            <w:tcBorders>
              <w:bottom w:val="single" w:sz="4" w:space="0" w:color="auto"/>
              <w:right w:val="single" w:sz="4" w:space="0" w:color="auto"/>
            </w:tcBorders>
            <w:shd w:val="clear" w:color="auto" w:fill="auto"/>
          </w:tcPr>
          <w:p w14:paraId="40D73EB9" w14:textId="77777777" w:rsidR="002A463C" w:rsidRDefault="00925C4E" w:rsidP="002A463C">
            <w:pPr>
              <w:spacing w:after="120" w:line="240" w:lineRule="auto"/>
            </w:pPr>
            <w:r>
              <w:t>THE PEOPLE,</w:t>
            </w:r>
          </w:p>
          <w:p w14:paraId="40D73EBA" w14:textId="77777777" w:rsidR="002A463C" w:rsidRDefault="00925C4E" w:rsidP="002A463C">
            <w:pPr>
              <w:spacing w:after="120" w:line="240" w:lineRule="auto"/>
            </w:pPr>
            <w:r>
              <w:tab/>
              <w:t>Plaintiff and Respondent,</w:t>
            </w:r>
          </w:p>
          <w:p w14:paraId="40D73EBB" w14:textId="77777777" w:rsidR="002A463C" w:rsidRDefault="00925C4E" w:rsidP="002A463C">
            <w:pPr>
              <w:spacing w:after="120" w:line="240" w:lineRule="auto"/>
            </w:pPr>
            <w:r>
              <w:t>v.</w:t>
            </w:r>
          </w:p>
          <w:p w14:paraId="40D73EBC" w14:textId="77777777" w:rsidR="002A463C" w:rsidRDefault="00925C4E" w:rsidP="002A463C">
            <w:pPr>
              <w:spacing w:after="120" w:line="240" w:lineRule="auto"/>
            </w:pPr>
            <w:r>
              <w:t>JORDAN BUCKNER,</w:t>
            </w:r>
          </w:p>
          <w:p w14:paraId="40D73EBD" w14:textId="77777777" w:rsidR="002A463C" w:rsidRDefault="00925C4E" w:rsidP="002A463C">
            <w:pPr>
              <w:spacing w:after="120" w:line="240" w:lineRule="auto"/>
            </w:pPr>
            <w:r>
              <w:tab/>
              <w:t>Defendant and Appellant.</w:t>
            </w:r>
          </w:p>
        </w:tc>
        <w:tc>
          <w:tcPr>
            <w:tcW w:w="4680" w:type="dxa"/>
            <w:tcBorders>
              <w:left w:val="single" w:sz="4" w:space="0" w:color="auto"/>
            </w:tcBorders>
            <w:shd w:val="clear" w:color="auto" w:fill="auto"/>
          </w:tcPr>
          <w:p w14:paraId="40D73EBE" w14:textId="77777777" w:rsidR="002A463C" w:rsidRDefault="002A463C" w:rsidP="002A463C">
            <w:pPr>
              <w:spacing w:line="240" w:lineRule="auto"/>
            </w:pPr>
          </w:p>
          <w:p w14:paraId="40D73EBF" w14:textId="77777777" w:rsidR="002A463C" w:rsidRDefault="002A463C" w:rsidP="002A463C">
            <w:pPr>
              <w:spacing w:line="240" w:lineRule="auto"/>
            </w:pPr>
          </w:p>
          <w:p w14:paraId="40D73EC0" w14:textId="77777777" w:rsidR="002A463C" w:rsidRDefault="00925C4E" w:rsidP="002A463C">
            <w:pPr>
              <w:spacing w:line="240" w:lineRule="auto"/>
            </w:pPr>
            <w:r>
              <w:t xml:space="preserve">      A162304</w:t>
            </w:r>
          </w:p>
          <w:p w14:paraId="40D73EC1" w14:textId="77777777" w:rsidR="002A463C" w:rsidRDefault="002A463C" w:rsidP="002A463C">
            <w:pPr>
              <w:spacing w:line="240" w:lineRule="auto"/>
            </w:pPr>
          </w:p>
          <w:p w14:paraId="40D73EC2" w14:textId="77777777" w:rsidR="002A463C" w:rsidRDefault="00925C4E" w:rsidP="002A463C">
            <w:pPr>
              <w:spacing w:line="240" w:lineRule="auto"/>
            </w:pPr>
            <w:r>
              <w:t xml:space="preserve">      (Napa County</w:t>
            </w:r>
          </w:p>
          <w:p w14:paraId="40D73EC3" w14:textId="77777777" w:rsidR="002A463C" w:rsidRDefault="00925C4E" w:rsidP="002A463C">
            <w:pPr>
              <w:spacing w:line="240" w:lineRule="auto"/>
            </w:pPr>
            <w:r>
              <w:t xml:space="preserve">      Super. Ct. No. 20CR00137</w:t>
            </w:r>
            <w:r w:rsidR="00EA0874">
              <w:t>0</w:t>
            </w:r>
            <w:r>
              <w:t>)</w:t>
            </w:r>
          </w:p>
          <w:p w14:paraId="40D73EC4" w14:textId="77777777" w:rsidR="002A463C" w:rsidRDefault="002A463C" w:rsidP="002A463C">
            <w:pPr>
              <w:spacing w:line="240" w:lineRule="auto"/>
            </w:pPr>
          </w:p>
        </w:tc>
      </w:tr>
    </w:tbl>
    <w:p w14:paraId="40D73EC6" w14:textId="77777777" w:rsidR="00234C72" w:rsidRDefault="00925C4E" w:rsidP="00F80794">
      <w:pPr>
        <w:spacing w:before="240" w:line="360" w:lineRule="auto"/>
      </w:pPr>
      <w:r>
        <w:tab/>
        <w:t xml:space="preserve">Defendant Jordan Buckner appeals a judgment convicting him of arson of an inhabited </w:t>
      </w:r>
      <w:r w:rsidR="00687669">
        <w:t>structure</w:t>
      </w:r>
      <w:r w:rsidR="00194498">
        <w:t xml:space="preserve"> and sentencing him to three years in prison. </w:t>
      </w:r>
      <w:r w:rsidR="00CE6439">
        <w:t xml:space="preserve"> </w:t>
      </w:r>
      <w:r w:rsidR="00194498">
        <w:t>He contends</w:t>
      </w:r>
      <w:r w:rsidR="00CE6439">
        <w:t xml:space="preserve"> that:</w:t>
      </w:r>
      <w:r w:rsidR="00194498">
        <w:t xml:space="preserve">  </w:t>
      </w:r>
      <w:r w:rsidR="00815E8B">
        <w:t>(1)</w:t>
      </w:r>
      <w:r w:rsidR="00917F7A">
        <w:t> </w:t>
      </w:r>
      <w:r w:rsidR="00574337">
        <w:t>there is no substantial evidence to support the jury’s finding that the house was inhabited</w:t>
      </w:r>
      <w:r w:rsidR="00276D09">
        <w:t xml:space="preserve"> because </w:t>
      </w:r>
      <w:r w:rsidR="00240AA4">
        <w:t>the</w:t>
      </w:r>
      <w:r w:rsidR="00276D09">
        <w:t xml:space="preserve"> evidence</w:t>
      </w:r>
      <w:r w:rsidR="00240AA4">
        <w:t xml:space="preserve"> </w:t>
      </w:r>
      <w:r w:rsidR="00B60FF4">
        <w:t>did not</w:t>
      </w:r>
      <w:r w:rsidR="00240AA4">
        <w:t xml:space="preserve"> show</w:t>
      </w:r>
      <w:r w:rsidR="00276D09">
        <w:t xml:space="preserve"> that </w:t>
      </w:r>
      <w:r w:rsidR="00F615EB">
        <w:t>he</w:t>
      </w:r>
      <w:r w:rsidR="00276D09">
        <w:t xml:space="preserve"> intended to continue living in the house after the fire</w:t>
      </w:r>
      <w:r w:rsidR="002018B1">
        <w:t>;</w:t>
      </w:r>
      <w:r w:rsidR="00D83562">
        <w:t xml:space="preserve"> (2)</w:t>
      </w:r>
      <w:r w:rsidR="00917F7A">
        <w:t> </w:t>
      </w:r>
      <w:r w:rsidR="00574337">
        <w:t xml:space="preserve">the court erred by admitting at trial statements he made during a police interview that he </w:t>
      </w:r>
      <w:r w:rsidR="00191594">
        <w:t>argues</w:t>
      </w:r>
      <w:r w:rsidR="00574337">
        <w:t xml:space="preserve"> were taken in violation of his </w:t>
      </w:r>
      <w:r w:rsidR="00574337">
        <w:rPr>
          <w:i/>
          <w:iCs/>
        </w:rPr>
        <w:t>Miranda</w:t>
      </w:r>
      <w:r>
        <w:rPr>
          <w:rStyle w:val="FootnoteReference"/>
        </w:rPr>
        <w:footnoteReference w:id="3"/>
      </w:r>
      <w:r w:rsidR="00574337">
        <w:rPr>
          <w:i/>
          <w:iCs/>
        </w:rPr>
        <w:t xml:space="preserve"> </w:t>
      </w:r>
      <w:r w:rsidR="00574337" w:rsidRPr="001C77FF">
        <w:t>rights</w:t>
      </w:r>
      <w:r w:rsidR="002018B1">
        <w:t>; and (3)</w:t>
      </w:r>
      <w:r w:rsidR="00006A4A">
        <w:t> </w:t>
      </w:r>
      <w:r w:rsidR="00F22C0E">
        <w:t xml:space="preserve">the trial court improperly ordered him to pay </w:t>
      </w:r>
      <w:r w:rsidR="002018B1">
        <w:t xml:space="preserve">restitution </w:t>
      </w:r>
      <w:r w:rsidR="00F22C0E">
        <w:t>to his insurance company and the fire department</w:t>
      </w:r>
      <w:r w:rsidR="002018B1">
        <w:t>.</w:t>
      </w:r>
      <w:r w:rsidR="00FD36C8">
        <w:t xml:space="preserve"> </w:t>
      </w:r>
      <w:r w:rsidR="00CE6439">
        <w:t xml:space="preserve"> </w:t>
      </w:r>
    </w:p>
    <w:p w14:paraId="40D73EC7" w14:textId="77777777" w:rsidR="00D30982" w:rsidRDefault="00925C4E" w:rsidP="002A463C">
      <w:pPr>
        <w:spacing w:line="360" w:lineRule="auto"/>
      </w:pPr>
      <w:r>
        <w:tab/>
      </w:r>
      <w:r w:rsidR="00FD36C8">
        <w:t>We</w:t>
      </w:r>
      <w:r w:rsidR="00B16533">
        <w:t xml:space="preserve"> disagree with Buckner on the first two points but agree with him on the third.  First</w:t>
      </w:r>
      <w:r w:rsidR="002828DB">
        <w:t xml:space="preserve">, </w:t>
      </w:r>
      <w:r w:rsidR="00C65DB1">
        <w:t>as we conclude in the published portion of the opinion</w:t>
      </w:r>
      <w:r w:rsidR="00574337">
        <w:t xml:space="preserve">, the law does not require the prosecution to prove that </w:t>
      </w:r>
      <w:r w:rsidR="00C65DB1">
        <w:t xml:space="preserve">Buckner </w:t>
      </w:r>
      <w:r w:rsidR="00574337">
        <w:t xml:space="preserve">intended to </w:t>
      </w:r>
      <w:r w:rsidR="00574337">
        <w:lastRenderedPageBreak/>
        <w:t xml:space="preserve">continue living in the house </w:t>
      </w:r>
      <w:r w:rsidR="00574337" w:rsidRPr="003D1FDB">
        <w:rPr>
          <w:i/>
          <w:iCs/>
        </w:rPr>
        <w:t>after</w:t>
      </w:r>
      <w:r w:rsidR="00574337">
        <w:t xml:space="preserve"> the fire</w:t>
      </w:r>
      <w:r w:rsidR="00292A63">
        <w:t xml:space="preserve">, and since Buckner was living in the house </w:t>
      </w:r>
      <w:r w:rsidR="004F0EC7">
        <w:t>at the time of the fire,</w:t>
      </w:r>
      <w:r w:rsidR="00C65DB1">
        <w:t xml:space="preserve"> </w:t>
      </w:r>
      <w:r w:rsidR="00E85C22">
        <w:t>substantial evidence supports the</w:t>
      </w:r>
      <w:r w:rsidR="004E0E1E">
        <w:t xml:space="preserve"> jury’s</w:t>
      </w:r>
      <w:r w:rsidR="00E85C22">
        <w:t xml:space="preserve"> </w:t>
      </w:r>
      <w:r w:rsidR="00D56D53">
        <w:t xml:space="preserve">conclusion that the house was </w:t>
      </w:r>
      <w:r w:rsidR="001C0B8A">
        <w:t>inhabited</w:t>
      </w:r>
      <w:r w:rsidR="00E85C22">
        <w:t>.</w:t>
      </w:r>
      <w:r w:rsidR="0099384F">
        <w:t xml:space="preserve"> </w:t>
      </w:r>
      <w:r w:rsidR="006225B6">
        <w:t xml:space="preserve"> </w:t>
      </w:r>
      <w:r w:rsidR="002828DB">
        <w:t xml:space="preserve">Second, </w:t>
      </w:r>
      <w:r w:rsidR="00574337">
        <w:t>Buckner’s statements to the police were properly admitted at trial because, under the totality of the circumstances, the interview during which he made them was not custodial</w:t>
      </w:r>
      <w:r w:rsidR="00E85C22">
        <w:t xml:space="preserve">. </w:t>
      </w:r>
      <w:r w:rsidR="00CE6439">
        <w:t xml:space="preserve"> </w:t>
      </w:r>
      <w:r w:rsidR="0039622F">
        <w:t>Third,</w:t>
      </w:r>
      <w:r w:rsidR="00A73D3B">
        <w:t xml:space="preserve"> the restitution order must be </w:t>
      </w:r>
      <w:r w:rsidR="00902005">
        <w:t>reversed</w:t>
      </w:r>
      <w:r w:rsidR="00A73D3B">
        <w:t xml:space="preserve"> because</w:t>
      </w:r>
      <w:r w:rsidR="00917CFA">
        <w:t xml:space="preserve">, as the Attorney General </w:t>
      </w:r>
      <w:r w:rsidR="00E22B14">
        <w:t>acknowledges</w:t>
      </w:r>
      <w:r w:rsidR="00917CFA">
        <w:t>,</w:t>
      </w:r>
      <w:r w:rsidR="00A73D3B">
        <w:t xml:space="preserve"> the insurance company and the fire department are not </w:t>
      </w:r>
      <w:r w:rsidR="00CD6857">
        <w:t xml:space="preserve">victims of </w:t>
      </w:r>
      <w:r w:rsidR="00FB79EA">
        <w:t>Buckner’s</w:t>
      </w:r>
      <w:r w:rsidR="00CD6857">
        <w:t xml:space="preserve"> crime for purposes of restitution under Penal Code</w:t>
      </w:r>
      <w:r>
        <w:rPr>
          <w:rStyle w:val="FootnoteReference"/>
        </w:rPr>
        <w:footnoteReference w:id="4"/>
      </w:r>
      <w:r w:rsidR="00CD6857">
        <w:t xml:space="preserve"> section</w:t>
      </w:r>
      <w:r w:rsidR="00006A4A">
        <w:t> </w:t>
      </w:r>
      <w:r w:rsidR="00CC71D0" w:rsidRPr="00CC71D0">
        <w:t>1202.4</w:t>
      </w:r>
      <w:r w:rsidR="00CC71D0">
        <w:t xml:space="preserve">. </w:t>
      </w:r>
      <w:r w:rsidR="00CE6439">
        <w:t xml:space="preserve"> </w:t>
      </w:r>
      <w:r w:rsidR="00E85C22">
        <w:t>Accordingly</w:t>
      </w:r>
      <w:r w:rsidR="00A73D3B">
        <w:t xml:space="preserve">, </w:t>
      </w:r>
      <w:r w:rsidR="00E85C22">
        <w:t>we</w:t>
      </w:r>
      <w:r w:rsidR="00CD6857">
        <w:t xml:space="preserve"> reverse the restitution order</w:t>
      </w:r>
      <w:r w:rsidR="005576D0">
        <w:t>, remand for a new restitution hearing,</w:t>
      </w:r>
      <w:r w:rsidR="00CD6857">
        <w:t xml:space="preserve"> and </w:t>
      </w:r>
      <w:r w:rsidR="00372638">
        <w:t xml:space="preserve">otherwise </w:t>
      </w:r>
      <w:r w:rsidR="00CD6857">
        <w:t>affirm the judgment.</w:t>
      </w:r>
      <w:r w:rsidR="00E85C22">
        <w:t xml:space="preserve"> </w:t>
      </w:r>
    </w:p>
    <w:p w14:paraId="40D73EC8" w14:textId="77777777" w:rsidR="002A463C" w:rsidRDefault="00925C4E" w:rsidP="00A07DDF">
      <w:pPr>
        <w:keepNext/>
        <w:spacing w:line="360" w:lineRule="auto"/>
        <w:jc w:val="center"/>
      </w:pPr>
      <w:r>
        <w:rPr>
          <w:b/>
          <w:bCs/>
        </w:rPr>
        <w:t>BACKGROUND</w:t>
      </w:r>
    </w:p>
    <w:p w14:paraId="40D73EC9" w14:textId="77777777" w:rsidR="00A0793E" w:rsidRDefault="00925C4E" w:rsidP="00B712FD">
      <w:pPr>
        <w:spacing w:line="360" w:lineRule="auto"/>
      </w:pPr>
      <w:r>
        <w:tab/>
      </w:r>
      <w:r w:rsidR="004B62DC">
        <w:t>Buckner</w:t>
      </w:r>
      <w:r>
        <w:t xml:space="preserve"> was charged with a single count of arson of </w:t>
      </w:r>
      <w:r>
        <w:t>an inhabited structure. (§</w:t>
      </w:r>
      <w:r w:rsidR="00EF32A7">
        <w:t> </w:t>
      </w:r>
      <w:r>
        <w:t>451, subd.</w:t>
      </w:r>
      <w:r w:rsidR="00EF32A7">
        <w:t> </w:t>
      </w:r>
      <w:r>
        <w:t>(b).)</w:t>
      </w:r>
      <w:r w:rsidR="00F65697">
        <w:t xml:space="preserve"> </w:t>
      </w:r>
      <w:r>
        <w:t xml:space="preserve"> Prior to trial, </w:t>
      </w:r>
      <w:r w:rsidR="004B62DC">
        <w:t>he</w:t>
      </w:r>
      <w:r>
        <w:t xml:space="preserve"> moved to exclude </w:t>
      </w:r>
      <w:r w:rsidR="007B27E9">
        <w:t>statements he made during an interview with the arson investigator</w:t>
      </w:r>
      <w:r>
        <w:t xml:space="preserve"> on the ground that</w:t>
      </w:r>
      <w:r w:rsidR="00984657">
        <w:t xml:space="preserve"> the </w:t>
      </w:r>
      <w:r w:rsidR="007B27E9">
        <w:t>investigator</w:t>
      </w:r>
      <w:r w:rsidR="00984657">
        <w:t xml:space="preserve"> </w:t>
      </w:r>
      <w:r>
        <w:t xml:space="preserve">violated his </w:t>
      </w:r>
      <w:r w:rsidRPr="00984657">
        <w:rPr>
          <w:i/>
          <w:iCs/>
        </w:rPr>
        <w:t>Miranda</w:t>
      </w:r>
      <w:r>
        <w:t xml:space="preserve"> rights</w:t>
      </w:r>
      <w:r w:rsidR="00984657">
        <w:t xml:space="preserve"> by continuing to question h</w:t>
      </w:r>
      <w:r w:rsidR="00321953">
        <w:t>im after he invoked his right to counsel</w:t>
      </w:r>
      <w:r w:rsidR="008473F4">
        <w:t xml:space="preserve">. </w:t>
      </w:r>
      <w:r w:rsidR="00941AA6">
        <w:t xml:space="preserve"> </w:t>
      </w:r>
      <w:r w:rsidR="00321953">
        <w:t>T</w:t>
      </w:r>
      <w:r w:rsidR="008473F4">
        <w:t>he trial court</w:t>
      </w:r>
      <w:r w:rsidR="00B712FD">
        <w:t xml:space="preserve"> denied his motion</w:t>
      </w:r>
      <w:r w:rsidR="007B27E9">
        <w:t>, finding that the interrogation was not custodial</w:t>
      </w:r>
      <w:r w:rsidR="004D3FAC">
        <w:t>,</w:t>
      </w:r>
      <w:r w:rsidR="007B27E9">
        <w:t xml:space="preserve"> </w:t>
      </w:r>
      <w:r w:rsidR="00FF5966">
        <w:t xml:space="preserve">and alternatively that </w:t>
      </w:r>
      <w:r w:rsidR="00941AA6">
        <w:t>his</w:t>
      </w:r>
      <w:r w:rsidR="00FF5966">
        <w:t xml:space="preserve"> request for counsel was </w:t>
      </w:r>
      <w:r>
        <w:t>not clear and un</w:t>
      </w:r>
      <w:r w:rsidR="00FF5966">
        <w:t>ambiguous</w:t>
      </w:r>
      <w:r>
        <w:t>.</w:t>
      </w:r>
      <w:r w:rsidR="00A130AD">
        <w:t xml:space="preserve"> </w:t>
      </w:r>
      <w:r w:rsidR="00B712FD">
        <w:t xml:space="preserve"> </w:t>
      </w:r>
    </w:p>
    <w:p w14:paraId="40D73ECA" w14:textId="77777777" w:rsidR="00B712FD" w:rsidRDefault="00925C4E" w:rsidP="00B712FD">
      <w:pPr>
        <w:spacing w:line="360" w:lineRule="auto"/>
      </w:pPr>
      <w:r>
        <w:tab/>
      </w:r>
      <w:r w:rsidR="00B920FE">
        <w:t>T</w:t>
      </w:r>
      <w:r>
        <w:t>he following evidence was presented at trial</w:t>
      </w:r>
      <w:r w:rsidR="00EF57BA">
        <w:t>.</w:t>
      </w:r>
    </w:p>
    <w:p w14:paraId="40D73ECB" w14:textId="77777777" w:rsidR="00DB2518" w:rsidRDefault="00925C4E" w:rsidP="00E7317A">
      <w:pPr>
        <w:spacing w:line="360" w:lineRule="auto"/>
      </w:pPr>
      <w:r>
        <w:tab/>
      </w:r>
      <w:r w:rsidR="00811070" w:rsidRPr="00811070">
        <w:t>On November</w:t>
      </w:r>
      <w:r w:rsidR="00EF32A7">
        <w:t> </w:t>
      </w:r>
      <w:r w:rsidR="00811070" w:rsidRPr="00811070">
        <w:t>30, 2019,</w:t>
      </w:r>
      <w:r w:rsidR="00811070">
        <w:t xml:space="preserve"> </w:t>
      </w:r>
      <w:r w:rsidR="002A08E7">
        <w:t>at around 7:30</w:t>
      </w:r>
      <w:r w:rsidR="008D10C2">
        <w:t> </w:t>
      </w:r>
      <w:r w:rsidR="002A08E7">
        <w:t xml:space="preserve">p.m., </w:t>
      </w:r>
      <w:r w:rsidR="007545A5">
        <w:t>neighbors noticed</w:t>
      </w:r>
      <w:r w:rsidR="0076559A">
        <w:t xml:space="preserve"> a fire at </w:t>
      </w:r>
      <w:r w:rsidR="00941AA6">
        <w:t>Buckner’s</w:t>
      </w:r>
      <w:r w:rsidR="0076559A">
        <w:t xml:space="preserve"> home</w:t>
      </w:r>
      <w:r w:rsidR="007545A5">
        <w:t xml:space="preserve"> and called the fire department</w:t>
      </w:r>
      <w:r w:rsidR="000B579E">
        <w:t>.</w:t>
      </w:r>
      <w:r w:rsidR="00941AA6">
        <w:t xml:space="preserve"> </w:t>
      </w:r>
      <w:r w:rsidR="00E354B8">
        <w:t xml:space="preserve"> </w:t>
      </w:r>
      <w:r w:rsidR="00FD1127">
        <w:t xml:space="preserve">After </w:t>
      </w:r>
      <w:r w:rsidR="005F7992">
        <w:t xml:space="preserve">the </w:t>
      </w:r>
      <w:r w:rsidR="00FD1127">
        <w:t>fire</w:t>
      </w:r>
      <w:r w:rsidR="005F7992">
        <w:t xml:space="preserve"> was extinguished</w:t>
      </w:r>
      <w:r w:rsidR="00FD1127">
        <w:t xml:space="preserve">, </w:t>
      </w:r>
      <w:r w:rsidR="008B7C16">
        <w:t>a</w:t>
      </w:r>
      <w:r w:rsidR="00AE0E43">
        <w:t xml:space="preserve"> firefighter </w:t>
      </w:r>
      <w:r w:rsidR="00406352">
        <w:t xml:space="preserve">determined that the fire started on a </w:t>
      </w:r>
      <w:r w:rsidR="0087585E">
        <w:t>bed</w:t>
      </w:r>
      <w:r w:rsidR="00406352">
        <w:t xml:space="preserve"> in the northwest bedroom of the home and was caused by an unknown open flame source that ignited gasoline vapors.</w:t>
      </w:r>
      <w:r w:rsidR="00941AA6">
        <w:t xml:space="preserve"> </w:t>
      </w:r>
      <w:r w:rsidR="00833B6D">
        <w:t xml:space="preserve"> </w:t>
      </w:r>
      <w:r w:rsidR="00981850">
        <w:t>Subsequent t</w:t>
      </w:r>
      <w:r w:rsidR="00BF79F9">
        <w:t xml:space="preserve">esting of </w:t>
      </w:r>
      <w:r w:rsidR="00433663">
        <w:t xml:space="preserve">cloth </w:t>
      </w:r>
      <w:r w:rsidR="00BF79F9">
        <w:t>s</w:t>
      </w:r>
      <w:r w:rsidR="00E7317A">
        <w:t>amples taken from the bed</w:t>
      </w:r>
      <w:r w:rsidR="00433663">
        <w:t xml:space="preserve"> where the fire started</w:t>
      </w:r>
      <w:r w:rsidR="00BF79F9">
        <w:t xml:space="preserve"> </w:t>
      </w:r>
      <w:r w:rsidR="00981850">
        <w:t>confirmed the presence of</w:t>
      </w:r>
      <w:r w:rsidR="00E7317A">
        <w:t xml:space="preserve"> gasoline residu</w:t>
      </w:r>
      <w:r w:rsidR="00981850">
        <w:t>e.</w:t>
      </w:r>
      <w:r w:rsidR="00941AA6">
        <w:t xml:space="preserve"> </w:t>
      </w:r>
    </w:p>
    <w:p w14:paraId="40D73ECC" w14:textId="77777777" w:rsidR="00FA6165" w:rsidRDefault="00925C4E" w:rsidP="009957B0">
      <w:pPr>
        <w:spacing w:line="360" w:lineRule="auto"/>
      </w:pPr>
      <w:r>
        <w:lastRenderedPageBreak/>
        <w:tab/>
      </w:r>
      <w:r w:rsidR="00941AA6">
        <w:t>Buckner</w:t>
      </w:r>
      <w:r w:rsidR="00FD1127">
        <w:t xml:space="preserve"> lived alone at the time of the </w:t>
      </w:r>
      <w:proofErr w:type="gramStart"/>
      <w:r w:rsidR="00FD1127">
        <w:t>fire</w:t>
      </w:r>
      <w:proofErr w:type="gramEnd"/>
      <w:r w:rsidR="00FD1127">
        <w:t xml:space="preserve"> and no one was in the </w:t>
      </w:r>
      <w:r w:rsidR="00941AA6">
        <w:t>house</w:t>
      </w:r>
      <w:r w:rsidR="00FD1127">
        <w:t xml:space="preserve"> when the fire</w:t>
      </w:r>
      <w:r w:rsidR="00186A6B">
        <w:t>fighters arrived</w:t>
      </w:r>
      <w:r w:rsidR="00FD1127">
        <w:t>.</w:t>
      </w:r>
      <w:r w:rsidR="00A130AD">
        <w:t xml:space="preserve"> </w:t>
      </w:r>
      <w:r w:rsidR="00FD1127">
        <w:t xml:space="preserve"> </w:t>
      </w:r>
      <w:r>
        <w:t xml:space="preserve">Inside the home, </w:t>
      </w:r>
      <w:r w:rsidR="00DA1689">
        <w:t xml:space="preserve">arson investigators </w:t>
      </w:r>
      <w:r>
        <w:t>found a backpack contain</w:t>
      </w:r>
      <w:r w:rsidR="000C22C8">
        <w:t>ing</w:t>
      </w:r>
      <w:r w:rsidR="0083238D">
        <w:t xml:space="preserve"> several</w:t>
      </w:r>
      <w:r>
        <w:t xml:space="preserve"> cellphones,</w:t>
      </w:r>
      <w:r w:rsidR="00A047E5">
        <w:t xml:space="preserve"> a la</w:t>
      </w:r>
      <w:r w:rsidR="003E65CA">
        <w:t xml:space="preserve">ptop computer, </w:t>
      </w:r>
      <w:r w:rsidR="009957B0">
        <w:t>a vehicle pink slip, other financial documents, a resume, and two professional certificates.</w:t>
      </w:r>
      <w:r w:rsidR="00F4565C">
        <w:t xml:space="preserve"> </w:t>
      </w:r>
      <w:r w:rsidR="003E359F">
        <w:t xml:space="preserve"> </w:t>
      </w:r>
      <w:r w:rsidR="00F4565C">
        <w:t>Buckner’s</w:t>
      </w:r>
      <w:r w:rsidR="003E359F">
        <w:t xml:space="preserve"> car was parked in the garage.</w:t>
      </w:r>
      <w:r w:rsidR="00F4565C">
        <w:t xml:space="preserve"> </w:t>
      </w:r>
      <w:r w:rsidR="00870E88" w:rsidRPr="00870E88">
        <w:t xml:space="preserve"> </w:t>
      </w:r>
      <w:r w:rsidR="00B30284">
        <w:t>T</w:t>
      </w:r>
      <w:r w:rsidR="00870E88">
        <w:t>he investigator reported seeing a couch in the living room</w:t>
      </w:r>
      <w:r w:rsidR="00B30284">
        <w:t>,</w:t>
      </w:r>
      <w:r w:rsidR="00EA016E">
        <w:t xml:space="preserve"> a mattress with blankets and miscellaneous items in one bedroom</w:t>
      </w:r>
      <w:r w:rsidR="00F4565C">
        <w:t>,</w:t>
      </w:r>
      <w:r w:rsidR="00EA016E">
        <w:t xml:space="preserve"> and </w:t>
      </w:r>
      <w:r w:rsidR="00870E88">
        <w:t>a kid’s bed, a mattress, chairs</w:t>
      </w:r>
      <w:r w:rsidR="00E34BB3">
        <w:t>,</w:t>
      </w:r>
      <w:r w:rsidR="00870E88">
        <w:t xml:space="preserve"> and other furniture in the bedroom</w:t>
      </w:r>
      <w:r w:rsidR="00C467AE">
        <w:t xml:space="preserve"> where the fire started</w:t>
      </w:r>
      <w:r w:rsidR="00870E88">
        <w:t>.</w:t>
      </w:r>
      <w:r w:rsidR="00812402">
        <w:t xml:space="preserve"> </w:t>
      </w:r>
    </w:p>
    <w:p w14:paraId="40D73ECD" w14:textId="77777777" w:rsidR="008A0F01" w:rsidRDefault="00925C4E" w:rsidP="001F576C">
      <w:pPr>
        <w:spacing w:line="360" w:lineRule="auto"/>
      </w:pPr>
      <w:r>
        <w:tab/>
      </w:r>
      <w:r w:rsidR="00147230">
        <w:t>Around 5:00</w:t>
      </w:r>
      <w:r w:rsidR="00F071E8">
        <w:t> </w:t>
      </w:r>
      <w:r w:rsidR="00147230">
        <w:t>a</w:t>
      </w:r>
      <w:r w:rsidR="0045621F">
        <w:t>.</w:t>
      </w:r>
      <w:r w:rsidR="00147230">
        <w:t>m</w:t>
      </w:r>
      <w:r w:rsidR="0045621F">
        <w:t>.</w:t>
      </w:r>
      <w:r w:rsidR="00147230">
        <w:t xml:space="preserve"> on the</w:t>
      </w:r>
      <w:r w:rsidR="00A94E79">
        <w:t xml:space="preserve"> morning after the fire, </w:t>
      </w:r>
      <w:r w:rsidR="00D801DD">
        <w:t>Buckner</w:t>
      </w:r>
      <w:r w:rsidR="00FD1127">
        <w:t xml:space="preserve"> returned </w:t>
      </w:r>
      <w:r w:rsidR="00723805">
        <w:t xml:space="preserve">to the house and identified himself as the owner. </w:t>
      </w:r>
      <w:r w:rsidR="00D801DD">
        <w:t xml:space="preserve"> </w:t>
      </w:r>
      <w:r w:rsidR="00B11C70">
        <w:t>After f</w:t>
      </w:r>
      <w:r w:rsidR="00457936">
        <w:t xml:space="preserve">ire personnel prohibited him from entering the </w:t>
      </w:r>
      <w:r w:rsidR="00D801DD">
        <w:t>house</w:t>
      </w:r>
      <w:r w:rsidR="00B11C70">
        <w:t xml:space="preserve">, </w:t>
      </w:r>
      <w:r w:rsidR="00D801DD">
        <w:t>he</w:t>
      </w:r>
      <w:r w:rsidR="00B11C70">
        <w:t xml:space="preserve"> walked away</w:t>
      </w:r>
      <w:r w:rsidR="00A94E79">
        <w:t>.</w:t>
      </w:r>
      <w:r w:rsidR="00D801DD">
        <w:t xml:space="preserve"> </w:t>
      </w:r>
      <w:r w:rsidR="000C36DD">
        <w:t xml:space="preserve"> When he returned later that morning, he </w:t>
      </w:r>
      <w:r w:rsidR="00457936">
        <w:t xml:space="preserve">asked if he </w:t>
      </w:r>
      <w:r w:rsidR="005F3218">
        <w:t>could</w:t>
      </w:r>
      <w:r w:rsidR="001F576C">
        <w:t xml:space="preserve"> collect some clothing</w:t>
      </w:r>
      <w:r w:rsidR="00723805">
        <w:t xml:space="preserve"> from his </w:t>
      </w:r>
      <w:proofErr w:type="gramStart"/>
      <w:r w:rsidR="00723805">
        <w:t>house</w:t>
      </w:r>
      <w:r w:rsidR="001F576C">
        <w:t>, but</w:t>
      </w:r>
      <w:proofErr w:type="gramEnd"/>
      <w:r w:rsidR="001F576C">
        <w:t xml:space="preserve"> was told to stay outside for his safety and </w:t>
      </w:r>
      <w:r w:rsidR="005F7992">
        <w:t xml:space="preserve">due to </w:t>
      </w:r>
      <w:r w:rsidR="001F576C">
        <w:t xml:space="preserve">the ongoing investigation. </w:t>
      </w:r>
    </w:p>
    <w:p w14:paraId="40D73ECE" w14:textId="77777777" w:rsidR="00527E26" w:rsidRDefault="00925C4E" w:rsidP="001F576C">
      <w:pPr>
        <w:spacing w:line="360" w:lineRule="auto"/>
      </w:pPr>
      <w:r>
        <w:tab/>
      </w:r>
      <w:r w:rsidR="001F576C">
        <w:t>A</w:t>
      </w:r>
      <w:r w:rsidR="006D4783">
        <w:t>t that time, a</w:t>
      </w:r>
      <w:r w:rsidR="0091186A">
        <w:t xml:space="preserve">n arson investigator </w:t>
      </w:r>
      <w:r>
        <w:t xml:space="preserve">asked </w:t>
      </w:r>
      <w:r w:rsidR="00460564">
        <w:t>Buckner</w:t>
      </w:r>
      <w:r>
        <w:t xml:space="preserve"> if he </w:t>
      </w:r>
      <w:r w:rsidR="00743681">
        <w:t>was</w:t>
      </w:r>
      <w:r>
        <w:t xml:space="preserve"> willing to be interviewed at the </w:t>
      </w:r>
      <w:r w:rsidR="0091186A">
        <w:t>police station.</w:t>
      </w:r>
      <w:r w:rsidR="00460564">
        <w:t xml:space="preserve"> </w:t>
      </w:r>
      <w:r w:rsidR="0091186A">
        <w:t xml:space="preserve"> </w:t>
      </w:r>
      <w:r w:rsidR="00460564">
        <w:t>Buckner</w:t>
      </w:r>
      <w:r>
        <w:t xml:space="preserve"> agreed</w:t>
      </w:r>
      <w:r w:rsidR="00460564">
        <w:t>,</w:t>
      </w:r>
      <w:r w:rsidR="00044BEF">
        <w:t xml:space="preserve"> and </w:t>
      </w:r>
      <w:r w:rsidR="0099601E">
        <w:t>once they arrived at the station, he</w:t>
      </w:r>
      <w:r w:rsidR="00302C76">
        <w:t xml:space="preserve"> told the investigator that </w:t>
      </w:r>
      <w:r w:rsidR="00122723">
        <w:t>his house was in foreclosure because he had recently lost his job.</w:t>
      </w:r>
      <w:r w:rsidR="00460564">
        <w:t xml:space="preserve"> </w:t>
      </w:r>
      <w:r w:rsidR="00122723">
        <w:t xml:space="preserve"> He claimed that </w:t>
      </w:r>
      <w:r w:rsidR="00420332">
        <w:t xml:space="preserve">he was out walking </w:t>
      </w:r>
      <w:r w:rsidR="00C759C4">
        <w:t>i</w:t>
      </w:r>
      <w:r w:rsidR="00AF7729">
        <w:t xml:space="preserve">n a nearby nature </w:t>
      </w:r>
      <w:r w:rsidR="00C759C4">
        <w:t>reserve</w:t>
      </w:r>
      <w:r w:rsidR="00AF7729">
        <w:t xml:space="preserve"> at the time of the fire and did not return to the property until after the fire department had arrived.</w:t>
      </w:r>
    </w:p>
    <w:p w14:paraId="40D73ECF" w14:textId="77777777" w:rsidR="0008790E" w:rsidRDefault="00925C4E" w:rsidP="0008790E">
      <w:pPr>
        <w:spacing w:line="360" w:lineRule="auto"/>
      </w:pPr>
      <w:r>
        <w:tab/>
      </w:r>
      <w:r w:rsidR="00992614">
        <w:t>Buckner</w:t>
      </w:r>
      <w:r>
        <w:t xml:space="preserve"> testified at trial </w:t>
      </w:r>
      <w:r w:rsidR="001F4B8D">
        <w:t xml:space="preserve">that </w:t>
      </w:r>
      <w:r w:rsidR="004848ED">
        <w:t>he was living at t</w:t>
      </w:r>
      <w:r w:rsidR="00794850">
        <w:t>h</w:t>
      </w:r>
      <w:r w:rsidR="004848ED">
        <w:t xml:space="preserve">e </w:t>
      </w:r>
      <w:r w:rsidR="00992614">
        <w:t>house</w:t>
      </w:r>
      <w:r w:rsidR="004848ED">
        <w:t xml:space="preserve"> on November</w:t>
      </w:r>
      <w:r w:rsidR="00F071E8">
        <w:t> </w:t>
      </w:r>
      <w:r w:rsidR="004848ED">
        <w:t>30</w:t>
      </w:r>
      <w:r w:rsidR="00EA67BE">
        <w:t>.</w:t>
      </w:r>
      <w:r w:rsidR="00992614">
        <w:t xml:space="preserve"> </w:t>
      </w:r>
      <w:r>
        <w:t xml:space="preserve"> </w:t>
      </w:r>
      <w:r w:rsidR="006D1B62">
        <w:t xml:space="preserve">He denied setting the fire and claimed that he was not home </w:t>
      </w:r>
      <w:r w:rsidR="00104C2D">
        <w:t>w</w:t>
      </w:r>
      <w:r w:rsidR="006D1B62">
        <w:t>hen the fire started.</w:t>
      </w:r>
      <w:r w:rsidR="00992614">
        <w:t xml:space="preserve"> </w:t>
      </w:r>
      <w:r w:rsidR="006D1B62">
        <w:t xml:space="preserve"> </w:t>
      </w:r>
      <w:r>
        <w:t xml:space="preserve">He believed that someone broke into his house and set it </w:t>
      </w:r>
      <w:r>
        <w:t>on fire.</w:t>
      </w:r>
      <w:r w:rsidR="00992614">
        <w:t xml:space="preserve"> </w:t>
      </w:r>
      <w:r>
        <w:t xml:space="preserve"> He testified that he stopped paying his mortgage and was </w:t>
      </w:r>
      <w:r w:rsidR="000D774A">
        <w:t>“</w:t>
      </w:r>
      <w:r>
        <w:t xml:space="preserve">waiting for </w:t>
      </w:r>
      <w:r w:rsidR="000D774A">
        <w:t>it to foreclose”</w:t>
      </w:r>
      <w:r>
        <w:t xml:space="preserve"> because he did not want to live in the area anymore.</w:t>
      </w:r>
      <w:r w:rsidR="00992614">
        <w:t xml:space="preserve"> </w:t>
      </w:r>
      <w:r>
        <w:t xml:space="preserve"> </w:t>
      </w:r>
      <w:r w:rsidR="0042786A">
        <w:t xml:space="preserve">On </w:t>
      </w:r>
      <w:r w:rsidR="00E23F82">
        <w:t>cross-examination</w:t>
      </w:r>
      <w:r w:rsidR="00992614">
        <w:t>,</w:t>
      </w:r>
      <w:r w:rsidR="0042786A">
        <w:t xml:space="preserve"> </w:t>
      </w:r>
      <w:r w:rsidR="00992614">
        <w:t>Buckner</w:t>
      </w:r>
      <w:r w:rsidR="0042786A">
        <w:t xml:space="preserve"> clarified that he was “waiting to </w:t>
      </w:r>
      <w:r w:rsidR="00E23F82">
        <w:t>get</w:t>
      </w:r>
      <w:r w:rsidR="0042786A">
        <w:t xml:space="preserve"> evicted</w:t>
      </w:r>
      <w:r w:rsidR="00E23F82">
        <w:t>.”</w:t>
      </w:r>
    </w:p>
    <w:p w14:paraId="40D73ED0" w14:textId="77777777" w:rsidR="00CC6699" w:rsidRDefault="00925C4E" w:rsidP="006629CA">
      <w:pPr>
        <w:spacing w:line="360" w:lineRule="auto"/>
      </w:pPr>
      <w:r>
        <w:lastRenderedPageBreak/>
        <w:tab/>
      </w:r>
      <w:r w:rsidR="00992614">
        <w:t>Buckner’s</w:t>
      </w:r>
      <w:r w:rsidR="006E6FF9">
        <w:t xml:space="preserve"> mortgage lender filed an insurance claim</w:t>
      </w:r>
      <w:r w:rsidR="00C074AC">
        <w:t>,</w:t>
      </w:r>
      <w:r w:rsidR="006E6FF9">
        <w:t xml:space="preserve"> but </w:t>
      </w:r>
      <w:r w:rsidR="002135D2">
        <w:t>Buckner</w:t>
      </w:r>
      <w:r w:rsidR="006E6FF9">
        <w:t xml:space="preserve"> did not.</w:t>
      </w:r>
      <w:r w:rsidR="00B05CB0">
        <w:t xml:space="preserve"> </w:t>
      </w:r>
      <w:r w:rsidR="006E6FF9">
        <w:t xml:space="preserve"> The insurance adjuster </w:t>
      </w:r>
      <w:r w:rsidR="00DA779D">
        <w:t xml:space="preserve">determined </w:t>
      </w:r>
      <w:r w:rsidR="002135D2">
        <w:t xml:space="preserve">that </w:t>
      </w:r>
      <w:r w:rsidR="00DA779D">
        <w:t>the damage would cost $151,757 to repair and that asbestos abetment would cost an additional $28,876.</w:t>
      </w:r>
      <w:r w:rsidR="00B05CB0">
        <w:t xml:space="preserve"> </w:t>
      </w:r>
      <w:r w:rsidR="004417E1">
        <w:t xml:space="preserve"> </w:t>
      </w:r>
      <w:r w:rsidR="00A22947">
        <w:t xml:space="preserve">These amounts were paid </w:t>
      </w:r>
      <w:r w:rsidR="00E95340">
        <w:t xml:space="preserve">jointly to Buckner and </w:t>
      </w:r>
      <w:r w:rsidR="00A22947">
        <w:t>the lender.</w:t>
      </w:r>
    </w:p>
    <w:p w14:paraId="40D73ED1" w14:textId="77777777" w:rsidR="00A256E1" w:rsidRDefault="00925C4E" w:rsidP="00D30982">
      <w:pPr>
        <w:spacing w:line="360" w:lineRule="auto"/>
      </w:pPr>
      <w:r>
        <w:tab/>
      </w:r>
      <w:r w:rsidR="002B4CF3">
        <w:t xml:space="preserve">The jury found </w:t>
      </w:r>
      <w:r w:rsidR="002135D2">
        <w:t>Buckner</w:t>
      </w:r>
      <w:r w:rsidR="006629CA">
        <w:t xml:space="preserve"> guilty as charged. </w:t>
      </w:r>
    </w:p>
    <w:p w14:paraId="40D73ED2" w14:textId="77777777" w:rsidR="00D30982" w:rsidRDefault="00925C4E" w:rsidP="00D30982">
      <w:pPr>
        <w:spacing w:line="360" w:lineRule="auto"/>
      </w:pPr>
      <w:r>
        <w:tab/>
        <w:t>On March</w:t>
      </w:r>
      <w:r w:rsidR="00017D5E">
        <w:t> </w:t>
      </w:r>
      <w:r>
        <w:t>16, 2021, t</w:t>
      </w:r>
      <w:r w:rsidR="002B4CF3">
        <w:t xml:space="preserve">he court sentenced </w:t>
      </w:r>
      <w:r w:rsidR="002135D2">
        <w:t>Buckner</w:t>
      </w:r>
      <w:r w:rsidR="002B4CF3">
        <w:t xml:space="preserve"> to </w:t>
      </w:r>
      <w:r w:rsidR="006629CA">
        <w:t>three years in state prison.</w:t>
      </w:r>
      <w:r w:rsidR="00C47CBA">
        <w:t xml:space="preserve"> </w:t>
      </w:r>
      <w:r w:rsidR="006629CA">
        <w:t xml:space="preserve"> The court ordered restitution to </w:t>
      </w:r>
      <w:r w:rsidR="00C47CBA">
        <w:t>Buckner’s</w:t>
      </w:r>
      <w:r w:rsidR="00270B07">
        <w:t xml:space="preserve"> insurance company</w:t>
      </w:r>
      <w:r w:rsidR="006629CA">
        <w:t xml:space="preserve"> in the amount of $170,651.05 and to the </w:t>
      </w:r>
      <w:r w:rsidR="00270B07">
        <w:t>mortgage lender and the f</w:t>
      </w:r>
      <w:r w:rsidR="006629CA">
        <w:t xml:space="preserve">ire </w:t>
      </w:r>
      <w:r w:rsidR="00270B07">
        <w:t>d</w:t>
      </w:r>
      <w:r w:rsidR="006629CA">
        <w:t>epartment in amount</w:t>
      </w:r>
      <w:r w:rsidR="00902005">
        <w:t>s</w:t>
      </w:r>
      <w:r w:rsidR="006629CA">
        <w:t xml:space="preserve"> to be determined.</w:t>
      </w:r>
      <w:r w:rsidR="005F1EA4">
        <w:t xml:space="preserve"> </w:t>
      </w:r>
      <w:r w:rsidR="006629CA">
        <w:t xml:space="preserve"> </w:t>
      </w:r>
      <w:r>
        <w:t>On March</w:t>
      </w:r>
      <w:r w:rsidR="00DD436A">
        <w:t> </w:t>
      </w:r>
      <w:r>
        <w:t xml:space="preserve">19, 2021, </w:t>
      </w:r>
      <w:r w:rsidR="005F1EA4">
        <w:t>Buckner</w:t>
      </w:r>
      <w:r w:rsidR="002B4CF3">
        <w:t xml:space="preserve"> timely</w:t>
      </w:r>
      <w:r w:rsidR="006629CA">
        <w:t xml:space="preserve"> filed a notice of appeal</w:t>
      </w:r>
      <w:r w:rsidR="002B4CF3">
        <w:t>.</w:t>
      </w:r>
      <w:r>
        <w:rPr>
          <w:rStyle w:val="FootnoteReference"/>
        </w:rPr>
        <w:footnoteReference w:id="5"/>
      </w:r>
    </w:p>
    <w:p w14:paraId="40D73ED3" w14:textId="77777777" w:rsidR="00D30982" w:rsidRDefault="00925C4E" w:rsidP="00775823">
      <w:pPr>
        <w:spacing w:before="120" w:after="120" w:line="360" w:lineRule="auto"/>
        <w:jc w:val="center"/>
        <w:rPr>
          <w:b/>
          <w:bCs/>
        </w:rPr>
      </w:pPr>
      <w:r>
        <w:rPr>
          <w:b/>
          <w:bCs/>
        </w:rPr>
        <w:t>DISCUSSION</w:t>
      </w:r>
    </w:p>
    <w:p w14:paraId="40D73ED4" w14:textId="77777777" w:rsidR="00315163" w:rsidRPr="0090142E" w:rsidRDefault="00925C4E" w:rsidP="00315163">
      <w:pPr>
        <w:pStyle w:val="ListParagraph"/>
        <w:numPr>
          <w:ilvl w:val="0"/>
          <w:numId w:val="8"/>
        </w:numPr>
        <w:spacing w:line="360" w:lineRule="auto"/>
        <w:rPr>
          <w:b/>
          <w:bCs/>
        </w:rPr>
      </w:pPr>
      <w:r w:rsidRPr="0090142E">
        <w:rPr>
          <w:b/>
          <w:bCs/>
        </w:rPr>
        <w:t>Burning of an Inhabited Structure</w:t>
      </w:r>
    </w:p>
    <w:p w14:paraId="40D73ED5" w14:textId="77777777" w:rsidR="00315163" w:rsidRDefault="00925C4E" w:rsidP="00315163">
      <w:pPr>
        <w:spacing w:line="360" w:lineRule="auto"/>
      </w:pPr>
      <w:r>
        <w:t xml:space="preserve"> </w:t>
      </w:r>
      <w:r>
        <w:tab/>
        <w:t xml:space="preserve">Section 451 punishes arson “that causes an inhabited structure or inhabited property to burn </w:t>
      </w:r>
      <w:r>
        <w:t>. . . .”  (§ 451, subd. (b).)  “Inhabited” is defined as “currently being used for dwelling purposes whether occupied or not.”  (§ 450, subd. (d).)  The statute “requires current inhabitation, i.e., that the structure be inhabited at the present time,” whi</w:t>
      </w:r>
      <w:r>
        <w:t>ch is “the time the fire is set.”  (</w:t>
      </w:r>
      <w:r w:rsidRPr="00996592">
        <w:rPr>
          <w:i/>
          <w:iCs/>
        </w:rPr>
        <w:t>People v. Vang</w:t>
      </w:r>
      <w:r>
        <w:t xml:space="preserve"> (2016) 1 Cal.App.5th 377, 386; see also </w:t>
      </w:r>
      <w:r w:rsidRPr="00D7022F">
        <w:rPr>
          <w:i/>
          <w:iCs/>
        </w:rPr>
        <w:t>People v. Jones</w:t>
      </w:r>
      <w:r>
        <w:t xml:space="preserve"> (1988) 199 Cal.App.3d 543, 549 (</w:t>
      </w:r>
      <w:r w:rsidRPr="009715EC">
        <w:rPr>
          <w:i/>
          <w:iCs/>
        </w:rPr>
        <w:t>Jones</w:t>
      </w:r>
      <w:r>
        <w:t>) [evidence must show that “someone had the present intent to use the house as a dwelling at the time of the fir</w:t>
      </w:r>
      <w:r>
        <w:t xml:space="preserve">e”].)  Buckner interprets this requirement to mean that the prosecution must prove that he intended to continue living in the house </w:t>
      </w:r>
      <w:r w:rsidRPr="00A071E7">
        <w:rPr>
          <w:i/>
          <w:iCs/>
        </w:rPr>
        <w:t>after</w:t>
      </w:r>
      <w:r>
        <w:t xml:space="preserve"> the fire, “not just . . . prior to and at the time that the burning occurred.”  </w:t>
      </w:r>
      <w:r w:rsidR="001768EE">
        <w:t>We disagree</w:t>
      </w:r>
      <w:r>
        <w:t>.</w:t>
      </w:r>
    </w:p>
    <w:p w14:paraId="40D73ED6" w14:textId="77777777" w:rsidR="00315163" w:rsidRDefault="00925C4E" w:rsidP="00315163">
      <w:pPr>
        <w:spacing w:line="360" w:lineRule="auto"/>
      </w:pPr>
      <w:r>
        <w:lastRenderedPageBreak/>
        <w:tab/>
        <w:t xml:space="preserve">Buckner relies on cases </w:t>
      </w:r>
      <w:r>
        <w:t xml:space="preserve">in which a structure has been vacated at some point before the fire is set.  The question in those cases is whether an </w:t>
      </w:r>
      <w:r w:rsidRPr="00B15E63">
        <w:t>unoccupied</w:t>
      </w:r>
      <w:r>
        <w:t xml:space="preserve"> house is “inhabited”—i.e., whether it is “currently being used for dwelling purposes” notwithstanding that the residents previ</w:t>
      </w:r>
      <w:r>
        <w:t xml:space="preserve">ously left it.  Courts have held that such a structure is “inhabited” if the residents, when they vacated it, intended to </w:t>
      </w:r>
      <w:proofErr w:type="gramStart"/>
      <w:r>
        <w:t>return</w:t>
      </w:r>
      <w:proofErr w:type="gramEnd"/>
      <w:r>
        <w:t xml:space="preserve"> and continue living there.  So, for example, in </w:t>
      </w:r>
      <w:r w:rsidRPr="009171A3">
        <w:rPr>
          <w:i/>
          <w:iCs/>
        </w:rPr>
        <w:t>Jones</w:t>
      </w:r>
      <w:r>
        <w:t xml:space="preserve">, </w:t>
      </w:r>
      <w:r w:rsidRPr="00055B0B">
        <w:rPr>
          <w:i/>
          <w:iCs/>
        </w:rPr>
        <w:t>supra</w:t>
      </w:r>
      <w:r>
        <w:t xml:space="preserve">, 199 Cal.App.3d 543, the defendant and his roommates were evicted </w:t>
      </w:r>
      <w:r>
        <w:t xml:space="preserve">from a house after the </w:t>
      </w:r>
      <w:proofErr w:type="gramStart"/>
      <w:r>
        <w:t>landlord</w:t>
      </w:r>
      <w:proofErr w:type="gramEnd"/>
      <w:r>
        <w:t xml:space="preserve"> obtained an unlawful detainer judgment.  (</w:t>
      </w:r>
      <w:r w:rsidRPr="00464FA1">
        <w:rPr>
          <w:i/>
          <w:iCs/>
        </w:rPr>
        <w:t>Id</w:t>
      </w:r>
      <w:r>
        <w:t>. at p. 545.)  The defendant came back the next day and burned the house down.  (</w:t>
      </w:r>
      <w:r w:rsidRPr="00464FA1">
        <w:rPr>
          <w:i/>
          <w:iCs/>
        </w:rPr>
        <w:t>Ibid</w:t>
      </w:r>
      <w:r>
        <w:t xml:space="preserve">.)  He was convicted of arson of an inhabited dwelling and argued on appeal that the house was </w:t>
      </w:r>
      <w:r>
        <w:t>not inhabited because the tenants had been evicted and neither new tenants nor the owner had moved in.  (</w:t>
      </w:r>
      <w:r w:rsidRPr="00464FA1">
        <w:rPr>
          <w:i/>
          <w:iCs/>
        </w:rPr>
        <w:t>I</w:t>
      </w:r>
      <w:r w:rsidR="002C1810">
        <w:rPr>
          <w:i/>
          <w:iCs/>
        </w:rPr>
        <w:t>bi</w:t>
      </w:r>
      <w:r w:rsidRPr="00464FA1">
        <w:rPr>
          <w:i/>
          <w:iCs/>
        </w:rPr>
        <w:t>d</w:t>
      </w:r>
      <w:r>
        <w:t>.)  The court held that “</w:t>
      </w:r>
      <w:r w:rsidRPr="00990D77">
        <w:t>the requirement the structure be ‘currently used’ for dwelling purposes requires the People to prove at least one of the e</w:t>
      </w:r>
      <w:r w:rsidRPr="00990D77">
        <w:t xml:space="preserve">victed tenants intended to continue living in the house after the </w:t>
      </w:r>
      <w:r w:rsidRPr="00C3792C">
        <w:rPr>
          <w:i/>
          <w:iCs/>
        </w:rPr>
        <w:t>eviction</w:t>
      </w:r>
      <w:r w:rsidRPr="00990D77">
        <w:t xml:space="preserve">.” </w:t>
      </w:r>
      <w:r>
        <w:t xml:space="preserve"> (</w:t>
      </w:r>
      <w:r>
        <w:rPr>
          <w:i/>
          <w:iCs/>
        </w:rPr>
        <w:t xml:space="preserve">Id. </w:t>
      </w:r>
      <w:r>
        <w:t>at p. 548, italics added.)</w:t>
      </w:r>
      <w:r w:rsidRPr="00990D77">
        <w:t xml:space="preserve"> </w:t>
      </w:r>
      <w:r>
        <w:t xml:space="preserve"> The court had no occasion to consider whether the prosecution had to prove that one of the tenants intended to continue living in the house after</w:t>
      </w:r>
      <w:r>
        <w:t xml:space="preserve"> the </w:t>
      </w:r>
      <w:r w:rsidRPr="00574887">
        <w:rPr>
          <w:i/>
          <w:iCs/>
        </w:rPr>
        <w:t>fire</w:t>
      </w:r>
      <w:r>
        <w:t>.</w:t>
      </w:r>
    </w:p>
    <w:p w14:paraId="40D73ED7" w14:textId="77777777" w:rsidR="00315163" w:rsidRDefault="00925C4E" w:rsidP="00315163">
      <w:pPr>
        <w:spacing w:line="360" w:lineRule="auto"/>
      </w:pPr>
      <w:r>
        <w:tab/>
        <w:t xml:space="preserve">Buckner focuses on </w:t>
      </w:r>
      <w:r w:rsidR="00394C01">
        <w:t>a</w:t>
      </w:r>
      <w:r>
        <w:t xml:space="preserve"> sentence in the portion of the court’s opinion assessing the evidence:  “Even if defendant did spend the night in the house, </w:t>
      </w:r>
      <w:r w:rsidRPr="005C14C9">
        <w:t>setting fire to a house contravenes an intent to use it for dwelling purposes</w:t>
      </w:r>
      <w:r>
        <w:t>.”  (</w:t>
      </w:r>
      <w:r>
        <w:rPr>
          <w:i/>
          <w:iCs/>
        </w:rPr>
        <w:t>Jones</w:t>
      </w:r>
      <w:r w:rsidRPr="00C67658">
        <w:t xml:space="preserve">, </w:t>
      </w:r>
      <w:r>
        <w:rPr>
          <w:i/>
          <w:iCs/>
        </w:rPr>
        <w:t>supra</w:t>
      </w:r>
      <w:r w:rsidRPr="00C67658">
        <w:t>, 19</w:t>
      </w:r>
      <w:r w:rsidRPr="00C67658">
        <w:t>9 Cal.App.3d</w:t>
      </w:r>
      <w:r>
        <w:rPr>
          <w:i/>
          <w:iCs/>
        </w:rPr>
        <w:t>.</w:t>
      </w:r>
      <w:r>
        <w:t xml:space="preserve"> at p. 549.)  That sentence, however, immediately followed observations that “there was no evidence anyone slept in the house after the eviction,” and that the fact the defendant and others “were seen leaving the house at 8:30 or 9:00 a.m. doe</w:t>
      </w:r>
      <w:r>
        <w:t>s not support an inference any of them spent the night there.”  (</w:t>
      </w:r>
      <w:r>
        <w:rPr>
          <w:i/>
          <w:iCs/>
        </w:rPr>
        <w:t>Ibid.</w:t>
      </w:r>
      <w:r>
        <w:t xml:space="preserve">)  “ ‘ “It is axiomatic that </w:t>
      </w:r>
      <w:r w:rsidRPr="005F041E">
        <w:t xml:space="preserve">language in a judicial opinion is to be understood in accordance with the facts </w:t>
      </w:r>
      <w:r w:rsidRPr="005F041E">
        <w:lastRenderedPageBreak/>
        <w:t>and issues before the court</w:t>
      </w:r>
      <w:r>
        <w:t>.” ’ ”  (</w:t>
      </w:r>
      <w:r w:rsidRPr="00052799">
        <w:rPr>
          <w:i/>
          <w:iCs/>
        </w:rPr>
        <w:t>People v. Knoller</w:t>
      </w:r>
      <w:r>
        <w:t xml:space="preserve"> (2007) 41 Cal.4th 139, 154–155.)  In </w:t>
      </w:r>
      <w:r w:rsidRPr="00973563">
        <w:rPr>
          <w:i/>
          <w:iCs/>
        </w:rPr>
        <w:t>Jones</w:t>
      </w:r>
      <w:r>
        <w:t>, the issue was whether the eviction established that the house was not inhabite</w:t>
      </w:r>
      <w:r>
        <w:t>d, and the court held it did not unless the evidence also showed that the defendant (and other tenants) did not intend to return after being evicted.  (</w:t>
      </w:r>
      <w:r>
        <w:rPr>
          <w:i/>
          <w:iCs/>
        </w:rPr>
        <w:t>Jones</w:t>
      </w:r>
      <w:r>
        <w:t>, at pp. 545–546.)  In context, and as indicated by the sentences that precede it, the court’s stat</w:t>
      </w:r>
      <w:r>
        <w:t>ement meant that the defendant’s setting of the fire the next day was evidence that he did not intend to continue living in the house after he was evicted.  It does not mean that arsonist</w:t>
      </w:r>
      <w:r w:rsidR="002241DF">
        <w:t>s</w:t>
      </w:r>
      <w:r>
        <w:t xml:space="preserve"> who intend to destroy </w:t>
      </w:r>
      <w:r w:rsidR="002241DF">
        <w:t>their</w:t>
      </w:r>
      <w:r>
        <w:t xml:space="preserve"> current dwelling </w:t>
      </w:r>
      <w:r w:rsidR="002241DF">
        <w:t>are</w:t>
      </w:r>
      <w:r>
        <w:t xml:space="preserve"> not guilty of burn</w:t>
      </w:r>
      <w:r>
        <w:t>ing an inhabited structure.</w:t>
      </w:r>
    </w:p>
    <w:p w14:paraId="40D73ED8" w14:textId="77777777" w:rsidR="00315163" w:rsidRDefault="00925C4E" w:rsidP="00315163">
      <w:pPr>
        <w:spacing w:line="360" w:lineRule="auto"/>
      </w:pPr>
      <w:r>
        <w:tab/>
        <w:t xml:space="preserve">Buckner also cites </w:t>
      </w:r>
      <w:r w:rsidRPr="00183A2A">
        <w:rPr>
          <w:i/>
          <w:iCs/>
        </w:rPr>
        <w:t>Mason v. Superior Court</w:t>
      </w:r>
      <w:r>
        <w:t xml:space="preserve"> (2015) 242 Cal.App.4th 773, in which the defendant challenged the sufficiency of the evidence because the fire captain testified to the grand jury that the owner of the destroyed home </w:t>
      </w:r>
      <w:r>
        <w:t>had said only that he “had been to the house within the last couple of years.”  (</w:t>
      </w:r>
      <w:r>
        <w:rPr>
          <w:i/>
          <w:iCs/>
        </w:rPr>
        <w:t>Id.</w:t>
      </w:r>
      <w:r>
        <w:t xml:space="preserve"> at p. 789.)  Citing </w:t>
      </w:r>
      <w:r>
        <w:rPr>
          <w:i/>
          <w:iCs/>
        </w:rPr>
        <w:t>Jones</w:t>
      </w:r>
      <w:r>
        <w:t>, the court found sufficient evidence “that the owner intended to return” because the owner himself testified, “ ‘</w:t>
      </w:r>
      <w:r w:rsidRPr="002A28B3">
        <w:t>We had every intention of contin</w:t>
      </w:r>
      <w:r w:rsidRPr="002A28B3">
        <w:t>uing to use it in the same way that we have been using it since it was built in</w:t>
      </w:r>
      <w:r>
        <w:t> </w:t>
      </w:r>
      <w:r w:rsidRPr="002A28B3">
        <w:t>1976, which was every couple of weekends.</w:t>
      </w:r>
      <w:r>
        <w:t>’ </w:t>
      </w:r>
      <w:r w:rsidRPr="002A28B3">
        <w:t>”</w:t>
      </w:r>
      <w:r>
        <w:t xml:space="preserve">  (</w:t>
      </w:r>
      <w:r>
        <w:rPr>
          <w:i/>
          <w:iCs/>
        </w:rPr>
        <w:t>Ibid</w:t>
      </w:r>
      <w:r>
        <w:t xml:space="preserve">.)  As in </w:t>
      </w:r>
      <w:r>
        <w:rPr>
          <w:i/>
          <w:iCs/>
        </w:rPr>
        <w:t>Jones</w:t>
      </w:r>
      <w:r>
        <w:t xml:space="preserve">, the question in </w:t>
      </w:r>
      <w:r>
        <w:rPr>
          <w:i/>
          <w:iCs/>
        </w:rPr>
        <w:t>Mason</w:t>
      </w:r>
      <w:r>
        <w:t xml:space="preserve"> was whether the residents intended to return to the house notwithstanding having previ</w:t>
      </w:r>
      <w:r>
        <w:t xml:space="preserve">ously vacated it. </w:t>
      </w:r>
    </w:p>
    <w:p w14:paraId="40D73ED9" w14:textId="77777777" w:rsidR="00315163" w:rsidRDefault="00925C4E" w:rsidP="00315163">
      <w:pPr>
        <w:spacing w:line="360" w:lineRule="auto"/>
      </w:pPr>
      <w:r>
        <w:tab/>
        <w:t xml:space="preserve">Buckner’s opening brief </w:t>
      </w:r>
      <w:r w:rsidR="00FF4755">
        <w:t xml:space="preserve">additionally </w:t>
      </w:r>
      <w:r w:rsidR="00812D8B">
        <w:t xml:space="preserve">relies </w:t>
      </w:r>
      <w:r w:rsidR="00FF4755">
        <w:t>on</w:t>
      </w:r>
      <w:r>
        <w:t xml:space="preserve"> two cases in which the resident of the house died before the defendant set fire to it.  (See </w:t>
      </w:r>
      <w:r w:rsidRPr="006E0656">
        <w:rPr>
          <w:i/>
          <w:iCs/>
        </w:rPr>
        <w:t>People v. Vang</w:t>
      </w:r>
      <w:r>
        <w:t xml:space="preserve">, </w:t>
      </w:r>
      <w:r w:rsidRPr="00B37A54">
        <w:rPr>
          <w:i/>
          <w:iCs/>
        </w:rPr>
        <w:t>supra</w:t>
      </w:r>
      <w:r>
        <w:t xml:space="preserve">, 1 Cal.App.5th 377, 382; </w:t>
      </w:r>
      <w:r w:rsidRPr="00C30326">
        <w:rPr>
          <w:i/>
          <w:iCs/>
        </w:rPr>
        <w:t>People v. Ramos</w:t>
      </w:r>
      <w:r>
        <w:t xml:space="preserve"> (1997) 52 Cal.App.4th 300, 302.) </w:t>
      </w:r>
      <w:r>
        <w:t xml:space="preserve"> In both cases, the courts held that the deceased was not currently using the structure for dwelling purposes when the fire was set, and they cited </w:t>
      </w:r>
      <w:r>
        <w:rPr>
          <w:i/>
          <w:iCs/>
        </w:rPr>
        <w:t>Jones</w:t>
      </w:r>
      <w:r>
        <w:t xml:space="preserve"> in observing that a person who has died cannot intend to return </w:t>
      </w:r>
      <w:r>
        <w:lastRenderedPageBreak/>
        <w:t>or to continue living in the house.  (</w:t>
      </w:r>
      <w:r>
        <w:rPr>
          <w:i/>
          <w:iCs/>
        </w:rPr>
        <w:t>Vang</w:t>
      </w:r>
      <w:r>
        <w:t>, at p. 386;</w:t>
      </w:r>
      <w:r>
        <w:rPr>
          <w:i/>
          <w:iCs/>
        </w:rPr>
        <w:t xml:space="preserve"> Ramos</w:t>
      </w:r>
      <w:r>
        <w:t>, at p. 302.)  But the point in both cases was that the house ceased to be inhabited at the time of the resident’s death.  Neither case considered whether the prosecution must prove the resident’s intent to continue to use the house f</w:t>
      </w:r>
      <w:r>
        <w:t xml:space="preserve">or dwelling purposes after the </w:t>
      </w:r>
      <w:r w:rsidRPr="008E5CF5">
        <w:t>fire</w:t>
      </w:r>
      <w:r>
        <w:t>.</w:t>
      </w:r>
    </w:p>
    <w:p w14:paraId="40D73EDA" w14:textId="77777777" w:rsidR="00315163" w:rsidRDefault="00925C4E" w:rsidP="00315163">
      <w:pPr>
        <w:spacing w:line="360" w:lineRule="auto"/>
      </w:pPr>
      <w:r>
        <w:tab/>
        <w:t xml:space="preserve">In his reply brief, Buckner invokes </w:t>
      </w:r>
      <w:r>
        <w:rPr>
          <w:i/>
          <w:iCs/>
        </w:rPr>
        <w:t xml:space="preserve">People v. </w:t>
      </w:r>
      <w:r w:rsidRPr="00131C15">
        <w:rPr>
          <w:i/>
          <w:iCs/>
        </w:rPr>
        <w:t>Villalobos</w:t>
      </w:r>
      <w:r>
        <w:t xml:space="preserve"> (2006) </w:t>
      </w:r>
      <w:r w:rsidRPr="00131C15">
        <w:t>145</w:t>
      </w:r>
      <w:r>
        <w:t> </w:t>
      </w:r>
      <w:r w:rsidRPr="00131C15">
        <w:t>Cal.App.4th 310</w:t>
      </w:r>
      <w:r>
        <w:t xml:space="preserve">, 315–316, which involved charges of burglary and robbery that rely on an identically-worded definition of “inhabited” in section 459. </w:t>
      </w:r>
      <w:r>
        <w:t xml:space="preserve"> </w:t>
      </w:r>
      <w:r w:rsidR="007909FD">
        <w:t>Unlike the other cases Buckner cites,</w:t>
      </w:r>
      <w:r w:rsidR="005F769F">
        <w:t xml:space="preserve"> </w:t>
      </w:r>
      <w:r>
        <w:t xml:space="preserve">the court </w:t>
      </w:r>
      <w:r w:rsidRPr="00F5464F">
        <w:t>did</w:t>
      </w:r>
      <w:r>
        <w:t xml:space="preserve"> consider whether the prosecution must prove that the resident intended to continue using the structure for dwelling purposes after the crime.  But it concluded there is no such requirement.  The defendants there argued that a motel room is not “inhabited”</w:t>
      </w:r>
      <w:r>
        <w:t xml:space="preserve"> when it is rented for only one night, because the occupant does not intend to return.  (</w:t>
      </w:r>
      <w:r>
        <w:rPr>
          <w:i/>
          <w:iCs/>
        </w:rPr>
        <w:t>Id.</w:t>
      </w:r>
      <w:r>
        <w:t xml:space="preserve"> at p. 316.)  In disagreeing with the defendants’ argument, the court</w:t>
      </w:r>
      <w:r w:rsidRPr="003D08D6">
        <w:t xml:space="preserve"> </w:t>
      </w:r>
      <w:r>
        <w:t>explained</w:t>
      </w:r>
      <w:r w:rsidRPr="003D08D6">
        <w:t xml:space="preserve"> that </w:t>
      </w:r>
      <w:r>
        <w:t xml:space="preserve">the phrase </w:t>
      </w:r>
      <w:r w:rsidRPr="003D08D6">
        <w:t>“</w:t>
      </w:r>
      <w:r>
        <w:t> ‘</w:t>
      </w:r>
      <w:r w:rsidRPr="002452D2">
        <w:rPr>
          <w:i/>
          <w:iCs/>
        </w:rPr>
        <w:t>intending to continue doing so in the future</w:t>
      </w:r>
      <w:r>
        <w:t>,’ </w:t>
      </w:r>
      <w:r w:rsidRPr="003D08D6">
        <w:t xml:space="preserve">” </w:t>
      </w:r>
      <w:r>
        <w:t>which appeared i</w:t>
      </w:r>
      <w:r>
        <w:t>n an earlier opinion on which the defendants relied,</w:t>
      </w:r>
      <w:r w:rsidRPr="003D08D6">
        <w:t xml:space="preserve"> ha</w:t>
      </w:r>
      <w:r>
        <w:t>d</w:t>
      </w:r>
      <w:r w:rsidRPr="003D08D6">
        <w:t xml:space="preserve"> been taken out of context, and </w:t>
      </w:r>
      <w:r>
        <w:t>originated in</w:t>
      </w:r>
      <w:r w:rsidRPr="003D08D6">
        <w:t xml:space="preserve"> cases in which “the issue is when a dwelling that was once inhabited becomes uninhabited for the purposes of the burglary and robbery statutes.</w:t>
      </w:r>
      <w:r>
        <w:t>”  (</w:t>
      </w:r>
      <w:r>
        <w:rPr>
          <w:i/>
          <w:iCs/>
        </w:rPr>
        <w:t>Id.</w:t>
      </w:r>
      <w:r>
        <w:t xml:space="preserve"> at </w:t>
      </w:r>
      <w:r>
        <w:t>pp. 319–320.)</w:t>
      </w:r>
      <w:r w:rsidRPr="003D08D6">
        <w:t xml:space="preserve"> </w:t>
      </w:r>
      <w:r>
        <w:t xml:space="preserve"> The resident’s intent to return matters if the resident has previously moved out, but where the victim</w:t>
      </w:r>
      <w:r w:rsidRPr="003D08D6">
        <w:t xml:space="preserve"> </w:t>
      </w:r>
      <w:r>
        <w:t>“</w:t>
      </w:r>
      <w:r w:rsidRPr="003D08D6">
        <w:t>had not moved out of the motel room, temporarily or otherwise, her intent to continue using the room simply has no bearing on whether the</w:t>
      </w:r>
      <w:r w:rsidRPr="003D08D6">
        <w:t xml:space="preserve"> room was inhabited at the time of the robbery.</w:t>
      </w:r>
      <w:r>
        <w:t>”  (</w:t>
      </w:r>
      <w:r>
        <w:rPr>
          <w:i/>
          <w:iCs/>
        </w:rPr>
        <w:t xml:space="preserve">Id. </w:t>
      </w:r>
      <w:r w:rsidRPr="00681945">
        <w:t>at p. 320</w:t>
      </w:r>
      <w:r>
        <w:rPr>
          <w:i/>
          <w:iCs/>
        </w:rPr>
        <w:t>.</w:t>
      </w:r>
      <w:r>
        <w:t>)</w:t>
      </w:r>
      <w:r w:rsidRPr="003D08D6">
        <w:t xml:space="preserve"> </w:t>
      </w:r>
      <w:r>
        <w:t xml:space="preserve"> Thus, the court concluded, “[</w:t>
      </w:r>
      <w:proofErr w:type="spellStart"/>
      <w:r>
        <w:t>i</w:t>
      </w:r>
      <w:proofErr w:type="spellEnd"/>
      <w:r>
        <w:t>]</w:t>
      </w:r>
      <w:r w:rsidRPr="003D08D6">
        <w:t>f the person is using the structure as a habitation when the burglary or robbery occurs, his possible intent to abandon the habitation in the future does not</w:t>
      </w:r>
      <w:r w:rsidRPr="003D08D6">
        <w:t xml:space="preserve"> alter its character as an inhabited dwelling.”</w:t>
      </w:r>
      <w:r>
        <w:t xml:space="preserve"> </w:t>
      </w:r>
      <w:r w:rsidRPr="003D08D6">
        <w:t xml:space="preserve"> (</w:t>
      </w:r>
      <w:r>
        <w:rPr>
          <w:i/>
          <w:iCs/>
        </w:rPr>
        <w:t>Ibid</w:t>
      </w:r>
      <w:r w:rsidRPr="003D08D6">
        <w:t xml:space="preserve">.)  </w:t>
      </w:r>
    </w:p>
    <w:p w14:paraId="40D73EDB" w14:textId="77777777" w:rsidR="00315163" w:rsidRDefault="00925C4E" w:rsidP="00315163">
      <w:pPr>
        <w:spacing w:line="360" w:lineRule="auto"/>
      </w:pPr>
      <w:r>
        <w:lastRenderedPageBreak/>
        <w:tab/>
        <w:t>Buckner does not argue that</w:t>
      </w:r>
      <w:r w:rsidR="00F22E81">
        <w:t xml:space="preserve"> the word</w:t>
      </w:r>
      <w:r>
        <w:t xml:space="preserve"> “inhabited” has a different meaning in the context of the arson statute, and under </w:t>
      </w:r>
      <w:r>
        <w:rPr>
          <w:i/>
          <w:iCs/>
        </w:rPr>
        <w:t>Villalobos</w:t>
      </w:r>
      <w:r>
        <w:t>, whether he intended to continue living at the house in the futur</w:t>
      </w:r>
      <w:r>
        <w:t>e is immaterial.  The relevant question is whether he was living there when the fire was set.  Buckner himself testified that he was living at the house on the day of the fire.  The physical evidence was consistent with this testimony.  His furniture, clot</w:t>
      </w:r>
      <w:r>
        <w:t xml:space="preserve">hing, cell phones, a laptop computer, important documents, and car were in the home.  Substantial evidence therefore supports the jury’s conclusion that the house was inhabited at the time of the fire.  </w:t>
      </w:r>
    </w:p>
    <w:p w14:paraId="40D73EDC" w14:textId="77777777" w:rsidR="00BF7905" w:rsidRPr="0090142E" w:rsidRDefault="00925C4E" w:rsidP="0086111B">
      <w:pPr>
        <w:pStyle w:val="ListParagraph"/>
        <w:numPr>
          <w:ilvl w:val="0"/>
          <w:numId w:val="8"/>
        </w:numPr>
        <w:spacing w:line="360" w:lineRule="auto"/>
        <w:rPr>
          <w:b/>
          <w:iCs/>
        </w:rPr>
      </w:pPr>
      <w:r w:rsidRPr="0090142E">
        <w:rPr>
          <w:b/>
          <w:bCs/>
          <w:iCs/>
        </w:rPr>
        <w:t xml:space="preserve"> </w:t>
      </w:r>
      <w:r w:rsidR="004471EF" w:rsidRPr="0090142E">
        <w:rPr>
          <w:b/>
          <w:iCs/>
        </w:rPr>
        <w:t>Admissibility of Buckner’s Statements</w:t>
      </w:r>
    </w:p>
    <w:p w14:paraId="40D73EDD" w14:textId="77777777" w:rsidR="002E3B9E" w:rsidRDefault="00925C4E" w:rsidP="00D30877">
      <w:pPr>
        <w:spacing w:line="360" w:lineRule="auto"/>
      </w:pPr>
      <w:r>
        <w:tab/>
      </w:r>
      <w:r w:rsidR="00E57B18">
        <w:t>Buckner</w:t>
      </w:r>
      <w:r w:rsidR="00FF1156">
        <w:t xml:space="preserve"> contends </w:t>
      </w:r>
      <w:r w:rsidR="00FF1156" w:rsidRPr="00D23F05">
        <w:t xml:space="preserve">that the trial court erroneously admitted </w:t>
      </w:r>
      <w:r w:rsidR="00FF1156">
        <w:t>his statements</w:t>
      </w:r>
      <w:r w:rsidR="006D6CB7">
        <w:t xml:space="preserve"> to the arson investigator</w:t>
      </w:r>
      <w:r w:rsidR="00FF1156">
        <w:t xml:space="preserve"> that </w:t>
      </w:r>
      <w:r w:rsidR="00BE460F">
        <w:t xml:space="preserve">he had lost his job, </w:t>
      </w:r>
      <w:r w:rsidR="00FF1156">
        <w:t xml:space="preserve">his home </w:t>
      </w:r>
      <w:r w:rsidR="00BE460F">
        <w:t>was in foreclosure</w:t>
      </w:r>
      <w:r w:rsidR="00562597">
        <w:t>,</w:t>
      </w:r>
      <w:r w:rsidR="00BE460F">
        <w:t xml:space="preserve"> and he was out walking</w:t>
      </w:r>
      <w:r w:rsidR="006D6CB7">
        <w:t xml:space="preserve"> in the nature reserve</w:t>
      </w:r>
      <w:r w:rsidR="00BE460F">
        <w:t xml:space="preserve"> at the time of the fire. </w:t>
      </w:r>
      <w:r w:rsidR="00F13437">
        <w:t xml:space="preserve"> </w:t>
      </w:r>
      <w:r w:rsidR="00617097">
        <w:t xml:space="preserve">He argues that the investigator </w:t>
      </w:r>
      <w:r w:rsidR="00510DB1">
        <w:t>should</w:t>
      </w:r>
      <w:r w:rsidR="004E35A6">
        <w:t xml:space="preserve"> have</w:t>
      </w:r>
      <w:r w:rsidR="0047493D">
        <w:t xml:space="preserve"> stopped the interview </w:t>
      </w:r>
      <w:r w:rsidR="00542A93">
        <w:t xml:space="preserve">as soon as </w:t>
      </w:r>
      <w:r w:rsidR="00D02A1F">
        <w:t>he</w:t>
      </w:r>
      <w:r w:rsidR="00542A93">
        <w:t xml:space="preserve"> indicated that he would like to have a lawyer present.  </w:t>
      </w:r>
      <w:r w:rsidR="004C445B">
        <w:t xml:space="preserve">We do not </w:t>
      </w:r>
      <w:r w:rsidR="00102DB1">
        <w:t>reach the question</w:t>
      </w:r>
      <w:r w:rsidR="004C445B">
        <w:t xml:space="preserve"> whether Buckner made an unambiguous request for counsel</w:t>
      </w:r>
      <w:r w:rsidR="00D801D3">
        <w:t xml:space="preserve"> that would have required termination of the interview</w:t>
      </w:r>
      <w:r w:rsidR="00CE54E1">
        <w:t xml:space="preserve">, because </w:t>
      </w:r>
      <w:r w:rsidR="00CC573D">
        <w:t>th</w:t>
      </w:r>
      <w:r w:rsidR="00B72521">
        <w:t>at</w:t>
      </w:r>
      <w:r w:rsidR="00CE54E1">
        <w:t xml:space="preserve"> </w:t>
      </w:r>
      <w:r w:rsidR="00E86A51">
        <w:t xml:space="preserve">claim </w:t>
      </w:r>
      <w:r w:rsidR="0044165A">
        <w:t xml:space="preserve">depends on a </w:t>
      </w:r>
      <w:r w:rsidR="00E86A51">
        <w:t xml:space="preserve">threshold </w:t>
      </w:r>
      <w:r w:rsidR="0044165A">
        <w:t>showing that</w:t>
      </w:r>
      <w:r w:rsidR="00807F5D">
        <w:t xml:space="preserve"> the interview </w:t>
      </w:r>
      <w:r w:rsidR="00510DB1">
        <w:t>was</w:t>
      </w:r>
      <w:r w:rsidR="00807F5D">
        <w:t xml:space="preserve"> custodial.  </w:t>
      </w:r>
      <w:r w:rsidR="00257D90">
        <w:t>After reviewing</w:t>
      </w:r>
      <w:r w:rsidRPr="00BB6301">
        <w:t xml:space="preserve"> the record, we conclude that </w:t>
      </w:r>
      <w:r w:rsidR="00EC0FB8">
        <w:t xml:space="preserve">Buckner was not in custody even though the arson investigator </w:t>
      </w:r>
      <w:r w:rsidR="006C301F">
        <w:t xml:space="preserve">began the interview by </w:t>
      </w:r>
      <w:r w:rsidR="00EC0FB8">
        <w:t>read</w:t>
      </w:r>
      <w:r w:rsidR="006C301F">
        <w:t>ing</w:t>
      </w:r>
      <w:r w:rsidR="00EC0FB8">
        <w:t xml:space="preserve"> Buckner his </w:t>
      </w:r>
      <w:r w:rsidR="00EC0FB8">
        <w:rPr>
          <w:i/>
          <w:iCs/>
        </w:rPr>
        <w:t>Miranda</w:t>
      </w:r>
      <w:r w:rsidR="00EC0FB8">
        <w:t xml:space="preserve"> rights</w:t>
      </w:r>
      <w:r w:rsidRPr="00BB6301">
        <w:t>.</w:t>
      </w:r>
    </w:p>
    <w:p w14:paraId="40D73EDE" w14:textId="77777777" w:rsidR="00FF2A68" w:rsidRPr="0090142E" w:rsidRDefault="00925C4E" w:rsidP="00652E17">
      <w:pPr>
        <w:pStyle w:val="ListParagraph"/>
        <w:keepNext/>
        <w:numPr>
          <w:ilvl w:val="0"/>
          <w:numId w:val="4"/>
        </w:numPr>
        <w:spacing w:line="360" w:lineRule="auto"/>
        <w:ind w:left="1354"/>
        <w:rPr>
          <w:b/>
          <w:iCs/>
        </w:rPr>
      </w:pPr>
      <w:r>
        <w:rPr>
          <w:b/>
          <w:iCs/>
        </w:rPr>
        <w:t xml:space="preserve">Additional </w:t>
      </w:r>
      <w:r w:rsidR="00961B4A" w:rsidRPr="0090142E">
        <w:rPr>
          <w:b/>
          <w:iCs/>
        </w:rPr>
        <w:t>Factual Background</w:t>
      </w:r>
    </w:p>
    <w:p w14:paraId="40D73EDF" w14:textId="77777777" w:rsidR="003C14D4" w:rsidRDefault="00925C4E" w:rsidP="003C14D4">
      <w:pPr>
        <w:spacing w:line="360" w:lineRule="auto"/>
      </w:pPr>
      <w:r>
        <w:tab/>
        <w:t xml:space="preserve">At </w:t>
      </w:r>
      <w:r w:rsidR="00F1681A">
        <w:t>the</w:t>
      </w:r>
      <w:r>
        <w:t xml:space="preserve"> hearing on </w:t>
      </w:r>
      <w:r w:rsidR="00F13437">
        <w:t>Buckner’s</w:t>
      </w:r>
      <w:r>
        <w:t xml:space="preserve"> motion</w:t>
      </w:r>
      <w:r w:rsidR="0024257D">
        <w:t xml:space="preserve"> to exclude his statements</w:t>
      </w:r>
      <w:r>
        <w:t xml:space="preserve">, the arson investigator testified that </w:t>
      </w:r>
      <w:r w:rsidR="00F16C49">
        <w:t xml:space="preserve">when </w:t>
      </w:r>
      <w:r w:rsidR="00233935">
        <w:t xml:space="preserve">he initially ran into </w:t>
      </w:r>
      <w:r w:rsidR="00F13437">
        <w:t>Buckner</w:t>
      </w:r>
      <w:r w:rsidR="00F16C49">
        <w:t xml:space="preserve"> at the property, he asked </w:t>
      </w:r>
      <w:r w:rsidR="00F13437">
        <w:t>him</w:t>
      </w:r>
      <w:r w:rsidR="00F16C49">
        <w:t xml:space="preserve"> </w:t>
      </w:r>
      <w:r w:rsidR="0080027D">
        <w:t xml:space="preserve">if he would be willing </w:t>
      </w:r>
      <w:r w:rsidR="00F16C49">
        <w:t xml:space="preserve">to </w:t>
      </w:r>
      <w:r w:rsidR="00603C3D">
        <w:t>come</w:t>
      </w:r>
      <w:r w:rsidR="00F16C49">
        <w:t xml:space="preserve"> to the </w:t>
      </w:r>
      <w:r w:rsidR="00B84EF1">
        <w:t>police station for an interview.</w:t>
      </w:r>
      <w:r w:rsidR="00F13437">
        <w:t xml:space="preserve"> </w:t>
      </w:r>
      <w:r w:rsidR="00B84EF1">
        <w:t xml:space="preserve"> </w:t>
      </w:r>
      <w:r w:rsidR="00F13437">
        <w:t>Buckner</w:t>
      </w:r>
      <w:r w:rsidR="00B84EF1">
        <w:t xml:space="preserve"> agreed and</w:t>
      </w:r>
      <w:r w:rsidR="0080027D">
        <w:t xml:space="preserve">, because </w:t>
      </w:r>
      <w:r w:rsidR="005176EF">
        <w:t>he</w:t>
      </w:r>
      <w:r w:rsidR="0080027D">
        <w:t xml:space="preserve"> did not have a </w:t>
      </w:r>
      <w:r w:rsidR="0000645C">
        <w:t xml:space="preserve">working </w:t>
      </w:r>
      <w:r w:rsidR="0080027D">
        <w:t>car of his own, he</w:t>
      </w:r>
      <w:r w:rsidR="00B84EF1">
        <w:t xml:space="preserve"> rode </w:t>
      </w:r>
      <w:r w:rsidR="0080027D">
        <w:t xml:space="preserve">to the station in the front seat of the </w:t>
      </w:r>
      <w:r w:rsidR="00B84EF1">
        <w:t>investigator</w:t>
      </w:r>
      <w:r w:rsidR="0080027D">
        <w:t>’s</w:t>
      </w:r>
      <w:r w:rsidR="008F6BB2">
        <w:t xml:space="preserve"> </w:t>
      </w:r>
      <w:r>
        <w:lastRenderedPageBreak/>
        <w:t xml:space="preserve">unmarked </w:t>
      </w:r>
      <w:r w:rsidR="008F6BB2">
        <w:t>police car.</w:t>
      </w:r>
      <w:r w:rsidR="005176EF">
        <w:t xml:space="preserve"> </w:t>
      </w:r>
      <w:r w:rsidR="004C01A7">
        <w:t xml:space="preserve"> When they arrived at the station, the investigator took </w:t>
      </w:r>
      <w:r w:rsidR="005176EF">
        <w:t>Buckner</w:t>
      </w:r>
      <w:r w:rsidR="004C01A7">
        <w:t xml:space="preserve"> to an interview room in the secure area of the police </w:t>
      </w:r>
      <w:r w:rsidR="00132FA9">
        <w:t>station</w:t>
      </w:r>
      <w:r w:rsidR="002F60C9">
        <w:t xml:space="preserve"> and closed the door</w:t>
      </w:r>
      <w:r w:rsidR="004C01A7">
        <w:t xml:space="preserve">. </w:t>
      </w:r>
      <w:r w:rsidR="00AF06C4">
        <w:t>Buckner</w:t>
      </w:r>
      <w:r w:rsidR="00F768BD">
        <w:t xml:space="preserve"> was not handcuffed at any time.</w:t>
      </w:r>
    </w:p>
    <w:p w14:paraId="40D73EE0" w14:textId="77777777" w:rsidR="00255F87" w:rsidRDefault="00925C4E" w:rsidP="007D5985">
      <w:pPr>
        <w:spacing w:line="360" w:lineRule="auto"/>
      </w:pPr>
      <w:r>
        <w:tab/>
      </w:r>
      <w:r w:rsidR="002F60C9">
        <w:t xml:space="preserve">With his body camera operating, </w:t>
      </w:r>
      <w:r w:rsidR="006B1B94">
        <w:t xml:space="preserve">the investigator </w:t>
      </w:r>
      <w:r w:rsidR="002F60C9">
        <w:t xml:space="preserve">read </w:t>
      </w:r>
      <w:r w:rsidR="005176EF">
        <w:t>Buckner</w:t>
      </w:r>
      <w:r w:rsidR="002F60C9">
        <w:t xml:space="preserve"> his </w:t>
      </w:r>
      <w:r w:rsidR="002F60C9">
        <w:rPr>
          <w:i/>
          <w:iCs/>
        </w:rPr>
        <w:t xml:space="preserve">Miranda </w:t>
      </w:r>
      <w:r w:rsidR="002F60C9">
        <w:t>rights</w:t>
      </w:r>
      <w:r w:rsidR="00A64415">
        <w:t xml:space="preserve"> as follows:</w:t>
      </w:r>
      <w:r w:rsidR="00924620">
        <w:t xml:space="preserve"> </w:t>
      </w:r>
      <w:r w:rsidR="00A64415">
        <w:t xml:space="preserve"> “Alright, uh</w:t>
      </w:r>
      <w:r w:rsidR="0007198E">
        <w:t xml:space="preserve"> </w:t>
      </w:r>
      <w:r w:rsidR="009527C8">
        <w:t>. . .</w:t>
      </w:r>
      <w:r w:rsidR="00A64415">
        <w:t xml:space="preserve"> since we’re at the police department and we’re in um, the interview room here, uh, you’re not under arrest or anything but I’m </w:t>
      </w:r>
      <w:proofErr w:type="spellStart"/>
      <w:r w:rsidR="00A64415">
        <w:t>gonna</w:t>
      </w:r>
      <w:proofErr w:type="spellEnd"/>
      <w:r w:rsidR="00A64415">
        <w:t xml:space="preserve"> read you your </w:t>
      </w:r>
      <w:r w:rsidR="00A64415" w:rsidRPr="00A64415">
        <w:rPr>
          <w:i/>
          <w:iCs/>
        </w:rPr>
        <w:t>Miranda</w:t>
      </w:r>
      <w:r w:rsidR="00A64415">
        <w:t xml:space="preserve"> rights, ok? </w:t>
      </w:r>
      <w:r w:rsidR="00F225FF">
        <w:t xml:space="preserve"> </w:t>
      </w:r>
      <w:r w:rsidR="00A64415">
        <w:t>U</w:t>
      </w:r>
      <w:r w:rsidR="00236BF2">
        <w:t>m</w:t>
      </w:r>
      <w:r w:rsidR="00A64415">
        <w:t xml:space="preserve">, you have the right to remain silent. </w:t>
      </w:r>
      <w:r w:rsidR="00F225FF">
        <w:t xml:space="preserve"> </w:t>
      </w:r>
      <w:r w:rsidR="00A64415">
        <w:t xml:space="preserve">Anything you say can and will be used against you in court. </w:t>
      </w:r>
      <w:r w:rsidR="00F225FF">
        <w:t xml:space="preserve"> </w:t>
      </w:r>
      <w:r w:rsidR="00A64415">
        <w:t xml:space="preserve">You have the right to consult with an attorney and have an attorney present during questioning. </w:t>
      </w:r>
      <w:r w:rsidR="00F225FF">
        <w:t xml:space="preserve"> </w:t>
      </w:r>
      <w:r w:rsidR="00A64415">
        <w:t>If you cannot afford an attorney, one can be provided to you before questioning at no cost.”</w:t>
      </w:r>
      <w:r w:rsidR="00F225FF">
        <w:t xml:space="preserve"> </w:t>
      </w:r>
      <w:r w:rsidR="00A64415">
        <w:t xml:space="preserve"> When asked whether he understood his rights, </w:t>
      </w:r>
      <w:r w:rsidR="00F225FF">
        <w:t>Buckner</w:t>
      </w:r>
      <w:r w:rsidR="00A64415">
        <w:t xml:space="preserve"> said “not really.”</w:t>
      </w:r>
      <w:r>
        <w:t xml:space="preserve"> </w:t>
      </w:r>
      <w:r w:rsidR="00F225FF">
        <w:t xml:space="preserve"> </w:t>
      </w:r>
      <w:r w:rsidR="00113C7E">
        <w:t>He t</w:t>
      </w:r>
      <w:r w:rsidR="00A64415">
        <w:t xml:space="preserve">hen </w:t>
      </w:r>
      <w:r w:rsidR="00726C6C">
        <w:t>added</w:t>
      </w:r>
      <w:r w:rsidR="00A64415">
        <w:t>, “</w:t>
      </w:r>
      <w:r w:rsidR="00706FB2">
        <w:t xml:space="preserve">I think I’d like to have a lawyer present. I mean, you </w:t>
      </w:r>
      <w:r w:rsidR="0088247E">
        <w:t>have</w:t>
      </w:r>
      <w:r w:rsidR="00706FB2">
        <w:t xml:space="preserve"> me on camera.” </w:t>
      </w:r>
      <w:r w:rsidR="00F225FF">
        <w:t xml:space="preserve"> </w:t>
      </w:r>
      <w:r>
        <w:t>The investigator explained that was “just how we do . . . all our interviews” and asked</w:t>
      </w:r>
      <w:r w:rsidR="00717427">
        <w:t>,</w:t>
      </w:r>
      <w:r>
        <w:t xml:space="preserve"> “</w:t>
      </w:r>
      <w:r>
        <w:t xml:space="preserve">So is that what you want? </w:t>
      </w:r>
      <w:r w:rsidR="007B4778">
        <w:t xml:space="preserve"> </w:t>
      </w:r>
      <w:r>
        <w:t xml:space="preserve">To have a lawyer present?” </w:t>
      </w:r>
      <w:r w:rsidR="00F225FF">
        <w:t xml:space="preserve"> Buckner </w:t>
      </w:r>
      <w:r>
        <w:t xml:space="preserve">said “uh, I believe so.”  </w:t>
      </w:r>
      <w:r w:rsidR="00AF1A81">
        <w:t xml:space="preserve">The police investigator replied, “Well, I mean, you tell me. </w:t>
      </w:r>
      <w:r w:rsidR="00F225FF">
        <w:t xml:space="preserve"> </w:t>
      </w:r>
      <w:r w:rsidR="00AF1A81">
        <w:t>It’s totally up to you</w:t>
      </w:r>
      <w:r w:rsidR="007F081C">
        <w:t>,” then added, “</w:t>
      </w:r>
      <w:r w:rsidR="00AF1A81">
        <w:t>But you understood</w:t>
      </w:r>
      <w:r w:rsidR="008A6EFD">
        <w:t xml:space="preserve"> . . .</w:t>
      </w:r>
      <w:r w:rsidR="00AF1A81">
        <w:t xml:space="preserve"> like those</w:t>
      </w:r>
      <w:r w:rsidR="008A6EFD">
        <w:t xml:space="preserve"> . . .</w:t>
      </w:r>
      <w:r w:rsidR="00AF1A81">
        <w:t xml:space="preserve"> </w:t>
      </w:r>
      <w:proofErr w:type="gramStart"/>
      <w:r w:rsidR="00AF1A81">
        <w:t>cause</w:t>
      </w:r>
      <w:proofErr w:type="gramEnd"/>
      <w:r w:rsidR="00AF1A81">
        <w:t xml:space="preserve"> you said you didn’t understand the rights I read you. </w:t>
      </w:r>
      <w:r w:rsidR="00F225FF">
        <w:t xml:space="preserve"> </w:t>
      </w:r>
      <w:r w:rsidR="00AF1A81">
        <w:t>Did you need me to explain um part of it more?</w:t>
      </w:r>
      <w:r w:rsidR="007F081C">
        <w:t xml:space="preserve">” </w:t>
      </w:r>
      <w:r w:rsidR="00F225FF">
        <w:t xml:space="preserve"> Buckner</w:t>
      </w:r>
      <w:r w:rsidR="007F081C">
        <w:t xml:space="preserve"> replied, “</w:t>
      </w:r>
      <w:r w:rsidR="00AF1A81">
        <w:t>no, I</w:t>
      </w:r>
      <w:r w:rsidR="008672C5">
        <w:t xml:space="preserve"> . . . </w:t>
      </w:r>
      <w:r w:rsidR="00AF1A81">
        <w:t>go ahead</w:t>
      </w:r>
      <w:r w:rsidR="008672C5">
        <w:t xml:space="preserve"> . . . </w:t>
      </w:r>
      <w:r w:rsidR="00AF1A81">
        <w:t>you can go ahead with your interview.</w:t>
      </w:r>
      <w:r w:rsidR="007F081C">
        <w:t xml:space="preserve">” </w:t>
      </w:r>
      <w:r w:rsidR="00F225FF">
        <w:t xml:space="preserve"> </w:t>
      </w:r>
      <w:r w:rsidR="007F081C">
        <w:t xml:space="preserve">The investigator confirmed it was </w:t>
      </w:r>
      <w:r w:rsidR="003968B9">
        <w:t>“</w:t>
      </w:r>
      <w:r w:rsidR="00AF1A81">
        <w:t>ok</w:t>
      </w:r>
      <w:r w:rsidR="00717427">
        <w:t xml:space="preserve">” </w:t>
      </w:r>
      <w:r w:rsidR="003968B9">
        <w:t xml:space="preserve">to </w:t>
      </w:r>
      <w:r w:rsidR="0088247E">
        <w:t>talk</w:t>
      </w:r>
      <w:r w:rsidR="007D5985">
        <w:t>,</w:t>
      </w:r>
      <w:r w:rsidR="00514EDC">
        <w:t xml:space="preserve"> reread </w:t>
      </w:r>
      <w:r w:rsidR="00F225FF">
        <w:t>Buckner</w:t>
      </w:r>
      <w:r w:rsidR="00514EDC">
        <w:t xml:space="preserve"> his </w:t>
      </w:r>
      <w:r w:rsidR="00514EDC">
        <w:rPr>
          <w:i/>
          <w:iCs/>
        </w:rPr>
        <w:t>Miranda</w:t>
      </w:r>
      <w:r w:rsidR="00514EDC" w:rsidRPr="00514EDC">
        <w:t xml:space="preserve"> rights</w:t>
      </w:r>
      <w:r w:rsidR="007D5985">
        <w:t xml:space="preserve"> and then asked</w:t>
      </w:r>
      <w:r w:rsidR="002F7F08">
        <w:t xml:space="preserve"> again</w:t>
      </w:r>
      <w:r w:rsidR="00717427">
        <w:t>,</w:t>
      </w:r>
      <w:r w:rsidR="007D5985">
        <w:t xml:space="preserve"> “Ok so, with those rights in mind, do you want to speak with me?” </w:t>
      </w:r>
      <w:r w:rsidR="00F225FF">
        <w:t xml:space="preserve"> </w:t>
      </w:r>
      <w:r w:rsidR="00AF06C4">
        <w:t>Buckner</w:t>
      </w:r>
      <w:r w:rsidR="007D5985">
        <w:t xml:space="preserve"> responded</w:t>
      </w:r>
      <w:r w:rsidR="00717427">
        <w:t>,</w:t>
      </w:r>
      <w:r w:rsidR="007D5985">
        <w:t xml:space="preserve"> “Yeah I’ll speak with you.”</w:t>
      </w:r>
      <w:r w:rsidR="00F225FF">
        <w:t xml:space="preserve"> </w:t>
      </w:r>
      <w:r w:rsidR="00067D05">
        <w:t xml:space="preserve"> </w:t>
      </w:r>
      <w:r w:rsidR="003D4105">
        <w:t xml:space="preserve">The investigator testified that although he did not tell </w:t>
      </w:r>
      <w:r w:rsidR="00AF06C4">
        <w:t xml:space="preserve">Buckner </w:t>
      </w:r>
      <w:r w:rsidR="003D4105">
        <w:t xml:space="preserve">that he was free to leave the station, in his mind he believed that he </w:t>
      </w:r>
      <w:r w:rsidR="000C0A62">
        <w:t>w</w:t>
      </w:r>
      <w:r w:rsidR="003D4105">
        <w:t>as.</w:t>
      </w:r>
      <w:r w:rsidR="00AF06C4">
        <w:t xml:space="preserve"> </w:t>
      </w:r>
      <w:r w:rsidR="003D4105">
        <w:t xml:space="preserve"> </w:t>
      </w:r>
      <w:r w:rsidR="00BC4AE6">
        <w:t xml:space="preserve">He testified that he spoke to </w:t>
      </w:r>
      <w:r w:rsidR="00AF06C4">
        <w:t xml:space="preserve">Buckner </w:t>
      </w:r>
      <w:r w:rsidR="00BC4AE6">
        <w:t>in a non-aggressive tone throughout the interview.</w:t>
      </w:r>
      <w:r w:rsidR="00402BD3">
        <w:t xml:space="preserve"> </w:t>
      </w:r>
      <w:r w:rsidR="00BC4AE6">
        <w:t xml:space="preserve"> </w:t>
      </w:r>
      <w:r w:rsidR="007D5985">
        <w:t xml:space="preserve">After </w:t>
      </w:r>
      <w:r w:rsidR="007F1338">
        <w:t xml:space="preserve">telling the officer </w:t>
      </w:r>
      <w:r w:rsidR="00BC6323">
        <w:t xml:space="preserve">about his financial situation and where he was the day of </w:t>
      </w:r>
      <w:r w:rsidR="00BC6323">
        <w:lastRenderedPageBreak/>
        <w:t xml:space="preserve">the fire, </w:t>
      </w:r>
      <w:r w:rsidR="00F225FF">
        <w:t>Buckner</w:t>
      </w:r>
      <w:r w:rsidR="00BC6323">
        <w:t xml:space="preserve"> </w:t>
      </w:r>
      <w:r w:rsidR="00796DDC">
        <w:t xml:space="preserve">again indicated </w:t>
      </w:r>
      <w:r w:rsidR="007316AB">
        <w:t xml:space="preserve">that </w:t>
      </w:r>
      <w:r w:rsidR="00796DDC">
        <w:t>he</w:t>
      </w:r>
      <w:r w:rsidR="007918DA">
        <w:t xml:space="preserve"> would</w:t>
      </w:r>
      <w:r w:rsidR="00796DDC">
        <w:t xml:space="preserve"> like </w:t>
      </w:r>
      <w:r w:rsidR="007918DA">
        <w:t xml:space="preserve">an </w:t>
      </w:r>
      <w:r w:rsidR="00796DDC">
        <w:t>attorney present</w:t>
      </w:r>
      <w:r w:rsidR="005568D2">
        <w:t>.</w:t>
      </w:r>
      <w:r w:rsidR="00F225FF">
        <w:t xml:space="preserve"> </w:t>
      </w:r>
      <w:r w:rsidR="005568D2">
        <w:t xml:space="preserve"> The investigator </w:t>
      </w:r>
      <w:r w:rsidR="00067D05">
        <w:t>ended the interview at that time.</w:t>
      </w:r>
      <w:r w:rsidR="00710106">
        <w:t xml:space="preserve"> </w:t>
      </w:r>
    </w:p>
    <w:p w14:paraId="40D73EE1" w14:textId="77777777" w:rsidR="00F448A2" w:rsidRPr="0090142E" w:rsidRDefault="00925C4E" w:rsidP="00652E17">
      <w:pPr>
        <w:pStyle w:val="ListParagraph"/>
        <w:keepNext/>
        <w:numPr>
          <w:ilvl w:val="0"/>
          <w:numId w:val="4"/>
        </w:numPr>
        <w:spacing w:line="360" w:lineRule="auto"/>
        <w:ind w:left="1354"/>
        <w:rPr>
          <w:b/>
          <w:iCs/>
        </w:rPr>
      </w:pPr>
      <w:r w:rsidRPr="0090142E">
        <w:rPr>
          <w:b/>
          <w:iCs/>
        </w:rPr>
        <w:t>Analysis</w:t>
      </w:r>
    </w:p>
    <w:p w14:paraId="40D73EE2" w14:textId="77777777" w:rsidR="008B5E3F" w:rsidRDefault="00925C4E" w:rsidP="008B5E3F">
      <w:pPr>
        <w:spacing w:line="360" w:lineRule="auto"/>
      </w:pPr>
      <w:r>
        <w:tab/>
        <w:t xml:space="preserve">Under </w:t>
      </w:r>
      <w:r w:rsidRPr="001917C9">
        <w:rPr>
          <w:i/>
          <w:iCs/>
        </w:rPr>
        <w:t>Miranda, supra</w:t>
      </w:r>
      <w:r>
        <w:t>, 384</w:t>
      </w:r>
      <w:r w:rsidR="00B02EB6">
        <w:t> </w:t>
      </w:r>
      <w:r>
        <w:t>U.S. at page</w:t>
      </w:r>
      <w:r w:rsidR="00B02EB6">
        <w:t> </w:t>
      </w:r>
      <w:r>
        <w:t>444, “the prosecution may not use statements .</w:t>
      </w:r>
      <w:r w:rsidR="00B02EB6">
        <w:t> </w:t>
      </w:r>
      <w:r>
        <w:t>.</w:t>
      </w:r>
      <w:r w:rsidR="00B02EB6">
        <w:t> </w:t>
      </w:r>
      <w:r>
        <w:t>. stemming from custodial interrogat</w:t>
      </w:r>
      <w:r>
        <w:t xml:space="preserve">ion of the defendant unless it demonstrates the use of procedural safeguards effective to secure the privilege against self-incrimination.” </w:t>
      </w:r>
      <w:r w:rsidR="003E6161">
        <w:t xml:space="preserve"> </w:t>
      </w:r>
      <w:r>
        <w:t>More specifically, “prosecutors may not admit a suspect’s statements in their case-in-chief against the suspect-def</w:t>
      </w:r>
      <w:r>
        <w:t>endant unless (1)</w:t>
      </w:r>
      <w:r w:rsidR="00372841">
        <w:t> </w:t>
      </w:r>
      <w:r>
        <w:t>the defendant was advised that (a)</w:t>
      </w:r>
      <w:r w:rsidR="00372841">
        <w:t> </w:t>
      </w:r>
      <w:r>
        <w:t>“he has a right to remain silent,” (b)</w:t>
      </w:r>
      <w:r w:rsidR="00372841">
        <w:t> </w:t>
      </w:r>
      <w:r>
        <w:t>anything he says “may be used as evidence against him,” (c)</w:t>
      </w:r>
      <w:r w:rsidR="00372841">
        <w:t> </w:t>
      </w:r>
      <w:r>
        <w:t>“he has a right to the presence of an attorney,” and (d)</w:t>
      </w:r>
      <w:r w:rsidR="00372841">
        <w:t> </w:t>
      </w:r>
      <w:r>
        <w:t>the defendant will be provided an attorney if h</w:t>
      </w:r>
      <w:r>
        <w:t>e cannot afford one; (2) the</w:t>
      </w:r>
      <w:r w:rsidR="00372841">
        <w:t> </w:t>
      </w:r>
      <w:r>
        <w:t>defendant waived those rights, either expressly (by affirmatively indicating a waiver) or implicitly (by answering questions); and (3)</w:t>
      </w:r>
      <w:r w:rsidR="005F0D62">
        <w:t> </w:t>
      </w:r>
      <w:r>
        <w:t>prior to making the statements to be admitted, the defendant did not invoke either his right</w:t>
      </w:r>
      <w:r>
        <w:t xml:space="preserve"> to remain silent or his </w:t>
      </w:r>
      <w:r w:rsidRPr="00B53278">
        <w:rPr>
          <w:i/>
          <w:iCs/>
        </w:rPr>
        <w:t>Miranda</w:t>
      </w:r>
      <w:r>
        <w:t xml:space="preserve"> right to an attorney.”</w:t>
      </w:r>
      <w:r w:rsidR="003E6161">
        <w:t xml:space="preserve"> </w:t>
      </w:r>
      <w:r>
        <w:t xml:space="preserve"> (</w:t>
      </w:r>
      <w:r w:rsidRPr="00266A73">
        <w:rPr>
          <w:i/>
          <w:iCs/>
        </w:rPr>
        <w:t>People v. Orozco</w:t>
      </w:r>
      <w:r>
        <w:t xml:space="preserve"> (2019) 32</w:t>
      </w:r>
      <w:r w:rsidR="005F0D62">
        <w:t> </w:t>
      </w:r>
      <w:r>
        <w:t>Cal.App.5th 802, 811.)</w:t>
      </w:r>
    </w:p>
    <w:p w14:paraId="40D73EE3" w14:textId="77777777" w:rsidR="008B5E3F" w:rsidRPr="00E56F2D" w:rsidRDefault="00925C4E" w:rsidP="008B5E3F">
      <w:pPr>
        <w:spacing w:line="360" w:lineRule="auto"/>
      </w:pPr>
      <w:r>
        <w:tab/>
        <w:t xml:space="preserve">To determine whether a trial court admitted a statement in violation of </w:t>
      </w:r>
      <w:r w:rsidRPr="00741D07">
        <w:rPr>
          <w:i/>
          <w:iCs/>
        </w:rPr>
        <w:t>Miranda, supra</w:t>
      </w:r>
      <w:r>
        <w:t>, 384</w:t>
      </w:r>
      <w:r w:rsidR="005F0D62">
        <w:t> </w:t>
      </w:r>
      <w:r>
        <w:t xml:space="preserve">U.S. 436, we independently review the application of law to facts. </w:t>
      </w:r>
      <w:r w:rsidR="003E6161">
        <w:t xml:space="preserve"> </w:t>
      </w:r>
      <w:r>
        <w:t>(</w:t>
      </w:r>
      <w:r w:rsidRPr="00741D07">
        <w:rPr>
          <w:i/>
          <w:iCs/>
        </w:rPr>
        <w:t>People v. Weaver</w:t>
      </w:r>
      <w:r>
        <w:t xml:space="preserve"> (2001) 26</w:t>
      </w:r>
      <w:r w:rsidR="005F0D62">
        <w:t> </w:t>
      </w:r>
      <w:r>
        <w:t xml:space="preserve">Cal.4th 876, 918.) </w:t>
      </w:r>
      <w:r w:rsidR="003E6161">
        <w:t xml:space="preserve"> </w:t>
      </w:r>
      <w:r>
        <w:t>We generally accept the “trial court’s resolution of disputed facts and inferences, and its evaluations of credibility, if supported by subs</w:t>
      </w:r>
      <w:r>
        <w:t xml:space="preserve">tantial evidence.” </w:t>
      </w:r>
      <w:r w:rsidR="003E6161">
        <w:t xml:space="preserve"> </w:t>
      </w:r>
      <w:r>
        <w:t>(</w:t>
      </w:r>
      <w:r w:rsidRPr="00741D07">
        <w:rPr>
          <w:i/>
          <w:iCs/>
        </w:rPr>
        <w:t>People v. Cunningham</w:t>
      </w:r>
      <w:r>
        <w:t xml:space="preserve"> (2001) 25</w:t>
      </w:r>
      <w:r w:rsidR="005F0D62">
        <w:t> </w:t>
      </w:r>
      <w:r>
        <w:t xml:space="preserve">Cal.4th 926, 992.) </w:t>
      </w:r>
      <w:r w:rsidR="003E6161">
        <w:t xml:space="preserve"> </w:t>
      </w:r>
      <w:r>
        <w:t>However, where “an interview is recorded, the facts surrounding the admission or confession are undisputed and [courts] may apply independent review.”</w:t>
      </w:r>
      <w:r w:rsidR="003E6161">
        <w:t xml:space="preserve"> </w:t>
      </w:r>
      <w:r>
        <w:t xml:space="preserve"> (</w:t>
      </w:r>
      <w:r w:rsidRPr="00741D07">
        <w:rPr>
          <w:i/>
          <w:iCs/>
        </w:rPr>
        <w:t>People v. Duff</w:t>
      </w:r>
      <w:r>
        <w:t xml:space="preserve"> (2014) 58</w:t>
      </w:r>
      <w:r w:rsidR="005F0D62">
        <w:t> </w:t>
      </w:r>
      <w:r>
        <w:t>Cal.4t</w:t>
      </w:r>
      <w:r>
        <w:t>h 527, 551.)</w:t>
      </w:r>
    </w:p>
    <w:p w14:paraId="40D73EE4" w14:textId="77777777" w:rsidR="001B6E51" w:rsidRDefault="00925C4E" w:rsidP="00E8334F">
      <w:pPr>
        <w:spacing w:line="360" w:lineRule="auto"/>
      </w:pPr>
      <w:r>
        <w:rPr>
          <w:i/>
          <w:iCs/>
        </w:rPr>
        <w:lastRenderedPageBreak/>
        <w:tab/>
      </w:r>
      <w:r w:rsidR="003C4BE4" w:rsidRPr="00762D3D">
        <w:t>An officer</w:t>
      </w:r>
      <w:r w:rsidR="00DE7C01">
        <w:t>’</w:t>
      </w:r>
      <w:r w:rsidR="003C4BE4" w:rsidRPr="00762D3D">
        <w:t xml:space="preserve">s obligation to administer </w:t>
      </w:r>
      <w:r w:rsidR="003C4BE4" w:rsidRPr="00762D3D">
        <w:rPr>
          <w:i/>
          <w:iCs/>
        </w:rPr>
        <w:t>Miranda</w:t>
      </w:r>
      <w:r w:rsidR="003C4BE4" w:rsidRPr="00762D3D">
        <w:t xml:space="preserve"> warnings attaches only when the person </w:t>
      </w:r>
      <w:r w:rsidR="00DE7C01">
        <w:t xml:space="preserve">being </w:t>
      </w:r>
      <w:r w:rsidR="003C4BE4" w:rsidRPr="00762D3D">
        <w:t xml:space="preserve">questioned is in “custody.” </w:t>
      </w:r>
      <w:r w:rsidR="00F225FF">
        <w:t xml:space="preserve"> </w:t>
      </w:r>
      <w:r w:rsidR="003C4BE4" w:rsidRPr="00762D3D">
        <w:t>(</w:t>
      </w:r>
      <w:r w:rsidR="003C4BE4" w:rsidRPr="00762D3D">
        <w:rPr>
          <w:i/>
          <w:iCs/>
        </w:rPr>
        <w:t>Stansbury v. California</w:t>
      </w:r>
      <w:r w:rsidR="003C4BE4" w:rsidRPr="00762D3D">
        <w:t xml:space="preserve"> (1994) 511</w:t>
      </w:r>
      <w:r w:rsidR="005F0D62">
        <w:t> </w:t>
      </w:r>
      <w:r w:rsidR="003C4BE4" w:rsidRPr="00762D3D">
        <w:t>U.S. 318, 322</w:t>
      </w:r>
      <w:r w:rsidR="003C4BE4">
        <w:t xml:space="preserve">; </w:t>
      </w:r>
      <w:r w:rsidR="003C4BE4" w:rsidRPr="00FD52D6">
        <w:rPr>
          <w:i/>
          <w:iCs/>
        </w:rPr>
        <w:t>People v. Moore</w:t>
      </w:r>
      <w:r w:rsidR="003C4BE4">
        <w:t xml:space="preserve"> (2011) 51</w:t>
      </w:r>
      <w:r w:rsidR="005F0D62">
        <w:t> </w:t>
      </w:r>
      <w:r w:rsidR="003C4BE4">
        <w:t>Cal.4th 386, 394–</w:t>
      </w:r>
      <w:r w:rsidR="00DE7C01">
        <w:t>3</w:t>
      </w:r>
      <w:r w:rsidR="003C4BE4">
        <w:t>95</w:t>
      </w:r>
      <w:r>
        <w:t xml:space="preserve"> (</w:t>
      </w:r>
      <w:r>
        <w:rPr>
          <w:i/>
          <w:iCs/>
        </w:rPr>
        <w:t>Moore</w:t>
      </w:r>
      <w:r>
        <w:t>)</w:t>
      </w:r>
      <w:r w:rsidR="003C4BE4">
        <w:t>.)</w:t>
      </w:r>
      <w:r w:rsidR="003E6161">
        <w:t xml:space="preserve"> </w:t>
      </w:r>
      <w:r w:rsidR="003C4BE4" w:rsidRPr="00762D3D">
        <w:t xml:space="preserve"> </w:t>
      </w:r>
      <w:r w:rsidR="006C410E">
        <w:t>“</w:t>
      </w:r>
      <w:r w:rsidR="00EE1B83" w:rsidRPr="00EE1B83">
        <w:t xml:space="preserve">Custody consists of a formal arrest or a restraint on freedom of movement of the degree associated with a formal arrest. </w:t>
      </w:r>
      <w:r w:rsidR="00514671">
        <w:t xml:space="preserve"> </w:t>
      </w:r>
      <w:r w:rsidR="00EE1B83">
        <w:t>[Citations.]</w:t>
      </w:r>
      <w:r w:rsidR="00EE1B83" w:rsidRPr="00EE1B83">
        <w:t xml:space="preserve"> </w:t>
      </w:r>
      <w:r w:rsidR="00514671">
        <w:t xml:space="preserve"> </w:t>
      </w:r>
      <w:r w:rsidR="00EE1B83" w:rsidRPr="00EE1B83">
        <w:t>When there has been no formal arrest, the question is how a reasonable person in the defendant</w:t>
      </w:r>
      <w:r w:rsidR="003A73AE">
        <w:t>’</w:t>
      </w:r>
      <w:r w:rsidR="00EE1B83" w:rsidRPr="00EE1B83">
        <w:t>s position would have understood his situation</w:t>
      </w:r>
      <w:r w:rsidR="004038C5">
        <w:t>.</w:t>
      </w:r>
      <w:r w:rsidR="00EE1B83">
        <w:t>”</w:t>
      </w:r>
      <w:r w:rsidR="00620A81">
        <w:t xml:space="preserve"> </w:t>
      </w:r>
      <w:r w:rsidR="00EE1B83">
        <w:t xml:space="preserve"> (</w:t>
      </w:r>
      <w:r w:rsidR="00EE1B83" w:rsidRPr="00FD52D6">
        <w:rPr>
          <w:i/>
          <w:iCs/>
        </w:rPr>
        <w:t>Moore</w:t>
      </w:r>
      <w:r w:rsidR="00EE1B83">
        <w:t>, at p</w:t>
      </w:r>
      <w:r w:rsidR="00520C9E">
        <w:t>p</w:t>
      </w:r>
      <w:r w:rsidR="00EE1B83">
        <w:t>.</w:t>
      </w:r>
      <w:r w:rsidR="00520C9E">
        <w:t> </w:t>
      </w:r>
      <w:r w:rsidR="00CA241E">
        <w:t>394</w:t>
      </w:r>
      <w:r w:rsidR="00CE4785">
        <w:t>–</w:t>
      </w:r>
      <w:r w:rsidR="00CA241E">
        <w:t>395</w:t>
      </w:r>
      <w:r w:rsidR="001D14CA">
        <w:t>.)</w:t>
      </w:r>
      <w:r w:rsidR="00E8334F">
        <w:t xml:space="preserve"> </w:t>
      </w:r>
      <w:r w:rsidR="003E6161">
        <w:t xml:space="preserve"> </w:t>
      </w:r>
      <w:r w:rsidR="008D17DB">
        <w:t>“Courts have identified factors that are relevant in determining whether the defendant was in custody during police questioning.</w:t>
      </w:r>
      <w:r w:rsidR="00AB6600">
        <w:t xml:space="preserve"> </w:t>
      </w:r>
      <w:r w:rsidR="003E6161">
        <w:t xml:space="preserve"> </w:t>
      </w:r>
      <w:r w:rsidR="00AB6600">
        <w:t>[Citation.]</w:t>
      </w:r>
      <w:r w:rsidR="003E6161">
        <w:t xml:space="preserve"> </w:t>
      </w:r>
      <w:r w:rsidR="00744E1D">
        <w:t xml:space="preserve"> </w:t>
      </w:r>
      <w:r w:rsidR="00AB6600">
        <w:t>‘</w:t>
      </w:r>
      <w:r w:rsidR="00AB6600" w:rsidRPr="00AB6600">
        <w:t xml:space="preserve">No one factor is dispositive. </w:t>
      </w:r>
      <w:r w:rsidR="003E6161">
        <w:t xml:space="preserve"> </w:t>
      </w:r>
      <w:r w:rsidR="00744E1D" w:rsidRPr="00744E1D">
        <w:t>Rather, we look at the interplay and combined effect of all the circumstances to determine whether on balance they created a coercive atmosphere such that a reasonable person would have experienced a restraint tantamount to an arrest.</w:t>
      </w:r>
      <w:r w:rsidR="00AB6600">
        <w:t>’</w:t>
      </w:r>
      <w:r w:rsidR="003E6161">
        <w:t xml:space="preserve"> </w:t>
      </w:r>
      <w:r w:rsidR="00744E1D" w:rsidRPr="00744E1D">
        <w:t xml:space="preserve"> </w:t>
      </w:r>
      <w:r w:rsidR="00FF7ECB">
        <w:t>[</w:t>
      </w:r>
      <w:r w:rsidR="00AB6600">
        <w:t>Cita</w:t>
      </w:r>
      <w:r w:rsidR="00FF7ECB">
        <w:t>t</w:t>
      </w:r>
      <w:r w:rsidR="00AB6600">
        <w:t>ion</w:t>
      </w:r>
      <w:r w:rsidR="00FF7ECB">
        <w:t>.]</w:t>
      </w:r>
      <w:r w:rsidR="003E6161">
        <w:t xml:space="preserve"> </w:t>
      </w:r>
      <w:r w:rsidR="00FF7ECB">
        <w:t xml:space="preserve"> </w:t>
      </w:r>
      <w:r w:rsidR="00744E1D" w:rsidRPr="00744E1D">
        <w:t>The relevant factors include:</w:t>
      </w:r>
      <w:r w:rsidR="00FE49B5">
        <w:t xml:space="preserve">  </w:t>
      </w:r>
      <w:r w:rsidR="004038C5">
        <w:t>‘</w:t>
      </w:r>
      <w:r w:rsidR="00E8334F">
        <w:t>[1]</w:t>
      </w:r>
      <w:r w:rsidR="00520C9E">
        <w:t> </w:t>
      </w:r>
      <w:r w:rsidR="00E8334F">
        <w:t>whether contact with law enforcement was initiated by the police or the person interrogated, and if by the police, whether the person voluntarily agreed to an interview; [2]</w:t>
      </w:r>
      <w:r w:rsidR="00520C9E">
        <w:t> </w:t>
      </w:r>
      <w:r w:rsidR="00E8334F">
        <w:t>whether the express purpose of the interview was to question the person as a witness or a suspect; [3]</w:t>
      </w:r>
      <w:r w:rsidR="000A5FEB">
        <w:t> </w:t>
      </w:r>
      <w:r w:rsidR="00E8334F">
        <w:t>where the interview took place; [4]</w:t>
      </w:r>
      <w:r w:rsidR="000A5FEB">
        <w:t> </w:t>
      </w:r>
      <w:r w:rsidR="00E8334F">
        <w:t>whether police informed the person that he or she was under arrest or in custody; [5]</w:t>
      </w:r>
      <w:r w:rsidR="000A5FEB">
        <w:t> </w:t>
      </w:r>
      <w:r w:rsidR="00E8334F">
        <w:t>whether they informed the person that he or she was free to terminate the interview and leave at any time and/or whether the person’s conduct indicated an awareness of such freedom; [6]</w:t>
      </w:r>
      <w:r w:rsidR="000A5FEB">
        <w:t> </w:t>
      </w:r>
      <w:r w:rsidR="00E8334F">
        <w:t>whether there were restrictions on the person's freedom of movement during the interview; [7]</w:t>
      </w:r>
      <w:r w:rsidR="000A5FEB">
        <w:t> </w:t>
      </w:r>
      <w:r w:rsidR="00E8334F">
        <w:t>how long the interrogation lasted; [8]</w:t>
      </w:r>
      <w:r w:rsidR="000A5FEB">
        <w:t> </w:t>
      </w:r>
      <w:r w:rsidR="00E8334F">
        <w:t>how many police officers participated; [9]</w:t>
      </w:r>
      <w:r w:rsidR="000A5FEB">
        <w:t> </w:t>
      </w:r>
      <w:r w:rsidR="00E8334F">
        <w:t>whether they dominated and controlled the course of the interrogation; [10]</w:t>
      </w:r>
      <w:r w:rsidR="000A5FEB">
        <w:t> </w:t>
      </w:r>
      <w:r w:rsidR="00E8334F">
        <w:t>whether they manifested a belief that the person was culpable and they had evidence to prove it; [11]</w:t>
      </w:r>
      <w:r w:rsidR="000A5FEB">
        <w:t> </w:t>
      </w:r>
      <w:r w:rsidR="00E8334F">
        <w:t>whether the police were aggressive, confrontational, and/or accusatory; [12]</w:t>
      </w:r>
      <w:r w:rsidR="000A5FEB">
        <w:t> </w:t>
      </w:r>
      <w:r w:rsidR="00E8334F">
        <w:t xml:space="preserve">whether the </w:t>
      </w:r>
      <w:r w:rsidR="00E8334F">
        <w:lastRenderedPageBreak/>
        <w:t>police used interrogation techni</w:t>
      </w:r>
      <w:r w:rsidR="001D7126">
        <w:t>ques to pressure the suspect; and [13</w:t>
      </w:r>
      <w:r w:rsidR="000B1D86">
        <w:t>] </w:t>
      </w:r>
      <w:r w:rsidR="001D7126">
        <w:t>whether the person was arrested at the end of the interrogation.</w:t>
      </w:r>
      <w:r w:rsidR="004038C5">
        <w:t>’</w:t>
      </w:r>
      <w:r w:rsidR="000B1D86">
        <w:t> </w:t>
      </w:r>
      <w:r w:rsidR="001D7126">
        <w:t>”</w:t>
      </w:r>
      <w:r w:rsidR="003E6161">
        <w:t xml:space="preserve"> </w:t>
      </w:r>
      <w:r w:rsidR="001D7126">
        <w:t xml:space="preserve"> </w:t>
      </w:r>
      <w:r w:rsidR="004038C5" w:rsidRPr="00FE49B5">
        <w:t>(</w:t>
      </w:r>
      <w:r w:rsidR="004038C5" w:rsidRPr="00A35686">
        <w:rPr>
          <w:i/>
          <w:iCs/>
        </w:rPr>
        <w:t>People v. Saldana</w:t>
      </w:r>
      <w:r w:rsidR="004038C5" w:rsidRPr="00FE49B5">
        <w:t xml:space="preserve"> (2018) 19</w:t>
      </w:r>
      <w:r w:rsidR="000B1D86">
        <w:t> </w:t>
      </w:r>
      <w:r w:rsidR="004038C5" w:rsidRPr="00FE49B5">
        <w:t>Cal.App.5th 432, 455.)</w:t>
      </w:r>
    </w:p>
    <w:p w14:paraId="40D73EE5" w14:textId="77777777" w:rsidR="005C2F85" w:rsidRDefault="00925C4E" w:rsidP="005C2F85">
      <w:pPr>
        <w:spacing w:line="360" w:lineRule="auto"/>
      </w:pPr>
      <w:r>
        <w:tab/>
        <w:t xml:space="preserve">In </w:t>
      </w:r>
      <w:r>
        <w:rPr>
          <w:i/>
          <w:iCs/>
        </w:rPr>
        <w:t xml:space="preserve">Moore, supra, </w:t>
      </w:r>
      <w:r w:rsidR="00620A81">
        <w:t>51</w:t>
      </w:r>
      <w:r w:rsidR="000B1D86">
        <w:t> </w:t>
      </w:r>
      <w:r w:rsidR="00620A81">
        <w:t>Cal.</w:t>
      </w:r>
      <w:r w:rsidR="00620A81" w:rsidRPr="00F118A2">
        <w:t>4th</w:t>
      </w:r>
      <w:r w:rsidR="00620A81">
        <w:t xml:space="preserve"> at pages</w:t>
      </w:r>
      <w:r w:rsidR="000B1D86">
        <w:t> </w:t>
      </w:r>
      <w:r w:rsidR="006261E3">
        <w:t>402</w:t>
      </w:r>
      <w:r w:rsidR="00D570D9">
        <w:t>–</w:t>
      </w:r>
      <w:r w:rsidR="006261E3">
        <w:t>403</w:t>
      </w:r>
      <w:r w:rsidR="00A11A4F">
        <w:t xml:space="preserve">, the court considered </w:t>
      </w:r>
      <w:r w:rsidR="001D14CA">
        <w:t>whether</w:t>
      </w:r>
      <w:r w:rsidR="00A11A4F">
        <w:t xml:space="preserve"> a station-house inte</w:t>
      </w:r>
      <w:r w:rsidR="007B3179">
        <w:t>rview</w:t>
      </w:r>
      <w:r w:rsidR="00A11A4F">
        <w:t xml:space="preserve"> </w:t>
      </w:r>
      <w:r w:rsidR="00F75250">
        <w:t>was</w:t>
      </w:r>
      <w:r w:rsidR="00A11A4F">
        <w:t xml:space="preserve"> custodial</w:t>
      </w:r>
      <w:r w:rsidR="00F75250">
        <w:t xml:space="preserve"> for purposes of </w:t>
      </w:r>
      <w:r w:rsidR="00F75250" w:rsidRPr="00F75250">
        <w:rPr>
          <w:i/>
          <w:iCs/>
        </w:rPr>
        <w:t>Miranda</w:t>
      </w:r>
      <w:r w:rsidR="00A11A4F">
        <w:t xml:space="preserve">. </w:t>
      </w:r>
      <w:r w:rsidR="00D570D9">
        <w:t xml:space="preserve"> </w:t>
      </w:r>
      <w:r w:rsidR="00A11A4F">
        <w:t xml:space="preserve">In that case, the defendant was taken voluntarily to the police station to give a statement </w:t>
      </w:r>
      <w:r w:rsidR="00F75250">
        <w:t>as a possible witness in a murder investigation.</w:t>
      </w:r>
      <w:r w:rsidR="00925E39">
        <w:t xml:space="preserve"> </w:t>
      </w:r>
      <w:r w:rsidR="003E6161">
        <w:t xml:space="preserve"> </w:t>
      </w:r>
      <w:r w:rsidR="00925E39">
        <w:t>(</w:t>
      </w:r>
      <w:r w:rsidR="00925E39">
        <w:rPr>
          <w:i/>
          <w:iCs/>
        </w:rPr>
        <w:t>Id.</w:t>
      </w:r>
      <w:r w:rsidR="00925E39">
        <w:t xml:space="preserve"> at p</w:t>
      </w:r>
      <w:r w:rsidR="000B1D86">
        <w:t>p</w:t>
      </w:r>
      <w:r w:rsidR="00925E39">
        <w:t>.</w:t>
      </w:r>
      <w:r w:rsidR="000B1D86">
        <w:t> </w:t>
      </w:r>
      <w:r w:rsidR="00925E39">
        <w:t>397</w:t>
      </w:r>
      <w:r w:rsidR="00C66079" w:rsidRPr="00C66079">
        <w:rPr>
          <w:rFonts w:eastAsia="Calibri" w:cs="Times New Roman"/>
          <w:sz w:val="24"/>
          <w:szCs w:val="24"/>
        </w:rPr>
        <w:t>–</w:t>
      </w:r>
      <w:r w:rsidR="00925E39">
        <w:t xml:space="preserve">398.) </w:t>
      </w:r>
      <w:r w:rsidR="003500A6">
        <w:t xml:space="preserve"> </w:t>
      </w:r>
      <w:r w:rsidR="00EE339B">
        <w:t>The</w:t>
      </w:r>
      <w:r w:rsidR="003500A6">
        <w:t xml:space="preserve"> </w:t>
      </w:r>
      <w:r w:rsidR="00572CDE" w:rsidRPr="00572CDE">
        <w:t xml:space="preserve">interview </w:t>
      </w:r>
      <w:r w:rsidR="00EE339B">
        <w:t xml:space="preserve">was conducted in a secure </w:t>
      </w:r>
      <w:r w:rsidR="00572CDE" w:rsidRPr="00572CDE">
        <w:t xml:space="preserve">room, </w:t>
      </w:r>
      <w:r w:rsidR="00EE339B">
        <w:t>but</w:t>
      </w:r>
      <w:r w:rsidR="00572CDE" w:rsidRPr="00572CDE">
        <w:t xml:space="preserve"> </w:t>
      </w:r>
      <w:r w:rsidR="007472F8">
        <w:t>the door was propped open</w:t>
      </w:r>
      <w:r w:rsidR="00EE339B">
        <w:t>.</w:t>
      </w:r>
      <w:r w:rsidR="00F276D0">
        <w:t xml:space="preserve"> </w:t>
      </w:r>
      <w:r w:rsidR="003E6161">
        <w:t xml:space="preserve"> </w:t>
      </w:r>
      <w:r w:rsidR="00F276D0">
        <w:t>(</w:t>
      </w:r>
      <w:r w:rsidR="00F276D0">
        <w:rPr>
          <w:i/>
          <w:iCs/>
        </w:rPr>
        <w:t xml:space="preserve">Id. </w:t>
      </w:r>
      <w:r w:rsidR="00F276D0" w:rsidRPr="007472F8">
        <w:t>at p.</w:t>
      </w:r>
      <w:r w:rsidR="000B1D86">
        <w:t> </w:t>
      </w:r>
      <w:r w:rsidR="00F276D0" w:rsidRPr="007472F8">
        <w:t>398.)</w:t>
      </w:r>
      <w:r w:rsidR="00EE339B">
        <w:t xml:space="preserve"> </w:t>
      </w:r>
      <w:r w:rsidR="003E6161">
        <w:t xml:space="preserve"> </w:t>
      </w:r>
      <w:r w:rsidR="00EE339B">
        <w:t>The defendant</w:t>
      </w:r>
      <w:r w:rsidR="00572CDE" w:rsidRPr="00572CDE">
        <w:t xml:space="preserve"> was interviewed by </w:t>
      </w:r>
      <w:r w:rsidR="00572CDE">
        <w:t>two officers.</w:t>
      </w:r>
      <w:r w:rsidR="00925E39">
        <w:t xml:space="preserve"> </w:t>
      </w:r>
      <w:r w:rsidR="003E6161">
        <w:t xml:space="preserve"> </w:t>
      </w:r>
      <w:r w:rsidR="00925E39">
        <w:t>(</w:t>
      </w:r>
      <w:r w:rsidR="00925E39">
        <w:rPr>
          <w:i/>
          <w:iCs/>
        </w:rPr>
        <w:t>I</w:t>
      </w:r>
      <w:r w:rsidR="0050006E">
        <w:rPr>
          <w:i/>
          <w:iCs/>
        </w:rPr>
        <w:t>bi</w:t>
      </w:r>
      <w:r w:rsidR="00925E39">
        <w:rPr>
          <w:i/>
          <w:iCs/>
        </w:rPr>
        <w:t>d</w:t>
      </w:r>
      <w:r w:rsidR="00925E39" w:rsidRPr="007472F8">
        <w:t>.)</w:t>
      </w:r>
      <w:r w:rsidR="00572CDE" w:rsidRPr="00572CDE">
        <w:t xml:space="preserve"> </w:t>
      </w:r>
      <w:r w:rsidR="003E6161">
        <w:t xml:space="preserve"> </w:t>
      </w:r>
      <w:r w:rsidR="00572CDE" w:rsidRPr="00572CDE">
        <w:t>The interview was audio- and videotaped.</w:t>
      </w:r>
      <w:r w:rsidR="007472F8">
        <w:t xml:space="preserve"> </w:t>
      </w:r>
      <w:r w:rsidR="003E6161">
        <w:t xml:space="preserve"> </w:t>
      </w:r>
      <w:r w:rsidR="007472F8">
        <w:t>(</w:t>
      </w:r>
      <w:r w:rsidR="007472F8">
        <w:rPr>
          <w:i/>
          <w:iCs/>
        </w:rPr>
        <w:t>Ibid</w:t>
      </w:r>
      <w:r w:rsidR="007472F8">
        <w:t>.)</w:t>
      </w:r>
      <w:r w:rsidR="00572CDE" w:rsidRPr="00572CDE">
        <w:t xml:space="preserve"> </w:t>
      </w:r>
      <w:r w:rsidR="003E6161">
        <w:t xml:space="preserve"> </w:t>
      </w:r>
      <w:r w:rsidR="00851F2D">
        <w:t>The d</w:t>
      </w:r>
      <w:r w:rsidR="00572CDE">
        <w:t xml:space="preserve">efendant was not handcuffed or </w:t>
      </w:r>
      <w:r w:rsidR="00572CDE" w:rsidRPr="00572CDE">
        <w:t xml:space="preserve">otherwise </w:t>
      </w:r>
      <w:proofErr w:type="gramStart"/>
      <w:r w:rsidR="00572CDE" w:rsidRPr="00572CDE">
        <w:t>restrained</w:t>
      </w:r>
      <w:proofErr w:type="gramEnd"/>
      <w:r w:rsidR="00572CDE" w:rsidRPr="00572CDE">
        <w:t xml:space="preserve"> and </w:t>
      </w:r>
      <w:r w:rsidR="00F75250">
        <w:t xml:space="preserve">he </w:t>
      </w:r>
      <w:r w:rsidR="00572CDE">
        <w:t>was expressly told that</w:t>
      </w:r>
      <w:r w:rsidR="00925E39">
        <w:t xml:space="preserve"> </w:t>
      </w:r>
      <w:r w:rsidR="00F75250">
        <w:t xml:space="preserve">he </w:t>
      </w:r>
      <w:r w:rsidR="00925E39" w:rsidRPr="00925E39">
        <w:t xml:space="preserve">was </w:t>
      </w:r>
      <w:r w:rsidR="00925E39">
        <w:t>“</w:t>
      </w:r>
      <w:r w:rsidR="0050006E">
        <w:t> </w:t>
      </w:r>
      <w:r w:rsidR="00925E39">
        <w:t>‘</w:t>
      </w:r>
      <w:r w:rsidR="00925E39" w:rsidRPr="00925E39">
        <w:t>not under arrest or anything</w:t>
      </w:r>
      <w:r w:rsidR="00925E39">
        <w:t>,’</w:t>
      </w:r>
      <w:r w:rsidR="0050006E">
        <w:t> </w:t>
      </w:r>
      <w:r w:rsidR="00925E39">
        <w:t xml:space="preserve">” that he </w:t>
      </w:r>
      <w:r w:rsidR="00925E39" w:rsidRPr="00925E39">
        <w:t xml:space="preserve">had been brought to the station only </w:t>
      </w:r>
      <w:r w:rsidR="00F75250">
        <w:t xml:space="preserve">to give </w:t>
      </w:r>
      <w:r w:rsidR="00925E39" w:rsidRPr="00925E39">
        <w:t>a statement</w:t>
      </w:r>
      <w:r w:rsidR="00F75250">
        <w:t>,</w:t>
      </w:r>
      <w:r w:rsidR="00925E39" w:rsidRPr="00925E39">
        <w:t xml:space="preserve"> and </w:t>
      </w:r>
      <w:r w:rsidR="00F75250">
        <w:t xml:space="preserve">that he </w:t>
      </w:r>
      <w:r w:rsidR="00925E39" w:rsidRPr="00925E39">
        <w:t>was “</w:t>
      </w:r>
      <w:r w:rsidR="0050006E">
        <w:t> </w:t>
      </w:r>
      <w:r w:rsidR="00925E39">
        <w:t>‘</w:t>
      </w:r>
      <w:r w:rsidR="00925E39" w:rsidRPr="00925E39">
        <w:t>free to go or whatever.</w:t>
      </w:r>
      <w:r w:rsidR="00925E39">
        <w:t>’</w:t>
      </w:r>
      <w:r w:rsidR="0050006E">
        <w:t> </w:t>
      </w:r>
      <w:r w:rsidR="00925E39" w:rsidRPr="00925E39">
        <w:t>”</w:t>
      </w:r>
      <w:r w:rsidR="00925E39">
        <w:t xml:space="preserve"> </w:t>
      </w:r>
      <w:r w:rsidR="003E6161">
        <w:t xml:space="preserve"> </w:t>
      </w:r>
      <w:r w:rsidR="00925E39" w:rsidRPr="003E6161">
        <w:t>(</w:t>
      </w:r>
      <w:r w:rsidR="00925E39">
        <w:rPr>
          <w:i/>
          <w:iCs/>
        </w:rPr>
        <w:t>Ibid</w:t>
      </w:r>
      <w:r w:rsidR="00925E39">
        <w:t>.)</w:t>
      </w:r>
      <w:r w:rsidR="003E6161">
        <w:t xml:space="preserve"> </w:t>
      </w:r>
      <w:r w:rsidR="00064F7C">
        <w:t xml:space="preserve"> </w:t>
      </w:r>
      <w:r w:rsidR="007C2074">
        <w:t>“</w:t>
      </w:r>
      <w:r w:rsidR="007C2074" w:rsidRPr="007C2074">
        <w:t xml:space="preserve">The interview was </w:t>
      </w:r>
      <w:proofErr w:type="gramStart"/>
      <w:r w:rsidR="007C2074" w:rsidRPr="007C2074">
        <w:t>fairly long</w:t>
      </w:r>
      <w:proofErr w:type="gramEnd"/>
      <w:r w:rsidR="007C2074" w:rsidRPr="007C2074">
        <w:t>—one hour 45 minutes—but not, as a whole, particularly intense or confrontational.</w:t>
      </w:r>
      <w:r w:rsidR="0050006E">
        <w:t> </w:t>
      </w:r>
      <w:r w:rsidR="00895E43">
        <w:t>. . .</w:t>
      </w:r>
      <w:r w:rsidR="007C2074" w:rsidRPr="007C2074">
        <w:t xml:space="preserve"> </w:t>
      </w:r>
      <w:r w:rsidR="003E6161">
        <w:t xml:space="preserve"> </w:t>
      </w:r>
      <w:r w:rsidR="007C2074" w:rsidRPr="007C2074">
        <w:t xml:space="preserve">For a substantial period, </w:t>
      </w:r>
      <w:r w:rsidR="00895E43">
        <w:t>. . .</w:t>
      </w:r>
      <w:r w:rsidR="007C2074" w:rsidRPr="007C2074">
        <w:t xml:space="preserve"> the questioning did not convey any suspicion of defendant or skepticism about his statements.</w:t>
      </w:r>
      <w:r w:rsidR="00FA7A49">
        <w:t>”</w:t>
      </w:r>
      <w:r w:rsidR="00D93AB6">
        <w:t xml:space="preserve"> </w:t>
      </w:r>
      <w:r w:rsidR="003E6161">
        <w:t xml:space="preserve"> </w:t>
      </w:r>
      <w:r w:rsidR="00FA7A49">
        <w:t>(</w:t>
      </w:r>
      <w:r w:rsidR="00FA7A49">
        <w:rPr>
          <w:i/>
          <w:iCs/>
        </w:rPr>
        <w:t>Id.</w:t>
      </w:r>
      <w:r w:rsidR="00FA7A49">
        <w:t xml:space="preserve"> at p.</w:t>
      </w:r>
      <w:r w:rsidR="0050006E">
        <w:t> </w:t>
      </w:r>
      <w:r w:rsidR="00FA7A49">
        <w:t xml:space="preserve">402.) </w:t>
      </w:r>
      <w:r w:rsidR="003E6161">
        <w:t xml:space="preserve"> </w:t>
      </w:r>
      <w:r w:rsidR="00FA7A49">
        <w:t>However, “[a]</w:t>
      </w:r>
      <w:proofErr w:type="spellStart"/>
      <w:r w:rsidR="00FA7A49" w:rsidRPr="00FA7A49">
        <w:t>fter</w:t>
      </w:r>
      <w:proofErr w:type="spellEnd"/>
      <w:r w:rsidR="00FA7A49" w:rsidRPr="00FA7A49">
        <w:t xml:space="preserve"> a while, </w:t>
      </w:r>
      <w:r w:rsidR="00D93AB6">
        <w:t>. . .</w:t>
      </w:r>
      <w:r w:rsidR="00FA7A49" w:rsidRPr="00FA7A49">
        <w:t xml:space="preserve"> the detectives interjected some more accusatory and skeptical questions</w:t>
      </w:r>
      <w:r w:rsidR="00FA7A49">
        <w:t>.”</w:t>
      </w:r>
      <w:r w:rsidR="00D93AB6">
        <w:t xml:space="preserve"> </w:t>
      </w:r>
      <w:r w:rsidR="00FA7A49">
        <w:t xml:space="preserve"> (</w:t>
      </w:r>
      <w:r w:rsidR="00FA7A49">
        <w:rPr>
          <w:i/>
          <w:iCs/>
        </w:rPr>
        <w:t>Ibid</w:t>
      </w:r>
      <w:r w:rsidR="00FA7A49">
        <w:t>.)</w:t>
      </w:r>
      <w:r w:rsidR="00C84169" w:rsidRPr="00C84169">
        <w:t xml:space="preserve"> </w:t>
      </w:r>
      <w:r w:rsidR="00125DE2">
        <w:t xml:space="preserve"> </w:t>
      </w:r>
      <w:r w:rsidR="00C84169">
        <w:t>At some point in the interview</w:t>
      </w:r>
      <w:r w:rsidR="00125DE2">
        <w:t xml:space="preserve"> the</w:t>
      </w:r>
      <w:r w:rsidR="00C84169">
        <w:t xml:space="preserve"> defendant asked to go home but his request was denied.</w:t>
      </w:r>
      <w:r w:rsidR="00C509CC">
        <w:t xml:space="preserve"> </w:t>
      </w:r>
      <w:r w:rsidR="00C84169">
        <w:t xml:space="preserve"> (</w:t>
      </w:r>
      <w:r w:rsidR="00C84169" w:rsidRPr="00B57718">
        <w:rPr>
          <w:i/>
          <w:iCs/>
        </w:rPr>
        <w:t>Id</w:t>
      </w:r>
      <w:r w:rsidR="00C84169">
        <w:t>. at p.</w:t>
      </w:r>
      <w:r w:rsidR="00EA09DA">
        <w:t> </w:t>
      </w:r>
      <w:r w:rsidR="00C84169">
        <w:t xml:space="preserve">403.) </w:t>
      </w:r>
      <w:r w:rsidR="00837279">
        <w:t xml:space="preserve"> </w:t>
      </w:r>
      <w:r w:rsidR="00064F7C">
        <w:t xml:space="preserve">The court </w:t>
      </w:r>
      <w:r>
        <w:t>concluded that</w:t>
      </w:r>
      <w:r w:rsidR="008458C3">
        <w:t xml:space="preserve"> the</w:t>
      </w:r>
      <w:r>
        <w:t xml:space="preserve"> interview “did not, in its entirety, constitute custodial interrogation.” </w:t>
      </w:r>
      <w:r w:rsidR="003E6161">
        <w:t xml:space="preserve"> </w:t>
      </w:r>
      <w:r>
        <w:t>(</w:t>
      </w:r>
      <w:r>
        <w:rPr>
          <w:i/>
          <w:iCs/>
        </w:rPr>
        <w:t>Id</w:t>
      </w:r>
      <w:r>
        <w:t>. at p.</w:t>
      </w:r>
      <w:r w:rsidR="00EA09DA">
        <w:t> </w:t>
      </w:r>
      <w:r>
        <w:t>402.)</w:t>
      </w:r>
      <w:r w:rsidR="00667E19">
        <w:t xml:space="preserve"> </w:t>
      </w:r>
      <w:r>
        <w:t xml:space="preserve"> </w:t>
      </w:r>
      <w:r w:rsidR="00466BF0">
        <w:t xml:space="preserve">It was not custodial “[a]t least until defendant first asked to be taken home and his request was not granted.” </w:t>
      </w:r>
      <w:r w:rsidR="003E6161">
        <w:t xml:space="preserve"> </w:t>
      </w:r>
      <w:r w:rsidR="00466BF0">
        <w:t>(</w:t>
      </w:r>
      <w:r w:rsidR="00466BF0">
        <w:rPr>
          <w:i/>
          <w:iCs/>
        </w:rPr>
        <w:t>Id</w:t>
      </w:r>
      <w:r w:rsidR="00466BF0">
        <w:t>. at p.</w:t>
      </w:r>
      <w:r w:rsidR="00EA09DA">
        <w:t> </w:t>
      </w:r>
      <w:r w:rsidR="00466BF0">
        <w:t xml:space="preserve">403.) </w:t>
      </w:r>
      <w:r w:rsidR="003E6161">
        <w:t xml:space="preserve"> </w:t>
      </w:r>
      <w:r>
        <w:t>The court reasoned that</w:t>
      </w:r>
      <w:r w:rsidR="000D0749">
        <w:t xml:space="preserve"> “</w:t>
      </w:r>
      <w:r w:rsidR="000D0749" w:rsidRPr="000D0749">
        <w:t>a reasonable person in defendant</w:t>
      </w:r>
      <w:r w:rsidR="000D0749">
        <w:t>’</w:t>
      </w:r>
      <w:r w:rsidR="000D0749" w:rsidRPr="000D0749">
        <w:t>s circumstances would have believed, despite indications of police skepticism, that he was not under arrest and was free to terminate the interview and leave if he chose to do so.</w:t>
      </w:r>
      <w:r w:rsidR="000D0749">
        <w:t>”</w:t>
      </w:r>
      <w:r w:rsidR="00B65B08">
        <w:t xml:space="preserve"> </w:t>
      </w:r>
      <w:r w:rsidR="003E6161">
        <w:t xml:space="preserve"> </w:t>
      </w:r>
      <w:r w:rsidR="00B65B08">
        <w:t>(</w:t>
      </w:r>
      <w:r w:rsidR="00B65B08">
        <w:rPr>
          <w:i/>
          <w:iCs/>
        </w:rPr>
        <w:t>Ibid</w:t>
      </w:r>
      <w:r w:rsidR="00623AD7">
        <w:rPr>
          <w:i/>
          <w:iCs/>
        </w:rPr>
        <w:t>.</w:t>
      </w:r>
      <w:r w:rsidR="00523B01">
        <w:t xml:space="preserve">) </w:t>
      </w:r>
      <w:r w:rsidR="003E6161">
        <w:t xml:space="preserve"> </w:t>
      </w:r>
      <w:r w:rsidR="00523B01">
        <w:t>The court reiterated that “</w:t>
      </w:r>
      <w:r w:rsidR="00523B01" w:rsidRPr="00523B01">
        <w:rPr>
          <w:i/>
          <w:iCs/>
        </w:rPr>
        <w:t>Mira</w:t>
      </w:r>
      <w:r w:rsidR="00B65B08" w:rsidRPr="00523B01">
        <w:rPr>
          <w:i/>
          <w:iCs/>
        </w:rPr>
        <w:t>nda</w:t>
      </w:r>
      <w:r w:rsidR="00B65B08" w:rsidRPr="00B65B08">
        <w:t xml:space="preserve"> warnings are not required </w:t>
      </w:r>
      <w:r w:rsidR="00523B01">
        <w:t>‘</w:t>
      </w:r>
      <w:r w:rsidR="00B65B08" w:rsidRPr="00B65B08">
        <w:t xml:space="preserve">simply because the </w:t>
      </w:r>
      <w:r w:rsidR="00B65B08" w:rsidRPr="00B65B08">
        <w:lastRenderedPageBreak/>
        <w:t>questioning takes place in the station house, or because the questioned person is one whom the police suspect.</w:t>
      </w:r>
      <w:r w:rsidR="00523B01">
        <w:t xml:space="preserve">’ </w:t>
      </w:r>
      <w:r w:rsidR="00623AD7">
        <w:t xml:space="preserve"> </w:t>
      </w:r>
      <w:r w:rsidR="00523B01">
        <w:t>[Citation.]</w:t>
      </w:r>
      <w:r w:rsidR="00B65B08" w:rsidRPr="00B65B08">
        <w:t xml:space="preserve"> </w:t>
      </w:r>
      <w:r w:rsidR="00623AD7">
        <w:t xml:space="preserve"> </w:t>
      </w:r>
      <w:r w:rsidR="00B65B08" w:rsidRPr="00B65B08">
        <w:t>While the nature of the police questioning is relevant to the custody question, police expressions of suspicion, with no other evidence of a restraint on the person's freedom of movement, are not necessarily sufficient to convert voluntary presence at an interview into custody.</w:t>
      </w:r>
      <w:r w:rsidR="00523B01">
        <w:t>”</w:t>
      </w:r>
      <w:r w:rsidR="003E6161">
        <w:t xml:space="preserve"> </w:t>
      </w:r>
      <w:r w:rsidR="00523B01">
        <w:t xml:space="preserve"> (</w:t>
      </w:r>
      <w:r w:rsidR="00523B01">
        <w:rPr>
          <w:i/>
          <w:iCs/>
        </w:rPr>
        <w:t>Ibid</w:t>
      </w:r>
      <w:r w:rsidR="00523B01">
        <w:t xml:space="preserve">.) </w:t>
      </w:r>
    </w:p>
    <w:p w14:paraId="40D73EE6" w14:textId="77777777" w:rsidR="00FC23C4" w:rsidRDefault="00925C4E" w:rsidP="005C2F85">
      <w:pPr>
        <w:spacing w:line="360" w:lineRule="auto"/>
      </w:pPr>
      <w:r>
        <w:tab/>
      </w:r>
      <w:r w:rsidR="00662373">
        <w:t>As in</w:t>
      </w:r>
      <w:r>
        <w:t xml:space="preserve"> </w:t>
      </w:r>
      <w:r>
        <w:rPr>
          <w:i/>
          <w:iCs/>
        </w:rPr>
        <w:t>Moore</w:t>
      </w:r>
      <w:r>
        <w:t xml:space="preserve">, </w:t>
      </w:r>
      <w:r w:rsidR="00662373">
        <w:t xml:space="preserve">many of the circumstances surrounding </w:t>
      </w:r>
      <w:r w:rsidR="00623AD7">
        <w:t>Buckner’s</w:t>
      </w:r>
      <w:r w:rsidR="00662373">
        <w:t xml:space="preserve"> inter</w:t>
      </w:r>
      <w:r w:rsidR="007B3179">
        <w:t>view</w:t>
      </w:r>
      <w:r w:rsidR="00662373">
        <w:t xml:space="preserve"> support the conclusion that it was not custodial. </w:t>
      </w:r>
      <w:r w:rsidR="00F326B8">
        <w:t xml:space="preserve"> </w:t>
      </w:r>
      <w:r w:rsidR="00662373">
        <w:t>First, c</w:t>
      </w:r>
      <w:r w:rsidR="00FE418B">
        <w:t xml:space="preserve">ontrary to </w:t>
      </w:r>
      <w:r w:rsidR="003D13B6">
        <w:t>his</w:t>
      </w:r>
      <w:r w:rsidR="00FE418B">
        <w:t xml:space="preserve"> argument, s</w:t>
      </w:r>
      <w:r>
        <w:t xml:space="preserve">ubstantial evidence supports the </w:t>
      </w:r>
      <w:r w:rsidR="00FE418B">
        <w:t xml:space="preserve">trial court’s </w:t>
      </w:r>
      <w:r>
        <w:t xml:space="preserve">finding that </w:t>
      </w:r>
      <w:r w:rsidR="00CE11FC">
        <w:t>he</w:t>
      </w:r>
      <w:r w:rsidR="00374851">
        <w:t xml:space="preserve"> went voluntarily to the police station</w:t>
      </w:r>
      <w:r>
        <w:t>.</w:t>
      </w:r>
      <w:r w:rsidR="003E6161">
        <w:t xml:space="preserve"> </w:t>
      </w:r>
      <w:r w:rsidR="001B7558">
        <w:t xml:space="preserve"> The officer asked </w:t>
      </w:r>
      <w:r w:rsidR="00CE11FC">
        <w:t>him</w:t>
      </w:r>
      <w:r w:rsidR="001B7558">
        <w:t xml:space="preserve"> if he was willing to go to the station to make a statement and </w:t>
      </w:r>
      <w:r w:rsidR="002A275A">
        <w:t xml:space="preserve">he </w:t>
      </w:r>
      <w:r w:rsidR="001B7558">
        <w:t xml:space="preserve">was driven in the front seat of the police car. </w:t>
      </w:r>
      <w:r w:rsidR="003E6161">
        <w:t xml:space="preserve"> </w:t>
      </w:r>
      <w:r w:rsidR="001B7558">
        <w:t xml:space="preserve">The </w:t>
      </w:r>
      <w:r w:rsidR="00903FE7">
        <w:t>fact that</w:t>
      </w:r>
      <w:r w:rsidR="00583403">
        <w:t xml:space="preserve"> </w:t>
      </w:r>
      <w:r w:rsidR="00CE11FC">
        <w:t>Buckner</w:t>
      </w:r>
      <w:r w:rsidR="00903FE7">
        <w:t xml:space="preserve"> was prevented from entering his home before the interview </w:t>
      </w:r>
      <w:r w:rsidR="0035249F">
        <w:t>was reasonable and not coercive</w:t>
      </w:r>
      <w:r w:rsidR="003D1845">
        <w:t xml:space="preserve"> given the ongoing investigation.</w:t>
      </w:r>
      <w:r w:rsidR="0035249F">
        <w:t xml:space="preserve"> </w:t>
      </w:r>
      <w:r w:rsidR="003E6161">
        <w:t xml:space="preserve"> </w:t>
      </w:r>
      <w:r w:rsidR="004A0F4C">
        <w:t>Nothing suggests</w:t>
      </w:r>
      <w:r w:rsidR="003E2D89">
        <w:t xml:space="preserve"> that</w:t>
      </w:r>
      <w:r w:rsidR="004A0F4C">
        <w:t xml:space="preserve"> the officer used </w:t>
      </w:r>
      <w:r w:rsidR="00F67489">
        <w:t>th</w:t>
      </w:r>
      <w:r w:rsidR="00664414">
        <w:t>is</w:t>
      </w:r>
      <w:r w:rsidR="00F67489">
        <w:t xml:space="preserve"> circumstance as leverage to obtain </w:t>
      </w:r>
      <w:r w:rsidR="00CE11FC">
        <w:t>Buckner’s</w:t>
      </w:r>
      <w:r w:rsidR="00F67489">
        <w:t xml:space="preserve"> statement. </w:t>
      </w:r>
      <w:r w:rsidR="003E6161">
        <w:t xml:space="preserve"> </w:t>
      </w:r>
      <w:r w:rsidR="00583403">
        <w:t>Once at the station,</w:t>
      </w:r>
      <w:r w:rsidR="00E86E05">
        <w:t xml:space="preserve"> </w:t>
      </w:r>
      <w:r w:rsidR="009B6979">
        <w:t>Buckner</w:t>
      </w:r>
      <w:r>
        <w:t xml:space="preserve"> was not </w:t>
      </w:r>
      <w:r w:rsidR="00B42F65">
        <w:t>ha</w:t>
      </w:r>
      <w:r w:rsidR="00F62949">
        <w:t>n</w:t>
      </w:r>
      <w:r w:rsidR="00B42F65">
        <w:t>dcuffed,</w:t>
      </w:r>
      <w:r w:rsidR="000C7911">
        <w:t xml:space="preserve"> and</w:t>
      </w:r>
      <w:r w:rsidR="00B42F65">
        <w:t xml:space="preserve"> although the interview room door was apparently closed</w:t>
      </w:r>
      <w:r w:rsidR="000C7911">
        <w:t>, h</w:t>
      </w:r>
      <w:r w:rsidR="00600F38">
        <w:t>e</w:t>
      </w:r>
      <w:r w:rsidR="00B42F65">
        <w:t xml:space="preserve"> was expressly told that he was not under arrest.</w:t>
      </w:r>
      <w:r w:rsidR="003E6161">
        <w:t xml:space="preserve"> </w:t>
      </w:r>
      <w:r w:rsidR="00B42F65">
        <w:t xml:space="preserve"> </w:t>
      </w:r>
      <w:r w:rsidR="00B81930">
        <w:t xml:space="preserve">Although the officer was investigating a suspected arson, </w:t>
      </w:r>
      <w:r w:rsidR="004E5720">
        <w:t>Buckner</w:t>
      </w:r>
      <w:r w:rsidR="00F60D26">
        <w:t xml:space="preserve"> does not </w:t>
      </w:r>
      <w:r w:rsidR="007B19CD">
        <w:t>claim</w:t>
      </w:r>
      <w:r w:rsidR="00F60D26">
        <w:t xml:space="preserve"> that </w:t>
      </w:r>
      <w:r w:rsidR="00B81930">
        <w:t>t</w:t>
      </w:r>
      <w:r w:rsidR="00F62949">
        <w:t xml:space="preserve">he officer’s questions were </w:t>
      </w:r>
      <w:r w:rsidR="00B81930">
        <w:t xml:space="preserve">accusatory or </w:t>
      </w:r>
      <w:r w:rsidR="00F62949">
        <w:t>a</w:t>
      </w:r>
      <w:r w:rsidR="0098029B">
        <w:t>dversarial</w:t>
      </w:r>
      <w:r w:rsidR="004E5720">
        <w:t>, and our review of the</w:t>
      </w:r>
      <w:r w:rsidR="00593BBE">
        <w:t xml:space="preserve"> record </w:t>
      </w:r>
      <w:r w:rsidR="00694378">
        <w:t>persuades us that they were not</w:t>
      </w:r>
      <w:r w:rsidR="00444D4D">
        <w:t xml:space="preserve">. </w:t>
      </w:r>
      <w:r w:rsidR="003E6161">
        <w:t xml:space="preserve"> </w:t>
      </w:r>
      <w:r w:rsidR="000A13E8">
        <w:t xml:space="preserve">Unlike in </w:t>
      </w:r>
      <w:r w:rsidR="000A13E8" w:rsidRPr="009B0C34">
        <w:rPr>
          <w:i/>
          <w:iCs/>
        </w:rPr>
        <w:t>Moore</w:t>
      </w:r>
      <w:r w:rsidR="000A13E8">
        <w:t>, t</w:t>
      </w:r>
      <w:r w:rsidR="000A13E8" w:rsidRPr="009B0C34">
        <w:t>he</w:t>
      </w:r>
      <w:r w:rsidR="000A13E8">
        <w:t xml:space="preserve"> interview in this case only lasted “a few minutes,” it was conducted by one officer, and </w:t>
      </w:r>
      <w:r w:rsidR="000C7911">
        <w:t>Buckner</w:t>
      </w:r>
      <w:r w:rsidR="00C34D85">
        <w:t xml:space="preserve"> was </w:t>
      </w:r>
      <w:r w:rsidR="000A13E8">
        <w:t>allowed</w:t>
      </w:r>
      <w:r w:rsidR="00C34D85">
        <w:t xml:space="preserve"> to leave </w:t>
      </w:r>
      <w:r w:rsidR="004261DB">
        <w:t xml:space="preserve">when he asked </w:t>
      </w:r>
      <w:r w:rsidR="004523B0">
        <w:t>to consult with</w:t>
      </w:r>
      <w:r w:rsidR="00743DCC">
        <w:t xml:space="preserve"> an attorney</w:t>
      </w:r>
      <w:r w:rsidR="00FC3383">
        <w:t>.</w:t>
      </w:r>
    </w:p>
    <w:p w14:paraId="40D73EE7" w14:textId="77777777" w:rsidR="001672C1" w:rsidRPr="005A31C0" w:rsidRDefault="00925C4E" w:rsidP="004D6E92">
      <w:pPr>
        <w:spacing w:line="360" w:lineRule="auto"/>
        <w:rPr>
          <w:i/>
          <w:iCs/>
        </w:rPr>
      </w:pPr>
      <w:r>
        <w:tab/>
      </w:r>
      <w:r w:rsidR="00967D10">
        <w:t xml:space="preserve">As </w:t>
      </w:r>
      <w:r w:rsidR="0066667D">
        <w:t>Buckner</w:t>
      </w:r>
      <w:r w:rsidR="00967D10">
        <w:t xml:space="preserve"> </w:t>
      </w:r>
      <w:r w:rsidR="00903E9E">
        <w:t>argues</w:t>
      </w:r>
      <w:r w:rsidR="00967D10">
        <w:t>, t</w:t>
      </w:r>
      <w:r>
        <w:t>he most significant factual distinction</w:t>
      </w:r>
      <w:r w:rsidR="00096DBB">
        <w:t xml:space="preserve"> between this case and </w:t>
      </w:r>
      <w:r w:rsidR="00096DBB" w:rsidRPr="00096DBB">
        <w:rPr>
          <w:i/>
          <w:iCs/>
        </w:rPr>
        <w:t>Moore</w:t>
      </w:r>
      <w:r>
        <w:t xml:space="preserve"> is th</w:t>
      </w:r>
      <w:r>
        <w:t xml:space="preserve">at </w:t>
      </w:r>
      <w:r w:rsidR="00B46BC8">
        <w:t xml:space="preserve">in this case </w:t>
      </w:r>
      <w:r w:rsidR="0066667D">
        <w:t>Buckner</w:t>
      </w:r>
      <w:r>
        <w:t xml:space="preserve"> was read his </w:t>
      </w:r>
      <w:r>
        <w:rPr>
          <w:i/>
          <w:iCs/>
        </w:rPr>
        <w:t xml:space="preserve">Miranda </w:t>
      </w:r>
      <w:r>
        <w:t>rights</w:t>
      </w:r>
      <w:r w:rsidR="00967D10">
        <w:t xml:space="preserve"> at the start of the inter</w:t>
      </w:r>
      <w:r w:rsidR="00CE2ED2">
        <w:t>view</w:t>
      </w:r>
      <w:r w:rsidR="00967D10">
        <w:t>.</w:t>
      </w:r>
      <w:r>
        <w:t xml:space="preserve"> </w:t>
      </w:r>
      <w:r w:rsidR="00374851">
        <w:t xml:space="preserve"> </w:t>
      </w:r>
      <w:r w:rsidR="00171A1F">
        <w:t xml:space="preserve">In </w:t>
      </w:r>
      <w:r w:rsidR="00874D95" w:rsidRPr="00874D95">
        <w:rPr>
          <w:i/>
          <w:iCs/>
        </w:rPr>
        <w:t>People v. Boyer</w:t>
      </w:r>
      <w:r w:rsidR="00874D95" w:rsidRPr="00874D95">
        <w:t xml:space="preserve"> (1989) 48</w:t>
      </w:r>
      <w:r w:rsidR="009A62A0">
        <w:t> </w:t>
      </w:r>
      <w:r w:rsidR="00874D95" w:rsidRPr="00874D95">
        <w:t>Cal.3d 247,</w:t>
      </w:r>
      <w:r w:rsidR="008C5006" w:rsidRPr="008C5006">
        <w:t xml:space="preserve"> </w:t>
      </w:r>
      <w:r w:rsidR="00BE5DF7">
        <w:t>27</w:t>
      </w:r>
      <w:r w:rsidR="00894D86">
        <w:t xml:space="preserve">2, </w:t>
      </w:r>
      <w:r w:rsidR="00DB5C6B">
        <w:t>disapprov</w:t>
      </w:r>
      <w:r w:rsidR="008C5006">
        <w:t xml:space="preserve">ed on different point in </w:t>
      </w:r>
      <w:r w:rsidR="008C5006" w:rsidRPr="008C5006">
        <w:rPr>
          <w:i/>
          <w:iCs/>
        </w:rPr>
        <w:t>People v. Stansbury</w:t>
      </w:r>
      <w:r w:rsidR="008C5006">
        <w:t xml:space="preserve"> </w:t>
      </w:r>
      <w:r w:rsidR="00DB5C6B" w:rsidRPr="00713A15">
        <w:t>(1995)</w:t>
      </w:r>
      <w:r w:rsidR="008C5006">
        <w:t xml:space="preserve"> </w:t>
      </w:r>
      <w:r w:rsidR="008C5006" w:rsidRPr="008C5006">
        <w:t>9</w:t>
      </w:r>
      <w:r w:rsidR="009A62A0">
        <w:t> </w:t>
      </w:r>
      <w:r w:rsidR="008C5006" w:rsidRPr="008C5006">
        <w:t>Cal.4th 824, 830, fn.</w:t>
      </w:r>
      <w:r w:rsidR="009A62A0">
        <w:t> </w:t>
      </w:r>
      <w:r w:rsidR="008C5006" w:rsidRPr="008C5006">
        <w:t>1</w:t>
      </w:r>
      <w:r w:rsidR="007337D9">
        <w:t>,</w:t>
      </w:r>
      <w:r w:rsidR="00C3207E">
        <w:t xml:space="preserve"> </w:t>
      </w:r>
      <w:r w:rsidR="00967D10">
        <w:t xml:space="preserve">the court relied on the fact that the </w:t>
      </w:r>
      <w:r w:rsidR="00475CEE">
        <w:t xml:space="preserve">defendant had been read his </w:t>
      </w:r>
      <w:r w:rsidR="00475CEE" w:rsidRPr="001672C1">
        <w:rPr>
          <w:i/>
          <w:iCs/>
        </w:rPr>
        <w:lastRenderedPageBreak/>
        <w:t>Miranda</w:t>
      </w:r>
      <w:r w:rsidR="00475CEE">
        <w:t xml:space="preserve"> rights</w:t>
      </w:r>
      <w:r w:rsidR="00967D10">
        <w:t xml:space="preserve"> as one of many circumstances establishing that the defendant’s station-house interrogation was custodial.</w:t>
      </w:r>
      <w:r w:rsidR="003E6161">
        <w:t xml:space="preserve"> </w:t>
      </w:r>
      <w:r w:rsidR="00967D10">
        <w:t xml:space="preserve"> </w:t>
      </w:r>
      <w:r w:rsidR="006A09BF">
        <w:t xml:space="preserve">The court noted that </w:t>
      </w:r>
      <w:r w:rsidR="00760617">
        <w:t>the fact that “</w:t>
      </w:r>
      <w:r w:rsidR="00760617" w:rsidRPr="00760617">
        <w:t xml:space="preserve">the police read defendant his </w:t>
      </w:r>
      <w:r w:rsidR="00760617" w:rsidRPr="001672C1">
        <w:rPr>
          <w:i/>
          <w:iCs/>
        </w:rPr>
        <w:t>Miranda</w:t>
      </w:r>
      <w:r w:rsidR="00760617" w:rsidRPr="00760617">
        <w:t xml:space="preserve"> rights at the station</w:t>
      </w:r>
      <w:r w:rsidR="00760617">
        <w:t>”</w:t>
      </w:r>
      <w:r w:rsidR="00760617" w:rsidRPr="00760617">
        <w:t xml:space="preserve"> </w:t>
      </w:r>
      <w:r w:rsidR="000E570F">
        <w:t>was “</w:t>
      </w:r>
      <w:r w:rsidR="00894D86" w:rsidRPr="00894D86">
        <w:t xml:space="preserve">a strong indication that they themselves considered the interrogation </w:t>
      </w:r>
      <w:r w:rsidR="00CB17FE">
        <w:t>‘</w:t>
      </w:r>
      <w:r w:rsidR="00894D86" w:rsidRPr="00894D86">
        <w:t>custodial.</w:t>
      </w:r>
      <w:r w:rsidR="00CB17FE">
        <w:t>’</w:t>
      </w:r>
      <w:r w:rsidR="009768D7">
        <w:t> </w:t>
      </w:r>
      <w:r w:rsidR="00894D86" w:rsidRPr="00894D86">
        <w:t>”</w:t>
      </w:r>
      <w:r w:rsidR="003E6161">
        <w:t xml:space="preserve"> </w:t>
      </w:r>
      <w:r w:rsidR="00760617">
        <w:t xml:space="preserve"> (</w:t>
      </w:r>
      <w:r w:rsidR="00760617">
        <w:rPr>
          <w:i/>
          <w:iCs/>
        </w:rPr>
        <w:t>Ibid</w:t>
      </w:r>
      <w:r w:rsidR="00760617">
        <w:t>.)</w:t>
      </w:r>
      <w:r w:rsidR="003E6161">
        <w:t xml:space="preserve"> </w:t>
      </w:r>
      <w:r w:rsidR="00766F47">
        <w:t xml:space="preserve"> </w:t>
      </w:r>
      <w:r>
        <w:t>S</w:t>
      </w:r>
      <w:r w:rsidR="005D6B7F">
        <w:t>ome</w:t>
      </w:r>
      <w:r>
        <w:t xml:space="preserve"> federal courts have similarly concluded that</w:t>
      </w:r>
      <w:r w:rsidR="004D6E92">
        <w:t>, “[a]</w:t>
      </w:r>
      <w:proofErr w:type="spellStart"/>
      <w:r w:rsidR="004D6E92">
        <w:t>lthough</w:t>
      </w:r>
      <w:proofErr w:type="spellEnd"/>
      <w:r w:rsidR="004D6E92">
        <w:t xml:space="preserve"> giving a </w:t>
      </w:r>
      <w:r w:rsidR="004D6E92" w:rsidRPr="004D6E92">
        <w:rPr>
          <w:i/>
          <w:iCs/>
        </w:rPr>
        <w:t>Miranda</w:t>
      </w:r>
      <w:r w:rsidR="004D6E92">
        <w:t xml:space="preserve"> warning does not, in and of itself, convert an otherwise non-custodial interview into a custodial interrogation, it is a factor to be considered by the court.”  (</w:t>
      </w:r>
      <w:r w:rsidR="004D6E92" w:rsidRPr="0014717C">
        <w:rPr>
          <w:i/>
          <w:iCs/>
        </w:rPr>
        <w:t>United States v. Bautista</w:t>
      </w:r>
      <w:r w:rsidR="004D6E92">
        <w:t xml:space="preserve"> (</w:t>
      </w:r>
      <w:r w:rsidR="004D6E92" w:rsidRPr="0014717C">
        <w:t>10th</w:t>
      </w:r>
      <w:r w:rsidR="009768D7">
        <w:t> </w:t>
      </w:r>
      <w:r w:rsidR="004D6E92">
        <w:t>Cir</w:t>
      </w:r>
      <w:r w:rsidR="0014717C">
        <w:t>. 1998)</w:t>
      </w:r>
      <w:r w:rsidR="004D6E92">
        <w:t xml:space="preserve"> 145</w:t>
      </w:r>
      <w:r w:rsidR="009768D7">
        <w:t> </w:t>
      </w:r>
      <w:r w:rsidR="004D6E92">
        <w:t>F.3d 1140, 1148</w:t>
      </w:r>
      <w:r w:rsidR="0014717C">
        <w:t xml:space="preserve">; </w:t>
      </w:r>
      <w:proofErr w:type="spellStart"/>
      <w:r w:rsidRPr="00C76F7D">
        <w:rPr>
          <w:i/>
          <w:iCs/>
        </w:rPr>
        <w:t>Sprosty</w:t>
      </w:r>
      <w:proofErr w:type="spellEnd"/>
      <w:r w:rsidRPr="00C76F7D">
        <w:rPr>
          <w:i/>
          <w:iCs/>
        </w:rPr>
        <w:t xml:space="preserve"> v. </w:t>
      </w:r>
      <w:proofErr w:type="spellStart"/>
      <w:r w:rsidRPr="00C76F7D">
        <w:rPr>
          <w:i/>
          <w:iCs/>
        </w:rPr>
        <w:t>Buchler</w:t>
      </w:r>
      <w:proofErr w:type="spellEnd"/>
      <w:r>
        <w:t xml:space="preserve"> (7th</w:t>
      </w:r>
      <w:r w:rsidR="009768D7">
        <w:t> </w:t>
      </w:r>
      <w:r>
        <w:t xml:space="preserve">Cir. </w:t>
      </w:r>
      <w:r>
        <w:t>1996) 79</w:t>
      </w:r>
      <w:r w:rsidR="009768D7">
        <w:t> </w:t>
      </w:r>
      <w:r>
        <w:t>F.3d 635, 642 [</w:t>
      </w:r>
      <w:r w:rsidRPr="00E52A68">
        <w:t xml:space="preserve">giving </w:t>
      </w:r>
      <w:r w:rsidRPr="00E52A68">
        <w:rPr>
          <w:i/>
          <w:iCs/>
        </w:rPr>
        <w:t>Miranda</w:t>
      </w:r>
      <w:r w:rsidRPr="00E52A68">
        <w:t xml:space="preserve"> warnings to a suspect </w:t>
      </w:r>
      <w:r>
        <w:t>“</w:t>
      </w:r>
      <w:r w:rsidRPr="003B2466">
        <w:t xml:space="preserve">in the context of a prolonged detention where there is persistent, accusatory questioning by several officers, </w:t>
      </w:r>
      <w:r>
        <w:t>. . .</w:t>
      </w:r>
      <w:r w:rsidRPr="003B2466">
        <w:t xml:space="preserve"> without actually telling </w:t>
      </w:r>
      <w:r>
        <w:t>[suspect]</w:t>
      </w:r>
      <w:r w:rsidRPr="003B2466">
        <w:t xml:space="preserve"> that he was not under arrest does provide </w:t>
      </w:r>
      <w:r w:rsidRPr="003B2466">
        <w:t xml:space="preserve">some support for an inference that </w:t>
      </w:r>
      <w:r>
        <w:t>[the suspect]</w:t>
      </w:r>
      <w:r w:rsidR="009B2F69">
        <w:t xml:space="preserve"> </w:t>
      </w:r>
      <w:r w:rsidRPr="003B2466">
        <w:t xml:space="preserve">was in custody for purposes of </w:t>
      </w:r>
      <w:r w:rsidRPr="0014717C">
        <w:rPr>
          <w:i/>
          <w:iCs/>
        </w:rPr>
        <w:t>Miranda</w:t>
      </w:r>
      <w:r>
        <w:t>”];</w:t>
      </w:r>
      <w:r w:rsidR="006E6EC2" w:rsidRPr="006E6EC2">
        <w:t xml:space="preserve"> </w:t>
      </w:r>
      <w:r>
        <w:t xml:space="preserve">but see </w:t>
      </w:r>
      <w:r w:rsidRPr="005A31C0">
        <w:rPr>
          <w:i/>
          <w:iCs/>
        </w:rPr>
        <w:t xml:space="preserve">Davis v. </w:t>
      </w:r>
      <w:proofErr w:type="spellStart"/>
      <w:r w:rsidRPr="005A31C0">
        <w:rPr>
          <w:i/>
          <w:iCs/>
        </w:rPr>
        <w:t>Allsbrooks</w:t>
      </w:r>
      <w:proofErr w:type="spellEnd"/>
      <w:r>
        <w:t xml:space="preserve"> </w:t>
      </w:r>
      <w:r w:rsidRPr="009045F9">
        <w:t>(4th</w:t>
      </w:r>
      <w:r w:rsidR="00360BF7">
        <w:t> </w:t>
      </w:r>
      <w:r w:rsidRPr="009045F9">
        <w:t>Cir.</w:t>
      </w:r>
      <w:r>
        <w:t xml:space="preserve"> </w:t>
      </w:r>
      <w:r w:rsidRPr="009045F9">
        <w:t>1985) 778</w:t>
      </w:r>
      <w:r w:rsidR="00360BF7">
        <w:t> </w:t>
      </w:r>
      <w:r w:rsidRPr="009045F9">
        <w:t>F.2d 168, 172</w:t>
      </w:r>
      <w:r>
        <w:t xml:space="preserve"> [</w:t>
      </w:r>
      <w:r w:rsidRPr="009045F9">
        <w:t xml:space="preserve">to hold that giving </w:t>
      </w:r>
      <w:r w:rsidRPr="00FE2C7F">
        <w:rPr>
          <w:i/>
          <w:iCs/>
        </w:rPr>
        <w:t xml:space="preserve">Miranda </w:t>
      </w:r>
      <w:r w:rsidRPr="009045F9">
        <w:t xml:space="preserve">warnings creates custody would “convert admirable </w:t>
      </w:r>
      <w:r w:rsidRPr="009045F9">
        <w:t>precautionary measures .</w:t>
      </w:r>
      <w:r w:rsidR="00360BF7">
        <w:t> . </w:t>
      </w:r>
      <w:r w:rsidRPr="009045F9">
        <w:t>. into an investigatory obstruction”</w:t>
      </w:r>
      <w:r>
        <w:t xml:space="preserve">]; </w:t>
      </w:r>
      <w:r w:rsidRPr="005A31C0">
        <w:rPr>
          <w:i/>
          <w:iCs/>
        </w:rPr>
        <w:t>United States v. Lewis</w:t>
      </w:r>
      <w:r>
        <w:t xml:space="preserve"> (</w:t>
      </w:r>
      <w:r w:rsidRPr="009B2F69">
        <w:t>6th</w:t>
      </w:r>
      <w:r w:rsidR="00360BF7">
        <w:t> </w:t>
      </w:r>
      <w:r>
        <w:t>Cir. 1977) 556</w:t>
      </w:r>
      <w:r w:rsidR="00360BF7">
        <w:t> </w:t>
      </w:r>
      <w:r>
        <w:t xml:space="preserve">F.2d 446, 449 [rejecting argument that “the very giving of </w:t>
      </w:r>
      <w:r w:rsidRPr="001672C1">
        <w:rPr>
          <w:i/>
          <w:iCs/>
        </w:rPr>
        <w:t>Miranda</w:t>
      </w:r>
      <w:r>
        <w:t xml:space="preserve"> rights helped produce a custodial interrogation” because “[t]he precaution of gi</w:t>
      </w:r>
      <w:r>
        <w:t xml:space="preserve">ving </w:t>
      </w:r>
      <w:r w:rsidRPr="001672C1">
        <w:rPr>
          <w:i/>
          <w:iCs/>
        </w:rPr>
        <w:t>Miranda</w:t>
      </w:r>
      <w:r>
        <w:t xml:space="preserve"> rights in what is thought could be a non-custodial interview should not be deterred by interpreting the giving of such rights as a restraint on the suspect, converting a non-custodial interview into a custodial interrogation for </w:t>
      </w:r>
      <w:r w:rsidRPr="001672C1">
        <w:rPr>
          <w:i/>
          <w:iCs/>
        </w:rPr>
        <w:t>Miranda</w:t>
      </w:r>
      <w:r>
        <w:t xml:space="preserve"> purpos</w:t>
      </w:r>
      <w:r>
        <w:t>es”].)</w:t>
      </w:r>
      <w:r>
        <w:rPr>
          <w:i/>
          <w:iCs/>
        </w:rPr>
        <w:t xml:space="preserve"> </w:t>
      </w:r>
      <w:r w:rsidR="005A31C0">
        <w:rPr>
          <w:i/>
          <w:iCs/>
        </w:rPr>
        <w:tab/>
      </w:r>
    </w:p>
    <w:p w14:paraId="40D73EE8" w14:textId="77777777" w:rsidR="00DD0DFE" w:rsidRDefault="00925C4E" w:rsidP="001672C1">
      <w:pPr>
        <w:spacing w:line="360" w:lineRule="auto"/>
      </w:pPr>
      <w:r>
        <w:tab/>
      </w:r>
      <w:r w:rsidR="00736AAE">
        <w:t>We conclude that</w:t>
      </w:r>
      <w:r>
        <w:t xml:space="preserve"> the giving of </w:t>
      </w:r>
      <w:r w:rsidR="00E66DC9">
        <w:t>the</w:t>
      </w:r>
      <w:r w:rsidR="00390717">
        <w:t xml:space="preserve"> </w:t>
      </w:r>
      <w:r w:rsidR="00390717">
        <w:rPr>
          <w:i/>
          <w:iCs/>
        </w:rPr>
        <w:t xml:space="preserve">Miranda </w:t>
      </w:r>
      <w:r w:rsidR="00390717">
        <w:t>advisement</w:t>
      </w:r>
      <w:r w:rsidR="00743DCC">
        <w:t xml:space="preserve"> in this case</w:t>
      </w:r>
      <w:r w:rsidR="00390717">
        <w:t xml:space="preserve"> </w:t>
      </w:r>
      <w:r w:rsidR="003C3910">
        <w:t xml:space="preserve">does not </w:t>
      </w:r>
      <w:r w:rsidR="001B5CD5">
        <w:t>establish</w:t>
      </w:r>
      <w:r w:rsidR="003C3910">
        <w:t xml:space="preserve"> that</w:t>
      </w:r>
      <w:r w:rsidR="00390717">
        <w:t xml:space="preserve"> </w:t>
      </w:r>
      <w:r w:rsidR="001B5CD5">
        <w:t>Buckner’s</w:t>
      </w:r>
      <w:r w:rsidR="00390717">
        <w:t xml:space="preserve"> inter</w:t>
      </w:r>
      <w:r w:rsidR="00632AD3">
        <w:t>view</w:t>
      </w:r>
      <w:r w:rsidR="00390717">
        <w:t xml:space="preserve"> </w:t>
      </w:r>
      <w:r w:rsidR="003C3910">
        <w:t xml:space="preserve">was </w:t>
      </w:r>
      <w:r w:rsidR="00390717">
        <w:t xml:space="preserve">custodial. </w:t>
      </w:r>
      <w:r w:rsidR="003E6161">
        <w:t xml:space="preserve"> </w:t>
      </w:r>
      <w:r w:rsidR="00A019E4">
        <w:t>Here, u</w:t>
      </w:r>
      <w:r w:rsidR="00390717">
        <w:t xml:space="preserve">nlike in </w:t>
      </w:r>
      <w:r w:rsidR="00390717" w:rsidRPr="00874D95">
        <w:rPr>
          <w:i/>
          <w:iCs/>
        </w:rPr>
        <w:t>People v. Boye</w:t>
      </w:r>
      <w:r w:rsidR="00390717">
        <w:rPr>
          <w:i/>
          <w:iCs/>
        </w:rPr>
        <w:t>r, supra</w:t>
      </w:r>
      <w:r w:rsidR="00390717">
        <w:t xml:space="preserve">, </w:t>
      </w:r>
      <w:r w:rsidR="00390717" w:rsidRPr="00874D95">
        <w:t>48</w:t>
      </w:r>
      <w:r w:rsidR="00110E34">
        <w:t> </w:t>
      </w:r>
      <w:r w:rsidR="00390717" w:rsidRPr="00874D95">
        <w:t xml:space="preserve">Cal.3d </w:t>
      </w:r>
      <w:r w:rsidR="00390717">
        <w:t>at p</w:t>
      </w:r>
      <w:r w:rsidR="00110E34">
        <w:t>age </w:t>
      </w:r>
      <w:r w:rsidR="00390717">
        <w:t xml:space="preserve">272, </w:t>
      </w:r>
      <w:r w:rsidR="003C3910">
        <w:t>when</w:t>
      </w:r>
      <w:r w:rsidR="00766F47">
        <w:t xml:space="preserve"> the officer read </w:t>
      </w:r>
      <w:r w:rsidR="001B5CD5">
        <w:t>Buckner</w:t>
      </w:r>
      <w:r w:rsidR="00766F47">
        <w:t xml:space="preserve"> his </w:t>
      </w:r>
      <w:r w:rsidR="00A019E4">
        <w:rPr>
          <w:i/>
          <w:iCs/>
        </w:rPr>
        <w:t xml:space="preserve">Miranda </w:t>
      </w:r>
      <w:r w:rsidR="00766F47">
        <w:t xml:space="preserve">rights, he </w:t>
      </w:r>
      <w:r w:rsidR="00390717">
        <w:t xml:space="preserve">also </w:t>
      </w:r>
      <w:r w:rsidR="00D86192">
        <w:t>told Buckner t</w:t>
      </w:r>
      <w:r w:rsidR="00766F47">
        <w:t xml:space="preserve">hat </w:t>
      </w:r>
      <w:r w:rsidR="00BE47FD">
        <w:t>he</w:t>
      </w:r>
      <w:r w:rsidR="00766F47">
        <w:t xml:space="preserve"> was not under arrest</w:t>
      </w:r>
      <w:r w:rsidR="009A41C5">
        <w:t xml:space="preserve"> and </w:t>
      </w:r>
      <w:r w:rsidR="000C1D3C" w:rsidRPr="006B23C9">
        <w:lastRenderedPageBreak/>
        <w:t>explai</w:t>
      </w:r>
      <w:r w:rsidR="000C1D3C">
        <w:t>ned</w:t>
      </w:r>
      <w:r w:rsidR="006B3B90">
        <w:t xml:space="preserve"> </w:t>
      </w:r>
      <w:r w:rsidR="000C1D3C">
        <w:t>that</w:t>
      </w:r>
      <w:r w:rsidR="006B23C9">
        <w:t xml:space="preserve"> </w:t>
      </w:r>
      <w:r w:rsidR="006B3B90">
        <w:t>he was</w:t>
      </w:r>
      <w:r w:rsidR="006B23C9">
        <w:t xml:space="preserve"> giving </w:t>
      </w:r>
      <w:r w:rsidR="006B23C9" w:rsidRPr="006B23C9">
        <w:t xml:space="preserve">a </w:t>
      </w:r>
      <w:r w:rsidR="006B23C9" w:rsidRPr="006B23C9">
        <w:rPr>
          <w:i/>
          <w:iCs/>
        </w:rPr>
        <w:t>Miranda</w:t>
      </w:r>
      <w:r w:rsidR="006B23C9" w:rsidRPr="006B23C9">
        <w:t xml:space="preserve"> advisement </w:t>
      </w:r>
      <w:r w:rsidR="006B23C9">
        <w:t xml:space="preserve">because </w:t>
      </w:r>
      <w:r w:rsidR="00114F4C">
        <w:t>the interview was taking plac</w:t>
      </w:r>
      <w:r w:rsidR="005E4BBF">
        <w:t>e</w:t>
      </w:r>
      <w:r w:rsidR="006B23C9">
        <w:t xml:space="preserve"> at the police station</w:t>
      </w:r>
      <w:r w:rsidR="005E4BBF">
        <w:t>.</w:t>
      </w:r>
      <w:r w:rsidR="006B23C9" w:rsidRPr="006B23C9">
        <w:t xml:space="preserve"> </w:t>
      </w:r>
      <w:r w:rsidR="00CC101A">
        <w:t xml:space="preserve"> </w:t>
      </w:r>
      <w:r w:rsidR="004214AB">
        <w:t xml:space="preserve">As noted above, in </w:t>
      </w:r>
      <w:r w:rsidR="004214AB" w:rsidRPr="00A35686">
        <w:rPr>
          <w:i/>
          <w:iCs/>
        </w:rPr>
        <w:t>People v. Saldana</w:t>
      </w:r>
      <w:r w:rsidR="004214AB">
        <w:rPr>
          <w:i/>
          <w:iCs/>
        </w:rPr>
        <w:t xml:space="preserve">, supra, </w:t>
      </w:r>
      <w:r w:rsidR="004214AB" w:rsidRPr="00FE49B5">
        <w:t>19</w:t>
      </w:r>
      <w:r w:rsidR="00110E34">
        <w:t> </w:t>
      </w:r>
      <w:r w:rsidR="004214AB" w:rsidRPr="00FE49B5">
        <w:t xml:space="preserve">Cal.App.5th </w:t>
      </w:r>
      <w:r w:rsidR="004214AB">
        <w:t>at p</w:t>
      </w:r>
      <w:r w:rsidR="00110E34">
        <w:t>age </w:t>
      </w:r>
      <w:r w:rsidR="004214AB" w:rsidRPr="00FE49B5">
        <w:t>455</w:t>
      </w:r>
      <w:r w:rsidR="004214AB">
        <w:t xml:space="preserve">, the court </w:t>
      </w:r>
      <w:r w:rsidR="007D1354">
        <w:t xml:space="preserve">observed that </w:t>
      </w:r>
      <w:r w:rsidR="00090E15">
        <w:t xml:space="preserve">the </w:t>
      </w:r>
      <w:r w:rsidR="00DD243F">
        <w:t>relevant</w:t>
      </w:r>
      <w:r w:rsidR="004214AB">
        <w:t xml:space="preserve"> circumstances include whether officers informed the person that </w:t>
      </w:r>
      <w:proofErr w:type="gramStart"/>
      <w:r w:rsidR="004214AB">
        <w:t>he or she was</w:t>
      </w:r>
      <w:proofErr w:type="gramEnd"/>
      <w:r w:rsidR="004214AB">
        <w:t xml:space="preserve"> free to terminate the interview and leave at any time and/or whether the person’s conduct indicated an awareness of such freedom</w:t>
      </w:r>
      <w:r w:rsidR="007D1354">
        <w:t>.</w:t>
      </w:r>
      <w:r w:rsidR="00A019E4">
        <w:t xml:space="preserve"> </w:t>
      </w:r>
      <w:r w:rsidR="003E6161">
        <w:t xml:space="preserve"> </w:t>
      </w:r>
      <w:r w:rsidR="00A019E4">
        <w:t>T</w:t>
      </w:r>
      <w:r w:rsidR="0099242D">
        <w:t xml:space="preserve">he </w:t>
      </w:r>
      <w:r w:rsidR="00F170A2">
        <w:rPr>
          <w:i/>
          <w:iCs/>
        </w:rPr>
        <w:t xml:space="preserve">Miranda </w:t>
      </w:r>
      <w:r w:rsidR="0099242D">
        <w:t>warnings</w:t>
      </w:r>
      <w:r w:rsidR="00A019E4">
        <w:t xml:space="preserve"> in this case </w:t>
      </w:r>
      <w:r w:rsidR="00F170A2">
        <w:t>“</w:t>
      </w:r>
      <w:r w:rsidR="0099242D">
        <w:t xml:space="preserve">served to inform </w:t>
      </w:r>
      <w:r w:rsidR="002B6B97">
        <w:t>[</w:t>
      </w:r>
      <w:r w:rsidR="001309B6">
        <w:t>defendant</w:t>
      </w:r>
      <w:r w:rsidR="002B6B97">
        <w:t>]</w:t>
      </w:r>
      <w:r w:rsidR="0099242D">
        <w:t xml:space="preserve"> that the officers could not and would not force him to answer their questions.</w:t>
      </w:r>
      <w:r w:rsidR="002B6B97">
        <w:t>”</w:t>
      </w:r>
      <w:r w:rsidR="003E6161">
        <w:t xml:space="preserve"> </w:t>
      </w:r>
      <w:r w:rsidR="002B6B97">
        <w:t xml:space="preserve"> (</w:t>
      </w:r>
      <w:r w:rsidR="0099242D" w:rsidRPr="002B6B97">
        <w:rPr>
          <w:i/>
          <w:iCs/>
        </w:rPr>
        <w:t>United States v. Erving</w:t>
      </w:r>
      <w:r w:rsidR="00455C64">
        <w:rPr>
          <w:i/>
          <w:iCs/>
        </w:rPr>
        <w:t> </w:t>
      </w:r>
      <w:r w:rsidR="0099242D" w:rsidRPr="002B6B97">
        <w:rPr>
          <w:i/>
          <w:iCs/>
        </w:rPr>
        <w:t>L</w:t>
      </w:r>
      <w:r w:rsidR="0099242D">
        <w:t>.</w:t>
      </w:r>
      <w:r w:rsidR="002B6B97">
        <w:t xml:space="preserve"> (10th</w:t>
      </w:r>
      <w:r w:rsidR="000C5965">
        <w:t> </w:t>
      </w:r>
      <w:r w:rsidR="002B6B97">
        <w:t>Cir. 1998)</w:t>
      </w:r>
      <w:r w:rsidR="0099242D">
        <w:t xml:space="preserve"> 147</w:t>
      </w:r>
      <w:r w:rsidR="000C5965">
        <w:t> </w:t>
      </w:r>
      <w:r w:rsidR="0099242D">
        <w:t>F.3d 1240, 124</w:t>
      </w:r>
      <w:r w:rsidR="00884805">
        <w:t>7</w:t>
      </w:r>
      <w:r w:rsidR="00E31EE7">
        <w:t>, fn.</w:t>
      </w:r>
      <w:r w:rsidR="000C5965">
        <w:t> </w:t>
      </w:r>
      <w:r w:rsidR="00E31EE7">
        <w:t>5</w:t>
      </w:r>
      <w:r w:rsidR="004214AB">
        <w:t>.</w:t>
      </w:r>
      <w:r w:rsidR="00F47F7F">
        <w:t>)</w:t>
      </w:r>
      <w:r w:rsidR="003E6161">
        <w:t xml:space="preserve"> </w:t>
      </w:r>
      <w:r w:rsidR="00F47F7F">
        <w:t xml:space="preserve"> </w:t>
      </w:r>
      <w:r w:rsidR="005F60E1">
        <w:t>Buckner’s</w:t>
      </w:r>
      <w:r w:rsidR="00FF1840">
        <w:t xml:space="preserve"> ability to</w:t>
      </w:r>
      <w:r w:rsidR="003E6161">
        <w:t xml:space="preserve"> </w:t>
      </w:r>
      <w:r w:rsidR="00E61718">
        <w:t>stop</w:t>
      </w:r>
      <w:r w:rsidR="00FF1840">
        <w:t xml:space="preserve"> the interview </w:t>
      </w:r>
      <w:r w:rsidR="00090E15">
        <w:t>approximately 15</w:t>
      </w:r>
      <w:r w:rsidR="000C5965">
        <w:t> </w:t>
      </w:r>
      <w:r w:rsidR="00090E15">
        <w:t xml:space="preserve">minutes </w:t>
      </w:r>
      <w:r w:rsidR="005F60E1">
        <w:t>after it began</w:t>
      </w:r>
      <w:r w:rsidR="00FF1840">
        <w:t xml:space="preserve"> reflects</w:t>
      </w:r>
      <w:r>
        <w:t xml:space="preserve"> </w:t>
      </w:r>
      <w:r w:rsidR="00254341">
        <w:t>his</w:t>
      </w:r>
      <w:r w:rsidR="00FF1840">
        <w:t xml:space="preserve"> awareness </w:t>
      </w:r>
      <w:r w:rsidR="00E61718">
        <w:t>of his ability to terminate the interview and leave the police station</w:t>
      </w:r>
      <w:r w:rsidR="00FF1840">
        <w:t>.</w:t>
      </w:r>
    </w:p>
    <w:p w14:paraId="40D73EE9" w14:textId="77777777" w:rsidR="00FF1840" w:rsidRPr="00760617" w:rsidRDefault="00925C4E" w:rsidP="00AD7A75">
      <w:pPr>
        <w:spacing w:line="360" w:lineRule="auto"/>
      </w:pPr>
      <w:r>
        <w:tab/>
        <w:t xml:space="preserve">On balance, the totality of the circumstances establish that the interrogation was not custodial. </w:t>
      </w:r>
      <w:r w:rsidR="00AD7A75">
        <w:t>A</w:t>
      </w:r>
      <w:r w:rsidR="004122D8">
        <w:t>s such</w:t>
      </w:r>
      <w:r w:rsidR="00AD7A75">
        <w:t>,</w:t>
      </w:r>
      <w:r w:rsidR="00BD5D79">
        <w:t xml:space="preserve"> </w:t>
      </w:r>
      <w:r w:rsidR="00AD7A75" w:rsidRPr="00AD7A75">
        <w:rPr>
          <w:i/>
          <w:iCs/>
        </w:rPr>
        <w:t>Miranda</w:t>
      </w:r>
      <w:r w:rsidR="00AD7A75">
        <w:t xml:space="preserve"> and its progeny do not apply. </w:t>
      </w:r>
      <w:r w:rsidR="003E6161">
        <w:t xml:space="preserve"> </w:t>
      </w:r>
      <w:r w:rsidR="00AD7A75">
        <w:t>(</w:t>
      </w:r>
      <w:r w:rsidR="002B5B05" w:rsidRPr="002B5B05">
        <w:rPr>
          <w:i/>
          <w:iCs/>
        </w:rPr>
        <w:t>Montejo v. Louisiana</w:t>
      </w:r>
      <w:r w:rsidR="002B5B05" w:rsidRPr="002B5B05">
        <w:t xml:space="preserve"> (2009) 556</w:t>
      </w:r>
      <w:r w:rsidR="000C5965">
        <w:t> </w:t>
      </w:r>
      <w:r w:rsidR="002B5B05" w:rsidRPr="002B5B05">
        <w:t>U.S. 778, 795 [“If the defendant is not in custody then [</w:t>
      </w:r>
      <w:r w:rsidR="002B5B05" w:rsidRPr="002B5B05">
        <w:rPr>
          <w:i/>
          <w:iCs/>
        </w:rPr>
        <w:t>Miranda</w:t>
      </w:r>
      <w:r w:rsidR="002B5B05" w:rsidRPr="002B5B05">
        <w:t>] do[es] not apply”];</w:t>
      </w:r>
      <w:r w:rsidR="002B5B05">
        <w:t xml:space="preserve"> </w:t>
      </w:r>
      <w:r w:rsidR="00BC28D8" w:rsidRPr="00BC28D8">
        <w:rPr>
          <w:i/>
          <w:iCs/>
        </w:rPr>
        <w:t>People v. Mickey</w:t>
      </w:r>
      <w:r w:rsidR="00BC28D8" w:rsidRPr="00BC28D8">
        <w:t xml:space="preserve"> (1991) 54</w:t>
      </w:r>
      <w:r w:rsidR="000C5965">
        <w:t> </w:t>
      </w:r>
      <w:r w:rsidR="00BC28D8" w:rsidRPr="00BC28D8">
        <w:t xml:space="preserve">Cal.3d 612, 648 [“Absent ‘custodial interrogation,’ </w:t>
      </w:r>
      <w:r w:rsidR="00BC28D8" w:rsidRPr="00BC28D8">
        <w:rPr>
          <w:i/>
          <w:iCs/>
        </w:rPr>
        <w:t>Miranda</w:t>
      </w:r>
      <w:r w:rsidR="00BC28D8" w:rsidRPr="00BC28D8">
        <w:t xml:space="preserve"> simply does not come into play”]</w:t>
      </w:r>
      <w:r w:rsidR="00BC28D8">
        <w:t xml:space="preserve">; </w:t>
      </w:r>
      <w:r w:rsidR="002B5B05">
        <w:t xml:space="preserve">see also </w:t>
      </w:r>
      <w:r w:rsidR="00AD7A75" w:rsidRPr="00AD7A75">
        <w:rPr>
          <w:i/>
          <w:iCs/>
        </w:rPr>
        <w:t>Bobby v. Dixon</w:t>
      </w:r>
      <w:r w:rsidR="00AD7A75">
        <w:t xml:space="preserve"> (2011) 565</w:t>
      </w:r>
      <w:r w:rsidR="000C5965">
        <w:t> </w:t>
      </w:r>
      <w:r w:rsidR="00AD7A75">
        <w:t>U.S. 23, 28, [</w:t>
      </w:r>
      <w:r w:rsidR="00AD7A75" w:rsidRPr="0015675A">
        <w:t>a suspect cannot “</w:t>
      </w:r>
      <w:r w:rsidR="0001645B">
        <w:t> ‘</w:t>
      </w:r>
      <w:r w:rsidR="00AD7A75" w:rsidRPr="0015675A">
        <w:t xml:space="preserve">invoke his </w:t>
      </w:r>
      <w:r w:rsidR="00AD7A75" w:rsidRPr="0015675A">
        <w:rPr>
          <w:i/>
          <w:iCs/>
        </w:rPr>
        <w:t>Miranda</w:t>
      </w:r>
      <w:r w:rsidR="00AD7A75" w:rsidRPr="0015675A">
        <w:t xml:space="preserve"> rights anticipatorily, in a context other than </w:t>
      </w:r>
      <w:r w:rsidR="00606D6C">
        <w:t>“</w:t>
      </w:r>
      <w:r w:rsidR="00AD7A75" w:rsidRPr="0015675A">
        <w:t>custodial interrogation</w:t>
      </w:r>
      <w:r w:rsidR="002D6208">
        <w:t>” </w:t>
      </w:r>
      <w:r w:rsidR="002B5B05">
        <w:t>’</w:t>
      </w:r>
      <w:r w:rsidR="000C5965">
        <w:t> </w:t>
      </w:r>
      <w:r w:rsidR="00AD7A75">
        <w:t>”].</w:t>
      </w:r>
      <w:r w:rsidR="00AD7A75" w:rsidRPr="0015675A">
        <w:t>)</w:t>
      </w:r>
      <w:r w:rsidR="003E6161">
        <w:t xml:space="preserve"> </w:t>
      </w:r>
      <w:r w:rsidR="00AD7A75" w:rsidRPr="00823B52">
        <w:rPr>
          <w:i/>
          <w:iCs/>
        </w:rPr>
        <w:t xml:space="preserve"> </w:t>
      </w:r>
      <w:r w:rsidR="004122D8" w:rsidRPr="004122D8">
        <w:t>I</w:t>
      </w:r>
      <w:r w:rsidR="00BD5D79">
        <w:t>t is</w:t>
      </w:r>
      <w:r w:rsidR="00831CDE">
        <w:t xml:space="preserve"> </w:t>
      </w:r>
      <w:r w:rsidR="00920491">
        <w:t>therefore</w:t>
      </w:r>
      <w:r w:rsidR="00BD5D79">
        <w:t xml:space="preserve"> immaterial whether </w:t>
      </w:r>
      <w:r w:rsidR="00256337">
        <w:t xml:space="preserve">Buckner </w:t>
      </w:r>
      <w:r w:rsidR="00AA38EB">
        <w:t xml:space="preserve">made an unambiguous </w:t>
      </w:r>
      <w:r w:rsidR="00BD5D79">
        <w:t>request for counse</w:t>
      </w:r>
      <w:r w:rsidR="00B4795E">
        <w:t>l</w:t>
      </w:r>
      <w:r w:rsidR="00540FA8">
        <w:t xml:space="preserve">. </w:t>
      </w:r>
      <w:r w:rsidR="003E6161">
        <w:t xml:space="preserve"> </w:t>
      </w:r>
      <w:r w:rsidR="00540FA8">
        <w:t>W</w:t>
      </w:r>
      <w:r w:rsidR="00831CDE">
        <w:t>e find no error in the admission of his statements at trial.</w:t>
      </w:r>
    </w:p>
    <w:p w14:paraId="40D73EEA" w14:textId="77777777" w:rsidR="00CB096E" w:rsidRPr="0090142E" w:rsidRDefault="00925C4E" w:rsidP="00652E17">
      <w:pPr>
        <w:pStyle w:val="ListParagraph"/>
        <w:keepNext/>
        <w:numPr>
          <w:ilvl w:val="0"/>
          <w:numId w:val="8"/>
        </w:numPr>
        <w:spacing w:line="360" w:lineRule="auto"/>
        <w:rPr>
          <w:b/>
          <w:iCs/>
        </w:rPr>
      </w:pPr>
      <w:r w:rsidRPr="0090142E">
        <w:rPr>
          <w:b/>
          <w:iCs/>
        </w:rPr>
        <w:t>Restitution</w:t>
      </w:r>
    </w:p>
    <w:p w14:paraId="40D73EEB" w14:textId="77777777" w:rsidR="00CB096E" w:rsidRDefault="00925C4E" w:rsidP="00EA62F7">
      <w:pPr>
        <w:spacing w:line="360" w:lineRule="auto"/>
      </w:pPr>
      <w:r>
        <w:tab/>
      </w:r>
      <w:r w:rsidR="00EA62F7">
        <w:t>A court has a constitutionally mandated duty to order restitution to a victim who “has suffered economic loss as a result of the defendant</w:t>
      </w:r>
      <w:r w:rsidR="005F0AEC">
        <w:t>’</w:t>
      </w:r>
      <w:r w:rsidR="00EA62F7">
        <w:t xml:space="preserve">s conduct.” </w:t>
      </w:r>
      <w:r w:rsidR="005F0AEC">
        <w:t xml:space="preserve"> </w:t>
      </w:r>
      <w:r w:rsidR="00EA62F7">
        <w:t>(§</w:t>
      </w:r>
      <w:r w:rsidR="00467C22">
        <w:t> </w:t>
      </w:r>
      <w:r w:rsidR="00EA62F7">
        <w:t>1202.4, subd.</w:t>
      </w:r>
      <w:r w:rsidR="00467C22">
        <w:t> </w:t>
      </w:r>
      <w:r w:rsidR="00EA62F7">
        <w:t>(f); Cal. Const., art.</w:t>
      </w:r>
      <w:r w:rsidR="00467C22">
        <w:t> </w:t>
      </w:r>
      <w:r w:rsidR="00EA62F7">
        <w:t>I, §</w:t>
      </w:r>
      <w:r w:rsidR="00467C22">
        <w:t> </w:t>
      </w:r>
      <w:r w:rsidR="00EA62F7">
        <w:t>28, subd.</w:t>
      </w:r>
      <w:r w:rsidR="00467C22">
        <w:t> </w:t>
      </w:r>
      <w:r w:rsidR="00EA62F7">
        <w:t>(b)(13)(A).)</w:t>
      </w:r>
      <w:r w:rsidR="006863C8">
        <w:t xml:space="preserve"> </w:t>
      </w:r>
      <w:r w:rsidR="00EA62F7">
        <w:t xml:space="preserve"> </w:t>
      </w:r>
      <w:r w:rsidR="00203AC9">
        <w:t>Section</w:t>
      </w:r>
      <w:r w:rsidR="00467C22">
        <w:t> </w:t>
      </w:r>
      <w:r w:rsidR="00203AC9">
        <w:t>1202.4, subdivision</w:t>
      </w:r>
      <w:r w:rsidR="00467C22">
        <w:t> </w:t>
      </w:r>
      <w:r w:rsidR="00203AC9">
        <w:t xml:space="preserve">(f), requires </w:t>
      </w:r>
      <w:r w:rsidR="00203AC9" w:rsidRPr="0090282C">
        <w:t xml:space="preserve">the court </w:t>
      </w:r>
      <w:r w:rsidR="00203AC9">
        <w:t>to</w:t>
      </w:r>
      <w:r w:rsidR="00203AC9" w:rsidRPr="0090282C">
        <w:t xml:space="preserve"> </w:t>
      </w:r>
      <w:r w:rsidR="00203AC9">
        <w:t>“</w:t>
      </w:r>
      <w:r w:rsidR="00203AC9" w:rsidRPr="0090282C">
        <w:t xml:space="preserve">require that the </w:t>
      </w:r>
      <w:r w:rsidR="00203AC9" w:rsidRPr="0090282C">
        <w:lastRenderedPageBreak/>
        <w:t xml:space="preserve">defendant make restitution to the victim or victims in an amount established by court order, based on the amount of loss claimed by the victim or victims or any other showing to the court. </w:t>
      </w:r>
      <w:r w:rsidR="005F0AEC">
        <w:t xml:space="preserve"> </w:t>
      </w:r>
      <w:r w:rsidR="00203AC9" w:rsidRPr="0090282C">
        <w:t>If the amount of loss cannot be ascertained at the time of sentencing, the restitution order shall include a provision that the amount shall be determined at the direction of the court.</w:t>
      </w:r>
      <w:r w:rsidR="00203AC9">
        <w:t>”</w:t>
      </w:r>
      <w:r w:rsidR="00AD0134">
        <w:t xml:space="preserve"> </w:t>
      </w:r>
      <w:r w:rsidR="005F0AEC">
        <w:t xml:space="preserve"> </w:t>
      </w:r>
      <w:r w:rsidR="00EA62F7">
        <w:t>A business or governmental entity is a “victim” under section</w:t>
      </w:r>
      <w:r w:rsidR="00A44825">
        <w:t> </w:t>
      </w:r>
      <w:r w:rsidR="00EA62F7">
        <w:t>1202.4 when the entity is “a direct victim of a crime.”</w:t>
      </w:r>
      <w:r w:rsidR="00F51E11">
        <w:t xml:space="preserve"> </w:t>
      </w:r>
      <w:r w:rsidR="00EA62F7">
        <w:t xml:space="preserve"> (§</w:t>
      </w:r>
      <w:r w:rsidR="00A44825">
        <w:t> </w:t>
      </w:r>
      <w:r w:rsidR="00EA62F7">
        <w:t>1202.4, subd.</w:t>
      </w:r>
      <w:r w:rsidR="00A44825">
        <w:t> </w:t>
      </w:r>
      <w:r w:rsidR="00EA62F7">
        <w:t>(k)(2).)</w:t>
      </w:r>
      <w:r w:rsidR="002D3BC5" w:rsidRPr="002D3BC5">
        <w:t xml:space="preserve"> </w:t>
      </w:r>
    </w:p>
    <w:p w14:paraId="40D73EEC" w14:textId="77777777" w:rsidR="00356975" w:rsidRDefault="00925C4E" w:rsidP="00361E6D">
      <w:pPr>
        <w:spacing w:line="360" w:lineRule="auto"/>
      </w:pPr>
      <w:r>
        <w:tab/>
        <w:t xml:space="preserve">Here, the court </w:t>
      </w:r>
      <w:r w:rsidR="00192534">
        <w:t xml:space="preserve">ordered </w:t>
      </w:r>
      <w:r>
        <w:t>restitu</w:t>
      </w:r>
      <w:r>
        <w:t xml:space="preserve">tion to </w:t>
      </w:r>
      <w:r w:rsidR="005F0AEC">
        <w:t>Buckner’s</w:t>
      </w:r>
      <w:r>
        <w:t xml:space="preserve"> insurance company in the amount of</w:t>
      </w:r>
      <w:r w:rsidR="00A44825">
        <w:t> </w:t>
      </w:r>
      <w:r>
        <w:t>$170,651.05 and to the mortgage lender and the fire department in an amount to be determined</w:t>
      </w:r>
      <w:r w:rsidR="00682058">
        <w:t xml:space="preserve"> subsequently </w:t>
      </w:r>
      <w:r w:rsidR="00682058" w:rsidRPr="0090282C">
        <w:t>at the direction of the court</w:t>
      </w:r>
      <w:r>
        <w:t>.</w:t>
      </w:r>
      <w:r w:rsidR="005F0AEC">
        <w:t xml:space="preserve"> </w:t>
      </w:r>
      <w:r w:rsidR="00FB3AD4">
        <w:t xml:space="preserve"> </w:t>
      </w:r>
      <w:r w:rsidR="005F0AEC">
        <w:t>Buckner</w:t>
      </w:r>
      <w:r w:rsidR="00B84D9A">
        <w:t xml:space="preserve"> contends </w:t>
      </w:r>
      <w:r w:rsidR="00B612DF">
        <w:t xml:space="preserve">that </w:t>
      </w:r>
      <w:r w:rsidR="00B84D9A">
        <w:t xml:space="preserve">the </w:t>
      </w:r>
      <w:r w:rsidR="00361E6D">
        <w:t xml:space="preserve">trial court abused its discretion in ordering </w:t>
      </w:r>
      <w:r w:rsidR="007A6B2E">
        <w:t>him to</w:t>
      </w:r>
      <w:r w:rsidR="00361E6D">
        <w:t xml:space="preserve"> pay restitution to </w:t>
      </w:r>
      <w:r w:rsidR="00E2012E">
        <w:t xml:space="preserve">his </w:t>
      </w:r>
      <w:r w:rsidR="00361E6D">
        <w:t>insurance</w:t>
      </w:r>
      <w:r w:rsidR="00E2012E">
        <w:t xml:space="preserve"> company</w:t>
      </w:r>
      <w:r w:rsidR="00361E6D">
        <w:t xml:space="preserve"> and the fire department because neither entity was a direct victim of </w:t>
      </w:r>
      <w:r w:rsidR="003A6CA9">
        <w:t>hi</w:t>
      </w:r>
      <w:r w:rsidR="00361E6D">
        <w:t>s crime.</w:t>
      </w:r>
      <w:r w:rsidR="0066181C">
        <w:t xml:space="preserve"> </w:t>
      </w:r>
    </w:p>
    <w:p w14:paraId="40D73EED" w14:textId="77777777" w:rsidR="00356975" w:rsidRDefault="00925C4E" w:rsidP="00356975">
      <w:pPr>
        <w:spacing w:line="360" w:lineRule="auto"/>
      </w:pPr>
      <w:r>
        <w:tab/>
        <w:t xml:space="preserve">Initially, we </w:t>
      </w:r>
      <w:r w:rsidR="00500232">
        <w:t>reject the</w:t>
      </w:r>
      <w:r>
        <w:t xml:space="preserve"> Attorney General</w:t>
      </w:r>
      <w:r w:rsidR="002519E6">
        <w:t>’</w:t>
      </w:r>
      <w:r>
        <w:t xml:space="preserve">s contention that </w:t>
      </w:r>
      <w:r w:rsidR="003A6CA9">
        <w:t>Buckner’s</w:t>
      </w:r>
      <w:r>
        <w:t xml:space="preserve"> failure t</w:t>
      </w:r>
      <w:r>
        <w:t xml:space="preserve">o object to the order </w:t>
      </w:r>
      <w:r w:rsidR="00E2012E">
        <w:t xml:space="preserve">on this ground </w:t>
      </w:r>
      <w:r>
        <w:t xml:space="preserve">waives the issue on appeal. </w:t>
      </w:r>
      <w:r w:rsidR="000663AC">
        <w:t>Buckner’s</w:t>
      </w:r>
      <w:r w:rsidR="00AB4531">
        <w:t xml:space="preserve"> argument that his insurance company and the fire department are not direct victims of his crimes under section</w:t>
      </w:r>
      <w:r w:rsidR="00A44825">
        <w:t> </w:t>
      </w:r>
      <w:r w:rsidR="00AB4531">
        <w:t xml:space="preserve">1202.4 is a purely legal issue that is not subject to the waiver rule. </w:t>
      </w:r>
      <w:r w:rsidR="000663AC">
        <w:t xml:space="preserve"> </w:t>
      </w:r>
      <w:r w:rsidR="00AB4531">
        <w:t xml:space="preserve">(See </w:t>
      </w:r>
      <w:r w:rsidR="00AB4531" w:rsidRPr="000C3402">
        <w:rPr>
          <w:i/>
          <w:iCs/>
        </w:rPr>
        <w:t xml:space="preserve">People v. </w:t>
      </w:r>
      <w:proofErr w:type="spellStart"/>
      <w:r w:rsidR="00AB4531" w:rsidRPr="000C3402">
        <w:rPr>
          <w:i/>
          <w:iCs/>
        </w:rPr>
        <w:t>Percelle</w:t>
      </w:r>
      <w:proofErr w:type="spellEnd"/>
      <w:r w:rsidR="00AB4531">
        <w:t xml:space="preserve"> (2005) 126</w:t>
      </w:r>
      <w:r w:rsidR="00A44825">
        <w:t> </w:t>
      </w:r>
      <w:r w:rsidR="00AB4531">
        <w:t>Cal</w:t>
      </w:r>
      <w:r w:rsidR="00361E47">
        <w:t>.</w:t>
      </w:r>
      <w:r w:rsidR="00AB4531">
        <w:t>App.4th 164, 179 [</w:t>
      </w:r>
      <w:r w:rsidR="00750326">
        <w:t xml:space="preserve">argument that restitution was </w:t>
      </w:r>
      <w:r w:rsidR="00750326" w:rsidRPr="008510DD">
        <w:t xml:space="preserve">imposed </w:t>
      </w:r>
      <w:proofErr w:type="gramStart"/>
      <w:r w:rsidR="00750326" w:rsidRPr="008510DD">
        <w:t>in excess of</w:t>
      </w:r>
      <w:proofErr w:type="gramEnd"/>
      <w:r w:rsidR="00750326" w:rsidRPr="008510DD">
        <w:t xml:space="preserve"> </w:t>
      </w:r>
      <w:r w:rsidR="00750326">
        <w:t>court’s</w:t>
      </w:r>
      <w:r w:rsidR="00750326" w:rsidRPr="008510DD">
        <w:t xml:space="preserve"> statutory authority is a legal issue </w:t>
      </w:r>
      <w:r w:rsidR="00750326">
        <w:t xml:space="preserve">that is </w:t>
      </w:r>
      <w:r w:rsidR="00750326" w:rsidRPr="008510DD">
        <w:t>not subject to the waiver rule</w:t>
      </w:r>
      <w:r w:rsidR="00AB4531">
        <w:t>]</w:t>
      </w:r>
      <w:r w:rsidR="00500232">
        <w:t xml:space="preserve">.) </w:t>
      </w:r>
    </w:p>
    <w:p w14:paraId="40D73EEE" w14:textId="77777777" w:rsidR="000C3402" w:rsidRDefault="00925C4E" w:rsidP="004432CC">
      <w:pPr>
        <w:spacing w:line="360" w:lineRule="auto"/>
      </w:pPr>
      <w:r>
        <w:tab/>
      </w:r>
      <w:r w:rsidR="00E53CE6">
        <w:t>T</w:t>
      </w:r>
      <w:r>
        <w:t>urning to the merits, t</w:t>
      </w:r>
      <w:r w:rsidR="00E53CE6">
        <w:t xml:space="preserve">he parties agree that </w:t>
      </w:r>
      <w:r>
        <w:t xml:space="preserve">the insurance company </w:t>
      </w:r>
      <w:r w:rsidR="00AD0134">
        <w:t xml:space="preserve">and </w:t>
      </w:r>
      <w:r w:rsidR="00180AA2">
        <w:t xml:space="preserve">the </w:t>
      </w:r>
      <w:r>
        <w:t>f</w:t>
      </w:r>
      <w:r w:rsidR="00E53CE6">
        <w:t xml:space="preserve">ire </w:t>
      </w:r>
      <w:r>
        <w:t>d</w:t>
      </w:r>
      <w:r w:rsidR="00E53CE6">
        <w:t xml:space="preserve">epartment </w:t>
      </w:r>
      <w:r w:rsidR="00E3065B">
        <w:t>are</w:t>
      </w:r>
      <w:r w:rsidR="00E53CE6">
        <w:t xml:space="preserve"> </w:t>
      </w:r>
      <w:r w:rsidR="00AD0134">
        <w:t xml:space="preserve">not </w:t>
      </w:r>
      <w:r w:rsidR="00E53CE6">
        <w:t xml:space="preserve">entitled to restitution in this case because </w:t>
      </w:r>
      <w:r w:rsidR="001D60CF">
        <w:t>they are not</w:t>
      </w:r>
      <w:r w:rsidR="00E53CE6">
        <w:t xml:space="preserve"> </w:t>
      </w:r>
      <w:r w:rsidR="00AD0134">
        <w:t xml:space="preserve">direct </w:t>
      </w:r>
      <w:r w:rsidR="00E53CE6">
        <w:t>victim</w:t>
      </w:r>
      <w:r w:rsidR="001D60CF">
        <w:t>s</w:t>
      </w:r>
      <w:r w:rsidR="00E53CE6">
        <w:t xml:space="preserve"> of </w:t>
      </w:r>
      <w:r w:rsidR="00527CCA">
        <w:t>Buckner’s</w:t>
      </w:r>
      <w:r w:rsidR="00E53CE6">
        <w:t xml:space="preserve"> crime.</w:t>
      </w:r>
      <w:r w:rsidR="00527CCA">
        <w:t xml:space="preserve"> </w:t>
      </w:r>
      <w:r w:rsidR="008A6337">
        <w:t xml:space="preserve"> </w:t>
      </w:r>
      <w:r w:rsidR="00E3065B">
        <w:t xml:space="preserve">We agree. </w:t>
      </w:r>
      <w:r w:rsidR="00322CF7">
        <w:t xml:space="preserve"> </w:t>
      </w:r>
      <w:r w:rsidR="00977E1A">
        <w:t xml:space="preserve">(See </w:t>
      </w:r>
      <w:r w:rsidR="00977E1A" w:rsidRPr="000C3402">
        <w:rPr>
          <w:i/>
          <w:iCs/>
        </w:rPr>
        <w:t>People v. Martinez</w:t>
      </w:r>
      <w:r w:rsidR="00977E1A">
        <w:t xml:space="preserve"> (2005) 36</w:t>
      </w:r>
      <w:r w:rsidR="00A44825">
        <w:t> </w:t>
      </w:r>
      <w:r w:rsidR="00977E1A">
        <w:t>Cal.4th 384</w:t>
      </w:r>
      <w:r w:rsidR="000A5009">
        <w:t xml:space="preserve">, </w:t>
      </w:r>
      <w:r w:rsidR="00592179">
        <w:t>393</w:t>
      </w:r>
      <w:r w:rsidR="006874C2" w:rsidRPr="006874C2">
        <w:rPr>
          <w:rFonts w:eastAsia="Calibri" w:cs="Times New Roman"/>
          <w:sz w:val="24"/>
          <w:szCs w:val="24"/>
        </w:rPr>
        <w:t>–</w:t>
      </w:r>
      <w:r w:rsidR="00BE2990">
        <w:t>394</w:t>
      </w:r>
      <w:r w:rsidR="00E16B40">
        <w:t xml:space="preserve"> </w:t>
      </w:r>
      <w:r w:rsidR="006D4D69">
        <w:t>&amp;</w:t>
      </w:r>
      <w:r w:rsidR="00E16B40">
        <w:t xml:space="preserve"> </w:t>
      </w:r>
      <w:r w:rsidR="00DE1CE7">
        <w:t>fn</w:t>
      </w:r>
      <w:r w:rsidR="000D644B">
        <w:t>.</w:t>
      </w:r>
      <w:r w:rsidR="00A44825">
        <w:t> </w:t>
      </w:r>
      <w:r w:rsidR="00E16B40">
        <w:t>2</w:t>
      </w:r>
      <w:r w:rsidR="00BE2990">
        <w:t xml:space="preserve"> [</w:t>
      </w:r>
      <w:r w:rsidR="005154D7">
        <w:t xml:space="preserve">government agency </w:t>
      </w:r>
      <w:r w:rsidR="00E16B40">
        <w:t>responsible for</w:t>
      </w:r>
      <w:r w:rsidR="005154D7">
        <w:t xml:space="preserve"> cleaning up defendant’s illegal crime lab was not direct victim of defendant’s crime </w:t>
      </w:r>
      <w:r w:rsidR="00DE1CE7">
        <w:t>of attempting to manufacture methamphetamine</w:t>
      </w:r>
      <w:r w:rsidR="000D601E">
        <w:t>,</w:t>
      </w:r>
      <w:r w:rsidR="00DE1CE7">
        <w:t xml:space="preserve"> </w:t>
      </w:r>
      <w:r w:rsidR="00DE1CE7">
        <w:lastRenderedPageBreak/>
        <w:t>disapproving</w:t>
      </w:r>
      <w:r w:rsidR="007D2698">
        <w:t xml:space="preserve"> </w:t>
      </w:r>
      <w:r w:rsidR="007D2698" w:rsidRPr="007D2698">
        <w:rPr>
          <w:i/>
          <w:iCs/>
        </w:rPr>
        <w:t>In</w:t>
      </w:r>
      <w:r w:rsidR="00A44825">
        <w:rPr>
          <w:i/>
          <w:iCs/>
        </w:rPr>
        <w:t> </w:t>
      </w:r>
      <w:r w:rsidR="007D2698" w:rsidRPr="007D2698">
        <w:rPr>
          <w:i/>
          <w:iCs/>
        </w:rPr>
        <w:t>re</w:t>
      </w:r>
      <w:r w:rsidR="00A44825">
        <w:rPr>
          <w:i/>
          <w:iCs/>
        </w:rPr>
        <w:t> </w:t>
      </w:r>
      <w:r w:rsidR="007D2698" w:rsidRPr="007D2698">
        <w:rPr>
          <w:i/>
          <w:iCs/>
        </w:rPr>
        <w:t>Brian</w:t>
      </w:r>
      <w:r w:rsidR="00A44825">
        <w:rPr>
          <w:i/>
          <w:iCs/>
        </w:rPr>
        <w:t> </w:t>
      </w:r>
      <w:r w:rsidR="007D2698" w:rsidRPr="007D2698">
        <w:rPr>
          <w:i/>
          <w:iCs/>
        </w:rPr>
        <w:t>N</w:t>
      </w:r>
      <w:r w:rsidR="007D2698" w:rsidRPr="007D2698">
        <w:t>. (2004) 120</w:t>
      </w:r>
      <w:r w:rsidR="00A44825">
        <w:t> </w:t>
      </w:r>
      <w:r w:rsidR="007D2698" w:rsidRPr="007D2698">
        <w:t xml:space="preserve">Cal.App.4th 591, </w:t>
      </w:r>
      <w:r w:rsidR="007D2698">
        <w:t>“</w:t>
      </w:r>
      <w:r w:rsidR="007D2698" w:rsidRPr="007D2698">
        <w:t>to the extent it holds that a fire department that has incurred labor costs in fighting a fire on a vacant lot not owned by the department is a direct victim of the crime of unlawfully causing a fire</w:t>
      </w:r>
      <w:r w:rsidR="007D2698">
        <w:t xml:space="preserve">”]; </w:t>
      </w:r>
      <w:r w:rsidR="00223ED3" w:rsidRPr="00223ED3">
        <w:rPr>
          <w:i/>
          <w:iCs/>
        </w:rPr>
        <w:t>People v. Birkett</w:t>
      </w:r>
      <w:r w:rsidR="00223ED3" w:rsidRPr="00223ED3">
        <w:t xml:space="preserve"> (1999) 21</w:t>
      </w:r>
      <w:r w:rsidR="00A44825">
        <w:t> </w:t>
      </w:r>
      <w:r w:rsidR="00223ED3" w:rsidRPr="00223ED3">
        <w:t xml:space="preserve">Cal.4th 226, </w:t>
      </w:r>
      <w:r w:rsidR="00E3065B">
        <w:t>245 [“</w:t>
      </w:r>
      <w:r w:rsidR="009D71C2" w:rsidRPr="009D71C2">
        <w:t xml:space="preserve">insurer did not become a </w:t>
      </w:r>
      <w:r w:rsidR="009D71C2">
        <w:t>‘</w:t>
      </w:r>
      <w:r w:rsidR="009D71C2" w:rsidRPr="009D71C2">
        <w:t>direct victim</w:t>
      </w:r>
      <w:r w:rsidR="009D71C2">
        <w:t>’</w:t>
      </w:r>
      <w:r w:rsidR="009D71C2" w:rsidRPr="009D71C2">
        <w:t xml:space="preserve"> of crime, and thus entitled to restitution </w:t>
      </w:r>
      <w:r w:rsidR="00AD0134">
        <w:t>. . .</w:t>
      </w:r>
      <w:r w:rsidR="009D71C2" w:rsidRPr="009D71C2">
        <w:t xml:space="preserve"> by paying the crime-related losses of its insured under the terms of an insurance policy</w:t>
      </w:r>
      <w:r w:rsidR="00E3065B">
        <w:t>”].)</w:t>
      </w:r>
      <w:r w:rsidR="00977E1A">
        <w:t xml:space="preserve">  </w:t>
      </w:r>
    </w:p>
    <w:p w14:paraId="40D73EEF" w14:textId="77777777" w:rsidR="004432CC" w:rsidRDefault="00925C4E" w:rsidP="004432CC">
      <w:pPr>
        <w:spacing w:line="360" w:lineRule="auto"/>
      </w:pPr>
      <w:r>
        <w:tab/>
      </w:r>
      <w:r w:rsidR="00865FF3">
        <w:t>The</w:t>
      </w:r>
      <w:r w:rsidR="001C42AC">
        <w:t xml:space="preserve"> parties</w:t>
      </w:r>
      <w:r w:rsidR="00865FF3">
        <w:t xml:space="preserve"> disagree</w:t>
      </w:r>
      <w:r w:rsidR="00164D9B">
        <w:t>, however,</w:t>
      </w:r>
      <w:r w:rsidR="00865FF3">
        <w:t xml:space="preserve"> as to the </w:t>
      </w:r>
      <w:r w:rsidR="00E3065B">
        <w:t xml:space="preserve">proper </w:t>
      </w:r>
      <w:r w:rsidR="00865FF3">
        <w:t xml:space="preserve">remedy. </w:t>
      </w:r>
      <w:r w:rsidR="00527CCA">
        <w:t xml:space="preserve"> </w:t>
      </w:r>
      <w:r w:rsidR="00865FF3">
        <w:t xml:space="preserve">The </w:t>
      </w:r>
      <w:r w:rsidR="00A2777C">
        <w:t>Attorney General</w:t>
      </w:r>
      <w:r w:rsidR="00865FF3">
        <w:t xml:space="preserve"> suggest</w:t>
      </w:r>
      <w:r w:rsidR="00DC6042">
        <w:t>s</w:t>
      </w:r>
      <w:r w:rsidR="00865FF3">
        <w:t xml:space="preserve"> </w:t>
      </w:r>
      <w:r w:rsidR="00E3065B">
        <w:t xml:space="preserve">that </w:t>
      </w:r>
      <w:r w:rsidR="000D601E">
        <w:t>we</w:t>
      </w:r>
      <w:r w:rsidR="00E3065B">
        <w:t xml:space="preserve"> should strike </w:t>
      </w:r>
      <w:r w:rsidR="001D45B7">
        <w:t>the court’s</w:t>
      </w:r>
      <w:r w:rsidR="00E3065B">
        <w:t xml:space="preserve"> order insofar as it order</w:t>
      </w:r>
      <w:r w:rsidR="001C42AC">
        <w:t>s</w:t>
      </w:r>
      <w:r w:rsidR="001D45B7">
        <w:t xml:space="preserve"> restitution to the fire department but modify the order </w:t>
      </w:r>
      <w:r w:rsidR="003D6542">
        <w:t xml:space="preserve">to </w:t>
      </w:r>
      <w:r w:rsidR="005221DA">
        <w:t>substitute</w:t>
      </w:r>
      <w:r w:rsidR="003D6542">
        <w:t xml:space="preserve"> the mortgage lender in place of the insurance company</w:t>
      </w:r>
      <w:r w:rsidR="00BF677A">
        <w:t>.</w:t>
      </w:r>
      <w:r w:rsidR="00527CCA">
        <w:t xml:space="preserve"> </w:t>
      </w:r>
      <w:r w:rsidR="00BF677A">
        <w:t xml:space="preserve"> </w:t>
      </w:r>
      <w:r w:rsidR="00527CCA">
        <w:t>Buckner</w:t>
      </w:r>
      <w:r w:rsidR="00BF677A">
        <w:t xml:space="preserve"> argues </w:t>
      </w:r>
      <w:r w:rsidR="00527CCA">
        <w:t xml:space="preserve">that </w:t>
      </w:r>
      <w:r w:rsidR="00BF677A">
        <w:t xml:space="preserve">the </w:t>
      </w:r>
      <w:r w:rsidR="00FC271A">
        <w:t>restitution</w:t>
      </w:r>
      <w:r w:rsidR="00BF677A">
        <w:t xml:space="preserve"> order should be set aside</w:t>
      </w:r>
      <w:r w:rsidR="002874DE">
        <w:t xml:space="preserve"> entirely.</w:t>
      </w:r>
      <w:r w:rsidR="00527CCA">
        <w:t xml:space="preserve"> </w:t>
      </w:r>
      <w:r w:rsidR="00BF677A">
        <w:t xml:space="preserve"> </w:t>
      </w:r>
      <w:r w:rsidR="003D6542">
        <w:t>W</w:t>
      </w:r>
      <w:r w:rsidR="00226C3D">
        <w:t xml:space="preserve">e agree </w:t>
      </w:r>
      <w:r w:rsidR="00050488">
        <w:t xml:space="preserve">that the order must be </w:t>
      </w:r>
      <w:r w:rsidR="00893BE4">
        <w:t xml:space="preserve">reversed insofar as it orders restitution to the insurance company and the fire </w:t>
      </w:r>
      <w:proofErr w:type="gramStart"/>
      <w:r w:rsidR="00893BE4">
        <w:t>department</w:t>
      </w:r>
      <w:proofErr w:type="gramEnd"/>
      <w:r w:rsidR="00893BE4">
        <w:t xml:space="preserve"> </w:t>
      </w:r>
      <w:r w:rsidR="0090282C">
        <w:t xml:space="preserve">and the matter remanded for </w:t>
      </w:r>
      <w:r w:rsidR="00E407A1">
        <w:t>a new restitution hearing</w:t>
      </w:r>
      <w:r w:rsidR="00226C3D">
        <w:t>.</w:t>
      </w:r>
    </w:p>
    <w:p w14:paraId="40D73EF0" w14:textId="77777777" w:rsidR="004C6EA7" w:rsidRDefault="00925C4E" w:rsidP="00FA0BE3">
      <w:pPr>
        <w:spacing w:line="360" w:lineRule="auto"/>
      </w:pPr>
      <w:r>
        <w:tab/>
      </w:r>
      <w:r w:rsidR="00693A3C">
        <w:t>Consistent with th</w:t>
      </w:r>
      <w:r w:rsidR="00AD0134">
        <w:t>e</w:t>
      </w:r>
      <w:r w:rsidR="00693A3C">
        <w:t xml:space="preserve"> statutory requirement, </w:t>
      </w:r>
      <w:r w:rsidR="0075338F">
        <w:t>t</w:t>
      </w:r>
      <w:r>
        <w:t xml:space="preserve">he </w:t>
      </w:r>
      <w:r w:rsidR="005E36BC">
        <w:t>court ordered restitution on</w:t>
      </w:r>
      <w:r>
        <w:t xml:space="preserve"> behalf of the mortgage lender</w:t>
      </w:r>
      <w:r w:rsidR="00693A3C">
        <w:t xml:space="preserve"> in an amount to be determined subsequently by the court. </w:t>
      </w:r>
      <w:r w:rsidR="00573EA3">
        <w:t xml:space="preserve"> The prosecut</w:t>
      </w:r>
      <w:r w:rsidR="002F6534">
        <w:t>ion</w:t>
      </w:r>
      <w:r w:rsidR="00573EA3">
        <w:t>, however, has not submitted any documentation in support of the mortgage lender’s losses.  (</w:t>
      </w:r>
      <w:r w:rsidR="00573EA3">
        <w:rPr>
          <w:i/>
          <w:iCs/>
        </w:rPr>
        <w:t>People v. Baker</w:t>
      </w:r>
      <w:r w:rsidR="00573EA3">
        <w:t xml:space="preserve"> (2005) 126</w:t>
      </w:r>
      <w:r w:rsidR="005A66A1">
        <w:t> </w:t>
      </w:r>
      <w:r w:rsidR="00573EA3">
        <w:t>Cal.App.4th 463, 467 [restitution order must have a “</w:t>
      </w:r>
      <w:r w:rsidR="00E74C45">
        <w:t> ‘ “ ‘</w:t>
      </w:r>
      <w:r w:rsidR="00573EA3">
        <w:t xml:space="preserve">factual and rational </w:t>
      </w:r>
      <w:proofErr w:type="spellStart"/>
      <w:r w:rsidR="00573EA3">
        <w:t>basis</w:t>
      </w:r>
      <w:r w:rsidR="006F08BF">
        <w:t>’</w:t>
      </w:r>
      <w:proofErr w:type="spellEnd"/>
      <w:r w:rsidR="001C713B">
        <w:t> </w:t>
      </w:r>
      <w:r w:rsidR="006F08BF">
        <w:t>”</w:t>
      </w:r>
      <w:r w:rsidR="001C713B">
        <w:t> ’ </w:t>
      </w:r>
      <w:r w:rsidR="00573EA3">
        <w:t xml:space="preserve">”]; </w:t>
      </w:r>
      <w:r w:rsidR="00573EA3">
        <w:rPr>
          <w:i/>
          <w:iCs/>
        </w:rPr>
        <w:t>People v. Fulton</w:t>
      </w:r>
      <w:r w:rsidR="00573EA3">
        <w:t xml:space="preserve"> (2003) 109</w:t>
      </w:r>
      <w:r w:rsidR="005A66A1">
        <w:t> </w:t>
      </w:r>
      <w:r w:rsidR="00573EA3">
        <w:t xml:space="preserve">Cal.App.4th 876, 886 [“a victim seeking restitution (or someone on his or her behalf) initiates the process by identifying the type of loss </w:t>
      </w:r>
      <w:r w:rsidR="00433336">
        <w:t xml:space="preserve">[citation] </w:t>
      </w:r>
      <w:r w:rsidR="00573EA3">
        <w:t>he or she has sustained and its monetary value”].)</w:t>
      </w:r>
      <w:r w:rsidR="005A66A1">
        <w:t xml:space="preserve"> </w:t>
      </w:r>
      <w:r w:rsidR="00573EA3">
        <w:t xml:space="preserve"> Although the insurance company’s calculation of the cost to repair the damage caused by the fire might provide evidence of the amount of the mortgage lender’s losses, the two amounts are not necessarily identical.</w:t>
      </w:r>
      <w:r w:rsidR="00CF69F9">
        <w:t xml:space="preserve"> </w:t>
      </w:r>
      <w:r w:rsidR="00573EA3">
        <w:t xml:space="preserve"> (</w:t>
      </w:r>
      <w:r w:rsidR="00573EA3">
        <w:rPr>
          <w:i/>
          <w:iCs/>
        </w:rPr>
        <w:t>People v. Bernal</w:t>
      </w:r>
      <w:r w:rsidR="00573EA3">
        <w:t xml:space="preserve"> (2002) 101</w:t>
      </w:r>
      <w:r w:rsidR="005A66A1">
        <w:t> </w:t>
      </w:r>
      <w:r w:rsidR="00573EA3">
        <w:t>Cal.App.4th 155, 16</w:t>
      </w:r>
      <w:r w:rsidR="00B616F2">
        <w:t>2</w:t>
      </w:r>
      <w:r w:rsidR="00573EA3">
        <w:t xml:space="preserve"> [amount recovered in settlement with defendant’s insurer “need not mirror” amount of </w:t>
      </w:r>
      <w:r w:rsidR="00573EA3">
        <w:lastRenderedPageBreak/>
        <w:t xml:space="preserve">restitution]; see also </w:t>
      </w:r>
      <w:r w:rsidR="00573EA3">
        <w:rPr>
          <w:i/>
          <w:iCs/>
        </w:rPr>
        <w:t>People v. Nichols</w:t>
      </w:r>
      <w:r w:rsidR="00573EA3">
        <w:t xml:space="preserve"> (2017) 8</w:t>
      </w:r>
      <w:r w:rsidR="005A66A1">
        <w:t> </w:t>
      </w:r>
      <w:r w:rsidR="00573EA3">
        <w:t xml:space="preserve">Cal.App.5th 330, 342 [“Victims are entitled to an amount of restitution so as to make them whole but not more than their actual losses arising out of the defendant’s criminal conduct”].) </w:t>
      </w:r>
      <w:r w:rsidR="00213005">
        <w:t xml:space="preserve"> </w:t>
      </w:r>
      <w:r w:rsidR="00573EA3">
        <w:t xml:space="preserve">Nor has </w:t>
      </w:r>
      <w:r w:rsidR="00DC6042">
        <w:t>Buckner</w:t>
      </w:r>
      <w:r w:rsidR="00573EA3">
        <w:t xml:space="preserve"> been given the opportunity to contest the amount of restitution owed to the lender. </w:t>
      </w:r>
      <w:r w:rsidR="00E36805">
        <w:t xml:space="preserve"> </w:t>
      </w:r>
      <w:r w:rsidR="00573EA3">
        <w:t>(§ 1202.4, subd.</w:t>
      </w:r>
      <w:r w:rsidR="0016752F">
        <w:t> </w:t>
      </w:r>
      <w:r w:rsidR="00FA0BE3">
        <w:t>(f)(1) [“The defendant has the right to a hearing before a judge to dispute the determination of the amount of restitution”]</w:t>
      </w:r>
      <w:r w:rsidR="00270630">
        <w:t>.)</w:t>
      </w:r>
      <w:r w:rsidR="00FA0BE3">
        <w:t xml:space="preserve"> </w:t>
      </w:r>
      <w:r w:rsidR="00685E99">
        <w:t xml:space="preserve"> </w:t>
      </w:r>
      <w:r w:rsidR="00E57A62">
        <w:t>Accordingly, the matter must be remanded for submission of a proper request for restitution</w:t>
      </w:r>
      <w:r w:rsidR="00270630">
        <w:t xml:space="preserve"> and a hearing </w:t>
      </w:r>
      <w:r w:rsidR="00124C6A">
        <w:t>to resolve any disputes</w:t>
      </w:r>
      <w:r w:rsidR="00E57A62">
        <w:t xml:space="preserve">. </w:t>
      </w:r>
    </w:p>
    <w:p w14:paraId="40D73EF1" w14:textId="77777777" w:rsidR="008549AF" w:rsidRDefault="00925C4E" w:rsidP="004432CC">
      <w:pPr>
        <w:spacing w:line="360" w:lineRule="auto"/>
      </w:pPr>
      <w:r>
        <w:tab/>
        <w:t xml:space="preserve">On </w:t>
      </w:r>
      <w:r w:rsidR="00573EA3">
        <w:t xml:space="preserve">remand, </w:t>
      </w:r>
      <w:r w:rsidR="00124C6A">
        <w:t xml:space="preserve">if </w:t>
      </w:r>
      <w:r w:rsidR="00573EA3">
        <w:t xml:space="preserve">Buckner </w:t>
      </w:r>
      <w:r w:rsidR="00124C6A">
        <w:t xml:space="preserve">is </w:t>
      </w:r>
      <w:r w:rsidR="00573EA3">
        <w:t xml:space="preserve">ordered to pay restitution to the mortgage lender, he is entitled to an offset for the sums paid by his insurer “to the extent that those payments are for items of loss included in the restitution order.” </w:t>
      </w:r>
      <w:r w:rsidR="00535196">
        <w:t xml:space="preserve"> </w:t>
      </w:r>
      <w:r w:rsidR="00573EA3">
        <w:t>(</w:t>
      </w:r>
      <w:r w:rsidR="00573EA3">
        <w:rPr>
          <w:i/>
          <w:iCs/>
        </w:rPr>
        <w:t xml:space="preserve">People v. Bernal, supra, </w:t>
      </w:r>
      <w:r w:rsidR="00573EA3">
        <w:t>101</w:t>
      </w:r>
      <w:r w:rsidR="0016752F">
        <w:t> </w:t>
      </w:r>
      <w:r w:rsidR="00573EA3">
        <w:t>Cal.App.4th at p.</w:t>
      </w:r>
      <w:r w:rsidR="0016752F">
        <w:t> </w:t>
      </w:r>
      <w:r w:rsidR="00573EA3">
        <w:t>16</w:t>
      </w:r>
      <w:r w:rsidR="008A4C5C">
        <w:t>8</w:t>
      </w:r>
      <w:r w:rsidR="00573EA3">
        <w:t xml:space="preserve">; </w:t>
      </w:r>
      <w:proofErr w:type="spellStart"/>
      <w:r w:rsidR="00573EA3">
        <w:rPr>
          <w:i/>
          <w:iCs/>
        </w:rPr>
        <w:t>Barickman</w:t>
      </w:r>
      <w:proofErr w:type="spellEnd"/>
      <w:r w:rsidR="00573EA3">
        <w:rPr>
          <w:i/>
          <w:iCs/>
        </w:rPr>
        <w:t xml:space="preserve"> v. Mercury Cas</w:t>
      </w:r>
      <w:r w:rsidR="008A4C5C">
        <w:rPr>
          <w:i/>
          <w:iCs/>
        </w:rPr>
        <w:t>ualty</w:t>
      </w:r>
      <w:r w:rsidR="00573EA3">
        <w:rPr>
          <w:i/>
          <w:iCs/>
        </w:rPr>
        <w:t xml:space="preserve"> Co.</w:t>
      </w:r>
      <w:r w:rsidR="00573EA3">
        <w:t xml:space="preserve"> (2016) 2</w:t>
      </w:r>
      <w:r w:rsidR="0016752F">
        <w:t> </w:t>
      </w:r>
      <w:r w:rsidR="00573EA3">
        <w:t>Cal.App.5th 508, 518 [“Although payments received by a crime victim from the victim</w:t>
      </w:r>
      <w:r w:rsidR="00535196">
        <w:t>’</w:t>
      </w:r>
      <w:r w:rsidR="00573EA3">
        <w:t>s insurance company . . . for economic losses suffered as a result of the defendant</w:t>
      </w:r>
      <w:r w:rsidR="00535196">
        <w:t>’</w:t>
      </w:r>
      <w:r w:rsidR="00573EA3">
        <w:t>s criminal conduct cannot reduce the amount of restitution the defendant owes, the defendant is entitled to an offset to the extent those payments are from his or her own insurance for items of loss included in the restitution order”].)</w:t>
      </w:r>
    </w:p>
    <w:p w14:paraId="40D73EF2" w14:textId="77777777" w:rsidR="009132C5" w:rsidRDefault="00925C4E" w:rsidP="00A50F5F">
      <w:pPr>
        <w:spacing w:line="360" w:lineRule="auto"/>
      </w:pPr>
      <w:r>
        <w:tab/>
        <w:t>Accordingly</w:t>
      </w:r>
      <w:r>
        <w:t xml:space="preserve">, we reverse the order </w:t>
      </w:r>
      <w:r w:rsidR="000C2210">
        <w:t xml:space="preserve">of restitution to the fire department and the insurance company </w:t>
      </w:r>
      <w:r>
        <w:t>and remand for further pro</w:t>
      </w:r>
      <w:r w:rsidR="00632269">
        <w:t xml:space="preserve">ceedings. </w:t>
      </w:r>
    </w:p>
    <w:p w14:paraId="40D73EF3" w14:textId="77777777" w:rsidR="008E7EA4" w:rsidRDefault="00925C4E">
      <w:pPr>
        <w:tabs>
          <w:tab w:val="clear" w:pos="720"/>
        </w:tabs>
        <w:spacing w:after="160" w:line="259" w:lineRule="auto"/>
        <w:rPr>
          <w:b/>
          <w:bCs/>
        </w:rPr>
      </w:pPr>
      <w:r>
        <w:rPr>
          <w:b/>
          <w:bCs/>
        </w:rPr>
        <w:br w:type="page"/>
      </w:r>
    </w:p>
    <w:p w14:paraId="40D73EF4" w14:textId="77777777" w:rsidR="00632269" w:rsidRDefault="00925C4E" w:rsidP="00652E17">
      <w:pPr>
        <w:keepNext/>
        <w:spacing w:line="360" w:lineRule="auto"/>
        <w:jc w:val="center"/>
      </w:pPr>
      <w:r>
        <w:rPr>
          <w:b/>
          <w:bCs/>
        </w:rPr>
        <w:lastRenderedPageBreak/>
        <w:t>DISPOSITION</w:t>
      </w:r>
    </w:p>
    <w:p w14:paraId="40D73EF5" w14:textId="77777777" w:rsidR="002D1920" w:rsidRDefault="00925C4E" w:rsidP="00632269">
      <w:pPr>
        <w:spacing w:line="360" w:lineRule="auto"/>
      </w:pPr>
      <w:r>
        <w:tab/>
        <w:t>The restitution order is reversed</w:t>
      </w:r>
      <w:r w:rsidR="00B35163">
        <w:t xml:space="preserve"> insofar as it orders restitution to the fire department and </w:t>
      </w:r>
      <w:r w:rsidR="000461DF">
        <w:t>Buckner’s</w:t>
      </w:r>
      <w:r w:rsidR="00B35163">
        <w:t xml:space="preserve"> insurance company</w:t>
      </w:r>
      <w:r w:rsidR="00CC1C53">
        <w:t xml:space="preserve"> and the matter</w:t>
      </w:r>
      <w:r w:rsidR="009B2946">
        <w:t xml:space="preserve"> is</w:t>
      </w:r>
      <w:r w:rsidR="00CC1C53">
        <w:t xml:space="preserve"> remanded for</w:t>
      </w:r>
      <w:r w:rsidR="00E542C4">
        <w:t xml:space="preserve"> a new restitution hearing</w:t>
      </w:r>
      <w:r w:rsidR="000844F1">
        <w:t xml:space="preserve">. </w:t>
      </w:r>
      <w:r w:rsidR="000461DF">
        <w:t xml:space="preserve"> </w:t>
      </w:r>
      <w:r w:rsidR="000844F1">
        <w:t>T</w:t>
      </w:r>
      <w:r>
        <w:t xml:space="preserve">he judgment is </w:t>
      </w:r>
      <w:r w:rsidR="00877DB4">
        <w:t xml:space="preserve">otherwise </w:t>
      </w:r>
      <w:r>
        <w:t>affirmed.</w:t>
      </w:r>
    </w:p>
    <w:p w14:paraId="40D73EF6" w14:textId="77777777" w:rsidR="00023A20" w:rsidRDefault="00925C4E" w:rsidP="00632269">
      <w:pPr>
        <w:spacing w:line="360" w:lineRule="auto"/>
      </w:pPr>
      <w:r>
        <w:t xml:space="preserve"> </w:t>
      </w:r>
    </w:p>
    <w:p w14:paraId="40D73EF7" w14:textId="77777777" w:rsidR="0078628F" w:rsidRPr="00490764" w:rsidRDefault="00925C4E">
      <w:pPr>
        <w:spacing w:line="240" w:lineRule="auto"/>
      </w:pPr>
      <w:r>
        <w:tab/>
      </w:r>
      <w:r w:rsidRPr="00490764">
        <w:tab/>
      </w:r>
      <w:r w:rsidRPr="00490764">
        <w:tab/>
      </w:r>
      <w:r w:rsidRPr="00490764">
        <w:tab/>
      </w:r>
      <w:r w:rsidRPr="00490764">
        <w:tab/>
      </w:r>
      <w:r w:rsidRPr="00490764">
        <w:tab/>
      </w:r>
      <w:r w:rsidRPr="00490764">
        <w:tab/>
      </w:r>
      <w:r w:rsidRPr="00490764">
        <w:tab/>
        <w:t>GOLDMAN, J.</w:t>
      </w:r>
    </w:p>
    <w:p w14:paraId="40D73EF8" w14:textId="77777777" w:rsidR="0078628F" w:rsidRPr="00490764" w:rsidRDefault="0078628F">
      <w:pPr>
        <w:spacing w:line="240" w:lineRule="auto"/>
      </w:pPr>
    </w:p>
    <w:p w14:paraId="40D73EF9" w14:textId="77777777" w:rsidR="0078628F" w:rsidRPr="00490764" w:rsidRDefault="00925C4E">
      <w:pPr>
        <w:spacing w:line="240" w:lineRule="auto"/>
      </w:pPr>
      <w:r w:rsidRPr="00490764">
        <w:t>WE CONCUR:</w:t>
      </w:r>
    </w:p>
    <w:p w14:paraId="40D73EFA" w14:textId="77777777" w:rsidR="0078628F" w:rsidRPr="00490764" w:rsidRDefault="0078628F">
      <w:pPr>
        <w:spacing w:line="240" w:lineRule="auto"/>
      </w:pPr>
    </w:p>
    <w:p w14:paraId="40D73EFB" w14:textId="77777777" w:rsidR="0078628F" w:rsidRPr="00490764" w:rsidRDefault="00925C4E">
      <w:pPr>
        <w:spacing w:line="240" w:lineRule="auto"/>
      </w:pPr>
      <w:r>
        <w:t>BROWN</w:t>
      </w:r>
      <w:r w:rsidRPr="00490764">
        <w:t>, P. J.</w:t>
      </w:r>
    </w:p>
    <w:p w14:paraId="40D73EFC" w14:textId="77777777" w:rsidR="0078628F" w:rsidRPr="00490764" w:rsidRDefault="00925C4E">
      <w:pPr>
        <w:spacing w:line="240" w:lineRule="auto"/>
      </w:pPr>
      <w:r>
        <w:t>STREETER</w:t>
      </w:r>
      <w:r w:rsidRPr="00490764">
        <w:t>, J.</w:t>
      </w:r>
    </w:p>
    <w:p w14:paraId="40D73EFD" w14:textId="77777777" w:rsidR="005025D6" w:rsidRDefault="00925C4E">
      <w:pPr>
        <w:tabs>
          <w:tab w:val="clear" w:pos="720"/>
        </w:tabs>
        <w:spacing w:after="160" w:line="259" w:lineRule="auto"/>
      </w:pPr>
      <w:r>
        <w:br w:type="page"/>
      </w:r>
    </w:p>
    <w:p w14:paraId="40D73EFE" w14:textId="77777777" w:rsidR="00B14EFA" w:rsidRDefault="00B14EFA" w:rsidP="00AF1A81">
      <w:pPr>
        <w:spacing w:line="360" w:lineRule="auto"/>
      </w:pPr>
    </w:p>
    <w:p w14:paraId="40D73EFF" w14:textId="77777777" w:rsidR="00B14EFA" w:rsidRDefault="00B14EFA">
      <w:pPr>
        <w:tabs>
          <w:tab w:val="clear" w:pos="720"/>
        </w:tabs>
        <w:spacing w:after="160" w:line="259" w:lineRule="auto"/>
      </w:pPr>
    </w:p>
    <w:tbl>
      <w:tblPr>
        <w:tblStyle w:val="TableGrid1"/>
        <w:tblW w:w="9535" w:type="dxa"/>
        <w:tblLook w:val="04A0" w:firstRow="1" w:lastRow="0" w:firstColumn="1" w:lastColumn="0" w:noHBand="0" w:noVBand="1"/>
      </w:tblPr>
      <w:tblGrid>
        <w:gridCol w:w="4405"/>
        <w:gridCol w:w="5130"/>
      </w:tblGrid>
      <w:tr w:rsidR="00960A66" w14:paraId="40D73F03" w14:textId="77777777">
        <w:tc>
          <w:tcPr>
            <w:tcW w:w="4405" w:type="dxa"/>
          </w:tcPr>
          <w:p w14:paraId="40D73F00" w14:textId="77777777" w:rsidR="00B14EFA" w:rsidRPr="00B14EFA" w:rsidRDefault="00925C4E" w:rsidP="00B14EFA">
            <w:pPr>
              <w:suppressAutoHyphens/>
              <w:spacing w:line="240" w:lineRule="auto"/>
              <w:rPr>
                <w:rFonts w:eastAsia="Calibri" w:cs="Times New Roman"/>
              </w:rPr>
            </w:pPr>
            <w:r w:rsidRPr="00B14EFA">
              <w:rPr>
                <w:rFonts w:eastAsia="Calibri" w:cs="Times New Roman"/>
              </w:rPr>
              <w:t>Trial Court:</w:t>
            </w:r>
          </w:p>
        </w:tc>
        <w:tc>
          <w:tcPr>
            <w:tcW w:w="5130" w:type="dxa"/>
          </w:tcPr>
          <w:p w14:paraId="40D73F01" w14:textId="77777777" w:rsidR="00B14EFA" w:rsidRPr="00B14EFA" w:rsidRDefault="00925C4E" w:rsidP="00B14EFA">
            <w:pPr>
              <w:suppressAutoHyphens/>
              <w:spacing w:line="240" w:lineRule="auto"/>
              <w:rPr>
                <w:rFonts w:eastAsia="Calibri" w:cs="Times New Roman"/>
              </w:rPr>
            </w:pPr>
            <w:r w:rsidRPr="00B14EFA">
              <w:rPr>
                <w:rFonts w:eastAsia="Calibri" w:cs="Times New Roman"/>
              </w:rPr>
              <w:t>Napa County Superior Court</w:t>
            </w:r>
          </w:p>
          <w:p w14:paraId="40D73F02" w14:textId="77777777" w:rsidR="00B14EFA" w:rsidRPr="00B14EFA" w:rsidRDefault="00B14EFA" w:rsidP="00B14EFA">
            <w:pPr>
              <w:suppressAutoHyphens/>
              <w:spacing w:line="240" w:lineRule="auto"/>
              <w:rPr>
                <w:rFonts w:eastAsia="Calibri" w:cs="Times New Roman"/>
              </w:rPr>
            </w:pPr>
          </w:p>
        </w:tc>
      </w:tr>
      <w:tr w:rsidR="00960A66" w14:paraId="40D73F07" w14:textId="77777777">
        <w:tc>
          <w:tcPr>
            <w:tcW w:w="4405" w:type="dxa"/>
          </w:tcPr>
          <w:p w14:paraId="40D73F04" w14:textId="77777777" w:rsidR="00B14EFA" w:rsidRPr="00B14EFA" w:rsidRDefault="00925C4E" w:rsidP="00B14EFA">
            <w:pPr>
              <w:suppressAutoHyphens/>
              <w:spacing w:line="240" w:lineRule="auto"/>
              <w:rPr>
                <w:rFonts w:eastAsia="Calibri" w:cs="Times New Roman"/>
              </w:rPr>
            </w:pPr>
            <w:r w:rsidRPr="00B14EFA">
              <w:rPr>
                <w:rFonts w:eastAsia="Calibri" w:cs="Times New Roman"/>
              </w:rPr>
              <w:t>Trial Judge:</w:t>
            </w:r>
          </w:p>
        </w:tc>
        <w:tc>
          <w:tcPr>
            <w:tcW w:w="5130" w:type="dxa"/>
          </w:tcPr>
          <w:p w14:paraId="40D73F05" w14:textId="77777777" w:rsidR="00B14EFA" w:rsidRPr="00B14EFA" w:rsidRDefault="00925C4E" w:rsidP="00B14EFA">
            <w:pPr>
              <w:suppressAutoHyphens/>
              <w:spacing w:line="240" w:lineRule="auto"/>
              <w:rPr>
                <w:rFonts w:eastAsia="Calibri" w:cs="Times New Roman"/>
              </w:rPr>
            </w:pPr>
            <w:r w:rsidRPr="00B14EFA">
              <w:rPr>
                <w:rFonts w:eastAsia="Calibri" w:cs="Times New Roman"/>
              </w:rPr>
              <w:t>Honorable Elia Ortiz</w:t>
            </w:r>
          </w:p>
          <w:p w14:paraId="40D73F06" w14:textId="77777777" w:rsidR="00B14EFA" w:rsidRPr="00B14EFA" w:rsidRDefault="00B14EFA" w:rsidP="00B14EFA">
            <w:pPr>
              <w:suppressAutoHyphens/>
              <w:spacing w:line="240" w:lineRule="auto"/>
              <w:rPr>
                <w:rFonts w:eastAsia="Calibri" w:cs="Times New Roman"/>
              </w:rPr>
            </w:pPr>
          </w:p>
        </w:tc>
      </w:tr>
      <w:tr w:rsidR="00960A66" w14:paraId="40D73F0C" w14:textId="77777777">
        <w:tc>
          <w:tcPr>
            <w:tcW w:w="4405" w:type="dxa"/>
          </w:tcPr>
          <w:p w14:paraId="40D73F08" w14:textId="77777777" w:rsidR="00B14EFA" w:rsidRPr="00B14EFA" w:rsidRDefault="00925C4E" w:rsidP="00B14EFA">
            <w:pPr>
              <w:suppressAutoHyphens/>
              <w:spacing w:line="240" w:lineRule="auto"/>
              <w:rPr>
                <w:rFonts w:eastAsia="Calibri" w:cs="Times New Roman"/>
              </w:rPr>
            </w:pPr>
            <w:r w:rsidRPr="00B14EFA">
              <w:rPr>
                <w:rFonts w:eastAsia="Calibri" w:cs="Times New Roman"/>
              </w:rPr>
              <w:t xml:space="preserve">Counsel for Defendant and Appellant: </w:t>
            </w:r>
          </w:p>
        </w:tc>
        <w:tc>
          <w:tcPr>
            <w:tcW w:w="5130" w:type="dxa"/>
          </w:tcPr>
          <w:p w14:paraId="40D73F09"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Kevin J. Lindsley, under appointment by the Court of Appeal</w:t>
            </w:r>
          </w:p>
          <w:p w14:paraId="40D73F0A"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FIRST DISTRICT APPELLATE PROJECT, Stephanie Clarke</w:t>
            </w:r>
          </w:p>
          <w:p w14:paraId="40D73F0B" w14:textId="77777777" w:rsidR="00B14EFA" w:rsidRPr="00B14EFA" w:rsidRDefault="00B14EFA" w:rsidP="00B14EFA">
            <w:pPr>
              <w:tabs>
                <w:tab w:val="clear" w:pos="720"/>
              </w:tabs>
              <w:suppressAutoHyphens/>
              <w:autoSpaceDE w:val="0"/>
              <w:adjustRightInd w:val="0"/>
              <w:spacing w:line="240" w:lineRule="auto"/>
              <w:rPr>
                <w:rFonts w:eastAsia="Calibri" w:cs="Times New Roman"/>
              </w:rPr>
            </w:pPr>
          </w:p>
        </w:tc>
      </w:tr>
      <w:tr w:rsidR="00960A66" w14:paraId="40D73F17" w14:textId="77777777">
        <w:tc>
          <w:tcPr>
            <w:tcW w:w="4405" w:type="dxa"/>
          </w:tcPr>
          <w:p w14:paraId="40D73F0D" w14:textId="77777777" w:rsidR="00B14EFA" w:rsidRPr="00B14EFA" w:rsidRDefault="00925C4E" w:rsidP="00B14EFA">
            <w:pPr>
              <w:suppressAutoHyphens/>
              <w:spacing w:line="240" w:lineRule="auto"/>
              <w:rPr>
                <w:rFonts w:eastAsia="Calibri" w:cs="Times New Roman"/>
              </w:rPr>
            </w:pPr>
            <w:r w:rsidRPr="00B14EFA">
              <w:rPr>
                <w:rFonts w:eastAsia="Calibri" w:cs="Times New Roman"/>
              </w:rPr>
              <w:t>Counsel for Plaintiff and Respondent:</w:t>
            </w:r>
          </w:p>
        </w:tc>
        <w:tc>
          <w:tcPr>
            <w:tcW w:w="5130" w:type="dxa"/>
          </w:tcPr>
          <w:p w14:paraId="40D73F0E"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Rob Bonta </w:t>
            </w:r>
          </w:p>
          <w:p w14:paraId="40D73F0F"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Attorney General of California </w:t>
            </w:r>
          </w:p>
          <w:p w14:paraId="40D73F10"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Lance E. Winters </w:t>
            </w:r>
          </w:p>
          <w:p w14:paraId="40D73F11"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Chief </w:t>
            </w:r>
            <w:r w:rsidRPr="00B14EFA">
              <w:rPr>
                <w:rFonts w:eastAsia="Calibri" w:cs="Times New Roman"/>
              </w:rPr>
              <w:t xml:space="preserve">Assistant Attorney General </w:t>
            </w:r>
          </w:p>
          <w:p w14:paraId="40D73F12"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Jeffrey M. Laurence </w:t>
            </w:r>
          </w:p>
          <w:p w14:paraId="40D73F13"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Senior Assistant Attorney General </w:t>
            </w:r>
          </w:p>
          <w:p w14:paraId="40D73F14"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Masha A. </w:t>
            </w:r>
            <w:proofErr w:type="spellStart"/>
            <w:r w:rsidRPr="00B14EFA">
              <w:rPr>
                <w:rFonts w:eastAsia="Calibri" w:cs="Times New Roman"/>
              </w:rPr>
              <w:t>Dabiza</w:t>
            </w:r>
            <w:proofErr w:type="spellEnd"/>
          </w:p>
          <w:p w14:paraId="40D73F15" w14:textId="77777777" w:rsidR="00B14EFA" w:rsidRPr="00B14EFA" w:rsidRDefault="00925C4E" w:rsidP="00B14EFA">
            <w:pPr>
              <w:tabs>
                <w:tab w:val="clear" w:pos="720"/>
              </w:tabs>
              <w:suppressAutoHyphens/>
              <w:autoSpaceDE w:val="0"/>
              <w:adjustRightInd w:val="0"/>
              <w:spacing w:line="240" w:lineRule="auto"/>
              <w:rPr>
                <w:rFonts w:eastAsia="Calibri" w:cs="Times New Roman"/>
              </w:rPr>
            </w:pPr>
            <w:r w:rsidRPr="00B14EFA">
              <w:rPr>
                <w:rFonts w:eastAsia="Calibri" w:cs="Times New Roman"/>
              </w:rPr>
              <w:t xml:space="preserve">Deputy Attorney General </w:t>
            </w:r>
          </w:p>
          <w:p w14:paraId="40D73F16" w14:textId="77777777" w:rsidR="00B14EFA" w:rsidRPr="00B14EFA" w:rsidRDefault="00B14EFA" w:rsidP="00B14EFA">
            <w:pPr>
              <w:tabs>
                <w:tab w:val="clear" w:pos="720"/>
              </w:tabs>
              <w:suppressAutoHyphens/>
              <w:autoSpaceDE w:val="0"/>
              <w:adjustRightInd w:val="0"/>
              <w:spacing w:line="240" w:lineRule="auto"/>
              <w:rPr>
                <w:rFonts w:ascii="Times New Roman" w:eastAsia="Calibri" w:hAnsi="Times New Roman" w:cs="Times New Roman"/>
              </w:rPr>
            </w:pPr>
          </w:p>
        </w:tc>
      </w:tr>
    </w:tbl>
    <w:p w14:paraId="40D73F18" w14:textId="77777777" w:rsidR="0029497F" w:rsidRPr="00FF2A68" w:rsidRDefault="0029497F" w:rsidP="00AF1A81">
      <w:pPr>
        <w:spacing w:line="360" w:lineRule="auto"/>
      </w:pPr>
    </w:p>
    <w:sectPr w:rsidR="0029497F" w:rsidRPr="00FF2A68" w:rsidSect="00B05C4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3F24" w14:textId="77777777" w:rsidR="00000000" w:rsidRDefault="00925C4E">
      <w:pPr>
        <w:spacing w:line="240" w:lineRule="auto"/>
      </w:pPr>
      <w:r>
        <w:separator/>
      </w:r>
    </w:p>
  </w:endnote>
  <w:endnote w:type="continuationSeparator" w:id="0">
    <w:p w14:paraId="40D73F26" w14:textId="77777777" w:rsidR="00000000" w:rsidRDefault="00925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3F1C" w14:textId="77777777" w:rsidR="002A463C" w:rsidRDefault="00925C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40D73F1D" w14:textId="77777777" w:rsidR="002A463C" w:rsidRDefault="00925C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40D73F1E" w14:textId="77777777" w:rsidR="002A463C" w:rsidRDefault="002A4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3F1F" w14:textId="77777777" w:rsidR="002A463C" w:rsidRDefault="00925C4E" w:rsidP="002A46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D73F20" w14:textId="77777777" w:rsidR="002A463C" w:rsidRDefault="002A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3F19" w14:textId="77777777" w:rsidR="005B4D56" w:rsidRDefault="00925C4E" w:rsidP="002A463C">
      <w:pPr>
        <w:spacing w:line="240" w:lineRule="auto"/>
      </w:pPr>
      <w:r>
        <w:separator/>
      </w:r>
    </w:p>
  </w:footnote>
  <w:footnote w:type="continuationSeparator" w:id="0">
    <w:p w14:paraId="40D73F1A" w14:textId="77777777" w:rsidR="005B4D56" w:rsidRDefault="00925C4E" w:rsidP="002A463C">
      <w:pPr>
        <w:spacing w:line="240" w:lineRule="auto"/>
      </w:pPr>
      <w:r>
        <w:continuationSeparator/>
      </w:r>
    </w:p>
  </w:footnote>
  <w:footnote w:type="continuationNotice" w:id="1">
    <w:p w14:paraId="40D73F1B" w14:textId="77777777" w:rsidR="005B4D56" w:rsidRDefault="005B4D56">
      <w:pPr>
        <w:spacing w:line="240" w:lineRule="auto"/>
      </w:pPr>
    </w:p>
  </w:footnote>
  <w:footnote w:id="2">
    <w:p w14:paraId="40D73F21" w14:textId="77777777" w:rsidR="00D22D9A" w:rsidRDefault="00925C4E">
      <w:pPr>
        <w:pStyle w:val="FootnoteText"/>
      </w:pPr>
      <w:r>
        <w:rPr>
          <w:rStyle w:val="FootnoteReference"/>
        </w:rPr>
        <w:t>*</w:t>
      </w:r>
      <w:r>
        <w:t xml:space="preserve"> Pursuant to California Rules of Court, rules 8.1105(b) and 8.1110, this opinion is certified for publication </w:t>
      </w:r>
      <w:proofErr w:type="gramStart"/>
      <w:r>
        <w:t>with the exception of</w:t>
      </w:r>
      <w:proofErr w:type="gramEnd"/>
      <w:r>
        <w:t xml:space="preserve"> part</w:t>
      </w:r>
      <w:r w:rsidR="00F712E4">
        <w:t>s II and III.</w:t>
      </w:r>
      <w:r>
        <w:t xml:space="preserve"> </w:t>
      </w:r>
    </w:p>
  </w:footnote>
  <w:footnote w:id="3">
    <w:p w14:paraId="40D73F22" w14:textId="77777777" w:rsidR="00574337" w:rsidRDefault="00925C4E" w:rsidP="000966F6">
      <w:pPr>
        <w:pStyle w:val="FootnoteText"/>
        <w:spacing w:before="120"/>
        <w:ind w:firstLine="720"/>
      </w:pPr>
      <w:r>
        <w:rPr>
          <w:rStyle w:val="FootnoteReference"/>
        </w:rPr>
        <w:footnoteRef/>
      </w:r>
      <w:r>
        <w:t xml:space="preserve"> </w:t>
      </w:r>
      <w:r w:rsidRPr="00E225B9">
        <w:rPr>
          <w:i/>
        </w:rPr>
        <w:t xml:space="preserve">Miranda v. Arizona </w:t>
      </w:r>
      <w:r w:rsidRPr="00E225B9">
        <w:rPr>
          <w:iCs/>
        </w:rPr>
        <w:t>(1966) 384</w:t>
      </w:r>
      <w:r>
        <w:rPr>
          <w:iCs/>
        </w:rPr>
        <w:t> </w:t>
      </w:r>
      <w:r w:rsidRPr="00E225B9">
        <w:rPr>
          <w:iCs/>
        </w:rPr>
        <w:t>U.S. 436</w:t>
      </w:r>
      <w:r>
        <w:rPr>
          <w:iCs/>
        </w:rPr>
        <w:t xml:space="preserve"> </w:t>
      </w:r>
      <w:r w:rsidR="00B536AA">
        <w:rPr>
          <w:iCs/>
        </w:rPr>
        <w:t>(</w:t>
      </w:r>
      <w:r w:rsidR="00B536AA" w:rsidRPr="008E6C3B">
        <w:rPr>
          <w:i/>
        </w:rPr>
        <w:t>Miranda</w:t>
      </w:r>
      <w:r w:rsidR="00B536AA">
        <w:rPr>
          <w:iCs/>
        </w:rPr>
        <w:t>)</w:t>
      </w:r>
      <w:r>
        <w:t xml:space="preserve"> </w:t>
      </w:r>
    </w:p>
    <w:p w14:paraId="40D73F23" w14:textId="77777777" w:rsidR="00574337" w:rsidRDefault="00574337" w:rsidP="00574337">
      <w:pPr>
        <w:pStyle w:val="FootnoteText"/>
        <w:ind w:firstLine="720"/>
      </w:pPr>
    </w:p>
  </w:footnote>
  <w:footnote w:id="4">
    <w:p w14:paraId="40D73F24" w14:textId="77777777" w:rsidR="00A07DDF" w:rsidRDefault="00925C4E" w:rsidP="00CE6439">
      <w:pPr>
        <w:pStyle w:val="FootnoteText"/>
        <w:ind w:firstLine="720"/>
      </w:pPr>
      <w:r>
        <w:rPr>
          <w:rStyle w:val="FootnoteReference"/>
        </w:rPr>
        <w:footnoteRef/>
      </w:r>
      <w:r>
        <w:t xml:space="preserve"> All statutory references are to the Penal Code.</w:t>
      </w:r>
    </w:p>
  </w:footnote>
  <w:footnote w:id="5">
    <w:p w14:paraId="40D73F25" w14:textId="77777777" w:rsidR="00CC35C9" w:rsidRDefault="00925C4E" w:rsidP="004F7C4B">
      <w:pPr>
        <w:pStyle w:val="FootnoteText"/>
        <w:ind w:firstLine="720"/>
      </w:pPr>
      <w:r>
        <w:rPr>
          <w:rStyle w:val="FootnoteReference"/>
        </w:rPr>
        <w:footnoteRef/>
      </w:r>
      <w:r>
        <w:t xml:space="preserve"> </w:t>
      </w:r>
      <w:r w:rsidR="005F1EA4">
        <w:t>Buckner’s</w:t>
      </w:r>
      <w:r w:rsidR="004D151A">
        <w:t xml:space="preserve"> motion to expand his notice of appeal to </w:t>
      </w:r>
      <w:r w:rsidR="00A256E1">
        <w:t>permit review of restitution hearings held on April</w:t>
      </w:r>
      <w:r w:rsidR="00DD436A">
        <w:t> </w:t>
      </w:r>
      <w:r w:rsidR="00A256E1">
        <w:t>22</w:t>
      </w:r>
      <w:r w:rsidR="00201763">
        <w:t xml:space="preserve"> </w:t>
      </w:r>
      <w:r w:rsidR="00A256E1">
        <w:t>and May</w:t>
      </w:r>
      <w:r w:rsidR="00DD436A">
        <w:t> </w:t>
      </w:r>
      <w:r w:rsidR="002472CE">
        <w:t>3</w:t>
      </w:r>
      <w:r w:rsidR="00A256E1">
        <w:t>, 2022</w:t>
      </w:r>
      <w:r w:rsidR="009E4179">
        <w:t>,</w:t>
      </w:r>
      <w:r w:rsidR="00A256E1">
        <w:t xml:space="preserve"> is denied.</w:t>
      </w:r>
      <w:r w:rsidR="003C3E2B">
        <w:t xml:space="preserve"> </w:t>
      </w:r>
      <w:r w:rsidR="003E6161">
        <w:t xml:space="preserve"> </w:t>
      </w:r>
      <w:r w:rsidR="003C3E2B">
        <w:t xml:space="preserve">The relevant order was made at the </w:t>
      </w:r>
      <w:r w:rsidR="00321734">
        <w:t xml:space="preserve">sentencing hearing on </w:t>
      </w:r>
      <w:r w:rsidR="00D87507">
        <w:t>March</w:t>
      </w:r>
      <w:r w:rsidR="00DD436A">
        <w:t> </w:t>
      </w:r>
      <w:r w:rsidR="00D87507">
        <w:t>16, 2021</w:t>
      </w:r>
      <w:r w:rsidR="00D33D59">
        <w:t>.</w:t>
      </w:r>
      <w:r w:rsidR="002B4BB3">
        <w:t xml:space="preserve"> </w:t>
      </w:r>
      <w:r w:rsidR="00F225FF">
        <w:t xml:space="preserve"> </w:t>
      </w:r>
      <w:r w:rsidR="002B4BB3">
        <w:t>The trial court’s subsequent refusal to modify that order does not preclude our review</w:t>
      </w:r>
      <w:r w:rsidR="001B2990">
        <w:t xml:space="preserve"> of the initial restitution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24F"/>
    <w:multiLevelType w:val="hybridMultilevel"/>
    <w:tmpl w:val="49A0120C"/>
    <w:lvl w:ilvl="0" w:tplc="C8643D00">
      <w:start w:val="1"/>
      <w:numFmt w:val="upperLetter"/>
      <w:lvlText w:val="%1."/>
      <w:lvlJc w:val="left"/>
      <w:pPr>
        <w:ind w:left="1350" w:hanging="360"/>
      </w:pPr>
      <w:rPr>
        <w:rFonts w:hint="default"/>
      </w:rPr>
    </w:lvl>
    <w:lvl w:ilvl="1" w:tplc="886AE460" w:tentative="1">
      <w:start w:val="1"/>
      <w:numFmt w:val="lowerLetter"/>
      <w:lvlText w:val="%2."/>
      <w:lvlJc w:val="left"/>
      <w:pPr>
        <w:ind w:left="1980" w:hanging="360"/>
      </w:pPr>
    </w:lvl>
    <w:lvl w:ilvl="2" w:tplc="DAB282CE" w:tentative="1">
      <w:start w:val="1"/>
      <w:numFmt w:val="lowerRoman"/>
      <w:lvlText w:val="%3."/>
      <w:lvlJc w:val="right"/>
      <w:pPr>
        <w:ind w:left="2700" w:hanging="180"/>
      </w:pPr>
    </w:lvl>
    <w:lvl w:ilvl="3" w:tplc="A5F2B8A2" w:tentative="1">
      <w:start w:val="1"/>
      <w:numFmt w:val="decimal"/>
      <w:lvlText w:val="%4."/>
      <w:lvlJc w:val="left"/>
      <w:pPr>
        <w:ind w:left="3420" w:hanging="360"/>
      </w:pPr>
    </w:lvl>
    <w:lvl w:ilvl="4" w:tplc="9E5CCB04" w:tentative="1">
      <w:start w:val="1"/>
      <w:numFmt w:val="lowerLetter"/>
      <w:lvlText w:val="%5."/>
      <w:lvlJc w:val="left"/>
      <w:pPr>
        <w:ind w:left="4140" w:hanging="360"/>
      </w:pPr>
    </w:lvl>
    <w:lvl w:ilvl="5" w:tplc="E510241C" w:tentative="1">
      <w:start w:val="1"/>
      <w:numFmt w:val="lowerRoman"/>
      <w:lvlText w:val="%6."/>
      <w:lvlJc w:val="right"/>
      <w:pPr>
        <w:ind w:left="4860" w:hanging="180"/>
      </w:pPr>
    </w:lvl>
    <w:lvl w:ilvl="6" w:tplc="B25E515E" w:tentative="1">
      <w:start w:val="1"/>
      <w:numFmt w:val="decimal"/>
      <w:lvlText w:val="%7."/>
      <w:lvlJc w:val="left"/>
      <w:pPr>
        <w:ind w:left="5580" w:hanging="360"/>
      </w:pPr>
    </w:lvl>
    <w:lvl w:ilvl="7" w:tplc="1ACC4E2A" w:tentative="1">
      <w:start w:val="1"/>
      <w:numFmt w:val="lowerLetter"/>
      <w:lvlText w:val="%8."/>
      <w:lvlJc w:val="left"/>
      <w:pPr>
        <w:ind w:left="6300" w:hanging="360"/>
      </w:pPr>
    </w:lvl>
    <w:lvl w:ilvl="8" w:tplc="08305EAE" w:tentative="1">
      <w:start w:val="1"/>
      <w:numFmt w:val="lowerRoman"/>
      <w:lvlText w:val="%9."/>
      <w:lvlJc w:val="right"/>
      <w:pPr>
        <w:ind w:left="7020" w:hanging="180"/>
      </w:pPr>
    </w:lvl>
  </w:abstractNum>
  <w:abstractNum w:abstractNumId="1" w15:restartNumberingAfterBreak="0">
    <w:nsid w:val="08F01CB1"/>
    <w:multiLevelType w:val="hybridMultilevel"/>
    <w:tmpl w:val="F284689E"/>
    <w:lvl w:ilvl="0" w:tplc="E2F8E98C">
      <w:start w:val="1"/>
      <w:numFmt w:val="lowerRoman"/>
      <w:lvlText w:val="%1."/>
      <w:lvlJc w:val="left"/>
      <w:pPr>
        <w:ind w:left="1440" w:hanging="720"/>
      </w:pPr>
      <w:rPr>
        <w:rFonts w:hint="default"/>
      </w:rPr>
    </w:lvl>
    <w:lvl w:ilvl="1" w:tplc="318E894C" w:tentative="1">
      <w:start w:val="1"/>
      <w:numFmt w:val="lowerLetter"/>
      <w:lvlText w:val="%2."/>
      <w:lvlJc w:val="left"/>
      <w:pPr>
        <w:ind w:left="1800" w:hanging="360"/>
      </w:pPr>
    </w:lvl>
    <w:lvl w:ilvl="2" w:tplc="8F7868EE" w:tentative="1">
      <w:start w:val="1"/>
      <w:numFmt w:val="lowerRoman"/>
      <w:lvlText w:val="%3."/>
      <w:lvlJc w:val="right"/>
      <w:pPr>
        <w:ind w:left="2520" w:hanging="180"/>
      </w:pPr>
    </w:lvl>
    <w:lvl w:ilvl="3" w:tplc="09B01B16" w:tentative="1">
      <w:start w:val="1"/>
      <w:numFmt w:val="decimal"/>
      <w:lvlText w:val="%4."/>
      <w:lvlJc w:val="left"/>
      <w:pPr>
        <w:ind w:left="3240" w:hanging="360"/>
      </w:pPr>
    </w:lvl>
    <w:lvl w:ilvl="4" w:tplc="75665382" w:tentative="1">
      <w:start w:val="1"/>
      <w:numFmt w:val="lowerLetter"/>
      <w:lvlText w:val="%5."/>
      <w:lvlJc w:val="left"/>
      <w:pPr>
        <w:ind w:left="3960" w:hanging="360"/>
      </w:pPr>
    </w:lvl>
    <w:lvl w:ilvl="5" w:tplc="0B285FC6" w:tentative="1">
      <w:start w:val="1"/>
      <w:numFmt w:val="lowerRoman"/>
      <w:lvlText w:val="%6."/>
      <w:lvlJc w:val="right"/>
      <w:pPr>
        <w:ind w:left="4680" w:hanging="180"/>
      </w:pPr>
    </w:lvl>
    <w:lvl w:ilvl="6" w:tplc="98602428" w:tentative="1">
      <w:start w:val="1"/>
      <w:numFmt w:val="decimal"/>
      <w:lvlText w:val="%7."/>
      <w:lvlJc w:val="left"/>
      <w:pPr>
        <w:ind w:left="5400" w:hanging="360"/>
      </w:pPr>
    </w:lvl>
    <w:lvl w:ilvl="7" w:tplc="789C8408" w:tentative="1">
      <w:start w:val="1"/>
      <w:numFmt w:val="lowerLetter"/>
      <w:lvlText w:val="%8."/>
      <w:lvlJc w:val="left"/>
      <w:pPr>
        <w:ind w:left="6120" w:hanging="360"/>
      </w:pPr>
    </w:lvl>
    <w:lvl w:ilvl="8" w:tplc="BB903BBE" w:tentative="1">
      <w:start w:val="1"/>
      <w:numFmt w:val="lowerRoman"/>
      <w:lvlText w:val="%9."/>
      <w:lvlJc w:val="right"/>
      <w:pPr>
        <w:ind w:left="6840" w:hanging="180"/>
      </w:pPr>
    </w:lvl>
  </w:abstractNum>
  <w:abstractNum w:abstractNumId="2" w15:restartNumberingAfterBreak="0">
    <w:nsid w:val="1D296DB4"/>
    <w:multiLevelType w:val="hybridMultilevel"/>
    <w:tmpl w:val="CECC03B2"/>
    <w:lvl w:ilvl="0" w:tplc="3FD42436">
      <w:start w:val="1"/>
      <w:numFmt w:val="lowerRoman"/>
      <w:lvlText w:val="%1."/>
      <w:lvlJc w:val="left"/>
      <w:pPr>
        <w:ind w:left="1440" w:hanging="720"/>
      </w:pPr>
      <w:rPr>
        <w:rFonts w:hint="default"/>
      </w:rPr>
    </w:lvl>
    <w:lvl w:ilvl="1" w:tplc="B57CCD3C" w:tentative="1">
      <w:start w:val="1"/>
      <w:numFmt w:val="lowerLetter"/>
      <w:lvlText w:val="%2."/>
      <w:lvlJc w:val="left"/>
      <w:pPr>
        <w:ind w:left="1800" w:hanging="360"/>
      </w:pPr>
    </w:lvl>
    <w:lvl w:ilvl="2" w:tplc="1872243C" w:tentative="1">
      <w:start w:val="1"/>
      <w:numFmt w:val="lowerRoman"/>
      <w:lvlText w:val="%3."/>
      <w:lvlJc w:val="right"/>
      <w:pPr>
        <w:ind w:left="2520" w:hanging="180"/>
      </w:pPr>
    </w:lvl>
    <w:lvl w:ilvl="3" w:tplc="90CC5218" w:tentative="1">
      <w:start w:val="1"/>
      <w:numFmt w:val="decimal"/>
      <w:lvlText w:val="%4."/>
      <w:lvlJc w:val="left"/>
      <w:pPr>
        <w:ind w:left="3240" w:hanging="360"/>
      </w:pPr>
    </w:lvl>
    <w:lvl w:ilvl="4" w:tplc="DFA8BC0C" w:tentative="1">
      <w:start w:val="1"/>
      <w:numFmt w:val="lowerLetter"/>
      <w:lvlText w:val="%5."/>
      <w:lvlJc w:val="left"/>
      <w:pPr>
        <w:ind w:left="3960" w:hanging="360"/>
      </w:pPr>
    </w:lvl>
    <w:lvl w:ilvl="5" w:tplc="D14C053E" w:tentative="1">
      <w:start w:val="1"/>
      <w:numFmt w:val="lowerRoman"/>
      <w:lvlText w:val="%6."/>
      <w:lvlJc w:val="right"/>
      <w:pPr>
        <w:ind w:left="4680" w:hanging="180"/>
      </w:pPr>
    </w:lvl>
    <w:lvl w:ilvl="6" w:tplc="8CEA6AC2" w:tentative="1">
      <w:start w:val="1"/>
      <w:numFmt w:val="decimal"/>
      <w:lvlText w:val="%7."/>
      <w:lvlJc w:val="left"/>
      <w:pPr>
        <w:ind w:left="5400" w:hanging="360"/>
      </w:pPr>
    </w:lvl>
    <w:lvl w:ilvl="7" w:tplc="EAFEBB18" w:tentative="1">
      <w:start w:val="1"/>
      <w:numFmt w:val="lowerLetter"/>
      <w:lvlText w:val="%8."/>
      <w:lvlJc w:val="left"/>
      <w:pPr>
        <w:ind w:left="6120" w:hanging="360"/>
      </w:pPr>
    </w:lvl>
    <w:lvl w:ilvl="8" w:tplc="1DEAF192" w:tentative="1">
      <w:start w:val="1"/>
      <w:numFmt w:val="lowerRoman"/>
      <w:lvlText w:val="%9."/>
      <w:lvlJc w:val="right"/>
      <w:pPr>
        <w:ind w:left="6840" w:hanging="180"/>
      </w:pPr>
    </w:lvl>
  </w:abstractNum>
  <w:abstractNum w:abstractNumId="3" w15:restartNumberingAfterBreak="0">
    <w:nsid w:val="219C21C3"/>
    <w:multiLevelType w:val="hybridMultilevel"/>
    <w:tmpl w:val="5D562D5E"/>
    <w:lvl w:ilvl="0" w:tplc="C42C5926">
      <w:start w:val="1"/>
      <w:numFmt w:val="lowerRoman"/>
      <w:lvlText w:val="%1."/>
      <w:lvlJc w:val="left"/>
      <w:pPr>
        <w:ind w:left="1440" w:hanging="720"/>
      </w:pPr>
      <w:rPr>
        <w:rFonts w:hint="default"/>
      </w:rPr>
    </w:lvl>
    <w:lvl w:ilvl="1" w:tplc="882A13CA" w:tentative="1">
      <w:start w:val="1"/>
      <w:numFmt w:val="lowerLetter"/>
      <w:lvlText w:val="%2."/>
      <w:lvlJc w:val="left"/>
      <w:pPr>
        <w:ind w:left="1800" w:hanging="360"/>
      </w:pPr>
    </w:lvl>
    <w:lvl w:ilvl="2" w:tplc="80D27556" w:tentative="1">
      <w:start w:val="1"/>
      <w:numFmt w:val="lowerRoman"/>
      <w:lvlText w:val="%3."/>
      <w:lvlJc w:val="right"/>
      <w:pPr>
        <w:ind w:left="2520" w:hanging="180"/>
      </w:pPr>
    </w:lvl>
    <w:lvl w:ilvl="3" w:tplc="E54A072E" w:tentative="1">
      <w:start w:val="1"/>
      <w:numFmt w:val="decimal"/>
      <w:lvlText w:val="%4."/>
      <w:lvlJc w:val="left"/>
      <w:pPr>
        <w:ind w:left="3240" w:hanging="360"/>
      </w:pPr>
    </w:lvl>
    <w:lvl w:ilvl="4" w:tplc="E3722DBC" w:tentative="1">
      <w:start w:val="1"/>
      <w:numFmt w:val="lowerLetter"/>
      <w:lvlText w:val="%5."/>
      <w:lvlJc w:val="left"/>
      <w:pPr>
        <w:ind w:left="3960" w:hanging="360"/>
      </w:pPr>
    </w:lvl>
    <w:lvl w:ilvl="5" w:tplc="D43CB42C" w:tentative="1">
      <w:start w:val="1"/>
      <w:numFmt w:val="lowerRoman"/>
      <w:lvlText w:val="%6."/>
      <w:lvlJc w:val="right"/>
      <w:pPr>
        <w:ind w:left="4680" w:hanging="180"/>
      </w:pPr>
    </w:lvl>
    <w:lvl w:ilvl="6" w:tplc="75723166" w:tentative="1">
      <w:start w:val="1"/>
      <w:numFmt w:val="decimal"/>
      <w:lvlText w:val="%7."/>
      <w:lvlJc w:val="left"/>
      <w:pPr>
        <w:ind w:left="5400" w:hanging="360"/>
      </w:pPr>
    </w:lvl>
    <w:lvl w:ilvl="7" w:tplc="7740678A" w:tentative="1">
      <w:start w:val="1"/>
      <w:numFmt w:val="lowerLetter"/>
      <w:lvlText w:val="%8."/>
      <w:lvlJc w:val="left"/>
      <w:pPr>
        <w:ind w:left="6120" w:hanging="360"/>
      </w:pPr>
    </w:lvl>
    <w:lvl w:ilvl="8" w:tplc="B9347570" w:tentative="1">
      <w:start w:val="1"/>
      <w:numFmt w:val="lowerRoman"/>
      <w:lvlText w:val="%9."/>
      <w:lvlJc w:val="right"/>
      <w:pPr>
        <w:ind w:left="6840" w:hanging="180"/>
      </w:pPr>
    </w:lvl>
  </w:abstractNum>
  <w:abstractNum w:abstractNumId="4" w15:restartNumberingAfterBreak="0">
    <w:nsid w:val="35913707"/>
    <w:multiLevelType w:val="hybridMultilevel"/>
    <w:tmpl w:val="739A7E72"/>
    <w:lvl w:ilvl="0" w:tplc="07F46A6E">
      <w:start w:val="1"/>
      <w:numFmt w:val="upperRoman"/>
      <w:lvlText w:val="%1."/>
      <w:lvlJc w:val="left"/>
      <w:pPr>
        <w:ind w:left="1080" w:hanging="360"/>
      </w:pPr>
      <w:rPr>
        <w:rFonts w:hint="default"/>
      </w:rPr>
    </w:lvl>
    <w:lvl w:ilvl="1" w:tplc="71DEE3FA" w:tentative="1">
      <w:start w:val="1"/>
      <w:numFmt w:val="lowerLetter"/>
      <w:lvlText w:val="%2."/>
      <w:lvlJc w:val="left"/>
      <w:pPr>
        <w:ind w:left="1800" w:hanging="360"/>
      </w:pPr>
    </w:lvl>
    <w:lvl w:ilvl="2" w:tplc="925406E8" w:tentative="1">
      <w:start w:val="1"/>
      <w:numFmt w:val="lowerRoman"/>
      <w:lvlText w:val="%3."/>
      <w:lvlJc w:val="right"/>
      <w:pPr>
        <w:ind w:left="2520" w:hanging="180"/>
      </w:pPr>
    </w:lvl>
    <w:lvl w:ilvl="3" w:tplc="62C44FB6" w:tentative="1">
      <w:start w:val="1"/>
      <w:numFmt w:val="decimal"/>
      <w:lvlText w:val="%4."/>
      <w:lvlJc w:val="left"/>
      <w:pPr>
        <w:ind w:left="3240" w:hanging="360"/>
      </w:pPr>
    </w:lvl>
    <w:lvl w:ilvl="4" w:tplc="60C28DD4" w:tentative="1">
      <w:start w:val="1"/>
      <w:numFmt w:val="lowerLetter"/>
      <w:lvlText w:val="%5."/>
      <w:lvlJc w:val="left"/>
      <w:pPr>
        <w:ind w:left="3960" w:hanging="360"/>
      </w:pPr>
    </w:lvl>
    <w:lvl w:ilvl="5" w:tplc="67D0F6E6" w:tentative="1">
      <w:start w:val="1"/>
      <w:numFmt w:val="lowerRoman"/>
      <w:lvlText w:val="%6."/>
      <w:lvlJc w:val="right"/>
      <w:pPr>
        <w:ind w:left="4680" w:hanging="180"/>
      </w:pPr>
    </w:lvl>
    <w:lvl w:ilvl="6" w:tplc="75444830" w:tentative="1">
      <w:start w:val="1"/>
      <w:numFmt w:val="decimal"/>
      <w:lvlText w:val="%7."/>
      <w:lvlJc w:val="left"/>
      <w:pPr>
        <w:ind w:left="5400" w:hanging="360"/>
      </w:pPr>
    </w:lvl>
    <w:lvl w:ilvl="7" w:tplc="CE0E79BE" w:tentative="1">
      <w:start w:val="1"/>
      <w:numFmt w:val="lowerLetter"/>
      <w:lvlText w:val="%8."/>
      <w:lvlJc w:val="left"/>
      <w:pPr>
        <w:ind w:left="6120" w:hanging="360"/>
      </w:pPr>
    </w:lvl>
    <w:lvl w:ilvl="8" w:tplc="11265EC8" w:tentative="1">
      <w:start w:val="1"/>
      <w:numFmt w:val="lowerRoman"/>
      <w:lvlText w:val="%9."/>
      <w:lvlJc w:val="right"/>
      <w:pPr>
        <w:ind w:left="6840" w:hanging="180"/>
      </w:pPr>
    </w:lvl>
  </w:abstractNum>
  <w:abstractNum w:abstractNumId="5" w15:restartNumberingAfterBreak="0">
    <w:nsid w:val="4D6B35D9"/>
    <w:multiLevelType w:val="hybridMultilevel"/>
    <w:tmpl w:val="70BA279A"/>
    <w:lvl w:ilvl="0" w:tplc="76308AE0">
      <w:start w:val="1"/>
      <w:numFmt w:val="decimal"/>
      <w:lvlText w:val="%1."/>
      <w:lvlJc w:val="left"/>
      <w:pPr>
        <w:ind w:left="1260" w:hanging="360"/>
      </w:pPr>
      <w:rPr>
        <w:rFonts w:hint="default"/>
        <w:i/>
      </w:rPr>
    </w:lvl>
    <w:lvl w:ilvl="1" w:tplc="2A462164" w:tentative="1">
      <w:start w:val="1"/>
      <w:numFmt w:val="lowerLetter"/>
      <w:lvlText w:val="%2."/>
      <w:lvlJc w:val="left"/>
      <w:pPr>
        <w:ind w:left="1980" w:hanging="360"/>
      </w:pPr>
    </w:lvl>
    <w:lvl w:ilvl="2" w:tplc="79ECB4E6" w:tentative="1">
      <w:start w:val="1"/>
      <w:numFmt w:val="lowerRoman"/>
      <w:lvlText w:val="%3."/>
      <w:lvlJc w:val="right"/>
      <w:pPr>
        <w:ind w:left="2700" w:hanging="180"/>
      </w:pPr>
    </w:lvl>
    <w:lvl w:ilvl="3" w:tplc="4BAC7A6C" w:tentative="1">
      <w:start w:val="1"/>
      <w:numFmt w:val="decimal"/>
      <w:lvlText w:val="%4."/>
      <w:lvlJc w:val="left"/>
      <w:pPr>
        <w:ind w:left="3420" w:hanging="360"/>
      </w:pPr>
    </w:lvl>
    <w:lvl w:ilvl="4" w:tplc="140424A2" w:tentative="1">
      <w:start w:val="1"/>
      <w:numFmt w:val="lowerLetter"/>
      <w:lvlText w:val="%5."/>
      <w:lvlJc w:val="left"/>
      <w:pPr>
        <w:ind w:left="4140" w:hanging="360"/>
      </w:pPr>
    </w:lvl>
    <w:lvl w:ilvl="5" w:tplc="CA325D2E" w:tentative="1">
      <w:start w:val="1"/>
      <w:numFmt w:val="lowerRoman"/>
      <w:lvlText w:val="%6."/>
      <w:lvlJc w:val="right"/>
      <w:pPr>
        <w:ind w:left="4860" w:hanging="180"/>
      </w:pPr>
    </w:lvl>
    <w:lvl w:ilvl="6" w:tplc="027EF37C" w:tentative="1">
      <w:start w:val="1"/>
      <w:numFmt w:val="decimal"/>
      <w:lvlText w:val="%7."/>
      <w:lvlJc w:val="left"/>
      <w:pPr>
        <w:ind w:left="5580" w:hanging="360"/>
      </w:pPr>
    </w:lvl>
    <w:lvl w:ilvl="7" w:tplc="7B7CD152" w:tentative="1">
      <w:start w:val="1"/>
      <w:numFmt w:val="lowerLetter"/>
      <w:lvlText w:val="%8."/>
      <w:lvlJc w:val="left"/>
      <w:pPr>
        <w:ind w:left="6300" w:hanging="360"/>
      </w:pPr>
    </w:lvl>
    <w:lvl w:ilvl="8" w:tplc="D4A2D720" w:tentative="1">
      <w:start w:val="1"/>
      <w:numFmt w:val="lowerRoman"/>
      <w:lvlText w:val="%9."/>
      <w:lvlJc w:val="right"/>
      <w:pPr>
        <w:ind w:left="7020" w:hanging="180"/>
      </w:pPr>
    </w:lvl>
  </w:abstractNum>
  <w:abstractNum w:abstractNumId="6" w15:restartNumberingAfterBreak="0">
    <w:nsid w:val="645718AC"/>
    <w:multiLevelType w:val="hybridMultilevel"/>
    <w:tmpl w:val="73DACFFA"/>
    <w:lvl w:ilvl="0" w:tplc="47E6D378">
      <w:start w:val="1"/>
      <w:numFmt w:val="decimal"/>
      <w:lvlText w:val="%1."/>
      <w:lvlJc w:val="left"/>
      <w:pPr>
        <w:ind w:left="1080" w:hanging="360"/>
      </w:pPr>
      <w:rPr>
        <w:rFonts w:hint="default"/>
      </w:rPr>
    </w:lvl>
    <w:lvl w:ilvl="1" w:tplc="5D3089BE" w:tentative="1">
      <w:start w:val="1"/>
      <w:numFmt w:val="lowerLetter"/>
      <w:lvlText w:val="%2."/>
      <w:lvlJc w:val="left"/>
      <w:pPr>
        <w:ind w:left="1800" w:hanging="360"/>
      </w:pPr>
    </w:lvl>
    <w:lvl w:ilvl="2" w:tplc="A05A424A" w:tentative="1">
      <w:start w:val="1"/>
      <w:numFmt w:val="lowerRoman"/>
      <w:lvlText w:val="%3."/>
      <w:lvlJc w:val="right"/>
      <w:pPr>
        <w:ind w:left="2520" w:hanging="180"/>
      </w:pPr>
    </w:lvl>
    <w:lvl w:ilvl="3" w:tplc="9CEC8C96" w:tentative="1">
      <w:start w:val="1"/>
      <w:numFmt w:val="decimal"/>
      <w:lvlText w:val="%4."/>
      <w:lvlJc w:val="left"/>
      <w:pPr>
        <w:ind w:left="3240" w:hanging="360"/>
      </w:pPr>
    </w:lvl>
    <w:lvl w:ilvl="4" w:tplc="B7C46D68" w:tentative="1">
      <w:start w:val="1"/>
      <w:numFmt w:val="lowerLetter"/>
      <w:lvlText w:val="%5."/>
      <w:lvlJc w:val="left"/>
      <w:pPr>
        <w:ind w:left="3960" w:hanging="360"/>
      </w:pPr>
    </w:lvl>
    <w:lvl w:ilvl="5" w:tplc="B4EA27DE" w:tentative="1">
      <w:start w:val="1"/>
      <w:numFmt w:val="lowerRoman"/>
      <w:lvlText w:val="%6."/>
      <w:lvlJc w:val="right"/>
      <w:pPr>
        <w:ind w:left="4680" w:hanging="180"/>
      </w:pPr>
    </w:lvl>
    <w:lvl w:ilvl="6" w:tplc="E5D478FE" w:tentative="1">
      <w:start w:val="1"/>
      <w:numFmt w:val="decimal"/>
      <w:lvlText w:val="%7."/>
      <w:lvlJc w:val="left"/>
      <w:pPr>
        <w:ind w:left="5400" w:hanging="360"/>
      </w:pPr>
    </w:lvl>
    <w:lvl w:ilvl="7" w:tplc="3634DFB2" w:tentative="1">
      <w:start w:val="1"/>
      <w:numFmt w:val="lowerLetter"/>
      <w:lvlText w:val="%8."/>
      <w:lvlJc w:val="left"/>
      <w:pPr>
        <w:ind w:left="6120" w:hanging="360"/>
      </w:pPr>
    </w:lvl>
    <w:lvl w:ilvl="8" w:tplc="33DCCB1A" w:tentative="1">
      <w:start w:val="1"/>
      <w:numFmt w:val="lowerRoman"/>
      <w:lvlText w:val="%9."/>
      <w:lvlJc w:val="right"/>
      <w:pPr>
        <w:ind w:left="6840" w:hanging="180"/>
      </w:pPr>
    </w:lvl>
  </w:abstractNum>
  <w:abstractNum w:abstractNumId="7" w15:restartNumberingAfterBreak="0">
    <w:nsid w:val="70083F2A"/>
    <w:multiLevelType w:val="hybridMultilevel"/>
    <w:tmpl w:val="2B6C32A6"/>
    <w:lvl w:ilvl="0" w:tplc="90F6CEE2">
      <w:start w:val="1"/>
      <w:numFmt w:val="upperRoman"/>
      <w:lvlText w:val="%1."/>
      <w:lvlJc w:val="left"/>
      <w:pPr>
        <w:ind w:left="1080" w:hanging="360"/>
      </w:pPr>
      <w:rPr>
        <w:rFonts w:hint="default"/>
      </w:rPr>
    </w:lvl>
    <w:lvl w:ilvl="1" w:tplc="392A8CD0" w:tentative="1">
      <w:start w:val="1"/>
      <w:numFmt w:val="lowerLetter"/>
      <w:lvlText w:val="%2."/>
      <w:lvlJc w:val="left"/>
      <w:pPr>
        <w:ind w:left="1800" w:hanging="360"/>
      </w:pPr>
    </w:lvl>
    <w:lvl w:ilvl="2" w:tplc="702A99E4" w:tentative="1">
      <w:start w:val="1"/>
      <w:numFmt w:val="lowerRoman"/>
      <w:lvlText w:val="%3."/>
      <w:lvlJc w:val="right"/>
      <w:pPr>
        <w:ind w:left="2520" w:hanging="180"/>
      </w:pPr>
    </w:lvl>
    <w:lvl w:ilvl="3" w:tplc="33803172" w:tentative="1">
      <w:start w:val="1"/>
      <w:numFmt w:val="decimal"/>
      <w:lvlText w:val="%4."/>
      <w:lvlJc w:val="left"/>
      <w:pPr>
        <w:ind w:left="3240" w:hanging="360"/>
      </w:pPr>
    </w:lvl>
    <w:lvl w:ilvl="4" w:tplc="465C8EC6" w:tentative="1">
      <w:start w:val="1"/>
      <w:numFmt w:val="lowerLetter"/>
      <w:lvlText w:val="%5."/>
      <w:lvlJc w:val="left"/>
      <w:pPr>
        <w:ind w:left="3960" w:hanging="360"/>
      </w:pPr>
    </w:lvl>
    <w:lvl w:ilvl="5" w:tplc="A60209CA" w:tentative="1">
      <w:start w:val="1"/>
      <w:numFmt w:val="lowerRoman"/>
      <w:lvlText w:val="%6."/>
      <w:lvlJc w:val="right"/>
      <w:pPr>
        <w:ind w:left="4680" w:hanging="180"/>
      </w:pPr>
    </w:lvl>
    <w:lvl w:ilvl="6" w:tplc="E4D8CD4C" w:tentative="1">
      <w:start w:val="1"/>
      <w:numFmt w:val="decimal"/>
      <w:lvlText w:val="%7."/>
      <w:lvlJc w:val="left"/>
      <w:pPr>
        <w:ind w:left="5400" w:hanging="360"/>
      </w:pPr>
    </w:lvl>
    <w:lvl w:ilvl="7" w:tplc="5ACCD8DC" w:tentative="1">
      <w:start w:val="1"/>
      <w:numFmt w:val="lowerLetter"/>
      <w:lvlText w:val="%8."/>
      <w:lvlJc w:val="left"/>
      <w:pPr>
        <w:ind w:left="6120" w:hanging="360"/>
      </w:pPr>
    </w:lvl>
    <w:lvl w:ilvl="8" w:tplc="2A58E794" w:tentative="1">
      <w:start w:val="1"/>
      <w:numFmt w:val="lowerRoman"/>
      <w:lvlText w:val="%9."/>
      <w:lvlJc w:val="right"/>
      <w:pPr>
        <w:ind w:left="6840" w:hanging="180"/>
      </w:pPr>
    </w:lvl>
  </w:abstractNum>
  <w:num w:numId="1" w16cid:durableId="1118254600">
    <w:abstractNumId w:val="7"/>
  </w:num>
  <w:num w:numId="2" w16cid:durableId="55668800">
    <w:abstractNumId w:val="6"/>
  </w:num>
  <w:num w:numId="3" w16cid:durableId="1286617920">
    <w:abstractNumId w:val="5"/>
  </w:num>
  <w:num w:numId="4" w16cid:durableId="540828154">
    <w:abstractNumId w:val="0"/>
  </w:num>
  <w:num w:numId="5" w16cid:durableId="1773084187">
    <w:abstractNumId w:val="2"/>
  </w:num>
  <w:num w:numId="6" w16cid:durableId="1433746689">
    <w:abstractNumId w:val="3"/>
  </w:num>
  <w:num w:numId="7" w16cid:durableId="1967202122">
    <w:abstractNumId w:val="1"/>
  </w:num>
  <w:num w:numId="8" w16cid:durableId="143756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93"/>
    <w:rsid w:val="0000342A"/>
    <w:rsid w:val="00004246"/>
    <w:rsid w:val="0000645C"/>
    <w:rsid w:val="00006A4A"/>
    <w:rsid w:val="000072E7"/>
    <w:rsid w:val="000101CA"/>
    <w:rsid w:val="00013C0B"/>
    <w:rsid w:val="00014F6B"/>
    <w:rsid w:val="0001557E"/>
    <w:rsid w:val="0001645B"/>
    <w:rsid w:val="0001754D"/>
    <w:rsid w:val="00017D5E"/>
    <w:rsid w:val="000214AF"/>
    <w:rsid w:val="00021613"/>
    <w:rsid w:val="00023825"/>
    <w:rsid w:val="00023A20"/>
    <w:rsid w:val="000242DF"/>
    <w:rsid w:val="00024361"/>
    <w:rsid w:val="00024518"/>
    <w:rsid w:val="00025098"/>
    <w:rsid w:val="000254DC"/>
    <w:rsid w:val="00026DAD"/>
    <w:rsid w:val="00033119"/>
    <w:rsid w:val="00033A8D"/>
    <w:rsid w:val="00033B52"/>
    <w:rsid w:val="00037A0A"/>
    <w:rsid w:val="000422BB"/>
    <w:rsid w:val="00042EC0"/>
    <w:rsid w:val="00043B60"/>
    <w:rsid w:val="00043C11"/>
    <w:rsid w:val="00044BEF"/>
    <w:rsid w:val="000452BE"/>
    <w:rsid w:val="000461DF"/>
    <w:rsid w:val="00046A12"/>
    <w:rsid w:val="00050488"/>
    <w:rsid w:val="00050C5A"/>
    <w:rsid w:val="0005117E"/>
    <w:rsid w:val="00051D01"/>
    <w:rsid w:val="00052799"/>
    <w:rsid w:val="00053046"/>
    <w:rsid w:val="00053E1B"/>
    <w:rsid w:val="000542C8"/>
    <w:rsid w:val="00054F2D"/>
    <w:rsid w:val="00055B0B"/>
    <w:rsid w:val="000567EC"/>
    <w:rsid w:val="00057827"/>
    <w:rsid w:val="0006186D"/>
    <w:rsid w:val="00062EC2"/>
    <w:rsid w:val="0006319F"/>
    <w:rsid w:val="000640D3"/>
    <w:rsid w:val="00064F7C"/>
    <w:rsid w:val="00066156"/>
    <w:rsid w:val="000663AC"/>
    <w:rsid w:val="00067D05"/>
    <w:rsid w:val="000705CD"/>
    <w:rsid w:val="0007198E"/>
    <w:rsid w:val="00074C2D"/>
    <w:rsid w:val="0008016A"/>
    <w:rsid w:val="00081A5B"/>
    <w:rsid w:val="00081B28"/>
    <w:rsid w:val="00082A92"/>
    <w:rsid w:val="00082F49"/>
    <w:rsid w:val="000844F1"/>
    <w:rsid w:val="00085F15"/>
    <w:rsid w:val="0008790E"/>
    <w:rsid w:val="00090E15"/>
    <w:rsid w:val="000941E6"/>
    <w:rsid w:val="000961FA"/>
    <w:rsid w:val="000966F6"/>
    <w:rsid w:val="00096DBB"/>
    <w:rsid w:val="000A0417"/>
    <w:rsid w:val="000A13E8"/>
    <w:rsid w:val="000A4692"/>
    <w:rsid w:val="000A5009"/>
    <w:rsid w:val="000A5FEB"/>
    <w:rsid w:val="000B171F"/>
    <w:rsid w:val="000B1D86"/>
    <w:rsid w:val="000B23A1"/>
    <w:rsid w:val="000B2E55"/>
    <w:rsid w:val="000B5190"/>
    <w:rsid w:val="000B579E"/>
    <w:rsid w:val="000B72BB"/>
    <w:rsid w:val="000C0A62"/>
    <w:rsid w:val="000C1D3C"/>
    <w:rsid w:val="000C2210"/>
    <w:rsid w:val="000C22C8"/>
    <w:rsid w:val="000C329E"/>
    <w:rsid w:val="000C3402"/>
    <w:rsid w:val="000C36DD"/>
    <w:rsid w:val="000C3D76"/>
    <w:rsid w:val="000C4C74"/>
    <w:rsid w:val="000C5965"/>
    <w:rsid w:val="000C7911"/>
    <w:rsid w:val="000D04B8"/>
    <w:rsid w:val="000D0749"/>
    <w:rsid w:val="000D09A0"/>
    <w:rsid w:val="000D1771"/>
    <w:rsid w:val="000D2D53"/>
    <w:rsid w:val="000D2F03"/>
    <w:rsid w:val="000D438E"/>
    <w:rsid w:val="000D439D"/>
    <w:rsid w:val="000D601E"/>
    <w:rsid w:val="000D6100"/>
    <w:rsid w:val="000D644B"/>
    <w:rsid w:val="000D774A"/>
    <w:rsid w:val="000D7E95"/>
    <w:rsid w:val="000E1F8C"/>
    <w:rsid w:val="000E3036"/>
    <w:rsid w:val="000E3264"/>
    <w:rsid w:val="000E4D2C"/>
    <w:rsid w:val="000E570F"/>
    <w:rsid w:val="000E5759"/>
    <w:rsid w:val="000E7D15"/>
    <w:rsid w:val="000F15C9"/>
    <w:rsid w:val="000F3892"/>
    <w:rsid w:val="000F4930"/>
    <w:rsid w:val="000F49F2"/>
    <w:rsid w:val="000F6ABA"/>
    <w:rsid w:val="00100EFE"/>
    <w:rsid w:val="00102DB1"/>
    <w:rsid w:val="00104C2D"/>
    <w:rsid w:val="0010696B"/>
    <w:rsid w:val="00107274"/>
    <w:rsid w:val="0010734B"/>
    <w:rsid w:val="00110278"/>
    <w:rsid w:val="00110E34"/>
    <w:rsid w:val="00113C7E"/>
    <w:rsid w:val="00113D6A"/>
    <w:rsid w:val="00113E0B"/>
    <w:rsid w:val="001140CC"/>
    <w:rsid w:val="00114F4C"/>
    <w:rsid w:val="0011638F"/>
    <w:rsid w:val="001163A8"/>
    <w:rsid w:val="0011752E"/>
    <w:rsid w:val="00120964"/>
    <w:rsid w:val="00121A5B"/>
    <w:rsid w:val="0012214A"/>
    <w:rsid w:val="00122723"/>
    <w:rsid w:val="00124C6A"/>
    <w:rsid w:val="00125DE2"/>
    <w:rsid w:val="001274C1"/>
    <w:rsid w:val="001309B6"/>
    <w:rsid w:val="0013105E"/>
    <w:rsid w:val="00131C15"/>
    <w:rsid w:val="00132FA9"/>
    <w:rsid w:val="00134DB7"/>
    <w:rsid w:val="00135E5F"/>
    <w:rsid w:val="00136EA1"/>
    <w:rsid w:val="001378C5"/>
    <w:rsid w:val="00137C23"/>
    <w:rsid w:val="00144E7A"/>
    <w:rsid w:val="0014717C"/>
    <w:rsid w:val="00147230"/>
    <w:rsid w:val="0015021F"/>
    <w:rsid w:val="00152EAC"/>
    <w:rsid w:val="001537CE"/>
    <w:rsid w:val="00153F83"/>
    <w:rsid w:val="0015454D"/>
    <w:rsid w:val="00155BDF"/>
    <w:rsid w:val="00155CBB"/>
    <w:rsid w:val="0015675A"/>
    <w:rsid w:val="001573DB"/>
    <w:rsid w:val="001611BA"/>
    <w:rsid w:val="00163887"/>
    <w:rsid w:val="00163ED6"/>
    <w:rsid w:val="0016470B"/>
    <w:rsid w:val="00164CFD"/>
    <w:rsid w:val="00164D9B"/>
    <w:rsid w:val="001672C1"/>
    <w:rsid w:val="0016752F"/>
    <w:rsid w:val="001675E8"/>
    <w:rsid w:val="00170F74"/>
    <w:rsid w:val="00171A1F"/>
    <w:rsid w:val="00173D62"/>
    <w:rsid w:val="00174329"/>
    <w:rsid w:val="0017542C"/>
    <w:rsid w:val="001768EE"/>
    <w:rsid w:val="00176A32"/>
    <w:rsid w:val="00177F46"/>
    <w:rsid w:val="00180AA2"/>
    <w:rsid w:val="00181247"/>
    <w:rsid w:val="00181E68"/>
    <w:rsid w:val="00183A2A"/>
    <w:rsid w:val="00184DE3"/>
    <w:rsid w:val="00186A6B"/>
    <w:rsid w:val="00187DE0"/>
    <w:rsid w:val="00191594"/>
    <w:rsid w:val="001917C9"/>
    <w:rsid w:val="00192534"/>
    <w:rsid w:val="0019256B"/>
    <w:rsid w:val="001925D5"/>
    <w:rsid w:val="00193CF5"/>
    <w:rsid w:val="00194498"/>
    <w:rsid w:val="001A21FB"/>
    <w:rsid w:val="001A3B77"/>
    <w:rsid w:val="001B2990"/>
    <w:rsid w:val="001B442F"/>
    <w:rsid w:val="001B46A8"/>
    <w:rsid w:val="001B4956"/>
    <w:rsid w:val="001B4C75"/>
    <w:rsid w:val="001B581E"/>
    <w:rsid w:val="001B5CD5"/>
    <w:rsid w:val="001B69E3"/>
    <w:rsid w:val="001B6E51"/>
    <w:rsid w:val="001B7558"/>
    <w:rsid w:val="001C0744"/>
    <w:rsid w:val="001C0B8A"/>
    <w:rsid w:val="001C244D"/>
    <w:rsid w:val="001C3914"/>
    <w:rsid w:val="001C41F2"/>
    <w:rsid w:val="001C42AC"/>
    <w:rsid w:val="001C57AC"/>
    <w:rsid w:val="001C713B"/>
    <w:rsid w:val="001C77FF"/>
    <w:rsid w:val="001D14CA"/>
    <w:rsid w:val="001D3A33"/>
    <w:rsid w:val="001D45B7"/>
    <w:rsid w:val="001D5A9B"/>
    <w:rsid w:val="001D5DA2"/>
    <w:rsid w:val="001D5EE2"/>
    <w:rsid w:val="001D60CF"/>
    <w:rsid w:val="001D690C"/>
    <w:rsid w:val="001D7126"/>
    <w:rsid w:val="001D716D"/>
    <w:rsid w:val="001D7D99"/>
    <w:rsid w:val="001E1CE5"/>
    <w:rsid w:val="001E2FC3"/>
    <w:rsid w:val="001E4980"/>
    <w:rsid w:val="001E4D67"/>
    <w:rsid w:val="001E4D69"/>
    <w:rsid w:val="001E63BD"/>
    <w:rsid w:val="001F085A"/>
    <w:rsid w:val="001F4B8D"/>
    <w:rsid w:val="001F576C"/>
    <w:rsid w:val="00201763"/>
    <w:rsid w:val="002018B1"/>
    <w:rsid w:val="002031DC"/>
    <w:rsid w:val="00203AC9"/>
    <w:rsid w:val="00206986"/>
    <w:rsid w:val="00210516"/>
    <w:rsid w:val="00210B95"/>
    <w:rsid w:val="00210FB8"/>
    <w:rsid w:val="00211FD6"/>
    <w:rsid w:val="0021253C"/>
    <w:rsid w:val="00213005"/>
    <w:rsid w:val="002135D2"/>
    <w:rsid w:val="002145B5"/>
    <w:rsid w:val="00215DDD"/>
    <w:rsid w:val="00221D38"/>
    <w:rsid w:val="002238BF"/>
    <w:rsid w:val="00223ED3"/>
    <w:rsid w:val="002241DF"/>
    <w:rsid w:val="00226C3D"/>
    <w:rsid w:val="00227B8D"/>
    <w:rsid w:val="00227D6F"/>
    <w:rsid w:val="00230C3D"/>
    <w:rsid w:val="00233935"/>
    <w:rsid w:val="00234C72"/>
    <w:rsid w:val="00235143"/>
    <w:rsid w:val="0023545C"/>
    <w:rsid w:val="00236577"/>
    <w:rsid w:val="00236BF2"/>
    <w:rsid w:val="00240AA4"/>
    <w:rsid w:val="00240FCB"/>
    <w:rsid w:val="00241A8B"/>
    <w:rsid w:val="0024234C"/>
    <w:rsid w:val="0024257D"/>
    <w:rsid w:val="002452D2"/>
    <w:rsid w:val="00246338"/>
    <w:rsid w:val="0024709E"/>
    <w:rsid w:val="002472CE"/>
    <w:rsid w:val="002514C5"/>
    <w:rsid w:val="002519E6"/>
    <w:rsid w:val="00252714"/>
    <w:rsid w:val="00253FCE"/>
    <w:rsid w:val="00254341"/>
    <w:rsid w:val="00255F87"/>
    <w:rsid w:val="00256337"/>
    <w:rsid w:val="00257CCA"/>
    <w:rsid w:val="00257D90"/>
    <w:rsid w:val="0026066F"/>
    <w:rsid w:val="0026086F"/>
    <w:rsid w:val="00260F39"/>
    <w:rsid w:val="00261512"/>
    <w:rsid w:val="00262E2E"/>
    <w:rsid w:val="00264920"/>
    <w:rsid w:val="00266A73"/>
    <w:rsid w:val="00270630"/>
    <w:rsid w:val="00270B07"/>
    <w:rsid w:val="00272E6A"/>
    <w:rsid w:val="00273C2C"/>
    <w:rsid w:val="00273E6F"/>
    <w:rsid w:val="002754AC"/>
    <w:rsid w:val="00276AB6"/>
    <w:rsid w:val="00276D09"/>
    <w:rsid w:val="00277F35"/>
    <w:rsid w:val="002828DB"/>
    <w:rsid w:val="00284514"/>
    <w:rsid w:val="00284EC6"/>
    <w:rsid w:val="0028513F"/>
    <w:rsid w:val="00285305"/>
    <w:rsid w:val="002862D2"/>
    <w:rsid w:val="002866F6"/>
    <w:rsid w:val="00287387"/>
    <w:rsid w:val="002874DE"/>
    <w:rsid w:val="00291B4D"/>
    <w:rsid w:val="00292A63"/>
    <w:rsid w:val="00292C3D"/>
    <w:rsid w:val="0029492A"/>
    <w:rsid w:val="0029497F"/>
    <w:rsid w:val="00296C05"/>
    <w:rsid w:val="00297C79"/>
    <w:rsid w:val="002A08E7"/>
    <w:rsid w:val="002A0982"/>
    <w:rsid w:val="002A26DE"/>
    <w:rsid w:val="002A275A"/>
    <w:rsid w:val="002A27ED"/>
    <w:rsid w:val="002A28B3"/>
    <w:rsid w:val="002A463C"/>
    <w:rsid w:val="002A5218"/>
    <w:rsid w:val="002B0E04"/>
    <w:rsid w:val="002B3259"/>
    <w:rsid w:val="002B4B93"/>
    <w:rsid w:val="002B4BB3"/>
    <w:rsid w:val="002B4CF3"/>
    <w:rsid w:val="002B4E2C"/>
    <w:rsid w:val="002B5B05"/>
    <w:rsid w:val="002B6B17"/>
    <w:rsid w:val="002B6B97"/>
    <w:rsid w:val="002C1810"/>
    <w:rsid w:val="002C4DD6"/>
    <w:rsid w:val="002C7793"/>
    <w:rsid w:val="002D1920"/>
    <w:rsid w:val="002D3BC5"/>
    <w:rsid w:val="002D6208"/>
    <w:rsid w:val="002D6CAB"/>
    <w:rsid w:val="002E0997"/>
    <w:rsid w:val="002E2DBE"/>
    <w:rsid w:val="002E3395"/>
    <w:rsid w:val="002E35E3"/>
    <w:rsid w:val="002E3B9E"/>
    <w:rsid w:val="002E4AB2"/>
    <w:rsid w:val="002E551A"/>
    <w:rsid w:val="002E6144"/>
    <w:rsid w:val="002E68C9"/>
    <w:rsid w:val="002E7044"/>
    <w:rsid w:val="002F048B"/>
    <w:rsid w:val="002F2FFC"/>
    <w:rsid w:val="002F4901"/>
    <w:rsid w:val="002F5488"/>
    <w:rsid w:val="002F55A7"/>
    <w:rsid w:val="002F5EA4"/>
    <w:rsid w:val="002F60C9"/>
    <w:rsid w:val="002F6534"/>
    <w:rsid w:val="002F7146"/>
    <w:rsid w:val="002F7F08"/>
    <w:rsid w:val="00301137"/>
    <w:rsid w:val="00301577"/>
    <w:rsid w:val="00302279"/>
    <w:rsid w:val="003026A2"/>
    <w:rsid w:val="00302C76"/>
    <w:rsid w:val="003036CF"/>
    <w:rsid w:val="00305C84"/>
    <w:rsid w:val="00310F23"/>
    <w:rsid w:val="00315163"/>
    <w:rsid w:val="00316B9E"/>
    <w:rsid w:val="003177DA"/>
    <w:rsid w:val="00317FC5"/>
    <w:rsid w:val="00321734"/>
    <w:rsid w:val="00321953"/>
    <w:rsid w:val="00321C75"/>
    <w:rsid w:val="0032267B"/>
    <w:rsid w:val="0032299C"/>
    <w:rsid w:val="00322CF7"/>
    <w:rsid w:val="00324912"/>
    <w:rsid w:val="00330D92"/>
    <w:rsid w:val="00332901"/>
    <w:rsid w:val="00333A0F"/>
    <w:rsid w:val="003352A9"/>
    <w:rsid w:val="0033710A"/>
    <w:rsid w:val="00342E67"/>
    <w:rsid w:val="00343CFA"/>
    <w:rsid w:val="003500A6"/>
    <w:rsid w:val="003504F9"/>
    <w:rsid w:val="0035200D"/>
    <w:rsid w:val="0035249F"/>
    <w:rsid w:val="003535D8"/>
    <w:rsid w:val="00355382"/>
    <w:rsid w:val="00356975"/>
    <w:rsid w:val="00356CF3"/>
    <w:rsid w:val="00360BF7"/>
    <w:rsid w:val="00361E47"/>
    <w:rsid w:val="00361E6D"/>
    <w:rsid w:val="00362676"/>
    <w:rsid w:val="003635FE"/>
    <w:rsid w:val="003663ED"/>
    <w:rsid w:val="00367026"/>
    <w:rsid w:val="00372638"/>
    <w:rsid w:val="00372841"/>
    <w:rsid w:val="0037411C"/>
    <w:rsid w:val="00374851"/>
    <w:rsid w:val="00375079"/>
    <w:rsid w:val="003768D8"/>
    <w:rsid w:val="00376B17"/>
    <w:rsid w:val="003777C3"/>
    <w:rsid w:val="00383913"/>
    <w:rsid w:val="0038444B"/>
    <w:rsid w:val="0038626F"/>
    <w:rsid w:val="003872B7"/>
    <w:rsid w:val="00390717"/>
    <w:rsid w:val="00391F1E"/>
    <w:rsid w:val="00393521"/>
    <w:rsid w:val="00393DD8"/>
    <w:rsid w:val="00394C01"/>
    <w:rsid w:val="0039622F"/>
    <w:rsid w:val="003964E4"/>
    <w:rsid w:val="003968B9"/>
    <w:rsid w:val="00397ED4"/>
    <w:rsid w:val="003A093A"/>
    <w:rsid w:val="003A3876"/>
    <w:rsid w:val="003A38CA"/>
    <w:rsid w:val="003A3A0A"/>
    <w:rsid w:val="003A677A"/>
    <w:rsid w:val="003A6CA9"/>
    <w:rsid w:val="003A73AE"/>
    <w:rsid w:val="003B1665"/>
    <w:rsid w:val="003B2466"/>
    <w:rsid w:val="003B441A"/>
    <w:rsid w:val="003B6173"/>
    <w:rsid w:val="003B6C72"/>
    <w:rsid w:val="003B704A"/>
    <w:rsid w:val="003B7924"/>
    <w:rsid w:val="003C1106"/>
    <w:rsid w:val="003C129C"/>
    <w:rsid w:val="003C13F9"/>
    <w:rsid w:val="003C14D4"/>
    <w:rsid w:val="003C3546"/>
    <w:rsid w:val="003C3910"/>
    <w:rsid w:val="003C3E2B"/>
    <w:rsid w:val="003C42A4"/>
    <w:rsid w:val="003C4BE4"/>
    <w:rsid w:val="003C7795"/>
    <w:rsid w:val="003C77B0"/>
    <w:rsid w:val="003D03C1"/>
    <w:rsid w:val="003D08D6"/>
    <w:rsid w:val="003D13B6"/>
    <w:rsid w:val="003D1845"/>
    <w:rsid w:val="003D1FDB"/>
    <w:rsid w:val="003D2896"/>
    <w:rsid w:val="003D2EEC"/>
    <w:rsid w:val="003D3AD1"/>
    <w:rsid w:val="003D4105"/>
    <w:rsid w:val="003D4929"/>
    <w:rsid w:val="003D4E55"/>
    <w:rsid w:val="003D5E06"/>
    <w:rsid w:val="003D6542"/>
    <w:rsid w:val="003D755A"/>
    <w:rsid w:val="003E007E"/>
    <w:rsid w:val="003E28D8"/>
    <w:rsid w:val="003E2D89"/>
    <w:rsid w:val="003E359F"/>
    <w:rsid w:val="003E3653"/>
    <w:rsid w:val="003E366B"/>
    <w:rsid w:val="003E4DED"/>
    <w:rsid w:val="003E566F"/>
    <w:rsid w:val="003E6161"/>
    <w:rsid w:val="003E65CA"/>
    <w:rsid w:val="003E7D21"/>
    <w:rsid w:val="003F4283"/>
    <w:rsid w:val="003F51E1"/>
    <w:rsid w:val="003F5DB0"/>
    <w:rsid w:val="0040090B"/>
    <w:rsid w:val="00402BD3"/>
    <w:rsid w:val="004038C5"/>
    <w:rsid w:val="00406352"/>
    <w:rsid w:val="004065A6"/>
    <w:rsid w:val="004077EF"/>
    <w:rsid w:val="0041000E"/>
    <w:rsid w:val="00411F83"/>
    <w:rsid w:val="004122D8"/>
    <w:rsid w:val="00412956"/>
    <w:rsid w:val="004142CE"/>
    <w:rsid w:val="00415456"/>
    <w:rsid w:val="0041668E"/>
    <w:rsid w:val="00416C42"/>
    <w:rsid w:val="004174A3"/>
    <w:rsid w:val="00420332"/>
    <w:rsid w:val="00420E4D"/>
    <w:rsid w:val="00421248"/>
    <w:rsid w:val="004214AB"/>
    <w:rsid w:val="0042153E"/>
    <w:rsid w:val="00422C6E"/>
    <w:rsid w:val="0042597C"/>
    <w:rsid w:val="004261DB"/>
    <w:rsid w:val="00426A98"/>
    <w:rsid w:val="0042701B"/>
    <w:rsid w:val="0042786A"/>
    <w:rsid w:val="00427B7D"/>
    <w:rsid w:val="004304D8"/>
    <w:rsid w:val="00433336"/>
    <w:rsid w:val="00433663"/>
    <w:rsid w:val="004351AB"/>
    <w:rsid w:val="0043542D"/>
    <w:rsid w:val="00436EB1"/>
    <w:rsid w:val="004409C3"/>
    <w:rsid w:val="00441115"/>
    <w:rsid w:val="0044165A"/>
    <w:rsid w:val="004417E1"/>
    <w:rsid w:val="00442DD6"/>
    <w:rsid w:val="004432CC"/>
    <w:rsid w:val="00443E08"/>
    <w:rsid w:val="00444D4D"/>
    <w:rsid w:val="00444FDC"/>
    <w:rsid w:val="00445BB7"/>
    <w:rsid w:val="004465F6"/>
    <w:rsid w:val="004471EF"/>
    <w:rsid w:val="00447A77"/>
    <w:rsid w:val="004523B0"/>
    <w:rsid w:val="00455C64"/>
    <w:rsid w:val="0045621F"/>
    <w:rsid w:val="004566C9"/>
    <w:rsid w:val="00456882"/>
    <w:rsid w:val="004573F6"/>
    <w:rsid w:val="00457936"/>
    <w:rsid w:val="00460564"/>
    <w:rsid w:val="00462371"/>
    <w:rsid w:val="004626C9"/>
    <w:rsid w:val="00462A96"/>
    <w:rsid w:val="0046408A"/>
    <w:rsid w:val="00464FA1"/>
    <w:rsid w:val="00465193"/>
    <w:rsid w:val="0046562E"/>
    <w:rsid w:val="004661A2"/>
    <w:rsid w:val="00466BF0"/>
    <w:rsid w:val="00466D36"/>
    <w:rsid w:val="00467A2E"/>
    <w:rsid w:val="00467C22"/>
    <w:rsid w:val="00472534"/>
    <w:rsid w:val="00472915"/>
    <w:rsid w:val="00474544"/>
    <w:rsid w:val="0047493D"/>
    <w:rsid w:val="00474A6C"/>
    <w:rsid w:val="00475CEE"/>
    <w:rsid w:val="00476CC4"/>
    <w:rsid w:val="00477BA2"/>
    <w:rsid w:val="004816C5"/>
    <w:rsid w:val="00482268"/>
    <w:rsid w:val="00482573"/>
    <w:rsid w:val="004848ED"/>
    <w:rsid w:val="00485988"/>
    <w:rsid w:val="00486AE2"/>
    <w:rsid w:val="00490764"/>
    <w:rsid w:val="00491A0B"/>
    <w:rsid w:val="00495ECB"/>
    <w:rsid w:val="00497DB3"/>
    <w:rsid w:val="004A0D8E"/>
    <w:rsid w:val="004A0F4C"/>
    <w:rsid w:val="004A408F"/>
    <w:rsid w:val="004A7A5F"/>
    <w:rsid w:val="004A7B0E"/>
    <w:rsid w:val="004B2D87"/>
    <w:rsid w:val="004B43AF"/>
    <w:rsid w:val="004B4CD1"/>
    <w:rsid w:val="004B62DC"/>
    <w:rsid w:val="004B6A18"/>
    <w:rsid w:val="004C01A7"/>
    <w:rsid w:val="004C07DE"/>
    <w:rsid w:val="004C0861"/>
    <w:rsid w:val="004C445B"/>
    <w:rsid w:val="004C5DDE"/>
    <w:rsid w:val="004C6EA7"/>
    <w:rsid w:val="004C73F0"/>
    <w:rsid w:val="004C7537"/>
    <w:rsid w:val="004D0784"/>
    <w:rsid w:val="004D151A"/>
    <w:rsid w:val="004D28BE"/>
    <w:rsid w:val="004D3C75"/>
    <w:rsid w:val="004D3FAC"/>
    <w:rsid w:val="004D49BE"/>
    <w:rsid w:val="004D4B94"/>
    <w:rsid w:val="004D5691"/>
    <w:rsid w:val="004D6E92"/>
    <w:rsid w:val="004D71E5"/>
    <w:rsid w:val="004E0E1E"/>
    <w:rsid w:val="004E0E63"/>
    <w:rsid w:val="004E315C"/>
    <w:rsid w:val="004E35A6"/>
    <w:rsid w:val="004E3BB0"/>
    <w:rsid w:val="004E5720"/>
    <w:rsid w:val="004E59D7"/>
    <w:rsid w:val="004E73F4"/>
    <w:rsid w:val="004F0555"/>
    <w:rsid w:val="004F08D6"/>
    <w:rsid w:val="004F0EC7"/>
    <w:rsid w:val="004F1181"/>
    <w:rsid w:val="004F7303"/>
    <w:rsid w:val="004F7C4B"/>
    <w:rsid w:val="0050006E"/>
    <w:rsid w:val="00500232"/>
    <w:rsid w:val="005025D6"/>
    <w:rsid w:val="005032F5"/>
    <w:rsid w:val="00504306"/>
    <w:rsid w:val="005061D1"/>
    <w:rsid w:val="00510A2E"/>
    <w:rsid w:val="00510DB1"/>
    <w:rsid w:val="0051223F"/>
    <w:rsid w:val="005122A7"/>
    <w:rsid w:val="00513495"/>
    <w:rsid w:val="00513944"/>
    <w:rsid w:val="00514671"/>
    <w:rsid w:val="00514EDC"/>
    <w:rsid w:val="0051515E"/>
    <w:rsid w:val="005154D7"/>
    <w:rsid w:val="00517486"/>
    <w:rsid w:val="00517541"/>
    <w:rsid w:val="005176EF"/>
    <w:rsid w:val="00520C9E"/>
    <w:rsid w:val="005221DA"/>
    <w:rsid w:val="00523B01"/>
    <w:rsid w:val="00523B2A"/>
    <w:rsid w:val="00525DEB"/>
    <w:rsid w:val="005262BF"/>
    <w:rsid w:val="005265A8"/>
    <w:rsid w:val="00527CCA"/>
    <w:rsid w:val="00527E26"/>
    <w:rsid w:val="005318D7"/>
    <w:rsid w:val="00533756"/>
    <w:rsid w:val="00533A69"/>
    <w:rsid w:val="00535196"/>
    <w:rsid w:val="00536A22"/>
    <w:rsid w:val="00537348"/>
    <w:rsid w:val="00540FA8"/>
    <w:rsid w:val="005417A3"/>
    <w:rsid w:val="00541EEF"/>
    <w:rsid w:val="00542A93"/>
    <w:rsid w:val="00543CED"/>
    <w:rsid w:val="00550BD5"/>
    <w:rsid w:val="005547AC"/>
    <w:rsid w:val="005568D2"/>
    <w:rsid w:val="005576D0"/>
    <w:rsid w:val="00562597"/>
    <w:rsid w:val="005642AE"/>
    <w:rsid w:val="00567285"/>
    <w:rsid w:val="005702D5"/>
    <w:rsid w:val="00572458"/>
    <w:rsid w:val="00572CDE"/>
    <w:rsid w:val="00573BD3"/>
    <w:rsid w:val="00573EA3"/>
    <w:rsid w:val="00574337"/>
    <w:rsid w:val="00574887"/>
    <w:rsid w:val="00575B40"/>
    <w:rsid w:val="00577A20"/>
    <w:rsid w:val="00577C7F"/>
    <w:rsid w:val="00583403"/>
    <w:rsid w:val="005846F1"/>
    <w:rsid w:val="00590D1F"/>
    <w:rsid w:val="00592179"/>
    <w:rsid w:val="00593206"/>
    <w:rsid w:val="0059343D"/>
    <w:rsid w:val="00593BBE"/>
    <w:rsid w:val="005974B3"/>
    <w:rsid w:val="00597CBB"/>
    <w:rsid w:val="005A150C"/>
    <w:rsid w:val="005A2E86"/>
    <w:rsid w:val="005A31C0"/>
    <w:rsid w:val="005A32B7"/>
    <w:rsid w:val="005A5CB2"/>
    <w:rsid w:val="005A66A1"/>
    <w:rsid w:val="005B0646"/>
    <w:rsid w:val="005B4D56"/>
    <w:rsid w:val="005B78B1"/>
    <w:rsid w:val="005C1147"/>
    <w:rsid w:val="005C14C9"/>
    <w:rsid w:val="005C1DBE"/>
    <w:rsid w:val="005C2F85"/>
    <w:rsid w:val="005D376C"/>
    <w:rsid w:val="005D4E0C"/>
    <w:rsid w:val="005D60BC"/>
    <w:rsid w:val="005D6B7F"/>
    <w:rsid w:val="005E07BC"/>
    <w:rsid w:val="005E0FAF"/>
    <w:rsid w:val="005E36BC"/>
    <w:rsid w:val="005E3B52"/>
    <w:rsid w:val="005E4BBF"/>
    <w:rsid w:val="005F041E"/>
    <w:rsid w:val="005F0AEC"/>
    <w:rsid w:val="005F0B62"/>
    <w:rsid w:val="005F0D62"/>
    <w:rsid w:val="005F1EA4"/>
    <w:rsid w:val="005F3218"/>
    <w:rsid w:val="005F4666"/>
    <w:rsid w:val="005F493B"/>
    <w:rsid w:val="005F5B3F"/>
    <w:rsid w:val="005F60E1"/>
    <w:rsid w:val="005F769F"/>
    <w:rsid w:val="005F7992"/>
    <w:rsid w:val="00600BBC"/>
    <w:rsid w:val="00600F38"/>
    <w:rsid w:val="00603C3D"/>
    <w:rsid w:val="00606D6C"/>
    <w:rsid w:val="00606EC7"/>
    <w:rsid w:val="00607CB7"/>
    <w:rsid w:val="00611B18"/>
    <w:rsid w:val="00612EF1"/>
    <w:rsid w:val="006132DD"/>
    <w:rsid w:val="00613AC9"/>
    <w:rsid w:val="00615AE6"/>
    <w:rsid w:val="00616190"/>
    <w:rsid w:val="00616E1F"/>
    <w:rsid w:val="00617097"/>
    <w:rsid w:val="00620A81"/>
    <w:rsid w:val="00620DAA"/>
    <w:rsid w:val="0062143C"/>
    <w:rsid w:val="006218F7"/>
    <w:rsid w:val="006225B6"/>
    <w:rsid w:val="00622C7D"/>
    <w:rsid w:val="00623AD7"/>
    <w:rsid w:val="006261E3"/>
    <w:rsid w:val="00626726"/>
    <w:rsid w:val="006267BC"/>
    <w:rsid w:val="0062747D"/>
    <w:rsid w:val="00630087"/>
    <w:rsid w:val="00630110"/>
    <w:rsid w:val="00630EF6"/>
    <w:rsid w:val="00631F9D"/>
    <w:rsid w:val="00632269"/>
    <w:rsid w:val="00632AD3"/>
    <w:rsid w:val="006353EE"/>
    <w:rsid w:val="00636F4D"/>
    <w:rsid w:val="0064087D"/>
    <w:rsid w:val="0064564D"/>
    <w:rsid w:val="00645E62"/>
    <w:rsid w:val="00646475"/>
    <w:rsid w:val="00650F61"/>
    <w:rsid w:val="00652E17"/>
    <w:rsid w:val="00660E50"/>
    <w:rsid w:val="0066181C"/>
    <w:rsid w:val="00661B27"/>
    <w:rsid w:val="00662373"/>
    <w:rsid w:val="006629CA"/>
    <w:rsid w:val="00664414"/>
    <w:rsid w:val="00664779"/>
    <w:rsid w:val="006651FD"/>
    <w:rsid w:val="0066667D"/>
    <w:rsid w:val="00666C52"/>
    <w:rsid w:val="0066749D"/>
    <w:rsid w:val="0066757B"/>
    <w:rsid w:val="00667E19"/>
    <w:rsid w:val="00671526"/>
    <w:rsid w:val="00674B3C"/>
    <w:rsid w:val="00674FA3"/>
    <w:rsid w:val="00675E6B"/>
    <w:rsid w:val="00676F31"/>
    <w:rsid w:val="00680C0C"/>
    <w:rsid w:val="00681945"/>
    <w:rsid w:val="00682058"/>
    <w:rsid w:val="00682064"/>
    <w:rsid w:val="00682144"/>
    <w:rsid w:val="00683650"/>
    <w:rsid w:val="00685632"/>
    <w:rsid w:val="00685E99"/>
    <w:rsid w:val="006863C8"/>
    <w:rsid w:val="00686B65"/>
    <w:rsid w:val="006874C2"/>
    <w:rsid w:val="00687669"/>
    <w:rsid w:val="00692FFC"/>
    <w:rsid w:val="006932FB"/>
    <w:rsid w:val="00693A3C"/>
    <w:rsid w:val="00694378"/>
    <w:rsid w:val="006944CD"/>
    <w:rsid w:val="006953A7"/>
    <w:rsid w:val="0069750F"/>
    <w:rsid w:val="00697C37"/>
    <w:rsid w:val="00697D22"/>
    <w:rsid w:val="006A02C0"/>
    <w:rsid w:val="006A09BF"/>
    <w:rsid w:val="006A39CF"/>
    <w:rsid w:val="006A3B10"/>
    <w:rsid w:val="006A7360"/>
    <w:rsid w:val="006B1B94"/>
    <w:rsid w:val="006B23C9"/>
    <w:rsid w:val="006B241E"/>
    <w:rsid w:val="006B2ADC"/>
    <w:rsid w:val="006B3B90"/>
    <w:rsid w:val="006B620B"/>
    <w:rsid w:val="006C301F"/>
    <w:rsid w:val="006C31DE"/>
    <w:rsid w:val="006C410E"/>
    <w:rsid w:val="006C64CC"/>
    <w:rsid w:val="006D183B"/>
    <w:rsid w:val="006D1B62"/>
    <w:rsid w:val="006D27F3"/>
    <w:rsid w:val="006D4783"/>
    <w:rsid w:val="006D4D69"/>
    <w:rsid w:val="006D55F6"/>
    <w:rsid w:val="006D6CB7"/>
    <w:rsid w:val="006E0656"/>
    <w:rsid w:val="006E07DB"/>
    <w:rsid w:val="006E188E"/>
    <w:rsid w:val="006E5F34"/>
    <w:rsid w:val="006E6EC2"/>
    <w:rsid w:val="006E6FF9"/>
    <w:rsid w:val="006E7F42"/>
    <w:rsid w:val="006F08BF"/>
    <w:rsid w:val="006F20A0"/>
    <w:rsid w:val="006F46C5"/>
    <w:rsid w:val="006F5A43"/>
    <w:rsid w:val="00701142"/>
    <w:rsid w:val="00701229"/>
    <w:rsid w:val="007040A4"/>
    <w:rsid w:val="00705863"/>
    <w:rsid w:val="00706FB2"/>
    <w:rsid w:val="00707E08"/>
    <w:rsid w:val="00710106"/>
    <w:rsid w:val="00713A15"/>
    <w:rsid w:val="00714F06"/>
    <w:rsid w:val="00717427"/>
    <w:rsid w:val="00717DA2"/>
    <w:rsid w:val="00723805"/>
    <w:rsid w:val="00724704"/>
    <w:rsid w:val="00726C6C"/>
    <w:rsid w:val="007316AB"/>
    <w:rsid w:val="00732F29"/>
    <w:rsid w:val="007337D9"/>
    <w:rsid w:val="007337F9"/>
    <w:rsid w:val="007340A0"/>
    <w:rsid w:val="00736AAE"/>
    <w:rsid w:val="00740463"/>
    <w:rsid w:val="00741D07"/>
    <w:rsid w:val="0074250D"/>
    <w:rsid w:val="00743505"/>
    <w:rsid w:val="00743681"/>
    <w:rsid w:val="00743C4D"/>
    <w:rsid w:val="00743DCC"/>
    <w:rsid w:val="007440BC"/>
    <w:rsid w:val="00744E1D"/>
    <w:rsid w:val="00745E36"/>
    <w:rsid w:val="00746C9A"/>
    <w:rsid w:val="007472F8"/>
    <w:rsid w:val="0074743A"/>
    <w:rsid w:val="00750326"/>
    <w:rsid w:val="007512E0"/>
    <w:rsid w:val="007530FE"/>
    <w:rsid w:val="0075338F"/>
    <w:rsid w:val="007545A5"/>
    <w:rsid w:val="007561E3"/>
    <w:rsid w:val="0075672E"/>
    <w:rsid w:val="00760617"/>
    <w:rsid w:val="00762D3D"/>
    <w:rsid w:val="00763263"/>
    <w:rsid w:val="00764ECA"/>
    <w:rsid w:val="0076559A"/>
    <w:rsid w:val="00765A20"/>
    <w:rsid w:val="00766D27"/>
    <w:rsid w:val="00766E94"/>
    <w:rsid w:val="00766F47"/>
    <w:rsid w:val="007677B3"/>
    <w:rsid w:val="007723A5"/>
    <w:rsid w:val="00772B25"/>
    <w:rsid w:val="00775823"/>
    <w:rsid w:val="00776DC1"/>
    <w:rsid w:val="00782680"/>
    <w:rsid w:val="00783C71"/>
    <w:rsid w:val="00784CAE"/>
    <w:rsid w:val="0078628F"/>
    <w:rsid w:val="007909FD"/>
    <w:rsid w:val="00790C44"/>
    <w:rsid w:val="007918DA"/>
    <w:rsid w:val="00793EE7"/>
    <w:rsid w:val="00794850"/>
    <w:rsid w:val="007954E7"/>
    <w:rsid w:val="007959C0"/>
    <w:rsid w:val="00796DDC"/>
    <w:rsid w:val="00797440"/>
    <w:rsid w:val="007A197C"/>
    <w:rsid w:val="007A28B0"/>
    <w:rsid w:val="007A2EEE"/>
    <w:rsid w:val="007A5263"/>
    <w:rsid w:val="007A6A2E"/>
    <w:rsid w:val="007A6B2E"/>
    <w:rsid w:val="007A750C"/>
    <w:rsid w:val="007B0E75"/>
    <w:rsid w:val="007B19CD"/>
    <w:rsid w:val="007B27E9"/>
    <w:rsid w:val="007B3179"/>
    <w:rsid w:val="007B4778"/>
    <w:rsid w:val="007B78B5"/>
    <w:rsid w:val="007C2074"/>
    <w:rsid w:val="007C63BD"/>
    <w:rsid w:val="007D01A5"/>
    <w:rsid w:val="007D1354"/>
    <w:rsid w:val="007D2698"/>
    <w:rsid w:val="007D5985"/>
    <w:rsid w:val="007D6689"/>
    <w:rsid w:val="007D7E72"/>
    <w:rsid w:val="007E1701"/>
    <w:rsid w:val="007E5718"/>
    <w:rsid w:val="007E7857"/>
    <w:rsid w:val="007E7C4F"/>
    <w:rsid w:val="007F081C"/>
    <w:rsid w:val="007F0BBD"/>
    <w:rsid w:val="007F1338"/>
    <w:rsid w:val="007F6F36"/>
    <w:rsid w:val="0080027D"/>
    <w:rsid w:val="00803EB4"/>
    <w:rsid w:val="008076A0"/>
    <w:rsid w:val="00807F5D"/>
    <w:rsid w:val="00811070"/>
    <w:rsid w:val="008122AC"/>
    <w:rsid w:val="00812402"/>
    <w:rsid w:val="00812D8B"/>
    <w:rsid w:val="00813EF4"/>
    <w:rsid w:val="00814089"/>
    <w:rsid w:val="00815E8B"/>
    <w:rsid w:val="008165FF"/>
    <w:rsid w:val="00816C25"/>
    <w:rsid w:val="008200C3"/>
    <w:rsid w:val="008206BC"/>
    <w:rsid w:val="00823B52"/>
    <w:rsid w:val="00823D3B"/>
    <w:rsid w:val="0082472C"/>
    <w:rsid w:val="0082685B"/>
    <w:rsid w:val="00831A7C"/>
    <w:rsid w:val="00831CDE"/>
    <w:rsid w:val="0083238D"/>
    <w:rsid w:val="00833B6D"/>
    <w:rsid w:val="008364DA"/>
    <w:rsid w:val="00836D44"/>
    <w:rsid w:val="00837279"/>
    <w:rsid w:val="0083737E"/>
    <w:rsid w:val="0083754B"/>
    <w:rsid w:val="00837B01"/>
    <w:rsid w:val="00842523"/>
    <w:rsid w:val="008458C3"/>
    <w:rsid w:val="00846BD0"/>
    <w:rsid w:val="008473F4"/>
    <w:rsid w:val="00850CC8"/>
    <w:rsid w:val="008510DD"/>
    <w:rsid w:val="00851EC2"/>
    <w:rsid w:val="00851F2D"/>
    <w:rsid w:val="008532CF"/>
    <w:rsid w:val="0085493F"/>
    <w:rsid w:val="008549AF"/>
    <w:rsid w:val="00854E2B"/>
    <w:rsid w:val="00860351"/>
    <w:rsid w:val="0086111B"/>
    <w:rsid w:val="00862809"/>
    <w:rsid w:val="0086322E"/>
    <w:rsid w:val="00864D33"/>
    <w:rsid w:val="00865FF3"/>
    <w:rsid w:val="00866CAC"/>
    <w:rsid w:val="008672C5"/>
    <w:rsid w:val="00867E51"/>
    <w:rsid w:val="00867F92"/>
    <w:rsid w:val="00870E88"/>
    <w:rsid w:val="00871857"/>
    <w:rsid w:val="0087211B"/>
    <w:rsid w:val="00873E8F"/>
    <w:rsid w:val="00874D95"/>
    <w:rsid w:val="00875001"/>
    <w:rsid w:val="0087585E"/>
    <w:rsid w:val="00877730"/>
    <w:rsid w:val="00877BA3"/>
    <w:rsid w:val="00877DB4"/>
    <w:rsid w:val="00880756"/>
    <w:rsid w:val="0088247E"/>
    <w:rsid w:val="00884805"/>
    <w:rsid w:val="00884DBA"/>
    <w:rsid w:val="0089035C"/>
    <w:rsid w:val="00890B7A"/>
    <w:rsid w:val="008912D6"/>
    <w:rsid w:val="00893BE4"/>
    <w:rsid w:val="00894378"/>
    <w:rsid w:val="00894D86"/>
    <w:rsid w:val="00895E43"/>
    <w:rsid w:val="008A0515"/>
    <w:rsid w:val="008A0F01"/>
    <w:rsid w:val="008A10CB"/>
    <w:rsid w:val="008A390B"/>
    <w:rsid w:val="008A430C"/>
    <w:rsid w:val="008A4B05"/>
    <w:rsid w:val="008A4C5C"/>
    <w:rsid w:val="008A5B37"/>
    <w:rsid w:val="008A6337"/>
    <w:rsid w:val="008A6DC6"/>
    <w:rsid w:val="008A6EFD"/>
    <w:rsid w:val="008B036F"/>
    <w:rsid w:val="008B16F4"/>
    <w:rsid w:val="008B5E3F"/>
    <w:rsid w:val="008B675A"/>
    <w:rsid w:val="008B6C88"/>
    <w:rsid w:val="008B7C16"/>
    <w:rsid w:val="008B7E0D"/>
    <w:rsid w:val="008C003C"/>
    <w:rsid w:val="008C0804"/>
    <w:rsid w:val="008C09C2"/>
    <w:rsid w:val="008C102C"/>
    <w:rsid w:val="008C14B1"/>
    <w:rsid w:val="008C5006"/>
    <w:rsid w:val="008C712B"/>
    <w:rsid w:val="008C755C"/>
    <w:rsid w:val="008D10C2"/>
    <w:rsid w:val="008D17DB"/>
    <w:rsid w:val="008D76C3"/>
    <w:rsid w:val="008E1446"/>
    <w:rsid w:val="008E1C0C"/>
    <w:rsid w:val="008E3F60"/>
    <w:rsid w:val="008E5CF5"/>
    <w:rsid w:val="008E6C3B"/>
    <w:rsid w:val="008E7EA4"/>
    <w:rsid w:val="008F4575"/>
    <w:rsid w:val="008F6476"/>
    <w:rsid w:val="008F6BB2"/>
    <w:rsid w:val="00900851"/>
    <w:rsid w:val="0090142E"/>
    <w:rsid w:val="00901660"/>
    <w:rsid w:val="00902005"/>
    <w:rsid w:val="0090282C"/>
    <w:rsid w:val="00903E9E"/>
    <w:rsid w:val="00903FE7"/>
    <w:rsid w:val="009045F9"/>
    <w:rsid w:val="0090483D"/>
    <w:rsid w:val="009059FA"/>
    <w:rsid w:val="00906A04"/>
    <w:rsid w:val="0091186A"/>
    <w:rsid w:val="009132C5"/>
    <w:rsid w:val="0091414D"/>
    <w:rsid w:val="00917008"/>
    <w:rsid w:val="009171A3"/>
    <w:rsid w:val="009174E1"/>
    <w:rsid w:val="00917CFA"/>
    <w:rsid w:val="00917F7A"/>
    <w:rsid w:val="00920491"/>
    <w:rsid w:val="00921E92"/>
    <w:rsid w:val="00922491"/>
    <w:rsid w:val="00924291"/>
    <w:rsid w:val="00924620"/>
    <w:rsid w:val="00924B3C"/>
    <w:rsid w:val="00924B41"/>
    <w:rsid w:val="00925C4E"/>
    <w:rsid w:val="00925E39"/>
    <w:rsid w:val="009260C9"/>
    <w:rsid w:val="00926FEA"/>
    <w:rsid w:val="00931FEC"/>
    <w:rsid w:val="00932E77"/>
    <w:rsid w:val="009342BB"/>
    <w:rsid w:val="00937233"/>
    <w:rsid w:val="00941AA6"/>
    <w:rsid w:val="00942834"/>
    <w:rsid w:val="00942A48"/>
    <w:rsid w:val="009473F6"/>
    <w:rsid w:val="00951EFA"/>
    <w:rsid w:val="009527C8"/>
    <w:rsid w:val="00952C3A"/>
    <w:rsid w:val="00955CA6"/>
    <w:rsid w:val="00956E69"/>
    <w:rsid w:val="00957558"/>
    <w:rsid w:val="00960A66"/>
    <w:rsid w:val="00961B4A"/>
    <w:rsid w:val="0096390A"/>
    <w:rsid w:val="0096554E"/>
    <w:rsid w:val="00967D10"/>
    <w:rsid w:val="009715EC"/>
    <w:rsid w:val="009718F6"/>
    <w:rsid w:val="00971C10"/>
    <w:rsid w:val="0097285D"/>
    <w:rsid w:val="00973563"/>
    <w:rsid w:val="009768D7"/>
    <w:rsid w:val="00977AEA"/>
    <w:rsid w:val="00977E1A"/>
    <w:rsid w:val="0098029B"/>
    <w:rsid w:val="00981850"/>
    <w:rsid w:val="00981DB6"/>
    <w:rsid w:val="009837E6"/>
    <w:rsid w:val="00984657"/>
    <w:rsid w:val="009864FD"/>
    <w:rsid w:val="00990D77"/>
    <w:rsid w:val="0099242D"/>
    <w:rsid w:val="00992614"/>
    <w:rsid w:val="00992C6E"/>
    <w:rsid w:val="0099384F"/>
    <w:rsid w:val="00993F35"/>
    <w:rsid w:val="009957B0"/>
    <w:rsid w:val="0099601E"/>
    <w:rsid w:val="00996592"/>
    <w:rsid w:val="00996877"/>
    <w:rsid w:val="00996B17"/>
    <w:rsid w:val="009976E0"/>
    <w:rsid w:val="009A0002"/>
    <w:rsid w:val="009A18E5"/>
    <w:rsid w:val="009A2A65"/>
    <w:rsid w:val="009A3182"/>
    <w:rsid w:val="009A41C5"/>
    <w:rsid w:val="009A62A0"/>
    <w:rsid w:val="009A6A8B"/>
    <w:rsid w:val="009A6BEC"/>
    <w:rsid w:val="009B0C34"/>
    <w:rsid w:val="009B1DAA"/>
    <w:rsid w:val="009B2946"/>
    <w:rsid w:val="009B2F69"/>
    <w:rsid w:val="009B4206"/>
    <w:rsid w:val="009B6979"/>
    <w:rsid w:val="009C231B"/>
    <w:rsid w:val="009C251F"/>
    <w:rsid w:val="009C3608"/>
    <w:rsid w:val="009C3D9C"/>
    <w:rsid w:val="009C45DD"/>
    <w:rsid w:val="009C4BC7"/>
    <w:rsid w:val="009C7801"/>
    <w:rsid w:val="009D08C1"/>
    <w:rsid w:val="009D0B1A"/>
    <w:rsid w:val="009D1EC7"/>
    <w:rsid w:val="009D41CC"/>
    <w:rsid w:val="009D4B76"/>
    <w:rsid w:val="009D503C"/>
    <w:rsid w:val="009D71C2"/>
    <w:rsid w:val="009E10E9"/>
    <w:rsid w:val="009E3355"/>
    <w:rsid w:val="009E4179"/>
    <w:rsid w:val="009F034D"/>
    <w:rsid w:val="009F08EF"/>
    <w:rsid w:val="009F47A4"/>
    <w:rsid w:val="009F5D8C"/>
    <w:rsid w:val="009F5DAD"/>
    <w:rsid w:val="009F6BE6"/>
    <w:rsid w:val="009F7456"/>
    <w:rsid w:val="00A0045A"/>
    <w:rsid w:val="00A00745"/>
    <w:rsid w:val="00A019E4"/>
    <w:rsid w:val="00A03E22"/>
    <w:rsid w:val="00A0443A"/>
    <w:rsid w:val="00A047E5"/>
    <w:rsid w:val="00A04A58"/>
    <w:rsid w:val="00A06FDA"/>
    <w:rsid w:val="00A071E7"/>
    <w:rsid w:val="00A0793E"/>
    <w:rsid w:val="00A07DDF"/>
    <w:rsid w:val="00A113D4"/>
    <w:rsid w:val="00A11412"/>
    <w:rsid w:val="00A11A4F"/>
    <w:rsid w:val="00A126B8"/>
    <w:rsid w:val="00A130AD"/>
    <w:rsid w:val="00A133E9"/>
    <w:rsid w:val="00A146B7"/>
    <w:rsid w:val="00A1575B"/>
    <w:rsid w:val="00A15E83"/>
    <w:rsid w:val="00A224CD"/>
    <w:rsid w:val="00A22947"/>
    <w:rsid w:val="00A22A67"/>
    <w:rsid w:val="00A23F2D"/>
    <w:rsid w:val="00A2449F"/>
    <w:rsid w:val="00A256E1"/>
    <w:rsid w:val="00A26300"/>
    <w:rsid w:val="00A276A7"/>
    <w:rsid w:val="00A2777C"/>
    <w:rsid w:val="00A317E0"/>
    <w:rsid w:val="00A35686"/>
    <w:rsid w:val="00A36468"/>
    <w:rsid w:val="00A41243"/>
    <w:rsid w:val="00A422B5"/>
    <w:rsid w:val="00A44825"/>
    <w:rsid w:val="00A4509E"/>
    <w:rsid w:val="00A45F3F"/>
    <w:rsid w:val="00A45F81"/>
    <w:rsid w:val="00A50F5F"/>
    <w:rsid w:val="00A52454"/>
    <w:rsid w:val="00A52A58"/>
    <w:rsid w:val="00A5497D"/>
    <w:rsid w:val="00A6145C"/>
    <w:rsid w:val="00A64415"/>
    <w:rsid w:val="00A7289E"/>
    <w:rsid w:val="00A73D3B"/>
    <w:rsid w:val="00A752F4"/>
    <w:rsid w:val="00A7548F"/>
    <w:rsid w:val="00A773BF"/>
    <w:rsid w:val="00A8040E"/>
    <w:rsid w:val="00A82B14"/>
    <w:rsid w:val="00A8330D"/>
    <w:rsid w:val="00A83D02"/>
    <w:rsid w:val="00A83D5A"/>
    <w:rsid w:val="00A86C72"/>
    <w:rsid w:val="00A9187E"/>
    <w:rsid w:val="00A923DA"/>
    <w:rsid w:val="00A94E79"/>
    <w:rsid w:val="00A95FD0"/>
    <w:rsid w:val="00A96A4B"/>
    <w:rsid w:val="00AA0833"/>
    <w:rsid w:val="00AA0AFB"/>
    <w:rsid w:val="00AA0E76"/>
    <w:rsid w:val="00AA2654"/>
    <w:rsid w:val="00AA38EB"/>
    <w:rsid w:val="00AA49C5"/>
    <w:rsid w:val="00AA5E88"/>
    <w:rsid w:val="00AA64CF"/>
    <w:rsid w:val="00AA6DBA"/>
    <w:rsid w:val="00AB3DA2"/>
    <w:rsid w:val="00AB4531"/>
    <w:rsid w:val="00AB6600"/>
    <w:rsid w:val="00AB7F00"/>
    <w:rsid w:val="00AC0C06"/>
    <w:rsid w:val="00AC157D"/>
    <w:rsid w:val="00AC17DA"/>
    <w:rsid w:val="00AC4F31"/>
    <w:rsid w:val="00AC6F62"/>
    <w:rsid w:val="00AD0134"/>
    <w:rsid w:val="00AD2BA5"/>
    <w:rsid w:val="00AD37F0"/>
    <w:rsid w:val="00AD3DBF"/>
    <w:rsid w:val="00AD4CB9"/>
    <w:rsid w:val="00AD5317"/>
    <w:rsid w:val="00AD53CA"/>
    <w:rsid w:val="00AD5DCE"/>
    <w:rsid w:val="00AD7852"/>
    <w:rsid w:val="00AD7A75"/>
    <w:rsid w:val="00AE08B5"/>
    <w:rsid w:val="00AE0B94"/>
    <w:rsid w:val="00AE0E43"/>
    <w:rsid w:val="00AE27A9"/>
    <w:rsid w:val="00AE3CEF"/>
    <w:rsid w:val="00AE3EF2"/>
    <w:rsid w:val="00AE44E2"/>
    <w:rsid w:val="00AE49DC"/>
    <w:rsid w:val="00AE5B46"/>
    <w:rsid w:val="00AE5C03"/>
    <w:rsid w:val="00AE6D79"/>
    <w:rsid w:val="00AF06C4"/>
    <w:rsid w:val="00AF1A81"/>
    <w:rsid w:val="00AF2455"/>
    <w:rsid w:val="00AF46F0"/>
    <w:rsid w:val="00AF493C"/>
    <w:rsid w:val="00AF573C"/>
    <w:rsid w:val="00AF5E30"/>
    <w:rsid w:val="00AF7239"/>
    <w:rsid w:val="00AF7729"/>
    <w:rsid w:val="00B02579"/>
    <w:rsid w:val="00B02EB6"/>
    <w:rsid w:val="00B02F25"/>
    <w:rsid w:val="00B05511"/>
    <w:rsid w:val="00B05C41"/>
    <w:rsid w:val="00B05CB0"/>
    <w:rsid w:val="00B05F71"/>
    <w:rsid w:val="00B07EC3"/>
    <w:rsid w:val="00B1059D"/>
    <w:rsid w:val="00B11C70"/>
    <w:rsid w:val="00B11F7E"/>
    <w:rsid w:val="00B14EFA"/>
    <w:rsid w:val="00B151D8"/>
    <w:rsid w:val="00B15E63"/>
    <w:rsid w:val="00B16533"/>
    <w:rsid w:val="00B173A7"/>
    <w:rsid w:val="00B17994"/>
    <w:rsid w:val="00B23283"/>
    <w:rsid w:val="00B26254"/>
    <w:rsid w:val="00B26D81"/>
    <w:rsid w:val="00B30284"/>
    <w:rsid w:val="00B304F0"/>
    <w:rsid w:val="00B31E73"/>
    <w:rsid w:val="00B34BEF"/>
    <w:rsid w:val="00B35163"/>
    <w:rsid w:val="00B3615E"/>
    <w:rsid w:val="00B36DE8"/>
    <w:rsid w:val="00B37A54"/>
    <w:rsid w:val="00B40602"/>
    <w:rsid w:val="00B4193E"/>
    <w:rsid w:val="00B42F65"/>
    <w:rsid w:val="00B44AEB"/>
    <w:rsid w:val="00B46BC8"/>
    <w:rsid w:val="00B4795E"/>
    <w:rsid w:val="00B50240"/>
    <w:rsid w:val="00B50F34"/>
    <w:rsid w:val="00B53278"/>
    <w:rsid w:val="00B536AA"/>
    <w:rsid w:val="00B53BD4"/>
    <w:rsid w:val="00B546FF"/>
    <w:rsid w:val="00B56B96"/>
    <w:rsid w:val="00B57079"/>
    <w:rsid w:val="00B576FB"/>
    <w:rsid w:val="00B57718"/>
    <w:rsid w:val="00B60FF4"/>
    <w:rsid w:val="00B612DF"/>
    <w:rsid w:val="00B616F2"/>
    <w:rsid w:val="00B61B3A"/>
    <w:rsid w:val="00B62C74"/>
    <w:rsid w:val="00B65B08"/>
    <w:rsid w:val="00B712FD"/>
    <w:rsid w:val="00B72521"/>
    <w:rsid w:val="00B733FC"/>
    <w:rsid w:val="00B73455"/>
    <w:rsid w:val="00B73614"/>
    <w:rsid w:val="00B74650"/>
    <w:rsid w:val="00B753F2"/>
    <w:rsid w:val="00B770A6"/>
    <w:rsid w:val="00B81930"/>
    <w:rsid w:val="00B82031"/>
    <w:rsid w:val="00B8258A"/>
    <w:rsid w:val="00B84053"/>
    <w:rsid w:val="00B84ACB"/>
    <w:rsid w:val="00B84D9A"/>
    <w:rsid w:val="00B84EF1"/>
    <w:rsid w:val="00B85138"/>
    <w:rsid w:val="00B87A10"/>
    <w:rsid w:val="00B920FE"/>
    <w:rsid w:val="00B96880"/>
    <w:rsid w:val="00B96C48"/>
    <w:rsid w:val="00BA0355"/>
    <w:rsid w:val="00BA2213"/>
    <w:rsid w:val="00BA24E9"/>
    <w:rsid w:val="00BA3D28"/>
    <w:rsid w:val="00BA45DE"/>
    <w:rsid w:val="00BA52CC"/>
    <w:rsid w:val="00BA75B1"/>
    <w:rsid w:val="00BA7A49"/>
    <w:rsid w:val="00BB0DC1"/>
    <w:rsid w:val="00BB11BC"/>
    <w:rsid w:val="00BB2D80"/>
    <w:rsid w:val="00BB6301"/>
    <w:rsid w:val="00BB6D22"/>
    <w:rsid w:val="00BB76B9"/>
    <w:rsid w:val="00BB7B44"/>
    <w:rsid w:val="00BC2861"/>
    <w:rsid w:val="00BC28D8"/>
    <w:rsid w:val="00BC33CF"/>
    <w:rsid w:val="00BC3FC8"/>
    <w:rsid w:val="00BC4AE6"/>
    <w:rsid w:val="00BC5032"/>
    <w:rsid w:val="00BC6323"/>
    <w:rsid w:val="00BD34C0"/>
    <w:rsid w:val="00BD516F"/>
    <w:rsid w:val="00BD5D79"/>
    <w:rsid w:val="00BD6AF1"/>
    <w:rsid w:val="00BE0C53"/>
    <w:rsid w:val="00BE1197"/>
    <w:rsid w:val="00BE2990"/>
    <w:rsid w:val="00BE3196"/>
    <w:rsid w:val="00BE357A"/>
    <w:rsid w:val="00BE438D"/>
    <w:rsid w:val="00BE460F"/>
    <w:rsid w:val="00BE47FD"/>
    <w:rsid w:val="00BE4B5D"/>
    <w:rsid w:val="00BE5A7B"/>
    <w:rsid w:val="00BE5DF7"/>
    <w:rsid w:val="00BF02A7"/>
    <w:rsid w:val="00BF2003"/>
    <w:rsid w:val="00BF2C2C"/>
    <w:rsid w:val="00BF2D96"/>
    <w:rsid w:val="00BF47FF"/>
    <w:rsid w:val="00BF677A"/>
    <w:rsid w:val="00BF7905"/>
    <w:rsid w:val="00BF79F9"/>
    <w:rsid w:val="00BF7FA1"/>
    <w:rsid w:val="00C00457"/>
    <w:rsid w:val="00C03DEC"/>
    <w:rsid w:val="00C063C7"/>
    <w:rsid w:val="00C074AC"/>
    <w:rsid w:val="00C078FA"/>
    <w:rsid w:val="00C12ADC"/>
    <w:rsid w:val="00C1536A"/>
    <w:rsid w:val="00C154F2"/>
    <w:rsid w:val="00C2126F"/>
    <w:rsid w:val="00C21558"/>
    <w:rsid w:val="00C22871"/>
    <w:rsid w:val="00C22AA1"/>
    <w:rsid w:val="00C24386"/>
    <w:rsid w:val="00C24655"/>
    <w:rsid w:val="00C278A7"/>
    <w:rsid w:val="00C27B36"/>
    <w:rsid w:val="00C30326"/>
    <w:rsid w:val="00C317E5"/>
    <w:rsid w:val="00C3207E"/>
    <w:rsid w:val="00C3234E"/>
    <w:rsid w:val="00C3363C"/>
    <w:rsid w:val="00C34763"/>
    <w:rsid w:val="00C34B7B"/>
    <w:rsid w:val="00C34D85"/>
    <w:rsid w:val="00C35720"/>
    <w:rsid w:val="00C3792C"/>
    <w:rsid w:val="00C37D11"/>
    <w:rsid w:val="00C40827"/>
    <w:rsid w:val="00C41119"/>
    <w:rsid w:val="00C43950"/>
    <w:rsid w:val="00C45490"/>
    <w:rsid w:val="00C46198"/>
    <w:rsid w:val="00C467AE"/>
    <w:rsid w:val="00C47CBA"/>
    <w:rsid w:val="00C509CC"/>
    <w:rsid w:val="00C52922"/>
    <w:rsid w:val="00C531F1"/>
    <w:rsid w:val="00C55A65"/>
    <w:rsid w:val="00C564A4"/>
    <w:rsid w:val="00C6154B"/>
    <w:rsid w:val="00C63DA7"/>
    <w:rsid w:val="00C65279"/>
    <w:rsid w:val="00C65DB1"/>
    <w:rsid w:val="00C66079"/>
    <w:rsid w:val="00C67658"/>
    <w:rsid w:val="00C67D87"/>
    <w:rsid w:val="00C702FC"/>
    <w:rsid w:val="00C70AE5"/>
    <w:rsid w:val="00C72F33"/>
    <w:rsid w:val="00C741A8"/>
    <w:rsid w:val="00C74C45"/>
    <w:rsid w:val="00C759C4"/>
    <w:rsid w:val="00C76247"/>
    <w:rsid w:val="00C76F7D"/>
    <w:rsid w:val="00C77C94"/>
    <w:rsid w:val="00C806C6"/>
    <w:rsid w:val="00C81EC6"/>
    <w:rsid w:val="00C8359C"/>
    <w:rsid w:val="00C84169"/>
    <w:rsid w:val="00C84341"/>
    <w:rsid w:val="00C85C34"/>
    <w:rsid w:val="00C86149"/>
    <w:rsid w:val="00C9162F"/>
    <w:rsid w:val="00C968EF"/>
    <w:rsid w:val="00CA241E"/>
    <w:rsid w:val="00CA3464"/>
    <w:rsid w:val="00CA3E1A"/>
    <w:rsid w:val="00CA6480"/>
    <w:rsid w:val="00CA79D9"/>
    <w:rsid w:val="00CA7CF5"/>
    <w:rsid w:val="00CB096E"/>
    <w:rsid w:val="00CB17FE"/>
    <w:rsid w:val="00CB1A7C"/>
    <w:rsid w:val="00CB4F05"/>
    <w:rsid w:val="00CB5C2C"/>
    <w:rsid w:val="00CB5EDB"/>
    <w:rsid w:val="00CC09F6"/>
    <w:rsid w:val="00CC101A"/>
    <w:rsid w:val="00CC1C53"/>
    <w:rsid w:val="00CC35C9"/>
    <w:rsid w:val="00CC5440"/>
    <w:rsid w:val="00CC573D"/>
    <w:rsid w:val="00CC6699"/>
    <w:rsid w:val="00CC6C73"/>
    <w:rsid w:val="00CC71D0"/>
    <w:rsid w:val="00CC7B71"/>
    <w:rsid w:val="00CD25D3"/>
    <w:rsid w:val="00CD2C63"/>
    <w:rsid w:val="00CD4FF0"/>
    <w:rsid w:val="00CD6857"/>
    <w:rsid w:val="00CE0C84"/>
    <w:rsid w:val="00CE11FC"/>
    <w:rsid w:val="00CE1283"/>
    <w:rsid w:val="00CE2BAD"/>
    <w:rsid w:val="00CE2ED2"/>
    <w:rsid w:val="00CE3558"/>
    <w:rsid w:val="00CE3ABA"/>
    <w:rsid w:val="00CE3B14"/>
    <w:rsid w:val="00CE3EA0"/>
    <w:rsid w:val="00CE400A"/>
    <w:rsid w:val="00CE4785"/>
    <w:rsid w:val="00CE47BF"/>
    <w:rsid w:val="00CE54E1"/>
    <w:rsid w:val="00CE5617"/>
    <w:rsid w:val="00CE6439"/>
    <w:rsid w:val="00CE6D8E"/>
    <w:rsid w:val="00CE6DF5"/>
    <w:rsid w:val="00CF509E"/>
    <w:rsid w:val="00CF625B"/>
    <w:rsid w:val="00CF63F1"/>
    <w:rsid w:val="00CF69F9"/>
    <w:rsid w:val="00CF6DD6"/>
    <w:rsid w:val="00CF7CC1"/>
    <w:rsid w:val="00D00DE6"/>
    <w:rsid w:val="00D01913"/>
    <w:rsid w:val="00D02A1F"/>
    <w:rsid w:val="00D03038"/>
    <w:rsid w:val="00D100C6"/>
    <w:rsid w:val="00D11236"/>
    <w:rsid w:val="00D11EE9"/>
    <w:rsid w:val="00D1336E"/>
    <w:rsid w:val="00D13A08"/>
    <w:rsid w:val="00D14B21"/>
    <w:rsid w:val="00D15353"/>
    <w:rsid w:val="00D1675A"/>
    <w:rsid w:val="00D170D3"/>
    <w:rsid w:val="00D17CD8"/>
    <w:rsid w:val="00D22D8B"/>
    <w:rsid w:val="00D22D9A"/>
    <w:rsid w:val="00D23056"/>
    <w:rsid w:val="00D23F05"/>
    <w:rsid w:val="00D24BD5"/>
    <w:rsid w:val="00D25211"/>
    <w:rsid w:val="00D27A09"/>
    <w:rsid w:val="00D30877"/>
    <w:rsid w:val="00D30982"/>
    <w:rsid w:val="00D33D59"/>
    <w:rsid w:val="00D37B5E"/>
    <w:rsid w:val="00D4367B"/>
    <w:rsid w:val="00D4479B"/>
    <w:rsid w:val="00D4601D"/>
    <w:rsid w:val="00D52527"/>
    <w:rsid w:val="00D52E85"/>
    <w:rsid w:val="00D55278"/>
    <w:rsid w:val="00D56D53"/>
    <w:rsid w:val="00D570D9"/>
    <w:rsid w:val="00D67949"/>
    <w:rsid w:val="00D67958"/>
    <w:rsid w:val="00D7022F"/>
    <w:rsid w:val="00D71400"/>
    <w:rsid w:val="00D71EFD"/>
    <w:rsid w:val="00D757D4"/>
    <w:rsid w:val="00D7658A"/>
    <w:rsid w:val="00D770A2"/>
    <w:rsid w:val="00D801D3"/>
    <w:rsid w:val="00D801DD"/>
    <w:rsid w:val="00D80D38"/>
    <w:rsid w:val="00D81663"/>
    <w:rsid w:val="00D81725"/>
    <w:rsid w:val="00D83562"/>
    <w:rsid w:val="00D86192"/>
    <w:rsid w:val="00D87507"/>
    <w:rsid w:val="00D877B8"/>
    <w:rsid w:val="00D915C9"/>
    <w:rsid w:val="00D9290E"/>
    <w:rsid w:val="00D9308E"/>
    <w:rsid w:val="00D93AB6"/>
    <w:rsid w:val="00D95ECA"/>
    <w:rsid w:val="00DA0A7C"/>
    <w:rsid w:val="00DA1689"/>
    <w:rsid w:val="00DA5879"/>
    <w:rsid w:val="00DA779D"/>
    <w:rsid w:val="00DB2518"/>
    <w:rsid w:val="00DB3DB6"/>
    <w:rsid w:val="00DB4113"/>
    <w:rsid w:val="00DB4D18"/>
    <w:rsid w:val="00DB5C6B"/>
    <w:rsid w:val="00DB6EB3"/>
    <w:rsid w:val="00DB704C"/>
    <w:rsid w:val="00DB73EE"/>
    <w:rsid w:val="00DB79AF"/>
    <w:rsid w:val="00DC08E0"/>
    <w:rsid w:val="00DC0EBA"/>
    <w:rsid w:val="00DC373D"/>
    <w:rsid w:val="00DC39C9"/>
    <w:rsid w:val="00DC5C73"/>
    <w:rsid w:val="00DC6042"/>
    <w:rsid w:val="00DC6F30"/>
    <w:rsid w:val="00DD0DFE"/>
    <w:rsid w:val="00DD1451"/>
    <w:rsid w:val="00DD1EE8"/>
    <w:rsid w:val="00DD22C6"/>
    <w:rsid w:val="00DD243F"/>
    <w:rsid w:val="00DD436A"/>
    <w:rsid w:val="00DD6142"/>
    <w:rsid w:val="00DD6DF1"/>
    <w:rsid w:val="00DE1CE7"/>
    <w:rsid w:val="00DE2414"/>
    <w:rsid w:val="00DE2B1D"/>
    <w:rsid w:val="00DE4297"/>
    <w:rsid w:val="00DE73E0"/>
    <w:rsid w:val="00DE7C01"/>
    <w:rsid w:val="00DF0D7F"/>
    <w:rsid w:val="00DF1626"/>
    <w:rsid w:val="00DF1759"/>
    <w:rsid w:val="00DF1E5F"/>
    <w:rsid w:val="00DF42D8"/>
    <w:rsid w:val="00DF639A"/>
    <w:rsid w:val="00DF6572"/>
    <w:rsid w:val="00DF6743"/>
    <w:rsid w:val="00E01863"/>
    <w:rsid w:val="00E0193A"/>
    <w:rsid w:val="00E01CDF"/>
    <w:rsid w:val="00E045CE"/>
    <w:rsid w:val="00E05702"/>
    <w:rsid w:val="00E0609F"/>
    <w:rsid w:val="00E07F32"/>
    <w:rsid w:val="00E15FAB"/>
    <w:rsid w:val="00E1640B"/>
    <w:rsid w:val="00E16B40"/>
    <w:rsid w:val="00E173B4"/>
    <w:rsid w:val="00E17C23"/>
    <w:rsid w:val="00E200F8"/>
    <w:rsid w:val="00E2012E"/>
    <w:rsid w:val="00E225B9"/>
    <w:rsid w:val="00E22B14"/>
    <w:rsid w:val="00E22DF2"/>
    <w:rsid w:val="00E2322B"/>
    <w:rsid w:val="00E23F82"/>
    <w:rsid w:val="00E24121"/>
    <w:rsid w:val="00E25F50"/>
    <w:rsid w:val="00E27737"/>
    <w:rsid w:val="00E3065B"/>
    <w:rsid w:val="00E31EE7"/>
    <w:rsid w:val="00E34BB3"/>
    <w:rsid w:val="00E354AB"/>
    <w:rsid w:val="00E354B8"/>
    <w:rsid w:val="00E36805"/>
    <w:rsid w:val="00E407A1"/>
    <w:rsid w:val="00E44670"/>
    <w:rsid w:val="00E4604A"/>
    <w:rsid w:val="00E46A81"/>
    <w:rsid w:val="00E477BA"/>
    <w:rsid w:val="00E504BE"/>
    <w:rsid w:val="00E50573"/>
    <w:rsid w:val="00E52A68"/>
    <w:rsid w:val="00E53CE6"/>
    <w:rsid w:val="00E542C4"/>
    <w:rsid w:val="00E554B3"/>
    <w:rsid w:val="00E5677E"/>
    <w:rsid w:val="00E56F2D"/>
    <w:rsid w:val="00E5700D"/>
    <w:rsid w:val="00E57A62"/>
    <w:rsid w:val="00E57B18"/>
    <w:rsid w:val="00E60134"/>
    <w:rsid w:val="00E60556"/>
    <w:rsid w:val="00E61718"/>
    <w:rsid w:val="00E62F50"/>
    <w:rsid w:val="00E65261"/>
    <w:rsid w:val="00E65BA9"/>
    <w:rsid w:val="00E66002"/>
    <w:rsid w:val="00E66084"/>
    <w:rsid w:val="00E66DC9"/>
    <w:rsid w:val="00E7317A"/>
    <w:rsid w:val="00E73E8B"/>
    <w:rsid w:val="00E742BA"/>
    <w:rsid w:val="00E74C45"/>
    <w:rsid w:val="00E74C4D"/>
    <w:rsid w:val="00E763D6"/>
    <w:rsid w:val="00E77FC1"/>
    <w:rsid w:val="00E81E52"/>
    <w:rsid w:val="00E82C83"/>
    <w:rsid w:val="00E82E51"/>
    <w:rsid w:val="00E8334F"/>
    <w:rsid w:val="00E83A2D"/>
    <w:rsid w:val="00E85BB6"/>
    <w:rsid w:val="00E85C22"/>
    <w:rsid w:val="00E86A50"/>
    <w:rsid w:val="00E86A51"/>
    <w:rsid w:val="00E86E05"/>
    <w:rsid w:val="00E871FD"/>
    <w:rsid w:val="00E87228"/>
    <w:rsid w:val="00E8757A"/>
    <w:rsid w:val="00E95340"/>
    <w:rsid w:val="00EA016E"/>
    <w:rsid w:val="00EA0874"/>
    <w:rsid w:val="00EA09DA"/>
    <w:rsid w:val="00EA0A63"/>
    <w:rsid w:val="00EA3144"/>
    <w:rsid w:val="00EA62F7"/>
    <w:rsid w:val="00EA67BE"/>
    <w:rsid w:val="00EB46C5"/>
    <w:rsid w:val="00EB4CDB"/>
    <w:rsid w:val="00EB6CE1"/>
    <w:rsid w:val="00EC0963"/>
    <w:rsid w:val="00EC0FB8"/>
    <w:rsid w:val="00EC1353"/>
    <w:rsid w:val="00EC54B6"/>
    <w:rsid w:val="00EC5626"/>
    <w:rsid w:val="00EC61B6"/>
    <w:rsid w:val="00EC6FD0"/>
    <w:rsid w:val="00EC7E35"/>
    <w:rsid w:val="00ED2233"/>
    <w:rsid w:val="00ED3AD4"/>
    <w:rsid w:val="00ED7692"/>
    <w:rsid w:val="00EE0609"/>
    <w:rsid w:val="00EE1058"/>
    <w:rsid w:val="00EE1B83"/>
    <w:rsid w:val="00EE339B"/>
    <w:rsid w:val="00EE37FD"/>
    <w:rsid w:val="00EE4330"/>
    <w:rsid w:val="00EE6635"/>
    <w:rsid w:val="00EE7AEF"/>
    <w:rsid w:val="00EF0431"/>
    <w:rsid w:val="00EF0EBD"/>
    <w:rsid w:val="00EF109B"/>
    <w:rsid w:val="00EF2757"/>
    <w:rsid w:val="00EF32A7"/>
    <w:rsid w:val="00EF57BA"/>
    <w:rsid w:val="00EF7F47"/>
    <w:rsid w:val="00F03061"/>
    <w:rsid w:val="00F03C75"/>
    <w:rsid w:val="00F071E8"/>
    <w:rsid w:val="00F07EE8"/>
    <w:rsid w:val="00F118A2"/>
    <w:rsid w:val="00F12DA3"/>
    <w:rsid w:val="00F13437"/>
    <w:rsid w:val="00F1681A"/>
    <w:rsid w:val="00F16AAA"/>
    <w:rsid w:val="00F16C49"/>
    <w:rsid w:val="00F170A2"/>
    <w:rsid w:val="00F206F4"/>
    <w:rsid w:val="00F20D0C"/>
    <w:rsid w:val="00F225FF"/>
    <w:rsid w:val="00F22C0E"/>
    <w:rsid w:val="00F22E81"/>
    <w:rsid w:val="00F236E5"/>
    <w:rsid w:val="00F23B5B"/>
    <w:rsid w:val="00F241C2"/>
    <w:rsid w:val="00F25820"/>
    <w:rsid w:val="00F276D0"/>
    <w:rsid w:val="00F31011"/>
    <w:rsid w:val="00F3205B"/>
    <w:rsid w:val="00F326B8"/>
    <w:rsid w:val="00F32A81"/>
    <w:rsid w:val="00F40FAE"/>
    <w:rsid w:val="00F448A2"/>
    <w:rsid w:val="00F4565C"/>
    <w:rsid w:val="00F45CB1"/>
    <w:rsid w:val="00F467F8"/>
    <w:rsid w:val="00F46AB2"/>
    <w:rsid w:val="00F47F7F"/>
    <w:rsid w:val="00F5127C"/>
    <w:rsid w:val="00F51E11"/>
    <w:rsid w:val="00F51F94"/>
    <w:rsid w:val="00F52619"/>
    <w:rsid w:val="00F5464F"/>
    <w:rsid w:val="00F54AB2"/>
    <w:rsid w:val="00F60D26"/>
    <w:rsid w:val="00F615EB"/>
    <w:rsid w:val="00F62949"/>
    <w:rsid w:val="00F63486"/>
    <w:rsid w:val="00F64A79"/>
    <w:rsid w:val="00F65697"/>
    <w:rsid w:val="00F66D62"/>
    <w:rsid w:val="00F67489"/>
    <w:rsid w:val="00F712E4"/>
    <w:rsid w:val="00F75250"/>
    <w:rsid w:val="00F756FF"/>
    <w:rsid w:val="00F768BD"/>
    <w:rsid w:val="00F80794"/>
    <w:rsid w:val="00F81FD3"/>
    <w:rsid w:val="00F85D33"/>
    <w:rsid w:val="00F862FC"/>
    <w:rsid w:val="00F9177E"/>
    <w:rsid w:val="00F94B5B"/>
    <w:rsid w:val="00F95D08"/>
    <w:rsid w:val="00FA0BE3"/>
    <w:rsid w:val="00FA33AA"/>
    <w:rsid w:val="00FA6165"/>
    <w:rsid w:val="00FA61D9"/>
    <w:rsid w:val="00FA635D"/>
    <w:rsid w:val="00FA710D"/>
    <w:rsid w:val="00FA7A49"/>
    <w:rsid w:val="00FB0610"/>
    <w:rsid w:val="00FB0D18"/>
    <w:rsid w:val="00FB12EC"/>
    <w:rsid w:val="00FB3494"/>
    <w:rsid w:val="00FB3757"/>
    <w:rsid w:val="00FB3AD4"/>
    <w:rsid w:val="00FB4B3F"/>
    <w:rsid w:val="00FB72BE"/>
    <w:rsid w:val="00FB79EA"/>
    <w:rsid w:val="00FB7EDD"/>
    <w:rsid w:val="00FC0079"/>
    <w:rsid w:val="00FC1B58"/>
    <w:rsid w:val="00FC23C4"/>
    <w:rsid w:val="00FC271A"/>
    <w:rsid w:val="00FC3383"/>
    <w:rsid w:val="00FC5511"/>
    <w:rsid w:val="00FC5788"/>
    <w:rsid w:val="00FC74E1"/>
    <w:rsid w:val="00FD0DD8"/>
    <w:rsid w:val="00FD1127"/>
    <w:rsid w:val="00FD11A7"/>
    <w:rsid w:val="00FD21E1"/>
    <w:rsid w:val="00FD2EC4"/>
    <w:rsid w:val="00FD3290"/>
    <w:rsid w:val="00FD36C8"/>
    <w:rsid w:val="00FD3971"/>
    <w:rsid w:val="00FD5213"/>
    <w:rsid w:val="00FD52D6"/>
    <w:rsid w:val="00FD7935"/>
    <w:rsid w:val="00FE2C7F"/>
    <w:rsid w:val="00FE418B"/>
    <w:rsid w:val="00FE49B5"/>
    <w:rsid w:val="00FE55E4"/>
    <w:rsid w:val="00FE7215"/>
    <w:rsid w:val="00FE737F"/>
    <w:rsid w:val="00FF1156"/>
    <w:rsid w:val="00FF1840"/>
    <w:rsid w:val="00FF2A68"/>
    <w:rsid w:val="00FF36A3"/>
    <w:rsid w:val="00FF43DE"/>
    <w:rsid w:val="00FF4755"/>
    <w:rsid w:val="00FF4871"/>
    <w:rsid w:val="00FF5966"/>
    <w:rsid w:val="00FF5A51"/>
    <w:rsid w:val="00FF5F97"/>
    <w:rsid w:val="00FF6601"/>
    <w:rsid w:val="00FF7087"/>
    <w:rsid w:val="00FF7B54"/>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73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after="0" w:line="480" w:lineRule="atLeast"/>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63C"/>
    <w:pPr>
      <w:tabs>
        <w:tab w:val="center" w:pos="4680"/>
        <w:tab w:val="right" w:pos="9360"/>
      </w:tabs>
      <w:spacing w:line="240" w:lineRule="auto"/>
    </w:pPr>
  </w:style>
  <w:style w:type="character" w:customStyle="1" w:styleId="HeaderChar">
    <w:name w:val="Header Char"/>
    <w:basedOn w:val="DefaultParagraphFont"/>
    <w:link w:val="Header"/>
    <w:uiPriority w:val="99"/>
    <w:rsid w:val="002A463C"/>
  </w:style>
  <w:style w:type="paragraph" w:styleId="Footer">
    <w:name w:val="footer"/>
    <w:basedOn w:val="Normal"/>
    <w:link w:val="FooterChar"/>
    <w:uiPriority w:val="99"/>
    <w:unhideWhenUsed/>
    <w:rsid w:val="002A463C"/>
    <w:pPr>
      <w:tabs>
        <w:tab w:val="center" w:pos="4680"/>
        <w:tab w:val="right" w:pos="9360"/>
      </w:tabs>
      <w:spacing w:line="240" w:lineRule="auto"/>
    </w:pPr>
  </w:style>
  <w:style w:type="character" w:customStyle="1" w:styleId="FooterChar">
    <w:name w:val="Footer Char"/>
    <w:basedOn w:val="DefaultParagraphFont"/>
    <w:link w:val="Footer"/>
    <w:uiPriority w:val="99"/>
    <w:rsid w:val="002A463C"/>
  </w:style>
  <w:style w:type="character" w:styleId="PageNumber">
    <w:name w:val="page number"/>
    <w:basedOn w:val="DefaultParagraphFont"/>
    <w:uiPriority w:val="99"/>
    <w:semiHidden/>
    <w:unhideWhenUsed/>
    <w:rsid w:val="002A463C"/>
  </w:style>
  <w:style w:type="paragraph" w:styleId="FootnoteText">
    <w:name w:val="footnote text"/>
    <w:link w:val="FootnoteTextChar"/>
    <w:uiPriority w:val="99"/>
    <w:unhideWhenUsed/>
    <w:rsid w:val="002A463C"/>
    <w:pPr>
      <w:spacing w:after="0" w:line="240" w:lineRule="auto"/>
    </w:pPr>
    <w:rPr>
      <w:rFonts w:ascii="Century Schoolbook" w:hAnsi="Century Schoolbook"/>
      <w:sz w:val="26"/>
      <w:szCs w:val="20"/>
    </w:rPr>
  </w:style>
  <w:style w:type="character" w:customStyle="1" w:styleId="FootnoteTextChar">
    <w:name w:val="Footnote Text Char"/>
    <w:basedOn w:val="DefaultParagraphFont"/>
    <w:link w:val="FootnoteText"/>
    <w:uiPriority w:val="99"/>
    <w:rsid w:val="002A463C"/>
    <w:rPr>
      <w:rFonts w:ascii="Century Schoolbook" w:hAnsi="Century Schoolbook"/>
      <w:sz w:val="26"/>
      <w:szCs w:val="20"/>
    </w:rPr>
  </w:style>
  <w:style w:type="character" w:styleId="FootnoteReference">
    <w:name w:val="footnote reference"/>
    <w:basedOn w:val="DefaultParagraphFont"/>
    <w:uiPriority w:val="99"/>
    <w:semiHidden/>
    <w:unhideWhenUsed/>
    <w:rsid w:val="006629CA"/>
    <w:rPr>
      <w:vertAlign w:val="superscript"/>
    </w:rPr>
  </w:style>
  <w:style w:type="paragraph" w:styleId="ListParagraph">
    <w:name w:val="List Paragraph"/>
    <w:basedOn w:val="Normal"/>
    <w:uiPriority w:val="34"/>
    <w:qFormat/>
    <w:rsid w:val="00FF2A68"/>
    <w:pPr>
      <w:ind w:left="720"/>
      <w:contextualSpacing/>
    </w:pPr>
  </w:style>
  <w:style w:type="character" w:styleId="CommentReference">
    <w:name w:val="annotation reference"/>
    <w:basedOn w:val="DefaultParagraphFont"/>
    <w:uiPriority w:val="99"/>
    <w:semiHidden/>
    <w:unhideWhenUsed/>
    <w:rsid w:val="005F4666"/>
    <w:rPr>
      <w:sz w:val="16"/>
      <w:szCs w:val="16"/>
    </w:rPr>
  </w:style>
  <w:style w:type="paragraph" w:styleId="CommentText">
    <w:name w:val="annotation text"/>
    <w:basedOn w:val="Normal"/>
    <w:link w:val="CommentTextChar"/>
    <w:uiPriority w:val="99"/>
    <w:unhideWhenUsed/>
    <w:rsid w:val="005F4666"/>
    <w:pPr>
      <w:spacing w:line="240" w:lineRule="auto"/>
    </w:pPr>
    <w:rPr>
      <w:sz w:val="20"/>
      <w:szCs w:val="20"/>
    </w:rPr>
  </w:style>
  <w:style w:type="character" w:customStyle="1" w:styleId="CommentTextChar">
    <w:name w:val="Comment Text Char"/>
    <w:basedOn w:val="DefaultParagraphFont"/>
    <w:link w:val="CommentText"/>
    <w:uiPriority w:val="99"/>
    <w:rsid w:val="005F4666"/>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5F4666"/>
    <w:rPr>
      <w:b/>
      <w:bCs/>
    </w:rPr>
  </w:style>
  <w:style w:type="character" w:customStyle="1" w:styleId="CommentSubjectChar">
    <w:name w:val="Comment Subject Char"/>
    <w:basedOn w:val="CommentTextChar"/>
    <w:link w:val="CommentSubject"/>
    <w:uiPriority w:val="99"/>
    <w:semiHidden/>
    <w:rsid w:val="005F4666"/>
    <w:rPr>
      <w:rFonts w:ascii="Century Schoolbook" w:hAnsi="Century Schoolbook"/>
      <w:b/>
      <w:bCs/>
      <w:sz w:val="20"/>
      <w:szCs w:val="20"/>
    </w:rPr>
  </w:style>
  <w:style w:type="paragraph" w:styleId="Revision">
    <w:name w:val="Revision"/>
    <w:hidden/>
    <w:uiPriority w:val="99"/>
    <w:semiHidden/>
    <w:rsid w:val="001C244D"/>
    <w:pPr>
      <w:spacing w:after="0" w:line="240" w:lineRule="auto"/>
    </w:pPr>
    <w:rPr>
      <w:rFonts w:ascii="Century Schoolbook" w:hAnsi="Century Schoolbook"/>
      <w:sz w:val="26"/>
    </w:rPr>
  </w:style>
  <w:style w:type="character" w:styleId="Emphasis">
    <w:name w:val="Emphasis"/>
    <w:basedOn w:val="DefaultParagraphFont"/>
    <w:uiPriority w:val="20"/>
    <w:qFormat/>
    <w:rsid w:val="00EF7F47"/>
    <w:rPr>
      <w:i/>
      <w:iCs/>
    </w:rPr>
  </w:style>
  <w:style w:type="table" w:customStyle="1" w:styleId="TableGrid1">
    <w:name w:val="Table Grid1"/>
    <w:basedOn w:val="TableNormal"/>
    <w:next w:val="TableGrid"/>
    <w:uiPriority w:val="39"/>
    <w:rsid w:val="00EA0A63"/>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A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ED5F-4D60-4F84-A901-BE1E326F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2023-11-30T22:16:00Z</dcterms:created>
  <dcterms:modified xsi:type="dcterms:W3CDTF">2023-11-30T22:16:00Z</dcterms:modified>
</cp:coreProperties>
</file>