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686E" w14:textId="5D3B3A75" w:rsidR="006E2D9B" w:rsidRPr="003D528D" w:rsidRDefault="00F20D43" w:rsidP="006E2D9B">
      <w:pPr>
        <w:tabs>
          <w:tab w:val="clear" w:pos="720"/>
        </w:tabs>
        <w:spacing w:line="240" w:lineRule="auto"/>
        <w:rPr>
          <w:sz w:val="20"/>
        </w:rPr>
      </w:pPr>
      <w:r w:rsidRPr="003D528D">
        <w:rPr>
          <w:sz w:val="20"/>
        </w:rPr>
        <w:t xml:space="preserve">Filed </w:t>
      </w:r>
      <w:r w:rsidRPr="003D528D">
        <w:rPr>
          <w:sz w:val="20"/>
        </w:rPr>
        <w:t>1/31/23</w:t>
      </w:r>
      <w:r w:rsidR="00990C2F">
        <w:rPr>
          <w:sz w:val="20"/>
        </w:rPr>
        <w:t>; Certified for Publication 2/23/23 (order attached)</w:t>
      </w:r>
    </w:p>
    <w:p w14:paraId="38BC9567" w14:textId="77777777" w:rsidR="00990C2F" w:rsidRDefault="00990C2F" w:rsidP="006E2D9B">
      <w:pPr>
        <w:tabs>
          <w:tab w:val="clear" w:pos="720"/>
        </w:tabs>
        <w:spacing w:line="240" w:lineRule="auto"/>
        <w:jc w:val="center"/>
        <w:rPr>
          <w:b/>
        </w:rPr>
      </w:pPr>
    </w:p>
    <w:p w14:paraId="19228DB1" w14:textId="77777777" w:rsidR="00990C2F" w:rsidRDefault="00990C2F" w:rsidP="006E2D9B">
      <w:pPr>
        <w:tabs>
          <w:tab w:val="clear" w:pos="720"/>
        </w:tabs>
        <w:spacing w:line="240" w:lineRule="auto"/>
        <w:jc w:val="center"/>
        <w:rPr>
          <w:b/>
        </w:rPr>
      </w:pPr>
    </w:p>
    <w:p w14:paraId="4038FE81" w14:textId="77777777" w:rsidR="00990C2F" w:rsidRDefault="00990C2F" w:rsidP="006E2D9B">
      <w:pPr>
        <w:tabs>
          <w:tab w:val="clear" w:pos="720"/>
        </w:tabs>
        <w:spacing w:line="240" w:lineRule="auto"/>
        <w:jc w:val="center"/>
        <w:rPr>
          <w:b/>
        </w:rPr>
      </w:pPr>
    </w:p>
    <w:p w14:paraId="7E7C254C" w14:textId="5DA28E46" w:rsidR="008C69C3" w:rsidRDefault="00F20D43" w:rsidP="006E2D9B">
      <w:pPr>
        <w:tabs>
          <w:tab w:val="clear" w:pos="720"/>
        </w:tabs>
        <w:spacing w:line="240" w:lineRule="auto"/>
        <w:jc w:val="center"/>
      </w:pPr>
      <w:r>
        <w:t>IN THE COURT OF APPEAL OF THE STATE OF CALIFORNIA</w:t>
      </w:r>
    </w:p>
    <w:p w14:paraId="7BAFC406" w14:textId="77777777" w:rsidR="007B3163" w:rsidRDefault="00F20D43" w:rsidP="0019223E">
      <w:pPr>
        <w:tabs>
          <w:tab w:val="clear" w:pos="720"/>
        </w:tabs>
        <w:spacing w:line="240" w:lineRule="auto"/>
        <w:jc w:val="center"/>
      </w:pPr>
    </w:p>
    <w:p w14:paraId="21001E48" w14:textId="77777777" w:rsidR="007B3163" w:rsidRDefault="00F20D43" w:rsidP="0019223E">
      <w:pPr>
        <w:tabs>
          <w:tab w:val="clear" w:pos="720"/>
        </w:tabs>
        <w:spacing w:line="240" w:lineRule="auto"/>
        <w:jc w:val="center"/>
      </w:pPr>
      <w:r>
        <w:t>FIRST APPELLATE DISTRICT</w:t>
      </w:r>
    </w:p>
    <w:p w14:paraId="1C966CA0" w14:textId="77777777" w:rsidR="007B3163" w:rsidRDefault="00F20D43" w:rsidP="0019223E">
      <w:pPr>
        <w:tabs>
          <w:tab w:val="clear" w:pos="720"/>
        </w:tabs>
        <w:spacing w:line="240" w:lineRule="auto"/>
        <w:jc w:val="center"/>
      </w:pPr>
    </w:p>
    <w:p w14:paraId="51D20001" w14:textId="77777777" w:rsidR="007B3163" w:rsidRDefault="00F20D43" w:rsidP="0019223E">
      <w:pPr>
        <w:tabs>
          <w:tab w:val="clear" w:pos="720"/>
        </w:tabs>
        <w:spacing w:line="240" w:lineRule="auto"/>
        <w:jc w:val="center"/>
      </w:pPr>
      <w:r>
        <w:t>DIVISION FIVE</w:t>
      </w:r>
    </w:p>
    <w:p w14:paraId="005703F4" w14:textId="77777777" w:rsidR="007B3163" w:rsidRDefault="00F20D43" w:rsidP="0019223E">
      <w:pPr>
        <w:tabs>
          <w:tab w:val="clear" w:pos="720"/>
        </w:tabs>
        <w:spacing w:line="240" w:lineRule="auto"/>
        <w:jc w:val="center"/>
      </w:pPr>
    </w:p>
    <w:p w14:paraId="253F5619" w14:textId="77777777" w:rsidR="007B3163" w:rsidRDefault="00F20D43" w:rsidP="0019223E">
      <w:pPr>
        <w:tabs>
          <w:tab w:val="clear" w:pos="720"/>
        </w:tabs>
        <w:spacing w:line="240" w:lineRule="auto"/>
        <w:jc w:val="center"/>
      </w:pPr>
    </w:p>
    <w:tbl>
      <w:tblPr>
        <w:tblW w:w="9540" w:type="dxa"/>
        <w:tblLayout w:type="fixed"/>
        <w:tblLook w:val="0000" w:firstRow="0" w:lastRow="0" w:firstColumn="0" w:lastColumn="0" w:noHBand="0" w:noVBand="0"/>
      </w:tblPr>
      <w:tblGrid>
        <w:gridCol w:w="4770"/>
        <w:gridCol w:w="4770"/>
      </w:tblGrid>
      <w:tr w:rsidR="00543E58" w14:paraId="4C694CAC" w14:textId="77777777" w:rsidTr="00740875">
        <w:tc>
          <w:tcPr>
            <w:tcW w:w="4770" w:type="dxa"/>
            <w:tcBorders>
              <w:bottom w:val="single" w:sz="4" w:space="0" w:color="auto"/>
              <w:right w:val="single" w:sz="4" w:space="0" w:color="auto"/>
            </w:tcBorders>
            <w:shd w:val="clear" w:color="auto" w:fill="auto"/>
          </w:tcPr>
          <w:p w14:paraId="09D6C83D" w14:textId="77777777" w:rsidR="007B3163" w:rsidRDefault="00F20D43" w:rsidP="0019223E">
            <w:pPr>
              <w:tabs>
                <w:tab w:val="clear" w:pos="720"/>
              </w:tabs>
              <w:spacing w:after="120" w:line="240" w:lineRule="auto"/>
            </w:pPr>
            <w:r>
              <w:t xml:space="preserve">GABRIELA </w:t>
            </w:r>
            <w:r>
              <w:t xml:space="preserve">MARTINEZ MARIN </w:t>
            </w:r>
            <w:r>
              <w:t>et al.</w:t>
            </w:r>
            <w:r>
              <w:t>,</w:t>
            </w:r>
          </w:p>
          <w:p w14:paraId="0FCC9525" w14:textId="77777777" w:rsidR="007B3163" w:rsidRDefault="00F20D43" w:rsidP="0019223E">
            <w:pPr>
              <w:tabs>
                <w:tab w:val="clear" w:pos="720"/>
              </w:tabs>
              <w:spacing w:after="120" w:line="240" w:lineRule="auto"/>
            </w:pPr>
            <w:r>
              <w:tab/>
              <w:t>Plaintiffs and Appellants,</w:t>
            </w:r>
          </w:p>
          <w:p w14:paraId="36825CC5" w14:textId="77777777" w:rsidR="007B3163" w:rsidRDefault="00F20D43" w:rsidP="0019223E">
            <w:pPr>
              <w:tabs>
                <w:tab w:val="clear" w:pos="720"/>
              </w:tabs>
              <w:spacing w:after="120" w:line="240" w:lineRule="auto"/>
            </w:pPr>
            <w:r>
              <w:t>v.</w:t>
            </w:r>
          </w:p>
          <w:p w14:paraId="422DD17A" w14:textId="77777777" w:rsidR="007B3163" w:rsidRDefault="00F20D43" w:rsidP="0019223E">
            <w:pPr>
              <w:tabs>
                <w:tab w:val="clear" w:pos="720"/>
              </w:tabs>
              <w:spacing w:after="120" w:line="240" w:lineRule="auto"/>
            </w:pPr>
            <w:r>
              <w:t>DEPARTMENT OF TRANSPORTATION,</w:t>
            </w:r>
          </w:p>
          <w:p w14:paraId="72C9FBFA" w14:textId="77777777" w:rsidR="007B3163" w:rsidRDefault="00F20D43" w:rsidP="0019223E">
            <w:pPr>
              <w:tabs>
                <w:tab w:val="clear" w:pos="720"/>
              </w:tabs>
              <w:spacing w:after="120" w:line="240" w:lineRule="auto"/>
            </w:pPr>
            <w:r>
              <w:tab/>
              <w:t>Defendant and Respondent.</w:t>
            </w:r>
          </w:p>
        </w:tc>
        <w:tc>
          <w:tcPr>
            <w:tcW w:w="4770" w:type="dxa"/>
            <w:tcBorders>
              <w:left w:val="single" w:sz="4" w:space="0" w:color="auto"/>
            </w:tcBorders>
            <w:shd w:val="clear" w:color="auto" w:fill="auto"/>
          </w:tcPr>
          <w:p w14:paraId="49D48AAC" w14:textId="77777777" w:rsidR="007B3163" w:rsidRDefault="00F20D43" w:rsidP="0019223E">
            <w:pPr>
              <w:tabs>
                <w:tab w:val="clear" w:pos="720"/>
              </w:tabs>
              <w:spacing w:line="240" w:lineRule="auto"/>
            </w:pPr>
          </w:p>
          <w:p w14:paraId="79D8D534" w14:textId="77777777" w:rsidR="007B3163" w:rsidRDefault="00F20D43" w:rsidP="0019223E">
            <w:pPr>
              <w:tabs>
                <w:tab w:val="clear" w:pos="720"/>
              </w:tabs>
              <w:spacing w:after="120" w:line="240" w:lineRule="auto"/>
            </w:pPr>
          </w:p>
          <w:p w14:paraId="0E781B3D" w14:textId="77777777" w:rsidR="007B3163" w:rsidRDefault="00F20D43" w:rsidP="0019223E">
            <w:pPr>
              <w:tabs>
                <w:tab w:val="clear" w:pos="720"/>
              </w:tabs>
              <w:spacing w:line="240" w:lineRule="auto"/>
            </w:pPr>
            <w:r>
              <w:t xml:space="preserve">      A161844</w:t>
            </w:r>
          </w:p>
          <w:p w14:paraId="30B9A3A4" w14:textId="77777777" w:rsidR="007B3163" w:rsidRDefault="00F20D43" w:rsidP="0019223E">
            <w:pPr>
              <w:tabs>
                <w:tab w:val="clear" w:pos="720"/>
              </w:tabs>
              <w:spacing w:after="120" w:line="240" w:lineRule="auto"/>
            </w:pPr>
          </w:p>
          <w:p w14:paraId="5CC7920F" w14:textId="77777777" w:rsidR="007B3163" w:rsidRDefault="00F20D43" w:rsidP="0019223E">
            <w:pPr>
              <w:tabs>
                <w:tab w:val="clear" w:pos="720"/>
              </w:tabs>
              <w:spacing w:line="240" w:lineRule="auto"/>
            </w:pPr>
            <w:r>
              <w:t xml:space="preserve">      (Alameda County</w:t>
            </w:r>
          </w:p>
          <w:p w14:paraId="6F3B2E3A" w14:textId="77777777" w:rsidR="007B3163" w:rsidRDefault="00F20D43" w:rsidP="0019223E">
            <w:pPr>
              <w:tabs>
                <w:tab w:val="clear" w:pos="720"/>
              </w:tabs>
              <w:spacing w:line="240" w:lineRule="auto"/>
            </w:pPr>
            <w:r>
              <w:t xml:space="preserve">      Super. Ct. No.</w:t>
            </w:r>
            <w:r>
              <w:t xml:space="preserve"> RG16819984</w:t>
            </w:r>
            <w:r>
              <w:t>)</w:t>
            </w:r>
          </w:p>
        </w:tc>
      </w:tr>
    </w:tbl>
    <w:p w14:paraId="7EAF4802" w14:textId="77777777" w:rsidR="007B3163" w:rsidRDefault="00F20D43" w:rsidP="00740875">
      <w:pPr>
        <w:tabs>
          <w:tab w:val="clear" w:pos="720"/>
        </w:tabs>
        <w:spacing w:line="360" w:lineRule="auto"/>
      </w:pPr>
    </w:p>
    <w:p w14:paraId="256A79A7" w14:textId="77777777" w:rsidR="00A756ED" w:rsidRDefault="00F20D43" w:rsidP="00740875">
      <w:pPr>
        <w:tabs>
          <w:tab w:val="clear" w:pos="720"/>
        </w:tabs>
        <w:spacing w:line="360" w:lineRule="auto"/>
      </w:pPr>
      <w:r>
        <w:tab/>
      </w:r>
      <w:r>
        <w:t xml:space="preserve">This is an appeal from judgment in a wrongful death suit after the trial court granted summary judgment in favor </w:t>
      </w:r>
      <w:r>
        <w:t xml:space="preserve">of </w:t>
      </w:r>
      <w:r>
        <w:t>defendant Department of Transportation (DOT).  Plaintiffs Gabriela Martinez Marin and Miguel Angel Rodriguez Martinez</w:t>
      </w:r>
      <w:r>
        <w:t>, Jr.,</w:t>
      </w:r>
      <w:r>
        <w:t xml:space="preserve"> are the survivin</w:t>
      </w:r>
      <w:r>
        <w:t>g family members of decedent Miguel Angel Rodriguez De La Cruz, who was killed on a highway owned and operated by the DOT</w:t>
      </w:r>
      <w:r>
        <w:t>.  At the time, decedent was</w:t>
      </w:r>
      <w:r>
        <w:t xml:space="preserve"> employed as a construction worker for </w:t>
      </w:r>
      <w:r>
        <w:t xml:space="preserve">the </w:t>
      </w:r>
      <w:r>
        <w:t xml:space="preserve">DOT’s subcontractor </w:t>
      </w:r>
      <w:r>
        <w:t>O.C.</w:t>
      </w:r>
      <w:r>
        <w:t> Jones &amp; Sons, Inc.</w:t>
      </w:r>
      <w:r>
        <w:t xml:space="preserve"> (</w:t>
      </w:r>
      <w:r>
        <w:t>O.C. Jones</w:t>
      </w:r>
      <w:r>
        <w:t>).  Plaintiffs sued the DOT for, inter</w:t>
      </w:r>
      <w:r>
        <w:t> </w:t>
      </w:r>
      <w:r>
        <w:t xml:space="preserve">alia, creating a dangerous condition on public property </w:t>
      </w:r>
      <w:r>
        <w:t>in violation of Government Code</w:t>
      </w:r>
      <w:r>
        <w:rPr>
          <w:rStyle w:val="FootnoteReference"/>
        </w:rPr>
        <w:footnoteReference w:id="1"/>
      </w:r>
      <w:r>
        <w:t xml:space="preserve"> section 835 </w:t>
      </w:r>
      <w:r>
        <w:t>and vicarious liability for its employees’ negligence</w:t>
      </w:r>
      <w:r>
        <w:t xml:space="preserve"> </w:t>
      </w:r>
      <w:r>
        <w:t>under section 815.2.</w:t>
      </w:r>
    </w:p>
    <w:p w14:paraId="00C9B824" w14:textId="77777777" w:rsidR="00E13974" w:rsidRDefault="00F20D43" w:rsidP="00740875">
      <w:pPr>
        <w:tabs>
          <w:tab w:val="clear" w:pos="720"/>
        </w:tabs>
        <w:spacing w:line="360" w:lineRule="auto"/>
      </w:pPr>
      <w:r>
        <w:lastRenderedPageBreak/>
        <w:tab/>
        <w:t>On appeal, plaintiffs contend</w:t>
      </w:r>
      <w:r>
        <w:t xml:space="preserve"> the court erred in granting summary judgment for the DOT because admissible evidence was wrongfully excluded and material issues of fact exist as to the DOT’s liab</w:t>
      </w:r>
      <w:r w:rsidRPr="00E13974">
        <w:t>ility for decedent’s death.</w:t>
      </w:r>
    </w:p>
    <w:p w14:paraId="55A9E098" w14:textId="77777777" w:rsidR="00A756ED" w:rsidRDefault="00F20D43" w:rsidP="00740875">
      <w:pPr>
        <w:tabs>
          <w:tab w:val="clear" w:pos="720"/>
        </w:tabs>
        <w:spacing w:line="360" w:lineRule="auto"/>
      </w:pPr>
      <w:r>
        <w:tab/>
      </w:r>
      <w:r w:rsidRPr="00E13974">
        <w:rPr>
          <w:color w:val="212121"/>
          <w:shd w:val="clear" w:color="auto" w:fill="FFFFFF"/>
        </w:rPr>
        <w:t xml:space="preserve">We </w:t>
      </w:r>
      <w:r>
        <w:rPr>
          <w:color w:val="212121"/>
          <w:shd w:val="clear" w:color="auto" w:fill="FFFFFF"/>
        </w:rPr>
        <w:t>conclude</w:t>
      </w:r>
      <w:r w:rsidRPr="00E13974">
        <w:rPr>
          <w:color w:val="212121"/>
          <w:shd w:val="clear" w:color="auto" w:fill="FFFFFF"/>
        </w:rPr>
        <w:t xml:space="preserve"> plaintiffs failed to present evidence that </w:t>
      </w:r>
      <w:r>
        <w:rPr>
          <w:color w:val="212121"/>
          <w:shd w:val="clear" w:color="auto" w:fill="FFFFFF"/>
        </w:rPr>
        <w:t xml:space="preserve">the DOT </w:t>
      </w:r>
      <w:r w:rsidRPr="00A9122A">
        <w:rPr>
          <w:color w:val="212121"/>
          <w:shd w:val="clear" w:color="auto" w:fill="FFFFFF"/>
        </w:rPr>
        <w:t>retained control</w:t>
      </w:r>
      <w:r>
        <w:rPr>
          <w:color w:val="212121"/>
          <w:shd w:val="clear" w:color="auto" w:fill="FFFFFF"/>
        </w:rPr>
        <w:t xml:space="preserve"> </w:t>
      </w:r>
      <w:r>
        <w:rPr>
          <w:color w:val="212121"/>
          <w:shd w:val="clear" w:color="auto" w:fill="FFFFFF"/>
        </w:rPr>
        <w:t xml:space="preserve">over the construction site where decedent was killed </w:t>
      </w:r>
      <w:r w:rsidRPr="0028262F">
        <w:rPr>
          <w:rStyle w:val="ssit"/>
          <w:color w:val="212121"/>
          <w:bdr w:val="none" w:sz="0" w:space="0" w:color="auto" w:frame="1"/>
          <w:shd w:val="clear" w:color="auto" w:fill="FFFFFF"/>
        </w:rPr>
        <w:t>and</w:t>
      </w:r>
      <w:r>
        <w:rPr>
          <w:color w:val="212121"/>
          <w:shd w:val="clear" w:color="auto" w:fill="FFFFFF"/>
        </w:rPr>
        <w:t xml:space="preserve"> </w:t>
      </w:r>
      <w:r w:rsidRPr="00A9122A">
        <w:rPr>
          <w:color w:val="212121"/>
          <w:shd w:val="clear" w:color="auto" w:fill="FFFFFF"/>
        </w:rPr>
        <w:t xml:space="preserve">actually exercised that retained control in such a way as to affirmatively contribute to </w:t>
      </w:r>
      <w:r>
        <w:rPr>
          <w:color w:val="212121"/>
          <w:shd w:val="clear" w:color="auto" w:fill="FFFFFF"/>
        </w:rPr>
        <w:t>his</w:t>
      </w:r>
      <w:r w:rsidRPr="00E13974">
        <w:rPr>
          <w:color w:val="212121"/>
          <w:shd w:val="clear" w:color="auto" w:fill="FFFFFF"/>
        </w:rPr>
        <w:t xml:space="preserve"> injuries</w:t>
      </w:r>
      <w:r>
        <w:rPr>
          <w:color w:val="212121"/>
          <w:shd w:val="clear" w:color="auto" w:fill="FFFFFF"/>
        </w:rPr>
        <w:t>, as required under California law</w:t>
      </w:r>
      <w:r w:rsidRPr="00E13974">
        <w:rPr>
          <w:color w:val="212121"/>
          <w:shd w:val="clear" w:color="auto" w:fill="FFFFFF"/>
        </w:rPr>
        <w:t xml:space="preserve">. </w:t>
      </w:r>
      <w:r>
        <w:rPr>
          <w:color w:val="212121"/>
          <w:shd w:val="clear" w:color="auto" w:fill="FFFFFF"/>
        </w:rPr>
        <w:t xml:space="preserve"> </w:t>
      </w:r>
      <w:r>
        <w:t>(</w:t>
      </w:r>
      <w:r w:rsidRPr="00EC7829">
        <w:rPr>
          <w:i/>
          <w:iCs/>
        </w:rPr>
        <w:t>Sandoval v. Qualcomm</w:t>
      </w:r>
      <w:r>
        <w:rPr>
          <w:i/>
          <w:iCs/>
        </w:rPr>
        <w:t> Inc.</w:t>
      </w:r>
      <w:r>
        <w:t xml:space="preserve"> (2021) 12 Cal.5</w:t>
      </w:r>
      <w:r w:rsidRPr="00E85ED8">
        <w:t>th</w:t>
      </w:r>
      <w:r w:rsidRPr="00E85ED8">
        <w:rPr>
          <w:sz w:val="28"/>
        </w:rPr>
        <w:t xml:space="preserve"> </w:t>
      </w:r>
      <w:r>
        <w:t>256, 264 (</w:t>
      </w:r>
      <w:r w:rsidRPr="00EC7829">
        <w:rPr>
          <w:i/>
          <w:iCs/>
        </w:rPr>
        <w:t>Sandoval</w:t>
      </w:r>
      <w:r>
        <w:t>).)</w:t>
      </w:r>
      <w:r>
        <w:rPr>
          <w:color w:val="212121"/>
          <w:shd w:val="clear" w:color="auto" w:fill="FFFFFF"/>
        </w:rPr>
        <w:t xml:space="preserve">  </w:t>
      </w:r>
      <w:r w:rsidRPr="00E13974">
        <w:rPr>
          <w:color w:val="212121"/>
          <w:shd w:val="clear" w:color="auto" w:fill="FFFFFF"/>
        </w:rPr>
        <w:t xml:space="preserve">Accordingly, we affirm the </w:t>
      </w:r>
      <w:r>
        <w:rPr>
          <w:color w:val="212121"/>
          <w:shd w:val="clear" w:color="auto" w:fill="FFFFFF"/>
        </w:rPr>
        <w:t xml:space="preserve">trial </w:t>
      </w:r>
      <w:r w:rsidRPr="00E13974">
        <w:rPr>
          <w:color w:val="212121"/>
          <w:shd w:val="clear" w:color="auto" w:fill="FFFFFF"/>
        </w:rPr>
        <w:t>court</w:t>
      </w:r>
      <w:r>
        <w:rPr>
          <w:color w:val="212121"/>
          <w:shd w:val="clear" w:color="auto" w:fill="FFFFFF"/>
        </w:rPr>
        <w:t>’</w:t>
      </w:r>
      <w:r w:rsidRPr="00E13974">
        <w:rPr>
          <w:color w:val="212121"/>
          <w:shd w:val="clear" w:color="auto" w:fill="FFFFFF"/>
        </w:rPr>
        <w:t>s grant of summary judgment</w:t>
      </w:r>
      <w:r>
        <w:t>.</w:t>
      </w:r>
    </w:p>
    <w:p w14:paraId="711A04CD" w14:textId="77777777" w:rsidR="00A756ED" w:rsidRPr="00A756ED" w:rsidRDefault="00F20D43" w:rsidP="009F387D">
      <w:pPr>
        <w:keepNext/>
        <w:tabs>
          <w:tab w:val="clear" w:pos="720"/>
        </w:tabs>
        <w:spacing w:line="360" w:lineRule="auto"/>
        <w:jc w:val="center"/>
        <w:rPr>
          <w:b/>
          <w:bCs/>
        </w:rPr>
      </w:pPr>
      <w:r w:rsidRPr="00A756ED">
        <w:rPr>
          <w:b/>
          <w:bCs/>
        </w:rPr>
        <w:t>FACTUAL AND PROCEDURAL BACKGROUND</w:t>
      </w:r>
    </w:p>
    <w:p w14:paraId="0E37331F" w14:textId="77777777" w:rsidR="00F64555" w:rsidRPr="00B82EE0" w:rsidRDefault="00F20D43" w:rsidP="009F387D">
      <w:pPr>
        <w:tabs>
          <w:tab w:val="clear" w:pos="720"/>
        </w:tabs>
        <w:spacing w:line="360" w:lineRule="auto"/>
      </w:pPr>
      <w:r>
        <w:tab/>
      </w:r>
      <w:r>
        <w:t xml:space="preserve">Decedent was employed by </w:t>
      </w:r>
      <w:r>
        <w:t>O.C. Jones</w:t>
      </w:r>
      <w:r>
        <w:t xml:space="preserve"> as a con</w:t>
      </w:r>
      <w:r>
        <w:t xml:space="preserve">struction worker.  </w:t>
      </w:r>
      <w:r>
        <w:t>O.C. Jones</w:t>
      </w:r>
      <w:r>
        <w:t xml:space="preserve"> was under contract with the DOT to perform construction work along a stretch of Interstate 580 (I</w:t>
      </w:r>
      <w:r>
        <w:noBreakHyphen/>
      </w:r>
      <w:r>
        <w:t xml:space="preserve">580) within the City of Oakland (hereinafter, project site).  This work </w:t>
      </w:r>
      <w:r>
        <w:t>included</w:t>
      </w:r>
      <w:r>
        <w:t xml:space="preserve"> grinding and removing old asphalt and placing new asphalt.  Due to heavy tra</w:t>
      </w:r>
      <w:r>
        <w:t>ffic along the I</w:t>
      </w:r>
      <w:r>
        <w:noBreakHyphen/>
      </w:r>
      <w:r>
        <w:t>580 corridor, much of this work</w:t>
      </w:r>
      <w:r>
        <w:t xml:space="preserve"> </w:t>
      </w:r>
      <w:r>
        <w:t>was performed at night</w:t>
      </w:r>
      <w:r>
        <w:t xml:space="preserve"> because it required lane closures</w:t>
      </w:r>
      <w:r>
        <w:t>.</w:t>
      </w:r>
    </w:p>
    <w:p w14:paraId="76B0EF78" w14:textId="77777777" w:rsidR="00E64587" w:rsidRDefault="00F20D43" w:rsidP="009F387D">
      <w:pPr>
        <w:tabs>
          <w:tab w:val="clear" w:pos="720"/>
        </w:tabs>
        <w:spacing w:line="360" w:lineRule="auto"/>
        <w:rPr>
          <w:color w:val="212121"/>
          <w:shd w:val="clear" w:color="auto" w:fill="FFFFFF"/>
        </w:rPr>
      </w:pPr>
      <w:r>
        <w:tab/>
      </w:r>
      <w:r w:rsidRPr="00C14F43">
        <w:rPr>
          <w:color w:val="212121"/>
          <w:shd w:val="clear" w:color="auto" w:fill="FFFFFF"/>
        </w:rPr>
        <w:t xml:space="preserve">On </w:t>
      </w:r>
      <w:r>
        <w:rPr>
          <w:color w:val="212121"/>
          <w:shd w:val="clear" w:color="auto" w:fill="FFFFFF"/>
        </w:rPr>
        <w:t xml:space="preserve">or about </w:t>
      </w:r>
      <w:r>
        <w:rPr>
          <w:color w:val="212121"/>
          <w:shd w:val="clear" w:color="auto" w:fill="FFFFFF"/>
        </w:rPr>
        <w:t>September</w:t>
      </w:r>
      <w:r>
        <w:rPr>
          <w:color w:val="212121"/>
          <w:shd w:val="clear" w:color="auto" w:fill="FFFFFF"/>
        </w:rPr>
        <w:t> 19</w:t>
      </w:r>
      <w:r w:rsidRPr="00C14F43">
        <w:rPr>
          <w:color w:val="212121"/>
          <w:shd w:val="clear" w:color="auto" w:fill="FFFFFF"/>
        </w:rPr>
        <w:t xml:space="preserve">, 2015, </w:t>
      </w:r>
      <w:r>
        <w:rPr>
          <w:color w:val="212121"/>
          <w:shd w:val="clear" w:color="auto" w:fill="FFFFFF"/>
        </w:rPr>
        <w:t>decedent</w:t>
      </w:r>
      <w:r w:rsidRPr="00C14F43">
        <w:rPr>
          <w:color w:val="212121"/>
          <w:shd w:val="clear" w:color="auto" w:fill="FFFFFF"/>
        </w:rPr>
        <w:t xml:space="preserve"> was </w:t>
      </w:r>
      <w:r>
        <w:rPr>
          <w:color w:val="212121"/>
          <w:shd w:val="clear" w:color="auto" w:fill="FFFFFF"/>
        </w:rPr>
        <w:t>part of a construction crew tasked with removing</w:t>
      </w:r>
      <w:r>
        <w:rPr>
          <w:color w:val="212121"/>
          <w:shd w:val="clear" w:color="auto" w:fill="FFFFFF"/>
        </w:rPr>
        <w:t xml:space="preserve"> asphalt at the project site.  </w:t>
      </w:r>
      <w:r>
        <w:rPr>
          <w:color w:val="212121"/>
          <w:shd w:val="clear" w:color="auto" w:fill="FFFFFF"/>
        </w:rPr>
        <w:t xml:space="preserve">To </w:t>
      </w:r>
      <w:r>
        <w:rPr>
          <w:color w:val="212121"/>
          <w:shd w:val="clear" w:color="auto" w:fill="FFFFFF"/>
        </w:rPr>
        <w:t>conduct</w:t>
      </w:r>
      <w:r>
        <w:rPr>
          <w:color w:val="212121"/>
          <w:shd w:val="clear" w:color="auto" w:fill="FFFFFF"/>
        </w:rPr>
        <w:t xml:space="preserve"> this work, the DOT complied with </w:t>
      </w:r>
      <w:r>
        <w:rPr>
          <w:color w:val="212121"/>
          <w:shd w:val="clear" w:color="auto" w:fill="FFFFFF"/>
        </w:rPr>
        <w:t>O.C. Jones’s</w:t>
      </w:r>
      <w:r>
        <w:rPr>
          <w:color w:val="212121"/>
          <w:shd w:val="clear" w:color="auto" w:fill="FFFFFF"/>
        </w:rPr>
        <w:t xml:space="preserve"> request to close the number</w:t>
      </w:r>
      <w:r>
        <w:rPr>
          <w:color w:val="212121"/>
          <w:shd w:val="clear" w:color="auto" w:fill="FFFFFF"/>
        </w:rPr>
        <w:t> 1</w:t>
      </w:r>
      <w:r>
        <w:rPr>
          <w:color w:val="212121"/>
          <w:shd w:val="clear" w:color="auto" w:fill="FFFFFF"/>
        </w:rPr>
        <w:t xml:space="preserve"> and number</w:t>
      </w:r>
      <w:r>
        <w:rPr>
          <w:color w:val="212121"/>
          <w:shd w:val="clear" w:color="auto" w:fill="FFFFFF"/>
        </w:rPr>
        <w:t> 2</w:t>
      </w:r>
      <w:r>
        <w:rPr>
          <w:color w:val="212121"/>
          <w:shd w:val="clear" w:color="auto" w:fill="FFFFFF"/>
        </w:rPr>
        <w:t xml:space="preserve"> lanes</w:t>
      </w:r>
      <w:r>
        <w:rPr>
          <w:color w:val="212121"/>
          <w:shd w:val="clear" w:color="auto" w:fill="FFFFFF"/>
        </w:rPr>
        <w:t xml:space="preserve"> </w:t>
      </w:r>
      <w:r>
        <w:rPr>
          <w:color w:val="212121"/>
          <w:shd w:val="clear" w:color="auto" w:fill="FFFFFF"/>
        </w:rPr>
        <w:t>of I</w:t>
      </w:r>
      <w:r>
        <w:rPr>
          <w:color w:val="212121"/>
          <w:shd w:val="clear" w:color="auto" w:fill="FFFFFF"/>
        </w:rPr>
        <w:noBreakHyphen/>
      </w:r>
      <w:r>
        <w:rPr>
          <w:color w:val="212121"/>
          <w:shd w:val="clear" w:color="auto" w:fill="FFFFFF"/>
        </w:rPr>
        <w:t xml:space="preserve">580.  </w:t>
      </w:r>
      <w:r>
        <w:rPr>
          <w:color w:val="212121"/>
          <w:shd w:val="clear" w:color="auto" w:fill="FFFFFF"/>
        </w:rPr>
        <w:t xml:space="preserve">To mark the closure, </w:t>
      </w:r>
      <w:r>
        <w:rPr>
          <w:color w:val="212121"/>
          <w:shd w:val="clear" w:color="auto" w:fill="FFFFFF"/>
        </w:rPr>
        <w:t>between 7</w:t>
      </w:r>
      <w:r>
        <w:rPr>
          <w:color w:val="212121"/>
          <w:shd w:val="clear" w:color="auto" w:fill="FFFFFF"/>
        </w:rPr>
        <w:t> </w:t>
      </w:r>
      <w:r>
        <w:rPr>
          <w:color w:val="212121"/>
          <w:shd w:val="clear" w:color="auto" w:fill="FFFFFF"/>
        </w:rPr>
        <w:t>and</w:t>
      </w:r>
      <w:r>
        <w:rPr>
          <w:color w:val="212121"/>
          <w:shd w:val="clear" w:color="auto" w:fill="FFFFFF"/>
        </w:rPr>
        <w:t> </w:t>
      </w:r>
      <w:r>
        <w:rPr>
          <w:color w:val="212121"/>
          <w:shd w:val="clear" w:color="auto" w:fill="FFFFFF"/>
        </w:rPr>
        <w:t>8</w:t>
      </w:r>
      <w:r>
        <w:rPr>
          <w:color w:val="212121"/>
          <w:shd w:val="clear" w:color="auto" w:fill="FFFFFF"/>
        </w:rPr>
        <w:t> </w:t>
      </w:r>
      <w:r>
        <w:rPr>
          <w:color w:val="212121"/>
          <w:shd w:val="clear" w:color="auto" w:fill="FFFFFF"/>
        </w:rPr>
        <w:t xml:space="preserve">p.m., </w:t>
      </w:r>
      <w:r>
        <w:rPr>
          <w:color w:val="212121"/>
          <w:shd w:val="clear" w:color="auto" w:fill="FFFFFF"/>
        </w:rPr>
        <w:t>O.C. Jones</w:t>
      </w:r>
      <w:r>
        <w:rPr>
          <w:color w:val="212121"/>
          <w:shd w:val="clear" w:color="auto" w:fill="FFFFFF"/>
        </w:rPr>
        <w:t xml:space="preserve"> </w:t>
      </w:r>
      <w:r>
        <w:rPr>
          <w:color w:val="212121"/>
          <w:shd w:val="clear" w:color="auto" w:fill="FFFFFF"/>
        </w:rPr>
        <w:t>placed traffic signs and an arrow board</w:t>
      </w:r>
      <w:r>
        <w:rPr>
          <w:color w:val="212121"/>
          <w:shd w:val="clear" w:color="auto" w:fill="FFFFFF"/>
        </w:rPr>
        <w:t xml:space="preserve">.  </w:t>
      </w:r>
      <w:r>
        <w:rPr>
          <w:color w:val="212121"/>
          <w:shd w:val="clear" w:color="auto" w:fill="FFFFFF"/>
        </w:rPr>
        <w:t>O.C. Jones</w:t>
      </w:r>
      <w:r>
        <w:rPr>
          <w:color w:val="212121"/>
          <w:shd w:val="clear" w:color="auto" w:fill="FFFFFF"/>
        </w:rPr>
        <w:t xml:space="preserve"> t</w:t>
      </w:r>
      <w:r>
        <w:rPr>
          <w:color w:val="212121"/>
          <w:shd w:val="clear" w:color="auto" w:fill="FFFFFF"/>
        </w:rPr>
        <w:t>hen</w:t>
      </w:r>
      <w:r>
        <w:rPr>
          <w:color w:val="212121"/>
          <w:shd w:val="clear" w:color="auto" w:fill="FFFFFF"/>
        </w:rPr>
        <w:t xml:space="preserve"> closed and separate</w:t>
      </w:r>
      <w:r>
        <w:rPr>
          <w:color w:val="212121"/>
          <w:shd w:val="clear" w:color="auto" w:fill="FFFFFF"/>
        </w:rPr>
        <w:t>d</w:t>
      </w:r>
      <w:r>
        <w:rPr>
          <w:color w:val="212121"/>
          <w:shd w:val="clear" w:color="auto" w:fill="FFFFFF"/>
        </w:rPr>
        <w:t xml:space="preserve"> the two lanes using a cone pattern with reflective tape.  </w:t>
      </w:r>
      <w:r>
        <w:rPr>
          <w:color w:val="212121"/>
          <w:shd w:val="clear" w:color="auto" w:fill="FFFFFF"/>
        </w:rPr>
        <w:t>In addition, t</w:t>
      </w:r>
      <w:r>
        <w:rPr>
          <w:color w:val="212121"/>
          <w:shd w:val="clear" w:color="auto" w:fill="FFFFFF"/>
        </w:rPr>
        <w:t xml:space="preserve">here were multiple trucks and machines at the </w:t>
      </w:r>
      <w:r>
        <w:rPr>
          <w:color w:val="212121"/>
          <w:shd w:val="clear" w:color="auto" w:fill="FFFFFF"/>
        </w:rPr>
        <w:t>project</w:t>
      </w:r>
      <w:r>
        <w:rPr>
          <w:color w:val="212121"/>
          <w:shd w:val="clear" w:color="auto" w:fill="FFFFFF"/>
        </w:rPr>
        <w:t xml:space="preserve"> </w:t>
      </w:r>
      <w:r>
        <w:rPr>
          <w:color w:val="212121"/>
          <w:shd w:val="clear" w:color="auto" w:fill="FFFFFF"/>
        </w:rPr>
        <w:t>site</w:t>
      </w:r>
      <w:r>
        <w:rPr>
          <w:color w:val="212121"/>
          <w:shd w:val="clear" w:color="auto" w:fill="FFFFFF"/>
        </w:rPr>
        <w:t xml:space="preserve">.  The </w:t>
      </w:r>
      <w:r>
        <w:rPr>
          <w:color w:val="212121"/>
          <w:shd w:val="clear" w:color="auto" w:fill="FFFFFF"/>
        </w:rPr>
        <w:t xml:space="preserve">project </w:t>
      </w:r>
      <w:r>
        <w:rPr>
          <w:color w:val="212121"/>
          <w:shd w:val="clear" w:color="auto" w:fill="FFFFFF"/>
        </w:rPr>
        <w:t>site</w:t>
      </w:r>
      <w:r>
        <w:rPr>
          <w:color w:val="212121"/>
          <w:shd w:val="clear" w:color="auto" w:fill="FFFFFF"/>
        </w:rPr>
        <w:t xml:space="preserve"> was </w:t>
      </w:r>
      <w:r>
        <w:rPr>
          <w:color w:val="212121"/>
          <w:shd w:val="clear" w:color="auto" w:fill="FFFFFF"/>
        </w:rPr>
        <w:t xml:space="preserve">further </w:t>
      </w:r>
      <w:r>
        <w:rPr>
          <w:color w:val="212121"/>
          <w:shd w:val="clear" w:color="auto" w:fill="FFFFFF"/>
        </w:rPr>
        <w:t>marked by multiple signs</w:t>
      </w:r>
      <w:r>
        <w:rPr>
          <w:color w:val="212121"/>
          <w:shd w:val="clear" w:color="auto" w:fill="FFFFFF"/>
        </w:rPr>
        <w:t xml:space="preserve"> as well as </w:t>
      </w:r>
      <w:r>
        <w:rPr>
          <w:color w:val="212121"/>
          <w:shd w:val="clear" w:color="auto" w:fill="FFFFFF"/>
        </w:rPr>
        <w:t xml:space="preserve">by </w:t>
      </w:r>
      <w:r>
        <w:rPr>
          <w:color w:val="212121"/>
          <w:shd w:val="clear" w:color="auto" w:fill="FFFFFF"/>
        </w:rPr>
        <w:t xml:space="preserve">construction </w:t>
      </w:r>
      <w:r>
        <w:rPr>
          <w:color w:val="212121"/>
          <w:shd w:val="clear" w:color="auto" w:fill="FFFFFF"/>
        </w:rPr>
        <w:t xml:space="preserve">and street </w:t>
      </w:r>
      <w:r>
        <w:rPr>
          <w:color w:val="212121"/>
          <w:shd w:val="clear" w:color="auto" w:fill="FFFFFF"/>
        </w:rPr>
        <w:t xml:space="preserve">lights. </w:t>
      </w:r>
      <w:r>
        <w:rPr>
          <w:color w:val="212121"/>
          <w:shd w:val="clear" w:color="auto" w:fill="FFFFFF"/>
        </w:rPr>
        <w:t xml:space="preserve"> Several DOT employees were present</w:t>
      </w:r>
      <w:r>
        <w:rPr>
          <w:color w:val="212121"/>
          <w:shd w:val="clear" w:color="auto" w:fill="FFFFFF"/>
        </w:rPr>
        <w:t xml:space="preserve"> at the </w:t>
      </w:r>
      <w:r>
        <w:rPr>
          <w:color w:val="212121"/>
          <w:shd w:val="clear" w:color="auto" w:fill="FFFFFF"/>
        </w:rPr>
        <w:t xml:space="preserve">project </w:t>
      </w:r>
      <w:r>
        <w:rPr>
          <w:color w:val="212121"/>
          <w:shd w:val="clear" w:color="auto" w:fill="FFFFFF"/>
        </w:rPr>
        <w:t>site</w:t>
      </w:r>
      <w:r>
        <w:rPr>
          <w:color w:val="212121"/>
          <w:shd w:val="clear" w:color="auto" w:fill="FFFFFF"/>
        </w:rPr>
        <w:t xml:space="preserve"> at </w:t>
      </w:r>
      <w:r>
        <w:rPr>
          <w:color w:val="212121"/>
          <w:shd w:val="clear" w:color="auto" w:fill="FFFFFF"/>
        </w:rPr>
        <w:lastRenderedPageBreak/>
        <w:t>this time of evening</w:t>
      </w:r>
      <w:r>
        <w:rPr>
          <w:color w:val="212121"/>
          <w:shd w:val="clear" w:color="auto" w:fill="FFFFFF"/>
        </w:rPr>
        <w:t xml:space="preserve">, including </w:t>
      </w:r>
      <w:r>
        <w:rPr>
          <w:color w:val="212121"/>
          <w:shd w:val="clear" w:color="auto" w:fill="FFFFFF"/>
        </w:rPr>
        <w:t>construction</w:t>
      </w:r>
      <w:r>
        <w:rPr>
          <w:color w:val="212121"/>
          <w:shd w:val="clear" w:color="auto" w:fill="FFFFFF"/>
        </w:rPr>
        <w:t xml:space="preserve"> engineer Hana Khoury, construction field engineer </w:t>
      </w:r>
      <w:r>
        <w:rPr>
          <w:color w:val="212121"/>
          <w:shd w:val="clear" w:color="auto" w:fill="FFFFFF"/>
        </w:rPr>
        <w:t>Markus Lansdowne</w:t>
      </w:r>
      <w:r>
        <w:rPr>
          <w:color w:val="212121"/>
          <w:shd w:val="clear" w:color="auto" w:fill="FFFFFF"/>
        </w:rPr>
        <w:t>,</w:t>
      </w:r>
      <w:r>
        <w:rPr>
          <w:color w:val="212121"/>
          <w:shd w:val="clear" w:color="auto" w:fill="FFFFFF"/>
        </w:rPr>
        <w:t xml:space="preserve"> </w:t>
      </w:r>
      <w:r>
        <w:rPr>
          <w:color w:val="212121"/>
          <w:shd w:val="clear" w:color="auto" w:fill="FFFFFF"/>
        </w:rPr>
        <w:t>and inspector John Ruzic.</w:t>
      </w:r>
    </w:p>
    <w:p w14:paraId="7CDFCC2C" w14:textId="77777777" w:rsidR="00577517" w:rsidRDefault="00F20D43" w:rsidP="009F387D">
      <w:pPr>
        <w:tabs>
          <w:tab w:val="clear" w:pos="720"/>
        </w:tabs>
        <w:spacing w:line="360" w:lineRule="auto"/>
        <w:rPr>
          <w:color w:val="212121"/>
          <w:shd w:val="clear" w:color="auto" w:fill="FFFFFF"/>
        </w:rPr>
      </w:pPr>
      <w:r>
        <w:rPr>
          <w:color w:val="212121"/>
          <w:shd w:val="clear" w:color="auto" w:fill="FFFFFF"/>
        </w:rPr>
        <w:tab/>
      </w:r>
      <w:r>
        <w:rPr>
          <w:color w:val="212121"/>
          <w:shd w:val="clear" w:color="auto" w:fill="FFFFFF"/>
        </w:rPr>
        <w:t>Sometime after 8</w:t>
      </w:r>
      <w:r>
        <w:rPr>
          <w:color w:val="212121"/>
          <w:shd w:val="clear" w:color="auto" w:fill="FFFFFF"/>
        </w:rPr>
        <w:t> </w:t>
      </w:r>
      <w:r>
        <w:rPr>
          <w:color w:val="212121"/>
          <w:shd w:val="clear" w:color="auto" w:fill="FFFFFF"/>
        </w:rPr>
        <w:t xml:space="preserve">p.m., an </w:t>
      </w:r>
      <w:r>
        <w:rPr>
          <w:color w:val="212121"/>
          <w:shd w:val="clear" w:color="auto" w:fill="FFFFFF"/>
        </w:rPr>
        <w:t>O.C. Jones</w:t>
      </w:r>
      <w:r>
        <w:rPr>
          <w:color w:val="212121"/>
          <w:shd w:val="clear" w:color="auto" w:fill="FFFFFF"/>
        </w:rPr>
        <w:t xml:space="preserve"> r</w:t>
      </w:r>
      <w:r>
        <w:rPr>
          <w:color w:val="212121"/>
          <w:shd w:val="clear" w:color="auto" w:fill="FFFFFF"/>
        </w:rPr>
        <w:t>epresentative phoned Ruzic</w:t>
      </w:r>
      <w:r>
        <w:rPr>
          <w:color w:val="212121"/>
          <w:shd w:val="clear" w:color="auto" w:fill="FFFFFF"/>
        </w:rPr>
        <w:t xml:space="preserve"> to request a road closure in a different area</w:t>
      </w:r>
      <w:r>
        <w:rPr>
          <w:color w:val="212121"/>
          <w:shd w:val="clear" w:color="auto" w:fill="FFFFFF"/>
        </w:rPr>
        <w:t xml:space="preserve"> in order to perform the work</w:t>
      </w:r>
      <w:r>
        <w:rPr>
          <w:color w:val="212121"/>
          <w:shd w:val="clear" w:color="auto" w:fill="FFFFFF"/>
        </w:rPr>
        <w:t>, which Ruzic authorized.</w:t>
      </w:r>
    </w:p>
    <w:p w14:paraId="30A89E4F" w14:textId="77777777" w:rsidR="00D11EAD" w:rsidRDefault="00F20D43" w:rsidP="009F387D">
      <w:pPr>
        <w:tabs>
          <w:tab w:val="clear" w:pos="720"/>
        </w:tabs>
        <w:spacing w:line="360" w:lineRule="auto"/>
        <w:rPr>
          <w:color w:val="212121"/>
          <w:shd w:val="clear" w:color="auto" w:fill="FFFFFF"/>
        </w:rPr>
      </w:pPr>
      <w:r>
        <w:rPr>
          <w:color w:val="212121"/>
          <w:shd w:val="clear" w:color="auto" w:fill="FFFFFF"/>
        </w:rPr>
        <w:tab/>
        <w:t xml:space="preserve">Later that evening, </w:t>
      </w:r>
      <w:r>
        <w:rPr>
          <w:color w:val="212121"/>
          <w:shd w:val="clear" w:color="auto" w:fill="FFFFFF"/>
        </w:rPr>
        <w:t xml:space="preserve">it was discovered that </w:t>
      </w:r>
      <w:r>
        <w:rPr>
          <w:color w:val="212121"/>
          <w:shd w:val="clear" w:color="auto" w:fill="FFFFFF"/>
        </w:rPr>
        <w:t>O.C. Jones’s</w:t>
      </w:r>
      <w:r>
        <w:rPr>
          <w:color w:val="212121"/>
          <w:shd w:val="clear" w:color="auto" w:fill="FFFFFF"/>
        </w:rPr>
        <w:t xml:space="preserve"> grinding equipment was ineffective in removing certain pockets of asphalt</w:t>
      </w:r>
      <w:r>
        <w:rPr>
          <w:color w:val="212121"/>
          <w:shd w:val="clear" w:color="auto" w:fill="FFFFFF"/>
        </w:rPr>
        <w:t xml:space="preserve"> and that manual removal was required.  D</w:t>
      </w:r>
      <w:r>
        <w:rPr>
          <w:color w:val="212121"/>
          <w:shd w:val="clear" w:color="auto" w:fill="FFFFFF"/>
        </w:rPr>
        <w:t>ecedent</w:t>
      </w:r>
      <w:r>
        <w:rPr>
          <w:color w:val="212121"/>
          <w:shd w:val="clear" w:color="auto" w:fill="FFFFFF"/>
        </w:rPr>
        <w:t>’s team</w:t>
      </w:r>
      <w:r>
        <w:rPr>
          <w:color w:val="212121"/>
          <w:shd w:val="clear" w:color="auto" w:fill="FFFFFF"/>
        </w:rPr>
        <w:t xml:space="preserve"> w</w:t>
      </w:r>
      <w:r>
        <w:rPr>
          <w:color w:val="212121"/>
          <w:shd w:val="clear" w:color="auto" w:fill="FFFFFF"/>
        </w:rPr>
        <w:t>as</w:t>
      </w:r>
      <w:r>
        <w:rPr>
          <w:color w:val="212121"/>
          <w:shd w:val="clear" w:color="auto" w:fill="FFFFFF"/>
        </w:rPr>
        <w:t xml:space="preserve"> </w:t>
      </w:r>
      <w:r>
        <w:rPr>
          <w:color w:val="212121"/>
          <w:shd w:val="clear" w:color="auto" w:fill="FFFFFF"/>
        </w:rPr>
        <w:t xml:space="preserve">thus </w:t>
      </w:r>
      <w:r>
        <w:rPr>
          <w:color w:val="212121"/>
          <w:shd w:val="clear" w:color="auto" w:fill="FFFFFF"/>
        </w:rPr>
        <w:t xml:space="preserve">tasked with performing this work with hand and pneumatic tools.  </w:t>
      </w:r>
      <w:r>
        <w:rPr>
          <w:color w:val="212121"/>
          <w:shd w:val="clear" w:color="auto" w:fill="FFFFFF"/>
        </w:rPr>
        <w:t xml:space="preserve">Decedent went to work </w:t>
      </w:r>
      <w:r>
        <w:rPr>
          <w:color w:val="212121"/>
          <w:shd w:val="clear" w:color="auto" w:fill="FFFFFF"/>
        </w:rPr>
        <w:t>along</w:t>
      </w:r>
      <w:r>
        <w:rPr>
          <w:color w:val="212121"/>
          <w:shd w:val="clear" w:color="auto" w:fill="FFFFFF"/>
        </w:rPr>
        <w:t xml:space="preserve"> the </w:t>
      </w:r>
      <w:r>
        <w:rPr>
          <w:color w:val="212121"/>
          <w:shd w:val="clear" w:color="auto" w:fill="FFFFFF"/>
        </w:rPr>
        <w:t>eight-foot-wide</w:t>
      </w:r>
      <w:r>
        <w:rPr>
          <w:color w:val="212121"/>
          <w:shd w:val="clear" w:color="auto" w:fill="FFFFFF"/>
        </w:rPr>
        <w:t xml:space="preserve"> left</w:t>
      </w:r>
      <w:r>
        <w:rPr>
          <w:color w:val="212121"/>
          <w:shd w:val="clear" w:color="auto" w:fill="FFFFFF"/>
        </w:rPr>
        <w:t xml:space="preserve"> shoulder adjacent to the number</w:t>
      </w:r>
      <w:r>
        <w:rPr>
          <w:color w:val="212121"/>
          <w:shd w:val="clear" w:color="auto" w:fill="FFFFFF"/>
        </w:rPr>
        <w:t> 1</w:t>
      </w:r>
      <w:r>
        <w:rPr>
          <w:color w:val="212121"/>
          <w:shd w:val="clear" w:color="auto" w:fill="FFFFFF"/>
        </w:rPr>
        <w:t xml:space="preserve"> lane, removing the asphalt and then hand shoveling the loose material into a bucket.  This work, located away from the main paving operation, was illuminated by headlights on a front loader and ladder-mounted lights on a </w:t>
      </w:r>
      <w:r>
        <w:rPr>
          <w:color w:val="212121"/>
          <w:shd w:val="clear" w:color="auto" w:fill="FFFFFF"/>
        </w:rPr>
        <w:t xml:space="preserve">pickup truck with an air compressor trailer, both of which were positioned in the left shoulder against a tall concrete retaining wall. </w:t>
      </w:r>
    </w:p>
    <w:p w14:paraId="4FCE0CF2" w14:textId="77777777" w:rsidR="00F64555" w:rsidRPr="00D86B3F" w:rsidRDefault="00F20D43" w:rsidP="009F387D">
      <w:pPr>
        <w:tabs>
          <w:tab w:val="clear" w:pos="720"/>
        </w:tabs>
        <w:spacing w:line="360" w:lineRule="auto"/>
        <w:rPr>
          <w:color w:val="212121"/>
          <w:shd w:val="clear" w:color="auto" w:fill="FFFFFF"/>
        </w:rPr>
      </w:pPr>
      <w:r>
        <w:rPr>
          <w:color w:val="212121"/>
          <w:shd w:val="clear" w:color="auto" w:fill="FFFFFF"/>
        </w:rPr>
        <w:tab/>
      </w:r>
      <w:r>
        <w:rPr>
          <w:color w:val="212121"/>
          <w:shd w:val="clear" w:color="auto" w:fill="FFFFFF"/>
        </w:rPr>
        <w:t>About 12:18 a.m.</w:t>
      </w:r>
      <w:r>
        <w:rPr>
          <w:color w:val="212121"/>
          <w:shd w:val="clear" w:color="auto" w:fill="FFFFFF"/>
        </w:rPr>
        <w:t xml:space="preserve"> on September</w:t>
      </w:r>
      <w:r>
        <w:rPr>
          <w:color w:val="212121"/>
          <w:shd w:val="clear" w:color="auto" w:fill="FFFFFF"/>
        </w:rPr>
        <w:t> </w:t>
      </w:r>
      <w:r>
        <w:rPr>
          <w:color w:val="212121"/>
          <w:shd w:val="clear" w:color="auto" w:fill="FFFFFF"/>
        </w:rPr>
        <w:t>19, 2015</w:t>
      </w:r>
      <w:r>
        <w:rPr>
          <w:color w:val="212121"/>
          <w:shd w:val="clear" w:color="auto" w:fill="FFFFFF"/>
        </w:rPr>
        <w:t xml:space="preserve">, </w:t>
      </w:r>
      <w:r>
        <w:rPr>
          <w:color w:val="212121"/>
          <w:shd w:val="clear" w:color="auto" w:fill="FFFFFF"/>
        </w:rPr>
        <w:t>decedent was speaking with the operator of the front loader when a car operate</w:t>
      </w:r>
      <w:r>
        <w:rPr>
          <w:color w:val="212121"/>
          <w:shd w:val="clear" w:color="auto" w:fill="FFFFFF"/>
        </w:rPr>
        <w:t xml:space="preserve">d by a drunk driver entered the closed lanes of the </w:t>
      </w:r>
      <w:r>
        <w:rPr>
          <w:color w:val="212121"/>
          <w:shd w:val="clear" w:color="auto" w:fill="FFFFFF"/>
        </w:rPr>
        <w:t>project</w:t>
      </w:r>
      <w:r>
        <w:rPr>
          <w:color w:val="212121"/>
          <w:shd w:val="clear" w:color="auto" w:fill="FFFFFF"/>
        </w:rPr>
        <w:t xml:space="preserve"> site and struck him</w:t>
      </w:r>
      <w:r>
        <w:rPr>
          <w:color w:val="212121"/>
          <w:shd w:val="clear" w:color="auto" w:fill="FFFFFF"/>
        </w:rPr>
        <w:t xml:space="preserve"> before</w:t>
      </w:r>
      <w:r>
        <w:rPr>
          <w:color w:val="212121"/>
          <w:shd w:val="clear" w:color="auto" w:fill="FFFFFF"/>
        </w:rPr>
        <w:t xml:space="preserve"> coming to a stop in </w:t>
      </w:r>
      <w:r>
        <w:rPr>
          <w:color w:val="212121"/>
          <w:shd w:val="clear" w:color="auto" w:fill="FFFFFF"/>
        </w:rPr>
        <w:t>th</w:t>
      </w:r>
      <w:r>
        <w:rPr>
          <w:color w:val="212121"/>
          <w:shd w:val="clear" w:color="auto" w:fill="FFFFFF"/>
        </w:rPr>
        <w:t>e number</w:t>
      </w:r>
      <w:r>
        <w:rPr>
          <w:color w:val="212121"/>
          <w:shd w:val="clear" w:color="auto" w:fill="FFFFFF"/>
        </w:rPr>
        <w:t> 2</w:t>
      </w:r>
      <w:r>
        <w:rPr>
          <w:color w:val="212121"/>
          <w:shd w:val="clear" w:color="auto" w:fill="FFFFFF"/>
        </w:rPr>
        <w:t xml:space="preserve"> lane</w:t>
      </w:r>
      <w:r>
        <w:rPr>
          <w:color w:val="212121"/>
          <w:shd w:val="clear" w:color="auto" w:fill="FFFFFF"/>
        </w:rPr>
        <w:t>.  Decedent died on the scene from multiple blunt traumatic injuries.</w:t>
      </w:r>
    </w:p>
    <w:p w14:paraId="2ED38E5C" w14:textId="77777777" w:rsidR="000C56E4" w:rsidRDefault="00F20D43" w:rsidP="009F387D">
      <w:pPr>
        <w:tabs>
          <w:tab w:val="clear" w:pos="720"/>
        </w:tabs>
        <w:spacing w:line="360" w:lineRule="auto"/>
      </w:pPr>
      <w:r w:rsidRPr="00C14F43">
        <w:tab/>
      </w:r>
      <w:r w:rsidRPr="00C14F43">
        <w:t>Plaintiffs</w:t>
      </w:r>
      <w:r>
        <w:t>, decedent’s wife and minor child,</w:t>
      </w:r>
      <w:r w:rsidRPr="00C14F43">
        <w:t xml:space="preserve"> </w:t>
      </w:r>
      <w:r w:rsidRPr="00C14F43">
        <w:t>subsequently brought this wrongful death lawsuit again</w:t>
      </w:r>
      <w:r>
        <w:t xml:space="preserve">st the DOT, </w:t>
      </w:r>
      <w:r>
        <w:t>fil</w:t>
      </w:r>
      <w:r>
        <w:t>ing</w:t>
      </w:r>
      <w:r>
        <w:t xml:space="preserve"> the operative </w:t>
      </w:r>
      <w:r>
        <w:t>second amended complaint</w:t>
      </w:r>
      <w:r>
        <w:t xml:space="preserve"> o</w:t>
      </w:r>
      <w:r>
        <w:t xml:space="preserve">n </w:t>
      </w:r>
      <w:r>
        <w:t>December</w:t>
      </w:r>
      <w:r>
        <w:t> </w:t>
      </w:r>
      <w:r>
        <w:t>20, 2017</w:t>
      </w:r>
      <w:r>
        <w:t>.</w:t>
      </w:r>
      <w:r>
        <w:rPr>
          <w:rStyle w:val="FootnoteReference"/>
        </w:rPr>
        <w:footnoteReference w:id="2"/>
      </w:r>
      <w:r>
        <w:t xml:space="preserve">  This complaint asserted three causes of action against the DOT: (1)</w:t>
      </w:r>
      <w:r>
        <w:t> </w:t>
      </w:r>
      <w:r>
        <w:t xml:space="preserve">vicarious liability for the negligence of its </w:t>
      </w:r>
      <w:r>
        <w:lastRenderedPageBreak/>
        <w:t>emplo</w:t>
      </w:r>
      <w:r>
        <w:t>yees (§ 815.2); (2)</w:t>
      </w:r>
      <w:r>
        <w:t> </w:t>
      </w:r>
      <w:r>
        <w:t>failure to discharge a mandatory duty (§ 815.</w:t>
      </w:r>
      <w:r>
        <w:t>6</w:t>
      </w:r>
      <w:r>
        <w:t>); and (3)</w:t>
      </w:r>
      <w:r>
        <w:t> </w:t>
      </w:r>
      <w:r>
        <w:t xml:space="preserve">dangerous condition on public property (§ 835).  Plaintiffs sought both compensatory and punitive damages. </w:t>
      </w:r>
      <w:r>
        <w:t xml:space="preserve"> The DOT subsequently answered the </w:t>
      </w:r>
      <w:r>
        <w:t>second amended complaint</w:t>
      </w:r>
      <w:r>
        <w:t xml:space="preserve">, </w:t>
      </w:r>
      <w:r>
        <w:t>rais</w:t>
      </w:r>
      <w:r>
        <w:t xml:space="preserve">ing </w:t>
      </w:r>
      <w:r>
        <w:t>26</w:t>
      </w:r>
      <w:r>
        <w:t xml:space="preserve"> </w:t>
      </w:r>
      <w:r>
        <w:t>affirmative defenses.</w:t>
      </w:r>
    </w:p>
    <w:p w14:paraId="05092F39" w14:textId="77777777" w:rsidR="00A756ED" w:rsidRDefault="00F20D43" w:rsidP="009F387D">
      <w:pPr>
        <w:tabs>
          <w:tab w:val="clear" w:pos="720"/>
        </w:tabs>
        <w:spacing w:line="360" w:lineRule="auto"/>
      </w:pPr>
      <w:r>
        <w:tab/>
      </w:r>
      <w:r>
        <w:t xml:space="preserve">On </w:t>
      </w:r>
      <w:r>
        <w:t>January</w:t>
      </w:r>
      <w:r>
        <w:t> </w:t>
      </w:r>
      <w:r>
        <w:t>3, 2018</w:t>
      </w:r>
      <w:r>
        <w:t xml:space="preserve">, the DOT successfully demurred to plaintiffs’ cause of action for failure to discharge a mandatory duty. </w:t>
      </w:r>
      <w:r>
        <w:t xml:space="preserve"> The court overruled the DOT’s demurrer to the causes of action for a dangerous condition on public property </w:t>
      </w:r>
      <w:r>
        <w:t>and vicarious liability for its employees</w:t>
      </w:r>
      <w:r>
        <w:t>’ negligence</w:t>
      </w:r>
      <w:r>
        <w:t>.</w:t>
      </w:r>
    </w:p>
    <w:p w14:paraId="4C656257" w14:textId="77777777" w:rsidR="004B4250" w:rsidRDefault="00F20D43" w:rsidP="009F387D">
      <w:pPr>
        <w:tabs>
          <w:tab w:val="clear" w:pos="720"/>
        </w:tabs>
        <w:spacing w:line="360" w:lineRule="auto"/>
      </w:pPr>
      <w:r>
        <w:tab/>
        <w:t xml:space="preserve">On </w:t>
      </w:r>
      <w:r>
        <w:t>February</w:t>
      </w:r>
      <w:r>
        <w:t> </w:t>
      </w:r>
      <w:r>
        <w:t>11, 2020</w:t>
      </w:r>
      <w:r>
        <w:t>, the DOT moved for summary judgment</w:t>
      </w:r>
      <w:r>
        <w:t xml:space="preserve"> as to the remaining two causes of action</w:t>
      </w:r>
      <w:r>
        <w:t>.  The DOT</w:t>
      </w:r>
      <w:r>
        <w:t xml:space="preserve"> argu</w:t>
      </w:r>
      <w:r>
        <w:t>ed</w:t>
      </w:r>
      <w:r>
        <w:t xml:space="preserve"> </w:t>
      </w:r>
      <w:r>
        <w:t>as to both causes of action that (1)</w:t>
      </w:r>
      <w:r>
        <w:t> </w:t>
      </w:r>
      <w:r>
        <w:t xml:space="preserve">it was immune from liability as a public entity </w:t>
      </w:r>
      <w:r>
        <w:t xml:space="preserve">(§§ 830.8, 845); </w:t>
      </w:r>
      <w:r>
        <w:t>(2)</w:t>
      </w:r>
      <w:r>
        <w:t> </w:t>
      </w:r>
      <w:r>
        <w:t xml:space="preserve">the lawsuit was barred under </w:t>
      </w:r>
      <w:r w:rsidRPr="00C22125">
        <w:rPr>
          <w:i/>
          <w:iCs/>
        </w:rPr>
        <w:t xml:space="preserve">Privette </w:t>
      </w:r>
      <w:r>
        <w:rPr>
          <w:i/>
          <w:iCs/>
        </w:rPr>
        <w:t>v</w:t>
      </w:r>
      <w:r w:rsidRPr="00C22125">
        <w:rPr>
          <w:i/>
          <w:iCs/>
        </w:rPr>
        <w:t>. Superior Court</w:t>
      </w:r>
      <w:r>
        <w:t xml:space="preserve"> (1993) 5 </w:t>
      </w:r>
      <w:r w:rsidRPr="00C22125">
        <w:t xml:space="preserve">Cal.4th </w:t>
      </w:r>
      <w:r>
        <w:t>689 (</w:t>
      </w:r>
      <w:r w:rsidRPr="00C22125">
        <w:rPr>
          <w:i/>
          <w:iCs/>
        </w:rPr>
        <w:t>Privette</w:t>
      </w:r>
      <w:r>
        <w:t xml:space="preserve">) because the DOT properly delegated workplace safety to </w:t>
      </w:r>
      <w:r>
        <w:t>O.C. Jones</w:t>
      </w:r>
      <w:r>
        <w:t>; and (3)</w:t>
      </w:r>
      <w:r>
        <w:t> </w:t>
      </w:r>
      <w:r>
        <w:t xml:space="preserve">the drunk driver’s criminal conduct that caused decedent’s death was </w:t>
      </w:r>
      <w:r>
        <w:t>not reasonably foreseeable</w:t>
      </w:r>
      <w:r>
        <w:t>.</w:t>
      </w:r>
    </w:p>
    <w:p w14:paraId="687A8C21" w14:textId="77777777" w:rsidR="00AE207D" w:rsidRDefault="00F20D43" w:rsidP="009F387D">
      <w:pPr>
        <w:tabs>
          <w:tab w:val="clear" w:pos="720"/>
        </w:tabs>
        <w:spacing w:line="360" w:lineRule="auto"/>
      </w:pPr>
      <w:r>
        <w:tab/>
        <w:t xml:space="preserve">In support of its motion, the DOT offered a declaration from </w:t>
      </w:r>
      <w:r>
        <w:t>DOT inspector R</w:t>
      </w:r>
      <w:r>
        <w:t>uzic</w:t>
      </w:r>
      <w:r>
        <w:t>, who attested that his role</w:t>
      </w:r>
      <w:r>
        <w:t xml:space="preserve"> a</w:t>
      </w:r>
      <w:r>
        <w:t xml:space="preserve">t the </w:t>
      </w:r>
      <w:r>
        <w:t>project</w:t>
      </w:r>
      <w:r>
        <w:t xml:space="preserve"> site was to ensure </w:t>
      </w:r>
      <w:r>
        <w:t>O.C. Jones</w:t>
      </w:r>
      <w:r>
        <w:t xml:space="preserve"> was complying with the terms of the contract, including its safety obliga</w:t>
      </w:r>
      <w:r>
        <w:t xml:space="preserve">tions.  </w:t>
      </w:r>
      <w:r>
        <w:t>Ruzic</w:t>
      </w:r>
      <w:r>
        <w:t xml:space="preserve"> did not in</w:t>
      </w:r>
      <w:r>
        <w:t>struct or control</w:t>
      </w:r>
      <w:r>
        <w:t xml:space="preserve"> </w:t>
      </w:r>
      <w:r>
        <w:t>O.C. Jones</w:t>
      </w:r>
      <w:r>
        <w:t xml:space="preserve"> as to how</w:t>
      </w:r>
      <w:r>
        <w:t xml:space="preserve"> </w:t>
      </w:r>
      <w:r>
        <w:t xml:space="preserve">to </w:t>
      </w:r>
      <w:r>
        <w:t xml:space="preserve">comply with its safety obligations.  </w:t>
      </w:r>
      <w:r>
        <w:t>Further</w:t>
      </w:r>
      <w:r>
        <w:t xml:space="preserve">, on the night in question, </w:t>
      </w:r>
      <w:r>
        <w:t>Ruzic</w:t>
      </w:r>
      <w:r>
        <w:t xml:space="preserve"> observed </w:t>
      </w:r>
      <w:r>
        <w:t xml:space="preserve">that </w:t>
      </w:r>
      <w:r>
        <w:t>O.C. Jones</w:t>
      </w:r>
      <w:r>
        <w:t xml:space="preserve"> compl</w:t>
      </w:r>
      <w:r>
        <w:t>ied</w:t>
      </w:r>
      <w:r>
        <w:t xml:space="preserve"> with its safety plan </w:t>
      </w:r>
      <w:r>
        <w:t>by: (1)</w:t>
      </w:r>
      <w:r>
        <w:t> </w:t>
      </w:r>
      <w:r>
        <w:t>placing warning signs up at 7</w:t>
      </w:r>
      <w:r>
        <w:t> </w:t>
      </w:r>
      <w:r>
        <w:t>p</w:t>
      </w:r>
      <w:r>
        <w:t>.</w:t>
      </w:r>
      <w:r>
        <w:t>m</w:t>
      </w:r>
      <w:r>
        <w:t>.</w:t>
      </w:r>
      <w:r>
        <w:t>; (2)</w:t>
      </w:r>
      <w:r>
        <w:t> </w:t>
      </w:r>
      <w:r>
        <w:t>putting t</w:t>
      </w:r>
      <w:r>
        <w:t>he arrow board in place at 8</w:t>
      </w:r>
      <w:r>
        <w:t> </w:t>
      </w:r>
      <w:r>
        <w:t>p</w:t>
      </w:r>
      <w:r>
        <w:t>.</w:t>
      </w:r>
      <w:r>
        <w:t>m</w:t>
      </w:r>
      <w:r>
        <w:t>.</w:t>
      </w:r>
      <w:r>
        <w:t>; and (3)</w:t>
      </w:r>
      <w:r>
        <w:t> </w:t>
      </w:r>
      <w:r>
        <w:t>ensuring all the tapers set up by the cones were in proper position by around 8</w:t>
      </w:r>
      <w:r>
        <w:t> </w:t>
      </w:r>
      <w:r>
        <w:t>p</w:t>
      </w:r>
      <w:r>
        <w:t>.</w:t>
      </w:r>
      <w:r>
        <w:t>m.  Sometime after 8</w:t>
      </w:r>
      <w:r>
        <w:t> p.m.</w:t>
      </w:r>
      <w:r>
        <w:t xml:space="preserve">, an </w:t>
      </w:r>
      <w:r>
        <w:t>O.C. Jones</w:t>
      </w:r>
      <w:r>
        <w:t xml:space="preserve"> representative phoned Ruzic to request a road closure in a new area.  Ruzic authorized the</w:t>
      </w:r>
      <w:r>
        <w:t xml:space="preserve"> change before leaving the </w:t>
      </w:r>
      <w:r>
        <w:t xml:space="preserve">project </w:t>
      </w:r>
      <w:r>
        <w:t>site for a meal.  As such, he was not present when the accident occurred.</w:t>
      </w:r>
    </w:p>
    <w:p w14:paraId="405EB6BD" w14:textId="77777777" w:rsidR="004B4250" w:rsidRDefault="00F20D43" w:rsidP="009F387D">
      <w:pPr>
        <w:tabs>
          <w:tab w:val="clear" w:pos="720"/>
        </w:tabs>
        <w:spacing w:line="360" w:lineRule="auto"/>
      </w:pPr>
      <w:r>
        <w:lastRenderedPageBreak/>
        <w:tab/>
      </w:r>
      <w:r>
        <w:t xml:space="preserve">The </w:t>
      </w:r>
      <w:r>
        <w:t xml:space="preserve">DOT also offered a declaration from </w:t>
      </w:r>
      <w:r>
        <w:t xml:space="preserve">DOT </w:t>
      </w:r>
      <w:r>
        <w:t>c</w:t>
      </w:r>
      <w:r>
        <w:t xml:space="preserve">onstruction </w:t>
      </w:r>
      <w:r>
        <w:t>e</w:t>
      </w:r>
      <w:r>
        <w:t>ngineer Khoury, who supervised the project.  Khoury attested that the contract between t</w:t>
      </w:r>
      <w:r>
        <w:t xml:space="preserve">he DOT and </w:t>
      </w:r>
      <w:r>
        <w:t>O.C. Jones</w:t>
      </w:r>
      <w:r>
        <w:t xml:space="preserve"> was entered into on February</w:t>
      </w:r>
      <w:r>
        <w:t> </w:t>
      </w:r>
      <w:r>
        <w:t xml:space="preserve">18, </w:t>
      </w:r>
      <w:r>
        <w:t>2015</w:t>
      </w:r>
      <w:r>
        <w:t xml:space="preserve">, and delegated to </w:t>
      </w:r>
      <w:r>
        <w:t>O.C. Jones</w:t>
      </w:r>
      <w:r>
        <w:t xml:space="preserve"> the responsibility for selecting the means and methods for performing under the contract work, including those de</w:t>
      </w:r>
      <w:r>
        <w:t>s</w:t>
      </w:r>
      <w:r>
        <w:t xml:space="preserve">igned to ensure worker safety.  According to Khoury, the DOT did not direct </w:t>
      </w:r>
      <w:r>
        <w:t>O.C. Jones</w:t>
      </w:r>
      <w:r>
        <w:t xml:space="preserve"> (or any of its contractors) regarding the means and me</w:t>
      </w:r>
      <w:r>
        <w:t xml:space="preserve">thods of performing </w:t>
      </w:r>
      <w:r>
        <w:t>the</w:t>
      </w:r>
      <w:r>
        <w:t xml:space="preserve"> </w:t>
      </w:r>
      <w:r>
        <w:t xml:space="preserve">work required under the </w:t>
      </w:r>
      <w:r>
        <w:t>contract</w:t>
      </w:r>
      <w:r>
        <w:t>.</w:t>
      </w:r>
    </w:p>
    <w:p w14:paraId="0C9547F5" w14:textId="77777777" w:rsidR="0073457F" w:rsidRDefault="00F20D43" w:rsidP="009F387D">
      <w:pPr>
        <w:tabs>
          <w:tab w:val="clear" w:pos="720"/>
        </w:tabs>
        <w:spacing w:line="360" w:lineRule="auto"/>
      </w:pPr>
      <w:r>
        <w:tab/>
      </w:r>
      <w:r>
        <w:t>Plaintiffs opposed this motion</w:t>
      </w:r>
      <w:r>
        <w:t xml:space="preserve"> and </w:t>
      </w:r>
      <w:r>
        <w:t xml:space="preserve">offered </w:t>
      </w:r>
      <w:r>
        <w:t>their</w:t>
      </w:r>
      <w:r>
        <w:t xml:space="preserve"> own </w:t>
      </w:r>
      <w:r>
        <w:t>evidence.</w:t>
      </w:r>
      <w:r>
        <w:t xml:space="preserve">  </w:t>
      </w:r>
      <w:r>
        <w:t xml:space="preserve">Plaintiffs </w:t>
      </w:r>
      <w:r>
        <w:t>argued, inter</w:t>
      </w:r>
      <w:r>
        <w:t> </w:t>
      </w:r>
      <w:r>
        <w:t xml:space="preserve">alia, that </w:t>
      </w:r>
      <w:r>
        <w:t>triable issues of fact exist</w:t>
      </w:r>
      <w:r>
        <w:t>ed</w:t>
      </w:r>
      <w:r>
        <w:t xml:space="preserve"> as to whether </w:t>
      </w:r>
      <w:r>
        <w:t xml:space="preserve">the DOT retained control over the </w:t>
      </w:r>
      <w:r>
        <w:t xml:space="preserve">construction </w:t>
      </w:r>
      <w:r>
        <w:t>proje</w:t>
      </w:r>
      <w:r>
        <w:t>ct</w:t>
      </w:r>
      <w:r>
        <w:t xml:space="preserve"> and whether</w:t>
      </w:r>
      <w:r>
        <w:t xml:space="preserve">, </w:t>
      </w:r>
      <w:r>
        <w:t>notwithstanding</w:t>
      </w:r>
      <w:r>
        <w:t xml:space="preserve"> the drunk driver’s conduct</w:t>
      </w:r>
      <w:r>
        <w:t xml:space="preserve">, </w:t>
      </w:r>
      <w:r>
        <w:t xml:space="preserve">the DOT </w:t>
      </w:r>
      <w:r>
        <w:t xml:space="preserve">could be held </w:t>
      </w:r>
      <w:r>
        <w:t xml:space="preserve">liable for its own negligence. </w:t>
      </w:r>
      <w:r>
        <w:t xml:space="preserve"> In support</w:t>
      </w:r>
      <w:r>
        <w:t xml:space="preserve"> of these arguments</w:t>
      </w:r>
      <w:r>
        <w:t xml:space="preserve">, </w:t>
      </w:r>
      <w:r>
        <w:t xml:space="preserve">plaintiffs relied on a </w:t>
      </w:r>
      <w:r>
        <w:t>part</w:t>
      </w:r>
      <w:r>
        <w:t xml:space="preserve"> of the parties’ contract entitled 2010 Standard Specifications</w:t>
      </w:r>
      <w:r>
        <w:t>,</w:t>
      </w:r>
      <w:r>
        <w:t xml:space="preserve"> </w:t>
      </w:r>
      <w:r>
        <w:t>part </w:t>
      </w:r>
      <w:r>
        <w:t xml:space="preserve">5 (Control of </w:t>
      </w:r>
      <w:r>
        <w:t xml:space="preserve">Work), which </w:t>
      </w:r>
      <w:r>
        <w:t xml:space="preserve">stated that </w:t>
      </w:r>
      <w:r>
        <w:t>the DOT’s resident engineer was responsible for making final decisions on questions regarding the contract, including the manner of work performance and work quality and acceptability.</w:t>
      </w:r>
    </w:p>
    <w:p w14:paraId="55F62691" w14:textId="77777777" w:rsidR="00180F08" w:rsidRDefault="00F20D43" w:rsidP="009F387D">
      <w:pPr>
        <w:tabs>
          <w:tab w:val="clear" w:pos="720"/>
        </w:tabs>
        <w:spacing w:line="360" w:lineRule="auto"/>
      </w:pPr>
      <w:r>
        <w:tab/>
        <w:t>Plaintiffs also offered the declaration of Ch</w:t>
      </w:r>
      <w:r>
        <w:t xml:space="preserve">ristian Engelmann, a </w:t>
      </w:r>
      <w:r>
        <w:t>civil and traffic</w:t>
      </w:r>
      <w:r>
        <w:t xml:space="preserve"> engineer formerly employed by the DOT</w:t>
      </w:r>
      <w:r>
        <w:t xml:space="preserve"> (Engelmann declaration)</w:t>
      </w:r>
      <w:r>
        <w:t xml:space="preserve">.  </w:t>
      </w:r>
      <w:r>
        <w:t xml:space="preserve">Engelmann </w:t>
      </w:r>
      <w:r>
        <w:t>attested</w:t>
      </w:r>
      <w:r>
        <w:t xml:space="preserve"> as to his expertise and familiarity with highway traffic safety in general and the DOT’s highway traffic safety policies and procedure</w:t>
      </w:r>
      <w:r>
        <w:t>s in particular</w:t>
      </w:r>
      <w:r>
        <w:t>.</w:t>
      </w:r>
      <w:r>
        <w:t xml:space="preserve">  Based on his </w:t>
      </w:r>
      <w:r>
        <w:t xml:space="preserve">professional </w:t>
      </w:r>
      <w:r>
        <w:t>experience with the DOT</w:t>
      </w:r>
      <w:r>
        <w:t xml:space="preserve"> as well as his engineering expertise</w:t>
      </w:r>
      <w:r>
        <w:t xml:space="preserve"> and</w:t>
      </w:r>
      <w:r>
        <w:t xml:space="preserve"> </w:t>
      </w:r>
      <w:r>
        <w:t xml:space="preserve">review of relevant </w:t>
      </w:r>
      <w:r>
        <w:t xml:space="preserve">case </w:t>
      </w:r>
      <w:r>
        <w:t>material</w:t>
      </w:r>
      <w:r>
        <w:t>s</w:t>
      </w:r>
      <w:r>
        <w:t xml:space="preserve">, Engelmann </w:t>
      </w:r>
      <w:r>
        <w:t>opined, inter</w:t>
      </w:r>
      <w:r>
        <w:t> </w:t>
      </w:r>
      <w:r>
        <w:t xml:space="preserve">alia, that the project site constituted a dangerous condition on the night in question, that decedent’s death was foreseeable based on said condition, and that the DOT had a duty, which it failed, to </w:t>
      </w:r>
      <w:r>
        <w:t>inspect the project site for proper safety measures</w:t>
      </w:r>
      <w:r>
        <w:t>.</w:t>
      </w:r>
    </w:p>
    <w:p w14:paraId="5F327B17" w14:textId="77777777" w:rsidR="00180F08" w:rsidRDefault="00F20D43" w:rsidP="009F387D">
      <w:pPr>
        <w:tabs>
          <w:tab w:val="clear" w:pos="720"/>
        </w:tabs>
        <w:spacing w:line="360" w:lineRule="auto"/>
      </w:pPr>
      <w:r>
        <w:lastRenderedPageBreak/>
        <w:tab/>
        <w:t>On</w:t>
      </w:r>
      <w:r>
        <w:t xml:space="preserve"> </w:t>
      </w:r>
      <w:r>
        <w:t>September</w:t>
      </w:r>
      <w:r>
        <w:t> </w:t>
      </w:r>
      <w:r>
        <w:t>4, 2020</w:t>
      </w:r>
      <w:r>
        <w:t xml:space="preserve">, the DOT filed objections to </w:t>
      </w:r>
      <w:r>
        <w:t xml:space="preserve">32 </w:t>
      </w:r>
      <w:r>
        <w:t>statements in</w:t>
      </w:r>
      <w:r>
        <w:t xml:space="preserve"> the Engelmann declaration</w:t>
      </w:r>
      <w:r>
        <w:t xml:space="preserve">. </w:t>
      </w:r>
      <w:r>
        <w:t xml:space="preserve"> The grounds asserted included irrelevance, undue prejudice, speculation, lack of foundation, improper legal conclusion, and inadmissible hearsay.</w:t>
      </w:r>
    </w:p>
    <w:p w14:paraId="2EA90935" w14:textId="77777777" w:rsidR="00C22125" w:rsidRDefault="00F20D43" w:rsidP="009F387D">
      <w:pPr>
        <w:tabs>
          <w:tab w:val="clear" w:pos="720"/>
        </w:tabs>
        <w:spacing w:line="360" w:lineRule="auto"/>
      </w:pPr>
      <w:r>
        <w:tab/>
        <w:t xml:space="preserve">On </w:t>
      </w:r>
      <w:r>
        <w:t>November</w:t>
      </w:r>
      <w:r>
        <w:t> </w:t>
      </w:r>
      <w:r>
        <w:t>9, 2</w:t>
      </w:r>
      <w:r>
        <w:t>020</w:t>
      </w:r>
      <w:r>
        <w:t xml:space="preserve">, </w:t>
      </w:r>
      <w:r>
        <w:t>following a contested hearing</w:t>
      </w:r>
      <w:r>
        <w:t xml:space="preserve">, the trial court </w:t>
      </w:r>
      <w:r>
        <w:t>concluded</w:t>
      </w:r>
      <w:r>
        <w:t xml:space="preserve"> that</w:t>
      </w:r>
      <w:r>
        <w:t>,</w:t>
      </w:r>
      <w:r>
        <w:t xml:space="preserve"> </w:t>
      </w:r>
      <w:r>
        <w:t xml:space="preserve">under </w:t>
      </w:r>
      <w:r w:rsidRPr="003D5231">
        <w:rPr>
          <w:i/>
          <w:iCs/>
        </w:rPr>
        <w:t>Privette</w:t>
      </w:r>
      <w:r>
        <w:t xml:space="preserve"> </w:t>
      </w:r>
      <w:r>
        <w:t xml:space="preserve">and its progeny, the DOT was not liable for decedent’s death as a matter of law because </w:t>
      </w:r>
      <w:r>
        <w:t>the DOT delegated to O.C.</w:t>
      </w:r>
      <w:r>
        <w:t> </w:t>
      </w:r>
      <w:r>
        <w:t>Jones its duty to provide a safe work environment</w:t>
      </w:r>
      <w:r>
        <w:t>.  Additio</w:t>
      </w:r>
      <w:r>
        <w:t xml:space="preserve">nally, the court found no liability </w:t>
      </w:r>
      <w:r>
        <w:t>because</w:t>
      </w:r>
      <w:r>
        <w:t xml:space="preserve"> the conduct of the drunk driver that </w:t>
      </w:r>
      <w:r>
        <w:t xml:space="preserve">killed </w:t>
      </w:r>
      <w:r>
        <w:t xml:space="preserve">decedent was not reasonably foreseeable.  </w:t>
      </w:r>
      <w:r>
        <w:t>Finally</w:t>
      </w:r>
      <w:r>
        <w:t>, the court sustained 31 of the DOT’s 32 objections to the Enge</w:t>
      </w:r>
      <w:r>
        <w:t>l</w:t>
      </w:r>
      <w:r>
        <w:t xml:space="preserve">mann </w:t>
      </w:r>
      <w:r>
        <w:t xml:space="preserve">declaration without explanation.  </w:t>
      </w:r>
      <w:r>
        <w:t>A</w:t>
      </w:r>
      <w:r>
        <w:t>ccordingly</w:t>
      </w:r>
      <w:r>
        <w:t xml:space="preserve">, </w:t>
      </w:r>
      <w:r>
        <w:t>jud</w:t>
      </w:r>
      <w:r>
        <w:t xml:space="preserve">gment </w:t>
      </w:r>
      <w:r>
        <w:t xml:space="preserve">was entered </w:t>
      </w:r>
      <w:r>
        <w:t>for the DOT</w:t>
      </w:r>
      <w:r>
        <w:t xml:space="preserve">.  </w:t>
      </w:r>
      <w:r>
        <w:t>This timely appeal followed</w:t>
      </w:r>
      <w:r>
        <w:t>.</w:t>
      </w:r>
    </w:p>
    <w:p w14:paraId="25D306A7" w14:textId="77777777" w:rsidR="00A756ED" w:rsidRPr="00A756ED" w:rsidRDefault="00F20D43" w:rsidP="00C805BC">
      <w:pPr>
        <w:keepNext/>
        <w:tabs>
          <w:tab w:val="clear" w:pos="720"/>
        </w:tabs>
        <w:spacing w:line="360" w:lineRule="auto"/>
        <w:jc w:val="center"/>
        <w:rPr>
          <w:b/>
          <w:bCs/>
        </w:rPr>
      </w:pPr>
      <w:r w:rsidRPr="00A756ED">
        <w:rPr>
          <w:b/>
          <w:bCs/>
        </w:rPr>
        <w:t>DISCUSSION</w:t>
      </w:r>
    </w:p>
    <w:p w14:paraId="2BB30AB0" w14:textId="77777777" w:rsidR="00A756ED" w:rsidRPr="0097410B" w:rsidRDefault="00F20D43" w:rsidP="00C805BC">
      <w:pPr>
        <w:tabs>
          <w:tab w:val="clear" w:pos="720"/>
        </w:tabs>
        <w:spacing w:line="360" w:lineRule="auto"/>
      </w:pPr>
      <w:r w:rsidRPr="0097410B">
        <w:tab/>
        <w:t>Plaintiffs challenge the</w:t>
      </w:r>
      <w:r w:rsidRPr="0097410B">
        <w:t xml:space="preserve"> </w:t>
      </w:r>
      <w:r w:rsidRPr="0097410B">
        <w:t xml:space="preserve">grant of summary judgment in DOT’s favor on </w:t>
      </w:r>
      <w:r w:rsidRPr="0097410B">
        <w:t>the</w:t>
      </w:r>
      <w:r w:rsidRPr="0097410B">
        <w:t xml:space="preserve"> grounds</w:t>
      </w:r>
      <w:r w:rsidRPr="0097410B">
        <w:t xml:space="preserve"> that (1)</w:t>
      </w:r>
      <w:r>
        <w:t> </w:t>
      </w:r>
      <w:r w:rsidRPr="0097410B">
        <w:t xml:space="preserve">the trial court’s “blanket ruling” sustaining 31 of 32 evidentiary objections was a </w:t>
      </w:r>
      <w:r w:rsidRPr="0097410B">
        <w:t>manifest abuse of discretion and (2)</w:t>
      </w:r>
      <w:r>
        <w:t> </w:t>
      </w:r>
      <w:r w:rsidRPr="0097410B">
        <w:t xml:space="preserve">material issues of disputed fact exist as to their causes of action for vicarious liability under section 815.2 and creating a dangerous condition </w:t>
      </w:r>
      <w:r w:rsidRPr="0097410B">
        <w:t xml:space="preserve">on public property </w:t>
      </w:r>
      <w:r w:rsidRPr="0097410B">
        <w:t>under</w:t>
      </w:r>
      <w:r w:rsidRPr="0097410B">
        <w:t xml:space="preserve"> </w:t>
      </w:r>
      <w:r w:rsidRPr="0097410B">
        <w:t>section 835</w:t>
      </w:r>
      <w:r w:rsidRPr="0097410B">
        <w:t xml:space="preserve">. </w:t>
      </w:r>
      <w:r w:rsidRPr="0097410B">
        <w:t xml:space="preserve"> We address each issue in turn aft</w:t>
      </w:r>
      <w:r w:rsidRPr="0097410B">
        <w:t xml:space="preserve">er setting forth </w:t>
      </w:r>
      <w:r>
        <w:t>our</w:t>
      </w:r>
      <w:r w:rsidRPr="0097410B">
        <w:t xml:space="preserve"> standard of review.</w:t>
      </w:r>
    </w:p>
    <w:p w14:paraId="0EADC97F" w14:textId="77777777" w:rsidR="0097410B" w:rsidRPr="0097410B" w:rsidRDefault="00F20D43" w:rsidP="00666FD9">
      <w:pPr>
        <w:pStyle w:val="NormalWeb"/>
        <w:shd w:val="clear" w:color="auto" w:fill="FFFFFF"/>
        <w:spacing w:before="0" w:beforeAutospacing="0" w:after="0" w:afterAutospacing="0" w:line="360" w:lineRule="auto"/>
        <w:textAlignment w:val="baseline"/>
        <w:rPr>
          <w:rFonts w:ascii="Century Schoolbook" w:hAnsi="Century Schoolbook"/>
          <w:color w:val="212121"/>
          <w:sz w:val="26"/>
          <w:szCs w:val="26"/>
        </w:rPr>
      </w:pPr>
      <w:r w:rsidRPr="0097410B">
        <w:rPr>
          <w:rFonts w:ascii="Century Schoolbook" w:hAnsi="Century Schoolbook"/>
          <w:sz w:val="26"/>
          <w:szCs w:val="26"/>
        </w:rPr>
        <w:tab/>
      </w:r>
      <w:r w:rsidRPr="0097410B">
        <w:rPr>
          <w:rFonts w:ascii="Century Schoolbook" w:hAnsi="Century Schoolbook"/>
          <w:color w:val="212121"/>
          <w:sz w:val="26"/>
          <w:szCs w:val="26"/>
        </w:rPr>
        <w:t xml:space="preserve">A defendant moving for summary judgment must show “that one or more elements of the cause of action </w:t>
      </w:r>
      <w:r>
        <w:rPr>
          <w:rFonts w:ascii="Century Schoolbook" w:hAnsi="Century Schoolbook"/>
          <w:color w:val="212121"/>
          <w:sz w:val="26"/>
          <w:szCs w:val="26"/>
        </w:rPr>
        <w:t>. . .</w:t>
      </w:r>
      <w:r w:rsidRPr="0097410B">
        <w:rPr>
          <w:rFonts w:ascii="Century Schoolbook" w:hAnsi="Century Schoolbook"/>
          <w:color w:val="212121"/>
          <w:sz w:val="26"/>
          <w:szCs w:val="26"/>
        </w:rPr>
        <w:t xml:space="preserve"> cannot be established, or that there is a complete defense to the cause of action.”</w:t>
      </w:r>
      <w:r>
        <w:rPr>
          <w:rFonts w:ascii="Century Schoolbook" w:hAnsi="Century Schoolbook"/>
          <w:color w:val="212121"/>
          <w:sz w:val="26"/>
          <w:szCs w:val="26"/>
        </w:rPr>
        <w:t xml:space="preserve"> </w:t>
      </w:r>
      <w:r w:rsidRPr="0097410B">
        <w:rPr>
          <w:rFonts w:ascii="Century Schoolbook" w:hAnsi="Century Schoolbook"/>
          <w:color w:val="212121"/>
          <w:sz w:val="26"/>
          <w:szCs w:val="26"/>
        </w:rPr>
        <w:t xml:space="preserve"> </w:t>
      </w:r>
      <w:r>
        <w:rPr>
          <w:rFonts w:ascii="Century Schoolbook" w:hAnsi="Century Schoolbook"/>
          <w:color w:val="212121"/>
          <w:sz w:val="26"/>
          <w:szCs w:val="26"/>
        </w:rPr>
        <w:t xml:space="preserve">(Code Civ. Proc., </w:t>
      </w:r>
      <w:r w:rsidRPr="0097410B">
        <w:rPr>
          <w:rFonts w:ascii="Century Schoolbook" w:hAnsi="Century Schoolbook"/>
          <w:color w:val="212121"/>
          <w:sz w:val="26"/>
          <w:szCs w:val="26"/>
        </w:rPr>
        <w:t>§ </w:t>
      </w:r>
      <w:r>
        <w:rPr>
          <w:rFonts w:ascii="Century Schoolbook" w:hAnsi="Century Schoolbook"/>
          <w:color w:val="212121"/>
          <w:sz w:val="26"/>
          <w:szCs w:val="26"/>
        </w:rPr>
        <w:t>437</w:t>
      </w:r>
      <w:r>
        <w:rPr>
          <w:rFonts w:ascii="Century Schoolbook" w:hAnsi="Century Schoolbook"/>
          <w:color w:val="212121"/>
          <w:sz w:val="26"/>
          <w:szCs w:val="26"/>
        </w:rPr>
        <w:t>c, subd. (p)(2).</w:t>
      </w:r>
      <w:r w:rsidRPr="0097410B">
        <w:rPr>
          <w:rFonts w:ascii="Century Schoolbook" w:hAnsi="Century Schoolbook"/>
          <w:color w:val="212121"/>
          <w:sz w:val="26"/>
          <w:szCs w:val="26"/>
        </w:rPr>
        <w:t xml:space="preserve">) </w:t>
      </w:r>
      <w:r>
        <w:rPr>
          <w:rFonts w:ascii="Century Schoolbook" w:hAnsi="Century Schoolbook"/>
          <w:color w:val="212121"/>
          <w:sz w:val="26"/>
          <w:szCs w:val="26"/>
        </w:rPr>
        <w:t xml:space="preserve"> </w:t>
      </w:r>
      <w:r w:rsidRPr="0097410B">
        <w:rPr>
          <w:rFonts w:ascii="Century Schoolbook" w:hAnsi="Century Schoolbook"/>
          <w:color w:val="212121"/>
          <w:sz w:val="26"/>
          <w:szCs w:val="26"/>
        </w:rPr>
        <w:t xml:space="preserve">Summary judgment is </w:t>
      </w:r>
      <w:r>
        <w:rPr>
          <w:rFonts w:ascii="Century Schoolbook" w:hAnsi="Century Schoolbook"/>
          <w:color w:val="212121"/>
          <w:sz w:val="26"/>
          <w:szCs w:val="26"/>
        </w:rPr>
        <w:t>proper</w:t>
      </w:r>
      <w:r w:rsidRPr="0097410B">
        <w:rPr>
          <w:rFonts w:ascii="Century Schoolbook" w:hAnsi="Century Schoolbook"/>
          <w:color w:val="212121"/>
          <w:sz w:val="26"/>
          <w:szCs w:val="26"/>
        </w:rPr>
        <w:t xml:space="preserve"> where “all the papers submitted show that there is no triable issue as to any material fact and that the moving party is entitled to a judgment as a matter of law.”</w:t>
      </w:r>
      <w:r>
        <w:rPr>
          <w:rFonts w:ascii="Century Schoolbook" w:hAnsi="Century Schoolbook"/>
          <w:color w:val="212121"/>
          <w:sz w:val="26"/>
          <w:szCs w:val="26"/>
        </w:rPr>
        <w:t xml:space="preserve"> </w:t>
      </w:r>
      <w:r w:rsidRPr="0097410B">
        <w:rPr>
          <w:rFonts w:ascii="Century Schoolbook" w:hAnsi="Century Schoolbook"/>
          <w:color w:val="212121"/>
          <w:sz w:val="26"/>
          <w:szCs w:val="26"/>
        </w:rPr>
        <w:t xml:space="preserve"> (</w:t>
      </w:r>
      <w:r w:rsidRPr="0097410B">
        <w:rPr>
          <w:rFonts w:ascii="Century Schoolbook" w:hAnsi="Century Schoolbook"/>
          <w:i/>
          <w:iCs/>
          <w:color w:val="212121"/>
          <w:sz w:val="26"/>
          <w:szCs w:val="26"/>
        </w:rPr>
        <w:t>Id</w:t>
      </w:r>
      <w:r>
        <w:rPr>
          <w:rFonts w:ascii="Century Schoolbook" w:hAnsi="Century Schoolbook"/>
          <w:color w:val="212121"/>
          <w:sz w:val="26"/>
          <w:szCs w:val="26"/>
        </w:rPr>
        <w:t>., subd. (c)</w:t>
      </w:r>
      <w:r w:rsidRPr="0097410B">
        <w:rPr>
          <w:rFonts w:ascii="Century Schoolbook" w:hAnsi="Century Schoolbook"/>
          <w:color w:val="212121"/>
          <w:sz w:val="26"/>
          <w:szCs w:val="26"/>
        </w:rPr>
        <w:t>.)</w:t>
      </w:r>
    </w:p>
    <w:p w14:paraId="3C17D285" w14:textId="77777777" w:rsidR="00FB72EC" w:rsidRPr="00FB72EC" w:rsidRDefault="00F20D43" w:rsidP="002729FC">
      <w:pPr>
        <w:pStyle w:val="NormalWeb"/>
        <w:shd w:val="clear" w:color="auto" w:fill="FFFFFF"/>
        <w:spacing w:before="0" w:beforeAutospacing="0" w:after="0" w:afterAutospacing="0" w:line="360" w:lineRule="auto"/>
        <w:ind w:firstLine="720"/>
        <w:textAlignment w:val="baseline"/>
        <w:rPr>
          <w:rFonts w:ascii="Century Schoolbook" w:hAnsi="Century Schoolbook"/>
          <w:sz w:val="26"/>
          <w:szCs w:val="26"/>
        </w:rPr>
      </w:pPr>
      <w:r w:rsidRPr="0097410B">
        <w:rPr>
          <w:rStyle w:val="ssrfcsection"/>
          <w:rFonts w:ascii="Century Schoolbook" w:hAnsi="Century Schoolbook"/>
          <w:color w:val="212121"/>
          <w:sz w:val="26"/>
          <w:szCs w:val="26"/>
          <w:bdr w:val="none" w:sz="0" w:space="0" w:color="auto" w:frame="1"/>
        </w:rPr>
        <w:lastRenderedPageBreak/>
        <w:t xml:space="preserve">On appeal, “we take the </w:t>
      </w:r>
      <w:r w:rsidRPr="0097410B">
        <w:rPr>
          <w:rStyle w:val="ssrfcsection"/>
          <w:rFonts w:ascii="Century Schoolbook" w:hAnsi="Century Schoolbook"/>
          <w:color w:val="212121"/>
          <w:sz w:val="26"/>
          <w:szCs w:val="26"/>
          <w:bdr w:val="none" w:sz="0" w:space="0" w:color="auto" w:frame="1"/>
        </w:rPr>
        <w:t>facts</w:t>
      </w:r>
      <w:r>
        <w:rPr>
          <w:rStyle w:val="ssrfcsection"/>
          <w:rFonts w:ascii="Century Schoolbook" w:hAnsi="Century Schoolbook"/>
          <w:color w:val="212121"/>
          <w:sz w:val="26"/>
          <w:szCs w:val="26"/>
          <w:bdr w:val="none" w:sz="0" w:space="0" w:color="auto" w:frame="1"/>
        </w:rPr>
        <w:t xml:space="preserve"> </w:t>
      </w:r>
      <w:r w:rsidRPr="0097410B">
        <w:rPr>
          <w:rStyle w:val="ssrfcsection"/>
          <w:rFonts w:ascii="Century Schoolbook" w:hAnsi="Century Schoolbook"/>
          <w:color w:val="212121"/>
          <w:sz w:val="26"/>
          <w:szCs w:val="26"/>
          <w:bdr w:val="none" w:sz="0" w:space="0" w:color="auto" w:frame="1"/>
        </w:rPr>
        <w:t xml:space="preserve">from the record that was before the trial </w:t>
      </w:r>
      <w:r>
        <w:rPr>
          <w:rStyle w:val="ssrfcsection"/>
          <w:rFonts w:ascii="Century Schoolbook" w:hAnsi="Century Schoolbook"/>
          <w:color w:val="212121"/>
          <w:sz w:val="26"/>
          <w:szCs w:val="26"/>
          <w:bdr w:val="none" w:sz="0" w:space="0" w:color="auto" w:frame="1"/>
        </w:rPr>
        <w:t>court . . . .  ‘ “We</w:t>
      </w:r>
      <w:r w:rsidRPr="0097410B">
        <w:rPr>
          <w:rStyle w:val="ssrfcsection"/>
          <w:rFonts w:ascii="Century Schoolbook" w:hAnsi="Century Schoolbook"/>
          <w:color w:val="212121"/>
          <w:sz w:val="26"/>
          <w:szCs w:val="26"/>
          <w:bdr w:val="none" w:sz="0" w:space="0" w:color="auto" w:frame="1"/>
        </w:rPr>
        <w:t xml:space="preserve"> review the trial court</w:t>
      </w:r>
      <w:r>
        <w:rPr>
          <w:rStyle w:val="ssrfcsection"/>
          <w:rFonts w:ascii="Century Schoolbook" w:hAnsi="Century Schoolbook"/>
          <w:color w:val="212121"/>
          <w:sz w:val="26"/>
          <w:szCs w:val="26"/>
          <w:bdr w:val="none" w:sz="0" w:space="0" w:color="auto" w:frame="1"/>
        </w:rPr>
        <w:t>’</w:t>
      </w:r>
      <w:r w:rsidRPr="0097410B">
        <w:rPr>
          <w:rStyle w:val="ssrfcsection"/>
          <w:rFonts w:ascii="Century Schoolbook" w:hAnsi="Century Schoolbook"/>
          <w:color w:val="212121"/>
          <w:sz w:val="26"/>
          <w:szCs w:val="26"/>
          <w:bdr w:val="none" w:sz="0" w:space="0" w:color="auto" w:frame="1"/>
        </w:rPr>
        <w:t>s decision de</w:t>
      </w:r>
      <w:r>
        <w:rPr>
          <w:rStyle w:val="ssrfcsection"/>
          <w:rFonts w:ascii="Century Schoolbook" w:hAnsi="Century Schoolbook"/>
          <w:color w:val="212121"/>
          <w:sz w:val="26"/>
          <w:szCs w:val="26"/>
          <w:bdr w:val="none" w:sz="0" w:space="0" w:color="auto" w:frame="1"/>
        </w:rPr>
        <w:t> </w:t>
      </w:r>
      <w:r w:rsidRPr="0097410B">
        <w:rPr>
          <w:rStyle w:val="ssrfcsection"/>
          <w:rFonts w:ascii="Century Schoolbook" w:hAnsi="Century Schoolbook"/>
          <w:color w:val="212121"/>
          <w:sz w:val="26"/>
          <w:szCs w:val="26"/>
          <w:bdr w:val="none" w:sz="0" w:space="0" w:color="auto" w:frame="1"/>
        </w:rPr>
        <w:t>novo, considering all the evidence set forth in the moving and opposing paper</w:t>
      </w:r>
      <w:r w:rsidRPr="00507572">
        <w:rPr>
          <w:rStyle w:val="ssrfcsection"/>
          <w:rFonts w:ascii="Century Schoolbook" w:hAnsi="Century Schoolbook"/>
          <w:color w:val="212121"/>
          <w:sz w:val="26"/>
          <w:szCs w:val="26"/>
          <w:bdr w:val="none" w:sz="0" w:space="0" w:color="auto" w:frame="1"/>
        </w:rPr>
        <w:t xml:space="preserve">s except that to which objections were </w:t>
      </w:r>
      <w:r>
        <w:rPr>
          <w:rStyle w:val="ssrfcsection"/>
          <w:rFonts w:ascii="Century Schoolbook" w:hAnsi="Century Schoolbook"/>
          <w:color w:val="212121"/>
          <w:sz w:val="26"/>
          <w:szCs w:val="26"/>
          <w:bdr w:val="none" w:sz="0" w:space="0" w:color="auto" w:frame="1"/>
        </w:rPr>
        <w:t xml:space="preserve">[properly] </w:t>
      </w:r>
      <w:r w:rsidRPr="00507572">
        <w:rPr>
          <w:rStyle w:val="ssrfcsection"/>
          <w:rFonts w:ascii="Century Schoolbook" w:hAnsi="Century Schoolbook"/>
          <w:color w:val="212121"/>
          <w:sz w:val="26"/>
          <w:szCs w:val="26"/>
          <w:bdr w:val="none" w:sz="0" w:space="0" w:color="auto" w:frame="1"/>
        </w:rPr>
        <w:t>made and sustained.”</w:t>
      </w:r>
      <w:r>
        <w:rPr>
          <w:rStyle w:val="ssrfcsection"/>
          <w:rFonts w:ascii="Century Schoolbook" w:hAnsi="Century Schoolbook"/>
          <w:color w:val="212121"/>
          <w:sz w:val="26"/>
          <w:szCs w:val="26"/>
          <w:bdr w:val="none" w:sz="0" w:space="0" w:color="auto" w:frame="1"/>
        </w:rPr>
        <w:t> </w:t>
      </w:r>
      <w:r w:rsidRPr="00507572">
        <w:rPr>
          <w:rStyle w:val="ssrfcsection"/>
          <w:rFonts w:ascii="Century Schoolbook" w:hAnsi="Century Schoolbook"/>
          <w:color w:val="212121"/>
          <w:sz w:val="26"/>
          <w:szCs w:val="26"/>
          <w:bdr w:val="none" w:sz="0" w:space="0" w:color="auto" w:frame="1"/>
        </w:rPr>
        <w:t>’</w:t>
      </w:r>
      <w:r>
        <w:rPr>
          <w:rStyle w:val="ssrfcsection"/>
          <w:rFonts w:ascii="Century Schoolbook" w:hAnsi="Century Schoolbook"/>
          <w:color w:val="212121"/>
          <w:sz w:val="26"/>
          <w:szCs w:val="26"/>
          <w:bdr w:val="none" w:sz="0" w:space="0" w:color="auto" w:frame="1"/>
        </w:rPr>
        <w:t> </w:t>
      </w:r>
      <w:r w:rsidRPr="00507572">
        <w:rPr>
          <w:rStyle w:val="ssrfcsection"/>
          <w:rFonts w:ascii="Century Schoolbook" w:hAnsi="Century Schoolbook"/>
          <w:color w:val="212121"/>
          <w:sz w:val="26"/>
          <w:szCs w:val="26"/>
          <w:bdr w:val="none" w:sz="0" w:space="0" w:color="auto" w:frame="1"/>
        </w:rPr>
        <w:t>”  (</w:t>
      </w:r>
      <w:r w:rsidRPr="00507572">
        <w:rPr>
          <w:rStyle w:val="ssrfcsection"/>
          <w:rFonts w:ascii="Century Schoolbook" w:hAnsi="Century Schoolbook"/>
          <w:i/>
          <w:iCs/>
          <w:color w:val="212121"/>
          <w:sz w:val="26"/>
          <w:szCs w:val="26"/>
          <w:bdr w:val="none" w:sz="0" w:space="0" w:color="auto" w:frame="1"/>
        </w:rPr>
        <w:t xml:space="preserve">Yanowitz. </w:t>
      </w:r>
      <w:r>
        <w:rPr>
          <w:rStyle w:val="ssrfcsection"/>
          <w:rFonts w:ascii="Century Schoolbook" w:hAnsi="Century Schoolbook"/>
          <w:i/>
          <w:iCs/>
          <w:color w:val="212121"/>
          <w:sz w:val="26"/>
          <w:szCs w:val="26"/>
          <w:bdr w:val="none" w:sz="0" w:space="0" w:color="auto" w:frame="1"/>
        </w:rPr>
        <w:t>v.</w:t>
      </w:r>
      <w:r w:rsidRPr="00507572">
        <w:rPr>
          <w:rStyle w:val="ssrfcsection"/>
          <w:rFonts w:ascii="Century Schoolbook" w:hAnsi="Century Schoolbook"/>
          <w:i/>
          <w:iCs/>
          <w:color w:val="212121"/>
          <w:sz w:val="26"/>
          <w:szCs w:val="26"/>
          <w:bdr w:val="none" w:sz="0" w:space="0" w:color="auto" w:frame="1"/>
        </w:rPr>
        <w:t xml:space="preserve"> L’Oreal USA,</w:t>
      </w:r>
      <w:r>
        <w:rPr>
          <w:rStyle w:val="ssrfcsection"/>
          <w:rFonts w:ascii="Century Schoolbook" w:hAnsi="Century Schoolbook"/>
          <w:i/>
          <w:iCs/>
          <w:color w:val="212121"/>
          <w:sz w:val="26"/>
          <w:szCs w:val="26"/>
          <w:bdr w:val="none" w:sz="0" w:space="0" w:color="auto" w:frame="1"/>
        </w:rPr>
        <w:t> </w:t>
      </w:r>
      <w:r w:rsidRPr="00507572">
        <w:rPr>
          <w:rStyle w:val="ssrfcsection"/>
          <w:rFonts w:ascii="Century Schoolbook" w:hAnsi="Century Schoolbook"/>
          <w:i/>
          <w:iCs/>
          <w:color w:val="212121"/>
          <w:sz w:val="26"/>
          <w:szCs w:val="26"/>
          <w:bdr w:val="none" w:sz="0" w:space="0" w:color="auto" w:frame="1"/>
        </w:rPr>
        <w:t>Inc</w:t>
      </w:r>
      <w:r w:rsidRPr="00507572">
        <w:rPr>
          <w:rStyle w:val="ssrfcsection"/>
          <w:rFonts w:ascii="Century Schoolbook" w:hAnsi="Century Schoolbook"/>
          <w:color w:val="212121"/>
          <w:sz w:val="26"/>
          <w:szCs w:val="26"/>
          <w:bdr w:val="none" w:sz="0" w:space="0" w:color="auto" w:frame="1"/>
        </w:rPr>
        <w:t>. (2005) 36 Cal.4th 1028, 1037, citation omitted.)</w:t>
      </w:r>
      <w:r w:rsidRPr="00507572">
        <w:rPr>
          <w:rStyle w:val="ssrfcsection"/>
          <w:rFonts w:ascii="Century Schoolbook" w:hAnsi="Century Schoolbook"/>
          <w:color w:val="212121"/>
          <w:sz w:val="26"/>
          <w:szCs w:val="26"/>
          <w:bdr w:val="none" w:sz="0" w:space="0" w:color="auto" w:frame="1"/>
        </w:rPr>
        <w:t xml:space="preserve">  In doing so, </w:t>
      </w:r>
      <w:r>
        <w:rPr>
          <w:rStyle w:val="ssrfcsection"/>
          <w:rFonts w:ascii="Century Schoolbook" w:hAnsi="Century Schoolbook"/>
          <w:color w:val="212121"/>
          <w:sz w:val="26"/>
          <w:szCs w:val="26"/>
          <w:bdr w:val="none" w:sz="0" w:space="0" w:color="auto" w:frame="1"/>
        </w:rPr>
        <w:t>“</w:t>
      </w:r>
      <w:r w:rsidRPr="00507572">
        <w:rPr>
          <w:rStyle w:val="ssrfcsection"/>
          <w:rFonts w:ascii="Century Schoolbook" w:hAnsi="Century Schoolbook"/>
          <w:color w:val="212121"/>
          <w:sz w:val="26"/>
          <w:szCs w:val="26"/>
          <w:bdr w:val="none" w:sz="0" w:space="0" w:color="auto" w:frame="1"/>
        </w:rPr>
        <w:t xml:space="preserve">we </w:t>
      </w:r>
      <w:r w:rsidRPr="00507572">
        <w:rPr>
          <w:rFonts w:ascii="Century Schoolbook" w:hAnsi="Century Schoolbook"/>
          <w:color w:val="212121"/>
          <w:sz w:val="26"/>
          <w:szCs w:val="26"/>
          <w:shd w:val="clear" w:color="auto" w:fill="FFFFFF"/>
        </w:rPr>
        <w:t>exercise an independent review to determine if the defendant moving for summary judgment met its burden of establishing a complete defense</w:t>
      </w:r>
      <w:r>
        <w:rPr>
          <w:rFonts w:ascii="Century Schoolbook" w:hAnsi="Century Schoolbook"/>
          <w:color w:val="212121"/>
          <w:sz w:val="26"/>
          <w:szCs w:val="26"/>
          <w:shd w:val="clear" w:color="auto" w:fill="FFFFFF"/>
        </w:rPr>
        <w:t xml:space="preserve"> </w:t>
      </w:r>
      <w:r w:rsidRPr="00507572">
        <w:rPr>
          <w:rFonts w:ascii="Century Schoolbook" w:hAnsi="Century Schoolbook"/>
          <w:color w:val="212121"/>
          <w:sz w:val="26"/>
          <w:szCs w:val="26"/>
          <w:shd w:val="clear" w:color="auto" w:fill="FFFFFF"/>
        </w:rPr>
        <w:t xml:space="preserve">or of </w:t>
      </w:r>
      <w:r w:rsidRPr="00507572">
        <w:rPr>
          <w:rFonts w:ascii="Century Schoolbook" w:hAnsi="Century Schoolbook"/>
          <w:color w:val="212121"/>
          <w:sz w:val="26"/>
          <w:szCs w:val="26"/>
          <w:shd w:val="clear" w:color="auto" w:fill="FFFFFF"/>
        </w:rPr>
        <w:t>negating each of the plaintiff</w:t>
      </w:r>
      <w:r>
        <w:rPr>
          <w:rFonts w:ascii="Century Schoolbook" w:hAnsi="Century Schoolbook"/>
          <w:color w:val="212121"/>
          <w:sz w:val="26"/>
          <w:szCs w:val="26"/>
          <w:shd w:val="clear" w:color="auto" w:fill="FFFFFF"/>
        </w:rPr>
        <w:t>[s’]</w:t>
      </w:r>
      <w:r w:rsidRPr="00507572">
        <w:rPr>
          <w:rFonts w:ascii="Century Schoolbook" w:hAnsi="Century Schoolbook"/>
          <w:color w:val="212121"/>
          <w:sz w:val="26"/>
          <w:szCs w:val="26"/>
          <w:shd w:val="clear" w:color="auto" w:fill="FFFFFF"/>
        </w:rPr>
        <w:t xml:space="preserve"> theories and establishing that the action was without merit.”</w:t>
      </w:r>
      <w:r>
        <w:rPr>
          <w:rFonts w:ascii="Century Schoolbook" w:hAnsi="Century Schoolbook"/>
          <w:color w:val="212121"/>
          <w:sz w:val="26"/>
          <w:szCs w:val="26"/>
          <w:shd w:val="clear" w:color="auto" w:fill="FFFFFF"/>
        </w:rPr>
        <w:t xml:space="preserve">  (</w:t>
      </w:r>
      <w:r w:rsidRPr="00507572">
        <w:rPr>
          <w:rFonts w:ascii="Century Schoolbook" w:hAnsi="Century Schoolbook"/>
          <w:i/>
          <w:iCs/>
          <w:color w:val="212121"/>
          <w:sz w:val="26"/>
          <w:szCs w:val="26"/>
          <w:shd w:val="clear" w:color="auto" w:fill="FFFFFF"/>
        </w:rPr>
        <w:t>Fisherman’s Wharf Bay Cruise Cor</w:t>
      </w:r>
      <w:r w:rsidRPr="00973A47">
        <w:rPr>
          <w:rFonts w:ascii="Century Schoolbook" w:hAnsi="Century Schoolbook"/>
          <w:i/>
          <w:iCs/>
          <w:color w:val="212121"/>
          <w:sz w:val="26"/>
          <w:szCs w:val="26"/>
          <w:shd w:val="clear" w:color="auto" w:fill="FFFFFF"/>
        </w:rPr>
        <w:t>p. v. Superior Court</w:t>
      </w:r>
      <w:r w:rsidRPr="00973A47">
        <w:rPr>
          <w:rFonts w:ascii="Century Schoolbook" w:hAnsi="Century Schoolbook"/>
          <w:color w:val="212121"/>
          <w:sz w:val="26"/>
          <w:szCs w:val="26"/>
          <w:shd w:val="clear" w:color="auto" w:fill="FFFFFF"/>
        </w:rPr>
        <w:t xml:space="preserve"> (2003) 114 Cal.App.4th 309, 320.)</w:t>
      </w:r>
      <w:r w:rsidRPr="00973A47">
        <w:rPr>
          <w:rFonts w:ascii="Century Schoolbook" w:hAnsi="Century Schoolbook"/>
          <w:color w:val="212121"/>
          <w:sz w:val="26"/>
          <w:szCs w:val="26"/>
          <w:shd w:val="clear" w:color="auto" w:fill="FFFFFF"/>
        </w:rPr>
        <w:t xml:space="preserve">  Ultimately, </w:t>
      </w:r>
      <w:r>
        <w:rPr>
          <w:rFonts w:ascii="Century Schoolbook" w:hAnsi="Century Schoolbook"/>
          <w:color w:val="212121"/>
          <w:sz w:val="26"/>
          <w:szCs w:val="26"/>
          <w:shd w:val="clear" w:color="auto" w:fill="FFFFFF"/>
        </w:rPr>
        <w:t xml:space="preserve">we </w:t>
      </w:r>
      <w:r w:rsidRPr="00973A47">
        <w:rPr>
          <w:rFonts w:ascii="Century Schoolbook" w:hAnsi="Century Schoolbook"/>
          <w:color w:val="212121"/>
          <w:sz w:val="26"/>
          <w:szCs w:val="26"/>
          <w:shd w:val="clear" w:color="auto" w:fill="FFFFFF"/>
        </w:rPr>
        <w:t xml:space="preserve">must affirm </w:t>
      </w:r>
      <w:r>
        <w:rPr>
          <w:rFonts w:ascii="Century Schoolbook" w:hAnsi="Century Schoolbook"/>
          <w:color w:val="212121"/>
          <w:sz w:val="26"/>
          <w:szCs w:val="26"/>
          <w:shd w:val="clear" w:color="auto" w:fill="FFFFFF"/>
        </w:rPr>
        <w:t>summary judgment “</w:t>
      </w:r>
      <w:r>
        <w:rPr>
          <w:rFonts w:ascii="Century Schoolbook" w:hAnsi="Century Schoolbook"/>
          <w:color w:val="212121"/>
          <w:sz w:val="26"/>
          <w:szCs w:val="26"/>
          <w:shd w:val="clear" w:color="auto" w:fill="FFFFFF"/>
        </w:rPr>
        <w:t> ‘</w:t>
      </w:r>
      <w:r w:rsidRPr="00973A47">
        <w:rPr>
          <w:rFonts w:ascii="Century Schoolbook" w:hAnsi="Century Schoolbook"/>
          <w:color w:val="212121"/>
          <w:sz w:val="26"/>
          <w:szCs w:val="26"/>
          <w:shd w:val="clear" w:color="auto" w:fill="FFFFFF"/>
        </w:rPr>
        <w:t>if it is</w:t>
      </w:r>
      <w:r>
        <w:rPr>
          <w:rFonts w:ascii="Century Schoolbook" w:hAnsi="Century Schoolbook"/>
          <w:color w:val="212121"/>
          <w:sz w:val="26"/>
          <w:szCs w:val="26"/>
          <w:shd w:val="clear" w:color="auto" w:fill="FFFFFF"/>
        </w:rPr>
        <w:t xml:space="preserve"> </w:t>
      </w:r>
      <w:r>
        <w:rPr>
          <w:rFonts w:ascii="Century Schoolbook" w:hAnsi="Century Schoolbook"/>
          <w:color w:val="212121"/>
          <w:sz w:val="26"/>
          <w:szCs w:val="26"/>
          <w:shd w:val="clear" w:color="auto" w:fill="FFFFFF"/>
        </w:rPr>
        <w:t xml:space="preserve">correct on any </w:t>
      </w:r>
      <w:r w:rsidRPr="00973A47">
        <w:rPr>
          <w:rFonts w:ascii="Century Schoolbook" w:hAnsi="Century Schoolbook"/>
          <w:color w:val="212121"/>
          <w:sz w:val="26"/>
          <w:szCs w:val="26"/>
          <w:shd w:val="clear" w:color="auto" w:fill="FFFFFF"/>
        </w:rPr>
        <w:t>of the</w:t>
      </w:r>
      <w:r>
        <w:rPr>
          <w:rFonts w:ascii="Century Schoolbook" w:hAnsi="Century Schoolbook"/>
          <w:color w:val="212121"/>
          <w:sz w:val="26"/>
          <w:szCs w:val="26"/>
          <w:shd w:val="clear" w:color="auto" w:fill="FFFFFF"/>
        </w:rPr>
        <w:t xml:space="preserve"> </w:t>
      </w:r>
      <w:r>
        <w:rPr>
          <w:rFonts w:ascii="Century Schoolbook" w:hAnsi="Century Schoolbook"/>
          <w:color w:val="212121"/>
          <w:sz w:val="26"/>
          <w:szCs w:val="26"/>
          <w:shd w:val="clear" w:color="auto" w:fill="FFFFFF"/>
        </w:rPr>
        <w:t>grounds</w:t>
      </w:r>
      <w:r>
        <w:rPr>
          <w:rFonts w:ascii="Century Schoolbook" w:hAnsi="Century Schoolbook"/>
          <w:color w:val="212121"/>
          <w:sz w:val="26"/>
          <w:szCs w:val="26"/>
          <w:shd w:val="clear" w:color="auto" w:fill="FFFFFF"/>
        </w:rPr>
        <w:t xml:space="preserve"> </w:t>
      </w:r>
      <w:r w:rsidRPr="00973A47">
        <w:rPr>
          <w:rFonts w:ascii="Century Schoolbook" w:hAnsi="Century Schoolbook"/>
          <w:color w:val="212121"/>
          <w:sz w:val="26"/>
          <w:szCs w:val="26"/>
          <w:shd w:val="clear" w:color="auto" w:fill="FFFFFF"/>
        </w:rPr>
        <w:t>asserted in the trial court, regardless of the trial court</w:t>
      </w:r>
      <w:r>
        <w:rPr>
          <w:rFonts w:ascii="Century Schoolbook" w:hAnsi="Century Schoolbook"/>
          <w:color w:val="212121"/>
          <w:sz w:val="26"/>
          <w:szCs w:val="26"/>
          <w:shd w:val="clear" w:color="auto" w:fill="FFFFFF"/>
        </w:rPr>
        <w:t>’s</w:t>
      </w:r>
      <w:r w:rsidRPr="00973A47">
        <w:rPr>
          <w:rFonts w:ascii="Century Schoolbook" w:hAnsi="Century Schoolbook"/>
          <w:color w:val="212121"/>
          <w:sz w:val="26"/>
          <w:szCs w:val="26"/>
          <w:shd w:val="clear" w:color="auto" w:fill="FFFFFF"/>
        </w:rPr>
        <w:t xml:space="preserve"> stated reasons.</w:t>
      </w:r>
      <w:r>
        <w:rPr>
          <w:rFonts w:ascii="Century Schoolbook" w:hAnsi="Century Schoolbook"/>
          <w:color w:val="212121"/>
          <w:sz w:val="26"/>
          <w:szCs w:val="26"/>
          <w:shd w:val="clear" w:color="auto" w:fill="FFFFFF"/>
        </w:rPr>
        <w:t>’ </w:t>
      </w:r>
      <w:r>
        <w:rPr>
          <w:rFonts w:ascii="Century Schoolbook" w:hAnsi="Century Schoolbook"/>
          <w:color w:val="212121"/>
          <w:sz w:val="26"/>
          <w:szCs w:val="26"/>
          <w:shd w:val="clear" w:color="auto" w:fill="FFFFFF"/>
        </w:rPr>
        <w:t>”</w:t>
      </w:r>
      <w:r>
        <w:rPr>
          <w:rFonts w:ascii="Century Schoolbook" w:hAnsi="Century Schoolbook"/>
          <w:color w:val="212121"/>
          <w:sz w:val="26"/>
          <w:szCs w:val="26"/>
          <w:shd w:val="clear" w:color="auto" w:fill="FFFFFF"/>
        </w:rPr>
        <w:t xml:space="preserve">  (</w:t>
      </w:r>
      <w:r w:rsidRPr="00973A47">
        <w:rPr>
          <w:rFonts w:ascii="Century Schoolbook" w:hAnsi="Century Schoolbook"/>
          <w:i/>
          <w:iCs/>
          <w:color w:val="212121"/>
          <w:sz w:val="26"/>
          <w:szCs w:val="26"/>
          <w:shd w:val="clear" w:color="auto" w:fill="FFFFFF"/>
        </w:rPr>
        <w:t xml:space="preserve">Arvizu v. </w:t>
      </w:r>
      <w:r w:rsidRPr="00973A47">
        <w:rPr>
          <w:rFonts w:ascii="Century Schoolbook" w:hAnsi="Century Schoolbook"/>
          <w:i/>
          <w:iCs/>
          <w:color w:val="212121"/>
          <w:sz w:val="26"/>
          <w:szCs w:val="26"/>
          <w:shd w:val="clear" w:color="auto" w:fill="FFFFFF"/>
        </w:rPr>
        <w:t>C</w:t>
      </w:r>
      <w:r w:rsidRPr="00973A47">
        <w:rPr>
          <w:rFonts w:ascii="Century Schoolbook" w:hAnsi="Century Schoolbook"/>
          <w:i/>
          <w:iCs/>
          <w:color w:val="212121"/>
          <w:sz w:val="26"/>
          <w:szCs w:val="26"/>
          <w:shd w:val="clear" w:color="auto" w:fill="FFFFFF"/>
        </w:rPr>
        <w:t>ity of Pasadena</w:t>
      </w:r>
      <w:r>
        <w:rPr>
          <w:rFonts w:ascii="Century Schoolbook" w:hAnsi="Century Schoolbook"/>
          <w:color w:val="212121"/>
          <w:sz w:val="26"/>
          <w:szCs w:val="26"/>
          <w:shd w:val="clear" w:color="auto" w:fill="FFFFFF"/>
        </w:rPr>
        <w:t xml:space="preserve"> (</w:t>
      </w:r>
      <w:r>
        <w:rPr>
          <w:rFonts w:ascii="Century Schoolbook" w:hAnsi="Century Schoolbook"/>
          <w:color w:val="212121"/>
          <w:sz w:val="26"/>
          <w:szCs w:val="26"/>
          <w:shd w:val="clear" w:color="auto" w:fill="FFFFFF"/>
        </w:rPr>
        <w:t>2018</w:t>
      </w:r>
      <w:r>
        <w:rPr>
          <w:rFonts w:ascii="Century Schoolbook" w:hAnsi="Century Schoolbook"/>
          <w:color w:val="212121"/>
          <w:sz w:val="26"/>
          <w:szCs w:val="26"/>
          <w:shd w:val="clear" w:color="auto" w:fill="FFFFFF"/>
        </w:rPr>
        <w:t xml:space="preserve">) 21 </w:t>
      </w:r>
      <w:r w:rsidRPr="00973A47">
        <w:rPr>
          <w:rFonts w:ascii="Century Schoolbook" w:hAnsi="Century Schoolbook"/>
          <w:color w:val="212121"/>
          <w:sz w:val="26"/>
          <w:szCs w:val="26"/>
          <w:shd w:val="clear" w:color="auto" w:fill="FFFFFF"/>
        </w:rPr>
        <w:t xml:space="preserve">Cal.App.5th </w:t>
      </w:r>
      <w:r>
        <w:rPr>
          <w:rFonts w:ascii="Century Schoolbook" w:hAnsi="Century Schoolbook"/>
          <w:color w:val="212121"/>
          <w:sz w:val="26"/>
          <w:szCs w:val="26"/>
          <w:shd w:val="clear" w:color="auto" w:fill="FFFFFF"/>
        </w:rPr>
        <w:t>760, 763 (</w:t>
      </w:r>
      <w:r w:rsidRPr="00973A47">
        <w:rPr>
          <w:rFonts w:ascii="Century Schoolbook" w:hAnsi="Century Schoolbook"/>
          <w:i/>
          <w:iCs/>
          <w:color w:val="212121"/>
          <w:sz w:val="26"/>
          <w:szCs w:val="26"/>
          <w:shd w:val="clear" w:color="auto" w:fill="FFFFFF"/>
        </w:rPr>
        <w:t>Arvizu</w:t>
      </w:r>
      <w:r>
        <w:rPr>
          <w:rFonts w:ascii="Century Schoolbook" w:hAnsi="Century Schoolbook"/>
          <w:color w:val="212121"/>
          <w:sz w:val="26"/>
          <w:szCs w:val="26"/>
          <w:shd w:val="clear" w:color="auto" w:fill="FFFFFF"/>
        </w:rPr>
        <w:t>)</w:t>
      </w:r>
      <w:r>
        <w:rPr>
          <w:rFonts w:ascii="Century Schoolbook" w:hAnsi="Century Schoolbook"/>
          <w:color w:val="212121"/>
          <w:sz w:val="26"/>
          <w:szCs w:val="26"/>
          <w:shd w:val="clear" w:color="auto" w:fill="FFFFFF"/>
        </w:rPr>
        <w:t>.)</w:t>
      </w:r>
    </w:p>
    <w:p w14:paraId="78F419CC" w14:textId="77777777" w:rsidR="00482B59" w:rsidRPr="00A575EB" w:rsidRDefault="00F20D43" w:rsidP="000C4970">
      <w:pPr>
        <w:pStyle w:val="ListParagraph"/>
        <w:keepNext/>
        <w:numPr>
          <w:ilvl w:val="0"/>
          <w:numId w:val="2"/>
        </w:numPr>
        <w:tabs>
          <w:tab w:val="clear" w:pos="720"/>
        </w:tabs>
        <w:spacing w:after="120" w:line="240" w:lineRule="auto"/>
        <w:ind w:left="720"/>
        <w:rPr>
          <w:b/>
          <w:bCs/>
          <w:i/>
          <w:iCs/>
        </w:rPr>
      </w:pPr>
      <w:r w:rsidRPr="00A575EB">
        <w:rPr>
          <w:b/>
          <w:bCs/>
          <w:i/>
          <w:iCs/>
        </w:rPr>
        <w:t xml:space="preserve">The court failed to discharge its duty to expressly rule on the DOT’s </w:t>
      </w:r>
      <w:r w:rsidRPr="00A575EB">
        <w:rPr>
          <w:b/>
          <w:bCs/>
          <w:i/>
          <w:iCs/>
        </w:rPr>
        <w:t>individual evidentiary objections.</w:t>
      </w:r>
    </w:p>
    <w:p w14:paraId="478E8D03" w14:textId="77777777" w:rsidR="00482B59" w:rsidRPr="00AD0742" w:rsidRDefault="00F20D43" w:rsidP="00A575EB">
      <w:pPr>
        <w:tabs>
          <w:tab w:val="clear" w:pos="720"/>
        </w:tabs>
        <w:spacing w:line="360" w:lineRule="auto"/>
      </w:pPr>
      <w:r>
        <w:tab/>
        <w:t xml:space="preserve">Below, the DOT raised 32 objections to </w:t>
      </w:r>
      <w:r>
        <w:t>the</w:t>
      </w:r>
      <w:r>
        <w:t xml:space="preserve"> </w:t>
      </w:r>
      <w:r>
        <w:t>14</w:t>
      </w:r>
      <w:r>
        <w:t xml:space="preserve">-page </w:t>
      </w:r>
      <w:r>
        <w:t xml:space="preserve">expert </w:t>
      </w:r>
      <w:r>
        <w:t xml:space="preserve">declaration submitted </w:t>
      </w:r>
      <w:r>
        <w:t xml:space="preserve">on plaintiffs’ behalf by </w:t>
      </w:r>
      <w:r>
        <w:t xml:space="preserve">Christian </w:t>
      </w:r>
      <w:r>
        <w:t xml:space="preserve">Engelmann, </w:t>
      </w:r>
      <w:r>
        <w:t>a</w:t>
      </w:r>
      <w:r>
        <w:t xml:space="preserve"> civil and traffic e</w:t>
      </w:r>
      <w:r>
        <w:t>ngineer</w:t>
      </w:r>
      <w:r>
        <w:t xml:space="preserve"> who worked for the DOT from 1999 to 2016</w:t>
      </w:r>
      <w:r>
        <w:t xml:space="preserve">.  The trial court </w:t>
      </w:r>
      <w:r>
        <w:t>issued a blanket ruling sustaining all but one of the 32 objections</w:t>
      </w:r>
      <w:r>
        <w:t>,</w:t>
      </w:r>
      <w:r>
        <w:t xml:space="preserve"> without explanation.  On appeal, plaintiffs argue this ruling was a manifest abuse of discretion. </w:t>
      </w:r>
      <w:r>
        <w:t xml:space="preserve"> The following principles govern our review.</w:t>
      </w:r>
    </w:p>
    <w:p w14:paraId="42C48721" w14:textId="77777777" w:rsidR="004C4EB3" w:rsidRPr="00AD0742" w:rsidRDefault="00F20D43" w:rsidP="00A575EB">
      <w:pPr>
        <w:tabs>
          <w:tab w:val="clear" w:pos="720"/>
        </w:tabs>
        <w:spacing w:line="360" w:lineRule="auto"/>
      </w:pPr>
      <w:r w:rsidRPr="00AD0742">
        <w:tab/>
      </w:r>
      <w:r>
        <w:t>Generally, w</w:t>
      </w:r>
      <w:r w:rsidRPr="00AD0742">
        <w:rPr>
          <w:color w:val="212121"/>
          <w:shd w:val="clear" w:color="auto" w:fill="FFFFFF"/>
        </w:rPr>
        <w:t>e review the trial court</w:t>
      </w:r>
      <w:r>
        <w:rPr>
          <w:color w:val="212121"/>
          <w:shd w:val="clear" w:color="auto" w:fill="FFFFFF"/>
        </w:rPr>
        <w:t>’</w:t>
      </w:r>
      <w:r w:rsidRPr="00AD0742">
        <w:rPr>
          <w:color w:val="212121"/>
          <w:shd w:val="clear" w:color="auto" w:fill="FFFFFF"/>
        </w:rPr>
        <w:t>s evid</w:t>
      </w:r>
      <w:r w:rsidRPr="00AD0742">
        <w:rPr>
          <w:color w:val="212121"/>
          <w:shd w:val="clear" w:color="auto" w:fill="FFFFFF"/>
        </w:rPr>
        <w:t>entiary rulings for abuse of discretion.</w:t>
      </w:r>
      <w:r>
        <w:rPr>
          <w:color w:val="212121"/>
          <w:shd w:val="clear" w:color="auto" w:fill="FFFFFF"/>
        </w:rPr>
        <w:t xml:space="preserve"> </w:t>
      </w:r>
      <w:r w:rsidRPr="00AD0742">
        <w:rPr>
          <w:color w:val="212121"/>
          <w:shd w:val="clear" w:color="auto" w:fill="FFFFFF"/>
        </w:rPr>
        <w:t xml:space="preserve"> (</w:t>
      </w:r>
      <w:r w:rsidRPr="00413D62">
        <w:rPr>
          <w:i/>
          <w:iCs/>
          <w:color w:val="212121"/>
          <w:shd w:val="clear" w:color="auto" w:fill="FFFFFF"/>
        </w:rPr>
        <w:t>People v. Bryant, Smith and Wheeler</w:t>
      </w:r>
      <w:r>
        <w:rPr>
          <w:color w:val="212121"/>
          <w:shd w:val="clear" w:color="auto" w:fill="FFFFFF"/>
        </w:rPr>
        <w:t xml:space="preserve"> (2014) 60 Cal.4th 335, 405</w:t>
      </w:r>
      <w:r w:rsidRPr="00AD0742">
        <w:t xml:space="preserve">.)  </w:t>
      </w:r>
      <w:r>
        <w:t xml:space="preserve">Under this standard, we reverse an evidentiary ruling only if the appellant makes a showing that the trial court exercised </w:t>
      </w:r>
      <w:r>
        <w:t>its</w:t>
      </w:r>
      <w:r>
        <w:t xml:space="preserve"> discretion in an arb</w:t>
      </w:r>
      <w:r>
        <w:t>itrary, capricious or patently absurd manner that resulted in a miscarriage of justice.  (</w:t>
      </w:r>
      <w:r w:rsidRPr="004C4EB3">
        <w:rPr>
          <w:i/>
          <w:iCs/>
        </w:rPr>
        <w:t>People v. Avitia</w:t>
      </w:r>
      <w:r>
        <w:t xml:space="preserve"> (2005) 127 Cal.App.4th 185, 193.</w:t>
      </w:r>
      <w:r>
        <w:t>)</w:t>
      </w:r>
    </w:p>
    <w:p w14:paraId="0880CB11" w14:textId="77777777" w:rsidR="00FB72EC" w:rsidRPr="00880E5A" w:rsidRDefault="00F20D43" w:rsidP="00A575EB">
      <w:pPr>
        <w:tabs>
          <w:tab w:val="clear" w:pos="720"/>
        </w:tabs>
        <w:spacing w:line="360" w:lineRule="auto"/>
        <w:rPr>
          <w:color w:val="212121"/>
          <w:shd w:val="clear" w:color="auto" w:fill="FFFFFF"/>
        </w:rPr>
      </w:pPr>
      <w:r w:rsidRPr="00AD0742">
        <w:lastRenderedPageBreak/>
        <w:tab/>
      </w:r>
      <w:r>
        <w:t>This standard, however, assumes that the</w:t>
      </w:r>
      <w:r w:rsidRPr="00FB72EC">
        <w:rPr>
          <w:color w:val="212121"/>
          <w:sz w:val="27"/>
          <w:szCs w:val="27"/>
          <w:shd w:val="clear" w:color="auto" w:fill="FFFFFF"/>
        </w:rPr>
        <w:t xml:space="preserve"> trial court</w:t>
      </w:r>
      <w:r>
        <w:rPr>
          <w:color w:val="212121"/>
          <w:sz w:val="27"/>
          <w:szCs w:val="27"/>
          <w:shd w:val="clear" w:color="auto" w:fill="FFFFFF"/>
        </w:rPr>
        <w:t xml:space="preserve"> met it</w:t>
      </w:r>
      <w:r w:rsidRPr="00FB72EC">
        <w:rPr>
          <w:color w:val="212121"/>
          <w:sz w:val="27"/>
          <w:szCs w:val="27"/>
          <w:shd w:val="clear" w:color="auto" w:fill="FFFFFF"/>
        </w:rPr>
        <w:t>s obligation with respect to ruling on evidentiary obje</w:t>
      </w:r>
      <w:r w:rsidRPr="00FB72EC">
        <w:rPr>
          <w:color w:val="212121"/>
          <w:sz w:val="27"/>
          <w:szCs w:val="27"/>
          <w:shd w:val="clear" w:color="auto" w:fill="FFFFFF"/>
        </w:rPr>
        <w:t>ctions</w:t>
      </w:r>
      <w:r>
        <w:rPr>
          <w:color w:val="212121"/>
          <w:sz w:val="27"/>
          <w:szCs w:val="27"/>
          <w:shd w:val="clear" w:color="auto" w:fill="FFFFFF"/>
        </w:rPr>
        <w:t>.  “[I]</w:t>
      </w:r>
      <w:r w:rsidRPr="00FB72EC">
        <w:rPr>
          <w:color w:val="212121"/>
          <w:sz w:val="27"/>
          <w:szCs w:val="27"/>
          <w:shd w:val="clear" w:color="auto" w:fill="FFFFFF"/>
        </w:rPr>
        <w:t xml:space="preserve">n the summary judgment setting, </w:t>
      </w:r>
      <w:r>
        <w:rPr>
          <w:color w:val="212121"/>
          <w:sz w:val="27"/>
          <w:szCs w:val="27"/>
          <w:shd w:val="clear" w:color="auto" w:fill="FFFFFF"/>
        </w:rPr>
        <w:t>.</w:t>
      </w:r>
      <w:r>
        <w:rPr>
          <w:color w:val="212121"/>
          <w:sz w:val="27"/>
          <w:szCs w:val="27"/>
          <w:shd w:val="clear" w:color="auto" w:fill="FFFFFF"/>
        </w:rPr>
        <w:t> </w:t>
      </w:r>
      <w:r>
        <w:rPr>
          <w:color w:val="212121"/>
          <w:sz w:val="27"/>
          <w:szCs w:val="27"/>
          <w:shd w:val="clear" w:color="auto" w:fill="FFFFFF"/>
        </w:rPr>
        <w:t>.</w:t>
      </w:r>
      <w:r>
        <w:rPr>
          <w:color w:val="212121"/>
          <w:sz w:val="27"/>
          <w:szCs w:val="27"/>
          <w:shd w:val="clear" w:color="auto" w:fill="FFFFFF"/>
        </w:rPr>
        <w:t> </w:t>
      </w:r>
      <w:r>
        <w:rPr>
          <w:color w:val="212121"/>
          <w:sz w:val="27"/>
          <w:szCs w:val="27"/>
          <w:shd w:val="clear" w:color="auto" w:fill="FFFFFF"/>
        </w:rPr>
        <w:t xml:space="preserve">. </w:t>
      </w:r>
      <w:r w:rsidRPr="00FB72EC">
        <w:rPr>
          <w:color w:val="212121"/>
          <w:sz w:val="27"/>
          <w:szCs w:val="27"/>
          <w:shd w:val="clear" w:color="auto" w:fill="FFFFFF"/>
        </w:rPr>
        <w:t xml:space="preserve">a trial court presented with timely evidentiary objections in proper form must expressly rule on the individual objections, and </w:t>
      </w:r>
      <w:r>
        <w:rPr>
          <w:color w:val="212121"/>
          <w:sz w:val="27"/>
          <w:szCs w:val="27"/>
          <w:shd w:val="clear" w:color="auto" w:fill="FFFFFF"/>
        </w:rPr>
        <w:t>if it</w:t>
      </w:r>
      <w:r w:rsidRPr="00FB72EC">
        <w:rPr>
          <w:color w:val="212121"/>
          <w:sz w:val="27"/>
          <w:szCs w:val="27"/>
          <w:shd w:val="clear" w:color="auto" w:fill="FFFFFF"/>
        </w:rPr>
        <w:t xml:space="preserve"> does not, the objections</w:t>
      </w:r>
      <w:r>
        <w:rPr>
          <w:color w:val="212121"/>
          <w:sz w:val="27"/>
          <w:szCs w:val="27"/>
          <w:shd w:val="clear" w:color="auto" w:fill="FFFFFF"/>
        </w:rPr>
        <w:t xml:space="preserve"> </w:t>
      </w:r>
      <w:r w:rsidRPr="00FB72EC">
        <w:rPr>
          <w:color w:val="212121"/>
          <w:sz w:val="27"/>
          <w:szCs w:val="27"/>
          <w:shd w:val="clear" w:color="auto" w:fill="FFFFFF"/>
        </w:rPr>
        <w:t>are deemed waived and the objected</w:t>
      </w:r>
      <w:r>
        <w:rPr>
          <w:color w:val="212121"/>
          <w:sz w:val="27"/>
          <w:szCs w:val="27"/>
          <w:shd w:val="clear" w:color="auto" w:fill="FFFFFF"/>
        </w:rPr>
        <w:noBreakHyphen/>
      </w:r>
      <w:r w:rsidRPr="00FB72EC">
        <w:rPr>
          <w:color w:val="212121"/>
          <w:sz w:val="27"/>
          <w:szCs w:val="27"/>
          <w:shd w:val="clear" w:color="auto" w:fill="FFFFFF"/>
        </w:rPr>
        <w:t>to evidence included in the record.</w:t>
      </w:r>
      <w:r>
        <w:rPr>
          <w:color w:val="212121"/>
          <w:sz w:val="27"/>
          <w:szCs w:val="27"/>
          <w:shd w:val="clear" w:color="auto" w:fill="FFFFFF"/>
        </w:rPr>
        <w:t>”  (</w:t>
      </w:r>
      <w:r w:rsidRPr="00C92DF8">
        <w:rPr>
          <w:i/>
          <w:iCs/>
          <w:color w:val="212121"/>
          <w:shd w:val="clear" w:color="auto" w:fill="FFFFFF"/>
        </w:rPr>
        <w:t xml:space="preserve">Demps v. San Francisco </w:t>
      </w:r>
      <w:r w:rsidRPr="00C92DF8">
        <w:rPr>
          <w:i/>
          <w:iCs/>
          <w:color w:val="212121"/>
          <w:shd w:val="clear" w:color="auto" w:fill="FFFFFF"/>
        </w:rPr>
        <w:t>Housing Auth</w:t>
      </w:r>
      <w:r w:rsidRPr="00C92DF8">
        <w:rPr>
          <w:color w:val="212121"/>
          <w:shd w:val="clear" w:color="auto" w:fill="FFFFFF"/>
        </w:rPr>
        <w:t>. (2007) 149 Cal.App.4th 564, 578</w:t>
      </w:r>
      <w:r>
        <w:rPr>
          <w:color w:val="212121"/>
          <w:shd w:val="clear" w:color="auto" w:fill="FFFFFF"/>
        </w:rPr>
        <w:t xml:space="preserve"> (</w:t>
      </w:r>
      <w:r w:rsidRPr="00880E5A">
        <w:rPr>
          <w:i/>
          <w:iCs/>
          <w:color w:val="212121"/>
          <w:shd w:val="clear" w:color="auto" w:fill="FFFFFF"/>
        </w:rPr>
        <w:t>Demps</w:t>
      </w:r>
      <w:r>
        <w:rPr>
          <w:color w:val="212121"/>
          <w:shd w:val="clear" w:color="auto" w:fill="FFFFFF"/>
        </w:rPr>
        <w:t>)</w:t>
      </w:r>
      <w:r w:rsidRPr="00C92DF8">
        <w:rPr>
          <w:color w:val="212121"/>
          <w:shd w:val="clear" w:color="auto" w:fill="FFFFFF"/>
        </w:rPr>
        <w:t>.)</w:t>
      </w:r>
      <w:r>
        <w:rPr>
          <w:color w:val="212121"/>
          <w:shd w:val="clear" w:color="auto" w:fill="FFFFFF"/>
        </w:rPr>
        <w:t xml:space="preserve">  </w:t>
      </w:r>
      <w:r w:rsidRPr="00C92DF8">
        <w:rPr>
          <w:color w:val="212121"/>
          <w:shd w:val="clear" w:color="auto" w:fill="FFFFFF"/>
        </w:rPr>
        <w:t>Moreover, “expressly rul</w:t>
      </w:r>
      <w:r w:rsidRPr="00C92DF8">
        <w:rPr>
          <w:color w:val="212121"/>
          <w:shd w:val="clear" w:color="auto" w:fill="FFFFFF"/>
        </w:rPr>
        <w:t xml:space="preserve">[ing] on the individual objections” </w:t>
      </w:r>
      <w:r>
        <w:rPr>
          <w:color w:val="212121"/>
          <w:shd w:val="clear" w:color="auto" w:fill="FFFFFF"/>
        </w:rPr>
        <w:t>(</w:t>
      </w:r>
      <w:r w:rsidRPr="00C92DF8">
        <w:rPr>
          <w:i/>
          <w:iCs/>
          <w:color w:val="212121"/>
          <w:shd w:val="clear" w:color="auto" w:fill="FFFFFF"/>
        </w:rPr>
        <w:t>ibid</w:t>
      </w:r>
      <w:r>
        <w:rPr>
          <w:color w:val="212121"/>
          <w:shd w:val="clear" w:color="auto" w:fill="FFFFFF"/>
        </w:rPr>
        <w:t xml:space="preserve">.) </w:t>
      </w:r>
      <w:r w:rsidRPr="00C92DF8">
        <w:rPr>
          <w:color w:val="212121"/>
          <w:shd w:val="clear" w:color="auto" w:fill="FFFFFF"/>
        </w:rPr>
        <w:t>does not mean ruling as the trial court did here</w:t>
      </w:r>
      <w:r>
        <w:rPr>
          <w:color w:val="212121"/>
          <w:shd w:val="clear" w:color="auto" w:fill="FFFFFF"/>
        </w:rPr>
        <w:t>, by simply issuing a blanke</w:t>
      </w:r>
      <w:r>
        <w:rPr>
          <w:color w:val="212121"/>
          <w:shd w:val="clear" w:color="auto" w:fill="FFFFFF"/>
        </w:rPr>
        <w:t>t</w:t>
      </w:r>
      <w:r>
        <w:rPr>
          <w:color w:val="212121"/>
          <w:shd w:val="clear" w:color="auto" w:fill="FFFFFF"/>
        </w:rPr>
        <w:t xml:space="preserve"> order sustaining 31 of 32 objections without </w:t>
      </w:r>
      <w:r>
        <w:rPr>
          <w:color w:val="212121"/>
          <w:shd w:val="clear" w:color="auto" w:fill="FFFFFF"/>
        </w:rPr>
        <w:t xml:space="preserve">identifying </w:t>
      </w:r>
      <w:r>
        <w:rPr>
          <w:color w:val="212121"/>
          <w:shd w:val="clear" w:color="auto" w:fill="FFFFFF"/>
        </w:rPr>
        <w:t xml:space="preserve">any </w:t>
      </w:r>
      <w:r>
        <w:rPr>
          <w:color w:val="212121"/>
          <w:shd w:val="clear" w:color="auto" w:fill="FFFFFF"/>
        </w:rPr>
        <w:t>particular basis</w:t>
      </w:r>
      <w:r w:rsidRPr="00C92DF8">
        <w:rPr>
          <w:color w:val="212121"/>
          <w:shd w:val="clear" w:color="auto" w:fill="FFFFFF"/>
        </w:rPr>
        <w:t xml:space="preserve">.  </w:t>
      </w:r>
      <w:r>
        <w:rPr>
          <w:color w:val="212121"/>
          <w:shd w:val="clear" w:color="auto" w:fill="FFFFFF"/>
        </w:rPr>
        <w:t xml:space="preserve">And this is despite the fact that, for </w:t>
      </w:r>
      <w:r>
        <w:rPr>
          <w:color w:val="212121"/>
          <w:shd w:val="clear" w:color="auto" w:fill="FFFFFF"/>
        </w:rPr>
        <w:t>nearly all</w:t>
      </w:r>
      <w:r>
        <w:rPr>
          <w:color w:val="212121"/>
          <w:shd w:val="clear" w:color="auto" w:fill="FFFFFF"/>
        </w:rPr>
        <w:t xml:space="preserve"> of its objections, the DOT offered multiple grounds for exclusion.  Indeed, for </w:t>
      </w:r>
      <w:r>
        <w:rPr>
          <w:color w:val="212121"/>
          <w:shd w:val="clear" w:color="auto" w:fill="FFFFFF"/>
        </w:rPr>
        <w:t>28</w:t>
      </w:r>
      <w:r>
        <w:rPr>
          <w:color w:val="212121"/>
          <w:shd w:val="clear" w:color="auto" w:fill="FFFFFF"/>
        </w:rPr>
        <w:t xml:space="preserve"> of these objections, the DOT offered four </w:t>
      </w:r>
      <w:r>
        <w:rPr>
          <w:color w:val="212121"/>
          <w:shd w:val="clear" w:color="auto" w:fill="FFFFFF"/>
        </w:rPr>
        <w:t>or five separate grounds for exclusion.</w:t>
      </w:r>
      <w:r>
        <w:rPr>
          <w:color w:val="212121"/>
          <w:shd w:val="clear" w:color="auto" w:fill="FFFFFF"/>
        </w:rPr>
        <w:t xml:space="preserve"> </w:t>
      </w:r>
      <w:r>
        <w:rPr>
          <w:color w:val="212121"/>
          <w:shd w:val="clear" w:color="auto" w:fill="FFFFFF"/>
        </w:rPr>
        <w:t xml:space="preserve"> Yet, given the court’s blanket ruling, we have no way of knowing whether the court accepted all of these grounds or just one.  </w:t>
      </w:r>
      <w:r w:rsidRPr="00C92DF8">
        <w:rPr>
          <w:color w:val="212121"/>
          <w:shd w:val="clear" w:color="auto" w:fill="FFFFFF"/>
        </w:rPr>
        <w:t xml:space="preserve">As aptly explained by our First </w:t>
      </w:r>
      <w:r>
        <w:rPr>
          <w:color w:val="212121"/>
          <w:shd w:val="clear" w:color="auto" w:fill="FFFFFF"/>
        </w:rPr>
        <w:t xml:space="preserve">Appellate </w:t>
      </w:r>
      <w:r w:rsidRPr="00C92DF8">
        <w:rPr>
          <w:color w:val="212121"/>
          <w:shd w:val="clear" w:color="auto" w:fill="FFFFFF"/>
        </w:rPr>
        <w:t>District colleagues</w:t>
      </w:r>
      <w:r>
        <w:rPr>
          <w:color w:val="212121"/>
          <w:shd w:val="clear" w:color="auto" w:fill="FFFFFF"/>
        </w:rPr>
        <w:t xml:space="preserve"> under more egregious circu</w:t>
      </w:r>
      <w:r>
        <w:rPr>
          <w:color w:val="212121"/>
          <w:shd w:val="clear" w:color="auto" w:fill="FFFFFF"/>
        </w:rPr>
        <w:t>mstances:</w:t>
      </w:r>
      <w:r w:rsidRPr="00C92DF8">
        <w:rPr>
          <w:color w:val="212121"/>
          <w:shd w:val="clear" w:color="auto" w:fill="FFFFFF"/>
        </w:rPr>
        <w:t xml:space="preserve"> </w:t>
      </w:r>
      <w:r>
        <w:rPr>
          <w:color w:val="212121"/>
          <w:shd w:val="clear" w:color="auto" w:fill="FFFFFF"/>
        </w:rPr>
        <w:t xml:space="preserve"> </w:t>
      </w:r>
      <w:r w:rsidRPr="00C92DF8">
        <w:rPr>
          <w:color w:val="212121"/>
          <w:shd w:val="clear" w:color="auto" w:fill="FFFFFF"/>
        </w:rPr>
        <w:t xml:space="preserve">“It is true that the trial court </w:t>
      </w:r>
      <w:r>
        <w:rPr>
          <w:color w:val="212121"/>
          <w:shd w:val="clear" w:color="auto" w:fill="FFFFFF"/>
        </w:rPr>
        <w:t>‘</w:t>
      </w:r>
      <w:r w:rsidRPr="00C92DF8">
        <w:rPr>
          <w:color w:val="212121"/>
          <w:shd w:val="clear" w:color="auto" w:fill="FFFFFF"/>
        </w:rPr>
        <w:t>ruled,</w:t>
      </w:r>
      <w:r>
        <w:rPr>
          <w:color w:val="212121"/>
          <w:shd w:val="clear" w:color="auto" w:fill="FFFFFF"/>
        </w:rPr>
        <w:t>’</w:t>
      </w:r>
      <w:r w:rsidRPr="00C92DF8">
        <w:rPr>
          <w:color w:val="212121"/>
          <w:shd w:val="clear" w:color="auto" w:fill="FFFFFF"/>
        </w:rPr>
        <w:t xml:space="preserve"> however conclusorily, that all objections save one were sustained. </w:t>
      </w:r>
      <w:r>
        <w:rPr>
          <w:color w:val="212121"/>
          <w:shd w:val="clear" w:color="auto" w:fill="FFFFFF"/>
        </w:rPr>
        <w:t xml:space="preserve"> </w:t>
      </w:r>
      <w:r w:rsidRPr="00C92DF8">
        <w:rPr>
          <w:color w:val="212121"/>
          <w:shd w:val="clear" w:color="auto" w:fill="FFFFFF"/>
        </w:rPr>
        <w:t>This is hardly a ruling, as it could not provide any meaningful basis for review.</w:t>
      </w:r>
      <w:r>
        <w:rPr>
          <w:color w:val="212121"/>
          <w:shd w:val="clear" w:color="auto" w:fill="FFFFFF"/>
        </w:rPr>
        <w:t>”</w:t>
      </w:r>
      <w:r>
        <w:rPr>
          <w:color w:val="212121"/>
          <w:sz w:val="27"/>
          <w:szCs w:val="27"/>
          <w:shd w:val="clear" w:color="auto" w:fill="FFFFFF"/>
        </w:rPr>
        <w:t xml:space="preserve">  (</w:t>
      </w:r>
      <w:r w:rsidRPr="00C92DF8">
        <w:rPr>
          <w:i/>
          <w:iCs/>
          <w:color w:val="212121"/>
          <w:sz w:val="27"/>
          <w:szCs w:val="27"/>
          <w:shd w:val="clear" w:color="auto" w:fill="FFFFFF"/>
        </w:rPr>
        <w:t>Nazir v. U</w:t>
      </w:r>
      <w:r w:rsidRPr="00C92DF8">
        <w:rPr>
          <w:i/>
          <w:iCs/>
          <w:color w:val="212121"/>
          <w:sz w:val="27"/>
          <w:szCs w:val="27"/>
          <w:shd w:val="clear" w:color="auto" w:fill="FFFFFF"/>
        </w:rPr>
        <w:t>nited</w:t>
      </w:r>
      <w:r w:rsidRPr="00C92DF8">
        <w:rPr>
          <w:i/>
          <w:iCs/>
          <w:color w:val="212121"/>
          <w:sz w:val="27"/>
          <w:szCs w:val="27"/>
          <w:shd w:val="clear" w:color="auto" w:fill="FFFFFF"/>
        </w:rPr>
        <w:t xml:space="preserve"> </w:t>
      </w:r>
      <w:r>
        <w:rPr>
          <w:i/>
          <w:iCs/>
          <w:color w:val="212121"/>
          <w:sz w:val="27"/>
          <w:szCs w:val="27"/>
          <w:shd w:val="clear" w:color="auto" w:fill="FFFFFF"/>
        </w:rPr>
        <w:t>Air Lines</w:t>
      </w:r>
      <w:r w:rsidRPr="00C92DF8">
        <w:rPr>
          <w:i/>
          <w:iCs/>
          <w:color w:val="212121"/>
          <w:sz w:val="27"/>
          <w:szCs w:val="27"/>
          <w:shd w:val="clear" w:color="auto" w:fill="FFFFFF"/>
        </w:rPr>
        <w:t>,</w:t>
      </w:r>
      <w:r>
        <w:rPr>
          <w:i/>
          <w:iCs/>
          <w:color w:val="212121"/>
          <w:sz w:val="27"/>
          <w:szCs w:val="27"/>
          <w:shd w:val="clear" w:color="auto" w:fill="FFFFFF"/>
        </w:rPr>
        <w:t> </w:t>
      </w:r>
      <w:r w:rsidRPr="00C92DF8">
        <w:rPr>
          <w:i/>
          <w:iCs/>
          <w:color w:val="212121"/>
          <w:sz w:val="27"/>
          <w:szCs w:val="27"/>
          <w:shd w:val="clear" w:color="auto" w:fill="FFFFFF"/>
        </w:rPr>
        <w:t>Inc</w:t>
      </w:r>
      <w:r>
        <w:rPr>
          <w:color w:val="212121"/>
          <w:sz w:val="27"/>
          <w:szCs w:val="27"/>
          <w:shd w:val="clear" w:color="auto" w:fill="FFFFFF"/>
        </w:rPr>
        <w:t xml:space="preserve">. (2009) 178 </w:t>
      </w:r>
      <w:r>
        <w:rPr>
          <w:color w:val="212121"/>
          <w:sz w:val="27"/>
          <w:szCs w:val="27"/>
          <w:shd w:val="clear" w:color="auto" w:fill="FFFFFF"/>
        </w:rPr>
        <w:t xml:space="preserve">Cal.App.4th </w:t>
      </w:r>
      <w:r>
        <w:rPr>
          <w:color w:val="212121"/>
          <w:sz w:val="27"/>
          <w:szCs w:val="27"/>
          <w:shd w:val="clear" w:color="auto" w:fill="FFFFFF"/>
        </w:rPr>
        <w:t>243, 255</w:t>
      </w:r>
      <w:r>
        <w:rPr>
          <w:color w:val="212121"/>
          <w:sz w:val="27"/>
          <w:szCs w:val="27"/>
          <w:shd w:val="clear" w:color="auto" w:fill="FFFFFF"/>
        </w:rPr>
        <w:t xml:space="preserve">, 257 [trial court committed a “manifest abuse of discretion” </w:t>
      </w:r>
      <w:r>
        <w:rPr>
          <w:color w:val="212121"/>
          <w:sz w:val="27"/>
          <w:szCs w:val="27"/>
          <w:shd w:val="clear" w:color="auto" w:fill="FFFFFF"/>
        </w:rPr>
        <w:t>in</w:t>
      </w:r>
      <w:r w:rsidRPr="008914BA">
        <w:rPr>
          <w:color w:val="212121"/>
          <w:shd w:val="clear" w:color="auto" w:fill="FFFFFF"/>
        </w:rPr>
        <w:t xml:space="preserve"> </w:t>
      </w:r>
      <w:r>
        <w:rPr>
          <w:color w:val="212121"/>
          <w:shd w:val="clear" w:color="auto" w:fill="FFFFFF"/>
        </w:rPr>
        <w:t>s</w:t>
      </w:r>
      <w:r w:rsidRPr="008914BA">
        <w:rPr>
          <w:color w:val="212121"/>
          <w:shd w:val="clear" w:color="auto" w:fill="FFFFFF"/>
        </w:rPr>
        <w:t>ustain</w:t>
      </w:r>
      <w:r>
        <w:rPr>
          <w:color w:val="212121"/>
          <w:shd w:val="clear" w:color="auto" w:fill="FFFFFF"/>
        </w:rPr>
        <w:t xml:space="preserve">ing </w:t>
      </w:r>
      <w:r w:rsidRPr="008914BA">
        <w:rPr>
          <w:color w:val="212121"/>
          <w:shd w:val="clear" w:color="auto" w:fill="FFFFFF"/>
        </w:rPr>
        <w:t xml:space="preserve">all but one of </w:t>
      </w:r>
      <w:r>
        <w:rPr>
          <w:color w:val="212121"/>
          <w:shd w:val="clear" w:color="auto" w:fill="FFFFFF"/>
        </w:rPr>
        <w:t xml:space="preserve">the </w:t>
      </w:r>
      <w:r w:rsidRPr="008914BA">
        <w:rPr>
          <w:color w:val="212121"/>
          <w:shd w:val="clear" w:color="auto" w:fill="FFFFFF"/>
        </w:rPr>
        <w:t>defendants</w:t>
      </w:r>
      <w:r>
        <w:rPr>
          <w:color w:val="212121"/>
          <w:shd w:val="clear" w:color="auto" w:fill="FFFFFF"/>
        </w:rPr>
        <w:t xml:space="preserve">’ </w:t>
      </w:r>
      <w:r w:rsidRPr="008914BA">
        <w:rPr>
          <w:color w:val="212121"/>
          <w:shd w:val="clear" w:color="auto" w:fill="FFFFFF"/>
        </w:rPr>
        <w:t xml:space="preserve">764 </w:t>
      </w:r>
      <w:r w:rsidRPr="00880E5A">
        <w:rPr>
          <w:color w:val="212121"/>
          <w:shd w:val="clear" w:color="auto" w:fill="FFFFFF"/>
        </w:rPr>
        <w:t>objections without explanation]</w:t>
      </w:r>
      <w:r w:rsidRPr="00880E5A">
        <w:rPr>
          <w:color w:val="212121"/>
          <w:shd w:val="clear" w:color="auto" w:fill="FFFFFF"/>
        </w:rPr>
        <w:t>.)</w:t>
      </w:r>
    </w:p>
    <w:p w14:paraId="4FFB08FE" w14:textId="77777777" w:rsidR="00485DB1" w:rsidRDefault="00F20D43" w:rsidP="00666FD9">
      <w:pPr>
        <w:pStyle w:val="NormalWeb"/>
        <w:shd w:val="clear" w:color="auto" w:fill="FFFFFF"/>
        <w:spacing w:before="0" w:beforeAutospacing="0" w:after="0" w:afterAutospacing="0" w:line="360" w:lineRule="auto"/>
        <w:ind w:firstLine="720"/>
        <w:textAlignment w:val="baseline"/>
        <w:rPr>
          <w:rFonts w:ascii="Century Schoolbook" w:hAnsi="Century Schoolbook"/>
          <w:color w:val="212121"/>
          <w:sz w:val="26"/>
          <w:szCs w:val="26"/>
          <w:shd w:val="clear" w:color="auto" w:fill="FFFFFF"/>
        </w:rPr>
      </w:pPr>
      <w:r w:rsidRPr="00880E5A">
        <w:rPr>
          <w:rFonts w:ascii="Century Schoolbook" w:hAnsi="Century Schoolbook"/>
          <w:color w:val="212121"/>
          <w:sz w:val="26"/>
          <w:szCs w:val="26"/>
          <w:shd w:val="clear" w:color="auto" w:fill="FFFFFF"/>
        </w:rPr>
        <w:t xml:space="preserve">Under these circumstances, where the trial court failed to discharge its obligation to expressly rule on the DOT’s individual objections in a manner that would allow a meaningful basis for </w:t>
      </w:r>
      <w:r>
        <w:rPr>
          <w:rFonts w:ascii="Century Schoolbook" w:hAnsi="Century Schoolbook"/>
          <w:color w:val="212121"/>
          <w:sz w:val="26"/>
          <w:szCs w:val="26"/>
          <w:shd w:val="clear" w:color="auto" w:fill="FFFFFF"/>
        </w:rPr>
        <w:t xml:space="preserve">our </w:t>
      </w:r>
      <w:r w:rsidRPr="00880E5A">
        <w:rPr>
          <w:rFonts w:ascii="Century Schoolbook" w:hAnsi="Century Schoolbook"/>
          <w:color w:val="212121"/>
          <w:sz w:val="26"/>
          <w:szCs w:val="26"/>
          <w:shd w:val="clear" w:color="auto" w:fill="FFFFFF"/>
        </w:rPr>
        <w:t xml:space="preserve">review, </w:t>
      </w:r>
      <w:r w:rsidRPr="00880E5A">
        <w:rPr>
          <w:rStyle w:val="ssrfcpassagedeactivated"/>
          <w:rFonts w:ascii="Century Schoolbook" w:hAnsi="Century Schoolbook"/>
          <w:color w:val="212121"/>
          <w:sz w:val="26"/>
          <w:szCs w:val="26"/>
          <w:bdr w:val="none" w:sz="0" w:space="0" w:color="auto" w:frame="1"/>
          <w:shd w:val="clear" w:color="auto" w:fill="FFFFFF"/>
        </w:rPr>
        <w:t>we give plaintiffs the benefit of the situation and con</w:t>
      </w:r>
      <w:r w:rsidRPr="00880E5A">
        <w:rPr>
          <w:rStyle w:val="ssrfcpassagedeactivated"/>
          <w:rFonts w:ascii="Century Schoolbook" w:hAnsi="Century Schoolbook"/>
          <w:color w:val="212121"/>
          <w:sz w:val="26"/>
          <w:szCs w:val="26"/>
          <w:bdr w:val="none" w:sz="0" w:space="0" w:color="auto" w:frame="1"/>
          <w:shd w:val="clear" w:color="auto" w:fill="FFFFFF"/>
        </w:rPr>
        <w:t>sider all the evidence in the record, including the Engelmann declaration, as though the DOT’s objections were waived.</w:t>
      </w:r>
      <w:r>
        <w:rPr>
          <w:rStyle w:val="ssrfcpassagedeactivated"/>
          <w:rFonts w:ascii="Century Schoolbook" w:hAnsi="Century Schoolbook"/>
          <w:color w:val="212121"/>
          <w:sz w:val="26"/>
          <w:szCs w:val="26"/>
          <w:bdr w:val="none" w:sz="0" w:space="0" w:color="auto" w:frame="1"/>
          <w:shd w:val="clear" w:color="auto" w:fill="FFFFFF"/>
        </w:rPr>
        <w:t xml:space="preserve">  </w:t>
      </w:r>
      <w:r w:rsidRPr="00880E5A">
        <w:rPr>
          <w:rStyle w:val="ssrfcpassagedeactivated"/>
          <w:rFonts w:ascii="Century Schoolbook" w:hAnsi="Century Schoolbook"/>
          <w:color w:val="212121"/>
          <w:sz w:val="26"/>
          <w:szCs w:val="26"/>
          <w:bdr w:val="none" w:sz="0" w:space="0" w:color="auto" w:frame="1"/>
          <w:shd w:val="clear" w:color="auto" w:fill="FFFFFF"/>
        </w:rPr>
        <w:t>(</w:t>
      </w:r>
      <w:r w:rsidRPr="00880E5A">
        <w:rPr>
          <w:rFonts w:ascii="Century Schoolbook" w:hAnsi="Century Schoolbook"/>
          <w:i/>
          <w:iCs/>
          <w:color w:val="212121"/>
          <w:sz w:val="26"/>
          <w:szCs w:val="26"/>
          <w:shd w:val="clear" w:color="auto" w:fill="FFFFFF"/>
        </w:rPr>
        <w:t>Demps, supra</w:t>
      </w:r>
      <w:r w:rsidRPr="00A575EB">
        <w:rPr>
          <w:rFonts w:ascii="Century Schoolbook" w:hAnsi="Century Schoolbook"/>
          <w:color w:val="212121"/>
          <w:sz w:val="26"/>
          <w:szCs w:val="26"/>
          <w:shd w:val="clear" w:color="auto" w:fill="FFFFFF"/>
        </w:rPr>
        <w:t>,</w:t>
      </w:r>
      <w:r w:rsidRPr="008032E7">
        <w:rPr>
          <w:rFonts w:ascii="Century Schoolbook" w:hAnsi="Century Schoolbook"/>
          <w:color w:val="212121"/>
          <w:sz w:val="26"/>
          <w:szCs w:val="26"/>
          <w:shd w:val="clear" w:color="auto" w:fill="FFFFFF"/>
        </w:rPr>
        <w:t xml:space="preserve"> </w:t>
      </w:r>
      <w:r w:rsidRPr="00880E5A">
        <w:rPr>
          <w:rFonts w:ascii="Century Schoolbook" w:hAnsi="Century Schoolbook"/>
          <w:color w:val="212121"/>
          <w:sz w:val="26"/>
          <w:szCs w:val="26"/>
          <w:shd w:val="clear" w:color="auto" w:fill="FFFFFF"/>
        </w:rPr>
        <w:t>149 Cal.App.4th at p. 578.)</w:t>
      </w:r>
    </w:p>
    <w:p w14:paraId="6C94CC7E" w14:textId="77777777" w:rsidR="00880E5A" w:rsidRPr="00880E5A" w:rsidRDefault="00F20D43" w:rsidP="001D5BF0">
      <w:pPr>
        <w:pStyle w:val="NormalWeb"/>
        <w:shd w:val="clear" w:color="auto" w:fill="FFFFFF"/>
        <w:spacing w:before="0" w:beforeAutospacing="0" w:after="0" w:afterAutospacing="0" w:line="360" w:lineRule="auto"/>
        <w:ind w:firstLine="720"/>
        <w:textAlignment w:val="baseline"/>
        <w:rPr>
          <w:rFonts w:ascii="Century Schoolbook" w:hAnsi="Century Schoolbook"/>
          <w:sz w:val="26"/>
          <w:szCs w:val="26"/>
        </w:rPr>
      </w:pPr>
      <w:r w:rsidRPr="00880E5A">
        <w:rPr>
          <w:rFonts w:ascii="Century Schoolbook" w:hAnsi="Century Schoolbook"/>
          <w:color w:val="212121"/>
          <w:sz w:val="26"/>
          <w:szCs w:val="26"/>
          <w:shd w:val="clear" w:color="auto" w:fill="FFFFFF"/>
        </w:rPr>
        <w:lastRenderedPageBreak/>
        <w:t>Reviewing the record in th</w:t>
      </w:r>
      <w:r>
        <w:rPr>
          <w:rFonts w:ascii="Century Schoolbook" w:hAnsi="Century Schoolbook"/>
          <w:color w:val="212121"/>
          <w:sz w:val="26"/>
          <w:szCs w:val="26"/>
          <w:shd w:val="clear" w:color="auto" w:fill="FFFFFF"/>
        </w:rPr>
        <w:t>is</w:t>
      </w:r>
      <w:r w:rsidRPr="00880E5A">
        <w:rPr>
          <w:rFonts w:ascii="Century Schoolbook" w:hAnsi="Century Schoolbook"/>
          <w:color w:val="212121"/>
          <w:sz w:val="26"/>
          <w:szCs w:val="26"/>
          <w:shd w:val="clear" w:color="auto" w:fill="FFFFFF"/>
        </w:rPr>
        <w:t xml:space="preserve"> light, we nonetheless conclude </w:t>
      </w:r>
      <w:r>
        <w:rPr>
          <w:rFonts w:ascii="Century Schoolbook" w:hAnsi="Century Schoolbook"/>
          <w:color w:val="212121"/>
          <w:sz w:val="26"/>
          <w:szCs w:val="26"/>
          <w:shd w:val="clear" w:color="auto" w:fill="FFFFFF"/>
        </w:rPr>
        <w:t xml:space="preserve">for reasons set forth </w:t>
      </w:r>
      <w:r>
        <w:rPr>
          <w:rFonts w:ascii="Century Schoolbook" w:hAnsi="Century Schoolbook"/>
          <w:i/>
          <w:iCs/>
          <w:color w:val="212121"/>
          <w:sz w:val="26"/>
          <w:szCs w:val="26"/>
          <w:shd w:val="clear" w:color="auto" w:fill="FFFFFF"/>
        </w:rPr>
        <w:t>post</w:t>
      </w:r>
      <w:r>
        <w:rPr>
          <w:rFonts w:ascii="Century Schoolbook" w:hAnsi="Century Schoolbook"/>
          <w:color w:val="212121"/>
          <w:sz w:val="26"/>
          <w:szCs w:val="26"/>
          <w:shd w:val="clear" w:color="auto" w:fill="FFFFFF"/>
        </w:rPr>
        <w:t xml:space="preserve"> that </w:t>
      </w:r>
      <w:r w:rsidRPr="00880E5A">
        <w:rPr>
          <w:rFonts w:ascii="Century Schoolbook" w:hAnsi="Century Schoolbook"/>
          <w:color w:val="212121"/>
          <w:sz w:val="26"/>
          <w:szCs w:val="26"/>
          <w:shd w:val="clear" w:color="auto" w:fill="FFFFFF"/>
        </w:rPr>
        <w:t xml:space="preserve">the trial court’s grant of summary judgment was correct.  </w:t>
      </w:r>
      <w:r>
        <w:rPr>
          <w:rFonts w:ascii="Century Schoolbook" w:hAnsi="Century Schoolbook"/>
          <w:color w:val="212121"/>
          <w:sz w:val="26"/>
          <w:szCs w:val="26"/>
          <w:shd w:val="clear" w:color="auto" w:fill="FFFFFF"/>
        </w:rPr>
        <w:t>(</w:t>
      </w:r>
      <w:r w:rsidRPr="00973A47">
        <w:rPr>
          <w:rFonts w:ascii="Century Schoolbook" w:hAnsi="Century Schoolbook"/>
          <w:i/>
          <w:iCs/>
          <w:color w:val="212121"/>
          <w:sz w:val="26"/>
          <w:szCs w:val="26"/>
          <w:shd w:val="clear" w:color="auto" w:fill="FFFFFF"/>
        </w:rPr>
        <w:t>Arvizu, supra</w:t>
      </w:r>
      <w:r>
        <w:rPr>
          <w:rFonts w:ascii="Century Schoolbook" w:hAnsi="Century Schoolbook"/>
          <w:color w:val="212121"/>
          <w:sz w:val="26"/>
          <w:szCs w:val="26"/>
          <w:shd w:val="clear" w:color="auto" w:fill="FFFFFF"/>
        </w:rPr>
        <w:t xml:space="preserve">, 21 </w:t>
      </w:r>
      <w:r w:rsidRPr="00973A47">
        <w:rPr>
          <w:rFonts w:ascii="Century Schoolbook" w:hAnsi="Century Schoolbook"/>
          <w:color w:val="212121"/>
          <w:sz w:val="26"/>
          <w:szCs w:val="26"/>
          <w:shd w:val="clear" w:color="auto" w:fill="FFFFFF"/>
        </w:rPr>
        <w:t xml:space="preserve">Cal.App.5th </w:t>
      </w:r>
      <w:r>
        <w:rPr>
          <w:rFonts w:ascii="Century Schoolbook" w:hAnsi="Century Schoolbook"/>
          <w:color w:val="212121"/>
          <w:sz w:val="26"/>
          <w:szCs w:val="26"/>
          <w:shd w:val="clear" w:color="auto" w:fill="FFFFFF"/>
        </w:rPr>
        <w:t>at p. 763</w:t>
      </w:r>
      <w:r>
        <w:rPr>
          <w:rFonts w:ascii="Century Schoolbook" w:hAnsi="Century Schoolbook"/>
          <w:color w:val="212121"/>
          <w:sz w:val="26"/>
          <w:szCs w:val="26"/>
          <w:shd w:val="clear" w:color="auto" w:fill="FFFFFF"/>
        </w:rPr>
        <w:t xml:space="preserve"> [</w:t>
      </w:r>
      <w:r w:rsidRPr="00880E5A">
        <w:rPr>
          <w:rFonts w:ascii="Century Schoolbook" w:hAnsi="Century Schoolbook"/>
          <w:color w:val="212121"/>
          <w:sz w:val="26"/>
          <w:szCs w:val="26"/>
          <w:shd w:val="clear" w:color="auto" w:fill="FFFFFF"/>
        </w:rPr>
        <w:t>summary judgment upheld if correct on any ground</w:t>
      </w:r>
      <w:r>
        <w:rPr>
          <w:rFonts w:ascii="Century Schoolbook" w:hAnsi="Century Schoolbook"/>
          <w:color w:val="212121"/>
          <w:sz w:val="26"/>
          <w:szCs w:val="26"/>
          <w:shd w:val="clear" w:color="auto" w:fill="FFFFFF"/>
        </w:rPr>
        <w:t>]</w:t>
      </w:r>
      <w:r w:rsidRPr="00880E5A">
        <w:rPr>
          <w:rFonts w:ascii="Century Schoolbook" w:hAnsi="Century Schoolbook"/>
          <w:color w:val="212121"/>
          <w:sz w:val="26"/>
          <w:szCs w:val="26"/>
          <w:shd w:val="clear" w:color="auto" w:fill="FFFFFF"/>
        </w:rPr>
        <w:t>.)</w:t>
      </w:r>
    </w:p>
    <w:p w14:paraId="2375DDE9" w14:textId="77777777" w:rsidR="00482B59" w:rsidRPr="00A575EB" w:rsidRDefault="00F20D43" w:rsidP="00A575EB">
      <w:pPr>
        <w:pStyle w:val="ListParagraph"/>
        <w:keepNext/>
        <w:numPr>
          <w:ilvl w:val="0"/>
          <w:numId w:val="2"/>
        </w:numPr>
        <w:tabs>
          <w:tab w:val="clear" w:pos="720"/>
        </w:tabs>
        <w:spacing w:line="360" w:lineRule="auto"/>
        <w:ind w:left="720"/>
        <w:rPr>
          <w:b/>
          <w:bCs/>
          <w:i/>
          <w:iCs/>
        </w:rPr>
      </w:pPr>
      <w:r w:rsidRPr="00A575EB">
        <w:rPr>
          <w:b/>
          <w:bCs/>
          <w:i/>
          <w:iCs/>
        </w:rPr>
        <w:t>Summary judgment was proper</w:t>
      </w:r>
      <w:r w:rsidRPr="00A575EB">
        <w:rPr>
          <w:b/>
          <w:bCs/>
          <w:i/>
          <w:iCs/>
        </w:rPr>
        <w:t xml:space="preserve"> under Privette and its progeny</w:t>
      </w:r>
      <w:r w:rsidRPr="00A575EB">
        <w:rPr>
          <w:b/>
          <w:bCs/>
          <w:i/>
          <w:iCs/>
        </w:rPr>
        <w:t>.</w:t>
      </w:r>
    </w:p>
    <w:p w14:paraId="7BCEE8EA" w14:textId="77777777" w:rsidR="00055434" w:rsidRDefault="00F20D43" w:rsidP="00A575EB">
      <w:pPr>
        <w:tabs>
          <w:tab w:val="clear" w:pos="720"/>
        </w:tabs>
        <w:spacing w:line="360" w:lineRule="auto"/>
      </w:pPr>
      <w:r>
        <w:tab/>
        <w:t xml:space="preserve">Plaintiffs’ causes of action arise under the Government Claims Act </w:t>
      </w:r>
      <w:r>
        <w:t>(</w:t>
      </w:r>
      <w:r>
        <w:t>§ </w:t>
      </w:r>
      <w:r>
        <w:t>810 et</w:t>
      </w:r>
      <w:r>
        <w:t> </w:t>
      </w:r>
      <w:r>
        <w:t>s</w:t>
      </w:r>
      <w:r w:rsidRPr="00770697">
        <w:t>eq.</w:t>
      </w:r>
      <w:r>
        <w:t>).</w:t>
      </w:r>
      <w:r w:rsidRPr="00770697">
        <w:t xml:space="preserve">  Specifically, the first </w:t>
      </w:r>
      <w:r>
        <w:t xml:space="preserve">remaining </w:t>
      </w:r>
      <w:r w:rsidRPr="00770697">
        <w:t xml:space="preserve">cause of action </w:t>
      </w:r>
      <w:r>
        <w:t xml:space="preserve">arises </w:t>
      </w:r>
      <w:r w:rsidRPr="00770697">
        <w:t>under section 815.2</w:t>
      </w:r>
      <w:r w:rsidRPr="00770697">
        <w:t xml:space="preserve">, </w:t>
      </w:r>
      <w:r>
        <w:t>pursuant to</w:t>
      </w:r>
      <w:r>
        <w:t xml:space="preserve"> </w:t>
      </w:r>
      <w:r w:rsidRPr="00770697">
        <w:t>which</w:t>
      </w:r>
      <w:r w:rsidRPr="00770697">
        <w:rPr>
          <w:color w:val="212121"/>
          <w:shd w:val="clear" w:color="auto" w:fill="FFFFFF"/>
        </w:rPr>
        <w:t xml:space="preserve"> public entities are liable for injuries c</w:t>
      </w:r>
      <w:r w:rsidRPr="00770697">
        <w:rPr>
          <w:color w:val="212121"/>
          <w:shd w:val="clear" w:color="auto" w:fill="FFFFFF"/>
        </w:rPr>
        <w:t xml:space="preserve">aused by their employees within the scope of their employment </w:t>
      </w:r>
      <w:r>
        <w:rPr>
          <w:color w:val="212121"/>
          <w:shd w:val="clear" w:color="auto" w:fill="FFFFFF"/>
        </w:rPr>
        <w:t>“</w:t>
      </w:r>
      <w:r w:rsidRPr="00770697">
        <w:rPr>
          <w:color w:val="212121"/>
          <w:shd w:val="clear" w:color="auto" w:fill="FFFFFF"/>
        </w:rPr>
        <w:t>if the act or omission would, apart from this section, have given rise to a cause of action against that employee</w:t>
      </w:r>
      <w:r>
        <w:rPr>
          <w:color w:val="212121"/>
          <w:shd w:val="clear" w:color="auto" w:fill="FFFFFF"/>
        </w:rPr>
        <w:t> . . . </w:t>
      </w:r>
      <w:r w:rsidRPr="00770697">
        <w:rPr>
          <w:color w:val="212121"/>
          <w:shd w:val="clear" w:color="auto" w:fill="FFFFFF"/>
        </w:rPr>
        <w:t>.</w:t>
      </w:r>
      <w:r>
        <w:rPr>
          <w:color w:val="212121"/>
          <w:shd w:val="clear" w:color="auto" w:fill="FFFFFF"/>
        </w:rPr>
        <w:t>”</w:t>
      </w:r>
      <w:r w:rsidRPr="00770697">
        <w:rPr>
          <w:color w:val="212121"/>
          <w:shd w:val="clear" w:color="auto" w:fill="FFFFFF"/>
        </w:rPr>
        <w:t xml:space="preserve"> </w:t>
      </w:r>
      <w:r>
        <w:rPr>
          <w:color w:val="212121"/>
          <w:shd w:val="clear" w:color="auto" w:fill="FFFFFF"/>
        </w:rPr>
        <w:t xml:space="preserve"> </w:t>
      </w:r>
      <w:r w:rsidRPr="00770697">
        <w:rPr>
          <w:color w:val="212121"/>
          <w:shd w:val="clear" w:color="auto" w:fill="FFFFFF"/>
        </w:rPr>
        <w:t>(§ </w:t>
      </w:r>
      <w:r>
        <w:rPr>
          <w:color w:val="212121"/>
          <w:shd w:val="clear" w:color="auto" w:fill="FFFFFF"/>
        </w:rPr>
        <w:t>815.2, subd. (a)</w:t>
      </w:r>
      <w:r w:rsidRPr="00770697">
        <w:rPr>
          <w:color w:val="212121"/>
          <w:shd w:val="clear" w:color="auto" w:fill="FFFFFF"/>
        </w:rPr>
        <w:t>.)</w:t>
      </w:r>
      <w:r>
        <w:rPr>
          <w:color w:val="212121"/>
          <w:shd w:val="clear" w:color="auto" w:fill="FFFFFF"/>
        </w:rPr>
        <w:t xml:space="preserve">  </w:t>
      </w:r>
      <w:r>
        <w:rPr>
          <w:color w:val="212121"/>
          <w:shd w:val="clear" w:color="auto" w:fill="FFFFFF"/>
        </w:rPr>
        <w:t>Section 815.2, subdivision</w:t>
      </w:r>
      <w:r>
        <w:rPr>
          <w:color w:val="212121"/>
          <w:shd w:val="clear" w:color="auto" w:fill="FFFFFF"/>
        </w:rPr>
        <w:t> </w:t>
      </w:r>
      <w:r>
        <w:rPr>
          <w:color w:val="212121"/>
          <w:shd w:val="clear" w:color="auto" w:fill="FFFFFF"/>
        </w:rPr>
        <w:t xml:space="preserve">(b) then states, </w:t>
      </w:r>
      <w:r>
        <w:t>“</w:t>
      </w:r>
      <w:r>
        <w:rPr>
          <w:color w:val="212121"/>
          <w:shd w:val="clear" w:color="auto" w:fill="FFFFFF"/>
        </w:rPr>
        <w:t>Except</w:t>
      </w:r>
      <w:r w:rsidRPr="00770697">
        <w:rPr>
          <w:color w:val="212121"/>
          <w:shd w:val="clear" w:color="auto" w:fill="FFFFFF"/>
        </w:rPr>
        <w:t xml:space="preserve"> as otherwise provided by statute, a public entity</w:t>
      </w:r>
      <w:r>
        <w:rPr>
          <w:color w:val="212121"/>
          <w:shd w:val="clear" w:color="auto" w:fill="FFFFFF"/>
        </w:rPr>
        <w:t xml:space="preserve"> </w:t>
      </w:r>
      <w:r w:rsidRPr="00246EF4">
        <w:rPr>
          <w:rStyle w:val="ssit"/>
          <w:color w:val="212121"/>
          <w:bdr w:val="none" w:sz="0" w:space="0" w:color="auto" w:frame="1"/>
          <w:shd w:val="clear" w:color="auto" w:fill="FFFFFF"/>
        </w:rPr>
        <w:t>is</w:t>
      </w:r>
      <w:r w:rsidRPr="00770697">
        <w:rPr>
          <w:rStyle w:val="ssit"/>
          <w:i/>
          <w:iCs/>
          <w:color w:val="212121"/>
          <w:bdr w:val="none" w:sz="0" w:space="0" w:color="auto" w:frame="1"/>
          <w:shd w:val="clear" w:color="auto" w:fill="FFFFFF"/>
        </w:rPr>
        <w:t xml:space="preserve"> </w:t>
      </w:r>
      <w:r w:rsidRPr="00A559AE">
        <w:rPr>
          <w:rStyle w:val="ssit"/>
          <w:color w:val="212121"/>
          <w:bdr w:val="none" w:sz="0" w:space="0" w:color="auto" w:frame="1"/>
          <w:shd w:val="clear" w:color="auto" w:fill="FFFFFF"/>
        </w:rPr>
        <w:t>not</w:t>
      </w:r>
      <w:r>
        <w:rPr>
          <w:color w:val="212121"/>
          <w:shd w:val="clear" w:color="auto" w:fill="FFFFFF"/>
        </w:rPr>
        <w:t xml:space="preserve"> </w:t>
      </w:r>
      <w:r w:rsidRPr="00770697">
        <w:rPr>
          <w:color w:val="212121"/>
          <w:shd w:val="clear" w:color="auto" w:fill="FFFFFF"/>
        </w:rPr>
        <w:t>liable for an injury resulting from an act or omission of an employee of the public entity</w:t>
      </w:r>
      <w:r>
        <w:rPr>
          <w:color w:val="212121"/>
          <w:shd w:val="clear" w:color="auto" w:fill="FFFFFF"/>
        </w:rPr>
        <w:t xml:space="preserve"> </w:t>
      </w:r>
      <w:r w:rsidRPr="00A559AE">
        <w:rPr>
          <w:rStyle w:val="ssit"/>
          <w:color w:val="212121"/>
          <w:bdr w:val="none" w:sz="0" w:space="0" w:color="auto" w:frame="1"/>
          <w:shd w:val="clear" w:color="auto" w:fill="FFFFFF"/>
        </w:rPr>
        <w:t>where the employee is immune from liability</w:t>
      </w:r>
      <w:r w:rsidRPr="00770697">
        <w:rPr>
          <w:color w:val="212121"/>
          <w:shd w:val="clear" w:color="auto" w:fill="FFFFFF"/>
        </w:rPr>
        <w:t>.</w:t>
      </w:r>
      <w:r>
        <w:rPr>
          <w:color w:val="212121"/>
          <w:shd w:val="clear" w:color="auto" w:fill="FFFFFF"/>
        </w:rPr>
        <w:t>”</w:t>
      </w:r>
    </w:p>
    <w:p w14:paraId="4BCA5ED4" w14:textId="77777777" w:rsidR="00055434" w:rsidRPr="00055434" w:rsidRDefault="00F20D43" w:rsidP="00A575EB">
      <w:pPr>
        <w:tabs>
          <w:tab w:val="clear" w:pos="720"/>
        </w:tabs>
        <w:spacing w:line="360" w:lineRule="auto"/>
      </w:pPr>
      <w:r>
        <w:tab/>
      </w:r>
      <w:r w:rsidRPr="00055434">
        <w:t xml:space="preserve">Plaintiffs’ second </w:t>
      </w:r>
      <w:r>
        <w:t xml:space="preserve">remaining </w:t>
      </w:r>
      <w:r w:rsidRPr="00055434">
        <w:t>cause o</w:t>
      </w:r>
      <w:r w:rsidRPr="00055434">
        <w:t xml:space="preserve">f action arises under section </w:t>
      </w:r>
      <w:r w:rsidRPr="00055434">
        <w:rPr>
          <w:color w:val="212121"/>
          <w:shd w:val="clear" w:color="auto" w:fill="FFFFFF"/>
        </w:rPr>
        <w:t xml:space="preserve">835, which provides: </w:t>
      </w:r>
      <w:r>
        <w:rPr>
          <w:color w:val="212121"/>
          <w:shd w:val="clear" w:color="auto" w:fill="FFFFFF"/>
        </w:rPr>
        <w:t xml:space="preserve"> </w:t>
      </w:r>
      <w:r>
        <w:rPr>
          <w:color w:val="212121"/>
          <w:shd w:val="clear" w:color="auto" w:fill="FFFFFF"/>
        </w:rPr>
        <w:t>“</w:t>
      </w:r>
      <w:r w:rsidRPr="00055434">
        <w:rPr>
          <w:color w:val="212121"/>
          <w:shd w:val="clear" w:color="auto" w:fill="FFFFFF"/>
        </w:rPr>
        <w:t xml:space="preserve">Except as provided by statute, a public entity is liable for injury caused by a dangerous condition of its property if the plaintiff establishes that the property was in a dangerous condition at the </w:t>
      </w:r>
      <w:r w:rsidRPr="00055434">
        <w:rPr>
          <w:color w:val="212121"/>
          <w:shd w:val="clear" w:color="auto" w:fill="FFFFFF"/>
        </w:rPr>
        <w:t>time of the injury, that the injury was proximately caused by the dangerous condition, that the dangerous condition created a reasonably foreseeable risk of the kind of injury which was incurred, and that either: [¶]</w:t>
      </w:r>
      <w:r>
        <w:rPr>
          <w:color w:val="212121"/>
          <w:shd w:val="clear" w:color="auto" w:fill="FFFFFF"/>
        </w:rPr>
        <w:t> </w:t>
      </w:r>
      <w:r w:rsidRPr="00055434">
        <w:rPr>
          <w:color w:val="212121"/>
          <w:shd w:val="clear" w:color="auto" w:fill="FFFFFF"/>
        </w:rPr>
        <w:t>(a)</w:t>
      </w:r>
      <w:r>
        <w:rPr>
          <w:color w:val="212121"/>
          <w:shd w:val="clear" w:color="auto" w:fill="FFFFFF"/>
        </w:rPr>
        <w:t> </w:t>
      </w:r>
      <w:r w:rsidRPr="00055434">
        <w:rPr>
          <w:color w:val="212121"/>
          <w:shd w:val="clear" w:color="auto" w:fill="FFFFFF"/>
        </w:rPr>
        <w:t>A negligent or wrongful act or omis</w:t>
      </w:r>
      <w:r w:rsidRPr="00055434">
        <w:rPr>
          <w:color w:val="212121"/>
          <w:shd w:val="clear" w:color="auto" w:fill="FFFFFF"/>
        </w:rPr>
        <w:t>sion of an employee of the public entity within the scope of his employment created the dangerous</w:t>
      </w:r>
      <w:r>
        <w:t xml:space="preserve"> </w:t>
      </w:r>
      <w:r w:rsidRPr="00055434">
        <w:rPr>
          <w:color w:val="212121"/>
          <w:shd w:val="clear" w:color="auto" w:fill="FFFFFF"/>
        </w:rPr>
        <w:t>condition; or [¶]</w:t>
      </w:r>
      <w:r>
        <w:rPr>
          <w:color w:val="212121"/>
          <w:shd w:val="clear" w:color="auto" w:fill="FFFFFF"/>
        </w:rPr>
        <w:t> </w:t>
      </w:r>
      <w:r w:rsidRPr="00055434">
        <w:rPr>
          <w:color w:val="212121"/>
          <w:shd w:val="clear" w:color="auto" w:fill="FFFFFF"/>
        </w:rPr>
        <w:t>(b)</w:t>
      </w:r>
      <w:r>
        <w:rPr>
          <w:color w:val="212121"/>
          <w:shd w:val="clear" w:color="auto" w:fill="FFFFFF"/>
        </w:rPr>
        <w:t> </w:t>
      </w:r>
      <w:r w:rsidRPr="00055434">
        <w:rPr>
          <w:color w:val="212121"/>
          <w:shd w:val="clear" w:color="auto" w:fill="FFFFFF"/>
        </w:rPr>
        <w:t>The public entity</w:t>
      </w:r>
      <w:r>
        <w:rPr>
          <w:color w:val="212121"/>
          <w:shd w:val="clear" w:color="auto" w:fill="FFFFFF"/>
        </w:rPr>
        <w:t xml:space="preserve"> </w:t>
      </w:r>
      <w:r w:rsidRPr="00055434">
        <w:rPr>
          <w:rStyle w:val="ssit"/>
          <w:color w:val="212121"/>
          <w:bdr w:val="none" w:sz="0" w:space="0" w:color="auto" w:frame="1"/>
          <w:shd w:val="clear" w:color="auto" w:fill="FFFFFF"/>
        </w:rPr>
        <w:t>had actual or constructive notice</w:t>
      </w:r>
      <w:r>
        <w:rPr>
          <w:color w:val="212121"/>
          <w:shd w:val="clear" w:color="auto" w:fill="FFFFFF"/>
        </w:rPr>
        <w:t xml:space="preserve"> </w:t>
      </w:r>
      <w:r w:rsidRPr="00055434">
        <w:rPr>
          <w:color w:val="212121"/>
          <w:shd w:val="clear" w:color="auto" w:fill="FFFFFF"/>
        </w:rPr>
        <w:t>of the dangerous condition under Section 835.2 a sufficient time prior to the injury</w:t>
      </w:r>
      <w:r w:rsidRPr="00055434">
        <w:rPr>
          <w:color w:val="212121"/>
          <w:shd w:val="clear" w:color="auto" w:fill="FFFFFF"/>
        </w:rPr>
        <w:t xml:space="preserve"> to have taken measures to protect against the dangerous condition.</w:t>
      </w:r>
      <w:r>
        <w:rPr>
          <w:color w:val="212121"/>
          <w:shd w:val="clear" w:color="auto" w:fill="FFFFFF"/>
        </w:rPr>
        <w:t>”</w:t>
      </w:r>
    </w:p>
    <w:p w14:paraId="2DA4D4BE" w14:textId="77777777" w:rsidR="00482B59" w:rsidRDefault="00F20D43" w:rsidP="00A575EB">
      <w:pPr>
        <w:tabs>
          <w:tab w:val="clear" w:pos="720"/>
        </w:tabs>
        <w:spacing w:line="360" w:lineRule="auto"/>
      </w:pPr>
      <w:r>
        <w:lastRenderedPageBreak/>
        <w:tab/>
        <w:t>Relevant to both claims, p</w:t>
      </w:r>
      <w:r>
        <w:t>laintiffs contend disputed issues of fact exist as to whether decedent’s death was the result of dangerous conditions at the project site</w:t>
      </w:r>
      <w:r>
        <w:t xml:space="preserve"> that the DOT </w:t>
      </w:r>
      <w:r>
        <w:t xml:space="preserve">and its </w:t>
      </w:r>
      <w:r>
        <w:t>e</w:t>
      </w:r>
      <w:r>
        <w:t>mployees</w:t>
      </w:r>
      <w:r>
        <w:t xml:space="preserve"> </w:t>
      </w:r>
      <w:r>
        <w:t xml:space="preserve">had notice of yet </w:t>
      </w:r>
      <w:r>
        <w:t>negligently failed to prevent or correct.  These dangerous conditions</w:t>
      </w:r>
      <w:r>
        <w:t xml:space="preserve"> includ</w:t>
      </w:r>
      <w:r>
        <w:t>ed</w:t>
      </w:r>
      <w:r>
        <w:t xml:space="preserve"> “the positioning of the [construction] equipment in the shoulder, the widths</w:t>
      </w:r>
      <w:r>
        <w:t> [</w:t>
      </w:r>
      <w:r>
        <w:rPr>
          <w:i/>
          <w:iCs/>
        </w:rPr>
        <w:t>sic</w:t>
      </w:r>
      <w:r>
        <w:t>]</w:t>
      </w:r>
      <w:r>
        <w:t xml:space="preserve"> of the shoulder lane, the inadequate lighting, the proximity of the</w:t>
      </w:r>
      <w:r>
        <w:t xml:space="preserve"> closure to incoming traffic</w:t>
      </w:r>
      <w:r>
        <w:t>,</w:t>
      </w:r>
      <w:r>
        <w:t xml:space="preserve"> and the lack of attenuator vehicles.”</w:t>
      </w:r>
    </w:p>
    <w:p w14:paraId="27823BD1" w14:textId="77777777" w:rsidR="0098373A" w:rsidRDefault="00F20D43" w:rsidP="00A575EB">
      <w:pPr>
        <w:tabs>
          <w:tab w:val="clear" w:pos="720"/>
        </w:tabs>
        <w:spacing w:line="360" w:lineRule="auto"/>
      </w:pPr>
      <w:r>
        <w:tab/>
      </w:r>
      <w:r>
        <w:t>We agree with the trial court that</w:t>
      </w:r>
      <w:r>
        <w:t>,</w:t>
      </w:r>
      <w:r>
        <w:t xml:space="preserve"> under </w:t>
      </w:r>
      <w:r w:rsidRPr="00F3392F">
        <w:rPr>
          <w:i/>
          <w:iCs/>
        </w:rPr>
        <w:t>Privette</w:t>
      </w:r>
      <w:r>
        <w:rPr>
          <w:i/>
          <w:iCs/>
        </w:rPr>
        <w:t>, supra</w:t>
      </w:r>
      <w:r>
        <w:t xml:space="preserve">, </w:t>
      </w:r>
      <w:r>
        <w:t>5 Cal.4th 689</w:t>
      </w:r>
      <w:r>
        <w:t>,</w:t>
      </w:r>
      <w:r>
        <w:t xml:space="preserve"> and its progeny</w:t>
      </w:r>
      <w:r>
        <w:t xml:space="preserve">, </w:t>
      </w:r>
      <w:r>
        <w:t>the DOT</w:t>
      </w:r>
      <w:r>
        <w:t xml:space="preserve"> cannot be held liable </w:t>
      </w:r>
      <w:r>
        <w:t>under plaintiffs’ theor</w:t>
      </w:r>
      <w:r>
        <w:t>y</w:t>
      </w:r>
      <w:r>
        <w:t xml:space="preserve"> </w:t>
      </w:r>
      <w:r>
        <w:t xml:space="preserve">because </w:t>
      </w:r>
      <w:r>
        <w:t>the DOT</w:t>
      </w:r>
      <w:r>
        <w:t xml:space="preserve"> expressly delegated </w:t>
      </w:r>
      <w:r>
        <w:t>jobsite</w:t>
      </w:r>
      <w:r>
        <w:t xml:space="preserve"> safety to </w:t>
      </w:r>
      <w:r>
        <w:t xml:space="preserve">decedent’s employer, </w:t>
      </w:r>
      <w:r>
        <w:t>O.C. Jones</w:t>
      </w:r>
      <w:r>
        <w:t>.</w:t>
      </w:r>
    </w:p>
    <w:p w14:paraId="4A3D7CA5" w14:textId="77777777" w:rsidR="00770697" w:rsidRPr="00770697" w:rsidRDefault="00F20D43" w:rsidP="00EC7603">
      <w:pPr>
        <w:pStyle w:val="NormalWeb"/>
        <w:keepNext/>
        <w:numPr>
          <w:ilvl w:val="0"/>
          <w:numId w:val="3"/>
        </w:numPr>
        <w:shd w:val="clear" w:color="auto" w:fill="FFFFFF"/>
        <w:spacing w:before="0" w:beforeAutospacing="0" w:after="0" w:afterAutospacing="0" w:line="360" w:lineRule="auto"/>
        <w:textAlignment w:val="baseline"/>
        <w:rPr>
          <w:rFonts w:ascii="Century Schoolbook" w:hAnsi="Century Schoolbook"/>
          <w:b/>
          <w:bCs/>
          <w:sz w:val="26"/>
          <w:szCs w:val="26"/>
        </w:rPr>
      </w:pPr>
      <w:r w:rsidRPr="00770697">
        <w:rPr>
          <w:rFonts w:ascii="Century Schoolbook" w:hAnsi="Century Schoolbook"/>
          <w:b/>
          <w:bCs/>
          <w:i/>
          <w:iCs/>
          <w:sz w:val="26"/>
          <w:szCs w:val="26"/>
        </w:rPr>
        <w:t>Privette</w:t>
      </w:r>
      <w:r w:rsidRPr="00770697">
        <w:rPr>
          <w:rFonts w:ascii="Century Schoolbook" w:hAnsi="Century Schoolbook"/>
          <w:b/>
          <w:bCs/>
          <w:sz w:val="26"/>
          <w:szCs w:val="26"/>
        </w:rPr>
        <w:t xml:space="preserve"> and </w:t>
      </w:r>
      <w:r>
        <w:rPr>
          <w:rFonts w:ascii="Century Schoolbook" w:hAnsi="Century Schoolbook"/>
          <w:b/>
          <w:bCs/>
          <w:sz w:val="26"/>
          <w:szCs w:val="26"/>
        </w:rPr>
        <w:t>Its</w:t>
      </w:r>
      <w:r w:rsidRPr="00770697">
        <w:rPr>
          <w:rFonts w:ascii="Century Schoolbook" w:hAnsi="Century Schoolbook"/>
          <w:b/>
          <w:bCs/>
          <w:sz w:val="26"/>
          <w:szCs w:val="26"/>
        </w:rPr>
        <w:t xml:space="preserve"> Progeny.</w:t>
      </w:r>
    </w:p>
    <w:p w14:paraId="33E396DD" w14:textId="77777777" w:rsidR="00A559AE" w:rsidRDefault="00F20D43" w:rsidP="00A173FE">
      <w:pPr>
        <w:pStyle w:val="NormalWeb"/>
        <w:shd w:val="clear" w:color="auto" w:fill="FFFFFF"/>
        <w:spacing w:before="0" w:beforeAutospacing="0" w:after="0" w:afterAutospacing="0" w:line="360" w:lineRule="auto"/>
        <w:ind w:firstLine="720"/>
        <w:textAlignment w:val="baseline"/>
        <w:rPr>
          <w:rFonts w:ascii="Century Schoolbook" w:hAnsi="Century Schoolbook"/>
          <w:sz w:val="26"/>
          <w:szCs w:val="26"/>
        </w:rPr>
      </w:pPr>
      <w:r w:rsidRPr="00D66C79">
        <w:rPr>
          <w:rFonts w:ascii="Century Schoolbook" w:hAnsi="Century Schoolbook"/>
          <w:i/>
          <w:iCs/>
          <w:sz w:val="26"/>
          <w:szCs w:val="26"/>
        </w:rPr>
        <w:t>Privette</w:t>
      </w:r>
      <w:r>
        <w:rPr>
          <w:rFonts w:ascii="Century Schoolbook" w:hAnsi="Century Schoolbook"/>
          <w:i/>
          <w:iCs/>
          <w:sz w:val="26"/>
          <w:szCs w:val="26"/>
        </w:rPr>
        <w:t>, supra</w:t>
      </w:r>
      <w:r>
        <w:rPr>
          <w:rFonts w:ascii="Century Schoolbook" w:hAnsi="Century Schoolbook"/>
          <w:sz w:val="26"/>
          <w:szCs w:val="26"/>
        </w:rPr>
        <w:t>,</w:t>
      </w:r>
      <w:r w:rsidRPr="00D66C79">
        <w:rPr>
          <w:rFonts w:ascii="Century Schoolbook" w:hAnsi="Century Schoolbook"/>
          <w:sz w:val="26"/>
          <w:szCs w:val="26"/>
        </w:rPr>
        <w:t xml:space="preserve"> h</w:t>
      </w:r>
      <w:r w:rsidRPr="00D66C79">
        <w:rPr>
          <w:rFonts w:ascii="Century Schoolbook" w:hAnsi="Century Schoolbook"/>
          <w:sz w:val="26"/>
          <w:szCs w:val="26"/>
        </w:rPr>
        <w:t>e</w:t>
      </w:r>
      <w:r w:rsidRPr="00D66C79">
        <w:rPr>
          <w:rFonts w:ascii="Century Schoolbook" w:hAnsi="Century Schoolbook"/>
          <w:sz w:val="26"/>
          <w:szCs w:val="26"/>
        </w:rPr>
        <w:t xml:space="preserve">ld that </w:t>
      </w:r>
      <w:r w:rsidRPr="00D66C79">
        <w:rPr>
          <w:rFonts w:ascii="Century Schoolbook" w:hAnsi="Century Schoolbook"/>
          <w:sz w:val="26"/>
          <w:szCs w:val="26"/>
        </w:rPr>
        <w:t>w</w:t>
      </w:r>
      <w:r w:rsidRPr="00D66C79">
        <w:rPr>
          <w:rFonts w:ascii="Century Schoolbook" w:hAnsi="Century Schoolbook"/>
          <w:color w:val="212121"/>
          <w:sz w:val="26"/>
          <w:szCs w:val="26"/>
          <w:shd w:val="clear" w:color="auto" w:fill="FFFFFF"/>
        </w:rPr>
        <w:t xml:space="preserve">hen “the injuries resulting from an independent contractor’s performance of inherently dangerous work are to an employee of the </w:t>
      </w:r>
      <w:r w:rsidRPr="00D66C79">
        <w:rPr>
          <w:rFonts w:ascii="Century Schoolbook" w:hAnsi="Century Schoolbook"/>
          <w:color w:val="212121"/>
          <w:sz w:val="26"/>
          <w:szCs w:val="26"/>
          <w:shd w:val="clear" w:color="auto" w:fill="FFFFFF"/>
        </w:rPr>
        <w:t>contractor, and thus subject to workers’ compensation coverage, the doctrine of peculiar risk affords no basis for the employee to seek recovery of tort damages from the person who hired the contractor</w:t>
      </w:r>
      <w:r>
        <w:rPr>
          <w:rFonts w:ascii="Century Schoolbook" w:hAnsi="Century Schoolbook"/>
          <w:color w:val="212121"/>
          <w:sz w:val="26"/>
          <w:szCs w:val="26"/>
          <w:shd w:val="clear" w:color="auto" w:fill="FFFFFF"/>
        </w:rPr>
        <w:t xml:space="preserve"> </w:t>
      </w:r>
      <w:r w:rsidRPr="00D66C79">
        <w:rPr>
          <w:rFonts w:ascii="Century Schoolbook" w:hAnsi="Century Schoolbook"/>
          <w:color w:val="212121"/>
          <w:sz w:val="26"/>
          <w:szCs w:val="26"/>
          <w:shd w:val="clear" w:color="auto" w:fill="FFFFFF"/>
        </w:rPr>
        <w:t>but did not cause the injuries.”</w:t>
      </w:r>
      <w:r w:rsidRPr="00D66C79">
        <w:rPr>
          <w:rFonts w:ascii="Century Schoolbook" w:hAnsi="Century Schoolbook"/>
          <w:sz w:val="26"/>
          <w:szCs w:val="26"/>
        </w:rPr>
        <w:t xml:space="preserve">  (5 Cal.4th at p. </w:t>
      </w:r>
      <w:r w:rsidRPr="00D66C79">
        <w:rPr>
          <w:rFonts w:ascii="Century Schoolbook" w:hAnsi="Century Schoolbook"/>
          <w:sz w:val="26"/>
          <w:szCs w:val="26"/>
        </w:rPr>
        <w:t>702</w:t>
      </w:r>
      <w:r w:rsidRPr="00D66C79">
        <w:rPr>
          <w:rFonts w:ascii="Century Schoolbook" w:hAnsi="Century Schoolbook"/>
          <w:sz w:val="26"/>
          <w:szCs w:val="26"/>
        </w:rPr>
        <w:t>.)</w:t>
      </w:r>
    </w:p>
    <w:p w14:paraId="3D1F7CB8" w14:textId="77777777" w:rsidR="00D66C79" w:rsidRPr="00D66C79" w:rsidRDefault="00F20D43" w:rsidP="001D5BF0">
      <w:pPr>
        <w:pStyle w:val="NormalWeb"/>
        <w:shd w:val="clear" w:color="auto" w:fill="FFFFFF"/>
        <w:spacing w:before="0" w:beforeAutospacing="0" w:after="0" w:afterAutospacing="0" w:line="360" w:lineRule="auto"/>
        <w:ind w:firstLine="720"/>
        <w:textAlignment w:val="baseline"/>
        <w:rPr>
          <w:rFonts w:ascii="Century Schoolbook" w:hAnsi="Century Schoolbook"/>
          <w:color w:val="212121"/>
          <w:sz w:val="26"/>
          <w:szCs w:val="26"/>
        </w:rPr>
      </w:pPr>
      <w:r w:rsidRPr="00D66C79">
        <w:rPr>
          <w:rFonts w:ascii="Century Schoolbook" w:hAnsi="Century Schoolbook"/>
          <w:sz w:val="26"/>
          <w:szCs w:val="26"/>
        </w:rPr>
        <w:t xml:space="preserve">Subsequent to </w:t>
      </w:r>
      <w:r w:rsidRPr="00D66C79">
        <w:rPr>
          <w:rFonts w:ascii="Century Schoolbook" w:hAnsi="Century Schoolbook"/>
          <w:i/>
          <w:iCs/>
          <w:sz w:val="26"/>
          <w:szCs w:val="26"/>
        </w:rPr>
        <w:t>Privette</w:t>
      </w:r>
      <w:r w:rsidRPr="00D66C79">
        <w:rPr>
          <w:rFonts w:ascii="Century Schoolbook" w:hAnsi="Century Schoolbook"/>
          <w:sz w:val="26"/>
          <w:szCs w:val="26"/>
        </w:rPr>
        <w:t xml:space="preserve">, the California Supreme Court decided </w:t>
      </w:r>
      <w:r>
        <w:rPr>
          <w:rFonts w:ascii="Century Schoolbook" w:hAnsi="Century Schoolbook"/>
          <w:sz w:val="26"/>
          <w:szCs w:val="26"/>
        </w:rPr>
        <w:t xml:space="preserve">a case more on point </w:t>
      </w:r>
      <w:r>
        <w:rPr>
          <w:rFonts w:ascii="Century Schoolbook" w:hAnsi="Century Schoolbook"/>
          <w:sz w:val="26"/>
          <w:szCs w:val="26"/>
        </w:rPr>
        <w:t>with</w:t>
      </w:r>
      <w:r>
        <w:rPr>
          <w:rFonts w:ascii="Century Schoolbook" w:hAnsi="Century Schoolbook"/>
          <w:sz w:val="26"/>
          <w:szCs w:val="26"/>
        </w:rPr>
        <w:t xml:space="preserve"> ours </w:t>
      </w:r>
      <w:r>
        <w:rPr>
          <w:rFonts w:ascii="Century Schoolbook" w:hAnsi="Century Schoolbook"/>
          <w:sz w:val="26"/>
          <w:szCs w:val="26"/>
        </w:rPr>
        <w:t>(</w:t>
      </w:r>
      <w:r w:rsidRPr="00D66C79">
        <w:rPr>
          <w:rFonts w:ascii="Century Schoolbook" w:hAnsi="Century Schoolbook"/>
          <w:i/>
          <w:iCs/>
          <w:sz w:val="26"/>
          <w:szCs w:val="26"/>
        </w:rPr>
        <w:t>SeaBright Ins. Co. v. US</w:t>
      </w:r>
      <w:r>
        <w:rPr>
          <w:rFonts w:ascii="Century Schoolbook" w:hAnsi="Century Schoolbook"/>
          <w:i/>
          <w:iCs/>
          <w:sz w:val="26"/>
          <w:szCs w:val="26"/>
        </w:rPr>
        <w:t xml:space="preserve"> </w:t>
      </w:r>
      <w:r w:rsidRPr="00D66C79">
        <w:rPr>
          <w:rFonts w:ascii="Century Schoolbook" w:hAnsi="Century Schoolbook"/>
          <w:i/>
          <w:iCs/>
          <w:sz w:val="26"/>
          <w:szCs w:val="26"/>
        </w:rPr>
        <w:t>Airways,</w:t>
      </w:r>
      <w:r>
        <w:rPr>
          <w:rFonts w:ascii="Century Schoolbook" w:hAnsi="Century Schoolbook"/>
          <w:i/>
          <w:iCs/>
          <w:sz w:val="26"/>
          <w:szCs w:val="26"/>
        </w:rPr>
        <w:t> </w:t>
      </w:r>
      <w:r w:rsidRPr="00D66C79">
        <w:rPr>
          <w:rFonts w:ascii="Century Schoolbook" w:hAnsi="Century Schoolbook"/>
          <w:i/>
          <w:iCs/>
          <w:sz w:val="26"/>
          <w:szCs w:val="26"/>
        </w:rPr>
        <w:t>Inc</w:t>
      </w:r>
      <w:r w:rsidRPr="00D66C79">
        <w:rPr>
          <w:rFonts w:ascii="Century Schoolbook" w:hAnsi="Century Schoolbook"/>
          <w:sz w:val="26"/>
          <w:szCs w:val="26"/>
        </w:rPr>
        <w:t>. (2011) 52 Cal.4th 590</w:t>
      </w:r>
      <w:r>
        <w:rPr>
          <w:rFonts w:ascii="Century Schoolbook" w:hAnsi="Century Schoolbook"/>
          <w:sz w:val="26"/>
          <w:szCs w:val="26"/>
        </w:rPr>
        <w:t>)</w:t>
      </w:r>
      <w:r>
        <w:rPr>
          <w:rFonts w:ascii="Century Schoolbook" w:hAnsi="Century Schoolbook"/>
          <w:sz w:val="26"/>
          <w:szCs w:val="26"/>
        </w:rPr>
        <w:t>.  There</w:t>
      </w:r>
      <w:r>
        <w:rPr>
          <w:rFonts w:ascii="Century Schoolbook" w:hAnsi="Century Schoolbook"/>
          <w:sz w:val="26"/>
          <w:szCs w:val="26"/>
        </w:rPr>
        <w:t xml:space="preserve">, </w:t>
      </w:r>
      <w:r>
        <w:rPr>
          <w:rFonts w:ascii="Century Schoolbook" w:hAnsi="Century Schoolbook"/>
          <w:sz w:val="26"/>
          <w:szCs w:val="26"/>
        </w:rPr>
        <w:t xml:space="preserve">the </w:t>
      </w:r>
      <w:r>
        <w:rPr>
          <w:rFonts w:ascii="Century Schoolbook" w:hAnsi="Century Schoolbook"/>
          <w:sz w:val="26"/>
          <w:szCs w:val="26"/>
        </w:rPr>
        <w:t>court</w:t>
      </w:r>
      <w:r>
        <w:rPr>
          <w:rFonts w:ascii="Century Schoolbook" w:hAnsi="Century Schoolbook"/>
          <w:sz w:val="26"/>
          <w:szCs w:val="26"/>
        </w:rPr>
        <w:t xml:space="preserve"> considered </w:t>
      </w:r>
      <w:r w:rsidRPr="00D66C79">
        <w:rPr>
          <w:rStyle w:val="ssrfcpassagedeactivated"/>
          <w:rFonts w:ascii="Century Schoolbook" w:hAnsi="Century Schoolbook"/>
          <w:color w:val="212121"/>
          <w:sz w:val="26"/>
          <w:szCs w:val="26"/>
          <w:bdr w:val="none" w:sz="0" w:space="0" w:color="auto" w:frame="1"/>
        </w:rPr>
        <w:t xml:space="preserve">whether </w:t>
      </w:r>
      <w:r>
        <w:rPr>
          <w:rStyle w:val="ssrfcpassagedeactivated"/>
          <w:rFonts w:ascii="Century Schoolbook" w:hAnsi="Century Schoolbook"/>
          <w:color w:val="212121"/>
          <w:sz w:val="26"/>
          <w:szCs w:val="26"/>
          <w:bdr w:val="none" w:sz="0" w:space="0" w:color="auto" w:frame="1"/>
        </w:rPr>
        <w:t xml:space="preserve">the rule announced in </w:t>
      </w:r>
      <w:r w:rsidRPr="00D66C79">
        <w:rPr>
          <w:rStyle w:val="ssit"/>
          <w:rFonts w:ascii="Century Schoolbook" w:hAnsi="Century Schoolbook"/>
          <w:i/>
          <w:iCs/>
          <w:color w:val="212121"/>
          <w:sz w:val="26"/>
          <w:szCs w:val="26"/>
          <w:bdr w:val="none" w:sz="0" w:space="0" w:color="auto" w:frame="1"/>
        </w:rPr>
        <w:t>Privette</w:t>
      </w:r>
      <w:r>
        <w:rPr>
          <w:rStyle w:val="ssrfcpassagedeactivated"/>
          <w:rFonts w:ascii="Century Schoolbook" w:hAnsi="Century Schoolbook"/>
          <w:color w:val="212121"/>
          <w:sz w:val="26"/>
          <w:szCs w:val="26"/>
          <w:bdr w:val="none" w:sz="0" w:space="0" w:color="auto" w:frame="1"/>
        </w:rPr>
        <w:t xml:space="preserve"> </w:t>
      </w:r>
      <w:r w:rsidRPr="00D66C79">
        <w:rPr>
          <w:rStyle w:val="ssrfcpassagedeactivated"/>
          <w:rFonts w:ascii="Century Schoolbook" w:hAnsi="Century Schoolbook"/>
          <w:color w:val="212121"/>
          <w:sz w:val="26"/>
          <w:szCs w:val="26"/>
          <w:bdr w:val="none" w:sz="0" w:space="0" w:color="auto" w:frame="1"/>
        </w:rPr>
        <w:t>applie</w:t>
      </w:r>
      <w:r>
        <w:rPr>
          <w:rStyle w:val="ssrfcpassagedeactivated"/>
          <w:rFonts w:ascii="Century Schoolbook" w:hAnsi="Century Schoolbook"/>
          <w:color w:val="212121"/>
          <w:sz w:val="26"/>
          <w:szCs w:val="26"/>
          <w:bdr w:val="none" w:sz="0" w:space="0" w:color="auto" w:frame="1"/>
        </w:rPr>
        <w:t>d</w:t>
      </w:r>
      <w:r w:rsidRPr="00D66C79">
        <w:rPr>
          <w:rStyle w:val="ssrfcpassagedeactivated"/>
          <w:rFonts w:ascii="Century Schoolbook" w:hAnsi="Century Schoolbook"/>
          <w:color w:val="212121"/>
          <w:sz w:val="26"/>
          <w:szCs w:val="26"/>
          <w:bdr w:val="none" w:sz="0" w:space="0" w:color="auto" w:frame="1"/>
        </w:rPr>
        <w:t xml:space="preserve"> when </w:t>
      </w:r>
      <w:r>
        <w:rPr>
          <w:rStyle w:val="ssrfcpassagedeactivated"/>
          <w:rFonts w:ascii="Century Schoolbook" w:hAnsi="Century Schoolbook"/>
          <w:color w:val="212121"/>
          <w:sz w:val="26"/>
          <w:szCs w:val="26"/>
          <w:bdr w:val="none" w:sz="0" w:space="0" w:color="auto" w:frame="1"/>
        </w:rPr>
        <w:t>a</w:t>
      </w:r>
      <w:r w:rsidRPr="00D66C79">
        <w:rPr>
          <w:rStyle w:val="ssrfcpassagedeactivated"/>
          <w:rFonts w:ascii="Century Schoolbook" w:hAnsi="Century Schoolbook"/>
          <w:color w:val="212121"/>
          <w:sz w:val="26"/>
          <w:szCs w:val="26"/>
          <w:bdr w:val="none" w:sz="0" w:space="0" w:color="auto" w:frame="1"/>
        </w:rPr>
        <w:t xml:space="preserve"> hirer failed to comply with workplace safety requirements concerning the subject matter of the contract and </w:t>
      </w:r>
      <w:r>
        <w:rPr>
          <w:rStyle w:val="ssrfcpassagedeactivated"/>
          <w:rFonts w:ascii="Century Schoolbook" w:hAnsi="Century Schoolbook"/>
          <w:color w:val="212121"/>
          <w:sz w:val="26"/>
          <w:szCs w:val="26"/>
          <w:bdr w:val="none" w:sz="0" w:space="0" w:color="auto" w:frame="1"/>
        </w:rPr>
        <w:t>a worker’s</w:t>
      </w:r>
      <w:r w:rsidRPr="00D66C79">
        <w:rPr>
          <w:rStyle w:val="ssrfcpassagedeactivated"/>
          <w:rFonts w:ascii="Century Schoolbook" w:hAnsi="Century Schoolbook"/>
          <w:color w:val="212121"/>
          <w:sz w:val="26"/>
          <w:szCs w:val="26"/>
          <w:bdr w:val="none" w:sz="0" w:space="0" w:color="auto" w:frame="1"/>
        </w:rPr>
        <w:t xml:space="preserve"> injury is alleged to have occurred as a consequence of that failure. </w:t>
      </w:r>
      <w:r>
        <w:rPr>
          <w:rStyle w:val="ssrfcpassagedeactivated"/>
          <w:rFonts w:ascii="Century Schoolbook" w:hAnsi="Century Schoolbook"/>
          <w:color w:val="212121"/>
          <w:sz w:val="26"/>
          <w:szCs w:val="26"/>
          <w:bdr w:val="none" w:sz="0" w:space="0" w:color="auto" w:frame="1"/>
        </w:rPr>
        <w:t xml:space="preserve"> H</w:t>
      </w:r>
      <w:r w:rsidRPr="00D66C79">
        <w:rPr>
          <w:rStyle w:val="ssrfcpassagedeactivated"/>
          <w:rFonts w:ascii="Century Schoolbook" w:hAnsi="Century Schoolbook"/>
          <w:color w:val="212121"/>
          <w:sz w:val="26"/>
          <w:szCs w:val="26"/>
          <w:bdr w:val="none" w:sz="0" w:space="0" w:color="auto" w:frame="1"/>
        </w:rPr>
        <w:t>old</w:t>
      </w:r>
      <w:r>
        <w:rPr>
          <w:rStyle w:val="ssrfcpassagedeactivated"/>
          <w:rFonts w:ascii="Century Schoolbook" w:hAnsi="Century Schoolbook"/>
          <w:color w:val="212121"/>
          <w:sz w:val="26"/>
          <w:szCs w:val="26"/>
          <w:bdr w:val="none" w:sz="0" w:space="0" w:color="auto" w:frame="1"/>
        </w:rPr>
        <w:t>ing</w:t>
      </w:r>
      <w:r w:rsidRPr="00D66C79">
        <w:rPr>
          <w:rStyle w:val="ssrfcpassagedeactivated"/>
          <w:rFonts w:ascii="Century Schoolbook" w:hAnsi="Century Schoolbook"/>
          <w:color w:val="212121"/>
          <w:sz w:val="26"/>
          <w:szCs w:val="26"/>
          <w:bdr w:val="none" w:sz="0" w:space="0" w:color="auto" w:frame="1"/>
        </w:rPr>
        <w:t xml:space="preserve"> that the</w:t>
      </w:r>
      <w:r>
        <w:rPr>
          <w:rStyle w:val="ssrfcpassagedeactivated"/>
          <w:rFonts w:ascii="Century Schoolbook" w:hAnsi="Century Schoolbook"/>
          <w:color w:val="212121"/>
          <w:sz w:val="26"/>
          <w:szCs w:val="26"/>
          <w:bdr w:val="none" w:sz="0" w:space="0" w:color="auto" w:frame="1"/>
        </w:rPr>
        <w:t xml:space="preserve"> </w:t>
      </w:r>
      <w:r w:rsidRPr="00D66C79">
        <w:rPr>
          <w:rStyle w:val="ssit"/>
          <w:rFonts w:ascii="Century Schoolbook" w:hAnsi="Century Schoolbook"/>
          <w:i/>
          <w:iCs/>
          <w:color w:val="212121"/>
          <w:sz w:val="26"/>
          <w:szCs w:val="26"/>
          <w:bdr w:val="none" w:sz="0" w:space="0" w:color="auto" w:frame="1"/>
        </w:rPr>
        <w:t>Privette</w:t>
      </w:r>
      <w:r>
        <w:rPr>
          <w:rStyle w:val="ssrfcpassagedeactivated"/>
          <w:rFonts w:ascii="Century Schoolbook" w:hAnsi="Century Schoolbook"/>
          <w:color w:val="212121"/>
          <w:sz w:val="26"/>
          <w:szCs w:val="26"/>
          <w:bdr w:val="none" w:sz="0" w:space="0" w:color="auto" w:frame="1"/>
        </w:rPr>
        <w:t xml:space="preserve"> </w:t>
      </w:r>
      <w:r w:rsidRPr="00D66C79">
        <w:rPr>
          <w:rStyle w:val="ssrfcpassagedeactivated"/>
          <w:rFonts w:ascii="Century Schoolbook" w:hAnsi="Century Schoolbook"/>
          <w:color w:val="212121"/>
          <w:sz w:val="26"/>
          <w:szCs w:val="26"/>
          <w:bdr w:val="none" w:sz="0" w:space="0" w:color="auto" w:frame="1"/>
        </w:rPr>
        <w:t>rule</w:t>
      </w:r>
      <w:r>
        <w:rPr>
          <w:rStyle w:val="ssrfcpassagedeactivated"/>
          <w:rFonts w:ascii="Century Schoolbook" w:hAnsi="Century Schoolbook"/>
          <w:color w:val="212121"/>
          <w:sz w:val="26"/>
          <w:szCs w:val="26"/>
          <w:bdr w:val="none" w:sz="0" w:space="0" w:color="auto" w:frame="1"/>
        </w:rPr>
        <w:t xml:space="preserve"> </w:t>
      </w:r>
      <w:r>
        <w:rPr>
          <w:rStyle w:val="ssrfcpassagedeactivated"/>
          <w:rFonts w:ascii="Century Schoolbook" w:hAnsi="Century Schoolbook"/>
          <w:color w:val="212121"/>
          <w:sz w:val="26"/>
          <w:szCs w:val="26"/>
          <w:bdr w:val="none" w:sz="0" w:space="0" w:color="auto" w:frame="1"/>
        </w:rPr>
        <w:t>applies</w:t>
      </w:r>
      <w:r>
        <w:rPr>
          <w:rStyle w:val="ssrfcpassagedeactivated"/>
          <w:rFonts w:ascii="Century Schoolbook" w:hAnsi="Century Schoolbook"/>
          <w:color w:val="212121"/>
          <w:sz w:val="26"/>
          <w:szCs w:val="26"/>
          <w:bdr w:val="none" w:sz="0" w:space="0" w:color="auto" w:frame="1"/>
        </w:rPr>
        <w:t xml:space="preserve"> </w:t>
      </w:r>
      <w:r w:rsidRPr="00D66C79">
        <w:rPr>
          <w:rStyle w:val="ssrfcpassagedeactivated"/>
          <w:rFonts w:ascii="Century Schoolbook" w:hAnsi="Century Schoolbook"/>
          <w:color w:val="212121"/>
          <w:sz w:val="26"/>
          <w:szCs w:val="26"/>
          <w:bdr w:val="none" w:sz="0" w:space="0" w:color="auto" w:frame="1"/>
        </w:rPr>
        <w:t>in that circu</w:t>
      </w:r>
      <w:r w:rsidRPr="00D66C79">
        <w:rPr>
          <w:rStyle w:val="ssrfcpassagedeactivated"/>
          <w:rFonts w:ascii="Century Schoolbook" w:hAnsi="Century Schoolbook"/>
          <w:color w:val="212121"/>
          <w:sz w:val="26"/>
          <w:szCs w:val="26"/>
          <w:bdr w:val="none" w:sz="0" w:space="0" w:color="auto" w:frame="1"/>
        </w:rPr>
        <w:t>mstance</w:t>
      </w:r>
      <w:r>
        <w:rPr>
          <w:rStyle w:val="ssrfcpassagedeactivated"/>
          <w:rFonts w:ascii="Century Schoolbook" w:hAnsi="Century Schoolbook"/>
          <w:color w:val="212121"/>
          <w:sz w:val="26"/>
          <w:szCs w:val="26"/>
          <w:bdr w:val="none" w:sz="0" w:space="0" w:color="auto" w:frame="1"/>
        </w:rPr>
        <w:t xml:space="preserve">, the </w:t>
      </w:r>
      <w:r>
        <w:rPr>
          <w:rStyle w:val="ssrfcpassagedeactivated"/>
          <w:rFonts w:ascii="Century Schoolbook" w:hAnsi="Century Schoolbook"/>
          <w:color w:val="212121"/>
          <w:sz w:val="26"/>
          <w:szCs w:val="26"/>
          <w:bdr w:val="none" w:sz="0" w:space="0" w:color="auto" w:frame="1"/>
        </w:rPr>
        <w:t>court</w:t>
      </w:r>
      <w:r>
        <w:rPr>
          <w:rStyle w:val="ssrfcpassagedeactivated"/>
          <w:rFonts w:ascii="Century Schoolbook" w:hAnsi="Century Schoolbook"/>
          <w:color w:val="212121"/>
          <w:sz w:val="26"/>
          <w:szCs w:val="26"/>
          <w:bdr w:val="none" w:sz="0" w:space="0" w:color="auto" w:frame="1"/>
        </w:rPr>
        <w:t xml:space="preserve"> held: </w:t>
      </w:r>
      <w:r>
        <w:rPr>
          <w:rStyle w:val="ssrfcpassagedeactivated"/>
          <w:rFonts w:ascii="Century Schoolbook" w:hAnsi="Century Schoolbook"/>
          <w:color w:val="212121"/>
          <w:sz w:val="26"/>
          <w:szCs w:val="26"/>
          <w:bdr w:val="none" w:sz="0" w:space="0" w:color="auto" w:frame="1"/>
        </w:rPr>
        <w:t xml:space="preserve"> </w:t>
      </w:r>
      <w:r>
        <w:rPr>
          <w:rStyle w:val="ssrfcpassagedeactivated"/>
          <w:rFonts w:ascii="Century Schoolbook" w:hAnsi="Century Schoolbook"/>
          <w:color w:val="212121"/>
          <w:sz w:val="26"/>
          <w:szCs w:val="26"/>
          <w:bdr w:val="none" w:sz="0" w:space="0" w:color="auto" w:frame="1"/>
        </w:rPr>
        <w:t>“</w:t>
      </w:r>
      <w:r w:rsidRPr="00D66C79">
        <w:rPr>
          <w:rStyle w:val="ssrfcpassagedeactivated"/>
          <w:rFonts w:ascii="Century Schoolbook" w:hAnsi="Century Schoolbook"/>
          <w:color w:val="212121"/>
          <w:sz w:val="26"/>
          <w:szCs w:val="26"/>
          <w:bdr w:val="none" w:sz="0" w:space="0" w:color="auto" w:frame="1"/>
        </w:rPr>
        <w:t>By hiring an independent contractor, the hirer implicitly delegates to the contractor any tort law duty it owes</w:t>
      </w:r>
      <w:r>
        <w:rPr>
          <w:rStyle w:val="ssrfcpassagedeactivated"/>
          <w:rFonts w:ascii="Century Schoolbook" w:hAnsi="Century Schoolbook"/>
          <w:color w:val="212121"/>
          <w:sz w:val="26"/>
          <w:szCs w:val="26"/>
          <w:bdr w:val="none" w:sz="0" w:space="0" w:color="auto" w:frame="1"/>
        </w:rPr>
        <w:t xml:space="preserve"> </w:t>
      </w:r>
      <w:r w:rsidRPr="00D66C79">
        <w:rPr>
          <w:rStyle w:val="ssit"/>
          <w:rFonts w:ascii="Century Schoolbook" w:hAnsi="Century Schoolbook"/>
          <w:i/>
          <w:iCs/>
          <w:color w:val="212121"/>
          <w:sz w:val="26"/>
          <w:szCs w:val="26"/>
          <w:bdr w:val="none" w:sz="0" w:space="0" w:color="auto" w:frame="1"/>
        </w:rPr>
        <w:t>to the contractor</w:t>
      </w:r>
      <w:r>
        <w:rPr>
          <w:rStyle w:val="ssit"/>
          <w:rFonts w:ascii="Century Schoolbook" w:hAnsi="Century Schoolbook"/>
          <w:i/>
          <w:iCs/>
          <w:color w:val="212121"/>
          <w:sz w:val="26"/>
          <w:szCs w:val="26"/>
          <w:bdr w:val="none" w:sz="0" w:space="0" w:color="auto" w:frame="1"/>
        </w:rPr>
        <w:t>’</w:t>
      </w:r>
      <w:r w:rsidRPr="00D66C79">
        <w:rPr>
          <w:rStyle w:val="ssit"/>
          <w:rFonts w:ascii="Century Schoolbook" w:hAnsi="Century Schoolbook"/>
          <w:i/>
          <w:iCs/>
          <w:color w:val="212121"/>
          <w:sz w:val="26"/>
          <w:szCs w:val="26"/>
          <w:bdr w:val="none" w:sz="0" w:space="0" w:color="auto" w:frame="1"/>
        </w:rPr>
        <w:t>s employees</w:t>
      </w:r>
      <w:r>
        <w:rPr>
          <w:rStyle w:val="ssrfcpassagedeactivated"/>
          <w:rFonts w:ascii="Century Schoolbook" w:hAnsi="Century Schoolbook"/>
          <w:color w:val="212121"/>
          <w:sz w:val="26"/>
          <w:szCs w:val="26"/>
          <w:bdr w:val="none" w:sz="0" w:space="0" w:color="auto" w:frame="1"/>
        </w:rPr>
        <w:t xml:space="preserve"> </w:t>
      </w:r>
      <w:r w:rsidRPr="00D66C79">
        <w:rPr>
          <w:rStyle w:val="ssrfcpassagedeactivated"/>
          <w:rFonts w:ascii="Century Schoolbook" w:hAnsi="Century Schoolbook"/>
          <w:color w:val="212121"/>
          <w:sz w:val="26"/>
          <w:szCs w:val="26"/>
          <w:bdr w:val="none" w:sz="0" w:space="0" w:color="auto" w:frame="1"/>
        </w:rPr>
        <w:t xml:space="preserve">to ensure the safety of </w:t>
      </w:r>
      <w:r w:rsidRPr="00D66C79">
        <w:rPr>
          <w:rStyle w:val="ssrfcpassagedeactivated"/>
          <w:rFonts w:ascii="Century Schoolbook" w:hAnsi="Century Schoolbook"/>
          <w:color w:val="212121"/>
          <w:sz w:val="26"/>
          <w:szCs w:val="26"/>
          <w:bdr w:val="none" w:sz="0" w:space="0" w:color="auto" w:frame="1"/>
        </w:rPr>
        <w:lastRenderedPageBreak/>
        <w:t xml:space="preserve">the specific workplace that is the subject of the contract. </w:t>
      </w:r>
      <w:r>
        <w:rPr>
          <w:rStyle w:val="ssrfcpassagedeactivated"/>
          <w:rFonts w:ascii="Century Schoolbook" w:hAnsi="Century Schoolbook"/>
          <w:color w:val="212121"/>
          <w:sz w:val="26"/>
          <w:szCs w:val="26"/>
          <w:bdr w:val="none" w:sz="0" w:space="0" w:color="auto" w:frame="1"/>
        </w:rPr>
        <w:t xml:space="preserve"> </w:t>
      </w:r>
      <w:r w:rsidRPr="00D66C79">
        <w:rPr>
          <w:rStyle w:val="ssrfcpassagedeactivated"/>
          <w:rFonts w:ascii="Century Schoolbook" w:hAnsi="Century Schoolbook"/>
          <w:color w:val="212121"/>
          <w:sz w:val="26"/>
          <w:szCs w:val="26"/>
          <w:bdr w:val="none" w:sz="0" w:space="0" w:color="auto" w:frame="1"/>
        </w:rPr>
        <w:t>That implicit delegation includes any tort law duty the hirer owes to the contractor</w:t>
      </w:r>
      <w:r>
        <w:rPr>
          <w:rStyle w:val="ssrfcpassagedeactivated"/>
          <w:rFonts w:ascii="Century Schoolbook" w:hAnsi="Century Schoolbook"/>
          <w:color w:val="212121"/>
          <w:sz w:val="26"/>
          <w:szCs w:val="26"/>
          <w:bdr w:val="none" w:sz="0" w:space="0" w:color="auto" w:frame="1"/>
        </w:rPr>
        <w:t>’</w:t>
      </w:r>
      <w:r w:rsidRPr="00D66C79">
        <w:rPr>
          <w:rStyle w:val="ssrfcpassagedeactivated"/>
          <w:rFonts w:ascii="Century Schoolbook" w:hAnsi="Century Schoolbook"/>
          <w:color w:val="212121"/>
          <w:sz w:val="26"/>
          <w:szCs w:val="26"/>
          <w:bdr w:val="none" w:sz="0" w:space="0" w:color="auto" w:frame="1"/>
        </w:rPr>
        <w:t>s employees to comply</w:t>
      </w:r>
      <w:r>
        <w:rPr>
          <w:rStyle w:val="ssrfcpassagedeactivated"/>
          <w:rFonts w:ascii="Century Schoolbook" w:hAnsi="Century Schoolbook"/>
          <w:color w:val="212121"/>
          <w:sz w:val="26"/>
          <w:szCs w:val="26"/>
          <w:bdr w:val="none" w:sz="0" w:space="0" w:color="auto" w:frame="1"/>
        </w:rPr>
        <w:t xml:space="preserve"> </w:t>
      </w:r>
      <w:r w:rsidRPr="00D66C79">
        <w:rPr>
          <w:rStyle w:val="ssrfcpassagedeactivated"/>
          <w:rFonts w:ascii="Century Schoolbook" w:hAnsi="Century Schoolbook"/>
          <w:color w:val="212121"/>
          <w:sz w:val="26"/>
          <w:szCs w:val="26"/>
          <w:bdr w:val="none" w:sz="0" w:space="0" w:color="auto" w:frame="1"/>
        </w:rPr>
        <w:t>with applicable</w:t>
      </w:r>
      <w:r>
        <w:rPr>
          <w:rStyle w:val="ssrfcpassagedeactivated"/>
          <w:rFonts w:ascii="Century Schoolbook" w:hAnsi="Century Schoolbook"/>
          <w:color w:val="212121"/>
          <w:sz w:val="26"/>
          <w:szCs w:val="26"/>
          <w:bdr w:val="none" w:sz="0" w:space="0" w:color="auto" w:frame="1"/>
        </w:rPr>
        <w:t xml:space="preserve"> </w:t>
      </w:r>
      <w:r w:rsidRPr="00D66C79">
        <w:rPr>
          <w:rStyle w:val="ssrfcpassagedeactivated"/>
          <w:rFonts w:ascii="Century Schoolbook" w:hAnsi="Century Schoolbook"/>
          <w:color w:val="212121"/>
          <w:sz w:val="26"/>
          <w:szCs w:val="26"/>
          <w:bdr w:val="none" w:sz="0" w:space="0" w:color="auto" w:frame="1"/>
        </w:rPr>
        <w:t>statutory or regulatory safety requirements.</w:t>
      </w:r>
      <w:r>
        <w:rPr>
          <w:rStyle w:val="ssrfcpassagedeactivated"/>
          <w:rFonts w:ascii="Century Schoolbook" w:hAnsi="Century Schoolbook"/>
          <w:color w:val="212121"/>
          <w:sz w:val="26"/>
          <w:szCs w:val="26"/>
          <w:bdr w:val="none" w:sz="0" w:space="0" w:color="auto" w:frame="1"/>
        </w:rPr>
        <w:t>”  (</w:t>
      </w:r>
      <w:r w:rsidRPr="00D66C79">
        <w:rPr>
          <w:rStyle w:val="ssrfcpassagedeactivated"/>
          <w:rFonts w:ascii="Century Schoolbook" w:hAnsi="Century Schoolbook"/>
          <w:i/>
          <w:iCs/>
          <w:color w:val="212121"/>
          <w:sz w:val="26"/>
          <w:szCs w:val="26"/>
          <w:bdr w:val="none" w:sz="0" w:space="0" w:color="auto" w:frame="1"/>
        </w:rPr>
        <w:t>Id</w:t>
      </w:r>
      <w:r>
        <w:rPr>
          <w:rStyle w:val="ssrfcpassagedeactivated"/>
          <w:rFonts w:ascii="Century Schoolbook" w:hAnsi="Century Schoolbook"/>
          <w:color w:val="212121"/>
          <w:sz w:val="26"/>
          <w:szCs w:val="26"/>
          <w:bdr w:val="none" w:sz="0" w:space="0" w:color="auto" w:frame="1"/>
        </w:rPr>
        <w:t>.</w:t>
      </w:r>
      <w:r w:rsidRPr="00566C42">
        <w:rPr>
          <w:rStyle w:val="ssrfcpassagedeactivated"/>
          <w:rFonts w:ascii="Century Schoolbook" w:hAnsi="Century Schoolbook"/>
          <w:color w:val="212121"/>
          <w:sz w:val="26"/>
          <w:szCs w:val="26"/>
          <w:bdr w:val="none" w:sz="0" w:space="0" w:color="auto" w:frame="1"/>
        </w:rPr>
        <w:t xml:space="preserve"> </w:t>
      </w:r>
      <w:r>
        <w:rPr>
          <w:rStyle w:val="ssrfcpassagedeactivated"/>
          <w:rFonts w:ascii="Century Schoolbook" w:hAnsi="Century Schoolbook"/>
          <w:color w:val="212121"/>
          <w:sz w:val="26"/>
          <w:szCs w:val="26"/>
          <w:bdr w:val="none" w:sz="0" w:space="0" w:color="auto" w:frame="1"/>
        </w:rPr>
        <w:t>at p. 594.)</w:t>
      </w:r>
    </w:p>
    <w:p w14:paraId="7C006FEA" w14:textId="77777777" w:rsidR="00E31F1D" w:rsidRDefault="00F20D43" w:rsidP="00EC7603">
      <w:pPr>
        <w:tabs>
          <w:tab w:val="clear" w:pos="720"/>
        </w:tabs>
        <w:spacing w:line="360" w:lineRule="auto"/>
      </w:pPr>
      <w:r w:rsidRPr="00D66C79">
        <w:tab/>
      </w:r>
      <w:r>
        <w:t xml:space="preserve">There are, of course, </w:t>
      </w:r>
      <w:r w:rsidRPr="00D66C79">
        <w:t>ex</w:t>
      </w:r>
      <w:r>
        <w:t xml:space="preserve">ceptions to </w:t>
      </w:r>
      <w:r>
        <w:t xml:space="preserve">the </w:t>
      </w:r>
      <w:r w:rsidRPr="00EC7829">
        <w:rPr>
          <w:i/>
          <w:iCs/>
        </w:rPr>
        <w:t>Privette</w:t>
      </w:r>
      <w:r>
        <w:t xml:space="preserve"> </w:t>
      </w:r>
      <w:r>
        <w:t>rule</w:t>
      </w:r>
      <w:r>
        <w:t xml:space="preserve">.  </w:t>
      </w:r>
      <w:r>
        <w:t>Relevant her</w:t>
      </w:r>
      <w:r>
        <w:t xml:space="preserve">e, </w:t>
      </w:r>
      <w:r>
        <w:t xml:space="preserve">plaintiffs argue this case falls under the exception </w:t>
      </w:r>
      <w:r>
        <w:t xml:space="preserve">established in </w:t>
      </w:r>
      <w:r w:rsidRPr="00317CA3">
        <w:rPr>
          <w:i/>
          <w:iCs/>
        </w:rPr>
        <w:t>Hooker</w:t>
      </w:r>
      <w:r>
        <w:rPr>
          <w:i/>
          <w:iCs/>
        </w:rPr>
        <w:t xml:space="preserve"> v. Department of </w:t>
      </w:r>
      <w:r>
        <w:rPr>
          <w:i/>
          <w:iCs/>
        </w:rPr>
        <w:t>Transportation</w:t>
      </w:r>
      <w:r>
        <w:t xml:space="preserve"> (</w:t>
      </w:r>
      <w:r>
        <w:t>2002</w:t>
      </w:r>
      <w:r>
        <w:t xml:space="preserve">) 27 Cal.4th </w:t>
      </w:r>
      <w:r>
        <w:t>198</w:t>
      </w:r>
      <w:r>
        <w:t xml:space="preserve"> (</w:t>
      </w:r>
      <w:r w:rsidRPr="00317CA3">
        <w:rPr>
          <w:i/>
          <w:iCs/>
        </w:rPr>
        <w:t>Hooker</w:t>
      </w:r>
      <w:r>
        <w:t>)</w:t>
      </w:r>
      <w:r>
        <w:t xml:space="preserve"> because the DOT</w:t>
      </w:r>
      <w:r w:rsidRPr="00ED6CE7">
        <w:t xml:space="preserve"> retain</w:t>
      </w:r>
      <w:r>
        <w:t>ed</w:t>
      </w:r>
      <w:r w:rsidRPr="00ED6CE7">
        <w:t xml:space="preserve"> control over </w:t>
      </w:r>
      <w:r w:rsidRPr="00ED6CE7">
        <w:t>jobsite</w:t>
      </w:r>
      <w:r w:rsidRPr="00ED6CE7">
        <w:t xml:space="preserve"> safet</w:t>
      </w:r>
      <w:r w:rsidRPr="00ED6CE7">
        <w:t>y</w:t>
      </w:r>
      <w:r w:rsidRPr="00ED6CE7">
        <w:t>.</w:t>
      </w:r>
    </w:p>
    <w:p w14:paraId="37D25261" w14:textId="77777777" w:rsidR="00ED6CE7" w:rsidRDefault="00F20D43" w:rsidP="00EC7603">
      <w:pPr>
        <w:tabs>
          <w:tab w:val="clear" w:pos="720"/>
        </w:tabs>
        <w:spacing w:line="360" w:lineRule="auto"/>
      </w:pPr>
      <w:r>
        <w:tab/>
        <w:t xml:space="preserve">Plaintiffs read </w:t>
      </w:r>
      <w:r w:rsidRPr="00ED6CE7">
        <w:rPr>
          <w:i/>
          <w:iCs/>
        </w:rPr>
        <w:t>Hooker</w:t>
      </w:r>
      <w:r>
        <w:t xml:space="preserve"> too broadly.  </w:t>
      </w:r>
      <w:r w:rsidRPr="00E31F1D">
        <w:rPr>
          <w:i/>
          <w:iCs/>
        </w:rPr>
        <w:t>Hooker</w:t>
      </w:r>
      <w:r>
        <w:t xml:space="preserve"> held that</w:t>
      </w:r>
      <w:r w:rsidRPr="00ED6CE7">
        <w:t xml:space="preserve"> “</w:t>
      </w:r>
      <w:r w:rsidRPr="00ED6CE7">
        <w:rPr>
          <w:color w:val="212121"/>
          <w:shd w:val="clear" w:color="auto" w:fill="FFFFFF"/>
        </w:rPr>
        <w:t xml:space="preserve">a hirer of an independent contractor is not liable to an employee of the contractor </w:t>
      </w:r>
      <w:r w:rsidRPr="00A559AE">
        <w:rPr>
          <w:i/>
          <w:iCs/>
          <w:color w:val="212121"/>
          <w:shd w:val="clear" w:color="auto" w:fill="FFFFFF"/>
        </w:rPr>
        <w:t xml:space="preserve">merely because </w:t>
      </w:r>
      <w:r w:rsidRPr="00ED6CE7">
        <w:rPr>
          <w:color w:val="212121"/>
          <w:shd w:val="clear" w:color="auto" w:fill="FFFFFF"/>
        </w:rPr>
        <w:t xml:space="preserve">the hirer retained control over safety conditions at a </w:t>
      </w:r>
      <w:r>
        <w:rPr>
          <w:color w:val="212121"/>
          <w:shd w:val="clear" w:color="auto" w:fill="FFFFFF"/>
        </w:rPr>
        <w:t>worksite”; rather, “a</w:t>
      </w:r>
      <w:r w:rsidRPr="00ED6CE7">
        <w:rPr>
          <w:color w:val="212121"/>
          <w:shd w:val="clear" w:color="auto" w:fill="FFFFFF"/>
        </w:rPr>
        <w:t xml:space="preserve"> hirer is liable to an employee of a contractor insofar as a hirer</w:t>
      </w:r>
      <w:r>
        <w:rPr>
          <w:color w:val="212121"/>
          <w:shd w:val="clear" w:color="auto" w:fill="FFFFFF"/>
        </w:rPr>
        <w:t>’</w:t>
      </w:r>
      <w:r w:rsidRPr="00ED6CE7">
        <w:rPr>
          <w:color w:val="212121"/>
          <w:shd w:val="clear" w:color="auto" w:fill="FFFFFF"/>
        </w:rPr>
        <w:t xml:space="preserve">s </w:t>
      </w:r>
      <w:r w:rsidRPr="00ED6CE7">
        <w:rPr>
          <w:color w:val="212121"/>
          <w:shd w:val="clear" w:color="auto" w:fill="FFFFFF"/>
        </w:rPr>
        <w:t>exercise of retained control</w:t>
      </w:r>
      <w:r>
        <w:rPr>
          <w:color w:val="212121"/>
          <w:shd w:val="clear" w:color="auto" w:fill="FFFFFF"/>
        </w:rPr>
        <w:t xml:space="preserve"> </w:t>
      </w:r>
      <w:r w:rsidRPr="00ED6CE7">
        <w:rPr>
          <w:rStyle w:val="ssit"/>
          <w:i/>
          <w:iCs/>
          <w:color w:val="212121"/>
          <w:bdr w:val="none" w:sz="0" w:space="0" w:color="auto" w:frame="1"/>
          <w:shd w:val="clear" w:color="auto" w:fill="FFFFFF"/>
        </w:rPr>
        <w:t>affirmatively contributed</w:t>
      </w:r>
      <w:r>
        <w:rPr>
          <w:color w:val="212121"/>
          <w:shd w:val="clear" w:color="auto" w:fill="FFFFFF"/>
        </w:rPr>
        <w:t xml:space="preserve"> </w:t>
      </w:r>
      <w:r w:rsidRPr="00ED6CE7">
        <w:rPr>
          <w:color w:val="212121"/>
          <w:shd w:val="clear" w:color="auto" w:fill="FFFFFF"/>
        </w:rPr>
        <w:t>to the employee</w:t>
      </w:r>
      <w:r>
        <w:rPr>
          <w:color w:val="212121"/>
          <w:shd w:val="clear" w:color="auto" w:fill="FFFFFF"/>
        </w:rPr>
        <w:t>’</w:t>
      </w:r>
      <w:r w:rsidRPr="00ED6CE7">
        <w:rPr>
          <w:color w:val="212121"/>
          <w:shd w:val="clear" w:color="auto" w:fill="FFFFFF"/>
        </w:rPr>
        <w:t>s injuries.</w:t>
      </w:r>
      <w:r>
        <w:rPr>
          <w:color w:val="212121"/>
          <w:shd w:val="clear" w:color="auto" w:fill="FFFFFF"/>
        </w:rPr>
        <w:t>”</w:t>
      </w:r>
      <w:r>
        <w:t xml:space="preserve">  </w:t>
      </w:r>
      <w:r>
        <w:t>(</w:t>
      </w:r>
      <w:r w:rsidRPr="004104D6">
        <w:rPr>
          <w:i/>
          <w:iCs/>
        </w:rPr>
        <w:t>Hooker, supra</w:t>
      </w:r>
      <w:r>
        <w:t xml:space="preserve">, </w:t>
      </w:r>
      <w:r>
        <w:t xml:space="preserve">27 Cal.4th </w:t>
      </w:r>
      <w:r>
        <w:t>at p. 2</w:t>
      </w:r>
      <w:r>
        <w:t>02</w:t>
      </w:r>
      <w:r>
        <w:t xml:space="preserve"> [upholding </w:t>
      </w:r>
      <w:r w:rsidRPr="00AB55FA">
        <w:t>summary judgment</w:t>
      </w:r>
      <w:r>
        <w:t xml:space="preserve"> </w:t>
      </w:r>
      <w:r w:rsidRPr="00AB55FA">
        <w:t>where</w:t>
      </w:r>
      <w:r>
        <w:t>,</w:t>
      </w:r>
      <w:r w:rsidRPr="00AB55FA">
        <w:t xml:space="preserve"> </w:t>
      </w:r>
      <w:r>
        <w:t>“</w:t>
      </w:r>
      <w:r w:rsidRPr="00AB55FA">
        <w:rPr>
          <w:color w:val="212121"/>
          <w:shd w:val="clear" w:color="auto" w:fill="FFFFFF"/>
        </w:rPr>
        <w:t>although plaintiff raised triable issues of material fact as to whether defendant retained control over safety conditions at the worksite, plaintiff failed to raise triable issues of material fact as to whether defendant actually exercised the retained con</w:t>
      </w:r>
      <w:r w:rsidRPr="00AB55FA">
        <w:rPr>
          <w:color w:val="212121"/>
          <w:shd w:val="clear" w:color="auto" w:fill="FFFFFF"/>
        </w:rPr>
        <w:t xml:space="preserve">trol so as to affirmatively contribute to the </w:t>
      </w:r>
      <w:r>
        <w:rPr>
          <w:color w:val="212121"/>
          <w:shd w:val="clear" w:color="auto" w:fill="FFFFFF"/>
        </w:rPr>
        <w:t>[deced</w:t>
      </w:r>
      <w:r w:rsidRPr="009E085C">
        <w:rPr>
          <w:color w:val="212121"/>
          <w:shd w:val="clear" w:color="auto" w:fill="FFFFFF"/>
        </w:rPr>
        <w:t>ent’s] death”</w:t>
      </w:r>
      <w:r>
        <w:rPr>
          <w:color w:val="212121"/>
          <w:shd w:val="clear" w:color="auto" w:fill="FFFFFF"/>
        </w:rPr>
        <w:t xml:space="preserve"> </w:t>
      </w:r>
      <w:r>
        <w:rPr>
          <w:color w:val="212121"/>
          <w:shd w:val="clear" w:color="auto" w:fill="FFFFFF"/>
        </w:rPr>
        <w:t>(</w:t>
      </w:r>
      <w:r>
        <w:rPr>
          <w:color w:val="212121"/>
          <w:shd w:val="clear" w:color="auto" w:fill="FFFFFF"/>
        </w:rPr>
        <w:t>italics added</w:t>
      </w:r>
      <w:r>
        <w:rPr>
          <w:color w:val="212121"/>
          <w:shd w:val="clear" w:color="auto" w:fill="FFFFFF"/>
        </w:rPr>
        <w:t>)</w:t>
      </w:r>
      <w:r>
        <w:rPr>
          <w:color w:val="212121"/>
          <w:shd w:val="clear" w:color="auto" w:fill="FFFFFF"/>
        </w:rPr>
        <w:t xml:space="preserve">].)  Thus, </w:t>
      </w:r>
      <w:r>
        <w:rPr>
          <w:color w:val="212121"/>
          <w:shd w:val="clear" w:color="auto" w:fill="FFFFFF"/>
        </w:rPr>
        <w:t>the</w:t>
      </w:r>
      <w:r>
        <w:rPr>
          <w:color w:val="212121"/>
          <w:shd w:val="clear" w:color="auto" w:fill="FFFFFF"/>
        </w:rPr>
        <w:t xml:space="preserve"> </w:t>
      </w:r>
      <w:r>
        <w:rPr>
          <w:color w:val="212121"/>
          <w:shd w:val="clear" w:color="auto" w:fill="FFFFFF"/>
        </w:rPr>
        <w:t>court</w:t>
      </w:r>
      <w:r>
        <w:rPr>
          <w:color w:val="212121"/>
          <w:shd w:val="clear" w:color="auto" w:fill="FFFFFF"/>
        </w:rPr>
        <w:t xml:space="preserve"> affirmed summary judgment for the defendant because </w:t>
      </w:r>
      <w:r w:rsidRPr="009E085C">
        <w:rPr>
          <w:color w:val="212121"/>
          <w:shd w:val="clear" w:color="auto" w:fill="FFFFFF"/>
        </w:rPr>
        <w:t>“</w:t>
      </w:r>
      <w:r>
        <w:rPr>
          <w:color w:val="212121"/>
          <w:shd w:val="clear" w:color="auto" w:fill="FFFFFF"/>
        </w:rPr>
        <w:t>[t]</w:t>
      </w:r>
      <w:r w:rsidRPr="009E085C">
        <w:rPr>
          <w:color w:val="212121"/>
          <w:shd w:val="clear" w:color="auto" w:fill="FFFFFF"/>
        </w:rPr>
        <w:t>here was, at most, evidence that Caltrans</w:t>
      </w:r>
      <w:r>
        <w:rPr>
          <w:color w:val="212121"/>
          <w:shd w:val="clear" w:color="auto" w:fill="FFFFFF"/>
        </w:rPr>
        <w:t>’</w:t>
      </w:r>
      <w:r w:rsidRPr="009E085C">
        <w:rPr>
          <w:color w:val="212121"/>
          <w:shd w:val="clear" w:color="auto" w:fill="FFFFFF"/>
        </w:rPr>
        <w:t xml:space="preserve">s safety personnel were aware of an unsafe practice and </w:t>
      </w:r>
      <w:r w:rsidRPr="009E085C">
        <w:rPr>
          <w:color w:val="212121"/>
          <w:shd w:val="clear" w:color="auto" w:fill="FFFFFF"/>
        </w:rPr>
        <w:t>failed to exercise the authority they retained to correct it.</w:t>
      </w:r>
      <w:r>
        <w:rPr>
          <w:color w:val="212121"/>
          <w:shd w:val="clear" w:color="auto" w:fill="FFFFFF"/>
        </w:rPr>
        <w:t>”</w:t>
      </w:r>
      <w:r>
        <w:rPr>
          <w:color w:val="212121"/>
          <w:shd w:val="clear" w:color="auto" w:fill="FFFFFF"/>
        </w:rPr>
        <w:t xml:space="preserve">  (</w:t>
      </w:r>
      <w:r w:rsidRPr="00EC7603">
        <w:rPr>
          <w:i/>
          <w:iCs/>
          <w:color w:val="212121"/>
          <w:shd w:val="clear" w:color="auto" w:fill="FFFFFF"/>
        </w:rPr>
        <w:t>Id</w:t>
      </w:r>
      <w:r>
        <w:rPr>
          <w:color w:val="212121"/>
          <w:shd w:val="clear" w:color="auto" w:fill="FFFFFF"/>
        </w:rPr>
        <w:t>. at p. 215</w:t>
      </w:r>
      <w:r>
        <w:rPr>
          <w:color w:val="212121"/>
          <w:shd w:val="clear" w:color="auto" w:fill="FFFFFF"/>
        </w:rPr>
        <w:t xml:space="preserve">; see </w:t>
      </w:r>
      <w:r w:rsidRPr="00796C6D">
        <w:rPr>
          <w:i/>
          <w:iCs/>
          <w:color w:val="212121"/>
          <w:shd w:val="clear" w:color="auto" w:fill="FFFFFF"/>
        </w:rPr>
        <w:t xml:space="preserve">Kinney </w:t>
      </w:r>
      <w:r w:rsidRPr="00796C6D">
        <w:rPr>
          <w:i/>
          <w:iCs/>
          <w:color w:val="212121"/>
          <w:shd w:val="clear" w:color="auto" w:fill="FFFFFF"/>
        </w:rPr>
        <w:t>v. CSB Construction</w:t>
      </w:r>
      <w:r>
        <w:rPr>
          <w:i/>
          <w:iCs/>
          <w:color w:val="212121"/>
          <w:shd w:val="clear" w:color="auto" w:fill="FFFFFF"/>
        </w:rPr>
        <w:t>,</w:t>
      </w:r>
      <w:r>
        <w:rPr>
          <w:i/>
          <w:iCs/>
          <w:color w:val="212121"/>
          <w:shd w:val="clear" w:color="auto" w:fill="FFFFFF"/>
        </w:rPr>
        <w:t> </w:t>
      </w:r>
      <w:r>
        <w:rPr>
          <w:i/>
          <w:iCs/>
          <w:color w:val="212121"/>
          <w:shd w:val="clear" w:color="auto" w:fill="FFFFFF"/>
        </w:rPr>
        <w:t>Inc.</w:t>
      </w:r>
      <w:r w:rsidRPr="00796C6D">
        <w:rPr>
          <w:i/>
          <w:iCs/>
          <w:color w:val="212121"/>
          <w:shd w:val="clear" w:color="auto" w:fill="FFFFFF"/>
        </w:rPr>
        <w:t xml:space="preserve"> </w:t>
      </w:r>
      <w:r>
        <w:rPr>
          <w:color w:val="212121"/>
          <w:shd w:val="clear" w:color="auto" w:fill="FFFFFF"/>
        </w:rPr>
        <w:t>(</w:t>
      </w:r>
      <w:r>
        <w:rPr>
          <w:color w:val="212121"/>
          <w:shd w:val="clear" w:color="auto" w:fill="FFFFFF"/>
        </w:rPr>
        <w:t>2001</w:t>
      </w:r>
      <w:r>
        <w:rPr>
          <w:color w:val="212121"/>
          <w:shd w:val="clear" w:color="auto" w:fill="FFFFFF"/>
        </w:rPr>
        <w:t xml:space="preserve">) 87 </w:t>
      </w:r>
      <w:r w:rsidRPr="003D7D1D">
        <w:rPr>
          <w:color w:val="212121"/>
          <w:shd w:val="clear" w:color="auto" w:fill="FFFFFF"/>
        </w:rPr>
        <w:t>Cal.App.4</w:t>
      </w:r>
      <w:r>
        <w:rPr>
          <w:color w:val="212121"/>
          <w:shd w:val="clear" w:color="auto" w:fill="FFFFFF"/>
        </w:rPr>
        <w:t>t</w:t>
      </w:r>
      <w:r w:rsidRPr="003D7D1D">
        <w:rPr>
          <w:color w:val="212121"/>
          <w:shd w:val="clear" w:color="auto" w:fill="FFFFFF"/>
        </w:rPr>
        <w:t xml:space="preserve">h </w:t>
      </w:r>
      <w:r>
        <w:rPr>
          <w:color w:val="212121"/>
          <w:shd w:val="clear" w:color="auto" w:fill="FFFFFF"/>
        </w:rPr>
        <w:t>28</w:t>
      </w:r>
      <w:r w:rsidRPr="003D7D1D">
        <w:rPr>
          <w:color w:val="212121"/>
          <w:shd w:val="clear" w:color="auto" w:fill="FFFFFF"/>
        </w:rPr>
        <w:t xml:space="preserve">, </w:t>
      </w:r>
      <w:r>
        <w:rPr>
          <w:color w:val="212121"/>
          <w:shd w:val="clear" w:color="auto" w:fill="FFFFFF"/>
        </w:rPr>
        <w:t>39</w:t>
      </w:r>
      <w:r w:rsidRPr="003D7D1D">
        <w:rPr>
          <w:color w:val="212121"/>
          <w:shd w:val="clear" w:color="auto" w:fill="FFFFFF"/>
        </w:rPr>
        <w:t xml:space="preserve"> [“The mere failure to exercise a power to compel the subcontractor to adopt safer procedures does not, without more, violate any duty owed to the plaintiff</w:t>
      </w:r>
      <w:r>
        <w:rPr>
          <w:color w:val="212121"/>
          <w:shd w:val="clear" w:color="auto" w:fill="FFFFFF"/>
        </w:rPr>
        <w:t>”].</w:t>
      </w:r>
      <w:r>
        <w:t>)</w:t>
      </w:r>
    </w:p>
    <w:p w14:paraId="1AAF1C25" w14:textId="77777777" w:rsidR="002F1287" w:rsidRPr="00070FEE" w:rsidRDefault="00F20D43" w:rsidP="00EC7603">
      <w:pPr>
        <w:tabs>
          <w:tab w:val="clear" w:pos="720"/>
        </w:tabs>
        <w:spacing w:line="360" w:lineRule="auto"/>
      </w:pPr>
      <w:r>
        <w:tab/>
        <w:t>Recently</w:t>
      </w:r>
      <w:r>
        <w:t xml:space="preserve">, our Supreme Court revisited </w:t>
      </w:r>
      <w:r w:rsidRPr="006B1F98">
        <w:rPr>
          <w:i/>
          <w:iCs/>
        </w:rPr>
        <w:t>Hooker</w:t>
      </w:r>
      <w:r>
        <w:t>’s</w:t>
      </w:r>
      <w:r>
        <w:t xml:space="preserve"> exception to the </w:t>
      </w:r>
      <w:r w:rsidRPr="006B1F98">
        <w:rPr>
          <w:i/>
          <w:iCs/>
        </w:rPr>
        <w:t>Privette</w:t>
      </w:r>
      <w:r>
        <w:t xml:space="preserve"> doctrine</w:t>
      </w:r>
      <w:r>
        <w:t xml:space="preserve"> in </w:t>
      </w:r>
      <w:r w:rsidRPr="00EC7829">
        <w:rPr>
          <w:i/>
          <w:iCs/>
        </w:rPr>
        <w:t>Sandoval</w:t>
      </w:r>
      <w:r>
        <w:rPr>
          <w:i/>
          <w:iCs/>
        </w:rPr>
        <w:t>, supra</w:t>
      </w:r>
      <w:r w:rsidRPr="00EC7603">
        <w:t>,</w:t>
      </w:r>
      <w:r w:rsidRPr="00B65B13">
        <w:t xml:space="preserve"> </w:t>
      </w:r>
      <w:r>
        <w:t>12 Cal.5</w:t>
      </w:r>
      <w:r w:rsidRPr="00E85ED8">
        <w:t>th</w:t>
      </w:r>
      <w:r w:rsidRPr="00E85ED8">
        <w:rPr>
          <w:sz w:val="28"/>
        </w:rPr>
        <w:t xml:space="preserve"> </w:t>
      </w:r>
      <w:r>
        <w:t>256</w:t>
      </w:r>
      <w:r>
        <w:t>.</w:t>
      </w:r>
      <w:r>
        <w:t xml:space="preserve">  In doing so</w:t>
      </w:r>
      <w:r>
        <w:t xml:space="preserve">, </w:t>
      </w:r>
      <w:r>
        <w:t xml:space="preserve">the </w:t>
      </w:r>
      <w:r>
        <w:t>court</w:t>
      </w:r>
      <w:r>
        <w:t xml:space="preserve"> </w:t>
      </w:r>
      <w:r>
        <w:lastRenderedPageBreak/>
        <w:t>c</w:t>
      </w:r>
      <w:r>
        <w:t>onfirmed</w:t>
      </w:r>
      <w:r>
        <w:t xml:space="preserve">, </w:t>
      </w:r>
      <w:r>
        <w:t>“</w:t>
      </w:r>
      <w:r>
        <w:t>If</w:t>
      </w:r>
      <w:r>
        <w:t xml:space="preserve"> a contract worker becomes injured after that delegation [of safety] takes place, we presume that the contractor alone</w:t>
      </w:r>
      <w:r>
        <w:t>—</w:t>
      </w:r>
      <w:r>
        <w:t>and not the hirer</w:t>
      </w:r>
      <w:r>
        <w:t>—</w:t>
      </w:r>
      <w:r>
        <w:t xml:space="preserve">was </w:t>
      </w:r>
      <w:r w:rsidRPr="00A9122A">
        <w:t>responsible for any failure to take reasonab</w:t>
      </w:r>
      <w:r w:rsidRPr="00A9122A">
        <w:t>le precautions.</w:t>
      </w:r>
      <w:r w:rsidRPr="00A9122A">
        <w:t>”  (</w:t>
      </w:r>
      <w:r w:rsidRPr="00A9122A">
        <w:rPr>
          <w:i/>
          <w:iCs/>
        </w:rPr>
        <w:t>Id</w:t>
      </w:r>
      <w:r w:rsidRPr="00A9122A">
        <w:t xml:space="preserve">. at </w:t>
      </w:r>
      <w:r w:rsidRPr="00A9122A">
        <w:t xml:space="preserve">p. </w:t>
      </w:r>
      <w:r w:rsidRPr="00A9122A">
        <w:t>271.)</w:t>
      </w:r>
      <w:r w:rsidRPr="00A9122A">
        <w:t xml:space="preserve">  </w:t>
      </w:r>
      <w:r w:rsidRPr="00A9122A">
        <w:t>Thus, “</w:t>
      </w:r>
      <w:r>
        <w:t>[c]</w:t>
      </w:r>
      <w:r w:rsidRPr="00A9122A">
        <w:rPr>
          <w:color w:val="212121"/>
          <w:shd w:val="clear" w:color="auto" w:fill="FFFFFF"/>
        </w:rPr>
        <w:t>ontract workers must prove that the hirer</w:t>
      </w:r>
      <w:r>
        <w:rPr>
          <w:color w:val="212121"/>
          <w:shd w:val="clear" w:color="auto" w:fill="FFFFFF"/>
        </w:rPr>
        <w:t xml:space="preserve"> </w:t>
      </w:r>
      <w:r w:rsidRPr="00A9122A">
        <w:rPr>
          <w:rStyle w:val="ssit"/>
          <w:i/>
          <w:iCs/>
          <w:color w:val="212121"/>
          <w:bdr w:val="none" w:sz="0" w:space="0" w:color="auto" w:frame="1"/>
          <w:shd w:val="clear" w:color="auto" w:fill="FFFFFF"/>
        </w:rPr>
        <w:t>both</w:t>
      </w:r>
      <w:r>
        <w:rPr>
          <w:color w:val="212121"/>
          <w:shd w:val="clear" w:color="auto" w:fill="FFFFFF"/>
        </w:rPr>
        <w:t xml:space="preserve"> </w:t>
      </w:r>
      <w:r w:rsidRPr="00A9122A">
        <w:rPr>
          <w:color w:val="212121"/>
          <w:shd w:val="clear" w:color="auto" w:fill="FFFFFF"/>
        </w:rPr>
        <w:t>retained control</w:t>
      </w:r>
      <w:r>
        <w:rPr>
          <w:color w:val="212121"/>
          <w:shd w:val="clear" w:color="auto" w:fill="FFFFFF"/>
        </w:rPr>
        <w:t xml:space="preserve"> </w:t>
      </w:r>
      <w:r w:rsidRPr="00A9122A">
        <w:rPr>
          <w:rStyle w:val="ssit"/>
          <w:i/>
          <w:iCs/>
          <w:color w:val="212121"/>
          <w:bdr w:val="none" w:sz="0" w:space="0" w:color="auto" w:frame="1"/>
          <w:shd w:val="clear" w:color="auto" w:fill="FFFFFF"/>
        </w:rPr>
        <w:t>and</w:t>
      </w:r>
      <w:r>
        <w:rPr>
          <w:color w:val="212121"/>
          <w:shd w:val="clear" w:color="auto" w:fill="FFFFFF"/>
        </w:rPr>
        <w:t xml:space="preserve"> </w:t>
      </w:r>
      <w:r w:rsidRPr="00A9122A">
        <w:rPr>
          <w:color w:val="212121"/>
          <w:shd w:val="clear" w:color="auto" w:fill="FFFFFF"/>
        </w:rPr>
        <w:t>actually exercised that retained control in such a way as to affirmatively contribute to the injury.</w:t>
      </w:r>
      <w:r>
        <w:t>”  (</w:t>
      </w:r>
      <w:r w:rsidRPr="00A9122A">
        <w:rPr>
          <w:i/>
          <w:iCs/>
        </w:rPr>
        <w:t>Id</w:t>
      </w:r>
      <w:r>
        <w:t>. at p. 276.)</w:t>
      </w:r>
      <w:r w:rsidRPr="00ED108D">
        <w:t xml:space="preserve">  “</w:t>
      </w:r>
      <w:r w:rsidRPr="00ED108D">
        <w:rPr>
          <w:color w:val="212121"/>
          <w:shd w:val="clear" w:color="auto" w:fill="FFFFFF"/>
        </w:rPr>
        <w:t xml:space="preserve">A hirer </w:t>
      </w:r>
      <w:r>
        <w:rPr>
          <w:color w:val="212121"/>
          <w:shd w:val="clear" w:color="auto" w:fill="FFFFFF"/>
        </w:rPr>
        <w:t>‘</w:t>
      </w:r>
      <w:r w:rsidRPr="00ED108D">
        <w:rPr>
          <w:color w:val="212121"/>
          <w:shd w:val="clear" w:color="auto" w:fill="FFFFFF"/>
        </w:rPr>
        <w:t>actually exercise[s]</w:t>
      </w:r>
      <w:r>
        <w:rPr>
          <w:color w:val="212121"/>
          <w:shd w:val="clear" w:color="auto" w:fill="FFFFFF"/>
        </w:rPr>
        <w:t>’</w:t>
      </w:r>
      <w:r w:rsidRPr="00ED108D">
        <w:rPr>
          <w:color w:val="212121"/>
          <w:shd w:val="clear" w:color="auto" w:fill="FFFFFF"/>
        </w:rPr>
        <w:t xml:space="preserve"> its retained control over the contracted work</w:t>
      </w:r>
      <w:r>
        <w:rPr>
          <w:color w:val="212121"/>
          <w:shd w:val="clear" w:color="auto" w:fill="FFFFFF"/>
        </w:rPr>
        <w:t xml:space="preserve"> </w:t>
      </w:r>
      <w:r w:rsidRPr="00ED108D">
        <w:rPr>
          <w:color w:val="212121"/>
          <w:shd w:val="clear" w:color="auto" w:fill="FFFFFF"/>
        </w:rPr>
        <w:t xml:space="preserve">when it involves itself in the contracted work </w:t>
      </w:r>
      <w:r>
        <w:rPr>
          <w:color w:val="212121"/>
          <w:shd w:val="clear" w:color="auto" w:fill="FFFFFF"/>
        </w:rPr>
        <w:t>‘</w:t>
      </w:r>
      <w:r w:rsidRPr="00ED108D">
        <w:rPr>
          <w:color w:val="212121"/>
          <w:shd w:val="clear" w:color="auto" w:fill="FFFFFF"/>
        </w:rPr>
        <w:t>such that the contractor is not entirely free to do the work in the contractor</w:t>
      </w:r>
      <w:r>
        <w:rPr>
          <w:color w:val="212121"/>
          <w:shd w:val="clear" w:color="auto" w:fill="FFFFFF"/>
        </w:rPr>
        <w:t>’</w:t>
      </w:r>
      <w:r w:rsidRPr="00ED108D">
        <w:rPr>
          <w:color w:val="212121"/>
          <w:shd w:val="clear" w:color="auto" w:fill="FFFFFF"/>
        </w:rPr>
        <w:t>s own manner.</w:t>
      </w:r>
      <w:r>
        <w:rPr>
          <w:color w:val="212121"/>
          <w:shd w:val="clear" w:color="auto" w:fill="FFFFFF"/>
        </w:rPr>
        <w:t>’</w:t>
      </w:r>
      <w:r w:rsidRPr="00ED108D">
        <w:rPr>
          <w:color w:val="212121"/>
          <w:shd w:val="clear" w:color="auto" w:fill="FFFFFF"/>
        </w:rPr>
        <w:t xml:space="preserve"> </w:t>
      </w:r>
      <w:r>
        <w:rPr>
          <w:color w:val="212121"/>
          <w:shd w:val="clear" w:color="auto" w:fill="FFFFFF"/>
        </w:rPr>
        <w:t xml:space="preserve"> </w:t>
      </w:r>
      <w:r w:rsidRPr="00ED108D">
        <w:rPr>
          <w:color w:val="212121"/>
          <w:shd w:val="clear" w:color="auto" w:fill="FFFFFF"/>
        </w:rPr>
        <w:t>(</w:t>
      </w:r>
      <w:r>
        <w:rPr>
          <w:color w:val="212121"/>
          <w:shd w:val="clear" w:color="auto" w:fill="FFFFFF"/>
        </w:rPr>
        <w:t>Rest.3d Torts</w:t>
      </w:r>
      <w:r>
        <w:rPr>
          <w:color w:val="212121"/>
          <w:shd w:val="clear" w:color="auto" w:fill="FFFFFF"/>
        </w:rPr>
        <w:t>,</w:t>
      </w:r>
      <w:r>
        <w:rPr>
          <w:color w:val="212121"/>
          <w:shd w:val="clear" w:color="auto" w:fill="FFFFFF"/>
        </w:rPr>
        <w:t xml:space="preserve"> [</w:t>
      </w:r>
      <w:r>
        <w:rPr>
          <w:color w:val="212121"/>
          <w:shd w:val="clear" w:color="auto" w:fill="FFFFFF"/>
        </w:rPr>
        <w:t>Liability for Physical and E</w:t>
      </w:r>
      <w:r>
        <w:rPr>
          <w:color w:val="212121"/>
          <w:shd w:val="clear" w:color="auto" w:fill="FFFFFF"/>
        </w:rPr>
        <w:t>motional Harm</w:t>
      </w:r>
      <w:r>
        <w:rPr>
          <w:color w:val="212121"/>
          <w:shd w:val="clear" w:color="auto" w:fill="FFFFFF"/>
        </w:rPr>
        <w:t xml:space="preserve">], </w:t>
      </w:r>
      <w:r w:rsidRPr="00ED108D">
        <w:rPr>
          <w:color w:val="212121"/>
          <w:shd w:val="clear" w:color="auto" w:fill="FFFFFF"/>
        </w:rPr>
        <w:t>§ </w:t>
      </w:r>
      <w:r>
        <w:rPr>
          <w:color w:val="212121"/>
          <w:shd w:val="clear" w:color="auto" w:fill="FFFFFF"/>
        </w:rPr>
        <w:t>56, com. c</w:t>
      </w:r>
      <w:r w:rsidRPr="00ED108D">
        <w:rPr>
          <w:color w:val="212121"/>
          <w:shd w:val="clear" w:color="auto" w:fill="FFFFFF"/>
        </w:rPr>
        <w:t>, p. 392</w:t>
      </w:r>
      <w:r>
        <w:rPr>
          <w:color w:val="212121"/>
          <w:shd w:val="clear" w:color="auto" w:fill="FFFFFF"/>
        </w:rPr>
        <w:t>; [citations].</w:t>
      </w:r>
      <w:r>
        <w:rPr>
          <w:color w:val="212121"/>
          <w:shd w:val="clear" w:color="auto" w:fill="FFFFFF"/>
        </w:rPr>
        <w:t>)</w:t>
      </w:r>
      <w:r>
        <w:t>”  (</w:t>
      </w:r>
      <w:r>
        <w:rPr>
          <w:i/>
          <w:iCs/>
        </w:rPr>
        <w:t>Ibid.</w:t>
      </w:r>
      <w:r w:rsidRPr="00070FEE">
        <w:t>)</w:t>
      </w:r>
      <w:r w:rsidRPr="00070FEE">
        <w:t xml:space="preserve">  Moreover, “</w:t>
      </w:r>
      <w:r w:rsidRPr="00070FEE">
        <w:rPr>
          <w:color w:val="212121"/>
          <w:shd w:val="clear" w:color="auto" w:fill="FFFFFF"/>
        </w:rPr>
        <w:t>the affirmative contribution requirement can be satisfied only if the hirer in some respect induced—not just failed to prevent—the contractor’s injury-causing conduct,</w:t>
      </w:r>
      <w:r w:rsidRPr="00070FEE">
        <w:t>” or “</w:t>
      </w:r>
      <w:r w:rsidRPr="00070FEE">
        <w:rPr>
          <w:color w:val="212121"/>
          <w:shd w:val="clear" w:color="auto" w:fill="FFFFFF"/>
        </w:rPr>
        <w:t>where the hirer</w:t>
      </w:r>
      <w:r>
        <w:rPr>
          <w:color w:val="212121"/>
          <w:shd w:val="clear" w:color="auto" w:fill="FFFFFF"/>
        </w:rPr>
        <w:t>’</w:t>
      </w:r>
      <w:r w:rsidRPr="00070FEE">
        <w:rPr>
          <w:color w:val="212121"/>
          <w:shd w:val="clear" w:color="auto" w:fill="FFFFFF"/>
        </w:rPr>
        <w:t>s exercise of retained control contributes to the injury independently of the contractor</w:t>
      </w:r>
      <w:r>
        <w:rPr>
          <w:color w:val="212121"/>
          <w:shd w:val="clear" w:color="auto" w:fill="FFFFFF"/>
        </w:rPr>
        <w:t>’</w:t>
      </w:r>
      <w:r w:rsidRPr="00070FEE">
        <w:rPr>
          <w:color w:val="212121"/>
          <w:shd w:val="clear" w:color="auto" w:fill="FFFFFF"/>
        </w:rPr>
        <w:t>s contribution (if any) to the injury.</w:t>
      </w:r>
      <w:r w:rsidRPr="00070FEE">
        <w:t xml:space="preserve">” </w:t>
      </w:r>
      <w:r>
        <w:t xml:space="preserve"> </w:t>
      </w:r>
      <w:r w:rsidRPr="00070FEE">
        <w:t>(</w:t>
      </w:r>
      <w:r w:rsidRPr="00070FEE">
        <w:rPr>
          <w:i/>
          <w:iCs/>
        </w:rPr>
        <w:t>Id</w:t>
      </w:r>
      <w:r w:rsidRPr="00070FEE">
        <w:t>.</w:t>
      </w:r>
      <w:r>
        <w:t xml:space="preserve"> at p. </w:t>
      </w:r>
      <w:r w:rsidRPr="00070FEE">
        <w:t>277.)</w:t>
      </w:r>
    </w:p>
    <w:p w14:paraId="4AD7872A" w14:textId="77777777" w:rsidR="00770697" w:rsidRPr="000C4970" w:rsidRDefault="00F20D43" w:rsidP="000C4970">
      <w:pPr>
        <w:pStyle w:val="ListParagraph"/>
        <w:keepNext/>
        <w:numPr>
          <w:ilvl w:val="0"/>
          <w:numId w:val="3"/>
        </w:numPr>
        <w:tabs>
          <w:tab w:val="clear" w:pos="720"/>
        </w:tabs>
        <w:spacing w:after="120" w:line="240" w:lineRule="auto"/>
        <w:rPr>
          <w:b/>
          <w:bCs/>
        </w:rPr>
      </w:pPr>
      <w:r w:rsidRPr="000C4970">
        <w:rPr>
          <w:b/>
          <w:bCs/>
        </w:rPr>
        <w:t xml:space="preserve">Application of </w:t>
      </w:r>
      <w:r>
        <w:rPr>
          <w:b/>
          <w:bCs/>
        </w:rPr>
        <w:t>These Principles</w:t>
      </w:r>
      <w:r w:rsidRPr="000C4970">
        <w:rPr>
          <w:b/>
          <w:bCs/>
        </w:rPr>
        <w:t xml:space="preserve"> to the </w:t>
      </w:r>
      <w:r>
        <w:rPr>
          <w:b/>
          <w:bCs/>
        </w:rPr>
        <w:t>Undisputed Evidence</w:t>
      </w:r>
      <w:r w:rsidRPr="000C4970">
        <w:rPr>
          <w:b/>
          <w:bCs/>
        </w:rPr>
        <w:t xml:space="preserve"> in the </w:t>
      </w:r>
      <w:r>
        <w:rPr>
          <w:b/>
          <w:bCs/>
        </w:rPr>
        <w:t>Record</w:t>
      </w:r>
      <w:r w:rsidRPr="000C4970">
        <w:rPr>
          <w:b/>
          <w:bCs/>
        </w:rPr>
        <w:t>.</w:t>
      </w:r>
    </w:p>
    <w:p w14:paraId="49693A49" w14:textId="77777777" w:rsidR="00246EF4" w:rsidRDefault="00F20D43" w:rsidP="000C4970">
      <w:pPr>
        <w:tabs>
          <w:tab w:val="clear" w:pos="720"/>
        </w:tabs>
        <w:spacing w:line="360" w:lineRule="auto"/>
      </w:pPr>
      <w:r w:rsidRPr="00AE5FEB">
        <w:tab/>
      </w:r>
      <w:r>
        <w:t>To begin, it is u</w:t>
      </w:r>
      <w:r>
        <w:rPr>
          <w:color w:val="212121"/>
          <w:shd w:val="clear" w:color="auto" w:fill="FFFFFF"/>
        </w:rPr>
        <w:t>n</w:t>
      </w:r>
      <w:r>
        <w:rPr>
          <w:color w:val="212121"/>
          <w:shd w:val="clear" w:color="auto" w:fill="FFFFFF"/>
        </w:rPr>
        <w:t xml:space="preserve">disputed that the DOT </w:t>
      </w:r>
      <w:r w:rsidRPr="00AE5FEB">
        <w:rPr>
          <w:color w:val="212121"/>
          <w:shd w:val="clear" w:color="auto" w:fill="FFFFFF"/>
        </w:rPr>
        <w:t>hired</w:t>
      </w:r>
      <w:r>
        <w:rPr>
          <w:color w:val="212121"/>
          <w:shd w:val="clear" w:color="auto" w:fill="FFFFFF"/>
        </w:rPr>
        <w:t xml:space="preserve"> </w:t>
      </w:r>
      <w:r>
        <w:rPr>
          <w:color w:val="212121"/>
          <w:shd w:val="clear" w:color="auto" w:fill="FFFFFF"/>
        </w:rPr>
        <w:t>O.C. Jones</w:t>
      </w:r>
      <w:r>
        <w:rPr>
          <w:color w:val="212121"/>
          <w:shd w:val="clear" w:color="auto" w:fill="FFFFFF"/>
        </w:rPr>
        <w:t xml:space="preserve">, decedent’s </w:t>
      </w:r>
      <w:r w:rsidRPr="00AE5FEB">
        <w:rPr>
          <w:color w:val="212121"/>
          <w:shd w:val="clear" w:color="auto" w:fill="FFFFFF"/>
        </w:rPr>
        <w:t>employer</w:t>
      </w:r>
      <w:r>
        <w:rPr>
          <w:color w:val="212121"/>
          <w:shd w:val="clear" w:color="auto" w:fill="FFFFFF"/>
        </w:rPr>
        <w:t>,</w:t>
      </w:r>
      <w:r w:rsidRPr="00AE5FEB">
        <w:rPr>
          <w:color w:val="212121"/>
          <w:shd w:val="clear" w:color="auto" w:fill="FFFFFF"/>
        </w:rPr>
        <w:t xml:space="preserve"> to perform work</w:t>
      </w:r>
      <w:r>
        <w:rPr>
          <w:color w:val="212121"/>
          <w:shd w:val="clear" w:color="auto" w:fill="FFFFFF"/>
        </w:rPr>
        <w:t xml:space="preserve"> on a </w:t>
      </w:r>
      <w:r>
        <w:rPr>
          <w:color w:val="212121"/>
          <w:shd w:val="clear" w:color="auto" w:fill="FFFFFF"/>
        </w:rPr>
        <w:t>job</w:t>
      </w:r>
      <w:r>
        <w:rPr>
          <w:color w:val="212121"/>
          <w:shd w:val="clear" w:color="auto" w:fill="FFFFFF"/>
        </w:rPr>
        <w:t xml:space="preserve">site owned by the DOT and that decedent </w:t>
      </w:r>
      <w:r w:rsidRPr="00AE5FEB">
        <w:rPr>
          <w:color w:val="212121"/>
          <w:shd w:val="clear" w:color="auto" w:fill="FFFFFF"/>
        </w:rPr>
        <w:t xml:space="preserve">was </w:t>
      </w:r>
      <w:r>
        <w:rPr>
          <w:color w:val="212121"/>
          <w:shd w:val="clear" w:color="auto" w:fill="FFFFFF"/>
        </w:rPr>
        <w:t xml:space="preserve">killed </w:t>
      </w:r>
      <w:r w:rsidRPr="00AE5FEB">
        <w:rPr>
          <w:color w:val="212121"/>
          <w:shd w:val="clear" w:color="auto" w:fill="FFFFFF"/>
        </w:rPr>
        <w:t xml:space="preserve">while working at the site. </w:t>
      </w:r>
      <w:r>
        <w:rPr>
          <w:color w:val="212121"/>
          <w:shd w:val="clear" w:color="auto" w:fill="FFFFFF"/>
        </w:rPr>
        <w:t xml:space="preserve"> It is also undisputed that the contract between the DOT and </w:t>
      </w:r>
      <w:r>
        <w:rPr>
          <w:color w:val="212121"/>
          <w:shd w:val="clear" w:color="auto" w:fill="FFFFFF"/>
        </w:rPr>
        <w:t>O.C. Jones</w:t>
      </w:r>
      <w:r>
        <w:rPr>
          <w:color w:val="212121"/>
          <w:shd w:val="clear" w:color="auto" w:fill="FFFFFF"/>
        </w:rPr>
        <w:t xml:space="preserve"> </w:t>
      </w:r>
      <w:r>
        <w:rPr>
          <w:color w:val="212121"/>
          <w:shd w:val="clear" w:color="auto" w:fill="FFFFFF"/>
        </w:rPr>
        <w:t>includes</w:t>
      </w:r>
      <w:r>
        <w:rPr>
          <w:color w:val="212121"/>
          <w:shd w:val="clear" w:color="auto" w:fill="FFFFFF"/>
        </w:rPr>
        <w:t xml:space="preserve"> </w:t>
      </w:r>
      <w:r>
        <w:rPr>
          <w:color w:val="212121"/>
          <w:shd w:val="clear" w:color="auto" w:fill="FFFFFF"/>
        </w:rPr>
        <w:t>section </w:t>
      </w:r>
      <w:r>
        <w:rPr>
          <w:color w:val="212121"/>
          <w:shd w:val="clear" w:color="auto" w:fill="FFFFFF"/>
        </w:rPr>
        <w:t xml:space="preserve">7, which expressly delegated matters of safety at the </w:t>
      </w:r>
      <w:r>
        <w:rPr>
          <w:color w:val="212121"/>
          <w:shd w:val="clear" w:color="auto" w:fill="FFFFFF"/>
        </w:rPr>
        <w:t>project</w:t>
      </w:r>
      <w:r>
        <w:rPr>
          <w:color w:val="212121"/>
          <w:shd w:val="clear" w:color="auto" w:fill="FFFFFF"/>
        </w:rPr>
        <w:t xml:space="preserve"> site to </w:t>
      </w:r>
      <w:r>
        <w:rPr>
          <w:color w:val="212121"/>
          <w:shd w:val="clear" w:color="auto" w:fill="FFFFFF"/>
        </w:rPr>
        <w:t>O.C. Jones</w:t>
      </w:r>
      <w:r>
        <w:rPr>
          <w:color w:val="212121"/>
          <w:shd w:val="clear" w:color="auto" w:fill="FFFFFF"/>
        </w:rPr>
        <w:t xml:space="preserve">.  This </w:t>
      </w:r>
      <w:r>
        <w:rPr>
          <w:color w:val="212121"/>
          <w:shd w:val="clear" w:color="auto" w:fill="FFFFFF"/>
        </w:rPr>
        <w:t>section</w:t>
      </w:r>
      <w:r>
        <w:rPr>
          <w:color w:val="212121"/>
          <w:shd w:val="clear" w:color="auto" w:fill="FFFFFF"/>
        </w:rPr>
        <w:t xml:space="preserve"> states in relevant part: </w:t>
      </w:r>
      <w:r>
        <w:rPr>
          <w:color w:val="212121"/>
          <w:shd w:val="clear" w:color="auto" w:fill="FFFFFF"/>
        </w:rPr>
        <w:t xml:space="preserve"> </w:t>
      </w:r>
      <w:r>
        <w:t>“In the performance of this contract, the con</w:t>
      </w:r>
      <w:r>
        <w:t xml:space="preserve">tractor shall comply with all applicable Federal, State, and local laws governing safety, health and sanitation </w:t>
      </w:r>
      <w:r>
        <w:t>[citation]</w:t>
      </w:r>
      <w:r>
        <w:t>.</w:t>
      </w:r>
      <w:r>
        <w:t xml:space="preserve"> </w:t>
      </w:r>
      <w:r>
        <w:t xml:space="preserve"> </w:t>
      </w:r>
      <w:r w:rsidRPr="007C3CD3">
        <w:rPr>
          <w:i/>
          <w:iCs/>
        </w:rPr>
        <w:t>The contractor shall provide all safeguards, safety devices and protective equipment and take any other needed actions as it determ</w:t>
      </w:r>
      <w:r w:rsidRPr="007C3CD3">
        <w:rPr>
          <w:i/>
          <w:iCs/>
        </w:rPr>
        <w:t>ines</w:t>
      </w:r>
      <w:r>
        <w:rPr>
          <w:i/>
          <w:iCs/>
        </w:rPr>
        <w:t>,</w:t>
      </w:r>
      <w:r w:rsidRPr="007C3CD3">
        <w:rPr>
          <w:i/>
          <w:iCs/>
        </w:rPr>
        <w:t xml:space="preserve"> or as the </w:t>
      </w:r>
      <w:r>
        <w:rPr>
          <w:i/>
          <w:iCs/>
        </w:rPr>
        <w:t xml:space="preserve">SHA </w:t>
      </w:r>
      <w:r w:rsidRPr="007C3CD3">
        <w:rPr>
          <w:i/>
          <w:iCs/>
        </w:rPr>
        <w:t xml:space="preserve">contracting officer may determine, to be reasonably necessary to protect the life and health of employees </w:t>
      </w:r>
      <w:r>
        <w:rPr>
          <w:i/>
          <w:iCs/>
        </w:rPr>
        <w:t>on</w:t>
      </w:r>
      <w:r w:rsidRPr="007C3CD3">
        <w:rPr>
          <w:i/>
          <w:iCs/>
        </w:rPr>
        <w:t xml:space="preserve"> the job </w:t>
      </w:r>
      <w:r w:rsidRPr="007C3CD3">
        <w:rPr>
          <w:i/>
          <w:iCs/>
        </w:rPr>
        <w:lastRenderedPageBreak/>
        <w:t>and the safety of the public and to protect property in connection with the performance of the work covered by the cont</w:t>
      </w:r>
      <w:r w:rsidRPr="007C3CD3">
        <w:rPr>
          <w:i/>
          <w:iCs/>
        </w:rPr>
        <w:t>ract</w:t>
      </w:r>
      <w:r>
        <w:t xml:space="preserve">. </w:t>
      </w:r>
      <w:r>
        <w:t>[¶] . . .</w:t>
      </w:r>
      <w:r>
        <w:t> </w:t>
      </w:r>
      <w:r>
        <w:t xml:space="preserve">[T]he contractor and any subcontractor shall not permit any employee, in performance of the contract, to work in surroundings or under conditions which are </w:t>
      </w:r>
      <w:r>
        <w:t>. . .</w:t>
      </w:r>
      <w:r>
        <w:t xml:space="preserve"> hazardous or dangerous to his or her health or safety</w:t>
      </w:r>
      <w:r>
        <w:t> . . . .</w:t>
      </w:r>
      <w:r>
        <w:t>”  (Italics added</w:t>
      </w:r>
      <w:r>
        <w:t>.)</w:t>
      </w:r>
    </w:p>
    <w:p w14:paraId="64EDEF2A" w14:textId="77777777" w:rsidR="00404C5D" w:rsidRDefault="00F20D43" w:rsidP="000C4970">
      <w:pPr>
        <w:tabs>
          <w:tab w:val="clear" w:pos="720"/>
        </w:tabs>
        <w:spacing w:line="360" w:lineRule="auto"/>
      </w:pPr>
      <w:r>
        <w:tab/>
      </w:r>
      <w:r w:rsidRPr="00AE5FEB">
        <w:rPr>
          <w:color w:val="212121"/>
          <w:shd w:val="clear" w:color="auto" w:fill="FFFFFF"/>
        </w:rPr>
        <w:t>“This evidence was sufficient to establish that</w:t>
      </w:r>
      <w:r>
        <w:rPr>
          <w:color w:val="212121"/>
          <w:shd w:val="clear" w:color="auto" w:fill="FFFFFF"/>
        </w:rPr>
        <w:t xml:space="preserve"> </w:t>
      </w:r>
      <w:r w:rsidRPr="00AE5FEB">
        <w:rPr>
          <w:color w:val="212121"/>
          <w:shd w:val="clear" w:color="auto" w:fill="FFFFFF"/>
        </w:rPr>
        <w:t>the</w:t>
      </w:r>
      <w:r>
        <w:rPr>
          <w:color w:val="212121"/>
          <w:shd w:val="clear" w:color="auto" w:fill="FFFFFF"/>
        </w:rPr>
        <w:t xml:space="preserve"> </w:t>
      </w:r>
      <w:r w:rsidRPr="00DE58DE">
        <w:rPr>
          <w:i/>
          <w:iCs/>
          <w:color w:val="212121"/>
          <w:shd w:val="clear" w:color="auto" w:fill="FFFFFF"/>
        </w:rPr>
        <w:t>Privette</w:t>
      </w:r>
      <w:r>
        <w:rPr>
          <w:color w:val="212121"/>
          <w:shd w:val="clear" w:color="auto" w:fill="FFFFFF"/>
        </w:rPr>
        <w:t xml:space="preserve"> </w:t>
      </w:r>
      <w:r w:rsidRPr="00AE5FEB">
        <w:rPr>
          <w:color w:val="212121"/>
          <w:shd w:val="clear" w:color="auto" w:fill="FFFFFF"/>
        </w:rPr>
        <w:t>presumption applied and, therefore, shifted the burden to plaintiff</w:t>
      </w:r>
      <w:r>
        <w:rPr>
          <w:color w:val="212121"/>
          <w:shd w:val="clear" w:color="auto" w:fill="FFFFFF"/>
        </w:rPr>
        <w:t>[s]</w:t>
      </w:r>
      <w:r w:rsidRPr="00AE5FEB">
        <w:rPr>
          <w:color w:val="212121"/>
          <w:shd w:val="clear" w:color="auto" w:fill="FFFFFF"/>
        </w:rPr>
        <w:t xml:space="preserve"> to raise a triable issue of fact.” </w:t>
      </w:r>
      <w:r>
        <w:rPr>
          <w:color w:val="212121"/>
          <w:shd w:val="clear" w:color="auto" w:fill="FFFFFF"/>
        </w:rPr>
        <w:t xml:space="preserve"> </w:t>
      </w:r>
      <w:r>
        <w:t>(</w:t>
      </w:r>
      <w:r w:rsidRPr="00EC7829">
        <w:rPr>
          <w:i/>
          <w:iCs/>
        </w:rPr>
        <w:t xml:space="preserve">Alvarez v. Seaside </w:t>
      </w:r>
      <w:r>
        <w:rPr>
          <w:i/>
          <w:iCs/>
        </w:rPr>
        <w:t>Transportation</w:t>
      </w:r>
      <w:r w:rsidRPr="00EC7829">
        <w:rPr>
          <w:i/>
          <w:iCs/>
        </w:rPr>
        <w:t xml:space="preserve"> Services</w:t>
      </w:r>
      <w:r>
        <w:rPr>
          <w:i/>
          <w:iCs/>
        </w:rPr>
        <w:t> </w:t>
      </w:r>
      <w:r w:rsidRPr="00EC7829">
        <w:rPr>
          <w:i/>
          <w:iCs/>
        </w:rPr>
        <w:t>LLC</w:t>
      </w:r>
      <w:r>
        <w:t xml:space="preserve"> (2017) 13 Cal.App.5th 635, 644.)</w:t>
      </w:r>
      <w:r>
        <w:t xml:space="preserve">  To do so, </w:t>
      </w:r>
      <w:r>
        <w:t xml:space="preserve">plaintiffs direct us to </w:t>
      </w:r>
      <w:r>
        <w:t>section </w:t>
      </w:r>
      <w:r>
        <w:t xml:space="preserve">5 of </w:t>
      </w:r>
      <w:r>
        <w:t>t</w:t>
      </w:r>
      <w:r w:rsidRPr="00D66C79">
        <w:t>he contract</w:t>
      </w:r>
      <w:r>
        <w:t>.  T</w:t>
      </w:r>
      <w:r>
        <w:t>his</w:t>
      </w:r>
      <w:r>
        <w:t xml:space="preserve"> provision</w:t>
      </w:r>
      <w:r>
        <w:t xml:space="preserve"> </w:t>
      </w:r>
      <w:r>
        <w:t>states</w:t>
      </w:r>
      <w:r>
        <w:t xml:space="preserve"> in relevant part</w:t>
      </w:r>
      <w:r>
        <w:t xml:space="preserve"> </w:t>
      </w:r>
      <w:r>
        <w:t xml:space="preserve">that the DOT’s </w:t>
      </w:r>
      <w:r>
        <w:t>r</w:t>
      </w:r>
      <w:r>
        <w:t xml:space="preserve">esidential </w:t>
      </w:r>
      <w:r>
        <w:t>e</w:t>
      </w:r>
      <w:r>
        <w:t>ngineer</w:t>
      </w:r>
      <w:r>
        <w:t xml:space="preserve"> </w:t>
      </w:r>
      <w:r>
        <w:t xml:space="preserve">at the </w:t>
      </w:r>
      <w:r>
        <w:t>project</w:t>
      </w:r>
      <w:r>
        <w:t xml:space="preserve"> site </w:t>
      </w:r>
      <w:r>
        <w:t xml:space="preserve">(here, Hana Khoury) </w:t>
      </w:r>
      <w:r>
        <w:t xml:space="preserve">is authorized to make the final decision on </w:t>
      </w:r>
      <w:r>
        <w:t>questions regarding the contract, including as to “[w]ork quality and acceptability” and the “manner of performance of the work.”</w:t>
      </w:r>
    </w:p>
    <w:p w14:paraId="16FD06A3" w14:textId="77777777" w:rsidR="00404C5D" w:rsidRDefault="00F20D43" w:rsidP="000C4970">
      <w:pPr>
        <w:tabs>
          <w:tab w:val="clear" w:pos="720"/>
        </w:tabs>
        <w:spacing w:line="360" w:lineRule="auto"/>
      </w:pPr>
      <w:r>
        <w:tab/>
      </w:r>
      <w:r>
        <w:t xml:space="preserve">We agree with the DOT </w:t>
      </w:r>
      <w:r>
        <w:t xml:space="preserve">that </w:t>
      </w:r>
      <w:r>
        <w:t>this provision does not suffice to raise a triable issue as to whether t</w:t>
      </w:r>
      <w:r>
        <w:t>he DOT</w:t>
      </w:r>
      <w:r>
        <w:t xml:space="preserve"> retained control over safety</w:t>
      </w:r>
      <w:r>
        <w:t xml:space="preserve"> at the </w:t>
      </w:r>
      <w:r>
        <w:t>project</w:t>
      </w:r>
      <w:r>
        <w:t xml:space="preserve"> site</w:t>
      </w:r>
      <w:r w:rsidRPr="00246EF4">
        <w:rPr>
          <w:color w:val="212121"/>
          <w:shd w:val="clear" w:color="auto" w:fill="FFFFFF"/>
        </w:rPr>
        <w:t xml:space="preserve"> </w:t>
      </w:r>
      <w:r>
        <w:rPr>
          <w:color w:val="212121"/>
          <w:shd w:val="clear" w:color="auto" w:fill="FFFFFF"/>
        </w:rPr>
        <w:t xml:space="preserve">and </w:t>
      </w:r>
      <w:r w:rsidRPr="00A9122A">
        <w:rPr>
          <w:color w:val="212121"/>
          <w:shd w:val="clear" w:color="auto" w:fill="FFFFFF"/>
        </w:rPr>
        <w:t>actually exercised th</w:t>
      </w:r>
      <w:r>
        <w:rPr>
          <w:color w:val="212121"/>
          <w:shd w:val="clear" w:color="auto" w:fill="FFFFFF"/>
        </w:rPr>
        <w:t>is r</w:t>
      </w:r>
      <w:r w:rsidRPr="00A9122A">
        <w:rPr>
          <w:color w:val="212121"/>
          <w:shd w:val="clear" w:color="auto" w:fill="FFFFFF"/>
        </w:rPr>
        <w:t xml:space="preserve">etained control in such a way as to affirmatively contribute to </w:t>
      </w:r>
      <w:r>
        <w:rPr>
          <w:color w:val="212121"/>
          <w:shd w:val="clear" w:color="auto" w:fill="FFFFFF"/>
        </w:rPr>
        <w:t>decedent’s death</w:t>
      </w:r>
      <w:r w:rsidRPr="00A9122A">
        <w:rPr>
          <w:color w:val="212121"/>
          <w:shd w:val="clear" w:color="auto" w:fill="FFFFFF"/>
        </w:rPr>
        <w:t>.</w:t>
      </w:r>
      <w:r>
        <w:t xml:space="preserve">  </w:t>
      </w:r>
      <w:r>
        <w:t>(</w:t>
      </w:r>
      <w:r>
        <w:rPr>
          <w:i/>
          <w:iCs/>
        </w:rPr>
        <w:t>Sandoval, supra</w:t>
      </w:r>
      <w:r w:rsidRPr="000C4970">
        <w:t>,</w:t>
      </w:r>
      <w:r w:rsidRPr="00821346">
        <w:t xml:space="preserve"> </w:t>
      </w:r>
      <w:r>
        <w:t>12 Cal.5</w:t>
      </w:r>
      <w:r w:rsidRPr="00E85ED8">
        <w:t>th</w:t>
      </w:r>
      <w:r w:rsidRPr="00E85ED8">
        <w:rPr>
          <w:sz w:val="28"/>
        </w:rPr>
        <w:t xml:space="preserve"> </w:t>
      </w:r>
      <w:r>
        <w:t>at p. 276.)</w:t>
      </w:r>
      <w:r w:rsidRPr="00ED108D">
        <w:t xml:space="preserve">  </w:t>
      </w:r>
      <w:r>
        <w:t>Section</w:t>
      </w:r>
      <w:r>
        <w:t> </w:t>
      </w:r>
      <w:r>
        <w:t>5 refers to work quality/acceptability and t</w:t>
      </w:r>
      <w:r>
        <w:t xml:space="preserve">he manner of work performance, not </w:t>
      </w:r>
      <w:r>
        <w:t>project</w:t>
      </w:r>
      <w:r>
        <w:t xml:space="preserve"> site safety.  As to that particular issue, </w:t>
      </w:r>
      <w:r>
        <w:t>plaintiffs concede</w:t>
      </w:r>
      <w:r>
        <w:t xml:space="preserve"> the</w:t>
      </w:r>
      <w:r>
        <w:t xml:space="preserve"> DOT “did not </w:t>
      </w:r>
      <w:r>
        <w:t>d</w:t>
      </w:r>
      <w:r>
        <w:t xml:space="preserve">irect or order the means and methods used by </w:t>
      </w:r>
      <w:r>
        <w:t>O.C. Jones</w:t>
      </w:r>
      <w:r>
        <w:t xml:space="preserve"> to provide worker safety</w:t>
      </w:r>
      <w:r>
        <w:t>” and “did not have the responsibility for setting up</w:t>
      </w:r>
      <w:r>
        <w:t xml:space="preserve"> the barriers, cones or warning signs</w:t>
      </w:r>
      <w:r>
        <w:t>.</w:t>
      </w:r>
      <w:r>
        <w:t>”  Plaintiffs further concede the DOT “did not prevent OC</w:t>
      </w:r>
      <w:r>
        <w:t> </w:t>
      </w:r>
      <w:r>
        <w:t>Jones from complying with its obligation to provide a safe work site.”</w:t>
      </w:r>
    </w:p>
    <w:p w14:paraId="03F44FAB" w14:textId="77777777" w:rsidR="002C3747" w:rsidRDefault="00F20D43" w:rsidP="000C4970">
      <w:pPr>
        <w:tabs>
          <w:tab w:val="clear" w:pos="720"/>
        </w:tabs>
        <w:spacing w:line="360" w:lineRule="auto"/>
      </w:pPr>
      <w:r>
        <w:tab/>
        <w:t>Notwithstanding the</w:t>
      </w:r>
      <w:r>
        <w:t>ir</w:t>
      </w:r>
      <w:r>
        <w:t xml:space="preserve"> concessions, plaintiffs </w:t>
      </w:r>
      <w:r>
        <w:t xml:space="preserve">point to the </w:t>
      </w:r>
      <w:r>
        <w:t xml:space="preserve">following facts in </w:t>
      </w:r>
      <w:r>
        <w:t xml:space="preserve">their continued </w:t>
      </w:r>
      <w:r>
        <w:t>attempt to create a triable issue a</w:t>
      </w:r>
      <w:r>
        <w:t>s</w:t>
      </w:r>
      <w:r>
        <w:t xml:space="preserve"> to the DOT’s liability.  </w:t>
      </w:r>
      <w:r>
        <w:t>First,</w:t>
      </w:r>
      <w:r>
        <w:t xml:space="preserve"> the DOT </w:t>
      </w:r>
      <w:r>
        <w:t xml:space="preserve">was </w:t>
      </w:r>
      <w:r>
        <w:t>“</w:t>
      </w:r>
      <w:r>
        <w:t xml:space="preserve">responsible for assessing whether the </w:t>
      </w:r>
      <w:r>
        <w:lastRenderedPageBreak/>
        <w:t>construction zone was eminently unsafe and to s</w:t>
      </w:r>
      <w:r>
        <w:t>t</w:t>
      </w:r>
      <w:r>
        <w:t xml:space="preserve">op the construction work from proceeding.”  </w:t>
      </w:r>
      <w:r>
        <w:t xml:space="preserve">Moreover, </w:t>
      </w:r>
      <w:r>
        <w:t>“</w:t>
      </w:r>
      <w:r>
        <w:t>w</w:t>
      </w:r>
      <w:r>
        <w:t>hile [</w:t>
      </w:r>
      <w:r>
        <w:t xml:space="preserve">the </w:t>
      </w:r>
      <w:r>
        <w:t>DOT] d</w:t>
      </w:r>
      <w:r>
        <w:t>id not have the responsibility for setting up the barriers, cones or warning signs</w:t>
      </w:r>
      <w:r>
        <w:t> . . . </w:t>
      </w:r>
      <w:r>
        <w:t>, it did authorize lane closure</w:t>
      </w:r>
      <w:r>
        <w:t>s</w:t>
      </w:r>
      <w:r>
        <w:t xml:space="preserve">.  It could also authorize the use of attenuator vehicles at construction sites.” </w:t>
      </w:r>
      <w:r>
        <w:t xml:space="preserve"> </w:t>
      </w:r>
      <w:r>
        <w:t xml:space="preserve">Finally, </w:t>
      </w:r>
      <w:r>
        <w:t>the DOT “expected its employees to be famil</w:t>
      </w:r>
      <w:r>
        <w:t xml:space="preserve">iar with its Code of Safe Practices” and required its </w:t>
      </w:r>
      <w:r>
        <w:t>r</w:t>
      </w:r>
      <w:r>
        <w:t xml:space="preserve">esident </w:t>
      </w:r>
      <w:r>
        <w:t>e</w:t>
      </w:r>
      <w:r>
        <w:t>ngineer “to file daily reports on the condition of the [</w:t>
      </w:r>
      <w:r>
        <w:t>project</w:t>
      </w:r>
      <w:r>
        <w:t>] site,” which it did not do.</w:t>
      </w:r>
    </w:p>
    <w:p w14:paraId="4EA10C4A" w14:textId="77777777" w:rsidR="006348A3" w:rsidRPr="008C53E8" w:rsidRDefault="00F20D43" w:rsidP="000C4970">
      <w:pPr>
        <w:tabs>
          <w:tab w:val="clear" w:pos="720"/>
        </w:tabs>
        <w:spacing w:line="360" w:lineRule="auto"/>
      </w:pPr>
      <w:r>
        <w:tab/>
      </w:r>
      <w:r>
        <w:t>Consistent with these facts</w:t>
      </w:r>
      <w:r>
        <w:t xml:space="preserve">, </w:t>
      </w:r>
      <w:r>
        <w:t xml:space="preserve">plaintiffs’ </w:t>
      </w:r>
      <w:r>
        <w:t xml:space="preserve">expert Engelmann opined that </w:t>
      </w:r>
      <w:r>
        <w:t>the project site constituted</w:t>
      </w:r>
      <w:r>
        <w:t xml:space="preserve"> a dangerous condition on the night of decedent’s death, that it was foreseeable that an errant vehicle would enter the project site and injure or kill a worker, and that DOT employees had a duty of care to consider the safety of </w:t>
      </w:r>
      <w:r>
        <w:t>O.C. Jones’s</w:t>
      </w:r>
      <w:r>
        <w:t xml:space="preserve"> employees.  </w:t>
      </w:r>
      <w:r>
        <w:t>A</w:t>
      </w:r>
      <w:r>
        <w:t xml:space="preserve">ccording to </w:t>
      </w:r>
      <w:r>
        <w:t>Engelmann</w:t>
      </w:r>
      <w:r>
        <w:t xml:space="preserve">, </w:t>
      </w:r>
      <w:r>
        <w:t>th</w:t>
      </w:r>
      <w:r>
        <w:t xml:space="preserve">e </w:t>
      </w:r>
      <w:r>
        <w:t xml:space="preserve">DOT employees assigned to the project site </w:t>
      </w:r>
      <w:r>
        <w:t>when</w:t>
      </w:r>
      <w:r>
        <w:t xml:space="preserve"> decedent</w:t>
      </w:r>
      <w:r>
        <w:t xml:space="preserve"> wa</w:t>
      </w:r>
      <w:r>
        <w:t xml:space="preserve">s </w:t>
      </w:r>
      <w:r>
        <w:t>killed</w:t>
      </w:r>
      <w:r>
        <w:t xml:space="preserve"> “exercised a poor standard of care” by failing (1)</w:t>
      </w:r>
      <w:r>
        <w:t> </w:t>
      </w:r>
      <w:r>
        <w:t>“</w:t>
      </w:r>
      <w:r>
        <w:t xml:space="preserve">to </w:t>
      </w:r>
      <w:r>
        <w:t>inspect for proper safety measures, such as a proper escape route [from errant vehicles], or barrier vehic</w:t>
      </w:r>
      <w:r>
        <w:t xml:space="preserve">le, located such that it provides protection to workers [at the </w:t>
      </w:r>
      <w:r>
        <w:t xml:space="preserve">project </w:t>
      </w:r>
      <w:r>
        <w:t>site]”</w:t>
      </w:r>
      <w:r>
        <w:t>;</w:t>
      </w:r>
      <w:r>
        <w:t xml:space="preserve"> (2)</w:t>
      </w:r>
      <w:r>
        <w:t> </w:t>
      </w:r>
      <w:r>
        <w:t>“</w:t>
      </w:r>
      <w:r>
        <w:t xml:space="preserve">to </w:t>
      </w:r>
      <w:r>
        <w:t>fill out or be familiar with form CEM</w:t>
      </w:r>
      <w:r>
        <w:noBreakHyphen/>
      </w:r>
      <w:r>
        <w:t>0606</w:t>
      </w:r>
      <w:r>
        <w:t>,” i.e.,</w:t>
      </w:r>
      <w:r>
        <w:t xml:space="preserve"> </w:t>
      </w:r>
      <w:r>
        <w:t>construction safety checklists utilized by the DOT to ensure compliance with safety rules</w:t>
      </w:r>
      <w:r>
        <w:t>;</w:t>
      </w:r>
      <w:r>
        <w:t xml:space="preserve"> </w:t>
      </w:r>
      <w:r>
        <w:t>or</w:t>
      </w:r>
      <w:r>
        <w:t xml:space="preserve"> (3)</w:t>
      </w:r>
      <w:r>
        <w:t> </w:t>
      </w:r>
      <w:r>
        <w:t>“</w:t>
      </w:r>
      <w:r>
        <w:t xml:space="preserve">to </w:t>
      </w:r>
      <w:r>
        <w:t>inspect for pro</w:t>
      </w:r>
      <w:r>
        <w:t>per lighting locat</w:t>
      </w:r>
      <w:r>
        <w:t>ed</w:t>
      </w:r>
      <w:r>
        <w:t xml:space="preserve"> such that it provides minimum required illumination </w:t>
      </w:r>
      <w:r>
        <w:t>[</w:t>
      </w:r>
      <w:r>
        <w:t xml:space="preserve">at the </w:t>
      </w:r>
      <w:r>
        <w:t xml:space="preserve">project </w:t>
      </w:r>
      <w:r>
        <w:t>site</w:t>
      </w:r>
      <w:r>
        <w:t>]</w:t>
      </w:r>
      <w:r>
        <w:t>.</w:t>
      </w:r>
      <w:r>
        <w:t>”</w:t>
      </w:r>
      <w:r>
        <w:t xml:space="preserve"> </w:t>
      </w:r>
      <w:r>
        <w:t xml:space="preserve"> </w:t>
      </w:r>
      <w:r>
        <w:t>This evidence</w:t>
      </w:r>
      <w:r>
        <w:t xml:space="preserve">, viewed </w:t>
      </w:r>
      <w:r>
        <w:t xml:space="preserve">in a light </w:t>
      </w:r>
      <w:r>
        <w:t>favorabl</w:t>
      </w:r>
      <w:r>
        <w:t>e</w:t>
      </w:r>
      <w:r>
        <w:t xml:space="preserve"> to plaintiffs,</w:t>
      </w:r>
      <w:r>
        <w:t xml:space="preserve"> does not overcome the </w:t>
      </w:r>
      <w:r>
        <w:t>barrier to liability effected by</w:t>
      </w:r>
      <w:r>
        <w:t xml:space="preserve"> </w:t>
      </w:r>
      <w:r w:rsidRPr="00796360">
        <w:rPr>
          <w:i/>
          <w:iCs/>
        </w:rPr>
        <w:t xml:space="preserve">Privette </w:t>
      </w:r>
      <w:r>
        <w:t>and its progeny</w:t>
      </w:r>
      <w:r>
        <w:t>.</w:t>
      </w:r>
      <w:r>
        <w:t xml:space="preserve"> </w:t>
      </w:r>
      <w:r>
        <w:t xml:space="preserve"> </w:t>
      </w:r>
      <w:r>
        <w:t xml:space="preserve">Evidence that </w:t>
      </w:r>
      <w:r>
        <w:t>the DOT could have authorized a lane closure or use of an attenuator vehicle</w:t>
      </w:r>
      <w:r>
        <w:t>,</w:t>
      </w:r>
      <w:r>
        <w:t xml:space="preserve"> </w:t>
      </w:r>
      <w:r>
        <w:t>“at most</w:t>
      </w:r>
      <w:r>
        <w:t>,</w:t>
      </w:r>
      <w:r>
        <w:t xml:space="preserve"> [prove</w:t>
      </w:r>
      <w:r>
        <w:t>d</w:t>
      </w:r>
      <w:r>
        <w:t>] that [DOT] safety personnel were aware of an unsafe practice and failed to exercise the authority they retained to correct it.”  (</w:t>
      </w:r>
      <w:r w:rsidRPr="006348A3">
        <w:rPr>
          <w:i/>
          <w:iCs/>
        </w:rPr>
        <w:t>Hooker, supra</w:t>
      </w:r>
      <w:r>
        <w:t xml:space="preserve">, 27 Cal.4th at </w:t>
      </w:r>
      <w:r>
        <w:t>p. 215.)</w:t>
      </w:r>
      <w:r>
        <w:t xml:space="preserve"> </w:t>
      </w:r>
      <w:r>
        <w:t xml:space="preserve"> </w:t>
      </w:r>
      <w:r>
        <w:t xml:space="preserve">Further, </w:t>
      </w:r>
      <w:r>
        <w:t xml:space="preserve">evidence that </w:t>
      </w:r>
      <w:r>
        <w:t>the DOT expect</w:t>
      </w:r>
      <w:r>
        <w:t>ed</w:t>
      </w:r>
      <w:r>
        <w:t xml:space="preserve"> </w:t>
      </w:r>
      <w:r>
        <w:t>O.C. Jones’s</w:t>
      </w:r>
      <w:r>
        <w:t xml:space="preserve"> employees </w:t>
      </w:r>
      <w:r>
        <w:t xml:space="preserve">to </w:t>
      </w:r>
      <w:r>
        <w:t xml:space="preserve">learn and </w:t>
      </w:r>
      <w:r>
        <w:t xml:space="preserve">to </w:t>
      </w:r>
      <w:r>
        <w:t xml:space="preserve">follow safety policies is not evidence </w:t>
      </w:r>
      <w:r>
        <w:t>that the DOT “</w:t>
      </w:r>
      <w:r w:rsidRPr="00A9122A">
        <w:rPr>
          <w:rStyle w:val="ssit"/>
          <w:i/>
          <w:iCs/>
          <w:color w:val="212121"/>
          <w:bdr w:val="none" w:sz="0" w:space="0" w:color="auto" w:frame="1"/>
          <w:shd w:val="clear" w:color="auto" w:fill="FFFFFF"/>
        </w:rPr>
        <w:t>both</w:t>
      </w:r>
      <w:r>
        <w:rPr>
          <w:color w:val="212121"/>
          <w:shd w:val="clear" w:color="auto" w:fill="FFFFFF"/>
        </w:rPr>
        <w:t xml:space="preserve"> </w:t>
      </w:r>
      <w:r w:rsidRPr="00A9122A">
        <w:rPr>
          <w:color w:val="212121"/>
          <w:shd w:val="clear" w:color="auto" w:fill="FFFFFF"/>
        </w:rPr>
        <w:t>retained control</w:t>
      </w:r>
      <w:r>
        <w:rPr>
          <w:color w:val="212121"/>
          <w:shd w:val="clear" w:color="auto" w:fill="FFFFFF"/>
        </w:rPr>
        <w:t xml:space="preserve"> </w:t>
      </w:r>
      <w:r w:rsidRPr="00A9122A">
        <w:rPr>
          <w:rStyle w:val="ssit"/>
          <w:i/>
          <w:iCs/>
          <w:color w:val="212121"/>
          <w:bdr w:val="none" w:sz="0" w:space="0" w:color="auto" w:frame="1"/>
          <w:shd w:val="clear" w:color="auto" w:fill="FFFFFF"/>
        </w:rPr>
        <w:lastRenderedPageBreak/>
        <w:t>and</w:t>
      </w:r>
      <w:r>
        <w:rPr>
          <w:color w:val="212121"/>
          <w:shd w:val="clear" w:color="auto" w:fill="FFFFFF"/>
        </w:rPr>
        <w:t xml:space="preserve"> </w:t>
      </w:r>
      <w:r w:rsidRPr="00A9122A">
        <w:rPr>
          <w:color w:val="212121"/>
          <w:shd w:val="clear" w:color="auto" w:fill="FFFFFF"/>
        </w:rPr>
        <w:t>actually exercised that retained control in such a way as to affirmatively contribute to</w:t>
      </w:r>
      <w:r w:rsidRPr="00A9122A">
        <w:rPr>
          <w:color w:val="212121"/>
          <w:shd w:val="clear" w:color="auto" w:fill="FFFFFF"/>
        </w:rPr>
        <w:t xml:space="preserve"> the injury.</w:t>
      </w:r>
      <w:r>
        <w:t xml:space="preserve">”  </w:t>
      </w:r>
      <w:r>
        <w:t>(</w:t>
      </w:r>
      <w:r w:rsidRPr="000A19BE">
        <w:rPr>
          <w:i/>
          <w:iCs/>
        </w:rPr>
        <w:t>Sandoval, supra</w:t>
      </w:r>
      <w:r w:rsidRPr="000A19BE">
        <w:t xml:space="preserve">, 12 Cal.5th at </w:t>
      </w:r>
      <w:r>
        <w:t xml:space="preserve">p. 276; see </w:t>
      </w:r>
      <w:r w:rsidRPr="00D06C00">
        <w:rPr>
          <w:i/>
          <w:iCs/>
        </w:rPr>
        <w:t>id</w:t>
      </w:r>
      <w:r>
        <w:t xml:space="preserve">. at </w:t>
      </w:r>
      <w:r w:rsidRPr="000A19BE">
        <w:t xml:space="preserve">p. 281 </w:t>
      </w:r>
      <w:r>
        <w:t>[“</w:t>
      </w:r>
      <w:r w:rsidRPr="000A19BE">
        <w:rPr>
          <w:color w:val="212121"/>
          <w:shd w:val="clear" w:color="auto" w:fill="FFFFFF"/>
        </w:rPr>
        <w:t xml:space="preserve">That </w:t>
      </w:r>
      <w:r>
        <w:rPr>
          <w:color w:val="212121"/>
          <w:shd w:val="clear" w:color="auto" w:fill="FFFFFF"/>
        </w:rPr>
        <w:t>[the hirer’s]</w:t>
      </w:r>
      <w:r w:rsidRPr="000A19BE">
        <w:rPr>
          <w:color w:val="212121"/>
          <w:shd w:val="clear" w:color="auto" w:fill="FFFFFF"/>
        </w:rPr>
        <w:t xml:space="preserve"> employees may have been trained to provide personal warnings to everyone in the room, or that </w:t>
      </w:r>
      <w:r>
        <w:rPr>
          <w:color w:val="212121"/>
          <w:shd w:val="clear" w:color="auto" w:fill="FFFFFF"/>
        </w:rPr>
        <w:t>[its]</w:t>
      </w:r>
      <w:r w:rsidRPr="000A19BE">
        <w:rPr>
          <w:color w:val="212121"/>
          <w:shd w:val="clear" w:color="auto" w:fill="FFFFFF"/>
        </w:rPr>
        <w:t xml:space="preserve"> managers and experts may have considered such warnings </w:t>
      </w:r>
      <w:r>
        <w:rPr>
          <w:color w:val="212121"/>
          <w:shd w:val="clear" w:color="auto" w:fill="FFFFFF"/>
        </w:rPr>
        <w:t>‘</w:t>
      </w:r>
      <w:r w:rsidRPr="000A19BE">
        <w:rPr>
          <w:color w:val="212121"/>
          <w:shd w:val="clear" w:color="auto" w:fill="FFFFFF"/>
        </w:rPr>
        <w:t>critical,</w:t>
      </w:r>
      <w:r>
        <w:rPr>
          <w:color w:val="212121"/>
          <w:shd w:val="clear" w:color="auto" w:fill="FFFFFF"/>
        </w:rPr>
        <w:t>’</w:t>
      </w:r>
      <w:r w:rsidRPr="000A19BE">
        <w:rPr>
          <w:color w:val="212121"/>
          <w:shd w:val="clear" w:color="auto" w:fill="FFFFFF"/>
        </w:rPr>
        <w:t xml:space="preserve"> does not establish that </w:t>
      </w:r>
      <w:r>
        <w:rPr>
          <w:color w:val="212121"/>
          <w:shd w:val="clear" w:color="auto" w:fill="FFFFFF"/>
        </w:rPr>
        <w:t xml:space="preserve">[the hirer] </w:t>
      </w:r>
      <w:r w:rsidRPr="000A19BE">
        <w:rPr>
          <w:color w:val="212121"/>
          <w:shd w:val="clear" w:color="auto" w:fill="FFFFFF"/>
        </w:rPr>
        <w:t xml:space="preserve">induced </w:t>
      </w:r>
      <w:r>
        <w:rPr>
          <w:color w:val="212121"/>
          <w:shd w:val="clear" w:color="auto" w:fill="FFFFFF"/>
        </w:rPr>
        <w:t>[the independent contractor’s]</w:t>
      </w:r>
      <w:r w:rsidRPr="000A19BE">
        <w:rPr>
          <w:color w:val="212121"/>
          <w:shd w:val="clear" w:color="auto" w:fill="FFFFFF"/>
        </w:rPr>
        <w:t xml:space="preserve"> reliance on </w:t>
      </w:r>
      <w:r>
        <w:rPr>
          <w:color w:val="212121"/>
          <w:shd w:val="clear" w:color="auto" w:fill="FFFFFF"/>
        </w:rPr>
        <w:t>[</w:t>
      </w:r>
      <w:r>
        <w:rPr>
          <w:color w:val="212121"/>
          <w:shd w:val="clear" w:color="auto" w:fill="FFFFFF"/>
        </w:rPr>
        <w:t>the hirer]</w:t>
      </w:r>
      <w:r>
        <w:rPr>
          <w:color w:val="212121"/>
          <w:shd w:val="clear" w:color="auto" w:fill="FFFFFF"/>
        </w:rPr>
        <w:t xml:space="preserve"> </w:t>
      </w:r>
      <w:r w:rsidRPr="000A19BE">
        <w:rPr>
          <w:color w:val="212121"/>
          <w:shd w:val="clear" w:color="auto" w:fill="FFFFFF"/>
        </w:rPr>
        <w:t>to provide them</w:t>
      </w:r>
      <w:r>
        <w:rPr>
          <w:color w:val="212121"/>
          <w:shd w:val="clear" w:color="auto" w:fill="FFFFFF"/>
        </w:rPr>
        <w:t>”</w:t>
      </w:r>
      <w:r w:rsidRPr="000A19BE">
        <w:t>]</w:t>
      </w:r>
      <w:r>
        <w:t xml:space="preserve">.)  </w:t>
      </w:r>
      <w:r>
        <w:t xml:space="preserve">Under these circumstances, </w:t>
      </w:r>
      <w:r w:rsidRPr="008C53E8">
        <w:t xml:space="preserve">where </w:t>
      </w:r>
      <w:r w:rsidRPr="008C53E8">
        <w:rPr>
          <w:color w:val="212121"/>
          <w:shd w:val="clear" w:color="auto" w:fill="FFFFFF"/>
        </w:rPr>
        <w:t xml:space="preserve">it was undisputed the </w:t>
      </w:r>
      <w:r>
        <w:rPr>
          <w:color w:val="212121"/>
          <w:shd w:val="clear" w:color="auto" w:fill="FFFFFF"/>
        </w:rPr>
        <w:t>DOT</w:t>
      </w:r>
      <w:r w:rsidRPr="008C53E8">
        <w:rPr>
          <w:color w:val="212121"/>
          <w:shd w:val="clear" w:color="auto" w:fill="FFFFFF"/>
        </w:rPr>
        <w:t xml:space="preserve"> did not direct </w:t>
      </w:r>
      <w:r>
        <w:rPr>
          <w:color w:val="212121"/>
          <w:shd w:val="clear" w:color="auto" w:fill="FFFFFF"/>
        </w:rPr>
        <w:t>the means or methods of decedent’s</w:t>
      </w:r>
      <w:r w:rsidRPr="008C53E8">
        <w:rPr>
          <w:color w:val="212121"/>
          <w:shd w:val="clear" w:color="auto" w:fill="FFFFFF"/>
        </w:rPr>
        <w:t xml:space="preserve"> work</w:t>
      </w:r>
      <w:r>
        <w:rPr>
          <w:color w:val="212121"/>
          <w:shd w:val="clear" w:color="auto" w:fill="FFFFFF"/>
        </w:rPr>
        <w:t xml:space="preserve"> </w:t>
      </w:r>
      <w:r>
        <w:rPr>
          <w:color w:val="212121"/>
          <w:shd w:val="clear" w:color="auto" w:fill="FFFFFF"/>
        </w:rPr>
        <w:t xml:space="preserve">on the day in question </w:t>
      </w:r>
      <w:r>
        <w:rPr>
          <w:color w:val="212121"/>
          <w:shd w:val="clear" w:color="auto" w:fill="FFFFFF"/>
        </w:rPr>
        <w:t xml:space="preserve">or instruct his employer on how to provide for his or his coworkers’ safety, </w:t>
      </w:r>
      <w:r>
        <w:t>summary ju</w:t>
      </w:r>
      <w:r>
        <w:t>dgment was appropriate.</w:t>
      </w:r>
    </w:p>
    <w:p w14:paraId="1361636E" w14:textId="77777777" w:rsidR="00C93B1A" w:rsidRDefault="00F20D43" w:rsidP="000C4970">
      <w:pPr>
        <w:tabs>
          <w:tab w:val="clear" w:pos="720"/>
        </w:tabs>
        <w:spacing w:line="360" w:lineRule="auto"/>
      </w:pPr>
      <w:r>
        <w:tab/>
      </w:r>
      <w:r w:rsidRPr="00C93B1A">
        <w:rPr>
          <w:i/>
          <w:iCs/>
        </w:rPr>
        <w:t>Horne v. Ahe</w:t>
      </w:r>
      <w:r w:rsidRPr="00EE3C5D">
        <w:rPr>
          <w:i/>
          <w:iCs/>
        </w:rPr>
        <w:t>rne Rentals,</w:t>
      </w:r>
      <w:r>
        <w:rPr>
          <w:i/>
          <w:iCs/>
        </w:rPr>
        <w:t> </w:t>
      </w:r>
      <w:r w:rsidRPr="00EE3C5D">
        <w:rPr>
          <w:i/>
          <w:iCs/>
        </w:rPr>
        <w:t>Inc</w:t>
      </w:r>
      <w:r>
        <w:t xml:space="preserve">. (2020) 50 Cal.App.5th 192 </w:t>
      </w:r>
      <w:r>
        <w:t xml:space="preserve">is instructive.  There, similar to here, </w:t>
      </w:r>
      <w:r>
        <w:t>summary judgment wa</w:t>
      </w:r>
      <w:r w:rsidRPr="00C93B1A">
        <w:t xml:space="preserve">s affirmed for </w:t>
      </w:r>
      <w:r>
        <w:t xml:space="preserve">the defendant, </w:t>
      </w:r>
      <w:r>
        <w:t xml:space="preserve">who </w:t>
      </w:r>
      <w:r>
        <w:t>hire</w:t>
      </w:r>
      <w:r>
        <w:t xml:space="preserve">d </w:t>
      </w:r>
      <w:r>
        <w:t xml:space="preserve">the decedent’s employer as an independent contractor, </w:t>
      </w:r>
      <w:r>
        <w:t>because</w:t>
      </w:r>
      <w:r>
        <w:t>,</w:t>
      </w:r>
      <w:r>
        <w:t xml:space="preserve"> “[a]</w:t>
      </w:r>
      <w:r w:rsidRPr="00C93B1A">
        <w:rPr>
          <w:color w:val="212121"/>
          <w:shd w:val="clear" w:color="auto" w:fill="FFFFFF"/>
        </w:rPr>
        <w:t>t most, plaintiffs</w:t>
      </w:r>
      <w:r>
        <w:rPr>
          <w:color w:val="212121"/>
          <w:shd w:val="clear" w:color="auto" w:fill="FFFFFF"/>
        </w:rPr>
        <w:t>’</w:t>
      </w:r>
      <w:r w:rsidRPr="00C93B1A">
        <w:rPr>
          <w:color w:val="212121"/>
          <w:shd w:val="clear" w:color="auto" w:fill="FFFFFF"/>
        </w:rPr>
        <w:t xml:space="preserve"> evidence shows defendant passively permitted an unsafe condition.</w:t>
      </w:r>
      <w:r>
        <w:rPr>
          <w:color w:val="212121"/>
          <w:shd w:val="clear" w:color="auto" w:fill="FFFFFF"/>
        </w:rPr>
        <w:t>”</w:t>
      </w:r>
      <w:r>
        <w:t xml:space="preserve">  </w:t>
      </w:r>
      <w:r>
        <w:t>(</w:t>
      </w:r>
      <w:r w:rsidRPr="00C93B1A">
        <w:rPr>
          <w:i/>
          <w:iCs/>
        </w:rPr>
        <w:t>Id</w:t>
      </w:r>
      <w:r>
        <w:t>. at p. 203.)  As the reviewing court explained</w:t>
      </w:r>
      <w:r>
        <w:rPr>
          <w:color w:val="212121"/>
          <w:shd w:val="clear" w:color="auto" w:fill="FFFFFF"/>
        </w:rPr>
        <w:t>:  “This . . .</w:t>
      </w:r>
      <w:r w:rsidRPr="00C93B1A">
        <w:rPr>
          <w:color w:val="212121"/>
          <w:shd w:val="clear" w:color="auto" w:fill="FFFFFF"/>
        </w:rPr>
        <w:t xml:space="preserve"> would be a different case if </w:t>
      </w:r>
      <w:r>
        <w:rPr>
          <w:color w:val="212121"/>
          <w:shd w:val="clear" w:color="auto" w:fill="FFFFFF"/>
        </w:rPr>
        <w:t>[the co</w:t>
      </w:r>
      <w:r>
        <w:rPr>
          <w:color w:val="212121"/>
          <w:shd w:val="clear" w:color="auto" w:fill="FFFFFF"/>
        </w:rPr>
        <w:t>ntractor]</w:t>
      </w:r>
      <w:r w:rsidRPr="00C93B1A">
        <w:rPr>
          <w:color w:val="212121"/>
          <w:shd w:val="clear" w:color="auto" w:fill="FFFFFF"/>
        </w:rPr>
        <w:t xml:space="preserve"> or one of its employees had asked defendant to take safety measures to be sure the forklift was stable, and defendant promised to do so, but did not follow through. </w:t>
      </w:r>
      <w:r>
        <w:rPr>
          <w:color w:val="212121"/>
          <w:shd w:val="clear" w:color="auto" w:fill="FFFFFF"/>
        </w:rPr>
        <w:t xml:space="preserve"> </w:t>
      </w:r>
      <w:r w:rsidRPr="00C93B1A">
        <w:rPr>
          <w:color w:val="212121"/>
          <w:shd w:val="clear" w:color="auto" w:fill="FFFFFF"/>
        </w:rPr>
        <w:t xml:space="preserve">There is no evidence that defendant ever agreed with </w:t>
      </w:r>
      <w:r>
        <w:rPr>
          <w:color w:val="212121"/>
          <w:shd w:val="clear" w:color="auto" w:fill="FFFFFF"/>
        </w:rPr>
        <w:t>[the contractor]</w:t>
      </w:r>
      <w:r w:rsidRPr="00C93B1A">
        <w:rPr>
          <w:color w:val="212121"/>
          <w:shd w:val="clear" w:color="auto" w:fill="FFFFFF"/>
        </w:rPr>
        <w:t xml:space="preserve"> to impleme</w:t>
      </w:r>
      <w:r w:rsidRPr="00C93B1A">
        <w:rPr>
          <w:color w:val="212121"/>
          <w:shd w:val="clear" w:color="auto" w:fill="FFFFFF"/>
        </w:rPr>
        <w:t xml:space="preserve">nt any safety measure related to the position of the forklift (or any other safety measure). </w:t>
      </w:r>
      <w:r>
        <w:rPr>
          <w:color w:val="212121"/>
          <w:shd w:val="clear" w:color="auto" w:fill="FFFFFF"/>
        </w:rPr>
        <w:t xml:space="preserve"> </w:t>
      </w:r>
      <w:r w:rsidRPr="00C93B1A">
        <w:rPr>
          <w:color w:val="212121"/>
          <w:shd w:val="clear" w:color="auto" w:fill="FFFFFF"/>
        </w:rPr>
        <w:t xml:space="preserve">There is no evidence anyone with </w:t>
      </w:r>
      <w:r>
        <w:rPr>
          <w:color w:val="212121"/>
          <w:shd w:val="clear" w:color="auto" w:fill="FFFFFF"/>
        </w:rPr>
        <w:t>[the contractor]</w:t>
      </w:r>
      <w:r w:rsidRPr="00C93B1A">
        <w:rPr>
          <w:color w:val="212121"/>
          <w:shd w:val="clear" w:color="auto" w:fill="FFFFFF"/>
        </w:rPr>
        <w:t xml:space="preserve"> asked defendant to move the forklift or lower the boom, but defendant did not do so; or that it was impossible o</w:t>
      </w:r>
      <w:r w:rsidRPr="00C93B1A">
        <w:rPr>
          <w:color w:val="212121"/>
          <w:shd w:val="clear" w:color="auto" w:fill="FFFFFF"/>
        </w:rPr>
        <w:t>r impractical to ask defendant to be sure the forklift was safely positioned to change the tires.</w:t>
      </w:r>
      <w:r w:rsidRPr="00C93B1A">
        <w:t>”  (</w:t>
      </w:r>
      <w:r>
        <w:rPr>
          <w:i/>
          <w:iCs/>
        </w:rPr>
        <w:t>Ibid.</w:t>
      </w:r>
      <w:r>
        <w:t>; accord,</w:t>
      </w:r>
      <w:r>
        <w:t xml:space="preserve"> </w:t>
      </w:r>
      <w:r w:rsidRPr="00446EC9">
        <w:rPr>
          <w:i/>
          <w:iCs/>
        </w:rPr>
        <w:t>Brannon v. Lathrop Construction Associates,</w:t>
      </w:r>
      <w:r>
        <w:rPr>
          <w:i/>
          <w:iCs/>
        </w:rPr>
        <w:t> </w:t>
      </w:r>
      <w:r w:rsidRPr="00446EC9">
        <w:rPr>
          <w:i/>
          <w:iCs/>
        </w:rPr>
        <w:t>Inc</w:t>
      </w:r>
      <w:r>
        <w:t>. (2012) 206 Cal.App.4th 1</w:t>
      </w:r>
      <w:r w:rsidRPr="00446EC9">
        <w:t>170, 1180 [</w:t>
      </w:r>
      <w:r w:rsidRPr="00446EC9">
        <w:rPr>
          <w:color w:val="212121"/>
          <w:shd w:val="clear" w:color="auto" w:fill="FFFFFF"/>
        </w:rPr>
        <w:t xml:space="preserve">“[The </w:t>
      </w:r>
      <w:r>
        <w:rPr>
          <w:color w:val="212121"/>
          <w:shd w:val="clear" w:color="auto" w:fill="FFFFFF"/>
        </w:rPr>
        <w:t>hirer’s</w:t>
      </w:r>
      <w:r w:rsidRPr="00446EC9">
        <w:rPr>
          <w:color w:val="212121"/>
          <w:shd w:val="clear" w:color="auto" w:fill="FFFFFF"/>
        </w:rPr>
        <w:t xml:space="preserve">] act of allowing the </w:t>
      </w:r>
      <w:r w:rsidRPr="00446EC9">
        <w:rPr>
          <w:color w:val="212121"/>
          <w:shd w:val="clear" w:color="auto" w:fill="FFFFFF"/>
        </w:rPr>
        <w:t>scaffolding to remain in place</w:t>
      </w:r>
      <w:r>
        <w:rPr>
          <w:color w:val="212121"/>
          <w:shd w:val="clear" w:color="auto" w:fill="FFFFFF"/>
        </w:rPr>
        <w:t xml:space="preserve"> </w:t>
      </w:r>
      <w:r w:rsidRPr="00446EC9">
        <w:rPr>
          <w:color w:val="212121"/>
          <w:shd w:val="clear" w:color="auto" w:fill="FFFFFF"/>
        </w:rPr>
        <w:t xml:space="preserve">while the masonry work proceeded was no more an exercise of retained control over safety than </w:t>
      </w:r>
      <w:r w:rsidRPr="00446EC9">
        <w:rPr>
          <w:color w:val="212121"/>
          <w:shd w:val="clear" w:color="auto" w:fill="FFFFFF"/>
        </w:rPr>
        <w:lastRenderedPageBreak/>
        <w:t>was Caltrans</w:t>
      </w:r>
      <w:r>
        <w:rPr>
          <w:color w:val="212121"/>
          <w:shd w:val="clear" w:color="auto" w:fill="FFFFFF"/>
        </w:rPr>
        <w:t>’</w:t>
      </w:r>
      <w:r w:rsidRPr="00446EC9">
        <w:rPr>
          <w:color w:val="212121"/>
          <w:shd w:val="clear" w:color="auto" w:fill="FFFFFF"/>
        </w:rPr>
        <w:t>s decision in</w:t>
      </w:r>
      <w:r>
        <w:rPr>
          <w:color w:val="212121"/>
          <w:shd w:val="clear" w:color="auto" w:fill="FFFFFF"/>
        </w:rPr>
        <w:t xml:space="preserve"> </w:t>
      </w:r>
      <w:r w:rsidRPr="00446EC9">
        <w:rPr>
          <w:rStyle w:val="ssit"/>
          <w:i/>
          <w:iCs/>
          <w:color w:val="212121"/>
          <w:bdr w:val="none" w:sz="0" w:space="0" w:color="auto" w:frame="1"/>
          <w:shd w:val="clear" w:color="auto" w:fill="FFFFFF"/>
        </w:rPr>
        <w:t>Hooker</w:t>
      </w:r>
      <w:r>
        <w:rPr>
          <w:color w:val="212121"/>
          <w:shd w:val="clear" w:color="auto" w:fill="FFFFFF"/>
        </w:rPr>
        <w:t xml:space="preserve"> </w:t>
      </w:r>
      <w:r w:rsidRPr="00446EC9">
        <w:rPr>
          <w:color w:val="212121"/>
          <w:shd w:val="clear" w:color="auto" w:fill="FFFFFF"/>
        </w:rPr>
        <w:t>to allow construction traffic to access the overpass while the crane was being used”</w:t>
      </w:r>
      <w:r>
        <w:t>].)</w:t>
      </w:r>
    </w:p>
    <w:p w14:paraId="1A301FB2" w14:textId="77777777" w:rsidR="0009694B" w:rsidRDefault="00F20D43" w:rsidP="000C4970">
      <w:pPr>
        <w:tabs>
          <w:tab w:val="clear" w:pos="720"/>
        </w:tabs>
        <w:spacing w:line="360" w:lineRule="auto"/>
      </w:pPr>
      <w:r>
        <w:tab/>
        <w:t>Accordin</w:t>
      </w:r>
      <w:r>
        <w:t xml:space="preserve">gly, for the reasons stated, we agree with the trial court that the </w:t>
      </w:r>
      <w:r w:rsidRPr="000A19BE">
        <w:rPr>
          <w:i/>
          <w:iCs/>
        </w:rPr>
        <w:t>Privette</w:t>
      </w:r>
      <w:r>
        <w:t xml:space="preserve"> doctrine serves as an absolute bar to </w:t>
      </w:r>
      <w:r>
        <w:t xml:space="preserve">holding the DOT liable for decedent’s death under section 835 (dangerous condition) </w:t>
      </w:r>
      <w:r>
        <w:t>or</w:t>
      </w:r>
      <w:r>
        <w:t xml:space="preserve"> section 815.2 (vicarious liability</w:t>
      </w:r>
      <w:r>
        <w:t xml:space="preserve"> for its employees’ </w:t>
      </w:r>
      <w:r>
        <w:t>negligence</w:t>
      </w:r>
      <w:r>
        <w:t xml:space="preserve">).  In the words of </w:t>
      </w:r>
      <w:r w:rsidRPr="000A19BE">
        <w:rPr>
          <w:i/>
          <w:iCs/>
        </w:rPr>
        <w:t>Sandoval</w:t>
      </w:r>
      <w:r>
        <w:rPr>
          <w:i/>
          <w:iCs/>
        </w:rPr>
        <w:t>, supra</w:t>
      </w:r>
      <w:r>
        <w:t>, “</w:t>
      </w:r>
      <w:r>
        <w:t xml:space="preserve">a </w:t>
      </w:r>
      <w:r w:rsidRPr="00070FEE">
        <w:rPr>
          <w:color w:val="212121"/>
          <w:shd w:val="clear" w:color="auto" w:fill="FFFFFF"/>
        </w:rPr>
        <w:t>hirer</w:t>
      </w:r>
      <w:r>
        <w:rPr>
          <w:color w:val="212121"/>
          <w:shd w:val="clear" w:color="auto" w:fill="FFFFFF"/>
        </w:rPr>
        <w:t>’</w:t>
      </w:r>
      <w:r w:rsidRPr="00070FEE">
        <w:rPr>
          <w:color w:val="212121"/>
          <w:shd w:val="clear" w:color="auto" w:fill="FFFFFF"/>
        </w:rPr>
        <w:t>s mere authority to prevent or correct a contractor</w:t>
      </w:r>
      <w:r>
        <w:rPr>
          <w:color w:val="212121"/>
          <w:shd w:val="clear" w:color="auto" w:fill="FFFFFF"/>
        </w:rPr>
        <w:t>’</w:t>
      </w:r>
      <w:r w:rsidRPr="00070FEE">
        <w:rPr>
          <w:color w:val="212121"/>
          <w:shd w:val="clear" w:color="auto" w:fill="FFFFFF"/>
        </w:rPr>
        <w:t>s unsafe practices (retained control) does not, without more, limit the contractor</w:t>
      </w:r>
      <w:r>
        <w:rPr>
          <w:color w:val="212121"/>
          <w:shd w:val="clear" w:color="auto" w:fill="FFFFFF"/>
        </w:rPr>
        <w:t>’</w:t>
      </w:r>
      <w:r w:rsidRPr="00070FEE">
        <w:rPr>
          <w:color w:val="212121"/>
          <w:shd w:val="clear" w:color="auto" w:fill="FFFFFF"/>
        </w:rPr>
        <w:t>s delegated control over the work.</w:t>
      </w:r>
      <w:r>
        <w:t>”  (12 Cal.5</w:t>
      </w:r>
      <w:r w:rsidRPr="00E85ED8">
        <w:t>th</w:t>
      </w:r>
      <w:r w:rsidRPr="00E85ED8">
        <w:rPr>
          <w:sz w:val="28"/>
        </w:rPr>
        <w:t xml:space="preserve"> </w:t>
      </w:r>
      <w:r>
        <w:t>at p. 278.)</w:t>
      </w:r>
      <w:r>
        <w:rPr>
          <w:rStyle w:val="FootnoteReference"/>
        </w:rPr>
        <w:footnoteReference w:id="3"/>
      </w:r>
    </w:p>
    <w:p w14:paraId="433CB400" w14:textId="77777777" w:rsidR="00A756ED" w:rsidRPr="00A756ED" w:rsidRDefault="00F20D43" w:rsidP="000C4970">
      <w:pPr>
        <w:keepNext/>
        <w:tabs>
          <w:tab w:val="clear" w:pos="720"/>
        </w:tabs>
        <w:spacing w:line="360" w:lineRule="auto"/>
        <w:jc w:val="center"/>
        <w:rPr>
          <w:b/>
          <w:bCs/>
        </w:rPr>
      </w:pPr>
      <w:r w:rsidRPr="00A756ED">
        <w:rPr>
          <w:b/>
          <w:bCs/>
        </w:rPr>
        <w:t>DISPOSITION</w:t>
      </w:r>
    </w:p>
    <w:p w14:paraId="0AD230A8" w14:textId="77777777" w:rsidR="00D73E23" w:rsidRDefault="00F20D43">
      <w:pPr>
        <w:tabs>
          <w:tab w:val="clear" w:pos="720"/>
        </w:tabs>
        <w:spacing w:line="360" w:lineRule="auto"/>
      </w:pPr>
      <w:r>
        <w:tab/>
        <w:t xml:space="preserve">The judgment is </w:t>
      </w:r>
      <w:r>
        <w:t>affirmed</w:t>
      </w:r>
      <w:r>
        <w:t>.</w:t>
      </w:r>
    </w:p>
    <w:p w14:paraId="3CA1498A" w14:textId="77777777" w:rsidR="0020193A" w:rsidRDefault="00F20D43">
      <w:pPr>
        <w:tabs>
          <w:tab w:val="clear" w:pos="720"/>
        </w:tabs>
        <w:spacing w:line="360" w:lineRule="auto"/>
      </w:pPr>
    </w:p>
    <w:p w14:paraId="128F08EE" w14:textId="77777777" w:rsidR="00D73E23" w:rsidRDefault="00F20D43" w:rsidP="00D73E23">
      <w:pPr>
        <w:tabs>
          <w:tab w:val="clear" w:pos="720"/>
        </w:tabs>
        <w:spacing w:line="240" w:lineRule="auto"/>
      </w:pPr>
    </w:p>
    <w:p w14:paraId="1456451E" w14:textId="77777777" w:rsidR="00D73E23" w:rsidRDefault="00F20D43" w:rsidP="00D73E23">
      <w:pPr>
        <w:tabs>
          <w:tab w:val="clear" w:pos="720"/>
        </w:tabs>
        <w:spacing w:line="240" w:lineRule="auto"/>
      </w:pPr>
      <w:r>
        <w:tab/>
      </w:r>
      <w:r>
        <w:tab/>
      </w:r>
      <w:r>
        <w:tab/>
      </w:r>
      <w:r>
        <w:tab/>
      </w:r>
      <w:r>
        <w:tab/>
      </w:r>
      <w:r>
        <w:tab/>
      </w:r>
      <w:r>
        <w:tab/>
        <w:t>_________________________</w:t>
      </w:r>
    </w:p>
    <w:p w14:paraId="4CA63B48" w14:textId="77777777" w:rsidR="00D73E23" w:rsidRDefault="00F20D43" w:rsidP="00D73E23">
      <w:pPr>
        <w:tabs>
          <w:tab w:val="clear" w:pos="720"/>
        </w:tabs>
        <w:spacing w:line="240" w:lineRule="auto"/>
      </w:pPr>
      <w:r>
        <w:tab/>
      </w:r>
      <w:r>
        <w:tab/>
      </w:r>
      <w:r>
        <w:tab/>
      </w:r>
      <w:r>
        <w:tab/>
      </w:r>
      <w:r>
        <w:tab/>
      </w:r>
      <w:r>
        <w:tab/>
      </w:r>
      <w:r>
        <w:tab/>
        <w:t>Jackson, P. J.</w:t>
      </w:r>
    </w:p>
    <w:p w14:paraId="203D1984" w14:textId="77777777" w:rsidR="00D73E23" w:rsidRDefault="00F20D43" w:rsidP="00D73E23">
      <w:pPr>
        <w:tabs>
          <w:tab w:val="clear" w:pos="720"/>
        </w:tabs>
        <w:spacing w:line="240" w:lineRule="auto"/>
      </w:pPr>
    </w:p>
    <w:p w14:paraId="6308A70E" w14:textId="77777777" w:rsidR="00D73E23" w:rsidRDefault="00F20D43" w:rsidP="00D73E23">
      <w:pPr>
        <w:tabs>
          <w:tab w:val="clear" w:pos="720"/>
        </w:tabs>
        <w:spacing w:line="240" w:lineRule="auto"/>
      </w:pPr>
    </w:p>
    <w:p w14:paraId="5DFDB693" w14:textId="77777777" w:rsidR="00D73E23" w:rsidRDefault="00F20D43" w:rsidP="00D73E23">
      <w:pPr>
        <w:tabs>
          <w:tab w:val="clear" w:pos="720"/>
        </w:tabs>
        <w:spacing w:line="240" w:lineRule="auto"/>
      </w:pPr>
      <w:r>
        <w:t>WE CONCUR:</w:t>
      </w:r>
    </w:p>
    <w:p w14:paraId="69521438" w14:textId="77777777" w:rsidR="00D73E23" w:rsidRDefault="00F20D43" w:rsidP="00D73E23">
      <w:pPr>
        <w:tabs>
          <w:tab w:val="clear" w:pos="720"/>
        </w:tabs>
        <w:spacing w:line="240" w:lineRule="auto"/>
      </w:pPr>
    </w:p>
    <w:p w14:paraId="0CDE9AFD" w14:textId="77777777" w:rsidR="00D73E23" w:rsidRDefault="00F20D43" w:rsidP="00D73E23">
      <w:pPr>
        <w:tabs>
          <w:tab w:val="clear" w:pos="720"/>
        </w:tabs>
        <w:spacing w:line="240" w:lineRule="auto"/>
      </w:pPr>
    </w:p>
    <w:p w14:paraId="52EC8BF0" w14:textId="77777777" w:rsidR="00D73E23" w:rsidRDefault="00F20D43" w:rsidP="00D73E23">
      <w:pPr>
        <w:tabs>
          <w:tab w:val="clear" w:pos="720"/>
        </w:tabs>
        <w:spacing w:line="240" w:lineRule="auto"/>
      </w:pPr>
      <w:r>
        <w:t>_________________________</w:t>
      </w:r>
    </w:p>
    <w:p w14:paraId="57C16096" w14:textId="77777777" w:rsidR="00D73E23" w:rsidRDefault="00F20D43" w:rsidP="00D73E23">
      <w:pPr>
        <w:tabs>
          <w:tab w:val="clear" w:pos="720"/>
        </w:tabs>
        <w:spacing w:line="240" w:lineRule="auto"/>
      </w:pPr>
      <w:r>
        <w:t>Simons, J.</w:t>
      </w:r>
    </w:p>
    <w:p w14:paraId="30A331A3" w14:textId="77777777" w:rsidR="00D73E23" w:rsidRDefault="00F20D43" w:rsidP="00D73E23">
      <w:pPr>
        <w:tabs>
          <w:tab w:val="clear" w:pos="720"/>
        </w:tabs>
        <w:spacing w:line="240" w:lineRule="auto"/>
      </w:pPr>
    </w:p>
    <w:p w14:paraId="7FB3F734" w14:textId="77777777" w:rsidR="00D73E23" w:rsidRDefault="00F20D43" w:rsidP="00D73E23">
      <w:pPr>
        <w:tabs>
          <w:tab w:val="clear" w:pos="720"/>
        </w:tabs>
        <w:spacing w:line="240" w:lineRule="auto"/>
      </w:pPr>
    </w:p>
    <w:p w14:paraId="361F808D" w14:textId="77777777" w:rsidR="00D73E23" w:rsidRDefault="00F20D43" w:rsidP="00D73E23">
      <w:pPr>
        <w:tabs>
          <w:tab w:val="clear" w:pos="720"/>
        </w:tabs>
        <w:spacing w:line="240" w:lineRule="auto"/>
      </w:pPr>
      <w:r>
        <w:t>_________________________</w:t>
      </w:r>
    </w:p>
    <w:p w14:paraId="71936208" w14:textId="77777777" w:rsidR="00D73E23" w:rsidRDefault="00F20D43" w:rsidP="00D73E23">
      <w:pPr>
        <w:tabs>
          <w:tab w:val="clear" w:pos="720"/>
        </w:tabs>
        <w:spacing w:line="240" w:lineRule="auto"/>
      </w:pPr>
      <w:r>
        <w:t>Burns, J.</w:t>
      </w:r>
    </w:p>
    <w:p w14:paraId="3E24D1AE" w14:textId="77777777" w:rsidR="00D73E23" w:rsidRDefault="00F20D43" w:rsidP="00D73E23">
      <w:pPr>
        <w:tabs>
          <w:tab w:val="clear" w:pos="720"/>
        </w:tabs>
        <w:spacing w:line="240" w:lineRule="auto"/>
      </w:pPr>
    </w:p>
    <w:p w14:paraId="4E692F26" w14:textId="77777777" w:rsidR="00990C2F" w:rsidRDefault="00F20D43" w:rsidP="00D73E23">
      <w:pPr>
        <w:tabs>
          <w:tab w:val="clear" w:pos="720"/>
        </w:tabs>
        <w:spacing w:line="240" w:lineRule="auto"/>
        <w:rPr>
          <w:i/>
          <w:iCs/>
          <w:sz w:val="20"/>
          <w:szCs w:val="20"/>
        </w:rPr>
        <w:sectPr w:rsidR="00990C2F" w:rsidSect="006E2D9B">
          <w:headerReference w:type="default" r:id="rId7"/>
          <w:footerReference w:type="even" r:id="rId8"/>
          <w:footerReference w:type="default" r:id="rId9"/>
          <w:headerReference w:type="first" r:id="rId10"/>
          <w:pgSz w:w="12240" w:h="15840"/>
          <w:pgMar w:top="1440" w:right="1440" w:bottom="1440" w:left="1440" w:header="720" w:footer="720" w:gutter="0"/>
          <w:cols w:space="720"/>
          <w:docGrid w:linePitch="360"/>
        </w:sectPr>
      </w:pPr>
      <w:r>
        <w:rPr>
          <w:sz w:val="20"/>
          <w:szCs w:val="20"/>
        </w:rPr>
        <w:t>A161844/</w:t>
      </w:r>
      <w:r>
        <w:rPr>
          <w:i/>
          <w:iCs/>
          <w:sz w:val="20"/>
          <w:szCs w:val="20"/>
        </w:rPr>
        <w:t>Marin v. Department of Transportation</w:t>
      </w:r>
    </w:p>
    <w:p w14:paraId="2680A616" w14:textId="125DAA74" w:rsidR="00990C2F" w:rsidRDefault="00990C2F" w:rsidP="00990C2F">
      <w:pPr>
        <w:tabs>
          <w:tab w:val="clear" w:pos="720"/>
        </w:tabs>
        <w:spacing w:line="240" w:lineRule="auto"/>
        <w:rPr>
          <w:sz w:val="20"/>
        </w:rPr>
      </w:pPr>
      <w:r>
        <w:rPr>
          <w:sz w:val="20"/>
        </w:rPr>
        <w:lastRenderedPageBreak/>
        <w:t>Filed 2/23/23</w:t>
      </w:r>
    </w:p>
    <w:p w14:paraId="3070503E" w14:textId="77777777" w:rsidR="00990C2F" w:rsidRDefault="00990C2F" w:rsidP="00990C2F">
      <w:pPr>
        <w:tabs>
          <w:tab w:val="clear" w:pos="720"/>
        </w:tabs>
        <w:spacing w:line="240" w:lineRule="auto"/>
        <w:jc w:val="center"/>
        <w:rPr>
          <w:b/>
        </w:rPr>
      </w:pPr>
      <w:r>
        <w:rPr>
          <w:b/>
        </w:rPr>
        <w:t>CERTIFIED FOR PUBLICATION</w:t>
      </w:r>
    </w:p>
    <w:p w14:paraId="5FC3217B" w14:textId="77777777" w:rsidR="00990C2F" w:rsidRPr="0052793E" w:rsidRDefault="00990C2F" w:rsidP="00990C2F">
      <w:pPr>
        <w:tabs>
          <w:tab w:val="clear" w:pos="720"/>
        </w:tabs>
        <w:spacing w:line="240" w:lineRule="auto"/>
        <w:jc w:val="center"/>
      </w:pPr>
    </w:p>
    <w:p w14:paraId="5BE8460C" w14:textId="77777777" w:rsidR="00990C2F" w:rsidRDefault="00990C2F" w:rsidP="00990C2F">
      <w:pPr>
        <w:tabs>
          <w:tab w:val="clear" w:pos="720"/>
        </w:tabs>
        <w:spacing w:line="240" w:lineRule="auto"/>
        <w:jc w:val="center"/>
      </w:pPr>
      <w:r>
        <w:t>IN THE COURT OF APPEAL OF THE STATE OF CALIFORNIA</w:t>
      </w:r>
    </w:p>
    <w:p w14:paraId="78D41671" w14:textId="77777777" w:rsidR="00990C2F" w:rsidRDefault="00990C2F" w:rsidP="00990C2F">
      <w:pPr>
        <w:tabs>
          <w:tab w:val="clear" w:pos="720"/>
        </w:tabs>
        <w:spacing w:line="240" w:lineRule="auto"/>
        <w:jc w:val="center"/>
      </w:pPr>
    </w:p>
    <w:p w14:paraId="7B6DF651" w14:textId="77777777" w:rsidR="00990C2F" w:rsidRDefault="00990C2F" w:rsidP="00990C2F">
      <w:pPr>
        <w:tabs>
          <w:tab w:val="clear" w:pos="720"/>
        </w:tabs>
        <w:spacing w:line="240" w:lineRule="auto"/>
        <w:jc w:val="center"/>
      </w:pPr>
      <w:r>
        <w:t>FIRST APPELLATE DISTRICT</w:t>
      </w:r>
    </w:p>
    <w:p w14:paraId="448F78A3" w14:textId="77777777" w:rsidR="00990C2F" w:rsidRDefault="00990C2F" w:rsidP="00990C2F">
      <w:pPr>
        <w:tabs>
          <w:tab w:val="clear" w:pos="720"/>
        </w:tabs>
        <w:spacing w:line="240" w:lineRule="auto"/>
        <w:jc w:val="center"/>
      </w:pPr>
    </w:p>
    <w:p w14:paraId="4F13DEC1" w14:textId="77777777" w:rsidR="00990C2F" w:rsidRDefault="00990C2F" w:rsidP="00990C2F">
      <w:pPr>
        <w:tabs>
          <w:tab w:val="clear" w:pos="720"/>
        </w:tabs>
        <w:spacing w:line="240" w:lineRule="auto"/>
        <w:jc w:val="center"/>
      </w:pPr>
      <w:r>
        <w:t>DIVISION FIVE</w:t>
      </w:r>
    </w:p>
    <w:p w14:paraId="48556E46" w14:textId="77777777" w:rsidR="00990C2F" w:rsidRDefault="00990C2F" w:rsidP="00990C2F">
      <w:pPr>
        <w:tabs>
          <w:tab w:val="clear" w:pos="720"/>
        </w:tabs>
        <w:spacing w:line="240" w:lineRule="auto"/>
        <w:jc w:val="center"/>
      </w:pPr>
    </w:p>
    <w:p w14:paraId="10745D4E" w14:textId="77777777" w:rsidR="00990C2F" w:rsidRDefault="00990C2F" w:rsidP="00990C2F">
      <w:pPr>
        <w:tabs>
          <w:tab w:val="clear" w:pos="720"/>
        </w:tabs>
        <w:spacing w:line="240" w:lineRule="auto"/>
        <w:jc w:val="center"/>
      </w:pPr>
    </w:p>
    <w:tbl>
      <w:tblPr>
        <w:tblW w:w="9540" w:type="dxa"/>
        <w:tblLayout w:type="fixed"/>
        <w:tblLook w:val="0000" w:firstRow="0" w:lastRow="0" w:firstColumn="0" w:lastColumn="0" w:noHBand="0" w:noVBand="0"/>
      </w:tblPr>
      <w:tblGrid>
        <w:gridCol w:w="4770"/>
        <w:gridCol w:w="4770"/>
      </w:tblGrid>
      <w:tr w:rsidR="00990C2F" w14:paraId="7168A13A" w14:textId="77777777" w:rsidTr="000747B0">
        <w:tc>
          <w:tcPr>
            <w:tcW w:w="4770" w:type="dxa"/>
            <w:tcBorders>
              <w:bottom w:val="single" w:sz="4" w:space="0" w:color="auto"/>
              <w:right w:val="single" w:sz="4" w:space="0" w:color="auto"/>
            </w:tcBorders>
            <w:shd w:val="clear" w:color="auto" w:fill="auto"/>
          </w:tcPr>
          <w:p w14:paraId="5B2C4610" w14:textId="77777777" w:rsidR="00990C2F" w:rsidRDefault="00990C2F" w:rsidP="000747B0">
            <w:pPr>
              <w:tabs>
                <w:tab w:val="clear" w:pos="720"/>
              </w:tabs>
              <w:spacing w:after="120" w:line="240" w:lineRule="auto"/>
            </w:pPr>
            <w:r>
              <w:t>GABRIELA MARTINEZ MARIN et al.,</w:t>
            </w:r>
          </w:p>
          <w:p w14:paraId="4C88ADA7" w14:textId="77777777" w:rsidR="00990C2F" w:rsidRDefault="00990C2F" w:rsidP="000747B0">
            <w:pPr>
              <w:tabs>
                <w:tab w:val="clear" w:pos="720"/>
              </w:tabs>
              <w:spacing w:after="120" w:line="240" w:lineRule="auto"/>
            </w:pPr>
            <w:r>
              <w:tab/>
              <w:t>Plaintiffs and Appellants,</w:t>
            </w:r>
          </w:p>
          <w:p w14:paraId="327AB157" w14:textId="77777777" w:rsidR="00990C2F" w:rsidRDefault="00990C2F" w:rsidP="000747B0">
            <w:pPr>
              <w:tabs>
                <w:tab w:val="clear" w:pos="720"/>
              </w:tabs>
              <w:spacing w:after="120" w:line="240" w:lineRule="auto"/>
            </w:pPr>
            <w:r>
              <w:t>v.</w:t>
            </w:r>
          </w:p>
          <w:p w14:paraId="27F22FFF" w14:textId="77777777" w:rsidR="00990C2F" w:rsidRDefault="00990C2F" w:rsidP="000747B0">
            <w:pPr>
              <w:tabs>
                <w:tab w:val="clear" w:pos="720"/>
              </w:tabs>
              <w:spacing w:after="120" w:line="240" w:lineRule="auto"/>
            </w:pPr>
            <w:r>
              <w:t>DEPARTMENT OF TRANSPORTATION,</w:t>
            </w:r>
          </w:p>
          <w:p w14:paraId="112817DD" w14:textId="77777777" w:rsidR="00990C2F" w:rsidRDefault="00990C2F" w:rsidP="000747B0">
            <w:pPr>
              <w:tabs>
                <w:tab w:val="clear" w:pos="720"/>
              </w:tabs>
              <w:spacing w:after="120" w:line="240" w:lineRule="auto"/>
            </w:pPr>
            <w:r>
              <w:tab/>
              <w:t>Defendant and Respondent.</w:t>
            </w:r>
          </w:p>
        </w:tc>
        <w:tc>
          <w:tcPr>
            <w:tcW w:w="4770" w:type="dxa"/>
            <w:tcBorders>
              <w:left w:val="single" w:sz="4" w:space="0" w:color="auto"/>
            </w:tcBorders>
            <w:shd w:val="clear" w:color="auto" w:fill="auto"/>
          </w:tcPr>
          <w:p w14:paraId="4A28450A" w14:textId="77777777" w:rsidR="00990C2F" w:rsidRDefault="00990C2F" w:rsidP="000747B0">
            <w:pPr>
              <w:tabs>
                <w:tab w:val="clear" w:pos="720"/>
              </w:tabs>
              <w:spacing w:line="240" w:lineRule="auto"/>
            </w:pPr>
          </w:p>
          <w:p w14:paraId="05ED5C9D" w14:textId="77777777" w:rsidR="00990C2F" w:rsidRDefault="00990C2F" w:rsidP="000747B0">
            <w:pPr>
              <w:tabs>
                <w:tab w:val="clear" w:pos="720"/>
              </w:tabs>
              <w:spacing w:line="240" w:lineRule="auto"/>
            </w:pPr>
            <w:r>
              <w:t xml:space="preserve">      A161844</w:t>
            </w:r>
          </w:p>
          <w:p w14:paraId="7E06AD8D" w14:textId="77777777" w:rsidR="00990C2F" w:rsidRDefault="00990C2F" w:rsidP="000747B0">
            <w:pPr>
              <w:tabs>
                <w:tab w:val="clear" w:pos="720"/>
              </w:tabs>
              <w:spacing w:line="240" w:lineRule="auto"/>
            </w:pPr>
          </w:p>
          <w:p w14:paraId="613CF51A" w14:textId="77777777" w:rsidR="00990C2F" w:rsidRDefault="00990C2F" w:rsidP="000747B0">
            <w:pPr>
              <w:tabs>
                <w:tab w:val="clear" w:pos="720"/>
              </w:tabs>
              <w:spacing w:line="240" w:lineRule="auto"/>
            </w:pPr>
            <w:r>
              <w:t xml:space="preserve">      (Alameda County</w:t>
            </w:r>
          </w:p>
          <w:p w14:paraId="7A93E273" w14:textId="77777777" w:rsidR="00990C2F" w:rsidRDefault="00990C2F" w:rsidP="000747B0">
            <w:pPr>
              <w:tabs>
                <w:tab w:val="clear" w:pos="720"/>
              </w:tabs>
              <w:spacing w:line="240" w:lineRule="auto"/>
            </w:pPr>
            <w:r>
              <w:t xml:space="preserve">      Super. Ct. No. RG16819984)</w:t>
            </w:r>
          </w:p>
          <w:p w14:paraId="16634739" w14:textId="77777777" w:rsidR="00990C2F" w:rsidRDefault="00990C2F" w:rsidP="000747B0">
            <w:pPr>
              <w:tabs>
                <w:tab w:val="clear" w:pos="720"/>
              </w:tabs>
              <w:spacing w:line="240" w:lineRule="auto"/>
            </w:pPr>
          </w:p>
          <w:p w14:paraId="79B0097B" w14:textId="77777777" w:rsidR="00990C2F" w:rsidRDefault="00990C2F" w:rsidP="000747B0">
            <w:pPr>
              <w:tabs>
                <w:tab w:val="clear" w:pos="720"/>
              </w:tabs>
              <w:spacing w:line="240" w:lineRule="auto"/>
            </w:pPr>
            <w:r>
              <w:t xml:space="preserve">      ORDER CERTIFYING OPINION</w:t>
            </w:r>
            <w:r>
              <w:br/>
              <w:t xml:space="preserve">      FOR PUBLICATION</w:t>
            </w:r>
          </w:p>
        </w:tc>
      </w:tr>
    </w:tbl>
    <w:p w14:paraId="55FE1D7D" w14:textId="77777777" w:rsidR="00990C2F" w:rsidRDefault="00990C2F" w:rsidP="00990C2F">
      <w:pPr>
        <w:tabs>
          <w:tab w:val="clear" w:pos="720"/>
        </w:tabs>
        <w:spacing w:line="360" w:lineRule="auto"/>
      </w:pPr>
    </w:p>
    <w:p w14:paraId="10BE2226" w14:textId="77777777" w:rsidR="00990C2F" w:rsidRDefault="00990C2F" w:rsidP="00990C2F">
      <w:pPr>
        <w:tabs>
          <w:tab w:val="clear" w:pos="720"/>
        </w:tabs>
        <w:spacing w:line="360" w:lineRule="auto"/>
        <w:ind w:firstLine="720"/>
      </w:pPr>
      <w:r>
        <w:t>THE COURT:</w:t>
      </w:r>
      <w:r>
        <w:rPr>
          <w:rStyle w:val="FootnoteReference"/>
        </w:rPr>
        <w:footnoteReference w:customMarkFollows="1" w:id="4"/>
        <w:t>*</w:t>
      </w:r>
    </w:p>
    <w:p w14:paraId="6930C832" w14:textId="77777777" w:rsidR="00990C2F" w:rsidRDefault="00990C2F" w:rsidP="00990C2F">
      <w:pPr>
        <w:tabs>
          <w:tab w:val="clear" w:pos="720"/>
        </w:tabs>
        <w:spacing w:after="3000" w:line="360" w:lineRule="auto"/>
        <w:ind w:firstLine="720"/>
      </w:pPr>
      <w:r>
        <w:t>The opinion in the above-entitled matter filed on January 31, 2023, was not certified for publication in the Official Reports.  For good cause it now appears that the opinion should be published in the Official Reports and it is so ordered.</w:t>
      </w:r>
    </w:p>
    <w:p w14:paraId="0F7D0F71" w14:textId="77777777" w:rsidR="00990C2F" w:rsidRPr="00674644" w:rsidRDefault="00990C2F" w:rsidP="00990C2F">
      <w:pPr>
        <w:tabs>
          <w:tab w:val="clear" w:pos="720"/>
        </w:tabs>
        <w:spacing w:line="360" w:lineRule="auto"/>
      </w:pPr>
      <w:r>
        <w:t>Date:  </w:t>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t>, P. J.</w:t>
      </w:r>
    </w:p>
    <w:p w14:paraId="4BC61D65" w14:textId="77777777" w:rsidR="00990C2F" w:rsidRDefault="00990C2F" w:rsidP="00990C2F">
      <w:pPr>
        <w:tabs>
          <w:tab w:val="clear" w:pos="720"/>
        </w:tabs>
        <w:spacing w:line="240" w:lineRule="auto"/>
        <w:rPr>
          <w:u w:val="single"/>
        </w:rPr>
      </w:pPr>
      <w:r w:rsidRPr="001D2B3A">
        <w:rPr>
          <w:u w:val="single"/>
        </w:rPr>
        <w:lastRenderedPageBreak/>
        <w:t>A161844/Marin v. Department of Transportation</w:t>
      </w:r>
    </w:p>
    <w:p w14:paraId="0A628024" w14:textId="77777777" w:rsidR="00990C2F" w:rsidRDefault="00990C2F" w:rsidP="00990C2F">
      <w:pPr>
        <w:tabs>
          <w:tab w:val="clear" w:pos="720"/>
        </w:tabs>
        <w:spacing w:line="240" w:lineRule="auto"/>
        <w:rPr>
          <w:u w:val="single"/>
        </w:rPr>
      </w:pPr>
    </w:p>
    <w:tbl>
      <w:tblPr>
        <w:tblW w:w="9450" w:type="dxa"/>
        <w:tblLayout w:type="fixed"/>
        <w:tblLook w:val="06A0" w:firstRow="1" w:lastRow="0" w:firstColumn="1" w:lastColumn="0" w:noHBand="1" w:noVBand="1"/>
      </w:tblPr>
      <w:tblGrid>
        <w:gridCol w:w="2250"/>
        <w:gridCol w:w="7200"/>
      </w:tblGrid>
      <w:tr w:rsidR="00990C2F" w:rsidRPr="006D25AC" w14:paraId="040D88BC" w14:textId="77777777" w:rsidTr="000747B0">
        <w:tc>
          <w:tcPr>
            <w:tcW w:w="2250" w:type="dxa"/>
            <w:shd w:val="clear" w:color="auto" w:fill="auto"/>
          </w:tcPr>
          <w:p w14:paraId="7FDA8D63" w14:textId="77777777" w:rsidR="00990C2F" w:rsidRPr="006D25AC" w:rsidRDefault="00990C2F" w:rsidP="000747B0">
            <w:pPr>
              <w:tabs>
                <w:tab w:val="clear" w:pos="720"/>
              </w:tabs>
              <w:spacing w:line="240" w:lineRule="auto"/>
              <w:ind w:left="-106"/>
              <w:rPr>
                <w:rFonts w:eastAsia="Century Schoolbook" w:cs="Century Schoolbook"/>
              </w:rPr>
            </w:pPr>
            <w:r w:rsidRPr="006D25AC">
              <w:rPr>
                <w:rFonts w:eastAsia="Century Schoolbook" w:cs="Century Schoolbook"/>
              </w:rPr>
              <w:t>Trial Court:</w:t>
            </w:r>
          </w:p>
        </w:tc>
        <w:tc>
          <w:tcPr>
            <w:tcW w:w="7200" w:type="dxa"/>
            <w:shd w:val="clear" w:color="auto" w:fill="auto"/>
          </w:tcPr>
          <w:p w14:paraId="7E6F0486" w14:textId="77777777" w:rsidR="00990C2F" w:rsidRPr="006D25AC" w:rsidRDefault="00990C2F" w:rsidP="000747B0">
            <w:pPr>
              <w:tabs>
                <w:tab w:val="clear" w:pos="720"/>
              </w:tabs>
              <w:spacing w:line="240" w:lineRule="auto"/>
              <w:rPr>
                <w:rFonts w:eastAsia="Century Schoolbook" w:cs="Century Schoolbook"/>
              </w:rPr>
            </w:pPr>
            <w:r w:rsidRPr="006D25AC">
              <w:rPr>
                <w:rFonts w:eastAsia="Century Schoolbook" w:cs="Century Schoolbook"/>
              </w:rPr>
              <w:t xml:space="preserve">Superior Court </w:t>
            </w:r>
            <w:r>
              <w:rPr>
                <w:rFonts w:eastAsia="Century Schoolbook" w:cs="Century Schoolbook"/>
              </w:rPr>
              <w:t>of the County of Alameda</w:t>
            </w:r>
          </w:p>
        </w:tc>
      </w:tr>
      <w:tr w:rsidR="00990C2F" w:rsidRPr="006D25AC" w14:paraId="4F554180" w14:textId="77777777" w:rsidTr="000747B0">
        <w:tc>
          <w:tcPr>
            <w:tcW w:w="2250" w:type="dxa"/>
            <w:shd w:val="clear" w:color="auto" w:fill="auto"/>
          </w:tcPr>
          <w:p w14:paraId="1643581C" w14:textId="77777777" w:rsidR="00990C2F" w:rsidRPr="006D25AC" w:rsidRDefault="00990C2F" w:rsidP="000747B0">
            <w:pPr>
              <w:tabs>
                <w:tab w:val="clear" w:pos="720"/>
              </w:tabs>
              <w:spacing w:line="240" w:lineRule="auto"/>
              <w:ind w:left="-106"/>
              <w:rPr>
                <w:rFonts w:eastAsia="Century Schoolbook" w:cs="Century Schoolbook"/>
              </w:rPr>
            </w:pPr>
          </w:p>
        </w:tc>
        <w:tc>
          <w:tcPr>
            <w:tcW w:w="7200" w:type="dxa"/>
            <w:shd w:val="clear" w:color="auto" w:fill="auto"/>
          </w:tcPr>
          <w:p w14:paraId="3097EC69" w14:textId="77777777" w:rsidR="00990C2F" w:rsidRPr="006D25AC" w:rsidRDefault="00990C2F" w:rsidP="000747B0">
            <w:pPr>
              <w:tabs>
                <w:tab w:val="clear" w:pos="720"/>
              </w:tabs>
              <w:spacing w:line="240" w:lineRule="auto"/>
              <w:rPr>
                <w:rFonts w:eastAsia="Century Schoolbook" w:cs="Century Schoolbook"/>
              </w:rPr>
            </w:pPr>
          </w:p>
        </w:tc>
      </w:tr>
      <w:tr w:rsidR="00990C2F" w:rsidRPr="006D25AC" w14:paraId="1803C8EB" w14:textId="77777777" w:rsidTr="000747B0">
        <w:tc>
          <w:tcPr>
            <w:tcW w:w="2250" w:type="dxa"/>
            <w:shd w:val="clear" w:color="auto" w:fill="auto"/>
          </w:tcPr>
          <w:p w14:paraId="14BE9EAC" w14:textId="77777777" w:rsidR="00990C2F" w:rsidRPr="006D25AC" w:rsidRDefault="00990C2F" w:rsidP="000747B0">
            <w:pPr>
              <w:tabs>
                <w:tab w:val="clear" w:pos="720"/>
              </w:tabs>
              <w:spacing w:line="240" w:lineRule="auto"/>
              <w:ind w:left="-106"/>
              <w:rPr>
                <w:rFonts w:eastAsia="Century Schoolbook" w:cs="Century Schoolbook"/>
              </w:rPr>
            </w:pPr>
            <w:r w:rsidRPr="006D25AC">
              <w:rPr>
                <w:rFonts w:eastAsia="Century Schoolbook" w:cs="Century Schoolbook"/>
              </w:rPr>
              <w:t>Trial Judge:</w:t>
            </w:r>
          </w:p>
        </w:tc>
        <w:tc>
          <w:tcPr>
            <w:tcW w:w="7200" w:type="dxa"/>
            <w:shd w:val="clear" w:color="auto" w:fill="auto"/>
          </w:tcPr>
          <w:p w14:paraId="6FD9F7C9" w14:textId="77777777" w:rsidR="00990C2F" w:rsidRPr="006D25AC" w:rsidRDefault="00990C2F" w:rsidP="000747B0">
            <w:pPr>
              <w:tabs>
                <w:tab w:val="clear" w:pos="720"/>
              </w:tabs>
              <w:spacing w:line="240" w:lineRule="auto"/>
              <w:rPr>
                <w:rFonts w:eastAsia="Century Schoolbook" w:cs="Century Schoolbook"/>
              </w:rPr>
            </w:pPr>
            <w:r>
              <w:rPr>
                <w:rFonts w:eastAsia="Century Schoolbook" w:cs="Century Schoolbook"/>
              </w:rPr>
              <w:t>Paul Herbert</w:t>
            </w:r>
          </w:p>
        </w:tc>
      </w:tr>
      <w:tr w:rsidR="00990C2F" w:rsidRPr="006D25AC" w14:paraId="5FDBA7DF" w14:textId="77777777" w:rsidTr="000747B0">
        <w:tc>
          <w:tcPr>
            <w:tcW w:w="2250" w:type="dxa"/>
            <w:shd w:val="clear" w:color="auto" w:fill="auto"/>
          </w:tcPr>
          <w:p w14:paraId="643F8C40" w14:textId="77777777" w:rsidR="00990C2F" w:rsidRPr="006D25AC" w:rsidRDefault="00990C2F" w:rsidP="000747B0">
            <w:pPr>
              <w:tabs>
                <w:tab w:val="clear" w:pos="720"/>
              </w:tabs>
              <w:spacing w:line="240" w:lineRule="auto"/>
              <w:ind w:left="-106"/>
              <w:rPr>
                <w:rFonts w:eastAsia="Century Schoolbook" w:cs="Century Schoolbook"/>
              </w:rPr>
            </w:pPr>
          </w:p>
        </w:tc>
        <w:tc>
          <w:tcPr>
            <w:tcW w:w="7200" w:type="dxa"/>
            <w:shd w:val="clear" w:color="auto" w:fill="auto"/>
          </w:tcPr>
          <w:p w14:paraId="74F46BE2" w14:textId="77777777" w:rsidR="00990C2F" w:rsidRPr="006D25AC" w:rsidRDefault="00990C2F" w:rsidP="000747B0">
            <w:pPr>
              <w:tabs>
                <w:tab w:val="clear" w:pos="720"/>
              </w:tabs>
              <w:spacing w:line="240" w:lineRule="auto"/>
              <w:rPr>
                <w:rFonts w:eastAsia="Century Schoolbook" w:cs="Century Schoolbook"/>
              </w:rPr>
            </w:pPr>
          </w:p>
        </w:tc>
      </w:tr>
      <w:tr w:rsidR="00990C2F" w:rsidRPr="006D25AC" w14:paraId="4FABAE06" w14:textId="77777777" w:rsidTr="000747B0">
        <w:tc>
          <w:tcPr>
            <w:tcW w:w="2250" w:type="dxa"/>
            <w:shd w:val="clear" w:color="auto" w:fill="auto"/>
          </w:tcPr>
          <w:p w14:paraId="08C41013" w14:textId="77777777" w:rsidR="00990C2F" w:rsidRPr="006D25AC" w:rsidRDefault="00990C2F" w:rsidP="000747B0">
            <w:pPr>
              <w:tabs>
                <w:tab w:val="clear" w:pos="720"/>
              </w:tabs>
              <w:spacing w:line="240" w:lineRule="auto"/>
              <w:ind w:left="-106"/>
              <w:rPr>
                <w:rFonts w:eastAsia="Century Schoolbook" w:cs="Century Schoolbook"/>
              </w:rPr>
            </w:pPr>
            <w:r w:rsidRPr="006D25AC">
              <w:rPr>
                <w:rFonts w:eastAsia="Century Schoolbook" w:cs="Century Schoolbook"/>
              </w:rPr>
              <w:t>Counsel:</w:t>
            </w:r>
          </w:p>
        </w:tc>
        <w:tc>
          <w:tcPr>
            <w:tcW w:w="7200" w:type="dxa"/>
            <w:shd w:val="clear" w:color="auto" w:fill="auto"/>
          </w:tcPr>
          <w:p w14:paraId="64A95841" w14:textId="77777777" w:rsidR="00990C2F" w:rsidRPr="006D25AC" w:rsidRDefault="00990C2F" w:rsidP="000747B0">
            <w:pPr>
              <w:tabs>
                <w:tab w:val="clear" w:pos="720"/>
              </w:tabs>
              <w:spacing w:line="240" w:lineRule="auto"/>
              <w:ind w:left="720" w:hanging="720"/>
              <w:rPr>
                <w:rFonts w:eastAsia="Century Schoolbook" w:cs="Century Schoolbook"/>
              </w:rPr>
            </w:pPr>
            <w:r>
              <w:rPr>
                <w:rFonts w:eastAsia="Century Schoolbook" w:cs="Century Schoolbook"/>
              </w:rPr>
              <w:t>Liberation Law Group and Arlo Garcia Uriarte for plaintiffs and appellants.</w:t>
            </w:r>
          </w:p>
        </w:tc>
      </w:tr>
      <w:tr w:rsidR="00990C2F" w:rsidRPr="006D25AC" w14:paraId="5AD57B98" w14:textId="77777777" w:rsidTr="000747B0">
        <w:tc>
          <w:tcPr>
            <w:tcW w:w="2250" w:type="dxa"/>
            <w:shd w:val="clear" w:color="auto" w:fill="auto"/>
          </w:tcPr>
          <w:p w14:paraId="083FF20D" w14:textId="77777777" w:rsidR="00990C2F" w:rsidRPr="006D25AC" w:rsidRDefault="00990C2F" w:rsidP="000747B0">
            <w:pPr>
              <w:tabs>
                <w:tab w:val="clear" w:pos="720"/>
              </w:tabs>
              <w:spacing w:line="240" w:lineRule="auto"/>
              <w:ind w:left="-106"/>
              <w:rPr>
                <w:rFonts w:eastAsia="Century Schoolbook" w:cs="Century Schoolbook"/>
              </w:rPr>
            </w:pPr>
          </w:p>
        </w:tc>
        <w:tc>
          <w:tcPr>
            <w:tcW w:w="7200" w:type="dxa"/>
            <w:shd w:val="clear" w:color="auto" w:fill="auto"/>
          </w:tcPr>
          <w:p w14:paraId="18359658" w14:textId="77777777" w:rsidR="00990C2F" w:rsidRPr="006D25AC" w:rsidRDefault="00990C2F" w:rsidP="000747B0">
            <w:pPr>
              <w:tabs>
                <w:tab w:val="clear" w:pos="720"/>
              </w:tabs>
              <w:spacing w:line="240" w:lineRule="auto"/>
              <w:rPr>
                <w:rFonts w:eastAsia="Century Schoolbook" w:cs="Century Schoolbook"/>
              </w:rPr>
            </w:pPr>
          </w:p>
        </w:tc>
      </w:tr>
      <w:tr w:rsidR="00990C2F" w:rsidRPr="006D25AC" w14:paraId="78788997" w14:textId="77777777" w:rsidTr="000747B0">
        <w:tc>
          <w:tcPr>
            <w:tcW w:w="2250" w:type="dxa"/>
            <w:shd w:val="clear" w:color="auto" w:fill="auto"/>
          </w:tcPr>
          <w:p w14:paraId="4AF356F3" w14:textId="77777777" w:rsidR="00990C2F" w:rsidRPr="006D25AC" w:rsidRDefault="00990C2F" w:rsidP="000747B0">
            <w:pPr>
              <w:tabs>
                <w:tab w:val="clear" w:pos="720"/>
              </w:tabs>
              <w:spacing w:line="240" w:lineRule="auto"/>
              <w:ind w:left="-106"/>
              <w:rPr>
                <w:rFonts w:eastAsia="Century Schoolbook" w:cs="Century Schoolbook"/>
              </w:rPr>
            </w:pPr>
          </w:p>
        </w:tc>
        <w:tc>
          <w:tcPr>
            <w:tcW w:w="7200" w:type="dxa"/>
            <w:shd w:val="clear" w:color="auto" w:fill="auto"/>
          </w:tcPr>
          <w:p w14:paraId="745B9538" w14:textId="77777777" w:rsidR="00990C2F" w:rsidRDefault="00990C2F" w:rsidP="000747B0">
            <w:pPr>
              <w:tabs>
                <w:tab w:val="clear" w:pos="720"/>
              </w:tabs>
              <w:spacing w:line="240" w:lineRule="auto"/>
              <w:ind w:left="720" w:hanging="720"/>
              <w:rPr>
                <w:rFonts w:eastAsia="Century Schoolbook" w:cs="Century Schoolbook"/>
              </w:rPr>
            </w:pPr>
            <w:r>
              <w:rPr>
                <w:rFonts w:eastAsia="Century Schoolbook" w:cs="Century Schoolbook"/>
              </w:rPr>
              <w:t>Tyson &amp; Mendes, James E. Sell and Molly A. Gilardi, for defendant and respondent.</w:t>
            </w:r>
          </w:p>
        </w:tc>
      </w:tr>
    </w:tbl>
    <w:p w14:paraId="4343569F" w14:textId="77777777" w:rsidR="00990C2F" w:rsidRPr="001D2B3A" w:rsidRDefault="00990C2F" w:rsidP="00990C2F">
      <w:pPr>
        <w:tabs>
          <w:tab w:val="clear" w:pos="720"/>
        </w:tabs>
        <w:spacing w:line="240" w:lineRule="auto"/>
        <w:rPr>
          <w:u w:val="single"/>
        </w:rPr>
      </w:pPr>
    </w:p>
    <w:p w14:paraId="258CD4F5" w14:textId="77777777" w:rsidR="00630366" w:rsidRPr="00630366" w:rsidRDefault="00F20D43" w:rsidP="00D73E23">
      <w:pPr>
        <w:tabs>
          <w:tab w:val="clear" w:pos="720"/>
        </w:tabs>
        <w:spacing w:line="240" w:lineRule="auto"/>
        <w:rPr>
          <w:i/>
          <w:iCs/>
          <w:sz w:val="20"/>
          <w:szCs w:val="20"/>
        </w:rPr>
      </w:pPr>
    </w:p>
    <w:sectPr w:rsidR="00630366" w:rsidRPr="00630366" w:rsidSect="00990C2F">
      <w:headerReference w:type="default" r:id="rId11"/>
      <w:footerReference w:type="even" r:id="rId12"/>
      <w:footerReference w:type="default" r:id="rId13"/>
      <w:head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9967" w14:textId="77777777" w:rsidR="00000000" w:rsidRDefault="00F20D43">
      <w:pPr>
        <w:spacing w:line="240" w:lineRule="auto"/>
      </w:pPr>
      <w:r>
        <w:separator/>
      </w:r>
    </w:p>
  </w:endnote>
  <w:endnote w:type="continuationSeparator" w:id="0">
    <w:p w14:paraId="111E24B4" w14:textId="77777777" w:rsidR="00000000" w:rsidRDefault="00F20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E818" w14:textId="77777777" w:rsidR="007B3163" w:rsidRDefault="00F20D43" w:rsidP="008A6E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71B649" w14:textId="77777777" w:rsidR="007B3163" w:rsidRDefault="00F20D43" w:rsidP="008A6E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6AF8FE" w14:textId="77777777" w:rsidR="007B3163" w:rsidRDefault="00F20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9CB4" w14:textId="77777777" w:rsidR="007B3163" w:rsidRDefault="00F20D43" w:rsidP="007B31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139C4D" w14:textId="77777777" w:rsidR="007B3163" w:rsidRDefault="00F20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AC23" w14:textId="77777777" w:rsidR="007B3163" w:rsidRDefault="00F20D43" w:rsidP="008A6E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3D7589" w14:textId="77777777" w:rsidR="007B3163" w:rsidRDefault="00F20D43" w:rsidP="008A6E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D2D2CD" w14:textId="77777777" w:rsidR="007B3163" w:rsidRDefault="00F20D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5E6E" w14:textId="77777777" w:rsidR="007B3163" w:rsidRDefault="00F20D43" w:rsidP="007B31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036DDE" w14:textId="77777777" w:rsidR="007B3163" w:rsidRDefault="00F20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7F31" w14:textId="77777777" w:rsidR="005F3897" w:rsidRDefault="00F20D43" w:rsidP="007B3163">
      <w:pPr>
        <w:spacing w:line="240" w:lineRule="auto"/>
      </w:pPr>
      <w:r>
        <w:separator/>
      </w:r>
    </w:p>
  </w:footnote>
  <w:footnote w:type="continuationSeparator" w:id="0">
    <w:p w14:paraId="10B95812" w14:textId="77777777" w:rsidR="005F3897" w:rsidRDefault="00F20D43" w:rsidP="007B3163">
      <w:pPr>
        <w:spacing w:line="240" w:lineRule="auto"/>
      </w:pPr>
      <w:r>
        <w:continuationSeparator/>
      </w:r>
    </w:p>
  </w:footnote>
  <w:footnote w:id="1">
    <w:p w14:paraId="680EE868" w14:textId="77777777" w:rsidR="00750561" w:rsidRDefault="00F20D43" w:rsidP="000C4970">
      <w:pPr>
        <w:pStyle w:val="FootnoteText"/>
        <w:spacing w:after="120"/>
        <w:ind w:firstLine="720"/>
      </w:pPr>
      <w:r>
        <w:rPr>
          <w:rStyle w:val="FootnoteReference"/>
        </w:rPr>
        <w:footnoteRef/>
      </w:r>
      <w:r>
        <w:t xml:space="preserve"> Unless otherwise stated, all statutory citations herein are to the Government Code.</w:t>
      </w:r>
    </w:p>
  </w:footnote>
  <w:footnote w:id="2">
    <w:p w14:paraId="1EF6DA17" w14:textId="77777777" w:rsidR="00296D0F" w:rsidRDefault="00F20D43" w:rsidP="000C4970">
      <w:pPr>
        <w:pStyle w:val="FootnoteText"/>
        <w:spacing w:after="120"/>
        <w:ind w:firstLine="720"/>
      </w:pPr>
      <w:r>
        <w:rPr>
          <w:rStyle w:val="FootnoteReference"/>
        </w:rPr>
        <w:footnoteRef/>
      </w:r>
      <w:r>
        <w:t xml:space="preserve"> </w:t>
      </w:r>
      <w:r>
        <w:t xml:space="preserve">Plaintiffs also sued the </w:t>
      </w:r>
      <w:r>
        <w:t xml:space="preserve">Department of the </w:t>
      </w:r>
      <w:r>
        <w:t>California Highway Patrol, Santos Andres Pablo</w:t>
      </w:r>
      <w:r>
        <w:noBreakHyphen/>
      </w:r>
      <w:r>
        <w:t>Carrillo and Does 1</w:t>
      </w:r>
      <w:r>
        <w:t>–</w:t>
      </w:r>
      <w:r>
        <w:t xml:space="preserve">30.  However, the </w:t>
      </w:r>
      <w:r>
        <w:t>DOT is the only defendant involved in this appeal.</w:t>
      </w:r>
    </w:p>
  </w:footnote>
  <w:footnote w:id="3">
    <w:p w14:paraId="7F1964F1" w14:textId="77777777" w:rsidR="007F3E88" w:rsidRDefault="00F20D43" w:rsidP="000C4970">
      <w:pPr>
        <w:pStyle w:val="FootnoteText"/>
        <w:spacing w:after="120"/>
        <w:ind w:firstLine="720"/>
      </w:pPr>
      <w:r>
        <w:rPr>
          <w:rStyle w:val="FootnoteReference"/>
        </w:rPr>
        <w:footnoteRef/>
      </w:r>
      <w:r>
        <w:t xml:space="preserve"> Given this holding, we need not address plaintiffs’ remaining argument that the trial court erred in concluding that, as a matter of law, the DOT cannot be held liable for the criminal </w:t>
      </w:r>
      <w:r>
        <w:t>conduct of the drunk driver that killed decedent.  As stated, we uphold the trial court’s grant of summary judgment so long as it is correct on any ground</w:t>
      </w:r>
      <w:r>
        <w:t>s</w:t>
      </w:r>
      <w:r>
        <w:t>.  (</w:t>
      </w:r>
      <w:r w:rsidRPr="007F3E88">
        <w:rPr>
          <w:i/>
          <w:iCs/>
        </w:rPr>
        <w:t>Arvizu, supra</w:t>
      </w:r>
      <w:r>
        <w:t>, 21 Cal.App.5th at p. 763.)</w:t>
      </w:r>
    </w:p>
  </w:footnote>
  <w:footnote w:id="4">
    <w:p w14:paraId="095EF9D7" w14:textId="77777777" w:rsidR="00990C2F" w:rsidRDefault="00990C2F" w:rsidP="00990C2F">
      <w:pPr>
        <w:pStyle w:val="FootnoteText"/>
        <w:spacing w:after="120"/>
        <w:ind w:firstLine="720"/>
      </w:pPr>
      <w:r>
        <w:rPr>
          <w:rStyle w:val="FootnoteReference"/>
        </w:rPr>
        <w:t>*</w:t>
      </w:r>
      <w:r>
        <w:t xml:space="preserve"> Jackson, P. J.; Simons, J.; Burns, 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E4BB" w14:textId="77777777" w:rsidR="006E2D9B" w:rsidRPr="006E2D9B" w:rsidRDefault="00F20D43" w:rsidP="006E2D9B">
    <w:pPr>
      <w:pStyle w:val="Header"/>
      <w:tabs>
        <w:tab w:val="clear" w:pos="720"/>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7EC7" w14:textId="77777777" w:rsidR="002C6101" w:rsidRPr="002C6101" w:rsidRDefault="00F20D43" w:rsidP="002C6101">
    <w:pPr>
      <w:pStyle w:val="Header"/>
      <w:tabs>
        <w:tab w:val="clear" w:pos="720"/>
        <w:tab w:val="clear" w:pos="4680"/>
        <w:tab w:val="clear" w:pos="9360"/>
      </w:tabs>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6C0C" w14:textId="77777777" w:rsidR="006E2D9B" w:rsidRPr="006E2D9B" w:rsidRDefault="00F20D43" w:rsidP="006E2D9B">
    <w:pPr>
      <w:pStyle w:val="Header"/>
      <w:tabs>
        <w:tab w:val="clear" w:pos="720"/>
        <w:tab w:val="clear" w:pos="4680"/>
        <w:tab w:val="clear"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2A2A" w14:textId="77777777" w:rsidR="002C6101" w:rsidRPr="002C6101" w:rsidRDefault="00F20D43" w:rsidP="002C6101">
    <w:pPr>
      <w:pStyle w:val="Header"/>
      <w:tabs>
        <w:tab w:val="clear" w:pos="720"/>
        <w:tab w:val="clear" w:pos="4680"/>
        <w:tab w:val="clear" w:pos="9360"/>
      </w:tabs>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3F05"/>
    <w:multiLevelType w:val="hybridMultilevel"/>
    <w:tmpl w:val="1AE6468C"/>
    <w:lvl w:ilvl="0" w:tplc="9C12E454">
      <w:start w:val="1"/>
      <w:numFmt w:val="upperRoman"/>
      <w:lvlText w:val="%1."/>
      <w:lvlJc w:val="left"/>
      <w:pPr>
        <w:ind w:left="1080" w:hanging="720"/>
      </w:pPr>
      <w:rPr>
        <w:rFonts w:hint="default"/>
        <w:i w:val="0"/>
        <w:iCs w:val="0"/>
      </w:rPr>
    </w:lvl>
    <w:lvl w:ilvl="1" w:tplc="2D2C645C" w:tentative="1">
      <w:start w:val="1"/>
      <w:numFmt w:val="lowerLetter"/>
      <w:lvlText w:val="%2."/>
      <w:lvlJc w:val="left"/>
      <w:pPr>
        <w:ind w:left="1440" w:hanging="360"/>
      </w:pPr>
    </w:lvl>
    <w:lvl w:ilvl="2" w:tplc="9E92C580" w:tentative="1">
      <w:start w:val="1"/>
      <w:numFmt w:val="lowerRoman"/>
      <w:lvlText w:val="%3."/>
      <w:lvlJc w:val="right"/>
      <w:pPr>
        <w:ind w:left="2160" w:hanging="180"/>
      </w:pPr>
    </w:lvl>
    <w:lvl w:ilvl="3" w:tplc="77F0C91E" w:tentative="1">
      <w:start w:val="1"/>
      <w:numFmt w:val="decimal"/>
      <w:lvlText w:val="%4."/>
      <w:lvlJc w:val="left"/>
      <w:pPr>
        <w:ind w:left="2880" w:hanging="360"/>
      </w:pPr>
    </w:lvl>
    <w:lvl w:ilvl="4" w:tplc="090095EE" w:tentative="1">
      <w:start w:val="1"/>
      <w:numFmt w:val="lowerLetter"/>
      <w:lvlText w:val="%5."/>
      <w:lvlJc w:val="left"/>
      <w:pPr>
        <w:ind w:left="3600" w:hanging="360"/>
      </w:pPr>
    </w:lvl>
    <w:lvl w:ilvl="5" w:tplc="4448CAD0" w:tentative="1">
      <w:start w:val="1"/>
      <w:numFmt w:val="lowerRoman"/>
      <w:lvlText w:val="%6."/>
      <w:lvlJc w:val="right"/>
      <w:pPr>
        <w:ind w:left="4320" w:hanging="180"/>
      </w:pPr>
    </w:lvl>
    <w:lvl w:ilvl="6" w:tplc="0EE02814" w:tentative="1">
      <w:start w:val="1"/>
      <w:numFmt w:val="decimal"/>
      <w:lvlText w:val="%7."/>
      <w:lvlJc w:val="left"/>
      <w:pPr>
        <w:ind w:left="5040" w:hanging="360"/>
      </w:pPr>
    </w:lvl>
    <w:lvl w:ilvl="7" w:tplc="DC425D6E" w:tentative="1">
      <w:start w:val="1"/>
      <w:numFmt w:val="lowerLetter"/>
      <w:lvlText w:val="%8."/>
      <w:lvlJc w:val="left"/>
      <w:pPr>
        <w:ind w:left="5760" w:hanging="360"/>
      </w:pPr>
    </w:lvl>
    <w:lvl w:ilvl="8" w:tplc="9C9C8FDA" w:tentative="1">
      <w:start w:val="1"/>
      <w:numFmt w:val="lowerRoman"/>
      <w:lvlText w:val="%9."/>
      <w:lvlJc w:val="right"/>
      <w:pPr>
        <w:ind w:left="6480" w:hanging="180"/>
      </w:pPr>
    </w:lvl>
  </w:abstractNum>
  <w:abstractNum w:abstractNumId="1" w15:restartNumberingAfterBreak="0">
    <w:nsid w:val="0B560F11"/>
    <w:multiLevelType w:val="hybridMultilevel"/>
    <w:tmpl w:val="589A6820"/>
    <w:lvl w:ilvl="0" w:tplc="C34E01FE">
      <w:start w:val="1"/>
      <w:numFmt w:val="upperLetter"/>
      <w:lvlText w:val="%1."/>
      <w:lvlJc w:val="left"/>
      <w:pPr>
        <w:ind w:left="1440" w:hanging="720"/>
      </w:pPr>
      <w:rPr>
        <w:rFonts w:hint="default"/>
      </w:rPr>
    </w:lvl>
    <w:lvl w:ilvl="1" w:tplc="DB12EAC8" w:tentative="1">
      <w:start w:val="1"/>
      <w:numFmt w:val="lowerLetter"/>
      <w:lvlText w:val="%2."/>
      <w:lvlJc w:val="left"/>
      <w:pPr>
        <w:ind w:left="1800" w:hanging="360"/>
      </w:pPr>
    </w:lvl>
    <w:lvl w:ilvl="2" w:tplc="B914D3AA" w:tentative="1">
      <w:start w:val="1"/>
      <w:numFmt w:val="lowerRoman"/>
      <w:lvlText w:val="%3."/>
      <w:lvlJc w:val="right"/>
      <w:pPr>
        <w:ind w:left="2520" w:hanging="180"/>
      </w:pPr>
    </w:lvl>
    <w:lvl w:ilvl="3" w:tplc="AB68374A" w:tentative="1">
      <w:start w:val="1"/>
      <w:numFmt w:val="decimal"/>
      <w:lvlText w:val="%4."/>
      <w:lvlJc w:val="left"/>
      <w:pPr>
        <w:ind w:left="3240" w:hanging="360"/>
      </w:pPr>
    </w:lvl>
    <w:lvl w:ilvl="4" w:tplc="985A634A" w:tentative="1">
      <w:start w:val="1"/>
      <w:numFmt w:val="lowerLetter"/>
      <w:lvlText w:val="%5."/>
      <w:lvlJc w:val="left"/>
      <w:pPr>
        <w:ind w:left="3960" w:hanging="360"/>
      </w:pPr>
    </w:lvl>
    <w:lvl w:ilvl="5" w:tplc="A112C4FE" w:tentative="1">
      <w:start w:val="1"/>
      <w:numFmt w:val="lowerRoman"/>
      <w:lvlText w:val="%6."/>
      <w:lvlJc w:val="right"/>
      <w:pPr>
        <w:ind w:left="4680" w:hanging="180"/>
      </w:pPr>
    </w:lvl>
    <w:lvl w:ilvl="6" w:tplc="F5C65B04" w:tentative="1">
      <w:start w:val="1"/>
      <w:numFmt w:val="decimal"/>
      <w:lvlText w:val="%7."/>
      <w:lvlJc w:val="left"/>
      <w:pPr>
        <w:ind w:left="5400" w:hanging="360"/>
      </w:pPr>
    </w:lvl>
    <w:lvl w:ilvl="7" w:tplc="26E0B42C" w:tentative="1">
      <w:start w:val="1"/>
      <w:numFmt w:val="lowerLetter"/>
      <w:lvlText w:val="%8."/>
      <w:lvlJc w:val="left"/>
      <w:pPr>
        <w:ind w:left="6120" w:hanging="360"/>
      </w:pPr>
    </w:lvl>
    <w:lvl w:ilvl="8" w:tplc="890E41E6" w:tentative="1">
      <w:start w:val="1"/>
      <w:numFmt w:val="lowerRoman"/>
      <w:lvlText w:val="%9."/>
      <w:lvlJc w:val="right"/>
      <w:pPr>
        <w:ind w:left="6840" w:hanging="180"/>
      </w:pPr>
    </w:lvl>
  </w:abstractNum>
  <w:abstractNum w:abstractNumId="2" w15:restartNumberingAfterBreak="0">
    <w:nsid w:val="3DD717BB"/>
    <w:multiLevelType w:val="hybridMultilevel"/>
    <w:tmpl w:val="1F0ED9BA"/>
    <w:lvl w:ilvl="0" w:tplc="D952A35A">
      <w:start w:val="1"/>
      <w:numFmt w:val="decimal"/>
      <w:lvlText w:val="%1."/>
      <w:lvlJc w:val="left"/>
      <w:pPr>
        <w:ind w:left="720" w:hanging="360"/>
      </w:pPr>
    </w:lvl>
    <w:lvl w:ilvl="1" w:tplc="5714EBDE" w:tentative="1">
      <w:start w:val="1"/>
      <w:numFmt w:val="lowerLetter"/>
      <w:lvlText w:val="%2."/>
      <w:lvlJc w:val="left"/>
      <w:pPr>
        <w:ind w:left="1440" w:hanging="360"/>
      </w:pPr>
    </w:lvl>
    <w:lvl w:ilvl="2" w:tplc="3B4EA532" w:tentative="1">
      <w:start w:val="1"/>
      <w:numFmt w:val="lowerRoman"/>
      <w:lvlText w:val="%3."/>
      <w:lvlJc w:val="right"/>
      <w:pPr>
        <w:ind w:left="2160" w:hanging="180"/>
      </w:pPr>
    </w:lvl>
    <w:lvl w:ilvl="3" w:tplc="1D5A869C" w:tentative="1">
      <w:start w:val="1"/>
      <w:numFmt w:val="decimal"/>
      <w:lvlText w:val="%4."/>
      <w:lvlJc w:val="left"/>
      <w:pPr>
        <w:ind w:left="2880" w:hanging="360"/>
      </w:pPr>
    </w:lvl>
    <w:lvl w:ilvl="4" w:tplc="93DAA490" w:tentative="1">
      <w:start w:val="1"/>
      <w:numFmt w:val="lowerLetter"/>
      <w:lvlText w:val="%5."/>
      <w:lvlJc w:val="left"/>
      <w:pPr>
        <w:ind w:left="3600" w:hanging="360"/>
      </w:pPr>
    </w:lvl>
    <w:lvl w:ilvl="5" w:tplc="B5B09BB0" w:tentative="1">
      <w:start w:val="1"/>
      <w:numFmt w:val="lowerRoman"/>
      <w:lvlText w:val="%6."/>
      <w:lvlJc w:val="right"/>
      <w:pPr>
        <w:ind w:left="4320" w:hanging="180"/>
      </w:pPr>
    </w:lvl>
    <w:lvl w:ilvl="6" w:tplc="263C4138" w:tentative="1">
      <w:start w:val="1"/>
      <w:numFmt w:val="decimal"/>
      <w:lvlText w:val="%7."/>
      <w:lvlJc w:val="left"/>
      <w:pPr>
        <w:ind w:left="5040" w:hanging="360"/>
      </w:pPr>
    </w:lvl>
    <w:lvl w:ilvl="7" w:tplc="54CA26AA" w:tentative="1">
      <w:start w:val="1"/>
      <w:numFmt w:val="lowerLetter"/>
      <w:lvlText w:val="%8."/>
      <w:lvlJc w:val="left"/>
      <w:pPr>
        <w:ind w:left="5760" w:hanging="360"/>
      </w:pPr>
    </w:lvl>
    <w:lvl w:ilvl="8" w:tplc="926CAB74" w:tentative="1">
      <w:start w:val="1"/>
      <w:numFmt w:val="lowerRoman"/>
      <w:lvlText w:val="%9."/>
      <w:lvlJc w:val="right"/>
      <w:pPr>
        <w:ind w:left="6480" w:hanging="180"/>
      </w:pPr>
    </w:lvl>
  </w:abstractNum>
  <w:num w:numId="1" w16cid:durableId="1361273422">
    <w:abstractNumId w:val="2"/>
  </w:num>
  <w:num w:numId="2" w16cid:durableId="1259798604">
    <w:abstractNumId w:val="0"/>
  </w:num>
  <w:num w:numId="3" w16cid:durableId="2128890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58"/>
    <w:rsid w:val="00543E58"/>
    <w:rsid w:val="00990C2F"/>
    <w:rsid w:val="00C65319"/>
    <w:rsid w:val="00F2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07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s>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163"/>
    <w:pPr>
      <w:tabs>
        <w:tab w:val="center" w:pos="4680"/>
        <w:tab w:val="right" w:pos="9360"/>
      </w:tabs>
      <w:spacing w:line="240" w:lineRule="auto"/>
    </w:pPr>
  </w:style>
  <w:style w:type="character" w:customStyle="1" w:styleId="HeaderChar">
    <w:name w:val="Header Char"/>
    <w:basedOn w:val="DefaultParagraphFont"/>
    <w:link w:val="Header"/>
    <w:uiPriority w:val="99"/>
    <w:rsid w:val="007B3163"/>
  </w:style>
  <w:style w:type="paragraph" w:styleId="Footer">
    <w:name w:val="footer"/>
    <w:basedOn w:val="Normal"/>
    <w:link w:val="FooterChar"/>
    <w:uiPriority w:val="99"/>
    <w:unhideWhenUsed/>
    <w:rsid w:val="007B3163"/>
    <w:pPr>
      <w:tabs>
        <w:tab w:val="center" w:pos="4680"/>
        <w:tab w:val="right" w:pos="9360"/>
      </w:tabs>
      <w:spacing w:line="240" w:lineRule="auto"/>
    </w:pPr>
  </w:style>
  <w:style w:type="character" w:customStyle="1" w:styleId="FooterChar">
    <w:name w:val="Footer Char"/>
    <w:basedOn w:val="DefaultParagraphFont"/>
    <w:link w:val="Footer"/>
    <w:uiPriority w:val="99"/>
    <w:rsid w:val="007B3163"/>
  </w:style>
  <w:style w:type="character" w:styleId="PageNumber">
    <w:name w:val="page number"/>
    <w:basedOn w:val="DefaultParagraphFont"/>
    <w:uiPriority w:val="99"/>
    <w:semiHidden/>
    <w:unhideWhenUsed/>
    <w:rsid w:val="007B3163"/>
  </w:style>
  <w:style w:type="paragraph" w:styleId="FootnoteText">
    <w:name w:val="footnote text"/>
    <w:link w:val="FootnoteTextChar"/>
    <w:uiPriority w:val="99"/>
    <w:unhideWhenUsed/>
    <w:rsid w:val="007B3163"/>
    <w:pPr>
      <w:spacing w:line="240" w:lineRule="auto"/>
    </w:pPr>
    <w:rPr>
      <w:szCs w:val="20"/>
    </w:rPr>
  </w:style>
  <w:style w:type="character" w:customStyle="1" w:styleId="FootnoteTextChar">
    <w:name w:val="Footnote Text Char"/>
    <w:basedOn w:val="DefaultParagraphFont"/>
    <w:link w:val="FootnoteText"/>
    <w:uiPriority w:val="99"/>
    <w:rsid w:val="007B3163"/>
    <w:rPr>
      <w:szCs w:val="20"/>
    </w:rPr>
  </w:style>
  <w:style w:type="character" w:styleId="FootnoteReference">
    <w:name w:val="footnote reference"/>
    <w:basedOn w:val="DefaultParagraphFont"/>
    <w:uiPriority w:val="99"/>
    <w:semiHidden/>
    <w:unhideWhenUsed/>
    <w:rsid w:val="00A756ED"/>
    <w:rPr>
      <w:vertAlign w:val="superscript"/>
    </w:rPr>
  </w:style>
  <w:style w:type="character" w:customStyle="1" w:styleId="ssit">
    <w:name w:val="ss_it"/>
    <w:basedOn w:val="DefaultParagraphFont"/>
    <w:rsid w:val="00ED6CE7"/>
  </w:style>
  <w:style w:type="paragraph" w:styleId="NormalWeb">
    <w:name w:val="Normal (Web)"/>
    <w:basedOn w:val="Normal"/>
    <w:uiPriority w:val="99"/>
    <w:unhideWhenUsed/>
    <w:rsid w:val="00D66C79"/>
    <w:pPr>
      <w:tabs>
        <w:tab w:val="clear" w:pos="720"/>
      </w:tabs>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rfcpassagedeactivated">
    <w:name w:val="ss_rfcpassage_deactivated"/>
    <w:basedOn w:val="DefaultParagraphFont"/>
    <w:rsid w:val="00D66C79"/>
  </w:style>
  <w:style w:type="character" w:customStyle="1" w:styleId="ssheadnotelink">
    <w:name w:val="ss_headnotelink"/>
    <w:basedOn w:val="DefaultParagraphFont"/>
    <w:rsid w:val="00D66C79"/>
  </w:style>
  <w:style w:type="character" w:styleId="Hyperlink">
    <w:name w:val="Hyperlink"/>
    <w:basedOn w:val="DefaultParagraphFont"/>
    <w:uiPriority w:val="99"/>
    <w:semiHidden/>
    <w:unhideWhenUsed/>
    <w:rsid w:val="00D66C79"/>
    <w:rPr>
      <w:color w:val="0000FF"/>
      <w:u w:val="single"/>
    </w:rPr>
  </w:style>
  <w:style w:type="character" w:customStyle="1" w:styleId="ssbf">
    <w:name w:val="ss_bf"/>
    <w:basedOn w:val="DefaultParagraphFont"/>
    <w:rsid w:val="00D66C79"/>
  </w:style>
  <w:style w:type="character" w:customStyle="1" w:styleId="ssrfcsection">
    <w:name w:val="ss_rfcsection"/>
    <w:basedOn w:val="DefaultParagraphFont"/>
    <w:rsid w:val="0097410B"/>
  </w:style>
  <w:style w:type="character" w:customStyle="1" w:styleId="sssh">
    <w:name w:val="ss_sh"/>
    <w:basedOn w:val="DefaultParagraphFont"/>
    <w:rsid w:val="00973A47"/>
  </w:style>
  <w:style w:type="paragraph" w:styleId="ListParagraph">
    <w:name w:val="List Paragraph"/>
    <w:basedOn w:val="Normal"/>
    <w:uiPriority w:val="34"/>
    <w:qFormat/>
    <w:rsid w:val="001D5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4677</Words>
  <Characters>24567</Characters>
  <Application>Microsoft Office Word</Application>
  <DocSecurity>0</DocSecurity>
  <Lines>488</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2023-02-23T21:10:00Z</dcterms:created>
  <dcterms:modified xsi:type="dcterms:W3CDTF">2023-02-23T21:10:00Z</dcterms:modified>
  <cp:category/>
</cp:coreProperties>
</file>