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E16668" w:rsidP="00E16668" w14:paraId="3BB77DFD" w14:textId="77777777">
      <w:pPr>
        <w:spacing w:line="240" w:lineRule="auto"/>
        <w:rPr>
          <w:sz w:val="20"/>
          <w:szCs w:val="20"/>
        </w:rPr>
      </w:pPr>
      <w:r>
        <w:rPr>
          <w:sz w:val="20"/>
          <w:szCs w:val="20"/>
        </w:rPr>
        <w:t xml:space="preserve">Filed </w:t>
      </w:r>
      <w:r w:rsidR="002012C5">
        <w:rPr>
          <w:sz w:val="20"/>
          <w:szCs w:val="20"/>
        </w:rPr>
        <w:t>3/</w:t>
      </w:r>
      <w:r w:rsidR="006A3BC6">
        <w:rPr>
          <w:sz w:val="20"/>
          <w:szCs w:val="20"/>
        </w:rPr>
        <w:t>3</w:t>
      </w:r>
      <w:r w:rsidR="002012C5">
        <w:rPr>
          <w:sz w:val="20"/>
          <w:szCs w:val="20"/>
        </w:rPr>
        <w:t>/23</w:t>
      </w:r>
    </w:p>
    <w:p w:rsidR="00E16668" w:rsidP="00E16668" w14:paraId="09692376" w14:textId="77777777">
      <w:pPr>
        <w:spacing w:line="240" w:lineRule="auto"/>
        <w:jc w:val="center"/>
        <w:rPr>
          <w:b/>
          <w:szCs w:val="20"/>
        </w:rPr>
      </w:pPr>
      <w:r>
        <w:rPr>
          <w:b/>
          <w:szCs w:val="20"/>
        </w:rPr>
        <w:t>CERTIFIED FOR PUBLICATION</w:t>
      </w:r>
    </w:p>
    <w:p w:rsidR="00E16668" w:rsidP="00E16668" w14:paraId="21822376" w14:textId="77777777">
      <w:pPr>
        <w:spacing w:line="240" w:lineRule="auto"/>
        <w:jc w:val="center"/>
        <w:rPr>
          <w:sz w:val="20"/>
          <w:szCs w:val="20"/>
        </w:rPr>
      </w:pPr>
    </w:p>
    <w:p w:rsidR="004D4A2A" w:rsidP="00A83B9B" w14:paraId="1897252F" w14:textId="77777777">
      <w:pPr>
        <w:spacing w:line="240" w:lineRule="auto"/>
        <w:jc w:val="center"/>
      </w:pPr>
    </w:p>
    <w:p w:rsidR="008C69C3" w:rsidP="00A83B9B" w14:paraId="797A4234" w14:textId="77777777">
      <w:pPr>
        <w:spacing w:line="240" w:lineRule="auto"/>
        <w:jc w:val="center"/>
      </w:pPr>
      <w:r>
        <w:t>IN THE COURT OF APPEAL OF THE STATE OF CALIFORNIA</w:t>
      </w:r>
    </w:p>
    <w:p w:rsidR="00A83B9B" w:rsidP="00A83B9B" w14:paraId="624AC5B1" w14:textId="77777777">
      <w:pPr>
        <w:spacing w:line="240" w:lineRule="auto"/>
        <w:jc w:val="center"/>
      </w:pPr>
    </w:p>
    <w:p w:rsidR="00A83B9B" w:rsidP="00A83B9B" w14:paraId="698EFA6E" w14:textId="77777777">
      <w:pPr>
        <w:spacing w:line="240" w:lineRule="auto"/>
        <w:jc w:val="center"/>
      </w:pPr>
      <w:r>
        <w:t>FIRST APPELLATE DISTRICT</w:t>
      </w:r>
    </w:p>
    <w:p w:rsidR="00A83B9B" w:rsidP="00A83B9B" w14:paraId="2D2A33B7" w14:textId="77777777">
      <w:pPr>
        <w:spacing w:line="240" w:lineRule="auto"/>
        <w:jc w:val="center"/>
      </w:pPr>
    </w:p>
    <w:p w:rsidR="00A83B9B" w:rsidP="00A83B9B" w14:paraId="470EC095" w14:textId="77777777">
      <w:pPr>
        <w:spacing w:line="240" w:lineRule="auto"/>
        <w:jc w:val="center"/>
      </w:pPr>
      <w:r>
        <w:t>DIVISION FIVE</w:t>
      </w:r>
    </w:p>
    <w:p w:rsidR="00A83B9B" w:rsidP="00A83B9B" w14:paraId="1BFEEA73" w14:textId="77777777">
      <w:pPr>
        <w:spacing w:line="240" w:lineRule="auto"/>
        <w:jc w:val="center"/>
      </w:pPr>
    </w:p>
    <w:p w:rsidR="00A83B9B" w:rsidP="00A83B9B" w14:paraId="1D74FAD9" w14:textId="77777777">
      <w:pPr>
        <w:spacing w:line="240" w:lineRule="auto"/>
        <w:jc w:val="center"/>
      </w:pPr>
    </w:p>
    <w:tbl>
      <w:tblPr>
        <w:tblW w:w="0" w:type="auto"/>
        <w:tblInd w:w="0" w:type="dxa"/>
        <w:tblLayout w:type="fixed"/>
        <w:tblCellMar>
          <w:top w:w="0" w:type="dxa"/>
          <w:left w:w="108" w:type="dxa"/>
          <w:bottom w:w="0" w:type="dxa"/>
          <w:right w:w="108" w:type="dxa"/>
        </w:tblCellMar>
        <w:tblLook w:val="0000"/>
      </w:tblPr>
      <w:tblGrid>
        <w:gridCol w:w="4680"/>
        <w:gridCol w:w="4680"/>
      </w:tblGrid>
      <w:tr w14:paraId="2148C9E4" w14:textId="77777777" w:rsidTr="00A83B9B">
        <w:tblPrEx>
          <w:tblW w:w="0" w:type="auto"/>
          <w:tblInd w:w="0" w:type="dxa"/>
          <w:tblLayout w:type="fixed"/>
          <w:tblCellMar>
            <w:top w:w="0" w:type="dxa"/>
            <w:left w:w="108" w:type="dxa"/>
            <w:bottom w:w="0" w:type="dxa"/>
            <w:right w:w="108" w:type="dxa"/>
          </w:tblCellMar>
          <w:tblLook w:val="0000"/>
        </w:tblPrEx>
        <w:tc>
          <w:tcPr>
            <w:tcW w:w="4680" w:type="dxa"/>
            <w:tcBorders>
              <w:bottom w:val="single" w:sz="4" w:space="0" w:color="auto"/>
              <w:right w:val="single" w:sz="4" w:space="0" w:color="auto"/>
            </w:tcBorders>
            <w:shd w:val="clear" w:color="auto" w:fill="auto"/>
          </w:tcPr>
          <w:p w:rsidR="00A83B9B" w:rsidP="00A83B9B" w14:paraId="2BC80BBC"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BREAT</w:t>
            </w:r>
            <w:r w:rsidR="004A610D">
              <w:rPr>
                <w:rFonts w:ascii="Century Schoolbook" w:hAnsi="Century Schoolbook" w:eastAsiaTheme="minorHAnsi" w:cstheme="minorBidi"/>
                <w:sz w:val="26"/>
                <w:szCs w:val="26"/>
                <w:lang w:val="en-US" w:eastAsia="en-US" w:bidi="ar-SA"/>
              </w:rPr>
              <w:t>H</w:t>
            </w:r>
            <w:r>
              <w:rPr>
                <w:rFonts w:ascii="Century Schoolbook" w:hAnsi="Century Schoolbook" w:eastAsiaTheme="minorHAnsi" w:cstheme="minorBidi"/>
                <w:sz w:val="26"/>
                <w:szCs w:val="26"/>
                <w:lang w:val="en-US" w:eastAsia="en-US" w:bidi="ar-SA"/>
              </w:rPr>
              <w:t>E SOUTHERN CALIFORNIA,</w:t>
            </w:r>
          </w:p>
          <w:p w:rsidR="00A83B9B" w:rsidP="00A83B9B" w14:paraId="3476E7EA"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ab/>
              <w:t>Defendant and Appellant,</w:t>
            </w:r>
          </w:p>
          <w:p w:rsidR="00A83B9B" w:rsidP="00A83B9B" w14:paraId="50ABD3D3"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v.</w:t>
            </w:r>
          </w:p>
          <w:p w:rsidR="00A83B9B" w:rsidP="00A83B9B" w14:paraId="6AEA1AFE"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AMERICAN LUNG ASSOCIATION,</w:t>
            </w:r>
          </w:p>
          <w:p w:rsidR="00A83B9B" w:rsidP="00A83B9B" w14:paraId="321A7E35"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ab/>
              <w:t>Plaintiff and Respondent.</w:t>
            </w:r>
          </w:p>
        </w:tc>
        <w:tc>
          <w:tcPr>
            <w:tcW w:w="4680" w:type="dxa"/>
            <w:tcBorders>
              <w:left w:val="single" w:sz="4" w:space="0" w:color="auto"/>
            </w:tcBorders>
            <w:shd w:val="clear" w:color="auto" w:fill="auto"/>
          </w:tcPr>
          <w:p w:rsidR="00A83B9B" w:rsidP="00A83B9B" w14:paraId="3D687B84"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A83B9B" w:rsidP="00A83B9B" w14:paraId="6C573CA2"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A83B9B" w:rsidP="00A83B9B" w14:paraId="69BE1034"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A160785</w:t>
            </w:r>
          </w:p>
          <w:p w:rsidR="00A83B9B" w:rsidP="00A83B9B" w14:paraId="3B8096BF"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A83B9B" w:rsidP="00A83B9B" w14:paraId="4F2400E4"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(Alameda County</w:t>
            </w:r>
          </w:p>
          <w:p w:rsidR="00A83B9B" w:rsidP="00A83B9B" w14:paraId="33430D0F"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Super. Ct. No. RG05228892)</w:t>
            </w:r>
          </w:p>
          <w:p w:rsidR="00A83B9B" w:rsidP="00A83B9B" w14:paraId="2E58D74F"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tc>
      </w:tr>
    </w:tbl>
    <w:p w:rsidR="00A83B9B" w:rsidP="00A83B9B" w14:paraId="007601A7" w14:textId="77777777">
      <w:pPr>
        <w:spacing w:line="360" w:lineRule="auto"/>
      </w:pPr>
    </w:p>
    <w:p w:rsidR="00A83B9B" w:rsidP="00A83B9B" w14:paraId="4A2A24A1" w14:textId="77777777">
      <w:pPr>
        <w:spacing w:line="360" w:lineRule="auto"/>
      </w:pPr>
      <w:r>
        <w:tab/>
      </w:r>
      <w:r w:rsidR="00E93807">
        <w:t xml:space="preserve">Defendant Breathe Southern California (Breathe) appeals from the </w:t>
      </w:r>
      <w:r w:rsidR="00233C0C">
        <w:t xml:space="preserve">trial court’s judgment in favor </w:t>
      </w:r>
      <w:r w:rsidR="00721E2E">
        <w:t xml:space="preserve">of </w:t>
      </w:r>
      <w:r w:rsidR="00081746">
        <w:t>p</w:t>
      </w:r>
      <w:r w:rsidR="00721E2E">
        <w:t>laintiff American Lung Association (ALA)</w:t>
      </w:r>
      <w:r w:rsidR="00354880">
        <w:t>.</w:t>
      </w:r>
      <w:r w:rsidR="0087560F">
        <w:t xml:space="preserve">  Breathe disaffiliated from the ALA in 2006.</w:t>
      </w:r>
      <w:r w:rsidR="00354880">
        <w:t xml:space="preserve">  </w:t>
      </w:r>
      <w:r w:rsidR="000F74E9">
        <w:t>The trial court concluded</w:t>
      </w:r>
      <w:r w:rsidR="00FE5E40">
        <w:t xml:space="preserve"> Breathe </w:t>
      </w:r>
      <w:r w:rsidR="00F57544">
        <w:t xml:space="preserve">is </w:t>
      </w:r>
      <w:r w:rsidR="00EA4C0E">
        <w:t>required</w:t>
      </w:r>
      <w:r w:rsidR="00F57544">
        <w:t xml:space="preserve"> </w:t>
      </w:r>
      <w:r w:rsidR="00FE5E40">
        <w:t xml:space="preserve">to share </w:t>
      </w:r>
      <w:r w:rsidR="00F57544">
        <w:t xml:space="preserve">with </w:t>
      </w:r>
      <w:r w:rsidR="00750EFD">
        <w:t xml:space="preserve">the </w:t>
      </w:r>
      <w:r w:rsidR="00F57544">
        <w:t xml:space="preserve">ALA </w:t>
      </w:r>
      <w:r w:rsidR="00FE5E40">
        <w:t>the proceeds of three bequests</w:t>
      </w:r>
      <w:r w:rsidR="00C345D4">
        <w:t xml:space="preserve"> </w:t>
      </w:r>
      <w:r w:rsidR="00F57544">
        <w:t xml:space="preserve">made prior to disaffiliation.  </w:t>
      </w:r>
      <w:r w:rsidR="00750EFD">
        <w:t xml:space="preserve">We </w:t>
      </w:r>
      <w:r w:rsidR="000F74E9">
        <w:t>disagree and reverse</w:t>
      </w:r>
      <w:r w:rsidR="00750EFD">
        <w:t>.</w:t>
      </w:r>
    </w:p>
    <w:p w:rsidR="00A83B9B" w:rsidP="00A83B9B" w14:paraId="4DCC20D6" w14:textId="77777777">
      <w:pPr>
        <w:spacing w:line="360" w:lineRule="auto"/>
        <w:jc w:val="center"/>
      </w:pPr>
      <w:r>
        <w:t>BACKGROUND</w:t>
      </w:r>
      <w:r>
        <w:rPr>
          <w:rStyle w:val="FootnoteReference"/>
        </w:rPr>
        <w:footnoteReference w:id="2"/>
      </w:r>
    </w:p>
    <w:p w:rsidR="00A83B9B" w:rsidP="00A83B9B" w14:paraId="2B1489B6" w14:textId="77777777">
      <w:pPr>
        <w:spacing w:line="360" w:lineRule="auto"/>
      </w:pPr>
      <w:r>
        <w:tab/>
        <w:t>The organization currently known as Breathe was formed in 1903 as the Los Angeles Society</w:t>
      </w:r>
      <w:r w:rsidR="00EA728E">
        <w:t xml:space="preserve"> </w:t>
      </w:r>
      <w:r>
        <w:t xml:space="preserve">for the Study and Prevention of Tuberculosis. </w:t>
      </w:r>
      <w:r w:rsidR="00474F0C">
        <w:t xml:space="preserve"> </w:t>
      </w:r>
      <w:r>
        <w:t>Subsequently, the organization, which became</w:t>
      </w:r>
      <w:r w:rsidR="00EA728E">
        <w:t xml:space="preserve"> </w:t>
      </w:r>
      <w:r>
        <w:t>known as the American Lung Association of Los Angeles County, affiliated with the</w:t>
      </w:r>
      <w:r w:rsidR="00C471B5">
        <w:t xml:space="preserve"> national organization,</w:t>
      </w:r>
      <w:r w:rsidR="00EA728E">
        <w:t xml:space="preserve"> </w:t>
      </w:r>
      <w:r w:rsidR="006A2C89">
        <w:t>ALA</w:t>
      </w:r>
      <w:r w:rsidR="00A246FF">
        <w:t>,</w:t>
      </w:r>
      <w:r w:rsidR="006A2C89">
        <w:t xml:space="preserve"> and </w:t>
      </w:r>
      <w:r w:rsidR="005864B5">
        <w:t xml:space="preserve">a </w:t>
      </w:r>
      <w:r>
        <w:t>statewide “Constituent Association</w:t>
      </w:r>
      <w:r w:rsidR="006A2C89">
        <w:t>,</w:t>
      </w:r>
      <w:r>
        <w:t>”</w:t>
      </w:r>
      <w:r w:rsidR="006A2C89">
        <w:t xml:space="preserve"> the American Lung </w:t>
      </w:r>
      <w:r w:rsidR="006A2C89">
        <w:t>Association in California (ALAC).</w:t>
      </w:r>
      <w:r>
        <w:rPr>
          <w:rStyle w:val="FootnoteReference"/>
        </w:rPr>
        <w:footnoteReference w:id="3"/>
      </w:r>
      <w:r>
        <w:t xml:space="preserve"> </w:t>
      </w:r>
      <w:r w:rsidR="00EA728E">
        <w:t xml:space="preserve"> </w:t>
      </w:r>
      <w:r>
        <w:t>In</w:t>
      </w:r>
      <w:r w:rsidR="006A2C89">
        <w:t xml:space="preserve"> </w:t>
      </w:r>
      <w:r>
        <w:t xml:space="preserve">2006, through </w:t>
      </w:r>
      <w:r w:rsidR="00EA728E">
        <w:t>a</w:t>
      </w:r>
      <w:r>
        <w:t xml:space="preserve"> consent judgment, the American Lung Association</w:t>
      </w:r>
      <w:r w:rsidR="006A2C89">
        <w:t xml:space="preserve"> </w:t>
      </w:r>
      <w:r>
        <w:t>of Los Angeles County disaffiliated from the ALA and ALAC and was renamed Breathe.</w:t>
      </w:r>
      <w:r>
        <w:rPr>
          <w:rStyle w:val="FootnoteReference"/>
        </w:rPr>
        <w:footnoteReference w:id="4"/>
      </w:r>
    </w:p>
    <w:p w:rsidR="00EA728E" w:rsidRPr="00EA728E" w:rsidP="00EA728E" w14:paraId="4DF3C809" w14:textId="77777777">
      <w:pPr>
        <w:spacing w:line="360" w:lineRule="auto"/>
        <w:rPr>
          <w:u w:val="single"/>
        </w:rPr>
      </w:pPr>
      <w:r w:rsidRPr="00EA728E">
        <w:rPr>
          <w:u w:val="single"/>
        </w:rPr>
        <w:t>The Affiliate Agreement</w:t>
      </w:r>
    </w:p>
    <w:p w:rsidR="00DF433A" w:rsidP="00672BB8" w14:paraId="1C4DCE99" w14:textId="77777777">
      <w:pPr>
        <w:spacing w:line="360" w:lineRule="auto"/>
      </w:pPr>
      <w:r>
        <w:tab/>
        <w:t xml:space="preserve">Prior to disaffiliation, Breathe entered into annual affiliate agreements with ALAC, which entered into similar agreements with other affiliates, as well as a “Constituent Agreement” with the ALA.  The parties agree the last such agreement between Breathe and ALAC was dated July 1, 2004 and ran through June 30, 2005 (Affiliate Agreement).  In section F, the Affiliate Agreement provided for “income sharing” between </w:t>
      </w:r>
      <w:r w:rsidR="00B412D7">
        <w:t>Breathe</w:t>
      </w:r>
      <w:r>
        <w:t xml:space="preserve"> and ALAC, but specifically exempted various categories of income from sharing.  </w:t>
      </w:r>
      <w:r w:rsidR="00582DD1">
        <w:t xml:space="preserve">As relevant to this case, </w:t>
      </w:r>
      <w:r w:rsidR="00CC2B9A">
        <w:t>s</w:t>
      </w:r>
      <w:r>
        <w:t xml:space="preserve">ection F states, “ALAC and the Affiliate agree that in order to achieve the common purpose and program of ALAC and its affiliates, all income received by ALAC and its Affiliates shall be shared in the manner specified in Section G hereof, </w:t>
      </w:r>
      <w:r w:rsidRPr="00EA728E">
        <w:rPr>
          <w:i/>
          <w:iCs/>
        </w:rPr>
        <w:t>except for the matters excepted from income sharing</w:t>
      </w:r>
      <w:r>
        <w:t xml:space="preserve"> by the provisions of Paragraph 13 of the Constituent Agreement, that is, </w:t>
      </w:r>
      <w:r w:rsidRPr="00EA728E">
        <w:rPr>
          <w:i/>
          <w:iCs/>
        </w:rPr>
        <w:t>funds restricted in writing by the donor, not later than the date of donation, to</w:t>
      </w:r>
      <w:r>
        <w:rPr>
          <w:i/>
          <w:iCs/>
        </w:rPr>
        <w:t xml:space="preserve"> </w:t>
      </w:r>
      <w:r w:rsidRPr="00EA728E">
        <w:rPr>
          <w:i/>
          <w:iCs/>
        </w:rPr>
        <w:t>exclude or limit sharing, such restriction not having been invited by the donee association</w:t>
      </w:r>
      <w:r w:rsidR="0090593D">
        <w:t>. . . .</w:t>
      </w:r>
      <w:r>
        <w:t xml:space="preserve">  All income to be</w:t>
      </w:r>
      <w:r>
        <w:rPr>
          <w:i/>
          <w:iCs/>
        </w:rPr>
        <w:t xml:space="preserve"> </w:t>
      </w:r>
      <w:r>
        <w:t>shared pursuant to this paragraph is hereafter referred to as ‘shareable income.’  Upon request Lung</w:t>
      </w:r>
      <w:r>
        <w:rPr>
          <w:i/>
          <w:iCs/>
        </w:rPr>
        <w:t xml:space="preserve"> </w:t>
      </w:r>
      <w:r>
        <w:t xml:space="preserve">Associations </w:t>
      </w:r>
      <w:r>
        <w:t>shall provide documentation for income and receipts not shared.”  (Italics added.)</w:t>
      </w:r>
    </w:p>
    <w:p w:rsidR="00672BB8" w:rsidRPr="001E0C78" w:rsidP="00672BB8" w14:paraId="6FFB8870" w14:textId="77777777">
      <w:pPr>
        <w:spacing w:line="360" w:lineRule="auto"/>
        <w:rPr>
          <w:i/>
          <w:iCs/>
        </w:rPr>
      </w:pPr>
      <w:r>
        <w:tab/>
      </w:r>
      <w:r w:rsidR="00EA728E">
        <w:t>The</w:t>
      </w:r>
      <w:r w:rsidR="001E0C78">
        <w:rPr>
          <w:i/>
          <w:iCs/>
        </w:rPr>
        <w:t xml:space="preserve"> </w:t>
      </w:r>
      <w:r w:rsidR="00EA728E">
        <w:t>July 2004 constituent agreement between the ALA and ALAC contains a description of income excluded from sharing that is identical in all relevant respects.</w:t>
      </w:r>
      <w:r w:rsidR="00F943CF">
        <w:t xml:space="preserve">  </w:t>
      </w:r>
      <w:r w:rsidR="00A03275">
        <w:t xml:space="preserve">The </w:t>
      </w:r>
      <w:r w:rsidR="00F943CF">
        <w:t>ALA drafted th</w:t>
      </w:r>
      <w:r w:rsidR="00BC1B39">
        <w:t xml:space="preserve">e relevant language in section F of the Affiliate Agreement </w:t>
      </w:r>
      <w:r w:rsidR="00F943CF">
        <w:t xml:space="preserve">and </w:t>
      </w:r>
      <w:r w:rsidR="00A03275">
        <w:t xml:space="preserve">required </w:t>
      </w:r>
      <w:r w:rsidR="00BC1B39">
        <w:t xml:space="preserve">that </w:t>
      </w:r>
      <w:r w:rsidR="00F943CF">
        <w:t>it appear in all constituent and affiliate agreements.</w:t>
      </w:r>
    </w:p>
    <w:p w:rsidR="00EA728E" w:rsidRPr="00EA728E" w:rsidP="00EA728E" w14:paraId="1FAE2E1F" w14:textId="77777777">
      <w:pPr>
        <w:spacing w:line="360" w:lineRule="auto"/>
        <w:rPr>
          <w:u w:val="single"/>
        </w:rPr>
      </w:pPr>
      <w:r w:rsidRPr="00EA728E">
        <w:rPr>
          <w:u w:val="single"/>
        </w:rPr>
        <w:t>Disaffiliation and the 2006 Consent Judgment</w:t>
      </w:r>
    </w:p>
    <w:p w:rsidR="00EA728E" w:rsidP="00EA728E" w14:paraId="782C116F" w14:textId="77777777">
      <w:pPr>
        <w:spacing w:line="360" w:lineRule="auto"/>
      </w:pPr>
      <w:r>
        <w:tab/>
        <w:t xml:space="preserve">The ALA underwent a reorganization in late 2004 and early 2005. </w:t>
      </w:r>
      <w:r w:rsidR="002D03A7">
        <w:t xml:space="preserve"> </w:t>
      </w:r>
      <w:r>
        <w:t xml:space="preserve">In a declaration, the ALA’s Chief Operating Officer described it as “an effort to streamline the existing three levels of lung associations down to two.” </w:t>
      </w:r>
      <w:r w:rsidR="00844416">
        <w:t xml:space="preserve"> </w:t>
      </w:r>
      <w:r>
        <w:t>Breathe’s President and CEO averred in a declaration that the “ALA</w:t>
      </w:r>
      <w:r w:rsidR="00844416">
        <w:t xml:space="preserve"> </w:t>
      </w:r>
      <w:r>
        <w:t xml:space="preserve">demanded that [Breathe] transfer its assets and relinquish control to the national organization.”  The affiliate refused and decided to disaffiliate. </w:t>
      </w:r>
      <w:r w:rsidR="00844416">
        <w:t xml:space="preserve"> </w:t>
      </w:r>
      <w:r>
        <w:t xml:space="preserve">Subsequently, in summer 2005, </w:t>
      </w:r>
      <w:r w:rsidR="00CA52C8">
        <w:t xml:space="preserve">the </w:t>
      </w:r>
      <w:r>
        <w:t>ALA sued ALAC and its affiliates, including Breathe, for trademark infringement and related causes of action.</w:t>
      </w:r>
    </w:p>
    <w:p w:rsidR="00EA728E" w:rsidP="00EA728E" w14:paraId="4DA5B5AD" w14:textId="77777777">
      <w:pPr>
        <w:spacing w:line="360" w:lineRule="auto"/>
      </w:pPr>
      <w:r>
        <w:tab/>
        <w:t xml:space="preserve">In January 2006, the parties settled the litigation </w:t>
      </w:r>
      <w:r w:rsidR="0065709A">
        <w:t>and</w:t>
      </w:r>
      <w:r>
        <w:t xml:space="preserve"> the Alameda County Superior Court granted a joint motion to approve a consent judgment (Consent Judgment). </w:t>
      </w:r>
      <w:r w:rsidR="00B068E0">
        <w:t xml:space="preserve"> </w:t>
      </w:r>
      <w:r>
        <w:t>Under the Consent Judgment, certain affiliates agreed to merge into ALAC, while others (including Breathe) disaffiliated</w:t>
      </w:r>
      <w:r w:rsidR="00E87767">
        <w:t xml:space="preserve"> </w:t>
      </w:r>
      <w:r>
        <w:t>and agreed to change their names.  The parties agreed to a process for settling their outstanding accounts, including calculation of income remaining to be shared.</w:t>
      </w:r>
    </w:p>
    <w:p w:rsidR="00A83B9B" w:rsidP="00EA728E" w14:paraId="69378C7B" w14:textId="77777777">
      <w:pPr>
        <w:spacing w:line="360" w:lineRule="auto"/>
      </w:pPr>
      <w:r>
        <w:tab/>
        <w:t xml:space="preserve">At issue in </w:t>
      </w:r>
      <w:r w:rsidRPr="001C19A8" w:rsidR="001C19A8">
        <w:rPr>
          <w:i/>
          <w:iCs/>
        </w:rPr>
        <w:t>A</w:t>
      </w:r>
      <w:r w:rsidR="004075DB">
        <w:rPr>
          <w:i/>
          <w:iCs/>
        </w:rPr>
        <w:t>L</w:t>
      </w:r>
      <w:r w:rsidRPr="001C19A8" w:rsidR="001C19A8">
        <w:rPr>
          <w:i/>
          <w:iCs/>
        </w:rPr>
        <w:t>A I</w:t>
      </w:r>
      <w:r w:rsidR="001C19A8">
        <w:t xml:space="preserve">, </w:t>
      </w:r>
      <w:r w:rsidRPr="001C19A8" w:rsidR="001C19A8">
        <w:rPr>
          <w:i/>
          <w:iCs/>
        </w:rPr>
        <w:t>supra</w:t>
      </w:r>
      <w:r w:rsidR="001C19A8">
        <w:t xml:space="preserve">, </w:t>
      </w:r>
      <w:r w:rsidR="001D2AF7">
        <w:t>A147428</w:t>
      </w:r>
      <w:r>
        <w:t xml:space="preserve">, was </w:t>
      </w:r>
      <w:r w:rsidR="00EA728E">
        <w:t>paragraph 4(m) of the Consent Judgment, which governs the treatment of</w:t>
      </w:r>
      <w:r w:rsidR="00844416">
        <w:t xml:space="preserve"> </w:t>
      </w:r>
      <w:r w:rsidR="0050189B">
        <w:t>b</w:t>
      </w:r>
      <w:r w:rsidR="00EA728E">
        <w:t xml:space="preserve">equests. </w:t>
      </w:r>
      <w:r>
        <w:t xml:space="preserve"> </w:t>
      </w:r>
      <w:r w:rsidR="00EA728E">
        <w:t xml:space="preserve">In particular, paragraph 4(m)(ii) relates to </w:t>
      </w:r>
      <w:r w:rsidR="00E25594">
        <w:t>b</w:t>
      </w:r>
      <w:r w:rsidR="00EA728E">
        <w:t>equests</w:t>
      </w:r>
      <w:r>
        <w:t xml:space="preserve"> </w:t>
      </w:r>
      <w:r w:rsidR="00EA728E">
        <w:t>created before or within three months after the Consent Judgment</w:t>
      </w:r>
      <w:r>
        <w:t>’</w:t>
      </w:r>
      <w:r w:rsidR="00EA728E">
        <w:t>s December 31, 2005 “Financial</w:t>
      </w:r>
      <w:r>
        <w:t xml:space="preserve"> </w:t>
      </w:r>
      <w:r w:rsidR="00EA728E">
        <w:t xml:space="preserve">Closing Date.” </w:t>
      </w:r>
      <w:r>
        <w:t xml:space="preserve"> </w:t>
      </w:r>
      <w:r w:rsidR="00E55018">
        <w:t>U</w:t>
      </w:r>
      <w:r w:rsidR="00EA728E">
        <w:t>nder the Consent Judgment</w:t>
      </w:r>
      <w:r w:rsidR="000846BE">
        <w:t>,</w:t>
      </w:r>
      <w:r>
        <w:t xml:space="preserve"> </w:t>
      </w:r>
      <w:r w:rsidR="00EA728E">
        <w:t xml:space="preserve">a </w:t>
      </w:r>
      <w:r w:rsidR="00637E43">
        <w:t>b</w:t>
      </w:r>
      <w:r w:rsidR="00EA728E">
        <w:t xml:space="preserve">equest created during the specified timeframe shall be treated as an asset of </w:t>
      </w:r>
      <w:r w:rsidR="004235E5">
        <w:t xml:space="preserve">an independent affiliate, like </w:t>
      </w:r>
      <w:r w:rsidR="00EA728E">
        <w:t>Breathe</w:t>
      </w:r>
      <w:r w:rsidR="004235E5">
        <w:t>,</w:t>
      </w:r>
      <w:r w:rsidR="00EA728E">
        <w:t xml:space="preserve"> if </w:t>
      </w:r>
      <w:r w:rsidR="004235E5">
        <w:t xml:space="preserve">the bequest </w:t>
      </w:r>
      <w:r w:rsidR="00EA728E">
        <w:t>name</w:t>
      </w:r>
      <w:r w:rsidR="00FA5361">
        <w:t>d</w:t>
      </w:r>
      <w:r w:rsidR="00EA728E">
        <w:t xml:space="preserve"> American Lung Association of Los Angeles County (or similar designation) or if the donor</w:t>
      </w:r>
      <w:r>
        <w:t xml:space="preserve"> </w:t>
      </w:r>
      <w:r w:rsidR="00EA728E">
        <w:t>was domiciled in Breathe</w:t>
      </w:r>
      <w:r w:rsidR="00637E43">
        <w:t>’</w:t>
      </w:r>
      <w:r w:rsidR="00EA728E">
        <w:t>s territory prior to disaffiliation.</w:t>
      </w:r>
    </w:p>
    <w:p w:rsidR="00B068E0" w:rsidP="00B068E0" w14:paraId="13153456" w14:textId="77777777">
      <w:pPr>
        <w:spacing w:line="360" w:lineRule="auto"/>
      </w:pPr>
      <w:r>
        <w:tab/>
        <w:t xml:space="preserve">That a </w:t>
      </w:r>
      <w:r w:rsidR="00E25594">
        <w:t>b</w:t>
      </w:r>
      <w:r>
        <w:t xml:space="preserve">equest is to be “treated as an asset” of a former affiliate like Breathe does not mean the </w:t>
      </w:r>
      <w:r w:rsidR="00E25594">
        <w:t>b</w:t>
      </w:r>
      <w:r>
        <w:t>equest need not be shared with ALAC</w:t>
      </w:r>
      <w:r w:rsidR="0085366A">
        <w:t xml:space="preserve"> (succeeded by the ALA)</w:t>
      </w:r>
      <w:r>
        <w:t xml:space="preserve">.  The second sentence of paragraph 4(m)(ii) of the Consent Judgment provides, “Any Bequest or Planned Gift falling within the terms of this paragraph </w:t>
      </w:r>
      <w:r w:rsidRPr="00B068E0">
        <w:rPr>
          <w:i/>
          <w:iCs/>
        </w:rPr>
        <w:t>shall be subject to sharing as Shareable Income under the affiliate agreement</w:t>
      </w:r>
      <w:r>
        <w:t xml:space="preserve"> between the Independent Affiliate and ALAC covering the period July 1, 2004 to June 30, 2005, and the governing constituent agreement between ALA and ALAC.”  (Italics added.)  The Consent Judgment defines “Shareable Income” as “those income and receipts subject to income sharing as provided in the governing constituent agreement between ALA and ALAC and the governing affiliate agreement between ALAC and each Independent Affiliate.”</w:t>
      </w:r>
    </w:p>
    <w:p w:rsidR="00B068E0" w:rsidRPr="00B068E0" w:rsidP="00B068E0" w14:paraId="2F857F11" w14:textId="77777777">
      <w:pPr>
        <w:spacing w:line="360" w:lineRule="auto"/>
        <w:rPr>
          <w:u w:val="single"/>
        </w:rPr>
      </w:pPr>
      <w:r w:rsidRPr="00B068E0">
        <w:rPr>
          <w:u w:val="single"/>
        </w:rPr>
        <w:t>The 2010 Motion to Enforce the Consent Judgment</w:t>
      </w:r>
    </w:p>
    <w:p w:rsidR="00B068E0" w:rsidP="00B84BA8" w14:paraId="2F686F04" w14:textId="77777777">
      <w:pPr>
        <w:spacing w:line="360" w:lineRule="auto"/>
      </w:pPr>
      <w:r>
        <w:tab/>
        <w:t xml:space="preserve">In 2010, a group of four former California affiliates, including Breathe, filed a motion to enforce the Consent Judgment.  According to the motion, it was motivated by suspicions that </w:t>
      </w:r>
      <w:r w:rsidR="00AE1CB0">
        <w:t xml:space="preserve">the </w:t>
      </w:r>
      <w:r>
        <w:t xml:space="preserve">ALA and ALAC had failed to inform the former affiliates of shareable bequests.  </w:t>
      </w:r>
      <w:r w:rsidR="00B10DFC">
        <w:t>T</w:t>
      </w:r>
      <w:r>
        <w:t xml:space="preserve">he motion sought an order requiring </w:t>
      </w:r>
      <w:r w:rsidR="00AE1CB0">
        <w:t xml:space="preserve">the </w:t>
      </w:r>
      <w:r>
        <w:t xml:space="preserve">ALA and ALAC to, among other things, treat shareable bequests as assets of the former affiliates and to disclose information about bequests that </w:t>
      </w:r>
      <w:r w:rsidR="00AE1CB0">
        <w:t xml:space="preserve">the </w:t>
      </w:r>
      <w:r>
        <w:t>ALA or ALAC deemed non-shareable</w:t>
      </w:r>
      <w:r w:rsidR="00B84BA8">
        <w:t>.</w:t>
      </w:r>
    </w:p>
    <w:p w:rsidR="00B068E0" w:rsidP="00B068E0" w14:paraId="5477BD00" w14:textId="77777777">
      <w:pPr>
        <w:spacing w:line="360" w:lineRule="auto"/>
      </w:pPr>
      <w:r>
        <w:tab/>
      </w:r>
      <w:r w:rsidR="00B10DFC">
        <w:t>In relevant part</w:t>
      </w:r>
      <w:r>
        <w:t>, the trial court</w:t>
      </w:r>
      <w:r w:rsidR="00B84BA8">
        <w:t>’</w:t>
      </w:r>
      <w:r>
        <w:t>s July 2010 order on the motion required that the</w:t>
      </w:r>
      <w:r w:rsidR="00B84BA8">
        <w:t xml:space="preserve"> </w:t>
      </w:r>
      <w:r>
        <w:t xml:space="preserve">parties treat </w:t>
      </w:r>
      <w:r w:rsidR="00AE1CB0">
        <w:t>b</w:t>
      </w:r>
      <w:r>
        <w:t>equests “as assets” of the former affiliates when they fell under paragraph 4(m)(ii)</w:t>
      </w:r>
      <w:r w:rsidR="00B84BA8">
        <w:t xml:space="preserve"> </w:t>
      </w:r>
      <w:r>
        <w:t xml:space="preserve">of the Consent Judgment and concluded that information need not be shared regarding </w:t>
      </w:r>
      <w:r w:rsidR="00AE1CB0">
        <w:t>b</w:t>
      </w:r>
      <w:r>
        <w:t>equests</w:t>
      </w:r>
      <w:r w:rsidR="00B84BA8">
        <w:t xml:space="preserve"> </w:t>
      </w:r>
      <w:r>
        <w:t>outside the scope of the paragraph.</w:t>
      </w:r>
    </w:p>
    <w:p w:rsidR="00B84BA8" w:rsidRPr="00B84BA8" w:rsidP="00B84BA8" w14:paraId="109A8CF5" w14:textId="77777777">
      <w:pPr>
        <w:spacing w:line="360" w:lineRule="auto"/>
        <w:rPr>
          <w:u w:val="single"/>
        </w:rPr>
      </w:pPr>
      <w:r w:rsidRPr="00B84BA8">
        <w:rPr>
          <w:u w:val="single"/>
        </w:rPr>
        <w:t>The 2015 Motion to Enforce the Consent Judgment</w:t>
      </w:r>
    </w:p>
    <w:p w:rsidR="00B84BA8" w:rsidP="00B84BA8" w14:paraId="141E5252" w14:textId="77777777">
      <w:pPr>
        <w:spacing w:line="360" w:lineRule="auto"/>
      </w:pPr>
      <w:r>
        <w:tab/>
        <w:t xml:space="preserve">Over four years later, in January 2015, ALAC filed the motion to enforce the Consent Judgment that is the subject of the appeal in </w:t>
      </w:r>
      <w:r w:rsidRPr="001C19A8" w:rsidR="00F52C29">
        <w:rPr>
          <w:i/>
          <w:iCs/>
        </w:rPr>
        <w:t>A</w:t>
      </w:r>
      <w:r w:rsidR="004075DB">
        <w:rPr>
          <w:i/>
          <w:iCs/>
        </w:rPr>
        <w:t>L</w:t>
      </w:r>
      <w:r w:rsidRPr="001C19A8" w:rsidR="00F52C29">
        <w:rPr>
          <w:i/>
          <w:iCs/>
        </w:rPr>
        <w:t>A I</w:t>
      </w:r>
      <w:r w:rsidR="00F52C29">
        <w:t xml:space="preserve">, </w:t>
      </w:r>
      <w:r w:rsidRPr="001C19A8" w:rsidR="00F52C29">
        <w:rPr>
          <w:i/>
          <w:iCs/>
        </w:rPr>
        <w:t>supra</w:t>
      </w:r>
      <w:r w:rsidR="00F52C29">
        <w:t xml:space="preserve">, </w:t>
      </w:r>
      <w:r w:rsidR="005A645C">
        <w:t>A147428</w:t>
      </w:r>
      <w:r>
        <w:t xml:space="preserve">, and the present appeal.  Among other things, ALAC sought an order compelling Breathe to share three </w:t>
      </w:r>
      <w:r w:rsidR="00587C58">
        <w:t>b</w:t>
      </w:r>
      <w:r>
        <w:t xml:space="preserve">equests: the McNamara </w:t>
      </w:r>
      <w:r w:rsidR="00587C58">
        <w:t>bequest</w:t>
      </w:r>
      <w:r>
        <w:t xml:space="preserve">, the Carsten </w:t>
      </w:r>
      <w:r w:rsidR="00587C58">
        <w:t>bequest</w:t>
      </w:r>
      <w:r>
        <w:t xml:space="preserve">, and the Brunner </w:t>
      </w:r>
      <w:r w:rsidR="00587C58">
        <w:t>bequest</w:t>
      </w:r>
      <w:r>
        <w:t xml:space="preserve">.  All three </w:t>
      </w:r>
      <w:r w:rsidR="00587C58">
        <w:t>b</w:t>
      </w:r>
      <w:r>
        <w:t>equests were created but not distributed before the Consent Judgment.</w:t>
      </w:r>
    </w:p>
    <w:p w:rsidR="00B84BA8" w:rsidP="00B84BA8" w14:paraId="6A48D9EB" w14:textId="77777777">
      <w:pPr>
        <w:spacing w:line="360" w:lineRule="auto"/>
      </w:pPr>
      <w:r>
        <w:tab/>
      </w:r>
      <w:r w:rsidR="0006286B">
        <w:t>T</w:t>
      </w:r>
      <w:r>
        <w:t xml:space="preserve">he McNamara </w:t>
      </w:r>
      <w:r w:rsidR="00587C58">
        <w:t>b</w:t>
      </w:r>
      <w:r>
        <w:t>equest was created in November 2003, via a trust instrument gifting funds to the “American Lung Association of California, for use at its Los Angeles County affiliate.”  In January 2007, Breathe informed ALAC by letter of its receipt of a distribution from the</w:t>
      </w:r>
      <w:r w:rsidR="00BD5FE0">
        <w:t xml:space="preserve"> McNamara bequest</w:t>
      </w:r>
      <w:r>
        <w:t>.</w:t>
      </w:r>
      <w:r w:rsidR="00BD5FE0">
        <w:t xml:space="preserve">  </w:t>
      </w:r>
      <w:r>
        <w:t xml:space="preserve">Breathe did not share any distributions from the McNamara </w:t>
      </w:r>
      <w:r w:rsidR="00C15A63">
        <w:t>b</w:t>
      </w:r>
      <w:r>
        <w:t>equest.</w:t>
      </w:r>
    </w:p>
    <w:p w:rsidR="00B84BA8" w:rsidP="00B84BA8" w14:paraId="07DD0D2D" w14:textId="77777777">
      <w:pPr>
        <w:spacing w:line="360" w:lineRule="auto"/>
      </w:pPr>
      <w:r>
        <w:tab/>
      </w:r>
      <w:r w:rsidR="0094282E">
        <w:t>T</w:t>
      </w:r>
      <w:r>
        <w:t xml:space="preserve">he Carsten </w:t>
      </w:r>
      <w:r w:rsidR="00C15A63">
        <w:t>b</w:t>
      </w:r>
      <w:r>
        <w:t>equest was created in 1997; Ms. Carsten was domiciled in Los Angeles County.</w:t>
      </w:r>
      <w:r w:rsidR="00BD5FE0">
        <w:t xml:space="preserve">  Pursuant to </w:t>
      </w:r>
      <w:r w:rsidR="00B57692">
        <w:t>the Consent Decree</w:t>
      </w:r>
      <w:r w:rsidR="00BD5FE0">
        <w:t>, the bequest</w:t>
      </w:r>
      <w:r w:rsidR="00751E6B">
        <w:t xml:space="preserve"> became an asset of Breathe.</w:t>
      </w:r>
      <w:r w:rsidR="00694302">
        <w:t xml:space="preserve"> </w:t>
      </w:r>
      <w:r w:rsidR="00BD5FE0">
        <w:t xml:space="preserve"> </w:t>
      </w:r>
      <w:r>
        <w:t>The bequest provides for distribution of funds “to the American Lung Association for the purpose of establishing a perpetual fund to be known as the DON MARLIN and DR. MARY E.</w:t>
      </w:r>
      <w:r w:rsidR="00D678D2">
        <w:t xml:space="preserve"> </w:t>
      </w:r>
      <w:r>
        <w:t xml:space="preserve">CARSTEN MARLIN fund.  The income of this fund shall be used in the discretion of the Board of Directors of the American Lung Association, for one or more postdoctoral fellowships each year for research primarily in the area of bronchial asthma. </w:t>
      </w:r>
      <w:r w:rsidR="008C1FAE">
        <w:t xml:space="preserve"> </w:t>
      </w:r>
      <w:r>
        <w:t xml:space="preserve">The principal of this fund shall be held perpetually and shall be invested by the Board of Directors to the American Lung Association.”  The President and CEO of Breathe averred in a November 2015 declaration “that </w:t>
      </w:r>
      <w:r w:rsidR="008C7819">
        <w:t>[</w:t>
      </w:r>
      <w:r>
        <w:t xml:space="preserve">Breathe] determined that the Carsten </w:t>
      </w:r>
      <w:r w:rsidR="00042A27">
        <w:t>[b]</w:t>
      </w:r>
      <w:r>
        <w:t>equest was restricted in writing by the donor to exclude or limit sharing because it specifies the creation of a single fund.”</w:t>
      </w:r>
    </w:p>
    <w:p w:rsidR="00B84BA8" w:rsidP="00B84BA8" w14:paraId="464F340A" w14:textId="77777777">
      <w:pPr>
        <w:spacing w:line="360" w:lineRule="auto"/>
      </w:pPr>
      <w:r>
        <w:tab/>
      </w:r>
      <w:r w:rsidR="006C0755">
        <w:t>T</w:t>
      </w:r>
      <w:r>
        <w:t xml:space="preserve">he Brunner </w:t>
      </w:r>
      <w:r w:rsidR="00042A27">
        <w:t>b</w:t>
      </w:r>
      <w:r>
        <w:t xml:space="preserve">equest was created in May 1992. </w:t>
      </w:r>
      <w:r w:rsidR="008C7819">
        <w:t xml:space="preserve"> </w:t>
      </w:r>
      <w:r>
        <w:t>It provides for a distribution of funds to “The</w:t>
      </w:r>
      <w:r w:rsidR="008C7819">
        <w:t xml:space="preserve"> </w:t>
      </w:r>
      <w:r>
        <w:t>AMERICAN LUNG ASSOCIATION OF LOS ANGELES COUNTY, Los Angeles, California, to</w:t>
      </w:r>
      <w:r w:rsidR="008C7819">
        <w:t xml:space="preserve"> </w:t>
      </w:r>
      <w:r>
        <w:t>be used to establish the ERNEST BRUNNER AND IRENE BRUNNER FAMILY FUND, which</w:t>
      </w:r>
    </w:p>
    <w:p w:rsidR="00B84BA8" w:rsidP="008C7819" w14:paraId="678C426A" w14:textId="77777777">
      <w:pPr>
        <w:spacing w:line="360" w:lineRule="auto"/>
      </w:pPr>
      <w:r>
        <w:t>fund is to be used exclusively for research relating to the causes and prevention of lung disease.”</w:t>
      </w:r>
      <w:r w:rsidR="008C7819">
        <w:t xml:space="preserve">  </w:t>
      </w:r>
      <w:r>
        <w:t>The President and CEO of Breathe</w:t>
      </w:r>
      <w:r w:rsidR="008C7819">
        <w:t xml:space="preserve"> </w:t>
      </w:r>
      <w:r>
        <w:t xml:space="preserve">averred that </w:t>
      </w:r>
      <w:r w:rsidR="008C7819">
        <w:t xml:space="preserve">the organization </w:t>
      </w:r>
      <w:r>
        <w:t>“</w:t>
      </w:r>
      <w:r w:rsidR="008C7819">
        <w:t>d</w:t>
      </w:r>
      <w:r>
        <w:t xml:space="preserve">etermined that the Brunner </w:t>
      </w:r>
      <w:r w:rsidR="00B25869">
        <w:t>[b]</w:t>
      </w:r>
      <w:r>
        <w:t>equest was restricted in writing by the donor to exclude or</w:t>
      </w:r>
      <w:r w:rsidR="008C7819">
        <w:t xml:space="preserve"> l</w:t>
      </w:r>
      <w:r>
        <w:t>imit sharing because the donor writing</w:t>
      </w:r>
      <w:r w:rsidR="008C7819">
        <w:t xml:space="preserve"> </w:t>
      </w:r>
      <w:r>
        <w:t>specifies ‘a fund for research.’ ”</w:t>
      </w:r>
    </w:p>
    <w:p w:rsidR="008C7819" w:rsidP="008C1FAE" w14:paraId="0ADCD419" w14:textId="77777777">
      <w:pPr>
        <w:spacing w:line="360" w:lineRule="auto"/>
      </w:pPr>
      <w:r>
        <w:tab/>
        <w:t xml:space="preserve">To resolve the motion to enforce the Consent Judgment, the parties stipulated to the appointment of a referee under Code of Civil Procedure section 638.  In October 2015, following a hearing, the referee issued a decision compelling Breathe to share income from the McNamara, Carsten, and Brunner </w:t>
      </w:r>
      <w:r w:rsidR="001C6E3A">
        <w:t>b</w:t>
      </w:r>
      <w:r>
        <w:t xml:space="preserve">equests, regardless of any donors’ intent to restrict sharing.  The referee rejected Breathe’s contention that the Consent Judgment was meant to continue the parties’ practice as it existed before disaffiliation.  The </w:t>
      </w:r>
      <w:r w:rsidR="000A3008">
        <w:t>d</w:t>
      </w:r>
      <w:r>
        <w:t xml:space="preserve">ecision directed Breathe to pay ALAC its share of the three </w:t>
      </w:r>
      <w:r w:rsidR="001C6E3A">
        <w:t>b</w:t>
      </w:r>
      <w:r>
        <w:t>equests, as well as attorney fees.  In January 2016, the referee concluded that a</w:t>
      </w:r>
      <w:r w:rsidR="005A645C">
        <w:t xml:space="preserve"> </w:t>
      </w:r>
      <w:r>
        <w:t>1</w:t>
      </w:r>
      <w:r w:rsidR="005A645C">
        <w:t> percent-</w:t>
      </w:r>
      <w:r>
        <w:t>per</w:t>
      </w:r>
      <w:r w:rsidR="005A645C">
        <w:t>-</w:t>
      </w:r>
      <w:r>
        <w:t xml:space="preserve">month late fee specified in the Affiliate Agreement applied to the </w:t>
      </w:r>
      <w:r w:rsidR="001C6E3A">
        <w:t>b</w:t>
      </w:r>
      <w:r>
        <w:t>equests at issue.</w:t>
      </w:r>
    </w:p>
    <w:p w:rsidR="008C7819" w:rsidP="00CA3361" w14:paraId="54C172A9" w14:textId="77777777">
      <w:pPr>
        <w:spacing w:line="360" w:lineRule="auto"/>
      </w:pPr>
      <w:r>
        <w:tab/>
        <w:t xml:space="preserve">This court reversed in </w:t>
      </w:r>
      <w:r w:rsidRPr="001C19A8" w:rsidR="00F52C29">
        <w:rPr>
          <w:i/>
          <w:iCs/>
        </w:rPr>
        <w:t>A</w:t>
      </w:r>
      <w:r w:rsidR="004075DB">
        <w:rPr>
          <w:i/>
          <w:iCs/>
        </w:rPr>
        <w:t>L</w:t>
      </w:r>
      <w:r w:rsidRPr="001C19A8" w:rsidR="00F52C29">
        <w:rPr>
          <w:i/>
          <w:iCs/>
        </w:rPr>
        <w:t>A I</w:t>
      </w:r>
      <w:r w:rsidR="00F52C29">
        <w:t xml:space="preserve">, </w:t>
      </w:r>
      <w:r w:rsidRPr="001C19A8" w:rsidR="00F52C29">
        <w:rPr>
          <w:i/>
          <w:iCs/>
        </w:rPr>
        <w:t>supra</w:t>
      </w:r>
      <w:r w:rsidR="00F52C29">
        <w:t xml:space="preserve">, </w:t>
      </w:r>
      <w:r w:rsidR="000852E9">
        <w:t>A147428</w:t>
      </w:r>
      <w:r w:rsidR="00032B94">
        <w:t xml:space="preserve">, concluding </w:t>
      </w:r>
      <w:r w:rsidR="00805887">
        <w:t>the exceptions to sharing in section F</w:t>
      </w:r>
      <w:r w:rsidR="00117B02">
        <w:t xml:space="preserve"> of</w:t>
      </w:r>
      <w:r w:rsidR="00805887">
        <w:t xml:space="preserve"> the Affiliate Agreement applied under the Consent Judgment.  </w:t>
      </w:r>
      <w:r w:rsidR="00032B94">
        <w:t xml:space="preserve">We </w:t>
      </w:r>
      <w:r w:rsidR="00805887">
        <w:t>remanded</w:t>
      </w:r>
      <w:r w:rsidR="00CA3361">
        <w:t xml:space="preserve"> for a “determination of whether the three Bequests at issue are restricted within the meaning of</w:t>
      </w:r>
      <w:r w:rsidR="00E65268">
        <w:t xml:space="preserve"> [the] </w:t>
      </w:r>
      <w:r w:rsidR="00CA3361">
        <w:t xml:space="preserve">Affiliate Agreement.”  </w:t>
      </w:r>
      <w:r w:rsidR="006A5CBB">
        <w:t>(</w:t>
      </w:r>
      <w:r w:rsidR="006A5CBB">
        <w:rPr>
          <w:i/>
          <w:iCs/>
        </w:rPr>
        <w:t>Ibid.</w:t>
      </w:r>
      <w:r w:rsidR="006A5CBB">
        <w:t>)</w:t>
      </w:r>
    </w:p>
    <w:p w:rsidR="00A51CC8" w:rsidRPr="00A51CC8" w:rsidP="00CA3361" w14:paraId="1C58A459" w14:textId="77777777">
      <w:pPr>
        <w:spacing w:line="360" w:lineRule="auto"/>
        <w:rPr>
          <w:u w:val="single"/>
        </w:rPr>
      </w:pPr>
      <w:r>
        <w:rPr>
          <w:u w:val="single"/>
        </w:rPr>
        <w:t>Proceedings on Remand</w:t>
      </w:r>
    </w:p>
    <w:p w:rsidR="00B068E0" w:rsidP="008A7D01" w14:paraId="0FA5B3D7" w14:textId="77777777">
      <w:pPr>
        <w:spacing w:line="360" w:lineRule="auto"/>
      </w:pPr>
      <w:r>
        <w:tab/>
      </w:r>
      <w:r w:rsidR="00A51CC8">
        <w:t xml:space="preserve">On remand, </w:t>
      </w:r>
      <w:r w:rsidR="0018410A">
        <w:t xml:space="preserve">the trial court </w:t>
      </w:r>
      <w:r w:rsidR="00AA2E3B">
        <w:t xml:space="preserve">ruled in favor of </w:t>
      </w:r>
      <w:r w:rsidR="00D31DAE">
        <w:t xml:space="preserve">the </w:t>
      </w:r>
      <w:r w:rsidR="004075DB">
        <w:t xml:space="preserve">ALA, </w:t>
      </w:r>
      <w:r w:rsidR="00AA2E3B">
        <w:t>concluding</w:t>
      </w:r>
      <w:r w:rsidR="004075DB">
        <w:t xml:space="preserve"> the</w:t>
      </w:r>
      <w:r w:rsidR="00AA2E3B">
        <w:t xml:space="preserve"> </w:t>
      </w:r>
      <w:r w:rsidR="004075DB">
        <w:t xml:space="preserve">restricted </w:t>
      </w:r>
      <w:r w:rsidR="00537CF2">
        <w:t xml:space="preserve">funds </w:t>
      </w:r>
      <w:r w:rsidR="004075DB">
        <w:t xml:space="preserve">exception </w:t>
      </w:r>
      <w:r w:rsidR="00597435">
        <w:t xml:space="preserve">in section F of the Affiliate Agreement </w:t>
      </w:r>
      <w:r w:rsidR="004075DB">
        <w:t xml:space="preserve">was ambiguous and interpreting </w:t>
      </w:r>
      <w:r w:rsidR="004C5422">
        <w:t xml:space="preserve">it </w:t>
      </w:r>
      <w:r w:rsidR="004075DB">
        <w:t>to</w:t>
      </w:r>
      <w:r w:rsidR="00AA2E3B">
        <w:t xml:space="preserve"> </w:t>
      </w:r>
      <w:r w:rsidR="004075DB">
        <w:t xml:space="preserve">require “clear </w:t>
      </w:r>
      <w:r w:rsidR="00B6408F">
        <w:t>language</w:t>
      </w:r>
      <w:r w:rsidR="004075DB">
        <w:t>” by the donor</w:t>
      </w:r>
      <w:r w:rsidR="004C5422">
        <w:t xml:space="preserve">, </w:t>
      </w:r>
      <w:r w:rsidR="004075DB">
        <w:t>such as “donor does not</w:t>
      </w:r>
      <w:r w:rsidR="00AA2E3B">
        <w:t xml:space="preserve"> </w:t>
      </w:r>
      <w:r w:rsidR="004075DB">
        <w:t>want this bequest shared with the national American Lung Association or</w:t>
      </w:r>
      <w:r w:rsidR="008A7D01">
        <w:t xml:space="preserve"> the State constituent.”  Under this interpretation, the trial court held the three </w:t>
      </w:r>
      <w:r w:rsidR="007B6FAF">
        <w:t>b</w:t>
      </w:r>
      <w:r w:rsidR="008A7D01">
        <w:t xml:space="preserve">equests at issue </w:t>
      </w:r>
      <w:r w:rsidR="007B6FAF">
        <w:t>a</w:t>
      </w:r>
      <w:r w:rsidR="008A7D01">
        <w:t>re shareable.</w:t>
      </w:r>
    </w:p>
    <w:p w:rsidR="00BE074A" w:rsidP="008A7D01" w14:paraId="62F0F9D9" w14:textId="77777777">
      <w:pPr>
        <w:spacing w:line="360" w:lineRule="auto"/>
      </w:pPr>
      <w:r>
        <w:tab/>
        <w:t>The present appeal followed.</w:t>
      </w:r>
      <w:r>
        <w:rPr>
          <w:rStyle w:val="FootnoteReference"/>
        </w:rPr>
        <w:footnoteReference w:id="5"/>
      </w:r>
    </w:p>
    <w:p w:rsidR="00A83B9B" w:rsidP="00A83B9B" w14:paraId="51ADE341" w14:textId="77777777">
      <w:pPr>
        <w:spacing w:line="360" w:lineRule="auto"/>
        <w:jc w:val="center"/>
      </w:pPr>
      <w:r>
        <w:t>DISCUSSION</w:t>
      </w:r>
    </w:p>
    <w:p w:rsidR="00A83B9B" w:rsidP="00A83B9B" w14:paraId="16F42442" w14:textId="77777777">
      <w:pPr>
        <w:spacing w:line="360" w:lineRule="auto"/>
      </w:pPr>
      <w:r>
        <w:t xml:space="preserve">I. </w:t>
      </w:r>
      <w:r>
        <w:tab/>
      </w:r>
      <w:r w:rsidRPr="00DA14A4">
        <w:rPr>
          <w:i/>
          <w:iCs/>
        </w:rPr>
        <w:t>The Evidence Presented Below</w:t>
      </w:r>
      <w:r w:rsidR="00E81F08">
        <w:rPr>
          <w:i/>
          <w:iCs/>
        </w:rPr>
        <w:t xml:space="preserve"> and the Trial Court’s Ruling</w:t>
      </w:r>
    </w:p>
    <w:p w:rsidR="003E09D7" w:rsidP="00A83B9B" w14:paraId="2F1FC42E" w14:textId="77777777">
      <w:pPr>
        <w:spacing w:line="360" w:lineRule="auto"/>
      </w:pPr>
      <w:r>
        <w:tab/>
      </w:r>
      <w:r w:rsidR="008C51C4">
        <w:t xml:space="preserve">The </w:t>
      </w:r>
      <w:r>
        <w:t xml:space="preserve">ALA’s first witness was </w:t>
      </w:r>
      <w:r w:rsidRPr="00576E41">
        <w:t>Martha Bogdan</w:t>
      </w:r>
      <w:r>
        <w:t>,</w:t>
      </w:r>
      <w:r w:rsidR="0007799E">
        <w:t xml:space="preserve"> chief executive officer of the ALA’s Florida constituent office</w:t>
      </w:r>
      <w:r>
        <w:t xml:space="preserve"> </w:t>
      </w:r>
      <w:r w:rsidR="0007799E">
        <w:t xml:space="preserve">and </w:t>
      </w:r>
      <w:r>
        <w:t xml:space="preserve">previously </w:t>
      </w:r>
      <w:r w:rsidR="003013A2">
        <w:t>ex</w:t>
      </w:r>
      <w:r>
        <w:t xml:space="preserve">ecutive </w:t>
      </w:r>
      <w:r w:rsidR="003013A2">
        <w:t>d</w:t>
      </w:r>
      <w:r>
        <w:t xml:space="preserve">irector of </w:t>
      </w:r>
      <w:r w:rsidR="008C51C4">
        <w:t xml:space="preserve">the </w:t>
      </w:r>
      <w:r>
        <w:t xml:space="preserve">Delaware </w:t>
      </w:r>
      <w:r w:rsidR="00622221">
        <w:t>constituent</w:t>
      </w:r>
      <w:r w:rsidR="004C36F2">
        <w:t xml:space="preserve"> office</w:t>
      </w:r>
      <w:r>
        <w:t xml:space="preserve">. </w:t>
      </w:r>
      <w:r w:rsidR="0055145A">
        <w:t xml:space="preserve"> She testified that</w:t>
      </w:r>
      <w:r w:rsidR="00096C1D">
        <w:t xml:space="preserve"> those organizations had always </w:t>
      </w:r>
      <w:r w:rsidR="00BB5402">
        <w:t xml:space="preserve">shared their bequests with </w:t>
      </w:r>
      <w:r w:rsidR="00FF0EE4">
        <w:t xml:space="preserve">the </w:t>
      </w:r>
      <w:r w:rsidR="00BB5402">
        <w:t xml:space="preserve">ALA.  </w:t>
      </w:r>
      <w:r w:rsidR="00E65569">
        <w:t xml:space="preserve">The “income-sharing policy” was uniform across the country because </w:t>
      </w:r>
      <w:r w:rsidR="0091404E">
        <w:t xml:space="preserve">the agreements were based on a “template.”  </w:t>
      </w:r>
      <w:r w:rsidR="00C3415A">
        <w:t xml:space="preserve">She </w:t>
      </w:r>
      <w:r w:rsidR="0091404E">
        <w:t xml:space="preserve">attended annual </w:t>
      </w:r>
      <w:r w:rsidR="0021601A">
        <w:t>conference</w:t>
      </w:r>
      <w:r w:rsidR="0091404E">
        <w:t>s</w:t>
      </w:r>
      <w:r w:rsidR="0021601A">
        <w:t xml:space="preserve"> of executives</w:t>
      </w:r>
      <w:r w:rsidR="00E10241">
        <w:t>; the “shareability of bequest income” was a topic of discussion, although not a re</w:t>
      </w:r>
      <w:r w:rsidR="009C1761">
        <w:t>g</w:t>
      </w:r>
      <w:r w:rsidR="00E10241">
        <w:t>ular topic.</w:t>
      </w:r>
      <w:r w:rsidR="0021601A">
        <w:t xml:space="preserve"> </w:t>
      </w:r>
      <w:r w:rsidR="00EC6C74">
        <w:t xml:space="preserve"> </w:t>
      </w:r>
      <w:r w:rsidR="00EB4D25">
        <w:t xml:space="preserve">She testified she had never seen a “bequest with gift language that referred to an affiliate,” as the McNamara </w:t>
      </w:r>
      <w:r w:rsidR="00FF0EE4">
        <w:t>b</w:t>
      </w:r>
      <w:r w:rsidR="00EB4D25">
        <w:t>equest does.  On cross-examination, Ms.</w:t>
      </w:r>
      <w:r w:rsidRPr="00EB4D25" w:rsidR="00EB4D25">
        <w:t xml:space="preserve"> </w:t>
      </w:r>
      <w:r w:rsidRPr="00576E41" w:rsidR="00EB4D25">
        <w:t>Bogdan</w:t>
      </w:r>
      <w:r w:rsidR="00EB4D25">
        <w:t xml:space="preserve"> </w:t>
      </w:r>
      <w:r w:rsidR="001C3752">
        <w:t>admitted she had no involvement in negotiating the Affiliate Agreement</w:t>
      </w:r>
      <w:r w:rsidR="00D545B1">
        <w:t xml:space="preserve">, </w:t>
      </w:r>
      <w:r w:rsidR="00607CDC">
        <w:t xml:space="preserve">and </w:t>
      </w:r>
      <w:r w:rsidR="00D545B1">
        <w:t>she had never communicated with Breathe about the terms of the Agreement</w:t>
      </w:r>
      <w:r w:rsidR="00607CDC">
        <w:t xml:space="preserve">. </w:t>
      </w:r>
      <w:r w:rsidR="00D545B1">
        <w:t xml:space="preserve"> </w:t>
      </w:r>
      <w:r w:rsidR="00BB5402">
        <w:t xml:space="preserve">She </w:t>
      </w:r>
      <w:r w:rsidR="00DE373C">
        <w:t xml:space="preserve">also </w:t>
      </w:r>
      <w:r w:rsidR="00BB5402">
        <w:t xml:space="preserve">admitted </w:t>
      </w:r>
      <w:r w:rsidR="00F67B84">
        <w:t xml:space="preserve">she </w:t>
      </w:r>
      <w:r w:rsidR="007745CB">
        <w:t xml:space="preserve">had </w:t>
      </w:r>
      <w:r w:rsidR="00F67B84">
        <w:t>never consider</w:t>
      </w:r>
      <w:r w:rsidR="007745CB">
        <w:t>ed</w:t>
      </w:r>
      <w:r w:rsidR="00F67B84">
        <w:t xml:space="preserve"> whether a bequest was non-shareable under the restricted funds exception.</w:t>
      </w:r>
    </w:p>
    <w:p w:rsidR="009031AF" w:rsidP="009174AF" w14:paraId="70B5E822" w14:textId="77777777">
      <w:pPr>
        <w:spacing w:line="360" w:lineRule="auto"/>
      </w:pPr>
      <w:r>
        <w:tab/>
      </w:r>
      <w:r w:rsidR="001E3FBB">
        <w:t xml:space="preserve">The </w:t>
      </w:r>
      <w:r>
        <w:t xml:space="preserve">ALA’s second witness was Harold Wimmer, </w:t>
      </w:r>
      <w:r w:rsidR="001E3FBB">
        <w:t xml:space="preserve">the </w:t>
      </w:r>
      <w:r w:rsidR="00B33168">
        <w:t xml:space="preserve">ALA’s </w:t>
      </w:r>
      <w:r>
        <w:t>President and CEO.</w:t>
      </w:r>
      <w:r w:rsidR="00067C08">
        <w:t xml:space="preserve"> </w:t>
      </w:r>
      <w:r w:rsidR="0086300F">
        <w:t xml:space="preserve"> </w:t>
      </w:r>
      <w:r w:rsidR="00621167">
        <w:t xml:space="preserve">He had also held other positions with ALA affiliates and constituent offices.  </w:t>
      </w:r>
      <w:r w:rsidR="00FD4EC3">
        <w:t>H</w:t>
      </w:r>
      <w:r w:rsidR="00FB36B8">
        <w:t xml:space="preserve">e did not remember ever not sharing a bequest when he worked at </w:t>
      </w:r>
      <w:r w:rsidR="00FD4EC3">
        <w:t>affiliate and constituent offices</w:t>
      </w:r>
      <w:r w:rsidR="0086300F">
        <w:t>.</w:t>
      </w:r>
      <w:r w:rsidR="00BA0C12">
        <w:t xml:space="preserve">  </w:t>
      </w:r>
      <w:r w:rsidR="004017E7">
        <w:t>The ALA’s “</w:t>
      </w:r>
      <w:r w:rsidRPr="004017E7" w:rsidR="004017E7">
        <w:t>shared income policy</w:t>
      </w:r>
      <w:r w:rsidR="004017E7">
        <w:t xml:space="preserve">” was discussed at </w:t>
      </w:r>
      <w:r w:rsidR="00551C50">
        <w:t xml:space="preserve">the annual meetings of executives. </w:t>
      </w:r>
      <w:r w:rsidR="0086300F">
        <w:t xml:space="preserve"> </w:t>
      </w:r>
      <w:r w:rsidR="00A9759E">
        <w:t xml:space="preserve">The ALA’s policy was that </w:t>
      </w:r>
      <w:r w:rsidR="00296D4D">
        <w:t>bequest revenue was shareable</w:t>
      </w:r>
      <w:r w:rsidR="00E65E01">
        <w:t xml:space="preserve">.  </w:t>
      </w:r>
      <w:r w:rsidR="00C26F48">
        <w:t>On cross-examination, M</w:t>
      </w:r>
      <w:r w:rsidR="003B263B">
        <w:t>r</w:t>
      </w:r>
      <w:r w:rsidR="00C26F48">
        <w:t>.</w:t>
      </w:r>
      <w:r w:rsidRPr="00EB4D25" w:rsidR="00C26F48">
        <w:t xml:space="preserve"> </w:t>
      </w:r>
      <w:r w:rsidR="003B263B">
        <w:t>Wimmer</w:t>
      </w:r>
      <w:r w:rsidR="00C26F48">
        <w:t xml:space="preserve"> </w:t>
      </w:r>
      <w:r w:rsidR="0070181F">
        <w:t xml:space="preserve">acknowledged that, under the restricted </w:t>
      </w:r>
      <w:r w:rsidR="005D676B">
        <w:t>funds provision</w:t>
      </w:r>
      <w:r w:rsidR="0070181F">
        <w:t xml:space="preserve"> in the Affiliate Agreement, “if the donor intended the gift not to be shared . . . it should not be shared.”  </w:t>
      </w:r>
      <w:r w:rsidR="00C26AE3">
        <w:t>Mr. Wimmer</w:t>
      </w:r>
      <w:r w:rsidR="0070181F">
        <w:t xml:space="preserve"> </w:t>
      </w:r>
      <w:r w:rsidR="00C26F48">
        <w:t xml:space="preserve">had no involvement in negotiating the Affiliate Agreement, and he had never communicated with Breathe about the </w:t>
      </w:r>
      <w:r w:rsidR="00742EC3">
        <w:t>shar</w:t>
      </w:r>
      <w:r w:rsidR="007F4B02">
        <w:t>ea</w:t>
      </w:r>
      <w:r w:rsidR="00742EC3">
        <w:t>bility of bequests</w:t>
      </w:r>
      <w:r w:rsidR="002E37F2">
        <w:t xml:space="preserve"> prior to entry of the Consent Judgment in 2006</w:t>
      </w:r>
      <w:r w:rsidR="00C26F48">
        <w:t xml:space="preserve">. </w:t>
      </w:r>
      <w:r w:rsidR="00E16CD1">
        <w:t xml:space="preserve"> </w:t>
      </w:r>
      <w:r w:rsidR="00FE5D9B">
        <w:t xml:space="preserve">Regarding the McNamara </w:t>
      </w:r>
      <w:r w:rsidR="000676F1">
        <w:t>b</w:t>
      </w:r>
      <w:r w:rsidR="00FE5D9B">
        <w:t xml:space="preserve">equest, </w:t>
      </w:r>
      <w:r w:rsidR="00C26AE3">
        <w:t>he</w:t>
      </w:r>
      <w:r w:rsidR="00FE5D9B">
        <w:t xml:space="preserve"> testified he was </w:t>
      </w:r>
      <w:r w:rsidR="00C938A9">
        <w:t>“surprised that it was written in such a way that to be used by the Los Angeles affiliate.  Because . . . our donors are not really aware of that</w:t>
      </w:r>
      <w:r w:rsidR="009174AF">
        <w:t xml:space="preserve"> </w:t>
      </w:r>
      <w:r w:rsidR="00C938A9">
        <w:t>structure, that Los Angeles was an affiliate.”</w:t>
      </w:r>
    </w:p>
    <w:p w:rsidR="00D24A6D" w:rsidP="00D24A6D" w14:paraId="0D974EE0" w14:textId="77777777">
      <w:pPr>
        <w:spacing w:line="360" w:lineRule="auto"/>
      </w:pPr>
      <w:r>
        <w:tab/>
      </w:r>
      <w:r w:rsidR="000676F1">
        <w:t xml:space="preserve">The </w:t>
      </w:r>
      <w:r w:rsidR="00CA3F63">
        <w:t>ALA’s next witness was B</w:t>
      </w:r>
      <w:r w:rsidR="004F2CA2">
        <w:t>ill Pfeifer</w:t>
      </w:r>
      <w:r w:rsidR="00CA3F63">
        <w:t xml:space="preserve">, </w:t>
      </w:r>
      <w:r w:rsidR="000676F1">
        <w:t xml:space="preserve">the </w:t>
      </w:r>
      <w:r w:rsidR="00CA3F63">
        <w:t xml:space="preserve">ALA’s </w:t>
      </w:r>
      <w:r w:rsidR="004F2CA2">
        <w:t>executive vice president for governance and strategic</w:t>
      </w:r>
      <w:r w:rsidR="00CA3F63">
        <w:t xml:space="preserve"> </w:t>
      </w:r>
      <w:r w:rsidR="004F2CA2">
        <w:t>initiatives</w:t>
      </w:r>
      <w:r w:rsidR="00CA3F63">
        <w:t xml:space="preserve">. </w:t>
      </w:r>
      <w:r w:rsidR="004F2CA2">
        <w:t xml:space="preserve"> </w:t>
      </w:r>
      <w:r w:rsidR="008C3BDD">
        <w:t xml:space="preserve">He </w:t>
      </w:r>
      <w:r w:rsidR="004F2CA2">
        <w:t xml:space="preserve">previously </w:t>
      </w:r>
      <w:r w:rsidR="008C3BDD">
        <w:t>worked at a</w:t>
      </w:r>
      <w:r w:rsidR="00343262">
        <w:t xml:space="preserve"> Florida</w:t>
      </w:r>
      <w:r w:rsidR="008C3BDD">
        <w:t xml:space="preserve"> affiliate and constituent offices</w:t>
      </w:r>
      <w:r w:rsidR="00343262">
        <w:t xml:space="preserve"> in Oklahoma and Arizona</w:t>
      </w:r>
      <w:r w:rsidR="008C3BDD">
        <w:t>.</w:t>
      </w:r>
      <w:r w:rsidR="00877DEA">
        <w:t xml:space="preserve"> </w:t>
      </w:r>
      <w:r w:rsidR="004F2CA2">
        <w:t xml:space="preserve"> </w:t>
      </w:r>
      <w:r>
        <w:t>Mr. Pfeifer testified he had never disputed the sharing of income wh</w:t>
      </w:r>
      <w:r w:rsidR="0069339A">
        <w:t xml:space="preserve">en he worked at </w:t>
      </w:r>
      <w:r w:rsidR="00532AFA">
        <w:t xml:space="preserve">the Florida </w:t>
      </w:r>
      <w:r w:rsidR="0069339A">
        <w:t xml:space="preserve">affiliate and </w:t>
      </w:r>
      <w:r w:rsidR="00532AFA">
        <w:t>the Arizona</w:t>
      </w:r>
      <w:r w:rsidR="0069339A">
        <w:t xml:space="preserve"> constituent office</w:t>
      </w:r>
      <w:r>
        <w:t>.</w:t>
      </w:r>
      <w:r w:rsidR="004F4EB7">
        <w:t xml:space="preserve"> </w:t>
      </w:r>
      <w:r w:rsidR="00174747">
        <w:t xml:space="preserve"> The language </w:t>
      </w:r>
      <w:r w:rsidR="00452772">
        <w:t xml:space="preserve">in the Affiliate Agreement on restricted </w:t>
      </w:r>
      <w:r w:rsidR="00414E01">
        <w:t>funds</w:t>
      </w:r>
      <w:r w:rsidR="00452772">
        <w:t xml:space="preserve"> “was the standard language in all the agreements across the country.”</w:t>
      </w:r>
      <w:r w:rsidR="00FB767D">
        <w:t xml:space="preserve"> </w:t>
      </w:r>
      <w:r w:rsidR="00452772">
        <w:t xml:space="preserve"> </w:t>
      </w:r>
      <w:r w:rsidR="007838BF">
        <w:t>The ALA’s “</w:t>
      </w:r>
      <w:r w:rsidRPr="004017E7" w:rsidR="007838BF">
        <w:t>shared income policy</w:t>
      </w:r>
      <w:r w:rsidR="007838BF">
        <w:t>” was discussed at the annual meetings of executives.</w:t>
      </w:r>
      <w:r>
        <w:rPr>
          <w:rStyle w:val="FootnoteReference"/>
        </w:rPr>
        <w:footnoteReference w:id="6"/>
      </w:r>
    </w:p>
    <w:p w:rsidR="001C2D68" w:rsidP="00E460C5" w14:paraId="00B997DC" w14:textId="77777777">
      <w:pPr>
        <w:spacing w:line="360" w:lineRule="auto"/>
      </w:pPr>
      <w:r>
        <w:tab/>
        <w:t xml:space="preserve">Finally, </w:t>
      </w:r>
      <w:r w:rsidR="00185EBE">
        <w:t xml:space="preserve">the </w:t>
      </w:r>
      <w:r>
        <w:t>ALA presented the videotape</w:t>
      </w:r>
      <w:r w:rsidR="00CC05C5">
        <w:t>d</w:t>
      </w:r>
      <w:r>
        <w:t xml:space="preserve"> deposition testimony of Robert Churchill, </w:t>
      </w:r>
      <w:r w:rsidR="00185EBE">
        <w:t xml:space="preserve">its </w:t>
      </w:r>
      <w:r w:rsidR="00294FB5">
        <w:t xml:space="preserve">former </w:t>
      </w:r>
      <w:r>
        <w:t>general counsel</w:t>
      </w:r>
      <w:r w:rsidR="00185EBE">
        <w:t>.</w:t>
      </w:r>
      <w:r>
        <w:t xml:space="preserve">  </w:t>
      </w:r>
      <w:r w:rsidR="00C70185">
        <w:t>Mr. Churchill testified the</w:t>
      </w:r>
      <w:r w:rsidR="00AE6DAA">
        <w:t xml:space="preserve"> affiliate agreements were</w:t>
      </w:r>
      <w:r w:rsidR="00C70185">
        <w:t xml:space="preserve"> “uniform across the country,” as required by </w:t>
      </w:r>
      <w:r w:rsidR="00185EBE">
        <w:t xml:space="preserve">the </w:t>
      </w:r>
      <w:r w:rsidR="00C70185">
        <w:t xml:space="preserve">ALA’s </w:t>
      </w:r>
      <w:r w:rsidR="00DF22E6">
        <w:t>“</w:t>
      </w:r>
      <w:r w:rsidR="00C70185">
        <w:t>policy manual.</w:t>
      </w:r>
      <w:r w:rsidR="00DF22E6">
        <w:t>”</w:t>
      </w:r>
      <w:r w:rsidR="005C50AB">
        <w:t xml:space="preserve"> </w:t>
      </w:r>
      <w:r w:rsidR="00C70185">
        <w:t xml:space="preserve"> </w:t>
      </w:r>
      <w:r w:rsidR="00594144">
        <w:t xml:space="preserve">He explained, “Every constituent </w:t>
      </w:r>
      <w:r w:rsidR="00C27D90">
        <w:t xml:space="preserve">[and affiliate] </w:t>
      </w:r>
      <w:r w:rsidR="00594144">
        <w:t xml:space="preserve">signed with ALA an agreement in identical form, the sole exception being that addendums were permitted provided the addendums did not contain provisions which contradicted any portion of the standard agreement.” </w:t>
      </w:r>
      <w:r w:rsidR="00854FB7">
        <w:t xml:space="preserve"> The restricted </w:t>
      </w:r>
      <w:r w:rsidR="00185EBE">
        <w:t>funds</w:t>
      </w:r>
      <w:r w:rsidR="00854FB7">
        <w:t xml:space="preserve"> provision was already in the </w:t>
      </w:r>
      <w:r w:rsidR="00F27C32">
        <w:t>standard agreement when Mr.</w:t>
      </w:r>
      <w:r w:rsidR="000852E9">
        <w:t> </w:t>
      </w:r>
      <w:r w:rsidR="00F27C32">
        <w:t xml:space="preserve">Churchill’s firm began representing the ALA in 1986, </w:t>
      </w:r>
      <w:r w:rsidR="00440507">
        <w:t xml:space="preserve">but his firm recommended that </w:t>
      </w:r>
      <w:r w:rsidR="00185EBE">
        <w:t xml:space="preserve">the </w:t>
      </w:r>
      <w:r w:rsidR="00440507">
        <w:t>ALA add the language, “</w:t>
      </w:r>
      <w:r w:rsidR="00E460C5">
        <w:t xml:space="preserve">such restriction not having been invited by the donee association.” </w:t>
      </w:r>
    </w:p>
    <w:p w:rsidR="00026094" w:rsidP="003E6E73" w14:paraId="6B03740A" w14:textId="77777777">
      <w:pPr>
        <w:spacing w:line="360" w:lineRule="auto"/>
      </w:pPr>
      <w:r>
        <w:tab/>
        <w:t xml:space="preserve">Mr. Churchill testified his firm </w:t>
      </w:r>
      <w:r w:rsidR="00A37058">
        <w:t xml:space="preserve">advised </w:t>
      </w:r>
      <w:r w:rsidR="00185EBE">
        <w:t xml:space="preserve">the </w:t>
      </w:r>
      <w:r w:rsidR="00A37058">
        <w:t xml:space="preserve">ALA regarding the shareability of bequests because </w:t>
      </w:r>
      <w:r w:rsidR="00185EBE">
        <w:t>the organization</w:t>
      </w:r>
      <w:r w:rsidR="00114ECC">
        <w:t xml:space="preserve"> “frequently came up against situations</w:t>
      </w:r>
      <w:r w:rsidR="00185EBE">
        <w:t xml:space="preserve"> </w:t>
      </w:r>
      <w:r w:rsidR="00114ECC">
        <w:t xml:space="preserve">where donations were withheld by the local association.” </w:t>
      </w:r>
      <w:r w:rsidR="00E52F38">
        <w:t xml:space="preserve"> He testified Breathe (during the period when it was </w:t>
      </w:r>
      <w:r w:rsidR="006760DC">
        <w:t xml:space="preserve">the American Lung Association </w:t>
      </w:r>
      <w:r w:rsidR="00E52F38">
        <w:t>of Los Angeles)</w:t>
      </w:r>
      <w:r w:rsidR="008E3CA8">
        <w:t xml:space="preserve"> was among a group of affiliates </w:t>
      </w:r>
      <w:r w:rsidR="00E52F38">
        <w:t>“who constantly questioned the shareability of gifts.”</w:t>
      </w:r>
      <w:r w:rsidR="008E3CA8">
        <w:t xml:space="preserve"> </w:t>
      </w:r>
      <w:r w:rsidR="005D4517">
        <w:t xml:space="preserve"> But he did not testify regarding the specifics of any particular disputes. </w:t>
      </w:r>
      <w:r w:rsidR="00D060D8">
        <w:t xml:space="preserve"> </w:t>
      </w:r>
      <w:r w:rsidR="00EE4440">
        <w:t>Mr. Churc</w:t>
      </w:r>
      <w:r w:rsidR="007C2628">
        <w:t>h</w:t>
      </w:r>
      <w:r w:rsidR="00EE4440">
        <w:t xml:space="preserve">ill opined that </w:t>
      </w:r>
      <w:r w:rsidR="00D060D8">
        <w:t xml:space="preserve">a bequest </w:t>
      </w:r>
      <w:r w:rsidR="00EE4440">
        <w:t xml:space="preserve">could be </w:t>
      </w:r>
      <w:r w:rsidR="00D060D8">
        <w:t>considered restricted</w:t>
      </w:r>
      <w:r w:rsidR="00EE4440">
        <w:t xml:space="preserve"> “if</w:t>
      </w:r>
      <w:r w:rsidR="00D060D8">
        <w:t xml:space="preserve"> and only if it had a provision in the</w:t>
      </w:r>
      <w:r w:rsidR="007C2628">
        <w:t xml:space="preserve"> gift itself stating that the monies were not shareable with the national organization”</w:t>
      </w:r>
      <w:r w:rsidR="000F491E">
        <w:t xml:space="preserve"> or if the donation was not shareable “as a matter of law.”</w:t>
      </w:r>
      <w:r w:rsidR="007C2628">
        <w:t xml:space="preserve">  He did not testify that interpretation was shared with Breathe.</w:t>
      </w:r>
      <w:r w:rsidR="0092394C">
        <w:t xml:space="preserve">  On questioning from Breathe’s counsel, Mr. Churchill acknowledged that “[d]</w:t>
      </w:r>
      <w:r w:rsidRPr="0092394C" w:rsidR="0092394C">
        <w:t>onor intent is premier</w:t>
      </w:r>
      <w:r w:rsidR="0092394C">
        <w:t>.”</w:t>
      </w:r>
    </w:p>
    <w:p w:rsidR="00431D47" w:rsidP="00765370" w14:paraId="7E878869" w14:textId="77777777">
      <w:pPr>
        <w:spacing w:line="360" w:lineRule="auto"/>
      </w:pPr>
      <w:r>
        <w:tab/>
      </w:r>
      <w:r w:rsidR="00136626">
        <w:t xml:space="preserve">Breathe presented the testimony of </w:t>
      </w:r>
      <w:r w:rsidR="00512E66">
        <w:t>Enrique Chiock</w:t>
      </w:r>
      <w:r w:rsidR="00C15A66">
        <w:t xml:space="preserve">, who </w:t>
      </w:r>
      <w:r w:rsidR="00512E66">
        <w:t>served as President and CEO of Breathe from 1995</w:t>
      </w:r>
      <w:r w:rsidR="00C15A66">
        <w:t xml:space="preserve"> through </w:t>
      </w:r>
      <w:r w:rsidR="00512E66">
        <w:t>2017</w:t>
      </w:r>
      <w:r w:rsidR="00C15A66">
        <w:t xml:space="preserve">. </w:t>
      </w:r>
      <w:r w:rsidR="00A26B97">
        <w:t xml:space="preserve"> </w:t>
      </w:r>
      <w:r w:rsidR="00512E66">
        <w:t xml:space="preserve">Mr. Chiock did not recall any discussions with </w:t>
      </w:r>
      <w:r w:rsidR="00FE6683">
        <w:t xml:space="preserve">the </w:t>
      </w:r>
      <w:r w:rsidR="00512E66">
        <w:t xml:space="preserve">ALA, </w:t>
      </w:r>
      <w:r w:rsidR="00095529">
        <w:t xml:space="preserve">any constituent offices, </w:t>
      </w:r>
      <w:r w:rsidR="00512E66">
        <w:t xml:space="preserve">or </w:t>
      </w:r>
      <w:r w:rsidR="00095529">
        <w:t xml:space="preserve">any </w:t>
      </w:r>
      <w:r w:rsidR="00512E66">
        <w:t>other</w:t>
      </w:r>
      <w:r w:rsidR="00B01520">
        <w:t xml:space="preserve"> </w:t>
      </w:r>
      <w:r w:rsidR="00512E66">
        <w:t xml:space="preserve">affiliates about the restricted funds exception, and </w:t>
      </w:r>
      <w:r w:rsidR="00EE7C08">
        <w:t xml:space="preserve">the ALA never said </w:t>
      </w:r>
      <w:r w:rsidR="002B2229">
        <w:t xml:space="preserve">a donor had to </w:t>
      </w:r>
      <w:r w:rsidR="0028030F">
        <w:t>use language such as “</w:t>
      </w:r>
      <w:r w:rsidR="002B2229">
        <w:t>sharing is prohibited</w:t>
      </w:r>
      <w:r w:rsidR="0028030F">
        <w:t>”</w:t>
      </w:r>
      <w:r w:rsidR="002B2229">
        <w:t xml:space="preserve"> </w:t>
      </w:r>
      <w:r w:rsidR="00EE7C08">
        <w:t xml:space="preserve">in order </w:t>
      </w:r>
      <w:r w:rsidR="008F2727">
        <w:t xml:space="preserve">for </w:t>
      </w:r>
      <w:r w:rsidR="00205CE0">
        <w:t xml:space="preserve">the restricted funds </w:t>
      </w:r>
      <w:r w:rsidR="0028030F">
        <w:t>exception to apply.</w:t>
      </w:r>
      <w:r w:rsidR="009A7299">
        <w:t xml:space="preserve"> </w:t>
      </w:r>
      <w:r w:rsidR="008C4411">
        <w:t xml:space="preserve"> His</w:t>
      </w:r>
      <w:r w:rsidR="00DA322A">
        <w:t xml:space="preserve"> understanding of the provision was, “</w:t>
      </w:r>
      <w:r w:rsidRPr="00DA322A" w:rsidR="00DA322A">
        <w:t xml:space="preserve">if the purpose of the gift cannot be accomplished if shared, then </w:t>
      </w:r>
      <w:r w:rsidR="00DA322A">
        <w:t xml:space="preserve">[the gift is] </w:t>
      </w:r>
      <w:r w:rsidRPr="00DA322A" w:rsidR="00DA322A">
        <w:t>non-shareable.</w:t>
      </w:r>
      <w:r w:rsidR="00DA322A">
        <w:t xml:space="preserve">” </w:t>
      </w:r>
      <w:r w:rsidRPr="00DA322A" w:rsidR="00DA322A">
        <w:t xml:space="preserve"> </w:t>
      </w:r>
      <w:r w:rsidRPr="00774740" w:rsidR="00774740">
        <w:t>With respect to the McNamara bequest,</w:t>
      </w:r>
      <w:r w:rsidR="00774740">
        <w:t xml:space="preserve"> </w:t>
      </w:r>
      <w:r w:rsidR="00FE6683">
        <w:t xml:space="preserve">the </w:t>
      </w:r>
      <w:r w:rsidR="00765370">
        <w:t xml:space="preserve">ALA never asserted </w:t>
      </w:r>
      <w:r w:rsidR="00AE281E">
        <w:t xml:space="preserve">it had </w:t>
      </w:r>
      <w:r w:rsidR="00765370">
        <w:t>a right to share income from th</w:t>
      </w:r>
      <w:r w:rsidR="003E33AA">
        <w:t>e</w:t>
      </w:r>
      <w:r w:rsidR="00765370">
        <w:t xml:space="preserve"> bequest, </w:t>
      </w:r>
      <w:r w:rsidR="00D70DFE">
        <w:t>until this action</w:t>
      </w:r>
      <w:r w:rsidR="00765370">
        <w:t>.</w:t>
      </w:r>
    </w:p>
    <w:p w:rsidR="005D5DCD" w:rsidP="007117D9" w14:paraId="3089155D" w14:textId="77777777">
      <w:pPr>
        <w:spacing w:line="360" w:lineRule="auto"/>
      </w:pPr>
      <w:r>
        <w:tab/>
        <w:t xml:space="preserve">In June 2020, the trial court </w:t>
      </w:r>
      <w:r w:rsidR="00612A8F">
        <w:t>issued its ruling</w:t>
      </w:r>
      <w:r w:rsidR="007517CF">
        <w:t xml:space="preserve">.  The court found that </w:t>
      </w:r>
      <w:r w:rsidR="00FE6683">
        <w:t xml:space="preserve">the </w:t>
      </w:r>
      <w:r w:rsidR="007517CF">
        <w:t xml:space="preserve">ALA’s witnesses were credible, but they failed to present “any clear guidelines on how one is to determine whether or not a ‘bequest’ is shareable or not with the national or state organization.”  The court found </w:t>
      </w:r>
      <w:r>
        <w:t>the testimony of Breathe’s Mr. Chiock regarding “how he determined whether or not a ‘bequest’ was shareable . . . to be vague, confusing, contradictory, self-serving and without much foundation.”  The trial court concluded the restricted funds exception in the Affiliate Agreement is ambiguous</w:t>
      </w:r>
      <w:r w:rsidR="007267B1">
        <w:t>,</w:t>
      </w:r>
      <w:r>
        <w:t xml:space="preserve"> observ</w:t>
      </w:r>
      <w:r w:rsidR="007267B1">
        <w:t xml:space="preserve">ing </w:t>
      </w:r>
      <w:r>
        <w:t xml:space="preserve">it was “shocked that the types of disputes which brought this matter to this </w:t>
      </w:r>
      <w:r w:rsidR="002E559F">
        <w:t>[c]</w:t>
      </w:r>
      <w:r>
        <w:t>ourt have not been more prevalent throughout the [c]ourts of our country.”</w:t>
      </w:r>
    </w:p>
    <w:p w:rsidR="00EF7FBF" w:rsidP="007117D9" w14:paraId="160555F2" w14:textId="77777777">
      <w:pPr>
        <w:spacing w:line="360" w:lineRule="auto"/>
      </w:pPr>
      <w:r>
        <w:tab/>
        <w:t>Ultimately</w:t>
      </w:r>
      <w:r w:rsidR="00706639">
        <w:t xml:space="preserve">, the trial court </w:t>
      </w:r>
      <w:r w:rsidR="0007505A">
        <w:t xml:space="preserve">determined </w:t>
      </w:r>
      <w:r w:rsidR="00706639">
        <w:t xml:space="preserve">that a bequest is only restricted to exclude or limit sharing, within the meaning of the Affiliate Agreement, if it </w:t>
      </w:r>
      <w:r w:rsidR="00133607">
        <w:t>contains</w:t>
      </w:r>
      <w:r w:rsidR="00706639">
        <w:t xml:space="preserve"> </w:t>
      </w:r>
      <w:r w:rsidR="008168C1">
        <w:t xml:space="preserve">“clear </w:t>
      </w:r>
      <w:r w:rsidR="00706639">
        <w:t>language</w:t>
      </w:r>
      <w:r w:rsidR="008168C1">
        <w:t>”</w:t>
      </w:r>
      <w:r w:rsidR="00706639">
        <w:t xml:space="preserve"> such as “</w:t>
      </w:r>
      <w:r w:rsidR="00B140F6">
        <w:t> </w:t>
      </w:r>
      <w:r w:rsidR="00706639">
        <w:t>‘donor does not want this bequest shared with the national American Lung Association or the State constituent.</w:t>
      </w:r>
      <w:r w:rsidR="00B140F6">
        <w:t>’ </w:t>
      </w:r>
      <w:r w:rsidR="00706639">
        <w:t xml:space="preserve">”  The court did not reference any extrinsic evidence supporting that interpretation.  </w:t>
      </w:r>
      <w:r>
        <w:t>It appears the interpretation</w:t>
      </w:r>
      <w:r w:rsidR="00A80A10">
        <w:t xml:space="preserve"> was entirely dependent on the general “clear and strong mandate to share income” among the ALA entities.</w:t>
      </w:r>
    </w:p>
    <w:p w:rsidR="007117D9" w:rsidP="007117D9" w14:paraId="65BEF17D" w14:textId="77777777">
      <w:pPr>
        <w:spacing w:line="360" w:lineRule="auto"/>
      </w:pPr>
      <w:r>
        <w:tab/>
        <w:t xml:space="preserve">The trial court then turned to the three bequests at issue.  </w:t>
      </w:r>
      <w:r w:rsidR="0011388E">
        <w:t>It</w:t>
      </w:r>
      <w:r w:rsidR="00A80A10">
        <w:t xml:space="preserve"> </w:t>
      </w:r>
      <w:r w:rsidR="00706639">
        <w:t xml:space="preserve">concluded each bequest was shareable because </w:t>
      </w:r>
      <w:r w:rsidR="00AE1C62">
        <w:t xml:space="preserve">the bequests did not have “language that ‘excludes or limits’ </w:t>
      </w:r>
      <w:r w:rsidR="00AE1C62">
        <w:rPr>
          <w:u w:val="single"/>
        </w:rPr>
        <w:t xml:space="preserve">the sharing of </w:t>
      </w:r>
      <w:r w:rsidRPr="00AE1C62" w:rsidR="00AE1C62">
        <w:rPr>
          <w:u w:val="single"/>
        </w:rPr>
        <w:t>income</w:t>
      </w:r>
      <w:r w:rsidR="00AE1C62">
        <w:t xml:space="preserve"> between the </w:t>
      </w:r>
      <w:r w:rsidR="008C1F84">
        <w:t>[ALA]</w:t>
      </w:r>
      <w:r w:rsidR="00AE1C62">
        <w:t xml:space="preserve"> entities.”  </w:t>
      </w:r>
      <w:r>
        <w:t xml:space="preserve">Regarding the Carsten and Brunner bequests, each of which direct the creation of “a fund,” the trial court stated that multiple ALA entities could carry out that intent, without </w:t>
      </w:r>
      <w:r w:rsidR="00774040">
        <w:t xml:space="preserve">recognizing that </w:t>
      </w:r>
      <w:r>
        <w:t xml:space="preserve">the creation of multiple funds </w:t>
      </w:r>
      <w:r w:rsidR="00774040">
        <w:t xml:space="preserve">might undermine </w:t>
      </w:r>
      <w:r>
        <w:t>donor intent.  Regarding the McNamara bequest, t</w:t>
      </w:r>
      <w:r w:rsidR="00AE1C62">
        <w:t>he court also</w:t>
      </w:r>
      <w:r>
        <w:t xml:space="preserve"> stated, “[t]his bequest identifies where the gifted funds are to be used, that is, at the Los Angeles affiliate.  The language does not say ‘by’ the Los Angeles County affiliate.”  The court’s decision does not explain how </w:t>
      </w:r>
      <w:r w:rsidR="008C1F84">
        <w:t xml:space="preserve">the </w:t>
      </w:r>
      <w:r>
        <w:t xml:space="preserve">ALA could use its share of the funds at the Los Angeles affiliate (that is, Breathe) after disaffiliation. </w:t>
      </w:r>
      <w:r w:rsidR="00AE1C62">
        <w:t xml:space="preserve"> </w:t>
      </w:r>
    </w:p>
    <w:p w:rsidR="00612A8F" w:rsidRPr="0004345E" w:rsidP="007117D9" w14:paraId="69433AAC" w14:textId="77777777">
      <w:pPr>
        <w:spacing w:line="360" w:lineRule="auto"/>
        <w:rPr>
          <w:i/>
          <w:iCs/>
        </w:rPr>
      </w:pPr>
      <w:r>
        <w:t xml:space="preserve">II. </w:t>
      </w:r>
      <w:r>
        <w:tab/>
      </w:r>
      <w:r>
        <w:rPr>
          <w:i/>
          <w:iCs/>
        </w:rPr>
        <w:t>The Trial Court Erred in Interpreting the Affiliate Agreement</w:t>
      </w:r>
    </w:p>
    <w:p w:rsidR="00DE037B" w:rsidP="00DE037B" w14:paraId="532ED8C3" w14:textId="77777777">
      <w:pPr>
        <w:spacing w:line="360" w:lineRule="auto"/>
      </w:pPr>
      <w:r>
        <w:tab/>
        <w:t>Where, as here, the trial court’s interpretation does not turn on “</w:t>
      </w:r>
      <w:r w:rsidR="007E1799">
        <w:t xml:space="preserve"> ‘</w:t>
      </w:r>
      <w:r>
        <w:t>the credibility of extrinsic evidence,</w:t>
      </w:r>
      <w:r w:rsidR="007E1799">
        <w:t xml:space="preserve">’ </w:t>
      </w:r>
      <w:r>
        <w:t xml:space="preserve">” </w:t>
      </w:r>
      <w:r w:rsidR="007E1799">
        <w:t xml:space="preserve">the </w:t>
      </w:r>
      <w:r>
        <w:t xml:space="preserve">interpretation of </w:t>
      </w:r>
      <w:r w:rsidR="007E1799">
        <w:t xml:space="preserve">the </w:t>
      </w:r>
      <w:r w:rsidR="00CF7047">
        <w:t>Affiliate</w:t>
      </w:r>
      <w:r w:rsidR="007E1799">
        <w:t xml:space="preserve"> Agreement is “ ‘</w:t>
      </w:r>
      <w:r>
        <w:t>subject to de novo review.’ ”  (</w:t>
      </w:r>
      <w:r w:rsidRPr="007E1799">
        <w:rPr>
          <w:i/>
          <w:iCs/>
        </w:rPr>
        <w:t>People ex rel. Lockyer v. R.J.</w:t>
      </w:r>
      <w:r w:rsidR="00C2103E">
        <w:rPr>
          <w:i/>
          <w:iCs/>
        </w:rPr>
        <w:t> </w:t>
      </w:r>
      <w:r w:rsidRPr="007E1799">
        <w:rPr>
          <w:i/>
          <w:iCs/>
        </w:rPr>
        <w:t>Reynolds Tobacco Co.</w:t>
      </w:r>
      <w:r>
        <w:t xml:space="preserve"> (2003) 107 Cal.App.4th 516, 520.)</w:t>
      </w:r>
      <w:r w:rsidR="007E1799">
        <w:t xml:space="preserve">  Th</w:t>
      </w:r>
      <w:r w:rsidR="00A25739">
        <w:t>at</w:t>
      </w:r>
      <w:r w:rsidR="007E1799">
        <w:t xml:space="preserve"> includes the determination whether the restricted funds provision is ambiguous—that is, </w:t>
      </w:r>
      <w:r w:rsidRPr="007E1799" w:rsidR="007E1799">
        <w:t>“</w:t>
      </w:r>
      <w:r w:rsidR="007E1799">
        <w:t xml:space="preserve"> ‘</w:t>
      </w:r>
      <w:r w:rsidRPr="007E1799" w:rsidR="007E1799">
        <w:t>reasonably susceptible</w:t>
      </w:r>
      <w:r w:rsidR="007E1799">
        <w:t xml:space="preserve">’ </w:t>
      </w:r>
      <w:r w:rsidRPr="007E1799" w:rsidR="007E1799">
        <w:t>”</w:t>
      </w:r>
      <w:r w:rsidR="007E1799">
        <w:t xml:space="preserve"> to </w:t>
      </w:r>
      <w:r w:rsidR="00A25739">
        <w:t>two different meanings.  (</w:t>
      </w:r>
      <w:r w:rsidRPr="00A25739" w:rsidR="00A25739">
        <w:rPr>
          <w:i/>
          <w:iCs/>
        </w:rPr>
        <w:t>Winet v. Price</w:t>
      </w:r>
      <w:r w:rsidR="00A25739">
        <w:t xml:space="preserve"> (1992) 4 Cal.App.4th 1159, 1165.)  “[W]</w:t>
      </w:r>
      <w:r>
        <w:t xml:space="preserve">here ‘ “contract language is clear and explicit and does not lead to absurd results, we ascertain intent from the written terms and go no further.” ’ ” </w:t>
      </w:r>
      <w:r w:rsidR="00A25739">
        <w:t xml:space="preserve"> </w:t>
      </w:r>
      <w:r>
        <w:t>(</w:t>
      </w:r>
      <w:r w:rsidRPr="00A25739">
        <w:rPr>
          <w:i/>
          <w:iCs/>
        </w:rPr>
        <w:t>R.J. Reynolds</w:t>
      </w:r>
      <w:r>
        <w:t>,</w:t>
      </w:r>
      <w:r w:rsidR="00A25739">
        <w:t xml:space="preserve"> at p. </w:t>
      </w:r>
      <w:r>
        <w:t>524.)</w:t>
      </w:r>
      <w:r w:rsidR="00A25739">
        <w:t xml:space="preserve">  </w:t>
      </w:r>
      <w:r>
        <w:t xml:space="preserve">“ ‘If the contract is capable of more than one reasonable interpretation, </w:t>
      </w:r>
      <w:r w:rsidR="00A25739">
        <w:t>. . .</w:t>
      </w:r>
      <w:r>
        <w:t xml:space="preserve"> it is the court</w:t>
      </w:r>
      <w:r w:rsidR="00A25739">
        <w:t>’</w:t>
      </w:r>
      <w:r>
        <w:t>s task to determine the ultimate</w:t>
      </w:r>
      <w:r w:rsidR="00A25739">
        <w:t xml:space="preserve"> </w:t>
      </w:r>
      <w:r>
        <w:t>construction to be placed on the ambiguous language by applying the standard rules of interpretation in order to give effect to the mutual intention of the parties [citation].’</w:t>
      </w:r>
      <w:r w:rsidR="00A25739">
        <w:t xml:space="preserve"> ”  (</w:t>
      </w:r>
      <w:r w:rsidR="00A25739">
        <w:rPr>
          <w:i/>
          <w:iCs/>
        </w:rPr>
        <w:t>Id.</w:t>
      </w:r>
      <w:r>
        <w:t xml:space="preserve"> at pp. 524–525.)</w:t>
      </w:r>
    </w:p>
    <w:p w:rsidR="001B6C01" w:rsidP="001B6C01" w14:paraId="473E897B" w14:textId="77777777">
      <w:pPr>
        <w:spacing w:line="360" w:lineRule="auto"/>
      </w:pPr>
      <w:r>
        <w:tab/>
      </w:r>
      <w:r w:rsidR="00D96C09">
        <w:t xml:space="preserve">Under the Affiliate Agreement, Breathe is required to share </w:t>
      </w:r>
      <w:r w:rsidR="002C4A23">
        <w:t xml:space="preserve">except </w:t>
      </w:r>
      <w:r w:rsidR="004A4417">
        <w:t xml:space="preserve">for </w:t>
      </w:r>
      <w:r w:rsidR="00D96C09">
        <w:t>“funds</w:t>
      </w:r>
      <w:r>
        <w:t xml:space="preserve"> </w:t>
      </w:r>
      <w:r w:rsidR="00D96C09">
        <w:t>restricted in writing by the donor</w:t>
      </w:r>
      <w:r w:rsidR="003E01D8">
        <w:t xml:space="preserve"> . . . </w:t>
      </w:r>
      <w:r w:rsidR="00D96C09">
        <w:t>to exclude or limit sharing.”</w:t>
      </w:r>
      <w:r w:rsidR="006D3FBE">
        <w:t xml:space="preserve"> </w:t>
      </w:r>
      <w:r w:rsidR="00D96C09">
        <w:t xml:space="preserve"> </w:t>
      </w:r>
      <w:r>
        <w:t xml:space="preserve">The trial court </w:t>
      </w:r>
      <w:r w:rsidR="00D96C09">
        <w:t>concluded</w:t>
      </w:r>
      <w:r w:rsidR="001A3FBF">
        <w:t xml:space="preserve"> </w:t>
      </w:r>
      <w:r w:rsidR="00D96C09">
        <w:t>that</w:t>
      </w:r>
      <w:r>
        <w:t>,</w:t>
      </w:r>
      <w:r w:rsidR="00D96C09">
        <w:t xml:space="preserve"> for this restricted funds exception to be applicable</w:t>
      </w:r>
      <w:r>
        <w:t>,</w:t>
      </w:r>
      <w:r w:rsidR="00D96C09">
        <w:t xml:space="preserve"> </w:t>
      </w:r>
      <w:r w:rsidR="001A3FBF">
        <w:t xml:space="preserve">the donor must use express language such as “ ‘donor does not want this bequest shared with the national American Lung Association or the State constituent.”  </w:t>
      </w:r>
      <w:r w:rsidR="00123952">
        <w:t>Breathe argues that no particular language is required</w:t>
      </w:r>
      <w:r w:rsidR="008C278C">
        <w:t>; instead,</w:t>
      </w:r>
      <w:r w:rsidR="00123952">
        <w:t xml:space="preserve"> </w:t>
      </w:r>
      <w:r w:rsidR="00841117">
        <w:t xml:space="preserve">Breathe </w:t>
      </w:r>
      <w:r w:rsidR="000F678B">
        <w:t xml:space="preserve">contends </w:t>
      </w:r>
      <w:r w:rsidR="00123952">
        <w:t>funds are restricted “to exclude or limit sharing” “if either the donor intended its gift to stay with an affiliate or if the result of the restrictive language was incompatible with sharing between entities.”</w:t>
      </w:r>
      <w:r w:rsidR="00BC1DE6">
        <w:t xml:space="preserve">  </w:t>
      </w:r>
    </w:p>
    <w:p w:rsidR="00D63FE2" w:rsidP="00BA2BA3" w14:paraId="452D08F4" w14:textId="77777777">
      <w:pPr>
        <w:spacing w:line="360" w:lineRule="auto"/>
      </w:pPr>
      <w:r>
        <w:tab/>
        <w:t>Although the ALA argued in favor of the trial court’s interpretation in its brief on appeal, the ALA conceded at oral argument that any bequest incompatible with sharing is within the scope of the restricted funds exception.  The concession is appropriate, because c</w:t>
      </w:r>
      <w:r w:rsidR="004518EE">
        <w:t>ontracts must be interpreted to give effect to the mutual intention of</w:t>
      </w:r>
      <w:r w:rsidR="00E06CD5">
        <w:t xml:space="preserve"> </w:t>
      </w:r>
      <w:r w:rsidR="004518EE">
        <w:t>the parties.  (Civ. Code, §</w:t>
      </w:r>
      <w:r w:rsidR="006A09B9">
        <w:t> </w:t>
      </w:r>
      <w:r w:rsidR="004518EE">
        <w:t xml:space="preserve">1636.)  </w:t>
      </w:r>
      <w:r>
        <w:t xml:space="preserve">It is undisputed the purpose of the restricted funds provision is to effectuate </w:t>
      </w:r>
      <w:r w:rsidR="003A72EE">
        <w:t>donor</w:t>
      </w:r>
      <w:r>
        <w:t xml:space="preserve"> intent—that is, to ensure that bequests </w:t>
      </w:r>
      <w:r w:rsidR="004518EE">
        <w:t>a</w:t>
      </w:r>
      <w:r>
        <w:t xml:space="preserve">re not shared where it would be contrary to the </w:t>
      </w:r>
      <w:r w:rsidR="003A72EE">
        <w:t>donor</w:t>
      </w:r>
      <w:r w:rsidR="00E854A1">
        <w:t>’s</w:t>
      </w:r>
      <w:r>
        <w:t xml:space="preserve"> intent to do so.  </w:t>
      </w:r>
      <w:r w:rsidR="004811C5">
        <w:t xml:space="preserve">ALA President and CEO Mr. Wimmer </w:t>
      </w:r>
      <w:r w:rsidR="00096EDB">
        <w:t>testified</w:t>
      </w:r>
      <w:r w:rsidR="002E16F7">
        <w:t xml:space="preserve"> </w:t>
      </w:r>
      <w:r>
        <w:t>donor intent was “paramount”</w:t>
      </w:r>
      <w:r w:rsidR="002A2DFE">
        <w:t xml:space="preserve"> and </w:t>
      </w:r>
      <w:r w:rsidR="007776AE">
        <w:t xml:space="preserve">former </w:t>
      </w:r>
      <w:r w:rsidR="002A2DFE">
        <w:t xml:space="preserve">ALA general counsel Mr. Churchill </w:t>
      </w:r>
      <w:r w:rsidR="002E16F7">
        <w:t>confirmed</w:t>
      </w:r>
      <w:r w:rsidR="002A2DFE">
        <w:t xml:space="preserve"> “[d]</w:t>
      </w:r>
      <w:r w:rsidRPr="0092394C" w:rsidR="002A2DFE">
        <w:t>onor intent is premier</w:t>
      </w:r>
      <w:r w:rsidR="002A2DFE">
        <w:t>.”</w:t>
      </w:r>
    </w:p>
    <w:p w:rsidR="00370D1E" w:rsidP="007F5733" w14:paraId="6BBD473D" w14:textId="77777777">
      <w:pPr>
        <w:spacing w:line="360" w:lineRule="auto"/>
      </w:pPr>
      <w:r>
        <w:tab/>
      </w:r>
      <w:r w:rsidR="00770CBB">
        <w:t>E</w:t>
      </w:r>
      <w:r>
        <w:t xml:space="preserve">ven assuming the </w:t>
      </w:r>
      <w:r w:rsidR="00324DA8">
        <w:t xml:space="preserve">restricted funds </w:t>
      </w:r>
      <w:r w:rsidR="005D2288">
        <w:t>provision</w:t>
      </w:r>
      <w:r w:rsidR="00324DA8">
        <w:t xml:space="preserve"> is </w:t>
      </w:r>
      <w:r w:rsidR="009F2152">
        <w:t>reasonably susceptible to the trial court’s interpretation</w:t>
      </w:r>
      <w:r w:rsidR="00324DA8">
        <w:t xml:space="preserve">, </w:t>
      </w:r>
      <w:r w:rsidR="00DD7737">
        <w:t>i</w:t>
      </w:r>
      <w:r w:rsidR="00826B6B">
        <w:t xml:space="preserve">t is clear that </w:t>
      </w:r>
      <w:r w:rsidR="00324DA8">
        <w:t>Breathe’s interpretation</w:t>
      </w:r>
      <w:r w:rsidR="00BE5688">
        <w:t xml:space="preserve"> is most likely to effectuate donor intent</w:t>
      </w:r>
      <w:r w:rsidR="00324DA8">
        <w:t xml:space="preserve">, because </w:t>
      </w:r>
      <w:r w:rsidR="00AA0DDF">
        <w:t>it focuses ou</w:t>
      </w:r>
      <w:r w:rsidR="007267B1">
        <w:t>r</w:t>
      </w:r>
      <w:r w:rsidR="00AA0DDF">
        <w:t xml:space="preserve"> attention directly </w:t>
      </w:r>
      <w:r w:rsidR="00324DA8">
        <w:t xml:space="preserve">on an examination of </w:t>
      </w:r>
      <w:r w:rsidR="002C4D91">
        <w:t>that</w:t>
      </w:r>
      <w:r w:rsidR="00324DA8">
        <w:t xml:space="preserve"> intent</w:t>
      </w:r>
      <w:r w:rsidR="00AA0DDF">
        <w:t xml:space="preserve">, while the </w:t>
      </w:r>
      <w:r w:rsidR="00BE5688">
        <w:t xml:space="preserve">trial court’s </w:t>
      </w:r>
      <w:r w:rsidR="00324DA8">
        <w:t>interpretation</w:t>
      </w:r>
      <w:r w:rsidR="00AA0DDF">
        <w:t xml:space="preserve"> </w:t>
      </w:r>
      <w:r w:rsidR="00324DA8">
        <w:t>c</w:t>
      </w:r>
      <w:r w:rsidR="002C4D91">
        <w:t xml:space="preserve">ould </w:t>
      </w:r>
      <w:r w:rsidR="00324DA8">
        <w:t xml:space="preserve">easily frustrate </w:t>
      </w:r>
      <w:r w:rsidR="00AA0DDF">
        <w:t xml:space="preserve">that </w:t>
      </w:r>
      <w:r w:rsidR="00324DA8">
        <w:t xml:space="preserve">intent.  </w:t>
      </w:r>
      <w:r w:rsidR="00BE5688">
        <w:t>As t</w:t>
      </w:r>
      <w:r w:rsidR="00324DA8">
        <w:t xml:space="preserve">he court and </w:t>
      </w:r>
      <w:r w:rsidR="008E3186">
        <w:t xml:space="preserve">at least one of the </w:t>
      </w:r>
      <w:r w:rsidR="00324DA8">
        <w:t>ALA’s witnesses acknowledged</w:t>
      </w:r>
      <w:r w:rsidR="00BE5688">
        <w:t>,</w:t>
      </w:r>
      <w:r w:rsidR="00324DA8">
        <w:t xml:space="preserve"> donors </w:t>
      </w:r>
      <w:r w:rsidR="004518EE">
        <w:t>are</w:t>
      </w:r>
      <w:r w:rsidR="00324DA8">
        <w:t xml:space="preserve"> unlikely to be aware of the </w:t>
      </w:r>
      <w:r w:rsidR="000F7390">
        <w:t>possibility of sharing</w:t>
      </w:r>
      <w:r w:rsidR="00324DA8">
        <w:t>.</w:t>
      </w:r>
      <w:r w:rsidR="0062088D">
        <w:t xml:space="preserve">  </w:t>
      </w:r>
      <w:r w:rsidR="00324DA8">
        <w:t xml:space="preserve">Accordingly, there is little reason to believe most donors would use express language </w:t>
      </w:r>
      <w:r w:rsidR="003834A2">
        <w:t>referencing</w:t>
      </w:r>
      <w:r w:rsidR="00324DA8">
        <w:t xml:space="preserve"> sharing, even if the language of the bequest makes it clear the donor intended for the entirety of the funds to go to the affiliate.  Because Breathe’s proffered interpretation better serves the clear purpose of the restricted funds exception, we would adopt </w:t>
      </w:r>
      <w:r w:rsidR="00CE4B7F">
        <w:t>Breathe’s</w:t>
      </w:r>
      <w:r w:rsidR="00324DA8">
        <w:t xml:space="preserve"> interpretation even if we were to conclude the language is ambiguous.</w:t>
      </w:r>
      <w:r>
        <w:rPr>
          <w:rStyle w:val="FootnoteReference"/>
        </w:rPr>
        <w:footnoteReference w:id="7"/>
      </w:r>
    </w:p>
    <w:p w:rsidR="004518EE" w:rsidRPr="004F1E31" w:rsidP="000C2F35" w14:paraId="5762DDC1" w14:textId="77777777">
      <w:pPr>
        <w:spacing w:line="360" w:lineRule="auto"/>
      </w:pPr>
      <w:r>
        <w:tab/>
        <w:t xml:space="preserve">Finally, even if there were any remaining uncertainty regarding the construction of the Affiliate Agreement, we would resolve the ambiguity against </w:t>
      </w:r>
      <w:r w:rsidR="004F1E31">
        <w:t xml:space="preserve">the </w:t>
      </w:r>
      <w:r>
        <w:t xml:space="preserve">ALA.  It is undisputed that </w:t>
      </w:r>
      <w:r w:rsidR="004F1E31">
        <w:t xml:space="preserve">the </w:t>
      </w:r>
      <w:r>
        <w:t>ALA drafted the Agreement</w:t>
      </w:r>
      <w:r w:rsidR="004032D7">
        <w:t xml:space="preserve"> and required all affiliates to </w:t>
      </w:r>
      <w:r w:rsidR="004A1B3B">
        <w:t xml:space="preserve">sign </w:t>
      </w:r>
      <w:r w:rsidR="00551155">
        <w:t>it</w:t>
      </w:r>
      <w:r w:rsidR="00BE5688">
        <w:t xml:space="preserve">.  </w:t>
      </w:r>
      <w:r w:rsidR="000D59DA">
        <w:t>I</w:t>
      </w:r>
      <w:r>
        <w:t>t is</w:t>
      </w:r>
      <w:r w:rsidR="00574263">
        <w:t xml:space="preserve"> “a</w:t>
      </w:r>
      <w:r>
        <w:t xml:space="preserve"> </w:t>
      </w:r>
      <w:r w:rsidR="00574263">
        <w:t xml:space="preserve">‘well established rule of construction’ that any </w:t>
      </w:r>
      <w:r>
        <w:t xml:space="preserve">ambiguities </w:t>
      </w:r>
      <w:r w:rsidR="00574263">
        <w:t xml:space="preserve">must be </w:t>
      </w:r>
      <w:r>
        <w:t>construed against</w:t>
      </w:r>
      <w:r w:rsidR="00574263">
        <w:t>”</w:t>
      </w:r>
      <w:r>
        <w:t xml:space="preserve"> the drafter</w:t>
      </w:r>
      <w:r w:rsidR="00B0754F">
        <w:t xml:space="preserve">, where </w:t>
      </w:r>
      <w:r w:rsidR="00574263">
        <w:t xml:space="preserve">the </w:t>
      </w:r>
      <w:r w:rsidR="00B0754F">
        <w:t>uncertainty cannot be resolved by other rules of contract interpretation</w:t>
      </w:r>
      <w:r>
        <w:t>.  (</w:t>
      </w:r>
      <w:r w:rsidRPr="00574263" w:rsidR="00574263">
        <w:rPr>
          <w:i/>
          <w:iCs/>
        </w:rPr>
        <w:t>Sandquist v. Lebo Auto., Inc.</w:t>
      </w:r>
      <w:r w:rsidR="00574263">
        <w:t xml:space="preserve"> (2016)</w:t>
      </w:r>
      <w:r w:rsidRPr="00574263" w:rsidR="00574263">
        <w:t xml:space="preserve"> 1 Cal.5th 233, 248</w:t>
      </w:r>
      <w:r w:rsidR="00574263">
        <w:t xml:space="preserve">; see also </w:t>
      </w:r>
      <w:r w:rsidRPr="00B0754F" w:rsidR="00B0754F">
        <w:t>Civ. Code, §</w:t>
      </w:r>
      <w:r w:rsidR="006A09B9">
        <w:t> </w:t>
      </w:r>
      <w:r w:rsidRPr="00B0754F" w:rsidR="00B0754F">
        <w:t>1654</w:t>
      </w:r>
      <w:r w:rsidR="00B0754F">
        <w:t>;</w:t>
      </w:r>
      <w:r w:rsidR="00574263">
        <w:t xml:space="preserve"> </w:t>
      </w:r>
      <w:r w:rsidRPr="00574263" w:rsidR="000C2F35">
        <w:rPr>
          <w:i/>
          <w:iCs/>
        </w:rPr>
        <w:t xml:space="preserve">Mayhew v. Benninghoff </w:t>
      </w:r>
      <w:r w:rsidRPr="00574263" w:rsidR="000C2F35">
        <w:t>(1997) 53 Cal.App.4th 1365, 1370 [</w:t>
      </w:r>
      <w:r w:rsidR="00574263">
        <w:t>the rule</w:t>
      </w:r>
      <w:r w:rsidRPr="00574263" w:rsidR="000C2F35">
        <w:t xml:space="preserve"> “applies with even greater force when the person who prepared the writing is a lawyer”]</w:t>
      </w:r>
      <w:r w:rsidR="00574263">
        <w:t>.</w:t>
      </w:r>
      <w:r>
        <w:t>)</w:t>
      </w:r>
      <w:r w:rsidR="00AA7979">
        <w:t xml:space="preserve">  Accordingly, we adopt Breathe’s reasonable interpretation of the restricted funds exception to mean that funds are restricted “to exclude or limit sharing” if </w:t>
      </w:r>
      <w:r w:rsidR="00D05C77">
        <w:t xml:space="preserve">the language of the bequest reflects the donor’s intent that </w:t>
      </w:r>
      <w:r w:rsidR="002B3CE2">
        <w:t>i</w:t>
      </w:r>
      <w:r w:rsidR="00AA7979">
        <w:t xml:space="preserve">ts gift stay with an affiliate or if the result of the restrictive language </w:t>
      </w:r>
      <w:r w:rsidR="002B3CE2">
        <w:t>i</w:t>
      </w:r>
      <w:r w:rsidR="00AA7979">
        <w:t xml:space="preserve">s </w:t>
      </w:r>
      <w:r w:rsidR="009B3A6D">
        <w:t>otherwise</w:t>
      </w:r>
      <w:r w:rsidR="001121FA">
        <w:t xml:space="preserve"> </w:t>
      </w:r>
      <w:r w:rsidR="00AA7979">
        <w:t>incompatible with sharing between entities.</w:t>
      </w:r>
    </w:p>
    <w:p w:rsidR="00A25739" w:rsidRPr="00A25739" w:rsidP="007117D9" w14:paraId="06E212DA" w14:textId="77777777">
      <w:pPr>
        <w:spacing w:line="360" w:lineRule="auto"/>
        <w:rPr>
          <w:i/>
          <w:iCs/>
        </w:rPr>
      </w:pPr>
      <w:r>
        <w:t>III.</w:t>
      </w:r>
      <w:r>
        <w:tab/>
      </w:r>
      <w:r>
        <w:rPr>
          <w:i/>
          <w:iCs/>
        </w:rPr>
        <w:t>The Trial Court Erred in Concluding the Bequests Were Shareable</w:t>
      </w:r>
    </w:p>
    <w:p w:rsidR="00AA7979" w:rsidP="007117D9" w14:paraId="29F9F197" w14:textId="77777777">
      <w:pPr>
        <w:spacing w:line="360" w:lineRule="auto"/>
      </w:pPr>
      <w:r>
        <w:tab/>
        <w:t xml:space="preserve">Because our interpretation of the </w:t>
      </w:r>
      <w:r w:rsidR="00746EEA">
        <w:t xml:space="preserve">restricted funds exception in the </w:t>
      </w:r>
      <w:r>
        <w:t>Affiliate Agreement turns on donor intent</w:t>
      </w:r>
      <w:r w:rsidR="006F0586">
        <w:t xml:space="preserve"> a</w:t>
      </w:r>
      <w:r w:rsidR="007E01A8">
        <w:t>s reflected in t</w:t>
      </w:r>
      <w:r w:rsidR="006F0586">
        <w:t xml:space="preserve">he particular terms of a bequest, we now turn to </w:t>
      </w:r>
      <w:r w:rsidR="007E01A8">
        <w:t xml:space="preserve">an </w:t>
      </w:r>
      <w:r w:rsidR="006F0586">
        <w:t>examination of the three bequests at issue.  “</w:t>
      </w:r>
      <w:r w:rsidR="006A09B9">
        <w:t> </w:t>
      </w:r>
      <w:r w:rsidR="006F0586">
        <w:t xml:space="preserve">‘The basic rule in the interpretation and construction of any will is that the intention of the testator must be carried out as nearly as possible.  [Citations.]  In ascertaining the testator’s intent, courts employ an objective test: the intention to be determined is that which is </w:t>
      </w:r>
      <w:r w:rsidRPr="006F0586" w:rsidR="006F0586">
        <w:rPr>
          <w:i/>
          <w:iCs/>
        </w:rPr>
        <w:t>actually expressed</w:t>
      </w:r>
      <w:r w:rsidR="006F0586">
        <w:t xml:space="preserve"> in the language of the will</w:t>
      </w:r>
      <w:r w:rsidR="00B0644B">
        <w:t xml:space="preserve">. . . . </w:t>
      </w:r>
      <w:r w:rsidR="006F0586">
        <w:t xml:space="preserve"> Another fundamental rule of the interpretation and construction of wills requires that every word should be considered and given some effect, if possible. </w:t>
      </w:r>
      <w:r w:rsidR="00B0644B">
        <w:t xml:space="preserve"> </w:t>
      </w:r>
      <w:r w:rsidR="006F0586">
        <w:t xml:space="preserve">[Citation.] </w:t>
      </w:r>
      <w:r w:rsidR="00B0644B">
        <w:t xml:space="preserve"> “</w:t>
      </w:r>
      <w:r w:rsidR="006F0586">
        <w:t xml:space="preserve">The words of a will are to receive an interpretation that will give every expression some effect, rather than one that will render any of the expressions inoperative </w:t>
      </w:r>
      <w:r w:rsidR="00B0644B">
        <w:t xml:space="preserve">. . . .” </w:t>
      </w:r>
      <w:r w:rsidR="006F0586">
        <w:t xml:space="preserve"> [Citation.]</w:t>
      </w:r>
      <w:r w:rsidR="00B0644B">
        <w:t xml:space="preserve">  </w:t>
      </w:r>
      <w:r w:rsidR="006F0586">
        <w:t>Moreover, the words used in a will must be given their ordinary, commonsense interpretation.</w:t>
      </w:r>
      <w:r w:rsidR="00B0644B">
        <w:t xml:space="preserve">’ </w:t>
      </w:r>
      <w:r w:rsidR="006F0586">
        <w:t xml:space="preserve">” </w:t>
      </w:r>
      <w:r w:rsidR="00B0644B">
        <w:t xml:space="preserve"> </w:t>
      </w:r>
      <w:r w:rsidR="006F0586">
        <w:t>(</w:t>
      </w:r>
      <w:r w:rsidRPr="00B0644B" w:rsidR="006F0586">
        <w:rPr>
          <w:i/>
          <w:iCs/>
        </w:rPr>
        <w:t>Schwan v. Permann</w:t>
      </w:r>
      <w:r w:rsidR="00B0644B">
        <w:t xml:space="preserve"> (2018)</w:t>
      </w:r>
      <w:r w:rsidR="006F0586">
        <w:t xml:space="preserve"> 28 Cal.App.5th 678, 685</w:t>
      </w:r>
      <w:r w:rsidR="00B0644B">
        <w:t>.</w:t>
      </w:r>
      <w:r w:rsidR="006F0586">
        <w:t>)</w:t>
      </w:r>
      <w:r w:rsidR="00B0644B">
        <w:t xml:space="preserve">  Because there is no extrinsic evidence regarding the </w:t>
      </w:r>
      <w:r w:rsidR="00736EFA">
        <w:t>testators’</w:t>
      </w:r>
      <w:r w:rsidR="00B0644B">
        <w:t xml:space="preserve"> intent we exercise our independent judgment in interpreting the three bequests at issue.  (</w:t>
      </w:r>
      <w:r w:rsidR="00B0644B">
        <w:rPr>
          <w:i/>
          <w:iCs/>
        </w:rPr>
        <w:t>Ibid.</w:t>
      </w:r>
      <w:r w:rsidR="00B0644B">
        <w:t>)</w:t>
      </w:r>
    </w:p>
    <w:p w:rsidR="000C2F35" w:rsidP="007117D9" w14:paraId="74B5F0C3" w14:textId="77777777">
      <w:pPr>
        <w:spacing w:line="360" w:lineRule="auto"/>
      </w:pPr>
      <w:r>
        <w:tab/>
        <w:t>As noted previously, the trial court</w:t>
      </w:r>
      <w:r w:rsidR="003C6271">
        <w:t xml:space="preserve">’s primary reason for concluding each bequest was shareable was because none included express “language that ‘excludes or limits’ </w:t>
      </w:r>
      <w:r w:rsidR="003C6271">
        <w:rPr>
          <w:u w:val="single"/>
        </w:rPr>
        <w:t xml:space="preserve">the sharing of </w:t>
      </w:r>
      <w:r w:rsidRPr="00AE1C62" w:rsidR="003C6271">
        <w:rPr>
          <w:u w:val="single"/>
        </w:rPr>
        <w:t>income</w:t>
      </w:r>
      <w:r w:rsidR="003C6271">
        <w:t xml:space="preserve"> between the American Lung Association entities.”  </w:t>
      </w:r>
      <w:r>
        <w:t>We have rejected th</w:t>
      </w:r>
      <w:r w:rsidR="003C6271">
        <w:t xml:space="preserve">e court’s </w:t>
      </w:r>
      <w:r>
        <w:t>interpretation</w:t>
      </w:r>
      <w:r w:rsidR="003C6271">
        <w:t xml:space="preserve"> of the restricted funds exception as requiring express language prohibiting “sharing</w:t>
      </w:r>
      <w:r>
        <w:t>.</w:t>
      </w:r>
      <w:r w:rsidR="003C6271">
        <w:t>”</w:t>
      </w:r>
      <w:r>
        <w:t xml:space="preserve">  </w:t>
      </w:r>
      <w:r w:rsidR="003C6271">
        <w:t xml:space="preserve">As explained below, </w:t>
      </w:r>
      <w:r w:rsidR="006B70B5">
        <w:t xml:space="preserve">absent that rationale </w:t>
      </w:r>
      <w:r w:rsidR="003C6271">
        <w:t>i</w:t>
      </w:r>
      <w:r w:rsidR="006A12A9">
        <w:t xml:space="preserve">t is a straightforward matter to conclude that the </w:t>
      </w:r>
      <w:r w:rsidR="00932182">
        <w:t xml:space="preserve">plain language of the </w:t>
      </w:r>
      <w:r w:rsidR="006A12A9">
        <w:t>bequests restrict</w:t>
      </w:r>
      <w:r w:rsidR="00F37FD5">
        <w:t>s</w:t>
      </w:r>
      <w:r w:rsidR="006A12A9">
        <w:t xml:space="preserve"> sharing.</w:t>
      </w:r>
    </w:p>
    <w:p w:rsidR="000C2F35" w:rsidP="000C2F35" w14:paraId="02E270EA" w14:textId="77777777">
      <w:pPr>
        <w:spacing w:line="360" w:lineRule="auto"/>
      </w:pPr>
      <w:r>
        <w:tab/>
        <w:t xml:space="preserve">The McNamara bequest left the residue of </w:t>
      </w:r>
      <w:r w:rsidR="00826217">
        <w:t xml:space="preserve">Alberta Patricia McNamara’s </w:t>
      </w:r>
      <w:r>
        <w:t xml:space="preserve">estate to several Los Angeles charities, including the </w:t>
      </w:r>
      <w:r w:rsidR="00652057">
        <w:t>“</w:t>
      </w:r>
      <w:r>
        <w:t>A</w:t>
      </w:r>
      <w:r w:rsidR="00652057">
        <w:t>merican Lung Association o</w:t>
      </w:r>
      <w:r>
        <w:t>f California for use at its Los Angeles County affiliate.”  Breathe</w:t>
      </w:r>
      <w:r w:rsidR="00AB1965">
        <w:t xml:space="preserve"> </w:t>
      </w:r>
      <w:r>
        <w:t>was</w:t>
      </w:r>
      <w:r w:rsidR="00AB1965">
        <w:t xml:space="preserve"> the</w:t>
      </w:r>
      <w:r>
        <w:t xml:space="preserve"> ALA’s only Los Angeles affiliate before disaffiliation in 2006 and </w:t>
      </w:r>
      <w:r w:rsidR="00483B9E">
        <w:t xml:space="preserve">the </w:t>
      </w:r>
      <w:r>
        <w:t xml:space="preserve">ALA has had no Los Angeles affiliate since then. </w:t>
      </w:r>
      <w:r w:rsidR="00490F95">
        <w:t xml:space="preserve"> </w:t>
      </w:r>
      <w:r w:rsidR="00483B9E">
        <w:t xml:space="preserve">The </w:t>
      </w:r>
      <w:r w:rsidR="002F13D9">
        <w:t>ALA suggests that sharing th</w:t>
      </w:r>
      <w:r w:rsidR="006B70B5">
        <w:t>e</w:t>
      </w:r>
      <w:r w:rsidR="002F13D9">
        <w:t xml:space="preserve"> bequest would not frustrate the testator’s intent because </w:t>
      </w:r>
      <w:r w:rsidR="00020F00">
        <w:t>the ALA</w:t>
      </w:r>
      <w:r w:rsidR="00490F95">
        <w:t xml:space="preserve"> “complied with donor intent by designating its shareable portion for use in Los Angeles.” </w:t>
      </w:r>
      <w:r>
        <w:t xml:space="preserve"> </w:t>
      </w:r>
      <w:r w:rsidR="002F13D9">
        <w:t>But t</w:t>
      </w:r>
      <w:r>
        <w:t xml:space="preserve">he plain language of the bequest dictates that the funds be spent </w:t>
      </w:r>
      <w:r w:rsidRPr="000C2F35">
        <w:rPr>
          <w:i/>
          <w:iCs/>
        </w:rPr>
        <w:t>at Breathe</w:t>
      </w:r>
      <w:r>
        <w:t xml:space="preserve">.  It would be inconsistent with the donor’s intent for a portion of the funds to be spent </w:t>
      </w:r>
      <w:r w:rsidRPr="000C2F35">
        <w:rPr>
          <w:i/>
          <w:iCs/>
        </w:rPr>
        <w:t>in Los Angeles</w:t>
      </w:r>
      <w:r>
        <w:t xml:space="preserve"> by the ALA.  Accordingly, the bequest clearly restricts sharing within the meaning of the Affiliate Agreement.</w:t>
      </w:r>
    </w:p>
    <w:p w:rsidR="000C2F35" w:rsidP="00A53664" w14:paraId="44126F17" w14:textId="77777777">
      <w:pPr>
        <w:spacing w:line="360" w:lineRule="auto"/>
      </w:pPr>
      <w:r>
        <w:tab/>
      </w:r>
      <w:r w:rsidR="00913DDB">
        <w:t xml:space="preserve">The </w:t>
      </w:r>
      <w:r>
        <w:t>Carsten</w:t>
      </w:r>
      <w:r w:rsidR="00913DDB">
        <w:t xml:space="preserve"> and Brunner bequests both </w:t>
      </w:r>
      <w:r w:rsidR="007C29D4">
        <w:t xml:space="preserve">dictate the </w:t>
      </w:r>
      <w:r w:rsidR="00615160">
        <w:t>bequests</w:t>
      </w:r>
      <w:r w:rsidR="007C29D4">
        <w:t xml:space="preserve"> should be used to establish a </w:t>
      </w:r>
      <w:r w:rsidR="007C29D4">
        <w:rPr>
          <w:i/>
          <w:iCs/>
        </w:rPr>
        <w:t>singular</w:t>
      </w:r>
      <w:r w:rsidR="00D12DA9">
        <w:t>, named</w:t>
      </w:r>
      <w:r w:rsidR="007C29D4">
        <w:t xml:space="preserve"> fund.  The Carsten bequest </w:t>
      </w:r>
      <w:r w:rsidR="00203CAC">
        <w:t xml:space="preserve">directs </w:t>
      </w:r>
      <w:r w:rsidR="003D735E">
        <w:t>distribution of the residue “</w:t>
      </w:r>
      <w:r w:rsidR="007C29D4">
        <w:t>to</w:t>
      </w:r>
      <w:r w:rsidR="003D735E">
        <w:t xml:space="preserve"> the American Lung Association for the purpose of establishing </w:t>
      </w:r>
      <w:r w:rsidR="00B3053D">
        <w:t>a perpetual fund to be known as the DON MARLIN and DR. MARY CARSTEN-MARLIN Fund” and specifies the “income of this fund</w:t>
      </w:r>
      <w:r w:rsidR="006673C5">
        <w:t xml:space="preserve"> shall be used . . . for one or more postdoctoral fellowships each year for research primarily in the area of bronchial asthma.” </w:t>
      </w:r>
      <w:r w:rsidR="00540B05">
        <w:t xml:space="preserve"> The Brunner bequest </w:t>
      </w:r>
      <w:r w:rsidR="002770D0">
        <w:t xml:space="preserve">is to “The AMERICAN LUNG ASSOCIATION OF LOS ANGELES COUNTY . . . </w:t>
      </w:r>
      <w:r w:rsidR="000E18CB">
        <w:t>to be used to establish t</w:t>
      </w:r>
      <w:r w:rsidR="005D31F7">
        <w:t xml:space="preserve">he ERNEST BRUNNER AND IRENE BRUNNER FAMILY FUND, which is to be used exclusively for research relating to the causes and prevention of lung disease.”  </w:t>
      </w:r>
      <w:r w:rsidR="004A1421">
        <w:t xml:space="preserve">The </w:t>
      </w:r>
      <w:r w:rsidR="00A53664">
        <w:t xml:space="preserve">ALA </w:t>
      </w:r>
      <w:r w:rsidR="00615160">
        <w:t>argues</w:t>
      </w:r>
      <w:r w:rsidR="00A53664">
        <w:t xml:space="preserve"> that sharing those bequests would not frustrate the testators’ intent.</w:t>
      </w:r>
      <w:r>
        <w:rPr>
          <w:rStyle w:val="FootnoteReference"/>
        </w:rPr>
        <w:footnoteReference w:id="8"/>
      </w:r>
      <w:r w:rsidR="00A53664">
        <w:t xml:space="preserve">  As to the Carsten bequest, it points out it established a fund and used the interest “to support postdoctoral fellows conducting research through the Airways Clinical Research Center Network program, which in particular looks at protocols around pediatric Asthma.”  As to the Brunner request, it states it established a fund “and devoted it to research in the prevention of lung disease.”  But </w:t>
      </w:r>
      <w:r w:rsidR="000E18CB">
        <w:t xml:space="preserve">the </w:t>
      </w:r>
      <w:r w:rsidR="001739EC">
        <w:t xml:space="preserve">ALA fails to explain how the establishment of </w:t>
      </w:r>
      <w:r w:rsidR="001739EC">
        <w:rPr>
          <w:i/>
          <w:iCs/>
        </w:rPr>
        <w:t>multiple</w:t>
      </w:r>
      <w:r w:rsidR="001739EC">
        <w:t xml:space="preserve"> funds—one at Breathe and one at the ALA, </w:t>
      </w:r>
      <w:r w:rsidR="001B57E2">
        <w:t>and</w:t>
      </w:r>
      <w:r w:rsidR="001739EC">
        <w:t xml:space="preserve"> </w:t>
      </w:r>
      <w:r w:rsidR="001B57E2">
        <w:t xml:space="preserve">a third at ALAC prior to consolidation of ALAC and ALA—is consistent with the </w:t>
      </w:r>
      <w:r w:rsidR="00034ADB">
        <w:t>testa</w:t>
      </w:r>
      <w:r w:rsidR="00E81A7E">
        <w:t>tors</w:t>
      </w:r>
      <w:r w:rsidR="001B57E2">
        <w:t>’ intent.</w:t>
      </w:r>
      <w:r w:rsidR="002C120B">
        <w:t xml:space="preserve">  </w:t>
      </w:r>
      <w:r w:rsidR="0053540D">
        <w:t xml:space="preserve">The </w:t>
      </w:r>
      <w:r w:rsidR="002C120B">
        <w:t xml:space="preserve">ALA effectively </w:t>
      </w:r>
      <w:r w:rsidR="0053540D">
        <w:t xml:space="preserve">argues the </w:t>
      </w:r>
      <w:r w:rsidR="002C120B">
        <w:t xml:space="preserve">intent will be </w:t>
      </w:r>
      <w:r w:rsidRPr="0053540D" w:rsidR="002C120B">
        <w:rPr>
          <w:i/>
          <w:iCs/>
        </w:rPr>
        <w:t>substantially</w:t>
      </w:r>
      <w:r w:rsidR="002C120B">
        <w:t xml:space="preserve"> satisfied, because </w:t>
      </w:r>
      <w:r w:rsidR="007C5521">
        <w:t>its funds pursue the specified types of research.</w:t>
      </w:r>
      <w:r w:rsidR="00E06EE6">
        <w:t xml:space="preserve">  </w:t>
      </w:r>
      <w:r w:rsidR="000D2322">
        <w:t>But</w:t>
      </w:r>
      <w:r w:rsidR="00E06EE6">
        <w:t xml:space="preserve"> </w:t>
      </w:r>
      <w:r w:rsidR="000D2322">
        <w:t xml:space="preserve">our obligation is to interpret the bequest to </w:t>
      </w:r>
      <w:r w:rsidR="007C5521">
        <w:t>carry out the testators’ intent “as nearly as possible</w:t>
      </w:r>
      <w:r w:rsidR="000D2322">
        <w:t>.</w:t>
      </w:r>
      <w:r w:rsidR="007C5521">
        <w:t>”</w:t>
      </w:r>
      <w:r w:rsidR="000D2322">
        <w:t xml:space="preserve"> </w:t>
      </w:r>
      <w:r w:rsidR="007C5521">
        <w:t xml:space="preserve"> (</w:t>
      </w:r>
      <w:r w:rsidRPr="00B0644B" w:rsidR="007C5521">
        <w:rPr>
          <w:i/>
          <w:iCs/>
        </w:rPr>
        <w:t>Schwan v. Permann</w:t>
      </w:r>
      <w:r w:rsidR="007C5521">
        <w:t xml:space="preserve">, </w:t>
      </w:r>
      <w:r w:rsidR="007C5521">
        <w:rPr>
          <w:i/>
          <w:iCs/>
        </w:rPr>
        <w:t>supra</w:t>
      </w:r>
      <w:r w:rsidR="007C5521">
        <w:t>, 28</w:t>
      </w:r>
      <w:r w:rsidR="006A09B9">
        <w:t> </w:t>
      </w:r>
      <w:r w:rsidR="007C5521">
        <w:t>Cal.App.5th at p. 685</w:t>
      </w:r>
      <w:r w:rsidR="000D2322">
        <w:t>.</w:t>
      </w:r>
      <w:r w:rsidR="007C5521">
        <w:t>)</w:t>
      </w:r>
      <w:r w:rsidR="000D2322">
        <w:t xml:space="preserve">  Here, that is the creation of a </w:t>
      </w:r>
      <w:r w:rsidR="007C5521">
        <w:t>sing</w:t>
      </w:r>
      <w:r w:rsidR="00E56898">
        <w:t xml:space="preserve">le named </w:t>
      </w:r>
      <w:r w:rsidR="007C5521">
        <w:t>fund</w:t>
      </w:r>
      <w:r w:rsidR="00C310C2">
        <w:t xml:space="preserve"> as to each bequest</w:t>
      </w:r>
      <w:r w:rsidR="007C5521">
        <w:t>.</w:t>
      </w:r>
      <w:r w:rsidR="00A65808">
        <w:t xml:space="preserve">  </w:t>
      </w:r>
      <w:r w:rsidR="00481E00">
        <w:t xml:space="preserve">The </w:t>
      </w:r>
      <w:r w:rsidR="00A65808">
        <w:t xml:space="preserve">ALA provides no authority or basis to conclude that the specification of a singular fund </w:t>
      </w:r>
      <w:r w:rsidR="00490F95">
        <w:t>was not intentional.</w:t>
      </w:r>
      <w:r>
        <w:rPr>
          <w:rStyle w:val="FootnoteReference"/>
        </w:rPr>
        <w:footnoteReference w:id="9"/>
      </w:r>
    </w:p>
    <w:p w:rsidR="00AC2CD1" w:rsidRPr="001739EC" w:rsidP="00A53664" w14:paraId="123C9409" w14:textId="77777777">
      <w:pPr>
        <w:spacing w:line="360" w:lineRule="auto"/>
      </w:pPr>
      <w:r>
        <w:tab/>
        <w:t xml:space="preserve">In conclusion, the plain language of the </w:t>
      </w:r>
      <w:r w:rsidR="007E341E">
        <w:t xml:space="preserve">McNamara </w:t>
      </w:r>
      <w:r>
        <w:t xml:space="preserve">bequest </w:t>
      </w:r>
      <w:r w:rsidR="00387B72">
        <w:t xml:space="preserve">indicates that the testator intended the funds would </w:t>
      </w:r>
      <w:r w:rsidR="00AE199B">
        <w:t xml:space="preserve">be used entirely </w:t>
      </w:r>
      <w:r w:rsidR="00DE417D">
        <w:t>at ALA’s Los Angeles affiliate</w:t>
      </w:r>
      <w:r w:rsidR="008A3CB1">
        <w:t xml:space="preserve">, </w:t>
      </w:r>
      <w:r w:rsidR="006B454E">
        <w:t>now called Breathe</w:t>
      </w:r>
      <w:r w:rsidR="00AA0FC1">
        <w:t>.  A</w:t>
      </w:r>
      <w:r w:rsidR="008A3CB1">
        <w:t xml:space="preserve">nd the plain language of the Carsten and Brunner bequests indicates the testators intended the </w:t>
      </w:r>
      <w:r w:rsidR="00AC7BB3">
        <w:t xml:space="preserve">income </w:t>
      </w:r>
      <w:r w:rsidR="00AA0FC1">
        <w:t xml:space="preserve">of each bequest </w:t>
      </w:r>
      <w:r w:rsidR="00AC7BB3">
        <w:t>would be used</w:t>
      </w:r>
      <w:r w:rsidR="00C310C2">
        <w:t xml:space="preserve"> </w:t>
      </w:r>
      <w:r w:rsidR="006B454E">
        <w:t>to create a s</w:t>
      </w:r>
      <w:r w:rsidR="00AC7BB3">
        <w:t>ingular fund</w:t>
      </w:r>
      <w:r w:rsidR="008A75C3">
        <w:t xml:space="preserve">, and it is undisputed the bequests are assets of Breathe. </w:t>
      </w:r>
      <w:r w:rsidR="00AC7BB3">
        <w:t xml:space="preserve"> </w:t>
      </w:r>
      <w:r w:rsidR="00B92974">
        <w:t>Sharing the bequests with the ALA is incompatible with those intent</w:t>
      </w:r>
      <w:r w:rsidR="00394684">
        <w:t>ions</w:t>
      </w:r>
      <w:r w:rsidR="00B92974">
        <w:t xml:space="preserve">, which means </w:t>
      </w:r>
      <w:r w:rsidR="00AE199B">
        <w:t>sharing is not required under the restricted funds exception in the Affiliate Agreement.</w:t>
      </w:r>
      <w:r>
        <w:rPr>
          <w:rStyle w:val="FootnoteReference"/>
        </w:rPr>
        <w:footnoteReference w:id="10"/>
      </w:r>
    </w:p>
    <w:p w:rsidR="00203CFC" w:rsidP="00203CFC" w14:paraId="3907DD1C" w14:textId="77777777">
      <w:pPr>
        <w:spacing w:line="360" w:lineRule="auto"/>
        <w:jc w:val="center"/>
      </w:pPr>
      <w:r>
        <w:t>DISPOSITION</w:t>
      </w:r>
    </w:p>
    <w:p w:rsidR="00203CFC" w:rsidP="0024699F" w14:paraId="7DBA4BB7" w14:textId="77777777">
      <w:pPr>
        <w:spacing w:line="360" w:lineRule="auto"/>
      </w:pPr>
      <w:r>
        <w:tab/>
        <w:t xml:space="preserve">The trial court’s </w:t>
      </w:r>
      <w:r w:rsidR="00B90D26">
        <w:t xml:space="preserve">judgment </w:t>
      </w:r>
      <w:r>
        <w:t xml:space="preserve">is reversed. </w:t>
      </w:r>
      <w:r w:rsidR="0024699F">
        <w:t xml:space="preserve"> </w:t>
      </w:r>
      <w:r>
        <w:t xml:space="preserve">The matter is remanded </w:t>
      </w:r>
      <w:r w:rsidR="0024699F">
        <w:t xml:space="preserve">for entry of </w:t>
      </w:r>
      <w:r w:rsidR="00B90D26">
        <w:t xml:space="preserve">judgment in favor of </w:t>
      </w:r>
      <w:r w:rsidR="004D3C38">
        <w:t>Breathe</w:t>
      </w:r>
      <w:r w:rsidR="00AF15B2">
        <w:t>,</w:t>
      </w:r>
      <w:r w:rsidR="00172497">
        <w:t xml:space="preserve"> </w:t>
      </w:r>
      <w:r w:rsidR="00AF15B2">
        <w:t xml:space="preserve">including consideration of </w:t>
      </w:r>
      <w:r w:rsidR="004D3C38">
        <w:t xml:space="preserve">Breathe’s </w:t>
      </w:r>
      <w:r w:rsidR="00AF15B2">
        <w:t xml:space="preserve">request for restitution with interest and </w:t>
      </w:r>
      <w:r w:rsidR="00731AA1">
        <w:t>any request for attorney fees and costs</w:t>
      </w:r>
      <w:r>
        <w:t xml:space="preserve">. </w:t>
      </w:r>
      <w:r w:rsidR="0024699F">
        <w:t xml:space="preserve"> </w:t>
      </w:r>
      <w:r>
        <w:t xml:space="preserve">Costs on appeal are awarded to </w:t>
      </w:r>
      <w:r w:rsidR="004D3C38">
        <w:t>Breathe</w:t>
      </w:r>
      <w:r>
        <w:t>.</w:t>
      </w:r>
    </w:p>
    <w:p w:rsidR="00A83B9B" w:rsidP="00A83B9B" w14:paraId="6EF7B5CC" w14:textId="77777777">
      <w:pPr>
        <w:spacing w:line="360" w:lineRule="auto"/>
      </w:pPr>
    </w:p>
    <w:p w:rsidR="0024699F" w:rsidP="00A83B9B" w14:paraId="300638F0" w14:textId="77777777">
      <w:pPr>
        <w:spacing w:line="360" w:lineRule="auto"/>
      </w:pPr>
    </w:p>
    <w:p w:rsidR="00A83B9B" w:rsidP="00A83B9B" w14:paraId="79C32354" w14:textId="77777777">
      <w:pPr>
        <w:spacing w:line="360" w:lineRule="auto"/>
      </w:pPr>
    </w:p>
    <w:p w:rsidR="005D4F4B" w:rsidP="00A83B9B" w14:paraId="4E2F4D0B" w14:textId="77777777">
      <w:pPr>
        <w:spacing w:line="360" w:lineRule="auto"/>
      </w:pPr>
    </w:p>
    <w:p w:rsidR="001A6879" w:rsidP="00A83B9B" w14:paraId="07AB7ED5" w14:textId="77777777">
      <w:pPr>
        <w:spacing w:line="360" w:lineRule="auto"/>
      </w:pPr>
    </w:p>
    <w:p w:rsidR="001A6879" w:rsidP="00A83B9B" w14:paraId="592D7111" w14:textId="77777777">
      <w:pPr>
        <w:spacing w:line="360" w:lineRule="auto"/>
      </w:pPr>
    </w:p>
    <w:p w:rsidR="001A6879" w:rsidP="00A83B9B" w14:paraId="3F578227" w14:textId="77777777">
      <w:pPr>
        <w:spacing w:line="360" w:lineRule="auto"/>
      </w:pPr>
    </w:p>
    <w:p w:rsidR="001A6879" w:rsidP="00A83B9B" w14:paraId="1B28D801" w14:textId="77777777">
      <w:pPr>
        <w:spacing w:line="360" w:lineRule="auto"/>
      </w:pPr>
    </w:p>
    <w:p w:rsidR="001A6879" w:rsidP="00A83B9B" w14:paraId="08F35CEF" w14:textId="77777777">
      <w:pPr>
        <w:spacing w:line="360" w:lineRule="auto"/>
      </w:pPr>
    </w:p>
    <w:p w:rsidR="001A6879" w:rsidP="00A83B9B" w14:paraId="7B40E3A2" w14:textId="77777777">
      <w:pPr>
        <w:spacing w:line="360" w:lineRule="auto"/>
      </w:pPr>
    </w:p>
    <w:p w:rsidR="001A6879" w:rsidP="00A83B9B" w14:paraId="0369C181" w14:textId="77777777">
      <w:pPr>
        <w:spacing w:line="360" w:lineRule="auto"/>
      </w:pPr>
    </w:p>
    <w:p w:rsidR="001A6879" w:rsidP="00A83B9B" w14:paraId="0B312AE3" w14:textId="77777777">
      <w:pPr>
        <w:spacing w:line="360" w:lineRule="auto"/>
      </w:pPr>
    </w:p>
    <w:p w:rsidR="001A6879" w:rsidP="00A83B9B" w14:paraId="784702B4" w14:textId="77777777">
      <w:pPr>
        <w:spacing w:line="360" w:lineRule="auto"/>
      </w:pPr>
    </w:p>
    <w:p w:rsidR="001A6879" w:rsidP="00A83B9B" w14:paraId="573FB517" w14:textId="77777777">
      <w:pPr>
        <w:spacing w:line="360" w:lineRule="auto"/>
      </w:pPr>
    </w:p>
    <w:p w:rsidR="005D4F4B" w:rsidRPr="009A19F4" w:rsidP="005D4F4B" w14:paraId="42131D61" w14:textId="77777777">
      <w:pPr>
        <w:tabs>
          <w:tab w:val="left" w:pos="6120"/>
        </w:tabs>
        <w:spacing w:line="360" w:lineRule="auto"/>
      </w:pPr>
    </w:p>
    <w:p w:rsidR="005D4F4B" w:rsidRPr="009A19F4" w:rsidP="005D4F4B" w14:paraId="725AECE6" w14:textId="77777777">
      <w:pPr>
        <w:tabs>
          <w:tab w:val="left" w:pos="6120"/>
        </w:tabs>
        <w:spacing w:line="360" w:lineRule="auto"/>
      </w:pPr>
      <w:r w:rsidRPr="009A19F4">
        <w:rPr>
          <w:noProof/>
        </w:rPr>
        <mc:AlternateContent>
          <mc:Choice Requires="wps">
            <w:drawing>
              <wp:anchor distT="0" distB="0" distL="114300" distR="114300" simplePos="0" relativeHeight="251662336" behindDoc="0" locked="0" layoutInCell="1" allowOverlap="1">
                <wp:simplePos x="0" y="0"/>
                <wp:positionH relativeFrom="column">
                  <wp:posOffset>3872753</wp:posOffset>
                </wp:positionH>
                <wp:positionV relativeFrom="paragraph">
                  <wp:posOffset>15949</wp:posOffset>
                </wp:positionV>
                <wp:extent cx="1918447"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9184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5" style="mso-wrap-distance-bottom:0;mso-wrap-distance-left:9pt;mso-wrap-distance-right:9pt;mso-wrap-distance-top:0;mso-wrap-style:square;position:absolute;visibility:visible;z-index:251663360" from="304.95pt,1.25pt" to="456pt,1.25pt" strokecolor="black" strokeweight="0.5pt">
                <v:stroke joinstyle="miter"/>
              </v:line>
            </w:pict>
          </mc:Fallback>
        </mc:AlternateContent>
      </w:r>
      <w:r w:rsidRPr="009A19F4">
        <w:tab/>
      </w:r>
      <w:r w:rsidRPr="009A19F4">
        <w:tab/>
        <w:t>SIMONS, J.</w:t>
      </w:r>
    </w:p>
    <w:p w:rsidR="005D4F4B" w:rsidRPr="009A19F4" w:rsidP="005D4F4B" w14:paraId="253F2B84" w14:textId="77777777">
      <w:pPr>
        <w:tabs>
          <w:tab w:val="left" w:pos="6120"/>
        </w:tabs>
        <w:spacing w:line="360" w:lineRule="auto"/>
      </w:pPr>
    </w:p>
    <w:p w:rsidR="005D4F4B" w:rsidRPr="009A19F4" w:rsidP="005D4F4B" w14:paraId="03753974" w14:textId="77777777">
      <w:pPr>
        <w:tabs>
          <w:tab w:val="left" w:pos="6120"/>
        </w:tabs>
        <w:spacing w:line="360" w:lineRule="auto"/>
      </w:pPr>
    </w:p>
    <w:p w:rsidR="005D4F4B" w:rsidRPr="009A19F4" w:rsidP="005D4F4B" w14:paraId="4329CA18" w14:textId="77777777">
      <w:pPr>
        <w:tabs>
          <w:tab w:val="left" w:pos="6120"/>
        </w:tabs>
        <w:spacing w:line="360" w:lineRule="auto"/>
      </w:pPr>
      <w:r w:rsidRPr="009A19F4">
        <w:t xml:space="preserve">We concur. </w:t>
      </w:r>
    </w:p>
    <w:p w:rsidR="005D4F4B" w:rsidRPr="009A19F4" w:rsidP="005D4F4B" w14:paraId="353AC1FA" w14:textId="77777777">
      <w:pPr>
        <w:tabs>
          <w:tab w:val="left" w:pos="6120"/>
        </w:tabs>
        <w:spacing w:line="360" w:lineRule="auto"/>
      </w:pPr>
    </w:p>
    <w:p w:rsidR="005D4F4B" w:rsidRPr="009A19F4" w:rsidP="005D4F4B" w14:paraId="2A3063B2" w14:textId="77777777">
      <w:pPr>
        <w:tabs>
          <w:tab w:val="left" w:pos="6120"/>
        </w:tabs>
        <w:spacing w:line="360" w:lineRule="auto"/>
      </w:pPr>
    </w:p>
    <w:p w:rsidR="005D4F4B" w:rsidRPr="009A19F4" w:rsidP="005D4F4B" w14:paraId="1D6D6F45" w14:textId="77777777">
      <w:pPr>
        <w:tabs>
          <w:tab w:val="left" w:pos="6120"/>
        </w:tabs>
        <w:spacing w:line="360" w:lineRule="auto"/>
      </w:pPr>
    </w:p>
    <w:p w:rsidR="005D4F4B" w:rsidRPr="009A19F4" w:rsidP="005D4F4B" w14:paraId="0A52681C" w14:textId="77777777">
      <w:pPr>
        <w:tabs>
          <w:tab w:val="left" w:pos="6120"/>
        </w:tabs>
        <w:spacing w:line="360" w:lineRule="auto"/>
      </w:pPr>
      <w:r w:rsidRPr="009A19F4">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918447"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19184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mso-wrap-distance-bottom:0;mso-wrap-distance-left:9pt;mso-wrap-distance-right:9pt;mso-wrap-distance-top:0;mso-wrap-style:square;position:absolute;visibility:visible;z-index:251659264" from="0,0" to="151.05pt,0" strokecolor="black" strokeweight="0.5pt">
                <v:stroke joinstyle="miter"/>
              </v:line>
            </w:pict>
          </mc:Fallback>
        </mc:AlternateContent>
      </w:r>
      <w:r w:rsidRPr="009A19F4">
        <w:t>JACKSON, P. J.</w:t>
      </w:r>
    </w:p>
    <w:p w:rsidR="005D4F4B" w:rsidRPr="009A19F4" w:rsidP="005D4F4B" w14:paraId="1670BCF0" w14:textId="77777777">
      <w:pPr>
        <w:tabs>
          <w:tab w:val="left" w:pos="6120"/>
        </w:tabs>
        <w:spacing w:line="360" w:lineRule="auto"/>
      </w:pPr>
    </w:p>
    <w:p w:rsidR="005D4F4B" w:rsidRPr="009A19F4" w:rsidP="005D4F4B" w14:paraId="7E0CF097" w14:textId="77777777">
      <w:pPr>
        <w:tabs>
          <w:tab w:val="left" w:pos="6120"/>
        </w:tabs>
        <w:spacing w:line="360" w:lineRule="auto"/>
      </w:pPr>
    </w:p>
    <w:p w:rsidR="005D4F4B" w:rsidRPr="009A19F4" w:rsidP="005D4F4B" w14:paraId="5176D3E8" w14:textId="77777777">
      <w:pPr>
        <w:tabs>
          <w:tab w:val="left" w:pos="6120"/>
        </w:tabs>
        <w:spacing w:line="360" w:lineRule="auto"/>
      </w:pPr>
    </w:p>
    <w:p w:rsidR="005D4F4B" w:rsidRPr="009A19F4" w:rsidP="005D4F4B" w14:paraId="56AC3948" w14:textId="77777777">
      <w:pPr>
        <w:tabs>
          <w:tab w:val="left" w:pos="6120"/>
        </w:tabs>
        <w:spacing w:line="360" w:lineRule="auto"/>
        <w:rPr>
          <w:noProof/>
        </w:rPr>
      </w:pPr>
      <w:r w:rsidRPr="009A19F4">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18447"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19184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7" style="mso-wrap-distance-bottom:0;mso-wrap-distance-left:9pt;mso-wrap-distance-right:9pt;mso-wrap-distance-top:0;mso-wrap-style:square;position:absolute;visibility:visible;z-index:251661312" from="0,0" to="151.05pt,0" strokecolor="black" strokeweight="0.5pt">
                <v:stroke joinstyle="miter"/>
              </v:line>
            </w:pict>
          </mc:Fallback>
        </mc:AlternateContent>
      </w:r>
      <w:r w:rsidRPr="009A19F4">
        <w:rPr>
          <w:noProof/>
        </w:rPr>
        <w:t>WISEMAN, J.</w:t>
      </w:r>
      <w:r>
        <w:rPr>
          <w:rStyle w:val="FootnoteReference"/>
          <w:noProof/>
        </w:rPr>
        <w:footnoteReference w:customMarkFollows="1" w:id="11"/>
        <w:t xml:space="preserve">*</w:t>
      </w:r>
      <w:r w:rsidRPr="009A19F4">
        <w:rPr>
          <w:noProof/>
        </w:rPr>
        <w:t xml:space="preserve"> </w:t>
      </w:r>
    </w:p>
    <w:p w:rsidR="005D4F4B" w:rsidRPr="009A19F4" w:rsidP="005D4F4B" w14:paraId="281E5C5E" w14:textId="77777777">
      <w:pPr>
        <w:spacing w:line="360" w:lineRule="auto"/>
      </w:pPr>
    </w:p>
    <w:p w:rsidR="005D4F4B" w:rsidRPr="009A19F4" w:rsidP="005D4F4B" w14:paraId="2FCA5A7D" w14:textId="77777777">
      <w:pPr>
        <w:spacing w:line="360" w:lineRule="auto"/>
      </w:pPr>
    </w:p>
    <w:p w:rsidR="005D4F4B" w:rsidRPr="009A19F4" w:rsidP="005D4F4B" w14:paraId="00FE4D2C" w14:textId="77777777">
      <w:pPr>
        <w:spacing w:line="360" w:lineRule="auto"/>
      </w:pPr>
    </w:p>
    <w:p w:rsidR="005D4F4B" w:rsidRPr="009A19F4" w:rsidP="005D4F4B" w14:paraId="36E349B5" w14:textId="77777777">
      <w:pPr>
        <w:spacing w:line="360" w:lineRule="auto"/>
      </w:pPr>
      <w:r w:rsidRPr="005A5353">
        <w:t>(A160785)</w:t>
      </w:r>
    </w:p>
    <w:p w:rsidR="005D4F4B" w:rsidRPr="009A19F4" w:rsidP="005D4F4B" w14:paraId="488F6B7D" w14:textId="77777777"/>
    <w:p w:rsidR="005D4F4B" w:rsidP="00A83B9B" w14:paraId="411B6B55" w14:textId="77777777">
      <w:pPr>
        <w:spacing w:line="360" w:lineRule="auto"/>
      </w:pPr>
    </w:p>
    <w:p w:rsidR="00405EC1" w:rsidP="00A83B9B" w14:paraId="53F17C50" w14:textId="77777777">
      <w:pPr>
        <w:spacing w:line="360" w:lineRule="auto"/>
      </w:pPr>
    </w:p>
    <w:p w:rsidR="00405EC1" w:rsidP="00A83B9B" w14:paraId="723ADA22" w14:textId="77777777">
      <w:pPr>
        <w:spacing w:line="360" w:lineRule="auto"/>
      </w:pPr>
    </w:p>
    <w:p w:rsidR="00405EC1" w:rsidP="00A83B9B" w14:paraId="56CF38B8" w14:textId="77777777">
      <w:pPr>
        <w:spacing w:line="360" w:lineRule="auto"/>
      </w:pPr>
    </w:p>
    <w:p w:rsidR="00405EC1" w:rsidP="00A83B9B" w14:paraId="66BFDA1C" w14:textId="77777777">
      <w:pPr>
        <w:spacing w:line="360" w:lineRule="auto"/>
      </w:pPr>
    </w:p>
    <w:p w:rsidR="00405EC1" w:rsidP="00A83B9B" w14:paraId="691F5A42" w14:textId="77777777">
      <w:pPr>
        <w:spacing w:line="360" w:lineRule="auto"/>
      </w:pPr>
    </w:p>
    <w:p w:rsidR="00405EC1" w:rsidP="00A83B9B" w14:paraId="72D67A01" w14:textId="77777777">
      <w:pPr>
        <w:spacing w:line="360" w:lineRule="auto"/>
      </w:pPr>
    </w:p>
    <w:p w:rsidR="00405EC1" w:rsidP="00A83B9B" w14:paraId="29136503" w14:textId="77777777">
      <w:pPr>
        <w:spacing w:line="360" w:lineRule="auto"/>
      </w:pPr>
    </w:p>
    <w:p w:rsidR="00405EC1" w:rsidRPr="00C45A85" w:rsidP="00405EC1" w14:paraId="6816E640" w14:textId="77777777">
      <w:pPr>
        <w:spacing w:line="360" w:lineRule="auto"/>
        <w:rPr>
          <w:b/>
          <w:bCs/>
          <w:u w:val="single"/>
        </w:rPr>
      </w:pPr>
      <w:r>
        <w:rPr>
          <w:b/>
          <w:bCs/>
          <w:u w:val="single"/>
        </w:rPr>
        <w:t>Breathe Southern California v. American Lung Association</w:t>
      </w:r>
      <w:r w:rsidRPr="00C45A85">
        <w:rPr>
          <w:b/>
          <w:bCs/>
          <w:u w:val="single"/>
        </w:rPr>
        <w:t xml:space="preserve"> (</w:t>
      </w:r>
      <w:r>
        <w:rPr>
          <w:b/>
          <w:bCs/>
          <w:u w:val="single"/>
        </w:rPr>
        <w:t>A160785</w:t>
      </w:r>
      <w:r w:rsidRPr="00C45A85">
        <w:rPr>
          <w:b/>
          <w:bCs/>
          <w:u w:val="single"/>
        </w:rPr>
        <w:t>)</w:t>
      </w:r>
    </w:p>
    <w:p w:rsidR="00405EC1" w:rsidP="00405EC1" w14:paraId="518C0E00" w14:textId="77777777">
      <w:pPr>
        <w:spacing w:line="360" w:lineRule="auto"/>
      </w:pPr>
    </w:p>
    <w:p w:rsidR="00405EC1" w:rsidP="00405EC1" w14:paraId="0501ED4C" w14:textId="77777777">
      <w:pPr>
        <w:spacing w:line="360" w:lineRule="auto"/>
      </w:pPr>
      <w:r>
        <w:t>Trial Judge:</w:t>
      </w:r>
      <w:r>
        <w:tab/>
        <w:t>Hon. Stephen M. Pulido</w:t>
      </w:r>
    </w:p>
    <w:p w:rsidR="00405EC1" w:rsidP="00405EC1" w14:paraId="35F9212D" w14:textId="77777777">
      <w:pPr>
        <w:spacing w:line="360" w:lineRule="auto"/>
      </w:pPr>
    </w:p>
    <w:p w:rsidR="00405EC1" w:rsidP="00405EC1" w14:paraId="317A8767" w14:textId="77777777">
      <w:pPr>
        <w:spacing w:line="360" w:lineRule="auto"/>
      </w:pPr>
      <w:r>
        <w:t xml:space="preserve">Trial Court: </w:t>
      </w:r>
      <w:r>
        <w:tab/>
        <w:t>Alameda County Superior Court</w:t>
      </w:r>
    </w:p>
    <w:p w:rsidR="00405EC1" w:rsidP="00405EC1" w14:paraId="44A93BE8" w14:textId="77777777">
      <w:pPr>
        <w:tabs>
          <w:tab w:val="left" w:pos="2160"/>
        </w:tabs>
        <w:spacing w:line="360" w:lineRule="auto"/>
      </w:pPr>
    </w:p>
    <w:p w:rsidR="00405EC1" w:rsidP="00405EC1" w14:paraId="2B6C03AE" w14:textId="77777777">
      <w:pPr>
        <w:tabs>
          <w:tab w:val="left" w:pos="2160"/>
        </w:tabs>
        <w:spacing w:line="360" w:lineRule="auto"/>
        <w:ind w:left="2160" w:hanging="2160"/>
      </w:pPr>
      <w:r>
        <w:t xml:space="preserve">Attorneys: </w:t>
      </w:r>
      <w:r>
        <w:tab/>
      </w:r>
    </w:p>
    <w:p w:rsidR="00405EC1" w:rsidP="00405EC1" w14:paraId="69D6003A" w14:textId="3D2CA961">
      <w:pPr>
        <w:tabs>
          <w:tab w:val="clear" w:pos="720"/>
          <w:tab w:val="left" w:pos="1440"/>
        </w:tabs>
        <w:spacing w:line="240" w:lineRule="auto"/>
        <w:ind w:left="720" w:hanging="1440"/>
      </w:pPr>
      <w:r>
        <w:tab/>
      </w:r>
      <w:r>
        <w:tab/>
      </w:r>
      <w:r w:rsidR="0007154A">
        <w:t>Meyers Nave</w:t>
      </w:r>
      <w:r>
        <w:t xml:space="preserve">, </w:t>
      </w:r>
      <w:r w:rsidR="0007154A">
        <w:t>Sebastian Kaplan</w:t>
      </w:r>
      <w:r>
        <w:t xml:space="preserve">; </w:t>
      </w:r>
      <w:r w:rsidR="0007154A">
        <w:t>Fenwick &amp; West, Kathryn J. Fritz and Rebecca A.E. Fewkes</w:t>
      </w:r>
      <w:r>
        <w:t xml:space="preserve"> for </w:t>
      </w:r>
      <w:r w:rsidR="0007154A">
        <w:t>Defendant</w:t>
      </w:r>
      <w:r>
        <w:t xml:space="preserve"> and </w:t>
      </w:r>
      <w:r w:rsidR="0007154A">
        <w:t>Appellant</w:t>
      </w:r>
      <w:r>
        <w:t>.</w:t>
      </w:r>
    </w:p>
    <w:p w:rsidR="00405EC1" w:rsidP="00405EC1" w14:paraId="51D39EFD" w14:textId="77777777">
      <w:pPr>
        <w:tabs>
          <w:tab w:val="left" w:pos="2160"/>
        </w:tabs>
        <w:spacing w:line="240" w:lineRule="auto"/>
        <w:ind w:left="2160" w:hanging="2160"/>
      </w:pPr>
    </w:p>
    <w:p w:rsidR="00405EC1" w:rsidP="00405EC1" w14:paraId="3E873BA8" w14:textId="50EA0598">
      <w:pPr>
        <w:tabs>
          <w:tab w:val="clear" w:pos="720"/>
          <w:tab w:val="left" w:pos="1440"/>
        </w:tabs>
        <w:spacing w:line="240" w:lineRule="auto"/>
        <w:ind w:left="720" w:hanging="1440"/>
      </w:pPr>
      <w:r>
        <w:tab/>
      </w:r>
      <w:r>
        <w:tab/>
        <w:t>Martorell Law, Eduardo Martorell</w:t>
      </w:r>
      <w:r w:rsidR="002677C9">
        <w:t xml:space="preserve">, </w:t>
      </w:r>
      <w:r>
        <w:t xml:space="preserve">Jean-Paul Leclercq; Law Office of Tara L. Cooper, Tara L. Cooper; Benedon &amp; Serlin, Gerald M. Serlin and Judith E. Posner for </w:t>
      </w:r>
      <w:r w:rsidR="0007154A">
        <w:t>Plaintiff</w:t>
      </w:r>
      <w:r>
        <w:t xml:space="preserve"> and Respondent.</w:t>
      </w:r>
    </w:p>
    <w:p w:rsidR="00405EC1" w:rsidP="00405EC1" w14:paraId="65087D83" w14:textId="77777777">
      <w:pPr>
        <w:tabs>
          <w:tab w:val="left" w:pos="1440"/>
        </w:tabs>
        <w:spacing w:line="240" w:lineRule="auto"/>
        <w:ind w:left="720" w:hanging="2160"/>
      </w:pPr>
    </w:p>
    <w:p w:rsidR="00405EC1" w:rsidP="00A83B9B" w14:paraId="11C3F07F" w14:textId="77777777">
      <w:pPr>
        <w:spacing w:line="360" w:lineRule="auto"/>
      </w:pPr>
    </w:p>
    <w:sectPr w:rsidSect="00A83B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B9B" w:rsidP="00A14D96" w14:paraId="56218E9F"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B93598">
      <w:rPr>
        <w:rStyle w:val="PageNumber"/>
      </w:rPr>
      <w:fldChar w:fldCharType="separate"/>
    </w:r>
    <w:r>
      <w:rPr>
        <w:rStyle w:val="PageNumber"/>
      </w:rPr>
      <w:fldChar w:fldCharType="end"/>
    </w:r>
  </w:p>
  <w:p w:rsidR="00A83B9B" w:rsidP="00A14D96" w14:paraId="6069543C"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B93598">
      <w:rPr>
        <w:rStyle w:val="PageNumber"/>
      </w:rPr>
      <w:fldChar w:fldCharType="separate"/>
    </w:r>
    <w:r>
      <w:rPr>
        <w:rStyle w:val="PageNumber"/>
      </w:rPr>
      <w:fldChar w:fldCharType="end"/>
    </w:r>
  </w:p>
  <w:p w:rsidR="00A83B9B" w14:paraId="43D15F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B9B" w:rsidP="00A83B9B" w14:paraId="41276A9F"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A83B9B" w14:paraId="2032395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598" w14:paraId="50089F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C24CC" w:rsidP="00A83B9B" w14:paraId="4C5B9D0C" w14:textId="77777777">
      <w:pPr>
        <w:spacing w:line="240" w:lineRule="auto"/>
      </w:pPr>
      <w:r>
        <w:separator/>
      </w:r>
    </w:p>
  </w:footnote>
  <w:footnote w:type="continuationSeparator" w:id="1">
    <w:p w:rsidR="00DC24CC" w:rsidP="00A83B9B" w14:paraId="58DBC6ED" w14:textId="77777777">
      <w:pPr>
        <w:spacing w:line="240" w:lineRule="auto"/>
      </w:pPr>
      <w:r>
        <w:continuationSeparator/>
      </w:r>
    </w:p>
  </w:footnote>
  <w:footnote w:id="2">
    <w:p w:rsidR="00A83B9B" w:rsidRPr="007267B1" w:rsidP="00A83B9B" w14:paraId="0FB46B0C" w14:textId="77777777">
      <w:pPr>
        <w:pStyle w:val="FootnoteText"/>
        <w:ind w:firstLine="720"/>
      </w:pPr>
      <w:r w:rsidRPr="00253C38">
        <w:rPr>
          <w:rStyle w:val="FootnoteReference"/>
        </w:rPr>
        <w:footnoteRef/>
      </w:r>
      <w:r w:rsidRPr="00253C38">
        <w:t xml:space="preserve"> </w:t>
      </w:r>
      <w:r w:rsidRPr="005F3ABC">
        <w:t xml:space="preserve">Portions of this background are taken from this court’s prior </w:t>
      </w:r>
      <w:r w:rsidR="003D03DE">
        <w:t xml:space="preserve">nonpublished </w:t>
      </w:r>
      <w:r w:rsidRPr="005F3ABC">
        <w:t>opinion in</w:t>
      </w:r>
      <w:r w:rsidRPr="005F3ABC">
        <w:rPr>
          <w:i/>
          <w:iCs/>
        </w:rPr>
        <w:t xml:space="preserve"> </w:t>
      </w:r>
      <w:r w:rsidRPr="00FD06DF" w:rsidR="00FD06DF">
        <w:rPr>
          <w:i/>
          <w:iCs/>
        </w:rPr>
        <w:t>Am. Lung Ass</w:t>
      </w:r>
      <w:r w:rsidR="00FD06DF">
        <w:rPr>
          <w:i/>
          <w:iCs/>
        </w:rPr>
        <w:t>’</w:t>
      </w:r>
      <w:r w:rsidRPr="00FD06DF" w:rsidR="00FD06DF">
        <w:rPr>
          <w:i/>
          <w:iCs/>
        </w:rPr>
        <w:t>n v. Am. Lung Ass</w:t>
      </w:r>
      <w:r w:rsidR="00FD06DF">
        <w:rPr>
          <w:i/>
          <w:iCs/>
        </w:rPr>
        <w:t>’</w:t>
      </w:r>
      <w:r w:rsidRPr="00FD06DF" w:rsidR="00FD06DF">
        <w:rPr>
          <w:i/>
          <w:iCs/>
        </w:rPr>
        <w:t>n in Cal.</w:t>
      </w:r>
      <w:r w:rsidR="008B1B9D">
        <w:t xml:space="preserve"> (</w:t>
      </w:r>
      <w:r w:rsidR="003D03DE">
        <w:t xml:space="preserve">Dec. 8, 2017, </w:t>
      </w:r>
      <w:r w:rsidRPr="008B1B9D" w:rsidR="008B1B9D">
        <w:t>A147428</w:t>
      </w:r>
      <w:r w:rsidR="008B1B9D">
        <w:t>)</w:t>
      </w:r>
      <w:r w:rsidR="005F3ABC">
        <w:t xml:space="preserve"> </w:t>
      </w:r>
      <w:r w:rsidR="00435CA8">
        <w:t>(</w:t>
      </w:r>
      <w:r w:rsidR="00FD06DF">
        <w:rPr>
          <w:i/>
          <w:iCs/>
        </w:rPr>
        <w:t>A</w:t>
      </w:r>
      <w:r w:rsidR="004075DB">
        <w:rPr>
          <w:i/>
          <w:iCs/>
        </w:rPr>
        <w:t>L</w:t>
      </w:r>
      <w:r w:rsidR="00FD06DF">
        <w:rPr>
          <w:i/>
          <w:iCs/>
        </w:rPr>
        <w:t>A</w:t>
      </w:r>
      <w:r w:rsidR="00435CA8">
        <w:rPr>
          <w:i/>
          <w:iCs/>
        </w:rPr>
        <w:t xml:space="preserve"> I</w:t>
      </w:r>
      <w:r w:rsidR="00435CA8">
        <w:t>)</w:t>
      </w:r>
      <w:r w:rsidRPr="005F3ABC">
        <w:rPr>
          <w:i/>
          <w:iCs/>
        </w:rPr>
        <w:t>.</w:t>
      </w:r>
    </w:p>
  </w:footnote>
  <w:footnote w:id="3">
    <w:p w:rsidR="005D0C48" w:rsidP="00474F0C" w14:paraId="177B55FF" w14:textId="77777777">
      <w:pPr>
        <w:pStyle w:val="FootnoteText"/>
        <w:spacing w:after="120"/>
        <w:ind w:firstLine="720"/>
      </w:pPr>
      <w:r>
        <w:rPr>
          <w:rStyle w:val="FootnoteReference"/>
        </w:rPr>
        <w:footnoteRef/>
      </w:r>
      <w:r>
        <w:t xml:space="preserve"> According to the ALA, in 2017, ALAC was dissolved and succeeded by the ALA.</w:t>
      </w:r>
    </w:p>
  </w:footnote>
  <w:footnote w:id="4">
    <w:p w:rsidR="00EA728E" w:rsidP="00474F0C" w14:paraId="719ED8AC" w14:textId="77777777">
      <w:pPr>
        <w:pStyle w:val="FootnoteText"/>
        <w:spacing w:after="120"/>
        <w:ind w:firstLine="720"/>
      </w:pPr>
      <w:r>
        <w:rPr>
          <w:rStyle w:val="FootnoteReference"/>
        </w:rPr>
        <w:footnoteRef/>
      </w:r>
      <w:r>
        <w:t xml:space="preserve"> The organization</w:t>
      </w:r>
      <w:r w:rsidR="00253C38">
        <w:t xml:space="preserve">’s name was first changed to </w:t>
      </w:r>
      <w:r w:rsidR="000475B5">
        <w:t>Breathe California of Los Angeles County</w:t>
      </w:r>
      <w:r w:rsidR="00757761">
        <w:t xml:space="preserve"> </w:t>
      </w:r>
      <w:r>
        <w:t>and then</w:t>
      </w:r>
      <w:r w:rsidR="00E54B7E">
        <w:t xml:space="preserve">, according to Breathe, it </w:t>
      </w:r>
      <w:r w:rsidR="008C7824">
        <w:t xml:space="preserve">changed its name to </w:t>
      </w:r>
      <w:r>
        <w:t>Breathe Southern California</w:t>
      </w:r>
      <w:r w:rsidR="00E54B7E">
        <w:t xml:space="preserve"> </w:t>
      </w:r>
      <w:r w:rsidR="008C7824">
        <w:t>i</w:t>
      </w:r>
      <w:r w:rsidR="00E54B7E">
        <w:t>n 2020</w:t>
      </w:r>
      <w:r w:rsidR="008C7824">
        <w:t xml:space="preserve">.  </w:t>
      </w:r>
      <w:r>
        <w:t>For convenience, this decision refers to appellant as Breathe, even in relation to events that occurred while it was still called the American Lung Association of Los Angeles County.</w:t>
      </w:r>
    </w:p>
  </w:footnote>
  <w:footnote w:id="5">
    <w:p w:rsidR="006A3BC6" w:rsidRPr="006A3BC6" w:rsidP="006A3BC6" w14:paraId="75EB31CC" w14:textId="77777777">
      <w:pPr>
        <w:pStyle w:val="FootnoteText"/>
        <w:ind w:firstLine="720"/>
      </w:pPr>
      <w:r>
        <w:rPr>
          <w:rStyle w:val="FootnoteReference"/>
        </w:rPr>
        <w:footnoteRef/>
      </w:r>
      <w:r>
        <w:t xml:space="preserve"> The trial court issued a tentative decision in November 2019, and Breathe filed a list of controverted issues and </w:t>
      </w:r>
      <w:r w:rsidR="0007799E">
        <w:t xml:space="preserve">a </w:t>
      </w:r>
      <w:r w:rsidR="000D5D67">
        <w:t xml:space="preserve">request for a </w:t>
      </w:r>
      <w:r>
        <w:t>statement of decision in December.  The court found Breathe’s filing was untimely.  Although Breathe dispute</w:t>
      </w:r>
      <w:r w:rsidR="0004345E">
        <w:t>s</w:t>
      </w:r>
      <w:r>
        <w:t xml:space="preserve"> that finding</w:t>
      </w:r>
      <w:r w:rsidR="0004345E">
        <w:t xml:space="preserve">, </w:t>
      </w:r>
      <w:r>
        <w:t xml:space="preserve">it </w:t>
      </w:r>
      <w:r w:rsidR="0004345E">
        <w:t>does not present the correctness of the finding as an issue on appeal.</w:t>
      </w:r>
      <w:r>
        <w:t xml:space="preserve">  </w:t>
      </w:r>
      <w:r w:rsidRPr="006A3BC6">
        <w:t>We also note that, on November 5, 2021, Breathe requested that this court take judicial notice of the definitions of various words used in the various writings at issue in the present case.  The request is denied because consideration of the definitions is unnecessary to resolution of the appeal.</w:t>
      </w:r>
    </w:p>
    <w:p w:rsidR="00612A8F" w:rsidP="00612A8F" w14:paraId="5AE24DED" w14:textId="77777777">
      <w:pPr>
        <w:pStyle w:val="FootnoteText"/>
        <w:ind w:firstLine="720"/>
      </w:pPr>
    </w:p>
  </w:footnote>
  <w:footnote w:id="6">
    <w:p w:rsidR="00141BC1" w:rsidP="00141BC1" w14:paraId="36D46FD0" w14:textId="77777777">
      <w:pPr>
        <w:pStyle w:val="FootnoteText"/>
        <w:ind w:firstLine="720"/>
      </w:pPr>
      <w:r>
        <w:rPr>
          <w:rStyle w:val="FootnoteReference"/>
        </w:rPr>
        <w:footnoteRef/>
      </w:r>
      <w:r>
        <w:t xml:space="preserve"> Mr. Pfeifer also testified about two bequests received by Breathe California of Golden Gate Public Health Partnership, another former ALA affiliate.</w:t>
      </w:r>
    </w:p>
  </w:footnote>
  <w:footnote w:id="7">
    <w:p w:rsidR="00FB2753" w:rsidP="00FB2753" w14:paraId="0ED25BED" w14:textId="77777777">
      <w:pPr>
        <w:pStyle w:val="FootnoteText"/>
        <w:ind w:firstLine="720"/>
      </w:pPr>
      <w:r>
        <w:rPr>
          <w:rStyle w:val="FootnoteReference"/>
        </w:rPr>
        <w:footnoteRef/>
      </w:r>
      <w:r>
        <w:t xml:space="preserve"> </w:t>
      </w:r>
      <w:r w:rsidR="00CF764D">
        <w:t xml:space="preserve">The ALA </w:t>
      </w:r>
      <w:r w:rsidR="00EB5B57">
        <w:t xml:space="preserve">points to </w:t>
      </w:r>
      <w:r w:rsidR="00CF764D">
        <w:t xml:space="preserve">the testimony of its witnesses that the affiliates and constituents they were associated with (not Breathe) always, or almost always, shared bequests.  </w:t>
      </w:r>
      <w:r w:rsidR="003D7010">
        <w:t>But</w:t>
      </w:r>
      <w:r w:rsidR="00CF764D">
        <w:t xml:space="preserve"> that evidence is irrelevant because it is only evidence of how </w:t>
      </w:r>
      <w:r w:rsidRPr="00DD14BB" w:rsidR="00CF764D">
        <w:rPr>
          <w:i/>
          <w:iCs/>
        </w:rPr>
        <w:t xml:space="preserve">those </w:t>
      </w:r>
      <w:r w:rsidR="00CF764D">
        <w:rPr>
          <w:i/>
          <w:iCs/>
        </w:rPr>
        <w:t>other affiliates</w:t>
      </w:r>
      <w:r w:rsidR="00CF764D">
        <w:t xml:space="preserve"> interpreted the restricted funds exception; none of the testimony is evidence of how the signatories to Breathe’s Affiliate Agreement interpreted the exception.  (See </w:t>
      </w:r>
      <w:r w:rsidRPr="006E1217" w:rsidR="00CF764D">
        <w:rPr>
          <w:i/>
          <w:iCs/>
        </w:rPr>
        <w:t>Epic Commc</w:t>
      </w:r>
      <w:r w:rsidR="00CF764D">
        <w:rPr>
          <w:i/>
          <w:iCs/>
        </w:rPr>
        <w:t>’</w:t>
      </w:r>
      <w:r w:rsidRPr="006E1217" w:rsidR="00CF764D">
        <w:rPr>
          <w:i/>
          <w:iCs/>
        </w:rPr>
        <w:t>ns, Inc. v. Richwave Tech., Inc.</w:t>
      </w:r>
      <w:r w:rsidR="00CF764D">
        <w:t xml:space="preserve"> (2015) </w:t>
      </w:r>
      <w:r w:rsidRPr="006E1217" w:rsidR="00CF764D">
        <w:t>237 Cal.App.4th 1342, 1355</w:t>
      </w:r>
      <w:r w:rsidR="00CF764D">
        <w:t xml:space="preserve">.)  </w:t>
      </w:r>
      <w:r>
        <w:t>In any event, the only specific evidence regarding the frequency that bequests were shared gives reason to be skeptical of th</w:t>
      </w:r>
      <w:r w:rsidR="00783F58">
        <w:t xml:space="preserve">at </w:t>
      </w:r>
      <w:r>
        <w:t>testimony</w:t>
      </w:r>
      <w:r w:rsidR="00783F58">
        <w:t>.</w:t>
      </w:r>
      <w:r>
        <w:t xml:space="preserve">  Breathe presented evidence of a May 2002 letter from the ALA to Breathe (when it was still called American Lung Association of Los Angeles) reporting that, “Of the 119 bequests processed through the national office during [1999–May 2002], twenty-three were non-shareable bequests.  Fifteen of these were designated by the donor for national office purposes; eight were designated for local purposes.”</w:t>
      </w:r>
    </w:p>
  </w:footnote>
  <w:footnote w:id="8">
    <w:p w:rsidR="004A1421" w:rsidP="00474F0C" w14:paraId="371D5303" w14:textId="77777777">
      <w:pPr>
        <w:pStyle w:val="FootnoteText"/>
        <w:spacing w:after="120"/>
        <w:ind w:firstLine="720"/>
      </w:pPr>
      <w:r>
        <w:rPr>
          <w:rStyle w:val="FootnoteReference"/>
        </w:rPr>
        <w:footnoteRef/>
      </w:r>
      <w:r>
        <w:t xml:space="preserve"> There is no dispute the Carsten and Brunner bequests are assets of Breathe under the Consent Judgment.</w:t>
      </w:r>
    </w:p>
  </w:footnote>
  <w:footnote w:id="9">
    <w:p w:rsidR="00CE4DDC" w:rsidP="00474F0C" w14:paraId="7B06719A" w14:textId="77777777">
      <w:pPr>
        <w:pStyle w:val="FootnoteText"/>
        <w:spacing w:after="120"/>
        <w:ind w:firstLine="720"/>
      </w:pPr>
      <w:r>
        <w:rPr>
          <w:rStyle w:val="FootnoteReference"/>
        </w:rPr>
        <w:footnoteRef/>
      </w:r>
      <w:r>
        <w:t xml:space="preserve"> Breathe argues</w:t>
      </w:r>
      <w:r w:rsidR="00C310C2">
        <w:t xml:space="preserve"> </w:t>
      </w:r>
      <w:r w:rsidR="00AA7295">
        <w:t>“</w:t>
      </w:r>
      <w:r w:rsidR="00C310C2">
        <w:t>[t]</w:t>
      </w:r>
      <w:r w:rsidRPr="00AA7295" w:rsidR="00AA7295">
        <w:t xml:space="preserve">here are practical reasons why the creation of </w:t>
      </w:r>
      <w:r w:rsidRPr="00AA7295" w:rsidR="00AA7295">
        <w:rPr>
          <w:i/>
          <w:iCs/>
        </w:rPr>
        <w:t>one</w:t>
      </w:r>
      <w:r w:rsidRPr="00AA7295" w:rsidR="00AA7295">
        <w:t xml:space="preserve"> fund was important.</w:t>
      </w:r>
      <w:r w:rsidR="00AA7295">
        <w:t xml:space="preserve">” </w:t>
      </w:r>
      <w:r w:rsidR="009D10D5">
        <w:t xml:space="preserve"> It is unnecessary to consider </w:t>
      </w:r>
      <w:r w:rsidR="00A934A4">
        <w:t xml:space="preserve">the possible </w:t>
      </w:r>
      <w:r w:rsidR="00E20737">
        <w:t xml:space="preserve">reasons </w:t>
      </w:r>
      <w:r w:rsidR="00A934A4">
        <w:t xml:space="preserve">for the </w:t>
      </w:r>
      <w:r w:rsidR="00E20737">
        <w:t>limitation</w:t>
      </w:r>
      <w:r w:rsidR="00481E00">
        <w:t xml:space="preserve"> in the Carsten and Brunner bequests</w:t>
      </w:r>
      <w:r w:rsidR="003868C1">
        <w:t xml:space="preserve">; it is sufficient that we are required to </w:t>
      </w:r>
      <w:r w:rsidR="009D10D5">
        <w:t>comply with the plain language of the bequests</w:t>
      </w:r>
      <w:r w:rsidR="003868C1">
        <w:t xml:space="preserve"> as nearly as possible.</w:t>
      </w:r>
      <w:r w:rsidR="008D6AB1">
        <w:t xml:space="preserve">  </w:t>
      </w:r>
      <w:r w:rsidR="007445A0">
        <w:t xml:space="preserve">Nevertheless, </w:t>
      </w:r>
      <w:r w:rsidR="002270AF">
        <w:t xml:space="preserve">by way of example, </w:t>
      </w:r>
      <w:r w:rsidR="007445A0">
        <w:t xml:space="preserve">we note that Breathe </w:t>
      </w:r>
      <w:r w:rsidR="00013109">
        <w:t xml:space="preserve">argues </w:t>
      </w:r>
      <w:r w:rsidR="00E2064C">
        <w:t xml:space="preserve">that the ALA’s </w:t>
      </w:r>
      <w:r w:rsidRPr="00AC692F" w:rsidR="00AC692F">
        <w:t xml:space="preserve">share of the Carsten </w:t>
      </w:r>
      <w:r w:rsidR="00AC1E30">
        <w:t xml:space="preserve">bequest would generate insufficient funds to </w:t>
      </w:r>
      <w:r w:rsidR="000F3FAE">
        <w:t xml:space="preserve">support a fellowship, as the donor intended. </w:t>
      </w:r>
      <w:r w:rsidR="00AC692F">
        <w:t xml:space="preserve"> </w:t>
      </w:r>
      <w:r w:rsidR="008D6AB1">
        <w:t xml:space="preserve">Also, because we conclude the </w:t>
      </w:r>
      <w:r w:rsidR="00AE5D97">
        <w:t xml:space="preserve">bequests are not shareable, we need not consider Breathe’s argument that </w:t>
      </w:r>
      <w:r w:rsidR="0088124B">
        <w:t xml:space="preserve">the trial court erred in </w:t>
      </w:r>
      <w:r w:rsidR="00AC6D0A">
        <w:t xml:space="preserve">refusing to permit it to assert a statute of limitations defense as to the </w:t>
      </w:r>
      <w:r w:rsidRPr="00D64B55" w:rsidR="00D64B55">
        <w:t>McNamara bequest</w:t>
      </w:r>
      <w:r w:rsidR="00D64B55">
        <w:t>.</w:t>
      </w:r>
    </w:p>
  </w:footnote>
  <w:footnote w:id="10">
    <w:p w:rsidR="00B1011C" w:rsidP="00B1011C" w14:paraId="41412724" w14:textId="77777777">
      <w:pPr>
        <w:pStyle w:val="FootnoteText"/>
        <w:ind w:firstLine="720"/>
      </w:pPr>
      <w:r>
        <w:rPr>
          <w:rStyle w:val="FootnoteReference"/>
        </w:rPr>
        <w:footnoteRef/>
      </w:r>
      <w:r>
        <w:t xml:space="preserve"> Breathe requests that this court, in addition to reversing the trial court’s judgment, </w:t>
      </w:r>
      <w:r w:rsidR="00160F11">
        <w:t>also “</w:t>
      </w:r>
      <w:r>
        <w:t>order</w:t>
      </w:r>
      <w:r w:rsidR="00160F11">
        <w:t>[]</w:t>
      </w:r>
      <w:r>
        <w:t xml:space="preserve"> restitution of the amount Breathe paid ALA plus the</w:t>
      </w:r>
      <w:r w:rsidR="00160F11">
        <w:t xml:space="preserve"> </w:t>
      </w:r>
      <w:r>
        <w:t>statutory interest rate of 10%,</w:t>
      </w:r>
      <w:r w:rsidR="00160F11">
        <w:t>” “</w:t>
      </w:r>
      <w:r>
        <w:t>deem Breathe the prevailing party</w:t>
      </w:r>
      <w:r w:rsidR="00160F11">
        <w:t xml:space="preserve">,” and </w:t>
      </w:r>
      <w:r w:rsidR="00305629">
        <w:t xml:space="preserve">“either set[] </w:t>
      </w:r>
      <w:r>
        <w:t>a briefing schedule for Breathe’s motion for</w:t>
      </w:r>
      <w:r w:rsidR="00305629">
        <w:t xml:space="preserve"> </w:t>
      </w:r>
      <w:r>
        <w:t>fees and costs, or remand</w:t>
      </w:r>
      <w:r w:rsidR="00305629">
        <w:t>[]</w:t>
      </w:r>
      <w:r>
        <w:t xml:space="preserve"> for the trial court to decide that motion.</w:t>
      </w:r>
      <w:r w:rsidR="00305629">
        <w:t>”</w:t>
      </w:r>
      <w:r w:rsidR="00F977FF">
        <w:t xml:space="preserve">  </w:t>
      </w:r>
      <w:r w:rsidR="00583049">
        <w:t>Breathe clearly has prevailed on the merits, but a</w:t>
      </w:r>
      <w:r w:rsidR="00F977FF">
        <w:t xml:space="preserve">ll </w:t>
      </w:r>
      <w:r w:rsidR="00EE2085">
        <w:t xml:space="preserve">the other requested orders </w:t>
      </w:r>
      <w:r w:rsidR="00F977FF">
        <w:t xml:space="preserve">are matters </w:t>
      </w:r>
      <w:r w:rsidR="00583049">
        <w:t xml:space="preserve">properly addressed by the </w:t>
      </w:r>
      <w:r w:rsidR="00F977FF">
        <w:t>trial court on remand.</w:t>
      </w:r>
    </w:p>
  </w:footnote>
  <w:footnote w:id="11">
    <w:p w:rsidR="005D4F4B" w:rsidRPr="00D6226A" w:rsidP="005D4F4B" w14:paraId="7B877634" w14:textId="77777777">
      <w:pPr>
        <w:pStyle w:val="FootnoteText"/>
        <w:ind w:firstLine="720"/>
        <w:rPr>
          <w:szCs w:val="26"/>
        </w:rPr>
      </w:pPr>
      <w:r w:rsidRPr="00D6226A">
        <w:rPr>
          <w:rStyle w:val="FootnoteReference"/>
          <w:szCs w:val="26"/>
        </w:rPr>
        <w:t>*</w:t>
      </w:r>
      <w:r w:rsidRPr="00D6226A">
        <w:rPr>
          <w:szCs w:val="26"/>
        </w:rPr>
        <w:t xml:space="preserve"> Retired Associate Justice of the Court of Appeal, Fifth Appellate District, assigned by the Chief Justice pursuant to article VI, section 6 of the California Constitution.</w:t>
      </w:r>
    </w:p>
    <w:p w:rsidR="005D4F4B" w:rsidP="005D4F4B" w14:paraId="16CE98D6"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598" w14:paraId="274A18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598" w14:paraId="49ECF9B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598" w14:paraId="5D0E2B5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9B"/>
    <w:rsid w:val="00004BA9"/>
    <w:rsid w:val="00013109"/>
    <w:rsid w:val="00020977"/>
    <w:rsid w:val="00020F00"/>
    <w:rsid w:val="000220A1"/>
    <w:rsid w:val="000249EF"/>
    <w:rsid w:val="00026094"/>
    <w:rsid w:val="00032B94"/>
    <w:rsid w:val="000347CD"/>
    <w:rsid w:val="00034ADB"/>
    <w:rsid w:val="00042A27"/>
    <w:rsid w:val="0004300C"/>
    <w:rsid w:val="0004345E"/>
    <w:rsid w:val="0004564B"/>
    <w:rsid w:val="000459B8"/>
    <w:rsid w:val="000475B5"/>
    <w:rsid w:val="000523E2"/>
    <w:rsid w:val="00056150"/>
    <w:rsid w:val="00060172"/>
    <w:rsid w:val="00061531"/>
    <w:rsid w:val="0006286B"/>
    <w:rsid w:val="000636EC"/>
    <w:rsid w:val="00065980"/>
    <w:rsid w:val="00066DB4"/>
    <w:rsid w:val="000676F1"/>
    <w:rsid w:val="00067AA8"/>
    <w:rsid w:val="00067C08"/>
    <w:rsid w:val="0007154A"/>
    <w:rsid w:val="0007505A"/>
    <w:rsid w:val="0007799E"/>
    <w:rsid w:val="00081746"/>
    <w:rsid w:val="000846BE"/>
    <w:rsid w:val="000852E9"/>
    <w:rsid w:val="00087CB0"/>
    <w:rsid w:val="00095529"/>
    <w:rsid w:val="00096C1D"/>
    <w:rsid w:val="00096EDB"/>
    <w:rsid w:val="000A1094"/>
    <w:rsid w:val="000A18D4"/>
    <w:rsid w:val="000A1B3B"/>
    <w:rsid w:val="000A3008"/>
    <w:rsid w:val="000C2A95"/>
    <w:rsid w:val="000C2F35"/>
    <w:rsid w:val="000D2322"/>
    <w:rsid w:val="000D5286"/>
    <w:rsid w:val="000D59DA"/>
    <w:rsid w:val="000D5D67"/>
    <w:rsid w:val="000E18CB"/>
    <w:rsid w:val="000E3520"/>
    <w:rsid w:val="000F25C0"/>
    <w:rsid w:val="000F3FAE"/>
    <w:rsid w:val="000F491E"/>
    <w:rsid w:val="000F5AE4"/>
    <w:rsid w:val="000F678B"/>
    <w:rsid w:val="000F7390"/>
    <w:rsid w:val="000F74E9"/>
    <w:rsid w:val="000F7632"/>
    <w:rsid w:val="001121FA"/>
    <w:rsid w:val="0011388E"/>
    <w:rsid w:val="001138D0"/>
    <w:rsid w:val="00114ECC"/>
    <w:rsid w:val="00116472"/>
    <w:rsid w:val="00117B02"/>
    <w:rsid w:val="001203DE"/>
    <w:rsid w:val="001231A2"/>
    <w:rsid w:val="00123952"/>
    <w:rsid w:val="00127723"/>
    <w:rsid w:val="00131BCC"/>
    <w:rsid w:val="00133607"/>
    <w:rsid w:val="00134EDE"/>
    <w:rsid w:val="00136626"/>
    <w:rsid w:val="00141BC1"/>
    <w:rsid w:val="00142DAE"/>
    <w:rsid w:val="0015577F"/>
    <w:rsid w:val="00160F11"/>
    <w:rsid w:val="00166AE4"/>
    <w:rsid w:val="00172497"/>
    <w:rsid w:val="001739EC"/>
    <w:rsid w:val="00174747"/>
    <w:rsid w:val="0018410A"/>
    <w:rsid w:val="00185EBE"/>
    <w:rsid w:val="00193135"/>
    <w:rsid w:val="00193BAE"/>
    <w:rsid w:val="001A3C40"/>
    <w:rsid w:val="001A3FBF"/>
    <w:rsid w:val="001A4E54"/>
    <w:rsid w:val="001A6705"/>
    <w:rsid w:val="001A6879"/>
    <w:rsid w:val="001B2916"/>
    <w:rsid w:val="001B57E2"/>
    <w:rsid w:val="001B6C01"/>
    <w:rsid w:val="001C0766"/>
    <w:rsid w:val="001C19A8"/>
    <w:rsid w:val="001C2D68"/>
    <w:rsid w:val="001C3752"/>
    <w:rsid w:val="001C6E3A"/>
    <w:rsid w:val="001D0200"/>
    <w:rsid w:val="001D2AF7"/>
    <w:rsid w:val="001D2BCE"/>
    <w:rsid w:val="001D4962"/>
    <w:rsid w:val="001E0C78"/>
    <w:rsid w:val="001E3FBB"/>
    <w:rsid w:val="001E712E"/>
    <w:rsid w:val="001F3D5D"/>
    <w:rsid w:val="001F427D"/>
    <w:rsid w:val="002012C5"/>
    <w:rsid w:val="002031A8"/>
    <w:rsid w:val="00203CAC"/>
    <w:rsid w:val="00203CFC"/>
    <w:rsid w:val="00205561"/>
    <w:rsid w:val="00205CE0"/>
    <w:rsid w:val="00206ED4"/>
    <w:rsid w:val="00207849"/>
    <w:rsid w:val="00213239"/>
    <w:rsid w:val="00213B15"/>
    <w:rsid w:val="0021601A"/>
    <w:rsid w:val="00222F19"/>
    <w:rsid w:val="002270AF"/>
    <w:rsid w:val="00227ABD"/>
    <w:rsid w:val="00233C0C"/>
    <w:rsid w:val="00235123"/>
    <w:rsid w:val="00236E98"/>
    <w:rsid w:val="00237AC6"/>
    <w:rsid w:val="0024699F"/>
    <w:rsid w:val="00253C38"/>
    <w:rsid w:val="00253E36"/>
    <w:rsid w:val="00262304"/>
    <w:rsid w:val="002677C9"/>
    <w:rsid w:val="002722B2"/>
    <w:rsid w:val="002736C1"/>
    <w:rsid w:val="002770D0"/>
    <w:rsid w:val="0028030F"/>
    <w:rsid w:val="00284747"/>
    <w:rsid w:val="00285C72"/>
    <w:rsid w:val="00294FB5"/>
    <w:rsid w:val="00296D4D"/>
    <w:rsid w:val="002A2DFE"/>
    <w:rsid w:val="002A3D3F"/>
    <w:rsid w:val="002B2229"/>
    <w:rsid w:val="002B3CE2"/>
    <w:rsid w:val="002C120B"/>
    <w:rsid w:val="002C3E78"/>
    <w:rsid w:val="002C4A23"/>
    <w:rsid w:val="002C4D91"/>
    <w:rsid w:val="002C5768"/>
    <w:rsid w:val="002D03A7"/>
    <w:rsid w:val="002E16F7"/>
    <w:rsid w:val="002E37F2"/>
    <w:rsid w:val="002E404A"/>
    <w:rsid w:val="002E559F"/>
    <w:rsid w:val="002F13D9"/>
    <w:rsid w:val="003013A2"/>
    <w:rsid w:val="00305629"/>
    <w:rsid w:val="00320888"/>
    <w:rsid w:val="00322B0A"/>
    <w:rsid w:val="0032317B"/>
    <w:rsid w:val="00324752"/>
    <w:rsid w:val="00324DA8"/>
    <w:rsid w:val="00326977"/>
    <w:rsid w:val="00327B1A"/>
    <w:rsid w:val="00327FB6"/>
    <w:rsid w:val="00332F5E"/>
    <w:rsid w:val="00343262"/>
    <w:rsid w:val="0034550E"/>
    <w:rsid w:val="00347DE0"/>
    <w:rsid w:val="003502CC"/>
    <w:rsid w:val="0035205F"/>
    <w:rsid w:val="00353194"/>
    <w:rsid w:val="00354880"/>
    <w:rsid w:val="00366BDB"/>
    <w:rsid w:val="00370D1E"/>
    <w:rsid w:val="00372D4F"/>
    <w:rsid w:val="00380043"/>
    <w:rsid w:val="003834A2"/>
    <w:rsid w:val="00386625"/>
    <w:rsid w:val="003868C1"/>
    <w:rsid w:val="00387B72"/>
    <w:rsid w:val="003906EF"/>
    <w:rsid w:val="00390CAF"/>
    <w:rsid w:val="00394684"/>
    <w:rsid w:val="00396620"/>
    <w:rsid w:val="003A2E7C"/>
    <w:rsid w:val="003A72EE"/>
    <w:rsid w:val="003B01A9"/>
    <w:rsid w:val="003B263B"/>
    <w:rsid w:val="003C6006"/>
    <w:rsid w:val="003C6271"/>
    <w:rsid w:val="003D03DE"/>
    <w:rsid w:val="003D2FB8"/>
    <w:rsid w:val="003D41C9"/>
    <w:rsid w:val="003D6836"/>
    <w:rsid w:val="003D7010"/>
    <w:rsid w:val="003D735E"/>
    <w:rsid w:val="003E01D8"/>
    <w:rsid w:val="003E09D7"/>
    <w:rsid w:val="003E33AA"/>
    <w:rsid w:val="003E6E73"/>
    <w:rsid w:val="003F55A7"/>
    <w:rsid w:val="003F62F2"/>
    <w:rsid w:val="004017E7"/>
    <w:rsid w:val="00401897"/>
    <w:rsid w:val="00402FC4"/>
    <w:rsid w:val="004032D7"/>
    <w:rsid w:val="00405EC1"/>
    <w:rsid w:val="00405F29"/>
    <w:rsid w:val="004075DB"/>
    <w:rsid w:val="00414E01"/>
    <w:rsid w:val="00417913"/>
    <w:rsid w:val="00417F73"/>
    <w:rsid w:val="004235E5"/>
    <w:rsid w:val="00431D47"/>
    <w:rsid w:val="00435CA8"/>
    <w:rsid w:val="00440507"/>
    <w:rsid w:val="00441E47"/>
    <w:rsid w:val="004518EE"/>
    <w:rsid w:val="00452772"/>
    <w:rsid w:val="00455BFB"/>
    <w:rsid w:val="00466FA9"/>
    <w:rsid w:val="004707D6"/>
    <w:rsid w:val="00472537"/>
    <w:rsid w:val="00474F0C"/>
    <w:rsid w:val="00476384"/>
    <w:rsid w:val="00480D37"/>
    <w:rsid w:val="004811C5"/>
    <w:rsid w:val="00481E00"/>
    <w:rsid w:val="00483B9E"/>
    <w:rsid w:val="00490F95"/>
    <w:rsid w:val="004961AA"/>
    <w:rsid w:val="00496D42"/>
    <w:rsid w:val="004A1421"/>
    <w:rsid w:val="004A1B3B"/>
    <w:rsid w:val="004A4417"/>
    <w:rsid w:val="004A55D4"/>
    <w:rsid w:val="004A610D"/>
    <w:rsid w:val="004C18F7"/>
    <w:rsid w:val="004C36F2"/>
    <w:rsid w:val="004C5422"/>
    <w:rsid w:val="004C6D37"/>
    <w:rsid w:val="004D3C38"/>
    <w:rsid w:val="004D4A2A"/>
    <w:rsid w:val="004E6B99"/>
    <w:rsid w:val="004E6EF5"/>
    <w:rsid w:val="004F1E31"/>
    <w:rsid w:val="004F2CA2"/>
    <w:rsid w:val="004F4EB7"/>
    <w:rsid w:val="004F65FC"/>
    <w:rsid w:val="0050189B"/>
    <w:rsid w:val="0050443E"/>
    <w:rsid w:val="00505ABB"/>
    <w:rsid w:val="00512E66"/>
    <w:rsid w:val="005173E4"/>
    <w:rsid w:val="00521A8D"/>
    <w:rsid w:val="00521C72"/>
    <w:rsid w:val="00532AFA"/>
    <w:rsid w:val="0053476C"/>
    <w:rsid w:val="0053540D"/>
    <w:rsid w:val="00537CF2"/>
    <w:rsid w:val="00540B05"/>
    <w:rsid w:val="00545D64"/>
    <w:rsid w:val="00551155"/>
    <w:rsid w:val="0055145A"/>
    <w:rsid w:val="00551C50"/>
    <w:rsid w:val="005637E1"/>
    <w:rsid w:val="005732E1"/>
    <w:rsid w:val="00573F09"/>
    <w:rsid w:val="00574263"/>
    <w:rsid w:val="00576D2C"/>
    <w:rsid w:val="00576E41"/>
    <w:rsid w:val="00582DD1"/>
    <w:rsid w:val="00583049"/>
    <w:rsid w:val="005864B5"/>
    <w:rsid w:val="00587C58"/>
    <w:rsid w:val="0059113E"/>
    <w:rsid w:val="00594144"/>
    <w:rsid w:val="0059614D"/>
    <w:rsid w:val="00596283"/>
    <w:rsid w:val="0059656A"/>
    <w:rsid w:val="00597435"/>
    <w:rsid w:val="005A5353"/>
    <w:rsid w:val="005A645C"/>
    <w:rsid w:val="005A6776"/>
    <w:rsid w:val="005B41DB"/>
    <w:rsid w:val="005B5DED"/>
    <w:rsid w:val="005B646A"/>
    <w:rsid w:val="005C50AB"/>
    <w:rsid w:val="005D0C48"/>
    <w:rsid w:val="005D2288"/>
    <w:rsid w:val="005D31F7"/>
    <w:rsid w:val="005D4517"/>
    <w:rsid w:val="005D4F4B"/>
    <w:rsid w:val="005D5DCD"/>
    <w:rsid w:val="005D676B"/>
    <w:rsid w:val="005E251C"/>
    <w:rsid w:val="005E3800"/>
    <w:rsid w:val="005E5E41"/>
    <w:rsid w:val="005F2F66"/>
    <w:rsid w:val="005F3ABC"/>
    <w:rsid w:val="006071AA"/>
    <w:rsid w:val="00607CDC"/>
    <w:rsid w:val="00612A8F"/>
    <w:rsid w:val="006149DB"/>
    <w:rsid w:val="00615160"/>
    <w:rsid w:val="00617247"/>
    <w:rsid w:val="0062088D"/>
    <w:rsid w:val="00621167"/>
    <w:rsid w:val="00622221"/>
    <w:rsid w:val="00625AC2"/>
    <w:rsid w:val="00627ADA"/>
    <w:rsid w:val="00630D94"/>
    <w:rsid w:val="006313BF"/>
    <w:rsid w:val="0063146E"/>
    <w:rsid w:val="006321BF"/>
    <w:rsid w:val="00634966"/>
    <w:rsid w:val="00637DBD"/>
    <w:rsid w:val="00637E43"/>
    <w:rsid w:val="00640621"/>
    <w:rsid w:val="00647783"/>
    <w:rsid w:val="00652057"/>
    <w:rsid w:val="0065709A"/>
    <w:rsid w:val="00666126"/>
    <w:rsid w:val="006673C5"/>
    <w:rsid w:val="00671268"/>
    <w:rsid w:val="00672BB8"/>
    <w:rsid w:val="00674206"/>
    <w:rsid w:val="006760DC"/>
    <w:rsid w:val="006855F6"/>
    <w:rsid w:val="0069339A"/>
    <w:rsid w:val="00694302"/>
    <w:rsid w:val="00696781"/>
    <w:rsid w:val="006A09B9"/>
    <w:rsid w:val="006A12A9"/>
    <w:rsid w:val="006A16D9"/>
    <w:rsid w:val="006A2C89"/>
    <w:rsid w:val="006A3BC6"/>
    <w:rsid w:val="006A5CBB"/>
    <w:rsid w:val="006B454E"/>
    <w:rsid w:val="006B70B5"/>
    <w:rsid w:val="006C0755"/>
    <w:rsid w:val="006C1785"/>
    <w:rsid w:val="006D3FBE"/>
    <w:rsid w:val="006D41AF"/>
    <w:rsid w:val="006E1217"/>
    <w:rsid w:val="006F0586"/>
    <w:rsid w:val="006F1AC6"/>
    <w:rsid w:val="00700683"/>
    <w:rsid w:val="0070142D"/>
    <w:rsid w:val="0070181F"/>
    <w:rsid w:val="00703CD8"/>
    <w:rsid w:val="00706639"/>
    <w:rsid w:val="007117D9"/>
    <w:rsid w:val="007163A8"/>
    <w:rsid w:val="007164EB"/>
    <w:rsid w:val="00721E2E"/>
    <w:rsid w:val="007267B1"/>
    <w:rsid w:val="0073143B"/>
    <w:rsid w:val="00731AA1"/>
    <w:rsid w:val="00736EFA"/>
    <w:rsid w:val="00737ECE"/>
    <w:rsid w:val="00742EC3"/>
    <w:rsid w:val="007445A0"/>
    <w:rsid w:val="00746EEA"/>
    <w:rsid w:val="00747924"/>
    <w:rsid w:val="0074793A"/>
    <w:rsid w:val="00750EFD"/>
    <w:rsid w:val="007517CF"/>
    <w:rsid w:val="00751E6B"/>
    <w:rsid w:val="00757761"/>
    <w:rsid w:val="00762134"/>
    <w:rsid w:val="00765370"/>
    <w:rsid w:val="00770AB4"/>
    <w:rsid w:val="00770CBB"/>
    <w:rsid w:val="00773058"/>
    <w:rsid w:val="00774040"/>
    <w:rsid w:val="007745CB"/>
    <w:rsid w:val="00774740"/>
    <w:rsid w:val="007776AE"/>
    <w:rsid w:val="007829BC"/>
    <w:rsid w:val="00782F5E"/>
    <w:rsid w:val="007838BF"/>
    <w:rsid w:val="007838E3"/>
    <w:rsid w:val="00783F58"/>
    <w:rsid w:val="00794BFE"/>
    <w:rsid w:val="00797776"/>
    <w:rsid w:val="007A6E57"/>
    <w:rsid w:val="007B4CD0"/>
    <w:rsid w:val="007B6FAF"/>
    <w:rsid w:val="007C2628"/>
    <w:rsid w:val="007C29D4"/>
    <w:rsid w:val="007C5301"/>
    <w:rsid w:val="007C5521"/>
    <w:rsid w:val="007C654F"/>
    <w:rsid w:val="007D6EDE"/>
    <w:rsid w:val="007E01A8"/>
    <w:rsid w:val="007E04F5"/>
    <w:rsid w:val="007E1799"/>
    <w:rsid w:val="007E341E"/>
    <w:rsid w:val="007E6A69"/>
    <w:rsid w:val="007E6E54"/>
    <w:rsid w:val="007F4B02"/>
    <w:rsid w:val="007F5733"/>
    <w:rsid w:val="00805887"/>
    <w:rsid w:val="00813E77"/>
    <w:rsid w:val="00814E00"/>
    <w:rsid w:val="008168C1"/>
    <w:rsid w:val="00822128"/>
    <w:rsid w:val="00823A51"/>
    <w:rsid w:val="00825BBA"/>
    <w:rsid w:val="00826217"/>
    <w:rsid w:val="00826B6B"/>
    <w:rsid w:val="0083420B"/>
    <w:rsid w:val="00835C50"/>
    <w:rsid w:val="00841117"/>
    <w:rsid w:val="00844416"/>
    <w:rsid w:val="0085366A"/>
    <w:rsid w:val="00854FB7"/>
    <w:rsid w:val="008558DA"/>
    <w:rsid w:val="00856B87"/>
    <w:rsid w:val="008571F1"/>
    <w:rsid w:val="0086300F"/>
    <w:rsid w:val="00865843"/>
    <w:rsid w:val="00865B22"/>
    <w:rsid w:val="00873B4F"/>
    <w:rsid w:val="0087560F"/>
    <w:rsid w:val="00877DEA"/>
    <w:rsid w:val="0088124B"/>
    <w:rsid w:val="00881AAA"/>
    <w:rsid w:val="0088205D"/>
    <w:rsid w:val="008868BA"/>
    <w:rsid w:val="00890492"/>
    <w:rsid w:val="00896802"/>
    <w:rsid w:val="008A0C13"/>
    <w:rsid w:val="008A3CB1"/>
    <w:rsid w:val="008A6ECF"/>
    <w:rsid w:val="008A6FDC"/>
    <w:rsid w:val="008A75C3"/>
    <w:rsid w:val="008A7D01"/>
    <w:rsid w:val="008B1B9D"/>
    <w:rsid w:val="008B6343"/>
    <w:rsid w:val="008C1F84"/>
    <w:rsid w:val="008C1FAE"/>
    <w:rsid w:val="008C278C"/>
    <w:rsid w:val="008C366B"/>
    <w:rsid w:val="008C3BDD"/>
    <w:rsid w:val="008C4411"/>
    <w:rsid w:val="008C51C4"/>
    <w:rsid w:val="008C69C3"/>
    <w:rsid w:val="008C7819"/>
    <w:rsid w:val="008C7824"/>
    <w:rsid w:val="008D6AB1"/>
    <w:rsid w:val="008E06D0"/>
    <w:rsid w:val="008E3186"/>
    <w:rsid w:val="008E3291"/>
    <w:rsid w:val="008E3CA8"/>
    <w:rsid w:val="008F2460"/>
    <w:rsid w:val="008F2727"/>
    <w:rsid w:val="009031AF"/>
    <w:rsid w:val="0090392E"/>
    <w:rsid w:val="0090593D"/>
    <w:rsid w:val="00905CC0"/>
    <w:rsid w:val="00913DDB"/>
    <w:rsid w:val="0091404E"/>
    <w:rsid w:val="00914E32"/>
    <w:rsid w:val="00915720"/>
    <w:rsid w:val="009174AF"/>
    <w:rsid w:val="0092394C"/>
    <w:rsid w:val="009242EE"/>
    <w:rsid w:val="00926D23"/>
    <w:rsid w:val="00932182"/>
    <w:rsid w:val="009346D2"/>
    <w:rsid w:val="0094282E"/>
    <w:rsid w:val="0094370C"/>
    <w:rsid w:val="009446E7"/>
    <w:rsid w:val="00950586"/>
    <w:rsid w:val="0095455C"/>
    <w:rsid w:val="00954B6B"/>
    <w:rsid w:val="009562E2"/>
    <w:rsid w:val="00956493"/>
    <w:rsid w:val="00961A81"/>
    <w:rsid w:val="00963F51"/>
    <w:rsid w:val="00967464"/>
    <w:rsid w:val="009874CF"/>
    <w:rsid w:val="00993A71"/>
    <w:rsid w:val="009948D4"/>
    <w:rsid w:val="009A19F4"/>
    <w:rsid w:val="009A6160"/>
    <w:rsid w:val="009A7299"/>
    <w:rsid w:val="009A7BB0"/>
    <w:rsid w:val="009B3A6D"/>
    <w:rsid w:val="009C1608"/>
    <w:rsid w:val="009C1761"/>
    <w:rsid w:val="009C6849"/>
    <w:rsid w:val="009C7019"/>
    <w:rsid w:val="009D10D5"/>
    <w:rsid w:val="009D434F"/>
    <w:rsid w:val="009E30FF"/>
    <w:rsid w:val="009E3B59"/>
    <w:rsid w:val="009E5767"/>
    <w:rsid w:val="009F1076"/>
    <w:rsid w:val="009F2152"/>
    <w:rsid w:val="009F40DC"/>
    <w:rsid w:val="00A01BB8"/>
    <w:rsid w:val="00A03275"/>
    <w:rsid w:val="00A065E6"/>
    <w:rsid w:val="00A12686"/>
    <w:rsid w:val="00A14514"/>
    <w:rsid w:val="00A14D96"/>
    <w:rsid w:val="00A17278"/>
    <w:rsid w:val="00A246FF"/>
    <w:rsid w:val="00A25739"/>
    <w:rsid w:val="00A26B97"/>
    <w:rsid w:val="00A37058"/>
    <w:rsid w:val="00A43C29"/>
    <w:rsid w:val="00A51CC8"/>
    <w:rsid w:val="00A53664"/>
    <w:rsid w:val="00A53B9D"/>
    <w:rsid w:val="00A65808"/>
    <w:rsid w:val="00A74D59"/>
    <w:rsid w:val="00A80A10"/>
    <w:rsid w:val="00A83B9B"/>
    <w:rsid w:val="00A934A4"/>
    <w:rsid w:val="00A971AD"/>
    <w:rsid w:val="00A9759E"/>
    <w:rsid w:val="00AA0DDF"/>
    <w:rsid w:val="00AA0FC1"/>
    <w:rsid w:val="00AA2E3B"/>
    <w:rsid w:val="00AA7295"/>
    <w:rsid w:val="00AA7979"/>
    <w:rsid w:val="00AB1965"/>
    <w:rsid w:val="00AB2869"/>
    <w:rsid w:val="00AC1E30"/>
    <w:rsid w:val="00AC2CD1"/>
    <w:rsid w:val="00AC692F"/>
    <w:rsid w:val="00AC6D0A"/>
    <w:rsid w:val="00AC7BB3"/>
    <w:rsid w:val="00AD1115"/>
    <w:rsid w:val="00AD3D74"/>
    <w:rsid w:val="00AE199B"/>
    <w:rsid w:val="00AE1C62"/>
    <w:rsid w:val="00AE1CB0"/>
    <w:rsid w:val="00AE281E"/>
    <w:rsid w:val="00AE3384"/>
    <w:rsid w:val="00AE3535"/>
    <w:rsid w:val="00AE3BB6"/>
    <w:rsid w:val="00AE5D97"/>
    <w:rsid w:val="00AE6DAA"/>
    <w:rsid w:val="00AF15B2"/>
    <w:rsid w:val="00B01520"/>
    <w:rsid w:val="00B05D71"/>
    <w:rsid w:val="00B0644B"/>
    <w:rsid w:val="00B068E0"/>
    <w:rsid w:val="00B0754F"/>
    <w:rsid w:val="00B1011C"/>
    <w:rsid w:val="00B10DFC"/>
    <w:rsid w:val="00B140F6"/>
    <w:rsid w:val="00B14492"/>
    <w:rsid w:val="00B25869"/>
    <w:rsid w:val="00B3053D"/>
    <w:rsid w:val="00B33168"/>
    <w:rsid w:val="00B354DA"/>
    <w:rsid w:val="00B36586"/>
    <w:rsid w:val="00B37198"/>
    <w:rsid w:val="00B4124B"/>
    <w:rsid w:val="00B412D7"/>
    <w:rsid w:val="00B44B66"/>
    <w:rsid w:val="00B57692"/>
    <w:rsid w:val="00B61AA7"/>
    <w:rsid w:val="00B63D4D"/>
    <w:rsid w:val="00B6408F"/>
    <w:rsid w:val="00B82296"/>
    <w:rsid w:val="00B84BA8"/>
    <w:rsid w:val="00B90D26"/>
    <w:rsid w:val="00B92974"/>
    <w:rsid w:val="00B93598"/>
    <w:rsid w:val="00B95EF3"/>
    <w:rsid w:val="00BA0C12"/>
    <w:rsid w:val="00BA2BA3"/>
    <w:rsid w:val="00BA7A0E"/>
    <w:rsid w:val="00BB5402"/>
    <w:rsid w:val="00BC1B39"/>
    <w:rsid w:val="00BC1DE6"/>
    <w:rsid w:val="00BC3F7D"/>
    <w:rsid w:val="00BD1497"/>
    <w:rsid w:val="00BD5FE0"/>
    <w:rsid w:val="00BE074A"/>
    <w:rsid w:val="00BE2D9B"/>
    <w:rsid w:val="00BE5688"/>
    <w:rsid w:val="00BE7521"/>
    <w:rsid w:val="00BF2FE4"/>
    <w:rsid w:val="00C02D27"/>
    <w:rsid w:val="00C075D2"/>
    <w:rsid w:val="00C15A63"/>
    <w:rsid w:val="00C15A66"/>
    <w:rsid w:val="00C2103E"/>
    <w:rsid w:val="00C24196"/>
    <w:rsid w:val="00C26AE3"/>
    <w:rsid w:val="00C26F48"/>
    <w:rsid w:val="00C27D90"/>
    <w:rsid w:val="00C310C2"/>
    <w:rsid w:val="00C3415A"/>
    <w:rsid w:val="00C345D4"/>
    <w:rsid w:val="00C41DBE"/>
    <w:rsid w:val="00C45A85"/>
    <w:rsid w:val="00C471B5"/>
    <w:rsid w:val="00C50B8B"/>
    <w:rsid w:val="00C533C5"/>
    <w:rsid w:val="00C5579D"/>
    <w:rsid w:val="00C70185"/>
    <w:rsid w:val="00C75458"/>
    <w:rsid w:val="00C76FC2"/>
    <w:rsid w:val="00C819DB"/>
    <w:rsid w:val="00C905FF"/>
    <w:rsid w:val="00C92897"/>
    <w:rsid w:val="00C938A9"/>
    <w:rsid w:val="00CA3361"/>
    <w:rsid w:val="00CA3F63"/>
    <w:rsid w:val="00CA52C8"/>
    <w:rsid w:val="00CA5942"/>
    <w:rsid w:val="00CB1285"/>
    <w:rsid w:val="00CC05C5"/>
    <w:rsid w:val="00CC2395"/>
    <w:rsid w:val="00CC2B9A"/>
    <w:rsid w:val="00CE4B7F"/>
    <w:rsid w:val="00CE4DDC"/>
    <w:rsid w:val="00CF00A2"/>
    <w:rsid w:val="00CF347D"/>
    <w:rsid w:val="00CF3A48"/>
    <w:rsid w:val="00CF7047"/>
    <w:rsid w:val="00CF764D"/>
    <w:rsid w:val="00D014A4"/>
    <w:rsid w:val="00D02ED1"/>
    <w:rsid w:val="00D05C77"/>
    <w:rsid w:val="00D060D8"/>
    <w:rsid w:val="00D063B0"/>
    <w:rsid w:val="00D12DA9"/>
    <w:rsid w:val="00D15A17"/>
    <w:rsid w:val="00D17755"/>
    <w:rsid w:val="00D239FB"/>
    <w:rsid w:val="00D24A6D"/>
    <w:rsid w:val="00D31DAE"/>
    <w:rsid w:val="00D32A4C"/>
    <w:rsid w:val="00D33303"/>
    <w:rsid w:val="00D4494F"/>
    <w:rsid w:val="00D45732"/>
    <w:rsid w:val="00D51D70"/>
    <w:rsid w:val="00D545B1"/>
    <w:rsid w:val="00D5557F"/>
    <w:rsid w:val="00D55631"/>
    <w:rsid w:val="00D6226A"/>
    <w:rsid w:val="00D63FE2"/>
    <w:rsid w:val="00D64B55"/>
    <w:rsid w:val="00D6587B"/>
    <w:rsid w:val="00D678D2"/>
    <w:rsid w:val="00D70D12"/>
    <w:rsid w:val="00D70DFE"/>
    <w:rsid w:val="00D7767D"/>
    <w:rsid w:val="00D7788F"/>
    <w:rsid w:val="00D86E56"/>
    <w:rsid w:val="00D96C09"/>
    <w:rsid w:val="00DA06CF"/>
    <w:rsid w:val="00DA14A4"/>
    <w:rsid w:val="00DA322A"/>
    <w:rsid w:val="00DA630A"/>
    <w:rsid w:val="00DC24CC"/>
    <w:rsid w:val="00DD14BB"/>
    <w:rsid w:val="00DD56F9"/>
    <w:rsid w:val="00DD7737"/>
    <w:rsid w:val="00DE037B"/>
    <w:rsid w:val="00DE29EC"/>
    <w:rsid w:val="00DE2DA3"/>
    <w:rsid w:val="00DE373C"/>
    <w:rsid w:val="00DE417D"/>
    <w:rsid w:val="00DE6AA3"/>
    <w:rsid w:val="00DF22E6"/>
    <w:rsid w:val="00DF433A"/>
    <w:rsid w:val="00E06CD5"/>
    <w:rsid w:val="00E06EE6"/>
    <w:rsid w:val="00E10241"/>
    <w:rsid w:val="00E107A3"/>
    <w:rsid w:val="00E1650A"/>
    <w:rsid w:val="00E16668"/>
    <w:rsid w:val="00E16CCB"/>
    <w:rsid w:val="00E16CD1"/>
    <w:rsid w:val="00E2064C"/>
    <w:rsid w:val="00E20737"/>
    <w:rsid w:val="00E215C7"/>
    <w:rsid w:val="00E25594"/>
    <w:rsid w:val="00E33AFC"/>
    <w:rsid w:val="00E3538D"/>
    <w:rsid w:val="00E44329"/>
    <w:rsid w:val="00E460C5"/>
    <w:rsid w:val="00E504CD"/>
    <w:rsid w:val="00E5062E"/>
    <w:rsid w:val="00E50E90"/>
    <w:rsid w:val="00E52F38"/>
    <w:rsid w:val="00E54B7E"/>
    <w:rsid w:val="00E55018"/>
    <w:rsid w:val="00E56898"/>
    <w:rsid w:val="00E6183C"/>
    <w:rsid w:val="00E64C0A"/>
    <w:rsid w:val="00E65268"/>
    <w:rsid w:val="00E65569"/>
    <w:rsid w:val="00E65E01"/>
    <w:rsid w:val="00E67CF2"/>
    <w:rsid w:val="00E81A7E"/>
    <w:rsid w:val="00E81F08"/>
    <w:rsid w:val="00E854A1"/>
    <w:rsid w:val="00E87767"/>
    <w:rsid w:val="00E90DE4"/>
    <w:rsid w:val="00E93807"/>
    <w:rsid w:val="00EA4C0E"/>
    <w:rsid w:val="00EA728E"/>
    <w:rsid w:val="00EB4D25"/>
    <w:rsid w:val="00EB5B57"/>
    <w:rsid w:val="00EC0C07"/>
    <w:rsid w:val="00EC0C6E"/>
    <w:rsid w:val="00EC3D6C"/>
    <w:rsid w:val="00EC6C74"/>
    <w:rsid w:val="00EC7A25"/>
    <w:rsid w:val="00ED3DCC"/>
    <w:rsid w:val="00EE0D45"/>
    <w:rsid w:val="00EE2085"/>
    <w:rsid w:val="00EE3F9F"/>
    <w:rsid w:val="00EE4292"/>
    <w:rsid w:val="00EE4440"/>
    <w:rsid w:val="00EE549B"/>
    <w:rsid w:val="00EE69D4"/>
    <w:rsid w:val="00EE7AD9"/>
    <w:rsid w:val="00EE7C08"/>
    <w:rsid w:val="00EF0D41"/>
    <w:rsid w:val="00EF154B"/>
    <w:rsid w:val="00EF7FBF"/>
    <w:rsid w:val="00F0269C"/>
    <w:rsid w:val="00F14891"/>
    <w:rsid w:val="00F15389"/>
    <w:rsid w:val="00F26234"/>
    <w:rsid w:val="00F27C32"/>
    <w:rsid w:val="00F33E9E"/>
    <w:rsid w:val="00F35D86"/>
    <w:rsid w:val="00F363E8"/>
    <w:rsid w:val="00F368F2"/>
    <w:rsid w:val="00F37FD5"/>
    <w:rsid w:val="00F44648"/>
    <w:rsid w:val="00F44816"/>
    <w:rsid w:val="00F52BDA"/>
    <w:rsid w:val="00F52C29"/>
    <w:rsid w:val="00F540A4"/>
    <w:rsid w:val="00F5660C"/>
    <w:rsid w:val="00F57544"/>
    <w:rsid w:val="00F57B96"/>
    <w:rsid w:val="00F608CC"/>
    <w:rsid w:val="00F666E9"/>
    <w:rsid w:val="00F67B84"/>
    <w:rsid w:val="00F70642"/>
    <w:rsid w:val="00F80C06"/>
    <w:rsid w:val="00F83788"/>
    <w:rsid w:val="00F8519F"/>
    <w:rsid w:val="00F904E6"/>
    <w:rsid w:val="00F943CF"/>
    <w:rsid w:val="00F948AE"/>
    <w:rsid w:val="00F977FF"/>
    <w:rsid w:val="00FA5361"/>
    <w:rsid w:val="00FA6A90"/>
    <w:rsid w:val="00FB2753"/>
    <w:rsid w:val="00FB36B8"/>
    <w:rsid w:val="00FB72CB"/>
    <w:rsid w:val="00FB767D"/>
    <w:rsid w:val="00FC479E"/>
    <w:rsid w:val="00FC5216"/>
    <w:rsid w:val="00FD06DF"/>
    <w:rsid w:val="00FD4EC3"/>
    <w:rsid w:val="00FD6BF5"/>
    <w:rsid w:val="00FE5D9B"/>
    <w:rsid w:val="00FE5E40"/>
    <w:rsid w:val="00FE6683"/>
    <w:rsid w:val="00FF0EE4"/>
    <w:rsid w:val="00FF57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B9B"/>
    <w:pPr>
      <w:tabs>
        <w:tab w:val="center" w:pos="4680"/>
        <w:tab w:val="right" w:pos="9360"/>
      </w:tabs>
      <w:spacing w:line="240" w:lineRule="auto"/>
    </w:pPr>
  </w:style>
  <w:style w:type="character" w:customStyle="1" w:styleId="HeaderChar">
    <w:name w:val="Header Char"/>
    <w:basedOn w:val="DefaultParagraphFont"/>
    <w:link w:val="Header"/>
    <w:uiPriority w:val="99"/>
    <w:rsid w:val="00A83B9B"/>
  </w:style>
  <w:style w:type="paragraph" w:styleId="Footer">
    <w:name w:val="footer"/>
    <w:basedOn w:val="Normal"/>
    <w:link w:val="FooterChar"/>
    <w:uiPriority w:val="99"/>
    <w:unhideWhenUsed/>
    <w:rsid w:val="00A83B9B"/>
    <w:pPr>
      <w:tabs>
        <w:tab w:val="center" w:pos="4680"/>
        <w:tab w:val="right" w:pos="9360"/>
      </w:tabs>
      <w:spacing w:line="240" w:lineRule="auto"/>
    </w:pPr>
  </w:style>
  <w:style w:type="character" w:customStyle="1" w:styleId="FooterChar">
    <w:name w:val="Footer Char"/>
    <w:basedOn w:val="DefaultParagraphFont"/>
    <w:link w:val="Footer"/>
    <w:uiPriority w:val="99"/>
    <w:rsid w:val="00A83B9B"/>
  </w:style>
  <w:style w:type="character" w:styleId="PageNumber">
    <w:name w:val="page number"/>
    <w:basedOn w:val="DefaultParagraphFont"/>
    <w:uiPriority w:val="99"/>
    <w:semiHidden/>
    <w:unhideWhenUsed/>
    <w:rsid w:val="00A83B9B"/>
  </w:style>
  <w:style w:type="paragraph" w:styleId="FootnoteText">
    <w:name w:val="footnote text"/>
    <w:link w:val="FootnoteTextChar"/>
    <w:uiPriority w:val="99"/>
    <w:unhideWhenUsed/>
    <w:rsid w:val="00A83B9B"/>
    <w:pPr>
      <w:spacing w:line="240" w:lineRule="auto"/>
    </w:pPr>
    <w:rPr>
      <w:szCs w:val="20"/>
    </w:rPr>
  </w:style>
  <w:style w:type="character" w:customStyle="1" w:styleId="FootnoteTextChar">
    <w:name w:val="Footnote Text Char"/>
    <w:basedOn w:val="DefaultParagraphFont"/>
    <w:link w:val="FootnoteText"/>
    <w:uiPriority w:val="99"/>
    <w:rsid w:val="00A83B9B"/>
    <w:rPr>
      <w:szCs w:val="20"/>
    </w:rPr>
  </w:style>
  <w:style w:type="character" w:styleId="FootnoteReference">
    <w:name w:val="footnote reference"/>
    <w:basedOn w:val="DefaultParagraphFont"/>
    <w:uiPriority w:val="99"/>
    <w:semiHidden/>
    <w:unhideWhenUsed/>
    <w:rsid w:val="00A83B9B"/>
    <w:rPr>
      <w:vertAlign w:val="superscript"/>
    </w:rPr>
  </w:style>
  <w:style w:type="character" w:styleId="Hyperlink">
    <w:name w:val="Hyperlink"/>
    <w:basedOn w:val="DefaultParagraphFont"/>
    <w:uiPriority w:val="99"/>
    <w:unhideWhenUsed/>
    <w:rsid w:val="00DE037B"/>
    <w:rPr>
      <w:color w:val="0563C1" w:themeColor="hyperlink"/>
      <w:u w:val="single"/>
    </w:rPr>
  </w:style>
  <w:style w:type="character" w:customStyle="1" w:styleId="UnresolvedMention1">
    <w:name w:val="Unresolved Mention1"/>
    <w:basedOn w:val="DefaultParagraphFont"/>
    <w:uiPriority w:val="99"/>
    <w:semiHidden/>
    <w:unhideWhenUsed/>
    <w:rsid w:val="00DE037B"/>
    <w:rPr>
      <w:color w:val="605E5C"/>
      <w:shd w:val="clear" w:color="auto" w:fill="E1DFDD"/>
    </w:rPr>
  </w:style>
  <w:style w:type="character" w:styleId="CommentReference">
    <w:name w:val="annotation reference"/>
    <w:basedOn w:val="DefaultParagraphFont"/>
    <w:uiPriority w:val="99"/>
    <w:semiHidden/>
    <w:unhideWhenUsed/>
    <w:rsid w:val="00BD5FE0"/>
    <w:rPr>
      <w:sz w:val="16"/>
      <w:szCs w:val="16"/>
    </w:rPr>
  </w:style>
  <w:style w:type="paragraph" w:styleId="CommentText">
    <w:name w:val="annotation text"/>
    <w:basedOn w:val="Normal"/>
    <w:link w:val="CommentTextChar"/>
    <w:uiPriority w:val="99"/>
    <w:semiHidden/>
    <w:unhideWhenUsed/>
    <w:rsid w:val="00BD5FE0"/>
    <w:pPr>
      <w:spacing w:line="240" w:lineRule="auto"/>
    </w:pPr>
    <w:rPr>
      <w:sz w:val="20"/>
      <w:szCs w:val="20"/>
    </w:rPr>
  </w:style>
  <w:style w:type="character" w:customStyle="1" w:styleId="CommentTextChar">
    <w:name w:val="Comment Text Char"/>
    <w:basedOn w:val="DefaultParagraphFont"/>
    <w:link w:val="CommentText"/>
    <w:uiPriority w:val="99"/>
    <w:semiHidden/>
    <w:rsid w:val="00BD5FE0"/>
    <w:rPr>
      <w:sz w:val="20"/>
      <w:szCs w:val="20"/>
    </w:rPr>
  </w:style>
  <w:style w:type="paragraph" w:styleId="CommentSubject">
    <w:name w:val="annotation subject"/>
    <w:basedOn w:val="CommentText"/>
    <w:next w:val="CommentText"/>
    <w:link w:val="CommentSubjectChar"/>
    <w:uiPriority w:val="99"/>
    <w:semiHidden/>
    <w:unhideWhenUsed/>
    <w:rsid w:val="00BD5FE0"/>
    <w:rPr>
      <w:b/>
      <w:bCs/>
    </w:rPr>
  </w:style>
  <w:style w:type="character" w:customStyle="1" w:styleId="CommentSubjectChar">
    <w:name w:val="Comment Subject Char"/>
    <w:basedOn w:val="CommentTextChar"/>
    <w:link w:val="CommentSubject"/>
    <w:uiPriority w:val="99"/>
    <w:semiHidden/>
    <w:rsid w:val="00BD5FE0"/>
    <w:rPr>
      <w:b/>
      <w:bCs/>
      <w:sz w:val="20"/>
      <w:szCs w:val="20"/>
    </w:rPr>
  </w:style>
  <w:style w:type="paragraph" w:styleId="Revision">
    <w:name w:val="Revision"/>
    <w:hidden/>
    <w:uiPriority w:val="99"/>
    <w:semiHidden/>
    <w:rsid w:val="00CC2B9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5BCC-9AF3-43F3-88C3-002D016C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4130</Words>
  <Characters>23546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2023-03-03T19:34:15Z</dcterms:created>
  <dcterms:modified xsi:type="dcterms:W3CDTF">2023-03-03T19:34:15Z</dcterms:modified>
</cp:coreProperties>
</file>